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880" w:leftChars="2800"/>
        <w:jc w:val="right"/>
        <w:rPr>
          <w:rStyle w:val="33"/>
          <w:rFonts w:hint="eastAsia" w:ascii="宋体" w:hAnsi="宋体" w:eastAsia="宋体" w:cs="宋体"/>
          <w:b/>
          <w:color w:val="auto"/>
          <w:sz w:val="44"/>
          <w:szCs w:val="44"/>
          <w:highlight w:val="none"/>
        </w:rPr>
      </w:pPr>
      <w:r>
        <w:rPr>
          <w:rStyle w:val="33"/>
          <w:rFonts w:hint="eastAsia" w:ascii="宋体" w:hAnsi="宋体" w:eastAsia="宋体" w:cs="宋体"/>
          <w:color w:val="auto"/>
          <w:sz w:val="21"/>
          <w:highlight w:val="none"/>
        </w:rPr>
        <w:drawing>
          <wp:inline distT="0" distB="0" distL="114300" distR="114300">
            <wp:extent cx="935990" cy="935990"/>
            <wp:effectExtent l="0" t="0" r="889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935990" cy="935990"/>
                    </a:xfrm>
                    <a:prstGeom prst="rect">
                      <a:avLst/>
                    </a:prstGeom>
                    <a:noFill/>
                    <a:ln>
                      <a:noFill/>
                    </a:ln>
                  </pic:spPr>
                </pic:pic>
              </a:graphicData>
            </a:graphic>
          </wp:inline>
        </w:drawing>
      </w:r>
    </w:p>
    <w:p>
      <w:pPr>
        <w:jc w:val="center"/>
        <w:rPr>
          <w:rStyle w:val="33"/>
          <w:rFonts w:hint="eastAsia" w:ascii="宋体" w:hAnsi="宋体" w:eastAsia="宋体" w:cs="宋体"/>
          <w:b/>
          <w:color w:val="auto"/>
          <w:sz w:val="44"/>
          <w:szCs w:val="44"/>
          <w:highlight w:val="none"/>
        </w:rPr>
      </w:pPr>
    </w:p>
    <w:p>
      <w:pPr>
        <w:jc w:val="center"/>
        <w:rPr>
          <w:rStyle w:val="33"/>
          <w:rFonts w:hint="eastAsia" w:ascii="宋体" w:hAnsi="宋体" w:eastAsia="宋体" w:cs="宋体"/>
          <w:b/>
          <w:color w:val="auto"/>
          <w:sz w:val="44"/>
          <w:szCs w:val="44"/>
          <w:highlight w:val="none"/>
        </w:rPr>
      </w:pPr>
      <w:r>
        <w:rPr>
          <w:rStyle w:val="33"/>
          <w:rFonts w:hint="eastAsia" w:ascii="宋体" w:hAnsi="宋体" w:eastAsia="宋体" w:cs="宋体"/>
          <w:b/>
          <w:color w:val="auto"/>
          <w:sz w:val="44"/>
          <w:szCs w:val="44"/>
          <w:highlight w:val="none"/>
        </w:rPr>
        <w:t>政府采购</w:t>
      </w:r>
      <w:r>
        <w:rPr>
          <w:rStyle w:val="33"/>
          <w:rFonts w:hint="eastAsia" w:ascii="宋体" w:hAnsi="宋体" w:cs="宋体"/>
          <w:b/>
          <w:color w:val="auto"/>
          <w:sz w:val="44"/>
          <w:szCs w:val="44"/>
          <w:highlight w:val="none"/>
          <w:lang w:val="en-US" w:eastAsia="zh-CN"/>
        </w:rPr>
        <w:t>货物</w:t>
      </w:r>
      <w:r>
        <w:rPr>
          <w:rStyle w:val="33"/>
          <w:rFonts w:hint="eastAsia" w:ascii="宋体" w:hAnsi="宋体" w:eastAsia="宋体" w:cs="宋体"/>
          <w:b/>
          <w:color w:val="auto"/>
          <w:sz w:val="44"/>
          <w:szCs w:val="44"/>
          <w:highlight w:val="none"/>
        </w:rPr>
        <w:t>项目</w:t>
      </w: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p>
      <w:pPr>
        <w:jc w:val="center"/>
        <w:rPr>
          <w:rStyle w:val="33"/>
          <w:rFonts w:hint="eastAsia" w:ascii="宋体" w:hAnsi="宋体" w:eastAsia="宋体" w:cs="宋体"/>
          <w:b/>
          <w:color w:val="auto"/>
          <w:sz w:val="84"/>
          <w:szCs w:val="84"/>
          <w:highlight w:val="none"/>
        </w:rPr>
      </w:pPr>
      <w:r>
        <w:rPr>
          <w:rStyle w:val="33"/>
          <w:rFonts w:hint="eastAsia" w:ascii="宋体" w:hAnsi="宋体" w:eastAsia="宋体" w:cs="宋体"/>
          <w:b/>
          <w:color w:val="auto"/>
          <w:sz w:val="84"/>
          <w:szCs w:val="84"/>
          <w:highlight w:val="none"/>
        </w:rPr>
        <w:t>竞争性磋商文件</w:t>
      </w: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tbl>
      <w:tblPr>
        <w:tblStyle w:val="22"/>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016"/>
        <w:gridCol w:w="555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2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baseline"/>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项目名称：</w:t>
            </w:r>
          </w:p>
        </w:tc>
        <w:tc>
          <w:tcPr>
            <w:tcW w:w="55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jc w:val="left"/>
              <w:textAlignment w:val="baseline"/>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eastAsia="zh-CN"/>
              </w:rPr>
              <w:t>泾阳县职业教育中心专业设备采购项目</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2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baseline"/>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项目编号：</w:t>
            </w:r>
          </w:p>
        </w:tc>
        <w:tc>
          <w:tcPr>
            <w:tcW w:w="55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jc w:val="left"/>
              <w:textAlignment w:val="baseline"/>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eastAsia="zh-CN"/>
              </w:rPr>
              <w:t>0617-2391HZ3010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2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baseline"/>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lang w:val="en-US" w:eastAsia="zh-CN"/>
              </w:rPr>
              <w:t>包    号：</w:t>
            </w:r>
          </w:p>
        </w:tc>
        <w:tc>
          <w:tcPr>
            <w:tcW w:w="55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jc w:val="left"/>
              <w:textAlignment w:val="baseline"/>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第</w:t>
            </w:r>
            <w:r>
              <w:rPr>
                <w:rFonts w:hint="eastAsia" w:ascii="宋体" w:hAnsi="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lang w:val="en-US" w:eastAsia="zh-CN"/>
              </w:rPr>
              <w:t>包</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2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baseline"/>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采购内容：</w:t>
            </w:r>
          </w:p>
        </w:tc>
        <w:tc>
          <w:tcPr>
            <w:tcW w:w="55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jc w:val="both"/>
              <w:textAlignment w:val="baseline"/>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计算机专业建设及技能大赛设备</w:t>
            </w:r>
          </w:p>
        </w:tc>
      </w:tr>
    </w:tbl>
    <w:p>
      <w:pPr>
        <w:widowControl w:val="0"/>
        <w:spacing w:line="360" w:lineRule="auto"/>
        <w:textAlignment w:val="auto"/>
        <w:rPr>
          <w:rFonts w:hint="eastAsia" w:ascii="宋体" w:hAnsi="宋体" w:eastAsia="宋体" w:cs="宋体"/>
          <w:color w:val="auto"/>
          <w:sz w:val="32"/>
          <w:szCs w:val="32"/>
          <w:highlight w:val="none"/>
        </w:rPr>
      </w:pPr>
    </w:p>
    <w:p>
      <w:pPr>
        <w:pStyle w:val="10"/>
        <w:ind w:left="0" w:leftChars="0" w:firstLine="0" w:firstLineChars="0"/>
        <w:jc w:val="left"/>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Style w:val="33"/>
          <w:rFonts w:hint="eastAsia" w:ascii="宋体" w:hAnsi="宋体" w:eastAsia="宋体" w:cs="宋体"/>
          <w:b/>
          <w:bCs/>
          <w:color w:val="auto"/>
          <w:sz w:val="32"/>
          <w:szCs w:val="32"/>
          <w:highlight w:val="none"/>
        </w:rPr>
      </w:pPr>
      <w:r>
        <w:rPr>
          <w:rStyle w:val="33"/>
          <w:rFonts w:hint="eastAsia" w:ascii="宋体" w:hAnsi="宋体" w:eastAsia="宋体" w:cs="宋体"/>
          <w:b/>
          <w:bCs/>
          <w:color w:val="auto"/>
          <w:sz w:val="32"/>
          <w:szCs w:val="32"/>
          <w:highlight w:val="none"/>
        </w:rPr>
        <w:t>西北（陕西）国际招标有限公司</w:t>
      </w:r>
    </w:p>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baseline"/>
        <w:rPr>
          <w:rStyle w:val="33"/>
          <w:rFonts w:hint="eastAsia" w:ascii="宋体" w:hAnsi="宋体" w:eastAsia="宋体" w:cs="宋体"/>
          <w:b/>
          <w:bCs/>
          <w:color w:val="auto"/>
          <w:sz w:val="32"/>
          <w:szCs w:val="32"/>
          <w:highlight w:val="none"/>
        </w:rPr>
      </w:pPr>
      <w:r>
        <w:rPr>
          <w:rStyle w:val="33"/>
          <w:rFonts w:hint="eastAsia" w:ascii="宋体" w:hAnsi="宋体" w:eastAsia="宋体" w:cs="宋体"/>
          <w:b/>
          <w:bCs/>
          <w:color w:val="auto"/>
          <w:sz w:val="32"/>
          <w:szCs w:val="32"/>
          <w:highlight w:val="none"/>
        </w:rPr>
        <w:t>二〇二</w:t>
      </w:r>
      <w:r>
        <w:rPr>
          <w:rStyle w:val="33"/>
          <w:rFonts w:hint="eastAsia" w:ascii="宋体" w:hAnsi="宋体" w:eastAsia="宋体" w:cs="宋体"/>
          <w:b/>
          <w:bCs/>
          <w:color w:val="auto"/>
          <w:sz w:val="32"/>
          <w:szCs w:val="32"/>
          <w:highlight w:val="none"/>
          <w:lang w:val="en-US" w:eastAsia="zh-CN"/>
        </w:rPr>
        <w:t>三</w:t>
      </w:r>
      <w:r>
        <w:rPr>
          <w:rStyle w:val="33"/>
          <w:rFonts w:hint="eastAsia" w:ascii="宋体" w:hAnsi="宋体" w:eastAsia="宋体" w:cs="宋体"/>
          <w:b/>
          <w:bCs/>
          <w:color w:val="auto"/>
          <w:sz w:val="32"/>
          <w:szCs w:val="32"/>
          <w:highlight w:val="none"/>
        </w:rPr>
        <w:t>年</w:t>
      </w:r>
      <w:r>
        <w:rPr>
          <w:rStyle w:val="33"/>
          <w:rFonts w:hint="eastAsia" w:ascii="宋体" w:hAnsi="宋体" w:cs="宋体"/>
          <w:b/>
          <w:bCs/>
          <w:color w:val="auto"/>
          <w:sz w:val="32"/>
          <w:szCs w:val="32"/>
          <w:highlight w:val="none"/>
          <w:lang w:val="en-US" w:eastAsia="zh-CN"/>
        </w:rPr>
        <w:t>十一</w:t>
      </w:r>
      <w:r>
        <w:rPr>
          <w:rStyle w:val="33"/>
          <w:rFonts w:hint="eastAsia" w:ascii="宋体" w:hAnsi="宋体" w:eastAsia="宋体" w:cs="宋体"/>
          <w:b/>
          <w:bCs/>
          <w:color w:val="auto"/>
          <w:sz w:val="32"/>
          <w:szCs w:val="32"/>
          <w:highlight w:val="none"/>
        </w:rPr>
        <w:t>月</w:t>
      </w:r>
    </w:p>
    <w:p>
      <w:pPr>
        <w:pStyle w:val="10"/>
        <w:ind w:left="0" w:leftChars="0" w:firstLine="0" w:firstLineChars="0"/>
        <w:rPr>
          <w:rStyle w:val="33"/>
          <w:rFonts w:hint="eastAsia" w:ascii="宋体" w:hAnsi="宋体" w:eastAsia="宋体" w:cs="宋体"/>
          <w:b/>
          <w:bCs/>
          <w:color w:val="auto"/>
          <w:sz w:val="30"/>
          <w:szCs w:val="30"/>
          <w:highlight w:val="none"/>
        </w:rPr>
      </w:pPr>
    </w:p>
    <w:p>
      <w:pPr>
        <w:pStyle w:val="10"/>
        <w:ind w:left="0" w:leftChars="0" w:firstLine="0" w:firstLineChars="0"/>
        <w:rPr>
          <w:rStyle w:val="33"/>
          <w:rFonts w:hint="eastAsia" w:ascii="宋体" w:hAnsi="宋体" w:eastAsia="宋体" w:cs="宋体"/>
          <w:b/>
          <w:bCs/>
          <w:color w:val="auto"/>
          <w:sz w:val="30"/>
          <w:szCs w:val="30"/>
          <w:highlight w:val="none"/>
        </w:rPr>
        <w:sectPr>
          <w:headerReference r:id="rId4" w:type="first"/>
          <w:headerReference r:id="rId3" w:type="default"/>
          <w:footerReference r:id="rId5" w:type="default"/>
          <w:footerReference r:id="rId6" w:type="even"/>
          <w:pgSz w:w="11906" w:h="16838"/>
          <w:pgMar w:top="1418" w:right="1418" w:bottom="1418" w:left="1588" w:header="851" w:footer="992" w:gutter="0"/>
          <w:pgBorders>
            <w:top w:val="none" w:sz="0" w:space="0"/>
            <w:left w:val="none" w:sz="0" w:space="0"/>
            <w:bottom w:val="none" w:sz="0" w:space="0"/>
            <w:right w:val="none" w:sz="0" w:space="0"/>
          </w:pgBorders>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8" w:beforeLines="100" w:after="635" w:afterLines="200" w:line="360" w:lineRule="auto"/>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lang w:val="en-US" w:eastAsia="zh-CN"/>
        </w:rPr>
      </w:pPr>
      <w:r>
        <w:rPr>
          <w:rStyle w:val="33"/>
          <w:rFonts w:hint="eastAsia" w:ascii="宋体" w:hAnsi="宋体" w:eastAsia="宋体" w:cs="宋体"/>
          <w:color w:val="auto"/>
          <w:highlight w:val="none"/>
        </w:rPr>
        <w:fldChar w:fldCharType="begin"/>
      </w:r>
      <w:r>
        <w:rPr>
          <w:rStyle w:val="33"/>
          <w:rFonts w:hint="eastAsia" w:ascii="宋体" w:hAnsi="宋体" w:eastAsia="宋体" w:cs="宋体"/>
          <w:b/>
          <w:bCs/>
          <w:color w:val="auto"/>
          <w:highlight w:val="none"/>
        </w:rPr>
        <w:instrText xml:space="preserve">TOC \o "1-2" \h \u </w:instrText>
      </w:r>
      <w:r>
        <w:rPr>
          <w:rStyle w:val="33"/>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"_Toc32306"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 w:val="24"/>
          <w:szCs w:val="24"/>
          <w:highlight w:val="none"/>
        </w:rPr>
        <w:t>第一章 磋商邀请书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1</w:t>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"_Toc7182"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 w:val="24"/>
          <w:szCs w:val="24"/>
          <w:highlight w:val="none"/>
        </w:rPr>
        <w:t>第二章 磋商须知及前附表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_Toc7182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"_Toc10845"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磋商须知前附表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_Toc10845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一、总则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_Toc1706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二、磋商文件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_Toc11313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"_Toc24566"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三、磋商响应文件的编制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_Toc24566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四、磋商响应文件的递交</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_Toc27012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"_Toc26741"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五、磋商与评审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_Toc26741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"_Toc14917"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六、确定成交人、成交通知与签约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"_Toc13468"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合同条款及要求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_Toc13468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 xml:space="preserve">第四章 </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内容及</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rPr>
        <w:t>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_Toc9012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"_Toc30662"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章 评审方法</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6</w:t>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第六章 磋商响应文件格式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_Toc17147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8"/>
        <w:tabs>
          <w:tab w:val="right" w:leader="dot" w:pos="8890"/>
        </w:tabs>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fldChar w:fldCharType="end"/>
      </w:r>
    </w:p>
    <w:p>
      <w:pPr>
        <w:pStyle w:val="77"/>
        <w:tabs>
          <w:tab w:val="right" w:leader="dot" w:pos="8600"/>
        </w:tabs>
        <w:spacing w:line="400" w:lineRule="exact"/>
        <w:ind w:left="0" w:leftChars="0" w:firstLine="0" w:firstLineChars="0"/>
        <w:rPr>
          <w:rFonts w:hint="eastAsia" w:ascii="宋体" w:hAnsi="宋体" w:eastAsia="宋体" w:cs="宋体"/>
          <w:color w:val="auto"/>
          <w:highlight w:val="none"/>
        </w:rPr>
        <w:sectPr>
          <w:footerReference r:id="rId7" w:type="default"/>
          <w:footerReference r:id="rId8" w:type="even"/>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7" w:charSpace="0"/>
        </w:sectPr>
      </w:pP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Cs/>
          <w:color w:val="auto"/>
          <w:kern w:val="0"/>
          <w:sz w:val="32"/>
          <w:szCs w:val="32"/>
          <w:highlight w:val="none"/>
        </w:rPr>
      </w:pPr>
      <w:bookmarkStart w:id="0" w:name="_Toc3545"/>
      <w:bookmarkStart w:id="1" w:name="_Toc727"/>
      <w:bookmarkStart w:id="2" w:name="_Toc32306"/>
      <w:bookmarkStart w:id="3" w:name="_Toc7182"/>
      <w:r>
        <w:rPr>
          <w:rFonts w:hint="eastAsia" w:ascii="宋体" w:hAnsi="宋体" w:eastAsia="宋体" w:cs="宋体"/>
          <w:bCs/>
          <w:color w:val="auto"/>
          <w:kern w:val="0"/>
          <w:sz w:val="32"/>
          <w:szCs w:val="32"/>
          <w:highlight w:val="none"/>
        </w:rPr>
        <w:t>第一章 磋商邀请书</w:t>
      </w:r>
      <w:bookmarkEnd w:id="0"/>
      <w:bookmarkEnd w:id="1"/>
      <w:bookmarkEnd w:id="2"/>
    </w:p>
    <w:tbl>
      <w:tblPr>
        <w:tblStyle w:val="22"/>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07" w:type="dxa"/>
          </w:tcPr>
          <w:p>
            <w:pPr>
              <w:pStyle w:val="6"/>
              <w:spacing w:line="360" w:lineRule="auto"/>
              <w:rPr>
                <w:rFonts w:hint="eastAsia" w:ascii="宋体" w:hAnsi="宋体" w:eastAsia="宋体" w:cs="宋体"/>
                <w:b w:val="0"/>
                <w:color w:val="auto"/>
                <w:kern w:val="0"/>
                <w:sz w:val="21"/>
                <w:szCs w:val="21"/>
                <w:highlight w:val="none"/>
              </w:rPr>
            </w:pPr>
            <w:r>
              <w:rPr>
                <w:rStyle w:val="25"/>
                <w:rFonts w:hint="eastAsia" w:ascii="宋体" w:hAnsi="宋体" w:eastAsia="宋体" w:cs="宋体"/>
                <w:b/>
                <w:color w:val="auto"/>
                <w:szCs w:val="21"/>
                <w:highlight w:val="none"/>
              </w:rPr>
              <w:t>项目概况</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专业设备采购项目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西安市南二环西段58号成长大厦10层标书发售处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持单位介绍信及授权代表身份证原件及复印件登记</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获取采购文件，并于202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时30分（北京时间）前提交响应文件。</w:t>
            </w:r>
          </w:p>
        </w:tc>
      </w:tr>
    </w:tbl>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bookmarkStart w:id="4" w:name="_Hlk85093752"/>
      <w:r>
        <w:rPr>
          <w:rStyle w:val="25"/>
          <w:rFonts w:hint="eastAsia" w:ascii="宋体" w:hAnsi="宋体" w:eastAsia="宋体" w:cs="宋体"/>
          <w:bCs/>
          <w:color w:val="auto"/>
          <w:szCs w:val="21"/>
          <w:highlight w:val="none"/>
        </w:rPr>
        <w:t>一、项目基本情况</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0617-2391HZ3010</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泾阳县职业教育中心专业设备采购项目</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w:t>
      </w:r>
      <w:r>
        <w:rPr>
          <w:rFonts w:hint="eastAsia" w:ascii="宋体" w:hAnsi="宋体" w:eastAsia="宋体" w:cs="宋体"/>
          <w:color w:val="auto"/>
          <w:sz w:val="21"/>
          <w:szCs w:val="21"/>
          <w:highlight w:val="none"/>
          <w:lang w:eastAsia="zh-CN"/>
        </w:rPr>
        <w:t>额：</w:t>
      </w:r>
      <w:r>
        <w:rPr>
          <w:rFonts w:hint="eastAsia" w:cs="宋体"/>
          <w:color w:val="auto"/>
          <w:sz w:val="21"/>
          <w:szCs w:val="21"/>
          <w:highlight w:val="none"/>
          <w:lang w:val="en-US" w:eastAsia="zh-CN"/>
        </w:rPr>
        <w:t>800000.00</w:t>
      </w:r>
      <w:r>
        <w:rPr>
          <w:rFonts w:hint="eastAsia" w:ascii="宋体" w:hAnsi="宋体" w:eastAsia="宋体" w:cs="宋体"/>
          <w:color w:val="auto"/>
          <w:sz w:val="21"/>
          <w:szCs w:val="21"/>
          <w:highlight w:val="none"/>
          <w:lang w:eastAsia="zh-CN"/>
        </w:rPr>
        <w:t>元</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843" w:firstLineChars="4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合同包1(</w:t>
      </w:r>
      <w:r>
        <w:rPr>
          <w:rFonts w:hint="eastAsia" w:ascii="宋体" w:hAnsi="宋体" w:eastAsia="宋体" w:cs="宋体"/>
          <w:b/>
          <w:bCs/>
          <w:color w:val="auto"/>
          <w:sz w:val="21"/>
          <w:szCs w:val="21"/>
          <w:highlight w:val="none"/>
          <w:lang w:val="en-US" w:eastAsia="zh-CN"/>
        </w:rPr>
        <w:t>电子商务专业设备及资源建设</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840" w:firstLineChars="4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合同包预算金额：</w:t>
      </w:r>
      <w:r>
        <w:rPr>
          <w:rFonts w:hint="eastAsia" w:ascii="宋体" w:hAnsi="宋体" w:eastAsia="宋体" w:cs="宋体"/>
          <w:color w:val="auto"/>
          <w:sz w:val="21"/>
          <w:szCs w:val="21"/>
          <w:highlight w:val="none"/>
          <w:lang w:val="en-US" w:eastAsia="zh-CN"/>
        </w:rPr>
        <w:t>370000.00</w:t>
      </w:r>
      <w:r>
        <w:rPr>
          <w:rFonts w:hint="eastAsia" w:ascii="宋体" w:hAnsi="宋体" w:eastAsia="宋体" w:cs="宋体"/>
          <w:color w:val="auto"/>
          <w:sz w:val="21"/>
          <w:szCs w:val="21"/>
          <w:highlight w:val="none"/>
          <w:lang w:eastAsia="zh-CN"/>
        </w:rPr>
        <w:t>元</w:t>
      </w:r>
    </w:p>
    <w:tbl>
      <w:tblPr>
        <w:tblStyle w:val="22"/>
        <w:tblW w:w="8415"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31"/>
        <w:gridCol w:w="876"/>
        <w:gridCol w:w="1374"/>
        <w:gridCol w:w="1131"/>
        <w:gridCol w:w="1562"/>
        <w:gridCol w:w="1311"/>
        <w:gridCol w:w="1230"/>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80" w:hRule="atLeast"/>
          <w:tblHeader/>
          <w:jc w:val="center"/>
        </w:trPr>
        <w:tc>
          <w:tcPr>
            <w:tcW w:w="9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品目号</w:t>
            </w:r>
          </w:p>
        </w:tc>
        <w:tc>
          <w:tcPr>
            <w:tcW w:w="876"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374"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采购标的</w:t>
            </w:r>
          </w:p>
        </w:tc>
        <w:tc>
          <w:tcPr>
            <w:tcW w:w="11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562"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技术规格、</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参数及要求</w:t>
            </w:r>
          </w:p>
        </w:tc>
        <w:tc>
          <w:tcPr>
            <w:tcW w:w="131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品目预算(元)</w:t>
            </w:r>
          </w:p>
        </w:tc>
        <w:tc>
          <w:tcPr>
            <w:tcW w:w="1230"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247" w:hRule="atLeast"/>
          <w:jc w:val="center"/>
        </w:trPr>
        <w:tc>
          <w:tcPr>
            <w:tcW w:w="9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1-1</w:t>
            </w:r>
          </w:p>
        </w:tc>
        <w:tc>
          <w:tcPr>
            <w:tcW w:w="876"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中型计算机</w:t>
            </w:r>
          </w:p>
        </w:tc>
        <w:tc>
          <w:tcPr>
            <w:tcW w:w="1374"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专业实训计算机及专业课程资源开发</w:t>
            </w:r>
          </w:p>
        </w:tc>
        <w:tc>
          <w:tcPr>
            <w:tcW w:w="11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1(批)</w:t>
            </w:r>
          </w:p>
        </w:tc>
        <w:tc>
          <w:tcPr>
            <w:tcW w:w="1562"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详见采购文件</w:t>
            </w:r>
          </w:p>
        </w:tc>
        <w:tc>
          <w:tcPr>
            <w:tcW w:w="1311" w:type="dxa"/>
            <w:tcMar>
              <w:top w:w="75" w:type="dxa"/>
              <w:left w:w="120" w:type="dxa"/>
              <w:bottom w:w="75" w:type="dxa"/>
              <w:right w:w="120" w:type="dxa"/>
            </w:tcMar>
            <w:vAlign w:val="center"/>
          </w:tcPr>
          <w:p>
            <w:pPr>
              <w:wordWrap w:val="0"/>
              <w:spacing w:line="36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370000.00</w:t>
            </w:r>
          </w:p>
        </w:tc>
        <w:tc>
          <w:tcPr>
            <w:tcW w:w="1230"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370000.00</w:t>
            </w:r>
          </w:p>
        </w:tc>
      </w:tr>
    </w:tbl>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本合同包不接受联合体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rPr>
        <w:t>自合同签订之日起60个日历日</w:t>
      </w:r>
      <w:r>
        <w:rPr>
          <w:rFonts w:hint="eastAsia" w:ascii="宋体" w:hAnsi="宋体" w:eastAsia="宋体" w:cs="宋体"/>
          <w:color w:val="auto"/>
          <w:sz w:val="21"/>
          <w:szCs w:val="21"/>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843" w:firstLineChars="4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合同包</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计算机专业建设及技能大赛设备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840" w:firstLineChars="4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合同包预算金额：</w:t>
      </w:r>
      <w:r>
        <w:rPr>
          <w:rFonts w:hint="eastAsia" w:cs="宋体"/>
          <w:color w:val="auto"/>
          <w:sz w:val="21"/>
          <w:szCs w:val="21"/>
          <w:highlight w:val="none"/>
          <w:lang w:val="en-US" w:eastAsia="zh-CN"/>
        </w:rPr>
        <w:t>430000.00</w:t>
      </w:r>
      <w:r>
        <w:rPr>
          <w:rFonts w:hint="eastAsia" w:ascii="宋体" w:hAnsi="宋体" w:eastAsia="宋体" w:cs="宋体"/>
          <w:color w:val="auto"/>
          <w:sz w:val="21"/>
          <w:szCs w:val="21"/>
          <w:highlight w:val="none"/>
          <w:lang w:eastAsia="zh-CN"/>
        </w:rPr>
        <w:t>元</w:t>
      </w:r>
    </w:p>
    <w:tbl>
      <w:tblPr>
        <w:tblStyle w:val="22"/>
        <w:tblW w:w="8415"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31"/>
        <w:gridCol w:w="876"/>
        <w:gridCol w:w="1374"/>
        <w:gridCol w:w="1131"/>
        <w:gridCol w:w="1562"/>
        <w:gridCol w:w="1311"/>
        <w:gridCol w:w="1230"/>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80" w:hRule="atLeast"/>
          <w:tblHeader/>
          <w:jc w:val="center"/>
        </w:trPr>
        <w:tc>
          <w:tcPr>
            <w:tcW w:w="9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品目号</w:t>
            </w:r>
          </w:p>
        </w:tc>
        <w:tc>
          <w:tcPr>
            <w:tcW w:w="876"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374"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采购标的</w:t>
            </w:r>
          </w:p>
        </w:tc>
        <w:tc>
          <w:tcPr>
            <w:tcW w:w="11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562"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技术规格、</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参数及要求</w:t>
            </w:r>
          </w:p>
        </w:tc>
        <w:tc>
          <w:tcPr>
            <w:tcW w:w="131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品目预算(元)</w:t>
            </w:r>
          </w:p>
        </w:tc>
        <w:tc>
          <w:tcPr>
            <w:tcW w:w="1230"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247" w:hRule="atLeast"/>
          <w:jc w:val="center"/>
        </w:trPr>
        <w:tc>
          <w:tcPr>
            <w:tcW w:w="9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876"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其他信息化设备</w:t>
            </w:r>
          </w:p>
        </w:tc>
        <w:tc>
          <w:tcPr>
            <w:tcW w:w="1374"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计算机专业建设及技能大赛设备</w:t>
            </w:r>
          </w:p>
        </w:tc>
        <w:tc>
          <w:tcPr>
            <w:tcW w:w="11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1(批)</w:t>
            </w:r>
          </w:p>
        </w:tc>
        <w:tc>
          <w:tcPr>
            <w:tcW w:w="1562"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详见采购文件</w:t>
            </w:r>
          </w:p>
        </w:tc>
        <w:tc>
          <w:tcPr>
            <w:tcW w:w="1311" w:type="dxa"/>
            <w:tcMar>
              <w:top w:w="75" w:type="dxa"/>
              <w:left w:w="120" w:type="dxa"/>
              <w:bottom w:w="75" w:type="dxa"/>
              <w:right w:w="120" w:type="dxa"/>
            </w:tcMar>
            <w:vAlign w:val="center"/>
          </w:tcPr>
          <w:p>
            <w:pPr>
              <w:wordWrap w:val="0"/>
              <w:spacing w:line="36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430000.00</w:t>
            </w:r>
          </w:p>
        </w:tc>
        <w:tc>
          <w:tcPr>
            <w:tcW w:w="1230"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430000.00</w:t>
            </w:r>
          </w:p>
        </w:tc>
      </w:tr>
    </w:tbl>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本合同包不接受联合体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rPr>
        <w:t>自合同签订之日起20个日历日</w:t>
      </w:r>
      <w:r>
        <w:rPr>
          <w:rFonts w:hint="eastAsia" w:cs="宋体"/>
          <w:color w:val="auto"/>
          <w:sz w:val="21"/>
          <w:szCs w:val="21"/>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r>
        <w:rPr>
          <w:rStyle w:val="25"/>
          <w:rFonts w:hint="eastAsia" w:ascii="宋体" w:hAnsi="宋体" w:eastAsia="宋体" w:cs="宋体"/>
          <w:bCs/>
          <w:color w:val="auto"/>
          <w:szCs w:val="21"/>
          <w:highlight w:val="none"/>
        </w:rPr>
        <w:t>二、申请人的资格要求：</w:t>
      </w:r>
    </w:p>
    <w:p>
      <w:pPr>
        <w:pStyle w:val="2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Style w:val="2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无</w:t>
      </w:r>
    </w:p>
    <w:p>
      <w:pPr>
        <w:pStyle w:val="20"/>
        <w:spacing w:before="0" w:beforeAutospacing="0" w:after="0" w:afterAutospacing="0" w:line="360" w:lineRule="auto"/>
        <w:ind w:firstLine="420"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r>
        <w:rPr>
          <w:rFonts w:hint="eastAsia" w:cs="宋体"/>
          <w:color w:val="auto"/>
          <w:sz w:val="21"/>
          <w:szCs w:val="21"/>
          <w:highlight w:val="none"/>
          <w:lang w:val="en-US" w:eastAsia="zh-CN"/>
        </w:rPr>
        <w:t>无</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r>
        <w:rPr>
          <w:rStyle w:val="25"/>
          <w:rFonts w:hint="eastAsia" w:ascii="宋体" w:hAnsi="宋体" w:eastAsia="宋体" w:cs="宋体"/>
          <w:bCs/>
          <w:color w:val="auto"/>
          <w:szCs w:val="21"/>
          <w:highlight w:val="none"/>
        </w:rPr>
        <w:t>三、获取采购文件</w:t>
      </w:r>
    </w:p>
    <w:p>
      <w:pPr>
        <w:pStyle w:val="20"/>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时间：202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rPr>
        <w:t>月</w:t>
      </w:r>
      <w:r>
        <w:rPr>
          <w:rFonts w:hint="eastAsia" w:cs="宋体"/>
          <w:color w:val="auto"/>
          <w:kern w:val="2"/>
          <w:sz w:val="21"/>
          <w:szCs w:val="21"/>
          <w:highlight w:val="none"/>
          <w:lang w:val="en-US" w:eastAsia="zh-CN"/>
        </w:rPr>
        <w:t>27</w:t>
      </w:r>
      <w:r>
        <w:rPr>
          <w:rFonts w:hint="eastAsia" w:ascii="宋体" w:hAnsi="宋体" w:eastAsia="宋体" w:cs="宋体"/>
          <w:color w:val="auto"/>
          <w:kern w:val="2"/>
          <w:sz w:val="21"/>
          <w:szCs w:val="21"/>
          <w:highlight w:val="none"/>
        </w:rPr>
        <w:t>日至202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月</w:t>
      </w:r>
      <w:r>
        <w:rPr>
          <w:rFonts w:hint="eastAsia"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日，每天上午08:30:00至12:00:00，下午1</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:30:00至</w:t>
      </w:r>
      <w:r>
        <w:rPr>
          <w:rFonts w:hint="eastAsia" w:ascii="宋体" w:hAnsi="宋体" w:eastAsia="宋体" w:cs="宋体"/>
          <w:color w:val="auto"/>
          <w:kern w:val="2"/>
          <w:sz w:val="21"/>
          <w:szCs w:val="21"/>
          <w:highlight w:val="none"/>
          <w:lang w:val="en-US" w:eastAsia="zh-CN"/>
        </w:rPr>
        <w:t>17</w:t>
      </w:r>
      <w:r>
        <w:rPr>
          <w:rFonts w:hint="eastAsia" w:ascii="宋体" w:hAnsi="宋体" w:eastAsia="宋体" w:cs="宋体"/>
          <w:color w:val="auto"/>
          <w:kern w:val="2"/>
          <w:sz w:val="21"/>
          <w:szCs w:val="21"/>
          <w:highlight w:val="none"/>
        </w:rPr>
        <w:t>:00:00（北京时间,法定节假日除外）</w:t>
      </w:r>
    </w:p>
    <w:p>
      <w:pPr>
        <w:pStyle w:val="20"/>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地点：西安市南二环西段58号成长大厦10层标书发售处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持单位介绍信及授权代表身份证原件及复印件登记</w:t>
      </w:r>
      <w:r>
        <w:rPr>
          <w:rFonts w:hint="eastAsia" w:ascii="宋体" w:hAnsi="宋体" w:eastAsia="宋体" w:cs="宋体"/>
          <w:b/>
          <w:bCs/>
          <w:color w:val="auto"/>
          <w:sz w:val="21"/>
          <w:szCs w:val="21"/>
          <w:highlight w:val="none"/>
          <w:lang w:eastAsia="zh-CN"/>
        </w:rPr>
        <w:t>）</w:t>
      </w:r>
    </w:p>
    <w:p>
      <w:pPr>
        <w:pStyle w:val="20"/>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方式：现场获取</w:t>
      </w:r>
    </w:p>
    <w:p>
      <w:pPr>
        <w:pStyle w:val="20"/>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售价：</w:t>
      </w:r>
      <w:r>
        <w:rPr>
          <w:rFonts w:hint="eastAsia" w:ascii="宋体" w:hAnsi="宋体" w:eastAsia="宋体" w:cs="宋体"/>
          <w:color w:val="auto"/>
          <w:kern w:val="2"/>
          <w:sz w:val="21"/>
          <w:szCs w:val="21"/>
          <w:highlight w:val="none"/>
          <w:lang w:val="en-US" w:eastAsia="zh-CN"/>
        </w:rPr>
        <w:t>0元</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r>
        <w:rPr>
          <w:rStyle w:val="25"/>
          <w:rFonts w:hint="eastAsia" w:ascii="宋体" w:hAnsi="宋体" w:eastAsia="宋体" w:cs="宋体"/>
          <w:bCs/>
          <w:color w:val="auto"/>
          <w:szCs w:val="21"/>
          <w:highlight w:val="none"/>
        </w:rPr>
        <w:t>四、响应文件提交</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时30分00秒（北京时间）</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地点：西安市南二环西段58号成长大厦10层会议室</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r>
        <w:rPr>
          <w:rStyle w:val="25"/>
          <w:rFonts w:hint="eastAsia" w:ascii="宋体" w:hAnsi="宋体" w:eastAsia="宋体" w:cs="宋体"/>
          <w:bCs/>
          <w:color w:val="auto"/>
          <w:szCs w:val="21"/>
          <w:highlight w:val="none"/>
          <w:lang w:val="en-US" w:eastAsia="zh-CN"/>
        </w:rPr>
        <w:t>五、</w:t>
      </w:r>
      <w:r>
        <w:rPr>
          <w:rStyle w:val="25"/>
          <w:rFonts w:hint="eastAsia" w:ascii="宋体" w:hAnsi="宋体" w:eastAsia="宋体" w:cs="宋体"/>
          <w:bCs/>
          <w:color w:val="auto"/>
          <w:szCs w:val="21"/>
          <w:highlight w:val="none"/>
        </w:rPr>
        <w:t>开启</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时30分00秒（北京时间）</w:t>
      </w:r>
    </w:p>
    <w:p>
      <w:pPr>
        <w:pStyle w:val="2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地点：西安市南二环西段58号成长大厦10层会议室</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r>
        <w:rPr>
          <w:rStyle w:val="25"/>
          <w:rFonts w:hint="eastAsia" w:ascii="宋体" w:hAnsi="宋体" w:eastAsia="宋体" w:cs="宋体"/>
          <w:bCs/>
          <w:color w:val="auto"/>
          <w:szCs w:val="21"/>
          <w:highlight w:val="none"/>
        </w:rPr>
        <w:t>六、公告期限</w:t>
      </w:r>
    </w:p>
    <w:p>
      <w:pPr>
        <w:pStyle w:val="2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r>
        <w:rPr>
          <w:rStyle w:val="25"/>
          <w:rFonts w:hint="eastAsia" w:ascii="宋体" w:hAnsi="宋体" w:eastAsia="宋体" w:cs="宋体"/>
          <w:bCs/>
          <w:color w:val="auto"/>
          <w:szCs w:val="21"/>
          <w:highlight w:val="none"/>
        </w:rPr>
        <w:t>七、其他补充事宜</w:t>
      </w:r>
    </w:p>
    <w:p>
      <w:pPr>
        <w:pStyle w:val="20"/>
        <w:spacing w:before="0" w:beforeAutospacing="0" w:after="0" w:afterAutospacing="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1.本项目采购标的对应的中小企业划分标准所属行业为</w:t>
      </w:r>
      <w:r>
        <w:rPr>
          <w:rFonts w:hint="eastAsia" w:ascii="宋体" w:hAnsi="宋体" w:eastAsia="宋体" w:cs="宋体"/>
          <w:b/>
          <w:bCs/>
          <w:color w:val="auto"/>
          <w:spacing w:val="4"/>
          <w:kern w:val="2"/>
          <w:sz w:val="21"/>
          <w:szCs w:val="21"/>
          <w:highlight w:val="none"/>
          <w:lang w:val="en-US" w:eastAsia="zh-CN" w:bidi="ar-SA"/>
        </w:rPr>
        <w:t>软件和信息技术服务业</w:t>
      </w:r>
      <w:r>
        <w:rPr>
          <w:rFonts w:hint="eastAsia" w:ascii="宋体" w:hAnsi="宋体" w:eastAsia="宋体" w:cs="宋体"/>
          <w:b/>
          <w:bCs/>
          <w:color w:val="auto"/>
          <w:sz w:val="21"/>
          <w:szCs w:val="21"/>
          <w:highlight w:val="none"/>
        </w:rPr>
        <w:t>。</w:t>
      </w:r>
    </w:p>
    <w:p>
      <w:pPr>
        <w:pStyle w:val="20"/>
        <w:spacing w:before="0" w:beforeAutospacing="0" w:after="0" w:afterAutospacing="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采购项目需要落实的政府采购政策：</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（1）《财政部 国家发展改革委关于印发〈节能产品政府采购实施意见〉的通知》（财库〔2004〕185号）；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（2）《国务院办公厅关于建立政府强制采购节能产品制度的通知》（国办发〔2007〕51号）；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（3）《财政部环保总局关于环境标志产品政府采购实施的意见》（财库〔2006〕90号）；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（4）《财政部</w:t>
      </w:r>
      <w:r>
        <w:rPr>
          <w:rFonts w:hint="eastAsia" w:ascii="宋体" w:hAnsi="宋体" w:cs="宋体"/>
          <w:b w:val="0"/>
          <w:bCs/>
          <w:color w:val="auto"/>
          <w:szCs w:val="21"/>
          <w:highlight w:val="none"/>
          <w:lang w:val="en-US" w:eastAsia="zh-CN" w:bidi="ar"/>
        </w:rPr>
        <w:t>、</w:t>
      </w:r>
      <w:r>
        <w:rPr>
          <w:rFonts w:hint="eastAsia" w:ascii="宋体" w:hAnsi="宋体" w:eastAsia="宋体" w:cs="宋体"/>
          <w:b w:val="0"/>
          <w:bCs/>
          <w:color w:val="auto"/>
          <w:szCs w:val="21"/>
          <w:highlight w:val="none"/>
          <w:lang w:val="en-US" w:eastAsia="zh-CN" w:bidi="ar"/>
        </w:rPr>
        <w:t>司法部关于政府采购支持监狱企业发展有关问题的通知》（财库〔2014〕68号）；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（5）《财政部、民政部、中国残疾人联合会关于促进残疾人就业政府采购政策的通知》（财库〔2017〕141号）；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（6）《财政部 发展改革委 生态环境部 市场监管总局关于调整优化节能产品、环境标志产品政府采购执行机制的通知》（财库〔2019〕9号）；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（7）《关于运用政府采购政策支持乡村产业振兴的通知》（财库〔2021〕19号）；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（8）《政府采购促进中小企业发展管理办法》（财库〔2020〕46号）；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（9）《陕西省财政厅关于印发&lt;陕西省中小企业政府采购信用融资办法&gt;的通知》（陕财办采〔2018〕23号；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（10）陕西省财政厅《关于进一步加强政府绿色采购有关问题的通知》（陕财办采〔2021〕29号）；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（11）《关于进一步加大政府采购支持中小企业力度的通知》（财库〔2022〕19号；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（12）《关于扩大政府采购支持绿色建材促进建筑品质提升政策实施范围的通知》财库〔2022〕35号。</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1"/>
        <w:rPr>
          <w:rFonts w:hint="eastAsia" w:ascii="宋体" w:hAnsi="宋体" w:eastAsia="宋体" w:cs="宋体"/>
          <w:bCs/>
          <w:color w:val="auto"/>
          <w:kern w:val="2"/>
          <w:sz w:val="21"/>
          <w:szCs w:val="21"/>
          <w:highlight w:val="none"/>
          <w:lang w:bidi="ar"/>
        </w:rPr>
      </w:pPr>
      <w:r>
        <w:rPr>
          <w:rFonts w:hint="eastAsia" w:ascii="宋体" w:hAnsi="宋体" w:eastAsia="宋体" w:cs="宋体"/>
          <w:b w:val="0"/>
          <w:bCs/>
          <w:color w:val="auto"/>
          <w:szCs w:val="21"/>
          <w:highlight w:val="none"/>
          <w:lang w:val="en-US" w:eastAsia="zh-CN" w:bidi="ar"/>
        </w:rPr>
        <w:t>（13）其他需执行的政府采购政策</w:t>
      </w:r>
      <w:r>
        <w:rPr>
          <w:rFonts w:hint="eastAsia" w:ascii="宋体" w:hAnsi="宋体" w:eastAsia="宋体" w:cs="宋体"/>
          <w:bCs/>
          <w:color w:val="auto"/>
          <w:kern w:val="2"/>
          <w:sz w:val="21"/>
          <w:szCs w:val="21"/>
          <w:highlight w:val="none"/>
          <w:lang w:bidi="ar"/>
        </w:rPr>
        <w:t>。</w:t>
      </w:r>
    </w:p>
    <w:p>
      <w:pPr>
        <w:pStyle w:val="2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5"/>
          <w:rFonts w:hint="eastAsia" w:ascii="宋体" w:hAnsi="宋体" w:eastAsia="宋体" w:cs="宋体"/>
          <w:bCs/>
          <w:color w:val="auto"/>
          <w:szCs w:val="21"/>
          <w:highlight w:val="none"/>
        </w:rPr>
      </w:pPr>
      <w:r>
        <w:rPr>
          <w:rStyle w:val="25"/>
          <w:rFonts w:hint="eastAsia" w:ascii="宋体" w:hAnsi="宋体" w:eastAsia="宋体" w:cs="宋体"/>
          <w:bCs/>
          <w:color w:val="auto"/>
          <w:szCs w:val="21"/>
          <w:highlight w:val="none"/>
        </w:rPr>
        <w:t>八、如对本次采购提出询问，请按以下方式联系。</w:t>
      </w:r>
    </w:p>
    <w:bookmarkEnd w:id="4"/>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5" w:name="_Toc15378"/>
      <w:r>
        <w:rPr>
          <w:rFonts w:hint="eastAsia" w:ascii="宋体" w:hAnsi="宋体" w:eastAsia="宋体" w:cs="宋体"/>
          <w:bCs/>
          <w:color w:val="auto"/>
          <w:kern w:val="0"/>
          <w:szCs w:val="21"/>
          <w:highlight w:val="none"/>
        </w:rPr>
        <w:t>1.采购人信息：</w:t>
      </w:r>
    </w:p>
    <w:p>
      <w:pPr>
        <w:spacing w:line="360" w:lineRule="auto"/>
        <w:ind w:firstLine="420" w:firstLineChars="200"/>
        <w:jc w:val="left"/>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名称：</w:t>
      </w:r>
      <w:bookmarkEnd w:id="5"/>
      <w:r>
        <w:rPr>
          <w:rFonts w:hint="eastAsia" w:ascii="宋体" w:hAnsi="宋体" w:eastAsia="宋体" w:cs="宋体"/>
          <w:bCs/>
          <w:color w:val="auto"/>
          <w:kern w:val="0"/>
          <w:szCs w:val="21"/>
          <w:highlight w:val="none"/>
        </w:rPr>
        <w:t>泾阳县职业教育中心</w:t>
      </w:r>
    </w:p>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6" w:name="_Toc19143"/>
      <w:r>
        <w:rPr>
          <w:rFonts w:hint="eastAsia" w:ascii="宋体" w:hAnsi="宋体" w:eastAsia="宋体" w:cs="宋体"/>
          <w:bCs/>
          <w:color w:val="auto"/>
          <w:kern w:val="0"/>
          <w:szCs w:val="21"/>
          <w:highlight w:val="none"/>
        </w:rPr>
        <w:t>地址：</w:t>
      </w:r>
      <w:bookmarkEnd w:id="6"/>
      <w:r>
        <w:rPr>
          <w:rFonts w:hint="eastAsia" w:ascii="宋体" w:hAnsi="宋体" w:eastAsia="宋体" w:cs="宋体"/>
          <w:bCs/>
          <w:color w:val="auto"/>
          <w:kern w:val="0"/>
          <w:szCs w:val="21"/>
          <w:highlight w:val="none"/>
        </w:rPr>
        <w:t>西咸新区泾河新城泾干镇花李村</w:t>
      </w:r>
    </w:p>
    <w:p>
      <w:pPr>
        <w:spacing w:line="360" w:lineRule="auto"/>
        <w:ind w:firstLine="420" w:firstLineChars="200"/>
        <w:jc w:val="left"/>
        <w:outlineLvl w:val="1"/>
        <w:rPr>
          <w:rFonts w:hint="eastAsia" w:ascii="宋体" w:hAnsi="宋体" w:eastAsia="宋体" w:cs="宋体"/>
          <w:bCs/>
          <w:color w:val="auto"/>
          <w:kern w:val="0"/>
          <w:szCs w:val="21"/>
          <w:highlight w:val="none"/>
          <w:lang w:val="en-US" w:eastAsia="zh-CN"/>
        </w:rPr>
      </w:pPr>
      <w:bookmarkStart w:id="7" w:name="_Toc4779"/>
      <w:r>
        <w:rPr>
          <w:rFonts w:hint="eastAsia" w:ascii="宋体" w:hAnsi="宋体" w:eastAsia="宋体" w:cs="宋体"/>
          <w:bCs/>
          <w:color w:val="auto"/>
          <w:kern w:val="0"/>
          <w:szCs w:val="21"/>
          <w:highlight w:val="none"/>
          <w:lang w:val="en-US" w:eastAsia="zh-CN"/>
        </w:rPr>
        <w:t>联系方式：</w:t>
      </w:r>
      <w:bookmarkEnd w:id="7"/>
      <w:r>
        <w:rPr>
          <w:rFonts w:hint="eastAsia" w:ascii="宋体" w:hAnsi="宋体" w:eastAsia="宋体" w:cs="宋体"/>
          <w:bCs/>
          <w:color w:val="auto"/>
          <w:kern w:val="0"/>
          <w:szCs w:val="21"/>
          <w:highlight w:val="none"/>
          <w:lang w:val="en-US" w:eastAsia="zh-CN"/>
        </w:rPr>
        <w:t>13689185996</w:t>
      </w:r>
    </w:p>
    <w:p>
      <w:pPr>
        <w:spacing w:line="360" w:lineRule="auto"/>
        <w:ind w:firstLine="420" w:firstLineChars="200"/>
        <w:jc w:val="left"/>
        <w:outlineLvl w:val="1"/>
        <w:rPr>
          <w:rFonts w:hint="eastAsia" w:ascii="宋体" w:hAnsi="宋体" w:eastAsia="宋体" w:cs="宋体"/>
          <w:color w:val="auto"/>
          <w:szCs w:val="21"/>
          <w:highlight w:val="none"/>
        </w:rPr>
      </w:pPr>
      <w:bookmarkStart w:id="8" w:name="_Toc31494"/>
      <w:r>
        <w:rPr>
          <w:rFonts w:hint="eastAsia" w:ascii="宋体" w:hAnsi="宋体" w:eastAsia="宋体" w:cs="宋体"/>
          <w:color w:val="auto"/>
          <w:szCs w:val="21"/>
          <w:highlight w:val="none"/>
        </w:rPr>
        <w:t>2.采购代理机构信息</w:t>
      </w:r>
    </w:p>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9" w:name="_Toc3789"/>
      <w:r>
        <w:rPr>
          <w:rFonts w:hint="eastAsia" w:ascii="宋体" w:hAnsi="宋体" w:eastAsia="宋体" w:cs="宋体"/>
          <w:bCs/>
          <w:color w:val="auto"/>
          <w:kern w:val="0"/>
          <w:szCs w:val="21"/>
          <w:highlight w:val="none"/>
        </w:rPr>
        <w:t>名称：西北（陕西）国际招标有限公司</w:t>
      </w:r>
      <w:bookmarkEnd w:id="9"/>
    </w:p>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10" w:name="_Toc2260"/>
      <w:r>
        <w:rPr>
          <w:rFonts w:hint="eastAsia" w:ascii="宋体" w:hAnsi="宋体" w:eastAsia="宋体" w:cs="宋体"/>
          <w:bCs/>
          <w:color w:val="auto"/>
          <w:kern w:val="0"/>
          <w:szCs w:val="21"/>
          <w:highlight w:val="none"/>
        </w:rPr>
        <w:t>地址：西安市南二环西段58号成长大厦10-14层</w:t>
      </w:r>
      <w:bookmarkEnd w:id="10"/>
    </w:p>
    <w:bookmarkEnd w:id="8"/>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11" w:name="_Toc29272"/>
      <w:r>
        <w:rPr>
          <w:rFonts w:hint="eastAsia" w:ascii="宋体" w:hAnsi="宋体" w:eastAsia="宋体" w:cs="宋体"/>
          <w:bCs/>
          <w:color w:val="auto"/>
          <w:kern w:val="0"/>
          <w:szCs w:val="21"/>
          <w:highlight w:val="none"/>
        </w:rPr>
        <w:t>联系方式：029-85592882</w:t>
      </w:r>
      <w:bookmarkEnd w:id="11"/>
    </w:p>
    <w:p>
      <w:pPr>
        <w:spacing w:line="360" w:lineRule="auto"/>
        <w:ind w:firstLine="420" w:firstLineChars="200"/>
        <w:jc w:val="left"/>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开户名称：西北（陕西）国际招标有限公司</w:t>
      </w:r>
    </w:p>
    <w:p>
      <w:pPr>
        <w:spacing w:line="360" w:lineRule="auto"/>
        <w:ind w:firstLine="420" w:firstLineChars="200"/>
        <w:jc w:val="left"/>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开户银行：交通银行西安长安大学支行</w:t>
      </w:r>
    </w:p>
    <w:p>
      <w:pPr>
        <w:spacing w:line="360" w:lineRule="auto"/>
        <w:ind w:firstLine="420" w:firstLineChars="200"/>
        <w:jc w:val="left"/>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账    号：611301151018010003843</w:t>
      </w:r>
    </w:p>
    <w:p>
      <w:pPr>
        <w:spacing w:line="360" w:lineRule="auto"/>
        <w:ind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spacing w:line="360" w:lineRule="auto"/>
        <w:ind w:firstLine="420" w:firstLineChars="200"/>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项目联系人：韩敏、</w:t>
      </w:r>
      <w:r>
        <w:rPr>
          <w:rFonts w:hint="eastAsia" w:ascii="宋体" w:hAnsi="宋体" w:cs="宋体"/>
          <w:color w:val="auto"/>
          <w:szCs w:val="21"/>
          <w:highlight w:val="none"/>
          <w:lang w:val="en-US" w:eastAsia="zh-CN"/>
        </w:rPr>
        <w:t>万阳</w:t>
      </w:r>
    </w:p>
    <w:p>
      <w:pPr>
        <w:spacing w:line="360" w:lineRule="auto"/>
        <w:ind w:firstLine="420" w:firstLineChars="200"/>
        <w:jc w:val="left"/>
        <w:outlineLvl w:val="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val="en-US" w:eastAsia="zh-CN"/>
        </w:rPr>
        <w:t>029-85213951</w:t>
      </w:r>
    </w:p>
    <w:p>
      <w:pPr>
        <w:spacing w:line="360" w:lineRule="auto"/>
        <w:ind w:firstLine="640" w:firstLineChars="200"/>
        <w:jc w:val="left"/>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br w:type="page"/>
      </w: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第二章 磋商须知及前附表</w:t>
      </w:r>
      <w:bookmarkEnd w:id="3"/>
    </w:p>
    <w:p>
      <w:pPr>
        <w:pStyle w:val="30"/>
        <w:outlineLvl w:val="1"/>
        <w:rPr>
          <w:rStyle w:val="33"/>
          <w:rFonts w:hint="eastAsia" w:ascii="宋体" w:hAnsi="宋体" w:eastAsia="宋体" w:cs="宋体"/>
          <w:bCs w:val="0"/>
          <w:color w:val="auto"/>
          <w:sz w:val="28"/>
          <w:szCs w:val="28"/>
          <w:highlight w:val="none"/>
        </w:rPr>
      </w:pPr>
      <w:bookmarkStart w:id="12" w:name="_Toc10845"/>
      <w:r>
        <w:rPr>
          <w:rStyle w:val="33"/>
          <w:rFonts w:hint="eastAsia" w:ascii="宋体" w:hAnsi="宋体" w:eastAsia="宋体" w:cs="宋体"/>
          <w:bCs w:val="0"/>
          <w:color w:val="auto"/>
          <w:sz w:val="28"/>
          <w:szCs w:val="28"/>
          <w:highlight w:val="none"/>
        </w:rPr>
        <w:t>磋商须知前附表</w:t>
      </w:r>
      <w:bookmarkEnd w:id="12"/>
    </w:p>
    <w:p>
      <w:pPr>
        <w:spacing w:line="360" w:lineRule="auto"/>
        <w:ind w:firstLine="220" w:firstLineChars="100"/>
        <w:rPr>
          <w:rStyle w:val="33"/>
          <w:rFonts w:hint="eastAsia" w:ascii="宋体" w:hAnsi="宋体" w:eastAsia="宋体" w:cs="宋体"/>
          <w:color w:val="auto"/>
          <w:sz w:val="22"/>
          <w:highlight w:val="none"/>
        </w:rPr>
      </w:pPr>
      <w:r>
        <w:rPr>
          <w:rStyle w:val="33"/>
          <w:rFonts w:hint="eastAsia" w:ascii="宋体" w:hAnsi="宋体" w:eastAsia="宋体" w:cs="宋体"/>
          <w:color w:val="auto"/>
          <w:sz w:val="22"/>
          <w:highlight w:val="none"/>
        </w:rPr>
        <w:t>（本表是对磋商须知的提示、补充和修改，如有矛盾，应以本表为准。）</w:t>
      </w:r>
    </w:p>
    <w:tbl>
      <w:tblPr>
        <w:tblStyle w:val="22"/>
        <w:tblW w:w="8872" w:type="dxa"/>
        <w:tblInd w:w="13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113" w:type="dxa"/>
          <w:bottom w:w="0" w:type="dxa"/>
          <w:right w:w="113" w:type="dxa"/>
        </w:tblCellMar>
      </w:tblPr>
      <w:tblGrid>
        <w:gridCol w:w="988"/>
        <w:gridCol w:w="2200"/>
        <w:gridCol w:w="56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blHeader/>
        </w:trPr>
        <w:tc>
          <w:tcPr>
            <w:tcW w:w="988" w:type="dxa"/>
            <w:tcBorders>
              <w:tl2br w:val="nil"/>
              <w:tr2bl w:val="nil"/>
            </w:tcBorders>
            <w:vAlign w:val="center"/>
          </w:tcPr>
          <w:p>
            <w:pPr>
              <w:spacing w:line="320" w:lineRule="exact"/>
              <w:jc w:val="center"/>
              <w:rPr>
                <w:rStyle w:val="33"/>
                <w:rFonts w:hint="eastAsia" w:ascii="宋体" w:hAnsi="宋体" w:eastAsia="宋体" w:cs="宋体"/>
                <w:b/>
                <w:color w:val="auto"/>
                <w:sz w:val="21"/>
                <w:szCs w:val="21"/>
                <w:highlight w:val="none"/>
              </w:rPr>
            </w:pPr>
            <w:r>
              <w:rPr>
                <w:rStyle w:val="33"/>
                <w:rFonts w:hint="eastAsia" w:ascii="宋体" w:hAnsi="宋体" w:eastAsia="宋体" w:cs="宋体"/>
                <w:b/>
                <w:color w:val="auto"/>
                <w:sz w:val="21"/>
                <w:szCs w:val="21"/>
                <w:highlight w:val="none"/>
              </w:rPr>
              <w:t>条款号</w:t>
            </w:r>
          </w:p>
        </w:tc>
        <w:tc>
          <w:tcPr>
            <w:tcW w:w="2200" w:type="dxa"/>
            <w:tcBorders>
              <w:tl2br w:val="nil"/>
              <w:tr2bl w:val="nil"/>
            </w:tcBorders>
            <w:vAlign w:val="center"/>
          </w:tcPr>
          <w:p>
            <w:pPr>
              <w:spacing w:line="320" w:lineRule="exact"/>
              <w:jc w:val="center"/>
              <w:rPr>
                <w:rStyle w:val="33"/>
                <w:rFonts w:hint="eastAsia" w:ascii="宋体" w:hAnsi="宋体" w:eastAsia="宋体" w:cs="宋体"/>
                <w:b/>
                <w:color w:val="auto"/>
                <w:sz w:val="21"/>
                <w:szCs w:val="21"/>
                <w:highlight w:val="none"/>
              </w:rPr>
            </w:pPr>
            <w:r>
              <w:rPr>
                <w:rStyle w:val="33"/>
                <w:rFonts w:hint="eastAsia" w:ascii="宋体" w:hAnsi="宋体" w:eastAsia="宋体" w:cs="宋体"/>
                <w:b/>
                <w:color w:val="auto"/>
                <w:sz w:val="21"/>
                <w:szCs w:val="21"/>
                <w:highlight w:val="none"/>
              </w:rPr>
              <w:t>条款内容提示</w:t>
            </w:r>
          </w:p>
        </w:tc>
        <w:tc>
          <w:tcPr>
            <w:tcW w:w="5684" w:type="dxa"/>
            <w:tcBorders>
              <w:tl2br w:val="nil"/>
              <w:tr2bl w:val="nil"/>
            </w:tcBorders>
            <w:vAlign w:val="center"/>
          </w:tcPr>
          <w:p>
            <w:pPr>
              <w:spacing w:line="320" w:lineRule="exact"/>
              <w:jc w:val="center"/>
              <w:rPr>
                <w:rStyle w:val="33"/>
                <w:rFonts w:hint="eastAsia" w:ascii="宋体" w:hAnsi="宋体" w:eastAsia="宋体" w:cs="宋体"/>
                <w:b/>
                <w:color w:val="auto"/>
                <w:sz w:val="21"/>
                <w:szCs w:val="21"/>
                <w:highlight w:val="none"/>
              </w:rPr>
            </w:pPr>
            <w:r>
              <w:rPr>
                <w:rStyle w:val="33"/>
                <w:rFonts w:hint="eastAsia" w:ascii="宋体" w:hAnsi="宋体" w:eastAsia="宋体" w:cs="宋体"/>
                <w:b/>
                <w:color w:val="auto"/>
                <w:sz w:val="21"/>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361"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1.1</w:t>
            </w:r>
          </w:p>
        </w:tc>
        <w:tc>
          <w:tcPr>
            <w:tcW w:w="2200" w:type="dxa"/>
            <w:tcBorders>
              <w:tl2br w:val="nil"/>
              <w:tr2bl w:val="nil"/>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w:t>
            </w:r>
          </w:p>
        </w:tc>
        <w:tc>
          <w:tcPr>
            <w:tcW w:w="5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bCs/>
                <w:color w:val="auto"/>
                <w:kern w:val="0"/>
                <w:szCs w:val="21"/>
                <w:highlight w:val="none"/>
              </w:rPr>
              <w:t>泾阳县职业教育中心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bCs/>
                <w:color w:val="auto"/>
                <w:kern w:val="0"/>
                <w:szCs w:val="21"/>
                <w:highlight w:val="none"/>
              </w:rPr>
              <w:t>西咸新区泾河新城泾干镇花李村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bCs/>
                <w:color w:val="auto"/>
                <w:kern w:val="0"/>
                <w:szCs w:val="21"/>
                <w:highlight w:val="none"/>
                <w:lang w:val="en-US" w:eastAsia="zh-CN"/>
              </w:rPr>
              <w:t>13689185996</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w:t>
            </w:r>
            <w:r>
              <w:rPr>
                <w:rFonts w:hint="eastAsia" w:ascii="宋体" w:hAnsi="宋体" w:eastAsia="宋体" w:cs="宋体"/>
                <w:bCs/>
                <w:color w:val="auto"/>
                <w:kern w:val="0"/>
                <w:szCs w:val="21"/>
                <w:highlight w:val="none"/>
              </w:rPr>
              <w:t>029-36518316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1.2</w:t>
            </w:r>
          </w:p>
        </w:tc>
        <w:tc>
          <w:tcPr>
            <w:tcW w:w="2200" w:type="dxa"/>
            <w:tcBorders>
              <w:tl2br w:val="nil"/>
              <w:tr2bl w:val="nil"/>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采购代理机构</w:t>
            </w:r>
          </w:p>
        </w:tc>
        <w:tc>
          <w:tcPr>
            <w:tcW w:w="5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名称：西北（陕西）国际招标有限公司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kern w:val="0"/>
                <w:szCs w:val="21"/>
                <w:highlight w:val="none"/>
              </w:rPr>
              <w:t>西安市南二环西段58号成长大厦10-14层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邮编：710000</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联系人：韩敏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万阳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电话：029</w:t>
            </w:r>
            <w:r>
              <w:rPr>
                <w:rFonts w:hint="eastAsia" w:ascii="宋体" w:hAnsi="宋体" w:cs="宋体"/>
                <w:color w:val="auto"/>
                <w:szCs w:val="21"/>
                <w:highlight w:val="none"/>
                <w:lang w:val="en-US" w:eastAsia="zh-CN"/>
              </w:rPr>
              <w:t>-85213951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邮箱：xbgjhm3@163.com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vMerge w:val="restart"/>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2.1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中华人民共和国法律、行政法规规定的其他条件；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vMerge w:val="continue"/>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本项目特定条件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供应商信用信息</w:t>
            </w:r>
          </w:p>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查询</w:t>
            </w:r>
          </w:p>
        </w:tc>
        <w:tc>
          <w:tcPr>
            <w:tcW w:w="5684" w:type="dxa"/>
            <w:tcBorders>
              <w:tl2br w:val="nil"/>
              <w:tr2bl w:val="nil"/>
            </w:tcBorders>
            <w:vAlign w:val="center"/>
          </w:tcPr>
          <w:p>
            <w:pPr>
              <w:widowControl w:val="0"/>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信用中国”网站（www.creditchina.gov.cn）和“中国政府采购网”（www.ccgp.gov.cn）对供应商信用信息进行查询，如果供应商被查实在磋商截止时间前已列入失信被执行人（页面跳转至“中国执行信息公开网”http://zxgk.court.gov.cn/shixin/）、重大税收违法失信主体、政府采购严重违法失信行为记录名单，其磋商响应为无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3289"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7.2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供应商提出询问</w:t>
            </w:r>
          </w:p>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和质疑的时间</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已经购买磋商文件的供应商对磋商文件有质疑的，可以在本项目磋商文件公告期限届满之日起七个工作日内，对同一采购程序环节以书面形式向采购代理机构一次性提出，在此之后提出的询问和质疑均为无效，采购代理机构不予受理。</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2）接收质疑函的方式：书面形式格式：见“中国政府采购网（www.ccgp.gov.cn）下载专区”</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3）联系部门：西北（陕西）国际招标有限公司综合监督处；</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4）联系电话：029-85362812</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5）通讯地址：西安市南二环西段58号成长大厦12楼1203室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7.3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采购代理机构答疑的时间</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对于在规定时间内收到的供应商依法提出的询问或者质疑，采购代理机构将按程序及时作出答复，若对磋商文件做出实质性变动，则按照相关规定延长磋商响应截止时间。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803"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7.4</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质疑内容要求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供应商提出质疑应当提交质疑函和必要的证明材料，代理机构不接受传真、电子邮件、复印件等形式的质疑材料。</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质疑函应当包括下列内容：</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（一）供应商的姓名或者名称、地址、邮编、联系人及联系电话；</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（二）质疑项目的名称、编号；</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（三）具体、明确的质疑事项和与质疑事项相关的请求；</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（四）事实依据；</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（五）必要的法律依据；</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（六）提出质疑的日期。</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供应商为自然人的，应当由本人签字；供应商为法人或者其他组织的，应当由法定代表人、主要负责人，或者其授权代表（附法人代表授权书）签字或者盖章（鲜章），并加盖公章（鲜章）。</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质疑函格式应符合“政府采购供应商质疑函范本”要求，详见“中国政府采购网（www.ccgp.gov.cn）”下载专区。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455"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12.1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rPr>
              <w:t>报价要求：</w:t>
            </w:r>
            <w:r>
              <w:rPr>
                <w:rFonts w:hint="eastAsia" w:ascii="宋体" w:hAnsi="宋体" w:cs="宋体"/>
                <w:b w:val="0"/>
                <w:bCs w:val="0"/>
                <w:color w:val="auto"/>
                <w:kern w:val="0"/>
                <w:szCs w:val="21"/>
                <w:highlight w:val="none"/>
                <w:lang w:val="en-US" w:eastAsia="zh-CN"/>
              </w:rPr>
              <w:t>固定</w:t>
            </w:r>
            <w:r>
              <w:rPr>
                <w:rFonts w:hint="eastAsia" w:ascii="宋体" w:hAnsi="宋体" w:eastAsia="宋体" w:cs="宋体"/>
                <w:b w:val="0"/>
                <w:bCs w:val="0"/>
                <w:color w:val="auto"/>
                <w:kern w:val="0"/>
                <w:szCs w:val="21"/>
                <w:highlight w:val="none"/>
                <w:lang w:val="en-US" w:eastAsia="zh-CN"/>
              </w:rPr>
              <w:t>总价</w:t>
            </w: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w:t>
            </w:r>
            <w:r>
              <w:rPr>
                <w:rFonts w:hint="eastAsia" w:ascii="宋体" w:hAnsi="宋体" w:cs="宋体"/>
                <w:b w:val="0"/>
                <w:bCs w:val="0"/>
                <w:color w:val="auto"/>
                <w:kern w:val="0"/>
                <w:szCs w:val="21"/>
                <w:highlight w:val="none"/>
              </w:rPr>
              <w:t>报价应包含但不限于采购产品的制造、运输、安装、调试、验收检测、</w:t>
            </w:r>
            <w:r>
              <w:rPr>
                <w:rFonts w:hint="eastAsia" w:ascii="宋体" w:hAnsi="宋体" w:cs="宋体"/>
                <w:b w:val="0"/>
                <w:bCs w:val="0"/>
                <w:color w:val="auto"/>
                <w:kern w:val="0"/>
                <w:szCs w:val="21"/>
                <w:highlight w:val="none"/>
                <w:lang w:val="en-US" w:eastAsia="zh-CN"/>
              </w:rPr>
              <w:t>指导</w:t>
            </w:r>
            <w:r>
              <w:rPr>
                <w:rFonts w:hint="eastAsia" w:ascii="宋体" w:hAnsi="宋体" w:cs="宋体"/>
                <w:b w:val="0"/>
                <w:bCs w:val="0"/>
                <w:color w:val="auto"/>
                <w:kern w:val="0"/>
                <w:szCs w:val="21"/>
                <w:highlight w:val="none"/>
              </w:rPr>
              <w:t>培训、质保维护、</w:t>
            </w:r>
            <w:r>
              <w:rPr>
                <w:rFonts w:hint="eastAsia" w:ascii="宋体" w:hAnsi="宋体" w:eastAsia="宋体" w:cs="宋体"/>
                <w:b w:val="0"/>
                <w:bCs w:val="0"/>
                <w:color w:val="auto"/>
                <w:sz w:val="21"/>
                <w:szCs w:val="21"/>
                <w:highlight w:val="none"/>
                <w:lang w:val="en-IE" w:eastAsia="zh-CN"/>
              </w:rPr>
              <w:t>新媒体内容编辑教学资源库平台</w:t>
            </w:r>
            <w:r>
              <w:rPr>
                <w:rFonts w:hint="eastAsia" w:ascii="宋体" w:hAnsi="宋体" w:cs="宋体"/>
                <w:b w:val="0"/>
                <w:bCs w:val="0"/>
                <w:color w:val="auto"/>
                <w:sz w:val="21"/>
                <w:szCs w:val="21"/>
                <w:highlight w:val="none"/>
                <w:lang w:val="en-IE" w:eastAsia="zh-CN"/>
              </w:rPr>
              <w:t>、</w:t>
            </w:r>
            <w:r>
              <w:rPr>
                <w:rFonts w:hint="eastAsia" w:ascii="宋体" w:hAnsi="宋体" w:eastAsia="宋体" w:cs="宋体"/>
                <w:b w:val="0"/>
                <w:bCs w:val="0"/>
                <w:color w:val="auto"/>
                <w:sz w:val="21"/>
                <w:szCs w:val="21"/>
                <w:highlight w:val="none"/>
                <w:lang w:val="en-IE" w:eastAsia="zh-CN"/>
              </w:rPr>
              <w:t>新媒体教学资源</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sz w:val="21"/>
                <w:szCs w:val="21"/>
                <w:highlight w:val="none"/>
                <w:lang w:val="en-IE" w:eastAsia="zh-CN"/>
              </w:rPr>
              <w:t>新媒体内容编辑实训系统</w:t>
            </w:r>
            <w:r>
              <w:rPr>
                <w:rFonts w:hint="eastAsia" w:ascii="宋体" w:hAnsi="宋体" w:cs="宋体"/>
                <w:b w:val="0"/>
                <w:bCs w:val="0"/>
                <w:color w:val="auto"/>
                <w:sz w:val="21"/>
                <w:szCs w:val="21"/>
                <w:highlight w:val="none"/>
                <w:lang w:val="en-IE" w:eastAsia="zh-CN"/>
              </w:rPr>
              <w:t>、</w:t>
            </w:r>
            <w:r>
              <w:rPr>
                <w:rFonts w:hint="eastAsia" w:ascii="宋体" w:hAnsi="宋体" w:cs="宋体"/>
                <w:b w:val="0"/>
                <w:bCs w:val="0"/>
                <w:color w:val="auto"/>
                <w:kern w:val="0"/>
                <w:szCs w:val="21"/>
                <w:highlight w:val="none"/>
                <w:lang w:val="en-US" w:eastAsia="zh-CN"/>
              </w:rPr>
              <w:t>售后服务、</w:t>
            </w:r>
            <w:r>
              <w:rPr>
                <w:rFonts w:hint="eastAsia" w:ascii="宋体" w:hAnsi="宋体" w:cs="宋体"/>
                <w:b w:val="0"/>
                <w:bCs w:val="0"/>
                <w:color w:val="auto"/>
                <w:kern w:val="0"/>
                <w:szCs w:val="21"/>
                <w:highlight w:val="none"/>
              </w:rPr>
              <w:t>税费等完成本项目并达到采购人可正常使用的一切费用；</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2）供应商必须对所响应项目进行完整报价，采购人不接受（将拒绝）只对部分内容进行报价的响应。</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Cs w:val="21"/>
                <w:highlight w:val="none"/>
              </w:rPr>
            </w:pPr>
            <w:r>
              <w:rPr>
                <w:rFonts w:hint="eastAsia" w:ascii="宋体" w:hAnsi="宋体" w:eastAsia="宋体" w:cs="宋体"/>
                <w:b w:val="0"/>
                <w:bCs w:val="0"/>
                <w:color w:val="auto"/>
                <w:kern w:val="0"/>
                <w:szCs w:val="21"/>
                <w:highlight w:val="none"/>
              </w:rPr>
              <w:t>3）明显不合理或者低于成本且无法合理解释的报价将被否决。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985"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13.1</w:t>
            </w:r>
          </w:p>
        </w:tc>
        <w:tc>
          <w:tcPr>
            <w:tcW w:w="2200" w:type="dxa"/>
            <w:tcBorders>
              <w:tl2br w:val="nil"/>
              <w:tr2bl w:val="nil"/>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资格证明文件</w:t>
            </w:r>
          </w:p>
        </w:tc>
        <w:tc>
          <w:tcPr>
            <w:tcW w:w="56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提供注册登记凭证（营业执照、其他组织经营的合法凭证，自然人的提供身份证明文件）。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年或202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年经审计的财务报告（包括四表一注，即资产负债表、利润表、现金流量表、所有者权益变动表及其附注）；事业法人提供部门决算报告；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/或在磋商日期前六个月内其基本开户银行出具的资信证明（附《基本存款账户信息》或《银行开户许可证》复印件）；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/或财政部门认可的政府采购专业担保机构出具的磋商担保函；</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/或表明具有良好的商业信誉和健全的财务会计制度的诚信声明；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以上四种形式的资料提供任何一种即可。</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提供声明文件原件。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4）具有依法缴纳税收的良好记录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提供缴费所属日期为磋商截止时间前12个月内任一月份（磋商截止时间当月不计入）的增值税（或</w:t>
            </w:r>
            <w:r>
              <w:rPr>
                <w:rFonts w:hint="eastAsia" w:ascii="宋体" w:hAnsi="宋体" w:cs="宋体"/>
                <w:color w:val="auto"/>
                <w:sz w:val="21"/>
                <w:szCs w:val="21"/>
                <w:highlight w:val="none"/>
                <w:lang w:val="en-US" w:eastAsia="zh-CN"/>
              </w:rPr>
              <w:t>其他税种</w:t>
            </w:r>
            <w:r>
              <w:rPr>
                <w:rFonts w:hint="eastAsia" w:ascii="宋体" w:hAnsi="宋体" w:eastAsia="宋体" w:cs="宋体"/>
                <w:color w:val="auto"/>
                <w:sz w:val="21"/>
                <w:szCs w:val="21"/>
                <w:highlight w:val="none"/>
              </w:rPr>
              <w:t>）缴费凭据或税务机关出具的完税证明/在法规范围内不需提供的应出具书面说明和证明文件；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/或具有依法缴纳税收的诚信声明；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以上二种形式的资料提供任何一种即可。</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5）具有依法缴纳社会保障资金的良好记录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提供缴费所属日期为磋商截止时间前12个月内任一月份（磋商截止时间当月不计入）的缴费凭据或社保机关出具的缴费证明/在法规范围内不需提供的应出具书面说明和证明文件；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/或具有依法缴纳社会保障资金的缴纳记录的诚信声明；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以上二种形式的资料提供任何一种即可。</w:t>
            </w:r>
          </w:p>
          <w:p>
            <w:pPr>
              <w:keepNext w:val="0"/>
              <w:keepLines w:val="0"/>
              <w:pageBreakBefore w:val="0"/>
              <w:widowControl w:val="0"/>
              <w:kinsoku/>
              <w:wordWrap/>
              <w:overflowPunct/>
              <w:topLinePunct w:val="0"/>
              <w:autoSpaceDE/>
              <w:autoSpaceDN/>
              <w:bidi w:val="0"/>
              <w:adjustRightInd/>
              <w:snapToGrid/>
              <w:spacing w:before="167" w:beforeLines="50" w:line="360" w:lineRule="auto"/>
              <w:jc w:val="left"/>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6）参加政府采购活动前3年内在经营活动中没有重大违法记录的书面声明（原件）</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7）法人代表授权书（原件）</w:t>
            </w:r>
            <w:r>
              <w:rPr>
                <w:rFonts w:hint="eastAsia" w:ascii="宋体" w:hAnsi="宋体" w:cs="宋体"/>
                <w:b/>
                <w:bCs/>
                <w:color w:val="auto"/>
                <w:kern w:val="0"/>
                <w:szCs w:val="21"/>
                <w:highlight w:val="none"/>
                <w:lang w:eastAsia="zh-CN"/>
              </w:rPr>
              <w:t>；</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注：①以上资格证明文件供应商必须完全提供，一项不合格即按照无效响应处理，注明原件的须胶装在响应文件正本中；②除注明原件外，均为复印件；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13.2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其他证明文件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13.3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要求单独密封并与磋商响应文件一并提交的证明文件原件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422"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14.2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本次采购特别要求的服务合格性证明文件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15</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是否要求磋商保证金</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16.1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磋商报价有效期</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磋商后90天。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17.1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磋商响应文件份数</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正本一份，副本二份，电子版一份。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17.2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电子版文件要求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有，要求如下：</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1）供应商须另行提供与纸质响应文件正本一致的PDF格式U盘，且盖章、签字处必须扫描并清晰可辨；</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2）供应商须保证响应文件纸质文件与电子文档保持一致；</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3）电子文档表面需标明项目编号、供应商名称等信息。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17.3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法人代表授权书签字盖章要求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所有要求法定代表人（单位负责人）签名处，均须由签名者本人用不褪色的蓝（黑）色墨水（汁）书写全名，也可以盖刻有法定代表人（单位负责人）姓名的图章代替。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17.6</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印章</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磋商文件规定盖公章处，可加盖经公章授权的单位其他印章（附公章授权书原件，格式自拟）。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418"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18.1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磋商响应文件装订及包装密封要求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1）磋商响应文件正、副本应分别装订成册，装订应牢固、不易拆散和换页，不得采用活页装订。</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2）密封包装方式：</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①资格部分磋商响应文件正、副本一包密封。</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②技术和商务部分磋商响应文件正、副本一包密封。</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③电子版单独密封递交。</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3）外层包装请按以下要求标记：</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①供应商的全称；</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②磋商项目名称、项目编号、“资格部分”或“技术和商务部分”或“电子版”；</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③正本或副本及“请勿在＿＿＿＿＿(磋商时间)之前启封”。</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4）为支持国家环保政策，建议磋商报价人双面装订响应文件。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380"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19.1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磋商响应文件递交的截止时间和磋商地点</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响应文件递交地址：西安市南二环西段58号成长大厦10层会议室；</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时30分；</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响应文件接收人：西北（陕西）国际招标有限公司。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22.1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磋商时间和地点</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磋商时间：同响应文件递交截止时间；</w:t>
            </w:r>
          </w:p>
          <w:p>
            <w:pPr>
              <w:widowControl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磋商地点：同响应文件递交</w:t>
            </w:r>
            <w:r>
              <w:rPr>
                <w:rFonts w:hint="eastAsia" w:ascii="宋体" w:hAnsi="宋体" w:eastAsia="宋体" w:cs="宋体"/>
                <w:color w:val="auto"/>
                <w:szCs w:val="21"/>
                <w:highlight w:val="none"/>
                <w:lang w:val="en-US" w:eastAsia="zh-CN"/>
              </w:rPr>
              <w:t>地点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909"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22.2</w:t>
            </w:r>
          </w:p>
        </w:tc>
        <w:tc>
          <w:tcPr>
            <w:tcW w:w="2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磋商报价次数、磋商程序和最终报价的产生原则</w:t>
            </w:r>
          </w:p>
        </w:tc>
        <w:tc>
          <w:tcPr>
            <w:tcW w:w="56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本次磋商采用二次报价。</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磋商程序为：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1）对所有提交的响应文件进行评审；</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2）磋商小组所有成员集中与单一供应商分别进行磋商；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3）供应商按照要求自行保密提交二次报价；</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4）磋商小组评审、推荐成交候选人。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在磋商过程中，磋商小组可以根据磋商文件和磋商情况实质性变动采购需求中的技术、服务要求以及合同草案条款，二次报价为最终报价。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24.1</w:t>
            </w:r>
          </w:p>
        </w:tc>
        <w:tc>
          <w:tcPr>
            <w:tcW w:w="2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成交候选人数量</w:t>
            </w:r>
          </w:p>
        </w:tc>
        <w:tc>
          <w:tcPr>
            <w:tcW w:w="56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29.2</w:t>
            </w:r>
          </w:p>
        </w:tc>
        <w:tc>
          <w:tcPr>
            <w:tcW w:w="2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56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确定成交人后3日内，由成交人向采购代理机构一次付清采购代理服务费</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rPr>
              <w:t>采购代理服务费的金额以</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金额为基数参照原《国家计委关于印发&lt;招标代理服务收费管理暂行办法&gt;的通知》（计价格【2002】1980号）执行。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w:t>
            </w:r>
          </w:p>
        </w:tc>
        <w:tc>
          <w:tcPr>
            <w:tcW w:w="2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政府采购政策功能</w:t>
            </w:r>
          </w:p>
        </w:tc>
        <w:tc>
          <w:tcPr>
            <w:tcW w:w="56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029-68936409、68936341、69936154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2）对于供应商符合政府采购政策关于小微企业、残疾人福利性单位及监狱企业等规定的，在评标时给予相应的价格折扣，具体办法详见第五章“评审方法”。</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bCs/>
          <w:color w:val="auto"/>
          <w:sz w:val="21"/>
          <w:szCs w:val="21"/>
          <w:highlight w:val="none"/>
        </w:rPr>
      </w:pPr>
      <w:r>
        <w:rPr>
          <w:rStyle w:val="33"/>
          <w:rFonts w:hint="eastAsia" w:ascii="宋体" w:hAnsi="宋体" w:eastAsia="宋体" w:cs="宋体"/>
          <w:bCs/>
          <w:color w:val="auto"/>
          <w:kern w:val="0"/>
          <w:highlight w:val="none"/>
        </w:rPr>
        <w:br w:type="page"/>
      </w:r>
      <w:r>
        <w:rPr>
          <w:rFonts w:hint="eastAsia" w:ascii="宋体" w:hAnsi="宋体" w:eastAsia="宋体" w:cs="宋体"/>
          <w:b/>
          <w:bCs/>
          <w:color w:val="auto"/>
          <w:sz w:val="21"/>
          <w:szCs w:val="21"/>
          <w:highlight w:val="none"/>
        </w:rPr>
        <w:t>附件1：</w:t>
      </w:r>
    </w:p>
    <w:p>
      <w:pPr>
        <w:pStyle w:val="3"/>
        <w:keepNext w:val="0"/>
        <w:spacing w:line="750" w:lineRule="atLeast"/>
        <w:ind w:firstLine="241" w:firstLineChars="100"/>
        <w:rPr>
          <w:rFonts w:hint="eastAsia" w:ascii="宋体" w:hAnsi="宋体" w:eastAsia="宋体" w:cs="宋体"/>
          <w:color w:val="auto"/>
          <w:sz w:val="39"/>
          <w:szCs w:val="39"/>
          <w:highlight w:val="none"/>
        </w:rPr>
      </w:pPr>
      <w:r>
        <w:rPr>
          <w:rFonts w:hint="eastAsia" w:ascii="宋体" w:hAnsi="宋体" w:eastAsia="宋体" w:cs="宋体"/>
          <w:bCs/>
          <w:color w:val="auto"/>
          <w:sz w:val="24"/>
          <w:szCs w:val="24"/>
          <w:highlight w:val="none"/>
        </w:rPr>
        <w:t>陕西省财政厅关于印发《陕西省中小企业政府采购信用融资办法》</w:t>
      </w:r>
    </w:p>
    <w:p>
      <w:pPr>
        <w:pStyle w:val="20"/>
        <w:keepNext w:val="0"/>
        <w:keepLines w:val="0"/>
        <w:pageBreakBefore w:val="0"/>
        <w:widowControl/>
        <w:kinsoku/>
        <w:wordWrap/>
        <w:overflowPunct/>
        <w:topLinePunct w:val="0"/>
        <w:autoSpaceDE/>
        <w:autoSpaceDN/>
        <w:bidi w:val="0"/>
        <w:adjustRightInd/>
        <w:snapToGrid/>
        <w:spacing w:before="167" w:beforeLines="50" w:beforeAutospacing="0" w:after="167" w:afterLines="5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陕财办采〔2018〕23号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各设区市、西咸新区、韩城市财政局，省级各部门、单位，各有关金融机构、有关企业：</w:t>
      </w:r>
    </w:p>
    <w:p>
      <w:pPr>
        <w:pStyle w:val="20"/>
        <w:keepNext w:val="0"/>
        <w:keepLines w:val="0"/>
        <w:pageBreakBefore w:val="0"/>
        <w:widowControl/>
        <w:kinsoku/>
        <w:wordWrap/>
        <w:overflowPunct/>
        <w:topLinePunct w:val="0"/>
        <w:autoSpaceDE/>
        <w:autoSpaceDN/>
        <w:bidi w:val="0"/>
        <w:adjustRightInd/>
        <w:snapToGrid/>
        <w:spacing w:before="167" w:beforeLines="50" w:beforeAutospacing="0" w:after="0" w:afterAutospacing="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pPr>
        <w:pStyle w:val="20"/>
        <w:spacing w:before="0" w:beforeAutospacing="0" w:after="0" w:afterAutospacing="0"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陕西省财政厅</w:t>
      </w:r>
    </w:p>
    <w:p>
      <w:pPr>
        <w:pStyle w:val="20"/>
        <w:spacing w:before="0" w:beforeAutospacing="0" w:after="0" w:afterAutospacing="0"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2018年10月8日</w:t>
      </w:r>
    </w:p>
    <w:p>
      <w:pPr>
        <w:keepNext w:val="0"/>
        <w:keepLines w:val="0"/>
        <w:pageBreakBefore w:val="0"/>
        <w:widowControl/>
        <w:kinsoku/>
        <w:wordWrap/>
        <w:overflowPunct/>
        <w:topLinePunct w:val="0"/>
        <w:autoSpaceDE/>
        <w:autoSpaceDN/>
        <w:bidi w:val="0"/>
        <w:adjustRightInd/>
        <w:snapToGrid/>
        <w:spacing w:before="665" w:beforeLines="200" w:after="333" w:afterLines="100"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陕西省中小企业政府采购信用融资办法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本办法所称“中小企业”包括中型、小型及微型企业，其划型标准按照《关于印发中小企业划型标准规定的通知》（工信部联企业〔2011〕300号）规定执行。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开展政府采购信用融资的银行，应当为在陕西省境内注册或设立分支机构，并经财政部门审核且在我省政府采购信息系统搭建服务链接窗口的金融机构。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政府采购信用融资应当坚持“财政引导，市场运行，银企自愿，互惠共赢”的原则。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第六条 省财政厅以全省统一的电子化政府采购系统为平台，对接银行信息化系统，推进政府采购中标成交信息、合同信息、融资信息、支付信息和信用信息等信息资源共享。</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第七条 各级财政部门应当以政府采购诚信考核和信息化建设为基础，积极为中小企业信用融资搭建平台，提供银企对接的机会和相关的服务支持，但不得为相关贷款项目提供任何形式的担保。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第八条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第十二条 银行应按规定对申请信用融资的供应商的政府采购合同信息进行审查，必要时可通过陕西政府采购网对该政府采购合同进行审核，以确保政府采购合同的真实性和有效性。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第十五条 省本级政府采购资金支付时，各采购单位必须将采购资金支付到备案合同中指定的融资银行及收款账号，以保障贷款资金的安全回收。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第十六条 各市县操作程序由各地结合本地实际自行拟定，但应当体现“便捷高效、监管有效、风险可控”的原则。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第十八条 本办法由陕西省财政厅负责解释。</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Style w:val="33"/>
          <w:rFonts w:hint="eastAsia" w:ascii="宋体" w:hAnsi="宋体" w:eastAsia="宋体" w:cs="宋体"/>
          <w:b/>
          <w:bCs/>
          <w:color w:val="auto"/>
          <w:kern w:val="0"/>
          <w:highlight w:val="none"/>
        </w:rPr>
      </w:pPr>
      <w:r>
        <w:rPr>
          <w:rFonts w:hint="eastAsia" w:ascii="宋体" w:hAnsi="宋体" w:eastAsia="宋体" w:cs="宋体"/>
          <w:color w:val="auto"/>
          <w:kern w:val="0"/>
          <w:szCs w:val="21"/>
          <w:highlight w:val="none"/>
          <w:lang w:bidi="ar"/>
        </w:rPr>
        <w:t>第十九条 本办法自2018年11月1日起施行。</w:t>
      </w:r>
      <w:r>
        <w:rPr>
          <w:rStyle w:val="33"/>
          <w:rFonts w:hint="eastAsia" w:ascii="宋体" w:hAnsi="宋体" w:eastAsia="宋体" w:cs="宋体"/>
          <w:b/>
          <w:bCs/>
          <w:color w:val="auto"/>
          <w:kern w:val="0"/>
          <w:highlight w:val="none"/>
        </w:rPr>
        <w:br w:type="page"/>
      </w:r>
    </w:p>
    <w:p>
      <w:pPr>
        <w:pStyle w:val="30"/>
        <w:keepNext/>
        <w:keepLines/>
        <w:pageBreakBefore w:val="0"/>
        <w:widowControl/>
        <w:kinsoku/>
        <w:wordWrap/>
        <w:overflowPunct/>
        <w:topLinePunct w:val="0"/>
        <w:autoSpaceDE/>
        <w:autoSpaceDN/>
        <w:bidi w:val="0"/>
        <w:adjustRightInd/>
        <w:snapToGrid/>
        <w:spacing w:before="313" w:beforeLines="100" w:after="313" w:afterLines="100"/>
        <w:textAlignment w:val="baseline"/>
        <w:outlineLvl w:val="1"/>
        <w:rPr>
          <w:rStyle w:val="33"/>
          <w:rFonts w:hint="eastAsia" w:ascii="宋体" w:hAnsi="宋体" w:eastAsia="宋体" w:cs="宋体"/>
          <w:bCs w:val="0"/>
          <w:color w:val="auto"/>
          <w:sz w:val="32"/>
          <w:szCs w:val="32"/>
          <w:highlight w:val="none"/>
        </w:rPr>
      </w:pPr>
      <w:bookmarkStart w:id="13" w:name="_Toc82791964"/>
      <w:bookmarkStart w:id="14" w:name="_Toc24924"/>
      <w:r>
        <w:rPr>
          <w:rStyle w:val="33"/>
          <w:rFonts w:hint="eastAsia" w:ascii="宋体" w:hAnsi="宋体" w:eastAsia="宋体" w:cs="宋体"/>
          <w:bCs w:val="0"/>
          <w:color w:val="auto"/>
          <w:sz w:val="32"/>
          <w:szCs w:val="32"/>
          <w:highlight w:val="none"/>
        </w:rPr>
        <w:t>磋商须知</w:t>
      </w:r>
      <w:bookmarkEnd w:id="13"/>
      <w:bookmarkEnd w:id="14"/>
    </w:p>
    <w:p>
      <w:pPr>
        <w:pStyle w:val="30"/>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3"/>
          <w:rFonts w:hint="eastAsia" w:ascii="宋体" w:hAnsi="宋体" w:eastAsia="宋体" w:cs="宋体"/>
          <w:color w:val="auto"/>
          <w:highlight w:val="none"/>
        </w:rPr>
      </w:pPr>
      <w:bookmarkStart w:id="15" w:name="_Toc1706"/>
      <w:r>
        <w:rPr>
          <w:rStyle w:val="33"/>
          <w:rFonts w:hint="eastAsia" w:ascii="宋体" w:hAnsi="宋体" w:eastAsia="宋体" w:cs="宋体"/>
          <w:color w:val="auto"/>
          <w:highlight w:val="none"/>
        </w:rPr>
        <w:t>一、总则</w:t>
      </w:r>
      <w:bookmarkEnd w:id="15"/>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1.采购人和资金来源</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1.1采购人名称、地址见前附表。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1.2本次磋商采购所签订合同将使用财政性资金支付，资金已落实到位。</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2.采购代理机构及合格的供应商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采购代理机构</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组织本次磋商的采购代理机构为西北（陕西）国际招标有限公司。西北（陕西）国际招标有限公司具有中华人民共和国财政部授予的中华人民共和国政府采购代理机构甲级资格，在陕西省政府采购网登记备案。</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2.2合格的供应商：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2.2.1具备下列条件，方为合格的供应商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1）具有独立承担民事责任的能力；</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4）有依法缴纳税收和社会保障资金的良好纪录；</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5）参加政府采购活动前三年内，在经营活动中没有重大违法纪录；</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6）中华人民共和国法律、行政法规规定的其他条件（见人须知前附表）；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7）根据本次采购项目的特殊要求，规定的供应商特定条件（见人须知前附表）。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参加本次磋商的供应商不得直接或间接地与采购单位（包括西北（陕西）国际招标有限公司、采购人及用户）有任何关联，亦不得是采购单位的附属机构。如果供应商在磋商中隐瞒了上述关系，其磋商响应文件按照无效处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2.2.3单位负责人为同一人或者存在直接控股、管理关系的不同供应商，不得参加本项目同一合同项下的磋商。如果供应商在磋商中隐瞒了上述关系，其磋商响应文件按照无效处理。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2.2.4为本采购项目提供整体设计、规范编制或者项目管理、监理、检测等服务的供应商，不得再参加本采购项目的磋商报价</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如果供应商在磋商中隐瞒了上述事实，其磋商响应文件按照无效处理。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如果在磋商文件中接受联合体报价（见磋商须知前附表），则两个以上供应商可以组成一个磋商联合体，以一个供应商的身份磋商报价。以联合体形式参加磋商报价的，联合体各方均应当符合政府采购法第二十二条第一款规定的条件。采购人根据采购项目的特殊要求规定供应商特定条件的，联合体各方中至少应当有一方符合采购人规定的特定条件。联合体各方之间应当签订共同磋商报价协议，明确约定联合体各方承担的工作和相应的责任，并将共同磋商报价协议附在磋商响应文件中一并提交。联合体各方签订共同磋商报价协议后，不得再以自己名义单独在同一项目中进行磋商报价，也不得组成新的联合体参加同一项目磋商报价。</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2.2.6供应商必须在西北（陕西）国际招标有限公司</w:t>
      </w:r>
      <w:r>
        <w:rPr>
          <w:rFonts w:hint="eastAsia" w:ascii="宋体" w:hAnsi="宋体" w:eastAsia="宋体" w:cs="宋体"/>
          <w:color w:val="auto"/>
          <w:sz w:val="21"/>
          <w:szCs w:val="21"/>
          <w:highlight w:val="none"/>
          <w:lang w:val="en-US" w:eastAsia="zh-CN"/>
        </w:rPr>
        <w:t>依</w:t>
      </w:r>
      <w:r>
        <w:rPr>
          <w:rFonts w:hint="eastAsia" w:ascii="宋体" w:hAnsi="宋体" w:eastAsia="宋体" w:cs="宋体"/>
          <w:color w:val="auto"/>
          <w:sz w:val="21"/>
          <w:szCs w:val="21"/>
          <w:highlight w:val="none"/>
        </w:rPr>
        <w:t>法获取磋商文件，方可参加磋商。磋商文件售后不退。</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2.2.7磋商费用自理。不论磋商的结果如何，供应商均应自行承担所有与参加磋商有关的费用。</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color w:val="auto"/>
          <w:sz w:val="21"/>
          <w:szCs w:val="21"/>
          <w:highlight w:val="none"/>
        </w:rPr>
      </w:pPr>
      <w:bookmarkStart w:id="16" w:name="_Hlk36458457"/>
      <w:r>
        <w:rPr>
          <w:rFonts w:hint="eastAsia" w:ascii="宋体" w:hAnsi="宋体" w:eastAsia="宋体" w:cs="宋体"/>
          <w:b/>
          <w:color w:val="auto"/>
          <w:sz w:val="21"/>
          <w:szCs w:val="21"/>
          <w:highlight w:val="none"/>
        </w:rPr>
        <w:t>2.2.8.供应商信用记录查询及使用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b/>
          <w:color w:val="auto"/>
          <w:sz w:val="21"/>
          <w:szCs w:val="21"/>
          <w:highlight w:val="none"/>
        </w:rPr>
      </w:pPr>
      <w:bookmarkStart w:id="17" w:name="_Hlk36454126"/>
      <w:r>
        <w:rPr>
          <w:rFonts w:hint="eastAsia" w:ascii="宋体" w:hAnsi="宋体" w:eastAsia="宋体" w:cs="宋体"/>
          <w:color w:val="auto"/>
          <w:kern w:val="0"/>
          <w:sz w:val="21"/>
          <w:szCs w:val="21"/>
          <w:highlight w:val="none"/>
        </w:rPr>
        <w:t>“信用中国”网站（www.creditchina.gov.cn）和“中国政府采购网”（ccgp.gov.cn）为供应商信用信息查询渠道，如果供应商被查实在截止时间列入失信被执行人、</w:t>
      </w:r>
      <w:r>
        <w:rPr>
          <w:rFonts w:hint="eastAsia" w:ascii="宋体" w:hAnsi="宋体" w:eastAsia="宋体" w:cs="宋体"/>
          <w:color w:val="auto"/>
          <w:kern w:val="0"/>
          <w:szCs w:val="21"/>
          <w:highlight w:val="none"/>
        </w:rPr>
        <w:t>重大税收违法失信主体</w:t>
      </w:r>
      <w:r>
        <w:rPr>
          <w:rFonts w:hint="eastAsia" w:ascii="宋体" w:hAnsi="宋体" w:eastAsia="宋体" w:cs="宋体"/>
          <w:color w:val="auto"/>
          <w:kern w:val="0"/>
          <w:sz w:val="21"/>
          <w:szCs w:val="21"/>
          <w:highlight w:val="none"/>
        </w:rPr>
        <w:t>、政府采购严重违法失信行为记录名单，其响应为无效。采购代理机构将打印查询记录作为证据留存。</w:t>
      </w:r>
      <w:bookmarkEnd w:id="16"/>
    </w:p>
    <w:bookmarkEnd w:id="17"/>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3.提供货物的合格性和合法性</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3.1供应商提供的货物应满足磋商文件的要求，并应符合国家法律法规、行业管理部门所要求的其他强制性标准。</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4.磋商响应文件内容的真实性</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供应商应保证其磋商响应文件中所提供的所有有关磋商的资料、信息是真实的，并且来源于合法的渠道。因磋商响应文件中所提供的有关磋商和报价的资料、信息不真实，或者其来源不合法而导致的所有法律责任，由供应商自行承担。</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5.磋商过程的监督和管理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Style w:val="33"/>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5.1同级人民政府财政部门及有关部门依法履行对磋商过程的监督管理职责。</w:t>
      </w:r>
    </w:p>
    <w:p>
      <w:pPr>
        <w:pStyle w:val="30"/>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3"/>
          <w:rFonts w:hint="eastAsia" w:ascii="宋体" w:hAnsi="宋体" w:eastAsia="宋体" w:cs="宋体"/>
          <w:color w:val="auto"/>
          <w:highlight w:val="none"/>
        </w:rPr>
      </w:pPr>
      <w:bookmarkStart w:id="18" w:name="_Toc11313"/>
      <w:r>
        <w:rPr>
          <w:rStyle w:val="33"/>
          <w:rFonts w:hint="eastAsia" w:ascii="宋体" w:hAnsi="宋体" w:eastAsia="宋体" w:cs="宋体"/>
          <w:color w:val="auto"/>
          <w:highlight w:val="none"/>
        </w:rPr>
        <w:t>二、磋商文件</w:t>
      </w:r>
      <w:bookmarkEnd w:id="18"/>
    </w:p>
    <w:p>
      <w:pPr>
        <w:keepNext w:val="0"/>
        <w:keepLines w:val="0"/>
        <w:pageBreakBefore w:val="0"/>
        <w:kinsoku/>
        <w:wordWrap/>
        <w:overflowPunct/>
        <w:topLinePunct w:val="0"/>
        <w:autoSpaceDE/>
        <w:autoSpaceDN/>
        <w:bidi w:val="0"/>
        <w:adjustRightInd/>
        <w:snapToGrid/>
        <w:spacing w:line="360" w:lineRule="auto"/>
        <w:ind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6.磋商文件构成</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 xml:space="preserve">6.1 </w:t>
      </w:r>
      <w:r>
        <w:rPr>
          <w:rFonts w:hint="eastAsia" w:ascii="宋体" w:hAnsi="宋体"/>
          <w:color w:val="auto"/>
          <w:sz w:val="21"/>
          <w:szCs w:val="21"/>
          <w:highlight w:val="none"/>
        </w:rPr>
        <w:t>磋商文件规定了</w:t>
      </w:r>
      <w:r>
        <w:rPr>
          <w:rFonts w:ascii="宋体" w:hAnsi="宋体"/>
          <w:color w:val="auto"/>
          <w:sz w:val="21"/>
          <w:szCs w:val="21"/>
          <w:highlight w:val="none"/>
        </w:rPr>
        <w:t>要求提供的货物</w:t>
      </w:r>
      <w:r>
        <w:rPr>
          <w:rFonts w:hint="eastAsia" w:ascii="宋体" w:hAnsi="宋体"/>
          <w:color w:val="auto"/>
          <w:sz w:val="21"/>
          <w:szCs w:val="21"/>
          <w:highlight w:val="none"/>
        </w:rPr>
        <w:t>及</w:t>
      </w:r>
      <w:r>
        <w:rPr>
          <w:rFonts w:ascii="宋体" w:hAnsi="宋体"/>
          <w:color w:val="auto"/>
          <w:sz w:val="21"/>
          <w:szCs w:val="21"/>
          <w:highlight w:val="none"/>
        </w:rPr>
        <w:t>服务</w:t>
      </w:r>
      <w:r>
        <w:rPr>
          <w:rFonts w:hint="eastAsia" w:ascii="宋体" w:hAnsi="宋体"/>
          <w:color w:val="auto"/>
          <w:sz w:val="21"/>
          <w:szCs w:val="21"/>
          <w:highlight w:val="none"/>
        </w:rPr>
        <w:t>。</w:t>
      </w:r>
      <w:r>
        <w:rPr>
          <w:rFonts w:ascii="宋体" w:hAnsi="宋体"/>
          <w:color w:val="auto"/>
          <w:sz w:val="21"/>
          <w:szCs w:val="21"/>
          <w:highlight w:val="none"/>
        </w:rPr>
        <w:t>磋商程序和合同条件在磋商文件中均有说明。磋商文件共</w:t>
      </w:r>
      <w:r>
        <w:rPr>
          <w:rFonts w:hint="eastAsia" w:ascii="宋体" w:hAnsi="宋体"/>
          <w:color w:val="auto"/>
          <w:sz w:val="21"/>
          <w:szCs w:val="21"/>
          <w:highlight w:val="none"/>
          <w:lang w:val="en-US" w:eastAsia="zh-CN"/>
        </w:rPr>
        <w:t>六</w:t>
      </w:r>
      <w:r>
        <w:rPr>
          <w:rFonts w:ascii="宋体" w:hAnsi="宋体"/>
          <w:color w:val="auto"/>
          <w:sz w:val="21"/>
          <w:szCs w:val="21"/>
          <w:highlight w:val="none"/>
        </w:rPr>
        <w:t>章</w:t>
      </w:r>
      <w:r>
        <w:rPr>
          <w:rFonts w:hint="eastAsia" w:ascii="宋体" w:hAnsi="宋体"/>
          <w:color w:val="auto"/>
          <w:sz w:val="21"/>
          <w:szCs w:val="21"/>
          <w:highlight w:val="none"/>
        </w:rPr>
        <w:t>，</w:t>
      </w:r>
      <w:r>
        <w:rPr>
          <w:rFonts w:ascii="宋体" w:hAnsi="宋体"/>
          <w:color w:val="auto"/>
          <w:sz w:val="21"/>
          <w:szCs w:val="21"/>
          <w:highlight w:val="none"/>
        </w:rPr>
        <w:t>内容如下：</w:t>
      </w:r>
    </w:p>
    <w:p>
      <w:pPr>
        <w:widowControl w:val="0"/>
        <w:spacing w:line="360" w:lineRule="auto"/>
        <w:ind w:firstLine="420" w:firstLineChars="200"/>
        <w:rPr>
          <w:rStyle w:val="33"/>
          <w:rFonts w:hint="eastAsia" w:ascii="宋体" w:hAnsi="宋体" w:eastAsia="宋体" w:cs="宋体"/>
          <w:bCs/>
          <w:color w:val="auto"/>
          <w:sz w:val="21"/>
          <w:szCs w:val="21"/>
          <w:highlight w:val="none"/>
        </w:rPr>
      </w:pPr>
      <w:r>
        <w:rPr>
          <w:rStyle w:val="33"/>
          <w:rFonts w:hint="eastAsia" w:ascii="宋体" w:hAnsi="宋体" w:eastAsia="宋体" w:cs="宋体"/>
          <w:bCs/>
          <w:color w:val="auto"/>
          <w:sz w:val="21"/>
          <w:szCs w:val="21"/>
          <w:highlight w:val="none"/>
        </w:rPr>
        <w:t>第一章 磋商邀请书</w:t>
      </w:r>
    </w:p>
    <w:p>
      <w:pPr>
        <w:widowControl w:val="0"/>
        <w:spacing w:line="360" w:lineRule="auto"/>
        <w:ind w:firstLine="420" w:firstLineChars="200"/>
        <w:rPr>
          <w:rStyle w:val="33"/>
          <w:rFonts w:hint="eastAsia" w:ascii="宋体" w:hAnsi="宋体" w:eastAsia="宋体" w:cs="宋体"/>
          <w:bCs/>
          <w:color w:val="auto"/>
          <w:sz w:val="21"/>
          <w:szCs w:val="21"/>
          <w:highlight w:val="none"/>
        </w:rPr>
      </w:pPr>
      <w:r>
        <w:rPr>
          <w:rStyle w:val="33"/>
          <w:rFonts w:hint="eastAsia" w:ascii="宋体" w:hAnsi="宋体" w:eastAsia="宋体" w:cs="宋体"/>
          <w:bCs/>
          <w:color w:val="auto"/>
          <w:sz w:val="21"/>
          <w:szCs w:val="21"/>
          <w:highlight w:val="none"/>
        </w:rPr>
        <w:t>第二章 磋商须知及前附表</w:t>
      </w:r>
    </w:p>
    <w:p>
      <w:pPr>
        <w:widowControl w:val="0"/>
        <w:spacing w:line="360" w:lineRule="auto"/>
        <w:ind w:firstLine="420" w:firstLineChars="200"/>
        <w:rPr>
          <w:rStyle w:val="33"/>
          <w:rFonts w:hint="eastAsia" w:ascii="宋体" w:hAnsi="宋体" w:eastAsia="宋体" w:cs="宋体"/>
          <w:bCs/>
          <w:color w:val="auto"/>
          <w:sz w:val="21"/>
          <w:szCs w:val="21"/>
          <w:highlight w:val="none"/>
        </w:rPr>
      </w:pPr>
      <w:r>
        <w:rPr>
          <w:rStyle w:val="33"/>
          <w:rFonts w:hint="eastAsia" w:ascii="宋体" w:hAnsi="宋体" w:eastAsia="宋体" w:cs="宋体"/>
          <w:bCs/>
          <w:color w:val="auto"/>
          <w:sz w:val="21"/>
          <w:szCs w:val="21"/>
          <w:highlight w:val="none"/>
        </w:rPr>
        <w:t>第三章 合同条款及要求</w:t>
      </w:r>
    </w:p>
    <w:p>
      <w:pPr>
        <w:widowControl w:val="0"/>
        <w:spacing w:line="360" w:lineRule="auto"/>
        <w:ind w:firstLine="420" w:firstLineChars="200"/>
        <w:rPr>
          <w:rStyle w:val="33"/>
          <w:rFonts w:hint="eastAsia" w:ascii="宋体" w:hAnsi="宋体" w:eastAsia="宋体" w:cs="宋体"/>
          <w:bCs/>
          <w:color w:val="auto"/>
          <w:sz w:val="21"/>
          <w:szCs w:val="21"/>
          <w:highlight w:val="none"/>
        </w:rPr>
      </w:pPr>
      <w:r>
        <w:rPr>
          <w:rStyle w:val="33"/>
          <w:rFonts w:hint="eastAsia" w:ascii="宋体" w:hAnsi="宋体" w:eastAsia="宋体" w:cs="宋体"/>
          <w:bCs/>
          <w:color w:val="auto"/>
          <w:sz w:val="21"/>
          <w:szCs w:val="21"/>
          <w:highlight w:val="none"/>
        </w:rPr>
        <w:t>第四章 磋商内容及服务要求</w:t>
      </w:r>
    </w:p>
    <w:p>
      <w:pPr>
        <w:widowControl w:val="0"/>
        <w:spacing w:line="360" w:lineRule="auto"/>
        <w:ind w:firstLine="420" w:firstLineChars="200"/>
        <w:rPr>
          <w:rStyle w:val="33"/>
          <w:rFonts w:hint="eastAsia" w:ascii="宋体" w:hAnsi="宋体" w:eastAsia="宋体" w:cs="宋体"/>
          <w:bCs/>
          <w:color w:val="auto"/>
          <w:sz w:val="21"/>
          <w:szCs w:val="21"/>
          <w:highlight w:val="none"/>
        </w:rPr>
      </w:pPr>
      <w:r>
        <w:rPr>
          <w:rStyle w:val="33"/>
          <w:rFonts w:hint="eastAsia" w:ascii="宋体" w:hAnsi="宋体" w:eastAsia="宋体" w:cs="宋体"/>
          <w:bCs/>
          <w:color w:val="auto"/>
          <w:sz w:val="21"/>
          <w:szCs w:val="21"/>
          <w:highlight w:val="none"/>
        </w:rPr>
        <w:t>第五章 评审方法</w:t>
      </w:r>
    </w:p>
    <w:p>
      <w:pPr>
        <w:widowControl w:val="0"/>
        <w:spacing w:line="360" w:lineRule="auto"/>
        <w:ind w:firstLine="420" w:firstLineChars="200"/>
        <w:rPr>
          <w:rStyle w:val="33"/>
          <w:rFonts w:hint="eastAsia" w:ascii="宋体" w:hAnsi="宋体" w:eastAsia="宋体" w:cs="宋体"/>
          <w:bCs/>
          <w:color w:val="auto"/>
          <w:sz w:val="21"/>
          <w:szCs w:val="21"/>
          <w:highlight w:val="none"/>
        </w:rPr>
      </w:pPr>
      <w:r>
        <w:rPr>
          <w:rStyle w:val="33"/>
          <w:rFonts w:hint="eastAsia" w:ascii="宋体" w:hAnsi="宋体" w:eastAsia="宋体" w:cs="宋体"/>
          <w:bCs/>
          <w:color w:val="auto"/>
          <w:sz w:val="21"/>
          <w:szCs w:val="21"/>
          <w:highlight w:val="none"/>
        </w:rPr>
        <w:t>第六章 磋商响应文件格式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6.2供应商应认真阅读磋商文件中所有的事项、格式、条款和规范等要求。如果供应商没有按照磋商文件要求提交全部资料，或者磋商响应文件没有对磋商文件在各方面都做出实质性响应，由此带来的不利于供应商的评</w:t>
      </w:r>
      <w:r>
        <w:rPr>
          <w:rFonts w:hint="eastAsia" w:ascii="宋体" w:hAnsi="宋体"/>
          <w:color w:val="auto"/>
          <w:sz w:val="21"/>
          <w:szCs w:val="21"/>
          <w:highlight w:val="none"/>
        </w:rPr>
        <w:t>审</w:t>
      </w:r>
      <w:r>
        <w:rPr>
          <w:rFonts w:ascii="宋体" w:hAnsi="宋体"/>
          <w:color w:val="auto"/>
          <w:sz w:val="21"/>
          <w:szCs w:val="21"/>
          <w:highlight w:val="none"/>
        </w:rPr>
        <w:t>结果，其风险由供应商承担。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6.3本磋商文件的解释权归西北（陕西）国际招标有限公司。</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baseline"/>
        <w:rPr>
          <w:rFonts w:hint="eastAsia" w:ascii="宋体" w:hAnsi="宋体"/>
          <w:b/>
          <w:color w:val="auto"/>
          <w:sz w:val="21"/>
          <w:szCs w:val="21"/>
          <w:highlight w:val="none"/>
        </w:rPr>
      </w:pPr>
      <w:r>
        <w:rPr>
          <w:rFonts w:ascii="宋体" w:hAnsi="宋体"/>
          <w:b/>
          <w:color w:val="auto"/>
          <w:sz w:val="21"/>
          <w:szCs w:val="21"/>
          <w:highlight w:val="none"/>
        </w:rPr>
        <w:t>7.磋商文件的</w:t>
      </w:r>
      <w:r>
        <w:rPr>
          <w:rFonts w:hint="eastAsia" w:ascii="宋体" w:hAnsi="宋体"/>
          <w:b/>
          <w:color w:val="auto"/>
          <w:sz w:val="21"/>
          <w:szCs w:val="21"/>
          <w:highlight w:val="none"/>
        </w:rPr>
        <w:t>澄清</w:t>
      </w:r>
      <w:r>
        <w:rPr>
          <w:rFonts w:ascii="宋体" w:hAnsi="宋体"/>
          <w:b/>
          <w:color w:val="auto"/>
          <w:sz w:val="21"/>
          <w:szCs w:val="21"/>
          <w:highlight w:val="none"/>
        </w:rPr>
        <w:t>修改和</w:t>
      </w:r>
      <w:r>
        <w:rPr>
          <w:rFonts w:hint="eastAsia" w:ascii="宋体" w:hAnsi="宋体"/>
          <w:b/>
          <w:color w:val="auto"/>
          <w:sz w:val="21"/>
          <w:szCs w:val="21"/>
          <w:highlight w:val="none"/>
        </w:rPr>
        <w:t>质疑答复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1</w:t>
      </w:r>
      <w:r>
        <w:rPr>
          <w:rFonts w:ascii="宋体" w:hAnsi="宋体"/>
          <w:color w:val="auto"/>
          <w:sz w:val="21"/>
          <w:szCs w:val="21"/>
          <w:highlight w:val="none"/>
        </w:rPr>
        <w:t>磋商采购单位如果对已发出的磋商文件进行</w:t>
      </w:r>
      <w:r>
        <w:rPr>
          <w:rFonts w:hint="eastAsia" w:ascii="宋体" w:hAnsi="宋体"/>
          <w:color w:val="auto"/>
          <w:sz w:val="21"/>
          <w:szCs w:val="21"/>
          <w:highlight w:val="none"/>
        </w:rPr>
        <w:t>必要的澄清或者</w:t>
      </w:r>
      <w:r>
        <w:rPr>
          <w:rFonts w:ascii="宋体" w:hAnsi="宋体"/>
          <w:color w:val="auto"/>
          <w:sz w:val="21"/>
          <w:szCs w:val="21"/>
          <w:highlight w:val="none"/>
        </w:rPr>
        <w:t>修改，将在磋商文件要求提交</w:t>
      </w:r>
      <w:r>
        <w:rPr>
          <w:rFonts w:hint="eastAsia" w:ascii="宋体" w:hAnsi="宋体"/>
          <w:color w:val="auto"/>
          <w:sz w:val="21"/>
          <w:szCs w:val="21"/>
          <w:highlight w:val="none"/>
        </w:rPr>
        <w:t>首次</w:t>
      </w:r>
      <w:r>
        <w:rPr>
          <w:rFonts w:ascii="宋体" w:hAnsi="宋体"/>
          <w:color w:val="auto"/>
          <w:sz w:val="21"/>
          <w:szCs w:val="21"/>
          <w:highlight w:val="none"/>
        </w:rPr>
        <w:t>磋商响应文件截止时间</w:t>
      </w:r>
      <w:r>
        <w:rPr>
          <w:rFonts w:hint="eastAsia" w:ascii="宋体" w:hAnsi="宋体"/>
          <w:color w:val="auto"/>
          <w:sz w:val="21"/>
          <w:szCs w:val="21"/>
          <w:highlight w:val="none"/>
          <w:lang w:val="en-US" w:eastAsia="zh-CN"/>
        </w:rPr>
        <w:t>5</w:t>
      </w:r>
      <w:r>
        <w:rPr>
          <w:rFonts w:ascii="宋体" w:hAnsi="宋体"/>
          <w:color w:val="auto"/>
          <w:sz w:val="21"/>
          <w:szCs w:val="21"/>
          <w:highlight w:val="none"/>
        </w:rPr>
        <w:t>日前，以书面形式通知所有</w:t>
      </w:r>
      <w:r>
        <w:rPr>
          <w:rFonts w:hint="eastAsia" w:ascii="宋体" w:hAnsi="宋体"/>
          <w:color w:val="auto"/>
          <w:sz w:val="21"/>
          <w:szCs w:val="21"/>
          <w:highlight w:val="none"/>
        </w:rPr>
        <w:t>合法获取</w:t>
      </w:r>
      <w:r>
        <w:rPr>
          <w:rFonts w:ascii="宋体" w:hAnsi="宋体"/>
          <w:color w:val="auto"/>
          <w:sz w:val="21"/>
          <w:szCs w:val="21"/>
          <w:highlight w:val="none"/>
        </w:rPr>
        <w:t>磋商文件的</w:t>
      </w:r>
      <w:r>
        <w:rPr>
          <w:rFonts w:hint="eastAsia" w:ascii="宋体" w:hAnsi="宋体"/>
          <w:color w:val="auto"/>
          <w:sz w:val="21"/>
          <w:szCs w:val="21"/>
          <w:highlight w:val="none"/>
        </w:rPr>
        <w:t>供应商，不足</w:t>
      </w:r>
      <w:r>
        <w:rPr>
          <w:rFonts w:hint="eastAsia" w:ascii="宋体" w:hAnsi="宋体"/>
          <w:color w:val="auto"/>
          <w:sz w:val="21"/>
          <w:szCs w:val="21"/>
          <w:highlight w:val="none"/>
          <w:lang w:val="en-US" w:eastAsia="zh-CN"/>
        </w:rPr>
        <w:t>5</w:t>
      </w:r>
      <w:r>
        <w:rPr>
          <w:rFonts w:ascii="宋体" w:hAnsi="宋体"/>
          <w:color w:val="auto"/>
          <w:sz w:val="21"/>
          <w:szCs w:val="21"/>
          <w:highlight w:val="none"/>
        </w:rPr>
        <w:t>日</w:t>
      </w:r>
      <w:r>
        <w:rPr>
          <w:rFonts w:hint="eastAsia" w:ascii="宋体" w:hAnsi="宋体"/>
          <w:color w:val="auto"/>
          <w:sz w:val="21"/>
          <w:szCs w:val="21"/>
          <w:highlight w:val="none"/>
        </w:rPr>
        <w:t>的，将顺延提交首次</w:t>
      </w:r>
      <w:r>
        <w:rPr>
          <w:rFonts w:ascii="宋体" w:hAnsi="宋体"/>
          <w:color w:val="auto"/>
          <w:sz w:val="21"/>
          <w:szCs w:val="21"/>
          <w:highlight w:val="none"/>
        </w:rPr>
        <w:t>磋商响应文件截止时间</w:t>
      </w:r>
      <w:r>
        <w:rPr>
          <w:rFonts w:hint="eastAsia" w:ascii="宋体" w:hAnsi="宋体"/>
          <w:color w:val="auto"/>
          <w:sz w:val="21"/>
          <w:szCs w:val="21"/>
          <w:highlight w:val="none"/>
        </w:rPr>
        <w:t>。该</w:t>
      </w:r>
      <w:r>
        <w:rPr>
          <w:rFonts w:ascii="宋体" w:hAnsi="宋体"/>
          <w:color w:val="auto"/>
          <w:sz w:val="21"/>
          <w:szCs w:val="21"/>
          <w:highlight w:val="none"/>
        </w:rPr>
        <w:t>澄清或者修改的内容</w:t>
      </w:r>
      <w:r>
        <w:rPr>
          <w:rFonts w:hint="eastAsia" w:ascii="宋体" w:hAnsi="宋体"/>
          <w:color w:val="auto"/>
          <w:sz w:val="21"/>
          <w:szCs w:val="21"/>
          <w:highlight w:val="none"/>
        </w:rPr>
        <w:t>作</w:t>
      </w:r>
      <w:r>
        <w:rPr>
          <w:rFonts w:ascii="宋体" w:hAnsi="宋体"/>
          <w:color w:val="auto"/>
          <w:sz w:val="21"/>
          <w:szCs w:val="21"/>
          <w:highlight w:val="none"/>
        </w:rPr>
        <w:t>为磋商文件的组成部分。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2</w:t>
      </w:r>
      <w:r>
        <w:rPr>
          <w:rFonts w:ascii="宋体" w:hAnsi="宋体"/>
          <w:color w:val="auto"/>
          <w:sz w:val="21"/>
          <w:szCs w:val="21"/>
          <w:highlight w:val="none"/>
        </w:rPr>
        <w:t xml:space="preserve"> 已经</w:t>
      </w:r>
      <w:r>
        <w:rPr>
          <w:rFonts w:hint="eastAsia" w:ascii="宋体" w:hAnsi="宋体"/>
          <w:color w:val="auto"/>
          <w:sz w:val="21"/>
          <w:szCs w:val="21"/>
          <w:highlight w:val="none"/>
        </w:rPr>
        <w:t>合法获取</w:t>
      </w:r>
      <w:r>
        <w:rPr>
          <w:rFonts w:ascii="宋体" w:hAnsi="宋体"/>
          <w:color w:val="auto"/>
          <w:sz w:val="21"/>
          <w:szCs w:val="21"/>
          <w:highlight w:val="none"/>
        </w:rPr>
        <w:t>磋商文件的供应商对磋商文件有</w:t>
      </w:r>
      <w:r>
        <w:rPr>
          <w:rFonts w:hint="eastAsia" w:ascii="宋体" w:hAnsi="宋体"/>
          <w:color w:val="auto"/>
          <w:sz w:val="21"/>
          <w:szCs w:val="21"/>
          <w:highlight w:val="none"/>
        </w:rPr>
        <w:t>询问或者质疑</w:t>
      </w:r>
      <w:r>
        <w:rPr>
          <w:rFonts w:ascii="宋体" w:hAnsi="宋体"/>
          <w:color w:val="auto"/>
          <w:sz w:val="21"/>
          <w:szCs w:val="21"/>
          <w:highlight w:val="none"/>
        </w:rPr>
        <w:t>的，应</w:t>
      </w:r>
      <w:r>
        <w:rPr>
          <w:rFonts w:hint="eastAsia" w:ascii="宋体" w:hAnsi="宋体"/>
          <w:color w:val="auto"/>
          <w:sz w:val="21"/>
          <w:szCs w:val="21"/>
          <w:highlight w:val="none"/>
        </w:rPr>
        <w:t>当</w:t>
      </w:r>
      <w:r>
        <w:rPr>
          <w:rFonts w:hint="eastAsia" w:ascii="宋体" w:hAnsi="宋体"/>
          <w:strike w:val="0"/>
          <w:dstrike w:val="0"/>
          <w:color w:val="auto"/>
          <w:sz w:val="21"/>
          <w:szCs w:val="21"/>
          <w:highlight w:val="none"/>
          <w:lang w:val="en-US" w:eastAsia="zh-CN"/>
        </w:rPr>
        <w:t>依法</w:t>
      </w:r>
      <w:r>
        <w:rPr>
          <w:rFonts w:ascii="宋体" w:hAnsi="宋体"/>
          <w:color w:val="auto"/>
          <w:sz w:val="21"/>
          <w:szCs w:val="21"/>
          <w:highlight w:val="none"/>
        </w:rPr>
        <w:t>以书面形式向采购代理机构提出，</w:t>
      </w:r>
      <w:r>
        <w:rPr>
          <w:rFonts w:hint="eastAsia" w:ascii="宋体" w:hAnsi="宋体"/>
          <w:color w:val="auto"/>
          <w:sz w:val="21"/>
          <w:szCs w:val="21"/>
          <w:highlight w:val="none"/>
        </w:rPr>
        <w:t>在此之后提出的询问和质疑为无效询问和质疑，采购代理机构不予受理。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7.3对于在规定时间内收到的供应商依法提出的询问或者质疑，</w:t>
      </w:r>
      <w:r>
        <w:rPr>
          <w:rFonts w:ascii="宋体" w:hAnsi="宋体"/>
          <w:color w:val="auto"/>
          <w:sz w:val="21"/>
          <w:szCs w:val="21"/>
          <w:highlight w:val="none"/>
        </w:rPr>
        <w:t>采购代理机构将</w:t>
      </w:r>
      <w:r>
        <w:rPr>
          <w:rFonts w:hint="eastAsia" w:ascii="宋体" w:hAnsi="宋体"/>
          <w:color w:val="auto"/>
          <w:sz w:val="21"/>
          <w:szCs w:val="21"/>
          <w:highlight w:val="none"/>
        </w:rPr>
        <w:t>按程序及时作出答复，若对磋商文件做出实质性变动，则按照相关规定延长磋商响应截止时间。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7.4供应商提出质疑应当有明确的请求和必要的证明材料。</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8.磋商响应截止时间和磋商时间的延长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3"/>
          <w:rFonts w:hint="eastAsia" w:ascii="宋体" w:hAnsi="宋体" w:eastAsia="宋体" w:cs="宋体"/>
          <w:color w:val="auto"/>
          <w:sz w:val="21"/>
          <w:szCs w:val="21"/>
          <w:highlight w:val="none"/>
        </w:rPr>
      </w:pPr>
      <w:r>
        <w:rPr>
          <w:rFonts w:hint="eastAsia" w:ascii="宋体" w:hAnsi="宋体"/>
          <w:color w:val="auto"/>
          <w:sz w:val="21"/>
          <w:szCs w:val="21"/>
          <w:highlight w:val="none"/>
        </w:rPr>
        <w:t>8.1</w:t>
      </w:r>
      <w:r>
        <w:rPr>
          <w:rFonts w:ascii="宋体" w:hAnsi="宋体"/>
          <w:color w:val="auto"/>
          <w:sz w:val="21"/>
          <w:szCs w:val="21"/>
          <w:highlight w:val="none"/>
        </w:rPr>
        <w:t>采购代理机构可以视采购具体情况延长磋商截止时间和</w:t>
      </w:r>
      <w:r>
        <w:rPr>
          <w:rFonts w:hint="eastAsia" w:ascii="宋体" w:hAnsi="宋体"/>
          <w:color w:val="auto"/>
          <w:sz w:val="21"/>
          <w:szCs w:val="21"/>
          <w:highlight w:val="none"/>
        </w:rPr>
        <w:t>磋商</w:t>
      </w:r>
      <w:r>
        <w:rPr>
          <w:rFonts w:ascii="宋体" w:hAnsi="宋体"/>
          <w:color w:val="auto"/>
          <w:sz w:val="21"/>
          <w:szCs w:val="21"/>
          <w:highlight w:val="none"/>
        </w:rPr>
        <w:t>时间</w:t>
      </w:r>
      <w:r>
        <w:rPr>
          <w:rFonts w:hint="eastAsia" w:ascii="宋体" w:hAnsi="宋体"/>
          <w:color w:val="auto"/>
          <w:sz w:val="21"/>
          <w:szCs w:val="21"/>
          <w:highlight w:val="none"/>
        </w:rPr>
        <w:t>，并以</w:t>
      </w:r>
      <w:r>
        <w:rPr>
          <w:rFonts w:ascii="宋体" w:hAnsi="宋体"/>
          <w:color w:val="auto"/>
          <w:sz w:val="21"/>
          <w:szCs w:val="21"/>
          <w:highlight w:val="none"/>
        </w:rPr>
        <w:t>书面</w:t>
      </w:r>
      <w:r>
        <w:rPr>
          <w:rFonts w:hint="eastAsia" w:ascii="宋体" w:hAnsi="宋体"/>
          <w:color w:val="auto"/>
          <w:sz w:val="21"/>
          <w:szCs w:val="21"/>
          <w:highlight w:val="none"/>
        </w:rPr>
        <w:t>形式</w:t>
      </w:r>
      <w:r>
        <w:rPr>
          <w:rFonts w:ascii="宋体" w:hAnsi="宋体"/>
          <w:color w:val="auto"/>
          <w:sz w:val="21"/>
          <w:szCs w:val="21"/>
          <w:highlight w:val="none"/>
        </w:rPr>
        <w:t>通知所有</w:t>
      </w:r>
      <w:r>
        <w:rPr>
          <w:rFonts w:hint="eastAsia" w:ascii="宋体" w:hAnsi="宋体"/>
          <w:color w:val="auto"/>
          <w:sz w:val="21"/>
          <w:szCs w:val="21"/>
          <w:highlight w:val="none"/>
        </w:rPr>
        <w:t>合法获取</w:t>
      </w:r>
      <w:r>
        <w:rPr>
          <w:rFonts w:ascii="宋体" w:hAnsi="宋体"/>
          <w:color w:val="auto"/>
          <w:sz w:val="21"/>
          <w:szCs w:val="21"/>
          <w:highlight w:val="none"/>
        </w:rPr>
        <w:t>磋商文件的</w:t>
      </w:r>
      <w:r>
        <w:rPr>
          <w:rFonts w:hint="eastAsia" w:ascii="宋体" w:hAnsi="宋体"/>
          <w:color w:val="auto"/>
          <w:sz w:val="21"/>
          <w:szCs w:val="21"/>
          <w:highlight w:val="none"/>
        </w:rPr>
        <w:t>供应商。</w:t>
      </w:r>
    </w:p>
    <w:p>
      <w:pPr>
        <w:pStyle w:val="30"/>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3"/>
          <w:rFonts w:hint="eastAsia" w:ascii="宋体" w:hAnsi="宋体" w:eastAsia="宋体" w:cs="宋体"/>
          <w:color w:val="auto"/>
          <w:highlight w:val="none"/>
        </w:rPr>
      </w:pPr>
      <w:bookmarkStart w:id="19" w:name="_Toc24566"/>
      <w:r>
        <w:rPr>
          <w:rStyle w:val="33"/>
          <w:rFonts w:hint="eastAsia" w:ascii="宋体" w:hAnsi="宋体" w:eastAsia="宋体" w:cs="宋体"/>
          <w:color w:val="auto"/>
          <w:highlight w:val="none"/>
        </w:rPr>
        <w:t>三、磋商响应文件的编制</w:t>
      </w:r>
      <w:bookmarkEnd w:id="19"/>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ascii="宋体" w:hAnsi="宋体"/>
          <w:b/>
          <w:color w:val="auto"/>
          <w:sz w:val="21"/>
          <w:szCs w:val="21"/>
          <w:highlight w:val="none"/>
        </w:rPr>
      </w:pPr>
      <w:bookmarkStart w:id="20" w:name="_Toc27012"/>
      <w:r>
        <w:rPr>
          <w:rFonts w:hint="eastAsia" w:ascii="宋体" w:hAnsi="宋体"/>
          <w:b/>
          <w:color w:val="auto"/>
          <w:sz w:val="21"/>
          <w:szCs w:val="21"/>
          <w:highlight w:val="none"/>
        </w:rPr>
        <w:t>9</w:t>
      </w:r>
      <w:r>
        <w:rPr>
          <w:rFonts w:ascii="宋体" w:hAnsi="宋体"/>
          <w:b/>
          <w:color w:val="auto"/>
          <w:sz w:val="21"/>
          <w:szCs w:val="21"/>
          <w:highlight w:val="none"/>
        </w:rPr>
        <w:t>.磋商报价语言和磋商报价货币</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b/>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.1供应商提交的磋商响应文件以及供应商与采购代理机构就有关磋商报价的所有来往函电均应使用中文</w:t>
      </w:r>
      <w:r>
        <w:rPr>
          <w:rFonts w:hint="eastAsia" w:ascii="宋体" w:hAnsi="宋体"/>
          <w:color w:val="auto"/>
          <w:sz w:val="21"/>
          <w:szCs w:val="21"/>
          <w:highlight w:val="none"/>
        </w:rPr>
        <w:t>。对不同文字文本磋商响应文件的解释发生异议的，以中文文本为准。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.2磋商报价应以人民币报价。任何包含非人民币报价的</w:t>
      </w:r>
      <w:r>
        <w:rPr>
          <w:rFonts w:hint="eastAsia" w:ascii="宋体" w:hAnsi="宋体"/>
          <w:color w:val="auto"/>
          <w:sz w:val="21"/>
          <w:szCs w:val="21"/>
          <w:highlight w:val="none"/>
        </w:rPr>
        <w:t>磋商响应文件均按无效处理</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ascii="宋体" w:hAnsi="宋体"/>
          <w:b/>
          <w:color w:val="auto"/>
          <w:sz w:val="21"/>
          <w:szCs w:val="21"/>
          <w:highlight w:val="none"/>
        </w:rPr>
      </w:pPr>
      <w:r>
        <w:rPr>
          <w:rFonts w:hint="eastAsia" w:ascii="宋体" w:hAnsi="宋体"/>
          <w:b/>
          <w:color w:val="auto"/>
          <w:sz w:val="21"/>
          <w:szCs w:val="21"/>
          <w:highlight w:val="none"/>
        </w:rPr>
        <w:t>10</w:t>
      </w:r>
      <w:r>
        <w:rPr>
          <w:rFonts w:ascii="宋体" w:hAnsi="宋体"/>
          <w:b/>
          <w:color w:val="auto"/>
          <w:sz w:val="21"/>
          <w:szCs w:val="21"/>
          <w:highlight w:val="none"/>
        </w:rPr>
        <w:t>.磋商响应文件的构成</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10</w:t>
      </w:r>
      <w:r>
        <w:rPr>
          <w:rFonts w:ascii="宋体" w:hAnsi="宋体"/>
          <w:color w:val="auto"/>
          <w:sz w:val="21"/>
          <w:szCs w:val="21"/>
          <w:highlight w:val="none"/>
        </w:rPr>
        <w:t>.1 供应商提交的磋商响应文件应包括下列部分的内容：</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10.1.1</w:t>
      </w:r>
      <w:r>
        <w:rPr>
          <w:rFonts w:ascii="宋体" w:hAnsi="宋体"/>
          <w:color w:val="auto"/>
          <w:sz w:val="21"/>
          <w:szCs w:val="21"/>
          <w:highlight w:val="none"/>
        </w:rPr>
        <w:t>按照磋商须知的要求和磋商响应文件规定格式填写的磋商</w:t>
      </w:r>
      <w:r>
        <w:rPr>
          <w:rFonts w:hint="eastAsia" w:ascii="宋体" w:hAnsi="宋体"/>
          <w:color w:val="auto"/>
          <w:sz w:val="21"/>
          <w:szCs w:val="21"/>
          <w:highlight w:val="none"/>
        </w:rPr>
        <w:t>响应</w:t>
      </w:r>
      <w:r>
        <w:rPr>
          <w:rFonts w:ascii="宋体" w:hAnsi="宋体"/>
          <w:color w:val="auto"/>
          <w:sz w:val="21"/>
          <w:szCs w:val="21"/>
          <w:highlight w:val="none"/>
        </w:rPr>
        <w:t>书</w:t>
      </w:r>
      <w:r>
        <w:rPr>
          <w:rFonts w:hint="eastAsia" w:ascii="宋体" w:hAnsi="宋体"/>
          <w:color w:val="auto"/>
          <w:sz w:val="21"/>
          <w:szCs w:val="21"/>
          <w:highlight w:val="none"/>
        </w:rPr>
        <w:t>，</w:t>
      </w:r>
      <w:r>
        <w:rPr>
          <w:rFonts w:ascii="宋体" w:hAnsi="宋体"/>
          <w:color w:val="auto"/>
          <w:sz w:val="21"/>
          <w:szCs w:val="21"/>
          <w:highlight w:val="none"/>
        </w:rPr>
        <w:t>磋商报价表</w:t>
      </w:r>
      <w:r>
        <w:rPr>
          <w:rFonts w:hint="eastAsia" w:ascii="宋体" w:hAnsi="宋体"/>
          <w:color w:val="auto"/>
          <w:sz w:val="21"/>
          <w:szCs w:val="21"/>
          <w:highlight w:val="none"/>
        </w:rPr>
        <w:t>，</w:t>
      </w:r>
      <w:r>
        <w:rPr>
          <w:rFonts w:ascii="宋体" w:hAnsi="宋体"/>
          <w:color w:val="auto"/>
          <w:sz w:val="21"/>
          <w:szCs w:val="21"/>
          <w:highlight w:val="none"/>
        </w:rPr>
        <w:t>按要求格式出具的法人代表授权书。</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10.1.2</w:t>
      </w:r>
      <w:r>
        <w:rPr>
          <w:rFonts w:ascii="宋体" w:hAnsi="宋体"/>
          <w:color w:val="auto"/>
          <w:sz w:val="21"/>
          <w:szCs w:val="21"/>
          <w:highlight w:val="none"/>
        </w:rPr>
        <w:t>按照磋商文件的要求编制的磋商报价方案说明书，内容应包括设备和服务的详细说明、技术规格响应表、设备配置说明、供货一览表、彩色样本、使用说明书，质量保证和售后服务承诺等。</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10.1.3</w:t>
      </w:r>
      <w:r>
        <w:rPr>
          <w:rFonts w:ascii="宋体" w:hAnsi="宋体"/>
          <w:color w:val="auto"/>
          <w:sz w:val="21"/>
          <w:szCs w:val="21"/>
          <w:highlight w:val="none"/>
        </w:rPr>
        <w:t>按照磋商文件的要求提交的资</w:t>
      </w:r>
      <w:r>
        <w:rPr>
          <w:rFonts w:hint="eastAsia" w:ascii="宋体" w:hAnsi="宋体"/>
          <w:color w:val="auto"/>
          <w:sz w:val="21"/>
          <w:szCs w:val="21"/>
          <w:highlight w:val="none"/>
        </w:rPr>
        <w:t>格</w:t>
      </w:r>
      <w:r>
        <w:rPr>
          <w:rFonts w:ascii="宋体" w:hAnsi="宋体"/>
          <w:color w:val="auto"/>
          <w:sz w:val="21"/>
          <w:szCs w:val="21"/>
          <w:highlight w:val="none"/>
        </w:rPr>
        <w:t>证明文件</w:t>
      </w:r>
      <w:r>
        <w:rPr>
          <w:rFonts w:hint="eastAsia" w:ascii="宋体" w:hAnsi="宋体"/>
          <w:color w:val="auto"/>
          <w:sz w:val="21"/>
          <w:szCs w:val="21"/>
          <w:highlight w:val="none"/>
        </w:rPr>
        <w:t>和其他证明文件</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ascii="宋体" w:hAnsi="宋体"/>
          <w:b/>
          <w:color w:val="auto"/>
          <w:sz w:val="21"/>
          <w:szCs w:val="21"/>
          <w:highlight w:val="none"/>
        </w:rPr>
      </w:pPr>
      <w:r>
        <w:rPr>
          <w:rFonts w:hint="eastAsia" w:ascii="宋体" w:hAnsi="宋体"/>
          <w:b/>
          <w:color w:val="auto"/>
          <w:sz w:val="21"/>
          <w:szCs w:val="21"/>
          <w:highlight w:val="none"/>
        </w:rPr>
        <w:t>11</w:t>
      </w:r>
      <w:r>
        <w:rPr>
          <w:rFonts w:ascii="宋体" w:hAnsi="宋体"/>
          <w:b/>
          <w:color w:val="auto"/>
          <w:sz w:val="21"/>
          <w:szCs w:val="21"/>
          <w:highlight w:val="none"/>
        </w:rPr>
        <w:t>.磋商响应文件格式</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.1 供应商应按照磋商文件中“磋商响应文件格式”所提供的格式和要求制作磋商响应文件，明确表达磋商</w:t>
      </w:r>
      <w:r>
        <w:rPr>
          <w:rFonts w:hint="eastAsia" w:ascii="宋体" w:hAnsi="宋体"/>
          <w:color w:val="auto"/>
          <w:sz w:val="21"/>
          <w:szCs w:val="21"/>
          <w:highlight w:val="none"/>
        </w:rPr>
        <w:t>响应</w:t>
      </w:r>
      <w:r>
        <w:rPr>
          <w:rFonts w:ascii="宋体" w:hAnsi="宋体"/>
          <w:color w:val="auto"/>
          <w:sz w:val="21"/>
          <w:szCs w:val="21"/>
          <w:highlight w:val="none"/>
        </w:rPr>
        <w:t>意愿，详细说明磋商</w:t>
      </w:r>
      <w:r>
        <w:rPr>
          <w:rFonts w:hint="eastAsia" w:ascii="宋体" w:hAnsi="宋体"/>
          <w:color w:val="auto"/>
          <w:sz w:val="21"/>
          <w:szCs w:val="21"/>
          <w:highlight w:val="none"/>
        </w:rPr>
        <w:t>响应</w:t>
      </w:r>
      <w:r>
        <w:rPr>
          <w:rFonts w:ascii="宋体" w:hAnsi="宋体"/>
          <w:color w:val="auto"/>
          <w:sz w:val="21"/>
          <w:szCs w:val="21"/>
          <w:highlight w:val="none"/>
        </w:rPr>
        <w:t>方案</w:t>
      </w:r>
      <w:r>
        <w:rPr>
          <w:rFonts w:hint="eastAsia" w:ascii="宋体" w:hAnsi="宋体"/>
          <w:color w:val="auto"/>
          <w:sz w:val="21"/>
          <w:szCs w:val="21"/>
          <w:highlight w:val="none"/>
        </w:rPr>
        <w:t>和报价</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.2 供应商应完整地提供磋商文件要求的所有数据和资料。</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b/>
          <w:color w:val="auto"/>
          <w:sz w:val="21"/>
          <w:szCs w:val="21"/>
          <w:highlight w:val="none"/>
        </w:rPr>
      </w:pPr>
      <w:r>
        <w:rPr>
          <w:rFonts w:ascii="宋体" w:hAnsi="宋体"/>
          <w:b/>
          <w:color w:val="auto"/>
          <w:sz w:val="21"/>
          <w:szCs w:val="21"/>
          <w:highlight w:val="none"/>
        </w:rPr>
        <w:t>1</w:t>
      </w:r>
      <w:r>
        <w:rPr>
          <w:rFonts w:hint="eastAsia" w:ascii="宋体" w:hAnsi="宋体"/>
          <w:b/>
          <w:color w:val="auto"/>
          <w:sz w:val="21"/>
          <w:szCs w:val="21"/>
          <w:highlight w:val="none"/>
        </w:rPr>
        <w:t>2</w:t>
      </w:r>
      <w:r>
        <w:rPr>
          <w:rFonts w:ascii="宋体" w:hAnsi="宋体"/>
          <w:b/>
          <w:color w:val="auto"/>
          <w:sz w:val="21"/>
          <w:szCs w:val="21"/>
          <w:highlight w:val="none"/>
        </w:rPr>
        <w:t>.磋商报价</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2</w:t>
      </w:r>
      <w:r>
        <w:rPr>
          <w:rFonts w:ascii="宋体" w:hAnsi="宋体"/>
          <w:color w:val="auto"/>
          <w:sz w:val="21"/>
          <w:szCs w:val="21"/>
          <w:highlight w:val="none"/>
        </w:rPr>
        <w:t>.1</w:t>
      </w:r>
      <w:r>
        <w:rPr>
          <w:rFonts w:hint="eastAsia" w:ascii="宋体" w:hAnsi="宋体"/>
          <w:color w:val="auto"/>
          <w:sz w:val="21"/>
          <w:szCs w:val="21"/>
          <w:highlight w:val="none"/>
        </w:rPr>
        <w:t>供应商应按照“</w:t>
      </w:r>
      <w:r>
        <w:rPr>
          <w:rFonts w:ascii="宋体" w:hAnsi="宋体"/>
          <w:color w:val="auto"/>
          <w:sz w:val="21"/>
          <w:szCs w:val="21"/>
          <w:highlight w:val="none"/>
        </w:rPr>
        <w:t>磋商须知前附表</w:t>
      </w:r>
      <w:r>
        <w:rPr>
          <w:rFonts w:hint="eastAsia" w:ascii="宋体" w:hAnsi="宋体"/>
          <w:color w:val="auto"/>
          <w:sz w:val="21"/>
          <w:szCs w:val="21"/>
          <w:highlight w:val="none"/>
        </w:rPr>
        <w:t>”中规定的要求报价，按照</w:t>
      </w:r>
      <w:r>
        <w:rPr>
          <w:rFonts w:ascii="宋体" w:hAnsi="宋体"/>
          <w:color w:val="auto"/>
          <w:sz w:val="21"/>
          <w:szCs w:val="21"/>
          <w:highlight w:val="none"/>
        </w:rPr>
        <w:t>磋商报价表</w:t>
      </w:r>
      <w:r>
        <w:rPr>
          <w:rFonts w:hint="eastAsia" w:ascii="宋体" w:hAnsi="宋体"/>
          <w:color w:val="auto"/>
          <w:sz w:val="21"/>
          <w:szCs w:val="21"/>
          <w:highlight w:val="none"/>
        </w:rPr>
        <w:t>的内容</w:t>
      </w:r>
      <w:r>
        <w:rPr>
          <w:rFonts w:ascii="宋体" w:hAnsi="宋体"/>
          <w:color w:val="auto"/>
          <w:sz w:val="21"/>
          <w:szCs w:val="21"/>
          <w:highlight w:val="none"/>
        </w:rPr>
        <w:t>标明磋商报价的所有单项价格和总价。</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12.2最后磋商报价是供应商响应文件的有效组成部分。</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1</w:t>
      </w:r>
      <w:r>
        <w:rPr>
          <w:rFonts w:hint="eastAsia" w:ascii="宋体" w:hAnsi="宋体"/>
          <w:b/>
          <w:color w:val="auto"/>
          <w:sz w:val="21"/>
          <w:szCs w:val="21"/>
          <w:highlight w:val="none"/>
        </w:rPr>
        <w:t>3</w:t>
      </w:r>
      <w:r>
        <w:rPr>
          <w:rFonts w:ascii="宋体" w:hAnsi="宋体"/>
          <w:b/>
          <w:color w:val="auto"/>
          <w:sz w:val="21"/>
          <w:szCs w:val="21"/>
          <w:highlight w:val="none"/>
        </w:rPr>
        <w:t>.证明供应商</w:t>
      </w:r>
      <w:r>
        <w:rPr>
          <w:rFonts w:hint="eastAsia" w:ascii="宋体" w:hAnsi="宋体"/>
          <w:b/>
          <w:color w:val="auto"/>
          <w:sz w:val="21"/>
          <w:szCs w:val="21"/>
          <w:highlight w:val="none"/>
        </w:rPr>
        <w:t>合格和资格的文件</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.1供应商应按照磋商文件</w:t>
      </w:r>
      <w:r>
        <w:rPr>
          <w:rFonts w:hint="eastAsia" w:ascii="宋体" w:hAnsi="宋体"/>
          <w:color w:val="auto"/>
          <w:sz w:val="21"/>
          <w:szCs w:val="21"/>
          <w:highlight w:val="none"/>
        </w:rPr>
        <w:t>“</w:t>
      </w:r>
      <w:r>
        <w:rPr>
          <w:rFonts w:ascii="宋体" w:hAnsi="宋体"/>
          <w:color w:val="auto"/>
          <w:sz w:val="21"/>
          <w:szCs w:val="21"/>
          <w:highlight w:val="none"/>
        </w:rPr>
        <w:t>磋商须知前附表</w:t>
      </w:r>
      <w:r>
        <w:rPr>
          <w:rFonts w:hint="eastAsia" w:ascii="宋体" w:hAnsi="宋体"/>
          <w:color w:val="auto"/>
          <w:sz w:val="21"/>
          <w:szCs w:val="21"/>
          <w:highlight w:val="none"/>
        </w:rPr>
        <w:t>”</w:t>
      </w:r>
      <w:r>
        <w:rPr>
          <w:rFonts w:ascii="宋体" w:hAnsi="宋体"/>
          <w:color w:val="auto"/>
          <w:sz w:val="21"/>
          <w:szCs w:val="21"/>
          <w:highlight w:val="none"/>
        </w:rPr>
        <w:t>的要求，在磋商响应文件中提交</w:t>
      </w:r>
      <w:r>
        <w:rPr>
          <w:rFonts w:hint="eastAsia" w:ascii="宋体" w:hAnsi="宋体"/>
          <w:color w:val="auto"/>
          <w:sz w:val="21"/>
          <w:szCs w:val="21"/>
          <w:highlight w:val="none"/>
        </w:rPr>
        <w:t>证明其资格</w:t>
      </w:r>
      <w:r>
        <w:rPr>
          <w:rFonts w:ascii="宋体" w:hAnsi="宋体"/>
          <w:color w:val="auto"/>
          <w:sz w:val="21"/>
          <w:szCs w:val="21"/>
          <w:highlight w:val="none"/>
        </w:rPr>
        <w:t>合格的文件。如果资</w:t>
      </w:r>
      <w:r>
        <w:rPr>
          <w:rFonts w:hint="eastAsia" w:ascii="宋体" w:hAnsi="宋体"/>
          <w:color w:val="auto"/>
          <w:sz w:val="21"/>
          <w:szCs w:val="21"/>
          <w:highlight w:val="none"/>
        </w:rPr>
        <w:t>格</w:t>
      </w:r>
      <w:r>
        <w:rPr>
          <w:rFonts w:ascii="宋体" w:hAnsi="宋体"/>
          <w:color w:val="auto"/>
          <w:sz w:val="21"/>
          <w:szCs w:val="21"/>
          <w:highlight w:val="none"/>
        </w:rPr>
        <w:t>证明文件不</w:t>
      </w:r>
      <w:r>
        <w:rPr>
          <w:rFonts w:hint="eastAsia" w:ascii="宋体" w:hAnsi="宋体"/>
          <w:color w:val="auto"/>
          <w:sz w:val="21"/>
          <w:szCs w:val="21"/>
          <w:highlight w:val="none"/>
        </w:rPr>
        <w:t>齐</w:t>
      </w:r>
      <w:r>
        <w:rPr>
          <w:rFonts w:ascii="宋体" w:hAnsi="宋体"/>
          <w:color w:val="auto"/>
          <w:sz w:val="21"/>
          <w:szCs w:val="21"/>
          <w:highlight w:val="none"/>
        </w:rPr>
        <w:t>全或不合格的，</w:t>
      </w:r>
      <w:r>
        <w:rPr>
          <w:rFonts w:hint="eastAsia" w:ascii="宋体" w:hAnsi="宋体"/>
          <w:color w:val="auto"/>
          <w:sz w:val="21"/>
          <w:szCs w:val="21"/>
          <w:highlight w:val="none"/>
        </w:rPr>
        <w:t>其磋商响应文件按照无效处理</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13.2如果“磋商须知前附表”有要求，供应商还应按照</w:t>
      </w:r>
      <w:r>
        <w:rPr>
          <w:rFonts w:ascii="宋体" w:hAnsi="宋体"/>
          <w:color w:val="auto"/>
          <w:sz w:val="21"/>
          <w:szCs w:val="21"/>
          <w:highlight w:val="none"/>
        </w:rPr>
        <w:t>要求提</w:t>
      </w:r>
      <w:r>
        <w:rPr>
          <w:rFonts w:hint="eastAsia" w:ascii="宋体" w:hAnsi="宋体"/>
          <w:color w:val="auto"/>
          <w:sz w:val="21"/>
          <w:szCs w:val="21"/>
          <w:highlight w:val="none"/>
        </w:rPr>
        <w:t>交证明文件的</w:t>
      </w:r>
      <w:r>
        <w:rPr>
          <w:rFonts w:ascii="宋体" w:hAnsi="宋体"/>
          <w:color w:val="auto"/>
          <w:sz w:val="21"/>
          <w:szCs w:val="21"/>
          <w:highlight w:val="none"/>
        </w:rPr>
        <w:t>原件</w:t>
      </w:r>
      <w:r>
        <w:rPr>
          <w:rFonts w:hint="eastAsia" w:ascii="宋体" w:hAnsi="宋体"/>
          <w:color w:val="auto"/>
          <w:sz w:val="21"/>
          <w:szCs w:val="21"/>
          <w:highlight w:val="none"/>
        </w:rPr>
        <w:t>。如果未能提供原件或者提供原件不全的，其磋商响应文件按照无效处理</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13.3</w:t>
      </w:r>
      <w:r>
        <w:rPr>
          <w:rFonts w:ascii="宋体" w:hAnsi="宋体"/>
          <w:color w:val="auto"/>
          <w:sz w:val="21"/>
          <w:szCs w:val="21"/>
          <w:highlight w:val="none"/>
        </w:rPr>
        <w:t>如果供应商为代理商时，应按照磋商文件</w:t>
      </w:r>
      <w:r>
        <w:rPr>
          <w:rFonts w:hint="eastAsia" w:ascii="宋体" w:hAnsi="宋体"/>
          <w:color w:val="auto"/>
          <w:sz w:val="21"/>
          <w:szCs w:val="21"/>
          <w:highlight w:val="none"/>
        </w:rPr>
        <w:t>“磋商须知前附表”的要求，</w:t>
      </w:r>
      <w:r>
        <w:rPr>
          <w:rFonts w:ascii="宋体" w:hAnsi="宋体"/>
          <w:color w:val="auto"/>
          <w:sz w:val="21"/>
          <w:szCs w:val="21"/>
          <w:highlight w:val="none"/>
        </w:rPr>
        <w:t>提供货物</w:t>
      </w:r>
      <w:r>
        <w:rPr>
          <w:rFonts w:hint="eastAsia" w:ascii="宋体" w:hAnsi="宋体"/>
          <w:color w:val="auto"/>
          <w:sz w:val="21"/>
          <w:szCs w:val="21"/>
          <w:highlight w:val="none"/>
        </w:rPr>
        <w:t>来源渠道合法的证明（包括但不限于销售协议、代理协议、原厂授权等）</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14.证明货物和/或服务的合格性和符合磋商文件规定的文件</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1</w:t>
      </w:r>
      <w:r>
        <w:rPr>
          <w:rFonts w:ascii="宋体" w:hAnsi="宋体"/>
          <w:color w:val="auto"/>
          <w:sz w:val="21"/>
          <w:szCs w:val="21"/>
          <w:highlight w:val="none"/>
        </w:rPr>
        <w:t>供应商应在磋商响应文件中提交货物和服务满足磋商文件要求并符合国家法律法规、行业管理部门要求的其他强制性标准的证明文件。缺少证明文件或证明文件不合格的</w:t>
      </w:r>
      <w:r>
        <w:rPr>
          <w:rFonts w:hint="eastAsia" w:ascii="宋体" w:hAnsi="宋体"/>
          <w:color w:val="auto"/>
          <w:sz w:val="21"/>
          <w:szCs w:val="21"/>
          <w:highlight w:val="none"/>
        </w:rPr>
        <w:t>响应文件</w:t>
      </w:r>
      <w:r>
        <w:rPr>
          <w:rFonts w:ascii="宋体" w:hAnsi="宋体"/>
          <w:color w:val="auto"/>
          <w:sz w:val="21"/>
          <w:szCs w:val="21"/>
          <w:highlight w:val="none"/>
        </w:rPr>
        <w:t>，与磋商文件要求有重大偏离的</w:t>
      </w:r>
      <w:r>
        <w:rPr>
          <w:rFonts w:hint="eastAsia" w:ascii="宋体" w:hAnsi="宋体"/>
          <w:color w:val="auto"/>
          <w:sz w:val="21"/>
          <w:szCs w:val="21"/>
          <w:highlight w:val="none"/>
        </w:rPr>
        <w:t>响应文件</w:t>
      </w:r>
      <w:r>
        <w:rPr>
          <w:rFonts w:ascii="宋体" w:hAnsi="宋体"/>
          <w:color w:val="auto"/>
          <w:sz w:val="21"/>
          <w:szCs w:val="21"/>
          <w:highlight w:val="none"/>
        </w:rPr>
        <w:t>，不符合国家法律法规、行业管理部门要求的其他强制性标准的</w:t>
      </w:r>
      <w:r>
        <w:rPr>
          <w:rFonts w:hint="eastAsia" w:ascii="宋体" w:hAnsi="宋体"/>
          <w:color w:val="auto"/>
          <w:sz w:val="21"/>
          <w:szCs w:val="21"/>
          <w:highlight w:val="none"/>
        </w:rPr>
        <w:t>响应文件</w:t>
      </w:r>
      <w:r>
        <w:rPr>
          <w:rFonts w:ascii="宋体" w:hAnsi="宋体"/>
          <w:color w:val="auto"/>
          <w:sz w:val="21"/>
          <w:szCs w:val="21"/>
          <w:highlight w:val="none"/>
        </w:rPr>
        <w:t>将</w:t>
      </w:r>
      <w:r>
        <w:rPr>
          <w:rFonts w:hint="eastAsia" w:ascii="宋体" w:hAnsi="宋体"/>
          <w:color w:val="auto"/>
          <w:sz w:val="21"/>
          <w:szCs w:val="21"/>
          <w:highlight w:val="none"/>
        </w:rPr>
        <w:t>按照无效处理</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2</w:t>
      </w:r>
      <w:r>
        <w:rPr>
          <w:rFonts w:ascii="宋体" w:hAnsi="宋体"/>
          <w:color w:val="auto"/>
          <w:sz w:val="21"/>
          <w:szCs w:val="21"/>
          <w:highlight w:val="none"/>
        </w:rPr>
        <w:t>上述证明文件可以是文字资料、图纸、图片和数据，它包括：</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 本次采购特别要求的货物合格性证明文件（见“磋商须知前附表”）；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主要技术指标和性能的详细说明；</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）国家法定检验机构出具的检验报告；</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 逐条对磋商文件提出的技术要求和商务要求进行应答，说明所提供的货物和</w:t>
      </w:r>
      <w:r>
        <w:rPr>
          <w:rFonts w:hint="eastAsia" w:ascii="宋体" w:hAnsi="宋体"/>
          <w:color w:val="auto"/>
          <w:sz w:val="21"/>
          <w:szCs w:val="21"/>
          <w:highlight w:val="none"/>
        </w:rPr>
        <w:t>/或</w:t>
      </w:r>
      <w:r>
        <w:rPr>
          <w:rFonts w:ascii="宋体" w:hAnsi="宋体"/>
          <w:color w:val="auto"/>
          <w:sz w:val="21"/>
          <w:szCs w:val="21"/>
          <w:highlight w:val="none"/>
        </w:rPr>
        <w:t>服务对磋商的技术和商务要求是否做出了实质性响应并提供支持文件；</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设备配置、</w:t>
      </w:r>
      <w:r>
        <w:rPr>
          <w:rFonts w:ascii="宋体" w:hAnsi="宋体"/>
          <w:color w:val="auto"/>
          <w:sz w:val="21"/>
          <w:szCs w:val="21"/>
          <w:highlight w:val="none"/>
        </w:rPr>
        <w:t>供货范围和服务内容的详细说明。</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1</w:t>
      </w:r>
      <w:r>
        <w:rPr>
          <w:rFonts w:hint="eastAsia" w:ascii="宋体" w:hAnsi="宋体"/>
          <w:b/>
          <w:color w:val="auto"/>
          <w:sz w:val="21"/>
          <w:szCs w:val="21"/>
          <w:highlight w:val="none"/>
        </w:rPr>
        <w:t>5</w:t>
      </w:r>
      <w:r>
        <w:rPr>
          <w:rFonts w:ascii="宋体" w:hAnsi="宋体"/>
          <w:b/>
          <w:color w:val="auto"/>
          <w:sz w:val="21"/>
          <w:szCs w:val="21"/>
          <w:highlight w:val="none"/>
        </w:rPr>
        <w:t>.磋商保证金</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5</w:t>
      </w:r>
      <w:r>
        <w:rPr>
          <w:rFonts w:ascii="宋体" w:hAnsi="宋体"/>
          <w:color w:val="auto"/>
          <w:sz w:val="21"/>
          <w:szCs w:val="21"/>
          <w:highlight w:val="none"/>
        </w:rPr>
        <w:t>.1</w:t>
      </w:r>
      <w:r>
        <w:rPr>
          <w:rFonts w:hint="eastAsia" w:ascii="宋体" w:hAnsi="宋体"/>
          <w:color w:val="auto"/>
          <w:sz w:val="21"/>
          <w:szCs w:val="21"/>
          <w:highlight w:val="none"/>
        </w:rPr>
        <w:t>如果磋商文件有要求，</w:t>
      </w:r>
      <w:r>
        <w:rPr>
          <w:rFonts w:ascii="宋体" w:hAnsi="宋体"/>
          <w:color w:val="auto"/>
          <w:sz w:val="21"/>
          <w:szCs w:val="21"/>
          <w:highlight w:val="none"/>
        </w:rPr>
        <w:t>供应商</w:t>
      </w:r>
      <w:r>
        <w:rPr>
          <w:rFonts w:hint="eastAsia" w:ascii="宋体" w:hAnsi="宋体"/>
          <w:color w:val="auto"/>
          <w:sz w:val="21"/>
          <w:szCs w:val="21"/>
          <w:highlight w:val="none"/>
        </w:rPr>
        <w:t>应按照“磋商须知前附表”的要求</w:t>
      </w:r>
      <w:r>
        <w:rPr>
          <w:rFonts w:ascii="宋体" w:hAnsi="宋体"/>
          <w:color w:val="auto"/>
          <w:sz w:val="21"/>
          <w:szCs w:val="21"/>
          <w:highlight w:val="none"/>
        </w:rPr>
        <w:t>向西北（陕西）国际招标有限公司提交磋商保证金,</w:t>
      </w:r>
      <w:r>
        <w:rPr>
          <w:rFonts w:hint="eastAsia" w:ascii="宋体" w:hAnsi="宋体"/>
          <w:color w:val="auto"/>
          <w:sz w:val="21"/>
          <w:szCs w:val="21"/>
          <w:highlight w:val="none"/>
        </w:rPr>
        <w:t>其有效期与磋商报价有效期一致，</w:t>
      </w:r>
      <w:r>
        <w:rPr>
          <w:rFonts w:ascii="宋体" w:hAnsi="宋体"/>
          <w:color w:val="auto"/>
          <w:sz w:val="21"/>
          <w:szCs w:val="21"/>
          <w:highlight w:val="none"/>
        </w:rPr>
        <w:t>并作为其磋商</w:t>
      </w:r>
      <w:r>
        <w:rPr>
          <w:rFonts w:hint="eastAsia" w:ascii="宋体" w:hAnsi="宋体"/>
          <w:color w:val="auto"/>
          <w:sz w:val="21"/>
          <w:szCs w:val="21"/>
          <w:highlight w:val="none"/>
        </w:rPr>
        <w:t>响应</w:t>
      </w:r>
      <w:r>
        <w:rPr>
          <w:rFonts w:ascii="宋体" w:hAnsi="宋体"/>
          <w:color w:val="auto"/>
          <w:sz w:val="21"/>
          <w:szCs w:val="21"/>
          <w:highlight w:val="none"/>
        </w:rPr>
        <w:t>的一部分。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2</w:t>
      </w:r>
      <w:r>
        <w:rPr>
          <w:rFonts w:ascii="宋体" w:hAnsi="宋体"/>
          <w:color w:val="auto"/>
          <w:sz w:val="21"/>
          <w:szCs w:val="21"/>
          <w:highlight w:val="none"/>
        </w:rPr>
        <w:t>磋商保证金</w:t>
      </w:r>
      <w:r>
        <w:rPr>
          <w:rFonts w:hint="eastAsia" w:ascii="宋体" w:hAnsi="宋体"/>
          <w:color w:val="auto"/>
          <w:sz w:val="21"/>
          <w:szCs w:val="21"/>
          <w:highlight w:val="none"/>
        </w:rPr>
        <w:t>的数额、形式、交纳办法和交纳时间见“</w:t>
      </w:r>
      <w:r>
        <w:rPr>
          <w:rFonts w:ascii="宋体" w:hAnsi="宋体"/>
          <w:color w:val="auto"/>
          <w:sz w:val="21"/>
          <w:szCs w:val="21"/>
          <w:highlight w:val="none"/>
        </w:rPr>
        <w:t>磋商须知前附表</w:t>
      </w:r>
      <w:r>
        <w:rPr>
          <w:rFonts w:hint="eastAsia"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3</w:t>
      </w:r>
      <w:r>
        <w:rPr>
          <w:rFonts w:ascii="宋体" w:hAnsi="宋体"/>
          <w:color w:val="auto"/>
          <w:sz w:val="21"/>
          <w:szCs w:val="21"/>
          <w:highlight w:val="none"/>
        </w:rPr>
        <w:t>磋商后经审查，未</w:t>
      </w:r>
      <w:r>
        <w:rPr>
          <w:rFonts w:hint="eastAsia" w:ascii="宋体" w:hAnsi="宋体"/>
          <w:color w:val="auto"/>
          <w:sz w:val="21"/>
          <w:szCs w:val="21"/>
          <w:highlight w:val="none"/>
        </w:rPr>
        <w:t>按照“</w:t>
      </w:r>
      <w:r>
        <w:rPr>
          <w:rFonts w:ascii="宋体" w:hAnsi="宋体"/>
          <w:color w:val="auto"/>
          <w:sz w:val="21"/>
          <w:szCs w:val="21"/>
          <w:highlight w:val="none"/>
        </w:rPr>
        <w:t>磋商须知前附表</w:t>
      </w:r>
      <w:r>
        <w:rPr>
          <w:rFonts w:hint="eastAsia" w:ascii="宋体" w:hAnsi="宋体"/>
          <w:color w:val="auto"/>
          <w:sz w:val="21"/>
          <w:szCs w:val="21"/>
          <w:highlight w:val="none"/>
        </w:rPr>
        <w:t>”的要求交纳</w:t>
      </w:r>
      <w:r>
        <w:rPr>
          <w:rFonts w:ascii="宋体" w:hAnsi="宋体"/>
          <w:color w:val="auto"/>
          <w:sz w:val="21"/>
          <w:szCs w:val="21"/>
          <w:highlight w:val="none"/>
        </w:rPr>
        <w:t>磋商保证金</w:t>
      </w:r>
      <w:r>
        <w:rPr>
          <w:rFonts w:hint="eastAsia" w:ascii="宋体" w:hAnsi="宋体"/>
          <w:color w:val="auto"/>
          <w:sz w:val="21"/>
          <w:szCs w:val="21"/>
          <w:highlight w:val="none"/>
        </w:rPr>
        <w:t>的、已交纳的</w:t>
      </w:r>
      <w:r>
        <w:rPr>
          <w:rFonts w:ascii="宋体" w:hAnsi="宋体"/>
          <w:color w:val="auto"/>
          <w:sz w:val="21"/>
          <w:szCs w:val="21"/>
          <w:highlight w:val="none"/>
        </w:rPr>
        <w:t>磋商保证金金额不足的</w:t>
      </w:r>
      <w:r>
        <w:rPr>
          <w:rFonts w:hint="eastAsia" w:ascii="宋体" w:hAnsi="宋体"/>
          <w:color w:val="auto"/>
          <w:sz w:val="21"/>
          <w:szCs w:val="21"/>
          <w:highlight w:val="none"/>
        </w:rPr>
        <w:t>或有效期不足的，其</w:t>
      </w:r>
      <w:r>
        <w:rPr>
          <w:rFonts w:ascii="宋体" w:hAnsi="宋体"/>
          <w:color w:val="auto"/>
          <w:sz w:val="21"/>
          <w:szCs w:val="21"/>
          <w:highlight w:val="none"/>
        </w:rPr>
        <w:t>磋商</w:t>
      </w:r>
      <w:r>
        <w:rPr>
          <w:rFonts w:hint="eastAsia" w:ascii="宋体" w:hAnsi="宋体"/>
          <w:color w:val="auto"/>
          <w:sz w:val="21"/>
          <w:szCs w:val="21"/>
          <w:highlight w:val="none"/>
        </w:rPr>
        <w:t>响应文件</w:t>
      </w:r>
      <w:r>
        <w:rPr>
          <w:rFonts w:ascii="宋体" w:hAnsi="宋体"/>
          <w:color w:val="auto"/>
          <w:sz w:val="21"/>
          <w:szCs w:val="21"/>
          <w:highlight w:val="none"/>
        </w:rPr>
        <w:t>将</w:t>
      </w:r>
      <w:r>
        <w:rPr>
          <w:rFonts w:hint="eastAsia" w:ascii="宋体" w:hAnsi="宋体"/>
          <w:color w:val="auto"/>
          <w:sz w:val="21"/>
          <w:szCs w:val="21"/>
          <w:highlight w:val="none"/>
        </w:rPr>
        <w:t>按照无效处理</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未</w:t>
      </w:r>
      <w:r>
        <w:rPr>
          <w:rFonts w:hint="eastAsia" w:ascii="宋体" w:hAnsi="宋体"/>
          <w:color w:val="auto"/>
          <w:sz w:val="21"/>
          <w:szCs w:val="21"/>
          <w:highlight w:val="none"/>
        </w:rPr>
        <w:t>成交</w:t>
      </w:r>
      <w:r>
        <w:rPr>
          <w:rFonts w:ascii="宋体" w:hAnsi="宋体"/>
          <w:color w:val="auto"/>
          <w:sz w:val="21"/>
          <w:szCs w:val="21"/>
          <w:highlight w:val="none"/>
        </w:rPr>
        <w:t>人的磋商保证金，在成交通知书发出后五个工作日内退还</w:t>
      </w:r>
      <w:r>
        <w:rPr>
          <w:rFonts w:hint="eastAsia" w:ascii="宋体" w:hAnsi="宋体"/>
          <w:color w:val="auto"/>
          <w:sz w:val="21"/>
          <w:szCs w:val="21"/>
          <w:highlight w:val="none"/>
        </w:rPr>
        <w:t>；</w:t>
      </w:r>
      <w:r>
        <w:rPr>
          <w:rFonts w:ascii="宋体" w:hAnsi="宋体"/>
          <w:color w:val="auto"/>
          <w:sz w:val="21"/>
          <w:szCs w:val="21"/>
          <w:highlight w:val="none"/>
        </w:rPr>
        <w:t>成交人的磋商保证金</w:t>
      </w:r>
      <w:r>
        <w:rPr>
          <w:rFonts w:hint="eastAsia" w:ascii="宋体" w:hAnsi="宋体"/>
          <w:color w:val="auto"/>
          <w:sz w:val="21"/>
          <w:szCs w:val="21"/>
          <w:highlight w:val="none"/>
        </w:rPr>
        <w:t>，</w:t>
      </w:r>
      <w:r>
        <w:rPr>
          <w:rFonts w:ascii="宋体" w:hAnsi="宋体"/>
          <w:color w:val="auto"/>
          <w:sz w:val="21"/>
          <w:szCs w:val="21"/>
          <w:highlight w:val="none"/>
        </w:rPr>
        <w:t>在采购合同签订并按规定交纳代理服务费后五个工作日内退还。</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5</w:t>
      </w:r>
      <w:r>
        <w:rPr>
          <w:rFonts w:ascii="宋体" w:hAnsi="宋体"/>
          <w:color w:val="auto"/>
          <w:sz w:val="21"/>
          <w:szCs w:val="21"/>
          <w:highlight w:val="none"/>
        </w:rPr>
        <w:t xml:space="preserve">有下列情形之一的，保证金不予退还： </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15.5.1</w:t>
      </w:r>
      <w:r>
        <w:rPr>
          <w:rFonts w:ascii="宋体" w:hAnsi="宋体"/>
          <w:color w:val="auto"/>
          <w:sz w:val="21"/>
          <w:szCs w:val="21"/>
          <w:highlight w:val="none"/>
        </w:rPr>
        <w:t>供应商在提交响应文件截止时间后撤回响应文件的；</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15.5.2</w:t>
      </w:r>
      <w:r>
        <w:rPr>
          <w:rFonts w:ascii="宋体" w:hAnsi="宋体"/>
          <w:color w:val="auto"/>
          <w:sz w:val="21"/>
          <w:szCs w:val="21"/>
          <w:highlight w:val="none"/>
        </w:rPr>
        <w:t>供应商在响应文件中提供虚假材料的；</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15.5.3</w:t>
      </w:r>
      <w:r>
        <w:rPr>
          <w:rFonts w:ascii="宋体" w:hAnsi="宋体"/>
          <w:color w:val="auto"/>
          <w:sz w:val="21"/>
          <w:szCs w:val="21"/>
          <w:highlight w:val="none"/>
        </w:rPr>
        <w:t>除因不可抗力或磋商文件认可的情形以外，成交供应商不与采购人签订合同的；</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15.5.4</w:t>
      </w:r>
      <w:r>
        <w:rPr>
          <w:rFonts w:ascii="宋体" w:hAnsi="宋体"/>
          <w:color w:val="auto"/>
          <w:sz w:val="21"/>
          <w:szCs w:val="21"/>
          <w:highlight w:val="none"/>
        </w:rPr>
        <w:t>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15.5.5成交供应商</w:t>
      </w:r>
      <w:r>
        <w:rPr>
          <w:rFonts w:ascii="宋体" w:hAnsi="宋体"/>
          <w:color w:val="auto"/>
          <w:sz w:val="21"/>
          <w:szCs w:val="21"/>
          <w:highlight w:val="none"/>
        </w:rPr>
        <w:t>未能按规定交纳代理服务费</w:t>
      </w:r>
      <w:r>
        <w:rPr>
          <w:rFonts w:hint="eastAsia" w:ascii="宋体" w:hAnsi="宋体"/>
          <w:color w:val="auto"/>
          <w:sz w:val="21"/>
          <w:szCs w:val="21"/>
          <w:highlight w:val="none"/>
        </w:rPr>
        <w:t>的</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1</w:t>
      </w:r>
      <w:r>
        <w:rPr>
          <w:rFonts w:hint="eastAsia" w:ascii="宋体" w:hAnsi="宋体"/>
          <w:b/>
          <w:color w:val="auto"/>
          <w:sz w:val="21"/>
          <w:szCs w:val="21"/>
          <w:highlight w:val="none"/>
        </w:rPr>
        <w:t>6</w:t>
      </w:r>
      <w:r>
        <w:rPr>
          <w:rFonts w:ascii="宋体" w:hAnsi="宋体"/>
          <w:b/>
          <w:color w:val="auto"/>
          <w:sz w:val="21"/>
          <w:szCs w:val="21"/>
          <w:highlight w:val="none"/>
        </w:rPr>
        <w:t>.磋商报价有效期</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.1磋商报价应在 “磋商须知前附表”中规定的</w:t>
      </w:r>
      <w:r>
        <w:rPr>
          <w:rFonts w:hint="eastAsia" w:ascii="宋体" w:hAnsi="宋体"/>
          <w:color w:val="auto"/>
          <w:sz w:val="21"/>
          <w:szCs w:val="21"/>
          <w:highlight w:val="none"/>
        </w:rPr>
        <w:t>磋商报价有效期内</w:t>
      </w:r>
      <w:r>
        <w:rPr>
          <w:rFonts w:ascii="宋体" w:hAnsi="宋体"/>
          <w:color w:val="auto"/>
          <w:sz w:val="21"/>
          <w:szCs w:val="21"/>
          <w:highlight w:val="none"/>
        </w:rPr>
        <w:t>保持有效。磋商报价不满足规定有效期的</w:t>
      </w:r>
      <w:r>
        <w:rPr>
          <w:rFonts w:hint="eastAsia" w:ascii="宋体" w:hAnsi="宋体"/>
          <w:color w:val="auto"/>
          <w:sz w:val="21"/>
          <w:szCs w:val="21"/>
          <w:highlight w:val="none"/>
        </w:rPr>
        <w:t>，其</w:t>
      </w:r>
      <w:r>
        <w:rPr>
          <w:rFonts w:ascii="宋体" w:hAnsi="宋体"/>
          <w:color w:val="auto"/>
          <w:sz w:val="21"/>
          <w:szCs w:val="21"/>
          <w:highlight w:val="none"/>
        </w:rPr>
        <w:t>磋商</w:t>
      </w:r>
      <w:r>
        <w:rPr>
          <w:rFonts w:hint="eastAsia" w:ascii="宋体" w:hAnsi="宋体"/>
          <w:color w:val="auto"/>
          <w:sz w:val="21"/>
          <w:szCs w:val="21"/>
          <w:highlight w:val="none"/>
        </w:rPr>
        <w:t>响应文件</w:t>
      </w:r>
      <w:r>
        <w:rPr>
          <w:rFonts w:ascii="宋体" w:hAnsi="宋体"/>
          <w:color w:val="auto"/>
          <w:sz w:val="21"/>
          <w:szCs w:val="21"/>
          <w:highlight w:val="none"/>
        </w:rPr>
        <w:t>将</w:t>
      </w:r>
      <w:r>
        <w:rPr>
          <w:rFonts w:hint="eastAsia" w:ascii="宋体" w:hAnsi="宋体"/>
          <w:color w:val="auto"/>
          <w:sz w:val="21"/>
          <w:szCs w:val="21"/>
          <w:highlight w:val="none"/>
        </w:rPr>
        <w:t>按照无效处理</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1</w:t>
      </w:r>
      <w:r>
        <w:rPr>
          <w:rFonts w:hint="eastAsia" w:ascii="宋体" w:hAnsi="宋体"/>
          <w:b/>
          <w:color w:val="auto"/>
          <w:sz w:val="21"/>
          <w:szCs w:val="21"/>
          <w:highlight w:val="none"/>
        </w:rPr>
        <w:t>7</w:t>
      </w:r>
      <w:r>
        <w:rPr>
          <w:rFonts w:ascii="宋体" w:hAnsi="宋体"/>
          <w:b/>
          <w:color w:val="auto"/>
          <w:sz w:val="21"/>
          <w:szCs w:val="21"/>
          <w:highlight w:val="none"/>
        </w:rPr>
        <w:t>.磋商响应文件的式样和签署</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7</w:t>
      </w:r>
      <w:r>
        <w:rPr>
          <w:rFonts w:ascii="宋体" w:hAnsi="宋体"/>
          <w:color w:val="auto"/>
          <w:sz w:val="21"/>
          <w:szCs w:val="21"/>
          <w:highlight w:val="none"/>
        </w:rPr>
        <w:t>.1供应商应按照磋商须知的要求, 准备一份磋商响应文件正本和“磋商须知前附表”中规定数量的副本，</w:t>
      </w:r>
      <w:r>
        <w:rPr>
          <w:rFonts w:hint="eastAsia" w:ascii="宋体" w:hAnsi="宋体"/>
          <w:color w:val="auto"/>
          <w:sz w:val="21"/>
          <w:szCs w:val="21"/>
          <w:highlight w:val="none"/>
        </w:rPr>
        <w:t>副本可以是正本的复印件。</w:t>
      </w:r>
      <w:r>
        <w:rPr>
          <w:rFonts w:ascii="宋体" w:hAnsi="宋体"/>
          <w:color w:val="auto"/>
          <w:sz w:val="21"/>
          <w:szCs w:val="21"/>
          <w:highlight w:val="none"/>
        </w:rPr>
        <w:t>每套磋商响应文件须清楚地标明“正本”或“副本”。如果发生正本与副本不一致的情况，以正本为准。</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17.2如果磋商文件有要求，还应</w:t>
      </w:r>
      <w:r>
        <w:rPr>
          <w:rFonts w:ascii="宋体" w:hAnsi="宋体"/>
          <w:color w:val="auto"/>
          <w:sz w:val="21"/>
          <w:szCs w:val="21"/>
          <w:highlight w:val="none"/>
        </w:rPr>
        <w:t>按照</w:t>
      </w:r>
      <w:r>
        <w:rPr>
          <w:rFonts w:hint="eastAsia" w:ascii="宋体" w:hAnsi="宋体"/>
          <w:color w:val="auto"/>
          <w:sz w:val="21"/>
          <w:szCs w:val="21"/>
          <w:highlight w:val="none"/>
        </w:rPr>
        <w:t>“</w:t>
      </w:r>
      <w:r>
        <w:rPr>
          <w:rFonts w:ascii="宋体" w:hAnsi="宋体"/>
          <w:color w:val="auto"/>
          <w:sz w:val="21"/>
          <w:szCs w:val="21"/>
          <w:highlight w:val="none"/>
        </w:rPr>
        <w:t>磋商须知</w:t>
      </w:r>
      <w:r>
        <w:rPr>
          <w:rFonts w:hint="eastAsia" w:ascii="宋体" w:hAnsi="宋体"/>
          <w:color w:val="auto"/>
          <w:sz w:val="21"/>
          <w:szCs w:val="21"/>
          <w:highlight w:val="none"/>
        </w:rPr>
        <w:t>前附表”</w:t>
      </w:r>
      <w:r>
        <w:rPr>
          <w:rFonts w:ascii="宋体" w:hAnsi="宋体"/>
          <w:color w:val="auto"/>
          <w:sz w:val="21"/>
          <w:szCs w:val="21"/>
          <w:highlight w:val="none"/>
        </w:rPr>
        <w:t>的要求</w:t>
      </w:r>
      <w:r>
        <w:rPr>
          <w:rFonts w:hint="eastAsia" w:ascii="宋体" w:hAnsi="宋体"/>
          <w:color w:val="auto"/>
          <w:sz w:val="21"/>
          <w:szCs w:val="21"/>
          <w:highlight w:val="none"/>
        </w:rPr>
        <w:t>准备相应格式和载体的电子版文件。</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7</w:t>
      </w:r>
      <w:r>
        <w:rPr>
          <w:rFonts w:ascii="宋体" w:hAnsi="宋体"/>
          <w:color w:val="auto"/>
          <w:sz w:val="21"/>
          <w:szCs w:val="21"/>
          <w:highlight w:val="none"/>
        </w:rPr>
        <w:t>.</w:t>
      </w:r>
      <w:r>
        <w:rPr>
          <w:rFonts w:hint="eastAsia" w:ascii="宋体" w:hAnsi="宋体"/>
          <w:color w:val="auto"/>
          <w:sz w:val="21"/>
          <w:szCs w:val="21"/>
          <w:highlight w:val="none"/>
        </w:rPr>
        <w:t>3</w:t>
      </w:r>
      <w:r>
        <w:rPr>
          <w:rFonts w:ascii="宋体" w:hAnsi="宋体"/>
          <w:color w:val="auto"/>
          <w:sz w:val="21"/>
          <w:szCs w:val="21"/>
          <w:highlight w:val="none"/>
        </w:rPr>
        <w:t>磋商响应文件正本需打印或用不褪色的蓝(黑)色墨水(汁)书写,并由供应商法人代表或经法人代表正式授权的代表签字。授权代表须将按磋商文件规定的格式出具的“法人代表授权书”附在磋商响应文件中。</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7</w:t>
      </w: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任何行间插字、涂改和增删，必须由磋商响应文件的签字人在旁边签字才有效。</w:t>
      </w:r>
    </w:p>
    <w:p>
      <w:pPr>
        <w:pStyle w:val="30"/>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baseline"/>
        <w:outlineLvl w:val="1"/>
        <w:rPr>
          <w:rFonts w:ascii="宋体" w:hAnsi="宋体"/>
          <w:b w:val="0"/>
          <w:bCs w:val="0"/>
          <w:color w:val="auto"/>
          <w:sz w:val="21"/>
          <w:szCs w:val="21"/>
          <w:highlight w:val="none"/>
        </w:rPr>
      </w:pPr>
      <w:r>
        <w:rPr>
          <w:rFonts w:ascii="宋体" w:hAnsi="宋体"/>
          <w:b w:val="0"/>
          <w:bCs w:val="0"/>
          <w:color w:val="auto"/>
          <w:sz w:val="21"/>
          <w:szCs w:val="21"/>
          <w:highlight w:val="none"/>
        </w:rPr>
        <w:t>1</w:t>
      </w:r>
      <w:r>
        <w:rPr>
          <w:rFonts w:hint="eastAsia" w:ascii="宋体" w:hAnsi="宋体"/>
          <w:b w:val="0"/>
          <w:bCs w:val="0"/>
          <w:color w:val="auto"/>
          <w:sz w:val="21"/>
          <w:szCs w:val="21"/>
          <w:highlight w:val="none"/>
        </w:rPr>
        <w:t>7</w:t>
      </w:r>
      <w:r>
        <w:rPr>
          <w:rFonts w:ascii="宋体" w:hAnsi="宋体"/>
          <w:b w:val="0"/>
          <w:bCs w:val="0"/>
          <w:color w:val="auto"/>
          <w:sz w:val="21"/>
          <w:szCs w:val="21"/>
          <w:highlight w:val="none"/>
        </w:rPr>
        <w:t>.</w:t>
      </w:r>
      <w:r>
        <w:rPr>
          <w:rFonts w:hint="eastAsia" w:ascii="宋体" w:hAnsi="宋体"/>
          <w:b w:val="0"/>
          <w:bCs w:val="0"/>
          <w:color w:val="auto"/>
          <w:sz w:val="21"/>
          <w:szCs w:val="21"/>
          <w:highlight w:val="none"/>
        </w:rPr>
        <w:t>5</w:t>
      </w:r>
      <w:r>
        <w:rPr>
          <w:rFonts w:ascii="宋体" w:hAnsi="宋体"/>
          <w:b w:val="0"/>
          <w:bCs w:val="0"/>
          <w:color w:val="auto"/>
          <w:sz w:val="21"/>
          <w:szCs w:val="21"/>
          <w:highlight w:val="none"/>
        </w:rPr>
        <w:t>因字迹潦草、表述不清或不按磋商文件格式编制的磋商响应文件，所引起的对供应商不利的后果，由供应商自行负责。</w:t>
      </w:r>
    </w:p>
    <w:p>
      <w:pPr>
        <w:pStyle w:val="30"/>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3"/>
          <w:rFonts w:hint="eastAsia" w:ascii="宋体" w:hAnsi="宋体" w:eastAsia="宋体" w:cs="宋体"/>
          <w:color w:val="auto"/>
          <w:highlight w:val="none"/>
        </w:rPr>
      </w:pPr>
      <w:r>
        <w:rPr>
          <w:rStyle w:val="33"/>
          <w:rFonts w:hint="eastAsia" w:ascii="宋体" w:hAnsi="宋体" w:eastAsia="宋体" w:cs="宋体"/>
          <w:color w:val="auto"/>
          <w:highlight w:val="none"/>
        </w:rPr>
        <w:t>四、磋商响应文件的递交</w:t>
      </w:r>
      <w:bookmarkEnd w:id="20"/>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ascii="宋体" w:hAnsi="宋体"/>
          <w:b/>
          <w:color w:val="auto"/>
          <w:sz w:val="21"/>
          <w:szCs w:val="21"/>
          <w:highlight w:val="none"/>
        </w:rPr>
      </w:pPr>
      <w:bookmarkStart w:id="21" w:name="_Toc26741"/>
      <w:r>
        <w:rPr>
          <w:rFonts w:ascii="宋体" w:hAnsi="宋体"/>
          <w:b/>
          <w:color w:val="auto"/>
          <w:sz w:val="21"/>
          <w:szCs w:val="21"/>
          <w:highlight w:val="none"/>
        </w:rPr>
        <w:t>1</w:t>
      </w:r>
      <w:r>
        <w:rPr>
          <w:rFonts w:hint="eastAsia" w:ascii="宋体" w:hAnsi="宋体"/>
          <w:b/>
          <w:color w:val="auto"/>
          <w:sz w:val="21"/>
          <w:szCs w:val="21"/>
          <w:highlight w:val="none"/>
        </w:rPr>
        <w:t>8</w:t>
      </w:r>
      <w:r>
        <w:rPr>
          <w:rFonts w:ascii="宋体" w:hAnsi="宋体"/>
          <w:b/>
          <w:color w:val="auto"/>
          <w:sz w:val="21"/>
          <w:szCs w:val="21"/>
          <w:highlight w:val="none"/>
        </w:rPr>
        <w:t>.磋商响应文件的</w:t>
      </w:r>
      <w:r>
        <w:rPr>
          <w:rFonts w:hint="eastAsia" w:ascii="宋体" w:hAnsi="宋体"/>
          <w:b/>
          <w:color w:val="auto"/>
          <w:sz w:val="21"/>
          <w:szCs w:val="21"/>
          <w:highlight w:val="none"/>
        </w:rPr>
        <w:t>装订、</w:t>
      </w:r>
      <w:r>
        <w:rPr>
          <w:rFonts w:ascii="宋体" w:hAnsi="宋体"/>
          <w:b/>
          <w:color w:val="auto"/>
          <w:sz w:val="21"/>
          <w:szCs w:val="21"/>
          <w:highlight w:val="none"/>
        </w:rPr>
        <w:t>密封和标记</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8</w:t>
      </w:r>
      <w:r>
        <w:rPr>
          <w:rFonts w:ascii="宋体" w:hAnsi="宋体"/>
          <w:color w:val="auto"/>
          <w:sz w:val="21"/>
          <w:szCs w:val="21"/>
          <w:highlight w:val="none"/>
        </w:rPr>
        <w:t>.1</w:t>
      </w:r>
      <w:r>
        <w:rPr>
          <w:rFonts w:hint="eastAsia" w:ascii="宋体" w:hAnsi="宋体"/>
          <w:color w:val="auto"/>
          <w:sz w:val="21"/>
          <w:szCs w:val="21"/>
          <w:highlight w:val="none"/>
        </w:rPr>
        <w:t>磋商响应文件的正本与副本应分别装订成册，并编制目录，具体装订和包装密封要求见本须知“磋商须知前附表”规定。</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8</w:t>
      </w:r>
      <w:r>
        <w:rPr>
          <w:rFonts w:ascii="宋体" w:hAnsi="宋体"/>
          <w:color w:val="auto"/>
          <w:sz w:val="21"/>
          <w:szCs w:val="21"/>
          <w:highlight w:val="none"/>
        </w:rPr>
        <w:t>.2外层包装请按以下要求标记：</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 xml:space="preserve">    1</w:t>
      </w:r>
      <w:r>
        <w:rPr>
          <w:rFonts w:hint="eastAsia" w:ascii="宋体" w:hAnsi="宋体"/>
          <w:color w:val="auto"/>
          <w:sz w:val="21"/>
          <w:szCs w:val="21"/>
          <w:highlight w:val="none"/>
          <w:lang w:eastAsia="zh-CN"/>
        </w:rPr>
        <w:t>）</w:t>
      </w:r>
      <w:r>
        <w:rPr>
          <w:rFonts w:ascii="宋体" w:hAnsi="宋体"/>
          <w:color w:val="auto"/>
          <w:sz w:val="21"/>
          <w:szCs w:val="21"/>
          <w:highlight w:val="none"/>
        </w:rPr>
        <w:t>供应商的全称；</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 xml:space="preserve">    2</w:t>
      </w:r>
      <w:r>
        <w:rPr>
          <w:rFonts w:hint="eastAsia" w:ascii="宋体" w:hAnsi="宋体"/>
          <w:color w:val="auto"/>
          <w:sz w:val="21"/>
          <w:szCs w:val="21"/>
          <w:highlight w:val="none"/>
          <w:lang w:eastAsia="zh-CN"/>
        </w:rPr>
        <w:t>）</w:t>
      </w:r>
      <w:r>
        <w:rPr>
          <w:rFonts w:ascii="宋体" w:hAnsi="宋体"/>
          <w:color w:val="auto"/>
          <w:sz w:val="21"/>
          <w:szCs w:val="21"/>
          <w:highlight w:val="none"/>
        </w:rPr>
        <w:t>磋商报价项目名称、项目编号、包号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 xml:space="preserve">    3</w:t>
      </w:r>
      <w:r>
        <w:rPr>
          <w:rFonts w:hint="eastAsia" w:ascii="宋体" w:hAnsi="宋体"/>
          <w:color w:val="auto"/>
          <w:sz w:val="21"/>
          <w:szCs w:val="21"/>
          <w:highlight w:val="none"/>
          <w:lang w:eastAsia="zh-CN"/>
        </w:rPr>
        <w:t>）</w:t>
      </w:r>
      <w:r>
        <w:rPr>
          <w:rFonts w:ascii="宋体" w:hAnsi="宋体"/>
          <w:color w:val="auto"/>
          <w:sz w:val="21"/>
          <w:szCs w:val="21"/>
          <w:highlight w:val="none"/>
        </w:rPr>
        <w:t>正本或副本及“请勿在＿＿＿＿＿(磋商时间)之前启封”。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18.3</w:t>
      </w:r>
      <w:r>
        <w:rPr>
          <w:rFonts w:ascii="宋体" w:hAnsi="宋体"/>
          <w:color w:val="auto"/>
          <w:sz w:val="21"/>
          <w:szCs w:val="21"/>
          <w:highlight w:val="none"/>
        </w:rPr>
        <w:t>如果在“磋商须知前附表”中要求提供</w:t>
      </w:r>
      <w:r>
        <w:rPr>
          <w:rFonts w:hint="eastAsia" w:ascii="宋体" w:hAnsi="宋体"/>
          <w:color w:val="auto"/>
          <w:sz w:val="21"/>
          <w:szCs w:val="21"/>
          <w:highlight w:val="none"/>
        </w:rPr>
        <w:t>证明文件的</w:t>
      </w:r>
      <w:r>
        <w:rPr>
          <w:rFonts w:ascii="宋体" w:hAnsi="宋体"/>
          <w:color w:val="auto"/>
          <w:sz w:val="21"/>
          <w:szCs w:val="21"/>
          <w:highlight w:val="none"/>
        </w:rPr>
        <w:t>原件，则</w:t>
      </w:r>
      <w:r>
        <w:rPr>
          <w:rFonts w:hint="eastAsia" w:ascii="宋体" w:hAnsi="宋体"/>
          <w:color w:val="auto"/>
          <w:sz w:val="21"/>
          <w:szCs w:val="21"/>
          <w:highlight w:val="none"/>
        </w:rPr>
        <w:t>证明文件的</w:t>
      </w:r>
      <w:r>
        <w:rPr>
          <w:rFonts w:ascii="宋体" w:hAnsi="宋体"/>
          <w:color w:val="auto"/>
          <w:sz w:val="21"/>
          <w:szCs w:val="21"/>
          <w:highlight w:val="none"/>
        </w:rPr>
        <w:t>原件必须</w:t>
      </w:r>
      <w:r>
        <w:rPr>
          <w:rFonts w:hint="eastAsia" w:ascii="宋体" w:hAnsi="宋体"/>
          <w:color w:val="auto"/>
          <w:sz w:val="21"/>
          <w:szCs w:val="21"/>
          <w:highlight w:val="none"/>
        </w:rPr>
        <w:t>按照磋商须知前附表的规定进行封装和递交</w:t>
      </w:r>
      <w:r>
        <w:rPr>
          <w:rFonts w:ascii="宋体" w:hAnsi="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如果供应商未对磋商响应文件按上述要求进行完好密封，所引起的对供应商不利的后果，由供应商自行承担。</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1</w:t>
      </w:r>
      <w:r>
        <w:rPr>
          <w:rFonts w:hint="eastAsia" w:ascii="宋体" w:hAnsi="宋体"/>
          <w:b/>
          <w:color w:val="auto"/>
          <w:sz w:val="21"/>
          <w:szCs w:val="21"/>
          <w:highlight w:val="none"/>
        </w:rPr>
        <w:t>9</w:t>
      </w:r>
      <w:r>
        <w:rPr>
          <w:rFonts w:ascii="宋体" w:hAnsi="宋体"/>
          <w:b/>
          <w:color w:val="auto"/>
          <w:sz w:val="21"/>
          <w:szCs w:val="21"/>
          <w:highlight w:val="none"/>
        </w:rPr>
        <w:t>．</w:t>
      </w:r>
      <w:r>
        <w:rPr>
          <w:rFonts w:hint="eastAsia" w:ascii="宋体" w:hAnsi="宋体"/>
          <w:b/>
          <w:color w:val="auto"/>
          <w:sz w:val="21"/>
          <w:szCs w:val="21"/>
          <w:highlight w:val="none"/>
        </w:rPr>
        <w:t>磋商响应文件递交方式和</w:t>
      </w:r>
      <w:r>
        <w:rPr>
          <w:rFonts w:ascii="宋体" w:hAnsi="宋体"/>
          <w:b/>
          <w:color w:val="auto"/>
          <w:sz w:val="21"/>
          <w:szCs w:val="21"/>
          <w:highlight w:val="none"/>
        </w:rPr>
        <w:t>磋商截止时间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9</w:t>
      </w:r>
      <w:r>
        <w:rPr>
          <w:rFonts w:ascii="宋体" w:hAnsi="宋体"/>
          <w:color w:val="auto"/>
          <w:sz w:val="21"/>
          <w:szCs w:val="21"/>
          <w:highlight w:val="none"/>
        </w:rPr>
        <w:t>.1</w:t>
      </w:r>
      <w:r>
        <w:rPr>
          <w:rFonts w:hint="eastAsia" w:ascii="宋体" w:hAnsi="宋体"/>
          <w:color w:val="auto"/>
          <w:sz w:val="21"/>
          <w:szCs w:val="21"/>
          <w:highlight w:val="none"/>
        </w:rPr>
        <w:t>供应商必须派出代表，</w:t>
      </w:r>
      <w:r>
        <w:rPr>
          <w:rFonts w:ascii="宋体" w:hAnsi="宋体"/>
          <w:color w:val="auto"/>
          <w:sz w:val="21"/>
          <w:szCs w:val="21"/>
          <w:highlight w:val="none"/>
        </w:rPr>
        <w:t>在“磋商须知前附表”</w:t>
      </w:r>
      <w:r>
        <w:rPr>
          <w:rFonts w:hint="eastAsia" w:ascii="宋体" w:hAnsi="宋体"/>
          <w:color w:val="auto"/>
          <w:sz w:val="21"/>
          <w:szCs w:val="21"/>
          <w:highlight w:val="none"/>
        </w:rPr>
        <w:t>规定的磋商响应文件递交</w:t>
      </w:r>
      <w:r>
        <w:rPr>
          <w:rFonts w:ascii="宋体" w:hAnsi="宋体"/>
          <w:color w:val="auto"/>
          <w:sz w:val="21"/>
          <w:szCs w:val="21"/>
          <w:highlight w:val="none"/>
        </w:rPr>
        <w:t>截止时间前，将全部磋商响应文件和磋商报价资料递交至磋商地点</w:t>
      </w:r>
      <w:r>
        <w:rPr>
          <w:rFonts w:hint="eastAsia" w:ascii="宋体" w:hAnsi="宋体"/>
          <w:color w:val="auto"/>
          <w:sz w:val="21"/>
          <w:szCs w:val="21"/>
          <w:highlight w:val="none"/>
        </w:rPr>
        <w:t>并签字确认。磋商地点见</w:t>
      </w:r>
      <w:r>
        <w:rPr>
          <w:rFonts w:ascii="宋体" w:hAnsi="宋体"/>
          <w:color w:val="auto"/>
          <w:sz w:val="21"/>
          <w:szCs w:val="21"/>
          <w:highlight w:val="none"/>
        </w:rPr>
        <w:t>“磋商须知前附表”</w:t>
      </w:r>
      <w:r>
        <w:rPr>
          <w:rFonts w:hint="eastAsia" w:ascii="宋体" w:hAnsi="宋体"/>
          <w:color w:val="auto"/>
          <w:sz w:val="21"/>
          <w:szCs w:val="21"/>
          <w:highlight w:val="none"/>
        </w:rPr>
        <w:t>指明的地址或采购代理机构另行通知的地址。</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19.2 若磋商文件未规定接受邮寄方式递交磋商响应文件，以邮寄方式递交磋商响应文件的，其</w:t>
      </w:r>
      <w:r>
        <w:rPr>
          <w:rFonts w:ascii="宋体" w:hAnsi="宋体"/>
          <w:color w:val="auto"/>
          <w:sz w:val="21"/>
          <w:szCs w:val="21"/>
          <w:highlight w:val="none"/>
        </w:rPr>
        <w:t>磋商</w:t>
      </w:r>
      <w:r>
        <w:rPr>
          <w:rFonts w:hint="eastAsia" w:ascii="宋体" w:hAnsi="宋体"/>
          <w:color w:val="auto"/>
          <w:sz w:val="21"/>
          <w:szCs w:val="21"/>
          <w:highlight w:val="none"/>
        </w:rPr>
        <w:t>响应文件</w:t>
      </w:r>
      <w:r>
        <w:rPr>
          <w:rFonts w:ascii="宋体" w:hAnsi="宋体"/>
          <w:color w:val="auto"/>
          <w:sz w:val="21"/>
          <w:szCs w:val="21"/>
          <w:highlight w:val="none"/>
        </w:rPr>
        <w:t>将</w:t>
      </w:r>
      <w:r>
        <w:rPr>
          <w:rFonts w:hint="eastAsia" w:ascii="宋体" w:hAnsi="宋体"/>
          <w:color w:val="auto"/>
          <w:sz w:val="21"/>
          <w:szCs w:val="21"/>
          <w:highlight w:val="none"/>
        </w:rPr>
        <w:t>按照无效处理。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19.</w:t>
      </w:r>
      <w:r>
        <w:rPr>
          <w:rFonts w:hint="eastAsia" w:ascii="宋体" w:hAnsi="宋体"/>
          <w:color w:val="auto"/>
          <w:sz w:val="21"/>
          <w:szCs w:val="21"/>
          <w:highlight w:val="none"/>
        </w:rPr>
        <w:t>3</w:t>
      </w:r>
      <w:r>
        <w:rPr>
          <w:rFonts w:ascii="宋体" w:hAnsi="宋体"/>
          <w:color w:val="auto"/>
          <w:sz w:val="21"/>
          <w:szCs w:val="21"/>
          <w:highlight w:val="none"/>
        </w:rPr>
        <w:t>采购代理机构拒绝接</w:t>
      </w:r>
      <w:r>
        <w:rPr>
          <w:rFonts w:hint="eastAsia" w:ascii="宋体" w:hAnsi="宋体"/>
          <w:color w:val="auto"/>
          <w:sz w:val="21"/>
          <w:szCs w:val="21"/>
          <w:highlight w:val="none"/>
        </w:rPr>
        <w:t>收</w:t>
      </w:r>
      <w:r>
        <w:rPr>
          <w:rFonts w:ascii="宋体" w:hAnsi="宋体"/>
          <w:color w:val="auto"/>
          <w:sz w:val="21"/>
          <w:szCs w:val="21"/>
          <w:highlight w:val="none"/>
        </w:rPr>
        <w:t>在规定的磋商</w:t>
      </w:r>
      <w:r>
        <w:rPr>
          <w:rFonts w:hint="eastAsia" w:ascii="宋体" w:hAnsi="宋体"/>
          <w:color w:val="auto"/>
          <w:sz w:val="21"/>
          <w:szCs w:val="21"/>
          <w:highlight w:val="none"/>
        </w:rPr>
        <w:t>响应文件递交</w:t>
      </w:r>
      <w:r>
        <w:rPr>
          <w:rFonts w:ascii="宋体" w:hAnsi="宋体"/>
          <w:color w:val="auto"/>
          <w:sz w:val="21"/>
          <w:szCs w:val="21"/>
          <w:highlight w:val="none"/>
        </w:rPr>
        <w:t>截止时间后</w:t>
      </w:r>
      <w:r>
        <w:rPr>
          <w:rFonts w:hint="eastAsia" w:ascii="宋体" w:hAnsi="宋体"/>
          <w:color w:val="auto"/>
          <w:sz w:val="21"/>
          <w:szCs w:val="21"/>
          <w:highlight w:val="none"/>
        </w:rPr>
        <w:t>递交</w:t>
      </w:r>
      <w:r>
        <w:rPr>
          <w:rFonts w:ascii="宋体" w:hAnsi="宋体"/>
          <w:color w:val="auto"/>
          <w:sz w:val="21"/>
          <w:szCs w:val="21"/>
          <w:highlight w:val="none"/>
        </w:rPr>
        <w:t>的磋商响应文件</w:t>
      </w:r>
      <w:r>
        <w:rPr>
          <w:rFonts w:hint="eastAsia" w:ascii="宋体" w:hAnsi="宋体"/>
          <w:color w:val="auto"/>
          <w:sz w:val="21"/>
          <w:szCs w:val="21"/>
          <w:highlight w:val="none"/>
        </w:rPr>
        <w:t>和磋商报价资料</w:t>
      </w:r>
      <w:r>
        <w:rPr>
          <w:rFonts w:ascii="宋体" w:hAnsi="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20．磋商报价的修改与撤回</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20.</w:t>
      </w:r>
      <w:r>
        <w:rPr>
          <w:rFonts w:hint="eastAsia" w:ascii="宋体" w:hAnsi="宋体"/>
          <w:color w:val="auto"/>
          <w:sz w:val="21"/>
          <w:szCs w:val="21"/>
          <w:highlight w:val="none"/>
        </w:rPr>
        <w:t>1</w:t>
      </w:r>
      <w:r>
        <w:rPr>
          <w:rFonts w:ascii="宋体" w:hAnsi="宋体"/>
          <w:color w:val="auto"/>
          <w:sz w:val="21"/>
          <w:szCs w:val="21"/>
          <w:highlight w:val="none"/>
        </w:rPr>
        <w:t>供应商在递交磋商响应文件后，可以修改或撤回其磋商响应文件，也可以提出价格变动声明，但供应商必须在规定的磋商</w:t>
      </w:r>
      <w:r>
        <w:rPr>
          <w:rFonts w:hint="eastAsia" w:ascii="宋体" w:hAnsi="宋体"/>
          <w:color w:val="auto"/>
          <w:sz w:val="21"/>
          <w:szCs w:val="21"/>
          <w:highlight w:val="none"/>
        </w:rPr>
        <w:t>响应文件递交</w:t>
      </w:r>
      <w:r>
        <w:rPr>
          <w:rFonts w:ascii="宋体" w:hAnsi="宋体"/>
          <w:color w:val="auto"/>
          <w:sz w:val="21"/>
          <w:szCs w:val="21"/>
          <w:highlight w:val="none"/>
        </w:rPr>
        <w:t>截止</w:t>
      </w:r>
      <w:r>
        <w:rPr>
          <w:rFonts w:hint="eastAsia" w:ascii="宋体" w:hAnsi="宋体"/>
          <w:color w:val="auto"/>
          <w:sz w:val="21"/>
          <w:szCs w:val="21"/>
          <w:highlight w:val="none"/>
        </w:rPr>
        <w:t>时间</w:t>
      </w:r>
      <w:r>
        <w:rPr>
          <w:rFonts w:ascii="宋体" w:hAnsi="宋体"/>
          <w:color w:val="auto"/>
          <w:sz w:val="21"/>
          <w:szCs w:val="21"/>
          <w:highlight w:val="none"/>
        </w:rPr>
        <w:t>之前将修改或撤回或变动价格的书面通知文件递交到采购代理机构。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20.2 供应商的修改或撤回或变动价格的通知应按本须知第17条</w:t>
      </w:r>
      <w:r>
        <w:rPr>
          <w:rFonts w:hint="eastAsia" w:ascii="宋体" w:hAnsi="宋体"/>
          <w:color w:val="auto"/>
          <w:sz w:val="21"/>
          <w:szCs w:val="21"/>
          <w:highlight w:val="none"/>
        </w:rPr>
        <w:t>和18条</w:t>
      </w:r>
      <w:r>
        <w:rPr>
          <w:rFonts w:ascii="宋体" w:hAnsi="宋体"/>
          <w:color w:val="auto"/>
          <w:sz w:val="21"/>
          <w:szCs w:val="21"/>
          <w:highlight w:val="none"/>
        </w:rPr>
        <w:t>的规定编制、密封、标记和递交。</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20.3 在磋商</w:t>
      </w:r>
      <w:r>
        <w:rPr>
          <w:rFonts w:hint="eastAsia" w:ascii="宋体" w:hAnsi="宋体"/>
          <w:color w:val="auto"/>
          <w:sz w:val="21"/>
          <w:szCs w:val="21"/>
          <w:highlight w:val="none"/>
        </w:rPr>
        <w:t>响应文件递交</w:t>
      </w:r>
      <w:r>
        <w:rPr>
          <w:rFonts w:ascii="宋体" w:hAnsi="宋体"/>
          <w:color w:val="auto"/>
          <w:sz w:val="21"/>
          <w:szCs w:val="21"/>
          <w:highlight w:val="none"/>
        </w:rPr>
        <w:t>截止时间之后，供应商不得对其</w:t>
      </w:r>
      <w:r>
        <w:rPr>
          <w:rFonts w:hint="eastAsia" w:ascii="宋体" w:hAnsi="宋体"/>
          <w:color w:val="auto"/>
          <w:sz w:val="21"/>
          <w:szCs w:val="21"/>
          <w:highlight w:val="none"/>
        </w:rPr>
        <w:t>已递交的</w:t>
      </w:r>
      <w:r>
        <w:rPr>
          <w:rFonts w:ascii="宋体" w:hAnsi="宋体"/>
          <w:color w:val="auto"/>
          <w:sz w:val="21"/>
          <w:szCs w:val="21"/>
          <w:highlight w:val="none"/>
        </w:rPr>
        <w:t>磋商报价做任何修改或撤回。</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20.4在磋商结束之后，对于供应商正常经营活动必须的资质和证明文件原件（包括但不限于：营业执照、经营许可证、资质等级证书、成交通知书、经济合同等），经审查后予以退还。其他磋商响应文件和资料一律不予退还。</w:t>
      </w:r>
    </w:p>
    <w:p>
      <w:pPr>
        <w:pStyle w:val="30"/>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3"/>
          <w:rFonts w:hint="eastAsia" w:ascii="宋体" w:hAnsi="宋体" w:eastAsia="宋体" w:cs="宋体"/>
          <w:color w:val="auto"/>
          <w:highlight w:val="none"/>
        </w:rPr>
      </w:pPr>
      <w:r>
        <w:rPr>
          <w:rStyle w:val="33"/>
          <w:rFonts w:hint="eastAsia" w:ascii="宋体" w:hAnsi="宋体" w:eastAsia="宋体" w:cs="宋体"/>
          <w:color w:val="auto"/>
          <w:highlight w:val="none"/>
        </w:rPr>
        <w:t>五、磋商与评审</w:t>
      </w:r>
      <w:bookmarkEnd w:id="21"/>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b/>
          <w:color w:val="auto"/>
          <w:sz w:val="21"/>
          <w:szCs w:val="21"/>
          <w:highlight w:val="none"/>
        </w:rPr>
      </w:pPr>
      <w:r>
        <w:rPr>
          <w:rFonts w:ascii="宋体" w:hAnsi="宋体"/>
          <w:b/>
          <w:color w:val="auto"/>
          <w:sz w:val="21"/>
          <w:szCs w:val="21"/>
          <w:highlight w:val="none"/>
        </w:rPr>
        <w:t>21.</w:t>
      </w:r>
      <w:r>
        <w:rPr>
          <w:rFonts w:hint="eastAsia" w:ascii="宋体" w:hAnsi="宋体"/>
          <w:b/>
          <w:color w:val="auto"/>
          <w:sz w:val="21"/>
          <w:szCs w:val="21"/>
          <w:highlight w:val="none"/>
        </w:rPr>
        <w:t>磋商小组和磋商评审原则</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bookmarkStart w:id="22" w:name="_Hlk36458583"/>
      <w:r>
        <w:rPr>
          <w:rFonts w:hint="eastAsia" w:ascii="宋体" w:hAnsi="宋体"/>
          <w:color w:val="auto"/>
          <w:sz w:val="21"/>
          <w:szCs w:val="21"/>
          <w:highlight w:val="none"/>
        </w:rPr>
        <w:t>21.1按照《中华人民共和国政府采购法》、《中华人民共和国政府采购法实施条例》和《政府采购竞争性磋商采购方式管理暂行办法》财库</w:t>
      </w:r>
      <w:r>
        <w:rPr>
          <w:rFonts w:hint="eastAsia" w:ascii="宋体" w:hAnsi="宋体" w:cs="宋体"/>
          <w:color w:val="auto"/>
          <w:sz w:val="21"/>
          <w:szCs w:val="21"/>
          <w:highlight w:val="none"/>
        </w:rPr>
        <w:t>〔2014〕</w:t>
      </w:r>
      <w:r>
        <w:rPr>
          <w:rFonts w:hint="eastAsia" w:ascii="宋体" w:hAnsi="宋体"/>
          <w:color w:val="auto"/>
          <w:sz w:val="21"/>
          <w:szCs w:val="21"/>
          <w:highlight w:val="none"/>
        </w:rPr>
        <w:t>214号的规定，采购机构将依法组建竞争性磋商小组，依法进行磋商和评审工作。</w:t>
      </w:r>
    </w:p>
    <w:bookmarkEnd w:id="22"/>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21.2</w:t>
      </w:r>
      <w:r>
        <w:rPr>
          <w:rFonts w:ascii="宋体" w:hAnsi="宋体"/>
          <w:color w:val="auto"/>
          <w:sz w:val="21"/>
          <w:szCs w:val="21"/>
          <w:highlight w:val="none"/>
        </w:rPr>
        <w:t>磋商文件和</w:t>
      </w:r>
      <w:r>
        <w:rPr>
          <w:rFonts w:hint="eastAsia" w:ascii="宋体" w:hAnsi="宋体"/>
          <w:color w:val="auto"/>
          <w:sz w:val="21"/>
          <w:szCs w:val="21"/>
          <w:highlight w:val="none"/>
        </w:rPr>
        <w:t>供应商的</w:t>
      </w:r>
      <w:r>
        <w:rPr>
          <w:rFonts w:ascii="宋体" w:hAnsi="宋体"/>
          <w:color w:val="auto"/>
          <w:sz w:val="21"/>
          <w:szCs w:val="21"/>
          <w:highlight w:val="none"/>
        </w:rPr>
        <w:t>响应文件是评审的依据。</w:t>
      </w:r>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22.</w:t>
      </w:r>
      <w:r>
        <w:rPr>
          <w:rFonts w:ascii="宋体" w:hAnsi="宋体"/>
          <w:b/>
          <w:color w:val="auto"/>
          <w:sz w:val="21"/>
          <w:szCs w:val="21"/>
          <w:highlight w:val="none"/>
        </w:rPr>
        <w:t>磋商</w:t>
      </w:r>
      <w:r>
        <w:rPr>
          <w:rFonts w:hint="eastAsia" w:ascii="宋体" w:hAnsi="宋体"/>
          <w:b/>
          <w:color w:val="auto"/>
          <w:sz w:val="21"/>
          <w:szCs w:val="21"/>
          <w:highlight w:val="none"/>
        </w:rPr>
        <w:t>及评审程序</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2</w:t>
      </w:r>
      <w:r>
        <w:rPr>
          <w:rFonts w:ascii="宋体" w:hAnsi="宋体"/>
          <w:color w:val="auto"/>
          <w:sz w:val="21"/>
          <w:szCs w:val="21"/>
          <w:highlight w:val="none"/>
        </w:rPr>
        <w:t>.1采购代理机构在规定的时间和地点组织磋商。</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22.2本次磋商的报价次数、磋商程序和最终报价的产生原则见“磋商须知前附表”的规定。</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22.3磋商开始后，</w:t>
      </w:r>
      <w:r>
        <w:rPr>
          <w:rFonts w:ascii="ˎ̥" w:hAnsi="ˎ̥" w:cs="宋体"/>
          <w:color w:val="auto"/>
          <w:kern w:val="0"/>
          <w:sz w:val="21"/>
          <w:szCs w:val="21"/>
          <w:highlight w:val="none"/>
        </w:rPr>
        <w:t>磋商小组</w:t>
      </w:r>
      <w:r>
        <w:rPr>
          <w:rFonts w:hint="eastAsia" w:ascii="ˎ̥" w:hAnsi="ˎ̥" w:cs="宋体"/>
          <w:color w:val="auto"/>
          <w:kern w:val="0"/>
          <w:sz w:val="21"/>
          <w:szCs w:val="21"/>
          <w:highlight w:val="none"/>
        </w:rPr>
        <w:t>首先</w:t>
      </w:r>
      <w:r>
        <w:rPr>
          <w:rFonts w:ascii="ˎ̥" w:hAnsi="ˎ̥" w:cs="宋体"/>
          <w:color w:val="auto"/>
          <w:kern w:val="0"/>
          <w:sz w:val="21"/>
          <w:szCs w:val="21"/>
          <w:highlight w:val="none"/>
        </w:rPr>
        <w:t>对响应文件进行评审，并根据磋商文件规定的程序、评定成交的标准等事项与实质性响应磋商文件要求的供应商进行磋商。未实质性响应磋商文件的响应文件按无效处理，磋商小组</w:t>
      </w:r>
      <w:r>
        <w:rPr>
          <w:rFonts w:hint="eastAsia" w:ascii="ˎ̥" w:hAnsi="ˎ̥" w:cs="宋体"/>
          <w:color w:val="auto"/>
          <w:kern w:val="0"/>
          <w:sz w:val="21"/>
          <w:szCs w:val="21"/>
          <w:highlight w:val="none"/>
        </w:rPr>
        <w:t>将</w:t>
      </w:r>
      <w:r>
        <w:rPr>
          <w:rFonts w:ascii="ˎ̥" w:hAnsi="ˎ̥" w:cs="宋体"/>
          <w:color w:val="auto"/>
          <w:kern w:val="0"/>
          <w:sz w:val="21"/>
          <w:szCs w:val="21"/>
          <w:highlight w:val="none"/>
        </w:rPr>
        <w:t>告知有关供应商。</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ˎ̥" w:hAnsi="ˎ̥" w:cs="宋体"/>
          <w:color w:val="auto"/>
          <w:kern w:val="0"/>
          <w:sz w:val="21"/>
          <w:szCs w:val="21"/>
          <w:highlight w:val="none"/>
        </w:rPr>
      </w:pPr>
      <w:r>
        <w:rPr>
          <w:rFonts w:hint="eastAsia" w:ascii="宋体" w:hAnsi="宋体"/>
          <w:color w:val="auto"/>
          <w:sz w:val="21"/>
          <w:szCs w:val="21"/>
          <w:highlight w:val="none"/>
        </w:rPr>
        <w:t>22.4</w:t>
      </w:r>
      <w:r>
        <w:rPr>
          <w:rFonts w:ascii="ˎ̥" w:hAnsi="ˎ̥" w:cs="宋体"/>
          <w:color w:val="auto"/>
          <w:kern w:val="0"/>
          <w:sz w:val="21"/>
          <w:szCs w:val="21"/>
          <w:highlight w:val="none"/>
        </w:rPr>
        <w:t>磋商小组所有成员集中与单一供应商分别进行磋商，并给予所有参加磋商的供应商平等的磋商机会。</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22.5</w:t>
      </w:r>
      <w:r>
        <w:rPr>
          <w:rFonts w:ascii="宋体" w:hAnsi="宋体"/>
          <w:color w:val="auto"/>
          <w:sz w:val="21"/>
          <w:szCs w:val="21"/>
          <w:highlight w:val="none"/>
        </w:rPr>
        <w:t>在磋商过程中，磋商小组可以根据磋商文件和磋商情况实质性变动采购需求中的技术、服务要求以及合同草案条款</w:t>
      </w:r>
      <w:r>
        <w:rPr>
          <w:rFonts w:hint="eastAsia" w:ascii="宋体" w:hAnsi="宋体"/>
          <w:color w:val="auto"/>
          <w:sz w:val="21"/>
          <w:szCs w:val="21"/>
          <w:highlight w:val="none"/>
        </w:rPr>
        <w:t>。所有</w:t>
      </w:r>
      <w:r>
        <w:rPr>
          <w:rFonts w:ascii="宋体" w:hAnsi="宋体"/>
          <w:color w:val="auto"/>
          <w:sz w:val="21"/>
          <w:szCs w:val="21"/>
          <w:highlight w:val="none"/>
        </w:rPr>
        <w:t>变动</w:t>
      </w:r>
      <w:r>
        <w:rPr>
          <w:rFonts w:hint="eastAsia" w:ascii="宋体" w:hAnsi="宋体"/>
          <w:color w:val="auto"/>
          <w:sz w:val="21"/>
          <w:szCs w:val="21"/>
          <w:highlight w:val="none"/>
        </w:rPr>
        <w:t>内容均</w:t>
      </w:r>
      <w:r>
        <w:rPr>
          <w:rFonts w:ascii="宋体" w:hAnsi="宋体"/>
          <w:color w:val="auto"/>
          <w:sz w:val="21"/>
          <w:szCs w:val="21"/>
          <w:highlight w:val="none"/>
        </w:rPr>
        <w:t>是磋商文件的有效组成部分，磋商小组</w:t>
      </w:r>
      <w:r>
        <w:rPr>
          <w:rFonts w:hint="eastAsia" w:ascii="宋体" w:hAnsi="宋体"/>
          <w:color w:val="auto"/>
          <w:sz w:val="21"/>
          <w:szCs w:val="21"/>
          <w:highlight w:val="none"/>
        </w:rPr>
        <w:t>将</w:t>
      </w:r>
      <w:r>
        <w:rPr>
          <w:rFonts w:ascii="宋体" w:hAnsi="宋体"/>
          <w:color w:val="auto"/>
          <w:sz w:val="21"/>
          <w:szCs w:val="21"/>
          <w:highlight w:val="none"/>
        </w:rPr>
        <w:t>以书面形式同时通知所有参加磋商的供应商。</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22.6参加磋商的</w:t>
      </w:r>
      <w:r>
        <w:rPr>
          <w:rFonts w:ascii="宋体" w:hAnsi="宋体"/>
          <w:color w:val="auto"/>
          <w:sz w:val="21"/>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22.7磋商结束后，</w:t>
      </w:r>
      <w:r>
        <w:rPr>
          <w:rFonts w:ascii="宋体" w:hAnsi="宋体"/>
          <w:color w:val="auto"/>
          <w:sz w:val="21"/>
          <w:szCs w:val="21"/>
          <w:highlight w:val="none"/>
        </w:rPr>
        <w:t>磋商小组要求所有继续参加磋商的供应商在规定时间内提交最后报价，最后报价是供应商响应文件的有效组成部分。</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22.8</w:t>
      </w:r>
      <w:r>
        <w:rPr>
          <w:rFonts w:ascii="宋体" w:hAnsi="宋体"/>
          <w:color w:val="auto"/>
          <w:sz w:val="21"/>
          <w:szCs w:val="21"/>
          <w:highlight w:val="none"/>
        </w:rPr>
        <w:t>已提交响应文件的供应商，在提交最后报价之前，可以根据磋商情况退出磋商。采购机构</w:t>
      </w:r>
      <w:r>
        <w:rPr>
          <w:rFonts w:hint="eastAsia" w:ascii="宋体" w:hAnsi="宋体"/>
          <w:color w:val="auto"/>
          <w:sz w:val="21"/>
          <w:szCs w:val="21"/>
          <w:highlight w:val="none"/>
        </w:rPr>
        <w:t>将</w:t>
      </w:r>
      <w:r>
        <w:rPr>
          <w:rFonts w:ascii="宋体" w:hAnsi="宋体"/>
          <w:color w:val="auto"/>
          <w:sz w:val="21"/>
          <w:szCs w:val="21"/>
          <w:highlight w:val="none"/>
        </w:rPr>
        <w:t>退还退出磋商的供应商的保证金。</w:t>
      </w:r>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23．评审过程的保密</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23.1竞争性磋商小组成员和与评审活动有关的工作人员不得泄露有关磋商响应文件的评审和比较、成交候选人的推荐以及与评审有关的其他情况。</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23.2在评审过程中，如果供应商试图在磋商响应文件的评审和比较、成交候选人的推荐以及与评审有关的其他方面，向磋商小组、采购人和采购代理机构施加任何影响，</w:t>
      </w:r>
      <w:r>
        <w:rPr>
          <w:rFonts w:hint="eastAsia" w:ascii="宋体" w:hAnsi="宋体"/>
          <w:color w:val="auto"/>
          <w:sz w:val="21"/>
          <w:szCs w:val="21"/>
          <w:highlight w:val="none"/>
        </w:rPr>
        <w:t>其</w:t>
      </w:r>
      <w:r>
        <w:rPr>
          <w:rFonts w:ascii="宋体" w:hAnsi="宋体"/>
          <w:color w:val="auto"/>
          <w:sz w:val="21"/>
          <w:szCs w:val="21"/>
          <w:highlight w:val="none"/>
        </w:rPr>
        <w:t>磋商</w:t>
      </w:r>
      <w:r>
        <w:rPr>
          <w:rFonts w:hint="eastAsia" w:ascii="宋体" w:hAnsi="宋体"/>
          <w:color w:val="auto"/>
          <w:sz w:val="21"/>
          <w:szCs w:val="21"/>
          <w:highlight w:val="none"/>
        </w:rPr>
        <w:t>响应文件</w:t>
      </w:r>
      <w:r>
        <w:rPr>
          <w:rFonts w:ascii="宋体" w:hAnsi="宋体"/>
          <w:color w:val="auto"/>
          <w:sz w:val="21"/>
          <w:szCs w:val="21"/>
          <w:highlight w:val="none"/>
        </w:rPr>
        <w:t>将</w:t>
      </w:r>
      <w:r>
        <w:rPr>
          <w:rFonts w:hint="eastAsia" w:ascii="宋体" w:hAnsi="宋体"/>
          <w:color w:val="auto"/>
          <w:sz w:val="21"/>
          <w:szCs w:val="21"/>
          <w:highlight w:val="none"/>
        </w:rPr>
        <w:t>按照无效处理</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24．评审方法</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color w:val="auto"/>
          <w:sz w:val="21"/>
          <w:szCs w:val="21"/>
          <w:highlight w:val="none"/>
        </w:rPr>
        <w:t>24.1按照《中华人民共和国政府采购法》、《中华人民共和国政府采购法实施条例》和《政府采购竞争性磋商采购方式管理暂行办法》财库</w:t>
      </w:r>
      <w:r>
        <w:rPr>
          <w:rFonts w:hint="eastAsia" w:ascii="宋体" w:hAnsi="宋体" w:cs="宋体"/>
          <w:color w:val="auto"/>
          <w:sz w:val="21"/>
          <w:szCs w:val="21"/>
          <w:highlight w:val="none"/>
        </w:rPr>
        <w:t>〔2014〕</w:t>
      </w:r>
      <w:r>
        <w:rPr>
          <w:rFonts w:hint="eastAsia" w:ascii="宋体" w:hAnsi="宋体"/>
          <w:color w:val="auto"/>
          <w:sz w:val="21"/>
          <w:szCs w:val="21"/>
          <w:highlight w:val="none"/>
        </w:rPr>
        <w:t>214号的规定，磋商小组根据综合评分情况，按照评审得分由高到低顺序推荐3名成交候选供应商</w:t>
      </w:r>
      <w:r>
        <w:rPr>
          <w:rFonts w:hint="eastAsia" w:ascii="宋体" w:hAnsi="宋体" w:eastAsia="宋体" w:cs="宋体"/>
          <w:color w:val="auto"/>
          <w:sz w:val="21"/>
          <w:szCs w:val="21"/>
          <w:highlight w:val="none"/>
        </w:rPr>
        <w:t>。</w:t>
      </w:r>
    </w:p>
    <w:p>
      <w:pPr>
        <w:pStyle w:val="30"/>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3"/>
          <w:rFonts w:hint="eastAsia" w:ascii="宋体" w:hAnsi="宋体" w:eastAsia="宋体" w:cs="宋体"/>
          <w:color w:val="auto"/>
          <w:highlight w:val="none"/>
        </w:rPr>
      </w:pPr>
      <w:bookmarkStart w:id="23" w:name="_Toc14917"/>
      <w:r>
        <w:rPr>
          <w:rStyle w:val="33"/>
          <w:rFonts w:hint="eastAsia" w:ascii="宋体" w:hAnsi="宋体" w:eastAsia="宋体" w:cs="宋体"/>
          <w:color w:val="auto"/>
          <w:highlight w:val="none"/>
        </w:rPr>
        <w:t>六、确定成交人、成交通知与签约</w:t>
      </w:r>
      <w:bookmarkEnd w:id="23"/>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int="eastAsia"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确定成交人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5</w:t>
      </w:r>
      <w:r>
        <w:rPr>
          <w:rFonts w:ascii="宋体" w:hAnsi="宋体"/>
          <w:color w:val="auto"/>
          <w:sz w:val="21"/>
          <w:szCs w:val="21"/>
          <w:highlight w:val="none"/>
        </w:rPr>
        <w:t>.1</w:t>
      </w:r>
      <w:r>
        <w:rPr>
          <w:rFonts w:hint="eastAsia" w:ascii="宋体" w:hAnsi="宋体"/>
          <w:color w:val="auto"/>
          <w:sz w:val="21"/>
          <w:szCs w:val="21"/>
          <w:highlight w:val="none"/>
        </w:rPr>
        <w:t>磋商小组</w:t>
      </w:r>
      <w:r>
        <w:rPr>
          <w:rFonts w:ascii="宋体" w:hAnsi="宋体"/>
          <w:color w:val="auto"/>
          <w:sz w:val="21"/>
          <w:szCs w:val="21"/>
          <w:highlight w:val="none"/>
        </w:rPr>
        <w:t>根据评审方法的规定对供应商进行评审排序，推荐成交候选人，</w:t>
      </w:r>
      <w:r>
        <w:rPr>
          <w:rFonts w:hint="eastAsia" w:ascii="宋体" w:hAnsi="宋体"/>
          <w:color w:val="auto"/>
          <w:sz w:val="21"/>
          <w:szCs w:val="21"/>
          <w:highlight w:val="none"/>
        </w:rPr>
        <w:t>形成评审报告</w:t>
      </w:r>
      <w:r>
        <w:rPr>
          <w:rFonts w:ascii="宋体" w:hAnsi="宋体"/>
          <w:color w:val="auto"/>
          <w:sz w:val="21"/>
          <w:szCs w:val="21"/>
          <w:highlight w:val="none"/>
        </w:rPr>
        <w:t>。</w:t>
      </w:r>
      <w:r>
        <w:rPr>
          <w:rFonts w:hint="eastAsia" w:ascii="宋体" w:hAnsi="宋体"/>
          <w:color w:val="auto"/>
          <w:sz w:val="21"/>
          <w:szCs w:val="21"/>
          <w:highlight w:val="none"/>
        </w:rPr>
        <w:t>评审报告</w:t>
      </w:r>
      <w:r>
        <w:rPr>
          <w:rFonts w:ascii="宋体" w:hAnsi="宋体"/>
          <w:color w:val="auto"/>
          <w:sz w:val="21"/>
          <w:szCs w:val="21"/>
          <w:highlight w:val="none"/>
        </w:rPr>
        <w:t>由</w:t>
      </w:r>
      <w:r>
        <w:rPr>
          <w:rFonts w:hint="eastAsia" w:ascii="宋体" w:hAnsi="宋体"/>
          <w:color w:val="auto"/>
          <w:sz w:val="21"/>
          <w:szCs w:val="21"/>
          <w:highlight w:val="none"/>
        </w:rPr>
        <w:t>磋商小组成员</w:t>
      </w:r>
      <w:r>
        <w:rPr>
          <w:rFonts w:ascii="宋体" w:hAnsi="宋体"/>
          <w:color w:val="auto"/>
          <w:sz w:val="21"/>
          <w:szCs w:val="21"/>
          <w:highlight w:val="none"/>
        </w:rPr>
        <w:t>签字确认。</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ˎ̥" w:hAnsi="ˎ̥" w:cs="宋体"/>
          <w:color w:val="auto"/>
          <w:kern w:val="0"/>
          <w:sz w:val="21"/>
          <w:szCs w:val="21"/>
          <w:highlight w:val="none"/>
        </w:rPr>
      </w:pPr>
      <w:r>
        <w:rPr>
          <w:rFonts w:ascii="宋体" w:hAnsi="宋体"/>
          <w:color w:val="auto"/>
          <w:sz w:val="21"/>
          <w:szCs w:val="21"/>
          <w:highlight w:val="none"/>
        </w:rPr>
        <w:t>25.2采购人</w:t>
      </w:r>
      <w:r>
        <w:rPr>
          <w:rFonts w:ascii="ˎ̥" w:hAnsi="ˎ̥" w:cs="宋体"/>
          <w:color w:val="auto"/>
          <w:kern w:val="0"/>
          <w:sz w:val="21"/>
          <w:szCs w:val="21"/>
          <w:highlight w:val="none"/>
        </w:rPr>
        <w:t>从评审报告提出的成交候选人中，根据质量和服务均能满足</w:t>
      </w:r>
      <w:r>
        <w:rPr>
          <w:rFonts w:hint="eastAsia" w:ascii="ˎ̥" w:hAnsi="ˎ̥" w:cs="宋体"/>
          <w:color w:val="auto"/>
          <w:kern w:val="0"/>
          <w:sz w:val="21"/>
          <w:szCs w:val="21"/>
          <w:highlight w:val="none"/>
        </w:rPr>
        <w:t>磋商</w:t>
      </w:r>
      <w:r>
        <w:rPr>
          <w:rFonts w:ascii="ˎ̥" w:hAnsi="ˎ̥" w:cs="宋体"/>
          <w:color w:val="auto"/>
          <w:kern w:val="0"/>
          <w:sz w:val="21"/>
          <w:szCs w:val="21"/>
          <w:highlight w:val="none"/>
        </w:rPr>
        <w:t>文件实质性响应要求且</w:t>
      </w:r>
      <w:r>
        <w:rPr>
          <w:rFonts w:hint="eastAsia" w:ascii="宋体" w:hAnsi="宋体"/>
          <w:color w:val="auto"/>
          <w:sz w:val="21"/>
          <w:szCs w:val="21"/>
          <w:highlight w:val="none"/>
        </w:rPr>
        <w:t>评分</w:t>
      </w:r>
      <w:r>
        <w:rPr>
          <w:rFonts w:hint="eastAsia" w:ascii="ˎ̥" w:hAnsi="ˎ̥" w:cs="宋体"/>
          <w:color w:val="auto"/>
          <w:kern w:val="0"/>
          <w:sz w:val="21"/>
          <w:szCs w:val="21"/>
          <w:highlight w:val="none"/>
        </w:rPr>
        <w:t>最高</w:t>
      </w:r>
      <w:r>
        <w:rPr>
          <w:rFonts w:ascii="ˎ̥" w:hAnsi="ˎ̥" w:cs="宋体"/>
          <w:color w:val="auto"/>
          <w:kern w:val="0"/>
          <w:sz w:val="21"/>
          <w:szCs w:val="21"/>
          <w:highlight w:val="none"/>
        </w:rPr>
        <w:t>的原则确定成交供应商</w:t>
      </w:r>
      <w:r>
        <w:rPr>
          <w:rFonts w:hint="eastAsia" w:ascii="ˎ̥" w:hAnsi="ˎ̥"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25.3采购人也可以</w:t>
      </w:r>
      <w:r>
        <w:rPr>
          <w:rFonts w:hint="eastAsia" w:ascii="宋体" w:hAnsi="宋体"/>
          <w:color w:val="auto"/>
          <w:sz w:val="21"/>
          <w:szCs w:val="21"/>
          <w:highlight w:val="none"/>
        </w:rPr>
        <w:t>书面</w:t>
      </w:r>
      <w:r>
        <w:rPr>
          <w:rFonts w:ascii="宋体" w:hAnsi="宋体"/>
          <w:color w:val="auto"/>
          <w:sz w:val="21"/>
          <w:szCs w:val="21"/>
          <w:highlight w:val="none"/>
        </w:rPr>
        <w:t>授权磋商小组直接确定成交供应商。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25.4成交供应商确定之后，成交结果将在财政部门指定的政府采购信息发布媒体上公告。如果</w:t>
      </w:r>
      <w:r>
        <w:rPr>
          <w:rFonts w:hint="eastAsia" w:ascii="宋体" w:hAnsi="宋体"/>
          <w:color w:val="auto"/>
          <w:sz w:val="21"/>
          <w:szCs w:val="21"/>
          <w:highlight w:val="none"/>
          <w:lang w:val="en-US" w:eastAsia="zh-CN"/>
        </w:rPr>
        <w:t>成交供应商</w:t>
      </w:r>
      <w:r>
        <w:rPr>
          <w:rFonts w:ascii="宋体" w:hAnsi="宋体"/>
          <w:color w:val="auto"/>
          <w:sz w:val="21"/>
          <w:szCs w:val="21"/>
          <w:highlight w:val="none"/>
        </w:rPr>
        <w:t>为小微企业</w:t>
      </w:r>
      <w:r>
        <w:rPr>
          <w:rFonts w:hint="eastAsia" w:ascii="宋体" w:hAnsi="宋体"/>
          <w:color w:val="auto"/>
          <w:sz w:val="21"/>
          <w:szCs w:val="21"/>
          <w:highlight w:val="none"/>
          <w:lang w:val="en-US" w:eastAsia="zh-CN"/>
        </w:rPr>
        <w:t>或残疾人福利性单位</w:t>
      </w:r>
      <w:r>
        <w:rPr>
          <w:rFonts w:ascii="宋体" w:hAnsi="宋体"/>
          <w:color w:val="auto"/>
          <w:sz w:val="21"/>
          <w:szCs w:val="21"/>
          <w:highlight w:val="none"/>
        </w:rPr>
        <w:t>的，将同时公告其《中小企业声明函》</w:t>
      </w:r>
      <w:r>
        <w:rPr>
          <w:rFonts w:hint="eastAsia" w:ascii="宋体" w:hAnsi="宋体"/>
          <w:color w:val="auto"/>
          <w:sz w:val="21"/>
          <w:szCs w:val="21"/>
          <w:highlight w:val="none"/>
          <w:lang w:val="en-US" w:eastAsia="zh-CN"/>
        </w:rPr>
        <w:t>或《残疾人福利性单位声明函》</w:t>
      </w:r>
      <w:r>
        <w:rPr>
          <w:rFonts w:ascii="宋体" w:hAnsi="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25.5供应商对成交公告有异议的，</w:t>
      </w:r>
      <w:r>
        <w:rPr>
          <w:rFonts w:hint="eastAsia" w:ascii="宋体" w:hAnsi="宋体"/>
          <w:color w:val="auto"/>
          <w:sz w:val="21"/>
          <w:szCs w:val="21"/>
          <w:highlight w:val="none"/>
        </w:rPr>
        <w:t>按照《中华人民共和国政府采购法》第五十二条之有关规定执行。</w:t>
      </w:r>
      <w:r>
        <w:rPr>
          <w:rFonts w:ascii="宋体" w:hAnsi="宋体"/>
          <w:color w:val="auto"/>
          <w:sz w:val="21"/>
          <w:szCs w:val="21"/>
          <w:highlight w:val="none"/>
        </w:rPr>
        <w:t>提出质疑的供应商</w:t>
      </w:r>
      <w:r>
        <w:rPr>
          <w:rFonts w:hint="eastAsia" w:ascii="宋体" w:hAnsi="宋体"/>
          <w:color w:val="auto"/>
          <w:sz w:val="21"/>
          <w:szCs w:val="21"/>
          <w:highlight w:val="none"/>
        </w:rPr>
        <w:t>应当有明确的请求和必要的证明材料，</w:t>
      </w:r>
      <w:r>
        <w:rPr>
          <w:rFonts w:ascii="宋体" w:hAnsi="宋体"/>
          <w:color w:val="auto"/>
          <w:sz w:val="21"/>
          <w:szCs w:val="21"/>
          <w:highlight w:val="none"/>
        </w:rPr>
        <w:t>应保证提出的质疑内容及相应证明材料的真实性及来源的合法性，并承担相应的法律责任。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25.6</w:t>
      </w:r>
      <w:r>
        <w:rPr>
          <w:rFonts w:hint="eastAsia" w:ascii="宋体" w:hAnsi="宋体"/>
          <w:color w:val="auto"/>
          <w:sz w:val="21"/>
          <w:szCs w:val="21"/>
          <w:highlight w:val="none"/>
        </w:rPr>
        <w:t>成交供应商拒绝与采购人签订合同的，采购人可以按照评审报告推荐的成交候选人名单排序，确定下一候选人为成交供应商，也可以重新开展政府采购活动。</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6</w:t>
      </w:r>
      <w:r>
        <w:rPr>
          <w:rFonts w:ascii="宋体" w:hAnsi="宋体"/>
          <w:b/>
          <w:color w:val="auto"/>
          <w:sz w:val="21"/>
          <w:szCs w:val="21"/>
          <w:highlight w:val="none"/>
        </w:rPr>
        <w:t>．成交通知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成交供应商确定之后，</w:t>
      </w:r>
      <w:r>
        <w:rPr>
          <w:rFonts w:ascii="宋体" w:hAnsi="宋体"/>
          <w:color w:val="auto"/>
          <w:sz w:val="21"/>
          <w:szCs w:val="21"/>
          <w:highlight w:val="none"/>
        </w:rPr>
        <w:t>西北（陕西）国际招标有限公司</w:t>
      </w:r>
      <w:r>
        <w:rPr>
          <w:rFonts w:hint="eastAsia" w:ascii="宋体" w:hAnsi="宋体"/>
          <w:color w:val="auto"/>
          <w:sz w:val="21"/>
          <w:szCs w:val="21"/>
          <w:highlight w:val="none"/>
        </w:rPr>
        <w:t>将</w:t>
      </w:r>
      <w:r>
        <w:rPr>
          <w:rFonts w:ascii="宋体" w:hAnsi="宋体"/>
          <w:color w:val="auto"/>
          <w:sz w:val="21"/>
          <w:szCs w:val="21"/>
          <w:highlight w:val="none"/>
        </w:rPr>
        <w:t xml:space="preserve">发出《成交通知书》。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6</w:t>
      </w:r>
      <w:r>
        <w:rPr>
          <w:rFonts w:ascii="宋体" w:hAnsi="宋体"/>
          <w:color w:val="auto"/>
          <w:sz w:val="21"/>
          <w:szCs w:val="21"/>
          <w:highlight w:val="none"/>
        </w:rPr>
        <w:t>.2成交通知书对采购人和成交供应商具有同等法律效力。成交通知书发出之后，采购人改变成交结果，或者成交供应商放弃成交，应当承担相应的法律责任。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6</w:t>
      </w:r>
      <w:r>
        <w:rPr>
          <w:rFonts w:ascii="宋体" w:hAnsi="宋体"/>
          <w:color w:val="auto"/>
          <w:sz w:val="21"/>
          <w:szCs w:val="21"/>
          <w:highlight w:val="none"/>
        </w:rPr>
        <w:t>.3 成交通知书发出后五个工作日内，西北（陕西）国际招标有限公司将通知未成交的供应商，</w:t>
      </w:r>
      <w:r>
        <w:rPr>
          <w:rFonts w:hint="eastAsia" w:ascii="宋体" w:hAnsi="宋体"/>
          <w:color w:val="auto"/>
          <w:sz w:val="21"/>
          <w:szCs w:val="21"/>
          <w:highlight w:val="none"/>
        </w:rPr>
        <w:t>并</w:t>
      </w:r>
      <w:r>
        <w:rPr>
          <w:rFonts w:ascii="宋体" w:hAnsi="宋体"/>
          <w:color w:val="auto"/>
          <w:sz w:val="21"/>
          <w:szCs w:val="21"/>
          <w:highlight w:val="none"/>
        </w:rPr>
        <w:t>退还</w:t>
      </w:r>
      <w:r>
        <w:rPr>
          <w:rFonts w:hint="eastAsia" w:ascii="宋体" w:hAnsi="宋体"/>
          <w:color w:val="auto"/>
          <w:sz w:val="21"/>
          <w:szCs w:val="21"/>
          <w:highlight w:val="none"/>
        </w:rPr>
        <w:t>其</w:t>
      </w:r>
      <w:r>
        <w:rPr>
          <w:rFonts w:ascii="宋体" w:hAnsi="宋体"/>
          <w:color w:val="auto"/>
          <w:sz w:val="21"/>
          <w:szCs w:val="21"/>
          <w:highlight w:val="none"/>
        </w:rPr>
        <w:t>磋商保证金。</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7</w:t>
      </w:r>
      <w:r>
        <w:rPr>
          <w:rFonts w:ascii="宋体" w:hAnsi="宋体"/>
          <w:b/>
          <w:color w:val="auto"/>
          <w:sz w:val="21"/>
          <w:szCs w:val="21"/>
          <w:highlight w:val="none"/>
        </w:rPr>
        <w:t>. 成交合同的签订</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.1采购人应当自成交通知书发出之日起三十日内，按照磋商文件和成交供应商</w:t>
      </w:r>
      <w:r>
        <w:rPr>
          <w:rFonts w:hint="eastAsia" w:ascii="宋体" w:hAnsi="宋体"/>
          <w:color w:val="auto"/>
          <w:sz w:val="21"/>
          <w:szCs w:val="21"/>
          <w:highlight w:val="none"/>
        </w:rPr>
        <w:t>的</w:t>
      </w:r>
      <w:r>
        <w:rPr>
          <w:rFonts w:ascii="宋体" w:hAnsi="宋体"/>
          <w:color w:val="auto"/>
          <w:sz w:val="21"/>
          <w:szCs w:val="21"/>
          <w:highlight w:val="none"/>
        </w:rPr>
        <w:t>响应文件（包括</w:t>
      </w:r>
      <w:r>
        <w:rPr>
          <w:rFonts w:hint="eastAsia" w:ascii="宋体" w:hAnsi="宋体"/>
          <w:color w:val="auto"/>
          <w:sz w:val="21"/>
          <w:szCs w:val="21"/>
          <w:highlight w:val="none"/>
        </w:rPr>
        <w:t>磋商</w:t>
      </w:r>
      <w:r>
        <w:rPr>
          <w:rFonts w:ascii="宋体" w:hAnsi="宋体"/>
          <w:color w:val="auto"/>
          <w:sz w:val="21"/>
          <w:szCs w:val="21"/>
          <w:highlight w:val="none"/>
        </w:rPr>
        <w:t>评审中形成的</w:t>
      </w:r>
      <w:r>
        <w:rPr>
          <w:rFonts w:hint="eastAsia" w:ascii="宋体" w:hAnsi="宋体"/>
          <w:color w:val="auto"/>
          <w:sz w:val="21"/>
          <w:szCs w:val="21"/>
          <w:highlight w:val="none"/>
        </w:rPr>
        <w:t>最后报价等补充</w:t>
      </w:r>
      <w:r>
        <w:rPr>
          <w:rFonts w:ascii="宋体" w:hAnsi="宋体"/>
          <w:color w:val="auto"/>
          <w:sz w:val="21"/>
          <w:szCs w:val="21"/>
          <w:highlight w:val="none"/>
        </w:rPr>
        <w:t>文件），与成交供应商签订书面合同。</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.2</w:t>
      </w:r>
      <w:r>
        <w:rPr>
          <w:rFonts w:hint="eastAsia" w:ascii="宋体" w:hAnsi="宋体"/>
          <w:color w:val="auto"/>
          <w:sz w:val="21"/>
          <w:szCs w:val="21"/>
          <w:highlight w:val="none"/>
        </w:rPr>
        <w:t>采购人自政府采购合同签订之日起2个工作日内，将政府采购合同在省级以上人民政府财政部门指定的媒体上公告，但政府采购合同中涉及国家秘密、商业秘密的内容除外。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int="eastAsia"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8</w:t>
      </w:r>
      <w:r>
        <w:rPr>
          <w:rFonts w:ascii="宋体" w:hAnsi="宋体"/>
          <w:b/>
          <w:color w:val="auto"/>
          <w:sz w:val="21"/>
          <w:szCs w:val="21"/>
          <w:highlight w:val="none"/>
        </w:rPr>
        <w:t>．</w:t>
      </w:r>
      <w:r>
        <w:rPr>
          <w:rFonts w:hint="eastAsia" w:ascii="宋体" w:hAnsi="宋体"/>
          <w:b/>
          <w:color w:val="auto"/>
          <w:sz w:val="21"/>
          <w:szCs w:val="21"/>
          <w:highlight w:val="none"/>
        </w:rPr>
        <w:t>成交合同的履约验收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8</w:t>
      </w:r>
      <w:r>
        <w:rPr>
          <w:rFonts w:ascii="宋体" w:hAnsi="宋体"/>
          <w:color w:val="auto"/>
          <w:sz w:val="21"/>
          <w:szCs w:val="21"/>
          <w:highlight w:val="none"/>
        </w:rPr>
        <w:t>.1</w:t>
      </w:r>
      <w:r>
        <w:rPr>
          <w:rFonts w:hint="eastAsia" w:ascii="宋体" w:hAnsi="宋体"/>
          <w:color w:val="auto"/>
          <w:sz w:val="21"/>
          <w:szCs w:val="21"/>
          <w:highlight w:val="none"/>
        </w:rPr>
        <w:t>采购人按照政府采购合同规定的技术、服务、安全标准组织对供应商履约情况进行验收，并出具验收书。验收书应当包括每一项技术、服务、安全标准的履约情况。</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ascii="宋体" w:hAnsi="宋体"/>
          <w:b/>
          <w:color w:val="auto"/>
          <w:sz w:val="21"/>
          <w:szCs w:val="21"/>
          <w:highlight w:val="none"/>
        </w:rPr>
      </w:pPr>
      <w:r>
        <w:rPr>
          <w:rFonts w:hint="eastAsia" w:ascii="宋体" w:hAnsi="宋体"/>
          <w:b/>
          <w:color w:val="auto"/>
          <w:sz w:val="21"/>
          <w:szCs w:val="21"/>
          <w:highlight w:val="none"/>
        </w:rPr>
        <w:t>29</w:t>
      </w:r>
      <w:r>
        <w:rPr>
          <w:rFonts w:ascii="宋体" w:hAnsi="宋体"/>
          <w:b/>
          <w:color w:val="auto"/>
          <w:sz w:val="21"/>
          <w:szCs w:val="21"/>
          <w:highlight w:val="none"/>
        </w:rPr>
        <w:t>．</w:t>
      </w:r>
      <w:r>
        <w:rPr>
          <w:rFonts w:hint="eastAsia" w:ascii="宋体" w:hAnsi="宋体"/>
          <w:b/>
          <w:color w:val="auto"/>
          <w:sz w:val="21"/>
          <w:szCs w:val="21"/>
          <w:highlight w:val="none"/>
        </w:rPr>
        <w:t>采购</w:t>
      </w:r>
      <w:r>
        <w:rPr>
          <w:rFonts w:ascii="宋体" w:hAnsi="宋体"/>
          <w:b/>
          <w:color w:val="auto"/>
          <w:sz w:val="21"/>
          <w:szCs w:val="21"/>
          <w:highlight w:val="none"/>
        </w:rPr>
        <w:t>代理服务费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29</w:t>
      </w:r>
      <w:r>
        <w:rPr>
          <w:rFonts w:ascii="宋体" w:hAnsi="宋体"/>
          <w:color w:val="auto"/>
          <w:sz w:val="21"/>
          <w:szCs w:val="21"/>
          <w:highlight w:val="none"/>
        </w:rPr>
        <w:t>.1成交单位应在收到成交通知书</w:t>
      </w:r>
      <w:r>
        <w:rPr>
          <w:rFonts w:hint="eastAsia" w:ascii="宋体" w:hAnsi="宋体"/>
          <w:color w:val="auto"/>
          <w:sz w:val="21"/>
          <w:szCs w:val="21"/>
          <w:highlight w:val="none"/>
        </w:rPr>
        <w:t>3</w:t>
      </w:r>
      <w:r>
        <w:rPr>
          <w:rFonts w:ascii="宋体" w:hAnsi="宋体"/>
          <w:color w:val="auto"/>
          <w:sz w:val="21"/>
          <w:szCs w:val="21"/>
          <w:highlight w:val="none"/>
        </w:rPr>
        <w:t>日内，向西北（陕西）国际招标有限公司一次性支付</w:t>
      </w:r>
      <w:r>
        <w:rPr>
          <w:rFonts w:hint="eastAsia" w:ascii="宋体" w:hAnsi="宋体"/>
          <w:color w:val="auto"/>
          <w:sz w:val="21"/>
          <w:szCs w:val="21"/>
          <w:highlight w:val="none"/>
        </w:rPr>
        <w:t>采购</w:t>
      </w:r>
      <w:r>
        <w:rPr>
          <w:rFonts w:ascii="宋体" w:hAnsi="宋体"/>
          <w:color w:val="auto"/>
          <w:sz w:val="21"/>
          <w:szCs w:val="21"/>
          <w:highlight w:val="none"/>
        </w:rPr>
        <w:t>代理服务费。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Style w:val="33"/>
          <w:rFonts w:hint="eastAsia" w:ascii="宋体" w:hAnsi="宋体" w:eastAsia="宋体" w:cs="宋体"/>
          <w:color w:val="auto"/>
          <w:sz w:val="21"/>
          <w:szCs w:val="21"/>
          <w:highlight w:val="none"/>
        </w:rPr>
      </w:pPr>
      <w:r>
        <w:rPr>
          <w:rFonts w:hint="eastAsia" w:ascii="宋体" w:hAnsi="宋体"/>
          <w:color w:val="auto"/>
          <w:sz w:val="21"/>
          <w:szCs w:val="21"/>
          <w:highlight w:val="none"/>
        </w:rPr>
        <w:t>29</w:t>
      </w:r>
      <w:r>
        <w:rPr>
          <w:rFonts w:ascii="宋体" w:hAnsi="宋体"/>
          <w:color w:val="auto"/>
          <w:sz w:val="21"/>
          <w:szCs w:val="21"/>
          <w:highlight w:val="none"/>
        </w:rPr>
        <w:t>.2</w:t>
      </w:r>
      <w:r>
        <w:rPr>
          <w:rFonts w:hint="eastAsia" w:ascii="宋体" w:hAnsi="宋体"/>
          <w:color w:val="auto"/>
          <w:sz w:val="21"/>
          <w:szCs w:val="21"/>
          <w:highlight w:val="none"/>
        </w:rPr>
        <w:t>采购</w:t>
      </w:r>
      <w:r>
        <w:rPr>
          <w:rFonts w:ascii="宋体" w:hAnsi="宋体"/>
          <w:color w:val="auto"/>
          <w:sz w:val="21"/>
          <w:szCs w:val="21"/>
          <w:highlight w:val="none"/>
        </w:rPr>
        <w:t>代理服务费的金额见前附表</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3"/>
          <w:rFonts w:hint="eastAsia" w:ascii="宋体" w:hAnsi="宋体" w:eastAsia="宋体" w:cs="宋体"/>
          <w:b/>
          <w:color w:val="auto"/>
          <w:sz w:val="21"/>
          <w:szCs w:val="21"/>
          <w:highlight w:val="none"/>
        </w:rPr>
      </w:pPr>
      <w:r>
        <w:rPr>
          <w:rStyle w:val="33"/>
          <w:rFonts w:hint="eastAsia" w:ascii="宋体" w:hAnsi="宋体" w:eastAsia="宋体" w:cs="宋体"/>
          <w:b/>
          <w:color w:val="auto"/>
          <w:sz w:val="21"/>
          <w:szCs w:val="21"/>
          <w:highlight w:val="none"/>
        </w:rPr>
        <w:t>30．其他</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30</w:t>
      </w:r>
      <w:r>
        <w:rPr>
          <w:rFonts w:ascii="宋体" w:hAnsi="宋体"/>
          <w:color w:val="auto"/>
          <w:sz w:val="21"/>
          <w:szCs w:val="21"/>
          <w:highlight w:val="none"/>
        </w:rPr>
        <w:t>.1</w:t>
      </w:r>
      <w:r>
        <w:rPr>
          <w:rFonts w:hint="eastAsia" w:ascii="宋体" w:hAnsi="宋体"/>
          <w:color w:val="auto"/>
          <w:sz w:val="21"/>
          <w:szCs w:val="21"/>
          <w:highlight w:val="none"/>
        </w:rPr>
        <w:t>磋商开始后，</w:t>
      </w:r>
      <w:r>
        <w:rPr>
          <w:rFonts w:ascii="宋体" w:hAnsi="宋体"/>
          <w:color w:val="auto"/>
          <w:sz w:val="21"/>
          <w:szCs w:val="21"/>
          <w:highlight w:val="none"/>
        </w:rPr>
        <w:t>出现下列情形之一的，采购代理机构</w:t>
      </w:r>
      <w:r>
        <w:rPr>
          <w:rFonts w:hint="eastAsia" w:ascii="宋体" w:hAnsi="宋体"/>
          <w:color w:val="auto"/>
          <w:sz w:val="21"/>
          <w:szCs w:val="21"/>
          <w:highlight w:val="none"/>
        </w:rPr>
        <w:t>将</w:t>
      </w:r>
      <w:r>
        <w:rPr>
          <w:rFonts w:ascii="宋体" w:hAnsi="宋体"/>
          <w:color w:val="auto"/>
          <w:sz w:val="21"/>
          <w:szCs w:val="21"/>
          <w:highlight w:val="none"/>
        </w:rPr>
        <w:t>终止竞争性磋商采购活动，发布项目终止公告并说明原因，重新开展采购活动：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（一）因情况变化，不再符合规定的竞争性磋商采购方式适用情形的；</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（二）出现影响采购公正的违法、违规行为的；</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ascii="宋体" w:hAnsi="宋体"/>
          <w:color w:val="auto"/>
          <w:sz w:val="21"/>
          <w:szCs w:val="21"/>
          <w:highlight w:val="none"/>
        </w:rPr>
        <w:t>（三）在采购过程中符合要求的供应商</w:t>
      </w:r>
      <w:r>
        <w:rPr>
          <w:rFonts w:hint="eastAsia" w:ascii="宋体" w:hAnsi="宋体"/>
          <w:color w:val="auto"/>
          <w:sz w:val="21"/>
          <w:szCs w:val="21"/>
          <w:highlight w:val="none"/>
        </w:rPr>
        <w:t>不足3家的 ；</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（四）</w:t>
      </w:r>
      <w:r>
        <w:rPr>
          <w:rFonts w:ascii="宋体" w:hAnsi="宋体"/>
          <w:color w:val="auto"/>
          <w:sz w:val="21"/>
          <w:szCs w:val="21"/>
          <w:highlight w:val="none"/>
        </w:rPr>
        <w:t>报价未超过采购预算的供应商不足3家的</w:t>
      </w:r>
      <w:r>
        <w:rPr>
          <w:rFonts w:hint="eastAsia"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（五）法律规定其它情形除外</w:t>
      </w:r>
      <w:r>
        <w:rPr>
          <w:rFonts w:ascii="宋体" w:hAnsi="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30.2 提交最后报价的供应商为2家时，可以继续进行磋商的情形：</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 w:val="21"/>
          <w:szCs w:val="21"/>
          <w:highlight w:val="none"/>
        </w:rPr>
      </w:pPr>
      <w:r>
        <w:rPr>
          <w:rFonts w:hint="eastAsia" w:ascii="宋体" w:hAnsi="宋体"/>
          <w:color w:val="auto"/>
          <w:sz w:val="21"/>
          <w:szCs w:val="21"/>
          <w:highlight w:val="none"/>
        </w:rPr>
        <w:t>（一）市场竞争不充分的科研项目，以及需要扶持的科技成果转化项目。</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bookmarkStart w:id="24" w:name="_Hlk36458616"/>
      <w:r>
        <w:rPr>
          <w:rFonts w:hint="eastAsia" w:ascii="宋体" w:hAnsi="宋体"/>
          <w:color w:val="auto"/>
          <w:sz w:val="21"/>
          <w:szCs w:val="21"/>
          <w:highlight w:val="none"/>
        </w:rPr>
        <w:t>30.3</w:t>
      </w:r>
      <w:bookmarkStart w:id="25" w:name="_Hlk36458662"/>
      <w:r>
        <w:rPr>
          <w:rFonts w:hint="eastAsia" w:ascii="宋体" w:hAnsi="宋体"/>
          <w:color w:val="auto"/>
          <w:sz w:val="21"/>
          <w:szCs w:val="21"/>
          <w:highlight w:val="none"/>
        </w:rPr>
        <w:t>采购产品“节能产品政府采购品目清单”的、进入“环境标志产品政府采购品目清单”的，提供证明文件，在评审方法中给予加分优惠（详见评审方法）。采购产品符合财库〔2019〕9号文件精神，进入节能产品、环境标志产品政府采购清单（有效期内）的。供应商属于（财库</w:t>
      </w:r>
      <w:r>
        <w:rPr>
          <w:rFonts w:hint="eastAsia" w:ascii="宋体" w:hAnsi="宋体" w:cs="宋体"/>
          <w:color w:val="auto"/>
          <w:sz w:val="21"/>
          <w:szCs w:val="21"/>
          <w:highlight w:val="none"/>
        </w:rPr>
        <w:t>〔2020〕</w:t>
      </w:r>
      <w:r>
        <w:rPr>
          <w:rFonts w:hint="eastAsia" w:ascii="宋体" w:hAnsi="宋体"/>
          <w:color w:val="auto"/>
          <w:sz w:val="21"/>
          <w:szCs w:val="21"/>
          <w:highlight w:val="none"/>
        </w:rPr>
        <w:t>46号）文件规定的小微企业的，提供中小企业声明函，在评审方法中享受报价优惠折扣 （详见评审方法）。供应商属于（财库</w:t>
      </w:r>
      <w:r>
        <w:rPr>
          <w:rFonts w:hint="eastAsia" w:ascii="宋体" w:hAnsi="宋体" w:cs="宋体"/>
          <w:color w:val="auto"/>
          <w:sz w:val="21"/>
          <w:szCs w:val="21"/>
          <w:highlight w:val="none"/>
        </w:rPr>
        <w:t>〔2014〕</w:t>
      </w:r>
      <w:r>
        <w:rPr>
          <w:rFonts w:hint="eastAsia" w:ascii="宋体" w:hAnsi="宋体"/>
          <w:color w:val="auto"/>
          <w:sz w:val="21"/>
          <w:szCs w:val="21"/>
          <w:highlight w:val="none"/>
        </w:rPr>
        <w:t>68号）文件规定的监狱企业的，提供由省级以上监狱管理局、</w:t>
      </w:r>
      <w:r>
        <w:rPr>
          <w:rFonts w:ascii="宋体" w:hAnsi="宋体"/>
          <w:color w:val="auto"/>
          <w:sz w:val="21"/>
          <w:szCs w:val="21"/>
          <w:highlight w:val="none"/>
        </w:rPr>
        <w:t>戒毒管理局（含新疆生产建设兵团）</w:t>
      </w:r>
      <w:r>
        <w:rPr>
          <w:rFonts w:hint="eastAsia" w:ascii="宋体" w:hAnsi="宋体"/>
          <w:color w:val="auto"/>
          <w:sz w:val="21"/>
          <w:szCs w:val="21"/>
          <w:highlight w:val="none"/>
        </w:rPr>
        <w:t>出具的属于监狱企业的证明文件，视同小微企业，在评审方法中享受报价优惠折扣 （详见评审方法）。供应商属于（财库</w:t>
      </w:r>
      <w:r>
        <w:rPr>
          <w:rFonts w:hint="eastAsia" w:ascii="宋体" w:hAnsi="宋体" w:cs="宋体"/>
          <w:color w:val="auto"/>
          <w:sz w:val="21"/>
          <w:szCs w:val="21"/>
          <w:highlight w:val="none"/>
        </w:rPr>
        <w:t>〔2017〕</w:t>
      </w:r>
      <w:r>
        <w:rPr>
          <w:rFonts w:hint="eastAsia" w:ascii="宋体" w:hAnsi="宋体"/>
          <w:color w:val="auto"/>
          <w:sz w:val="21"/>
          <w:szCs w:val="21"/>
          <w:highlight w:val="none"/>
        </w:rPr>
        <w:t>141号）文件规定的残疾人福利性单位的，提供《残疾人福利性单位声明函》，视同小微企业，在评审方法中享受报价优惠折扣 （详见评审方法）。</w:t>
      </w:r>
      <w:bookmarkEnd w:id="25"/>
      <w:r>
        <w:rPr>
          <w:rFonts w:hint="eastAsia" w:ascii="宋体" w:hAnsi="宋体"/>
          <w:color w:val="auto"/>
          <w:sz w:val="21"/>
          <w:szCs w:val="21"/>
          <w:highlight w:val="none"/>
        </w:rPr>
        <w:t>供应商提供的与事实不符的，依照《政府采购法》第七十七条第一款的规定追究法律责任。</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30.4采用最低评标价法的采购项目，提供相同品牌产品的不同供应商参加同一合同项（标包）下磋商的，以其中通过资格审查、符合性审查且报价最低的参加评审；报价相同的，由采购人自行确定一个参加评审的供应商。其他磋商响应无效。</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30.5使用综合评分法的采购项目，提供相同品牌产品且通过资格审查、符合性审查的不同供应商参加同一合同项（标包）下磋商的，按一家供应商计算，评审后得分最高的同品牌供应商获得成交候选人推荐资格；评审得分相同的，由采购人自行确定一个供应商获得成交候选人推荐资格，其他同品牌供应商不作为成交候选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color w:val="auto"/>
          <w:sz w:val="21"/>
          <w:szCs w:val="21"/>
          <w:highlight w:val="none"/>
        </w:rPr>
        <w:t>30.6非单一产品采购项目，多家供应商提供的核心产品品牌相同的，按以上两款规定处理。</w:t>
      </w:r>
      <w:bookmarkEnd w:id="24"/>
    </w:p>
    <w:p>
      <w:pPr>
        <w:widowControl w:val="0"/>
        <w:spacing w:line="360" w:lineRule="auto"/>
        <w:ind w:firstLine="640" w:firstLineChars="200"/>
        <w:rPr>
          <w:rStyle w:val="33"/>
          <w:rFonts w:hint="eastAsia" w:ascii="宋体" w:hAnsi="宋体" w:eastAsia="宋体" w:cs="宋体"/>
          <w:color w:val="auto"/>
          <w:kern w:val="0"/>
          <w:sz w:val="32"/>
          <w:szCs w:val="32"/>
          <w:highlight w:val="none"/>
        </w:rPr>
      </w:pPr>
      <w:r>
        <w:rPr>
          <w:rStyle w:val="33"/>
          <w:rFonts w:hint="eastAsia" w:ascii="宋体" w:hAnsi="宋体" w:eastAsia="宋体" w:cs="宋体"/>
          <w:color w:val="auto"/>
          <w:kern w:val="0"/>
          <w:sz w:val="32"/>
          <w:szCs w:val="32"/>
          <w:highlight w:val="none"/>
        </w:rPr>
        <w:br w:type="page"/>
      </w:r>
    </w:p>
    <w:p>
      <w:pPr>
        <w:pStyle w:val="3"/>
        <w:textAlignment w:val="auto"/>
        <w:rPr>
          <w:rFonts w:hint="eastAsia" w:ascii="宋体" w:hAnsi="宋体" w:eastAsia="宋体" w:cs="宋体"/>
          <w:bCs/>
          <w:color w:val="auto"/>
          <w:highlight w:val="none"/>
        </w:rPr>
      </w:pPr>
      <w:bookmarkStart w:id="26" w:name="_Toc13468"/>
      <w:r>
        <w:rPr>
          <w:rFonts w:hint="eastAsia" w:ascii="宋体" w:hAnsi="宋体" w:eastAsia="宋体" w:cs="宋体"/>
          <w:bCs/>
          <w:color w:val="auto"/>
          <w:highlight w:val="none"/>
        </w:rPr>
        <w:t>第三章 合同条款及要求</w:t>
      </w:r>
      <w:bookmarkEnd w:id="26"/>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napToGrid w:val="0"/>
        <w:spacing w:line="360" w:lineRule="auto"/>
        <w:ind w:firstLine="5140" w:firstLineChars="1600"/>
        <w:contextualSpacing/>
        <w:rPr>
          <w:rFonts w:hint="eastAsia" w:ascii="宋体" w:hAnsi="宋体" w:cs="宋体"/>
          <w:b/>
          <w:bCs/>
          <w:color w:val="auto"/>
          <w:sz w:val="32"/>
          <w:szCs w:val="32"/>
          <w:highlight w:val="none"/>
        </w:rPr>
      </w:pPr>
    </w:p>
    <w:p>
      <w:pPr>
        <w:snapToGrid w:val="0"/>
        <w:spacing w:line="360" w:lineRule="auto"/>
        <w:ind w:firstLine="5140" w:firstLineChars="1600"/>
        <w:contextualSpacing/>
        <w:rPr>
          <w:rFonts w:hint="eastAsia" w:ascii="宋体" w:hAnsi="宋体" w:cs="宋体"/>
          <w:b/>
          <w:bCs/>
          <w:color w:val="auto"/>
          <w:sz w:val="32"/>
          <w:szCs w:val="32"/>
          <w:highlight w:val="none"/>
        </w:rPr>
      </w:pPr>
    </w:p>
    <w:p>
      <w:pPr>
        <w:snapToGrid w:val="0"/>
        <w:spacing w:line="360" w:lineRule="auto"/>
        <w:ind w:firstLine="5140" w:firstLineChars="1600"/>
        <w:contextualSpacing/>
        <w:rPr>
          <w:rFonts w:hint="eastAsia" w:ascii="宋体" w:hAnsi="宋体" w:cs="宋体"/>
          <w:b/>
          <w:bCs/>
          <w:color w:val="auto"/>
          <w:sz w:val="32"/>
          <w:szCs w:val="32"/>
          <w:highlight w:val="none"/>
        </w:rPr>
      </w:pPr>
    </w:p>
    <w:p>
      <w:pPr>
        <w:snapToGrid w:val="0"/>
        <w:spacing w:line="360" w:lineRule="auto"/>
        <w:ind w:firstLine="5140" w:firstLineChars="1600"/>
        <w:contextualSpacing/>
        <w:rPr>
          <w:rFonts w:hint="eastAsia" w:ascii="宋体" w:hAnsi="宋体" w:cs="宋体"/>
          <w:color w:val="auto"/>
          <w:sz w:val="52"/>
          <w:szCs w:val="52"/>
          <w:highlight w:val="none"/>
          <w:u w:val="single"/>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rPr>
        <w:t xml:space="preserve">   </w:t>
      </w:r>
    </w:p>
    <w:p>
      <w:pPr>
        <w:pStyle w:val="2"/>
        <w:spacing w:before="0" w:after="0" w:line="360" w:lineRule="auto"/>
        <w:jc w:val="center"/>
        <w:rPr>
          <w:rFonts w:hint="eastAsia"/>
          <w:color w:val="auto"/>
          <w:highlight w:val="none"/>
          <w:lang w:val="zh-CN"/>
        </w:rPr>
      </w:pPr>
    </w:p>
    <w:p>
      <w:pPr>
        <w:pStyle w:val="2"/>
        <w:spacing w:before="0" w:after="0" w:line="360" w:lineRule="auto"/>
        <w:jc w:val="center"/>
        <w:rPr>
          <w:rFonts w:hint="eastAsia"/>
          <w:color w:val="auto"/>
          <w:highlight w:val="none"/>
          <w:lang w:val="zh-CN"/>
        </w:rPr>
      </w:pPr>
    </w:p>
    <w:p>
      <w:pPr>
        <w:pStyle w:val="2"/>
        <w:spacing w:before="0" w:after="0" w:line="360" w:lineRule="auto"/>
        <w:jc w:val="center"/>
        <w:rPr>
          <w:rFonts w:hint="eastAsia"/>
          <w:color w:val="auto"/>
          <w:highlight w:val="none"/>
          <w:lang w:val="zh-CN"/>
        </w:rPr>
      </w:pPr>
    </w:p>
    <w:p>
      <w:pPr>
        <w:keepNext w:val="0"/>
        <w:keepLines w:val="0"/>
        <w:pageBreakBefore w:val="0"/>
        <w:widowControl/>
        <w:tabs>
          <w:tab w:val="left" w:pos="5670"/>
        </w:tabs>
        <w:kinsoku/>
        <w:wordWrap/>
        <w:overflowPunct/>
        <w:topLinePunct w:val="0"/>
        <w:autoSpaceDE w:val="0"/>
        <w:autoSpaceDN w:val="0"/>
        <w:bidi w:val="0"/>
        <w:adjustRightInd/>
        <w:snapToGrid/>
        <w:spacing w:after="313" w:afterLines="100"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泾阳县职业教育中心专业设备采购</w:t>
      </w:r>
    </w:p>
    <w:p>
      <w:pPr>
        <w:pStyle w:val="2"/>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baseline"/>
        <w:rPr>
          <w:rFonts w:hint="eastAsia"/>
          <w:color w:val="auto"/>
          <w:highlight w:val="none"/>
          <w:lang w:val="zh-CN"/>
        </w:rPr>
      </w:pPr>
      <w:r>
        <w:rPr>
          <w:rFonts w:hint="eastAsia" w:ascii="宋体" w:hAnsi="宋体" w:cs="宋体"/>
          <w:b/>
          <w:bCs/>
          <w:color w:val="auto"/>
          <w:sz w:val="44"/>
          <w:szCs w:val="44"/>
          <w:highlight w:val="none"/>
          <w:lang w:val="en-US" w:eastAsia="zh-CN"/>
        </w:rPr>
        <w:t xml:space="preserve">采 购 </w:t>
      </w:r>
      <w:r>
        <w:rPr>
          <w:rFonts w:hint="eastAsia" w:ascii="宋体" w:hAnsi="宋体" w:cs="宋体"/>
          <w:b/>
          <w:bCs/>
          <w:color w:val="auto"/>
          <w:sz w:val="44"/>
          <w:szCs w:val="44"/>
          <w:highlight w:val="none"/>
        </w:rPr>
        <w:t xml:space="preserve">合  同 </w:t>
      </w:r>
    </w:p>
    <w:p>
      <w:pPr>
        <w:pStyle w:val="2"/>
        <w:keepNext w:val="0"/>
        <w:keepLines w:val="0"/>
        <w:pageBreakBefore w:val="0"/>
        <w:widowControl/>
        <w:kinsoku/>
        <w:wordWrap/>
        <w:overflowPunct/>
        <w:topLinePunct w:val="0"/>
        <w:bidi w:val="0"/>
        <w:adjustRightInd/>
        <w:snapToGrid/>
        <w:spacing w:before="0" w:after="313" w:afterLines="100" w:line="360" w:lineRule="auto"/>
        <w:jc w:val="center"/>
        <w:textAlignment w:val="baseline"/>
        <w:rPr>
          <w:rFonts w:hint="eastAsia"/>
          <w:color w:val="auto"/>
          <w:sz w:val="32"/>
          <w:szCs w:val="32"/>
          <w:highlight w:val="none"/>
          <w:lang w:val="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第</w:t>
      </w:r>
      <w:r>
        <w:rPr>
          <w:rFonts w:hint="eastAsia" w:ascii="宋体" w:hAnsi="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val="en-US" w:eastAsia="zh-CN"/>
        </w:rPr>
        <w:t>包</w:t>
      </w:r>
      <w:r>
        <w:rPr>
          <w:rFonts w:hint="eastAsia" w:ascii="宋体" w:hAnsi="宋体" w:cs="宋体"/>
          <w:b/>
          <w:bCs/>
          <w:color w:val="auto"/>
          <w:sz w:val="32"/>
          <w:szCs w:val="32"/>
          <w:highlight w:val="none"/>
          <w:lang w:val="en-US" w:eastAsia="zh-CN"/>
        </w:rPr>
        <w:t>：计算机专业建设及技能大赛设备</w:t>
      </w:r>
      <w:r>
        <w:rPr>
          <w:rFonts w:hint="eastAsia" w:ascii="宋体" w:hAnsi="宋体" w:eastAsia="宋体" w:cs="宋体"/>
          <w:b/>
          <w:bCs/>
          <w:color w:val="auto"/>
          <w:sz w:val="32"/>
          <w:szCs w:val="32"/>
          <w:highlight w:val="none"/>
          <w:lang w:eastAsia="zh-CN"/>
        </w:rPr>
        <w:t>）</w:t>
      </w:r>
    </w:p>
    <w:p>
      <w:pPr>
        <w:pStyle w:val="2"/>
        <w:spacing w:before="0" w:after="0" w:line="360" w:lineRule="auto"/>
        <w:jc w:val="center"/>
        <w:rPr>
          <w:rFonts w:hint="eastAsia"/>
          <w:color w:val="auto"/>
          <w:highlight w:val="none"/>
          <w:lang w:val="zh-CN"/>
        </w:rPr>
      </w:pPr>
    </w:p>
    <w:p>
      <w:pPr>
        <w:pStyle w:val="2"/>
        <w:spacing w:before="0" w:after="0" w:line="360" w:lineRule="auto"/>
        <w:jc w:val="center"/>
        <w:rPr>
          <w:rFonts w:hint="eastAsia"/>
          <w:color w:val="auto"/>
          <w:highlight w:val="none"/>
          <w:lang w:val="zh-CN"/>
        </w:rPr>
      </w:pPr>
    </w:p>
    <w:p>
      <w:pPr>
        <w:rPr>
          <w:rFonts w:hint="eastAsia"/>
          <w:color w:val="auto"/>
          <w:highlight w:val="none"/>
          <w:lang w:val="zh-CN"/>
        </w:rPr>
      </w:pPr>
    </w:p>
    <w:p>
      <w:pPr>
        <w:tabs>
          <w:tab w:val="left" w:pos="5670"/>
        </w:tabs>
        <w:autoSpaceDE w:val="0"/>
        <w:autoSpaceDN w:val="0"/>
        <w:adjustRightInd w:val="0"/>
        <w:spacing w:line="360" w:lineRule="auto"/>
        <w:ind w:firstLine="1807" w:firstLineChars="500"/>
        <w:rPr>
          <w:rFonts w:hint="default" w:ascii="宋体" w:hAnsi="宋体" w:cs="宋体"/>
          <w:b/>
          <w:bCs/>
          <w:color w:val="auto"/>
          <w:sz w:val="36"/>
          <w:szCs w:val="36"/>
          <w:highlight w:val="none"/>
          <w:u w:val="single"/>
          <w:lang w:val="en-US"/>
        </w:rPr>
      </w:pPr>
      <w:r>
        <w:rPr>
          <w:rFonts w:hint="eastAsia" w:ascii="宋体" w:hAnsi="宋体" w:cs="宋体"/>
          <w:b/>
          <w:bCs/>
          <w:color w:val="auto"/>
          <w:sz w:val="36"/>
          <w:szCs w:val="36"/>
          <w:highlight w:val="none"/>
          <w:lang w:val="zh-CN"/>
        </w:rPr>
        <w:t>甲  方：</w:t>
      </w:r>
      <w:r>
        <w:rPr>
          <w:rFonts w:hint="eastAsia" w:ascii="宋体" w:hAnsi="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u w:val="single"/>
          <w:lang w:eastAsia="zh-CN"/>
        </w:rPr>
        <w:t>泾阳县职业教育中心</w:t>
      </w:r>
      <w:r>
        <w:rPr>
          <w:rFonts w:hint="eastAsia" w:ascii="宋体" w:hAnsi="宋体" w:cs="宋体"/>
          <w:b/>
          <w:bCs/>
          <w:color w:val="auto"/>
          <w:sz w:val="36"/>
          <w:szCs w:val="36"/>
          <w:highlight w:val="none"/>
          <w:u w:val="single"/>
          <w:lang w:val="en-US" w:eastAsia="zh-CN"/>
        </w:rPr>
        <w:t xml:space="preserve">  </w:t>
      </w:r>
    </w:p>
    <w:p>
      <w:pPr>
        <w:keepNext w:val="0"/>
        <w:keepLines w:val="0"/>
        <w:pageBreakBefore w:val="0"/>
        <w:widowControl/>
        <w:tabs>
          <w:tab w:val="left" w:pos="5670"/>
        </w:tabs>
        <w:kinsoku/>
        <w:wordWrap/>
        <w:overflowPunct/>
        <w:topLinePunct w:val="0"/>
        <w:autoSpaceDE w:val="0"/>
        <w:autoSpaceDN w:val="0"/>
        <w:bidi w:val="0"/>
        <w:adjustRightInd/>
        <w:snapToGrid/>
        <w:spacing w:before="625" w:beforeLines="200" w:line="360" w:lineRule="auto"/>
        <w:ind w:firstLine="1807" w:firstLineChars="500"/>
        <w:textAlignment w:val="baseline"/>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zh-CN"/>
        </w:rPr>
        <w:t>乙  方：</w:t>
      </w: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rPr>
        <w:t xml:space="preserve"> </w:t>
      </w:r>
    </w:p>
    <w:p>
      <w:pPr>
        <w:pStyle w:val="2"/>
        <w:spacing w:before="0" w:after="0" w:line="360" w:lineRule="auto"/>
        <w:jc w:val="center"/>
        <w:rPr>
          <w:rFonts w:hint="eastAsia"/>
          <w:color w:val="auto"/>
          <w:highlight w:val="none"/>
          <w:lang w:val="zh-CN"/>
        </w:rPr>
      </w:pPr>
    </w:p>
    <w:p>
      <w:pPr>
        <w:pStyle w:val="2"/>
        <w:spacing w:before="0" w:after="0" w:line="360" w:lineRule="auto"/>
        <w:jc w:val="center"/>
        <w:rPr>
          <w:rFonts w:hint="eastAsia"/>
          <w:color w:val="auto"/>
          <w:highlight w:val="none"/>
          <w:lang w:val="zh-CN"/>
        </w:rPr>
      </w:pPr>
    </w:p>
    <w:p>
      <w:pPr>
        <w:pStyle w:val="2"/>
        <w:spacing w:before="0" w:after="0" w:line="360" w:lineRule="auto"/>
        <w:jc w:val="center"/>
        <w:rPr>
          <w:rFonts w:hint="eastAsia"/>
          <w:color w:val="auto"/>
          <w:highlight w:val="none"/>
          <w:lang w:val="zh-CN"/>
        </w:rPr>
      </w:pPr>
    </w:p>
    <w:p>
      <w:pPr>
        <w:tabs>
          <w:tab w:val="left" w:pos="5460"/>
        </w:tabs>
        <w:autoSpaceDE w:val="0"/>
        <w:autoSpaceDN w:val="0"/>
        <w:spacing w:line="360" w:lineRule="auto"/>
        <w:jc w:val="center"/>
        <w:rPr>
          <w:rFonts w:hint="eastAsia" w:ascii="宋体" w:hAnsi="宋体" w:cs="宋体"/>
          <w:b/>
          <w:bCs/>
          <w:color w:val="auto"/>
          <w:sz w:val="32"/>
          <w:szCs w:val="32"/>
          <w:highlight w:val="none"/>
          <w:lang w:val="zh-CN"/>
        </w:rPr>
      </w:pPr>
    </w:p>
    <w:p>
      <w:pPr>
        <w:tabs>
          <w:tab w:val="left" w:pos="5460"/>
        </w:tabs>
        <w:autoSpaceDE w:val="0"/>
        <w:autoSpaceDN w:val="0"/>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zh-CN"/>
        </w:rPr>
        <w:t>二零</w:t>
      </w:r>
      <w:r>
        <w:rPr>
          <w:rFonts w:hint="eastAsia" w:ascii="宋体" w:hAnsi="宋体" w:cs="宋体"/>
          <w:b/>
          <w:bCs/>
          <w:color w:val="auto"/>
          <w:sz w:val="36"/>
          <w:szCs w:val="36"/>
          <w:highlight w:val="none"/>
        </w:rPr>
        <w:t>二三</w:t>
      </w:r>
      <w:r>
        <w:rPr>
          <w:rFonts w:hint="eastAsia" w:ascii="宋体" w:hAnsi="宋体" w:cs="宋体"/>
          <w:b/>
          <w:bCs/>
          <w:color w:val="auto"/>
          <w:sz w:val="36"/>
          <w:szCs w:val="36"/>
          <w:highlight w:val="none"/>
          <w:lang w:val="zh-CN"/>
        </w:rPr>
        <w:t>年</w:t>
      </w: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lang w:val="zh-CN"/>
        </w:rPr>
        <w:t>月</w:t>
      </w:r>
    </w:p>
    <w:p>
      <w:pPr>
        <w:pStyle w:val="95"/>
        <w:keepNext w:val="0"/>
        <w:keepLines w:val="0"/>
        <w:pageBreakBefore w:val="0"/>
        <w:widowControl/>
        <w:kinsoku/>
        <w:wordWrap/>
        <w:overflowPunct/>
        <w:topLinePunct w:val="0"/>
        <w:autoSpaceDE/>
        <w:autoSpaceDN/>
        <w:bidi w:val="0"/>
        <w:adjustRightInd/>
        <w:snapToGrid/>
        <w:spacing w:before="157" w:beforeLines="50" w:line="360" w:lineRule="auto"/>
        <w:ind w:firstLine="0" w:firstLineChars="0"/>
        <w:jc w:val="center"/>
        <w:textAlignment w:val="baseline"/>
        <w:rPr>
          <w:rFonts w:hint="eastAsia" w:ascii="宋体" w:hAnsi="宋体" w:eastAsia="宋体" w:cs="宋体"/>
          <w:b/>
          <w:bCs/>
          <w:color w:val="auto"/>
          <w:sz w:val="28"/>
          <w:szCs w:val="28"/>
          <w:highlight w:val="none"/>
          <w:lang w:eastAsia="zh-CN"/>
        </w:rPr>
      </w:pPr>
      <w:r>
        <w:rPr>
          <w:rFonts w:hint="eastAsia" w:ascii="宋体" w:hAnsi="宋体"/>
          <w:color w:val="auto"/>
          <w:highlight w:val="none"/>
        </w:rPr>
        <w:br w:type="page"/>
      </w:r>
      <w:r>
        <w:rPr>
          <w:rFonts w:hint="eastAsia" w:ascii="宋体" w:hAnsi="宋体" w:eastAsia="宋体" w:cs="宋体"/>
          <w:b/>
          <w:bCs/>
          <w:color w:val="auto"/>
          <w:sz w:val="28"/>
          <w:szCs w:val="28"/>
          <w:highlight w:val="none"/>
          <w:lang w:eastAsia="zh-CN"/>
        </w:rPr>
        <w:t>泾阳县职业教育中心专业设备采购合同</w:t>
      </w:r>
    </w:p>
    <w:p>
      <w:pPr>
        <w:pStyle w:val="95"/>
        <w:keepNext w:val="0"/>
        <w:keepLines w:val="0"/>
        <w:pageBreakBefore w:val="0"/>
        <w:widowControl/>
        <w:kinsoku/>
        <w:wordWrap/>
        <w:overflowPunct/>
        <w:topLinePunct w:val="0"/>
        <w:autoSpaceDE/>
        <w:autoSpaceDN/>
        <w:bidi w:val="0"/>
        <w:adjustRightInd/>
        <w:snapToGrid/>
        <w:spacing w:after="469" w:afterLines="150" w:line="360" w:lineRule="auto"/>
        <w:ind w:firstLine="0" w:firstLineChars="0"/>
        <w:jc w:val="center"/>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第2包</w:t>
      </w:r>
      <w:r>
        <w:rPr>
          <w:rFonts w:hint="eastAsia" w:ascii="宋体" w:hAnsi="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en-US" w:eastAsia="zh-CN"/>
        </w:rPr>
        <w:t>计算机专业建设及技能大赛设备</w:t>
      </w:r>
      <w:r>
        <w:rPr>
          <w:rFonts w:hint="eastAsia" w:ascii="宋体" w:hAnsi="宋体" w:eastAsia="宋体" w:cs="宋体"/>
          <w:b/>
          <w:bCs/>
          <w:color w:val="auto"/>
          <w:sz w:val="28"/>
          <w:szCs w:val="28"/>
          <w:highlight w:val="none"/>
          <w:lang w:eastAsia="zh-CN"/>
        </w:rPr>
        <w:t>）</w:t>
      </w:r>
    </w:p>
    <w:p>
      <w:pPr>
        <w:pStyle w:val="95"/>
        <w:spacing w:line="360" w:lineRule="auto"/>
        <w:ind w:firstLine="422"/>
        <w:rPr>
          <w:rFonts w:hint="eastAsia" w:ascii="宋体" w:hAnsi="宋体" w:eastAsia="宋体" w:cs="宋体"/>
          <w:b/>
          <w:bCs/>
          <w:color w:val="auto"/>
          <w:sz w:val="22"/>
          <w:szCs w:val="22"/>
          <w:highlight w:val="none"/>
          <w:u w:val="single"/>
        </w:rPr>
      </w:pPr>
      <w:r>
        <w:rPr>
          <w:rFonts w:hint="eastAsia" w:ascii="宋体" w:hAnsi="宋体" w:cs="宋体"/>
          <w:b/>
          <w:bCs/>
          <w:color w:val="auto"/>
          <w:sz w:val="22"/>
          <w:szCs w:val="22"/>
          <w:highlight w:val="none"/>
        </w:rPr>
        <w:t>甲  方：</w:t>
      </w:r>
      <w:r>
        <w:rPr>
          <w:rFonts w:hint="eastAsia" w:ascii="宋体" w:hAnsi="宋体" w:eastAsia="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lang w:eastAsia="zh-CN"/>
        </w:rPr>
        <w:t>泾阳县职业教育中心</w:t>
      </w:r>
      <w:r>
        <w:rPr>
          <w:rFonts w:hint="eastAsia" w:ascii="宋体" w:hAnsi="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 xml:space="preserve"> </w:t>
      </w:r>
    </w:p>
    <w:p>
      <w:pPr>
        <w:pStyle w:val="95"/>
        <w:keepNext w:val="0"/>
        <w:keepLines w:val="0"/>
        <w:pageBreakBefore w:val="0"/>
        <w:widowControl/>
        <w:kinsoku/>
        <w:wordWrap/>
        <w:overflowPunct/>
        <w:topLinePunct w:val="0"/>
        <w:autoSpaceDE/>
        <w:autoSpaceDN/>
        <w:bidi w:val="0"/>
        <w:adjustRightInd/>
        <w:snapToGrid/>
        <w:spacing w:after="157" w:afterLines="50" w:line="360" w:lineRule="auto"/>
        <w:ind w:firstLine="422"/>
        <w:textAlignment w:val="baseline"/>
        <w:rPr>
          <w:rFonts w:ascii="宋体" w:hAnsi="宋体" w:cs="宋体"/>
          <w:color w:val="auto"/>
          <w:sz w:val="22"/>
          <w:szCs w:val="22"/>
          <w:highlight w:val="none"/>
          <w:u w:val="single"/>
        </w:rPr>
      </w:pPr>
      <w:r>
        <w:rPr>
          <w:rFonts w:hint="eastAsia" w:ascii="宋体" w:hAnsi="宋体" w:cs="宋体"/>
          <w:b/>
          <w:bCs/>
          <w:color w:val="auto"/>
          <w:sz w:val="22"/>
          <w:szCs w:val="22"/>
          <w:highlight w:val="none"/>
        </w:rPr>
        <w:t>乙  方：</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rPr>
        <w:t xml:space="preserve">    </w:t>
      </w:r>
    </w:p>
    <w:p>
      <w:pPr>
        <w:spacing w:before="156" w:beforeLines="50"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u w:val="single"/>
          <w:lang w:eastAsia="zh-CN"/>
        </w:rPr>
        <w:t>泾阳县职业教育中心专业设备采购</w:t>
      </w:r>
      <w:r>
        <w:rPr>
          <w:rFonts w:hint="eastAsia" w:ascii="宋体" w:hAnsi="宋体" w:eastAsia="宋体" w:cs="宋体"/>
          <w:color w:val="auto"/>
          <w:szCs w:val="21"/>
          <w:highlight w:val="none"/>
          <w:u w:val="single"/>
        </w:rPr>
        <w:t>（项目编号：0</w:t>
      </w:r>
      <w:r>
        <w:rPr>
          <w:rFonts w:hint="eastAsia" w:ascii="宋体" w:hAnsi="宋体" w:eastAsia="宋体" w:cs="宋体"/>
          <w:color w:val="auto"/>
          <w:szCs w:val="21"/>
          <w:highlight w:val="none"/>
          <w:u w:val="single"/>
          <w:lang w:eastAsia="zh-CN"/>
        </w:rPr>
        <w:t>617-2391HZ3010</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泾阳县</w:t>
      </w:r>
      <w:r>
        <w:rPr>
          <w:rFonts w:hint="eastAsia" w:ascii="宋体" w:hAnsi="宋体" w:cs="宋体"/>
          <w:color w:val="auto"/>
          <w:szCs w:val="21"/>
          <w:highlight w:val="none"/>
        </w:rPr>
        <w:t>财政局的监督管理下，由</w:t>
      </w:r>
      <w:r>
        <w:rPr>
          <w:rFonts w:hint="eastAsia" w:ascii="宋体" w:hAnsi="宋体" w:cs="宋体"/>
          <w:color w:val="auto"/>
          <w:szCs w:val="21"/>
          <w:highlight w:val="none"/>
          <w:u w:val="single"/>
        </w:rPr>
        <w:t xml:space="preserve"> 西北（陕西）国际招标有限公司 </w:t>
      </w:r>
      <w:r>
        <w:rPr>
          <w:rFonts w:hint="eastAsia" w:ascii="宋体" w:hAnsi="宋体" w:cs="宋体"/>
          <w:color w:val="auto"/>
          <w:szCs w:val="21"/>
          <w:highlight w:val="none"/>
        </w:rPr>
        <w:t xml:space="preserve">组织 </w:t>
      </w:r>
      <w:r>
        <w:rPr>
          <w:rFonts w:hint="eastAsia" w:ascii="宋体" w:hAnsi="宋体" w:cs="宋体"/>
          <w:color w:val="auto"/>
          <w:szCs w:val="21"/>
          <w:highlight w:val="none"/>
          <w:u w:val="single"/>
        </w:rPr>
        <w:t>竞争性</w:t>
      </w:r>
      <w:r>
        <w:rPr>
          <w:rFonts w:hint="eastAsia" w:ascii="宋体" w:hAnsi="宋体" w:cs="宋体"/>
          <w:color w:val="auto"/>
          <w:szCs w:val="21"/>
          <w:highlight w:val="none"/>
          <w:u w:val="single"/>
          <w:lang w:val="en-US" w:eastAsia="zh-CN"/>
        </w:rPr>
        <w:t>磋商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泾阳县职业教育中心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（以下简称“采购人”）确定</w:t>
      </w:r>
      <w:r>
        <w:rPr>
          <w:rFonts w:hint="eastAsia" w:ascii="宋体" w:hAnsi="宋体" w:cs="宋体"/>
          <w:color w:val="auto"/>
          <w:szCs w:val="21"/>
          <w:highlight w:val="none"/>
          <w:u w:val="single"/>
        </w:rPr>
        <w:t xml:space="preserve"> （成交单位名称） </w:t>
      </w:r>
      <w:r>
        <w:rPr>
          <w:rFonts w:hint="eastAsia" w:ascii="宋体" w:hAnsi="宋体" w:cs="宋体"/>
          <w:color w:val="auto"/>
          <w:szCs w:val="21"/>
          <w:highlight w:val="none"/>
        </w:rPr>
        <w:t>（以下简称“成交供应商”）为</w:t>
      </w:r>
      <w:r>
        <w:rPr>
          <w:rFonts w:hint="eastAsia" w:ascii="宋体" w:hAnsi="宋体" w:cs="宋体"/>
          <w:color w:val="auto"/>
          <w:szCs w:val="21"/>
          <w:highlight w:val="none"/>
          <w:u w:val="single"/>
          <w:lang w:val="en-US" w:eastAsia="zh-CN"/>
        </w:rPr>
        <w:t xml:space="preserve"> 第2包：计算机专业建设及技能大赛设备 </w:t>
      </w:r>
      <w:r>
        <w:rPr>
          <w:rFonts w:hint="eastAsia" w:ascii="宋体" w:hAnsi="宋体" w:cs="宋体"/>
          <w:color w:val="auto"/>
          <w:szCs w:val="21"/>
          <w:highlight w:val="none"/>
          <w:lang w:val="en-US" w:eastAsia="zh-CN"/>
        </w:rPr>
        <w:t>的成交单位。依据《中华人民共和国政府采购法》、《中华人民共和</w:t>
      </w:r>
      <w:r>
        <w:rPr>
          <w:rFonts w:hint="eastAsia" w:ascii="宋体" w:hAnsi="宋体" w:cs="宋体"/>
          <w:color w:val="auto"/>
          <w:szCs w:val="21"/>
          <w:highlight w:val="none"/>
        </w:rPr>
        <w:t>国政府采购法实施条例》、《中华人民共和国民法典》以及竞争性</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文件、成交通知书，达成如下条款。</w:t>
      </w:r>
    </w:p>
    <w:p>
      <w:pPr>
        <w:spacing w:before="156" w:beforeLines="50" w:line="360" w:lineRule="auto"/>
        <w:rPr>
          <w:rFonts w:ascii="宋体" w:cs="宋体"/>
          <w:b/>
          <w:bCs/>
          <w:color w:val="auto"/>
          <w:szCs w:val="21"/>
          <w:highlight w:val="none"/>
        </w:rPr>
      </w:pPr>
      <w:r>
        <w:rPr>
          <w:rFonts w:hint="eastAsia" w:ascii="宋体" w:hAnsi="宋体" w:cs="宋体"/>
          <w:b/>
          <w:bCs/>
          <w:color w:val="auto"/>
          <w:szCs w:val="21"/>
          <w:highlight w:val="none"/>
        </w:rPr>
        <w:t>一、合同标的的内容、规格、数量</w:t>
      </w:r>
    </w:p>
    <w:tbl>
      <w:tblPr>
        <w:tblStyle w:val="22"/>
        <w:tblW w:w="49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455"/>
        <w:gridCol w:w="1319"/>
        <w:gridCol w:w="1355"/>
        <w:gridCol w:w="1200"/>
        <w:gridCol w:w="1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pct"/>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66" w:type="pct"/>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名称</w:t>
            </w:r>
          </w:p>
        </w:tc>
        <w:tc>
          <w:tcPr>
            <w:tcW w:w="734" w:type="pct"/>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754" w:type="pct"/>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667" w:type="pct"/>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1014" w:type="pct"/>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单价（元）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pct"/>
            <w:noWrap w:val="0"/>
            <w:vAlign w:val="center"/>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1</w:t>
            </w:r>
          </w:p>
        </w:tc>
        <w:tc>
          <w:tcPr>
            <w:tcW w:w="1366" w:type="pct"/>
            <w:noWrap w:val="0"/>
            <w:vAlign w:val="center"/>
          </w:tcPr>
          <w:p>
            <w:pPr>
              <w:jc w:val="center"/>
              <w:rPr>
                <w:rFonts w:hint="eastAsia" w:ascii="宋体" w:hAnsi="宋体" w:cs="宋体"/>
                <w:b/>
                <w:color w:val="auto"/>
                <w:highlight w:val="none"/>
              </w:rPr>
            </w:pPr>
          </w:p>
        </w:tc>
        <w:tc>
          <w:tcPr>
            <w:tcW w:w="734" w:type="pct"/>
            <w:noWrap w:val="0"/>
            <w:vAlign w:val="center"/>
          </w:tcPr>
          <w:p>
            <w:pPr>
              <w:spacing w:line="360" w:lineRule="auto"/>
              <w:jc w:val="center"/>
              <w:rPr>
                <w:rFonts w:hint="eastAsia" w:ascii="宋体" w:hAnsi="宋体" w:cs="宋体"/>
                <w:bCs/>
                <w:color w:val="auto"/>
                <w:highlight w:val="none"/>
              </w:rPr>
            </w:pPr>
          </w:p>
        </w:tc>
        <w:tc>
          <w:tcPr>
            <w:tcW w:w="754" w:type="pct"/>
            <w:noWrap w:val="0"/>
            <w:vAlign w:val="center"/>
          </w:tcPr>
          <w:p>
            <w:pPr>
              <w:spacing w:line="360" w:lineRule="auto"/>
              <w:jc w:val="center"/>
              <w:rPr>
                <w:rFonts w:hint="eastAsia" w:ascii="宋体" w:hAnsi="宋体" w:cs="宋体"/>
                <w:bCs/>
                <w:color w:val="auto"/>
                <w:highlight w:val="none"/>
              </w:rPr>
            </w:pPr>
          </w:p>
        </w:tc>
        <w:tc>
          <w:tcPr>
            <w:tcW w:w="667" w:type="pct"/>
            <w:noWrap w:val="0"/>
            <w:vAlign w:val="center"/>
          </w:tcPr>
          <w:p>
            <w:pPr>
              <w:spacing w:line="360" w:lineRule="auto"/>
              <w:jc w:val="center"/>
              <w:rPr>
                <w:rFonts w:hint="eastAsia" w:ascii="宋体" w:hAnsi="宋体" w:cs="宋体"/>
                <w:bCs/>
                <w:color w:val="auto"/>
                <w:highlight w:val="none"/>
              </w:rPr>
            </w:pPr>
          </w:p>
        </w:tc>
        <w:tc>
          <w:tcPr>
            <w:tcW w:w="1014" w:type="pct"/>
            <w:noWrap w:val="0"/>
            <w:vAlign w:val="center"/>
          </w:tcPr>
          <w:p>
            <w:pPr>
              <w:spacing w:line="360" w:lineRule="auto"/>
              <w:jc w:val="center"/>
              <w:rPr>
                <w:rFonts w:hint="eastAsia" w:ascii="宋体" w:hAnsi="宋体" w:cs="宋体"/>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pct"/>
            <w:noWrap w:val="0"/>
            <w:vAlign w:val="center"/>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2</w:t>
            </w:r>
          </w:p>
        </w:tc>
        <w:tc>
          <w:tcPr>
            <w:tcW w:w="1366" w:type="pct"/>
            <w:noWrap w:val="0"/>
            <w:vAlign w:val="center"/>
          </w:tcPr>
          <w:p>
            <w:pPr>
              <w:jc w:val="center"/>
              <w:rPr>
                <w:rFonts w:hint="eastAsia" w:ascii="宋体" w:hAnsi="宋体" w:cs="宋体"/>
                <w:b/>
                <w:color w:val="auto"/>
                <w:highlight w:val="none"/>
              </w:rPr>
            </w:pPr>
          </w:p>
        </w:tc>
        <w:tc>
          <w:tcPr>
            <w:tcW w:w="734" w:type="pct"/>
            <w:noWrap w:val="0"/>
            <w:vAlign w:val="center"/>
          </w:tcPr>
          <w:p>
            <w:pPr>
              <w:spacing w:line="360" w:lineRule="auto"/>
              <w:jc w:val="center"/>
              <w:rPr>
                <w:rFonts w:hint="eastAsia" w:ascii="宋体" w:hAnsi="宋体" w:cs="宋体"/>
                <w:bCs/>
                <w:color w:val="auto"/>
                <w:highlight w:val="none"/>
              </w:rPr>
            </w:pPr>
          </w:p>
        </w:tc>
        <w:tc>
          <w:tcPr>
            <w:tcW w:w="754" w:type="pct"/>
            <w:noWrap w:val="0"/>
            <w:vAlign w:val="center"/>
          </w:tcPr>
          <w:p>
            <w:pPr>
              <w:spacing w:line="360" w:lineRule="auto"/>
              <w:jc w:val="center"/>
              <w:rPr>
                <w:rFonts w:hint="eastAsia" w:ascii="宋体" w:hAnsi="宋体" w:cs="宋体"/>
                <w:bCs/>
                <w:color w:val="auto"/>
                <w:highlight w:val="none"/>
              </w:rPr>
            </w:pPr>
          </w:p>
        </w:tc>
        <w:tc>
          <w:tcPr>
            <w:tcW w:w="667" w:type="pct"/>
            <w:noWrap w:val="0"/>
            <w:vAlign w:val="center"/>
          </w:tcPr>
          <w:p>
            <w:pPr>
              <w:spacing w:line="360" w:lineRule="auto"/>
              <w:jc w:val="center"/>
              <w:rPr>
                <w:rFonts w:hint="eastAsia" w:ascii="宋体" w:hAnsi="宋体" w:cs="宋体"/>
                <w:bCs/>
                <w:color w:val="auto"/>
                <w:highlight w:val="none"/>
              </w:rPr>
            </w:pPr>
          </w:p>
        </w:tc>
        <w:tc>
          <w:tcPr>
            <w:tcW w:w="1014" w:type="pct"/>
            <w:noWrap w:val="0"/>
            <w:vAlign w:val="center"/>
          </w:tcPr>
          <w:p>
            <w:pPr>
              <w:spacing w:line="360" w:lineRule="auto"/>
              <w:jc w:val="center"/>
              <w:rPr>
                <w:rFonts w:hint="eastAsia" w:ascii="宋体" w:hAnsi="宋体" w:cs="宋体"/>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pct"/>
            <w:noWrap w:val="0"/>
            <w:vAlign w:val="center"/>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3</w:t>
            </w:r>
          </w:p>
        </w:tc>
        <w:tc>
          <w:tcPr>
            <w:tcW w:w="1366" w:type="pct"/>
            <w:noWrap w:val="0"/>
            <w:vAlign w:val="center"/>
          </w:tcPr>
          <w:p>
            <w:pPr>
              <w:jc w:val="center"/>
              <w:rPr>
                <w:rFonts w:hint="eastAsia" w:ascii="宋体" w:hAnsi="宋体" w:cs="宋体"/>
                <w:b/>
                <w:color w:val="auto"/>
                <w:highlight w:val="none"/>
              </w:rPr>
            </w:pPr>
          </w:p>
        </w:tc>
        <w:tc>
          <w:tcPr>
            <w:tcW w:w="734" w:type="pct"/>
            <w:noWrap w:val="0"/>
            <w:vAlign w:val="center"/>
          </w:tcPr>
          <w:p>
            <w:pPr>
              <w:spacing w:line="360" w:lineRule="auto"/>
              <w:jc w:val="center"/>
              <w:rPr>
                <w:rFonts w:hint="eastAsia" w:ascii="宋体" w:hAnsi="宋体" w:cs="宋体"/>
                <w:bCs/>
                <w:color w:val="auto"/>
                <w:highlight w:val="none"/>
              </w:rPr>
            </w:pPr>
          </w:p>
        </w:tc>
        <w:tc>
          <w:tcPr>
            <w:tcW w:w="754" w:type="pct"/>
            <w:noWrap w:val="0"/>
            <w:vAlign w:val="center"/>
          </w:tcPr>
          <w:p>
            <w:pPr>
              <w:spacing w:line="360" w:lineRule="auto"/>
              <w:jc w:val="center"/>
              <w:rPr>
                <w:rFonts w:hint="eastAsia" w:ascii="宋体" w:hAnsi="宋体" w:cs="宋体"/>
                <w:bCs/>
                <w:color w:val="auto"/>
                <w:highlight w:val="none"/>
              </w:rPr>
            </w:pPr>
          </w:p>
        </w:tc>
        <w:tc>
          <w:tcPr>
            <w:tcW w:w="667" w:type="pct"/>
            <w:noWrap w:val="0"/>
            <w:vAlign w:val="center"/>
          </w:tcPr>
          <w:p>
            <w:pPr>
              <w:spacing w:line="360" w:lineRule="auto"/>
              <w:jc w:val="center"/>
              <w:rPr>
                <w:rFonts w:hint="eastAsia" w:ascii="宋体" w:hAnsi="宋体" w:cs="宋体"/>
                <w:bCs/>
                <w:color w:val="auto"/>
                <w:highlight w:val="none"/>
              </w:rPr>
            </w:pPr>
          </w:p>
        </w:tc>
        <w:tc>
          <w:tcPr>
            <w:tcW w:w="1014" w:type="pct"/>
            <w:noWrap w:val="0"/>
            <w:vAlign w:val="center"/>
          </w:tcPr>
          <w:p>
            <w:pPr>
              <w:spacing w:line="360" w:lineRule="auto"/>
              <w:jc w:val="center"/>
              <w:rPr>
                <w:rFonts w:hint="eastAsia" w:ascii="宋体" w:hAnsi="宋体" w:cs="宋体"/>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pct"/>
            <w:noWrap w:val="0"/>
            <w:vAlign w:val="center"/>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4</w:t>
            </w:r>
          </w:p>
        </w:tc>
        <w:tc>
          <w:tcPr>
            <w:tcW w:w="1366" w:type="pct"/>
            <w:noWrap w:val="0"/>
            <w:vAlign w:val="center"/>
          </w:tcPr>
          <w:p>
            <w:pPr>
              <w:jc w:val="center"/>
              <w:rPr>
                <w:rFonts w:hint="eastAsia" w:ascii="宋体" w:hAnsi="宋体" w:cs="宋体"/>
                <w:b/>
                <w:color w:val="auto"/>
                <w:highlight w:val="none"/>
              </w:rPr>
            </w:pPr>
          </w:p>
        </w:tc>
        <w:tc>
          <w:tcPr>
            <w:tcW w:w="734" w:type="pct"/>
            <w:noWrap w:val="0"/>
            <w:vAlign w:val="center"/>
          </w:tcPr>
          <w:p>
            <w:pPr>
              <w:spacing w:line="360" w:lineRule="auto"/>
              <w:jc w:val="center"/>
              <w:rPr>
                <w:rFonts w:hint="eastAsia" w:ascii="宋体" w:hAnsi="宋体" w:cs="宋体"/>
                <w:bCs/>
                <w:color w:val="auto"/>
                <w:highlight w:val="none"/>
              </w:rPr>
            </w:pPr>
          </w:p>
        </w:tc>
        <w:tc>
          <w:tcPr>
            <w:tcW w:w="754" w:type="pct"/>
            <w:noWrap w:val="0"/>
            <w:vAlign w:val="center"/>
          </w:tcPr>
          <w:p>
            <w:pPr>
              <w:spacing w:line="360" w:lineRule="auto"/>
              <w:jc w:val="center"/>
              <w:rPr>
                <w:rFonts w:hint="eastAsia" w:ascii="宋体" w:hAnsi="宋体" w:cs="宋体"/>
                <w:bCs/>
                <w:color w:val="auto"/>
                <w:highlight w:val="none"/>
              </w:rPr>
            </w:pPr>
          </w:p>
        </w:tc>
        <w:tc>
          <w:tcPr>
            <w:tcW w:w="667" w:type="pct"/>
            <w:noWrap w:val="0"/>
            <w:vAlign w:val="center"/>
          </w:tcPr>
          <w:p>
            <w:pPr>
              <w:spacing w:line="360" w:lineRule="auto"/>
              <w:jc w:val="center"/>
              <w:rPr>
                <w:rFonts w:hint="eastAsia" w:ascii="宋体" w:hAnsi="宋体" w:cs="宋体"/>
                <w:bCs/>
                <w:color w:val="auto"/>
                <w:highlight w:val="none"/>
              </w:rPr>
            </w:pPr>
          </w:p>
        </w:tc>
        <w:tc>
          <w:tcPr>
            <w:tcW w:w="1014" w:type="pct"/>
            <w:noWrap w:val="0"/>
            <w:vAlign w:val="center"/>
          </w:tcPr>
          <w:p>
            <w:pPr>
              <w:spacing w:line="360" w:lineRule="auto"/>
              <w:jc w:val="center"/>
              <w:rPr>
                <w:rFonts w:hint="eastAsia" w:ascii="宋体" w:hAnsi="宋体" w:cs="宋体"/>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pct"/>
            <w:noWrap w:val="0"/>
            <w:vAlign w:val="center"/>
          </w:tcPr>
          <w:p>
            <w:pPr>
              <w:spacing w:line="360" w:lineRule="auto"/>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w:t>
            </w:r>
          </w:p>
        </w:tc>
        <w:tc>
          <w:tcPr>
            <w:tcW w:w="1366" w:type="pct"/>
            <w:noWrap w:val="0"/>
            <w:vAlign w:val="center"/>
          </w:tcPr>
          <w:p>
            <w:pPr>
              <w:jc w:val="center"/>
              <w:rPr>
                <w:rFonts w:hint="eastAsia" w:ascii="宋体" w:hAnsi="宋体" w:cs="宋体"/>
                <w:b/>
                <w:color w:val="auto"/>
                <w:highlight w:val="none"/>
              </w:rPr>
            </w:pPr>
          </w:p>
        </w:tc>
        <w:tc>
          <w:tcPr>
            <w:tcW w:w="734" w:type="pct"/>
            <w:noWrap w:val="0"/>
            <w:vAlign w:val="center"/>
          </w:tcPr>
          <w:p>
            <w:pPr>
              <w:spacing w:line="360" w:lineRule="auto"/>
              <w:jc w:val="center"/>
              <w:rPr>
                <w:rFonts w:hint="eastAsia" w:ascii="宋体" w:hAnsi="宋体" w:cs="宋体"/>
                <w:bCs/>
                <w:color w:val="auto"/>
                <w:highlight w:val="none"/>
              </w:rPr>
            </w:pPr>
          </w:p>
        </w:tc>
        <w:tc>
          <w:tcPr>
            <w:tcW w:w="754" w:type="pct"/>
            <w:noWrap w:val="0"/>
            <w:vAlign w:val="center"/>
          </w:tcPr>
          <w:p>
            <w:pPr>
              <w:spacing w:line="360" w:lineRule="auto"/>
              <w:jc w:val="center"/>
              <w:rPr>
                <w:rFonts w:hint="eastAsia" w:ascii="宋体" w:hAnsi="宋体" w:cs="宋体"/>
                <w:bCs/>
                <w:color w:val="auto"/>
                <w:highlight w:val="none"/>
              </w:rPr>
            </w:pPr>
          </w:p>
        </w:tc>
        <w:tc>
          <w:tcPr>
            <w:tcW w:w="667" w:type="pct"/>
            <w:noWrap w:val="0"/>
            <w:vAlign w:val="center"/>
          </w:tcPr>
          <w:p>
            <w:pPr>
              <w:spacing w:line="360" w:lineRule="auto"/>
              <w:jc w:val="center"/>
              <w:rPr>
                <w:rFonts w:hint="eastAsia" w:ascii="宋体" w:hAnsi="宋体" w:cs="宋体"/>
                <w:bCs/>
                <w:color w:val="auto"/>
                <w:highlight w:val="none"/>
              </w:rPr>
            </w:pPr>
          </w:p>
        </w:tc>
        <w:tc>
          <w:tcPr>
            <w:tcW w:w="1014" w:type="pct"/>
            <w:noWrap w:val="0"/>
            <w:vAlign w:val="center"/>
          </w:tcPr>
          <w:p>
            <w:pPr>
              <w:spacing w:line="360" w:lineRule="auto"/>
              <w:jc w:val="center"/>
              <w:rPr>
                <w:rFonts w:hint="eastAsia" w:ascii="宋体" w:hAnsi="宋体" w:cs="宋体"/>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985" w:type="pct"/>
            <w:gridSpan w:val="5"/>
            <w:noWrap w:val="0"/>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合计（元）</w:t>
            </w:r>
          </w:p>
        </w:tc>
        <w:tc>
          <w:tcPr>
            <w:tcW w:w="1014" w:type="pct"/>
            <w:noWrap w:val="0"/>
            <w:vAlign w:val="center"/>
          </w:tcPr>
          <w:p>
            <w:pPr>
              <w:spacing w:line="360" w:lineRule="auto"/>
              <w:jc w:val="center"/>
              <w:rPr>
                <w:rFonts w:hint="eastAsia" w:ascii="宋体" w:hAnsi="宋体" w:cs="宋体"/>
                <w:b/>
                <w:bCs/>
                <w:color w:val="auto"/>
                <w:highlight w:val="none"/>
              </w:rPr>
            </w:pPr>
          </w:p>
        </w:tc>
      </w:tr>
    </w:tbl>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二、合同价格</w:t>
      </w:r>
    </w:p>
    <w:p>
      <w:pPr>
        <w:spacing w:line="360" w:lineRule="auto"/>
        <w:ind w:firstLine="420" w:firstLineChars="200"/>
        <w:outlineLvl w:val="0"/>
        <w:rPr>
          <w:rFonts w:hint="eastAsia" w:ascii="宋体" w:hAnsi="宋体" w:cs="宋体"/>
          <w:b w:val="0"/>
          <w:bCs w:val="0"/>
          <w:color w:val="auto"/>
          <w:kern w:val="0"/>
          <w:szCs w:val="21"/>
          <w:highlight w:val="none"/>
        </w:rPr>
      </w:pPr>
      <w:r>
        <w:rPr>
          <w:rFonts w:hint="eastAsia" w:ascii="宋体" w:hAnsi="宋体" w:cs="宋体"/>
          <w:b w:val="0"/>
          <w:bCs w:val="0"/>
          <w:color w:val="auto"/>
          <w:szCs w:val="21"/>
          <w:highlight w:val="none"/>
        </w:rPr>
        <w:t>本合同项下总</w:t>
      </w:r>
      <w:r>
        <w:rPr>
          <w:rFonts w:hint="eastAsia" w:ascii="宋体" w:hAnsi="宋体" w:cs="宋体"/>
          <w:b w:val="0"/>
          <w:bCs w:val="0"/>
          <w:color w:val="auto"/>
          <w:szCs w:val="21"/>
          <w:highlight w:val="none"/>
          <w:lang w:val="en-US" w:eastAsia="zh-CN"/>
        </w:rPr>
        <w:t>金额</w:t>
      </w:r>
      <w:r>
        <w:rPr>
          <w:rFonts w:hint="eastAsia" w:ascii="宋体" w:hAnsi="宋体" w:cs="宋体"/>
          <w:b w:val="0"/>
          <w:bCs w:val="0"/>
          <w:color w:val="auto"/>
          <w:szCs w:val="21"/>
          <w:highlight w:val="none"/>
        </w:rPr>
        <w:t>为人民币</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rPr>
        <w:t>元（小写），即</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rPr>
        <w:t>（大写），</w:t>
      </w:r>
      <w:r>
        <w:rPr>
          <w:rFonts w:hint="eastAsia" w:ascii="宋体" w:hAnsi="宋体" w:cs="宋体"/>
          <w:b w:val="0"/>
          <w:bCs w:val="0"/>
          <w:color w:val="auto"/>
          <w:kern w:val="0"/>
          <w:szCs w:val="21"/>
          <w:highlight w:val="none"/>
        </w:rPr>
        <w:t>报价应包含但不限于采购产品的制造、运输、安装、调试、验收检测、</w:t>
      </w:r>
      <w:r>
        <w:rPr>
          <w:rFonts w:hint="eastAsia" w:ascii="宋体" w:hAnsi="宋体" w:cs="宋体"/>
          <w:b w:val="0"/>
          <w:bCs w:val="0"/>
          <w:color w:val="auto"/>
          <w:kern w:val="0"/>
          <w:szCs w:val="21"/>
          <w:highlight w:val="none"/>
          <w:lang w:val="en-US" w:eastAsia="zh-CN"/>
        </w:rPr>
        <w:t>指导</w:t>
      </w:r>
      <w:r>
        <w:rPr>
          <w:rFonts w:hint="eastAsia" w:ascii="宋体" w:hAnsi="宋体" w:cs="宋体"/>
          <w:b w:val="0"/>
          <w:bCs w:val="0"/>
          <w:color w:val="auto"/>
          <w:kern w:val="0"/>
          <w:szCs w:val="21"/>
          <w:highlight w:val="none"/>
        </w:rPr>
        <w:t>培训、质保维护、</w:t>
      </w:r>
      <w:r>
        <w:rPr>
          <w:rFonts w:hint="eastAsia" w:ascii="宋体" w:hAnsi="宋体" w:eastAsia="宋体" w:cs="宋体"/>
          <w:b w:val="0"/>
          <w:bCs w:val="0"/>
          <w:color w:val="auto"/>
          <w:sz w:val="21"/>
          <w:szCs w:val="21"/>
          <w:highlight w:val="none"/>
          <w:lang w:val="en-IE" w:eastAsia="zh-CN"/>
        </w:rPr>
        <w:t>新媒体内容编辑教学资源库平台</w:t>
      </w:r>
      <w:r>
        <w:rPr>
          <w:rFonts w:hint="eastAsia" w:ascii="宋体" w:hAnsi="宋体" w:cs="宋体"/>
          <w:b w:val="0"/>
          <w:bCs w:val="0"/>
          <w:color w:val="auto"/>
          <w:sz w:val="21"/>
          <w:szCs w:val="21"/>
          <w:highlight w:val="none"/>
          <w:lang w:val="en-IE" w:eastAsia="zh-CN"/>
        </w:rPr>
        <w:t>、</w:t>
      </w:r>
      <w:r>
        <w:rPr>
          <w:rFonts w:hint="eastAsia" w:ascii="宋体" w:hAnsi="宋体" w:eastAsia="宋体" w:cs="宋体"/>
          <w:b w:val="0"/>
          <w:bCs w:val="0"/>
          <w:color w:val="auto"/>
          <w:sz w:val="21"/>
          <w:szCs w:val="21"/>
          <w:highlight w:val="none"/>
          <w:lang w:val="en-IE" w:eastAsia="zh-CN"/>
        </w:rPr>
        <w:t>新媒体教学资源</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sz w:val="21"/>
          <w:szCs w:val="21"/>
          <w:highlight w:val="none"/>
          <w:lang w:val="en-IE" w:eastAsia="zh-CN"/>
        </w:rPr>
        <w:t>新媒体内容编辑实训系统</w:t>
      </w:r>
      <w:r>
        <w:rPr>
          <w:rFonts w:hint="eastAsia" w:ascii="宋体" w:hAnsi="宋体" w:cs="宋体"/>
          <w:b w:val="0"/>
          <w:bCs w:val="0"/>
          <w:color w:val="auto"/>
          <w:sz w:val="21"/>
          <w:szCs w:val="21"/>
          <w:highlight w:val="none"/>
          <w:lang w:val="en-IE" w:eastAsia="zh-CN"/>
        </w:rPr>
        <w:t>、</w:t>
      </w:r>
      <w:r>
        <w:rPr>
          <w:rFonts w:hint="eastAsia" w:ascii="宋体" w:hAnsi="宋体" w:cs="宋体"/>
          <w:b w:val="0"/>
          <w:bCs w:val="0"/>
          <w:color w:val="auto"/>
          <w:kern w:val="0"/>
          <w:szCs w:val="21"/>
          <w:highlight w:val="none"/>
          <w:lang w:val="en-US" w:eastAsia="zh-CN"/>
        </w:rPr>
        <w:t>售后服务、</w:t>
      </w:r>
      <w:r>
        <w:rPr>
          <w:rFonts w:hint="eastAsia" w:ascii="宋体" w:hAnsi="宋体" w:cs="宋体"/>
          <w:b w:val="0"/>
          <w:bCs w:val="0"/>
          <w:color w:val="auto"/>
          <w:kern w:val="0"/>
          <w:szCs w:val="21"/>
          <w:highlight w:val="none"/>
        </w:rPr>
        <w:t>税费等完成本项目并达到采购人可正常使用的一切费用；</w:t>
      </w:r>
    </w:p>
    <w:p>
      <w:pPr>
        <w:spacing w:line="360" w:lineRule="auto"/>
        <w:ind w:firstLine="420" w:firstLineChars="200"/>
        <w:outlineLvl w:val="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合同总价一次性包死，不受市场价格变化因素的影响。</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、付款及结算方式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付款进度：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合同签订后甲方向乙方支付合同金额的80%，</w:t>
      </w:r>
      <w:r>
        <w:rPr>
          <w:rFonts w:hint="eastAsia" w:ascii="宋体" w:hAnsi="宋体" w:cs="宋体"/>
          <w:color w:val="auto"/>
          <w:szCs w:val="21"/>
          <w:highlight w:val="none"/>
        </w:rPr>
        <w:t>经终验合格后，乙方提供合同款项发票，甲方一次性支付</w:t>
      </w:r>
      <w:r>
        <w:rPr>
          <w:rFonts w:hint="eastAsia" w:ascii="宋体" w:hAnsi="宋体" w:cs="宋体"/>
          <w:color w:val="auto"/>
          <w:szCs w:val="21"/>
          <w:highlight w:val="none"/>
          <w:lang w:val="en-US" w:eastAsia="zh-CN"/>
        </w:rPr>
        <w:t>剩余的20%</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支付方式：银行转账。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结算方式：验收合格后填写政府采购项目验收单（一式伍份），发票（按合同总价直开采购人），供应商持中标通知书、供货合同、正式发票、政府采购项目验收单，与采购人结算。</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交付期及交付</w:t>
      </w:r>
      <w:r>
        <w:rPr>
          <w:rFonts w:hint="eastAsia" w:ascii="宋体" w:hAnsi="宋体" w:cs="宋体"/>
          <w:b/>
          <w:bCs/>
          <w:color w:val="auto"/>
          <w:szCs w:val="21"/>
          <w:highlight w:val="none"/>
        </w:rPr>
        <w:t>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1.交付</w:t>
      </w:r>
      <w:r>
        <w:rPr>
          <w:rFonts w:hint="eastAsia" w:ascii="宋体" w:hAnsi="宋体" w:eastAsia="宋体" w:cs="宋体"/>
          <w:color w:val="auto"/>
          <w:szCs w:val="21"/>
          <w:highlight w:val="none"/>
          <w:lang w:val="en-US" w:eastAsia="zh-CN"/>
        </w:rPr>
        <w:t>期</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自</w:t>
      </w:r>
      <w:r>
        <w:rPr>
          <w:rFonts w:hint="eastAsia" w:ascii="宋体" w:hAnsi="宋体" w:eastAsia="宋体" w:cs="宋体"/>
          <w:color w:val="auto"/>
          <w:sz w:val="21"/>
          <w:szCs w:val="21"/>
          <w:highlight w:val="none"/>
        </w:rPr>
        <w:t>合同签订之日起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日历日</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2.交付</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泾阳县职业教育中心</w:t>
      </w:r>
      <w:r>
        <w:rPr>
          <w:rFonts w:hint="eastAsia" w:ascii="宋体" w:hAnsi="宋体" w:cs="宋体"/>
          <w:color w:val="auto"/>
          <w:szCs w:val="21"/>
          <w:highlight w:val="none"/>
          <w:lang w:val="en-US" w:eastAsia="zh-CN"/>
        </w:rPr>
        <w:t>校内</w:t>
      </w: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运输方式：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硬件</w:t>
      </w:r>
      <w:r>
        <w:rPr>
          <w:rFonts w:hint="eastAsia" w:ascii="宋体" w:hAnsi="宋体" w:cs="宋体"/>
          <w:color w:val="auto"/>
          <w:szCs w:val="21"/>
          <w:highlight w:val="none"/>
        </w:rPr>
        <w:t>产品的包装应为出厂时的原包装，包装内应附有详细的装箱清单、出厂合格证明及其他相关资料。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运输由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负责，运杂费已包含在合同总价内，包括从产品供应地点运送至交付地点所含的运输费、装卸费、仓储费、保险费等。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运输方式由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自行选择，但必须保证按期交付。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4"/>
          <w:szCs w:val="24"/>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产品及其备附件到达</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指定地点后，</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应按有关技术规程和</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要求进行存放和保管</w:t>
      </w:r>
      <w:r>
        <w:rPr>
          <w:rFonts w:hint="eastAsia" w:ascii="宋体" w:hAnsi="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产品及其备件在运输过程中的风险</w:t>
      </w: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乙方承担。</w:t>
      </w:r>
    </w:p>
    <w:p>
      <w:pPr>
        <w:spacing w:before="156" w:beforeLines="50" w:line="360" w:lineRule="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Hans"/>
        </w:rPr>
        <w:t>质量保证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产品在交付至甲方验收合格前的一切风险由乙方承担。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质保期</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年，质保期内产品的运输费、往返运保费等均由成乙方承担。保修期外，只收取单程的运保费及已维修的成本费，未尽事宜由双方协商解决。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质保期内、外，如果发现货物的质量、规格、技术指标等存在与合同中任何一项不符，甲方应在7日内，向乙方提出索赔。乙方应在接到甲方的通知后应当在7日内将有瑕疵产品更换为合格产品，由此产生的所有费用由乙方承担。造成甲方损失的（包括但不限于实际损失、可期待利益及律师费等），乙方应赔偿甲方的所有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交付验收合格后，乙方负责派遣技术人员对甲方就设备使用、维护等进行不少于一周的培训，确保甲方人员掌握相关知识技术。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乙方保证其向甲方供应的产品功能、性能指标与</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文件中的要求一致，如不能达到</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中的技术要求，甲方有权解除本合同，并就因此给甲方造成的损失（包括但不限于经济损失、声誉损失以及上级主管部门处罚等）要求乙方进行赔偿，形式包括但不限于提起诉讼、向政府采购主管部门投诉反映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同时</w:t>
      </w:r>
      <w:r>
        <w:rPr>
          <w:rFonts w:hint="eastAsia" w:ascii="宋体" w:hAnsi="宋体" w:eastAsia="宋体" w:cs="宋体"/>
          <w:color w:val="auto"/>
          <w:szCs w:val="21"/>
          <w:highlight w:val="none"/>
          <w:lang w:eastAsia="zh-CN"/>
        </w:rPr>
        <w:t>甲方有权指定第三方单位开展相关</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lang w:eastAsia="zh-CN"/>
        </w:rPr>
        <w:t>，因此所产生费用的由乙方无条件承担。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乙方保证所供产品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7.乙方</w:t>
      </w:r>
      <w:r>
        <w:rPr>
          <w:rFonts w:hint="eastAsia" w:ascii="宋体" w:hAnsi="宋体" w:cs="宋体"/>
          <w:color w:val="auto"/>
          <w:szCs w:val="21"/>
          <w:highlight w:val="none"/>
        </w:rPr>
        <w:t>保证所供产品技术指标先进、质量性能可靠、配置合理、进货渠道正规，全面满足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文件要求，无假货或翻新货，并能按期交付。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8.乙方</w:t>
      </w:r>
      <w:r>
        <w:rPr>
          <w:rFonts w:hint="eastAsia" w:ascii="宋体" w:hAnsi="宋体" w:cs="宋体"/>
          <w:color w:val="auto"/>
          <w:szCs w:val="21"/>
          <w:highlight w:val="none"/>
        </w:rPr>
        <w:t>保证所供产品在装卸、运输和仓储过程中有足够的包装保护，防止产品受潮、锈蚀、遭受冲撞及其他不可预见的损坏。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9.乙方</w:t>
      </w:r>
      <w:r>
        <w:rPr>
          <w:rFonts w:hint="eastAsia" w:ascii="宋体" w:hAnsi="宋体" w:cs="宋体"/>
          <w:color w:val="auto"/>
          <w:szCs w:val="21"/>
          <w:highlight w:val="none"/>
        </w:rPr>
        <w:t>保证所供产品具有良好的外观，适合</w:t>
      </w:r>
      <w:r>
        <w:rPr>
          <w:rFonts w:hint="eastAsia" w:ascii="宋体" w:hAnsi="宋体" w:eastAsia="宋体" w:cs="宋体"/>
          <w:color w:val="auto"/>
          <w:szCs w:val="21"/>
          <w:highlight w:val="none"/>
        </w:rPr>
        <w:t>各种安装场所的使用要求，确保达到最佳运行状态。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10.乙方</w:t>
      </w:r>
      <w:r>
        <w:rPr>
          <w:rFonts w:hint="eastAsia" w:ascii="宋体" w:hAnsi="宋体" w:cs="宋体"/>
          <w:color w:val="auto"/>
          <w:szCs w:val="21"/>
          <w:highlight w:val="none"/>
        </w:rPr>
        <w:t>所供产品因侵权而产生的一切后果由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保留索赔权力。</w:t>
      </w:r>
    </w:p>
    <w:p>
      <w:pPr>
        <w:spacing w:before="156" w:beforeLines="50"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六、知识产权保护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本项目产品</w:t>
      </w:r>
      <w:r>
        <w:rPr>
          <w:rFonts w:hint="eastAsia" w:ascii="宋体" w:hAnsi="宋体" w:eastAsia="宋体" w:cs="宋体"/>
          <w:b w:val="0"/>
          <w:bCs w:val="0"/>
          <w:color w:val="auto"/>
          <w:sz w:val="21"/>
          <w:szCs w:val="21"/>
          <w:highlight w:val="none"/>
          <w:lang w:val="en-US" w:eastAsia="zh-CN"/>
        </w:rPr>
        <w:t>所有权及相应权益归属</w:t>
      </w:r>
      <w:r>
        <w:rPr>
          <w:rFonts w:hint="eastAsia" w:ascii="宋体" w:hAnsi="宋体" w:cs="宋体"/>
          <w:b w:val="0"/>
          <w:bCs w:val="0"/>
          <w:color w:val="auto"/>
          <w:sz w:val="21"/>
          <w:szCs w:val="21"/>
          <w:highlight w:val="none"/>
          <w:lang w:val="en-US" w:eastAsia="zh-CN"/>
        </w:rPr>
        <w:t>甲</w:t>
      </w:r>
      <w:r>
        <w:rPr>
          <w:rFonts w:hint="eastAsia" w:ascii="宋体" w:hAnsi="宋体" w:eastAsia="宋体" w:cs="宋体"/>
          <w:b w:val="0"/>
          <w:bCs w:val="0"/>
          <w:color w:val="auto"/>
          <w:sz w:val="21"/>
          <w:szCs w:val="21"/>
          <w:highlight w:val="none"/>
          <w:lang w:val="en-US" w:eastAsia="zh-CN"/>
        </w:rPr>
        <w:t>方。未经采购方许可，</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不得以任何形式侵犯其所有权，否则，</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有权依法追究其法律责任， 并要求</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赔偿因此造成的甲方损失（包括但不限于物质损失、名誉损失）。</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必须保证视频中由制作方供应的资源必须拥有完全知识产权，或者取得著作权人的授权，</w:t>
      </w:r>
      <w:r>
        <w:rPr>
          <w:rFonts w:hint="eastAsia" w:ascii="宋体" w:hAnsi="宋体" w:cs="宋体"/>
          <w:b w:val="0"/>
          <w:bCs w:val="0"/>
          <w:color w:val="auto"/>
          <w:sz w:val="21"/>
          <w:szCs w:val="21"/>
          <w:highlight w:val="none"/>
          <w:lang w:val="en-US" w:eastAsia="zh-CN"/>
        </w:rPr>
        <w:t>同时</w:t>
      </w:r>
      <w:r>
        <w:rPr>
          <w:rFonts w:hint="eastAsia" w:ascii="宋体" w:hAnsi="宋体" w:eastAsia="宋体" w:cs="宋体"/>
          <w:b w:val="0"/>
          <w:bCs w:val="0"/>
          <w:color w:val="auto"/>
          <w:sz w:val="21"/>
          <w:szCs w:val="21"/>
          <w:highlight w:val="none"/>
          <w:lang w:val="en-US" w:eastAsia="zh-CN"/>
        </w:rPr>
        <w:t>需妥善解决网络传播权</w:t>
      </w:r>
      <w:r>
        <w:rPr>
          <w:rFonts w:hint="eastAsia" w:ascii="宋体" w:hAnsi="宋体" w:cs="宋体"/>
          <w:b w:val="0"/>
          <w:bCs w:val="0"/>
          <w:color w:val="auto"/>
          <w:sz w:val="21"/>
          <w:szCs w:val="21"/>
          <w:highlight w:val="none"/>
          <w:lang w:val="en-US" w:eastAsia="zh-CN"/>
        </w:rPr>
        <w:t>。</w:t>
      </w:r>
    </w:p>
    <w:p>
      <w:pPr>
        <w:spacing w:before="156" w:beforeLines="50" w:line="360" w:lineRule="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1.本项目采用一般程序进行验收。项目验收另有国家强制性规定的，按国家规定执行，验收费用由乙方承担，验收报告作为申请付款的凭证之一。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2.验收过程中产生纠纷的，由质量技术监督部门认定的检测机构检测,如为乙方原因造成的，由乙方承担检测费用；否则由甲方承担。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验收不合格，由乙方返工直至合格，有关返工、再行验收，以及给甲方造成的损失等费用由乙方承担。连续两次项目验收不合格的，甲方可终止合同，另行按规定选择其他供应商采购，由此带来的一切损失由乙方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.项目验收前，乙方应将项目有关的全部资料，包括产品合格证、检测证书、产品资料、技术文档、开发手册、安装部署手册、运行维护手册等移交甲方，项目资料作为验收的重要依据。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验收依据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合同文本及合同补充文件（条款）。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产品的合法来源渠道证明文件。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竞争性</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成交供应商的竞争性磋商响应文件。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合同货物清单。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生产厂家的企业资质、货物的执行标准。</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八</w:t>
      </w:r>
      <w:r>
        <w:rPr>
          <w:rFonts w:hint="eastAsia" w:ascii="宋体" w:hAnsi="宋体" w:cs="宋体"/>
          <w:b/>
          <w:bCs/>
          <w:color w:val="auto"/>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1.乙方交付产品，应提供产品质量合格证，不能提供的视为不合格产品，甲方有权拒收，乙方应无条件免费更换或退货,并支付合同总价款</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2.乙方如未履行合同，甲方有权另行采购，造成的所有损失（包括但不限于实际损失、可期待利益、律师费等）由乙方承担。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3.乙方未按约定期限交付产品的，每逾期一天，乙方应按照合同总价款的0.2%支付违约金，逾期超过30天，甲方有权解除合同，乙方应按照合同总价款的</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4.乙方提供的产品侵犯第三方权益的，由乙方负责处理相关事宜，同时甲方有权解除合同，乙方应承担合同总价款</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乙方提供产品的数量、质量等不能满足采购技术要求，乙方必须无条件更换产品，提高技术，完善质量，否则，甲方会同监督机构有权解除合同并对乙方违约行为进行追究，同时按政府采购供应商管理办法进行相应的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6.以上违约条款可合并适用，合并适用后仍不能弥补甲方损失的，甲方有权继续向乙方追偿。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7.任何一方因不可抗力原因不能履行合同时，应尽快通知对方。如无法履约合同，可协商延缓或终止合同，双方责任免除。</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、合同变更、解除及终止的条件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1.本合同在执行过程中，如合同一方提出修改，须报政府采购管理部门同意后，由甲、乙双方签署书面修改协议，并成为本合同不可分割的一部分。除此之外，本合同的条件不得有任何变化或修改。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违约的情况下，</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报告政府采购管理部门后，有权终止合同，并依法向</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进行索赔实际损失(包括但不限于维权所支出的律师费、诉讼费、交通费等)。</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十、保密约定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没有甲方事先书面同意，乙方不得将甲方或代表甲方提供的有关合同或任何合同条文、规格、计划、资料提供给与履行本合同无关的任何其他人，即使向与履行本合同有关的人员提供，也应注意保密并限于履行合同必须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没有甲方事先书面同意，除了履行本合同之外，乙方不应使用合同条款所列举的任何文件和资料。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除了合同本身以外，合同条款所列举的任何文件是甲方的财产。如果甲方有要求，乙方在完成合同后应将这些文件及全部复制件还给甲方。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乙方应保证，甲方在使用该货物或货物的任何一部分时，免受第三方提出的侵犯（其专利权）、商标权、著作权或其它知识产权的起诉。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本合同被解除或履行完毕不免除合同双方的保密义务。</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、合同争议解决方式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因执行本合同所发生的或与本合同有关的一切争议,双方应通过友好协商解决，协商不成的可依法</w:t>
      </w:r>
      <w:r>
        <w:rPr>
          <w:rFonts w:ascii="宋体" w:hAnsi="宋体" w:cs="宋体"/>
          <w:color w:val="auto"/>
          <w:szCs w:val="21"/>
          <w:highlight w:val="none"/>
        </w:rPr>
        <w:t>向有管辖权的人民法院提起诉讼</w:t>
      </w:r>
      <w:r>
        <w:rPr>
          <w:rFonts w:hint="eastAsia" w:ascii="宋体" w:hAnsi="宋体" w:cs="宋体"/>
          <w:color w:val="auto"/>
          <w:szCs w:val="21"/>
          <w:highlight w:val="none"/>
        </w:rPr>
        <w:t>。</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、不可抗力情况下的免责约定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2.受不可抗力事件影响的一方当事人对于不可抗力事件导致的任何合同义务的迟延履行或不能履行不承担违约责任。但该方当事人应尽快将不可抗力事件结束或消除的情况通知另一方当事人。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3.双方当事人应在不可抗力事件结束或其影响消除后立即继续履行其合同义务，合同期限也应相应顺延。如果不可抗力事件的影响持续超过 90 日，则任何一方当事人均有权以书面通知解除合同。</w:t>
      </w:r>
    </w:p>
    <w:p>
      <w:pPr>
        <w:spacing w:before="156"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、生效条件、订立日期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1.本合同自签订之日起生效。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份，采购人、成交供应商、采购代理机构各执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份；政府采购监管机构备案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份，成交供应商办理结算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3.如本合同有未尽事宜，以采购文件为准，采购文件未做要求的，由双方依法订立补充合同。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（以下无正文）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签章页：</w:t>
      </w:r>
    </w:p>
    <w:tbl>
      <w:tblPr>
        <w:tblStyle w:val="22"/>
        <w:tblW w:w="4888" w:type="pct"/>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1"/>
        <w:gridCol w:w="44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514" w:type="pct"/>
            <w:noWrap/>
            <w:vAlign w:val="center"/>
          </w:tcPr>
          <w:p>
            <w:pPr>
              <w:tabs>
                <w:tab w:val="left" w:pos="347"/>
              </w:tabs>
              <w:autoSpaceDE w:val="0"/>
              <w:autoSpaceDN w:val="0"/>
              <w:adjustRightIn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甲  方</w:t>
            </w:r>
          </w:p>
        </w:tc>
        <w:tc>
          <w:tcPr>
            <w:tcW w:w="2485" w:type="pct"/>
            <w:noWrap/>
            <w:vAlign w:val="center"/>
          </w:tcPr>
          <w:p>
            <w:pPr>
              <w:tabs>
                <w:tab w:val="left" w:pos="347"/>
              </w:tabs>
              <w:autoSpaceDE w:val="0"/>
              <w:autoSpaceDN w:val="0"/>
              <w:adjustRightIn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乙  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eastAsia="宋体" w:cs="宋体"/>
                <w:bCs/>
                <w:color w:val="auto"/>
                <w:szCs w:val="21"/>
                <w:highlight w:val="none"/>
                <w:lang w:eastAsia="zh-CN"/>
              </w:rPr>
              <w:t>泾阳县职业教育中心</w:t>
            </w:r>
            <w:r>
              <w:rPr>
                <w:rFonts w:hint="eastAsia" w:ascii="宋体" w:hAnsi="宋体" w:eastAsia="宋体" w:cs="宋体"/>
                <w:bCs/>
                <w:color w:val="auto"/>
                <w:szCs w:val="21"/>
                <w:highlight w:val="none"/>
              </w:rPr>
              <w:t>（公章）</w:t>
            </w:r>
          </w:p>
        </w:tc>
        <w:tc>
          <w:tcPr>
            <w:tcW w:w="2485" w:type="pct"/>
            <w:noWrap/>
            <w:vAlign w:val="center"/>
          </w:tcPr>
          <w:p>
            <w:pPr>
              <w:autoSpaceDE w:val="0"/>
              <w:autoSpaceDN w:val="0"/>
              <w:adjustRightInd w:val="0"/>
              <w:spacing w:line="360" w:lineRule="auto"/>
              <w:ind w:firstLine="420" w:firstLineChars="200"/>
              <w:jc w:val="right"/>
              <w:rPr>
                <w:rFonts w:hint="eastAsia" w:ascii="宋体" w:hAnsi="宋体" w:cs="宋体"/>
                <w:bCs/>
                <w:color w:val="auto"/>
                <w:szCs w:val="21"/>
                <w:highlight w:val="none"/>
              </w:rPr>
            </w:pPr>
            <w:r>
              <w:rPr>
                <w:rFonts w:hint="eastAsia" w:ascii="宋体" w:hAnsi="宋体" w:cs="宋体"/>
                <w:bCs/>
                <w:color w:val="auto"/>
                <w:szCs w:val="21"/>
                <w:highlight w:val="none"/>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地址：</w:t>
            </w:r>
            <w:r>
              <w:rPr>
                <w:rFonts w:hint="eastAsia" w:ascii="宋体" w:hAnsi="宋体" w:eastAsia="宋体" w:cs="宋体"/>
                <w:bCs/>
                <w:color w:val="auto"/>
                <w:kern w:val="0"/>
                <w:szCs w:val="21"/>
                <w:highlight w:val="none"/>
              </w:rPr>
              <w:t>西咸新区泾河新城泾干镇花李村</w:t>
            </w:r>
          </w:p>
        </w:tc>
        <w:tc>
          <w:tcPr>
            <w:tcW w:w="2485" w:type="pct"/>
            <w:noWrap/>
            <w:vAlign w:val="top"/>
          </w:tcPr>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法定代表人：</w:t>
            </w:r>
          </w:p>
        </w:tc>
        <w:tc>
          <w:tcPr>
            <w:tcW w:w="2485"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法定代表人：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负责人：</w:t>
            </w:r>
          </w:p>
        </w:tc>
        <w:tc>
          <w:tcPr>
            <w:tcW w:w="2485"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电话：</w:t>
            </w:r>
          </w:p>
        </w:tc>
        <w:tc>
          <w:tcPr>
            <w:tcW w:w="2485"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p>
        </w:tc>
        <w:tc>
          <w:tcPr>
            <w:tcW w:w="2485" w:type="pct"/>
            <w:noWrap/>
            <w:vAlign w:val="top"/>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开户银行：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p>
        </w:tc>
        <w:tc>
          <w:tcPr>
            <w:tcW w:w="2485"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4"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tc>
        <w:tc>
          <w:tcPr>
            <w:tcW w:w="2485" w:type="pct"/>
            <w:noWrap/>
            <w:vAlign w:val="center"/>
          </w:tcPr>
          <w:p>
            <w:pPr>
              <w:tabs>
                <w:tab w:val="left" w:pos="347"/>
              </w:tabs>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tc>
      </w:tr>
    </w:tbl>
    <w:p>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
          <w:color w:val="auto"/>
          <w:szCs w:val="21"/>
          <w:highlight w:val="none"/>
        </w:rPr>
      </w:pPr>
      <w:bookmarkStart w:id="27" w:name="_Toc9012"/>
      <w:r>
        <w:rPr>
          <w:rFonts w:hint="eastAsia" w:ascii="宋体" w:hAnsi="宋体" w:eastAsia="宋体" w:cs="宋体"/>
          <w:bCs/>
          <w:color w:val="auto"/>
          <w:highlight w:val="none"/>
        </w:rPr>
        <w:t xml:space="preserve">第四章 </w:t>
      </w:r>
      <w:r>
        <w:rPr>
          <w:rFonts w:hint="eastAsia" w:ascii="宋体" w:hAnsi="宋体" w:cs="宋体"/>
          <w:bCs/>
          <w:color w:val="auto"/>
          <w:highlight w:val="none"/>
          <w:lang w:val="en-US" w:eastAsia="zh-CN"/>
        </w:rPr>
        <w:t>采购</w:t>
      </w:r>
      <w:r>
        <w:rPr>
          <w:rFonts w:hint="eastAsia" w:ascii="宋体" w:hAnsi="宋体" w:eastAsia="宋体" w:cs="宋体"/>
          <w:bCs/>
          <w:color w:val="auto"/>
          <w:highlight w:val="none"/>
        </w:rPr>
        <w:t>内容及</w:t>
      </w:r>
      <w:r>
        <w:rPr>
          <w:rFonts w:hint="eastAsia" w:ascii="宋体" w:hAnsi="宋体" w:cs="宋体"/>
          <w:bCs/>
          <w:color w:val="auto"/>
          <w:highlight w:val="none"/>
          <w:lang w:val="en-US" w:eastAsia="zh-CN"/>
        </w:rPr>
        <w:t>技术</w:t>
      </w:r>
      <w:r>
        <w:rPr>
          <w:rFonts w:hint="eastAsia" w:ascii="宋体" w:hAnsi="宋体" w:eastAsia="宋体" w:cs="宋体"/>
          <w:bCs/>
          <w:color w:val="auto"/>
          <w:highlight w:val="none"/>
        </w:rPr>
        <w:t>要求</w:t>
      </w:r>
      <w:bookmarkEnd w:id="27"/>
    </w:p>
    <w:p>
      <w:pPr>
        <w:keepNext w:val="0"/>
        <w:keepLines w:val="0"/>
        <w:pageBreakBefore w:val="0"/>
        <w:widowControl/>
        <w:kinsoku/>
        <w:wordWrap/>
        <w:overflowPunct/>
        <w:topLinePunct w:val="0"/>
        <w:autoSpaceDE/>
        <w:autoSpaceDN/>
        <w:bidi w:val="0"/>
        <w:adjustRightInd/>
        <w:snapToGrid/>
        <w:spacing w:before="157" w:beforeLines="50" w:line="360" w:lineRule="auto"/>
        <w:ind w:firstLine="422" w:firstLineChars="200"/>
        <w:jc w:val="left"/>
        <w:textAlignment w:val="baseline"/>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一、项目概况</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泾阳县职业教育中心专业设备采购项目</w:t>
      </w:r>
      <w:r>
        <w:rPr>
          <w:rFonts w:hint="eastAsia" w:ascii="宋体" w:hAnsi="宋体" w:eastAsia="宋体" w:cs="宋体"/>
          <w:color w:val="auto"/>
          <w:sz w:val="21"/>
          <w:szCs w:val="21"/>
          <w:highlight w:val="none"/>
          <w:u w:val="none"/>
        </w:rPr>
        <w:t>分为2个</w:t>
      </w:r>
      <w:r>
        <w:rPr>
          <w:rFonts w:hint="eastAsia" w:ascii="宋体" w:hAnsi="宋体" w:eastAsia="宋体" w:cs="宋体"/>
          <w:color w:val="auto"/>
          <w:sz w:val="21"/>
          <w:szCs w:val="21"/>
          <w:highlight w:val="none"/>
          <w:u w:val="none"/>
          <w:lang w:val="en-US" w:eastAsia="zh-CN"/>
        </w:rPr>
        <w:t>包</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第1包</w:t>
      </w:r>
      <w:r>
        <w:rPr>
          <w:rFonts w:hint="eastAsia" w:ascii="宋体" w:hAnsi="宋体" w:eastAsia="宋体" w:cs="宋体"/>
          <w:color w:val="auto"/>
          <w:sz w:val="21"/>
          <w:szCs w:val="21"/>
          <w:highlight w:val="none"/>
          <w:u w:val="none"/>
        </w:rPr>
        <w:t>为电子商务专业资源建设</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第2包</w:t>
      </w:r>
      <w:r>
        <w:rPr>
          <w:rFonts w:hint="eastAsia" w:ascii="宋体" w:hAnsi="宋体" w:eastAsia="宋体" w:cs="宋体"/>
          <w:color w:val="auto"/>
          <w:sz w:val="21"/>
          <w:szCs w:val="21"/>
          <w:highlight w:val="none"/>
          <w:u w:val="none"/>
        </w:rPr>
        <w:t>为计算机专业高水平建设及技能大赛设备采购。</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搭建新媒体产教融合实验室，能够连接学校和企业，实现人才培养的精准化和创新实战教学的落地。新媒体产教融合实验室项目实施的核心思路是通过“实训-实战-实体”三段式循序渐进的人才培养模式。</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的建设包括连接区域产业，创新产教融合实战教学模式，打通校企通道，以及创新教学模式，赋能教师实践教学。通过这些目标的实现，能够实现电商专业特色的产教融合人才培养，提升人才培养质量和实效。</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22" w:firstLineChars="200"/>
        <w:jc w:val="left"/>
        <w:textAlignment w:val="baseline"/>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二、项目实施必要性</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子商务人才需求多样化，技能要求高:电子商务行业发展变化速度极快，尤其以短视频、直播方向为代表，往往一个月就会有不同的内容、形式，而学校难以及时跟随行业的发展进行调整，获取到最新的企业资源进行教学，往往导致其教学内容落后与行业脱轨。</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通过建设新媒体产教融合实验室，能够连接学校、学生与企业，一方面引入企业、引入项目、引入师傅、引入课程，把企业真实工作任务、企业导师、企业课程等丰富的实战资源带入到学校，一方面获取岗位人才标准，融入专业人才培养方案，同时结合技能竞赛标准、职业技能等级证书标准，实现岗课赛证融通，用企业资源培养精准的岗位人才。</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加强学校专业建设、提升办学条件，改善师生学习硬件设施，促进我校信息化建设。</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22" w:firstLineChars="200"/>
        <w:jc w:val="left"/>
        <w:textAlignment w:val="baseline"/>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三、采购项目需实现目标</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引企入校，构建技能型人才培养新模式；课程体系、教学内容、教学方法和评价模式上取得长足进步，专业建设水平的到提高，特色专业更加明显</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校内外实训环境提升，引领示范兄弟院校</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引入电商、直播、新媒体相关课程资源、技能训练营、技能测评等企业资源，专业与产业对接，使得人才培养与社会人才需求更加吻合，学校的教学学质量明显提升。</w:t>
      </w:r>
    </w:p>
    <w:p>
      <w:pP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auto"/>
        <w:ind w:firstLine="422" w:firstLineChars="200"/>
        <w:jc w:val="left"/>
        <w:textAlignment w:val="baseline"/>
        <w:outlineLvl w:val="1"/>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四、专业设备采购项目第2包（计算机专业建设及技能大赛设备）清单</w:t>
      </w:r>
    </w:p>
    <w:tbl>
      <w:tblPr>
        <w:tblStyle w:val="22"/>
        <w:tblW w:w="48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558"/>
        <w:gridCol w:w="4947"/>
        <w:gridCol w:w="801"/>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tcBorders>
              <w:tl2br w:val="nil"/>
              <w:tr2bl w:val="nil"/>
            </w:tcBorders>
            <w:noWrap w:val="0"/>
            <w:vAlign w:val="center"/>
          </w:tcPr>
          <w:p>
            <w:pPr>
              <w:widowControl w:val="0"/>
              <w:jc w:val="center"/>
              <w:rPr>
                <w:rFonts w:hint="eastAsia" w:ascii="宋体" w:hAnsi="宋体" w:eastAsia="宋体" w:cs="宋体"/>
                <w:b/>
                <w:bCs/>
                <w:color w:val="auto"/>
                <w:sz w:val="21"/>
                <w:szCs w:val="21"/>
                <w:highlight w:val="none"/>
              </w:rPr>
            </w:pPr>
            <w:bookmarkStart w:id="28" w:name="_Toc30662"/>
            <w:r>
              <w:rPr>
                <w:rFonts w:hint="eastAsia" w:ascii="宋体" w:hAnsi="宋体" w:eastAsia="宋体" w:cs="宋体"/>
                <w:b/>
                <w:bCs/>
                <w:color w:val="auto"/>
                <w:sz w:val="21"/>
                <w:szCs w:val="21"/>
                <w:highlight w:val="none"/>
              </w:rPr>
              <w:t>序号</w:t>
            </w:r>
          </w:p>
        </w:tc>
        <w:tc>
          <w:tcPr>
            <w:tcW w:w="885" w:type="pct"/>
            <w:tcBorders>
              <w:tl2br w:val="nil"/>
              <w:tr2bl w:val="nil"/>
            </w:tcBorders>
            <w:noWrap w:val="0"/>
            <w:vAlign w:val="center"/>
          </w:tcPr>
          <w:p>
            <w:pPr>
              <w:widowControl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2809" w:type="pct"/>
            <w:tcBorders>
              <w:tl2br w:val="nil"/>
              <w:tr2bl w:val="nil"/>
            </w:tcBorders>
            <w:noWrap w:val="0"/>
            <w:vAlign w:val="center"/>
          </w:tcPr>
          <w:p>
            <w:pPr>
              <w:widowControl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参数规格</w:t>
            </w:r>
          </w:p>
        </w:tc>
        <w:tc>
          <w:tcPr>
            <w:tcW w:w="455" w:type="pct"/>
            <w:tcBorders>
              <w:tl2br w:val="nil"/>
              <w:tr2bl w:val="nil"/>
            </w:tcBorders>
            <w:noWrap w:val="0"/>
            <w:vAlign w:val="center"/>
          </w:tcPr>
          <w:p>
            <w:pPr>
              <w:widowControl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78" w:type="pct"/>
            <w:tcBorders>
              <w:tl2br w:val="nil"/>
              <w:tr2bl w:val="nil"/>
            </w:tcBorders>
            <w:noWrap w:val="0"/>
            <w:vAlign w:val="center"/>
          </w:tcPr>
          <w:p>
            <w:pPr>
              <w:widowControl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新媒体内容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编辑教学资源库平台</w:t>
            </w:r>
          </w:p>
        </w:tc>
        <w:tc>
          <w:tcPr>
            <w:tcW w:w="280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lang w:val="en-IE" w:eastAsia="zh-CN"/>
              </w:rPr>
            </w:pPr>
            <w:r>
              <w:rPr>
                <w:rFonts w:hint="eastAsia" w:ascii="宋体" w:hAnsi="宋体" w:eastAsia="宋体" w:cs="宋体"/>
                <w:b/>
                <w:bCs/>
                <w:color w:val="auto"/>
                <w:sz w:val="21"/>
                <w:szCs w:val="21"/>
                <w:highlight w:val="none"/>
                <w:lang w:val="en-IE" w:eastAsia="zh-CN"/>
              </w:rPr>
              <w:t>资源内容至少涵盖以下知识点</w:t>
            </w:r>
            <w:r>
              <w:rPr>
                <w:rFonts w:hint="eastAsia" w:ascii="宋体" w:hAnsi="宋体" w:cs="宋体"/>
                <w:b/>
                <w:bCs/>
                <w:color w:val="auto"/>
                <w:sz w:val="21"/>
                <w:szCs w:val="21"/>
                <w:highlight w:val="none"/>
                <w:lang w:val="en-IE"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项目一：新媒体编辑概述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项目二：新媒体平台认知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项目三：新媒体编辑工具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项目四：新媒体内容策划与文案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项目五：新媒体图片处理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项目六：新媒体图文排版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项目七：新媒体编辑案例解析</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新媒体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教学资源</w:t>
            </w:r>
          </w:p>
        </w:tc>
        <w:tc>
          <w:tcPr>
            <w:tcW w:w="280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IE" w:eastAsia="zh-CN"/>
              </w:rPr>
              <w:t>教材至少40本；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2.至少21个课堂PPT，与教材内容对应；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3.不低于21个视频，每个视频不低于10分钟；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4.至少21个实训任务；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5.线上题库：以单选题、多选题、判断题题型形式展示本课程考核知识点的评测。题库内含总计至少100道单选题、50道多选题、50道判断题。</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新媒体内容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编辑实训系统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w:t>
            </w:r>
            <w:r>
              <w:rPr>
                <w:rFonts w:hint="eastAsia" w:ascii="宋体" w:hAnsi="宋体" w:eastAsia="宋体" w:cs="宋体"/>
                <w:b w:val="0"/>
                <w:bCs w:val="0"/>
                <w:color w:val="auto"/>
                <w:sz w:val="21"/>
                <w:szCs w:val="21"/>
                <w:highlight w:val="none"/>
                <w:lang w:val="en-US" w:eastAsia="zh-CN"/>
              </w:rPr>
              <w:t>核心产品</w:t>
            </w:r>
            <w:r>
              <w:rPr>
                <w:rFonts w:hint="eastAsia" w:ascii="宋体" w:hAnsi="宋体" w:eastAsia="宋体" w:cs="宋体"/>
                <w:b w:val="0"/>
                <w:bCs w:val="0"/>
                <w:color w:val="auto"/>
                <w:sz w:val="21"/>
                <w:szCs w:val="21"/>
                <w:highlight w:val="none"/>
                <w:lang w:val="en-IE" w:eastAsia="zh-CN"/>
              </w:rPr>
              <w:t>）</w:t>
            </w:r>
          </w:p>
        </w:tc>
        <w:tc>
          <w:tcPr>
            <w:tcW w:w="280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IE"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IE"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系统须需为Browser/Server架构设计，在PC端运行、无需安装客户端即可完成所有功能，通过浏览器访问，兼容火狐、谷歌等主流浏览器。管理员或教师可为学生开通账号，无需学生实名认证。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z w:val="21"/>
                <w:szCs w:val="21"/>
                <w:highlight w:val="none"/>
                <w:lang w:val="en-IE"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IE" w:eastAsia="zh-CN"/>
              </w:rPr>
              <w:t>系统须包含热点榜单、长文编辑、图文编辑、H5制作、典型案例、工具互联等模块，每个模块均融入统一的实训系统、须使用统一登录，不可分散运行。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IE" w:eastAsia="zh-CN"/>
              </w:rPr>
            </w:pPr>
            <w:r>
              <w:rPr>
                <w:rFonts w:hint="eastAsia" w:ascii="宋体" w:hAnsi="宋体" w:eastAsia="宋体" w:cs="宋体"/>
                <w:b/>
                <w:bCs/>
                <w:color w:val="auto"/>
                <w:sz w:val="21"/>
                <w:szCs w:val="21"/>
                <w:highlight w:val="none"/>
                <w:lang w:val="en-IE" w:eastAsia="zh-CN"/>
              </w:rPr>
              <w:t>二、功能要求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（一）学生端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热点榜单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（1）支持微博、微信、知乎、百度平台热点话题或文章榜单的展示。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（2）支持系统账号点击榜单内信息条目进行详情查看。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（3）支持榜单信息实时更新。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长文编辑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（1）支持模拟账号的长文编辑，使用编辑区工具栏里的功能进行文章编辑排版，包括调整字体、字号，字间距，行间距，页边距，插入音视频等操作。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（2）须提供超过100个图文排版样式，包括文章的标题、正文、引导语、布局等内容的排版样式。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（3）图文排版样式须可更新。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（4）支持编辑好的文章进行存档，可对保存的文章进行修改和删除操作。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图文编辑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（1）支持新媒体常用平面设计图进行技能训练，须提供营销海报、电商海报、新媒体配图、印刷物料、办公文档等多个场景的图文设计模板超过100个。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（2）支持自主上传图片素材，通过裁剪、滤镜、文字效果等功能制作图文。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H5制作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b/>
                <w:bCs/>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IE" w:eastAsia="zh-CN"/>
              </w:rPr>
              <w:t>）支持H5页面模拟制作练习，提供超过100个H5制作模板，可快速生成H5、问卷表单、互动小游戏等应用类型作品。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cs="宋体"/>
                <w:b w:val="0"/>
                <w:bCs w:val="0"/>
                <w:color w:val="auto"/>
                <w:sz w:val="21"/>
                <w:szCs w:val="21"/>
                <w:highlight w:val="none"/>
                <w:lang w:val="en-IE" w:eastAsia="zh-CN"/>
              </w:rPr>
              <w:t>（</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IE" w:eastAsia="zh-CN"/>
              </w:rPr>
              <w:t>）</w:t>
            </w:r>
            <w:r>
              <w:rPr>
                <w:rFonts w:hint="eastAsia" w:ascii="宋体" w:hAnsi="宋体" w:eastAsia="宋体" w:cs="宋体"/>
                <w:b w:val="0"/>
                <w:bCs w:val="0"/>
                <w:color w:val="auto"/>
                <w:sz w:val="21"/>
                <w:szCs w:val="21"/>
                <w:highlight w:val="none"/>
                <w:lang w:val="en-IE" w:eastAsia="zh-CN"/>
              </w:rPr>
              <w:t>支持自定义创建H5页面，可进行文本撰写，添加图片、音乐、视频等操作；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IE" w:eastAsia="zh-CN"/>
              </w:rPr>
              <w:t>典型案例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（1）提供新媒体典型内容制作方法、小技巧的查看学习，包括Banner设计、字体排版、封面图制作、文章写作等内容。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（2）提供爆款新媒体传播案例及分析。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（3）支持按照类型、所属领域检索信息。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实训任务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（1）支持查看任务基本信息、组队完成实训任务、下载实训素材、查看项目步骤；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（2）支持分步骤领取任务，上传文件，可提交任务结果；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（3）支持查看评分和教师点评的功能。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7.工具互联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支持连接新媒体编辑常用素材网站、应用软件，包括麦客CRM，文图，小发猫、135编辑器、秀米、包图网、千图网、花瓣、易企秀、人人秀等。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IE" w:eastAsia="zh-CN"/>
              </w:rPr>
              <w:t>）教师端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包含学生端的所有业务操作功能模块。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班级管理须支持教师对班级进行新增、修改、删除操作，支持教师对班级内学生进行新增、修改、删除操作。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任务管理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（1）支持教师查看实训列表并对任务名称进行搜索查询；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（2）支持教师对</w:t>
            </w:r>
            <w:r>
              <w:rPr>
                <w:rFonts w:hint="eastAsia" w:ascii="宋体" w:hAnsi="宋体" w:eastAsia="宋体" w:cs="宋体"/>
                <w:b w:val="0"/>
                <w:bCs w:val="0"/>
                <w:color w:val="auto"/>
                <w:sz w:val="21"/>
                <w:szCs w:val="21"/>
                <w:highlight w:val="none"/>
                <w:lang w:val="en-US" w:eastAsia="zh-CN"/>
              </w:rPr>
              <w:t>系统</w:t>
            </w:r>
            <w:r>
              <w:rPr>
                <w:rFonts w:hint="eastAsia" w:ascii="宋体" w:hAnsi="宋体" w:eastAsia="宋体" w:cs="宋体"/>
                <w:b w:val="0"/>
                <w:bCs w:val="0"/>
                <w:color w:val="auto"/>
                <w:sz w:val="21"/>
                <w:szCs w:val="21"/>
                <w:highlight w:val="none"/>
                <w:lang w:val="en-IE" w:eastAsia="zh-CN"/>
              </w:rPr>
              <w:t>列表中的任务进行新增、编辑、添加步骤、预览、上传资料、删除等操作；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（3）支持教师上传图片、视频、文档等格式的素材；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（4）支持教师对学生提交的实训任务进行查看、评分、点评等功能。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IE" w:eastAsia="zh-CN"/>
              </w:rPr>
            </w:pPr>
            <w:r>
              <w:rPr>
                <w:rFonts w:hint="eastAsia" w:ascii="宋体" w:hAnsi="宋体" w:eastAsia="宋体" w:cs="宋体"/>
                <w:b/>
                <w:bCs/>
                <w:color w:val="auto"/>
                <w:sz w:val="21"/>
                <w:szCs w:val="21"/>
                <w:highlight w:val="none"/>
                <w:lang w:val="en-IE" w:eastAsia="zh-CN"/>
              </w:rPr>
              <w:t>（三）管理端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组织配置须可添加学校、学院、系、专业、年级、班级，并可进行删除、修改操作。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用户配置须可添加教师账号、学生账号、可为账号分配班级，可进行修改和删除操作。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实训管理须支持管理员添加实训任务，可查看实训任务并对其进行修改、删除、添加步骤、上传资料等操作。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案例管理须支持对案例的新增、修改、删除等操作。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资源管理须支持管理员账号对图片、视频、文章等资源的上传、下载和删除等操作。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cs="宋体"/>
                <w:b w:val="0"/>
                <w:bCs w:val="0"/>
                <w:color w:val="auto"/>
                <w:sz w:val="21"/>
                <w:szCs w:val="21"/>
                <w:highlight w:val="none"/>
                <w:lang w:val="en-IE" w:eastAsia="zh-CN"/>
              </w:rPr>
              <w:t>（四）须提供新媒体内容编辑实训系统软件著作权证书复印件。</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笔记本电脑</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US" w:eastAsia="zh-CN"/>
              </w:rPr>
              <w:t>i7 13代系列及以上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CPU主频：P-core 2.6GHz / E-core 1.8GHz</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最高睿频：P-core 5.2GHz / E-core 4.0GHz</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CPU缓存：24MB Intel Smart Cache</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核心/线程数：14 (6 P-core + 8 E-core)/20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指令集：64-bit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内存容量：64GB（插槽）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内存类型：DDR5 5600MHz</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插槽数量：2个内存插槽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最大内存容量：96GB（单槽最大支持48GB）</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硬盘容量：4TB M.2固态硬盘+空硬盘位（M.2 PCIe Gen4.0x4 22*80）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屏幕尺寸：≥16英寸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显示比例：16:10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屏幕分辨率：1920x1200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屏幕技术：LED背光300尼特，防眩光IPS显示屏，色域 100% sRGB，TüV 低蓝光，DC 调光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显卡类型：双显卡(独立显卡 + 核芯显卡)</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显卡芯片：NVIDIA RTX 2000 Ada Generation Laptop GPU + 英特尔锐炬 Xe 显卡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显存容量：8GB</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显存类型：GDDR6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显存位宽：128 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DirectX版本：DirectX 12 Ultimate</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摄像头：5.0MP+IR混合，带ThinkShutter隐私开关和Human Presence Detection，固定焦距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音频系统：高清音频，Realtek ALC3287编解码器扬声器：立体声扬声器、2Wx2，Dolby Audio Premium</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麦克风：双麦克风阵列，远场，Dolby Voice</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蓝牙：Bluetooth 5.1</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数据接口：1x USB 3.2 Gen 1，1x USB 3.2 Gen 1 (支持关机充电)，2x Thunderbolt 4 / USB4 40Gbps （支持数据传输、Power Delivery 3.0 和 DisplayPort 1.4）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视频接口：1x HDMI ，2x Thunderbolt 4 / USB4 40Gbps</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读卡器：1x SD Express 7.0</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5</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手机</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用于外景直播及小视频拍摄。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运行内存：≥12GB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机身内存：≥256GB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数据接口：WIFI；蓝牙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充电接口：Type-C</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耳机接口：Type-C</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后摄2-超广角像素：≥4800万像素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后摄主像素：≥5000万像素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后摄3-tele像素：≥4800万像素</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3</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6</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手持补光灯</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输出功率：24W</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色温：2700K</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IE" w:eastAsia="zh-CN"/>
              </w:rPr>
              <w:t>7500K</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光照度(0.5m)CCT色温模式：2700K&gt;2000Lux/5500K&gt;2200Lux/7500K&gt;2200Lux</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显色指数：Ra&gt;96/TLCI&gt;98</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无线遥控苹果：内置蓝牙模块(5.0版)</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供电模式：</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1）外接电源适配器: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输入:AC100~240V50/60Hz1.5AMAX，</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输出:DC7.5V3.2A1</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2）2节3.7V 18.5WH26650理电池供电 续航时间&gt;100分钟</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扩展：1/4”通用螺口x2/支持OTA固件升级</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4</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7</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反光板</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灯光附件，影棚拍摄道具</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直播间展示柜</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根据实际场地，需与整体环境设计相协调钢木结构采用生态板（厚度：≥2.5cm） 框架采用国标冷轧钢板，主要骨架≥1.0mm</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直播文化墙</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定制直播间文化墙</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无线麦克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领夹话筒</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收音头：电容式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连接方式：2.4G</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连接主体：手机/笔记本/相机/摄像机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传输方式：无线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类型：专业录音麦克风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指向特征：全指向/无指向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供电方式：内置电池</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1</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IE" w:eastAsia="zh-CN"/>
              </w:rPr>
              <w:t>1</w:t>
            </w:r>
            <w:r>
              <w:rPr>
                <w:rFonts w:hint="eastAsia" w:ascii="宋体" w:hAnsi="宋体" w:eastAsia="宋体" w:cs="宋体"/>
                <w:b w:val="0"/>
                <w:bCs w:val="0"/>
                <w:color w:val="auto"/>
                <w:sz w:val="21"/>
                <w:szCs w:val="21"/>
                <w:highlight w:val="none"/>
                <w:lang w:val="en-US" w:eastAsia="zh-CN"/>
              </w:rPr>
              <w:t>1</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手机稳定器</w:t>
            </w:r>
          </w:p>
        </w:tc>
        <w:tc>
          <w:tcPr>
            <w:tcW w:w="28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使用方式：手持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云台充电器接口：Type-C</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支持机型宽度：67mm-84mm</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支持机型厚度：6.9mm-10mm</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电池参数：≥1000mAh</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续航：≥6小时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范围：航向-161.64°-173.79°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横滚-120.30°-211.97°</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俯仰-101.64°-78.55°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最大控制转速：120°/s</w:t>
            </w:r>
          </w:p>
        </w:tc>
        <w:tc>
          <w:tcPr>
            <w:tcW w:w="4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2</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IE" w:eastAsia="zh-CN"/>
              </w:rPr>
              <w:t>1</w:t>
            </w:r>
            <w:r>
              <w:rPr>
                <w:rFonts w:hint="eastAsia" w:ascii="宋体" w:hAnsi="宋体" w:eastAsia="宋体" w:cs="宋体"/>
                <w:b w:val="0"/>
                <w:bCs w:val="0"/>
                <w:color w:val="auto"/>
                <w:sz w:val="21"/>
                <w:szCs w:val="21"/>
                <w:highlight w:val="none"/>
                <w:lang w:val="en-US" w:eastAsia="zh-CN"/>
              </w:rPr>
              <w:t>2</w:t>
            </w:r>
          </w:p>
        </w:tc>
        <w:tc>
          <w:tcPr>
            <w:tcW w:w="8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IE" w:eastAsia="zh-CN"/>
              </w:rPr>
            </w:pPr>
            <w:r>
              <w:rPr>
                <w:rFonts w:hint="eastAsia" w:ascii="宋体" w:hAnsi="宋体" w:eastAsia="宋体" w:cs="宋体"/>
                <w:b w:val="0"/>
                <w:bCs w:val="0"/>
                <w:color w:val="auto"/>
                <w:sz w:val="21"/>
                <w:szCs w:val="21"/>
                <w:highlight w:val="none"/>
                <w:lang w:val="en-IE" w:eastAsia="zh-CN"/>
              </w:rPr>
              <w:t>木地板</w:t>
            </w:r>
          </w:p>
        </w:tc>
        <w:tc>
          <w:tcPr>
            <w:tcW w:w="2809" w:type="pct"/>
            <w:tcBorders>
              <w:tl2br w:val="nil"/>
              <w:tr2bl w:val="nil"/>
            </w:tcBorders>
            <w:noWrap w:val="0"/>
            <w:vAlign w:val="center"/>
          </w:tcPr>
          <w:p>
            <w:pPr>
              <w:widowControl w:val="0"/>
              <w:jc w:val="center"/>
              <w:rPr>
                <w:rFonts w:hint="eastAsia" w:ascii="宋体" w:hAnsi="宋体" w:eastAsia="宋体" w:cs="宋体"/>
                <w:color w:val="auto"/>
                <w:sz w:val="21"/>
                <w:szCs w:val="21"/>
                <w:highlight w:val="none"/>
                <w:lang w:val="en-IE" w:eastAsia="zh-CN"/>
              </w:rPr>
            </w:pPr>
            <w:r>
              <w:rPr>
                <w:rFonts w:hint="eastAsia" w:ascii="宋体" w:hAnsi="宋体" w:eastAsia="宋体" w:cs="宋体"/>
                <w:color w:val="auto"/>
                <w:sz w:val="21"/>
                <w:szCs w:val="21"/>
                <w:highlight w:val="none"/>
                <w:lang w:val="en-IE" w:eastAsia="zh-CN"/>
              </w:rPr>
              <w:t>定制</w:t>
            </w:r>
          </w:p>
        </w:tc>
        <w:tc>
          <w:tcPr>
            <w:tcW w:w="455" w:type="pct"/>
            <w:tcBorders>
              <w:tl2br w:val="nil"/>
              <w:tr2bl w:val="nil"/>
            </w:tcBorders>
            <w:noWrap w:val="0"/>
            <w:vAlign w:val="center"/>
          </w:tcPr>
          <w:p>
            <w:pPr>
              <w:widowControl w:val="0"/>
              <w:jc w:val="center"/>
              <w:rPr>
                <w:rFonts w:hint="eastAsia" w:ascii="宋体" w:hAnsi="宋体" w:eastAsia="宋体" w:cs="宋体"/>
                <w:color w:val="auto"/>
                <w:sz w:val="21"/>
                <w:szCs w:val="21"/>
                <w:highlight w:val="none"/>
                <w:lang w:val="en-IE" w:eastAsia="zh-CN"/>
              </w:rPr>
            </w:pPr>
            <w:r>
              <w:rPr>
                <w:rFonts w:hint="eastAsia" w:ascii="宋体" w:hAnsi="宋体" w:eastAsia="宋体" w:cs="宋体"/>
                <w:color w:val="auto"/>
                <w:sz w:val="21"/>
                <w:szCs w:val="21"/>
                <w:highlight w:val="none"/>
                <w:lang w:val="en-IE" w:eastAsia="zh-CN"/>
              </w:rPr>
              <w:t>60</w:t>
            </w:r>
          </w:p>
        </w:tc>
        <w:tc>
          <w:tcPr>
            <w:tcW w:w="478" w:type="pct"/>
            <w:tcBorders>
              <w:tl2br w:val="nil"/>
              <w:tr2bl w:val="nil"/>
            </w:tcBorders>
            <w:noWrap w:val="0"/>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bl>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1"/>
          <w:szCs w:val="21"/>
          <w:highlight w:val="none"/>
          <w:lang w:val="en-IE" w:eastAsia="zh-CN"/>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lang w:val="en-IE" w:eastAsia="zh-CN"/>
        </w:rPr>
        <w:t>属于“节能产品政府采购品目清单”</w:t>
      </w:r>
      <w:r>
        <w:rPr>
          <w:rFonts w:hint="eastAsia" w:ascii="宋体" w:hAnsi="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lang w:val="en-IE" w:eastAsia="zh-CN"/>
        </w:rPr>
        <w:t>星号项的政府强制采购产品，应强制采购</w:t>
      </w:r>
      <w:r>
        <w:rPr>
          <w:rFonts w:hint="eastAsia" w:ascii="宋体" w:hAnsi="宋体" w:cs="宋体"/>
          <w:b/>
          <w:bCs/>
          <w:color w:val="auto"/>
          <w:sz w:val="21"/>
          <w:szCs w:val="21"/>
          <w:highlight w:val="none"/>
          <w:lang w:val="en-IE" w:eastAsia="zh-CN"/>
        </w:rPr>
        <w:t>，</w:t>
      </w:r>
      <w:r>
        <w:rPr>
          <w:rFonts w:hint="eastAsia" w:ascii="宋体" w:hAnsi="宋体" w:cs="宋体"/>
          <w:b/>
          <w:bCs/>
          <w:color w:val="auto"/>
          <w:sz w:val="21"/>
          <w:szCs w:val="21"/>
          <w:highlight w:val="none"/>
          <w:lang w:val="en-US" w:eastAsia="zh-CN"/>
        </w:rPr>
        <w:t>供应商应当提供国家确定的认证机构出具的、处于有效期之内的节能产品认证证书，否则作无效响应处理。</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bCs/>
          <w:color w:val="auto"/>
          <w:highlight w:val="none"/>
        </w:rPr>
      </w:pPr>
      <w:r>
        <w:rPr>
          <w:rFonts w:hint="eastAsia" w:ascii="宋体" w:hAnsi="宋体" w:eastAsia="宋体" w:cs="宋体"/>
          <w:bCs/>
          <w:color w:val="auto"/>
          <w:highlight w:val="none"/>
        </w:rPr>
        <w:br w:type="page"/>
      </w: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Cs/>
          <w:color w:val="auto"/>
          <w:kern w:val="0"/>
          <w:sz w:val="32"/>
          <w:szCs w:val="32"/>
          <w:highlight w:val="none"/>
        </w:rPr>
      </w:pPr>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章 评审方法</w:t>
      </w:r>
      <w:bookmarkEnd w:id="28"/>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8" w:firstLineChars="200"/>
        <w:textAlignment w:val="baseline"/>
        <w:rPr>
          <w:rFonts w:hint="eastAsia" w:ascii="宋体" w:hAnsi="宋体" w:eastAsia="宋体" w:cs="宋体"/>
          <w:b/>
          <w:color w:val="auto"/>
          <w:spacing w:val="4"/>
          <w:sz w:val="21"/>
          <w:szCs w:val="21"/>
          <w:highlight w:val="none"/>
          <w:lang w:val="en-US" w:eastAsia="zh-CN"/>
        </w:rPr>
      </w:pPr>
      <w:r>
        <w:rPr>
          <w:rFonts w:hint="eastAsia" w:ascii="宋体" w:hAnsi="宋体" w:eastAsia="宋体" w:cs="宋体"/>
          <w:b/>
          <w:color w:val="auto"/>
          <w:spacing w:val="4"/>
          <w:sz w:val="21"/>
          <w:szCs w:val="21"/>
          <w:highlight w:val="none"/>
        </w:rPr>
        <w:t>一</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评审方法</w:t>
      </w:r>
      <w:r>
        <w:rPr>
          <w:rFonts w:hint="eastAsia" w:ascii="宋体" w:hAnsi="宋体" w:eastAsia="宋体" w:cs="宋体"/>
          <w:b/>
          <w:color w:val="auto"/>
          <w:spacing w:val="4"/>
          <w:sz w:val="21"/>
          <w:szCs w:val="21"/>
          <w:highlight w:val="none"/>
          <w:lang w:val="en-US" w:eastAsia="zh-CN"/>
        </w:rPr>
        <w:t>6</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按照《中华人民共和国政府采购法》、《中华人民共和国政府采购法实施条例》、</w:t>
      </w:r>
      <w:r>
        <w:rPr>
          <w:rFonts w:hint="eastAsia" w:ascii="宋体" w:hAnsi="宋体" w:eastAsia="宋体" w:cs="宋体"/>
          <w:color w:val="auto"/>
          <w:kern w:val="0"/>
          <w:sz w:val="21"/>
          <w:szCs w:val="21"/>
          <w:highlight w:val="none"/>
        </w:rPr>
        <w:t>《政府采购竞争性磋商采购方式管理暂行办法》财库〔2014〕214号文件的规定</w:t>
      </w:r>
      <w:r>
        <w:rPr>
          <w:rFonts w:hint="eastAsia" w:ascii="宋体" w:hAnsi="宋体" w:eastAsia="宋体" w:cs="宋体"/>
          <w:color w:val="auto"/>
          <w:sz w:val="21"/>
          <w:szCs w:val="21"/>
          <w:highlight w:val="none"/>
        </w:rPr>
        <w:t>，竞争性磋商小组采用综合评分法对提交最后报价的供应商的响应文件和最后报价进行综合评分，按照评审得分由高到低顺序推荐3名成交候选供应商。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200"/>
        <w:textAlignment w:val="baseline"/>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lang w:val="en-US" w:eastAsia="zh-CN"/>
        </w:rPr>
        <w:t>二、</w:t>
      </w:r>
      <w:r>
        <w:rPr>
          <w:rFonts w:hint="eastAsia" w:ascii="宋体" w:hAnsi="宋体" w:eastAsia="宋体" w:cs="宋体"/>
          <w:b/>
          <w:color w:val="auto"/>
          <w:spacing w:val="4"/>
          <w:sz w:val="21"/>
          <w:szCs w:val="21"/>
          <w:highlight w:val="none"/>
        </w:rPr>
        <w:t>评审程序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cs="宋体"/>
          <w:color w:val="auto"/>
          <w:spacing w:val="4"/>
          <w:sz w:val="21"/>
          <w:szCs w:val="21"/>
          <w:highlight w:val="none"/>
          <w:lang w:val="en-US" w:eastAsia="zh-CN"/>
        </w:rPr>
        <w:t>.</w:t>
      </w:r>
      <w:r>
        <w:rPr>
          <w:rFonts w:hint="eastAsia" w:ascii="宋体" w:hAnsi="宋体" w:eastAsia="宋体" w:cs="宋体"/>
          <w:color w:val="auto"/>
          <w:spacing w:val="4"/>
          <w:sz w:val="21"/>
          <w:szCs w:val="21"/>
          <w:highlight w:val="none"/>
        </w:rPr>
        <w:t>响应文件审查</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审查分为资格性检查和符合性检查。分别按照以下内容对磋商响应文件进行检查，一项不合格即按照无效响应处理。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响应文件审查合格的为实质性响应磋商文件要求的供应商。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1.1资格性检查：</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1.1.1提供的资格证明文件是否符合国家法律法规和磋商文件的要求，并且齐全、真实、有效。</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sz w:val="21"/>
          <w:szCs w:val="21"/>
          <w:highlight w:val="none"/>
        </w:rPr>
      </w:pPr>
      <w:bookmarkStart w:id="29" w:name="_Hlk36458738"/>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pacing w:val="4"/>
          <w:sz w:val="21"/>
          <w:szCs w:val="21"/>
          <w:highlight w:val="none"/>
        </w:rPr>
        <w:t>在</w:t>
      </w:r>
      <w:r>
        <w:rPr>
          <w:rFonts w:hint="eastAsia" w:ascii="宋体" w:hAnsi="宋体" w:eastAsia="宋体" w:cs="宋体"/>
          <w:color w:val="auto"/>
          <w:kern w:val="0"/>
          <w:sz w:val="21"/>
          <w:szCs w:val="21"/>
          <w:highlight w:val="none"/>
        </w:rPr>
        <w:t>“信用中国”网站（www.creditchina.gov.cn）和“中国政府采购网”（www.ccgp.gov.cn）对供应商信用信息进行查询，如果供应商被查实在磋商截止时间前已列入失信被执行人、</w:t>
      </w:r>
      <w:r>
        <w:rPr>
          <w:rFonts w:hint="eastAsia" w:ascii="宋体" w:hAnsi="宋体" w:cs="宋体"/>
          <w:color w:val="auto"/>
          <w:kern w:val="0"/>
          <w:sz w:val="21"/>
          <w:szCs w:val="21"/>
          <w:highlight w:val="none"/>
          <w:lang w:eastAsia="zh-CN"/>
        </w:rPr>
        <w:t>重大税收违法失信主体</w:t>
      </w:r>
      <w:r>
        <w:rPr>
          <w:rFonts w:hint="eastAsia" w:ascii="宋体" w:hAnsi="宋体" w:eastAsia="宋体" w:cs="宋体"/>
          <w:color w:val="auto"/>
          <w:kern w:val="0"/>
          <w:sz w:val="21"/>
          <w:szCs w:val="21"/>
          <w:highlight w:val="none"/>
        </w:rPr>
        <w:t>、政府采购严重违法失信行为记录名单，其磋商响应为无效。</w:t>
      </w:r>
    </w:p>
    <w:bookmarkEnd w:id="29"/>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1.2符合性检查</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1.2.1</w:t>
      </w:r>
      <w:r>
        <w:rPr>
          <w:rFonts w:hint="eastAsia" w:ascii="宋体" w:hAnsi="宋体" w:eastAsia="宋体" w:cs="宋体"/>
          <w:color w:val="auto"/>
          <w:spacing w:val="4"/>
          <w:sz w:val="21"/>
          <w:szCs w:val="21"/>
          <w:highlight w:val="none"/>
        </w:rPr>
        <w:t>磋商响应文件的完整性审查。</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1.2.1.1磋商响应文件是否按照磋商文件要求的格式编写；</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1.2.1.2磋商报价内容是否有重大缺漏项。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1.2.2磋商响应文件的有效性审查。</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1.2.2.1磋商响应文件的签署、加盖印章是否有效；提供的各种证明文件、数据、资料是否有效。</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1.2.3磋商响应文件的响应性审查。</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1.2.3.1磋商报价是否超过采购预算；</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1.2.3.2磋商报价是否低于成本价，涉嫌不正当竞争；（如果评委会认为某磋商报价明显不合理或者低于成本，应当要求其在规定期限内提供书面文件予以解释说明，并提交相关证明材料。）</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1.2.3.3磋商报价有效期是否符合磋商文件的要求；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1.2.3.4响应文件内容是否符合国家法律法规，没有重大偏离；</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1.2.3.5对磋商文件中规定的要求是否做出了实质性响应。</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1.2.4相同品牌产品磋商的处理：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1.2.4.1提供相同品牌产品且通过资格审查、符合性审查的不同供应商参加同一合同项（标包）下磋商的，按一家供应商计算，评审后得分最高的同品牌供应商获得成交人推荐资格；评审得分相同的，由采购人自行确定一个供应商获得成交人推荐资格，其他同品牌供应商不作为成交候选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1.2.4.2非单一产品采购项目，多家供应商提供的核心产品品牌相同的，按以上规定处理。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cs="宋体"/>
          <w:color w:val="auto"/>
          <w:spacing w:val="4"/>
          <w:sz w:val="21"/>
          <w:szCs w:val="21"/>
          <w:highlight w:val="none"/>
          <w:lang w:val="en-US" w:eastAsia="zh-CN"/>
        </w:rPr>
        <w:t>.</w:t>
      </w:r>
      <w:r>
        <w:rPr>
          <w:rFonts w:hint="eastAsia" w:ascii="宋体" w:hAnsi="宋体" w:eastAsia="宋体" w:cs="宋体"/>
          <w:color w:val="auto"/>
          <w:spacing w:val="4"/>
          <w:sz w:val="21"/>
          <w:szCs w:val="21"/>
          <w:highlight w:val="none"/>
        </w:rPr>
        <w:t>澄清有关问题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小组要求供应商澄清、说明或者更正响应文件的，应当以书面形式提出。供应商的澄清、说明或者更正应当由法定代表人或其授权代表签字或者加盖公章。由授权代表签字的，应当提供法定代表人授权书。供应商为自然人的，应当由本人签字并附身份证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cs="宋体"/>
          <w:color w:val="auto"/>
          <w:spacing w:val="4"/>
          <w:sz w:val="21"/>
          <w:szCs w:val="21"/>
          <w:highlight w:val="none"/>
          <w:lang w:val="en-US" w:eastAsia="zh-CN"/>
        </w:rPr>
        <w:t>.</w:t>
      </w:r>
      <w:r>
        <w:rPr>
          <w:rFonts w:hint="eastAsia" w:ascii="宋体" w:hAnsi="宋体" w:eastAsia="宋体" w:cs="宋体"/>
          <w:color w:val="auto"/>
          <w:kern w:val="0"/>
          <w:sz w:val="21"/>
          <w:szCs w:val="21"/>
          <w:highlight w:val="none"/>
        </w:rPr>
        <w:t>磋商小组所有成员集中与实质性响应磋商文件要求的供应商分别进行磋商。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政策性价格优惠折扣规定</w:t>
      </w:r>
      <w:r>
        <w:rPr>
          <w:rFonts w:hint="eastAsia" w:ascii="宋体" w:hAnsi="宋体" w:eastAsia="宋体" w:cs="宋体"/>
          <w:color w:val="auto"/>
          <w:sz w:val="21"/>
          <w:szCs w:val="21"/>
          <w:highlight w:val="none"/>
        </w:rPr>
        <w:t>4.1经初审并磋商之后，对于所有满足磋商文件全部实质性要求并按照规定提交了最终报价的响应文件，按照以下规则进行评审价格的确定。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4.2对于符合政策性优惠的，其评标价按照以下规则进行计算调整。</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4.2.1符合（财库〔2020〕46号）文件规定的小微企业</w:t>
      </w:r>
      <w:r>
        <w:rPr>
          <w:rFonts w:hint="eastAsia" w:ascii="宋体" w:hAnsi="宋体" w:eastAsia="宋体" w:cs="宋体"/>
          <w:color w:val="auto"/>
          <w:sz w:val="21"/>
          <w:szCs w:val="21"/>
          <w:highlight w:val="none"/>
        </w:rPr>
        <w:t>单位</w:t>
      </w:r>
      <w:r>
        <w:rPr>
          <w:rFonts w:hint="eastAsia" w:ascii="宋体" w:hAnsi="宋体" w:eastAsia="宋体" w:cs="宋体"/>
          <w:color w:val="auto"/>
          <w:spacing w:val="4"/>
          <w:sz w:val="21"/>
          <w:szCs w:val="21"/>
          <w:highlight w:val="none"/>
        </w:rPr>
        <w:t>的评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价计算规则：</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4.2.1.1对符合规定的小型和微型企业（非联合体磋商）报价给予</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%的扣除，用扣除后的价格参加评审。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其评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价=最终报价*（1-</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4.2.1.2对于联合协议或者分包意向协议约定小微企业的合同份额占到合同总金额30%以上的</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须在联合协议或分包</w:t>
      </w:r>
      <w:r>
        <w:rPr>
          <w:rFonts w:hint="eastAsia" w:ascii="宋体" w:hAnsi="宋体" w:eastAsia="宋体" w:cs="宋体"/>
          <w:color w:val="auto"/>
          <w:spacing w:val="4"/>
          <w:sz w:val="21"/>
          <w:szCs w:val="21"/>
          <w:highlight w:val="none"/>
        </w:rPr>
        <w:t>意向协议</w:t>
      </w:r>
      <w:r>
        <w:rPr>
          <w:rFonts w:hint="eastAsia" w:ascii="宋体" w:hAnsi="宋体" w:eastAsia="宋体" w:cs="宋体"/>
          <w:color w:val="auto"/>
          <w:spacing w:val="4"/>
          <w:sz w:val="21"/>
          <w:szCs w:val="21"/>
          <w:highlight w:val="none"/>
          <w:lang w:val="en-US" w:eastAsia="zh-CN"/>
        </w:rPr>
        <w:t>中明确</w:t>
      </w:r>
      <w:r>
        <w:rPr>
          <w:rFonts w:hint="eastAsia" w:ascii="宋体" w:hAnsi="宋体" w:eastAsia="宋体" w:cs="宋体"/>
          <w:color w:val="auto"/>
          <w:spacing w:val="4"/>
          <w:sz w:val="21"/>
          <w:szCs w:val="21"/>
          <w:highlight w:val="none"/>
        </w:rPr>
        <w:t>监狱企业</w:t>
      </w:r>
      <w:r>
        <w:rPr>
          <w:rFonts w:hint="eastAsia" w:ascii="宋体" w:hAnsi="宋体" w:eastAsia="宋体" w:cs="宋体"/>
          <w:color w:val="auto"/>
          <w:spacing w:val="4"/>
          <w:sz w:val="21"/>
          <w:szCs w:val="21"/>
          <w:highlight w:val="none"/>
          <w:lang w:val="en-US" w:eastAsia="zh-CN"/>
        </w:rPr>
        <w:t>的合同份额，否则评审时不予给予价格扣除）</w:t>
      </w:r>
      <w:r>
        <w:rPr>
          <w:rFonts w:hint="eastAsia" w:ascii="宋体" w:hAnsi="宋体" w:eastAsia="宋体" w:cs="宋体"/>
          <w:color w:val="auto"/>
          <w:spacing w:val="4"/>
          <w:sz w:val="21"/>
          <w:szCs w:val="21"/>
          <w:highlight w:val="none"/>
        </w:rPr>
        <w:t>，对联合体或者大中型企业的报价给予</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%的扣除，用扣除后的价格参加评审。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其评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价=最终报价*（1-</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4.2.1.3确认为小微企业（含小型、微型企业，下同）磋商的，应当同时符合以下条件：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4.2.1.3.1符合国务院有关部门根据企业从业人员、营业收入、资产总额等指标制定的中小企业划型标准（工信部联企业〔2011〕300号）；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36" w:firstLineChars="200"/>
        <w:jc w:val="left"/>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4.2.1.3.2在货物采购项目中，货物由中小企业制造，即货物由中小企业生产且使用该中小企业商号或者注册商标；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4.2.1.3.3磋商时须</w:t>
      </w:r>
      <w:r>
        <w:rPr>
          <w:rFonts w:hint="eastAsia" w:ascii="宋体" w:hAnsi="宋体" w:eastAsia="宋体" w:cs="宋体"/>
          <w:color w:val="auto"/>
          <w:sz w:val="21"/>
          <w:szCs w:val="21"/>
          <w:highlight w:val="none"/>
        </w:rPr>
        <w:t>提供按照</w:t>
      </w:r>
      <w:r>
        <w:rPr>
          <w:rFonts w:hint="eastAsia" w:ascii="宋体" w:hAnsi="宋体" w:eastAsia="宋体" w:cs="宋体"/>
          <w:color w:val="auto"/>
          <w:spacing w:val="4"/>
          <w:sz w:val="21"/>
          <w:szCs w:val="21"/>
          <w:highlight w:val="none"/>
        </w:rPr>
        <w:t>（财库〔2020〕46号）文件附件格式填写的</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4.2.2符合（财库〔2017〕141号）文件规定的残疾人福利性单位的评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价计算规则：</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%的扣除，用扣除后的价格参加评审。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其评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价=最终报价*（1-</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4.2.2.2对于联合协议或者分包意向协议约定残疾人福利性单位的合同份额占到合同总金额30%以上的</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须在联合协议或分包</w:t>
      </w:r>
      <w:r>
        <w:rPr>
          <w:rFonts w:hint="eastAsia" w:ascii="宋体" w:hAnsi="宋体" w:eastAsia="宋体" w:cs="宋体"/>
          <w:color w:val="auto"/>
          <w:spacing w:val="4"/>
          <w:sz w:val="21"/>
          <w:szCs w:val="21"/>
          <w:highlight w:val="none"/>
        </w:rPr>
        <w:t>意向协议</w:t>
      </w:r>
      <w:r>
        <w:rPr>
          <w:rFonts w:hint="eastAsia" w:ascii="宋体" w:hAnsi="宋体" w:eastAsia="宋体" w:cs="宋体"/>
          <w:color w:val="auto"/>
          <w:spacing w:val="4"/>
          <w:sz w:val="21"/>
          <w:szCs w:val="21"/>
          <w:highlight w:val="none"/>
          <w:lang w:val="en-US" w:eastAsia="zh-CN"/>
        </w:rPr>
        <w:t>中明确</w:t>
      </w:r>
      <w:r>
        <w:rPr>
          <w:rFonts w:hint="eastAsia" w:ascii="宋体" w:hAnsi="宋体" w:eastAsia="宋体" w:cs="宋体"/>
          <w:color w:val="auto"/>
          <w:spacing w:val="4"/>
          <w:sz w:val="21"/>
          <w:szCs w:val="21"/>
          <w:highlight w:val="none"/>
        </w:rPr>
        <w:t>监狱企业</w:t>
      </w:r>
      <w:r>
        <w:rPr>
          <w:rFonts w:hint="eastAsia" w:ascii="宋体" w:hAnsi="宋体" w:eastAsia="宋体" w:cs="宋体"/>
          <w:color w:val="auto"/>
          <w:spacing w:val="4"/>
          <w:sz w:val="21"/>
          <w:szCs w:val="21"/>
          <w:highlight w:val="none"/>
          <w:lang w:val="en-US" w:eastAsia="zh-CN"/>
        </w:rPr>
        <w:t>的合同份额，否则评审时不予给予价格扣除）</w:t>
      </w:r>
      <w:r>
        <w:rPr>
          <w:rFonts w:hint="eastAsia" w:ascii="宋体" w:hAnsi="宋体" w:eastAsia="宋体" w:cs="宋体"/>
          <w:color w:val="auto"/>
          <w:spacing w:val="4"/>
          <w:sz w:val="21"/>
          <w:szCs w:val="21"/>
          <w:highlight w:val="none"/>
        </w:rPr>
        <w:t>，对联合体或者大中型企业的报价给予</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%的扣除，用扣除后的价格参加评审。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其评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价=最终报价*（1-</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4.2.2.3确认为残疾人福利性单位磋商的，应当同时符合以下条件：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4.2.2.3.1符合（财库〔2017〕141号）文件相关规定。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4.2.2.3.2磋商时提供本单位制造的货物、承担的工程或者服务（以下简称产品），或者提供其他残疾人福利性单位制造的货物（不包括使用非残疾人福利性单位注册商标的货物）。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4.2.2.3.3供应商须提供按照（财库〔2017〕141号）文件附件格式填写的《残疾人福利性单位声明函》。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4.2.3符合（财库〔2014〕68号）文件规定的监狱企业的评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价计算规则：</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%的扣除，用扣除后的价格参加评审。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其评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价=最终报价*（1-</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4.2.3.2对于联合协议或者分包意向协议约定监狱企业的合同份额占到合同总金额30%以上的</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须在联合协议或分包</w:t>
      </w:r>
      <w:r>
        <w:rPr>
          <w:rFonts w:hint="eastAsia" w:ascii="宋体" w:hAnsi="宋体" w:eastAsia="宋体" w:cs="宋体"/>
          <w:color w:val="auto"/>
          <w:spacing w:val="4"/>
          <w:sz w:val="21"/>
          <w:szCs w:val="21"/>
          <w:highlight w:val="none"/>
        </w:rPr>
        <w:t>意向协议</w:t>
      </w:r>
      <w:r>
        <w:rPr>
          <w:rFonts w:hint="eastAsia" w:ascii="宋体" w:hAnsi="宋体" w:eastAsia="宋体" w:cs="宋体"/>
          <w:color w:val="auto"/>
          <w:spacing w:val="4"/>
          <w:sz w:val="21"/>
          <w:szCs w:val="21"/>
          <w:highlight w:val="none"/>
          <w:lang w:val="en-US" w:eastAsia="zh-CN"/>
        </w:rPr>
        <w:t>中明确</w:t>
      </w:r>
      <w:r>
        <w:rPr>
          <w:rFonts w:hint="eastAsia" w:ascii="宋体" w:hAnsi="宋体" w:eastAsia="宋体" w:cs="宋体"/>
          <w:color w:val="auto"/>
          <w:spacing w:val="4"/>
          <w:sz w:val="21"/>
          <w:szCs w:val="21"/>
          <w:highlight w:val="none"/>
        </w:rPr>
        <w:t>监狱企业</w:t>
      </w:r>
      <w:r>
        <w:rPr>
          <w:rFonts w:hint="eastAsia" w:ascii="宋体" w:hAnsi="宋体" w:eastAsia="宋体" w:cs="宋体"/>
          <w:color w:val="auto"/>
          <w:spacing w:val="4"/>
          <w:sz w:val="21"/>
          <w:szCs w:val="21"/>
          <w:highlight w:val="none"/>
          <w:lang w:val="en-US" w:eastAsia="zh-CN"/>
        </w:rPr>
        <w:t>的合同份额，否则评标时不予给予价格扣除）</w:t>
      </w:r>
      <w:r>
        <w:rPr>
          <w:rFonts w:hint="eastAsia" w:ascii="宋体" w:hAnsi="宋体" w:eastAsia="宋体" w:cs="宋体"/>
          <w:color w:val="auto"/>
          <w:spacing w:val="4"/>
          <w:sz w:val="21"/>
          <w:szCs w:val="21"/>
          <w:highlight w:val="none"/>
        </w:rPr>
        <w:t>，对联合体或者大中型企业的报价给予</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%的扣除，用扣除后的价格参加评审。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其评</w:t>
      </w:r>
      <w:r>
        <w:rPr>
          <w:rFonts w:hint="eastAsia" w:ascii="宋体" w:hAnsi="宋体" w:eastAsia="宋体" w:cs="宋体"/>
          <w:color w:val="auto"/>
          <w:spacing w:val="4"/>
          <w:sz w:val="21"/>
          <w:szCs w:val="21"/>
          <w:highlight w:val="none"/>
          <w:lang w:val="en-US" w:eastAsia="zh-CN"/>
        </w:rPr>
        <w:t>审</w:t>
      </w:r>
      <w:r>
        <w:rPr>
          <w:rFonts w:hint="eastAsia" w:ascii="宋体" w:hAnsi="宋体" w:eastAsia="宋体" w:cs="宋体"/>
          <w:color w:val="auto"/>
          <w:spacing w:val="4"/>
          <w:sz w:val="21"/>
          <w:szCs w:val="21"/>
          <w:highlight w:val="none"/>
        </w:rPr>
        <w:t>价=最终报价*（1-</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4.2.3.3确认为监狱企业磋商的，应当同时符合以下条件：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4.2.3.3.1符合（财库〔2014〕68号）文件相关规定。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4.2.3.3.2磋商时提供本单位的货物，或者提供其他监狱企业承担的货物。</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4.2.3.3.3供应商须提供由省级以上监狱管理局、戒毒管理局（含新疆生产建设兵团）出具的属于监狱企业的证明文件。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4.2.4符合节能产品文件规定的</w:t>
      </w:r>
      <w:r>
        <w:rPr>
          <w:rFonts w:hint="eastAsia" w:ascii="宋体" w:hAnsi="宋体" w:eastAsia="宋体" w:cs="宋体"/>
          <w:color w:val="auto"/>
          <w:spacing w:val="4"/>
          <w:sz w:val="21"/>
          <w:szCs w:val="21"/>
          <w:highlight w:val="none"/>
          <w:lang w:val="en-US" w:eastAsia="zh-CN"/>
        </w:rPr>
        <w:t>加分</w:t>
      </w:r>
      <w:r>
        <w:rPr>
          <w:rFonts w:hint="eastAsia" w:ascii="宋体" w:hAnsi="宋体" w:eastAsia="宋体" w:cs="宋体"/>
          <w:color w:val="auto"/>
          <w:spacing w:val="4"/>
          <w:sz w:val="21"/>
          <w:szCs w:val="21"/>
          <w:highlight w:val="none"/>
        </w:rPr>
        <w:t>规则：</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4.2.4.1磋商服务涉及提供的所有磋商产品进入“节能产品政府采购品目清单”（相关证书的颁发机构应来自《参与实施政府采购节能产品认证机构名录》）的</w:t>
      </w:r>
      <w:r>
        <w:rPr>
          <w:rFonts w:hint="eastAsia" w:ascii="宋体" w:hAnsi="宋体" w:eastAsia="宋体" w:cs="宋体"/>
          <w:color w:val="auto"/>
          <w:spacing w:val="4"/>
          <w:sz w:val="21"/>
          <w:szCs w:val="21"/>
          <w:highlight w:val="none"/>
          <w:lang w:val="en-US" w:eastAsia="zh-CN"/>
        </w:rPr>
        <w:t>予以加分（</w:t>
      </w:r>
      <w:r>
        <w:rPr>
          <w:rFonts w:hint="eastAsia" w:ascii="宋体" w:hAnsi="宋体" w:eastAsia="宋体" w:cs="宋体"/>
          <w:color w:val="auto"/>
          <w:spacing w:val="4"/>
          <w:sz w:val="21"/>
          <w:szCs w:val="21"/>
          <w:highlight w:val="none"/>
          <w:lang w:eastAsia="zh-CN"/>
        </w:rPr>
        <w:t>政府强制采购产品除外</w:t>
      </w:r>
      <w:r>
        <w:rPr>
          <w:rFonts w:hint="eastAsia" w:ascii="宋体" w:hAnsi="宋体" w:eastAsia="宋体" w:cs="宋体"/>
          <w:color w:val="auto"/>
          <w:spacing w:val="4"/>
          <w:sz w:val="21"/>
          <w:szCs w:val="21"/>
          <w:highlight w:val="none"/>
          <w:lang w:val="en-US" w:eastAsia="zh-CN"/>
        </w:rPr>
        <w:t>）</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具体评审标准及分值见《评审因素量化赋分表》</w:t>
      </w:r>
      <w:r>
        <w:rPr>
          <w:rFonts w:hint="eastAsia" w:ascii="宋体" w:hAnsi="宋体" w:eastAsia="宋体" w:cs="宋体"/>
          <w:color w:val="auto"/>
          <w:spacing w:val="4"/>
          <w:sz w:val="21"/>
          <w:szCs w:val="21"/>
          <w:highlight w:val="none"/>
        </w:rPr>
        <w:t>；（不是所有响应产品的不享受此项优惠）。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4.2.5符合环境标志产品文件规定的</w:t>
      </w:r>
      <w:r>
        <w:rPr>
          <w:rFonts w:hint="eastAsia" w:ascii="宋体" w:hAnsi="宋体" w:eastAsia="宋体" w:cs="宋体"/>
          <w:color w:val="auto"/>
          <w:spacing w:val="4"/>
          <w:sz w:val="21"/>
          <w:szCs w:val="21"/>
          <w:highlight w:val="none"/>
          <w:lang w:val="en-US" w:eastAsia="zh-CN"/>
        </w:rPr>
        <w:t>加分</w:t>
      </w:r>
      <w:r>
        <w:rPr>
          <w:rFonts w:hint="eastAsia" w:ascii="宋体" w:hAnsi="宋体" w:eastAsia="宋体" w:cs="宋体"/>
          <w:color w:val="auto"/>
          <w:spacing w:val="4"/>
          <w:sz w:val="21"/>
          <w:szCs w:val="21"/>
          <w:highlight w:val="none"/>
        </w:rPr>
        <w:t>规则：</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4.2.5.1磋商货物涉及提供的所有磋商产品进入“环境标志产品政府采购品目清单”（相关证书的颁发机构应来自《参与实施政府采购环境标志产品认证机构名录》）的</w:t>
      </w:r>
      <w:r>
        <w:rPr>
          <w:rFonts w:hint="eastAsia" w:ascii="宋体" w:hAnsi="宋体" w:eastAsia="宋体" w:cs="宋体"/>
          <w:color w:val="auto"/>
          <w:spacing w:val="4"/>
          <w:sz w:val="21"/>
          <w:szCs w:val="21"/>
          <w:highlight w:val="none"/>
          <w:lang w:val="en-US" w:eastAsia="zh-CN"/>
        </w:rPr>
        <w:t>予以加分</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具体评审标准及分值见《评审因素量化赋分表》</w:t>
      </w:r>
      <w:r>
        <w:rPr>
          <w:rFonts w:hint="eastAsia" w:ascii="宋体" w:hAnsi="宋体" w:eastAsia="宋体" w:cs="宋体"/>
          <w:color w:val="auto"/>
          <w:spacing w:val="4"/>
          <w:sz w:val="21"/>
          <w:szCs w:val="21"/>
          <w:highlight w:val="none"/>
        </w:rPr>
        <w:t>；（不是所有磋商产品的不享受此项优惠）。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4.3评审价的计算：</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4.3.1供应商为非联合体的情况：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小型企业，其评审价=最终报价*（1-</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微型企业，其评审价=最终报价*（1-</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监狱企业，其评审价=最终报价*（1-</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spacing w:val="4"/>
          <w:sz w:val="21"/>
          <w:szCs w:val="21"/>
          <w:highlight w:val="none"/>
        </w:rPr>
        <w:t>，其评审价=最终报价*（1-</w:t>
      </w:r>
      <w:r>
        <w:rPr>
          <w:rFonts w:hint="eastAsia" w:ascii="宋体" w:hAnsi="宋体" w:eastAsia="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4.3.2供应商为联合体且联合协议或者分包意向协议中约定小型、微型企业的协议合同金额占到联合体协议合同总金额30％以上的，按照以下规则进行评审价计算：</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与小型企业联合</w:t>
      </w:r>
      <w:r>
        <w:rPr>
          <w:rFonts w:hint="eastAsia" w:ascii="宋体" w:hAnsi="宋体" w:eastAsia="宋体" w:cs="宋体"/>
          <w:color w:val="auto"/>
          <w:spacing w:val="4"/>
          <w:sz w:val="21"/>
          <w:szCs w:val="21"/>
          <w:highlight w:val="none"/>
          <w:lang w:val="en-US" w:eastAsia="zh-CN"/>
        </w:rPr>
        <w:t>或分包</w:t>
      </w:r>
      <w:r>
        <w:rPr>
          <w:rFonts w:hint="eastAsia" w:ascii="宋体" w:hAnsi="宋体" w:eastAsia="宋体" w:cs="宋体"/>
          <w:color w:val="auto"/>
          <w:spacing w:val="4"/>
          <w:sz w:val="21"/>
          <w:szCs w:val="21"/>
          <w:highlight w:val="none"/>
        </w:rPr>
        <w:t>的，其评审价=最终报价*（1-</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与微型企业联合</w:t>
      </w:r>
      <w:r>
        <w:rPr>
          <w:rFonts w:hint="eastAsia" w:ascii="宋体" w:hAnsi="宋体" w:eastAsia="宋体" w:cs="宋体"/>
          <w:color w:val="auto"/>
          <w:spacing w:val="4"/>
          <w:sz w:val="21"/>
          <w:szCs w:val="21"/>
          <w:highlight w:val="none"/>
          <w:lang w:val="en-US" w:eastAsia="zh-CN"/>
        </w:rPr>
        <w:t>或分包</w:t>
      </w:r>
      <w:r>
        <w:rPr>
          <w:rFonts w:hint="eastAsia" w:ascii="宋体" w:hAnsi="宋体" w:eastAsia="宋体" w:cs="宋体"/>
          <w:color w:val="auto"/>
          <w:spacing w:val="4"/>
          <w:sz w:val="21"/>
          <w:szCs w:val="21"/>
          <w:highlight w:val="none"/>
        </w:rPr>
        <w:t>的，其评审价=最终报价*（1-</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与监狱企业联合</w:t>
      </w:r>
      <w:r>
        <w:rPr>
          <w:rFonts w:hint="eastAsia" w:ascii="宋体" w:hAnsi="宋体" w:eastAsia="宋体" w:cs="宋体"/>
          <w:color w:val="auto"/>
          <w:spacing w:val="4"/>
          <w:sz w:val="21"/>
          <w:szCs w:val="21"/>
          <w:highlight w:val="none"/>
          <w:lang w:val="en-US" w:eastAsia="zh-CN"/>
        </w:rPr>
        <w:t>或分包</w:t>
      </w:r>
      <w:r>
        <w:rPr>
          <w:rFonts w:hint="eastAsia" w:ascii="宋体" w:hAnsi="宋体" w:eastAsia="宋体" w:cs="宋体"/>
          <w:color w:val="auto"/>
          <w:spacing w:val="4"/>
          <w:sz w:val="21"/>
          <w:szCs w:val="21"/>
          <w:highlight w:val="none"/>
        </w:rPr>
        <w:t>的，其评审价=最终报价*（1-</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与</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spacing w:val="4"/>
          <w:sz w:val="21"/>
          <w:szCs w:val="21"/>
          <w:highlight w:val="none"/>
        </w:rPr>
        <w:t>联</w:t>
      </w:r>
      <w:r>
        <w:rPr>
          <w:rFonts w:hint="eastAsia" w:ascii="宋体" w:hAnsi="宋体" w:eastAsia="宋体" w:cs="宋体"/>
          <w:color w:val="auto"/>
          <w:spacing w:val="4"/>
          <w:sz w:val="21"/>
          <w:szCs w:val="21"/>
          <w:highlight w:val="none"/>
          <w:lang w:val="en-US" w:eastAsia="zh-CN"/>
        </w:rPr>
        <w:t>或分包</w:t>
      </w:r>
      <w:r>
        <w:rPr>
          <w:rFonts w:hint="eastAsia" w:ascii="宋体" w:hAnsi="宋体" w:eastAsia="宋体" w:cs="宋体"/>
          <w:color w:val="auto"/>
          <w:spacing w:val="4"/>
          <w:sz w:val="21"/>
          <w:szCs w:val="21"/>
          <w:highlight w:val="none"/>
        </w:rPr>
        <w:t>合的，其评审价=最终报价*（1-</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4.4对于不享受以上政策性优惠价格调整的，其评审价=供应商提交的最终报价。</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比较与评价：</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对所有实质性响应文件进行了评审价确认之后，由竞争性磋商小组各成员按照下列《评审因素及量化指标分解表》规定的内容独立进行综合比较，评价打分。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3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w:t>
      </w:r>
      <w:r>
        <w:rPr>
          <w:rFonts w:hint="eastAsia" w:ascii="宋体" w:hAnsi="宋体" w:cs="宋体"/>
          <w:color w:val="auto"/>
          <w:spacing w:val="4"/>
          <w:sz w:val="21"/>
          <w:szCs w:val="21"/>
          <w:highlight w:val="none"/>
          <w:lang w:val="en-US" w:eastAsia="zh-CN"/>
        </w:rPr>
        <w:t>.</w:t>
      </w:r>
      <w:r>
        <w:rPr>
          <w:rFonts w:hint="eastAsia" w:ascii="宋体" w:hAnsi="宋体" w:eastAsia="宋体" w:cs="宋体"/>
          <w:color w:val="auto"/>
          <w:spacing w:val="4"/>
          <w:sz w:val="21"/>
          <w:szCs w:val="21"/>
          <w:highlight w:val="none"/>
        </w:rPr>
        <w:t>推荐成交候选供应商名单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汇总磋商小组成员对每个供应商的综合得分，每个包按照评审得分由高到低顺序推荐3名成交候选供应商。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baseline"/>
        <w:rPr>
          <w:rStyle w:val="33"/>
          <w:rFonts w:hint="eastAsia" w:ascii="宋体" w:hAnsi="宋体" w:eastAsia="宋体" w:cs="宋体"/>
          <w:b/>
          <w:color w:val="auto"/>
          <w:sz w:val="32"/>
          <w:szCs w:val="32"/>
          <w:highlight w:val="none"/>
        </w:rPr>
      </w:pPr>
      <w:r>
        <w:rPr>
          <w:rStyle w:val="33"/>
          <w:rFonts w:hint="eastAsia" w:ascii="宋体" w:hAnsi="宋体" w:eastAsia="宋体" w:cs="宋体"/>
          <w:b/>
          <w:color w:val="auto"/>
          <w:sz w:val="32"/>
          <w:szCs w:val="32"/>
          <w:highlight w:val="none"/>
        </w:rPr>
        <w:br w:type="page"/>
      </w:r>
    </w:p>
    <w:p>
      <w:pPr>
        <w:spacing w:line="360" w:lineRule="auto"/>
        <w:jc w:val="center"/>
        <w:outlineLvl w:val="1"/>
        <w:rPr>
          <w:rStyle w:val="33"/>
          <w:rFonts w:hint="eastAsia" w:ascii="宋体" w:hAnsi="宋体" w:eastAsia="宋体" w:cs="宋体"/>
          <w:b/>
          <w:color w:val="auto"/>
          <w:sz w:val="36"/>
          <w:szCs w:val="36"/>
          <w:highlight w:val="none"/>
        </w:rPr>
      </w:pPr>
      <w:r>
        <w:rPr>
          <w:rStyle w:val="33"/>
          <w:rFonts w:hint="eastAsia" w:ascii="宋体" w:hAnsi="宋体" w:eastAsia="宋体" w:cs="宋体"/>
          <w:b/>
          <w:color w:val="auto"/>
          <w:sz w:val="36"/>
          <w:szCs w:val="36"/>
          <w:highlight w:val="none"/>
        </w:rPr>
        <w:t>评审因素及量化指标分解表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76"/>
        <w:gridCol w:w="2713"/>
        <w:gridCol w:w="4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59" w:type="dxa"/>
            <w:tcBorders>
              <w:tl2br w:val="nil"/>
              <w:tr2bl w:val="nil"/>
            </w:tcBorders>
            <w:noWrap w:val="0"/>
            <w:vAlign w:val="center"/>
          </w:tcPr>
          <w:p>
            <w:pPr>
              <w:spacing w:line="360" w:lineRule="auto"/>
              <w:jc w:val="center"/>
              <w:rPr>
                <w:rFonts w:hAnsi="宋体" w:cs="宋体"/>
                <w:b/>
                <w:color w:val="auto"/>
                <w:szCs w:val="21"/>
                <w:highlight w:val="none"/>
              </w:rPr>
            </w:pPr>
            <w:r>
              <w:rPr>
                <w:rFonts w:hint="eastAsia" w:ascii="宋体" w:hAnsi="宋体" w:cs="宋体"/>
                <w:b/>
                <w:color w:val="auto"/>
                <w:szCs w:val="21"/>
                <w:highlight w:val="none"/>
              </w:rPr>
              <w:t>类别</w:t>
            </w:r>
          </w:p>
        </w:tc>
        <w:tc>
          <w:tcPr>
            <w:tcW w:w="776" w:type="dxa"/>
            <w:tcBorders>
              <w:tl2br w:val="nil"/>
              <w:tr2bl w:val="nil"/>
            </w:tcBorders>
            <w:noWrap w:val="0"/>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2713" w:type="dxa"/>
            <w:tcBorders>
              <w:tl2br w:val="nil"/>
              <w:tr2bl w:val="nil"/>
            </w:tcBorders>
            <w:noWrap w:val="0"/>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评审要素及分值</w:t>
            </w:r>
          </w:p>
        </w:tc>
        <w:tc>
          <w:tcPr>
            <w:tcW w:w="4532" w:type="dxa"/>
            <w:tcBorders>
              <w:tl2br w:val="nil"/>
              <w:tr2bl w:val="nil"/>
            </w:tcBorders>
            <w:noWrap w:val="0"/>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赋分标准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59" w:type="dxa"/>
            <w:vMerge w:val="restart"/>
            <w:tcBorders>
              <w:tl2br w:val="nil"/>
              <w:tr2bl w:val="nil"/>
            </w:tcBorders>
            <w:noWrap w:val="0"/>
            <w:vAlign w:val="center"/>
          </w:tcPr>
          <w:p>
            <w:pPr>
              <w:snapToGrid w:val="0"/>
              <w:spacing w:line="360" w:lineRule="auto"/>
              <w:jc w:val="center"/>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技术</w:t>
            </w:r>
          </w:p>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分</w:t>
            </w:r>
          </w:p>
        </w:tc>
        <w:tc>
          <w:tcPr>
            <w:tcW w:w="776" w:type="dxa"/>
            <w:tcBorders>
              <w:tl2br w:val="nil"/>
              <w:tr2bl w:val="nil"/>
            </w:tcBorders>
            <w:noWrap w:val="0"/>
            <w:vAlign w:val="center"/>
          </w:tcPr>
          <w:p>
            <w:pPr>
              <w:spacing w:line="360" w:lineRule="auto"/>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1</w:t>
            </w:r>
          </w:p>
        </w:tc>
        <w:tc>
          <w:tcPr>
            <w:tcW w:w="2713"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lang w:val="en-US"/>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lang w:val="en-US"/>
              </w:rPr>
              <w:t>总体方案</w:t>
            </w:r>
          </w:p>
          <w:p>
            <w:pPr>
              <w:spacing w:line="360" w:lineRule="auto"/>
              <w:jc w:val="center"/>
              <w:rPr>
                <w:rFonts w:hint="eastAsia" w:ascii="宋体" w:hAnsi="宋体" w:cs="仿宋_GB2312"/>
                <w:color w:val="auto"/>
                <w:kern w:val="2"/>
                <w:sz w:val="21"/>
                <w:szCs w:val="21"/>
                <w:highlight w:val="none"/>
                <w:lang w:val="en-US" w:eastAsia="zh-CN" w:bidi="ar-SA"/>
              </w:rPr>
            </w:pPr>
            <w:r>
              <w:rPr>
                <w:rFonts w:hint="eastAsia" w:ascii="宋体" w:hAnsi="宋体" w:cs="宋体"/>
                <w:color w:val="auto"/>
                <w:szCs w:val="21"/>
                <w:highlight w:val="none"/>
                <w:lang w:val="en-US" w:eastAsia="zh-CN"/>
              </w:rPr>
              <w:t>10分</w:t>
            </w:r>
          </w:p>
        </w:tc>
        <w:tc>
          <w:tcPr>
            <w:tcW w:w="4532" w:type="dxa"/>
            <w:tcBorders>
              <w:tl2br w:val="nil"/>
              <w:tr2bl w:val="nil"/>
            </w:tcBorders>
            <w:noWrap w:val="0"/>
            <w:vAlign w:val="top"/>
          </w:tcPr>
          <w:p>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结合对专业课程建设内容需求的理解及分析，提供针对</w:t>
            </w:r>
            <w:r>
              <w:rPr>
                <w:rFonts w:hint="eastAsia" w:ascii="宋体" w:hAnsi="宋体" w:cs="宋体"/>
                <w:color w:val="auto"/>
                <w:highlight w:val="none"/>
                <w:lang w:val="en-US" w:eastAsia="zh-CN"/>
              </w:rPr>
              <w:t>课程体系</w:t>
            </w:r>
            <w:r>
              <w:rPr>
                <w:rFonts w:hint="eastAsia" w:ascii="宋体" w:hAnsi="宋体" w:eastAsia="宋体" w:cs="宋体"/>
                <w:color w:val="auto"/>
                <w:highlight w:val="none"/>
                <w:lang w:val="en-US" w:eastAsia="zh-CN"/>
              </w:rPr>
              <w:t>的制作、策划及整体方案，综合比较</w:t>
            </w:r>
            <w:r>
              <w:rPr>
                <w:rFonts w:hint="eastAsia" w:cs="宋体"/>
                <w:color w:val="auto"/>
                <w:highlight w:val="none"/>
                <w:lang w:val="en-US" w:eastAsia="zh-CN"/>
              </w:rPr>
              <w:t>赋分</w:t>
            </w:r>
            <w:r>
              <w:rPr>
                <w:rFonts w:hint="eastAsia" w:ascii="宋体" w:hAnsi="宋体" w:eastAsia="宋体" w:cs="宋体"/>
                <w:color w:val="auto"/>
                <w:highlight w:val="none"/>
                <w:lang w:val="en-US" w:eastAsia="zh-CN"/>
              </w:rPr>
              <w:t>：</w:t>
            </w:r>
          </w:p>
          <w:p>
            <w:pPr>
              <w:spacing w:line="360" w:lineRule="auto"/>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①总体</w:t>
            </w:r>
            <w:r>
              <w:rPr>
                <w:rFonts w:hint="eastAsia" w:ascii="宋体" w:hAnsi="宋体" w:eastAsia="宋体" w:cs="宋体"/>
                <w:color w:val="auto"/>
                <w:highlight w:val="none"/>
                <w:lang w:val="en-US" w:eastAsia="zh-CN"/>
              </w:rPr>
              <w:t>方案</w:t>
            </w:r>
            <w:r>
              <w:rPr>
                <w:rFonts w:hint="eastAsia" w:ascii="宋体" w:hAnsi="宋体" w:cs="宋体"/>
                <w:color w:val="auto"/>
                <w:highlight w:val="none"/>
                <w:lang w:val="en-US" w:eastAsia="zh-CN"/>
              </w:rPr>
              <w:t>内容丰富</w:t>
            </w:r>
            <w:r>
              <w:rPr>
                <w:rFonts w:hint="eastAsia" w:ascii="宋体" w:hAnsi="宋体" w:eastAsia="宋体" w:cs="宋体"/>
                <w:color w:val="auto"/>
                <w:highlight w:val="none"/>
                <w:lang w:val="en-US" w:eastAsia="zh-CN"/>
              </w:rPr>
              <w:t>详细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架构完整</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制作、策划及整体构想方案</w:t>
            </w:r>
            <w:r>
              <w:rPr>
                <w:rFonts w:hint="eastAsia" w:ascii="宋体" w:hAnsi="宋体" w:cs="宋体"/>
                <w:color w:val="auto"/>
                <w:highlight w:val="none"/>
                <w:lang w:val="en-US" w:eastAsia="zh-CN"/>
              </w:rPr>
              <w:t>科学</w:t>
            </w:r>
            <w:r>
              <w:rPr>
                <w:rFonts w:hint="eastAsia" w:ascii="宋体" w:hAnsi="宋体" w:eastAsia="宋体" w:cs="宋体"/>
                <w:color w:val="auto"/>
                <w:highlight w:val="none"/>
                <w:lang w:val="en-US" w:eastAsia="zh-CN"/>
              </w:rPr>
              <w:t>合理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对项目需求和具体情况理解充分</w:t>
            </w:r>
            <w:r>
              <w:rPr>
                <w:rFonts w:hint="eastAsia" w:ascii="宋体" w:hAnsi="宋体" w:cs="宋体"/>
                <w:color w:val="auto"/>
                <w:highlight w:val="none"/>
                <w:lang w:val="en-US" w:eastAsia="zh-CN"/>
              </w:rPr>
              <w:t>，思路清晰，</w:t>
            </w:r>
            <w:r>
              <w:rPr>
                <w:rFonts w:hint="eastAsia" w:ascii="宋体" w:hAnsi="宋体" w:eastAsia="宋体" w:cs="宋体"/>
                <w:color w:val="auto"/>
                <w:highlight w:val="none"/>
                <w:lang w:val="en-US" w:eastAsia="zh-CN"/>
              </w:rPr>
              <w:t>可行</w:t>
            </w:r>
            <w:r>
              <w:rPr>
                <w:rFonts w:hint="eastAsia" w:ascii="宋体" w:hAnsi="宋体" w:cs="宋体"/>
                <w:color w:val="auto"/>
                <w:highlight w:val="none"/>
                <w:lang w:val="en-US" w:eastAsia="zh-CN"/>
              </w:rPr>
              <w:t>性、</w:t>
            </w:r>
            <w:r>
              <w:rPr>
                <w:rFonts w:hint="eastAsia" w:ascii="宋体" w:hAnsi="宋体" w:eastAsia="宋体" w:cs="宋体"/>
                <w:color w:val="auto"/>
                <w:highlight w:val="none"/>
                <w:lang w:val="en-US" w:eastAsia="zh-CN"/>
              </w:rPr>
              <w:t>针对性强，</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pPr>
              <w:spacing w:line="360" w:lineRule="auto"/>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②总体</w:t>
            </w:r>
            <w:r>
              <w:rPr>
                <w:rFonts w:hint="eastAsia" w:ascii="宋体" w:hAnsi="宋体" w:eastAsia="宋体" w:cs="宋体"/>
                <w:color w:val="auto"/>
                <w:highlight w:val="none"/>
                <w:lang w:val="en-US" w:eastAsia="zh-CN"/>
              </w:rPr>
              <w:t>方案</w:t>
            </w:r>
            <w:r>
              <w:rPr>
                <w:rFonts w:hint="eastAsia" w:ascii="宋体" w:hAnsi="宋体" w:cs="宋体"/>
                <w:color w:val="auto"/>
                <w:highlight w:val="none"/>
                <w:lang w:val="en-US" w:eastAsia="zh-CN"/>
              </w:rPr>
              <w:t>内容较丰富、较</w:t>
            </w:r>
            <w:r>
              <w:rPr>
                <w:rFonts w:hint="eastAsia" w:ascii="宋体" w:hAnsi="宋体" w:eastAsia="宋体" w:cs="宋体"/>
                <w:color w:val="auto"/>
                <w:highlight w:val="none"/>
                <w:lang w:val="en-US" w:eastAsia="zh-CN"/>
              </w:rPr>
              <w:t>完整</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对项目需求和具体情况理解</w:t>
            </w:r>
            <w:r>
              <w:rPr>
                <w:rFonts w:hint="eastAsia" w:ascii="宋体" w:hAnsi="宋体" w:cs="宋体"/>
                <w:color w:val="auto"/>
                <w:highlight w:val="none"/>
                <w:lang w:val="en-US" w:eastAsia="zh-CN"/>
              </w:rPr>
              <w:t>较</w:t>
            </w:r>
            <w:r>
              <w:rPr>
                <w:rFonts w:hint="eastAsia" w:ascii="宋体" w:hAnsi="宋体" w:eastAsia="宋体" w:cs="宋体"/>
                <w:color w:val="auto"/>
                <w:highlight w:val="none"/>
                <w:lang w:val="en-US" w:eastAsia="zh-CN"/>
              </w:rPr>
              <w:t>充分</w:t>
            </w:r>
            <w:r>
              <w:rPr>
                <w:rFonts w:hint="eastAsia" w:ascii="宋体" w:hAnsi="宋体" w:cs="宋体"/>
                <w:color w:val="auto"/>
                <w:highlight w:val="none"/>
                <w:lang w:val="en-US" w:eastAsia="zh-CN"/>
              </w:rPr>
              <w:t>，思路基本清晰，</w:t>
            </w:r>
            <w:r>
              <w:rPr>
                <w:rFonts w:hint="eastAsia" w:ascii="宋体" w:hAnsi="宋体" w:eastAsia="宋体" w:cs="宋体"/>
                <w:color w:val="auto"/>
                <w:highlight w:val="none"/>
                <w:lang w:val="en-US" w:eastAsia="zh-CN"/>
              </w:rPr>
              <w:t>可行</w:t>
            </w:r>
            <w:r>
              <w:rPr>
                <w:rFonts w:hint="eastAsia" w:ascii="宋体" w:hAnsi="宋体" w:cs="宋体"/>
                <w:color w:val="auto"/>
                <w:highlight w:val="none"/>
                <w:lang w:val="en-US" w:eastAsia="zh-CN"/>
              </w:rPr>
              <w:t>性、</w:t>
            </w:r>
            <w:r>
              <w:rPr>
                <w:rFonts w:hint="eastAsia" w:ascii="宋体" w:hAnsi="宋体" w:eastAsia="宋体" w:cs="宋体"/>
                <w:color w:val="auto"/>
                <w:highlight w:val="none"/>
                <w:lang w:val="en-US" w:eastAsia="zh-CN"/>
              </w:rPr>
              <w:t>针对性</w:t>
            </w:r>
            <w:r>
              <w:rPr>
                <w:rFonts w:hint="eastAsia" w:ascii="宋体" w:hAnsi="宋体" w:cs="宋体"/>
                <w:color w:val="auto"/>
                <w:highlight w:val="none"/>
                <w:lang w:val="en-US" w:eastAsia="zh-CN"/>
              </w:rPr>
              <w:t>一般</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pPr>
              <w:spacing w:line="360" w:lineRule="auto"/>
              <w:jc w:val="left"/>
              <w:rPr>
                <w:rFonts w:hint="eastAsia"/>
                <w:color w:val="auto"/>
                <w:highlight w:val="none"/>
                <w:lang w:val="en-US" w:eastAsia="zh-CN"/>
              </w:rPr>
            </w:pPr>
            <w:r>
              <w:rPr>
                <w:rFonts w:hint="eastAsia" w:ascii="宋体" w:hAnsi="宋体" w:cs="宋体"/>
                <w:color w:val="auto"/>
                <w:highlight w:val="none"/>
                <w:lang w:val="en-US" w:eastAsia="zh-CN"/>
              </w:rPr>
              <w:t>③总体</w:t>
            </w:r>
            <w:r>
              <w:rPr>
                <w:rFonts w:hint="eastAsia" w:ascii="宋体" w:hAnsi="宋体" w:eastAsia="宋体" w:cs="宋体"/>
                <w:color w:val="auto"/>
                <w:highlight w:val="none"/>
                <w:lang w:val="en-US" w:eastAsia="zh-CN"/>
              </w:rPr>
              <w:t>方案</w:t>
            </w:r>
            <w:r>
              <w:rPr>
                <w:rFonts w:hint="eastAsia" w:ascii="宋体" w:hAnsi="宋体" w:cs="宋体"/>
                <w:color w:val="auto"/>
                <w:highlight w:val="none"/>
                <w:lang w:val="en-US" w:eastAsia="zh-CN"/>
              </w:rPr>
              <w:t>内容有缺漏，</w:t>
            </w:r>
            <w:r>
              <w:rPr>
                <w:rFonts w:hint="eastAsia" w:ascii="宋体" w:hAnsi="宋体" w:eastAsia="宋体" w:cs="宋体"/>
                <w:color w:val="auto"/>
                <w:highlight w:val="none"/>
                <w:lang w:val="en-US" w:eastAsia="zh-CN"/>
              </w:rPr>
              <w:t>对项目需求和具体情况理解</w:t>
            </w:r>
            <w:r>
              <w:rPr>
                <w:rFonts w:hint="eastAsia" w:ascii="宋体" w:hAnsi="宋体" w:cs="宋体"/>
                <w:color w:val="auto"/>
                <w:highlight w:val="none"/>
                <w:lang w:val="en-US" w:eastAsia="zh-CN"/>
              </w:rPr>
              <w:t>不充分、思路混乱，</w:t>
            </w:r>
            <w:r>
              <w:rPr>
                <w:rFonts w:hint="eastAsia" w:ascii="宋体" w:hAnsi="宋体" w:eastAsia="宋体" w:cs="宋体"/>
                <w:color w:val="auto"/>
                <w:highlight w:val="none"/>
                <w:lang w:val="en-US" w:eastAsia="zh-CN"/>
              </w:rPr>
              <w:t>可行</w:t>
            </w:r>
            <w:r>
              <w:rPr>
                <w:rFonts w:hint="eastAsia" w:ascii="宋体" w:hAnsi="宋体" w:cs="宋体"/>
                <w:color w:val="auto"/>
                <w:highlight w:val="none"/>
                <w:lang w:val="en-US" w:eastAsia="zh-CN"/>
              </w:rPr>
              <w:t>性、</w:t>
            </w:r>
            <w:r>
              <w:rPr>
                <w:rFonts w:hint="eastAsia" w:ascii="宋体" w:hAnsi="宋体" w:eastAsia="宋体" w:cs="宋体"/>
                <w:color w:val="auto"/>
                <w:highlight w:val="none"/>
                <w:lang w:val="en-US" w:eastAsia="zh-CN"/>
              </w:rPr>
              <w:t>针对性</w:t>
            </w:r>
            <w:r>
              <w:rPr>
                <w:rFonts w:hint="eastAsia" w:ascii="宋体" w:hAnsi="宋体" w:cs="宋体"/>
                <w:color w:val="auto"/>
                <w:highlight w:val="none"/>
                <w:lang w:val="en-US" w:eastAsia="zh-CN"/>
              </w:rPr>
              <w:t>差</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59" w:type="dxa"/>
            <w:vMerge w:val="continue"/>
            <w:tcBorders>
              <w:tl2br w:val="nil"/>
              <w:tr2bl w:val="nil"/>
            </w:tcBorders>
            <w:noWrap w:val="0"/>
            <w:vAlign w:val="center"/>
          </w:tcPr>
          <w:p>
            <w:pPr>
              <w:snapToGrid w:val="0"/>
              <w:spacing w:line="360" w:lineRule="auto"/>
              <w:jc w:val="center"/>
              <w:rPr>
                <w:rFonts w:ascii="宋体" w:cs="宋体"/>
                <w:color w:val="auto"/>
                <w:szCs w:val="21"/>
                <w:highlight w:val="none"/>
              </w:rPr>
            </w:pPr>
          </w:p>
        </w:tc>
        <w:tc>
          <w:tcPr>
            <w:tcW w:w="776" w:type="dxa"/>
            <w:tcBorders>
              <w:tl2br w:val="nil"/>
              <w:tr2bl w:val="nil"/>
            </w:tcBorders>
            <w:noWrap w:val="0"/>
            <w:vAlign w:val="center"/>
          </w:tcPr>
          <w:p>
            <w:pPr>
              <w:spacing w:line="360" w:lineRule="auto"/>
              <w:jc w:val="center"/>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w:t>
            </w:r>
          </w:p>
        </w:tc>
        <w:tc>
          <w:tcPr>
            <w:tcW w:w="271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bidi="ar-SA"/>
              </w:rPr>
              <w:t>教学资源库平台及资源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bidi="ar-SA"/>
              </w:rPr>
              <w:t>10分</w:t>
            </w:r>
          </w:p>
        </w:tc>
        <w:tc>
          <w:tcPr>
            <w:tcW w:w="45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color w:val="auto"/>
                <w:highlight w:val="none"/>
                <w:lang w:val="en-US" w:eastAsia="zh-CN"/>
              </w:rPr>
            </w:pPr>
            <w:r>
              <w:rPr>
                <w:rFonts w:hint="eastAsia" w:ascii="宋体" w:hAnsi="宋体" w:cs="仿宋_GB2312"/>
                <w:color w:val="auto"/>
                <w:kern w:val="2"/>
                <w:sz w:val="21"/>
                <w:szCs w:val="21"/>
                <w:highlight w:val="none"/>
                <w:lang w:val="en-US" w:eastAsia="zh-CN" w:bidi="ar-SA"/>
              </w:rPr>
              <w:t>①</w:t>
            </w:r>
            <w:r>
              <w:rPr>
                <w:rFonts w:hint="eastAsia" w:ascii="宋体" w:hAnsi="宋体" w:eastAsia="宋体" w:cs="宋体"/>
                <w:b w:val="0"/>
                <w:bCs w:val="0"/>
                <w:color w:val="auto"/>
                <w:sz w:val="21"/>
                <w:szCs w:val="21"/>
                <w:highlight w:val="none"/>
                <w:lang w:val="en-IE" w:eastAsia="zh-CN"/>
              </w:rPr>
              <w:t>新媒体内容编辑教学资源库平台</w:t>
            </w:r>
            <w:r>
              <w:rPr>
                <w:rFonts w:hint="eastAsia" w:ascii="宋体" w:hAnsi="宋体" w:cs="宋体"/>
                <w:b w:val="0"/>
                <w:bCs w:val="0"/>
                <w:color w:val="auto"/>
                <w:sz w:val="21"/>
                <w:szCs w:val="21"/>
                <w:highlight w:val="none"/>
                <w:lang w:val="en-IE" w:eastAsia="zh-CN"/>
              </w:rPr>
              <w:t>，</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eastAsia="zh-CN"/>
              </w:rPr>
              <w:t>分</w:t>
            </w:r>
            <w:r>
              <w:rPr>
                <w:rFonts w:hint="eastAsia" w:ascii="宋体" w:hAnsi="宋体" w:cs="宋体"/>
                <w:color w:val="auto"/>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rPr>
                <w:rFonts w:hint="default"/>
                <w:color w:val="auto"/>
                <w:highlight w:val="none"/>
                <w:lang w:val="en-US" w:eastAsia="zh-CN"/>
              </w:rPr>
            </w:pPr>
            <w:r>
              <w:rPr>
                <w:rFonts w:hint="eastAsia"/>
                <w:color w:val="auto"/>
                <w:highlight w:val="none"/>
                <w:lang w:val="en-US" w:eastAsia="zh-CN"/>
              </w:rPr>
              <w:t>②</w:t>
            </w:r>
            <w:r>
              <w:rPr>
                <w:rFonts w:hint="eastAsia" w:ascii="宋体" w:hAnsi="宋体" w:eastAsia="宋体" w:cs="宋体"/>
                <w:b w:val="0"/>
                <w:bCs w:val="0"/>
                <w:color w:val="auto"/>
                <w:sz w:val="21"/>
                <w:szCs w:val="21"/>
                <w:highlight w:val="none"/>
                <w:lang w:val="en-IE" w:eastAsia="zh-CN"/>
              </w:rPr>
              <w:t>新媒体教学资源</w:t>
            </w:r>
            <w:r>
              <w:rPr>
                <w:rFonts w:hint="eastAsia" w:ascii="宋体" w:hAnsi="宋体" w:cs="宋体"/>
                <w:b w:val="0"/>
                <w:bCs w:val="0"/>
                <w:color w:val="auto"/>
                <w:sz w:val="21"/>
                <w:szCs w:val="21"/>
                <w:highlight w:val="none"/>
                <w:lang w:val="en-IE" w:eastAsia="zh-CN"/>
              </w:rPr>
              <w:t>，</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eastAsia="zh-CN"/>
              </w:rPr>
              <w:t>分</w:t>
            </w:r>
            <w:r>
              <w:rPr>
                <w:rFonts w:hint="eastAsia" w:ascii="宋体" w:hAnsi="宋体" w:cs="宋体"/>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59" w:type="dxa"/>
            <w:vMerge w:val="continue"/>
            <w:tcBorders>
              <w:tl2br w:val="nil"/>
              <w:tr2bl w:val="nil"/>
            </w:tcBorders>
            <w:noWrap w:val="0"/>
            <w:vAlign w:val="center"/>
          </w:tcPr>
          <w:p>
            <w:pPr>
              <w:snapToGrid w:val="0"/>
              <w:spacing w:line="360" w:lineRule="auto"/>
              <w:jc w:val="center"/>
              <w:rPr>
                <w:rFonts w:hint="eastAsia" w:ascii="宋体" w:hAnsi="宋体" w:cs="宋体"/>
                <w:color w:val="auto"/>
                <w:szCs w:val="21"/>
                <w:highlight w:val="none"/>
                <w:lang w:val="en-US" w:eastAsia="zh-CN"/>
              </w:rPr>
            </w:pPr>
          </w:p>
        </w:tc>
        <w:tc>
          <w:tcPr>
            <w:tcW w:w="776" w:type="dxa"/>
            <w:tcBorders>
              <w:tl2br w:val="nil"/>
              <w:tr2bl w:val="nil"/>
            </w:tcBorders>
            <w:noWrap w:val="0"/>
            <w:vAlign w:val="center"/>
          </w:tcPr>
          <w:p>
            <w:pPr>
              <w:spacing w:line="360" w:lineRule="auto"/>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3</w:t>
            </w:r>
          </w:p>
        </w:tc>
        <w:tc>
          <w:tcPr>
            <w:tcW w:w="271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cs="仿宋_GB2312"/>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IE" w:eastAsia="zh-CN"/>
              </w:rPr>
              <w:t>新媒体内容编辑实训系统</w:t>
            </w:r>
            <w:r>
              <w:rPr>
                <w:rFonts w:hint="eastAsia" w:ascii="宋体" w:hAnsi="宋体" w:cs="宋体"/>
                <w:b w:val="0"/>
                <w:bCs w:val="0"/>
                <w:color w:val="auto"/>
                <w:sz w:val="21"/>
                <w:szCs w:val="21"/>
                <w:highlight w:val="none"/>
                <w:lang w:val="en-US" w:eastAsia="zh-CN"/>
              </w:rPr>
              <w:t>15分</w:t>
            </w:r>
          </w:p>
        </w:tc>
        <w:tc>
          <w:tcPr>
            <w:tcW w:w="4532" w:type="dxa"/>
            <w:tcBorders>
              <w:tl2br w:val="nil"/>
              <w:tr2bl w:val="nil"/>
            </w:tcBorders>
            <w:noWrap w:val="0"/>
            <w:vAlign w:val="center"/>
          </w:tcPr>
          <w:p>
            <w:pPr>
              <w:pStyle w:val="2"/>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highlight w:val="none"/>
                <w:lang w:eastAsia="zh-CN"/>
              </w:rPr>
            </w:pPr>
            <w:r>
              <w:rPr>
                <w:rFonts w:hint="eastAsia"/>
                <w:color w:val="auto"/>
                <w:highlight w:val="none"/>
                <w:lang w:val="en-US" w:eastAsia="zh-CN"/>
              </w:rPr>
              <w:t>①</w:t>
            </w:r>
            <w:r>
              <w:rPr>
                <w:rFonts w:hint="eastAsia" w:ascii="宋体" w:hAnsi="宋体" w:eastAsia="宋体" w:cs="宋体"/>
                <w:b w:val="0"/>
                <w:bCs w:val="0"/>
                <w:color w:val="auto"/>
                <w:sz w:val="21"/>
                <w:szCs w:val="21"/>
                <w:highlight w:val="none"/>
                <w:lang w:val="en-IE" w:eastAsia="zh-CN"/>
              </w:rPr>
              <w:t>学生端</w:t>
            </w:r>
            <w:r>
              <w:rPr>
                <w:rFonts w:hint="eastAsia" w:ascii="宋体" w:hAnsi="宋体" w:cs="宋体"/>
                <w:color w:val="auto"/>
                <w:highlight w:val="none"/>
                <w:lang w:val="en-US" w:eastAsia="zh-CN"/>
              </w:rPr>
              <w:t>系统功能</w:t>
            </w:r>
            <w:r>
              <w:rPr>
                <w:rFonts w:hint="eastAsia" w:ascii="宋体" w:hAnsi="宋体" w:cs="宋体"/>
                <w:b w:val="0"/>
                <w:bCs w:val="0"/>
                <w:color w:val="auto"/>
                <w:sz w:val="21"/>
                <w:szCs w:val="21"/>
                <w:highlight w:val="none"/>
                <w:lang w:val="en-IE" w:eastAsia="zh-CN"/>
              </w:rPr>
              <w:t>，</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eastAsia="zh-CN"/>
              </w:rPr>
              <w:t>分</w:t>
            </w:r>
            <w:r>
              <w:rPr>
                <w:rFonts w:hint="eastAsia" w:ascii="宋体" w:hAnsi="宋体" w:cs="宋体"/>
                <w:color w:val="auto"/>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highlight w:val="none"/>
                <w:lang w:eastAsia="zh-CN"/>
              </w:rPr>
            </w:pPr>
            <w:r>
              <w:rPr>
                <w:rFonts w:hint="eastAsia" w:ascii="宋体" w:hAnsi="宋体" w:cs="宋体"/>
                <w:color w:val="auto"/>
                <w:highlight w:val="none"/>
                <w:lang w:val="en-US" w:eastAsia="zh-CN"/>
              </w:rPr>
              <w:t>②教师端系统功能</w:t>
            </w:r>
            <w:r>
              <w:rPr>
                <w:rFonts w:hint="eastAsia" w:ascii="宋体" w:hAnsi="宋体" w:cs="宋体"/>
                <w:b w:val="0"/>
                <w:bCs w:val="0"/>
                <w:color w:val="auto"/>
                <w:sz w:val="21"/>
                <w:szCs w:val="21"/>
                <w:highlight w:val="none"/>
                <w:lang w:val="en-IE" w:eastAsia="zh-CN"/>
              </w:rPr>
              <w:t>，</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eastAsia="zh-CN"/>
              </w:rPr>
              <w:t>分</w:t>
            </w:r>
            <w:r>
              <w:rPr>
                <w:rFonts w:hint="eastAsia" w:ascii="宋体" w:hAnsi="宋体" w:cs="宋体"/>
                <w:color w:val="auto"/>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highlight w:val="none"/>
                <w:lang w:eastAsia="zh-CN"/>
              </w:rPr>
            </w:pPr>
            <w:r>
              <w:rPr>
                <w:rFonts w:hint="eastAsia" w:ascii="宋体" w:hAnsi="宋体" w:cs="宋体"/>
                <w:color w:val="auto"/>
                <w:highlight w:val="none"/>
                <w:lang w:val="en-US" w:eastAsia="zh-CN"/>
              </w:rPr>
              <w:t>③管理端系统功能，</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eastAsia="zh-CN"/>
              </w:rPr>
              <w:t>分</w:t>
            </w:r>
            <w:r>
              <w:rPr>
                <w:rFonts w:hint="eastAsia" w:ascii="宋体" w:hAnsi="宋体" w:cs="宋体"/>
                <w:color w:val="auto"/>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rPr>
                <w:rFonts w:hint="default"/>
                <w:color w:val="auto"/>
                <w:highlight w:val="none"/>
                <w:lang w:val="en-US" w:eastAsia="zh-CN"/>
              </w:rPr>
            </w:pPr>
            <w:r>
              <w:rPr>
                <w:rFonts w:hint="eastAsia" w:ascii="宋体" w:hAnsi="宋体" w:cs="宋体"/>
                <w:b/>
                <w:bCs/>
                <w:color w:val="auto"/>
                <w:szCs w:val="21"/>
                <w:highlight w:val="none"/>
                <w:lang w:val="en-US" w:eastAsia="zh-CN"/>
              </w:rPr>
              <w:t>注：提供</w:t>
            </w:r>
            <w:r>
              <w:rPr>
                <w:rFonts w:hint="eastAsia" w:ascii="宋体" w:hAnsi="宋体" w:cs="宋体"/>
                <w:b/>
                <w:bCs/>
                <w:color w:val="auto"/>
                <w:szCs w:val="21"/>
                <w:highlight w:val="none"/>
              </w:rPr>
              <w:t>相关</w:t>
            </w:r>
            <w:r>
              <w:rPr>
                <w:rFonts w:hint="eastAsia" w:ascii="宋体" w:hAnsi="宋体" w:cs="宋体"/>
                <w:b/>
                <w:bCs/>
                <w:color w:val="auto"/>
                <w:szCs w:val="21"/>
                <w:highlight w:val="none"/>
                <w:lang w:val="en-US" w:eastAsia="zh-CN"/>
              </w:rPr>
              <w:t>功能</w:t>
            </w:r>
            <w:r>
              <w:rPr>
                <w:rFonts w:hint="eastAsia" w:ascii="宋体" w:hAnsi="宋体" w:cs="宋体"/>
                <w:b/>
                <w:bCs/>
                <w:color w:val="auto"/>
                <w:szCs w:val="21"/>
                <w:highlight w:val="none"/>
              </w:rPr>
              <w:t>证明材料（</w:t>
            </w:r>
            <w:r>
              <w:rPr>
                <w:rFonts w:hint="eastAsia" w:ascii="宋体" w:hAnsi="宋体" w:cs="宋体"/>
                <w:b/>
                <w:bCs/>
                <w:color w:val="auto"/>
                <w:szCs w:val="21"/>
                <w:highlight w:val="none"/>
                <w:lang w:val="en-US" w:eastAsia="zh-CN"/>
              </w:rPr>
              <w:t>如</w:t>
            </w:r>
            <w:r>
              <w:rPr>
                <w:rFonts w:hint="eastAsia" w:ascii="宋体" w:hAnsi="宋体" w:cs="宋体"/>
                <w:b/>
                <w:bCs/>
                <w:color w:val="auto"/>
                <w:szCs w:val="21"/>
                <w:highlight w:val="none"/>
              </w:rPr>
              <w:t>功能截图</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厂家证明材料等）；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snapToGrid w:val="0"/>
              <w:spacing w:line="360" w:lineRule="auto"/>
              <w:jc w:val="center"/>
              <w:rPr>
                <w:rFonts w:ascii="宋体" w:cs="宋体"/>
                <w:color w:val="auto"/>
                <w:szCs w:val="21"/>
                <w:highlight w:val="none"/>
              </w:rPr>
            </w:pPr>
          </w:p>
        </w:tc>
        <w:tc>
          <w:tcPr>
            <w:tcW w:w="776" w:type="dxa"/>
            <w:tcBorders>
              <w:tl2br w:val="nil"/>
              <w:tr2bl w:val="nil"/>
            </w:tcBorders>
            <w:noWrap w:val="0"/>
            <w:vAlign w:val="center"/>
          </w:tcPr>
          <w:p>
            <w:pPr>
              <w:spacing w:line="360" w:lineRule="auto"/>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4</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0" w:leftChars="0" w:hanging="10" w:hangingChars="5"/>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产品选型</w:t>
            </w:r>
            <w:r>
              <w:rPr>
                <w:rFonts w:hint="eastAsia" w:ascii="宋体" w:hAnsi="宋体" w:cs="宋体"/>
                <w:i w:val="0"/>
                <w:iCs w:val="0"/>
                <w:color w:val="auto"/>
                <w:kern w:val="0"/>
                <w:sz w:val="21"/>
                <w:szCs w:val="21"/>
                <w:highlight w:val="none"/>
                <w:u w:val="none"/>
                <w:lang w:val="en-US" w:eastAsia="zh-CN" w:bidi="ar"/>
              </w:rPr>
              <w:t>及</w:t>
            </w:r>
            <w:r>
              <w:rPr>
                <w:rFonts w:hint="eastAsia" w:ascii="宋体" w:hAnsi="宋体" w:eastAsia="宋体" w:cs="仿宋_GB2312"/>
                <w:color w:val="auto"/>
                <w:kern w:val="2"/>
                <w:sz w:val="21"/>
                <w:szCs w:val="21"/>
                <w:highlight w:val="none"/>
                <w:lang w:val="en-US" w:eastAsia="zh-CN" w:bidi="ar-SA"/>
              </w:rPr>
              <w:t>参数</w:t>
            </w:r>
          </w:p>
          <w:p>
            <w:pPr>
              <w:keepNext w:val="0"/>
              <w:keepLines w:val="0"/>
              <w:pageBreakBefore w:val="0"/>
              <w:widowControl/>
              <w:kinsoku/>
              <w:wordWrap/>
              <w:overflowPunct/>
              <w:topLinePunct w:val="0"/>
              <w:autoSpaceDE/>
              <w:autoSpaceDN/>
              <w:bidi w:val="0"/>
              <w:adjustRightInd/>
              <w:snapToGrid/>
              <w:spacing w:line="360" w:lineRule="auto"/>
              <w:ind w:left="10" w:leftChars="0" w:hanging="10" w:hangingChars="5"/>
              <w:jc w:val="center"/>
              <w:rPr>
                <w:rFonts w:hint="default" w:ascii="宋体"/>
                <w:color w:val="auto"/>
                <w:szCs w:val="21"/>
                <w:highlight w:val="none"/>
                <w:lang w:val="en-US"/>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p>
        </w:tc>
        <w:tc>
          <w:tcPr>
            <w:tcW w:w="45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①产品先进、质量可靠、兼容性好，</w:t>
            </w:r>
            <w:r>
              <w:rPr>
                <w:rFonts w:hint="eastAsia" w:ascii="宋体" w:hAnsi="宋体" w:eastAsia="宋体" w:cs="宋体"/>
                <w:i w:val="0"/>
                <w:iCs w:val="0"/>
                <w:color w:val="auto"/>
                <w:kern w:val="0"/>
                <w:sz w:val="21"/>
                <w:szCs w:val="21"/>
                <w:highlight w:val="none"/>
                <w:u w:val="none"/>
                <w:lang w:val="en-US" w:eastAsia="zh-CN" w:bidi="ar"/>
              </w:rPr>
              <w:t>参数</w:t>
            </w:r>
            <w:r>
              <w:rPr>
                <w:rFonts w:hint="eastAsia" w:ascii="宋体" w:hAnsi="宋体" w:cs="宋体"/>
                <w:i w:val="0"/>
                <w:iCs w:val="0"/>
                <w:color w:val="auto"/>
                <w:kern w:val="0"/>
                <w:sz w:val="21"/>
                <w:szCs w:val="21"/>
                <w:highlight w:val="none"/>
                <w:u w:val="none"/>
                <w:lang w:val="en-US" w:eastAsia="zh-CN" w:bidi="ar"/>
              </w:rPr>
              <w:t>完全满足采购要求，</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分</w:t>
            </w:r>
            <w:r>
              <w:rPr>
                <w:rFonts w:hint="eastAsia" w:ascii="宋体" w:hAnsi="宋体" w:eastAsia="宋体" w:cs="仿宋_GB2312"/>
                <w:color w:val="auto"/>
                <w:kern w:val="2"/>
                <w:sz w:val="21"/>
                <w:szCs w:val="21"/>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②产品较先进、质量较可靠、兼容性较好，</w:t>
            </w:r>
            <w:r>
              <w:rPr>
                <w:rFonts w:hint="eastAsia" w:ascii="宋体" w:hAnsi="宋体" w:eastAsia="宋体" w:cs="宋体"/>
                <w:i w:val="0"/>
                <w:iCs w:val="0"/>
                <w:color w:val="auto"/>
                <w:kern w:val="0"/>
                <w:sz w:val="21"/>
                <w:szCs w:val="21"/>
                <w:highlight w:val="none"/>
                <w:u w:val="none"/>
                <w:lang w:val="en-US" w:eastAsia="zh-CN" w:bidi="ar"/>
              </w:rPr>
              <w:t>参数</w:t>
            </w:r>
            <w:r>
              <w:rPr>
                <w:rFonts w:hint="eastAsia" w:ascii="宋体" w:hAnsi="宋体" w:cs="宋体"/>
                <w:i w:val="0"/>
                <w:iCs w:val="0"/>
                <w:color w:val="auto"/>
                <w:kern w:val="0"/>
                <w:sz w:val="21"/>
                <w:szCs w:val="21"/>
                <w:highlight w:val="none"/>
                <w:u w:val="none"/>
                <w:lang w:val="en-US" w:eastAsia="zh-CN" w:bidi="ar"/>
              </w:rPr>
              <w:t>基本满足采购要求</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分</w:t>
            </w:r>
            <w:r>
              <w:rPr>
                <w:rFonts w:hint="eastAsia" w:ascii="宋体" w:hAnsi="宋体" w:eastAsia="宋体" w:cs="仿宋_GB2312"/>
                <w:color w:val="auto"/>
                <w:szCs w:val="21"/>
                <w:highlight w:val="none"/>
                <w:lang w:val="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③产品选型一般、质量一般、兼容性差，</w:t>
            </w:r>
            <w:r>
              <w:rPr>
                <w:rFonts w:hint="eastAsia" w:ascii="宋体" w:hAnsi="宋体" w:eastAsia="宋体" w:cs="宋体"/>
                <w:i w:val="0"/>
                <w:iCs w:val="0"/>
                <w:color w:val="auto"/>
                <w:kern w:val="0"/>
                <w:sz w:val="21"/>
                <w:szCs w:val="21"/>
                <w:highlight w:val="none"/>
                <w:u w:val="none"/>
                <w:lang w:val="en-US" w:eastAsia="zh-CN" w:bidi="ar"/>
              </w:rPr>
              <w:t>参数</w:t>
            </w:r>
            <w:r>
              <w:rPr>
                <w:rFonts w:hint="eastAsia" w:ascii="宋体" w:hAnsi="宋体" w:cs="宋体"/>
                <w:i w:val="0"/>
                <w:iCs w:val="0"/>
                <w:color w:val="auto"/>
                <w:kern w:val="0"/>
                <w:sz w:val="21"/>
                <w:szCs w:val="21"/>
                <w:highlight w:val="none"/>
                <w:u w:val="none"/>
                <w:lang w:val="en-US" w:eastAsia="zh-CN" w:bidi="ar"/>
              </w:rPr>
              <w:t>不满足采购要求，</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59" w:type="dxa"/>
            <w:vMerge w:val="continue"/>
            <w:tcBorders>
              <w:tl2br w:val="nil"/>
              <w:tr2bl w:val="nil"/>
            </w:tcBorders>
            <w:noWrap w:val="0"/>
            <w:vAlign w:val="center"/>
          </w:tcPr>
          <w:p>
            <w:pPr>
              <w:snapToGrid w:val="0"/>
              <w:spacing w:line="360" w:lineRule="auto"/>
              <w:jc w:val="center"/>
              <w:rPr>
                <w:rFonts w:ascii="宋体" w:cs="宋体"/>
                <w:color w:val="auto"/>
                <w:szCs w:val="21"/>
                <w:highlight w:val="none"/>
              </w:rPr>
            </w:pPr>
          </w:p>
        </w:tc>
        <w:tc>
          <w:tcPr>
            <w:tcW w:w="776" w:type="dxa"/>
            <w:tcBorders>
              <w:tl2br w:val="nil"/>
              <w:tr2bl w:val="nil"/>
            </w:tcBorders>
            <w:noWrap w:val="0"/>
            <w:vAlign w:val="center"/>
          </w:tcPr>
          <w:p>
            <w:pPr>
              <w:spacing w:line="360" w:lineRule="auto"/>
              <w:jc w:val="center"/>
              <w:rPr>
                <w:rFonts w:hint="default" w:ascii="宋体"/>
                <w:color w:val="auto"/>
                <w:szCs w:val="21"/>
                <w:highlight w:val="none"/>
                <w:lang w:val="en-US" w:eastAsia="zh-CN"/>
              </w:rPr>
            </w:pPr>
            <w:r>
              <w:rPr>
                <w:rFonts w:hint="eastAsia" w:ascii="宋体"/>
                <w:color w:val="auto"/>
                <w:szCs w:val="21"/>
                <w:highlight w:val="none"/>
                <w:lang w:val="en-US" w:eastAsia="zh-CN"/>
              </w:rPr>
              <w:t>5</w:t>
            </w:r>
          </w:p>
        </w:tc>
        <w:tc>
          <w:tcPr>
            <w:tcW w:w="2713" w:type="dxa"/>
            <w:tcBorders>
              <w:tl2br w:val="nil"/>
              <w:tr2bl w:val="nil"/>
            </w:tcBorders>
            <w:noWrap w:val="0"/>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服务团队</w:t>
            </w:r>
          </w:p>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10分</w:t>
            </w:r>
          </w:p>
        </w:tc>
        <w:tc>
          <w:tcPr>
            <w:tcW w:w="4532" w:type="dxa"/>
            <w:tcBorders>
              <w:tl2br w:val="nil"/>
              <w:tr2bl w:val="nil"/>
            </w:tcBorders>
            <w:noWrap w:val="0"/>
            <w:vAlign w:val="top"/>
          </w:tcPr>
          <w:p>
            <w:pPr>
              <w:pStyle w:val="91"/>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baseline"/>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针对本项目提供的专业服务团队</w:t>
            </w:r>
            <w:r>
              <w:rPr>
                <w:rFonts w:hint="eastAsia" w:ascii="宋体" w:hAnsi="宋体" w:eastAsia="宋体" w:cs="宋体"/>
                <w:color w:val="auto"/>
                <w:highlight w:val="none"/>
                <w:lang w:val="en-US" w:eastAsia="zh-CN"/>
              </w:rPr>
              <w:t>综合比较赋分：</w:t>
            </w:r>
          </w:p>
          <w:p>
            <w:pPr>
              <w:pStyle w:val="91"/>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baseline"/>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①服务团队结构和数量合理，技术团队分工明确、专业技术人员类别齐全，</w:t>
            </w:r>
            <w:r>
              <w:rPr>
                <w:rFonts w:hint="eastAsia" w:ascii="宋体" w:hAnsi="宋体" w:eastAsia="宋体" w:cs="宋体"/>
                <w:color w:val="auto"/>
                <w:highlight w:val="none"/>
                <w:lang w:val="en-US" w:eastAsia="zh-CN"/>
              </w:rPr>
              <w:t>[10-7）分；</w:t>
            </w:r>
          </w:p>
          <w:p>
            <w:pPr>
              <w:pStyle w:val="91"/>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baseline"/>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②服务团队结构和数量基本合理，技术团队分工基本明确，专业技术人员类别较齐全，</w:t>
            </w:r>
            <w:r>
              <w:rPr>
                <w:rFonts w:hint="eastAsia" w:ascii="宋体" w:hAnsi="宋体" w:eastAsia="宋体" w:cs="宋体"/>
                <w:color w:val="auto"/>
                <w:highlight w:val="none"/>
                <w:lang w:val="en-US" w:eastAsia="zh-CN"/>
              </w:rPr>
              <w:t>[7-3）分；</w:t>
            </w:r>
          </w:p>
          <w:p>
            <w:pPr>
              <w:pStyle w:val="91"/>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0"/>
                <w:highlight w:val="none"/>
                <w:lang w:val="en-US" w:eastAsia="zh-CN" w:bidi="ar-SA"/>
              </w:rPr>
              <w:t>③服务团队结构和数量不合理，技术团队分工不明确，专业技术人员类别不齐全,</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highlight w:val="none"/>
                <w:lang w:val="en-US" w:eastAsia="zh-CN"/>
              </w:rPr>
              <w:t>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59" w:type="dxa"/>
            <w:vMerge w:val="continue"/>
            <w:tcBorders>
              <w:tl2br w:val="nil"/>
              <w:tr2bl w:val="nil"/>
            </w:tcBorders>
            <w:noWrap w:val="0"/>
            <w:vAlign w:val="center"/>
          </w:tcPr>
          <w:p>
            <w:pPr>
              <w:snapToGrid w:val="0"/>
              <w:spacing w:line="360" w:lineRule="auto"/>
              <w:jc w:val="center"/>
              <w:rPr>
                <w:rFonts w:ascii="宋体" w:cs="宋体"/>
                <w:color w:val="auto"/>
                <w:szCs w:val="21"/>
                <w:highlight w:val="none"/>
              </w:rPr>
            </w:pPr>
          </w:p>
        </w:tc>
        <w:tc>
          <w:tcPr>
            <w:tcW w:w="776" w:type="dxa"/>
            <w:tcBorders>
              <w:tl2br w:val="nil"/>
              <w:tr2bl w:val="nil"/>
            </w:tcBorders>
            <w:noWrap w:val="0"/>
            <w:vAlign w:val="center"/>
          </w:tcPr>
          <w:p>
            <w:pPr>
              <w:spacing w:line="360" w:lineRule="auto"/>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6</w:t>
            </w:r>
          </w:p>
        </w:tc>
        <w:tc>
          <w:tcPr>
            <w:tcW w:w="2713" w:type="dxa"/>
            <w:tcBorders>
              <w:tl2br w:val="nil"/>
              <w:tr2bl w:val="nil"/>
            </w:tcBorders>
            <w:noWrap w:val="0"/>
            <w:vAlign w:val="center"/>
          </w:tcPr>
          <w:p>
            <w:pPr>
              <w:snapToGrid w:val="0"/>
              <w:spacing w:line="360" w:lineRule="auto"/>
              <w:ind w:left="10" w:hanging="10" w:hangingChars="5"/>
              <w:jc w:val="center"/>
              <w:rPr>
                <w:rFonts w:hint="eastAsia" w:ascii="宋体" w:hAnsi="宋体" w:cs="宋体"/>
                <w:color w:val="auto"/>
                <w:szCs w:val="21"/>
                <w:highlight w:val="none"/>
              </w:rPr>
            </w:pPr>
            <w:r>
              <w:rPr>
                <w:rFonts w:hint="eastAsia" w:ascii="宋体" w:hAnsi="宋体" w:cs="宋体"/>
                <w:color w:val="auto"/>
                <w:szCs w:val="21"/>
                <w:highlight w:val="none"/>
              </w:rPr>
              <w:t>培训方案</w:t>
            </w:r>
          </w:p>
          <w:p>
            <w:pPr>
              <w:snapToGrid w:val="0"/>
              <w:spacing w:line="360" w:lineRule="auto"/>
              <w:ind w:left="10" w:leftChars="0" w:hanging="10" w:hangingChars="5"/>
              <w:jc w:val="center"/>
              <w:rPr>
                <w:rFonts w:ascii="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45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仿宋_GB2312"/>
                <w:color w:val="auto"/>
                <w:kern w:val="2"/>
                <w:sz w:val="21"/>
                <w:szCs w:val="21"/>
                <w:highlight w:val="none"/>
                <w:lang w:val="zh-CN" w:eastAsia="zh-CN" w:bidi="ar-SA"/>
              </w:rPr>
            </w:pPr>
            <w:r>
              <w:rPr>
                <w:rFonts w:hint="eastAsia" w:ascii="宋体" w:hAnsi="宋体" w:eastAsia="宋体" w:cs="仿宋_GB2312"/>
                <w:color w:val="auto"/>
                <w:kern w:val="2"/>
                <w:sz w:val="21"/>
                <w:szCs w:val="21"/>
                <w:highlight w:val="none"/>
                <w:lang w:val="en-US" w:eastAsia="zh-CN" w:bidi="ar-SA"/>
              </w:rPr>
              <w:t>①培训方案详实、培训材料丰富、可操作性强，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r>
              <w:rPr>
                <w:rFonts w:hint="eastAsia" w:ascii="宋体" w:hAnsi="宋体" w:eastAsia="宋体" w:cs="仿宋_GB2312"/>
                <w:color w:val="auto"/>
                <w:szCs w:val="21"/>
                <w:highlight w:val="none"/>
                <w:lang w:val="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仿宋_GB2312"/>
                <w:color w:val="auto"/>
                <w:kern w:val="2"/>
                <w:sz w:val="21"/>
                <w:szCs w:val="21"/>
                <w:highlight w:val="none"/>
                <w:lang w:val="zh-CN" w:eastAsia="zh-CN" w:bidi="ar-SA"/>
              </w:rPr>
            </w:pPr>
            <w:r>
              <w:rPr>
                <w:rFonts w:hint="eastAsia" w:ascii="宋体" w:hAnsi="宋体" w:eastAsia="宋体" w:cs="仿宋_GB2312"/>
                <w:color w:val="auto"/>
                <w:kern w:val="2"/>
                <w:sz w:val="21"/>
                <w:szCs w:val="21"/>
                <w:highlight w:val="none"/>
                <w:lang w:val="en-US" w:eastAsia="zh-CN" w:bidi="ar-SA"/>
              </w:rPr>
              <w:t>②培训方案较详实、培训材料较丰富、可操作性较强，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r>
              <w:rPr>
                <w:rFonts w:hint="eastAsia" w:ascii="宋体" w:hAnsi="宋体" w:eastAsia="宋体" w:cs="仿宋_GB2312"/>
                <w:color w:val="auto"/>
                <w:szCs w:val="21"/>
                <w:highlight w:val="none"/>
                <w:lang w:val="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eastAsia="宋体"/>
                <w:color w:val="auto"/>
                <w:highlight w:val="none"/>
                <w:lang w:eastAsia="zh-CN"/>
              </w:rPr>
            </w:pPr>
            <w:r>
              <w:rPr>
                <w:rFonts w:hint="eastAsia" w:ascii="宋体" w:hAnsi="宋体" w:eastAsia="宋体" w:cs="仿宋_GB2312"/>
                <w:color w:val="auto"/>
                <w:kern w:val="2"/>
                <w:sz w:val="21"/>
                <w:szCs w:val="21"/>
                <w:highlight w:val="none"/>
                <w:lang w:val="en-US" w:eastAsia="zh-CN" w:bidi="ar-SA"/>
              </w:rPr>
              <w:t>③培训方案笼统，培训内容不明晰的，可操作性一般，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snapToGrid w:val="0"/>
              <w:spacing w:line="360" w:lineRule="auto"/>
              <w:jc w:val="center"/>
              <w:rPr>
                <w:rFonts w:ascii="宋体" w:cs="宋体"/>
                <w:color w:val="auto"/>
                <w:szCs w:val="21"/>
                <w:highlight w:val="none"/>
              </w:rPr>
            </w:pPr>
          </w:p>
        </w:tc>
        <w:tc>
          <w:tcPr>
            <w:tcW w:w="7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bidi="ar-SA"/>
              </w:rPr>
              <w:t>7</w:t>
            </w:r>
          </w:p>
        </w:tc>
        <w:tc>
          <w:tcPr>
            <w:tcW w:w="271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仿宋_GB2312"/>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SA"/>
              </w:rPr>
              <w:t>售后服务</w:t>
            </w:r>
            <w:r>
              <w:rPr>
                <w:rFonts w:hint="eastAsia" w:ascii="宋体" w:hAnsi="宋体" w:eastAsia="宋体" w:cs="宋体"/>
                <w:color w:val="auto"/>
                <w:kern w:val="0"/>
                <w:sz w:val="21"/>
                <w:szCs w:val="21"/>
                <w:highlight w:val="none"/>
                <w:lang w:val="en-US" w:eastAsia="zh-CN" w:bidi="ar-SA"/>
              </w:rPr>
              <w:t>方案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5分</w:t>
            </w:r>
          </w:p>
        </w:tc>
        <w:tc>
          <w:tcPr>
            <w:tcW w:w="45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针对本项目的售后服务承诺(如响应时间、</w:t>
            </w:r>
            <w:r>
              <w:rPr>
                <w:rFonts w:hint="eastAsia" w:ascii="宋体" w:hAnsi="宋体" w:cs="宋体"/>
                <w:i w:val="0"/>
                <w:iCs w:val="0"/>
                <w:color w:val="auto"/>
                <w:kern w:val="0"/>
                <w:sz w:val="21"/>
                <w:szCs w:val="21"/>
                <w:highlight w:val="none"/>
                <w:u w:val="none"/>
                <w:lang w:val="en-US" w:eastAsia="zh-CN" w:bidi="ar"/>
              </w:rPr>
              <w:t>售后服务团队</w:t>
            </w:r>
            <w:r>
              <w:rPr>
                <w:rFonts w:hint="eastAsia" w:ascii="宋体" w:hAnsi="宋体" w:eastAsia="宋体" w:cs="宋体"/>
                <w:i w:val="0"/>
                <w:iCs w:val="0"/>
                <w:color w:val="auto"/>
                <w:kern w:val="0"/>
                <w:sz w:val="21"/>
                <w:szCs w:val="21"/>
                <w:highlight w:val="none"/>
                <w:u w:val="none"/>
                <w:lang w:val="en-US" w:eastAsia="zh-CN" w:bidi="ar"/>
              </w:rPr>
              <w:t>、服务措施等内容)进行评分：</w:t>
            </w:r>
          </w:p>
          <w:p>
            <w:pPr>
              <w:spacing w:line="360" w:lineRule="auto"/>
              <w:jc w:val="left"/>
              <w:rPr>
                <w:rFonts w:hint="eastAsia" w:ascii="宋体" w:hAnsi="宋体" w:cs="宋体"/>
                <w:color w:val="auto"/>
                <w:highlight w:val="none"/>
                <w:lang w:val="en-US" w:eastAsia="zh-CN"/>
              </w:rPr>
            </w:pPr>
            <w:r>
              <w:rPr>
                <w:rFonts w:hint="eastAsia" w:ascii="宋体" w:hAnsi="宋体" w:cs="宋体"/>
                <w:color w:val="auto"/>
                <w:kern w:val="0"/>
                <w:sz w:val="21"/>
                <w:szCs w:val="21"/>
                <w:highlight w:val="none"/>
                <w:lang w:val="en-US" w:eastAsia="zh-CN" w:bidi="ar-SA"/>
              </w:rPr>
              <w:t>①售后服务</w:t>
            </w:r>
            <w:r>
              <w:rPr>
                <w:rFonts w:hint="eastAsia" w:ascii="宋体" w:hAnsi="宋体" w:eastAsia="宋体" w:cs="宋体"/>
                <w:color w:val="auto"/>
                <w:kern w:val="0"/>
                <w:sz w:val="21"/>
                <w:szCs w:val="21"/>
                <w:highlight w:val="none"/>
                <w:lang w:val="en-US" w:eastAsia="zh-CN" w:bidi="ar-SA"/>
              </w:rPr>
              <w:t>方案详细、全面</w:t>
            </w:r>
            <w:r>
              <w:rPr>
                <w:rFonts w:hint="eastAsia" w:ascii="宋体" w:hAnsi="宋体" w:cs="宋体"/>
                <w:color w:val="auto"/>
                <w:kern w:val="0"/>
                <w:sz w:val="21"/>
                <w:szCs w:val="21"/>
                <w:highlight w:val="none"/>
                <w:lang w:val="en-US" w:eastAsia="zh-CN" w:bidi="ar-SA"/>
              </w:rPr>
              <w:t>，保障</w:t>
            </w:r>
            <w:r>
              <w:rPr>
                <w:rFonts w:hint="eastAsia" w:ascii="宋体" w:hAnsi="宋体" w:eastAsia="宋体" w:cs="宋体"/>
                <w:color w:val="auto"/>
                <w:kern w:val="0"/>
                <w:sz w:val="21"/>
                <w:szCs w:val="21"/>
                <w:highlight w:val="none"/>
                <w:lang w:val="en-US" w:eastAsia="zh-CN" w:bidi="ar-SA"/>
              </w:rPr>
              <w:t>措施合理具体，切实可行</w:t>
            </w:r>
            <w:r>
              <w:rPr>
                <w:rFonts w:hint="eastAsia" w:ascii="宋体" w:hAnsi="宋体" w:cs="宋体"/>
                <w:color w:val="auto"/>
                <w:kern w:val="0"/>
                <w:sz w:val="21"/>
                <w:szCs w:val="21"/>
                <w:highlight w:val="none"/>
                <w:lang w:val="en-US" w:eastAsia="zh-CN" w:bidi="ar-SA"/>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②售后服务</w:t>
            </w:r>
            <w:r>
              <w:rPr>
                <w:rFonts w:hint="eastAsia" w:ascii="宋体" w:hAnsi="宋体" w:eastAsia="宋体" w:cs="宋体"/>
                <w:color w:val="auto"/>
                <w:kern w:val="0"/>
                <w:sz w:val="21"/>
                <w:szCs w:val="21"/>
                <w:highlight w:val="none"/>
                <w:lang w:val="en-US" w:eastAsia="zh-CN" w:bidi="ar-SA"/>
              </w:rPr>
              <w:t>方案较全面</w:t>
            </w:r>
            <w:r>
              <w:rPr>
                <w:rFonts w:hint="eastAsia" w:ascii="宋体" w:hAnsi="宋体" w:cs="宋体"/>
                <w:color w:val="auto"/>
                <w:kern w:val="0"/>
                <w:sz w:val="21"/>
                <w:szCs w:val="21"/>
                <w:highlight w:val="none"/>
                <w:lang w:val="en-US" w:eastAsia="zh-CN" w:bidi="ar-SA"/>
              </w:rPr>
              <w:t>，保障</w:t>
            </w:r>
            <w:r>
              <w:rPr>
                <w:rFonts w:hint="eastAsia" w:ascii="宋体" w:hAnsi="宋体" w:eastAsia="宋体" w:cs="宋体"/>
                <w:color w:val="auto"/>
                <w:kern w:val="0"/>
                <w:sz w:val="21"/>
                <w:szCs w:val="21"/>
                <w:highlight w:val="none"/>
                <w:lang w:val="en-US" w:eastAsia="zh-CN" w:bidi="ar-SA"/>
              </w:rPr>
              <w:t>措施</w:t>
            </w:r>
            <w:r>
              <w:rPr>
                <w:rFonts w:hint="eastAsia" w:ascii="宋体" w:hAnsi="宋体" w:cs="宋体"/>
                <w:color w:val="auto"/>
                <w:kern w:val="0"/>
                <w:sz w:val="21"/>
                <w:szCs w:val="21"/>
                <w:highlight w:val="none"/>
                <w:lang w:val="en-US" w:eastAsia="zh-CN" w:bidi="ar-SA"/>
              </w:rPr>
              <w:t>基本</w:t>
            </w:r>
            <w:r>
              <w:rPr>
                <w:rFonts w:hint="eastAsia" w:ascii="宋体" w:hAnsi="宋体" w:eastAsia="宋体" w:cs="宋体"/>
                <w:color w:val="auto"/>
                <w:kern w:val="0"/>
                <w:sz w:val="21"/>
                <w:szCs w:val="21"/>
                <w:highlight w:val="none"/>
                <w:lang w:val="en-US" w:eastAsia="zh-CN" w:bidi="ar-SA"/>
              </w:rPr>
              <w:t>合理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可操作性较强</w:t>
            </w:r>
            <w:r>
              <w:rPr>
                <w:rFonts w:hint="eastAsia" w:ascii="宋体" w:hAnsi="宋体" w:cs="宋体"/>
                <w:color w:val="auto"/>
                <w:kern w:val="0"/>
                <w:sz w:val="21"/>
                <w:szCs w:val="21"/>
                <w:highlight w:val="none"/>
                <w:lang w:val="en-US" w:eastAsia="zh-CN" w:bidi="ar-SA"/>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SA"/>
              </w:rPr>
              <w:t>③售后服务</w:t>
            </w:r>
            <w:r>
              <w:rPr>
                <w:rFonts w:hint="eastAsia" w:ascii="宋体" w:hAnsi="宋体" w:eastAsia="宋体" w:cs="宋体"/>
                <w:color w:val="auto"/>
                <w:kern w:val="0"/>
                <w:sz w:val="21"/>
                <w:szCs w:val="21"/>
                <w:highlight w:val="none"/>
                <w:lang w:val="en-US" w:eastAsia="zh-CN" w:bidi="ar-SA"/>
              </w:rPr>
              <w:t>方案基本全面</w:t>
            </w:r>
            <w:r>
              <w:rPr>
                <w:rFonts w:hint="eastAsia" w:ascii="宋体" w:hAnsi="宋体" w:cs="宋体"/>
                <w:color w:val="auto"/>
                <w:kern w:val="0"/>
                <w:sz w:val="21"/>
                <w:szCs w:val="21"/>
                <w:highlight w:val="none"/>
                <w:lang w:val="en-US" w:eastAsia="zh-CN" w:bidi="ar-SA"/>
              </w:rPr>
              <w:t>，保障</w:t>
            </w:r>
            <w:r>
              <w:rPr>
                <w:rFonts w:hint="eastAsia" w:ascii="宋体" w:hAnsi="宋体" w:eastAsia="宋体" w:cs="宋体"/>
                <w:color w:val="auto"/>
                <w:kern w:val="0"/>
                <w:sz w:val="21"/>
                <w:szCs w:val="21"/>
                <w:highlight w:val="none"/>
                <w:lang w:val="en-US" w:eastAsia="zh-CN" w:bidi="ar-SA"/>
              </w:rPr>
              <w:t>措施</w:t>
            </w:r>
            <w:r>
              <w:rPr>
                <w:rFonts w:hint="eastAsia" w:ascii="宋体" w:hAnsi="宋体" w:cs="宋体"/>
                <w:color w:val="auto"/>
                <w:kern w:val="0"/>
                <w:sz w:val="21"/>
                <w:szCs w:val="21"/>
                <w:highlight w:val="none"/>
                <w:lang w:val="en-US" w:eastAsia="zh-CN" w:bidi="ar-SA"/>
              </w:rPr>
              <w:t>一般，</w:t>
            </w:r>
            <w:r>
              <w:rPr>
                <w:rFonts w:hint="eastAsia" w:ascii="宋体" w:hAnsi="宋体" w:eastAsia="宋体" w:cs="宋体"/>
                <w:color w:val="auto"/>
                <w:kern w:val="0"/>
                <w:sz w:val="21"/>
                <w:szCs w:val="21"/>
                <w:highlight w:val="none"/>
                <w:lang w:val="en-US" w:eastAsia="zh-CN" w:bidi="ar-SA"/>
              </w:rPr>
              <w:t>可操作性</w:t>
            </w:r>
            <w:r>
              <w:rPr>
                <w:rFonts w:hint="eastAsia" w:ascii="宋体" w:hAnsi="宋体" w:cs="宋体"/>
                <w:color w:val="auto"/>
                <w:kern w:val="0"/>
                <w:sz w:val="21"/>
                <w:szCs w:val="21"/>
                <w:highlight w:val="none"/>
                <w:lang w:val="en-US" w:eastAsia="zh-CN" w:bidi="ar-SA"/>
              </w:rPr>
              <w:t>一般，</w:t>
            </w:r>
            <w:r>
              <w:rPr>
                <w:rFonts w:hint="eastAsia" w:cs="宋体"/>
                <w:color w:val="auto"/>
                <w:kern w:val="0"/>
                <w:sz w:val="21"/>
                <w:szCs w:val="21"/>
                <w:highlight w:val="none"/>
                <w:lang w:val="en-US" w:eastAsia="zh-CN" w:bidi="ar-SA"/>
              </w:rPr>
              <w:t>[1</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分</w:t>
            </w:r>
            <w:r>
              <w:rPr>
                <w:rFonts w:hint="eastAsia" w:cs="宋体"/>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snapToGrid w:val="0"/>
              <w:spacing w:line="360" w:lineRule="auto"/>
              <w:jc w:val="center"/>
              <w:rPr>
                <w:rFonts w:ascii="宋体" w:cs="宋体"/>
                <w:color w:val="auto"/>
                <w:szCs w:val="21"/>
                <w:highlight w:val="none"/>
              </w:rPr>
            </w:pPr>
          </w:p>
        </w:tc>
        <w:tc>
          <w:tcPr>
            <w:tcW w:w="7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bidi="ar-SA"/>
              </w:rPr>
              <w:t>8</w:t>
            </w:r>
          </w:p>
        </w:tc>
        <w:tc>
          <w:tcPr>
            <w:tcW w:w="2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服务承诺及建议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tc>
        <w:tc>
          <w:tcPr>
            <w:tcW w:w="4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针对本项目系统功能提供切实可行的承诺及合理化建议：</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w:t>
            </w:r>
            <w:r>
              <w:rPr>
                <w:rFonts w:hint="eastAsia" w:ascii="宋体" w:hAnsi="宋体" w:eastAsia="宋体" w:cs="宋体"/>
                <w:i w:val="0"/>
                <w:iCs w:val="0"/>
                <w:color w:val="auto"/>
                <w:kern w:val="0"/>
                <w:sz w:val="21"/>
                <w:szCs w:val="21"/>
                <w:highlight w:val="none"/>
                <w:u w:val="none"/>
                <w:lang w:val="en-US" w:eastAsia="zh-CN" w:bidi="ar"/>
              </w:rPr>
              <w:t>服务承诺及建议</w:t>
            </w:r>
            <w:r>
              <w:rPr>
                <w:rFonts w:hint="eastAsia" w:ascii="宋体" w:hAnsi="宋体" w:eastAsia="宋体" w:cs="宋体"/>
                <w:color w:val="auto"/>
                <w:sz w:val="21"/>
                <w:szCs w:val="21"/>
                <w:highlight w:val="none"/>
                <w:lang w:val="en-US" w:eastAsia="zh-CN"/>
              </w:rPr>
              <w:t>内容完善合理</w:t>
            </w:r>
            <w:r>
              <w:rPr>
                <w:rFonts w:hint="eastAsia" w:ascii="宋体" w:hAnsi="宋体" w:eastAsia="宋体" w:cs="宋体"/>
                <w:i w:val="0"/>
                <w:iCs w:val="0"/>
                <w:color w:val="auto"/>
                <w:kern w:val="0"/>
                <w:sz w:val="22"/>
                <w:szCs w:val="22"/>
                <w:highlight w:val="none"/>
                <w:u w:val="none"/>
                <w:lang w:val="en-US" w:eastAsia="zh-CN" w:bidi="ar"/>
              </w:rPr>
              <w:t>，可行性高，[</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②服务承诺及建议</w:t>
            </w:r>
            <w:r>
              <w:rPr>
                <w:rFonts w:hint="eastAsia" w:ascii="宋体" w:hAnsi="宋体" w:eastAsia="宋体" w:cs="宋体"/>
                <w:color w:val="auto"/>
                <w:sz w:val="21"/>
                <w:szCs w:val="21"/>
                <w:highlight w:val="none"/>
                <w:lang w:val="en-US" w:eastAsia="zh-CN"/>
              </w:rPr>
              <w:t>内容较完善合理、</w:t>
            </w:r>
            <w:r>
              <w:rPr>
                <w:rFonts w:hint="eastAsia" w:ascii="宋体" w:hAnsi="宋体" w:eastAsia="宋体" w:cs="宋体"/>
                <w:i w:val="0"/>
                <w:iCs w:val="0"/>
                <w:color w:val="auto"/>
                <w:kern w:val="0"/>
                <w:sz w:val="22"/>
                <w:szCs w:val="22"/>
                <w:highlight w:val="none"/>
                <w:u w:val="none"/>
                <w:lang w:val="en-US" w:eastAsia="zh-CN" w:bidi="ar"/>
              </w:rPr>
              <w:t>可行性较高，[</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③服务承诺及建议</w:t>
            </w:r>
            <w:r>
              <w:rPr>
                <w:rFonts w:hint="eastAsia" w:ascii="宋体" w:hAnsi="宋体" w:eastAsia="宋体" w:cs="宋体"/>
                <w:color w:val="auto"/>
                <w:sz w:val="21"/>
                <w:szCs w:val="21"/>
                <w:highlight w:val="none"/>
                <w:lang w:val="en-US" w:eastAsia="zh-CN"/>
              </w:rPr>
              <w:t>内容一般、</w:t>
            </w:r>
            <w:r>
              <w:rPr>
                <w:rFonts w:hint="eastAsia" w:ascii="宋体" w:hAnsi="宋体" w:eastAsia="宋体" w:cs="宋体"/>
                <w:i w:val="0"/>
                <w:iCs w:val="0"/>
                <w:color w:val="auto"/>
                <w:kern w:val="0"/>
                <w:sz w:val="22"/>
                <w:szCs w:val="22"/>
                <w:highlight w:val="none"/>
                <w:u w:val="none"/>
                <w:lang w:val="en-US" w:eastAsia="zh-CN" w:bidi="ar"/>
              </w:rPr>
              <w:t>可行性一般，[</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-0</w:t>
            </w:r>
            <w:r>
              <w:rPr>
                <w:rFonts w:hint="eastAsia" w:ascii="宋体" w:hAnsi="宋体" w:eastAsia="宋体" w:cs="宋体"/>
                <w:color w:val="auto"/>
                <w:highlight w:val="none"/>
                <w:lang w:val="en-US" w:eastAsia="zh-CN"/>
              </w:rPr>
              <w:t>]</w:t>
            </w:r>
            <w:r>
              <w:rPr>
                <w:rFonts w:hint="eastAsia" w:ascii="宋体" w:hAnsi="宋体" w:eastAsia="宋体" w:cs="宋体"/>
                <w:i w:val="0"/>
                <w:iCs w:val="0"/>
                <w:color w:val="auto"/>
                <w:kern w:val="0"/>
                <w:sz w:val="22"/>
                <w:szCs w:val="22"/>
                <w:highlight w:val="none"/>
                <w:u w:val="none"/>
                <w:lang w:val="en-US" w:eastAsia="zh-CN"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59" w:type="dxa"/>
            <w:vMerge w:val="restart"/>
            <w:tcBorders>
              <w:tl2br w:val="nil"/>
              <w:tr2bl w:val="nil"/>
            </w:tcBorders>
            <w:noWrap w:val="0"/>
            <w:vAlign w:val="center"/>
          </w:tcPr>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分</w:t>
            </w:r>
          </w:p>
        </w:tc>
        <w:tc>
          <w:tcPr>
            <w:tcW w:w="776" w:type="dxa"/>
            <w:tcBorders>
              <w:tl2br w:val="nil"/>
              <w:tr2bl w:val="nil"/>
            </w:tcBorders>
            <w:noWrap w:val="0"/>
            <w:vAlign w:val="center"/>
          </w:tcPr>
          <w:p>
            <w:pPr>
              <w:spacing w:line="360" w:lineRule="auto"/>
              <w:jc w:val="center"/>
              <w:rPr>
                <w:rFonts w:ascii="宋体" w:cs="宋体"/>
                <w:color w:val="auto"/>
                <w:szCs w:val="21"/>
                <w:highlight w:val="none"/>
              </w:rPr>
            </w:pPr>
            <w:r>
              <w:rPr>
                <w:rFonts w:hint="eastAsia" w:ascii="宋体" w:hAnsi="宋体" w:eastAsia="宋体" w:cs="宋体"/>
                <w:color w:val="auto"/>
                <w:szCs w:val="21"/>
                <w:highlight w:val="none"/>
              </w:rPr>
              <w:t>1</w:t>
            </w:r>
          </w:p>
        </w:tc>
        <w:tc>
          <w:tcPr>
            <w:tcW w:w="2713"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w:t>
            </w:r>
          </w:p>
          <w:p>
            <w:pPr>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4532" w:type="dxa"/>
            <w:tcBorders>
              <w:tl2br w:val="nil"/>
              <w:tr2bl w:val="nil"/>
            </w:tcBorders>
            <w:noWrap w:val="0"/>
            <w:vAlign w:val="center"/>
          </w:tcPr>
          <w:p>
            <w:pPr>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1）最低评审价为评审基准价，得</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p>
            <w:pPr>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Cs w:val="21"/>
                <w:highlight w:val="none"/>
              </w:rPr>
              <w:t>2）按（评审基准价/评审价×</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）的公式计算价格得分。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59" w:type="dxa"/>
            <w:vMerge w:val="continue"/>
            <w:tcBorders>
              <w:tl2br w:val="nil"/>
              <w:tr2bl w:val="nil"/>
            </w:tcBorders>
            <w:noWrap w:val="0"/>
            <w:vAlign w:val="center"/>
          </w:tcPr>
          <w:p>
            <w:pPr>
              <w:snapToGrid w:val="0"/>
              <w:spacing w:line="360" w:lineRule="auto"/>
              <w:jc w:val="center"/>
              <w:rPr>
                <w:rFonts w:hint="eastAsia" w:ascii="宋体" w:hAnsi="宋体" w:cs="宋体"/>
                <w:color w:val="auto"/>
                <w:szCs w:val="21"/>
                <w:highlight w:val="none"/>
              </w:rPr>
            </w:pPr>
          </w:p>
        </w:tc>
        <w:tc>
          <w:tcPr>
            <w:tcW w:w="776"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2713" w:type="dxa"/>
            <w:tcBorders>
              <w:tl2br w:val="nil"/>
              <w:tr2bl w:val="nil"/>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节能环境标志产品</w:t>
            </w:r>
          </w:p>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1分</w:t>
            </w:r>
          </w:p>
        </w:tc>
        <w:tc>
          <w:tcPr>
            <w:tcW w:w="4532" w:type="dxa"/>
            <w:tcBorders>
              <w:tl2br w:val="nil"/>
              <w:tr2bl w:val="nil"/>
            </w:tcBorders>
            <w:noWrap w:val="0"/>
            <w:vAlign w:val="center"/>
          </w:tcPr>
          <w:p>
            <w:pPr>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①所有</w:t>
            </w:r>
            <w:r>
              <w:rPr>
                <w:rFonts w:hint="eastAsia" w:ascii="宋体" w:hAnsi="宋体" w:eastAsia="宋体" w:cs="宋体"/>
                <w:color w:val="auto"/>
                <w:kern w:val="0"/>
                <w:szCs w:val="21"/>
                <w:highlight w:val="none"/>
              </w:rPr>
              <w:t>投标产品</w:t>
            </w:r>
            <w:r>
              <w:rPr>
                <w:rFonts w:hint="eastAsia" w:ascii="宋体" w:hAnsi="宋体" w:cs="宋体"/>
                <w:color w:val="auto"/>
                <w:kern w:val="0"/>
                <w:szCs w:val="21"/>
                <w:highlight w:val="none"/>
                <w:lang w:eastAsia="zh-CN"/>
              </w:rPr>
              <w:t>（政府强制采购产品除外）</w:t>
            </w:r>
            <w:r>
              <w:rPr>
                <w:rFonts w:hint="eastAsia" w:ascii="宋体" w:hAnsi="宋体" w:eastAsia="宋体" w:cs="宋体"/>
                <w:color w:val="auto"/>
                <w:kern w:val="0"/>
                <w:szCs w:val="21"/>
                <w:highlight w:val="none"/>
              </w:rPr>
              <w:t>为</w:t>
            </w:r>
            <w:r>
              <w:rPr>
                <w:rFonts w:hint="eastAsia" w:ascii="宋体" w:hAnsi="宋体" w:cs="宋体"/>
                <w:color w:val="auto"/>
                <w:kern w:val="0"/>
                <w:szCs w:val="21"/>
                <w:highlight w:val="none"/>
                <w:lang w:val="en-US" w:eastAsia="zh-CN"/>
              </w:rPr>
              <w:t>节能</w:t>
            </w:r>
            <w:r>
              <w:rPr>
                <w:rFonts w:hint="eastAsia" w:ascii="宋体" w:hAnsi="宋体" w:eastAsia="宋体" w:cs="宋体"/>
                <w:color w:val="auto"/>
                <w:kern w:val="0"/>
                <w:szCs w:val="21"/>
                <w:highlight w:val="none"/>
              </w:rPr>
              <w:t>产品</w:t>
            </w:r>
            <w:r>
              <w:rPr>
                <w:rFonts w:hint="eastAsia" w:ascii="宋体" w:hAnsi="宋体" w:cs="宋体"/>
                <w:color w:val="auto"/>
                <w:kern w:val="0"/>
                <w:szCs w:val="21"/>
                <w:highlight w:val="none"/>
                <w:lang w:val="en-US" w:eastAsia="zh-CN"/>
              </w:rPr>
              <w:t>品目</w:t>
            </w:r>
            <w:r>
              <w:rPr>
                <w:rFonts w:hint="eastAsia" w:ascii="宋体" w:hAnsi="宋体" w:eastAsia="宋体" w:cs="宋体"/>
                <w:color w:val="auto"/>
                <w:kern w:val="0"/>
                <w:szCs w:val="21"/>
                <w:highlight w:val="none"/>
              </w:rPr>
              <w:t>清单中</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rPr>
              <w:t>产品</w:t>
            </w:r>
            <w:r>
              <w:rPr>
                <w:rFonts w:hint="eastAsia" w:ascii="宋体" w:hAnsi="宋体" w:cs="宋体"/>
                <w:color w:val="auto"/>
                <w:kern w:val="0"/>
                <w:szCs w:val="21"/>
                <w:highlight w:val="none"/>
                <w:lang w:val="en-US" w:eastAsia="zh-CN"/>
              </w:rPr>
              <w:t>，加</w:t>
            </w:r>
            <w:r>
              <w:rPr>
                <w:rFonts w:hint="eastAsia" w:ascii="宋体" w:hAnsi="宋体" w:eastAsia="宋体" w:cs="宋体"/>
                <w:color w:val="auto"/>
                <w:kern w:val="0"/>
                <w:szCs w:val="21"/>
                <w:highlight w:val="none"/>
              </w:rPr>
              <w:t>0.5分</w:t>
            </w:r>
            <w:r>
              <w:rPr>
                <w:rFonts w:hint="eastAsia" w:ascii="宋体" w:hAnsi="宋体" w:cs="宋体"/>
                <w:color w:val="auto"/>
                <w:kern w:val="0"/>
                <w:szCs w:val="21"/>
                <w:highlight w:val="none"/>
                <w:lang w:eastAsia="zh-CN"/>
              </w:rPr>
              <w:t>；</w:t>
            </w:r>
          </w:p>
          <w:p>
            <w:pPr>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②所有</w:t>
            </w:r>
            <w:r>
              <w:rPr>
                <w:rFonts w:hint="eastAsia" w:ascii="宋体" w:hAnsi="宋体" w:eastAsia="宋体" w:cs="宋体"/>
                <w:color w:val="auto"/>
                <w:kern w:val="0"/>
                <w:szCs w:val="21"/>
                <w:highlight w:val="none"/>
              </w:rPr>
              <w:t>投标产品为环境标志产品</w:t>
            </w:r>
            <w:r>
              <w:rPr>
                <w:rFonts w:hint="eastAsia" w:ascii="宋体" w:hAnsi="宋体" w:cs="宋体"/>
                <w:color w:val="auto"/>
                <w:kern w:val="0"/>
                <w:szCs w:val="21"/>
                <w:highlight w:val="none"/>
                <w:lang w:val="en-US" w:eastAsia="zh-CN"/>
              </w:rPr>
              <w:t>品目</w:t>
            </w:r>
            <w:r>
              <w:rPr>
                <w:rFonts w:hint="eastAsia" w:ascii="宋体" w:hAnsi="宋体" w:eastAsia="宋体" w:cs="宋体"/>
                <w:color w:val="auto"/>
                <w:kern w:val="0"/>
                <w:szCs w:val="21"/>
                <w:highlight w:val="none"/>
              </w:rPr>
              <w:t>清单中</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rPr>
              <w:t>产品</w:t>
            </w:r>
            <w:r>
              <w:rPr>
                <w:rFonts w:hint="eastAsia" w:ascii="宋体" w:hAnsi="宋体" w:cs="宋体"/>
                <w:color w:val="auto"/>
                <w:kern w:val="0"/>
                <w:szCs w:val="21"/>
                <w:highlight w:val="none"/>
                <w:lang w:val="en-US" w:eastAsia="zh-CN"/>
              </w:rPr>
              <w:t>，加</w:t>
            </w:r>
            <w:r>
              <w:rPr>
                <w:rFonts w:hint="eastAsia" w:ascii="宋体" w:hAnsi="宋体" w:eastAsia="宋体" w:cs="宋体"/>
                <w:color w:val="auto"/>
                <w:kern w:val="0"/>
                <w:szCs w:val="21"/>
                <w:highlight w:val="none"/>
              </w:rPr>
              <w:t>0.5分</w:t>
            </w:r>
            <w:r>
              <w:rPr>
                <w:rFonts w:hint="eastAsia" w:ascii="宋体" w:hAnsi="宋体" w:cs="宋体"/>
                <w:color w:val="auto"/>
                <w:kern w:val="0"/>
                <w:szCs w:val="21"/>
                <w:highlight w:val="none"/>
                <w:lang w:eastAsia="zh-CN"/>
              </w:rPr>
              <w:t>。</w:t>
            </w:r>
            <w:bookmarkStart w:id="104" w:name="_GoBack"/>
            <w:bookmarkEnd w:id="104"/>
          </w:p>
          <w:p>
            <w:pPr>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注：</w:t>
            </w:r>
            <w:r>
              <w:rPr>
                <w:rFonts w:hint="eastAsia" w:ascii="宋体" w:hAnsi="宋体" w:eastAsia="宋体" w:cs="宋体"/>
                <w:b/>
                <w:bCs/>
                <w:color w:val="auto"/>
                <w:kern w:val="0"/>
                <w:szCs w:val="21"/>
                <w:highlight w:val="none"/>
              </w:rPr>
              <w:t>提供产品/产品生产企业</w:t>
            </w:r>
            <w:r>
              <w:rPr>
                <w:rFonts w:hint="eastAsia" w:ascii="宋体" w:hAnsi="宋体" w:cs="宋体"/>
                <w:b/>
                <w:bCs/>
                <w:color w:val="auto"/>
                <w:kern w:val="0"/>
                <w:szCs w:val="21"/>
                <w:highlight w:val="none"/>
                <w:lang w:val="en-US" w:eastAsia="zh-CN"/>
              </w:rPr>
              <w:t>有</w:t>
            </w:r>
            <w:r>
              <w:rPr>
                <w:rFonts w:hint="eastAsia" w:ascii="宋体" w:hAnsi="宋体" w:cs="宋体"/>
                <w:b/>
                <w:bCs/>
                <w:color w:val="auto"/>
                <w:sz w:val="21"/>
                <w:szCs w:val="21"/>
                <w:highlight w:val="none"/>
                <w:lang w:val="en-US" w:eastAsia="zh-CN"/>
              </w:rPr>
              <w:t>效期之内的节能产品认证证书</w:t>
            </w:r>
            <w:r>
              <w:rPr>
                <w:rFonts w:hint="eastAsia" w:ascii="宋体" w:hAnsi="宋体" w:eastAsia="宋体" w:cs="宋体"/>
                <w:b/>
                <w:bCs/>
                <w:color w:val="auto"/>
                <w:kern w:val="0"/>
                <w:szCs w:val="21"/>
                <w:highlight w:val="none"/>
              </w:rPr>
              <w:t>、环境标志产品认证证书复印件</w:t>
            </w:r>
            <w:r>
              <w:rPr>
                <w:rFonts w:hint="eastAsia" w:ascii="宋体" w:hAnsi="宋体" w:cs="宋体"/>
                <w:b/>
                <w:bCs/>
                <w:color w:val="auto"/>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59" w:type="dxa"/>
            <w:vMerge w:val="continue"/>
            <w:tcBorders>
              <w:tl2br w:val="nil"/>
              <w:tr2bl w:val="nil"/>
            </w:tcBorders>
            <w:noWrap w:val="0"/>
            <w:vAlign w:val="center"/>
          </w:tcPr>
          <w:p>
            <w:pPr>
              <w:snapToGrid w:val="0"/>
              <w:spacing w:line="360" w:lineRule="auto"/>
              <w:jc w:val="center"/>
              <w:rPr>
                <w:rFonts w:ascii="宋体" w:cs="宋体"/>
                <w:color w:val="auto"/>
                <w:szCs w:val="21"/>
                <w:highlight w:val="none"/>
              </w:rPr>
            </w:pPr>
          </w:p>
        </w:tc>
        <w:tc>
          <w:tcPr>
            <w:tcW w:w="776" w:type="dxa"/>
            <w:tcBorders>
              <w:tl2br w:val="nil"/>
              <w:tr2bl w:val="nil"/>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713" w:type="dxa"/>
            <w:tcBorders>
              <w:tl2br w:val="nil"/>
              <w:tr2bl w:val="nil"/>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4532" w:type="dxa"/>
            <w:tcBorders>
              <w:tl2br w:val="nil"/>
              <w:tr2bl w:val="nil"/>
            </w:tcBorders>
            <w:noWrap w:val="0"/>
            <w:vAlign w:val="top"/>
          </w:tcPr>
          <w:p>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0"/>
                <w:szCs w:val="21"/>
                <w:highlight w:val="none"/>
              </w:rPr>
              <w:t>提供20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年1月1日</w:t>
            </w:r>
            <w:r>
              <w:rPr>
                <w:rFonts w:hint="eastAsia" w:ascii="宋体" w:hAnsi="宋体" w:eastAsia="宋体" w:cs="宋体"/>
                <w:color w:val="auto"/>
                <w:kern w:val="0"/>
                <w:szCs w:val="21"/>
                <w:highlight w:val="none"/>
                <w:lang w:val="en-US" w:eastAsia="zh-CN"/>
              </w:rPr>
              <w:t>至今类似项目业绩，</w:t>
            </w:r>
            <w:r>
              <w:rPr>
                <w:rFonts w:hint="eastAsia" w:ascii="宋体" w:hAnsi="宋体" w:eastAsia="宋体" w:cs="宋体"/>
                <w:color w:val="auto"/>
                <w:kern w:val="0"/>
                <w:szCs w:val="21"/>
                <w:highlight w:val="none"/>
              </w:rPr>
              <w:t>每提供一份得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分，最高</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以合同为准</w:t>
            </w:r>
            <w:r>
              <w:rPr>
                <w:rFonts w:hint="eastAsia" w:ascii="宋体" w:hAnsi="宋体" w:eastAsia="宋体" w:cs="宋体"/>
                <w:color w:val="auto"/>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780" w:type="dxa"/>
            <w:gridSpan w:val="4"/>
            <w:tcBorders>
              <w:tl2br w:val="nil"/>
              <w:tr2bl w:val="nil"/>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1.各评标委员会成员独立打分。</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.若出现综合得分相同的，按技术指标得分顺序排列名次。</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.各种计算采用插入法，最终结果数字保留二位小数，第三位“四舍五入”。</w:t>
            </w:r>
          </w:p>
          <w:p>
            <w:pPr>
              <w:spacing w:line="360" w:lineRule="auto"/>
              <w:ind w:left="315" w:hanging="315" w:hangingChars="150"/>
              <w:rPr>
                <w:rFonts w:asci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.上述赋分标准如有缺漏项的不得分，未附相关证书或证明材料的相应项不得分。</w:t>
            </w:r>
          </w:p>
        </w:tc>
      </w:tr>
    </w:tbl>
    <w:p>
      <w:pPr>
        <w:pStyle w:val="29"/>
        <w:spacing w:after="160"/>
        <w:rPr>
          <w:rStyle w:val="33"/>
          <w:rFonts w:hint="eastAsia" w:ascii="宋体" w:hAnsi="宋体" w:eastAsia="宋体" w:cs="宋体"/>
          <w:color w:val="auto"/>
          <w:sz w:val="36"/>
          <w:highlight w:val="none"/>
        </w:rPr>
      </w:pPr>
      <w:r>
        <w:rPr>
          <w:rStyle w:val="33"/>
          <w:rFonts w:hint="eastAsia" w:ascii="宋体" w:hAnsi="宋体" w:eastAsia="宋体" w:cs="宋体"/>
          <w:color w:val="auto"/>
          <w:sz w:val="36"/>
          <w:highlight w:val="none"/>
        </w:rPr>
        <w:br w:type="page"/>
      </w:r>
    </w:p>
    <w:p>
      <w:pPr>
        <w:pStyle w:val="3"/>
        <w:keepNext/>
        <w:keepLines w:val="0"/>
        <w:pageBreakBefore w:val="0"/>
        <w:widowControl/>
        <w:kinsoku/>
        <w:wordWrap/>
        <w:overflowPunct/>
        <w:topLinePunct w:val="0"/>
        <w:autoSpaceDE/>
        <w:autoSpaceDN/>
        <w:bidi w:val="0"/>
        <w:adjustRightInd/>
        <w:snapToGrid/>
        <w:spacing w:before="313" w:beforeLines="100"/>
        <w:textAlignment w:val="auto"/>
        <w:rPr>
          <w:rFonts w:hint="eastAsia" w:ascii="宋体" w:hAnsi="宋体" w:eastAsia="宋体" w:cs="宋体"/>
          <w:bCs/>
          <w:color w:val="auto"/>
          <w:highlight w:val="none"/>
        </w:rPr>
      </w:pPr>
      <w:bookmarkStart w:id="30" w:name="_Toc17147"/>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六</w:t>
      </w:r>
      <w:r>
        <w:rPr>
          <w:rFonts w:hint="eastAsia" w:ascii="宋体" w:hAnsi="宋体" w:eastAsia="宋体" w:cs="宋体"/>
          <w:bCs/>
          <w:color w:val="auto"/>
          <w:highlight w:val="none"/>
        </w:rPr>
        <w:t>章 磋商响应文件格式</w:t>
      </w:r>
      <w:bookmarkEnd w:id="30"/>
    </w:p>
    <w:p>
      <w:pPr>
        <w:jc w:val="center"/>
        <w:rPr>
          <w:rStyle w:val="33"/>
          <w:rFonts w:hint="eastAsia" w:ascii="宋体" w:hAnsi="宋体" w:eastAsia="宋体" w:cs="宋体"/>
          <w:b/>
          <w:color w:val="auto"/>
          <w:sz w:val="44"/>
          <w:szCs w:val="44"/>
          <w:highlight w:val="none"/>
        </w:rPr>
      </w:pPr>
      <w:r>
        <w:rPr>
          <w:rStyle w:val="33"/>
          <w:rFonts w:hint="eastAsia" w:ascii="宋体" w:hAnsi="宋体" w:eastAsia="宋体" w:cs="宋体"/>
          <w:b/>
          <w:color w:val="auto"/>
          <w:sz w:val="44"/>
          <w:szCs w:val="44"/>
          <w:highlight w:val="none"/>
        </w:rPr>
        <w:br w:type="page"/>
      </w:r>
    </w:p>
    <w:p>
      <w:pPr>
        <w:widowControl w:val="0"/>
        <w:spacing w:line="360" w:lineRule="auto"/>
        <w:jc w:val="center"/>
        <w:textAlignment w:val="auto"/>
        <w:rPr>
          <w:rFonts w:hint="eastAsia" w:ascii="宋体" w:hAnsi="宋体" w:eastAsia="宋体" w:cs="宋体"/>
          <w:color w:val="auto"/>
          <w:sz w:val="32"/>
          <w:szCs w:val="32"/>
          <w:highlight w:val="none"/>
        </w:rPr>
      </w:pPr>
      <w:bookmarkStart w:id="31" w:name="_Toc17665"/>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bookmarkEnd w:id="31"/>
    <w:p>
      <w:pPr>
        <w:spacing w:line="360" w:lineRule="auto"/>
        <w:ind w:left="1"/>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44"/>
          <w:szCs w:val="44"/>
          <w:highlight w:val="none"/>
        </w:rPr>
        <w:t>政府采购</w:t>
      </w:r>
      <w:r>
        <w:rPr>
          <w:rFonts w:hint="eastAsia" w:ascii="宋体" w:hAnsi="宋体" w:cs="宋体"/>
          <w:b/>
          <w:color w:val="auto"/>
          <w:sz w:val="44"/>
          <w:szCs w:val="44"/>
          <w:highlight w:val="none"/>
          <w:lang w:val="en-US" w:eastAsia="zh-CN"/>
        </w:rPr>
        <w:t>货物</w:t>
      </w:r>
      <w:r>
        <w:rPr>
          <w:rFonts w:hint="eastAsia" w:ascii="宋体" w:hAnsi="宋体" w:eastAsia="宋体" w:cs="宋体"/>
          <w:b/>
          <w:color w:val="auto"/>
          <w:sz w:val="44"/>
          <w:szCs w:val="44"/>
          <w:highlight w:val="none"/>
        </w:rPr>
        <w:t>项目</w:t>
      </w:r>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pPr>
        <w:jc w:val="center"/>
        <w:rPr>
          <w:rFonts w:hint="eastAsia" w:ascii="宋体" w:hAnsi="宋体" w:eastAsia="宋体" w:cs="宋体"/>
          <w:b/>
          <w:color w:val="auto"/>
          <w:sz w:val="36"/>
          <w:szCs w:val="36"/>
          <w:highlight w:val="none"/>
        </w:rPr>
      </w:pPr>
    </w:p>
    <w:p>
      <w:pPr>
        <w:pStyle w:val="4"/>
        <w:jc w:val="center"/>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（资格部分）</w:t>
      </w: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color w:val="auto"/>
          <w:sz w:val="72"/>
          <w:szCs w:val="72"/>
          <w:highlight w:val="none"/>
        </w:rPr>
      </w:pPr>
    </w:p>
    <w:p>
      <w:pPr>
        <w:tabs>
          <w:tab w:val="left" w:pos="2628"/>
        </w:tabs>
        <w:spacing w:line="360" w:lineRule="auto"/>
        <w:ind w:left="2498" w:leftChars="401" w:hanging="1656" w:hangingChars="55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p>
      <w:pPr>
        <w:tabs>
          <w:tab w:val="left" w:pos="2628"/>
        </w:tabs>
        <w:spacing w:line="360" w:lineRule="auto"/>
        <w:ind w:left="843"/>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pPr>
        <w:spacing w:line="360" w:lineRule="auto"/>
        <w:jc w:val="center"/>
        <w:rPr>
          <w:rFonts w:hint="eastAsia" w:ascii="宋体" w:hAnsi="宋体" w:eastAsia="宋体" w:cs="宋体"/>
          <w:color w:val="auto"/>
          <w:sz w:val="44"/>
          <w:szCs w:val="44"/>
          <w:highlight w:val="none"/>
        </w:rPr>
      </w:pPr>
    </w:p>
    <w:p>
      <w:pPr>
        <w:pStyle w:val="2"/>
        <w:jc w:val="cente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（公章）</w:t>
      </w: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pPr>
        <w:rPr>
          <w:rFonts w:hint="eastAsia" w:ascii="宋体" w:hAnsi="宋体" w:eastAsia="宋体" w:cs="宋体"/>
          <w:b/>
          <w:color w:val="auto"/>
          <w:sz w:val="32"/>
          <w:szCs w:val="32"/>
          <w:highlight w:val="none"/>
        </w:rPr>
      </w:pPr>
      <w:bookmarkStart w:id="32" w:name="_Toc16910"/>
      <w:r>
        <w:rPr>
          <w:rFonts w:hint="eastAsia" w:ascii="宋体" w:hAnsi="宋体" w:eastAsia="宋体" w:cs="宋体"/>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after="313" w:afterLines="10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bookmarkEnd w:id="32"/>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（一）法人代表（单位负责人）授权书</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（二）陕西省政府采购供应商拒绝政府采购领域商业贿赂承诺书</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（三）证明文件</w:t>
      </w:r>
    </w:p>
    <w:p>
      <w:pPr>
        <w:spacing w:line="440" w:lineRule="exact"/>
        <w:jc w:val="center"/>
        <w:rPr>
          <w:rStyle w:val="33"/>
          <w:rFonts w:hint="eastAsia" w:ascii="宋体" w:hAnsi="宋体" w:eastAsia="宋体" w:cs="宋体"/>
          <w:color w:val="auto"/>
          <w:sz w:val="28"/>
          <w:highlight w:val="none"/>
        </w:rPr>
      </w:pPr>
      <w:r>
        <w:rPr>
          <w:rStyle w:val="33"/>
          <w:rFonts w:hint="eastAsia" w:ascii="宋体" w:hAnsi="宋体" w:eastAsia="宋体" w:cs="宋体"/>
          <w:color w:val="auto"/>
          <w:sz w:val="28"/>
          <w:highlight w:val="none"/>
        </w:rPr>
        <w:br w:type="page"/>
      </w:r>
    </w:p>
    <w:p>
      <w:pPr>
        <w:keepNext w:val="0"/>
        <w:keepLines w:val="0"/>
        <w:pageBreakBefore w:val="0"/>
        <w:widowControl w:val="0"/>
        <w:kinsoku/>
        <w:wordWrap/>
        <w:overflowPunct/>
        <w:topLinePunct w:val="0"/>
        <w:autoSpaceDE/>
        <w:autoSpaceDN/>
        <w:bidi w:val="0"/>
        <w:adjustRightInd/>
        <w:snapToGrid/>
        <w:spacing w:after="312" w:afterLines="100" w:line="360" w:lineRule="auto"/>
        <w:jc w:val="center"/>
        <w:textAlignment w:val="auto"/>
        <w:outlineLvl w:val="1"/>
        <w:rPr>
          <w:rFonts w:hint="eastAsia" w:ascii="宋体" w:hAnsi="宋体" w:eastAsia="宋体" w:cs="宋体"/>
          <w:b/>
          <w:color w:val="auto"/>
          <w:spacing w:val="4"/>
          <w:sz w:val="36"/>
          <w:szCs w:val="36"/>
          <w:highlight w:val="none"/>
        </w:rPr>
      </w:pPr>
      <w:bookmarkStart w:id="33" w:name="_Toc12301"/>
      <w:bookmarkStart w:id="34" w:name="_Toc42794595"/>
      <w:bookmarkStart w:id="35" w:name="_Toc25713"/>
      <w:bookmarkStart w:id="36" w:name="_Toc42518134"/>
      <w:bookmarkStart w:id="37" w:name="_Toc7754"/>
      <w:r>
        <w:rPr>
          <w:rFonts w:hint="eastAsia" w:ascii="宋体" w:hAnsi="宋体" w:eastAsia="宋体" w:cs="宋体"/>
          <w:b/>
          <w:color w:val="auto"/>
          <w:spacing w:val="4"/>
          <w:sz w:val="32"/>
          <w:szCs w:val="32"/>
          <w:highlight w:val="none"/>
        </w:rPr>
        <w:t>一、法人代表（单位负责人）授权书</w:t>
      </w:r>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致：西北（陕西）国际招标有限公司</w:t>
      </w:r>
    </w:p>
    <w:p>
      <w:pPr>
        <w:keepNext w:val="0"/>
        <w:keepLines w:val="0"/>
        <w:pageBreakBefore w:val="0"/>
        <w:widowControl/>
        <w:kinsoku/>
        <w:wordWrap/>
        <w:overflowPunct/>
        <w:topLinePunct w:val="0"/>
        <w:autoSpaceDE/>
        <w:autoSpaceDN/>
        <w:bidi w:val="0"/>
        <w:adjustRightInd/>
        <w:snapToGrid/>
        <w:spacing w:line="360" w:lineRule="auto"/>
        <w:ind w:firstLine="436" w:firstLineChars="200"/>
        <w:jc w:val="left"/>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u w:val="single"/>
        </w:rPr>
        <w:t xml:space="preserve">(供应商名称) </w:t>
      </w:r>
      <w:r>
        <w:rPr>
          <w:rFonts w:hint="eastAsia" w:ascii="宋体" w:hAnsi="宋体" w:eastAsia="宋体" w:cs="宋体"/>
          <w:color w:val="auto"/>
          <w:spacing w:val="4"/>
          <w:szCs w:val="21"/>
          <w:highlight w:val="none"/>
        </w:rPr>
        <w:t>按中华人民共和国法律于</w:t>
      </w:r>
      <w:r>
        <w:rPr>
          <w:rFonts w:hint="eastAsia" w:ascii="宋体" w:hAnsi="宋体" w:eastAsia="宋体" w:cs="宋体"/>
          <w:color w:val="auto"/>
          <w:spacing w:val="4"/>
          <w:szCs w:val="21"/>
          <w:highlight w:val="none"/>
          <w:u w:val="single"/>
        </w:rPr>
        <w:t xml:space="preserve">（     年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月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日）</w:t>
      </w:r>
      <w:r>
        <w:rPr>
          <w:rFonts w:hint="eastAsia" w:ascii="宋体" w:hAnsi="宋体" w:eastAsia="宋体" w:cs="宋体"/>
          <w:color w:val="auto"/>
          <w:spacing w:val="4"/>
          <w:szCs w:val="21"/>
          <w:highlight w:val="none"/>
        </w:rPr>
        <w:t>成立。</w:t>
      </w:r>
      <w:r>
        <w:rPr>
          <w:rFonts w:hint="eastAsia" w:ascii="宋体" w:hAnsi="宋体" w:eastAsia="宋体" w:cs="宋体"/>
          <w:color w:val="auto"/>
          <w:spacing w:val="4"/>
          <w:szCs w:val="21"/>
          <w:highlight w:val="none"/>
          <w:u w:val="single"/>
        </w:rPr>
        <w:t xml:space="preserve">     (法定代表人姓名)</w:t>
      </w:r>
      <w:r>
        <w:rPr>
          <w:rFonts w:hint="eastAsia" w:ascii="宋体" w:hAnsi="宋体" w:eastAsia="宋体" w:cs="宋体"/>
          <w:color w:val="auto"/>
          <w:spacing w:val="4"/>
          <w:szCs w:val="21"/>
          <w:highlight w:val="none"/>
        </w:rPr>
        <w:t>特授权</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u w:val="single"/>
        </w:rPr>
        <w:t>（被授权人姓名）</w:t>
      </w:r>
      <w:r>
        <w:rPr>
          <w:rFonts w:hint="eastAsia" w:ascii="宋体" w:hAnsi="宋体" w:eastAsia="宋体" w:cs="宋体"/>
          <w:color w:val="auto"/>
          <w:spacing w:val="4"/>
          <w:szCs w:val="21"/>
          <w:highlight w:val="none"/>
        </w:rPr>
        <w:t xml:space="preserve">代表我公司全权办理针对本次政府采购 </w:t>
      </w:r>
      <w:r>
        <w:rPr>
          <w:rFonts w:hint="eastAsia" w:ascii="宋体" w:hAnsi="宋体" w:eastAsia="宋体" w:cs="宋体"/>
          <w:color w:val="auto"/>
          <w:spacing w:val="4"/>
          <w:szCs w:val="21"/>
          <w:highlight w:val="none"/>
          <w:u w:val="single"/>
        </w:rPr>
        <w:t>（磋商项目名称和项目编号）</w:t>
      </w:r>
      <w:r>
        <w:rPr>
          <w:rFonts w:hint="eastAsia" w:ascii="宋体" w:hAnsi="宋体" w:eastAsia="宋体" w:cs="宋体"/>
          <w:color w:val="auto"/>
          <w:spacing w:val="4"/>
          <w:szCs w:val="21"/>
          <w:highlight w:val="none"/>
        </w:rPr>
        <w:t>项目的磋商、签约等具体工作，并签署全部有关的文件、协议及合同。</w:t>
      </w:r>
    </w:p>
    <w:p>
      <w:pPr>
        <w:widowControl w:val="0"/>
        <w:spacing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本授权书在磋商报价有效期内对我方具有约束力。</w:t>
      </w:r>
    </w:p>
    <w:p>
      <w:pPr>
        <w:pStyle w:val="2"/>
        <w:rPr>
          <w:rFonts w:hint="eastAsia"/>
          <w:color w:val="auto"/>
          <w:highlight w:val="none"/>
        </w:rPr>
      </w:pPr>
    </w:p>
    <w:tbl>
      <w:tblPr>
        <w:tblStyle w:val="22"/>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139"/>
        <w:gridCol w:w="4139"/>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val="0"/>
            <w:vAlign w:val="top"/>
          </w:tcPr>
          <w:p>
            <w:pPr>
              <w:spacing w:line="44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被授权人（签字或盖章）：</w:t>
            </w:r>
          </w:p>
        </w:tc>
        <w:tc>
          <w:tcPr>
            <w:tcW w:w="4139" w:type="dxa"/>
            <w:noWrap w:val="0"/>
            <w:vAlign w:val="top"/>
          </w:tcPr>
          <w:p>
            <w:pPr>
              <w:spacing w:line="44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法定代表人（签字或盖章）：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val="0"/>
            <w:vAlign w:val="top"/>
          </w:tcPr>
          <w:p>
            <w:pPr>
              <w:spacing w:line="440" w:lineRule="exact"/>
              <w:jc w:val="left"/>
              <w:rPr>
                <w:rFonts w:hint="eastAsia" w:ascii="宋体" w:hAnsi="宋体" w:cs="宋体"/>
                <w:color w:val="auto"/>
                <w:spacing w:val="4"/>
                <w:szCs w:val="21"/>
                <w:highlight w:val="none"/>
              </w:rPr>
            </w:pPr>
          </w:p>
        </w:tc>
        <w:tc>
          <w:tcPr>
            <w:tcW w:w="4139" w:type="dxa"/>
            <w:noWrap w:val="0"/>
            <w:vAlign w:val="top"/>
          </w:tcPr>
          <w:p>
            <w:pPr>
              <w:spacing w:line="440" w:lineRule="exact"/>
              <w:jc w:val="left"/>
              <w:rPr>
                <w:rFonts w:hint="eastAsia" w:ascii="宋体" w:hAnsi="宋体" w:cs="宋体"/>
                <w:color w:val="auto"/>
                <w:spacing w:val="4"/>
                <w:szCs w:val="21"/>
                <w:highlight w:val="no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val="0"/>
            <w:vAlign w:val="top"/>
          </w:tcPr>
          <w:p>
            <w:pPr>
              <w:spacing w:line="44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职务：</w:t>
            </w:r>
          </w:p>
        </w:tc>
        <w:tc>
          <w:tcPr>
            <w:tcW w:w="4139" w:type="dxa"/>
            <w:noWrap w:val="0"/>
            <w:vAlign w:val="top"/>
          </w:tcPr>
          <w:p>
            <w:pPr>
              <w:spacing w:line="44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职务：</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val="0"/>
            <w:vAlign w:val="top"/>
          </w:tcPr>
          <w:p>
            <w:pPr>
              <w:spacing w:line="440" w:lineRule="exact"/>
              <w:jc w:val="left"/>
              <w:rPr>
                <w:rFonts w:hint="eastAsia" w:ascii="宋体" w:hAnsi="宋体" w:cs="宋体"/>
                <w:color w:val="auto"/>
                <w:spacing w:val="4"/>
                <w:szCs w:val="21"/>
                <w:highlight w:val="none"/>
              </w:rPr>
            </w:pPr>
          </w:p>
        </w:tc>
        <w:tc>
          <w:tcPr>
            <w:tcW w:w="4139" w:type="dxa"/>
            <w:noWrap w:val="0"/>
            <w:vAlign w:val="top"/>
          </w:tcPr>
          <w:p>
            <w:pPr>
              <w:spacing w:line="440" w:lineRule="exact"/>
              <w:jc w:val="left"/>
              <w:rPr>
                <w:rFonts w:hint="eastAsia" w:ascii="宋体" w:hAnsi="宋体" w:cs="宋体"/>
                <w:color w:val="auto"/>
                <w:spacing w:val="4"/>
                <w:szCs w:val="21"/>
                <w:highlight w:val="no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val="0"/>
            <w:vAlign w:val="top"/>
          </w:tcPr>
          <w:p>
            <w:pPr>
              <w:spacing w:line="44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所在部门：</w:t>
            </w:r>
          </w:p>
        </w:tc>
        <w:tc>
          <w:tcPr>
            <w:tcW w:w="4139" w:type="dxa"/>
            <w:noWrap w:val="0"/>
            <w:vAlign w:val="top"/>
          </w:tcPr>
          <w:p>
            <w:pPr>
              <w:spacing w:line="440" w:lineRule="exact"/>
              <w:jc w:val="left"/>
              <w:rPr>
                <w:rFonts w:hint="eastAsia" w:ascii="宋体" w:hAnsi="宋体" w:cs="宋体"/>
                <w:color w:val="auto"/>
                <w:spacing w:val="4"/>
                <w:szCs w:val="21"/>
                <w:highlight w:val="none"/>
              </w:rPr>
            </w:pPr>
          </w:p>
        </w:tc>
      </w:tr>
    </w:tbl>
    <w:p>
      <w:pPr>
        <w:keepNext w:val="0"/>
        <w:keepLines w:val="0"/>
        <w:pageBreakBefore w:val="0"/>
        <w:widowControl/>
        <w:kinsoku/>
        <w:wordWrap/>
        <w:overflowPunct/>
        <w:topLinePunct w:val="0"/>
        <w:autoSpaceDE/>
        <w:autoSpaceDN/>
        <w:bidi w:val="0"/>
        <w:adjustRightInd/>
        <w:snapToGrid/>
        <w:spacing w:before="313" w:beforeLines="100" w:line="360" w:lineRule="auto"/>
        <w:ind w:firstLine="438" w:firstLineChars="200"/>
        <w:textAlignment w:val="baseline"/>
        <w:rPr>
          <w:rFonts w:hint="eastAsia" w:ascii="宋体" w:hAnsi="宋体" w:eastAsia="宋体" w:cs="宋体"/>
          <w:b/>
          <w:bCs/>
          <w:color w:val="auto"/>
          <w:spacing w:val="4"/>
          <w:szCs w:val="21"/>
          <w:highlight w:val="none"/>
        </w:rPr>
      </w:pPr>
      <w:r>
        <w:rPr>
          <w:rFonts w:hint="eastAsia" w:ascii="宋体" w:hAnsi="宋体" w:eastAsia="宋体" w:cs="宋体"/>
          <w:b/>
          <w:bCs/>
          <w:color w:val="auto"/>
          <w:spacing w:val="4"/>
          <w:szCs w:val="21"/>
          <w:highlight w:val="none"/>
        </w:rPr>
        <w:t>附件：</w:t>
      </w:r>
      <w:r>
        <w:rPr>
          <w:rFonts w:hint="eastAsia" w:ascii="宋体" w:hAnsi="宋体" w:cs="宋体"/>
          <w:b/>
          <w:bCs/>
          <w:color w:val="auto"/>
          <w:spacing w:val="4"/>
          <w:szCs w:val="21"/>
          <w:highlight w:val="none"/>
          <w:lang w:val="en-US" w:eastAsia="zh-CN"/>
        </w:rPr>
        <w:t>后附</w:t>
      </w:r>
      <w:r>
        <w:rPr>
          <w:rFonts w:hint="eastAsia" w:ascii="宋体" w:hAnsi="宋体" w:eastAsia="宋体" w:cs="宋体"/>
          <w:b/>
          <w:bCs/>
          <w:color w:val="auto"/>
          <w:spacing w:val="4"/>
          <w:szCs w:val="21"/>
          <w:highlight w:val="none"/>
        </w:rPr>
        <w:t>法定代表人、被授权人身份证复印件（必须印正反两面的完整信息）</w:t>
      </w:r>
    </w:p>
    <w:p>
      <w:pPr>
        <w:keepNext w:val="0"/>
        <w:keepLines w:val="0"/>
        <w:pageBreakBefore w:val="0"/>
        <w:widowControl/>
        <w:kinsoku/>
        <w:wordWrap/>
        <w:overflowPunct/>
        <w:topLinePunct w:val="0"/>
        <w:autoSpaceDE/>
        <w:autoSpaceDN/>
        <w:bidi w:val="0"/>
        <w:adjustRightInd/>
        <w:snapToGrid/>
        <w:spacing w:before="1249" w:beforeLines="400"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供应商名称：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（加盖公章）</w:t>
      </w:r>
    </w:p>
    <w:p>
      <w:pPr>
        <w:spacing w:before="156" w:beforeLines="50" w:after="156" w:afterLines="50" w:line="360" w:lineRule="auto"/>
        <w:rPr>
          <w:rFonts w:hint="eastAsia" w:ascii="宋体" w:hAnsi="宋体" w:cs="宋体"/>
          <w:b/>
          <w:bCs/>
          <w:color w:val="auto"/>
          <w:highlight w:val="none"/>
        </w:rPr>
      </w:pPr>
      <w:r>
        <w:rPr>
          <w:rFonts w:hint="eastAsia" w:ascii="宋体" w:hAnsi="宋体" w:cs="宋体"/>
          <w:color w:val="auto"/>
          <w:spacing w:val="4"/>
          <w:szCs w:val="21"/>
          <w:highlight w:val="none"/>
        </w:rPr>
        <w:br w:type="page"/>
      </w:r>
      <w:r>
        <w:rPr>
          <w:rFonts w:hint="eastAsia" w:ascii="宋体" w:hAnsi="宋体" w:cs="宋体"/>
          <w:b/>
          <w:bCs/>
          <w:color w:val="auto"/>
          <w:highlight w:val="none"/>
        </w:rPr>
        <w:t>附：法定代表人（单位负责人）身份证复印件及委托代理人身份证复印件</w:t>
      </w:r>
    </w:p>
    <w:p>
      <w:pPr>
        <w:spacing w:before="156" w:beforeLines="50" w:after="156" w:afterLines="50" w:line="360" w:lineRule="auto"/>
        <w:rPr>
          <w:rFonts w:hint="eastAsia" w:ascii="宋体" w:hAnsi="宋体" w:cs="宋体"/>
          <w:b/>
          <w:bCs/>
          <w:color w:val="auto"/>
          <w:highlight w:val="none"/>
        </w:rPr>
      </w:pPr>
      <w:r>
        <w:rPr>
          <w:rFonts w:hint="eastAsia" w:ascii="宋体" w:hAnsi="宋体" w:cs="宋体"/>
          <w:b/>
          <w:bCs/>
          <w:color w:val="auto"/>
          <w:spacing w:val="4"/>
          <w:szCs w:val="21"/>
          <w:highlight w:val="none"/>
        </w:rPr>
        <w:t>（必须印正反两面的完整信息）</w:t>
      </w:r>
    </w:p>
    <w:tbl>
      <w:tblPr>
        <w:tblStyle w:val="2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50"/>
        <w:gridCol w:w="425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350" w:type="dxa"/>
            <w:noWrap w:val="0"/>
            <w:vAlign w:val="center"/>
          </w:tcPr>
          <w:p>
            <w:pPr>
              <w:spacing w:line="480" w:lineRule="auto"/>
              <w:jc w:val="center"/>
              <w:rPr>
                <w:rFonts w:hint="eastAsia" w:ascii="宋体" w:hAnsi="宋体"/>
                <w:color w:val="auto"/>
                <w:szCs w:val="21"/>
                <w:highlight w:val="none"/>
              </w:rPr>
            </w:pPr>
          </w:p>
        </w:tc>
        <w:tc>
          <w:tcPr>
            <w:tcW w:w="4258" w:type="dxa"/>
            <w:noWrap w:val="0"/>
            <w:vAlign w:val="center"/>
          </w:tcPr>
          <w:p>
            <w:pPr>
              <w:spacing w:line="480" w:lineRule="auto"/>
              <w:jc w:val="center"/>
              <w:rPr>
                <w:rFonts w:hint="eastAsia" w:ascii="宋体" w:hAnsi="宋体"/>
                <w:color w:val="auto"/>
                <w:szCs w:val="21"/>
                <w:highlight w:val="none"/>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350" w:type="dxa"/>
            <w:noWrap w:val="0"/>
            <w:vAlign w:val="center"/>
          </w:tcPr>
          <w:p>
            <w:pPr>
              <w:spacing w:line="480" w:lineRule="auto"/>
              <w:jc w:val="center"/>
              <w:rPr>
                <w:rFonts w:hint="eastAsia" w:ascii="宋体" w:hAnsi="宋体"/>
                <w:color w:val="auto"/>
                <w:szCs w:val="21"/>
                <w:highlight w:val="none"/>
              </w:rPr>
            </w:pPr>
          </w:p>
        </w:tc>
        <w:tc>
          <w:tcPr>
            <w:tcW w:w="4258" w:type="dxa"/>
            <w:noWrap w:val="0"/>
            <w:vAlign w:val="center"/>
          </w:tcPr>
          <w:p>
            <w:pPr>
              <w:spacing w:line="480" w:lineRule="auto"/>
              <w:jc w:val="center"/>
              <w:rPr>
                <w:rFonts w:hint="eastAsia" w:ascii="宋体" w:hAnsi="宋体"/>
                <w:color w:val="auto"/>
                <w:szCs w:val="21"/>
                <w:highlight w:val="none"/>
              </w:rPr>
            </w:pPr>
          </w:p>
        </w:tc>
      </w:tr>
    </w:tbl>
    <w:p>
      <w:pPr>
        <w:keepNext w:val="0"/>
        <w:keepLines w:val="0"/>
        <w:pageBreakBefore w:val="0"/>
        <w:widowControl/>
        <w:kinsoku/>
        <w:wordWrap/>
        <w:overflowPunct/>
        <w:topLinePunct w:val="0"/>
        <w:autoSpaceDE/>
        <w:autoSpaceDN/>
        <w:bidi w:val="0"/>
        <w:adjustRightInd/>
        <w:snapToGrid/>
        <w:spacing w:before="625" w:beforeLines="200" w:line="360" w:lineRule="auto"/>
        <w:ind w:firstLine="422" w:firstLineChars="200"/>
        <w:jc w:val="left"/>
        <w:textAlignment w:val="auto"/>
        <w:rPr>
          <w:rStyle w:val="33"/>
          <w:rFonts w:hint="eastAsia" w:ascii="宋体" w:hAnsi="宋体" w:eastAsia="宋体" w:cs="宋体"/>
          <w:b/>
          <w:color w:val="auto"/>
          <w:sz w:val="21"/>
          <w:szCs w:val="21"/>
          <w:highlight w:val="none"/>
        </w:rPr>
      </w:pPr>
      <w:r>
        <w:rPr>
          <w:rStyle w:val="33"/>
          <w:rFonts w:hint="eastAsia" w:ascii="宋体" w:hAnsi="宋体" w:eastAsia="宋体" w:cs="宋体"/>
          <w:b/>
          <w:color w:val="auto"/>
          <w:sz w:val="21"/>
          <w:szCs w:val="21"/>
          <w:highlight w:val="none"/>
        </w:rPr>
        <w:br w:type="page"/>
      </w:r>
    </w:p>
    <w:p>
      <w:pPr>
        <w:jc w:val="center"/>
        <w:outlineLvl w:val="1"/>
        <w:rPr>
          <w:rFonts w:hint="eastAsia" w:ascii="宋体" w:hAnsi="宋体" w:eastAsia="宋体" w:cs="宋体"/>
          <w:b/>
          <w:color w:val="auto"/>
          <w:sz w:val="32"/>
          <w:szCs w:val="32"/>
          <w:highlight w:val="none"/>
        </w:rPr>
      </w:pPr>
      <w:bookmarkStart w:id="38" w:name="_Toc17680"/>
      <w:bookmarkStart w:id="39" w:name="_Toc11290"/>
      <w:bookmarkStart w:id="40" w:name="_Toc42518135"/>
      <w:bookmarkStart w:id="41" w:name="_Toc42794596"/>
      <w:bookmarkStart w:id="42" w:name="_Toc28980"/>
      <w:r>
        <w:rPr>
          <w:rFonts w:hint="eastAsia" w:ascii="宋体" w:hAnsi="宋体" w:eastAsia="宋体" w:cs="宋体"/>
          <w:b/>
          <w:color w:val="auto"/>
          <w:sz w:val="32"/>
          <w:szCs w:val="32"/>
          <w:highlight w:val="none"/>
        </w:rPr>
        <w:t>二、陕西省政府采购供应商</w:t>
      </w:r>
      <w:bookmarkEnd w:id="38"/>
      <w:bookmarkEnd w:id="39"/>
      <w:bookmarkEnd w:id="40"/>
      <w:bookmarkEnd w:id="41"/>
      <w:bookmarkEnd w:id="42"/>
    </w:p>
    <w:p>
      <w:pPr>
        <w:jc w:val="center"/>
        <w:outlineLvl w:val="1"/>
        <w:rPr>
          <w:rFonts w:hint="eastAsia" w:ascii="宋体" w:hAnsi="宋体" w:eastAsia="宋体" w:cs="宋体"/>
          <w:color w:val="auto"/>
          <w:sz w:val="32"/>
          <w:szCs w:val="32"/>
          <w:highlight w:val="none"/>
        </w:rPr>
      </w:pPr>
      <w:bookmarkStart w:id="43" w:name="_Toc13991"/>
      <w:bookmarkStart w:id="44" w:name="_Toc2558"/>
      <w:r>
        <w:rPr>
          <w:rFonts w:hint="eastAsia" w:ascii="宋体" w:hAnsi="宋体" w:eastAsia="宋体" w:cs="宋体"/>
          <w:b/>
          <w:color w:val="auto"/>
          <w:sz w:val="32"/>
          <w:szCs w:val="32"/>
          <w:highlight w:val="none"/>
        </w:rPr>
        <w:t>拒绝政府采购领域商业贿赂承诺书</w:t>
      </w:r>
      <w:bookmarkEnd w:id="43"/>
      <w:bookmarkEnd w:id="44"/>
    </w:p>
    <w:p>
      <w:pPr>
        <w:keepNext w:val="0"/>
        <w:keepLines w:val="0"/>
        <w:pageBreakBefore w:val="0"/>
        <w:widowControl/>
        <w:kinsoku/>
        <w:wordWrap/>
        <w:overflowPunct/>
        <w:topLinePunct w:val="0"/>
        <w:autoSpaceDE/>
        <w:autoSpaceDN/>
        <w:bidi w:val="0"/>
        <w:adjustRightInd/>
        <w:snapToGrid/>
        <w:spacing w:before="313" w:beforeLines="10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为响应党中央、国务院关于治理政府采购领域商业贿赂行为的号召，我公司在此庄严承诺：</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1.在参与政府采购活动中遵纪守法、诚信经营、公平竞标。</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2.不向政府采购人、采购代理机构和政府采购评审专家进行任何形式的商业贿赂以谋取交易机会。</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3.不向政府采购代理机构和采购人提供虚假资质文件或采用虚假响应方式参与政府采购市场竞争并谋取成交、成交。</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4.不采取“围标、陪标”等商业欺诈手段获得政府采购定单。</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5.不采取不正当手段诋毁、排挤其他供应商。</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6.不在提供商品和服务时“偷梁换柱、以次充好”损害采购人的合法权益。</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7.不与采购人、采购代理机构政府采购评审专家或其它供应商恶意串通，进行质疑和投诉，维护政府采购市场秩序。</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8.尊重和接受政府采购监督管理部门的监督和政府采购代理机构磋商采购要求，承担因违约行为给采购人造成的损失。</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9.不发生其他有悖于政府采购公开、公平、公正和诚信原则的行为。</w:t>
      </w:r>
    </w:p>
    <w:p>
      <w:pPr>
        <w:keepNext w:val="0"/>
        <w:keepLines w:val="0"/>
        <w:pageBreakBefore w:val="0"/>
        <w:widowControl/>
        <w:kinsoku/>
        <w:wordWrap/>
        <w:overflowPunct/>
        <w:topLinePunct w:val="0"/>
        <w:autoSpaceDE/>
        <w:autoSpaceDN/>
        <w:bidi w:val="0"/>
        <w:adjustRightInd/>
        <w:snapToGrid/>
        <w:spacing w:before="1093" w:beforeLines="350"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供应商名称：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36"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p>
    <w:p>
      <w:pPr>
        <w:spacing w:line="360" w:lineRule="auto"/>
        <w:ind w:left="1"/>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kern w:val="0"/>
          <w:szCs w:val="21"/>
          <w:highlight w:val="none"/>
        </w:rPr>
        <w:br w:type="page"/>
      </w:r>
      <w:bookmarkStart w:id="45" w:name="_Toc6188"/>
      <w:bookmarkStart w:id="46" w:name="_Toc42518136"/>
      <w:bookmarkStart w:id="47" w:name="_Toc7554"/>
      <w:bookmarkStart w:id="48" w:name="_Toc3496"/>
      <w:bookmarkStart w:id="49" w:name="_Toc42794597"/>
      <w:r>
        <w:rPr>
          <w:rFonts w:hint="eastAsia" w:ascii="宋体" w:hAnsi="宋体" w:eastAsia="宋体" w:cs="宋体"/>
          <w:b/>
          <w:color w:val="auto"/>
          <w:sz w:val="32"/>
          <w:szCs w:val="32"/>
          <w:highlight w:val="none"/>
        </w:rPr>
        <w:t>三、证明文件</w:t>
      </w:r>
      <w:bookmarkEnd w:id="45"/>
      <w:bookmarkEnd w:id="46"/>
      <w:bookmarkEnd w:id="47"/>
      <w:bookmarkEnd w:id="48"/>
      <w:bookmarkEnd w:id="49"/>
    </w:p>
    <w:p>
      <w:pPr>
        <w:spacing w:before="240" w:line="360" w:lineRule="auto"/>
        <w:ind w:left="1"/>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资格证明文件</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提供注册登记凭证（营业执照、其他组织经营的合法凭证，自然人的提供身份证明文件）。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年或202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年经审计的财务报告（包括四表一注，即资产负债表、利润表、现金流量表、所有者权益变动表及其附注）；事业法人提供部门决算报告；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/或在磋商日期前六个月内其基本开户银行出具的资信证明（附《基本存款账户信息》或《银行开户许可证》复印件）；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/或财政部门认可的政府采购专业担保机构出具的磋商担保函；</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/或表明具有良好的商业信誉和健全的财务会计制度的诚信声明；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以上四种形式的资料提供任何一种即可。</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提供声明文件原件。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4）具有依法缴纳税收的良好记录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提供缴费所属日期为磋商截止时间前12个月内任一月份（磋商截止时间当月不计入）的增值税（或</w:t>
      </w:r>
      <w:r>
        <w:rPr>
          <w:rFonts w:hint="eastAsia" w:ascii="宋体" w:hAnsi="宋体" w:cs="宋体"/>
          <w:color w:val="auto"/>
          <w:sz w:val="21"/>
          <w:szCs w:val="21"/>
          <w:highlight w:val="none"/>
          <w:lang w:val="en-US" w:eastAsia="zh-CN"/>
        </w:rPr>
        <w:t>其他税种</w:t>
      </w:r>
      <w:r>
        <w:rPr>
          <w:rFonts w:hint="eastAsia" w:ascii="宋体" w:hAnsi="宋体" w:eastAsia="宋体" w:cs="宋体"/>
          <w:color w:val="auto"/>
          <w:sz w:val="21"/>
          <w:szCs w:val="21"/>
          <w:highlight w:val="none"/>
        </w:rPr>
        <w:t>）缴费凭据或税务机关出具的完税证明/在法规范围内不需提供的应出具书面说明和证明文件；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/或具有依法缴纳税收的诚信声明；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以上二种形式的资料提供任何一种即可。</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5）具有依法缴纳社会保障资金的良好记录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提供缴费所属日期为磋商截止时间前12个月内任一月份（磋商截止时间当月不计入）的缴费凭据或社保机关出具的缴费证明/在法规范围内不需提供的应出具书面说明和证明文件；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/或具有依法缴纳社会保障资金的缴纳记录的诚信声明；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以上二种形式的资料提供任何一种即可。</w:t>
      </w:r>
    </w:p>
    <w:p>
      <w:pPr>
        <w:keepNext w:val="0"/>
        <w:keepLines w:val="0"/>
        <w:pageBreakBefore w:val="0"/>
        <w:widowControl w:val="0"/>
        <w:kinsoku/>
        <w:wordWrap/>
        <w:overflowPunct/>
        <w:topLinePunct w:val="0"/>
        <w:autoSpaceDE/>
        <w:autoSpaceDN/>
        <w:bidi w:val="0"/>
        <w:adjustRightInd/>
        <w:snapToGrid/>
        <w:spacing w:before="167" w:beforeLines="50" w:line="360" w:lineRule="auto"/>
        <w:jc w:val="left"/>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6）参加政府采购活动前3年内在经营活动中没有重大违法记录的书面声明（原件）</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7）法人代表授权书（原件）</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color w:val="auto"/>
          <w:spacing w:val="4"/>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color w:val="auto"/>
          <w:szCs w:val="21"/>
          <w:highlight w:val="none"/>
        </w:rPr>
        <w:t>①以上要求供应商提供的资格证明文件除注明原件外均为复印件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应按照磋商文件的要求自行准备以上证明文件并编目、封装。②除要求在磋商报价时一并提交的原件外，所有要求在磋商响应文件中提供复印件的文件，在评审过程中，竞争性磋商小组可随时要求查验原件，供应商不得拒绝，否则其磋商响应文件将按照无效响应处理。</w:t>
      </w:r>
    </w:p>
    <w:p>
      <w:pPr>
        <w:keepNext w:val="0"/>
        <w:keepLines w:val="0"/>
        <w:pageBreakBefore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说明：后附部分内容参考格式，其他内容供应商自行编制。</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spacing w:line="360" w:lineRule="auto"/>
        <w:ind w:left="1"/>
        <w:rPr>
          <w:rFonts w:hint="eastAsia" w:ascii="宋体" w:hAnsi="宋体" w:eastAsia="宋体" w:cs="宋体"/>
          <w:b/>
          <w:color w:val="auto"/>
          <w:sz w:val="36"/>
          <w:szCs w:val="36"/>
          <w:highlight w:val="none"/>
        </w:rPr>
      </w:pPr>
      <w:r>
        <w:rPr>
          <w:rFonts w:hint="eastAsia" w:ascii="宋体" w:hAnsi="宋体" w:eastAsia="宋体" w:cs="宋体"/>
          <w:b/>
          <w:color w:val="auto"/>
          <w:sz w:val="24"/>
          <w:szCs w:val="24"/>
          <w:highlight w:val="none"/>
        </w:rPr>
        <w:t>附件1：</w:t>
      </w:r>
    </w:p>
    <w:p>
      <w:pPr>
        <w:pStyle w:val="5"/>
        <w:keepNext w:val="0"/>
        <w:keepLines w:val="0"/>
        <w:pageBreakBefore w:val="0"/>
        <w:widowControl/>
        <w:kinsoku/>
        <w:wordWrap/>
        <w:overflowPunct/>
        <w:topLinePunct w:val="0"/>
        <w:autoSpaceDE/>
        <w:autoSpaceDN/>
        <w:bidi w:val="0"/>
        <w:adjustRightInd w:val="0"/>
        <w:snapToGrid/>
        <w:spacing w:before="313" w:beforeLines="100" w:after="313" w:afterLines="100" w:line="360" w:lineRule="auto"/>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供应商无重大违法记录的书面声明格式</w:t>
      </w:r>
    </w:p>
    <w:p>
      <w:pPr>
        <w:spacing w:line="480" w:lineRule="auto"/>
        <w:jc w:val="left"/>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u w:val="single"/>
        </w:rPr>
        <w:t>致：（采购机构名称）、（采购代理机构名称）</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36" w:firstLineChars="200"/>
        <w:jc w:val="left"/>
        <w:textAlignment w:val="baseline"/>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u w:val="single"/>
        </w:rPr>
        <w:t>（供应商名称）</w:t>
      </w:r>
      <w:r>
        <w:rPr>
          <w:rFonts w:hint="eastAsia" w:ascii="宋体" w:hAnsi="宋体" w:eastAsia="宋体" w:cs="宋体"/>
          <w:color w:val="auto"/>
          <w:spacing w:val="4"/>
          <w:szCs w:val="21"/>
          <w:highlight w:val="none"/>
        </w:rPr>
        <w:t>为在中华人民共和国境内合法注册并经营的机构。在此郑重声明，我公司在参与本次政府采购活动前3年内在经营活动中没有重大违法记录。</w:t>
      </w: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widowControl w:val="0"/>
        <w:spacing w:before="156" w:beforeLines="50" w:after="156" w:afterLines="50" w:line="360" w:lineRule="auto"/>
        <w:ind w:firstLine="2398" w:firstLineChars="1100"/>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ind w:firstLine="2398" w:firstLineChars="1100"/>
        <w:jc w:val="left"/>
        <w:textAlignment w:val="auto"/>
        <w:rPr>
          <w:rFonts w:hint="default" w:ascii="宋体" w:hAnsi="宋体" w:eastAsia="宋体" w:cs="宋体"/>
          <w:color w:val="auto"/>
          <w:spacing w:val="4"/>
          <w:szCs w:val="21"/>
          <w:highlight w:val="none"/>
          <w:lang w:val="en-US"/>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p>
    <w:p>
      <w:pPr>
        <w:widowControl w:val="0"/>
        <w:spacing w:before="156" w:beforeLines="50" w:after="156" w:afterLines="50"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 xml:space="preserve">  日期：</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年</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月</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日</w:t>
      </w:r>
    </w:p>
    <w:p>
      <w:pPr>
        <w:spacing w:line="360" w:lineRule="auto"/>
        <w:ind w:left="1"/>
        <w:rPr>
          <w:rFonts w:hint="eastAsia" w:ascii="宋体" w:hAnsi="宋体" w:eastAsia="宋体" w:cs="宋体"/>
          <w:b/>
          <w:color w:val="auto"/>
          <w:sz w:val="30"/>
          <w:szCs w:val="30"/>
          <w:highlight w:val="none"/>
        </w:rPr>
      </w:pPr>
      <w:r>
        <w:rPr>
          <w:rFonts w:hint="eastAsia" w:ascii="宋体" w:hAnsi="宋体" w:eastAsia="宋体" w:cs="宋体"/>
          <w:color w:val="auto"/>
          <w:spacing w:val="4"/>
          <w:sz w:val="24"/>
          <w:szCs w:val="24"/>
          <w:highlight w:val="none"/>
        </w:rPr>
        <w:br w:type="page"/>
      </w:r>
      <w:r>
        <w:rPr>
          <w:rFonts w:hint="eastAsia" w:ascii="宋体" w:hAnsi="宋体" w:eastAsia="宋体" w:cs="宋体"/>
          <w:b/>
          <w:color w:val="auto"/>
          <w:sz w:val="24"/>
          <w:szCs w:val="24"/>
          <w:highlight w:val="none"/>
        </w:rPr>
        <w:t>附件2：</w:t>
      </w:r>
    </w:p>
    <w:p>
      <w:pPr>
        <w:pStyle w:val="5"/>
        <w:keepNext w:val="0"/>
        <w:keepLines w:val="0"/>
        <w:pageBreakBefore w:val="0"/>
        <w:widowControl/>
        <w:kinsoku/>
        <w:wordWrap/>
        <w:overflowPunct/>
        <w:topLinePunct w:val="0"/>
        <w:autoSpaceDE/>
        <w:autoSpaceDN/>
        <w:bidi w:val="0"/>
        <w:adjustRightInd w:val="0"/>
        <w:snapToGrid/>
        <w:spacing w:before="313" w:beforeLines="100" w:after="313" w:afterLines="100" w:line="360" w:lineRule="auto"/>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诚信声明</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rPr>
        <w:t>致：</w:t>
      </w:r>
      <w:r>
        <w:rPr>
          <w:rFonts w:hint="eastAsia" w:ascii="宋体" w:hAnsi="宋体" w:eastAsia="宋体" w:cs="宋体"/>
          <w:color w:val="auto"/>
          <w:spacing w:val="4"/>
          <w:szCs w:val="21"/>
          <w:highlight w:val="none"/>
          <w:u w:val="single"/>
        </w:rPr>
        <w:t>（采购人名称）、（采购代理机构名称）</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项目名称：</w:t>
      </w:r>
      <w:r>
        <w:rPr>
          <w:rFonts w:hint="eastAsia" w:ascii="宋体" w:hAnsi="宋体" w:eastAsia="宋体" w:cs="宋体"/>
          <w:color w:val="auto"/>
          <w:spacing w:val="4"/>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rPr>
        <w:t>项目编号：</w:t>
      </w:r>
      <w:r>
        <w:rPr>
          <w:rFonts w:hint="eastAsia" w:ascii="宋体" w:hAnsi="宋体" w:eastAsia="宋体" w:cs="宋体"/>
          <w:color w:val="auto"/>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u w:val="single"/>
        </w:rPr>
        <w:t xml:space="preserve">     （供应商名称）     </w:t>
      </w:r>
      <w:r>
        <w:rPr>
          <w:rFonts w:hint="eastAsia" w:ascii="宋体" w:hAnsi="宋体" w:eastAsia="宋体" w:cs="宋体"/>
          <w:color w:val="auto"/>
          <w:spacing w:val="4"/>
          <w:szCs w:val="21"/>
          <w:highlight w:val="none"/>
        </w:rPr>
        <w:t>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并按磋商文件要求提供相关证明材料。</w:t>
      </w:r>
    </w:p>
    <w:p>
      <w:pPr>
        <w:keepNext w:val="0"/>
        <w:keepLines w:val="0"/>
        <w:pageBreakBefore w:val="0"/>
        <w:kinsoku/>
        <w:wordWrap/>
        <w:overflowPunct/>
        <w:topLinePunct w:val="0"/>
        <w:autoSpaceDE/>
        <w:autoSpaceDN/>
        <w:bidi w:val="0"/>
        <w:adjustRightInd/>
        <w:snapToGrid/>
        <w:spacing w:before="157" w:beforeLines="50"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特此声明。</w:t>
      </w:r>
    </w:p>
    <w:p>
      <w:pPr>
        <w:spacing w:line="360" w:lineRule="auto"/>
        <w:jc w:val="left"/>
        <w:rPr>
          <w:rFonts w:hint="eastAsia" w:ascii="宋体" w:hAnsi="宋体" w:eastAsia="宋体" w:cs="宋体"/>
          <w:color w:val="auto"/>
          <w:spacing w:val="4"/>
          <w:szCs w:val="21"/>
          <w:highlight w:val="none"/>
          <w:u w:val="single"/>
        </w:rPr>
      </w:pPr>
    </w:p>
    <w:p>
      <w:pPr>
        <w:spacing w:line="360" w:lineRule="auto"/>
        <w:jc w:val="left"/>
        <w:rPr>
          <w:rFonts w:hint="eastAsia" w:ascii="宋体" w:hAnsi="宋体" w:eastAsia="宋体" w:cs="宋体"/>
          <w:color w:val="auto"/>
          <w:spacing w:val="4"/>
          <w:szCs w:val="21"/>
          <w:highlight w:val="none"/>
          <w:u w:val="single"/>
        </w:rPr>
      </w:pPr>
    </w:p>
    <w:p>
      <w:pPr>
        <w:widowControl w:val="0"/>
        <w:spacing w:before="156" w:beforeLines="50" w:after="156" w:afterLines="50" w:line="360" w:lineRule="auto"/>
        <w:ind w:firstLine="2243" w:firstLineChars="1029"/>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ind w:firstLine="2243" w:firstLineChars="1029"/>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p>
    <w:p>
      <w:pPr>
        <w:widowControl w:val="0"/>
        <w:spacing w:before="156" w:beforeLines="50" w:after="156" w:afterLines="50"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 xml:space="preserve"> 日期：</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年</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月</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日</w:t>
      </w:r>
    </w:p>
    <w:p>
      <w:pPr>
        <w:spacing w:line="360" w:lineRule="auto"/>
        <w:jc w:val="left"/>
        <w:rPr>
          <w:rStyle w:val="33"/>
          <w:rFonts w:hint="eastAsia" w:ascii="宋体" w:hAnsi="宋体" w:eastAsia="宋体" w:cs="宋体"/>
          <w:b/>
          <w:color w:val="auto"/>
          <w:highlight w:val="none"/>
        </w:rPr>
      </w:pPr>
      <w:r>
        <w:rPr>
          <w:rStyle w:val="33"/>
          <w:rFonts w:hint="eastAsia" w:ascii="宋体" w:hAnsi="宋体" w:eastAsia="宋体" w:cs="宋体"/>
          <w:b/>
          <w:color w:val="auto"/>
          <w:highlight w:val="none"/>
        </w:rPr>
        <w:br w:type="page"/>
      </w:r>
    </w:p>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w:t>
      </w:r>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ind w:left="0"/>
        <w:jc w:val="center"/>
        <w:textAlignment w:val="baseline"/>
        <w:rPr>
          <w:rFonts w:hint="eastAsia" w:ascii="宋体" w:eastAsia="宋体" w:cs="宋体"/>
          <w:b/>
          <w:color w:val="auto"/>
          <w:sz w:val="30"/>
          <w:szCs w:val="30"/>
          <w:highlight w:val="none"/>
          <w:lang w:eastAsia="zh-CN"/>
        </w:rPr>
      </w:pPr>
      <w:r>
        <w:rPr>
          <w:rFonts w:hint="eastAsia" w:ascii="宋体" w:hAnsi="宋体" w:cs="宋体"/>
          <w:b/>
          <w:color w:val="auto"/>
          <w:sz w:val="30"/>
          <w:szCs w:val="30"/>
          <w:highlight w:val="none"/>
        </w:rPr>
        <w:t>中小企业声明函</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货物</w:t>
      </w:r>
      <w:r>
        <w:rPr>
          <w:rFonts w:hint="eastAsia" w:ascii="宋体" w:hAnsi="宋体" w:cs="宋体"/>
          <w:b/>
          <w:color w:val="auto"/>
          <w:sz w:val="30"/>
          <w:szCs w:val="30"/>
          <w:highlight w:val="none"/>
          <w:lang w:eastAsia="zh-CN"/>
        </w:rPr>
        <w:t>）</w:t>
      </w:r>
    </w:p>
    <w:p>
      <w:pPr>
        <w:spacing w:line="360" w:lineRule="auto"/>
        <w:ind w:firstLine="436" w:firstLineChars="200"/>
        <w:jc w:val="left"/>
        <w:rPr>
          <w:rFonts w:ascii="宋体"/>
          <w:color w:val="auto"/>
          <w:spacing w:val="4"/>
          <w:szCs w:val="21"/>
          <w:highlight w:val="none"/>
        </w:rPr>
      </w:pPr>
      <w:r>
        <w:rPr>
          <w:rFonts w:hint="eastAsia" w:ascii="宋体" w:hAnsi="宋体"/>
          <w:color w:val="auto"/>
          <w:spacing w:val="4"/>
          <w:szCs w:val="21"/>
          <w:highlight w:val="none"/>
        </w:rPr>
        <w:t>本公司（联合体）郑重声明，根据《政府采购促进中小企业发展管理办法》（财库﹝</w:t>
      </w:r>
      <w:r>
        <w:rPr>
          <w:rFonts w:ascii="宋体" w:hAnsi="宋体"/>
          <w:color w:val="auto"/>
          <w:spacing w:val="4"/>
          <w:szCs w:val="21"/>
          <w:highlight w:val="none"/>
        </w:rPr>
        <w:t>2020</w:t>
      </w:r>
      <w:r>
        <w:rPr>
          <w:rFonts w:hint="eastAsia" w:ascii="宋体" w:hAnsi="宋体"/>
          <w:color w:val="auto"/>
          <w:spacing w:val="4"/>
          <w:szCs w:val="21"/>
          <w:highlight w:val="none"/>
        </w:rPr>
        <w:t>﹞</w:t>
      </w:r>
      <w:r>
        <w:rPr>
          <w:rFonts w:ascii="宋体" w:hAnsi="宋体"/>
          <w:color w:val="auto"/>
          <w:spacing w:val="4"/>
          <w:szCs w:val="21"/>
          <w:highlight w:val="none"/>
        </w:rPr>
        <w:t>46</w:t>
      </w:r>
      <w:r>
        <w:rPr>
          <w:rFonts w:hint="eastAsia" w:ascii="宋体" w:hAnsi="宋体"/>
          <w:color w:val="auto"/>
          <w:spacing w:val="4"/>
          <w:szCs w:val="21"/>
          <w:highlight w:val="none"/>
        </w:rPr>
        <w:t>号）的规定，本公司（联合体）参加</w:t>
      </w:r>
      <w:r>
        <w:rPr>
          <w:rFonts w:hint="eastAsia" w:ascii="宋体" w:hAnsi="宋体"/>
          <w:i/>
          <w:color w:val="auto"/>
          <w:spacing w:val="4"/>
          <w:szCs w:val="21"/>
          <w:highlight w:val="none"/>
          <w:u w:val="single"/>
        </w:rPr>
        <w:t>（单位名称）</w:t>
      </w:r>
      <w:r>
        <w:rPr>
          <w:rFonts w:hint="eastAsia" w:ascii="宋体" w:hAnsi="宋体"/>
          <w:color w:val="auto"/>
          <w:spacing w:val="4"/>
          <w:szCs w:val="21"/>
          <w:highlight w:val="none"/>
        </w:rPr>
        <w:t>的</w:t>
      </w:r>
      <w:r>
        <w:rPr>
          <w:rFonts w:hint="eastAsia" w:ascii="宋体" w:hAnsi="宋体"/>
          <w:i/>
          <w:color w:val="auto"/>
          <w:spacing w:val="4"/>
          <w:szCs w:val="21"/>
          <w:highlight w:val="none"/>
          <w:u w:val="single"/>
        </w:rPr>
        <w:t>（项目名称）</w:t>
      </w:r>
      <w:r>
        <w:rPr>
          <w:rFonts w:hint="eastAsia" w:ascii="宋体" w:hAnsi="宋体"/>
          <w:color w:val="auto"/>
          <w:spacing w:val="4"/>
          <w:szCs w:val="21"/>
          <w:highlight w:val="none"/>
        </w:rPr>
        <w:t>采购活动，提供的货物全部由符合政策要求的中小企业制造。相关企业（含联合体中的中小企业、签订分包意向协议的中小企业）的具体情况如下：</w:t>
      </w:r>
      <w:r>
        <w:rPr>
          <w:rFonts w:ascii="宋体" w:hAnsi="宋体"/>
          <w:color w:val="auto"/>
          <w:spacing w:val="4"/>
          <w:szCs w:val="21"/>
          <w:highlight w:val="none"/>
        </w:rPr>
        <w:t xml:space="preserve"> </w:t>
      </w:r>
    </w:p>
    <w:p>
      <w:pPr>
        <w:spacing w:line="360" w:lineRule="auto"/>
        <w:ind w:firstLine="436" w:firstLineChars="200"/>
        <w:jc w:val="left"/>
        <w:rPr>
          <w:rFonts w:ascii="宋体"/>
          <w:color w:val="auto"/>
          <w:spacing w:val="4"/>
          <w:szCs w:val="21"/>
          <w:highlight w:val="none"/>
        </w:rPr>
      </w:pPr>
      <w:r>
        <w:rPr>
          <w:rFonts w:ascii="宋体" w:hAnsi="宋体"/>
          <w:color w:val="auto"/>
          <w:spacing w:val="4"/>
          <w:szCs w:val="21"/>
          <w:highlight w:val="none"/>
        </w:rPr>
        <w:t>1.</w:t>
      </w:r>
      <w:r>
        <w:rPr>
          <w:rFonts w:hint="eastAsia" w:ascii="宋体" w:hAnsi="宋体"/>
          <w:i/>
          <w:color w:val="auto"/>
          <w:spacing w:val="4"/>
          <w:szCs w:val="21"/>
          <w:highlight w:val="none"/>
          <w:u w:val="single"/>
        </w:rPr>
        <w:t>（标的名称）</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rPr>
        <w:t>（采购文件中明确的所属行业）</w:t>
      </w:r>
      <w:r>
        <w:rPr>
          <w:rFonts w:hint="eastAsia" w:ascii="宋体" w:hAnsi="宋体"/>
          <w:color w:val="auto"/>
          <w:spacing w:val="4"/>
          <w:szCs w:val="21"/>
          <w:highlight w:val="none"/>
        </w:rPr>
        <w:t>；制造商为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w:t>
      </w:r>
      <w:r>
        <w:rPr>
          <w:rFonts w:ascii="宋体" w:hAnsi="宋体"/>
          <w:color w:val="auto"/>
          <w:spacing w:val="4"/>
          <w:szCs w:val="21"/>
          <w:highlight w:val="none"/>
        </w:rPr>
        <w:t xml:space="preserve"> </w:t>
      </w:r>
    </w:p>
    <w:p>
      <w:pPr>
        <w:spacing w:line="360" w:lineRule="auto"/>
        <w:ind w:firstLine="436" w:firstLineChars="200"/>
        <w:jc w:val="left"/>
        <w:rPr>
          <w:rFonts w:ascii="宋体"/>
          <w:color w:val="auto"/>
          <w:spacing w:val="4"/>
          <w:szCs w:val="21"/>
          <w:highlight w:val="none"/>
        </w:rPr>
      </w:pPr>
      <w:r>
        <w:rPr>
          <w:rFonts w:ascii="宋体" w:hAnsi="宋体"/>
          <w:color w:val="auto"/>
          <w:spacing w:val="4"/>
          <w:szCs w:val="21"/>
          <w:highlight w:val="none"/>
        </w:rPr>
        <w:t>2.</w:t>
      </w:r>
      <w:r>
        <w:rPr>
          <w:rFonts w:hint="eastAsia" w:ascii="宋体" w:hAnsi="宋体"/>
          <w:i/>
          <w:color w:val="auto"/>
          <w:spacing w:val="4"/>
          <w:szCs w:val="21"/>
          <w:highlight w:val="none"/>
          <w:u w:val="single"/>
        </w:rPr>
        <w:t>（标的名称）</w:t>
      </w:r>
      <w:r>
        <w:rPr>
          <w:rFonts w:hint="eastAsia" w:ascii="宋体" w:hAnsi="宋体"/>
          <w:color w:val="auto"/>
          <w:spacing w:val="4"/>
          <w:szCs w:val="21"/>
          <w:highlight w:val="none"/>
        </w:rPr>
        <w:t>，属于（采购文件中明确的所属行业）；制造商为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w:t>
      </w:r>
      <w:r>
        <w:rPr>
          <w:rFonts w:ascii="宋体" w:hAnsi="宋体"/>
          <w:color w:val="auto"/>
          <w:spacing w:val="4"/>
          <w:szCs w:val="21"/>
          <w:highlight w:val="none"/>
        </w:rPr>
        <w:t xml:space="preserve"> </w:t>
      </w:r>
    </w:p>
    <w:p>
      <w:pPr>
        <w:spacing w:line="360" w:lineRule="auto"/>
        <w:ind w:firstLine="436" w:firstLineChars="200"/>
        <w:jc w:val="left"/>
        <w:rPr>
          <w:rFonts w:ascii="宋体"/>
          <w:color w:val="auto"/>
          <w:spacing w:val="4"/>
          <w:szCs w:val="21"/>
          <w:highlight w:val="none"/>
        </w:rPr>
      </w:pPr>
      <w:r>
        <w:rPr>
          <w:rFonts w:hint="eastAsia" w:ascii="宋体" w:hAnsi="宋体"/>
          <w:color w:val="auto"/>
          <w:spacing w:val="4"/>
          <w:szCs w:val="21"/>
          <w:highlight w:val="none"/>
        </w:rPr>
        <w:t>……</w:t>
      </w:r>
      <w:r>
        <w:rPr>
          <w:rFonts w:ascii="宋体" w:hAnsi="宋体"/>
          <w:color w:val="auto"/>
          <w:spacing w:val="4"/>
          <w:szCs w:val="21"/>
          <w:highlight w:val="none"/>
        </w:rPr>
        <w:t xml:space="preserve"> </w:t>
      </w:r>
    </w:p>
    <w:p>
      <w:pPr>
        <w:spacing w:line="360" w:lineRule="auto"/>
        <w:ind w:firstLine="436" w:firstLineChars="200"/>
        <w:jc w:val="left"/>
        <w:rPr>
          <w:rFonts w:ascii="宋体"/>
          <w:color w:val="auto"/>
          <w:spacing w:val="4"/>
          <w:szCs w:val="21"/>
          <w:highlight w:val="none"/>
        </w:rPr>
      </w:pPr>
      <w:r>
        <w:rPr>
          <w:rFonts w:hint="eastAsia" w:ascii="宋体" w:hAnsi="宋体"/>
          <w:color w:val="auto"/>
          <w:spacing w:val="4"/>
          <w:szCs w:val="21"/>
          <w:highlight w:val="none"/>
        </w:rPr>
        <w:t>以上企业，不属于大企业的分支机构，不存在控股股东为大企业的情形，也不存在与大企业的负责人为同一人的情形。</w:t>
      </w:r>
      <w:r>
        <w:rPr>
          <w:rFonts w:ascii="宋体" w:hAnsi="宋体"/>
          <w:color w:val="auto"/>
          <w:spacing w:val="4"/>
          <w:szCs w:val="21"/>
          <w:highlight w:val="none"/>
        </w:rPr>
        <w:t xml:space="preserve"> </w:t>
      </w:r>
    </w:p>
    <w:p>
      <w:pPr>
        <w:spacing w:line="360" w:lineRule="auto"/>
        <w:ind w:firstLine="436" w:firstLineChars="200"/>
        <w:jc w:val="left"/>
        <w:rPr>
          <w:rFonts w:ascii="宋体"/>
          <w:color w:val="auto"/>
          <w:spacing w:val="4"/>
          <w:szCs w:val="21"/>
          <w:highlight w:val="none"/>
        </w:rPr>
      </w:pPr>
      <w:r>
        <w:rPr>
          <w:rFonts w:hint="eastAsia" w:ascii="宋体" w:hAnsi="宋体"/>
          <w:color w:val="auto"/>
          <w:spacing w:val="4"/>
          <w:szCs w:val="21"/>
          <w:highlight w:val="none"/>
        </w:rPr>
        <w:t>本企业对上述声明内容的真实性负责。如有虚假，将依法承担相应责任。</w:t>
      </w:r>
      <w:r>
        <w:rPr>
          <w:rFonts w:ascii="宋体" w:hAnsi="宋体"/>
          <w:color w:val="auto"/>
          <w:spacing w:val="4"/>
          <w:szCs w:val="21"/>
          <w:highlight w:val="none"/>
        </w:rPr>
        <w:t xml:space="preserve"> </w:t>
      </w:r>
    </w:p>
    <w:p>
      <w:pPr>
        <w:spacing w:line="360" w:lineRule="auto"/>
        <w:ind w:firstLine="3815" w:firstLineChars="1750"/>
        <w:jc w:val="left"/>
        <w:rPr>
          <w:rFonts w:ascii="宋体"/>
          <w:color w:val="auto"/>
          <w:spacing w:val="4"/>
          <w:szCs w:val="21"/>
          <w:highlight w:val="none"/>
        </w:rPr>
      </w:pPr>
    </w:p>
    <w:p>
      <w:pPr>
        <w:spacing w:line="360" w:lineRule="auto"/>
        <w:rPr>
          <w:rFonts w:hint="eastAsia" w:ascii="宋体" w:hAnsi="宋体" w:eastAsia="宋体" w:cs="宋体"/>
          <w:color w:val="auto"/>
          <w:spacing w:val="4"/>
          <w:szCs w:val="21"/>
          <w:highlight w:val="none"/>
        </w:rPr>
      </w:pPr>
    </w:p>
    <w:p>
      <w:pPr>
        <w:widowControl w:val="0"/>
        <w:spacing w:before="156" w:beforeLines="50" w:after="156" w:afterLines="50" w:line="360" w:lineRule="auto"/>
        <w:ind w:firstLine="3110" w:firstLineChars="1427"/>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 xml:space="preserve">                                              日   期：</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年</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月</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pacing w:val="4"/>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pacing w:val="4"/>
          <w:sz w:val="24"/>
          <w:szCs w:val="24"/>
          <w:highlight w:val="none"/>
          <w:lang w:val="en-US" w:eastAsia="zh-CN"/>
        </w:rPr>
      </w:pPr>
    </w:p>
    <w:p>
      <w:pPr>
        <w:pStyle w:val="8"/>
        <w:keepNext w:val="0"/>
        <w:keepLines w:val="0"/>
        <w:pageBreakBefore w:val="0"/>
        <w:widowControl/>
        <w:kinsoku/>
        <w:wordWrap/>
        <w:overflowPunct/>
        <w:topLinePunct w:val="0"/>
        <w:autoSpaceDE/>
        <w:autoSpaceDN/>
        <w:bidi w:val="0"/>
        <w:adjustRightInd/>
        <w:snapToGrid/>
        <w:spacing w:after="0" w:line="360" w:lineRule="auto"/>
        <w:ind w:right="0"/>
        <w:textAlignment w:val="baseline"/>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注：</w:t>
      </w:r>
      <w:r>
        <w:rPr>
          <w:rFonts w:hint="eastAsia" w:hAnsi="宋体" w:cs="宋体"/>
          <w:b/>
          <w:bCs/>
          <w:color w:val="auto"/>
          <w:spacing w:val="4"/>
          <w:kern w:val="2"/>
          <w:sz w:val="21"/>
          <w:szCs w:val="21"/>
          <w:highlight w:val="none"/>
          <w:lang w:val="en-US" w:eastAsia="zh-CN" w:bidi="ar-SA"/>
        </w:rPr>
        <w:t>①</w:t>
      </w:r>
      <w:r>
        <w:rPr>
          <w:rFonts w:hint="eastAsia" w:ascii="宋体" w:hAnsi="宋体" w:eastAsia="宋体" w:cs="宋体"/>
          <w:b/>
          <w:bCs/>
          <w:color w:val="auto"/>
          <w:spacing w:val="4"/>
          <w:kern w:val="2"/>
          <w:sz w:val="21"/>
          <w:szCs w:val="21"/>
          <w:highlight w:val="none"/>
          <w:lang w:val="en-US" w:eastAsia="zh-CN" w:bidi="ar-SA"/>
        </w:rPr>
        <w:t>本项目采购标的对应的中小企业划分标准所属行业为软件和信息技术服务业。（所属行业类别供应商不得更改，非中小企业，无须附此表，否则由此产生的一切不利后果由供应商自行承担。）</w:t>
      </w:r>
    </w:p>
    <w:p>
      <w:pPr>
        <w:pStyle w:val="8"/>
        <w:keepNext w:val="0"/>
        <w:keepLines w:val="0"/>
        <w:pageBreakBefore w:val="0"/>
        <w:widowControl/>
        <w:kinsoku/>
        <w:wordWrap/>
        <w:overflowPunct/>
        <w:topLinePunct w:val="0"/>
        <w:autoSpaceDE/>
        <w:autoSpaceDN/>
        <w:bidi w:val="0"/>
        <w:adjustRightInd/>
        <w:snapToGrid/>
        <w:spacing w:after="0" w:line="360" w:lineRule="auto"/>
        <w:ind w:right="0"/>
        <w:textAlignment w:val="baseline"/>
        <w:rPr>
          <w:rFonts w:hint="eastAsia" w:ascii="宋体" w:hAnsi="宋体" w:eastAsia="宋体" w:cs="宋体"/>
          <w:b/>
          <w:bCs/>
          <w:color w:val="auto"/>
          <w:spacing w:val="4"/>
          <w:kern w:val="2"/>
          <w:sz w:val="21"/>
          <w:szCs w:val="21"/>
          <w:highlight w:val="none"/>
          <w:lang w:val="en-US" w:eastAsia="zh-CN" w:bidi="ar-SA"/>
        </w:rPr>
      </w:pPr>
      <w:r>
        <w:rPr>
          <w:rFonts w:hint="eastAsia" w:hAnsi="宋体" w:cs="宋体"/>
          <w:b/>
          <w:bCs/>
          <w:color w:val="auto"/>
          <w:spacing w:val="4"/>
          <w:kern w:val="2"/>
          <w:sz w:val="21"/>
          <w:szCs w:val="21"/>
          <w:highlight w:val="none"/>
          <w:lang w:val="en-US" w:eastAsia="zh-CN" w:bidi="ar-SA"/>
        </w:rPr>
        <w:t>②</w:t>
      </w:r>
      <w:r>
        <w:rPr>
          <w:rFonts w:hint="eastAsia" w:ascii="宋体" w:hAnsi="宋体" w:eastAsia="宋体" w:cs="宋体"/>
          <w:b/>
          <w:bCs/>
          <w:color w:val="auto"/>
          <w:spacing w:val="4"/>
          <w:kern w:val="2"/>
          <w:sz w:val="21"/>
          <w:szCs w:val="21"/>
          <w:highlight w:val="none"/>
          <w:lang w:val="en-US" w:eastAsia="zh-CN" w:bidi="ar-SA"/>
        </w:rPr>
        <w:t>从业人员、营业收入、资产总额填报上一年度数据，无上一年度数据的新成立企业可不填报。</w:t>
      </w:r>
    </w:p>
    <w:p>
      <w:pPr>
        <w:rPr>
          <w:rFonts w:hint="eastAsia" w:ascii="宋体" w:hAnsi="宋体" w:eastAsia="宋体" w:cs="宋体"/>
          <w:b/>
          <w:color w:val="auto"/>
          <w:sz w:val="24"/>
          <w:szCs w:val="24"/>
          <w:highlight w:val="none"/>
        </w:rPr>
      </w:pPr>
      <w:bookmarkStart w:id="50" w:name="OLE_LINK14"/>
      <w:bookmarkStart w:id="51" w:name="OLE_LINK13"/>
      <w:r>
        <w:rPr>
          <w:rFonts w:hint="eastAsia" w:ascii="宋体" w:hAnsi="宋体" w:eastAsia="宋体" w:cs="宋体"/>
          <w:b/>
          <w:color w:val="auto"/>
          <w:sz w:val="24"/>
          <w:szCs w:val="24"/>
          <w:highlight w:val="none"/>
        </w:rPr>
        <w:br w:type="page"/>
      </w:r>
    </w:p>
    <w:p>
      <w:pPr>
        <w:spacing w:line="588" w:lineRule="exact"/>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t>附件4：</w:t>
      </w:r>
    </w:p>
    <w:p>
      <w:pPr>
        <w:pStyle w:val="5"/>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残疾人福利性单位声明函</w:t>
      </w:r>
    </w:p>
    <w:bookmarkEnd w:id="50"/>
    <w:bookmarkEnd w:id="51"/>
    <w:p>
      <w:pPr>
        <w:spacing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单位的</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项目采购活动提供服务。</w:t>
      </w:r>
    </w:p>
    <w:p>
      <w:pPr>
        <w:spacing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本单位对上述声明的真实性负责。如有虚假，将依法承担相应责任。</w:t>
      </w:r>
    </w:p>
    <w:p>
      <w:pPr>
        <w:spacing w:line="360" w:lineRule="auto"/>
        <w:ind w:left="1"/>
        <w:rPr>
          <w:rFonts w:hint="eastAsia" w:ascii="宋体" w:hAnsi="宋体" w:eastAsia="宋体" w:cs="宋体"/>
          <w:color w:val="auto"/>
          <w:szCs w:val="21"/>
          <w:highlight w:val="none"/>
        </w:rPr>
      </w:pPr>
    </w:p>
    <w:p>
      <w:pPr>
        <w:pStyle w:val="19"/>
        <w:rPr>
          <w:rFonts w:hint="eastAsia" w:ascii="宋体" w:hAnsi="宋体" w:eastAsia="宋体" w:cs="宋体"/>
          <w:color w:val="auto"/>
          <w:szCs w:val="21"/>
          <w:highlight w:val="none"/>
        </w:rPr>
      </w:pPr>
    </w:p>
    <w:p>
      <w:pPr>
        <w:pStyle w:val="19"/>
        <w:rPr>
          <w:rFonts w:hint="eastAsia" w:ascii="宋体" w:hAnsi="宋体" w:eastAsia="宋体" w:cs="宋体"/>
          <w:color w:val="auto"/>
          <w:szCs w:val="21"/>
          <w:highlight w:val="none"/>
        </w:rPr>
      </w:pPr>
    </w:p>
    <w:p>
      <w:pPr>
        <w:pStyle w:val="19"/>
        <w:rPr>
          <w:rFonts w:hint="eastAsia" w:ascii="宋体" w:hAnsi="宋体" w:eastAsia="宋体" w:cs="宋体"/>
          <w:color w:val="auto"/>
          <w:szCs w:val="21"/>
          <w:highlight w:val="none"/>
        </w:rPr>
      </w:pPr>
    </w:p>
    <w:p>
      <w:pPr>
        <w:pStyle w:val="19"/>
        <w:rPr>
          <w:rFonts w:hint="eastAsia" w:ascii="宋体" w:hAnsi="宋体" w:eastAsia="宋体" w:cs="宋体"/>
          <w:color w:val="auto"/>
          <w:szCs w:val="21"/>
          <w:highlight w:val="none"/>
        </w:rPr>
      </w:pPr>
    </w:p>
    <w:p>
      <w:pPr>
        <w:pStyle w:val="19"/>
        <w:rPr>
          <w:rFonts w:hint="eastAsia" w:ascii="宋体" w:hAnsi="宋体" w:eastAsia="宋体" w:cs="宋体"/>
          <w:color w:val="auto"/>
          <w:szCs w:val="21"/>
          <w:highlight w:val="none"/>
        </w:rPr>
      </w:pPr>
    </w:p>
    <w:p>
      <w:pPr>
        <w:widowControl w:val="0"/>
        <w:spacing w:before="156" w:beforeLines="50" w:after="156" w:afterLines="50" w:line="360" w:lineRule="auto"/>
        <w:ind w:firstLine="3110" w:firstLineChars="1427"/>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jc w:val="center"/>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 xml:space="preserve">                                            日  期：     年     月    日</w:t>
      </w: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注：非残疾人福利性单位，无须附此表</w:t>
      </w:r>
      <w:r>
        <w:rPr>
          <w:rFonts w:hint="eastAsia" w:ascii="宋体" w:hAnsi="宋体" w:eastAsia="宋体" w:cs="宋体"/>
          <w:b/>
          <w:bCs/>
          <w:color w:val="auto"/>
          <w:spacing w:val="4"/>
          <w:sz w:val="24"/>
          <w:szCs w:val="24"/>
          <w:highlight w:val="none"/>
          <w:lang w:eastAsia="zh-CN"/>
        </w:rPr>
        <w:t>，</w:t>
      </w:r>
      <w:r>
        <w:rPr>
          <w:rFonts w:hint="eastAsia" w:ascii="宋体" w:hAnsi="宋体" w:eastAsia="宋体" w:cs="宋体"/>
          <w:b/>
          <w:bCs/>
          <w:color w:val="auto"/>
          <w:spacing w:val="4"/>
          <w:sz w:val="24"/>
          <w:szCs w:val="24"/>
          <w:highlight w:val="none"/>
          <w:lang w:val="en-US" w:eastAsia="zh-CN"/>
        </w:rPr>
        <w:t>否则由此产生的一切不利后果由供应商自行承担</w:t>
      </w:r>
      <w:r>
        <w:rPr>
          <w:rFonts w:hint="eastAsia" w:ascii="宋体" w:hAnsi="宋体" w:eastAsia="宋体" w:cs="宋体"/>
          <w:b/>
          <w:bCs/>
          <w:color w:val="auto"/>
          <w:spacing w:val="4"/>
          <w:sz w:val="24"/>
          <w:szCs w:val="24"/>
          <w:highlight w:val="none"/>
        </w:rPr>
        <w:t>。</w:t>
      </w:r>
    </w:p>
    <w:p>
      <w:pPr>
        <w:widowControl w:val="0"/>
        <w:spacing w:before="156" w:beforeLines="50" w:after="156" w:afterLines="50" w:line="360" w:lineRule="auto"/>
        <w:jc w:val="left"/>
        <w:textAlignment w:val="auto"/>
        <w:rPr>
          <w:rFonts w:hint="eastAsia" w:ascii="宋体" w:hAnsi="宋体" w:eastAsia="宋体" w:cs="宋体"/>
          <w:b/>
          <w:color w:val="auto"/>
          <w:sz w:val="24"/>
          <w:szCs w:val="24"/>
          <w:highlight w:val="none"/>
        </w:rPr>
      </w:pPr>
      <w:r>
        <w:rPr>
          <w:rStyle w:val="33"/>
          <w:rFonts w:hint="eastAsia" w:ascii="宋体" w:hAnsi="宋体" w:eastAsia="宋体" w:cs="宋体"/>
          <w:color w:val="auto"/>
          <w:highlight w:val="none"/>
        </w:rPr>
        <w:br w:type="page"/>
      </w: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highlight w:val="none"/>
        </w:rPr>
      </w:pPr>
    </w:p>
    <w:p>
      <w:pPr>
        <w:spacing w:line="360" w:lineRule="auto"/>
        <w:ind w:left="1"/>
        <w:jc w:val="center"/>
        <w:outlineLvl w:val="0"/>
        <w:rPr>
          <w:rFonts w:hint="eastAsia" w:ascii="宋体" w:hAnsi="宋体" w:eastAsia="宋体" w:cs="宋体"/>
          <w:b/>
          <w:color w:val="auto"/>
          <w:sz w:val="36"/>
          <w:szCs w:val="36"/>
          <w:highlight w:val="none"/>
        </w:rPr>
      </w:pPr>
      <w:bookmarkStart w:id="52" w:name="_Toc8542"/>
      <w:bookmarkStart w:id="53" w:name="_Toc2148"/>
      <w:r>
        <w:rPr>
          <w:rFonts w:hint="eastAsia" w:ascii="宋体" w:hAnsi="宋体" w:eastAsia="宋体" w:cs="宋体"/>
          <w:b/>
          <w:color w:val="auto"/>
          <w:sz w:val="44"/>
          <w:szCs w:val="44"/>
          <w:highlight w:val="none"/>
        </w:rPr>
        <w:t>政府采购</w:t>
      </w:r>
      <w:r>
        <w:rPr>
          <w:rFonts w:hint="eastAsia" w:ascii="宋体" w:hAnsi="宋体" w:cs="宋体"/>
          <w:b/>
          <w:color w:val="auto"/>
          <w:sz w:val="44"/>
          <w:szCs w:val="44"/>
          <w:highlight w:val="none"/>
          <w:lang w:val="en-US" w:eastAsia="zh-CN"/>
        </w:rPr>
        <w:t>货物</w:t>
      </w:r>
      <w:r>
        <w:rPr>
          <w:rFonts w:hint="eastAsia" w:ascii="宋体" w:hAnsi="宋体" w:eastAsia="宋体" w:cs="宋体"/>
          <w:b/>
          <w:color w:val="auto"/>
          <w:sz w:val="44"/>
          <w:szCs w:val="44"/>
          <w:highlight w:val="none"/>
        </w:rPr>
        <w:t>项目</w:t>
      </w:r>
      <w:bookmarkEnd w:id="52"/>
      <w:bookmarkEnd w:id="53"/>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pPr>
        <w:jc w:val="center"/>
        <w:rPr>
          <w:rFonts w:hint="eastAsia" w:ascii="宋体" w:hAnsi="宋体" w:eastAsia="宋体" w:cs="宋体"/>
          <w:b/>
          <w:color w:val="auto"/>
          <w:sz w:val="36"/>
          <w:szCs w:val="36"/>
          <w:highlight w:val="none"/>
        </w:rPr>
      </w:pPr>
    </w:p>
    <w:p>
      <w:pPr>
        <w:pStyle w:val="4"/>
        <w:jc w:val="center"/>
        <w:rPr>
          <w:rFonts w:hint="eastAsia" w:ascii="宋体" w:hAnsi="宋体" w:eastAsia="宋体" w:cs="宋体"/>
          <w:bCs w:val="0"/>
          <w:color w:val="auto"/>
          <w:sz w:val="36"/>
          <w:szCs w:val="36"/>
          <w:highlight w:val="none"/>
        </w:rPr>
      </w:pPr>
      <w:bookmarkStart w:id="54" w:name="_Toc3941"/>
      <w:bookmarkStart w:id="55" w:name="_Toc17074"/>
      <w:bookmarkStart w:id="56" w:name="_Toc7190"/>
      <w:r>
        <w:rPr>
          <w:rFonts w:hint="eastAsia" w:ascii="宋体" w:hAnsi="宋体" w:eastAsia="宋体" w:cs="宋体"/>
          <w:bCs w:val="0"/>
          <w:color w:val="auto"/>
          <w:sz w:val="36"/>
          <w:szCs w:val="36"/>
          <w:highlight w:val="none"/>
        </w:rPr>
        <w:t>（技术和商务部分）</w:t>
      </w:r>
      <w:bookmarkEnd w:id="54"/>
      <w:bookmarkEnd w:id="55"/>
      <w:bookmarkEnd w:id="56"/>
    </w:p>
    <w:p>
      <w:pPr>
        <w:rPr>
          <w:rFonts w:hint="eastAsia" w:ascii="宋体" w:hAnsi="宋体" w:eastAsia="宋体" w:cs="宋体"/>
          <w:b/>
          <w:color w:val="auto"/>
          <w:sz w:val="36"/>
          <w:szCs w:val="36"/>
          <w:highlight w:val="none"/>
        </w:rPr>
      </w:pPr>
    </w:p>
    <w:p>
      <w:pPr>
        <w:tabs>
          <w:tab w:val="left" w:pos="2628"/>
        </w:tabs>
        <w:spacing w:line="360" w:lineRule="auto"/>
        <w:jc w:val="left"/>
        <w:rPr>
          <w:rFonts w:hint="eastAsia" w:ascii="宋体" w:hAnsi="宋体" w:eastAsia="宋体" w:cs="宋体"/>
          <w:b/>
          <w:color w:val="auto"/>
          <w:sz w:val="30"/>
          <w:szCs w:val="30"/>
          <w:highlight w:val="none"/>
        </w:rPr>
      </w:pPr>
    </w:p>
    <w:p>
      <w:pPr>
        <w:pStyle w:val="19"/>
        <w:rPr>
          <w:rFonts w:hint="eastAsia" w:ascii="宋体" w:hAnsi="宋体" w:eastAsia="宋体" w:cs="宋体"/>
          <w:color w:val="auto"/>
          <w:highlight w:val="none"/>
        </w:rPr>
      </w:pPr>
    </w:p>
    <w:p>
      <w:pPr>
        <w:tabs>
          <w:tab w:val="left" w:pos="2628"/>
        </w:tabs>
        <w:spacing w:line="360" w:lineRule="auto"/>
        <w:ind w:left="2498" w:leftChars="401" w:hanging="1656" w:hangingChars="55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p>
      <w:pPr>
        <w:tabs>
          <w:tab w:val="left" w:pos="2628"/>
        </w:tabs>
        <w:spacing w:line="360" w:lineRule="auto"/>
        <w:ind w:left="843"/>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（公章）</w:t>
      </w: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pPr>
        <w:spacing w:line="500" w:lineRule="exact"/>
        <w:jc w:val="center"/>
        <w:rPr>
          <w:rStyle w:val="33"/>
          <w:rFonts w:hint="eastAsia" w:ascii="宋体" w:hAnsi="宋体" w:eastAsia="宋体" w:cs="宋体"/>
          <w:b/>
          <w:color w:val="auto"/>
          <w:sz w:val="36"/>
          <w:szCs w:val="36"/>
          <w:highlight w:val="none"/>
        </w:rPr>
      </w:pPr>
      <w:r>
        <w:rPr>
          <w:rStyle w:val="33"/>
          <w:rFonts w:hint="eastAsia" w:ascii="宋体" w:hAnsi="宋体" w:eastAsia="宋体" w:cs="宋体"/>
          <w:b/>
          <w:color w:val="auto"/>
          <w:sz w:val="36"/>
          <w:szCs w:val="36"/>
          <w:highlight w:val="none"/>
        </w:rPr>
        <w:br w:type="page"/>
      </w:r>
    </w:p>
    <w:p>
      <w:pPr>
        <w:widowControl w:val="0"/>
        <w:spacing w:before="156" w:beforeLines="50" w:after="156" w:afterLines="5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pStyle w:val="10"/>
        <w:rPr>
          <w:rFonts w:hint="eastAsia" w:ascii="宋体" w:hAnsi="宋体" w:eastAsia="宋体" w:cs="宋体"/>
          <w:color w:val="auto"/>
          <w:highlight w:val="none"/>
        </w:rPr>
      </w:pP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（一）磋商响应书</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（二）磋商报价表</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（三）磋商报价方案说明书</w:t>
      </w:r>
    </w:p>
    <w:p>
      <w:pPr>
        <w:spacing w:line="480" w:lineRule="auto"/>
        <w:jc w:val="both"/>
        <w:rPr>
          <w:rStyle w:val="33"/>
          <w:rFonts w:hint="eastAsia" w:ascii="宋体" w:hAnsi="宋体" w:eastAsia="宋体" w:cs="宋体"/>
          <w:color w:val="auto"/>
          <w:sz w:val="21"/>
          <w:highlight w:val="none"/>
        </w:rPr>
      </w:pPr>
      <w:r>
        <w:rPr>
          <w:rStyle w:val="33"/>
          <w:rFonts w:hint="eastAsia" w:ascii="宋体" w:hAnsi="宋体" w:eastAsia="宋体" w:cs="宋体"/>
          <w:color w:val="auto"/>
          <w:sz w:val="21"/>
          <w:highlight w:val="none"/>
        </w:rPr>
        <w:br w:type="page"/>
      </w:r>
    </w:p>
    <w:p>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baseline"/>
        <w:outlineLvl w:val="2"/>
        <w:rPr>
          <w:rFonts w:hint="eastAsia" w:ascii="宋体" w:hAnsi="宋体" w:eastAsia="宋体" w:cs="宋体"/>
          <w:b/>
          <w:color w:val="auto"/>
          <w:spacing w:val="4"/>
          <w:sz w:val="28"/>
          <w:szCs w:val="28"/>
          <w:highlight w:val="none"/>
        </w:rPr>
      </w:pPr>
      <w:r>
        <w:rPr>
          <w:rFonts w:hint="eastAsia" w:ascii="宋体" w:hAnsi="宋体" w:eastAsia="宋体" w:cs="宋体"/>
          <w:b/>
          <w:color w:val="auto"/>
          <w:spacing w:val="4"/>
          <w:sz w:val="28"/>
          <w:szCs w:val="28"/>
          <w:highlight w:val="none"/>
        </w:rPr>
        <w:t>一、磋商响应书</w:t>
      </w:r>
    </w:p>
    <w:p>
      <w:pPr>
        <w:spacing w:line="36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致：西北（陕西）国际招标有限公司</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36" w:firstLineChars="200"/>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根据贵方为</w:t>
      </w:r>
      <w:r>
        <w:rPr>
          <w:rFonts w:hint="eastAsia" w:ascii="宋体" w:hAnsi="宋体" w:eastAsia="宋体" w:cs="宋体"/>
          <w:color w:val="auto"/>
          <w:spacing w:val="4"/>
          <w:szCs w:val="21"/>
          <w:highlight w:val="none"/>
          <w:u w:val="single"/>
        </w:rPr>
        <w:t>（项目名称）</w:t>
      </w:r>
      <w:r>
        <w:rPr>
          <w:rFonts w:hint="eastAsia" w:ascii="宋体" w:hAnsi="宋体" w:eastAsia="宋体" w:cs="宋体"/>
          <w:color w:val="auto"/>
          <w:spacing w:val="4"/>
          <w:szCs w:val="21"/>
          <w:highlight w:val="none"/>
        </w:rPr>
        <w:t>项目服务采购的竞争性磋商邀请</w:t>
      </w:r>
      <w:r>
        <w:rPr>
          <w:rFonts w:hint="eastAsia" w:ascii="宋体" w:hAnsi="宋体" w:eastAsia="宋体" w:cs="宋体"/>
          <w:color w:val="auto"/>
          <w:spacing w:val="4"/>
          <w:szCs w:val="21"/>
          <w:highlight w:val="none"/>
          <w:u w:val="single"/>
        </w:rPr>
        <w:t>（项目编号）</w:t>
      </w:r>
      <w:r>
        <w:rPr>
          <w:rFonts w:hint="eastAsia" w:ascii="宋体" w:hAnsi="宋体" w:eastAsia="宋体" w:cs="宋体"/>
          <w:color w:val="auto"/>
          <w:spacing w:val="4"/>
          <w:szCs w:val="21"/>
          <w:highlight w:val="none"/>
        </w:rPr>
        <w:t>，签字代表</w:t>
      </w:r>
      <w:r>
        <w:rPr>
          <w:rFonts w:hint="eastAsia" w:ascii="宋体" w:hAnsi="宋体" w:eastAsia="宋体" w:cs="宋体"/>
          <w:color w:val="auto"/>
          <w:spacing w:val="4"/>
          <w:szCs w:val="21"/>
          <w:highlight w:val="none"/>
          <w:u w:val="single"/>
        </w:rPr>
        <w:t>（姓名、职务）</w:t>
      </w:r>
      <w:r>
        <w:rPr>
          <w:rFonts w:hint="eastAsia" w:ascii="宋体" w:hAnsi="宋体" w:eastAsia="宋体" w:cs="宋体"/>
          <w:color w:val="auto"/>
          <w:spacing w:val="4"/>
          <w:szCs w:val="21"/>
          <w:highlight w:val="none"/>
        </w:rPr>
        <w:t>经正式授权并代表供应商</w:t>
      </w:r>
      <w:r>
        <w:rPr>
          <w:rFonts w:hint="eastAsia" w:ascii="宋体" w:hAnsi="宋体" w:eastAsia="宋体" w:cs="宋体"/>
          <w:color w:val="auto"/>
          <w:spacing w:val="4"/>
          <w:szCs w:val="21"/>
          <w:highlight w:val="none"/>
          <w:u w:val="single"/>
        </w:rPr>
        <w:t>（供应商名称、地址）</w:t>
      </w:r>
      <w:r>
        <w:rPr>
          <w:rFonts w:hint="eastAsia" w:ascii="宋体" w:hAnsi="宋体" w:eastAsia="宋体" w:cs="宋体"/>
          <w:color w:val="auto"/>
          <w:spacing w:val="4"/>
          <w:szCs w:val="21"/>
          <w:highlight w:val="none"/>
        </w:rPr>
        <w:t xml:space="preserve"> 提交下述响应文件正本一份、副本二份及电子版一份。</w:t>
      </w:r>
    </w:p>
    <w:p>
      <w:pPr>
        <w:spacing w:line="360" w:lineRule="auto"/>
        <w:ind w:left="546" w:leftChars="251" w:hanging="19" w:hangingChars="9"/>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我方承诺如下：</w:t>
      </w:r>
    </w:p>
    <w:p>
      <w:pPr>
        <w:numPr>
          <w:ilvl w:val="0"/>
          <w:numId w:val="1"/>
        </w:numPr>
        <w:tabs>
          <w:tab w:val="left" w:pos="2160"/>
        </w:tabs>
        <w:spacing w:line="360" w:lineRule="auto"/>
        <w:ind w:left="0" w:firstLine="0"/>
        <w:outlineLvl w:val="0"/>
        <w:rPr>
          <w:rFonts w:hint="eastAsia" w:ascii="宋体" w:hAnsi="宋体" w:eastAsia="宋体" w:cs="宋体"/>
          <w:color w:val="auto"/>
          <w:spacing w:val="4"/>
          <w:szCs w:val="21"/>
          <w:highlight w:val="none"/>
        </w:rPr>
      </w:pPr>
      <w:bookmarkStart w:id="57" w:name="_Toc42518137"/>
      <w:bookmarkStart w:id="58" w:name="_Toc8917"/>
      <w:bookmarkStart w:id="59" w:name="_Toc42794598"/>
      <w:bookmarkStart w:id="60" w:name="_Toc10429"/>
      <w:bookmarkStart w:id="61" w:name="_Toc13642"/>
      <w:bookmarkStart w:id="62" w:name="_Toc42794599"/>
      <w:bookmarkStart w:id="63" w:name="_Toc42518138"/>
      <w:r>
        <w:rPr>
          <w:rFonts w:hint="eastAsia" w:ascii="宋体" w:hAnsi="宋体" w:eastAsia="宋体" w:cs="宋体"/>
          <w:color w:val="auto"/>
          <w:spacing w:val="4"/>
          <w:szCs w:val="21"/>
          <w:highlight w:val="none"/>
        </w:rPr>
        <w:t>磋商报价（第一次）详见磋商报价一览表。</w:t>
      </w:r>
      <w:bookmarkEnd w:id="57"/>
      <w:bookmarkEnd w:id="58"/>
      <w:bookmarkEnd w:id="59"/>
      <w:bookmarkEnd w:id="60"/>
      <w:bookmarkEnd w:id="61"/>
    </w:p>
    <w:p>
      <w:pPr>
        <w:numPr>
          <w:ilvl w:val="0"/>
          <w:numId w:val="1"/>
        </w:numPr>
        <w:tabs>
          <w:tab w:val="left" w:pos="2160"/>
        </w:tabs>
        <w:spacing w:line="360" w:lineRule="auto"/>
        <w:ind w:left="0" w:firstLine="0"/>
        <w:outlineLvl w:val="0"/>
        <w:rPr>
          <w:rFonts w:hint="eastAsia" w:ascii="宋体" w:hAnsi="宋体" w:eastAsia="宋体" w:cs="宋体"/>
          <w:color w:val="auto"/>
          <w:spacing w:val="4"/>
          <w:szCs w:val="21"/>
          <w:highlight w:val="none"/>
        </w:rPr>
      </w:pPr>
      <w:bookmarkStart w:id="64" w:name="_Toc8736"/>
      <w:bookmarkStart w:id="65" w:name="_Toc4664"/>
      <w:bookmarkStart w:id="66" w:name="_Toc5125"/>
      <w:r>
        <w:rPr>
          <w:rFonts w:hint="eastAsia" w:ascii="宋体" w:hAnsi="宋体" w:eastAsia="宋体" w:cs="宋体"/>
          <w:color w:val="auto"/>
          <w:spacing w:val="4"/>
          <w:szCs w:val="21"/>
          <w:highlight w:val="none"/>
        </w:rPr>
        <w:t>如果成交，我们根据磋商文件的规定，履行合同的责任和义务。</w:t>
      </w:r>
      <w:bookmarkEnd w:id="62"/>
      <w:bookmarkEnd w:id="63"/>
      <w:bookmarkEnd w:id="64"/>
      <w:bookmarkEnd w:id="65"/>
      <w:bookmarkEnd w:id="66"/>
    </w:p>
    <w:p>
      <w:pPr>
        <w:numPr>
          <w:ilvl w:val="0"/>
          <w:numId w:val="1"/>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我们已详细阅读和审核全部磋商文件（含修改部分，如有的话），及有关附件，我们知道必须放弃提出含糊不清或误解的问题的权利。</w:t>
      </w:r>
    </w:p>
    <w:p>
      <w:pPr>
        <w:numPr>
          <w:ilvl w:val="0"/>
          <w:numId w:val="1"/>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我们同意在磋商报价有效期内（自磋商之日起</w:t>
      </w:r>
      <w:r>
        <w:rPr>
          <w:rFonts w:hint="eastAsia" w:ascii="宋体" w:hAnsi="宋体" w:eastAsia="宋体" w:cs="宋体"/>
          <w:color w:val="auto"/>
          <w:spacing w:val="4"/>
          <w:szCs w:val="21"/>
          <w:highlight w:val="none"/>
          <w:u w:val="single"/>
        </w:rPr>
        <w:t>90</w:t>
      </w:r>
      <w:r>
        <w:rPr>
          <w:rFonts w:hint="eastAsia" w:ascii="宋体" w:hAnsi="宋体" w:eastAsia="宋体" w:cs="宋体"/>
          <w:color w:val="auto"/>
          <w:spacing w:val="4"/>
          <w:szCs w:val="21"/>
          <w:highlight w:val="none"/>
        </w:rPr>
        <w:t>天内），本磋商响应书对我方具有约束力。</w:t>
      </w:r>
    </w:p>
    <w:p>
      <w:pPr>
        <w:numPr>
          <w:ilvl w:val="0"/>
          <w:numId w:val="1"/>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同意提供贵方可能另外要求的与本磋商报价有关的任何证据和资料。</w:t>
      </w:r>
    </w:p>
    <w:p>
      <w:pPr>
        <w:numPr>
          <w:ilvl w:val="0"/>
          <w:numId w:val="1"/>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我们同意，如果成交，向西北（陕西）国际招标有限公司交纳采购代理服务费。</w:t>
      </w:r>
    </w:p>
    <w:p>
      <w:pPr>
        <w:numPr>
          <w:ilvl w:val="0"/>
          <w:numId w:val="1"/>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与本磋商响应有关的一切正式信函请寄：</w:t>
      </w:r>
    </w:p>
    <w:p>
      <w:pPr>
        <w:spacing w:line="360" w:lineRule="auto"/>
        <w:ind w:firstLine="43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地址：                          邮政编码：</w:t>
      </w:r>
    </w:p>
    <w:p>
      <w:pPr>
        <w:spacing w:line="360" w:lineRule="auto"/>
        <w:ind w:firstLine="43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电话/传真：                     电子邮件：</w:t>
      </w:r>
    </w:p>
    <w:p>
      <w:pPr>
        <w:widowControl w:val="0"/>
        <w:spacing w:before="156" w:beforeLines="50" w:after="156" w:afterLines="50" w:line="360" w:lineRule="auto"/>
        <w:jc w:val="left"/>
        <w:textAlignment w:val="auto"/>
        <w:rPr>
          <w:rFonts w:hint="eastAsia" w:ascii="宋体" w:hAnsi="宋体" w:eastAsia="宋体" w:cs="宋体"/>
          <w:color w:val="auto"/>
          <w:spacing w:val="4"/>
          <w:szCs w:val="21"/>
          <w:highlight w:val="none"/>
        </w:rPr>
      </w:pPr>
    </w:p>
    <w:p>
      <w:pPr>
        <w:widowControl w:val="0"/>
        <w:spacing w:before="156" w:beforeLines="50" w:after="156" w:afterLines="50" w:line="360" w:lineRule="auto"/>
        <w:jc w:val="left"/>
        <w:textAlignment w:val="auto"/>
        <w:rPr>
          <w:rFonts w:hint="eastAsia" w:ascii="宋体" w:hAnsi="宋体" w:eastAsia="宋体" w:cs="宋体"/>
          <w:color w:val="auto"/>
          <w:spacing w:val="4"/>
          <w:szCs w:val="21"/>
          <w:highlight w:val="none"/>
        </w:rPr>
      </w:pP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加盖</w:t>
      </w:r>
      <w:r>
        <w:rPr>
          <w:rFonts w:hint="eastAsia" w:ascii="宋体" w:hAnsi="宋体" w:eastAsia="宋体" w:cs="宋体"/>
          <w:color w:val="auto"/>
          <w:szCs w:val="21"/>
          <w:highlight w:val="none"/>
        </w:rPr>
        <w:t>公章）</w:t>
      </w:r>
    </w:p>
    <w:p>
      <w:pPr>
        <w:widowControl w:val="0"/>
        <w:spacing w:before="156" w:beforeLines="50" w:after="156" w:afterLines="5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年</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月</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日</w:t>
      </w: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before="156" w:beforeLines="50" w:line="360" w:lineRule="auto"/>
        <w:jc w:val="center"/>
        <w:outlineLvl w:val="1"/>
        <w:rPr>
          <w:rFonts w:hint="eastAsia" w:ascii="宋体" w:hAnsi="宋体" w:eastAsia="宋体" w:cs="宋体"/>
          <w:b/>
          <w:color w:val="auto"/>
          <w:sz w:val="28"/>
          <w:highlight w:val="none"/>
        </w:rPr>
      </w:pPr>
      <w:bookmarkStart w:id="67" w:name="_Toc4060"/>
      <w:bookmarkStart w:id="68" w:name="_Toc82791995"/>
      <w:r>
        <w:rPr>
          <w:rFonts w:hint="eastAsia" w:ascii="宋体" w:hAnsi="宋体" w:eastAsia="宋体" w:cs="宋体"/>
          <w:b/>
          <w:color w:val="auto"/>
          <w:sz w:val="28"/>
          <w:highlight w:val="none"/>
        </w:rPr>
        <w:t>二、磋商报价</w:t>
      </w:r>
      <w:bookmarkEnd w:id="67"/>
      <w:bookmarkEnd w:id="68"/>
      <w:r>
        <w:rPr>
          <w:rFonts w:hint="eastAsia" w:ascii="宋体" w:hAnsi="宋体" w:eastAsia="宋体" w:cs="宋体"/>
          <w:b/>
          <w:color w:val="auto"/>
          <w:sz w:val="28"/>
          <w:highlight w:val="none"/>
        </w:rPr>
        <w:t>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Cs w:val="21"/>
          <w:highlight w:val="none"/>
          <w:u w:val="single"/>
        </w:rPr>
      </w:pPr>
      <w:r>
        <w:rPr>
          <w:rFonts w:hint="eastAsia" w:ascii="宋体" w:hAnsi="宋体" w:eastAsia="宋体" w:cs="宋体"/>
          <w:b/>
          <w:color w:val="auto"/>
          <w:sz w:val="28"/>
          <w:szCs w:val="28"/>
          <w:highlight w:val="none"/>
        </w:rPr>
        <w:t>磋商报价一览表（第一次）</w:t>
      </w:r>
    </w:p>
    <w:tbl>
      <w:tblPr>
        <w:tblStyle w:val="22"/>
        <w:tblW w:w="510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2748"/>
        <w:gridCol w:w="2561"/>
        <w:gridCol w:w="1982"/>
        <w:gridCol w:w="1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6" w:hRule="atLeast"/>
        </w:trPr>
        <w:tc>
          <w:tcPr>
            <w:tcW w:w="1503" w:type="pct"/>
            <w:tcBorders>
              <w:top w:val="single" w:color="auto" w:sz="12"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401" w:type="pct"/>
            <w:tcBorders>
              <w:top w:val="single" w:color="auto" w:sz="12"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磋商报价（元）</w:t>
            </w:r>
          </w:p>
        </w:tc>
        <w:tc>
          <w:tcPr>
            <w:tcW w:w="1084" w:type="pct"/>
            <w:tcBorders>
              <w:top w:val="single" w:color="auto" w:sz="12"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交货期</w:t>
            </w:r>
          </w:p>
        </w:tc>
        <w:tc>
          <w:tcPr>
            <w:tcW w:w="1010" w:type="pct"/>
            <w:tcBorders>
              <w:top w:val="single" w:color="auto" w:sz="12"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14" w:hRule="atLeast"/>
        </w:trPr>
        <w:tc>
          <w:tcPr>
            <w:tcW w:w="1503" w:type="pct"/>
            <w:vAlign w:val="center"/>
          </w:tcPr>
          <w:p>
            <w:pPr>
              <w:jc w:val="center"/>
              <w:rPr>
                <w:rFonts w:ascii="宋体" w:cs="宋体"/>
                <w:color w:val="auto"/>
                <w:szCs w:val="21"/>
                <w:highlight w:val="none"/>
              </w:rPr>
            </w:pPr>
            <w:r>
              <w:rPr>
                <w:rStyle w:val="33"/>
                <w:rFonts w:hint="eastAsia" w:ascii="宋体" w:hAnsi="宋体" w:cs="Times New Roman"/>
                <w:color w:val="auto"/>
                <w:sz w:val="20"/>
                <w:szCs w:val="20"/>
                <w:highlight w:val="none"/>
                <w:lang w:eastAsia="zh-CN"/>
              </w:rPr>
              <w:t>泾阳县职业教育中心专业设备采购项目（</w:t>
            </w:r>
            <w:r>
              <w:rPr>
                <w:rStyle w:val="33"/>
                <w:rFonts w:hint="eastAsia" w:ascii="宋体" w:hAnsi="宋体" w:cs="Times New Roman"/>
                <w:color w:val="auto"/>
                <w:sz w:val="20"/>
                <w:szCs w:val="20"/>
                <w:highlight w:val="none"/>
                <w:lang w:val="en-US" w:eastAsia="zh-CN"/>
              </w:rPr>
              <w:t>第2包：计算机专业建设及技能大赛设备</w:t>
            </w:r>
            <w:r>
              <w:rPr>
                <w:rStyle w:val="33"/>
                <w:rFonts w:hint="eastAsia" w:ascii="宋体" w:hAnsi="宋体" w:cs="Times New Roman"/>
                <w:color w:val="auto"/>
                <w:sz w:val="20"/>
                <w:szCs w:val="20"/>
                <w:highlight w:val="none"/>
                <w:lang w:eastAsia="zh-CN"/>
              </w:rPr>
              <w:t>）</w:t>
            </w:r>
          </w:p>
        </w:tc>
        <w:tc>
          <w:tcPr>
            <w:tcW w:w="1401" w:type="pct"/>
            <w:vAlign w:val="center"/>
          </w:tcPr>
          <w:p>
            <w:pPr>
              <w:jc w:val="center"/>
              <w:rPr>
                <w:rFonts w:ascii="宋体" w:cs="宋体"/>
                <w:color w:val="auto"/>
                <w:szCs w:val="21"/>
                <w:highlight w:val="none"/>
              </w:rPr>
            </w:pPr>
          </w:p>
        </w:tc>
        <w:tc>
          <w:tcPr>
            <w:tcW w:w="1084" w:type="pct"/>
            <w:vAlign w:val="center"/>
          </w:tcPr>
          <w:p>
            <w:pPr>
              <w:jc w:val="center"/>
              <w:rPr>
                <w:rFonts w:ascii="宋体" w:cs="宋体"/>
                <w:color w:val="auto"/>
                <w:szCs w:val="21"/>
                <w:highlight w:val="none"/>
              </w:rPr>
            </w:pPr>
          </w:p>
        </w:tc>
        <w:tc>
          <w:tcPr>
            <w:tcW w:w="1010" w:type="pct"/>
            <w:vAlign w:val="center"/>
          </w:tcPr>
          <w:p>
            <w:pPr>
              <w:jc w:val="center"/>
              <w:rPr>
                <w:rFonts w:asci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18" w:hRule="atLeast"/>
        </w:trPr>
        <w:tc>
          <w:tcPr>
            <w:tcW w:w="1503" w:type="pct"/>
            <w:tcBorders>
              <w:bottom w:val="single" w:color="auto" w:sz="12"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磋商报价</w:t>
            </w:r>
          </w:p>
        </w:tc>
        <w:tc>
          <w:tcPr>
            <w:tcW w:w="3496" w:type="pct"/>
            <w:gridSpan w:val="3"/>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ind w:left="210" w:leftChars="100"/>
              <w:textAlignment w:val="baseline"/>
              <w:rPr>
                <w:rFonts w:ascii="宋体" w:cs="宋体"/>
                <w:color w:val="auto"/>
                <w:szCs w:val="21"/>
                <w:highlight w:val="none"/>
              </w:rPr>
            </w:pPr>
            <w:r>
              <w:rPr>
                <w:rFonts w:hint="eastAsia" w:ascii="宋体" w:hAnsi="宋体" w:cs="宋体"/>
                <w:color w:val="auto"/>
                <w:szCs w:val="21"/>
                <w:highlight w:val="none"/>
              </w:rPr>
              <w:t>小写金额：</w:t>
            </w:r>
          </w:p>
          <w:p>
            <w:pPr>
              <w:keepNext w:val="0"/>
              <w:keepLines w:val="0"/>
              <w:pageBreakBefore w:val="0"/>
              <w:widowControl/>
              <w:kinsoku/>
              <w:wordWrap/>
              <w:overflowPunct/>
              <w:topLinePunct w:val="0"/>
              <w:autoSpaceDE/>
              <w:autoSpaceDN/>
              <w:bidi w:val="0"/>
              <w:adjustRightInd/>
              <w:snapToGrid/>
              <w:ind w:left="210" w:leftChars="100"/>
              <w:textAlignment w:val="baseline"/>
              <w:rPr>
                <w:rFonts w:ascii="宋体" w:cs="宋体"/>
                <w:color w:val="auto"/>
                <w:szCs w:val="21"/>
                <w:highlight w:val="none"/>
              </w:rPr>
            </w:pPr>
          </w:p>
          <w:p>
            <w:pPr>
              <w:keepNext w:val="0"/>
              <w:keepLines w:val="0"/>
              <w:pageBreakBefore w:val="0"/>
              <w:widowControl/>
              <w:kinsoku/>
              <w:wordWrap/>
              <w:overflowPunct/>
              <w:topLinePunct w:val="0"/>
              <w:autoSpaceDE/>
              <w:autoSpaceDN/>
              <w:bidi w:val="0"/>
              <w:adjustRightInd/>
              <w:snapToGrid/>
              <w:ind w:left="210" w:leftChars="100"/>
              <w:textAlignment w:val="baseline"/>
              <w:rPr>
                <w:rFonts w:ascii="宋体" w:cs="宋体"/>
                <w:color w:val="auto"/>
                <w:szCs w:val="21"/>
                <w:highlight w:val="none"/>
              </w:rPr>
            </w:pPr>
            <w:r>
              <w:rPr>
                <w:rFonts w:hint="eastAsia" w:ascii="宋体" w:hAnsi="宋体" w:cs="宋体"/>
                <w:color w:val="auto"/>
                <w:szCs w:val="21"/>
                <w:highlight w:val="none"/>
              </w:rPr>
              <w:t>大写金额：</w:t>
            </w:r>
          </w:p>
        </w:tc>
      </w:tr>
    </w:tbl>
    <w:p>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baseline"/>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注：报价应包含但不限于采购产品的制造、运输、安装、调试、验收检测、</w:t>
      </w:r>
      <w:r>
        <w:rPr>
          <w:rFonts w:hint="eastAsia" w:ascii="宋体" w:hAnsi="宋体" w:eastAsia="宋体" w:cs="宋体"/>
          <w:b/>
          <w:color w:val="auto"/>
          <w:szCs w:val="21"/>
          <w:highlight w:val="none"/>
          <w:lang w:val="en-US" w:eastAsia="zh-CN"/>
        </w:rPr>
        <w:t>指导</w:t>
      </w:r>
      <w:r>
        <w:rPr>
          <w:rFonts w:hint="eastAsia" w:ascii="宋体" w:hAnsi="宋体" w:eastAsia="宋体" w:cs="宋体"/>
          <w:b/>
          <w:color w:val="auto"/>
          <w:szCs w:val="21"/>
          <w:highlight w:val="none"/>
        </w:rPr>
        <w:t>培训、质保维护、</w:t>
      </w:r>
      <w:r>
        <w:rPr>
          <w:rFonts w:hint="eastAsia" w:ascii="宋体" w:hAnsi="宋体" w:eastAsia="宋体" w:cs="宋体"/>
          <w:b/>
          <w:color w:val="auto"/>
          <w:szCs w:val="21"/>
          <w:highlight w:val="none"/>
          <w:lang w:val="en-IE" w:eastAsia="zh-CN"/>
        </w:rPr>
        <w:t>新媒体内容编辑教学资源库平台、新媒体教学资源</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lang w:val="en-IE" w:eastAsia="zh-CN"/>
        </w:rPr>
        <w:t>新媒体内容编辑实训系统、</w:t>
      </w:r>
      <w:r>
        <w:rPr>
          <w:rFonts w:hint="eastAsia" w:ascii="宋体" w:hAnsi="宋体" w:eastAsia="宋体" w:cs="宋体"/>
          <w:b/>
          <w:color w:val="auto"/>
          <w:szCs w:val="21"/>
          <w:highlight w:val="none"/>
          <w:lang w:val="en-US" w:eastAsia="zh-CN"/>
        </w:rPr>
        <w:t>售后服务、</w:t>
      </w:r>
      <w:r>
        <w:rPr>
          <w:rFonts w:hint="eastAsia" w:ascii="宋体" w:hAnsi="宋体" w:eastAsia="宋体" w:cs="宋体"/>
          <w:b/>
          <w:color w:val="auto"/>
          <w:szCs w:val="21"/>
          <w:highlight w:val="none"/>
        </w:rPr>
        <w:t>税费等完成本项目并达到采购人可正常使用的一切费用；</w:t>
      </w:r>
    </w:p>
    <w:p>
      <w:pPr>
        <w:widowControl w:val="0"/>
        <w:spacing w:before="156" w:beforeLines="50" w:after="156" w:afterLines="50" w:line="360" w:lineRule="auto"/>
        <w:ind w:firstLine="218" w:firstLineChars="100"/>
        <w:jc w:val="left"/>
        <w:textAlignment w:val="auto"/>
        <w:rPr>
          <w:rFonts w:hint="eastAsia" w:ascii="宋体" w:hAnsi="宋体" w:eastAsia="宋体" w:cs="宋体"/>
          <w:color w:val="auto"/>
          <w:spacing w:val="4"/>
          <w:szCs w:val="21"/>
          <w:highlight w:val="none"/>
        </w:rPr>
      </w:pP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单位</w:t>
      </w:r>
      <w:r>
        <w:rPr>
          <w:rFonts w:hint="eastAsia" w:ascii="宋体" w:hAnsi="宋体" w:eastAsia="宋体" w:cs="宋体"/>
          <w:color w:val="auto"/>
          <w:szCs w:val="21"/>
          <w:highlight w:val="none"/>
        </w:rPr>
        <w:t>公章）</w:t>
      </w: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pacing w:val="4"/>
          <w:szCs w:val="21"/>
          <w:highlight w:val="none"/>
          <w:u w:val="single"/>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年</w:t>
      </w:r>
      <w:r>
        <w:rPr>
          <w:rFonts w:hint="eastAsia" w:ascii="宋体" w:hAnsi="宋体" w:eastAsia="宋体" w:cs="宋体"/>
          <w:color w:val="auto"/>
          <w:spacing w:val="4"/>
          <w:szCs w:val="21"/>
          <w:highlight w:val="none"/>
          <w:u w:val="single"/>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rPr>
        <w:t>月</w:t>
      </w:r>
      <w:r>
        <w:rPr>
          <w:rFonts w:hint="eastAsia" w:ascii="宋体" w:hAnsi="宋体" w:eastAsia="宋体" w:cs="宋体"/>
          <w:color w:val="auto"/>
          <w:spacing w:val="4"/>
          <w:szCs w:val="21"/>
          <w:highlight w:val="none"/>
          <w:u w:val="single"/>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日</w:t>
      </w:r>
    </w:p>
    <w:p>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磋商报价分项报价表（第一次）</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cs="宋体"/>
          <w:b/>
          <w:color w:val="auto"/>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9"/>
        <w:gridCol w:w="1403"/>
        <w:gridCol w:w="1618"/>
        <w:gridCol w:w="759"/>
        <w:gridCol w:w="722"/>
        <w:gridCol w:w="1397"/>
        <w:gridCol w:w="1399"/>
        <w:gridCol w:w="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83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03"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1618" w:type="dxa"/>
            <w:tcBorders>
              <w:tl2br w:val="nil"/>
              <w:tr2bl w:val="nil"/>
            </w:tcBorders>
            <w:noWrap w:val="0"/>
            <w:vAlign w:val="center"/>
          </w:tcPr>
          <w:p>
            <w:pPr>
              <w:spacing w:line="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型号及规格</w:t>
            </w:r>
          </w:p>
        </w:tc>
        <w:tc>
          <w:tcPr>
            <w:tcW w:w="75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22"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97"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399" w:type="dxa"/>
            <w:tcBorders>
              <w:tl2br w:val="nil"/>
              <w:tr2bl w:val="nil"/>
            </w:tcBorders>
            <w:noWrap w:val="0"/>
            <w:vAlign w:val="center"/>
          </w:tcPr>
          <w:p>
            <w:pPr>
              <w:spacing w:line="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合</w:t>
            </w:r>
            <w:r>
              <w:rPr>
                <w:rFonts w:hint="eastAsia" w:ascii="宋体" w:hAnsi="宋体" w:cs="宋体"/>
                <w:bCs/>
                <w:color w:val="auto"/>
                <w:szCs w:val="21"/>
                <w:highlight w:val="none"/>
                <w:lang w:val="en-US" w:eastAsia="zh-CN"/>
              </w:rPr>
              <w:t>计</w:t>
            </w:r>
            <w:r>
              <w:rPr>
                <w:rFonts w:hint="eastAsia" w:ascii="宋体" w:hAnsi="宋体" w:cs="宋体"/>
                <w:bCs/>
                <w:color w:val="auto"/>
                <w:szCs w:val="21"/>
                <w:highlight w:val="none"/>
              </w:rPr>
              <w:t>（元）</w:t>
            </w:r>
          </w:p>
        </w:tc>
        <w:tc>
          <w:tcPr>
            <w:tcW w:w="688" w:type="dxa"/>
            <w:tcBorders>
              <w:tl2br w:val="nil"/>
              <w:tr2bl w:val="nil"/>
            </w:tcBorders>
            <w:noWrap w:val="0"/>
            <w:vAlign w:val="center"/>
          </w:tcPr>
          <w:p>
            <w:pPr>
              <w:spacing w:line="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39" w:type="dxa"/>
            <w:tcBorders>
              <w:tl2br w:val="nil"/>
              <w:tr2bl w:val="nil"/>
            </w:tcBorders>
            <w:noWrap w:val="0"/>
            <w:vAlign w:val="center"/>
          </w:tcPr>
          <w:p>
            <w:pPr>
              <w:adjustRightInd w:val="0"/>
              <w:snapToGrid w:val="0"/>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03" w:type="dxa"/>
            <w:tcBorders>
              <w:tl2br w:val="nil"/>
              <w:tr2bl w:val="nil"/>
            </w:tcBorders>
            <w:noWrap w:val="0"/>
            <w:vAlign w:val="center"/>
          </w:tcPr>
          <w:p>
            <w:pPr>
              <w:widowControl/>
              <w:jc w:val="center"/>
              <w:textAlignment w:val="center"/>
              <w:rPr>
                <w:rFonts w:hint="eastAsia" w:ascii="宋体" w:hAnsi="宋体" w:cs="宋体"/>
                <w:color w:val="auto"/>
                <w:szCs w:val="21"/>
                <w:highlight w:val="none"/>
              </w:rPr>
            </w:pPr>
          </w:p>
        </w:tc>
        <w:tc>
          <w:tcPr>
            <w:tcW w:w="161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5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22"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7"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68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39" w:type="dxa"/>
            <w:tcBorders>
              <w:tl2br w:val="nil"/>
              <w:tr2bl w:val="nil"/>
            </w:tcBorders>
            <w:noWrap w:val="0"/>
            <w:vAlign w:val="center"/>
          </w:tcPr>
          <w:p>
            <w:pPr>
              <w:adjustRightInd w:val="0"/>
              <w:snapToGrid w:val="0"/>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03" w:type="dxa"/>
            <w:tcBorders>
              <w:tl2br w:val="nil"/>
              <w:tr2bl w:val="nil"/>
            </w:tcBorders>
            <w:noWrap w:val="0"/>
            <w:vAlign w:val="center"/>
          </w:tcPr>
          <w:p>
            <w:pPr>
              <w:widowControl/>
              <w:jc w:val="center"/>
              <w:textAlignment w:val="center"/>
              <w:rPr>
                <w:rFonts w:hint="eastAsia" w:ascii="宋体" w:hAnsi="宋体" w:cs="宋体"/>
                <w:color w:val="auto"/>
                <w:szCs w:val="21"/>
                <w:highlight w:val="none"/>
              </w:rPr>
            </w:pPr>
          </w:p>
        </w:tc>
        <w:tc>
          <w:tcPr>
            <w:tcW w:w="161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5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22"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7"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68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39" w:type="dxa"/>
            <w:tcBorders>
              <w:tl2br w:val="nil"/>
              <w:tr2bl w:val="nil"/>
            </w:tcBorders>
            <w:noWrap w:val="0"/>
            <w:vAlign w:val="center"/>
          </w:tcPr>
          <w:p>
            <w:pPr>
              <w:adjustRightInd w:val="0"/>
              <w:snapToGrid w:val="0"/>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403" w:type="dxa"/>
            <w:tcBorders>
              <w:tl2br w:val="nil"/>
              <w:tr2bl w:val="nil"/>
            </w:tcBorders>
            <w:noWrap w:val="0"/>
            <w:vAlign w:val="center"/>
          </w:tcPr>
          <w:p>
            <w:pPr>
              <w:widowControl/>
              <w:jc w:val="center"/>
              <w:textAlignment w:val="center"/>
              <w:rPr>
                <w:rFonts w:hint="eastAsia" w:ascii="宋体" w:hAnsi="宋体" w:cs="宋体"/>
                <w:color w:val="auto"/>
                <w:szCs w:val="21"/>
                <w:highlight w:val="none"/>
              </w:rPr>
            </w:pPr>
          </w:p>
        </w:tc>
        <w:tc>
          <w:tcPr>
            <w:tcW w:w="161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5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22"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7"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68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39" w:type="dxa"/>
            <w:tcBorders>
              <w:tl2br w:val="nil"/>
              <w:tr2bl w:val="nil"/>
            </w:tcBorders>
            <w:noWrap w:val="0"/>
            <w:vAlign w:val="center"/>
          </w:tcPr>
          <w:p>
            <w:pPr>
              <w:adjustRightInd w:val="0"/>
              <w:snapToGrid w:val="0"/>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403" w:type="dxa"/>
            <w:tcBorders>
              <w:tl2br w:val="nil"/>
              <w:tr2bl w:val="nil"/>
            </w:tcBorders>
            <w:noWrap w:val="0"/>
            <w:vAlign w:val="center"/>
          </w:tcPr>
          <w:p>
            <w:pPr>
              <w:widowControl/>
              <w:jc w:val="center"/>
              <w:textAlignment w:val="center"/>
              <w:rPr>
                <w:rFonts w:hint="eastAsia" w:ascii="宋体" w:hAnsi="宋体" w:cs="宋体"/>
                <w:color w:val="auto"/>
                <w:szCs w:val="21"/>
                <w:highlight w:val="none"/>
              </w:rPr>
            </w:pPr>
          </w:p>
        </w:tc>
        <w:tc>
          <w:tcPr>
            <w:tcW w:w="161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5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22"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7"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68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0" w:hRule="atLeast"/>
          <w:jc w:val="center"/>
        </w:trPr>
        <w:tc>
          <w:tcPr>
            <w:tcW w:w="839" w:type="dxa"/>
            <w:tcBorders>
              <w:tl2br w:val="nil"/>
              <w:tr2bl w:val="nil"/>
            </w:tcBorders>
            <w:noWrap w:val="0"/>
            <w:vAlign w:val="center"/>
          </w:tcPr>
          <w:p>
            <w:pPr>
              <w:adjustRightInd w:val="0"/>
              <w:snapToGrid w:val="0"/>
              <w:spacing w:line="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403" w:type="dxa"/>
            <w:tcBorders>
              <w:tl2br w:val="nil"/>
              <w:tr2bl w:val="nil"/>
            </w:tcBorders>
            <w:noWrap w:val="0"/>
            <w:vAlign w:val="center"/>
          </w:tcPr>
          <w:p>
            <w:pPr>
              <w:widowControl/>
              <w:jc w:val="center"/>
              <w:textAlignment w:val="center"/>
              <w:rPr>
                <w:rFonts w:hint="eastAsia" w:ascii="宋体" w:hAnsi="宋体" w:cs="宋体"/>
                <w:color w:val="auto"/>
                <w:szCs w:val="21"/>
                <w:highlight w:val="none"/>
              </w:rPr>
            </w:pPr>
          </w:p>
        </w:tc>
        <w:tc>
          <w:tcPr>
            <w:tcW w:w="161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5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722"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7"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1399"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c>
          <w:tcPr>
            <w:tcW w:w="688" w:type="dxa"/>
            <w:tcBorders>
              <w:tl2br w:val="nil"/>
              <w:tr2bl w:val="nil"/>
            </w:tcBorders>
            <w:noWrap w:val="0"/>
            <w:vAlign w:val="center"/>
          </w:tcPr>
          <w:p>
            <w:pPr>
              <w:spacing w:line="0" w:lineRule="atLeas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6738" w:type="dxa"/>
            <w:gridSpan w:val="6"/>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磋商报价（元）：</w:t>
            </w:r>
          </w:p>
        </w:tc>
        <w:tc>
          <w:tcPr>
            <w:tcW w:w="2087" w:type="dxa"/>
            <w:gridSpan w:val="2"/>
            <w:tcBorders>
              <w:tl2br w:val="nil"/>
              <w:tr2bl w:val="nil"/>
            </w:tcBorders>
            <w:noWrap w:val="0"/>
            <w:vAlign w:val="center"/>
          </w:tcPr>
          <w:p>
            <w:pPr>
              <w:spacing w:line="0" w:lineRule="atLeast"/>
              <w:jc w:val="left"/>
              <w:rPr>
                <w:rFonts w:hint="eastAsia" w:ascii="宋体" w:hAnsi="宋体" w:cs="宋体"/>
                <w:color w:val="auto"/>
                <w:szCs w:val="21"/>
                <w:highlight w:val="none"/>
              </w:rPr>
            </w:pPr>
          </w:p>
        </w:tc>
      </w:tr>
    </w:tbl>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注：1</w:t>
      </w:r>
      <w:r>
        <w:rPr>
          <w:rFonts w:hint="eastAsia" w:ascii="宋体" w:hAnsi="宋体" w:cs="宋体"/>
          <w:b/>
          <w:color w:val="auto"/>
          <w:szCs w:val="21"/>
          <w:highlight w:val="none"/>
          <w:lang w:val="en-US" w:eastAsia="zh-CN"/>
        </w:rPr>
        <w:t>.供应商</w:t>
      </w:r>
      <w:r>
        <w:rPr>
          <w:rFonts w:hint="eastAsia" w:ascii="宋体" w:hAnsi="宋体" w:cs="宋体"/>
          <w:b/>
          <w:color w:val="auto"/>
          <w:szCs w:val="21"/>
          <w:highlight w:val="none"/>
        </w:rPr>
        <w:t>应根据“第</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章 采购内容及技术要求”中清单内容逐项报价；2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“磋商报价分项报价表”总计之和应与磋商报价一致。</w:t>
      </w:r>
    </w:p>
    <w:p>
      <w:pPr>
        <w:spacing w:line="360" w:lineRule="auto"/>
        <w:jc w:val="left"/>
        <w:rPr>
          <w:rFonts w:hint="eastAsia" w:ascii="宋体" w:hAnsi="宋体" w:cs="宋体"/>
          <w:color w:val="auto"/>
          <w:sz w:val="24"/>
          <w:szCs w:val="24"/>
          <w:highlight w:val="none"/>
        </w:rPr>
      </w:pPr>
    </w:p>
    <w:p>
      <w:pPr>
        <w:pStyle w:val="2"/>
        <w:rPr>
          <w:rFonts w:hint="eastAsia"/>
          <w:color w:val="auto"/>
          <w:highlight w:val="none"/>
        </w:rPr>
      </w:pP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单位</w:t>
      </w:r>
      <w:r>
        <w:rPr>
          <w:rFonts w:hint="eastAsia" w:ascii="宋体" w:hAnsi="宋体" w:eastAsia="宋体" w:cs="宋体"/>
          <w:color w:val="auto"/>
          <w:szCs w:val="21"/>
          <w:highlight w:val="none"/>
        </w:rPr>
        <w:t>公章）</w:t>
      </w:r>
    </w:p>
    <w:p>
      <w:pPr>
        <w:widowControl w:val="0"/>
        <w:spacing w:before="156" w:beforeLines="50" w:after="156" w:afterLines="50" w:line="360" w:lineRule="auto"/>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pacing w:val="4"/>
          <w:szCs w:val="21"/>
          <w:highlight w:val="none"/>
          <w:u w:val="single"/>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rPr>
        <w:t>年</w:t>
      </w:r>
      <w:r>
        <w:rPr>
          <w:rFonts w:hint="eastAsia" w:ascii="宋体" w:hAnsi="宋体" w:eastAsia="宋体" w:cs="宋体"/>
          <w:color w:val="auto"/>
          <w:spacing w:val="4"/>
          <w:szCs w:val="21"/>
          <w:highlight w:val="none"/>
          <w:u w:val="single"/>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rPr>
        <w:t>月</w:t>
      </w:r>
      <w:r>
        <w:rPr>
          <w:rFonts w:hint="eastAsia" w:ascii="宋体" w:hAnsi="宋体" w:eastAsia="宋体" w:cs="宋体"/>
          <w:color w:val="auto"/>
          <w:spacing w:val="4"/>
          <w:szCs w:val="21"/>
          <w:highlight w:val="none"/>
          <w:u w:val="single"/>
        </w:rPr>
        <w:t xml:space="preserve"> </w:t>
      </w:r>
      <w:r>
        <w:rPr>
          <w:rFonts w:hint="eastAsia" w:ascii="宋体" w:hAnsi="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日</w:t>
      </w:r>
    </w:p>
    <w:p>
      <w:pP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br w:type="page"/>
      </w:r>
    </w:p>
    <w:p>
      <w:pPr>
        <w:jc w:val="center"/>
        <w:outlineLvl w:val="0"/>
        <w:rPr>
          <w:rFonts w:ascii="宋体" w:cs="宋体"/>
          <w:b/>
          <w:color w:val="auto"/>
          <w:sz w:val="36"/>
          <w:szCs w:val="36"/>
          <w:highlight w:val="none"/>
        </w:rPr>
      </w:pPr>
      <w:r>
        <w:rPr>
          <w:rFonts w:hint="eastAsia" w:ascii="宋体" w:hAnsi="宋体" w:cs="宋体"/>
          <w:b/>
          <w:color w:val="auto"/>
          <w:sz w:val="32"/>
          <w:szCs w:val="32"/>
          <w:highlight w:val="none"/>
        </w:rPr>
        <w:t>三、磋商报价方案说明书</w:t>
      </w:r>
    </w:p>
    <w:p>
      <w:pPr>
        <w:spacing w:line="240" w:lineRule="atLeast"/>
        <w:rPr>
          <w:rFonts w:ascii="宋体" w:cs="宋体"/>
          <w:color w:val="auto"/>
          <w:sz w:val="24"/>
          <w:szCs w:val="24"/>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供应商名称：</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0" w:firstLineChars="200"/>
        <w:textAlignment w:val="baseline"/>
        <w:rPr>
          <w:rFonts w:ascii="宋体" w:cs="宋体"/>
          <w:color w:val="auto"/>
          <w:sz w:val="21"/>
          <w:szCs w:val="21"/>
          <w:highlight w:val="none"/>
        </w:rPr>
      </w:pPr>
      <w:r>
        <w:rPr>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34925</wp:posOffset>
                </wp:positionV>
                <wp:extent cx="5299710" cy="635"/>
                <wp:effectExtent l="0" t="0" r="0" b="0"/>
                <wp:wrapNone/>
                <wp:docPr id="4" name="直线 2"/>
                <wp:cNvGraphicFramePr/>
                <a:graphic xmlns:a="http://schemas.openxmlformats.org/drawingml/2006/main">
                  <a:graphicData uri="http://schemas.microsoft.com/office/word/2010/wordprocessingShape">
                    <wps:wsp>
                      <wps:cNvCnPr/>
                      <wps:spPr>
                        <a:xfrm>
                          <a:off x="0" y="0"/>
                          <a:ext cx="52997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pt;margin-top:2.75pt;height:0.05pt;width:417.3pt;z-index:251659264;mso-width-relative:page;mso-height-relative:page;" filled="f" stroked="t" coordsize="21600,21600" o:gfxdata="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QXJY1AAA&#10;AAYBAAAPAAAAAAAAAAEAIAAAACIAAABkcnMvZG93bnJldi54bWxQSwECFAAUAAAACACHTuJAkI1m&#10;m+kBAADd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auto"/>
          <w:sz w:val="21"/>
          <w:szCs w:val="21"/>
          <w:highlight w:val="none"/>
        </w:rPr>
        <w:t>按照磋商文件的要求编制报价方案说明书，内容应包括所响应供货内容及服务的详细说明、质量保证和售后服务承诺、交货期、付款条件和付款方式、交货地点及运输方式、验收依据、业绩证明文件等。</w:t>
      </w:r>
      <w:r>
        <w:rPr>
          <w:rFonts w:hint="eastAsia" w:ascii="宋体" w:hAnsi="宋体" w:cs="宋体"/>
          <w:b/>
          <w:color w:val="auto"/>
          <w:sz w:val="21"/>
          <w:szCs w:val="21"/>
          <w:highlight w:val="none"/>
        </w:rPr>
        <w:t>至少应包括如下</w:t>
      </w:r>
      <w:r>
        <w:rPr>
          <w:rFonts w:hint="eastAsia" w:ascii="宋体" w:hAnsi="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843" w:firstLineChars="4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1）技术响应证明文件</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rPr>
        <w:t>总体方案</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s="仿宋_GB2312"/>
          <w:color w:val="auto"/>
          <w:kern w:val="2"/>
          <w:sz w:val="21"/>
          <w:szCs w:val="21"/>
          <w:highlight w:val="none"/>
          <w:lang w:val="en-US" w:eastAsia="zh-CN" w:bidi="ar-SA"/>
        </w:rPr>
        <w:t>教学资源库平台及资源</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b w:val="0"/>
          <w:bCs w:val="0"/>
          <w:color w:val="auto"/>
          <w:sz w:val="21"/>
          <w:szCs w:val="21"/>
          <w:highlight w:val="none"/>
          <w:lang w:val="en-IE" w:eastAsia="zh-CN"/>
        </w:rPr>
        <w:t>新媒体内容编辑实训系统</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i w:val="0"/>
          <w:iCs w:val="0"/>
          <w:color w:val="auto"/>
          <w:kern w:val="0"/>
          <w:sz w:val="21"/>
          <w:szCs w:val="21"/>
          <w:highlight w:val="none"/>
          <w:u w:val="none"/>
          <w:lang w:val="en-US" w:eastAsia="zh-CN" w:bidi="ar"/>
        </w:rPr>
        <w:t>产品选型</w:t>
      </w:r>
      <w:r>
        <w:rPr>
          <w:rFonts w:hint="eastAsia" w:ascii="宋体" w:hAnsi="宋体" w:cs="宋体"/>
          <w:i w:val="0"/>
          <w:iCs w:val="0"/>
          <w:color w:val="auto"/>
          <w:kern w:val="0"/>
          <w:sz w:val="21"/>
          <w:szCs w:val="21"/>
          <w:highlight w:val="none"/>
          <w:u w:val="none"/>
          <w:lang w:val="en-US" w:eastAsia="zh-CN" w:bidi="ar"/>
        </w:rPr>
        <w:t>及</w:t>
      </w:r>
      <w:r>
        <w:rPr>
          <w:rFonts w:hint="eastAsia" w:ascii="宋体" w:hAnsi="宋体" w:eastAsia="宋体" w:cs="仿宋_GB2312"/>
          <w:color w:val="auto"/>
          <w:kern w:val="2"/>
          <w:sz w:val="21"/>
          <w:szCs w:val="21"/>
          <w:highlight w:val="none"/>
          <w:lang w:val="en-US" w:eastAsia="zh-CN" w:bidi="ar-SA"/>
        </w:rPr>
        <w:t>参数</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bidi="ar-SA"/>
        </w:rPr>
        <w:t>服务团队</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r>
        <w:rPr>
          <w:rFonts w:hint="eastAsia" w:ascii="宋体" w:hAnsi="宋体" w:cs="宋体"/>
          <w:color w:val="auto"/>
          <w:szCs w:val="21"/>
          <w:highlight w:val="none"/>
        </w:rPr>
        <w:t>培训方案</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r>
        <w:rPr>
          <w:rFonts w:hint="eastAsia" w:ascii="宋体" w:hAnsi="宋体" w:cs="宋体"/>
          <w:color w:val="auto"/>
          <w:kern w:val="0"/>
          <w:sz w:val="21"/>
          <w:szCs w:val="21"/>
          <w:highlight w:val="none"/>
          <w:lang w:val="en-US" w:eastAsia="zh-CN" w:bidi="ar-SA"/>
        </w:rPr>
        <w:t>售后服务</w:t>
      </w:r>
      <w:r>
        <w:rPr>
          <w:rFonts w:hint="eastAsia" w:ascii="宋体" w:hAnsi="宋体" w:eastAsia="宋体" w:cs="宋体"/>
          <w:color w:val="auto"/>
          <w:kern w:val="0"/>
          <w:sz w:val="21"/>
          <w:szCs w:val="21"/>
          <w:highlight w:val="none"/>
          <w:lang w:val="en-US" w:eastAsia="zh-CN" w:bidi="ar-SA"/>
        </w:rPr>
        <w:t>方案</w:t>
      </w:r>
      <w:r>
        <w:rPr>
          <w:rFonts w:hint="eastAsia" w:ascii="宋体" w:hAnsi="宋体" w:eastAsia="宋体" w:cs="宋体"/>
          <w:color w:val="auto"/>
          <w:kern w:val="0"/>
          <w:sz w:val="21"/>
          <w:szCs w:val="21"/>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baseline"/>
        <w:rPr>
          <w:rFonts w:hint="default"/>
          <w:color w:val="auto"/>
          <w:highlight w:val="none"/>
          <w:lang w:val="en-US" w:eastAsia="zh-CN"/>
        </w:rPr>
      </w:pPr>
      <w:r>
        <w:rPr>
          <w:rFonts w:hint="eastAsia" w:ascii="宋体" w:hAnsi="宋体" w:cs="宋体"/>
          <w:color w:val="auto"/>
          <w:kern w:val="0"/>
          <w:sz w:val="21"/>
          <w:szCs w:val="21"/>
          <w:highlight w:val="none"/>
          <w:lang w:val="en-US" w:eastAsia="zh-CN"/>
        </w:rPr>
        <w:t>1.8</w:t>
      </w:r>
      <w:r>
        <w:rPr>
          <w:rFonts w:hint="eastAsia" w:ascii="宋体" w:hAnsi="宋体" w:eastAsia="宋体" w:cs="宋体"/>
          <w:i w:val="0"/>
          <w:iCs w:val="0"/>
          <w:color w:val="auto"/>
          <w:kern w:val="0"/>
          <w:sz w:val="21"/>
          <w:szCs w:val="21"/>
          <w:highlight w:val="none"/>
          <w:u w:val="none"/>
          <w:lang w:val="en-US" w:eastAsia="zh-CN" w:bidi="ar"/>
        </w:rPr>
        <w:t>服务承诺及建议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843"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2）商务响应文件</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p>
    <w:p>
      <w:pPr>
        <w:spacing w:line="360" w:lineRule="auto"/>
        <w:ind w:firstLine="420" w:firstLineChars="200"/>
        <w:rPr>
          <w:rFonts w:ascii="宋体" w:cs="宋体"/>
          <w:color w:val="auto"/>
          <w:szCs w:val="21"/>
          <w:highlight w:val="none"/>
        </w:rPr>
      </w:pPr>
    </w:p>
    <w:p>
      <w:pPr>
        <w:spacing w:line="360" w:lineRule="auto"/>
        <w:ind w:firstLine="422" w:firstLineChars="200"/>
        <w:rPr>
          <w:rFonts w:ascii="宋体" w:cs="宋体"/>
          <w:b/>
          <w:bCs/>
          <w:color w:val="auto"/>
          <w:szCs w:val="21"/>
          <w:highlight w:val="none"/>
        </w:rPr>
      </w:pPr>
      <w:r>
        <w:rPr>
          <w:rFonts w:hint="eastAsia" w:ascii="宋体" w:hAnsi="宋体" w:cs="宋体"/>
          <w:b/>
          <w:bCs/>
          <w:color w:val="auto"/>
          <w:szCs w:val="21"/>
          <w:highlight w:val="none"/>
        </w:rPr>
        <w:t>说明：后附部分内容参考格式，其他内容供应商自行编制。</w:t>
      </w:r>
    </w:p>
    <w:p>
      <w:pPr>
        <w:spacing w:after="120"/>
        <w:outlineLvl w:val="0"/>
        <w:rPr>
          <w:rFonts w:ascii="宋体" w:cs="宋体"/>
          <w:color w:val="auto"/>
          <w:sz w:val="24"/>
          <w:szCs w:val="24"/>
          <w:highlight w:val="none"/>
        </w:rPr>
      </w:pPr>
      <w:r>
        <w:rPr>
          <w:rFonts w:ascii="宋体" w:cs="宋体"/>
          <w:b/>
          <w:bCs/>
          <w:color w:val="auto"/>
          <w:sz w:val="24"/>
          <w:szCs w:val="24"/>
          <w:highlight w:val="none"/>
        </w:rPr>
        <w:br w:type="page"/>
      </w:r>
      <w:bookmarkStart w:id="69" w:name="_Toc26903"/>
      <w:bookmarkStart w:id="70" w:name="_Toc10678"/>
      <w:bookmarkStart w:id="71" w:name="_Toc21403"/>
      <w:bookmarkStart w:id="72" w:name="_Toc5933"/>
      <w:r>
        <w:rPr>
          <w:rFonts w:hint="eastAsia" w:ascii="宋体" w:hAnsi="宋体" w:cs="宋体"/>
          <w:b/>
          <w:color w:val="auto"/>
          <w:sz w:val="24"/>
          <w:szCs w:val="24"/>
          <w:highlight w:val="none"/>
        </w:rPr>
        <w:t>附件：格式</w:t>
      </w:r>
      <w:bookmarkEnd w:id="69"/>
      <w:bookmarkEnd w:id="70"/>
      <w:bookmarkEnd w:id="71"/>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baseline"/>
        <w:rPr>
          <w:rFonts w:ascii="宋体" w:cs="宋体"/>
          <w:color w:val="auto"/>
          <w:szCs w:val="21"/>
          <w:highlight w:val="none"/>
        </w:rPr>
      </w:pPr>
      <w:bookmarkStart w:id="73" w:name="_Toc37938455"/>
      <w:bookmarkStart w:id="74" w:name="_Toc37938228"/>
      <w:bookmarkStart w:id="75" w:name="_Toc31116"/>
      <w:bookmarkStart w:id="76" w:name="_Toc28220"/>
      <w:bookmarkStart w:id="77" w:name="_Toc7596"/>
      <w:bookmarkStart w:id="78" w:name="_Toc27536"/>
      <w:bookmarkStart w:id="79" w:name="_Toc7399"/>
      <w:r>
        <w:rPr>
          <w:rFonts w:hint="eastAsia" w:ascii="宋体" w:hAnsi="宋体" w:cs="宋体"/>
          <w:b/>
          <w:color w:val="auto"/>
          <w:sz w:val="30"/>
          <w:szCs w:val="30"/>
          <w:highlight w:val="none"/>
        </w:rPr>
        <w:t>技术</w:t>
      </w:r>
      <w:bookmarkEnd w:id="73"/>
      <w:bookmarkEnd w:id="74"/>
      <w:r>
        <w:rPr>
          <w:rFonts w:hint="eastAsia" w:ascii="宋体" w:hAnsi="宋体" w:cs="宋体"/>
          <w:b/>
          <w:color w:val="auto"/>
          <w:sz w:val="30"/>
          <w:szCs w:val="30"/>
          <w:highlight w:val="none"/>
        </w:rPr>
        <w:t>偏离表</w:t>
      </w:r>
      <w:bookmarkEnd w:id="75"/>
      <w:bookmarkEnd w:id="76"/>
      <w:bookmarkEnd w:id="77"/>
      <w:bookmarkEnd w:id="78"/>
      <w:bookmarkEnd w:id="79"/>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3097"/>
        <w:gridCol w:w="2988"/>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5"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3097"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磋商文件章节及条款号</w:t>
            </w:r>
          </w:p>
        </w:tc>
        <w:tc>
          <w:tcPr>
            <w:tcW w:w="2988"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磋商响应文件章节及条款号</w:t>
            </w:r>
          </w:p>
        </w:tc>
        <w:tc>
          <w:tcPr>
            <w:tcW w:w="1700"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1</w:t>
            </w:r>
          </w:p>
        </w:tc>
        <w:tc>
          <w:tcPr>
            <w:tcW w:w="3097"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2</w:t>
            </w:r>
          </w:p>
        </w:tc>
        <w:tc>
          <w:tcPr>
            <w:tcW w:w="3097"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3</w:t>
            </w:r>
          </w:p>
        </w:tc>
        <w:tc>
          <w:tcPr>
            <w:tcW w:w="3097"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4</w:t>
            </w:r>
          </w:p>
        </w:tc>
        <w:tc>
          <w:tcPr>
            <w:tcW w:w="3097"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5</w:t>
            </w:r>
          </w:p>
        </w:tc>
        <w:tc>
          <w:tcPr>
            <w:tcW w:w="3097"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tcBorders>
              <w:bottom w:val="single" w:color="auto" w:sz="12" w:space="0"/>
            </w:tcBorders>
            <w:vAlign w:val="center"/>
          </w:tcPr>
          <w:p>
            <w:pPr>
              <w:spacing w:line="360" w:lineRule="auto"/>
              <w:jc w:val="center"/>
              <w:rPr>
                <w:rFonts w:ascii="宋体" w:cs="宋体"/>
                <w:bCs/>
                <w:color w:val="auto"/>
                <w:szCs w:val="21"/>
                <w:highlight w:val="none"/>
              </w:rPr>
            </w:pPr>
            <w:r>
              <w:rPr>
                <w:rFonts w:ascii="宋体" w:cs="宋体"/>
                <w:bCs/>
                <w:color w:val="auto"/>
                <w:szCs w:val="21"/>
                <w:highlight w:val="none"/>
              </w:rPr>
              <w:t>...</w:t>
            </w:r>
          </w:p>
        </w:tc>
        <w:tc>
          <w:tcPr>
            <w:tcW w:w="3097" w:type="dxa"/>
            <w:tcBorders>
              <w:bottom w:val="single" w:color="auto" w:sz="12" w:space="0"/>
            </w:tcBorders>
          </w:tcPr>
          <w:p>
            <w:pPr>
              <w:spacing w:line="440" w:lineRule="exact"/>
              <w:rPr>
                <w:rFonts w:ascii="黑体" w:hAnsi="黑体" w:eastAsia="黑体"/>
                <w:b/>
                <w:color w:val="auto"/>
                <w:sz w:val="32"/>
                <w:highlight w:val="none"/>
              </w:rPr>
            </w:pPr>
          </w:p>
        </w:tc>
        <w:tc>
          <w:tcPr>
            <w:tcW w:w="2988" w:type="dxa"/>
            <w:tcBorders>
              <w:bottom w:val="single" w:color="auto" w:sz="12" w:space="0"/>
            </w:tcBorders>
          </w:tcPr>
          <w:p>
            <w:pPr>
              <w:spacing w:line="440" w:lineRule="exact"/>
              <w:rPr>
                <w:rFonts w:ascii="黑体" w:hAnsi="黑体" w:eastAsia="黑体"/>
                <w:b/>
                <w:color w:val="auto"/>
                <w:sz w:val="32"/>
                <w:highlight w:val="none"/>
              </w:rPr>
            </w:pPr>
          </w:p>
        </w:tc>
        <w:tc>
          <w:tcPr>
            <w:tcW w:w="1700" w:type="dxa"/>
            <w:tcBorders>
              <w:bottom w:val="single" w:color="auto" w:sz="12" w:space="0"/>
            </w:tcBorders>
          </w:tcPr>
          <w:p>
            <w:pPr>
              <w:spacing w:line="440" w:lineRule="exact"/>
              <w:rPr>
                <w:rFonts w:ascii="黑体" w:hAnsi="黑体" w:eastAsia="黑体"/>
                <w:b/>
                <w:color w:val="auto"/>
                <w:sz w:val="32"/>
                <w:highlight w:val="none"/>
              </w:rPr>
            </w:pPr>
          </w:p>
        </w:tc>
      </w:tr>
    </w:tbl>
    <w:p>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b/>
          <w:bCs/>
          <w:color w:val="auto"/>
          <w:highlight w:val="none"/>
        </w:rPr>
      </w:pPr>
      <w:r>
        <w:rPr>
          <w:rFonts w:hint="eastAsia" w:ascii="宋体" w:hAnsi="宋体"/>
          <w:b/>
          <w:bCs/>
          <w:color w:val="auto"/>
          <w:highlight w:val="none"/>
        </w:rPr>
        <w:t>供应商保证：除技术偏离表列出的偏差外，供应商响应磋商文件的全部技术要求。</w:t>
      </w:r>
    </w:p>
    <w:p>
      <w:pPr>
        <w:rPr>
          <w:rFonts w:hint="eastAsia" w:ascii="宋体" w:hAnsi="宋体" w:cs="宋体"/>
          <w:b/>
          <w:bCs/>
          <w:color w:val="auto"/>
          <w:sz w:val="24"/>
          <w:szCs w:val="24"/>
          <w:highlight w:val="none"/>
        </w:rPr>
      </w:pPr>
      <w:bookmarkStart w:id="80" w:name="_Toc16426"/>
      <w:bookmarkStart w:id="81" w:name="_Toc17160"/>
      <w:bookmarkStart w:id="82" w:name="_Toc18025"/>
      <w:r>
        <w:rPr>
          <w:rFonts w:hint="eastAsia" w:ascii="宋体" w:hAnsi="宋体" w:cs="宋体"/>
          <w:b/>
          <w:bCs/>
          <w:color w:val="auto"/>
          <w:sz w:val="24"/>
          <w:szCs w:val="24"/>
          <w:highlight w:val="none"/>
        </w:rPr>
        <w:br w:type="page"/>
      </w:r>
    </w:p>
    <w:p>
      <w:pPr>
        <w:spacing w:line="360" w:lineRule="auto"/>
        <w:outlineLvl w:val="0"/>
        <w:rPr>
          <w:rFonts w:hint="eastAsia" w:ascii="宋体" w:hAnsi="宋体" w:eastAsia="宋体" w:cs="宋体"/>
          <w:color w:val="auto"/>
          <w:sz w:val="36"/>
          <w:szCs w:val="36"/>
          <w:highlight w:val="none"/>
        </w:rPr>
      </w:pPr>
      <w:bookmarkStart w:id="83" w:name="_Toc25400"/>
      <w:bookmarkStart w:id="84" w:name="_Toc4959"/>
      <w:r>
        <w:rPr>
          <w:rFonts w:hint="eastAsia" w:ascii="宋体" w:hAnsi="宋体" w:eastAsia="宋体" w:cs="宋体"/>
          <w:b/>
          <w:bCs/>
          <w:color w:val="auto"/>
          <w:sz w:val="24"/>
          <w:szCs w:val="24"/>
          <w:highlight w:val="none"/>
        </w:rPr>
        <w:t>附件：格式</w:t>
      </w:r>
      <w:bookmarkEnd w:id="83"/>
      <w:bookmarkEnd w:id="84"/>
    </w:p>
    <w:p>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拟派本项目人员</w:t>
      </w:r>
      <w:r>
        <w:rPr>
          <w:rFonts w:hint="eastAsia" w:ascii="宋体" w:hAnsi="宋体" w:eastAsia="宋体" w:cs="宋体"/>
          <w:b/>
          <w:color w:val="auto"/>
          <w:sz w:val="32"/>
          <w:szCs w:val="32"/>
          <w:highlight w:val="none"/>
        </w:rPr>
        <w:t>简历表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126"/>
        <w:gridCol w:w="1542"/>
        <w:gridCol w:w="1292"/>
        <w:gridCol w:w="1638"/>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126" w:type="dxa"/>
            <w:vAlign w:val="center"/>
          </w:tcPr>
          <w:p>
            <w:pPr>
              <w:jc w:val="center"/>
              <w:rPr>
                <w:rFonts w:hint="eastAsia" w:ascii="宋体" w:hAnsi="宋体" w:eastAsia="宋体" w:cs="宋体"/>
                <w:color w:val="auto"/>
                <w:szCs w:val="21"/>
                <w:highlight w:val="none"/>
              </w:rPr>
            </w:pPr>
          </w:p>
        </w:tc>
        <w:tc>
          <w:tcPr>
            <w:tcW w:w="154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292" w:type="dxa"/>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126" w:type="dxa"/>
            <w:vAlign w:val="center"/>
          </w:tcPr>
          <w:p>
            <w:pPr>
              <w:jc w:val="center"/>
              <w:rPr>
                <w:rFonts w:hint="eastAsia" w:ascii="宋体" w:hAnsi="宋体" w:eastAsia="宋体" w:cs="宋体"/>
                <w:color w:val="auto"/>
                <w:szCs w:val="21"/>
                <w:highlight w:val="none"/>
              </w:rPr>
            </w:pPr>
          </w:p>
        </w:tc>
        <w:tc>
          <w:tcPr>
            <w:tcW w:w="1542" w:type="dxa"/>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本项目</w:t>
            </w:r>
            <w:r>
              <w:rPr>
                <w:rFonts w:hint="eastAsia" w:ascii="宋体" w:hAnsi="宋体" w:eastAsia="宋体" w:cs="宋体"/>
                <w:color w:val="auto"/>
                <w:szCs w:val="21"/>
                <w:highlight w:val="none"/>
              </w:rPr>
              <w:t>职务</w:t>
            </w:r>
          </w:p>
        </w:tc>
        <w:tc>
          <w:tcPr>
            <w:tcW w:w="1292" w:type="dxa"/>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425" w:type="dxa"/>
            <w:gridSpan w:val="5"/>
            <w:vAlign w:val="center"/>
          </w:tcPr>
          <w:p>
            <w:pPr>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9" w:type="dxa"/>
            <w:gridSpan w:val="6"/>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960" w:type="dxa"/>
            <w:gridSpan w:val="3"/>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16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项目概况说明</w:t>
            </w:r>
          </w:p>
        </w:tc>
        <w:tc>
          <w:tcPr>
            <w:tcW w:w="182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960" w:type="dxa"/>
            <w:gridSpan w:val="3"/>
            <w:vAlign w:val="center"/>
          </w:tcPr>
          <w:p>
            <w:pPr>
              <w:jc w:val="center"/>
              <w:rPr>
                <w:rFonts w:hint="eastAsia" w:ascii="宋体" w:hAnsi="宋体" w:eastAsia="宋体" w:cs="宋体"/>
                <w:color w:val="auto"/>
                <w:szCs w:val="21"/>
                <w:highlight w:val="none"/>
              </w:rPr>
            </w:pPr>
          </w:p>
        </w:tc>
        <w:tc>
          <w:tcPr>
            <w:tcW w:w="1638" w:type="dxa"/>
            <w:vAlign w:val="center"/>
          </w:tcPr>
          <w:p>
            <w:pPr>
              <w:jc w:val="center"/>
              <w:rPr>
                <w:rFonts w:hint="eastAsia" w:ascii="宋体" w:hAnsi="宋体" w:eastAsia="宋体" w:cs="宋体"/>
                <w:color w:val="auto"/>
                <w:szCs w:val="21"/>
                <w:highlight w:val="none"/>
              </w:rPr>
            </w:pPr>
          </w:p>
        </w:tc>
        <w:tc>
          <w:tcPr>
            <w:tcW w:w="1827" w:type="dxa"/>
            <w:vAlign w:val="center"/>
          </w:tcPr>
          <w:p>
            <w:pPr>
              <w:jc w:val="center"/>
              <w:rPr>
                <w:rFonts w:hint="eastAsia" w:ascii="宋体" w:hAnsi="宋体" w:eastAsia="宋体" w:cs="宋体"/>
                <w:color w:val="auto"/>
                <w:szCs w:val="21"/>
                <w:highlight w:val="none"/>
              </w:rPr>
            </w:pPr>
          </w:p>
        </w:tc>
      </w:tr>
    </w:tbl>
    <w:p>
      <w:pPr>
        <w:spacing w:line="360" w:lineRule="auto"/>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注：1.后附证明如学历、相关认证证书等材料的复印件；2.服务团队其他人员参照上表编制。</w:t>
      </w:r>
    </w:p>
    <w:p>
      <w:pPr>
        <w:spacing w:line="400" w:lineRule="exact"/>
        <w:outlineLvl w:val="1"/>
        <w:rPr>
          <w:rFonts w:hint="eastAsia" w:ascii="宋体" w:hAnsi="宋体" w:cs="宋体"/>
          <w:b/>
          <w:bCs/>
          <w:color w:val="auto"/>
          <w:sz w:val="24"/>
          <w:szCs w:val="24"/>
          <w:highlight w:val="none"/>
        </w:rPr>
      </w:pPr>
      <w:r>
        <w:rPr>
          <w:rFonts w:hint="eastAsia" w:ascii="宋体" w:hAnsi="宋体" w:eastAsia="宋体" w:cs="宋体"/>
          <w:color w:val="auto"/>
          <w:szCs w:val="21"/>
          <w:highlight w:val="none"/>
          <w:u w:val="single"/>
        </w:rPr>
        <w:br w:type="page"/>
      </w:r>
    </w:p>
    <w:p>
      <w:pPr>
        <w:spacing w:after="120"/>
        <w:rPr>
          <w:rFonts w:hint="eastAsia" w:ascii="宋体" w:hAnsi="宋体" w:cs="宋体"/>
          <w:color w:val="auto"/>
          <w:sz w:val="24"/>
          <w:szCs w:val="24"/>
          <w:highlight w:val="none"/>
        </w:rPr>
      </w:pPr>
      <w:r>
        <w:rPr>
          <w:rFonts w:hint="eastAsia" w:ascii="宋体" w:hAnsi="宋体" w:cs="宋体"/>
          <w:b/>
          <w:bCs/>
          <w:color w:val="auto"/>
          <w:sz w:val="24"/>
          <w:szCs w:val="24"/>
          <w:highlight w:val="none"/>
        </w:rPr>
        <w:t>附件：格式</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baseline"/>
        <w:rPr>
          <w:rFonts w:hint="eastAsia" w:ascii="宋体" w:hAnsi="宋体" w:cs="宋体"/>
          <w:b/>
          <w:color w:val="auto"/>
          <w:sz w:val="30"/>
          <w:szCs w:val="30"/>
          <w:highlight w:val="none"/>
        </w:rPr>
      </w:pPr>
      <w:r>
        <w:rPr>
          <w:rFonts w:hint="eastAsia" w:ascii="宋体" w:hAnsi="宋体" w:cs="宋体"/>
          <w:b/>
          <w:color w:val="auto"/>
          <w:sz w:val="30"/>
          <w:szCs w:val="30"/>
          <w:highlight w:val="none"/>
        </w:rPr>
        <w:t>供货一览表</w:t>
      </w:r>
    </w:p>
    <w:tbl>
      <w:tblPr>
        <w:tblStyle w:val="22"/>
        <w:tblW w:w="495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81"/>
        <w:gridCol w:w="848"/>
        <w:gridCol w:w="848"/>
        <w:gridCol w:w="848"/>
        <w:gridCol w:w="3857"/>
        <w:gridCol w:w="850"/>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77" w:type="pct"/>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477" w:type="pct"/>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477" w:type="pct"/>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169" w:type="pct"/>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制造商名称/品牌/产地</w:t>
            </w:r>
          </w:p>
        </w:tc>
        <w:tc>
          <w:tcPr>
            <w:tcW w:w="478" w:type="pct"/>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图片</w:t>
            </w:r>
          </w:p>
        </w:tc>
        <w:tc>
          <w:tcPr>
            <w:tcW w:w="478" w:type="pct"/>
            <w:tcBorders>
              <w:tl2br w:val="nil"/>
              <w:tr2bl w:val="nil"/>
            </w:tcBorders>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2169"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2169"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2169"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2169"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2169"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2169"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39"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477" w:type="pct"/>
            <w:tcBorders>
              <w:tl2br w:val="nil"/>
              <w:tr2bl w:val="nil"/>
            </w:tcBorders>
            <w:noWrap w:val="0"/>
            <w:vAlign w:val="center"/>
          </w:tcPr>
          <w:p>
            <w:pPr>
              <w:jc w:val="center"/>
              <w:rPr>
                <w:rFonts w:hint="eastAsia" w:ascii="宋体" w:hAnsi="宋体" w:cs="宋体"/>
                <w:color w:val="auto"/>
                <w:szCs w:val="21"/>
                <w:highlight w:val="none"/>
              </w:rPr>
            </w:pPr>
          </w:p>
        </w:tc>
        <w:tc>
          <w:tcPr>
            <w:tcW w:w="2169"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c>
          <w:tcPr>
            <w:tcW w:w="478" w:type="pct"/>
            <w:tcBorders>
              <w:tl2br w:val="nil"/>
              <w:tr2bl w:val="nil"/>
            </w:tcBorders>
            <w:noWrap w:val="0"/>
            <w:vAlign w:val="center"/>
          </w:tcPr>
          <w:p>
            <w:pPr>
              <w:jc w:val="center"/>
              <w:rPr>
                <w:rFonts w:hint="eastAsia" w:ascii="宋体" w:hAnsi="宋体" w:cs="宋体"/>
                <w:color w:val="auto"/>
                <w:szCs w:val="21"/>
                <w:highlight w:val="none"/>
              </w:rPr>
            </w:pPr>
          </w:p>
        </w:tc>
      </w:tr>
    </w:tbl>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pPr>
        <w:outlineLvl w:val="0"/>
        <w:rPr>
          <w:rFonts w:ascii="宋体" w:cs="宋体"/>
          <w:color w:val="auto"/>
          <w:sz w:val="24"/>
          <w:szCs w:val="24"/>
          <w:highlight w:val="none"/>
        </w:rPr>
      </w:pPr>
      <w:r>
        <w:rPr>
          <w:rFonts w:hint="eastAsia" w:ascii="宋体" w:hAnsi="宋体" w:cs="宋体"/>
          <w:b/>
          <w:color w:val="auto"/>
          <w:sz w:val="24"/>
          <w:szCs w:val="24"/>
          <w:highlight w:val="none"/>
        </w:rPr>
        <w:t>附件：格式</w:t>
      </w:r>
      <w:bookmarkEnd w:id="72"/>
      <w:bookmarkEnd w:id="80"/>
      <w:bookmarkEnd w:id="81"/>
      <w:bookmarkEnd w:id="82"/>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baseline"/>
        <w:rPr>
          <w:rFonts w:hint="eastAsia" w:ascii="宋体" w:hAnsi="宋体" w:cs="宋体"/>
          <w:b/>
          <w:color w:val="auto"/>
          <w:sz w:val="30"/>
          <w:szCs w:val="30"/>
          <w:highlight w:val="none"/>
        </w:rPr>
      </w:pPr>
      <w:r>
        <w:rPr>
          <w:rFonts w:hint="eastAsia" w:ascii="宋体" w:hAnsi="宋体" w:cs="宋体"/>
          <w:b/>
          <w:color w:val="auto"/>
          <w:sz w:val="30"/>
          <w:szCs w:val="30"/>
          <w:highlight w:val="none"/>
        </w:rPr>
        <w:t>商务偏离表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093"/>
        <w:gridCol w:w="3115"/>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3093"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磋商文件章节及条款号</w:t>
            </w:r>
          </w:p>
        </w:tc>
        <w:tc>
          <w:tcPr>
            <w:tcW w:w="3115"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磋商响应文件章节及条款号</w:t>
            </w:r>
          </w:p>
        </w:tc>
        <w:tc>
          <w:tcPr>
            <w:tcW w:w="1573"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1</w:t>
            </w:r>
          </w:p>
        </w:tc>
        <w:tc>
          <w:tcPr>
            <w:tcW w:w="3093" w:type="dxa"/>
          </w:tcPr>
          <w:p>
            <w:pPr>
              <w:spacing w:line="440" w:lineRule="exact"/>
              <w:rPr>
                <w:rFonts w:ascii="黑体" w:hAnsi="黑体" w:eastAsia="黑体"/>
                <w:b/>
                <w:color w:val="auto"/>
                <w:sz w:val="32"/>
                <w:highlight w:val="none"/>
              </w:rPr>
            </w:pPr>
          </w:p>
        </w:tc>
        <w:tc>
          <w:tcPr>
            <w:tcW w:w="3115" w:type="dxa"/>
          </w:tcPr>
          <w:p>
            <w:pPr>
              <w:spacing w:line="440" w:lineRule="exact"/>
              <w:rPr>
                <w:rFonts w:ascii="黑体" w:hAnsi="黑体" w:eastAsia="黑体"/>
                <w:b/>
                <w:color w:val="auto"/>
                <w:sz w:val="32"/>
                <w:highlight w:val="none"/>
              </w:rPr>
            </w:pPr>
          </w:p>
        </w:tc>
        <w:tc>
          <w:tcPr>
            <w:tcW w:w="1573"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2</w:t>
            </w:r>
          </w:p>
        </w:tc>
        <w:tc>
          <w:tcPr>
            <w:tcW w:w="3093" w:type="dxa"/>
          </w:tcPr>
          <w:p>
            <w:pPr>
              <w:spacing w:line="440" w:lineRule="exact"/>
              <w:rPr>
                <w:rFonts w:ascii="黑体" w:hAnsi="黑体" w:eastAsia="黑体"/>
                <w:b/>
                <w:color w:val="auto"/>
                <w:sz w:val="32"/>
                <w:highlight w:val="none"/>
              </w:rPr>
            </w:pPr>
          </w:p>
        </w:tc>
        <w:tc>
          <w:tcPr>
            <w:tcW w:w="3115" w:type="dxa"/>
          </w:tcPr>
          <w:p>
            <w:pPr>
              <w:spacing w:line="440" w:lineRule="exact"/>
              <w:rPr>
                <w:rFonts w:ascii="黑体" w:hAnsi="黑体" w:eastAsia="黑体"/>
                <w:b/>
                <w:color w:val="auto"/>
                <w:sz w:val="32"/>
                <w:highlight w:val="none"/>
              </w:rPr>
            </w:pPr>
          </w:p>
        </w:tc>
        <w:tc>
          <w:tcPr>
            <w:tcW w:w="1573"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3</w:t>
            </w:r>
          </w:p>
        </w:tc>
        <w:tc>
          <w:tcPr>
            <w:tcW w:w="3093" w:type="dxa"/>
          </w:tcPr>
          <w:p>
            <w:pPr>
              <w:spacing w:line="440" w:lineRule="exact"/>
              <w:rPr>
                <w:rFonts w:ascii="黑体" w:hAnsi="黑体" w:eastAsia="黑体"/>
                <w:b/>
                <w:color w:val="auto"/>
                <w:sz w:val="32"/>
                <w:highlight w:val="none"/>
              </w:rPr>
            </w:pPr>
          </w:p>
        </w:tc>
        <w:tc>
          <w:tcPr>
            <w:tcW w:w="3115" w:type="dxa"/>
          </w:tcPr>
          <w:p>
            <w:pPr>
              <w:spacing w:line="440" w:lineRule="exact"/>
              <w:rPr>
                <w:rFonts w:ascii="黑体" w:hAnsi="黑体" w:eastAsia="黑体"/>
                <w:b/>
                <w:color w:val="auto"/>
                <w:sz w:val="32"/>
                <w:highlight w:val="none"/>
              </w:rPr>
            </w:pPr>
          </w:p>
        </w:tc>
        <w:tc>
          <w:tcPr>
            <w:tcW w:w="1573"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4</w:t>
            </w:r>
          </w:p>
        </w:tc>
        <w:tc>
          <w:tcPr>
            <w:tcW w:w="3093" w:type="dxa"/>
          </w:tcPr>
          <w:p>
            <w:pPr>
              <w:spacing w:line="440" w:lineRule="exact"/>
              <w:rPr>
                <w:rFonts w:ascii="黑体" w:hAnsi="黑体" w:eastAsia="黑体"/>
                <w:b/>
                <w:color w:val="auto"/>
                <w:sz w:val="32"/>
                <w:highlight w:val="none"/>
              </w:rPr>
            </w:pPr>
          </w:p>
        </w:tc>
        <w:tc>
          <w:tcPr>
            <w:tcW w:w="3115" w:type="dxa"/>
          </w:tcPr>
          <w:p>
            <w:pPr>
              <w:spacing w:line="440" w:lineRule="exact"/>
              <w:rPr>
                <w:rFonts w:ascii="黑体" w:hAnsi="黑体" w:eastAsia="黑体"/>
                <w:b/>
                <w:color w:val="auto"/>
                <w:sz w:val="32"/>
                <w:highlight w:val="none"/>
              </w:rPr>
            </w:pPr>
          </w:p>
        </w:tc>
        <w:tc>
          <w:tcPr>
            <w:tcW w:w="1573"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5</w:t>
            </w:r>
          </w:p>
        </w:tc>
        <w:tc>
          <w:tcPr>
            <w:tcW w:w="3093" w:type="dxa"/>
          </w:tcPr>
          <w:p>
            <w:pPr>
              <w:spacing w:line="440" w:lineRule="exact"/>
              <w:rPr>
                <w:rFonts w:ascii="黑体" w:hAnsi="黑体" w:eastAsia="黑体"/>
                <w:b/>
                <w:color w:val="auto"/>
                <w:sz w:val="32"/>
                <w:highlight w:val="none"/>
              </w:rPr>
            </w:pPr>
          </w:p>
        </w:tc>
        <w:tc>
          <w:tcPr>
            <w:tcW w:w="3115" w:type="dxa"/>
          </w:tcPr>
          <w:p>
            <w:pPr>
              <w:spacing w:line="440" w:lineRule="exact"/>
              <w:rPr>
                <w:rFonts w:ascii="黑体" w:hAnsi="黑体" w:eastAsia="黑体"/>
                <w:b/>
                <w:color w:val="auto"/>
                <w:sz w:val="32"/>
                <w:highlight w:val="none"/>
              </w:rPr>
            </w:pPr>
          </w:p>
        </w:tc>
        <w:tc>
          <w:tcPr>
            <w:tcW w:w="1573"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tcBorders>
              <w:bottom w:val="single" w:color="auto" w:sz="12" w:space="0"/>
            </w:tcBorders>
            <w:vAlign w:val="center"/>
          </w:tcPr>
          <w:p>
            <w:pPr>
              <w:spacing w:line="360" w:lineRule="auto"/>
              <w:jc w:val="center"/>
              <w:rPr>
                <w:rFonts w:ascii="宋体" w:cs="宋体"/>
                <w:bCs/>
                <w:color w:val="auto"/>
                <w:szCs w:val="21"/>
                <w:highlight w:val="none"/>
              </w:rPr>
            </w:pPr>
            <w:r>
              <w:rPr>
                <w:rFonts w:ascii="宋体" w:cs="宋体"/>
                <w:bCs/>
                <w:color w:val="auto"/>
                <w:szCs w:val="21"/>
                <w:highlight w:val="none"/>
              </w:rPr>
              <w:t>...</w:t>
            </w:r>
          </w:p>
        </w:tc>
        <w:tc>
          <w:tcPr>
            <w:tcW w:w="3093" w:type="dxa"/>
            <w:tcBorders>
              <w:bottom w:val="single" w:color="auto" w:sz="12" w:space="0"/>
            </w:tcBorders>
          </w:tcPr>
          <w:p>
            <w:pPr>
              <w:spacing w:line="440" w:lineRule="exact"/>
              <w:rPr>
                <w:rFonts w:ascii="黑体" w:hAnsi="黑体" w:eastAsia="黑体"/>
                <w:b/>
                <w:color w:val="auto"/>
                <w:sz w:val="32"/>
                <w:highlight w:val="none"/>
              </w:rPr>
            </w:pPr>
          </w:p>
        </w:tc>
        <w:tc>
          <w:tcPr>
            <w:tcW w:w="3115" w:type="dxa"/>
            <w:tcBorders>
              <w:bottom w:val="single" w:color="auto" w:sz="12" w:space="0"/>
            </w:tcBorders>
          </w:tcPr>
          <w:p>
            <w:pPr>
              <w:spacing w:line="440" w:lineRule="exact"/>
              <w:rPr>
                <w:rFonts w:ascii="黑体" w:hAnsi="黑体" w:eastAsia="黑体"/>
                <w:b/>
                <w:color w:val="auto"/>
                <w:sz w:val="32"/>
                <w:highlight w:val="none"/>
              </w:rPr>
            </w:pPr>
          </w:p>
        </w:tc>
        <w:tc>
          <w:tcPr>
            <w:tcW w:w="1573" w:type="dxa"/>
            <w:tcBorders>
              <w:bottom w:val="single" w:color="auto" w:sz="12" w:space="0"/>
            </w:tcBorders>
          </w:tcPr>
          <w:p>
            <w:pPr>
              <w:spacing w:line="440" w:lineRule="exact"/>
              <w:rPr>
                <w:rFonts w:ascii="黑体" w:hAnsi="黑体" w:eastAsia="黑体"/>
                <w:b/>
                <w:color w:val="auto"/>
                <w:sz w:val="32"/>
                <w:highlight w:val="none"/>
              </w:rPr>
            </w:pP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baseline"/>
        <w:rPr>
          <w:rFonts w:ascii="宋体" w:cs="宋体"/>
          <w:b/>
          <w:bCs/>
          <w:color w:val="auto"/>
          <w:highlight w:val="none"/>
        </w:rPr>
      </w:pPr>
      <w:r>
        <w:rPr>
          <w:rFonts w:hint="eastAsia" w:ascii="宋体" w:hAnsi="宋体"/>
          <w:b/>
          <w:bCs/>
          <w:color w:val="auto"/>
          <w:highlight w:val="none"/>
        </w:rPr>
        <w:t>供应商保证：除商务偏离表列出的偏差外，供应商响应磋商文件的全部商务要求。</w:t>
      </w:r>
    </w:p>
    <w:p>
      <w:pPr>
        <w:snapToGrid w:val="0"/>
        <w:spacing w:line="360" w:lineRule="auto"/>
        <w:rPr>
          <w:rFonts w:ascii="宋体" w:cs="宋体"/>
          <w:color w:val="auto"/>
          <w:sz w:val="24"/>
          <w:szCs w:val="24"/>
          <w:highlight w:val="none"/>
        </w:rPr>
      </w:pPr>
    </w:p>
    <w:p>
      <w:pPr>
        <w:rPr>
          <w:rFonts w:hint="eastAsia" w:ascii="宋体" w:hAnsi="宋体" w:cs="宋体"/>
          <w:b/>
          <w:color w:val="auto"/>
          <w:sz w:val="24"/>
          <w:szCs w:val="24"/>
          <w:highlight w:val="none"/>
        </w:rPr>
      </w:pPr>
      <w:bookmarkStart w:id="85" w:name="_Toc42518141"/>
      <w:bookmarkStart w:id="86" w:name="_Toc19349"/>
      <w:bookmarkStart w:id="87" w:name="_Toc19346"/>
      <w:bookmarkStart w:id="88" w:name="_Toc30174"/>
      <w:bookmarkStart w:id="89" w:name="_Toc21887"/>
      <w:r>
        <w:rPr>
          <w:rFonts w:hint="eastAsia" w:ascii="宋体" w:hAnsi="宋体" w:cs="宋体"/>
          <w:b/>
          <w:color w:val="auto"/>
          <w:sz w:val="24"/>
          <w:szCs w:val="24"/>
          <w:highlight w:val="none"/>
        </w:rPr>
        <w:br w:type="page"/>
      </w:r>
    </w:p>
    <w:bookmarkEnd w:id="85"/>
    <w:bookmarkEnd w:id="86"/>
    <w:bookmarkEnd w:id="87"/>
    <w:bookmarkEnd w:id="88"/>
    <w:bookmarkEnd w:id="89"/>
    <w:p>
      <w:pPr>
        <w:spacing w:line="400" w:lineRule="exact"/>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t>附件：格式</w:t>
      </w:r>
    </w:p>
    <w:p>
      <w:pPr>
        <w:spacing w:after="120"/>
        <w:jc w:val="center"/>
        <w:rPr>
          <w:rFonts w:hint="eastAsia" w:ascii="宋体" w:hAnsi="宋体" w:eastAsia="宋体" w:cs="宋体"/>
          <w:b/>
          <w:color w:val="auto"/>
          <w:sz w:val="32"/>
          <w:szCs w:val="32"/>
          <w:highlight w:val="none"/>
        </w:rPr>
      </w:pPr>
      <w:bookmarkStart w:id="90" w:name="_Toc42518142"/>
      <w:bookmarkStart w:id="91" w:name="_Toc849"/>
      <w:bookmarkStart w:id="92" w:name="_Toc42794603"/>
      <w:r>
        <w:rPr>
          <w:rFonts w:hint="eastAsia" w:ascii="宋体" w:hAnsi="宋体" w:eastAsia="宋体" w:cs="宋体"/>
          <w:b/>
          <w:color w:val="auto"/>
          <w:sz w:val="32"/>
          <w:szCs w:val="32"/>
          <w:highlight w:val="none"/>
        </w:rPr>
        <w:t>供应商基本情况表</w:t>
      </w:r>
      <w:bookmarkEnd w:id="90"/>
      <w:bookmarkEnd w:id="91"/>
      <w:bookmarkEnd w:id="92"/>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6"/>
        <w:gridCol w:w="551"/>
        <w:gridCol w:w="501"/>
        <w:gridCol w:w="1249"/>
        <w:gridCol w:w="1398"/>
        <w:gridCol w:w="850"/>
        <w:gridCol w:w="1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7015" w:type="dxa"/>
            <w:gridSpan w:val="7"/>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047" w:type="dxa"/>
            <w:gridSpan w:val="4"/>
            <w:vAlign w:val="center"/>
          </w:tcPr>
          <w:p>
            <w:pPr>
              <w:jc w:val="center"/>
              <w:rPr>
                <w:rFonts w:hint="eastAsia" w:ascii="宋体" w:hAnsi="宋体" w:eastAsia="宋体" w:cs="宋体"/>
                <w:color w:val="auto"/>
                <w:szCs w:val="21"/>
                <w:highlight w:val="none"/>
              </w:rPr>
            </w:pPr>
          </w:p>
        </w:tc>
        <w:tc>
          <w:tcPr>
            <w:tcW w:w="13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570" w:type="dxa"/>
            <w:gridSpan w:val="2"/>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5"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297"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750" w:type="dxa"/>
            <w:gridSpan w:val="2"/>
            <w:vAlign w:val="center"/>
          </w:tcPr>
          <w:p>
            <w:pPr>
              <w:jc w:val="center"/>
              <w:rPr>
                <w:rFonts w:hint="eastAsia" w:ascii="宋体" w:hAnsi="宋体" w:eastAsia="宋体" w:cs="宋体"/>
                <w:color w:val="auto"/>
                <w:szCs w:val="21"/>
                <w:highlight w:val="none"/>
              </w:rPr>
            </w:pPr>
          </w:p>
        </w:tc>
        <w:tc>
          <w:tcPr>
            <w:tcW w:w="13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570" w:type="dxa"/>
            <w:gridSpan w:val="2"/>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95" w:type="dxa"/>
            <w:vMerge w:val="continue"/>
            <w:vAlign w:val="center"/>
          </w:tcPr>
          <w:p>
            <w:pPr>
              <w:jc w:val="center"/>
              <w:rPr>
                <w:rFonts w:hint="eastAsia" w:ascii="宋体" w:hAnsi="宋体" w:eastAsia="宋体" w:cs="宋体"/>
                <w:color w:val="auto"/>
                <w:szCs w:val="21"/>
                <w:highlight w:val="none"/>
              </w:rPr>
            </w:pPr>
          </w:p>
        </w:tc>
        <w:tc>
          <w:tcPr>
            <w:tcW w:w="1297"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1750" w:type="dxa"/>
            <w:gridSpan w:val="2"/>
            <w:vAlign w:val="center"/>
          </w:tcPr>
          <w:p>
            <w:pPr>
              <w:jc w:val="center"/>
              <w:rPr>
                <w:rFonts w:hint="eastAsia" w:ascii="宋体" w:hAnsi="宋体" w:eastAsia="宋体" w:cs="宋体"/>
                <w:color w:val="auto"/>
                <w:szCs w:val="21"/>
                <w:highlight w:val="none"/>
              </w:rPr>
            </w:pPr>
          </w:p>
        </w:tc>
        <w:tc>
          <w:tcPr>
            <w:tcW w:w="13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2570" w:type="dxa"/>
            <w:gridSpan w:val="2"/>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015" w:type="dxa"/>
            <w:gridSpan w:val="7"/>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74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52" w:type="dxa"/>
            <w:gridSpan w:val="2"/>
            <w:vAlign w:val="center"/>
          </w:tcPr>
          <w:p>
            <w:pPr>
              <w:jc w:val="center"/>
              <w:rPr>
                <w:rFonts w:hint="eastAsia" w:ascii="宋体" w:hAnsi="宋体" w:eastAsia="宋体" w:cs="宋体"/>
                <w:color w:val="auto"/>
                <w:szCs w:val="21"/>
                <w:highlight w:val="none"/>
              </w:rPr>
            </w:pPr>
          </w:p>
        </w:tc>
        <w:tc>
          <w:tcPr>
            <w:tcW w:w="124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398" w:type="dxa"/>
            <w:vAlign w:val="center"/>
          </w:tcPr>
          <w:p>
            <w:pPr>
              <w:jc w:val="center"/>
              <w:rPr>
                <w:rFonts w:hint="eastAsia" w:ascii="宋体" w:hAnsi="宋体" w:eastAsia="宋体" w:cs="宋体"/>
                <w:color w:val="auto"/>
                <w:szCs w:val="21"/>
                <w:highlight w:val="none"/>
              </w:rPr>
            </w:pPr>
          </w:p>
        </w:tc>
        <w:tc>
          <w:tcPr>
            <w:tcW w:w="8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20"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74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52" w:type="dxa"/>
            <w:gridSpan w:val="2"/>
            <w:vAlign w:val="center"/>
          </w:tcPr>
          <w:p>
            <w:pPr>
              <w:jc w:val="center"/>
              <w:rPr>
                <w:rFonts w:hint="eastAsia" w:ascii="宋体" w:hAnsi="宋体" w:eastAsia="宋体" w:cs="宋体"/>
                <w:color w:val="auto"/>
                <w:szCs w:val="21"/>
                <w:highlight w:val="none"/>
              </w:rPr>
            </w:pPr>
          </w:p>
        </w:tc>
        <w:tc>
          <w:tcPr>
            <w:tcW w:w="124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398" w:type="dxa"/>
            <w:vAlign w:val="center"/>
          </w:tcPr>
          <w:p>
            <w:pPr>
              <w:jc w:val="center"/>
              <w:rPr>
                <w:rFonts w:hint="eastAsia" w:ascii="宋体" w:hAnsi="宋体" w:eastAsia="宋体" w:cs="宋体"/>
                <w:color w:val="auto"/>
                <w:szCs w:val="21"/>
                <w:highlight w:val="none"/>
              </w:rPr>
            </w:pPr>
          </w:p>
        </w:tc>
        <w:tc>
          <w:tcPr>
            <w:tcW w:w="8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20"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经营范围备注</w:t>
            </w:r>
          </w:p>
        </w:tc>
        <w:tc>
          <w:tcPr>
            <w:tcW w:w="7015" w:type="dxa"/>
            <w:gridSpan w:val="7"/>
          </w:tcPr>
          <w:p>
            <w:pPr>
              <w:ind w:firstLine="420" w:firstLineChars="200"/>
              <w:rPr>
                <w:rFonts w:hint="eastAsia" w:ascii="宋体" w:hAnsi="宋体" w:eastAsia="宋体" w:cs="宋体"/>
                <w:color w:val="auto"/>
                <w:szCs w:val="21"/>
                <w:highlight w:val="none"/>
              </w:rPr>
            </w:pPr>
          </w:p>
        </w:tc>
      </w:tr>
    </w:tbl>
    <w:p>
      <w:pPr>
        <w:snapToGrid w:val="0"/>
        <w:spacing w:line="500" w:lineRule="exact"/>
        <w:outlineLvl w:val="0"/>
        <w:rPr>
          <w:rFonts w:hint="eastAsia" w:ascii="宋体" w:hAnsi="宋体" w:eastAsia="宋体" w:cs="宋体"/>
          <w:color w:val="auto"/>
          <w:szCs w:val="21"/>
          <w:highlight w:val="none"/>
          <w:u w:val="single"/>
        </w:rPr>
      </w:pPr>
      <w:bookmarkStart w:id="93" w:name="_Toc42794604"/>
      <w:bookmarkStart w:id="94" w:name="_Toc42518143"/>
      <w:bookmarkStart w:id="95" w:name="_Toc23274"/>
      <w:bookmarkStart w:id="96" w:name="_Toc14347"/>
      <w:bookmarkStart w:id="97" w:name="_Toc5228"/>
      <w:r>
        <w:rPr>
          <w:rFonts w:hint="eastAsia" w:ascii="宋体" w:hAnsi="宋体" w:eastAsia="宋体" w:cs="宋体"/>
          <w:b/>
          <w:bCs/>
          <w:color w:val="auto"/>
          <w:szCs w:val="21"/>
          <w:highlight w:val="none"/>
        </w:rPr>
        <w:t>注：填写上表后，供应商如认为有必要也可附其他文字或表格补充描述</w:t>
      </w:r>
      <w:r>
        <w:rPr>
          <w:rFonts w:hint="eastAsia" w:ascii="宋体" w:hAnsi="宋体" w:eastAsia="宋体" w:cs="宋体"/>
          <w:color w:val="auto"/>
          <w:szCs w:val="21"/>
          <w:highlight w:val="none"/>
        </w:rPr>
        <w:t>。</w:t>
      </w:r>
      <w:bookmarkEnd w:id="93"/>
      <w:bookmarkEnd w:id="94"/>
      <w:bookmarkEnd w:id="95"/>
      <w:bookmarkEnd w:id="96"/>
      <w:bookmarkEnd w:id="97"/>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spacing w:before="156" w:beforeLines="50" w:line="360" w:lineRule="auto"/>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（一）供应商基本信息</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如设立时间、隶属关系、经营范围、资质等级及单位人员情况。</w:t>
      </w:r>
    </w:p>
    <w:p>
      <w:pPr>
        <w:widowControl w:val="0"/>
        <w:spacing w:line="360" w:lineRule="auto"/>
        <w:ind w:firstLine="422" w:firstLineChars="200"/>
        <w:textAlignment w:val="auto"/>
        <w:outlineLvl w:val="1"/>
        <w:rPr>
          <w:rFonts w:hint="eastAsia" w:ascii="宋体" w:hAnsi="宋体" w:eastAsia="宋体" w:cs="宋体"/>
          <w:b/>
          <w:color w:val="auto"/>
          <w:highlight w:val="none"/>
        </w:rPr>
      </w:pPr>
      <w:bookmarkStart w:id="98" w:name="_Toc24181"/>
      <w:bookmarkStart w:id="99" w:name="_Toc22763"/>
      <w:r>
        <w:rPr>
          <w:rFonts w:hint="eastAsia" w:ascii="宋体" w:hAnsi="宋体" w:eastAsia="宋体" w:cs="宋体"/>
          <w:b/>
          <w:color w:val="auto"/>
          <w:highlight w:val="none"/>
        </w:rPr>
        <w:t>（二）供应商性质</w:t>
      </w:r>
      <w:bookmarkEnd w:id="98"/>
      <w:bookmarkEnd w:id="99"/>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中小企业单位投标时，应提供《中小企业声明函》</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未提供的不能享受招标文件规定的价格扣除，但不影响投标文件的有效性。</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残疾人福利性单位投标时，应当提供《残疾人福利性单位声明函》并对声明的真实性负责。无需提供其他证明声明函内容的材料</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未提供的不能享受招标文件规定的价格扣除，但不影响投标文件的有效性。</w:t>
      </w:r>
    </w:p>
    <w:p>
      <w:pPr>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监狱企业投标时，应当提供由省级以上监狱管理局、戒毒管理局（含新疆生产建设兵团）出具的属于监狱企业的证明文件（格式不做要求）</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未提供证明文件的不能享受招标文件规定的价格扣除，但不影响投标文件的有效性。</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特别提醒：供应商性质（证明文件）将随成交公告一同公布。</w:t>
      </w:r>
    </w:p>
    <w:p>
      <w:pPr>
        <w:spacing w:before="156" w:beforeLines="50" w:line="360" w:lineRule="auto"/>
        <w:ind w:firstLine="422" w:firstLineChars="200"/>
        <w:outlineLvl w:val="1"/>
        <w:rPr>
          <w:rFonts w:hint="eastAsia" w:ascii="宋体" w:hAnsi="宋体" w:eastAsia="宋体" w:cs="宋体"/>
          <w:b/>
          <w:color w:val="auto"/>
          <w:highlight w:val="none"/>
        </w:rPr>
      </w:pPr>
      <w:bookmarkStart w:id="100" w:name="_Toc17974"/>
      <w:bookmarkStart w:id="101" w:name="_Toc13785"/>
      <w:r>
        <w:rPr>
          <w:rFonts w:hint="eastAsia" w:ascii="宋体" w:hAnsi="宋体" w:eastAsia="宋体" w:cs="宋体"/>
          <w:b/>
          <w:color w:val="auto"/>
          <w:highlight w:val="none"/>
        </w:rPr>
        <w:t>（三）其他</w:t>
      </w:r>
      <w:bookmarkEnd w:id="100"/>
      <w:bookmarkEnd w:id="101"/>
    </w:p>
    <w:p>
      <w:pPr>
        <w:tabs>
          <w:tab w:val="right" w:pos="8364"/>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如：经营状况、用户评价等。</w:t>
      </w:r>
    </w:p>
    <w:p>
      <w:pPr>
        <w:pStyle w:val="5"/>
        <w:keepNext w:val="0"/>
        <w:keepLines w:val="0"/>
        <w:spacing w:line="240" w:lineRule="auto"/>
        <w:jc w:val="both"/>
        <w:rPr>
          <w:rFonts w:hint="eastAsia" w:ascii="宋体" w:hAnsi="宋体" w:eastAsia="宋体" w:cs="宋体"/>
          <w:color w:val="auto"/>
          <w:sz w:val="36"/>
          <w:szCs w:val="36"/>
          <w:highlight w:val="none"/>
        </w:rPr>
      </w:pPr>
      <w:r>
        <w:rPr>
          <w:rFonts w:hint="eastAsia" w:ascii="宋体" w:hAnsi="宋体" w:eastAsia="宋体" w:cs="宋体"/>
          <w:color w:val="auto"/>
          <w:sz w:val="36"/>
          <w:highlight w:val="none"/>
        </w:rPr>
        <w:br w:type="page"/>
      </w:r>
      <w:r>
        <w:rPr>
          <w:rFonts w:hint="eastAsia" w:ascii="宋体" w:hAnsi="宋体" w:eastAsia="宋体" w:cs="宋体"/>
          <w:color w:val="auto"/>
          <w:sz w:val="24"/>
          <w:szCs w:val="24"/>
          <w:highlight w:val="none"/>
        </w:rPr>
        <w:t>附件：格式</w:t>
      </w:r>
    </w:p>
    <w:p>
      <w:pPr>
        <w:spacing w:after="120"/>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供应商业绩一览表</w:t>
      </w:r>
    </w:p>
    <w:tbl>
      <w:tblPr>
        <w:tblStyle w:val="22"/>
        <w:tblW w:w="0" w:type="auto"/>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697"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履行时间</w:t>
            </w:r>
          </w:p>
        </w:tc>
        <w:tc>
          <w:tcPr>
            <w:tcW w:w="6697"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697"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甲方名称</w:t>
            </w:r>
          </w:p>
        </w:tc>
        <w:tc>
          <w:tcPr>
            <w:tcW w:w="6697"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甲方联系人及电话</w:t>
            </w:r>
          </w:p>
        </w:tc>
        <w:tc>
          <w:tcPr>
            <w:tcW w:w="6697"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6697"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项目概况及供应商</w:t>
            </w:r>
          </w:p>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履约情况</w:t>
            </w:r>
          </w:p>
        </w:tc>
        <w:tc>
          <w:tcPr>
            <w:tcW w:w="6697" w:type="dxa"/>
          </w:tcPr>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697" w:type="dxa"/>
          </w:tcPr>
          <w:p>
            <w:pPr>
              <w:topLinePunct/>
              <w:spacing w:line="440" w:lineRule="exact"/>
              <w:rPr>
                <w:rFonts w:hint="eastAsia" w:ascii="宋体" w:hAnsi="宋体" w:eastAsia="宋体" w:cs="宋体"/>
                <w:color w:val="auto"/>
                <w:szCs w:val="21"/>
                <w:highlight w:val="none"/>
              </w:rPr>
            </w:pPr>
          </w:p>
        </w:tc>
      </w:tr>
    </w:tbl>
    <w:p>
      <w:pPr>
        <w:snapToGrid w:val="0"/>
        <w:spacing w:line="500" w:lineRule="exact"/>
        <w:outlineLvl w:val="0"/>
        <w:rPr>
          <w:rFonts w:hint="eastAsia" w:ascii="宋体" w:hAnsi="宋体" w:eastAsia="宋体" w:cs="宋体"/>
          <w:color w:val="auto"/>
          <w:spacing w:val="4"/>
          <w:szCs w:val="21"/>
          <w:highlight w:val="none"/>
        </w:rPr>
      </w:pPr>
      <w:bookmarkStart w:id="102" w:name="_Toc929"/>
      <w:bookmarkStart w:id="103" w:name="_Toc29999"/>
      <w:r>
        <w:rPr>
          <w:rFonts w:hint="eastAsia" w:ascii="宋体" w:hAnsi="宋体" w:eastAsia="宋体" w:cs="宋体"/>
          <w:b/>
          <w:bCs/>
          <w:color w:val="auto"/>
          <w:szCs w:val="21"/>
          <w:highlight w:val="none"/>
        </w:rPr>
        <w:t>注：每份有效业绩单独填写上表，后附合同复印件为依据。</w:t>
      </w:r>
      <w:bookmarkEnd w:id="102"/>
      <w:bookmarkEnd w:id="103"/>
    </w:p>
    <w:sectPr>
      <w:headerReference r:id="rId9" w:type="first"/>
      <w:footerReference r:id="rId11" w:type="first"/>
      <w:footerReference r:id="rId10" w:type="default"/>
      <w:pgSz w:w="11906" w:h="16838"/>
      <w:pgMar w:top="1418" w:right="1418" w:bottom="1418"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53"/>
        <w:sz w:val="18"/>
      </w:rPr>
    </w:pPr>
  </w:p>
  <w:p>
    <w:pPr>
      <w:pStyle w:val="16"/>
      <w:rPr>
        <w:rStyle w:val="33"/>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53"/>
        <w:sz w:val="18"/>
      </w:rPr>
    </w:pPr>
  </w:p>
  <w:p>
    <w:pPr>
      <w:pStyle w:val="16"/>
      <w:rPr>
        <w:rStyle w:val="33"/>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3"/>
        <w:sz w:val="18"/>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53"/>
        <w:sz w:val="18"/>
      </w:rPr>
    </w:pPr>
  </w:p>
  <w:p>
    <w:pPr>
      <w:pStyle w:val="16"/>
      <w:rPr>
        <w:rStyle w:val="33"/>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3"/>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3"/>
        <w:sz w:val="18"/>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4" w:space="0"/>
      </w:pBdr>
      <w:rPr>
        <w:rStyle w:val="33"/>
        <w:rFonts w:ascii="宋体" w:hAnsi="宋体" w:cs="Times New Roman"/>
        <w:color w:val="000000"/>
        <w:sz w:val="18"/>
        <w:szCs w:val="18"/>
      </w:rPr>
    </w:pPr>
    <w:r>
      <w:rPr>
        <w:rStyle w:val="33"/>
        <w:rFonts w:hint="eastAsia" w:ascii="宋体" w:hAnsi="宋体" w:cs="Times New Roman"/>
        <w:color w:val="000000"/>
        <w:sz w:val="18"/>
        <w:szCs w:val="18"/>
        <w:lang w:eastAsia="zh-CN"/>
      </w:rPr>
      <w:t>泾阳县职业教育中心专业设备采购项目（</w:t>
    </w:r>
    <w:r>
      <w:rPr>
        <w:rStyle w:val="33"/>
        <w:rFonts w:hint="eastAsia" w:ascii="宋体" w:hAnsi="宋体" w:cs="Times New Roman"/>
        <w:color w:val="000000"/>
        <w:sz w:val="18"/>
        <w:szCs w:val="18"/>
        <w:lang w:val="en-US" w:eastAsia="zh-CN"/>
      </w:rPr>
      <w:t>第2包</w:t>
    </w:r>
    <w:r>
      <w:rPr>
        <w:rStyle w:val="33"/>
        <w:rFonts w:hint="eastAsia" w:ascii="宋体" w:hAnsi="宋体" w:cs="Times New Roman"/>
        <w:color w:val="000000"/>
        <w:sz w:val="18"/>
        <w:szCs w:val="18"/>
        <w:lang w:eastAsia="zh-CN"/>
      </w:rPr>
      <w:t>）</w:t>
    </w:r>
    <w:r>
      <w:rPr>
        <w:rStyle w:val="33"/>
        <w:rFonts w:ascii="宋体" w:hAnsi="宋体" w:cs="Times New Roman"/>
        <w:color w:val="000000"/>
        <w:sz w:val="18"/>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000000" w:sz="0" w:space="1"/>
      </w:pBdr>
      <w:rPr>
        <w:rStyle w:val="33"/>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4" w:space="0"/>
      </w:pBdr>
      <w:rPr>
        <w:rStyle w:val="33"/>
        <w:rFonts w:ascii="宋体" w:hAnsi="宋体"/>
        <w:color w:val="000000"/>
        <w:sz w:val="18"/>
        <w:szCs w:val="18"/>
      </w:rPr>
    </w:pPr>
    <w:r>
      <w:rPr>
        <w:rStyle w:val="33"/>
        <w:rFonts w:hint="eastAsia" w:ascii="宋体" w:hAnsi="宋体" w:cs="Times New Roman"/>
        <w:color w:val="000000"/>
        <w:sz w:val="18"/>
        <w:szCs w:val="18"/>
        <w:lang w:eastAsia="zh-CN"/>
      </w:rPr>
      <w:t>泾阳县职业教育中心专业设备采购项目（</w:t>
    </w:r>
    <w:r>
      <w:rPr>
        <w:rStyle w:val="33"/>
        <w:rFonts w:hint="eastAsia" w:ascii="宋体" w:hAnsi="宋体" w:cs="Times New Roman"/>
        <w:color w:val="000000"/>
        <w:sz w:val="18"/>
        <w:szCs w:val="18"/>
        <w:lang w:val="en-US" w:eastAsia="zh-CN"/>
      </w:rPr>
      <w:t>第2包</w:t>
    </w:r>
    <w:r>
      <w:rPr>
        <w:rStyle w:val="33"/>
        <w:rFonts w:hint="eastAsia" w:ascii="宋体" w:hAnsi="宋体" w:cs="Times New Roman"/>
        <w:color w:val="000000"/>
        <w:sz w:val="18"/>
        <w:szCs w:val="18"/>
        <w:lang w:eastAsia="zh-CN"/>
      </w:rPr>
      <w:t>）</w:t>
    </w:r>
    <w:r>
      <w:rPr>
        <w:rStyle w:val="33"/>
        <w:rFonts w:hint="eastAsia" w:ascii="宋体" w:hAnsi="宋体" w:cs="Times New Roman"/>
        <w:color w:val="000000"/>
        <w:sz w:val="18"/>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JjYjRmYmI2Y2ZkYzYwZWI4YWVjNDJjZmZhOWUifQ=="/>
  </w:docVars>
  <w:rsids>
    <w:rsidRoot w:val="003F1B76"/>
    <w:rsid w:val="00002FBD"/>
    <w:rsid w:val="00003380"/>
    <w:rsid w:val="000164F3"/>
    <w:rsid w:val="00030974"/>
    <w:rsid w:val="0003127C"/>
    <w:rsid w:val="00052327"/>
    <w:rsid w:val="00061F0D"/>
    <w:rsid w:val="0006673E"/>
    <w:rsid w:val="000668BA"/>
    <w:rsid w:val="000730A1"/>
    <w:rsid w:val="000733AC"/>
    <w:rsid w:val="00081B94"/>
    <w:rsid w:val="00084492"/>
    <w:rsid w:val="00087E01"/>
    <w:rsid w:val="000B4F46"/>
    <w:rsid w:val="000C3DA7"/>
    <w:rsid w:val="000C5F81"/>
    <w:rsid w:val="000D2DDE"/>
    <w:rsid w:val="001056FC"/>
    <w:rsid w:val="0010670A"/>
    <w:rsid w:val="001125F5"/>
    <w:rsid w:val="00112EB8"/>
    <w:rsid w:val="0011760F"/>
    <w:rsid w:val="0012662F"/>
    <w:rsid w:val="00132DC9"/>
    <w:rsid w:val="00140835"/>
    <w:rsid w:val="00142463"/>
    <w:rsid w:val="00145946"/>
    <w:rsid w:val="001564F2"/>
    <w:rsid w:val="001638FD"/>
    <w:rsid w:val="00176D30"/>
    <w:rsid w:val="00176FC1"/>
    <w:rsid w:val="001A2DC7"/>
    <w:rsid w:val="001A4839"/>
    <w:rsid w:val="001A64C4"/>
    <w:rsid w:val="001A67FD"/>
    <w:rsid w:val="001A7A75"/>
    <w:rsid w:val="001B04DA"/>
    <w:rsid w:val="001D122B"/>
    <w:rsid w:val="001D4854"/>
    <w:rsid w:val="001D736C"/>
    <w:rsid w:val="001D75C7"/>
    <w:rsid w:val="001E39AB"/>
    <w:rsid w:val="001E4438"/>
    <w:rsid w:val="001F1DA4"/>
    <w:rsid w:val="00201E13"/>
    <w:rsid w:val="00205402"/>
    <w:rsid w:val="002209CF"/>
    <w:rsid w:val="002243B2"/>
    <w:rsid w:val="00236768"/>
    <w:rsid w:val="002442E8"/>
    <w:rsid w:val="00250DA3"/>
    <w:rsid w:val="00251B33"/>
    <w:rsid w:val="00251F5B"/>
    <w:rsid w:val="00273A41"/>
    <w:rsid w:val="00290958"/>
    <w:rsid w:val="00291724"/>
    <w:rsid w:val="00295C9B"/>
    <w:rsid w:val="00296E4D"/>
    <w:rsid w:val="002B38E9"/>
    <w:rsid w:val="002B5CC9"/>
    <w:rsid w:val="002C02B6"/>
    <w:rsid w:val="002C50E2"/>
    <w:rsid w:val="002C61F7"/>
    <w:rsid w:val="002C62E7"/>
    <w:rsid w:val="002D4F2C"/>
    <w:rsid w:val="002D790F"/>
    <w:rsid w:val="002E28EE"/>
    <w:rsid w:val="002F2C7F"/>
    <w:rsid w:val="002F6176"/>
    <w:rsid w:val="00303F39"/>
    <w:rsid w:val="00304CC5"/>
    <w:rsid w:val="003102E5"/>
    <w:rsid w:val="00312880"/>
    <w:rsid w:val="003237F5"/>
    <w:rsid w:val="00324466"/>
    <w:rsid w:val="00326D57"/>
    <w:rsid w:val="003479C1"/>
    <w:rsid w:val="0035207C"/>
    <w:rsid w:val="003546CC"/>
    <w:rsid w:val="0035554D"/>
    <w:rsid w:val="0037087A"/>
    <w:rsid w:val="00383426"/>
    <w:rsid w:val="0038384E"/>
    <w:rsid w:val="003A45DF"/>
    <w:rsid w:val="003B4FB2"/>
    <w:rsid w:val="003C0F19"/>
    <w:rsid w:val="003C28DE"/>
    <w:rsid w:val="003C5CD4"/>
    <w:rsid w:val="003C6AAF"/>
    <w:rsid w:val="003D03B2"/>
    <w:rsid w:val="003D1FFE"/>
    <w:rsid w:val="003D2FE7"/>
    <w:rsid w:val="003E01FB"/>
    <w:rsid w:val="003E4951"/>
    <w:rsid w:val="003E4BA3"/>
    <w:rsid w:val="003E7574"/>
    <w:rsid w:val="003E78AF"/>
    <w:rsid w:val="003F0240"/>
    <w:rsid w:val="003F1B76"/>
    <w:rsid w:val="003F59CA"/>
    <w:rsid w:val="004019E8"/>
    <w:rsid w:val="0040343F"/>
    <w:rsid w:val="00405498"/>
    <w:rsid w:val="00412F8B"/>
    <w:rsid w:val="00431FF2"/>
    <w:rsid w:val="00432FA0"/>
    <w:rsid w:val="0044660F"/>
    <w:rsid w:val="00446A15"/>
    <w:rsid w:val="00453C60"/>
    <w:rsid w:val="00457602"/>
    <w:rsid w:val="00461B36"/>
    <w:rsid w:val="00464D2A"/>
    <w:rsid w:val="00473796"/>
    <w:rsid w:val="00481A7A"/>
    <w:rsid w:val="00483E28"/>
    <w:rsid w:val="004848E9"/>
    <w:rsid w:val="004A12CF"/>
    <w:rsid w:val="004A5C07"/>
    <w:rsid w:val="004B46EB"/>
    <w:rsid w:val="004C60D5"/>
    <w:rsid w:val="004C6579"/>
    <w:rsid w:val="004D1FB1"/>
    <w:rsid w:val="004D7A0D"/>
    <w:rsid w:val="004E211B"/>
    <w:rsid w:val="004E33CC"/>
    <w:rsid w:val="004E4E0C"/>
    <w:rsid w:val="004F1C37"/>
    <w:rsid w:val="005109BD"/>
    <w:rsid w:val="0051784B"/>
    <w:rsid w:val="00521026"/>
    <w:rsid w:val="00523EB0"/>
    <w:rsid w:val="005249EE"/>
    <w:rsid w:val="005260E7"/>
    <w:rsid w:val="00531214"/>
    <w:rsid w:val="00535B5A"/>
    <w:rsid w:val="00542EBF"/>
    <w:rsid w:val="005601EA"/>
    <w:rsid w:val="00565F89"/>
    <w:rsid w:val="00574305"/>
    <w:rsid w:val="005959E4"/>
    <w:rsid w:val="00596AB5"/>
    <w:rsid w:val="005A2639"/>
    <w:rsid w:val="005A3527"/>
    <w:rsid w:val="005B3044"/>
    <w:rsid w:val="005D0D53"/>
    <w:rsid w:val="005D3416"/>
    <w:rsid w:val="005F3881"/>
    <w:rsid w:val="0060174B"/>
    <w:rsid w:val="00601FBC"/>
    <w:rsid w:val="00604168"/>
    <w:rsid w:val="00621E74"/>
    <w:rsid w:val="00625DE5"/>
    <w:rsid w:val="00630BC0"/>
    <w:rsid w:val="006323BC"/>
    <w:rsid w:val="006417BC"/>
    <w:rsid w:val="00642548"/>
    <w:rsid w:val="00653ABA"/>
    <w:rsid w:val="00663923"/>
    <w:rsid w:val="00673ABB"/>
    <w:rsid w:val="00676B2D"/>
    <w:rsid w:val="00682D19"/>
    <w:rsid w:val="006857A3"/>
    <w:rsid w:val="00692C9E"/>
    <w:rsid w:val="00692FA7"/>
    <w:rsid w:val="006A3438"/>
    <w:rsid w:val="006A456A"/>
    <w:rsid w:val="006C77A5"/>
    <w:rsid w:val="006D2A98"/>
    <w:rsid w:val="006E66F8"/>
    <w:rsid w:val="006F595E"/>
    <w:rsid w:val="006F5A0F"/>
    <w:rsid w:val="00701DB1"/>
    <w:rsid w:val="00704131"/>
    <w:rsid w:val="00715851"/>
    <w:rsid w:val="00747C1F"/>
    <w:rsid w:val="00747E5F"/>
    <w:rsid w:val="00754385"/>
    <w:rsid w:val="00756A57"/>
    <w:rsid w:val="007648BF"/>
    <w:rsid w:val="007742A6"/>
    <w:rsid w:val="0077490F"/>
    <w:rsid w:val="00777AE2"/>
    <w:rsid w:val="007A19DC"/>
    <w:rsid w:val="007B017D"/>
    <w:rsid w:val="007B04C4"/>
    <w:rsid w:val="007B5594"/>
    <w:rsid w:val="007B6E24"/>
    <w:rsid w:val="007B751C"/>
    <w:rsid w:val="007C331F"/>
    <w:rsid w:val="007D1A55"/>
    <w:rsid w:val="007D74FF"/>
    <w:rsid w:val="007E33A7"/>
    <w:rsid w:val="007E4B9A"/>
    <w:rsid w:val="007F1044"/>
    <w:rsid w:val="007F1DA2"/>
    <w:rsid w:val="00811A4D"/>
    <w:rsid w:val="0081738D"/>
    <w:rsid w:val="008202D8"/>
    <w:rsid w:val="00836FB1"/>
    <w:rsid w:val="00856100"/>
    <w:rsid w:val="0085616F"/>
    <w:rsid w:val="00862FFD"/>
    <w:rsid w:val="00871E96"/>
    <w:rsid w:val="0089177B"/>
    <w:rsid w:val="008974CB"/>
    <w:rsid w:val="008A720B"/>
    <w:rsid w:val="008B3DD3"/>
    <w:rsid w:val="008B4E1B"/>
    <w:rsid w:val="008B7FA3"/>
    <w:rsid w:val="008C0C90"/>
    <w:rsid w:val="008C59BC"/>
    <w:rsid w:val="008E1B31"/>
    <w:rsid w:val="008E33CC"/>
    <w:rsid w:val="008E4184"/>
    <w:rsid w:val="008E487A"/>
    <w:rsid w:val="008F0323"/>
    <w:rsid w:val="008F31CD"/>
    <w:rsid w:val="008F7D72"/>
    <w:rsid w:val="00903192"/>
    <w:rsid w:val="00921995"/>
    <w:rsid w:val="00922A40"/>
    <w:rsid w:val="00930024"/>
    <w:rsid w:val="00933CFA"/>
    <w:rsid w:val="00943004"/>
    <w:rsid w:val="009471B6"/>
    <w:rsid w:val="00950FCB"/>
    <w:rsid w:val="0096492A"/>
    <w:rsid w:val="00975C26"/>
    <w:rsid w:val="009763D3"/>
    <w:rsid w:val="00987DF4"/>
    <w:rsid w:val="0099500D"/>
    <w:rsid w:val="009A0E80"/>
    <w:rsid w:val="009A7605"/>
    <w:rsid w:val="009B256D"/>
    <w:rsid w:val="009B28B2"/>
    <w:rsid w:val="009C0BCC"/>
    <w:rsid w:val="009D2724"/>
    <w:rsid w:val="009E07CF"/>
    <w:rsid w:val="009E26D1"/>
    <w:rsid w:val="00A02E9D"/>
    <w:rsid w:val="00A13348"/>
    <w:rsid w:val="00A15879"/>
    <w:rsid w:val="00A2273F"/>
    <w:rsid w:val="00A305B8"/>
    <w:rsid w:val="00A32F2A"/>
    <w:rsid w:val="00A3470B"/>
    <w:rsid w:val="00A41637"/>
    <w:rsid w:val="00A467C7"/>
    <w:rsid w:val="00A46D42"/>
    <w:rsid w:val="00A519B1"/>
    <w:rsid w:val="00A6609B"/>
    <w:rsid w:val="00A73546"/>
    <w:rsid w:val="00A8759A"/>
    <w:rsid w:val="00A87B83"/>
    <w:rsid w:val="00A911F7"/>
    <w:rsid w:val="00AB0829"/>
    <w:rsid w:val="00AB1BB6"/>
    <w:rsid w:val="00AB3323"/>
    <w:rsid w:val="00AB489B"/>
    <w:rsid w:val="00AD74B2"/>
    <w:rsid w:val="00AF6457"/>
    <w:rsid w:val="00B101E3"/>
    <w:rsid w:val="00B12A9B"/>
    <w:rsid w:val="00B14616"/>
    <w:rsid w:val="00B21F86"/>
    <w:rsid w:val="00B302DB"/>
    <w:rsid w:val="00B30DE4"/>
    <w:rsid w:val="00B37DCB"/>
    <w:rsid w:val="00B4780B"/>
    <w:rsid w:val="00B5358F"/>
    <w:rsid w:val="00B67DBC"/>
    <w:rsid w:val="00B71CE0"/>
    <w:rsid w:val="00B77024"/>
    <w:rsid w:val="00B77560"/>
    <w:rsid w:val="00B83A22"/>
    <w:rsid w:val="00B86DC7"/>
    <w:rsid w:val="00B96ECD"/>
    <w:rsid w:val="00BB010A"/>
    <w:rsid w:val="00BB5689"/>
    <w:rsid w:val="00BC218D"/>
    <w:rsid w:val="00BC4905"/>
    <w:rsid w:val="00BC6E93"/>
    <w:rsid w:val="00BD7543"/>
    <w:rsid w:val="00BF13E0"/>
    <w:rsid w:val="00BF3B15"/>
    <w:rsid w:val="00C008DC"/>
    <w:rsid w:val="00C025D9"/>
    <w:rsid w:val="00C1170F"/>
    <w:rsid w:val="00C15781"/>
    <w:rsid w:val="00C2364A"/>
    <w:rsid w:val="00C26232"/>
    <w:rsid w:val="00C305B5"/>
    <w:rsid w:val="00C4793B"/>
    <w:rsid w:val="00C52557"/>
    <w:rsid w:val="00C57195"/>
    <w:rsid w:val="00C57B43"/>
    <w:rsid w:val="00C60416"/>
    <w:rsid w:val="00C611B4"/>
    <w:rsid w:val="00C61921"/>
    <w:rsid w:val="00C65EE8"/>
    <w:rsid w:val="00C71207"/>
    <w:rsid w:val="00C82121"/>
    <w:rsid w:val="00C84D6B"/>
    <w:rsid w:val="00C86922"/>
    <w:rsid w:val="00C96E40"/>
    <w:rsid w:val="00CA5201"/>
    <w:rsid w:val="00CA6EA9"/>
    <w:rsid w:val="00CC1DE8"/>
    <w:rsid w:val="00CC4141"/>
    <w:rsid w:val="00CE7028"/>
    <w:rsid w:val="00CF6944"/>
    <w:rsid w:val="00D02986"/>
    <w:rsid w:val="00D114DC"/>
    <w:rsid w:val="00D15E29"/>
    <w:rsid w:val="00D21481"/>
    <w:rsid w:val="00D22453"/>
    <w:rsid w:val="00D3325B"/>
    <w:rsid w:val="00D624A8"/>
    <w:rsid w:val="00D71B61"/>
    <w:rsid w:val="00D76D53"/>
    <w:rsid w:val="00D92A4A"/>
    <w:rsid w:val="00DA16F4"/>
    <w:rsid w:val="00DA3580"/>
    <w:rsid w:val="00DA3EA5"/>
    <w:rsid w:val="00DD4A4F"/>
    <w:rsid w:val="00DD6441"/>
    <w:rsid w:val="00DE0989"/>
    <w:rsid w:val="00DF14BB"/>
    <w:rsid w:val="00DF3515"/>
    <w:rsid w:val="00DF6BC2"/>
    <w:rsid w:val="00E01848"/>
    <w:rsid w:val="00E108C2"/>
    <w:rsid w:val="00E10FD5"/>
    <w:rsid w:val="00E15234"/>
    <w:rsid w:val="00E243F2"/>
    <w:rsid w:val="00E3089B"/>
    <w:rsid w:val="00E335C2"/>
    <w:rsid w:val="00E436C6"/>
    <w:rsid w:val="00E448D2"/>
    <w:rsid w:val="00E44CAF"/>
    <w:rsid w:val="00E45322"/>
    <w:rsid w:val="00E53590"/>
    <w:rsid w:val="00E5408B"/>
    <w:rsid w:val="00E560FE"/>
    <w:rsid w:val="00E64221"/>
    <w:rsid w:val="00E65AE7"/>
    <w:rsid w:val="00E74EE3"/>
    <w:rsid w:val="00EA4FDE"/>
    <w:rsid w:val="00EA7345"/>
    <w:rsid w:val="00EC6DD6"/>
    <w:rsid w:val="00ED02BE"/>
    <w:rsid w:val="00ED64CC"/>
    <w:rsid w:val="00EE16EB"/>
    <w:rsid w:val="00EE7139"/>
    <w:rsid w:val="00F21218"/>
    <w:rsid w:val="00F32878"/>
    <w:rsid w:val="00F3689A"/>
    <w:rsid w:val="00F44B78"/>
    <w:rsid w:val="00F47FB4"/>
    <w:rsid w:val="00F555FE"/>
    <w:rsid w:val="00F6182E"/>
    <w:rsid w:val="00F835B3"/>
    <w:rsid w:val="00F906C3"/>
    <w:rsid w:val="00F931E9"/>
    <w:rsid w:val="00F93410"/>
    <w:rsid w:val="00F934D3"/>
    <w:rsid w:val="00FA2FE8"/>
    <w:rsid w:val="00FA66E6"/>
    <w:rsid w:val="00FB15A6"/>
    <w:rsid w:val="00FB7440"/>
    <w:rsid w:val="00FC1860"/>
    <w:rsid w:val="00FD2E57"/>
    <w:rsid w:val="00FE20E5"/>
    <w:rsid w:val="00FE39E5"/>
    <w:rsid w:val="00FE5CA7"/>
    <w:rsid w:val="00FE64CF"/>
    <w:rsid w:val="00FE732D"/>
    <w:rsid w:val="00FE74C5"/>
    <w:rsid w:val="01086C64"/>
    <w:rsid w:val="01091480"/>
    <w:rsid w:val="010C0502"/>
    <w:rsid w:val="011348CB"/>
    <w:rsid w:val="01155AA1"/>
    <w:rsid w:val="01156777"/>
    <w:rsid w:val="01192269"/>
    <w:rsid w:val="011A035C"/>
    <w:rsid w:val="01213882"/>
    <w:rsid w:val="012A4E2C"/>
    <w:rsid w:val="012F2443"/>
    <w:rsid w:val="013B2B96"/>
    <w:rsid w:val="013C06BC"/>
    <w:rsid w:val="0146086F"/>
    <w:rsid w:val="014D28C9"/>
    <w:rsid w:val="0156177E"/>
    <w:rsid w:val="016320EC"/>
    <w:rsid w:val="016C0FA1"/>
    <w:rsid w:val="016E2F6B"/>
    <w:rsid w:val="016F10F0"/>
    <w:rsid w:val="0173585E"/>
    <w:rsid w:val="017B2F92"/>
    <w:rsid w:val="017B5688"/>
    <w:rsid w:val="017E6F26"/>
    <w:rsid w:val="018A7679"/>
    <w:rsid w:val="018C33F1"/>
    <w:rsid w:val="019A7384"/>
    <w:rsid w:val="01B251B6"/>
    <w:rsid w:val="01BD17FD"/>
    <w:rsid w:val="01DD2DCF"/>
    <w:rsid w:val="01FE5971"/>
    <w:rsid w:val="020E02AA"/>
    <w:rsid w:val="02160F0D"/>
    <w:rsid w:val="021A7C6C"/>
    <w:rsid w:val="0229329B"/>
    <w:rsid w:val="022C0730"/>
    <w:rsid w:val="02340617"/>
    <w:rsid w:val="02477318"/>
    <w:rsid w:val="024D4E7E"/>
    <w:rsid w:val="0252420E"/>
    <w:rsid w:val="026A0117"/>
    <w:rsid w:val="026A0DB1"/>
    <w:rsid w:val="02702D13"/>
    <w:rsid w:val="0295277A"/>
    <w:rsid w:val="0298679E"/>
    <w:rsid w:val="02A36C44"/>
    <w:rsid w:val="02A97B7B"/>
    <w:rsid w:val="02BC0120"/>
    <w:rsid w:val="02BE2E48"/>
    <w:rsid w:val="02D36DFE"/>
    <w:rsid w:val="02DE7C7D"/>
    <w:rsid w:val="02E1776D"/>
    <w:rsid w:val="02F079B0"/>
    <w:rsid w:val="03086AA8"/>
    <w:rsid w:val="030A0A72"/>
    <w:rsid w:val="030C4158"/>
    <w:rsid w:val="03157416"/>
    <w:rsid w:val="03253AFD"/>
    <w:rsid w:val="03327FC8"/>
    <w:rsid w:val="0341020B"/>
    <w:rsid w:val="03561F09"/>
    <w:rsid w:val="036A7762"/>
    <w:rsid w:val="036D2C77"/>
    <w:rsid w:val="03724869"/>
    <w:rsid w:val="03726617"/>
    <w:rsid w:val="037C1244"/>
    <w:rsid w:val="0388408C"/>
    <w:rsid w:val="039567B9"/>
    <w:rsid w:val="03993BA4"/>
    <w:rsid w:val="03A2735F"/>
    <w:rsid w:val="03BF494D"/>
    <w:rsid w:val="03C34149"/>
    <w:rsid w:val="03C44B67"/>
    <w:rsid w:val="03C75ED9"/>
    <w:rsid w:val="03CC21CB"/>
    <w:rsid w:val="03DA48E8"/>
    <w:rsid w:val="03E25E9F"/>
    <w:rsid w:val="03EE0393"/>
    <w:rsid w:val="03EF5EB9"/>
    <w:rsid w:val="03F84D6E"/>
    <w:rsid w:val="03FE5430"/>
    <w:rsid w:val="04025BED"/>
    <w:rsid w:val="0409418A"/>
    <w:rsid w:val="04096F7B"/>
    <w:rsid w:val="040F3E66"/>
    <w:rsid w:val="04261BE1"/>
    <w:rsid w:val="042E1092"/>
    <w:rsid w:val="043B44D5"/>
    <w:rsid w:val="043D5655"/>
    <w:rsid w:val="04477AA3"/>
    <w:rsid w:val="044A30F0"/>
    <w:rsid w:val="044D4242"/>
    <w:rsid w:val="045C33A7"/>
    <w:rsid w:val="047343F5"/>
    <w:rsid w:val="04762EB4"/>
    <w:rsid w:val="047C774D"/>
    <w:rsid w:val="0485220F"/>
    <w:rsid w:val="049379E3"/>
    <w:rsid w:val="04937B6A"/>
    <w:rsid w:val="049A7BD3"/>
    <w:rsid w:val="049B394B"/>
    <w:rsid w:val="049C7DEF"/>
    <w:rsid w:val="04A50D27"/>
    <w:rsid w:val="04A722F0"/>
    <w:rsid w:val="04B048C4"/>
    <w:rsid w:val="04B70785"/>
    <w:rsid w:val="04B844FD"/>
    <w:rsid w:val="04BC3FEE"/>
    <w:rsid w:val="04BC5D9C"/>
    <w:rsid w:val="04C9495C"/>
    <w:rsid w:val="04CD4FB2"/>
    <w:rsid w:val="04D24398"/>
    <w:rsid w:val="04D70E27"/>
    <w:rsid w:val="04DF23AB"/>
    <w:rsid w:val="04E15802"/>
    <w:rsid w:val="04F01EE9"/>
    <w:rsid w:val="04F07A3F"/>
    <w:rsid w:val="04FA68C4"/>
    <w:rsid w:val="05025778"/>
    <w:rsid w:val="05045994"/>
    <w:rsid w:val="05141EB3"/>
    <w:rsid w:val="052D2EAC"/>
    <w:rsid w:val="052E656D"/>
    <w:rsid w:val="05412745"/>
    <w:rsid w:val="054D2E98"/>
    <w:rsid w:val="056874FD"/>
    <w:rsid w:val="05687CD1"/>
    <w:rsid w:val="056F5A4C"/>
    <w:rsid w:val="05740424"/>
    <w:rsid w:val="05873604"/>
    <w:rsid w:val="059C4DC1"/>
    <w:rsid w:val="05A24310"/>
    <w:rsid w:val="05B922DB"/>
    <w:rsid w:val="05BC0FEB"/>
    <w:rsid w:val="05E47814"/>
    <w:rsid w:val="05E51322"/>
    <w:rsid w:val="05F11A75"/>
    <w:rsid w:val="05F81055"/>
    <w:rsid w:val="06020126"/>
    <w:rsid w:val="06185D67"/>
    <w:rsid w:val="06190FCC"/>
    <w:rsid w:val="0619721E"/>
    <w:rsid w:val="061B4D44"/>
    <w:rsid w:val="061B5E9F"/>
    <w:rsid w:val="061F2A86"/>
    <w:rsid w:val="0650315A"/>
    <w:rsid w:val="06597250"/>
    <w:rsid w:val="065E5A27"/>
    <w:rsid w:val="065F7326"/>
    <w:rsid w:val="06734B80"/>
    <w:rsid w:val="0673692E"/>
    <w:rsid w:val="0680104B"/>
    <w:rsid w:val="06812F53"/>
    <w:rsid w:val="06823015"/>
    <w:rsid w:val="068B011B"/>
    <w:rsid w:val="068E19BA"/>
    <w:rsid w:val="0696086E"/>
    <w:rsid w:val="069D39AB"/>
    <w:rsid w:val="06A25465"/>
    <w:rsid w:val="06AC0092"/>
    <w:rsid w:val="06BC02D5"/>
    <w:rsid w:val="06BF1B73"/>
    <w:rsid w:val="06CD5A4C"/>
    <w:rsid w:val="06DA4BFF"/>
    <w:rsid w:val="06DC6022"/>
    <w:rsid w:val="06E710CA"/>
    <w:rsid w:val="07043A2A"/>
    <w:rsid w:val="070B300A"/>
    <w:rsid w:val="070D3A6A"/>
    <w:rsid w:val="07124C61"/>
    <w:rsid w:val="07153E89"/>
    <w:rsid w:val="0728596A"/>
    <w:rsid w:val="073C7ECE"/>
    <w:rsid w:val="074309F6"/>
    <w:rsid w:val="074F739B"/>
    <w:rsid w:val="07550729"/>
    <w:rsid w:val="075A189C"/>
    <w:rsid w:val="075A7AEE"/>
    <w:rsid w:val="07697D31"/>
    <w:rsid w:val="078A2181"/>
    <w:rsid w:val="079131FB"/>
    <w:rsid w:val="07943000"/>
    <w:rsid w:val="07B3006B"/>
    <w:rsid w:val="07DD42E0"/>
    <w:rsid w:val="07DE6406"/>
    <w:rsid w:val="07E31891"/>
    <w:rsid w:val="07E51AAD"/>
    <w:rsid w:val="07EC4BEA"/>
    <w:rsid w:val="07F4584C"/>
    <w:rsid w:val="07F7358F"/>
    <w:rsid w:val="07F81306"/>
    <w:rsid w:val="0803723E"/>
    <w:rsid w:val="08044CD8"/>
    <w:rsid w:val="080865D4"/>
    <w:rsid w:val="080C528C"/>
    <w:rsid w:val="080F08D8"/>
    <w:rsid w:val="08193505"/>
    <w:rsid w:val="081D2FF5"/>
    <w:rsid w:val="081D7B1B"/>
    <w:rsid w:val="08251EAA"/>
    <w:rsid w:val="084D42FA"/>
    <w:rsid w:val="085B3B1D"/>
    <w:rsid w:val="088209C9"/>
    <w:rsid w:val="08844E22"/>
    <w:rsid w:val="088E7A4F"/>
    <w:rsid w:val="08971A59"/>
    <w:rsid w:val="089808CE"/>
    <w:rsid w:val="089E5A7F"/>
    <w:rsid w:val="08A242C7"/>
    <w:rsid w:val="08A54D99"/>
    <w:rsid w:val="08AF79C5"/>
    <w:rsid w:val="08B10F0D"/>
    <w:rsid w:val="08C571E9"/>
    <w:rsid w:val="08C72F61"/>
    <w:rsid w:val="08CE42EF"/>
    <w:rsid w:val="08D3272D"/>
    <w:rsid w:val="08D35DAA"/>
    <w:rsid w:val="08E104C7"/>
    <w:rsid w:val="08F22133"/>
    <w:rsid w:val="08F91077"/>
    <w:rsid w:val="08FB2C0B"/>
    <w:rsid w:val="090B10A0"/>
    <w:rsid w:val="09173EE8"/>
    <w:rsid w:val="0918004E"/>
    <w:rsid w:val="091C32AD"/>
    <w:rsid w:val="09267305"/>
    <w:rsid w:val="093A7BD7"/>
    <w:rsid w:val="093D3223"/>
    <w:rsid w:val="09434CDD"/>
    <w:rsid w:val="09447046"/>
    <w:rsid w:val="09487649"/>
    <w:rsid w:val="09487FFF"/>
    <w:rsid w:val="094D790A"/>
    <w:rsid w:val="095A0AF0"/>
    <w:rsid w:val="095E7633"/>
    <w:rsid w:val="095F3199"/>
    <w:rsid w:val="09734E1D"/>
    <w:rsid w:val="09734E97"/>
    <w:rsid w:val="098350DA"/>
    <w:rsid w:val="09906FB0"/>
    <w:rsid w:val="099077F7"/>
    <w:rsid w:val="099D1982"/>
    <w:rsid w:val="09B90AFC"/>
    <w:rsid w:val="09B9165B"/>
    <w:rsid w:val="09C000DC"/>
    <w:rsid w:val="09CF32F4"/>
    <w:rsid w:val="09DE75A0"/>
    <w:rsid w:val="09DF745A"/>
    <w:rsid w:val="09E76629"/>
    <w:rsid w:val="09EF42C5"/>
    <w:rsid w:val="09F45FD8"/>
    <w:rsid w:val="09F91884"/>
    <w:rsid w:val="0A0139B7"/>
    <w:rsid w:val="0A0501E5"/>
    <w:rsid w:val="0A066C16"/>
    <w:rsid w:val="0A0B385A"/>
    <w:rsid w:val="0A0D2E48"/>
    <w:rsid w:val="0A1B17B6"/>
    <w:rsid w:val="0A1C108A"/>
    <w:rsid w:val="0A2110E0"/>
    <w:rsid w:val="0A224486"/>
    <w:rsid w:val="0A287A2F"/>
    <w:rsid w:val="0A450869"/>
    <w:rsid w:val="0A486323"/>
    <w:rsid w:val="0A536289"/>
    <w:rsid w:val="0A572A77"/>
    <w:rsid w:val="0A5922DF"/>
    <w:rsid w:val="0A634F0B"/>
    <w:rsid w:val="0A690774"/>
    <w:rsid w:val="0A79472F"/>
    <w:rsid w:val="0A7A3184"/>
    <w:rsid w:val="0A7C1AAA"/>
    <w:rsid w:val="0A942F8F"/>
    <w:rsid w:val="0A943317"/>
    <w:rsid w:val="0AA277E2"/>
    <w:rsid w:val="0AA825CF"/>
    <w:rsid w:val="0AB3379D"/>
    <w:rsid w:val="0ABD6228"/>
    <w:rsid w:val="0AC51722"/>
    <w:rsid w:val="0AEC4F01"/>
    <w:rsid w:val="0AEE6ECB"/>
    <w:rsid w:val="0AF27CBA"/>
    <w:rsid w:val="0AF53184"/>
    <w:rsid w:val="0AF82C5A"/>
    <w:rsid w:val="0B0A6548"/>
    <w:rsid w:val="0B100BEF"/>
    <w:rsid w:val="0B1756E0"/>
    <w:rsid w:val="0B1F4437"/>
    <w:rsid w:val="0B2823DD"/>
    <w:rsid w:val="0B433ABE"/>
    <w:rsid w:val="0B464611"/>
    <w:rsid w:val="0B494101"/>
    <w:rsid w:val="0B4D3BF1"/>
    <w:rsid w:val="0B551F76"/>
    <w:rsid w:val="0B5807E8"/>
    <w:rsid w:val="0B6F290B"/>
    <w:rsid w:val="0B7C44D7"/>
    <w:rsid w:val="0B7D3DAB"/>
    <w:rsid w:val="0B882A0B"/>
    <w:rsid w:val="0B8D10DD"/>
    <w:rsid w:val="0BAB4DBC"/>
    <w:rsid w:val="0BAD28E2"/>
    <w:rsid w:val="0BB166AF"/>
    <w:rsid w:val="0BB359C0"/>
    <w:rsid w:val="0BB5791E"/>
    <w:rsid w:val="0BB772BD"/>
    <w:rsid w:val="0BBF43C3"/>
    <w:rsid w:val="0BC1483D"/>
    <w:rsid w:val="0BC867E1"/>
    <w:rsid w:val="0BCA3494"/>
    <w:rsid w:val="0BCB5886"/>
    <w:rsid w:val="0BDC4F75"/>
    <w:rsid w:val="0BE34556"/>
    <w:rsid w:val="0BE502CE"/>
    <w:rsid w:val="0BE63848"/>
    <w:rsid w:val="0BEA2A4D"/>
    <w:rsid w:val="0BFE4EEC"/>
    <w:rsid w:val="0C083FBC"/>
    <w:rsid w:val="0C0E2AA7"/>
    <w:rsid w:val="0C120997"/>
    <w:rsid w:val="0C175BCB"/>
    <w:rsid w:val="0C2D3A23"/>
    <w:rsid w:val="0C2D57D1"/>
    <w:rsid w:val="0C2F1549"/>
    <w:rsid w:val="0C344DB1"/>
    <w:rsid w:val="0C346950"/>
    <w:rsid w:val="0C465E66"/>
    <w:rsid w:val="0C4B5C57"/>
    <w:rsid w:val="0C4E6E95"/>
    <w:rsid w:val="0C605BA6"/>
    <w:rsid w:val="0C692CAD"/>
    <w:rsid w:val="0C6C7E51"/>
    <w:rsid w:val="0C79355D"/>
    <w:rsid w:val="0C8F1FE8"/>
    <w:rsid w:val="0CB90E13"/>
    <w:rsid w:val="0CBA1F79"/>
    <w:rsid w:val="0CC76A93"/>
    <w:rsid w:val="0CCA74C4"/>
    <w:rsid w:val="0CDD11A6"/>
    <w:rsid w:val="0CEE31B2"/>
    <w:rsid w:val="0CF779FA"/>
    <w:rsid w:val="0D077DD0"/>
    <w:rsid w:val="0D0E4D31"/>
    <w:rsid w:val="0D0F4ED6"/>
    <w:rsid w:val="0D1D5845"/>
    <w:rsid w:val="0D224637"/>
    <w:rsid w:val="0D3037CB"/>
    <w:rsid w:val="0D38442D"/>
    <w:rsid w:val="0D3A01A5"/>
    <w:rsid w:val="0D3D7C96"/>
    <w:rsid w:val="0D3F756A"/>
    <w:rsid w:val="0D411534"/>
    <w:rsid w:val="0D4C1C87"/>
    <w:rsid w:val="0D51729D"/>
    <w:rsid w:val="0D58687D"/>
    <w:rsid w:val="0D6B035F"/>
    <w:rsid w:val="0D7A6E39"/>
    <w:rsid w:val="0D7F205C"/>
    <w:rsid w:val="0D8838E1"/>
    <w:rsid w:val="0D8B4057"/>
    <w:rsid w:val="0D8E229F"/>
    <w:rsid w:val="0D98311E"/>
    <w:rsid w:val="0D996605"/>
    <w:rsid w:val="0DA41AC3"/>
    <w:rsid w:val="0DA47D15"/>
    <w:rsid w:val="0DA6583B"/>
    <w:rsid w:val="0DA65985"/>
    <w:rsid w:val="0DAD6BC9"/>
    <w:rsid w:val="0DAF0B93"/>
    <w:rsid w:val="0DB461AA"/>
    <w:rsid w:val="0DBC3BF6"/>
    <w:rsid w:val="0DCD2DC7"/>
    <w:rsid w:val="0DE2767D"/>
    <w:rsid w:val="0E034A3B"/>
    <w:rsid w:val="0E100F06"/>
    <w:rsid w:val="0E171236"/>
    <w:rsid w:val="0E2624D8"/>
    <w:rsid w:val="0E27079D"/>
    <w:rsid w:val="0E2A15BE"/>
    <w:rsid w:val="0E2A1FC8"/>
    <w:rsid w:val="0E2B3F92"/>
    <w:rsid w:val="0E2D1AB8"/>
    <w:rsid w:val="0E2D40FC"/>
    <w:rsid w:val="0E35096D"/>
    <w:rsid w:val="0E3A2BD7"/>
    <w:rsid w:val="0E4E4176"/>
    <w:rsid w:val="0E5C05EF"/>
    <w:rsid w:val="0E63372C"/>
    <w:rsid w:val="0E6C1F07"/>
    <w:rsid w:val="0E777AAB"/>
    <w:rsid w:val="0E8D69FB"/>
    <w:rsid w:val="0E910299"/>
    <w:rsid w:val="0E963B01"/>
    <w:rsid w:val="0E990EFC"/>
    <w:rsid w:val="0EAF6971"/>
    <w:rsid w:val="0EB83A78"/>
    <w:rsid w:val="0EBB3568"/>
    <w:rsid w:val="0ECC7523"/>
    <w:rsid w:val="0EDB5BD1"/>
    <w:rsid w:val="0EDC703A"/>
    <w:rsid w:val="0EE155DA"/>
    <w:rsid w:val="0EE859DF"/>
    <w:rsid w:val="0EEF6D6E"/>
    <w:rsid w:val="0EF2394B"/>
    <w:rsid w:val="0EF820C6"/>
    <w:rsid w:val="0F0C638C"/>
    <w:rsid w:val="0F0E12D1"/>
    <w:rsid w:val="0F1113DA"/>
    <w:rsid w:val="0F1A6E6A"/>
    <w:rsid w:val="0F222E22"/>
    <w:rsid w:val="0F234C69"/>
    <w:rsid w:val="0F29457C"/>
    <w:rsid w:val="0F2A424A"/>
    <w:rsid w:val="0F360E40"/>
    <w:rsid w:val="0F3D3F7D"/>
    <w:rsid w:val="0F601A19"/>
    <w:rsid w:val="0F621C35"/>
    <w:rsid w:val="0F6A6D45"/>
    <w:rsid w:val="0F707EAE"/>
    <w:rsid w:val="0F73799F"/>
    <w:rsid w:val="0F851480"/>
    <w:rsid w:val="0F864B0D"/>
    <w:rsid w:val="0F873C06"/>
    <w:rsid w:val="0F8C0A60"/>
    <w:rsid w:val="0FA12B43"/>
    <w:rsid w:val="0FA47B58"/>
    <w:rsid w:val="0FB523EB"/>
    <w:rsid w:val="0FBF2BE4"/>
    <w:rsid w:val="0FC62E89"/>
    <w:rsid w:val="0FD42CD5"/>
    <w:rsid w:val="0FD83CA6"/>
    <w:rsid w:val="0FE4264A"/>
    <w:rsid w:val="100B407B"/>
    <w:rsid w:val="100D44E3"/>
    <w:rsid w:val="102551B2"/>
    <w:rsid w:val="102D3FF1"/>
    <w:rsid w:val="103A04BC"/>
    <w:rsid w:val="10417A9D"/>
    <w:rsid w:val="104D1958"/>
    <w:rsid w:val="104F4132"/>
    <w:rsid w:val="10534F50"/>
    <w:rsid w:val="10593038"/>
    <w:rsid w:val="105E064F"/>
    <w:rsid w:val="106237DA"/>
    <w:rsid w:val="106317C1"/>
    <w:rsid w:val="10685029"/>
    <w:rsid w:val="10772D2F"/>
    <w:rsid w:val="107B2FAF"/>
    <w:rsid w:val="108D4A90"/>
    <w:rsid w:val="10923E54"/>
    <w:rsid w:val="109E6C9D"/>
    <w:rsid w:val="10B85FB1"/>
    <w:rsid w:val="10C413C2"/>
    <w:rsid w:val="10D12BCF"/>
    <w:rsid w:val="10DE7566"/>
    <w:rsid w:val="10E10D6A"/>
    <w:rsid w:val="10E50428"/>
    <w:rsid w:val="10F36FE9"/>
    <w:rsid w:val="11036B00"/>
    <w:rsid w:val="11192861"/>
    <w:rsid w:val="113B0990"/>
    <w:rsid w:val="113D0264"/>
    <w:rsid w:val="1141037B"/>
    <w:rsid w:val="114F2515"/>
    <w:rsid w:val="11691059"/>
    <w:rsid w:val="116972AB"/>
    <w:rsid w:val="116C0ACD"/>
    <w:rsid w:val="116C0B49"/>
    <w:rsid w:val="11731ED8"/>
    <w:rsid w:val="11782949"/>
    <w:rsid w:val="11785740"/>
    <w:rsid w:val="11867E5D"/>
    <w:rsid w:val="11877731"/>
    <w:rsid w:val="118D1444"/>
    <w:rsid w:val="119A7465"/>
    <w:rsid w:val="119B4F8B"/>
    <w:rsid w:val="11BD75F7"/>
    <w:rsid w:val="11D30BC8"/>
    <w:rsid w:val="11DF30C9"/>
    <w:rsid w:val="11E76422"/>
    <w:rsid w:val="11E85FCF"/>
    <w:rsid w:val="11EE155E"/>
    <w:rsid w:val="11F16B6F"/>
    <w:rsid w:val="11F56B6F"/>
    <w:rsid w:val="11F823DD"/>
    <w:rsid w:val="120B0362"/>
    <w:rsid w:val="12135469"/>
    <w:rsid w:val="1222745A"/>
    <w:rsid w:val="1228313F"/>
    <w:rsid w:val="122A21A8"/>
    <w:rsid w:val="123011B5"/>
    <w:rsid w:val="12350B4F"/>
    <w:rsid w:val="12353631"/>
    <w:rsid w:val="123916E6"/>
    <w:rsid w:val="12483364"/>
    <w:rsid w:val="12502219"/>
    <w:rsid w:val="12633CFA"/>
    <w:rsid w:val="12665599"/>
    <w:rsid w:val="126B0E01"/>
    <w:rsid w:val="126F119B"/>
    <w:rsid w:val="12810561"/>
    <w:rsid w:val="12902616"/>
    <w:rsid w:val="12993BC0"/>
    <w:rsid w:val="12A63434"/>
    <w:rsid w:val="12B2450B"/>
    <w:rsid w:val="12B46304"/>
    <w:rsid w:val="12C549B5"/>
    <w:rsid w:val="12CA3D79"/>
    <w:rsid w:val="12CC7AF2"/>
    <w:rsid w:val="12CE2908"/>
    <w:rsid w:val="12DA3BE0"/>
    <w:rsid w:val="12EB3CF0"/>
    <w:rsid w:val="12F91037"/>
    <w:rsid w:val="13010D7D"/>
    <w:rsid w:val="130E3A86"/>
    <w:rsid w:val="1319004B"/>
    <w:rsid w:val="131E2317"/>
    <w:rsid w:val="13274D28"/>
    <w:rsid w:val="13285307"/>
    <w:rsid w:val="13385187"/>
    <w:rsid w:val="134C0C32"/>
    <w:rsid w:val="135B0819"/>
    <w:rsid w:val="13655850"/>
    <w:rsid w:val="136C3083"/>
    <w:rsid w:val="136F6028"/>
    <w:rsid w:val="1370286E"/>
    <w:rsid w:val="13733702"/>
    <w:rsid w:val="13767A5D"/>
    <w:rsid w:val="1379754E"/>
    <w:rsid w:val="13873A19"/>
    <w:rsid w:val="13911C97"/>
    <w:rsid w:val="13914897"/>
    <w:rsid w:val="13916645"/>
    <w:rsid w:val="13936861"/>
    <w:rsid w:val="139F1BD5"/>
    <w:rsid w:val="13A66D9F"/>
    <w:rsid w:val="13AE5449"/>
    <w:rsid w:val="13B16CE7"/>
    <w:rsid w:val="13F05A62"/>
    <w:rsid w:val="14072240"/>
    <w:rsid w:val="140B31B4"/>
    <w:rsid w:val="141379A2"/>
    <w:rsid w:val="14156866"/>
    <w:rsid w:val="141D6D3A"/>
    <w:rsid w:val="142464C8"/>
    <w:rsid w:val="143811B7"/>
    <w:rsid w:val="143A0A8B"/>
    <w:rsid w:val="143D5CE2"/>
    <w:rsid w:val="144638D4"/>
    <w:rsid w:val="14496F20"/>
    <w:rsid w:val="144E6C77"/>
    <w:rsid w:val="145A5893"/>
    <w:rsid w:val="14631D00"/>
    <w:rsid w:val="14795475"/>
    <w:rsid w:val="14983A03"/>
    <w:rsid w:val="149C5646"/>
    <w:rsid w:val="14A800EA"/>
    <w:rsid w:val="14AA158F"/>
    <w:rsid w:val="14C86476"/>
    <w:rsid w:val="14CA06C4"/>
    <w:rsid w:val="14CB3DD9"/>
    <w:rsid w:val="14CD7045"/>
    <w:rsid w:val="150A0454"/>
    <w:rsid w:val="15111E33"/>
    <w:rsid w:val="151E215B"/>
    <w:rsid w:val="15274349"/>
    <w:rsid w:val="15284D87"/>
    <w:rsid w:val="152B4878"/>
    <w:rsid w:val="153320AA"/>
    <w:rsid w:val="153F7F51"/>
    <w:rsid w:val="1542409B"/>
    <w:rsid w:val="1546345F"/>
    <w:rsid w:val="15466837"/>
    <w:rsid w:val="15621C78"/>
    <w:rsid w:val="157E709D"/>
    <w:rsid w:val="15834F16"/>
    <w:rsid w:val="158F12AA"/>
    <w:rsid w:val="15915022"/>
    <w:rsid w:val="15B605E5"/>
    <w:rsid w:val="15B66837"/>
    <w:rsid w:val="15C4057F"/>
    <w:rsid w:val="15CC605B"/>
    <w:rsid w:val="15E2762C"/>
    <w:rsid w:val="15E92769"/>
    <w:rsid w:val="15F461BD"/>
    <w:rsid w:val="15F54816"/>
    <w:rsid w:val="15FA2BC8"/>
    <w:rsid w:val="160E03F1"/>
    <w:rsid w:val="160E6673"/>
    <w:rsid w:val="16175528"/>
    <w:rsid w:val="16297009"/>
    <w:rsid w:val="16302145"/>
    <w:rsid w:val="163C6D3C"/>
    <w:rsid w:val="16685D83"/>
    <w:rsid w:val="166F01F7"/>
    <w:rsid w:val="167C35DD"/>
    <w:rsid w:val="16AA4C09"/>
    <w:rsid w:val="16AB27A1"/>
    <w:rsid w:val="16AD3796"/>
    <w:rsid w:val="16B234A2"/>
    <w:rsid w:val="16C46D32"/>
    <w:rsid w:val="16C531D6"/>
    <w:rsid w:val="16CC60C4"/>
    <w:rsid w:val="16DA0303"/>
    <w:rsid w:val="16E42F30"/>
    <w:rsid w:val="16E44BB0"/>
    <w:rsid w:val="16FA2055"/>
    <w:rsid w:val="16FC64CC"/>
    <w:rsid w:val="1701702A"/>
    <w:rsid w:val="17392070"/>
    <w:rsid w:val="17481711"/>
    <w:rsid w:val="17487963"/>
    <w:rsid w:val="17516817"/>
    <w:rsid w:val="17582680"/>
    <w:rsid w:val="1771220A"/>
    <w:rsid w:val="1791130A"/>
    <w:rsid w:val="179901BE"/>
    <w:rsid w:val="17BB4F81"/>
    <w:rsid w:val="17CE60BA"/>
    <w:rsid w:val="17DE2E95"/>
    <w:rsid w:val="17F13B56"/>
    <w:rsid w:val="17F453F5"/>
    <w:rsid w:val="17FB2C27"/>
    <w:rsid w:val="18027B12"/>
    <w:rsid w:val="180A5720"/>
    <w:rsid w:val="18311E2E"/>
    <w:rsid w:val="183B1275"/>
    <w:rsid w:val="184A3267"/>
    <w:rsid w:val="18540C8D"/>
    <w:rsid w:val="185540E5"/>
    <w:rsid w:val="185C36C6"/>
    <w:rsid w:val="1869193F"/>
    <w:rsid w:val="186E12D9"/>
    <w:rsid w:val="186F07F7"/>
    <w:rsid w:val="187A5C7E"/>
    <w:rsid w:val="18807477"/>
    <w:rsid w:val="188A2147"/>
    <w:rsid w:val="189833B0"/>
    <w:rsid w:val="18A137CE"/>
    <w:rsid w:val="18CB759E"/>
    <w:rsid w:val="18CD0120"/>
    <w:rsid w:val="18DE0BEA"/>
    <w:rsid w:val="18EB2C9C"/>
    <w:rsid w:val="18FD3186"/>
    <w:rsid w:val="190A1374"/>
    <w:rsid w:val="193261D5"/>
    <w:rsid w:val="193C6956"/>
    <w:rsid w:val="194257ED"/>
    <w:rsid w:val="19455539"/>
    <w:rsid w:val="194A1770"/>
    <w:rsid w:val="19566367"/>
    <w:rsid w:val="19670897"/>
    <w:rsid w:val="19687E48"/>
    <w:rsid w:val="19763D46"/>
    <w:rsid w:val="197B021A"/>
    <w:rsid w:val="199944A6"/>
    <w:rsid w:val="19B001F7"/>
    <w:rsid w:val="19C808E7"/>
    <w:rsid w:val="19D51ECE"/>
    <w:rsid w:val="19D90D46"/>
    <w:rsid w:val="19DB2D10"/>
    <w:rsid w:val="19DF45AE"/>
    <w:rsid w:val="19EE3B61"/>
    <w:rsid w:val="19FE07AD"/>
    <w:rsid w:val="1A002777"/>
    <w:rsid w:val="1A0E6C42"/>
    <w:rsid w:val="1A121912"/>
    <w:rsid w:val="1A1D50D7"/>
    <w:rsid w:val="1A381F10"/>
    <w:rsid w:val="1A385A6D"/>
    <w:rsid w:val="1A3B776D"/>
    <w:rsid w:val="1A3F7B5B"/>
    <w:rsid w:val="1A58277A"/>
    <w:rsid w:val="1A5F56EF"/>
    <w:rsid w:val="1A6D1019"/>
    <w:rsid w:val="1A734CF7"/>
    <w:rsid w:val="1A7F5449"/>
    <w:rsid w:val="1A8254F3"/>
    <w:rsid w:val="1A8A3DEE"/>
    <w:rsid w:val="1A9B5FFB"/>
    <w:rsid w:val="1A9F5AEC"/>
    <w:rsid w:val="1AA66E7A"/>
    <w:rsid w:val="1AA844E0"/>
    <w:rsid w:val="1AAB623F"/>
    <w:rsid w:val="1AB5530F"/>
    <w:rsid w:val="1ABA2E0F"/>
    <w:rsid w:val="1ABD2416"/>
    <w:rsid w:val="1AC437A4"/>
    <w:rsid w:val="1AC63078"/>
    <w:rsid w:val="1ACB068F"/>
    <w:rsid w:val="1ACD2659"/>
    <w:rsid w:val="1ACD492B"/>
    <w:rsid w:val="1ACE63D1"/>
    <w:rsid w:val="1AD37C66"/>
    <w:rsid w:val="1ADD6DAE"/>
    <w:rsid w:val="1AE52311"/>
    <w:rsid w:val="1AE93CEC"/>
    <w:rsid w:val="1AEB6F83"/>
    <w:rsid w:val="1B025687"/>
    <w:rsid w:val="1B0618BB"/>
    <w:rsid w:val="1B1D4C62"/>
    <w:rsid w:val="1B23671D"/>
    <w:rsid w:val="1B264DA5"/>
    <w:rsid w:val="1B291859"/>
    <w:rsid w:val="1B302BE8"/>
    <w:rsid w:val="1B3A26BB"/>
    <w:rsid w:val="1B4641B9"/>
    <w:rsid w:val="1B5E1503"/>
    <w:rsid w:val="1B646BBF"/>
    <w:rsid w:val="1B677EE2"/>
    <w:rsid w:val="1B6D5BEA"/>
    <w:rsid w:val="1B724FAE"/>
    <w:rsid w:val="1B891DA2"/>
    <w:rsid w:val="1BB455C7"/>
    <w:rsid w:val="1BBD091F"/>
    <w:rsid w:val="1BBE4697"/>
    <w:rsid w:val="1BD6553D"/>
    <w:rsid w:val="1BDD5CC2"/>
    <w:rsid w:val="1BDF0E28"/>
    <w:rsid w:val="1BE51C24"/>
    <w:rsid w:val="1BF2725A"/>
    <w:rsid w:val="1C0F6CA1"/>
    <w:rsid w:val="1C115047"/>
    <w:rsid w:val="1C202C5C"/>
    <w:rsid w:val="1C2269A1"/>
    <w:rsid w:val="1C365FDC"/>
    <w:rsid w:val="1C5020B1"/>
    <w:rsid w:val="1C533A26"/>
    <w:rsid w:val="1C536B8E"/>
    <w:rsid w:val="1C562403"/>
    <w:rsid w:val="1C784846"/>
    <w:rsid w:val="1C7B4336"/>
    <w:rsid w:val="1C7F2D86"/>
    <w:rsid w:val="1C8142FC"/>
    <w:rsid w:val="1C8A6328"/>
    <w:rsid w:val="1C907DE2"/>
    <w:rsid w:val="1CCC06EE"/>
    <w:rsid w:val="1CCE26B8"/>
    <w:rsid w:val="1CDB3570"/>
    <w:rsid w:val="1CDD6D9F"/>
    <w:rsid w:val="1CEB326A"/>
    <w:rsid w:val="1CF30371"/>
    <w:rsid w:val="1CF3211F"/>
    <w:rsid w:val="1CF814E3"/>
    <w:rsid w:val="1CFC0FD3"/>
    <w:rsid w:val="1D2017AA"/>
    <w:rsid w:val="1D271DC8"/>
    <w:rsid w:val="1D2B4636"/>
    <w:rsid w:val="1D307FD8"/>
    <w:rsid w:val="1D45521B"/>
    <w:rsid w:val="1D484219"/>
    <w:rsid w:val="1D64796D"/>
    <w:rsid w:val="1D6978E1"/>
    <w:rsid w:val="1D6D6F66"/>
    <w:rsid w:val="1D725739"/>
    <w:rsid w:val="1D743260"/>
    <w:rsid w:val="1D8F67D2"/>
    <w:rsid w:val="1D9531D6"/>
    <w:rsid w:val="1D9D4911"/>
    <w:rsid w:val="1DA17DCD"/>
    <w:rsid w:val="1DB53363"/>
    <w:rsid w:val="1DB55626"/>
    <w:rsid w:val="1DBA4F96"/>
    <w:rsid w:val="1DC046F7"/>
    <w:rsid w:val="1DC064A5"/>
    <w:rsid w:val="1DC13FCB"/>
    <w:rsid w:val="1DC35F95"/>
    <w:rsid w:val="1DCA2E80"/>
    <w:rsid w:val="1DD91315"/>
    <w:rsid w:val="1DD957B9"/>
    <w:rsid w:val="1DDF4451"/>
    <w:rsid w:val="1DF11A4D"/>
    <w:rsid w:val="1DFE0D7B"/>
    <w:rsid w:val="1E05035C"/>
    <w:rsid w:val="1E114F52"/>
    <w:rsid w:val="1E1C7453"/>
    <w:rsid w:val="1E234C86"/>
    <w:rsid w:val="1E2B65AD"/>
    <w:rsid w:val="1E562965"/>
    <w:rsid w:val="1E6A6411"/>
    <w:rsid w:val="1E6E5F01"/>
    <w:rsid w:val="1E890F8D"/>
    <w:rsid w:val="1E8C1BDB"/>
    <w:rsid w:val="1E961CBA"/>
    <w:rsid w:val="1E984D2C"/>
    <w:rsid w:val="1EA01E32"/>
    <w:rsid w:val="1EA37B56"/>
    <w:rsid w:val="1EBC3110"/>
    <w:rsid w:val="1EC27FFB"/>
    <w:rsid w:val="1EC45B21"/>
    <w:rsid w:val="1EC975DB"/>
    <w:rsid w:val="1ECC2C27"/>
    <w:rsid w:val="1EDC2EB3"/>
    <w:rsid w:val="1EED311A"/>
    <w:rsid w:val="1EFB350D"/>
    <w:rsid w:val="1F0759A6"/>
    <w:rsid w:val="1F115C62"/>
    <w:rsid w:val="1F1F369F"/>
    <w:rsid w:val="1F234F3D"/>
    <w:rsid w:val="1F4648B3"/>
    <w:rsid w:val="1F4E4EFB"/>
    <w:rsid w:val="1F522A54"/>
    <w:rsid w:val="1F6B68E4"/>
    <w:rsid w:val="1F707A57"/>
    <w:rsid w:val="1F7D3F22"/>
    <w:rsid w:val="1F9026E6"/>
    <w:rsid w:val="1F923E71"/>
    <w:rsid w:val="1F9768C5"/>
    <w:rsid w:val="1F9A0F77"/>
    <w:rsid w:val="1F9B7945"/>
    <w:rsid w:val="1F9E2816"/>
    <w:rsid w:val="1FA364BA"/>
    <w:rsid w:val="1FAE057F"/>
    <w:rsid w:val="1FBF0A55"/>
    <w:rsid w:val="1FC9789E"/>
    <w:rsid w:val="1FE76643"/>
    <w:rsid w:val="1FEC17D3"/>
    <w:rsid w:val="1FED0644"/>
    <w:rsid w:val="1FF02946"/>
    <w:rsid w:val="1FF116CE"/>
    <w:rsid w:val="1FF71F26"/>
    <w:rsid w:val="200A4B36"/>
    <w:rsid w:val="2014288C"/>
    <w:rsid w:val="201E3957"/>
    <w:rsid w:val="2024310A"/>
    <w:rsid w:val="202F346E"/>
    <w:rsid w:val="20362A4E"/>
    <w:rsid w:val="203767C6"/>
    <w:rsid w:val="203B62B7"/>
    <w:rsid w:val="20427645"/>
    <w:rsid w:val="20564E9E"/>
    <w:rsid w:val="20673947"/>
    <w:rsid w:val="2073769C"/>
    <w:rsid w:val="2080016D"/>
    <w:rsid w:val="20866C6D"/>
    <w:rsid w:val="2091237A"/>
    <w:rsid w:val="20992BDB"/>
    <w:rsid w:val="209A417C"/>
    <w:rsid w:val="20B120D5"/>
    <w:rsid w:val="20BB1E21"/>
    <w:rsid w:val="20C77B4A"/>
    <w:rsid w:val="20CE0AD0"/>
    <w:rsid w:val="20D03B09"/>
    <w:rsid w:val="20DA602C"/>
    <w:rsid w:val="20EF154A"/>
    <w:rsid w:val="20FB77F4"/>
    <w:rsid w:val="210C7C53"/>
    <w:rsid w:val="2110329F"/>
    <w:rsid w:val="211508B6"/>
    <w:rsid w:val="212B632B"/>
    <w:rsid w:val="213845A4"/>
    <w:rsid w:val="213E2CCB"/>
    <w:rsid w:val="214473ED"/>
    <w:rsid w:val="2152052D"/>
    <w:rsid w:val="2167118E"/>
    <w:rsid w:val="21672238"/>
    <w:rsid w:val="217575A6"/>
    <w:rsid w:val="217C26E3"/>
    <w:rsid w:val="2181419D"/>
    <w:rsid w:val="21900776"/>
    <w:rsid w:val="21972724"/>
    <w:rsid w:val="2198351F"/>
    <w:rsid w:val="219C02A2"/>
    <w:rsid w:val="21A353DB"/>
    <w:rsid w:val="21B04A82"/>
    <w:rsid w:val="21BF4CC5"/>
    <w:rsid w:val="21C127EB"/>
    <w:rsid w:val="21D60EF2"/>
    <w:rsid w:val="21D82BCD"/>
    <w:rsid w:val="21E464DA"/>
    <w:rsid w:val="21E5472C"/>
    <w:rsid w:val="21F66939"/>
    <w:rsid w:val="22235F69"/>
    <w:rsid w:val="22372AAE"/>
    <w:rsid w:val="224B3E1D"/>
    <w:rsid w:val="22592A24"/>
    <w:rsid w:val="225B679C"/>
    <w:rsid w:val="226B2757"/>
    <w:rsid w:val="226C44AE"/>
    <w:rsid w:val="226F6B6C"/>
    <w:rsid w:val="22721D38"/>
    <w:rsid w:val="22753536"/>
    <w:rsid w:val="22946E07"/>
    <w:rsid w:val="22965A26"/>
    <w:rsid w:val="22A75E85"/>
    <w:rsid w:val="22AB4218"/>
    <w:rsid w:val="22B10AB2"/>
    <w:rsid w:val="22B365D8"/>
    <w:rsid w:val="22B80695"/>
    <w:rsid w:val="22BA5184"/>
    <w:rsid w:val="22C73E32"/>
    <w:rsid w:val="22CC769A"/>
    <w:rsid w:val="22D16E1B"/>
    <w:rsid w:val="22D22E55"/>
    <w:rsid w:val="22DB5B2F"/>
    <w:rsid w:val="22DB78DD"/>
    <w:rsid w:val="22EB3FC4"/>
    <w:rsid w:val="22F8223D"/>
    <w:rsid w:val="22FB1D2D"/>
    <w:rsid w:val="23144B9D"/>
    <w:rsid w:val="231A0405"/>
    <w:rsid w:val="232474D6"/>
    <w:rsid w:val="23315212"/>
    <w:rsid w:val="23356FED"/>
    <w:rsid w:val="23396B62"/>
    <w:rsid w:val="23566A91"/>
    <w:rsid w:val="2358717F"/>
    <w:rsid w:val="23653243"/>
    <w:rsid w:val="23654B0D"/>
    <w:rsid w:val="23757D31"/>
    <w:rsid w:val="237C08AF"/>
    <w:rsid w:val="237D2742"/>
    <w:rsid w:val="237D3039"/>
    <w:rsid w:val="238E2BA1"/>
    <w:rsid w:val="239131F4"/>
    <w:rsid w:val="239161EE"/>
    <w:rsid w:val="23922691"/>
    <w:rsid w:val="239301B8"/>
    <w:rsid w:val="23A203FB"/>
    <w:rsid w:val="23AA7590"/>
    <w:rsid w:val="23AC3027"/>
    <w:rsid w:val="23AE6D9F"/>
    <w:rsid w:val="23C93BD9"/>
    <w:rsid w:val="23CE7163"/>
    <w:rsid w:val="23D031BA"/>
    <w:rsid w:val="23D04F68"/>
    <w:rsid w:val="23E33518"/>
    <w:rsid w:val="23E40A13"/>
    <w:rsid w:val="23EA427B"/>
    <w:rsid w:val="23ED3C99"/>
    <w:rsid w:val="23ED5B1A"/>
    <w:rsid w:val="23F940BA"/>
    <w:rsid w:val="240A66CC"/>
    <w:rsid w:val="240B41F2"/>
    <w:rsid w:val="240D1D18"/>
    <w:rsid w:val="241A2687"/>
    <w:rsid w:val="241B616B"/>
    <w:rsid w:val="24264B88"/>
    <w:rsid w:val="24347EF0"/>
    <w:rsid w:val="24362D78"/>
    <w:rsid w:val="2438765C"/>
    <w:rsid w:val="243E45C7"/>
    <w:rsid w:val="24417C14"/>
    <w:rsid w:val="244B0A92"/>
    <w:rsid w:val="24525F11"/>
    <w:rsid w:val="2455546D"/>
    <w:rsid w:val="246102B6"/>
    <w:rsid w:val="246758CC"/>
    <w:rsid w:val="246851A0"/>
    <w:rsid w:val="247B4ED4"/>
    <w:rsid w:val="247E49C4"/>
    <w:rsid w:val="249A1F8C"/>
    <w:rsid w:val="249E79F9"/>
    <w:rsid w:val="24AD7057"/>
    <w:rsid w:val="24AF5C12"/>
    <w:rsid w:val="24B83CB6"/>
    <w:rsid w:val="24C22B02"/>
    <w:rsid w:val="24C3575A"/>
    <w:rsid w:val="24CF6FCD"/>
    <w:rsid w:val="24D665AE"/>
    <w:rsid w:val="24FB4266"/>
    <w:rsid w:val="25090731"/>
    <w:rsid w:val="2533755C"/>
    <w:rsid w:val="253F05F7"/>
    <w:rsid w:val="25401C79"/>
    <w:rsid w:val="2540611D"/>
    <w:rsid w:val="25416050"/>
    <w:rsid w:val="254554E2"/>
    <w:rsid w:val="254C2D14"/>
    <w:rsid w:val="25545725"/>
    <w:rsid w:val="2556149D"/>
    <w:rsid w:val="25626093"/>
    <w:rsid w:val="25657932"/>
    <w:rsid w:val="256A4F48"/>
    <w:rsid w:val="258466C3"/>
    <w:rsid w:val="259260F1"/>
    <w:rsid w:val="25994862"/>
    <w:rsid w:val="25A22934"/>
    <w:rsid w:val="25B12B77"/>
    <w:rsid w:val="25B8223B"/>
    <w:rsid w:val="25BA5ED0"/>
    <w:rsid w:val="25C91C6F"/>
    <w:rsid w:val="25CB5FAF"/>
    <w:rsid w:val="25D8140D"/>
    <w:rsid w:val="25F767DC"/>
    <w:rsid w:val="25FA2770"/>
    <w:rsid w:val="25FC3DF2"/>
    <w:rsid w:val="25FF1B34"/>
    <w:rsid w:val="2604539D"/>
    <w:rsid w:val="26141660"/>
    <w:rsid w:val="26153106"/>
    <w:rsid w:val="261A071C"/>
    <w:rsid w:val="26381ACC"/>
    <w:rsid w:val="26404627"/>
    <w:rsid w:val="2681079B"/>
    <w:rsid w:val="26865DB2"/>
    <w:rsid w:val="268838D8"/>
    <w:rsid w:val="268C0CBA"/>
    <w:rsid w:val="26995AE5"/>
    <w:rsid w:val="269B185D"/>
    <w:rsid w:val="269C4877"/>
    <w:rsid w:val="26A050C5"/>
    <w:rsid w:val="26AE0A34"/>
    <w:rsid w:val="26AF355A"/>
    <w:rsid w:val="26B50445"/>
    <w:rsid w:val="26C879F4"/>
    <w:rsid w:val="26D44D6F"/>
    <w:rsid w:val="26DF742E"/>
    <w:rsid w:val="26E50D2A"/>
    <w:rsid w:val="26E8081A"/>
    <w:rsid w:val="26ED7BDF"/>
    <w:rsid w:val="26EF7DFB"/>
    <w:rsid w:val="26F4754F"/>
    <w:rsid w:val="26FE2F45"/>
    <w:rsid w:val="27005B64"/>
    <w:rsid w:val="270545E6"/>
    <w:rsid w:val="27117B88"/>
    <w:rsid w:val="271433BD"/>
    <w:rsid w:val="27147861"/>
    <w:rsid w:val="271635D9"/>
    <w:rsid w:val="27206508"/>
    <w:rsid w:val="272C4BAB"/>
    <w:rsid w:val="272E3705"/>
    <w:rsid w:val="273029BC"/>
    <w:rsid w:val="273A7F2D"/>
    <w:rsid w:val="273B6528"/>
    <w:rsid w:val="273D301A"/>
    <w:rsid w:val="27402404"/>
    <w:rsid w:val="274517C9"/>
    <w:rsid w:val="274A56BE"/>
    <w:rsid w:val="275630C5"/>
    <w:rsid w:val="27593BC5"/>
    <w:rsid w:val="275A1718"/>
    <w:rsid w:val="275A187D"/>
    <w:rsid w:val="27604855"/>
    <w:rsid w:val="27644FCF"/>
    <w:rsid w:val="276854B7"/>
    <w:rsid w:val="277976C4"/>
    <w:rsid w:val="277E3C29"/>
    <w:rsid w:val="27806CA5"/>
    <w:rsid w:val="2783199F"/>
    <w:rsid w:val="2783718F"/>
    <w:rsid w:val="27870033"/>
    <w:rsid w:val="27930786"/>
    <w:rsid w:val="2799374C"/>
    <w:rsid w:val="27A877A0"/>
    <w:rsid w:val="27AD7309"/>
    <w:rsid w:val="27BF3329"/>
    <w:rsid w:val="27C070A1"/>
    <w:rsid w:val="27C748D4"/>
    <w:rsid w:val="27DA300E"/>
    <w:rsid w:val="27DB2090"/>
    <w:rsid w:val="27EB0257"/>
    <w:rsid w:val="27EB6814"/>
    <w:rsid w:val="27F751B9"/>
    <w:rsid w:val="27FB3942"/>
    <w:rsid w:val="27FB515C"/>
    <w:rsid w:val="27FF7BCA"/>
    <w:rsid w:val="280478D6"/>
    <w:rsid w:val="281F026C"/>
    <w:rsid w:val="281F6E41"/>
    <w:rsid w:val="28245175"/>
    <w:rsid w:val="2828152A"/>
    <w:rsid w:val="28327BA8"/>
    <w:rsid w:val="283B0969"/>
    <w:rsid w:val="28447CD2"/>
    <w:rsid w:val="285048C9"/>
    <w:rsid w:val="285C7334"/>
    <w:rsid w:val="28643ED1"/>
    <w:rsid w:val="286E4D4F"/>
    <w:rsid w:val="28702875"/>
    <w:rsid w:val="287265EE"/>
    <w:rsid w:val="2896616C"/>
    <w:rsid w:val="289E5635"/>
    <w:rsid w:val="28A16ED3"/>
    <w:rsid w:val="28A6273B"/>
    <w:rsid w:val="28B766F6"/>
    <w:rsid w:val="28CC797B"/>
    <w:rsid w:val="28CF1C92"/>
    <w:rsid w:val="28D41056"/>
    <w:rsid w:val="28EC2331"/>
    <w:rsid w:val="28F11C08"/>
    <w:rsid w:val="28F434A6"/>
    <w:rsid w:val="290F02E0"/>
    <w:rsid w:val="294C08DA"/>
    <w:rsid w:val="296C128F"/>
    <w:rsid w:val="296D5007"/>
    <w:rsid w:val="296F4C5F"/>
    <w:rsid w:val="29802F8C"/>
    <w:rsid w:val="29930F11"/>
    <w:rsid w:val="299D3B3E"/>
    <w:rsid w:val="29B11398"/>
    <w:rsid w:val="29B13146"/>
    <w:rsid w:val="29B97B43"/>
    <w:rsid w:val="29BA5148"/>
    <w:rsid w:val="29CE1F49"/>
    <w:rsid w:val="29D67050"/>
    <w:rsid w:val="29D84B76"/>
    <w:rsid w:val="29DF5F05"/>
    <w:rsid w:val="29EA62A5"/>
    <w:rsid w:val="29F01EC0"/>
    <w:rsid w:val="2A07768A"/>
    <w:rsid w:val="2A157BAE"/>
    <w:rsid w:val="2A1F27A5"/>
    <w:rsid w:val="2A202079"/>
    <w:rsid w:val="2A204FB3"/>
    <w:rsid w:val="2A2D4EC2"/>
    <w:rsid w:val="2A314286"/>
    <w:rsid w:val="2A337FFE"/>
    <w:rsid w:val="2A3C3357"/>
    <w:rsid w:val="2A473AAA"/>
    <w:rsid w:val="2A570191"/>
    <w:rsid w:val="2A571F3F"/>
    <w:rsid w:val="2A5E32CD"/>
    <w:rsid w:val="2A60320F"/>
    <w:rsid w:val="2A6603D4"/>
    <w:rsid w:val="2A6F6748"/>
    <w:rsid w:val="2A73664D"/>
    <w:rsid w:val="2A84085A"/>
    <w:rsid w:val="2A900FAD"/>
    <w:rsid w:val="2A9A007E"/>
    <w:rsid w:val="2AB4113F"/>
    <w:rsid w:val="2AB47391"/>
    <w:rsid w:val="2ABC7FF4"/>
    <w:rsid w:val="2AC31382"/>
    <w:rsid w:val="2AC4671E"/>
    <w:rsid w:val="2AC94235"/>
    <w:rsid w:val="2ACB6489"/>
    <w:rsid w:val="2AD215C5"/>
    <w:rsid w:val="2AF70948"/>
    <w:rsid w:val="2AFC2AE6"/>
    <w:rsid w:val="2B09591A"/>
    <w:rsid w:val="2B213D29"/>
    <w:rsid w:val="2B2B726B"/>
    <w:rsid w:val="2B2D4A4E"/>
    <w:rsid w:val="2B396377"/>
    <w:rsid w:val="2B471FB3"/>
    <w:rsid w:val="2B485D2C"/>
    <w:rsid w:val="2B531430"/>
    <w:rsid w:val="2B54647E"/>
    <w:rsid w:val="2B5841C1"/>
    <w:rsid w:val="2B59701E"/>
    <w:rsid w:val="2B5B15BB"/>
    <w:rsid w:val="2B5E72FD"/>
    <w:rsid w:val="2B6C1A1A"/>
    <w:rsid w:val="2B6E0945"/>
    <w:rsid w:val="2B7153EE"/>
    <w:rsid w:val="2B77090E"/>
    <w:rsid w:val="2B830541"/>
    <w:rsid w:val="2B8E3B75"/>
    <w:rsid w:val="2B9D2066"/>
    <w:rsid w:val="2BA80578"/>
    <w:rsid w:val="2BC76C50"/>
    <w:rsid w:val="2BDF3F0E"/>
    <w:rsid w:val="2BF81500"/>
    <w:rsid w:val="2C153E60"/>
    <w:rsid w:val="2C161986"/>
    <w:rsid w:val="2C29216E"/>
    <w:rsid w:val="2C2F3AC5"/>
    <w:rsid w:val="2C3376F3"/>
    <w:rsid w:val="2C35678D"/>
    <w:rsid w:val="2C3A5674"/>
    <w:rsid w:val="2C416A03"/>
    <w:rsid w:val="2C460AE9"/>
    <w:rsid w:val="2C506C46"/>
    <w:rsid w:val="2C5314B6"/>
    <w:rsid w:val="2C574478"/>
    <w:rsid w:val="2C5A1872"/>
    <w:rsid w:val="2C6D7C8B"/>
    <w:rsid w:val="2C7212B2"/>
    <w:rsid w:val="2C736DD8"/>
    <w:rsid w:val="2C75006C"/>
    <w:rsid w:val="2C7F2067"/>
    <w:rsid w:val="2C8114F5"/>
    <w:rsid w:val="2CA84CD4"/>
    <w:rsid w:val="2CAA6AF7"/>
    <w:rsid w:val="2CB216AE"/>
    <w:rsid w:val="2CD07D87"/>
    <w:rsid w:val="2CD258AD"/>
    <w:rsid w:val="2CD5539D"/>
    <w:rsid w:val="2CF07B24"/>
    <w:rsid w:val="2CF41CC7"/>
    <w:rsid w:val="2CF47F19"/>
    <w:rsid w:val="2D0A1488"/>
    <w:rsid w:val="2D0A773C"/>
    <w:rsid w:val="2D4D7629"/>
    <w:rsid w:val="2D510EC7"/>
    <w:rsid w:val="2D5B3AF4"/>
    <w:rsid w:val="2D62795A"/>
    <w:rsid w:val="2D630BFB"/>
    <w:rsid w:val="2D6E6085"/>
    <w:rsid w:val="2D7626DC"/>
    <w:rsid w:val="2D8635B6"/>
    <w:rsid w:val="2D86398C"/>
    <w:rsid w:val="2D9B0395"/>
    <w:rsid w:val="2DC9792A"/>
    <w:rsid w:val="2DCC49F2"/>
    <w:rsid w:val="2DD438A6"/>
    <w:rsid w:val="2DD86FBB"/>
    <w:rsid w:val="2DD90EBD"/>
    <w:rsid w:val="2DDD09AD"/>
    <w:rsid w:val="2E1F2D74"/>
    <w:rsid w:val="2E277E7A"/>
    <w:rsid w:val="2E2E2FB7"/>
    <w:rsid w:val="2E3C1B78"/>
    <w:rsid w:val="2E580034"/>
    <w:rsid w:val="2E5C5D76"/>
    <w:rsid w:val="2E67471B"/>
    <w:rsid w:val="2E6B3CB5"/>
    <w:rsid w:val="2E8A14B0"/>
    <w:rsid w:val="2E9072F7"/>
    <w:rsid w:val="2E953400"/>
    <w:rsid w:val="2E976DAE"/>
    <w:rsid w:val="2EA15273"/>
    <w:rsid w:val="2EA63495"/>
    <w:rsid w:val="2EB07E70"/>
    <w:rsid w:val="2EB536D8"/>
    <w:rsid w:val="2EB55486"/>
    <w:rsid w:val="2EB822CA"/>
    <w:rsid w:val="2EB9643D"/>
    <w:rsid w:val="2EC3109B"/>
    <w:rsid w:val="2ED52630"/>
    <w:rsid w:val="2ED5274D"/>
    <w:rsid w:val="2EE200F9"/>
    <w:rsid w:val="2F11721B"/>
    <w:rsid w:val="2F176141"/>
    <w:rsid w:val="2F1E74CF"/>
    <w:rsid w:val="2F2B74F6"/>
    <w:rsid w:val="2F350323"/>
    <w:rsid w:val="2F436F36"/>
    <w:rsid w:val="2F513AA1"/>
    <w:rsid w:val="2F520F27"/>
    <w:rsid w:val="2F544C9F"/>
    <w:rsid w:val="2F624B4C"/>
    <w:rsid w:val="2F715851"/>
    <w:rsid w:val="2F740E9D"/>
    <w:rsid w:val="2F7964B4"/>
    <w:rsid w:val="2F9231AE"/>
    <w:rsid w:val="2F947791"/>
    <w:rsid w:val="2FAA2E62"/>
    <w:rsid w:val="2FC260AC"/>
    <w:rsid w:val="2FC736C3"/>
    <w:rsid w:val="2FE20742"/>
    <w:rsid w:val="2FEF6776"/>
    <w:rsid w:val="2FFD0A4E"/>
    <w:rsid w:val="2FFD4D31"/>
    <w:rsid w:val="30006BD5"/>
    <w:rsid w:val="300D4E4E"/>
    <w:rsid w:val="300D56E3"/>
    <w:rsid w:val="300F506A"/>
    <w:rsid w:val="30185CCC"/>
    <w:rsid w:val="302208F9"/>
    <w:rsid w:val="3024451D"/>
    <w:rsid w:val="30274161"/>
    <w:rsid w:val="304940D8"/>
    <w:rsid w:val="304D4C78"/>
    <w:rsid w:val="30590237"/>
    <w:rsid w:val="305B205D"/>
    <w:rsid w:val="30695649"/>
    <w:rsid w:val="307B6A0F"/>
    <w:rsid w:val="307F7AFA"/>
    <w:rsid w:val="30A532D8"/>
    <w:rsid w:val="30A76E60"/>
    <w:rsid w:val="30BC6FA0"/>
    <w:rsid w:val="30C419B0"/>
    <w:rsid w:val="30CC0F1D"/>
    <w:rsid w:val="30D53BBD"/>
    <w:rsid w:val="30D62402"/>
    <w:rsid w:val="30DD6F16"/>
    <w:rsid w:val="30FD3114"/>
    <w:rsid w:val="310821E5"/>
    <w:rsid w:val="311566B0"/>
    <w:rsid w:val="311C32A3"/>
    <w:rsid w:val="313C3C3D"/>
    <w:rsid w:val="31400030"/>
    <w:rsid w:val="315D7739"/>
    <w:rsid w:val="317F1D7B"/>
    <w:rsid w:val="31905D36"/>
    <w:rsid w:val="319C292D"/>
    <w:rsid w:val="319D5A1B"/>
    <w:rsid w:val="319D73E5"/>
    <w:rsid w:val="31AF3FF6"/>
    <w:rsid w:val="31C3435E"/>
    <w:rsid w:val="31CB26CF"/>
    <w:rsid w:val="31D01159"/>
    <w:rsid w:val="31D04385"/>
    <w:rsid w:val="31D200FD"/>
    <w:rsid w:val="31D73965"/>
    <w:rsid w:val="31E00A6C"/>
    <w:rsid w:val="31E56082"/>
    <w:rsid w:val="31F91B2E"/>
    <w:rsid w:val="31FE0EF2"/>
    <w:rsid w:val="32096215"/>
    <w:rsid w:val="320A5AE9"/>
    <w:rsid w:val="32291B3E"/>
    <w:rsid w:val="322E5C7B"/>
    <w:rsid w:val="32361BEB"/>
    <w:rsid w:val="32377580"/>
    <w:rsid w:val="323B2146"/>
    <w:rsid w:val="32474FBC"/>
    <w:rsid w:val="324803BF"/>
    <w:rsid w:val="324A2389"/>
    <w:rsid w:val="325032DD"/>
    <w:rsid w:val="3255017A"/>
    <w:rsid w:val="32573D8E"/>
    <w:rsid w:val="325D20BC"/>
    <w:rsid w:val="327105DD"/>
    <w:rsid w:val="32765603"/>
    <w:rsid w:val="32785148"/>
    <w:rsid w:val="328504C3"/>
    <w:rsid w:val="32981444"/>
    <w:rsid w:val="329D695D"/>
    <w:rsid w:val="32AB12E7"/>
    <w:rsid w:val="32BE4D71"/>
    <w:rsid w:val="32C71C2C"/>
    <w:rsid w:val="32D355BB"/>
    <w:rsid w:val="32DD1848"/>
    <w:rsid w:val="32E427DE"/>
    <w:rsid w:val="32E75E2A"/>
    <w:rsid w:val="32FA6DD7"/>
    <w:rsid w:val="33024A12"/>
    <w:rsid w:val="33252710"/>
    <w:rsid w:val="332B21BB"/>
    <w:rsid w:val="3333106F"/>
    <w:rsid w:val="334C5DA5"/>
    <w:rsid w:val="33510E1D"/>
    <w:rsid w:val="33515506"/>
    <w:rsid w:val="335B49E4"/>
    <w:rsid w:val="33631954"/>
    <w:rsid w:val="336A7DFE"/>
    <w:rsid w:val="33727DEA"/>
    <w:rsid w:val="33795E2F"/>
    <w:rsid w:val="337A0A4C"/>
    <w:rsid w:val="33863895"/>
    <w:rsid w:val="33884F17"/>
    <w:rsid w:val="33C00B55"/>
    <w:rsid w:val="33CB12A8"/>
    <w:rsid w:val="33CD6DCE"/>
    <w:rsid w:val="33D54017"/>
    <w:rsid w:val="33D95773"/>
    <w:rsid w:val="33DA14EB"/>
    <w:rsid w:val="33E67E90"/>
    <w:rsid w:val="340248EC"/>
    <w:rsid w:val="340F5638"/>
    <w:rsid w:val="34142C4F"/>
    <w:rsid w:val="341B3FDD"/>
    <w:rsid w:val="341E4314"/>
    <w:rsid w:val="342C7F98"/>
    <w:rsid w:val="34362BC5"/>
    <w:rsid w:val="343B467F"/>
    <w:rsid w:val="343F46CF"/>
    <w:rsid w:val="344277BC"/>
    <w:rsid w:val="345831E6"/>
    <w:rsid w:val="347B0F20"/>
    <w:rsid w:val="34872BB5"/>
    <w:rsid w:val="348E2A01"/>
    <w:rsid w:val="349124F1"/>
    <w:rsid w:val="34983880"/>
    <w:rsid w:val="349B2BDB"/>
    <w:rsid w:val="349D49F2"/>
    <w:rsid w:val="349F721A"/>
    <w:rsid w:val="34A71D15"/>
    <w:rsid w:val="34AA710F"/>
    <w:rsid w:val="34C07A59"/>
    <w:rsid w:val="34CA77B1"/>
    <w:rsid w:val="34D851A5"/>
    <w:rsid w:val="34F523AB"/>
    <w:rsid w:val="35016829"/>
    <w:rsid w:val="3502519D"/>
    <w:rsid w:val="3509718D"/>
    <w:rsid w:val="35171765"/>
    <w:rsid w:val="351D1FD7"/>
    <w:rsid w:val="351F4753"/>
    <w:rsid w:val="35374E47"/>
    <w:rsid w:val="354B6B44"/>
    <w:rsid w:val="354C01C6"/>
    <w:rsid w:val="355236EF"/>
    <w:rsid w:val="35531555"/>
    <w:rsid w:val="355A0026"/>
    <w:rsid w:val="35647C06"/>
    <w:rsid w:val="35683252"/>
    <w:rsid w:val="35696FCA"/>
    <w:rsid w:val="356A15C4"/>
    <w:rsid w:val="356B689E"/>
    <w:rsid w:val="358362DE"/>
    <w:rsid w:val="35942299"/>
    <w:rsid w:val="35951B6D"/>
    <w:rsid w:val="359C73A0"/>
    <w:rsid w:val="35A40002"/>
    <w:rsid w:val="35A95619"/>
    <w:rsid w:val="35A973C7"/>
    <w:rsid w:val="35AB23A4"/>
    <w:rsid w:val="35C77473"/>
    <w:rsid w:val="35C80195"/>
    <w:rsid w:val="35D824D3"/>
    <w:rsid w:val="35DF103A"/>
    <w:rsid w:val="35EB2782"/>
    <w:rsid w:val="35FC192B"/>
    <w:rsid w:val="360B6A01"/>
    <w:rsid w:val="360F36CE"/>
    <w:rsid w:val="36157D8C"/>
    <w:rsid w:val="36201D7F"/>
    <w:rsid w:val="36203B2D"/>
    <w:rsid w:val="36211653"/>
    <w:rsid w:val="362C73AC"/>
    <w:rsid w:val="3632560E"/>
    <w:rsid w:val="3643781B"/>
    <w:rsid w:val="365E6403"/>
    <w:rsid w:val="36841F96"/>
    <w:rsid w:val="36857E34"/>
    <w:rsid w:val="3687595A"/>
    <w:rsid w:val="368F480F"/>
    <w:rsid w:val="368F6343"/>
    <w:rsid w:val="36901236"/>
    <w:rsid w:val="36963DEF"/>
    <w:rsid w:val="369D33CF"/>
    <w:rsid w:val="36A52C76"/>
    <w:rsid w:val="36A549A2"/>
    <w:rsid w:val="36A93B22"/>
    <w:rsid w:val="36AE738B"/>
    <w:rsid w:val="36BD5820"/>
    <w:rsid w:val="36CC7811"/>
    <w:rsid w:val="36CE5337"/>
    <w:rsid w:val="36DD557A"/>
    <w:rsid w:val="36DE0C23"/>
    <w:rsid w:val="36E0506A"/>
    <w:rsid w:val="36E675B0"/>
    <w:rsid w:val="36F31241"/>
    <w:rsid w:val="36F823B4"/>
    <w:rsid w:val="36FB00F6"/>
    <w:rsid w:val="3700570C"/>
    <w:rsid w:val="3702451B"/>
    <w:rsid w:val="37076126"/>
    <w:rsid w:val="370A20E7"/>
    <w:rsid w:val="371116C7"/>
    <w:rsid w:val="37261200"/>
    <w:rsid w:val="372D0B5E"/>
    <w:rsid w:val="37335AE2"/>
    <w:rsid w:val="37465815"/>
    <w:rsid w:val="375165B0"/>
    <w:rsid w:val="37620175"/>
    <w:rsid w:val="376358B3"/>
    <w:rsid w:val="376E6B1A"/>
    <w:rsid w:val="377E4FAF"/>
    <w:rsid w:val="37840664"/>
    <w:rsid w:val="378C0D4E"/>
    <w:rsid w:val="37971BCD"/>
    <w:rsid w:val="37A07217"/>
    <w:rsid w:val="37A542AD"/>
    <w:rsid w:val="37A82B4C"/>
    <w:rsid w:val="37AB1B1C"/>
    <w:rsid w:val="37BA1D5F"/>
    <w:rsid w:val="37BF1123"/>
    <w:rsid w:val="37C66267"/>
    <w:rsid w:val="37CD44D8"/>
    <w:rsid w:val="37DE77FC"/>
    <w:rsid w:val="37E42938"/>
    <w:rsid w:val="37E46B93"/>
    <w:rsid w:val="37E64902"/>
    <w:rsid w:val="37EB3CC7"/>
    <w:rsid w:val="38064FA4"/>
    <w:rsid w:val="3809239F"/>
    <w:rsid w:val="38251020"/>
    <w:rsid w:val="3836053E"/>
    <w:rsid w:val="38390ED6"/>
    <w:rsid w:val="3842422E"/>
    <w:rsid w:val="384358B1"/>
    <w:rsid w:val="384855BD"/>
    <w:rsid w:val="384926B7"/>
    <w:rsid w:val="384A30E3"/>
    <w:rsid w:val="384B3F24"/>
    <w:rsid w:val="38581833"/>
    <w:rsid w:val="38622067"/>
    <w:rsid w:val="386B4E07"/>
    <w:rsid w:val="38722442"/>
    <w:rsid w:val="38796219"/>
    <w:rsid w:val="387B504A"/>
    <w:rsid w:val="387C7014"/>
    <w:rsid w:val="38871C41"/>
    <w:rsid w:val="389154E2"/>
    <w:rsid w:val="38A04FB0"/>
    <w:rsid w:val="38AC16A8"/>
    <w:rsid w:val="38B44A00"/>
    <w:rsid w:val="38C3026A"/>
    <w:rsid w:val="38C4270F"/>
    <w:rsid w:val="38C5276A"/>
    <w:rsid w:val="38C70AF3"/>
    <w:rsid w:val="38CA2875"/>
    <w:rsid w:val="38D155B2"/>
    <w:rsid w:val="38D34E86"/>
    <w:rsid w:val="38D429AD"/>
    <w:rsid w:val="38D8249D"/>
    <w:rsid w:val="38D92AF5"/>
    <w:rsid w:val="38D97FC3"/>
    <w:rsid w:val="38F82B3F"/>
    <w:rsid w:val="38F90665"/>
    <w:rsid w:val="39045FAA"/>
    <w:rsid w:val="39227BBC"/>
    <w:rsid w:val="39317DFF"/>
    <w:rsid w:val="39447B32"/>
    <w:rsid w:val="394A3B6E"/>
    <w:rsid w:val="394D487E"/>
    <w:rsid w:val="395619C1"/>
    <w:rsid w:val="3958538C"/>
    <w:rsid w:val="396404E2"/>
    <w:rsid w:val="39693A3D"/>
    <w:rsid w:val="397877DC"/>
    <w:rsid w:val="397C776C"/>
    <w:rsid w:val="397D4DF2"/>
    <w:rsid w:val="39875C71"/>
    <w:rsid w:val="3995577A"/>
    <w:rsid w:val="399E5F5D"/>
    <w:rsid w:val="39A20CFD"/>
    <w:rsid w:val="39A700C1"/>
    <w:rsid w:val="39AD3929"/>
    <w:rsid w:val="39B60304"/>
    <w:rsid w:val="39C96DA5"/>
    <w:rsid w:val="39CB2002"/>
    <w:rsid w:val="39CE1AF2"/>
    <w:rsid w:val="39DA0497"/>
    <w:rsid w:val="39E6508D"/>
    <w:rsid w:val="3A022A5F"/>
    <w:rsid w:val="3A1E0383"/>
    <w:rsid w:val="3A345DF9"/>
    <w:rsid w:val="3A3758E9"/>
    <w:rsid w:val="3A461688"/>
    <w:rsid w:val="3A52627F"/>
    <w:rsid w:val="3A5A7A93"/>
    <w:rsid w:val="3A63223A"/>
    <w:rsid w:val="3A682CE2"/>
    <w:rsid w:val="3A687850"/>
    <w:rsid w:val="3A6C5593"/>
    <w:rsid w:val="3A712BA9"/>
    <w:rsid w:val="3A783162"/>
    <w:rsid w:val="3A7D7C88"/>
    <w:rsid w:val="3A862F24"/>
    <w:rsid w:val="3A8659CE"/>
    <w:rsid w:val="3A900B55"/>
    <w:rsid w:val="3A946897"/>
    <w:rsid w:val="3A992100"/>
    <w:rsid w:val="3AA60379"/>
    <w:rsid w:val="3ABC7B9C"/>
    <w:rsid w:val="3AD153F6"/>
    <w:rsid w:val="3ADA3168"/>
    <w:rsid w:val="3ADC45D0"/>
    <w:rsid w:val="3AE02C12"/>
    <w:rsid w:val="3AE958FD"/>
    <w:rsid w:val="3AF7514A"/>
    <w:rsid w:val="3AFC23EB"/>
    <w:rsid w:val="3AFE1F63"/>
    <w:rsid w:val="3B1654FE"/>
    <w:rsid w:val="3B19332B"/>
    <w:rsid w:val="3B1F759A"/>
    <w:rsid w:val="3B216955"/>
    <w:rsid w:val="3B273268"/>
    <w:rsid w:val="3B3A1B15"/>
    <w:rsid w:val="3B3D0CDD"/>
    <w:rsid w:val="3B3F2CA7"/>
    <w:rsid w:val="3B405F4E"/>
    <w:rsid w:val="3B414CD4"/>
    <w:rsid w:val="3B443E1A"/>
    <w:rsid w:val="3B4E575D"/>
    <w:rsid w:val="3B561D9F"/>
    <w:rsid w:val="3B620744"/>
    <w:rsid w:val="3B6224F2"/>
    <w:rsid w:val="3B710D9E"/>
    <w:rsid w:val="3B716BD9"/>
    <w:rsid w:val="3B7A270B"/>
    <w:rsid w:val="3B806E1C"/>
    <w:rsid w:val="3B90705F"/>
    <w:rsid w:val="3B9528C7"/>
    <w:rsid w:val="3BAB5FA3"/>
    <w:rsid w:val="3BB0325D"/>
    <w:rsid w:val="3BBD1E1E"/>
    <w:rsid w:val="3BBD597A"/>
    <w:rsid w:val="3BD333EF"/>
    <w:rsid w:val="3BE13D5E"/>
    <w:rsid w:val="3BE17B92"/>
    <w:rsid w:val="3BF92F2D"/>
    <w:rsid w:val="3C0435A9"/>
    <w:rsid w:val="3C1C08F2"/>
    <w:rsid w:val="3C2679C3"/>
    <w:rsid w:val="3C277297"/>
    <w:rsid w:val="3C29300F"/>
    <w:rsid w:val="3C2B6D87"/>
    <w:rsid w:val="3C30439E"/>
    <w:rsid w:val="3C3358E8"/>
    <w:rsid w:val="3C340332"/>
    <w:rsid w:val="3C355E58"/>
    <w:rsid w:val="3C460065"/>
    <w:rsid w:val="3C5C1611"/>
    <w:rsid w:val="3C683B38"/>
    <w:rsid w:val="3C6D73A0"/>
    <w:rsid w:val="3C763519"/>
    <w:rsid w:val="3C7A1ABD"/>
    <w:rsid w:val="3C88242C"/>
    <w:rsid w:val="3C8B5A78"/>
    <w:rsid w:val="3C8C1F1C"/>
    <w:rsid w:val="3C9467FC"/>
    <w:rsid w:val="3C954118"/>
    <w:rsid w:val="3C9D2CE2"/>
    <w:rsid w:val="3CA052EC"/>
    <w:rsid w:val="3CD613E9"/>
    <w:rsid w:val="3CDB69FF"/>
    <w:rsid w:val="3CE8581C"/>
    <w:rsid w:val="3D026D87"/>
    <w:rsid w:val="3D0870C9"/>
    <w:rsid w:val="3D147C87"/>
    <w:rsid w:val="3D1B6DFC"/>
    <w:rsid w:val="3D3659E4"/>
    <w:rsid w:val="3D385C00"/>
    <w:rsid w:val="3D532A3A"/>
    <w:rsid w:val="3D57495F"/>
    <w:rsid w:val="3D600CB3"/>
    <w:rsid w:val="3D7309E6"/>
    <w:rsid w:val="3D7B3D3F"/>
    <w:rsid w:val="3D8B7DB9"/>
    <w:rsid w:val="3D9848F1"/>
    <w:rsid w:val="3DA21498"/>
    <w:rsid w:val="3DA93DDC"/>
    <w:rsid w:val="3DBB7729"/>
    <w:rsid w:val="3DBD7EB3"/>
    <w:rsid w:val="3DC01751"/>
    <w:rsid w:val="3DC94AAA"/>
    <w:rsid w:val="3DD400FC"/>
    <w:rsid w:val="3DDC2A2F"/>
    <w:rsid w:val="3DE83CFF"/>
    <w:rsid w:val="3DF24001"/>
    <w:rsid w:val="3DFF04CC"/>
    <w:rsid w:val="3E0437D5"/>
    <w:rsid w:val="3E1602FB"/>
    <w:rsid w:val="3E1C2E2C"/>
    <w:rsid w:val="3E39196F"/>
    <w:rsid w:val="3E3E7BDA"/>
    <w:rsid w:val="3E576115"/>
    <w:rsid w:val="3E5C147A"/>
    <w:rsid w:val="3E6476BA"/>
    <w:rsid w:val="3E815385"/>
    <w:rsid w:val="3E8B7FB1"/>
    <w:rsid w:val="3E907376"/>
    <w:rsid w:val="3E9E1A93"/>
    <w:rsid w:val="3EB2553E"/>
    <w:rsid w:val="3EB64E75"/>
    <w:rsid w:val="3EBF1A09"/>
    <w:rsid w:val="3EC62D97"/>
    <w:rsid w:val="3EC6723B"/>
    <w:rsid w:val="3EC978C8"/>
    <w:rsid w:val="3ECB6600"/>
    <w:rsid w:val="3ED731F7"/>
    <w:rsid w:val="3EE36869"/>
    <w:rsid w:val="3EE6168C"/>
    <w:rsid w:val="3EEA2F2A"/>
    <w:rsid w:val="3EED0FE4"/>
    <w:rsid w:val="3EF26282"/>
    <w:rsid w:val="3EF45B57"/>
    <w:rsid w:val="3EF67B21"/>
    <w:rsid w:val="3EFD0EAF"/>
    <w:rsid w:val="3F057D64"/>
    <w:rsid w:val="3F083F29"/>
    <w:rsid w:val="3F156188"/>
    <w:rsid w:val="3F163D1F"/>
    <w:rsid w:val="3F2D2E17"/>
    <w:rsid w:val="3F4C5993"/>
    <w:rsid w:val="3F542A99"/>
    <w:rsid w:val="3F5E1222"/>
    <w:rsid w:val="3F5E56C6"/>
    <w:rsid w:val="3F740A45"/>
    <w:rsid w:val="3F744EE9"/>
    <w:rsid w:val="3F7647BE"/>
    <w:rsid w:val="3F852C53"/>
    <w:rsid w:val="3F877BBC"/>
    <w:rsid w:val="3F8A0269"/>
    <w:rsid w:val="3F8E0A52"/>
    <w:rsid w:val="3F8F762D"/>
    <w:rsid w:val="3F964E60"/>
    <w:rsid w:val="3F9A5609"/>
    <w:rsid w:val="3F9E56B6"/>
    <w:rsid w:val="3FA23805"/>
    <w:rsid w:val="3FB3156E"/>
    <w:rsid w:val="3FC70145"/>
    <w:rsid w:val="3FC96FE3"/>
    <w:rsid w:val="3FD13129"/>
    <w:rsid w:val="3FD55988"/>
    <w:rsid w:val="3FDF4418"/>
    <w:rsid w:val="40181D19"/>
    <w:rsid w:val="401B7113"/>
    <w:rsid w:val="401D732F"/>
    <w:rsid w:val="4022644E"/>
    <w:rsid w:val="40231C68"/>
    <w:rsid w:val="40284D6D"/>
    <w:rsid w:val="403725A2"/>
    <w:rsid w:val="40380203"/>
    <w:rsid w:val="403839DE"/>
    <w:rsid w:val="403F2E01"/>
    <w:rsid w:val="40442B0E"/>
    <w:rsid w:val="40491ED2"/>
    <w:rsid w:val="40493C80"/>
    <w:rsid w:val="407927B7"/>
    <w:rsid w:val="409273D5"/>
    <w:rsid w:val="40A25464"/>
    <w:rsid w:val="40A827D1"/>
    <w:rsid w:val="40BC23C2"/>
    <w:rsid w:val="40BC524B"/>
    <w:rsid w:val="40C8729B"/>
    <w:rsid w:val="40D216E8"/>
    <w:rsid w:val="40F41E3E"/>
    <w:rsid w:val="41010626"/>
    <w:rsid w:val="41014DAF"/>
    <w:rsid w:val="4105404B"/>
    <w:rsid w:val="41135D13"/>
    <w:rsid w:val="41195A47"/>
    <w:rsid w:val="411B386E"/>
    <w:rsid w:val="41230975"/>
    <w:rsid w:val="412B15D8"/>
    <w:rsid w:val="412C782A"/>
    <w:rsid w:val="41384420"/>
    <w:rsid w:val="41436921"/>
    <w:rsid w:val="41611772"/>
    <w:rsid w:val="41663199"/>
    <w:rsid w:val="41711C4E"/>
    <w:rsid w:val="41786DF1"/>
    <w:rsid w:val="41A73354"/>
    <w:rsid w:val="41A82C28"/>
    <w:rsid w:val="41CA2B9F"/>
    <w:rsid w:val="41CE08E1"/>
    <w:rsid w:val="41D103D1"/>
    <w:rsid w:val="41E40104"/>
    <w:rsid w:val="41E77BF5"/>
    <w:rsid w:val="41F67E38"/>
    <w:rsid w:val="41FA16D6"/>
    <w:rsid w:val="42073DF3"/>
    <w:rsid w:val="420936C7"/>
    <w:rsid w:val="420E33D3"/>
    <w:rsid w:val="420E3845"/>
    <w:rsid w:val="421B789E"/>
    <w:rsid w:val="421D3616"/>
    <w:rsid w:val="42213106"/>
    <w:rsid w:val="422830F8"/>
    <w:rsid w:val="4235270E"/>
    <w:rsid w:val="423B5AA0"/>
    <w:rsid w:val="42442951"/>
    <w:rsid w:val="425012F6"/>
    <w:rsid w:val="42562684"/>
    <w:rsid w:val="42660B19"/>
    <w:rsid w:val="426D3627"/>
    <w:rsid w:val="42811065"/>
    <w:rsid w:val="428E3F7D"/>
    <w:rsid w:val="42976F25"/>
    <w:rsid w:val="429A6A15"/>
    <w:rsid w:val="429E0961"/>
    <w:rsid w:val="42A24307"/>
    <w:rsid w:val="42A47894"/>
    <w:rsid w:val="42A54CA5"/>
    <w:rsid w:val="42A84AAD"/>
    <w:rsid w:val="42AD6748"/>
    <w:rsid w:val="42B0448A"/>
    <w:rsid w:val="42B31885"/>
    <w:rsid w:val="42B87DC4"/>
    <w:rsid w:val="42C731D6"/>
    <w:rsid w:val="42C840CC"/>
    <w:rsid w:val="42CB1122"/>
    <w:rsid w:val="42CD0B98"/>
    <w:rsid w:val="42CF1434"/>
    <w:rsid w:val="42D0308A"/>
    <w:rsid w:val="42D92A2D"/>
    <w:rsid w:val="42E61C5A"/>
    <w:rsid w:val="42E87780"/>
    <w:rsid w:val="43014CE6"/>
    <w:rsid w:val="430A7189"/>
    <w:rsid w:val="430B7913"/>
    <w:rsid w:val="432033BE"/>
    <w:rsid w:val="43317379"/>
    <w:rsid w:val="43370708"/>
    <w:rsid w:val="433C13D9"/>
    <w:rsid w:val="433E78CA"/>
    <w:rsid w:val="434A21E9"/>
    <w:rsid w:val="43512378"/>
    <w:rsid w:val="435E3EE6"/>
    <w:rsid w:val="43672D9B"/>
    <w:rsid w:val="43707776"/>
    <w:rsid w:val="43770B04"/>
    <w:rsid w:val="43A044FF"/>
    <w:rsid w:val="43A07649"/>
    <w:rsid w:val="43A37B4B"/>
    <w:rsid w:val="43B458B4"/>
    <w:rsid w:val="43B72A7C"/>
    <w:rsid w:val="43B92ECB"/>
    <w:rsid w:val="43BB569A"/>
    <w:rsid w:val="43C96F7E"/>
    <w:rsid w:val="43CC2BFE"/>
    <w:rsid w:val="43EE526A"/>
    <w:rsid w:val="43F16B09"/>
    <w:rsid w:val="43FB34E3"/>
    <w:rsid w:val="43FD36FF"/>
    <w:rsid w:val="43FE2FD4"/>
    <w:rsid w:val="44044A8E"/>
    <w:rsid w:val="440E76BA"/>
    <w:rsid w:val="44112E01"/>
    <w:rsid w:val="44175659"/>
    <w:rsid w:val="44240C8C"/>
    <w:rsid w:val="44310677"/>
    <w:rsid w:val="44366C11"/>
    <w:rsid w:val="4447497A"/>
    <w:rsid w:val="444924A1"/>
    <w:rsid w:val="44687BB7"/>
    <w:rsid w:val="44800670"/>
    <w:rsid w:val="44974A0B"/>
    <w:rsid w:val="44A56CFE"/>
    <w:rsid w:val="44C318F1"/>
    <w:rsid w:val="44C67F95"/>
    <w:rsid w:val="44CE6E4A"/>
    <w:rsid w:val="44D0671E"/>
    <w:rsid w:val="44D5717E"/>
    <w:rsid w:val="44DF1057"/>
    <w:rsid w:val="44E11755"/>
    <w:rsid w:val="44E63476"/>
    <w:rsid w:val="44ED4010"/>
    <w:rsid w:val="44F763A1"/>
    <w:rsid w:val="44FB183E"/>
    <w:rsid w:val="44FE772F"/>
    <w:rsid w:val="45060392"/>
    <w:rsid w:val="451F0B58"/>
    <w:rsid w:val="45244CBC"/>
    <w:rsid w:val="452B7DF8"/>
    <w:rsid w:val="452D1DC2"/>
    <w:rsid w:val="4548374C"/>
    <w:rsid w:val="454B049A"/>
    <w:rsid w:val="4552496F"/>
    <w:rsid w:val="45560C5A"/>
    <w:rsid w:val="45570DD2"/>
    <w:rsid w:val="455E7D15"/>
    <w:rsid w:val="4568104C"/>
    <w:rsid w:val="45723C79"/>
    <w:rsid w:val="45725A27"/>
    <w:rsid w:val="4575370B"/>
    <w:rsid w:val="45763769"/>
    <w:rsid w:val="457B0D80"/>
    <w:rsid w:val="457B2B2E"/>
    <w:rsid w:val="45830DCE"/>
    <w:rsid w:val="45876A9C"/>
    <w:rsid w:val="45877724"/>
    <w:rsid w:val="458A0FC3"/>
    <w:rsid w:val="45912351"/>
    <w:rsid w:val="459260C9"/>
    <w:rsid w:val="459534C4"/>
    <w:rsid w:val="459F0A3B"/>
    <w:rsid w:val="45A81449"/>
    <w:rsid w:val="45BC6CA2"/>
    <w:rsid w:val="45C36283"/>
    <w:rsid w:val="45CA3668"/>
    <w:rsid w:val="45D264C6"/>
    <w:rsid w:val="45D456DA"/>
    <w:rsid w:val="45D73ADC"/>
    <w:rsid w:val="45DD7344"/>
    <w:rsid w:val="45FA6330"/>
    <w:rsid w:val="45FE72BB"/>
    <w:rsid w:val="460067D6"/>
    <w:rsid w:val="4611581C"/>
    <w:rsid w:val="463F7FFF"/>
    <w:rsid w:val="465529F4"/>
    <w:rsid w:val="465670F7"/>
    <w:rsid w:val="46780E1B"/>
    <w:rsid w:val="467A2DE5"/>
    <w:rsid w:val="46846E53"/>
    <w:rsid w:val="46862201"/>
    <w:rsid w:val="468C48C7"/>
    <w:rsid w:val="469043B7"/>
    <w:rsid w:val="46906827"/>
    <w:rsid w:val="469A3487"/>
    <w:rsid w:val="46A24080"/>
    <w:rsid w:val="46A71167"/>
    <w:rsid w:val="46A95479"/>
    <w:rsid w:val="46C16C66"/>
    <w:rsid w:val="46C95B1B"/>
    <w:rsid w:val="46D36999"/>
    <w:rsid w:val="46D5626E"/>
    <w:rsid w:val="46D77DCB"/>
    <w:rsid w:val="46EB5A91"/>
    <w:rsid w:val="46FD57C4"/>
    <w:rsid w:val="47024B89"/>
    <w:rsid w:val="47064679"/>
    <w:rsid w:val="47134FE8"/>
    <w:rsid w:val="47143894"/>
    <w:rsid w:val="47150D60"/>
    <w:rsid w:val="47242D51"/>
    <w:rsid w:val="472B0583"/>
    <w:rsid w:val="4732546E"/>
    <w:rsid w:val="473C453F"/>
    <w:rsid w:val="473F5DDD"/>
    <w:rsid w:val="473F7B8B"/>
    <w:rsid w:val="474A04B2"/>
    <w:rsid w:val="474B6530"/>
    <w:rsid w:val="474D22A8"/>
    <w:rsid w:val="47571378"/>
    <w:rsid w:val="475B51B6"/>
    <w:rsid w:val="476B1D80"/>
    <w:rsid w:val="4770243A"/>
    <w:rsid w:val="4779505F"/>
    <w:rsid w:val="478038B4"/>
    <w:rsid w:val="47887784"/>
    <w:rsid w:val="478F28C0"/>
    <w:rsid w:val="479E6FA7"/>
    <w:rsid w:val="47A10846"/>
    <w:rsid w:val="47A3011A"/>
    <w:rsid w:val="47A45C40"/>
    <w:rsid w:val="47B43CCD"/>
    <w:rsid w:val="47B57E4D"/>
    <w:rsid w:val="47B916EB"/>
    <w:rsid w:val="47BB36B5"/>
    <w:rsid w:val="47C22C96"/>
    <w:rsid w:val="47C702AC"/>
    <w:rsid w:val="47C87B80"/>
    <w:rsid w:val="47D2612C"/>
    <w:rsid w:val="47DE55F6"/>
    <w:rsid w:val="47EF335F"/>
    <w:rsid w:val="47F6649C"/>
    <w:rsid w:val="47FB1D04"/>
    <w:rsid w:val="47FE5900"/>
    <w:rsid w:val="480D7C89"/>
    <w:rsid w:val="48104F02"/>
    <w:rsid w:val="4812163A"/>
    <w:rsid w:val="4817400F"/>
    <w:rsid w:val="481E7D9D"/>
    <w:rsid w:val="48205C0E"/>
    <w:rsid w:val="48276F9D"/>
    <w:rsid w:val="482F5E51"/>
    <w:rsid w:val="48384D06"/>
    <w:rsid w:val="48410AAD"/>
    <w:rsid w:val="484F3DFE"/>
    <w:rsid w:val="4860600B"/>
    <w:rsid w:val="486755EB"/>
    <w:rsid w:val="486A0C38"/>
    <w:rsid w:val="487877F8"/>
    <w:rsid w:val="487955F9"/>
    <w:rsid w:val="487A4D01"/>
    <w:rsid w:val="487B395F"/>
    <w:rsid w:val="48806DC5"/>
    <w:rsid w:val="48855A71"/>
    <w:rsid w:val="488C32A4"/>
    <w:rsid w:val="489A3D75"/>
    <w:rsid w:val="48A04659"/>
    <w:rsid w:val="48B22D24"/>
    <w:rsid w:val="48B56357"/>
    <w:rsid w:val="48BD345D"/>
    <w:rsid w:val="48CB5B7A"/>
    <w:rsid w:val="48D92CFB"/>
    <w:rsid w:val="491A265E"/>
    <w:rsid w:val="491F1A22"/>
    <w:rsid w:val="491F7C74"/>
    <w:rsid w:val="492D458E"/>
    <w:rsid w:val="492E7EB7"/>
    <w:rsid w:val="492F57E6"/>
    <w:rsid w:val="493F2815"/>
    <w:rsid w:val="494178AD"/>
    <w:rsid w:val="495C3C26"/>
    <w:rsid w:val="496D09DF"/>
    <w:rsid w:val="49757894"/>
    <w:rsid w:val="49857155"/>
    <w:rsid w:val="498834B9"/>
    <w:rsid w:val="498875C7"/>
    <w:rsid w:val="499046CE"/>
    <w:rsid w:val="49A168DB"/>
    <w:rsid w:val="49B70B6D"/>
    <w:rsid w:val="49B760FE"/>
    <w:rsid w:val="49C32CF5"/>
    <w:rsid w:val="49C66341"/>
    <w:rsid w:val="49CA3AFE"/>
    <w:rsid w:val="49CA7BE0"/>
    <w:rsid w:val="49D02AB4"/>
    <w:rsid w:val="49D46CB0"/>
    <w:rsid w:val="49E51F2C"/>
    <w:rsid w:val="49E623C6"/>
    <w:rsid w:val="49EF3C34"/>
    <w:rsid w:val="49EF5898"/>
    <w:rsid w:val="49F119BE"/>
    <w:rsid w:val="49F44C5D"/>
    <w:rsid w:val="49F66C27"/>
    <w:rsid w:val="4A07762E"/>
    <w:rsid w:val="4A1452FF"/>
    <w:rsid w:val="4A1878A4"/>
    <w:rsid w:val="4A192915"/>
    <w:rsid w:val="4A281B27"/>
    <w:rsid w:val="4A34774F"/>
    <w:rsid w:val="4A4A7A36"/>
    <w:rsid w:val="4A4D7807"/>
    <w:rsid w:val="4A62250E"/>
    <w:rsid w:val="4A6242BC"/>
    <w:rsid w:val="4A6C513B"/>
    <w:rsid w:val="4A7D10F6"/>
    <w:rsid w:val="4A8F0E29"/>
    <w:rsid w:val="4A8F2BD7"/>
    <w:rsid w:val="4A91694F"/>
    <w:rsid w:val="4A9E066B"/>
    <w:rsid w:val="4AAE7501"/>
    <w:rsid w:val="4AB32D6A"/>
    <w:rsid w:val="4AC5484B"/>
    <w:rsid w:val="4AC952BF"/>
    <w:rsid w:val="4ADF590D"/>
    <w:rsid w:val="4AE03433"/>
    <w:rsid w:val="4AE45A67"/>
    <w:rsid w:val="4AEC627C"/>
    <w:rsid w:val="4AFD2237"/>
    <w:rsid w:val="4B047121"/>
    <w:rsid w:val="4B201A81"/>
    <w:rsid w:val="4B2E23F0"/>
    <w:rsid w:val="4B43686F"/>
    <w:rsid w:val="4B477453"/>
    <w:rsid w:val="4B4C0AC8"/>
    <w:rsid w:val="4B531E57"/>
    <w:rsid w:val="4B571947"/>
    <w:rsid w:val="4B581264"/>
    <w:rsid w:val="4B5C0D0B"/>
    <w:rsid w:val="4B6202EC"/>
    <w:rsid w:val="4B6A7489"/>
    <w:rsid w:val="4B6B71A0"/>
    <w:rsid w:val="4B731141"/>
    <w:rsid w:val="4B7818BD"/>
    <w:rsid w:val="4B840EE1"/>
    <w:rsid w:val="4B8D7A6F"/>
    <w:rsid w:val="4B9002A1"/>
    <w:rsid w:val="4B92472D"/>
    <w:rsid w:val="4B94223B"/>
    <w:rsid w:val="4B9506C1"/>
    <w:rsid w:val="4B9517FA"/>
    <w:rsid w:val="4BB072A9"/>
    <w:rsid w:val="4BBA0128"/>
    <w:rsid w:val="4BC476CE"/>
    <w:rsid w:val="4BCB5E91"/>
    <w:rsid w:val="4BCF5981"/>
    <w:rsid w:val="4BD05931"/>
    <w:rsid w:val="4BD42F98"/>
    <w:rsid w:val="4BD765E4"/>
    <w:rsid w:val="4BE11211"/>
    <w:rsid w:val="4BE233FC"/>
    <w:rsid w:val="4BE91E6C"/>
    <w:rsid w:val="4BEB5EDF"/>
    <w:rsid w:val="4BEE34D6"/>
    <w:rsid w:val="4BFE6267"/>
    <w:rsid w:val="4C0D0258"/>
    <w:rsid w:val="4C113007"/>
    <w:rsid w:val="4C26756B"/>
    <w:rsid w:val="4C2C0660"/>
    <w:rsid w:val="4C2F4E4F"/>
    <w:rsid w:val="4C335354"/>
    <w:rsid w:val="4C341C88"/>
    <w:rsid w:val="4C3B3017"/>
    <w:rsid w:val="4C5D11DF"/>
    <w:rsid w:val="4C5D62DF"/>
    <w:rsid w:val="4C63431C"/>
    <w:rsid w:val="4C6F4332"/>
    <w:rsid w:val="4C7C5DB0"/>
    <w:rsid w:val="4C837A5C"/>
    <w:rsid w:val="4C887B83"/>
    <w:rsid w:val="4C8B197D"/>
    <w:rsid w:val="4C9E35A6"/>
    <w:rsid w:val="4CA90EBC"/>
    <w:rsid w:val="4CAC5CC3"/>
    <w:rsid w:val="4CB22BAD"/>
    <w:rsid w:val="4CBB4158"/>
    <w:rsid w:val="4CBE77A4"/>
    <w:rsid w:val="4CCE3E8B"/>
    <w:rsid w:val="4CE865CF"/>
    <w:rsid w:val="4CF3569F"/>
    <w:rsid w:val="4D1A70D0"/>
    <w:rsid w:val="4D2025A6"/>
    <w:rsid w:val="4D2717ED"/>
    <w:rsid w:val="4D2910C1"/>
    <w:rsid w:val="4D2B4E39"/>
    <w:rsid w:val="4D2E492A"/>
    <w:rsid w:val="4D35333C"/>
    <w:rsid w:val="4D381304"/>
    <w:rsid w:val="4D3B5431"/>
    <w:rsid w:val="4D3B6BB3"/>
    <w:rsid w:val="4D3D13EC"/>
    <w:rsid w:val="4D445EFB"/>
    <w:rsid w:val="4D551EB6"/>
    <w:rsid w:val="4D553C64"/>
    <w:rsid w:val="4D64659D"/>
    <w:rsid w:val="4D7367E0"/>
    <w:rsid w:val="4D7C1978"/>
    <w:rsid w:val="4D801DCA"/>
    <w:rsid w:val="4D814F19"/>
    <w:rsid w:val="4D8D5CF2"/>
    <w:rsid w:val="4D8E53C8"/>
    <w:rsid w:val="4D930C30"/>
    <w:rsid w:val="4DB017E2"/>
    <w:rsid w:val="4DB0533F"/>
    <w:rsid w:val="4DB253E2"/>
    <w:rsid w:val="4DB43081"/>
    <w:rsid w:val="4DD3727F"/>
    <w:rsid w:val="4DE011C0"/>
    <w:rsid w:val="4E0A501E"/>
    <w:rsid w:val="4E3441C2"/>
    <w:rsid w:val="4E39718C"/>
    <w:rsid w:val="4E3A7BBE"/>
    <w:rsid w:val="4E4406E6"/>
    <w:rsid w:val="4E4F4B57"/>
    <w:rsid w:val="4E515AED"/>
    <w:rsid w:val="4E5403C0"/>
    <w:rsid w:val="4E5B5D9D"/>
    <w:rsid w:val="4E612ADD"/>
    <w:rsid w:val="4E630791"/>
    <w:rsid w:val="4E6600F3"/>
    <w:rsid w:val="4E663720"/>
    <w:rsid w:val="4E6C395B"/>
    <w:rsid w:val="4E712D20"/>
    <w:rsid w:val="4E7514FF"/>
    <w:rsid w:val="4E9702AC"/>
    <w:rsid w:val="4E9C3B15"/>
    <w:rsid w:val="4E9E163B"/>
    <w:rsid w:val="4EB259BC"/>
    <w:rsid w:val="4EB66985"/>
    <w:rsid w:val="4EC015B1"/>
    <w:rsid w:val="4ED908C5"/>
    <w:rsid w:val="4EE47996"/>
    <w:rsid w:val="4EED1BAD"/>
    <w:rsid w:val="4EED3CA3"/>
    <w:rsid w:val="4EF37BD9"/>
    <w:rsid w:val="4EF43951"/>
    <w:rsid w:val="4EF61477"/>
    <w:rsid w:val="4EFE2294"/>
    <w:rsid w:val="4EFE6C40"/>
    <w:rsid w:val="4F0A6CD0"/>
    <w:rsid w:val="4F133164"/>
    <w:rsid w:val="4F19223A"/>
    <w:rsid w:val="4F367CAA"/>
    <w:rsid w:val="4F3F6F5E"/>
    <w:rsid w:val="4F490DEC"/>
    <w:rsid w:val="4F4915A7"/>
    <w:rsid w:val="4F532425"/>
    <w:rsid w:val="4F5B7535"/>
    <w:rsid w:val="4F6F623D"/>
    <w:rsid w:val="4F756840"/>
    <w:rsid w:val="4F766114"/>
    <w:rsid w:val="4F806F93"/>
    <w:rsid w:val="4F836FD1"/>
    <w:rsid w:val="4F844CD5"/>
    <w:rsid w:val="4F9B065C"/>
    <w:rsid w:val="4F9F38BD"/>
    <w:rsid w:val="4F9F6750"/>
    <w:rsid w:val="4FA03191"/>
    <w:rsid w:val="4FA669F9"/>
    <w:rsid w:val="4FB530E0"/>
    <w:rsid w:val="4FBD6770"/>
    <w:rsid w:val="4FC74BC1"/>
    <w:rsid w:val="4FC96B8B"/>
    <w:rsid w:val="4FDA0C18"/>
    <w:rsid w:val="4FDA2B47"/>
    <w:rsid w:val="4FDC066D"/>
    <w:rsid w:val="4FE52EC5"/>
    <w:rsid w:val="4FE65048"/>
    <w:rsid w:val="4FE87012"/>
    <w:rsid w:val="4FF529BA"/>
    <w:rsid w:val="4FFB03BC"/>
    <w:rsid w:val="50037B8F"/>
    <w:rsid w:val="50083210"/>
    <w:rsid w:val="50286811"/>
    <w:rsid w:val="502B33A2"/>
    <w:rsid w:val="50342257"/>
    <w:rsid w:val="504F0CF7"/>
    <w:rsid w:val="505446A7"/>
    <w:rsid w:val="50715259"/>
    <w:rsid w:val="507E50D8"/>
    <w:rsid w:val="508310DE"/>
    <w:rsid w:val="508A1E77"/>
    <w:rsid w:val="508C2093"/>
    <w:rsid w:val="508F56DF"/>
    <w:rsid w:val="50986A9B"/>
    <w:rsid w:val="509B4084"/>
    <w:rsid w:val="50B46C20"/>
    <w:rsid w:val="50B60EBE"/>
    <w:rsid w:val="50C03AEB"/>
    <w:rsid w:val="50C8299F"/>
    <w:rsid w:val="50CF1F80"/>
    <w:rsid w:val="50F54E92"/>
    <w:rsid w:val="50F9524E"/>
    <w:rsid w:val="511B3417"/>
    <w:rsid w:val="512C5D61"/>
    <w:rsid w:val="512E169E"/>
    <w:rsid w:val="515801C7"/>
    <w:rsid w:val="515F1555"/>
    <w:rsid w:val="517344B8"/>
    <w:rsid w:val="517513E4"/>
    <w:rsid w:val="518014CC"/>
    <w:rsid w:val="51805200"/>
    <w:rsid w:val="51844B18"/>
    <w:rsid w:val="519D5BDA"/>
    <w:rsid w:val="51A303A1"/>
    <w:rsid w:val="51A8334E"/>
    <w:rsid w:val="51A927D1"/>
    <w:rsid w:val="51B51175"/>
    <w:rsid w:val="51E101BC"/>
    <w:rsid w:val="51EA5CCC"/>
    <w:rsid w:val="51F16B3D"/>
    <w:rsid w:val="51F7178E"/>
    <w:rsid w:val="52151C14"/>
    <w:rsid w:val="522105B9"/>
    <w:rsid w:val="52260855"/>
    <w:rsid w:val="52262073"/>
    <w:rsid w:val="523B15FF"/>
    <w:rsid w:val="52410C5B"/>
    <w:rsid w:val="5244074B"/>
    <w:rsid w:val="52451A44"/>
    <w:rsid w:val="52466271"/>
    <w:rsid w:val="52481FEA"/>
    <w:rsid w:val="525119D9"/>
    <w:rsid w:val="52554706"/>
    <w:rsid w:val="5257222D"/>
    <w:rsid w:val="52826A4A"/>
    <w:rsid w:val="52974D1F"/>
    <w:rsid w:val="52A90188"/>
    <w:rsid w:val="52B81006"/>
    <w:rsid w:val="52C016A5"/>
    <w:rsid w:val="52C22179"/>
    <w:rsid w:val="52CF6267"/>
    <w:rsid w:val="52D95337"/>
    <w:rsid w:val="52DE46FC"/>
    <w:rsid w:val="53015216"/>
    <w:rsid w:val="5302488E"/>
    <w:rsid w:val="53117F78"/>
    <w:rsid w:val="53150458"/>
    <w:rsid w:val="531D5224"/>
    <w:rsid w:val="531F5D4D"/>
    <w:rsid w:val="53312A7E"/>
    <w:rsid w:val="53530C46"/>
    <w:rsid w:val="536015B5"/>
    <w:rsid w:val="536C1D08"/>
    <w:rsid w:val="536C7F5A"/>
    <w:rsid w:val="538306F2"/>
    <w:rsid w:val="538A6632"/>
    <w:rsid w:val="538C05FC"/>
    <w:rsid w:val="53966D85"/>
    <w:rsid w:val="539756DB"/>
    <w:rsid w:val="539D6365"/>
    <w:rsid w:val="53A94D0A"/>
    <w:rsid w:val="53AB6CD4"/>
    <w:rsid w:val="53B108C7"/>
    <w:rsid w:val="53BC2E44"/>
    <w:rsid w:val="53BD07B5"/>
    <w:rsid w:val="53DF697E"/>
    <w:rsid w:val="53E91790"/>
    <w:rsid w:val="53F029E0"/>
    <w:rsid w:val="53F1045F"/>
    <w:rsid w:val="53F421C2"/>
    <w:rsid w:val="53F7268F"/>
    <w:rsid w:val="53F817ED"/>
    <w:rsid w:val="53FC7BA5"/>
    <w:rsid w:val="5402266C"/>
    <w:rsid w:val="540666A7"/>
    <w:rsid w:val="54136627"/>
    <w:rsid w:val="542425E2"/>
    <w:rsid w:val="544515DD"/>
    <w:rsid w:val="54491A54"/>
    <w:rsid w:val="54544E81"/>
    <w:rsid w:val="545C3B2A"/>
    <w:rsid w:val="545D78A2"/>
    <w:rsid w:val="545F186C"/>
    <w:rsid w:val="54737723"/>
    <w:rsid w:val="54790B80"/>
    <w:rsid w:val="547F3670"/>
    <w:rsid w:val="54857525"/>
    <w:rsid w:val="548807D8"/>
    <w:rsid w:val="548B08B3"/>
    <w:rsid w:val="54921C42"/>
    <w:rsid w:val="549332C4"/>
    <w:rsid w:val="54AB6860"/>
    <w:rsid w:val="54B949B6"/>
    <w:rsid w:val="54D758A7"/>
    <w:rsid w:val="54DF6509"/>
    <w:rsid w:val="54E51D72"/>
    <w:rsid w:val="54E83610"/>
    <w:rsid w:val="54EF0E42"/>
    <w:rsid w:val="54EF499E"/>
    <w:rsid w:val="54FF3EA3"/>
    <w:rsid w:val="55001E74"/>
    <w:rsid w:val="551D4937"/>
    <w:rsid w:val="552324BF"/>
    <w:rsid w:val="55236D3E"/>
    <w:rsid w:val="552705DC"/>
    <w:rsid w:val="55287EB0"/>
    <w:rsid w:val="55306D65"/>
    <w:rsid w:val="55320D2F"/>
    <w:rsid w:val="553E5926"/>
    <w:rsid w:val="554C3BC2"/>
    <w:rsid w:val="554D5B69"/>
    <w:rsid w:val="55592760"/>
    <w:rsid w:val="55627866"/>
    <w:rsid w:val="55641EE5"/>
    <w:rsid w:val="55690BF5"/>
    <w:rsid w:val="556A671B"/>
    <w:rsid w:val="556D03CA"/>
    <w:rsid w:val="556D490E"/>
    <w:rsid w:val="557430F6"/>
    <w:rsid w:val="557B6EFE"/>
    <w:rsid w:val="55801A9A"/>
    <w:rsid w:val="55853555"/>
    <w:rsid w:val="55855303"/>
    <w:rsid w:val="558772CD"/>
    <w:rsid w:val="55884742"/>
    <w:rsid w:val="5596040F"/>
    <w:rsid w:val="55A25392"/>
    <w:rsid w:val="55B44E2B"/>
    <w:rsid w:val="55BA1450"/>
    <w:rsid w:val="55BD4A9D"/>
    <w:rsid w:val="55CA0F67"/>
    <w:rsid w:val="55E42029"/>
    <w:rsid w:val="55EA3332"/>
    <w:rsid w:val="55EC274D"/>
    <w:rsid w:val="55FF6E63"/>
    <w:rsid w:val="560B59D8"/>
    <w:rsid w:val="560E52F8"/>
    <w:rsid w:val="56145A21"/>
    <w:rsid w:val="561D19DF"/>
    <w:rsid w:val="5621327D"/>
    <w:rsid w:val="56280FD9"/>
    <w:rsid w:val="56310FE7"/>
    <w:rsid w:val="563610CC"/>
    <w:rsid w:val="563A433F"/>
    <w:rsid w:val="563B3C13"/>
    <w:rsid w:val="564A7FD0"/>
    <w:rsid w:val="564E1B99"/>
    <w:rsid w:val="56617B1E"/>
    <w:rsid w:val="566B274A"/>
    <w:rsid w:val="567C6706"/>
    <w:rsid w:val="56967D56"/>
    <w:rsid w:val="56A30136"/>
    <w:rsid w:val="56E30533"/>
    <w:rsid w:val="570109B9"/>
    <w:rsid w:val="571132F2"/>
    <w:rsid w:val="572823EA"/>
    <w:rsid w:val="572D17AE"/>
    <w:rsid w:val="572F0CE8"/>
    <w:rsid w:val="574436DA"/>
    <w:rsid w:val="57482A8C"/>
    <w:rsid w:val="57524261"/>
    <w:rsid w:val="575431DF"/>
    <w:rsid w:val="576C6981"/>
    <w:rsid w:val="577675F9"/>
    <w:rsid w:val="578F2469"/>
    <w:rsid w:val="57925AB5"/>
    <w:rsid w:val="57A04676"/>
    <w:rsid w:val="57A433F0"/>
    <w:rsid w:val="57B343A9"/>
    <w:rsid w:val="57B63E99"/>
    <w:rsid w:val="57C91C94"/>
    <w:rsid w:val="57D63ECC"/>
    <w:rsid w:val="57E24C8E"/>
    <w:rsid w:val="57F624E8"/>
    <w:rsid w:val="57F86260"/>
    <w:rsid w:val="57FB18AC"/>
    <w:rsid w:val="57FE7699"/>
    <w:rsid w:val="580D42E8"/>
    <w:rsid w:val="58155C60"/>
    <w:rsid w:val="58156E12"/>
    <w:rsid w:val="582025E1"/>
    <w:rsid w:val="58262DCD"/>
    <w:rsid w:val="5829296E"/>
    <w:rsid w:val="5832583F"/>
    <w:rsid w:val="583354EA"/>
    <w:rsid w:val="58337298"/>
    <w:rsid w:val="58495635"/>
    <w:rsid w:val="58533496"/>
    <w:rsid w:val="58707689"/>
    <w:rsid w:val="587358E6"/>
    <w:rsid w:val="58761D2A"/>
    <w:rsid w:val="58845D45"/>
    <w:rsid w:val="58A12453"/>
    <w:rsid w:val="58A61818"/>
    <w:rsid w:val="58AB1524"/>
    <w:rsid w:val="58C6432E"/>
    <w:rsid w:val="58D75E75"/>
    <w:rsid w:val="590D5D3B"/>
    <w:rsid w:val="590F1AB3"/>
    <w:rsid w:val="59172716"/>
    <w:rsid w:val="591F450D"/>
    <w:rsid w:val="592E180D"/>
    <w:rsid w:val="593E7CA2"/>
    <w:rsid w:val="594F3C5E"/>
    <w:rsid w:val="596516D3"/>
    <w:rsid w:val="597731B4"/>
    <w:rsid w:val="5988716F"/>
    <w:rsid w:val="59973856"/>
    <w:rsid w:val="59981AA8"/>
    <w:rsid w:val="59997C98"/>
    <w:rsid w:val="59A33FA9"/>
    <w:rsid w:val="59AD4E28"/>
    <w:rsid w:val="59BB12F3"/>
    <w:rsid w:val="59BB5797"/>
    <w:rsid w:val="59BF6AD5"/>
    <w:rsid w:val="59C503C4"/>
    <w:rsid w:val="59C86293"/>
    <w:rsid w:val="59D56398"/>
    <w:rsid w:val="59D65269"/>
    <w:rsid w:val="59DB3743"/>
    <w:rsid w:val="59E704E6"/>
    <w:rsid w:val="59EC5950"/>
    <w:rsid w:val="59F42A57"/>
    <w:rsid w:val="59FD7B5D"/>
    <w:rsid w:val="59FE5684"/>
    <w:rsid w:val="5A00764E"/>
    <w:rsid w:val="5A0A3C4C"/>
    <w:rsid w:val="5A253416"/>
    <w:rsid w:val="5A2E7D17"/>
    <w:rsid w:val="5A3115B5"/>
    <w:rsid w:val="5A446991"/>
    <w:rsid w:val="5A47527D"/>
    <w:rsid w:val="5A612F7B"/>
    <w:rsid w:val="5A6B0F6B"/>
    <w:rsid w:val="5A753B98"/>
    <w:rsid w:val="5A76346C"/>
    <w:rsid w:val="5A821E11"/>
    <w:rsid w:val="5A843DDB"/>
    <w:rsid w:val="5A934935"/>
    <w:rsid w:val="5A9658BC"/>
    <w:rsid w:val="5AB27EC3"/>
    <w:rsid w:val="5AC16DDD"/>
    <w:rsid w:val="5AD85ED5"/>
    <w:rsid w:val="5AE12FDB"/>
    <w:rsid w:val="5AF727FF"/>
    <w:rsid w:val="5AFA409D"/>
    <w:rsid w:val="5B044F1C"/>
    <w:rsid w:val="5B0E34EB"/>
    <w:rsid w:val="5B341EE4"/>
    <w:rsid w:val="5B3752F1"/>
    <w:rsid w:val="5B3B10E1"/>
    <w:rsid w:val="5B3F5F54"/>
    <w:rsid w:val="5B6921F4"/>
    <w:rsid w:val="5B7B3430"/>
    <w:rsid w:val="5B885B4D"/>
    <w:rsid w:val="5B8D4F11"/>
    <w:rsid w:val="5BA81D4B"/>
    <w:rsid w:val="5BB94C28"/>
    <w:rsid w:val="5BC96332"/>
    <w:rsid w:val="5BD13050"/>
    <w:rsid w:val="5BD3501A"/>
    <w:rsid w:val="5BD963A8"/>
    <w:rsid w:val="5BE10DB9"/>
    <w:rsid w:val="5BEA4111"/>
    <w:rsid w:val="5BF77C5C"/>
    <w:rsid w:val="5C001B87"/>
    <w:rsid w:val="5C013225"/>
    <w:rsid w:val="5C1B251D"/>
    <w:rsid w:val="5C2D5D12"/>
    <w:rsid w:val="5C4314E6"/>
    <w:rsid w:val="5C442095"/>
    <w:rsid w:val="5C4D5CD8"/>
    <w:rsid w:val="5C5039F4"/>
    <w:rsid w:val="5C522CA9"/>
    <w:rsid w:val="5C7F2AAC"/>
    <w:rsid w:val="5C837F16"/>
    <w:rsid w:val="5C846314"/>
    <w:rsid w:val="5C853E3A"/>
    <w:rsid w:val="5C8C6F77"/>
    <w:rsid w:val="5C8F45B4"/>
    <w:rsid w:val="5C902F0B"/>
    <w:rsid w:val="5CCB7A9F"/>
    <w:rsid w:val="5CCF56FC"/>
    <w:rsid w:val="5CE2467B"/>
    <w:rsid w:val="5CFD6AA8"/>
    <w:rsid w:val="5D0631CD"/>
    <w:rsid w:val="5D067842"/>
    <w:rsid w:val="5D096819"/>
    <w:rsid w:val="5D172CE4"/>
    <w:rsid w:val="5D335644"/>
    <w:rsid w:val="5D3F048D"/>
    <w:rsid w:val="5D4B0BE0"/>
    <w:rsid w:val="5D4E0DA8"/>
    <w:rsid w:val="5D5A7075"/>
    <w:rsid w:val="5D5B76BD"/>
    <w:rsid w:val="5D6677C8"/>
    <w:rsid w:val="5D6921F0"/>
    <w:rsid w:val="5D6972B8"/>
    <w:rsid w:val="5D6A08A3"/>
    <w:rsid w:val="5D700646"/>
    <w:rsid w:val="5D8F6D1E"/>
    <w:rsid w:val="5D942587"/>
    <w:rsid w:val="5DA36A06"/>
    <w:rsid w:val="5DA402F0"/>
    <w:rsid w:val="5DA65E67"/>
    <w:rsid w:val="5DAB5B22"/>
    <w:rsid w:val="5DB20C5F"/>
    <w:rsid w:val="5DB20E44"/>
    <w:rsid w:val="5DBF57AC"/>
    <w:rsid w:val="5DC32E6C"/>
    <w:rsid w:val="5DC664B8"/>
    <w:rsid w:val="5DCA41FA"/>
    <w:rsid w:val="5DD010E5"/>
    <w:rsid w:val="5DD5494D"/>
    <w:rsid w:val="5DDE026E"/>
    <w:rsid w:val="5DE66B5A"/>
    <w:rsid w:val="5DF655A8"/>
    <w:rsid w:val="5DFD637E"/>
    <w:rsid w:val="5E005E6E"/>
    <w:rsid w:val="5E062D59"/>
    <w:rsid w:val="5E1216FE"/>
    <w:rsid w:val="5E137ED9"/>
    <w:rsid w:val="5E20206C"/>
    <w:rsid w:val="5E240216"/>
    <w:rsid w:val="5E2E0A91"/>
    <w:rsid w:val="5E331DA0"/>
    <w:rsid w:val="5E3D2C1E"/>
    <w:rsid w:val="5E4775F9"/>
    <w:rsid w:val="5E563CE0"/>
    <w:rsid w:val="5E565A8E"/>
    <w:rsid w:val="5E5E7B70"/>
    <w:rsid w:val="5E693A13"/>
    <w:rsid w:val="5E8156D4"/>
    <w:rsid w:val="5E875C48"/>
    <w:rsid w:val="5E8C3D0D"/>
    <w:rsid w:val="5E8C4BEE"/>
    <w:rsid w:val="5E8D17F3"/>
    <w:rsid w:val="5E932593"/>
    <w:rsid w:val="5E99597B"/>
    <w:rsid w:val="5EAA36C3"/>
    <w:rsid w:val="5EB10F16"/>
    <w:rsid w:val="5EBB1D95"/>
    <w:rsid w:val="5EC46E9C"/>
    <w:rsid w:val="5ED15115"/>
    <w:rsid w:val="5EDA046D"/>
    <w:rsid w:val="5EF86B45"/>
    <w:rsid w:val="5F13701F"/>
    <w:rsid w:val="5F1F0576"/>
    <w:rsid w:val="5F313E05"/>
    <w:rsid w:val="5F37703F"/>
    <w:rsid w:val="5F3A7FC8"/>
    <w:rsid w:val="5F41229A"/>
    <w:rsid w:val="5F4804F1"/>
    <w:rsid w:val="5F4973A1"/>
    <w:rsid w:val="5F4B06F8"/>
    <w:rsid w:val="5F4C0C3F"/>
    <w:rsid w:val="5F610B8F"/>
    <w:rsid w:val="5F666631"/>
    <w:rsid w:val="5F6E6B9E"/>
    <w:rsid w:val="5F750196"/>
    <w:rsid w:val="5F774396"/>
    <w:rsid w:val="5F8B415F"/>
    <w:rsid w:val="5F93686E"/>
    <w:rsid w:val="5F9A7BFD"/>
    <w:rsid w:val="5FA665A1"/>
    <w:rsid w:val="5FA97E40"/>
    <w:rsid w:val="5FAB7A12"/>
    <w:rsid w:val="5FAD5B82"/>
    <w:rsid w:val="5FAF36A8"/>
    <w:rsid w:val="5FB45162"/>
    <w:rsid w:val="5FB92779"/>
    <w:rsid w:val="5FBC04FE"/>
    <w:rsid w:val="5FBF1411"/>
    <w:rsid w:val="5FCF3D4A"/>
    <w:rsid w:val="5FE01AB3"/>
    <w:rsid w:val="5FEA0B84"/>
    <w:rsid w:val="5FF7215C"/>
    <w:rsid w:val="60003F04"/>
    <w:rsid w:val="600339F4"/>
    <w:rsid w:val="601654D5"/>
    <w:rsid w:val="60251BBC"/>
    <w:rsid w:val="60324E7D"/>
    <w:rsid w:val="60392F9E"/>
    <w:rsid w:val="6071095D"/>
    <w:rsid w:val="60714E01"/>
    <w:rsid w:val="60730B79"/>
    <w:rsid w:val="607B7A2E"/>
    <w:rsid w:val="607E307A"/>
    <w:rsid w:val="608508AD"/>
    <w:rsid w:val="6098413C"/>
    <w:rsid w:val="609B4B9B"/>
    <w:rsid w:val="60A0036C"/>
    <w:rsid w:val="60A96349"/>
    <w:rsid w:val="60B72067"/>
    <w:rsid w:val="60B847DE"/>
    <w:rsid w:val="60DA0BF8"/>
    <w:rsid w:val="60E47381"/>
    <w:rsid w:val="60EE5136"/>
    <w:rsid w:val="60EE7713"/>
    <w:rsid w:val="60EF0297"/>
    <w:rsid w:val="60F26F59"/>
    <w:rsid w:val="61047A23"/>
    <w:rsid w:val="61092146"/>
    <w:rsid w:val="611B30E3"/>
    <w:rsid w:val="611F2AAF"/>
    <w:rsid w:val="61204131"/>
    <w:rsid w:val="61273712"/>
    <w:rsid w:val="612B4FB0"/>
    <w:rsid w:val="614918DA"/>
    <w:rsid w:val="614A5956"/>
    <w:rsid w:val="614B7400"/>
    <w:rsid w:val="61500EBB"/>
    <w:rsid w:val="61572249"/>
    <w:rsid w:val="61750921"/>
    <w:rsid w:val="61767CE3"/>
    <w:rsid w:val="618D5C6B"/>
    <w:rsid w:val="618F19E3"/>
    <w:rsid w:val="61B9080E"/>
    <w:rsid w:val="61BF394A"/>
    <w:rsid w:val="61CE0EE5"/>
    <w:rsid w:val="61D7524C"/>
    <w:rsid w:val="61F47A98"/>
    <w:rsid w:val="62045801"/>
    <w:rsid w:val="620D6DAC"/>
    <w:rsid w:val="623065F6"/>
    <w:rsid w:val="623B7475"/>
    <w:rsid w:val="6247406C"/>
    <w:rsid w:val="62614A02"/>
    <w:rsid w:val="62917095"/>
    <w:rsid w:val="629372B1"/>
    <w:rsid w:val="629D1EDE"/>
    <w:rsid w:val="62BC5A0C"/>
    <w:rsid w:val="62C31218"/>
    <w:rsid w:val="62C55A02"/>
    <w:rsid w:val="62CA5084"/>
    <w:rsid w:val="62D32576"/>
    <w:rsid w:val="62E1219A"/>
    <w:rsid w:val="62E50DCE"/>
    <w:rsid w:val="62EA7BC4"/>
    <w:rsid w:val="62F44021"/>
    <w:rsid w:val="62FE1337"/>
    <w:rsid w:val="63027F93"/>
    <w:rsid w:val="63051831"/>
    <w:rsid w:val="630A6E47"/>
    <w:rsid w:val="631E203E"/>
    <w:rsid w:val="63361E76"/>
    <w:rsid w:val="634405AB"/>
    <w:rsid w:val="63441EB0"/>
    <w:rsid w:val="63493E13"/>
    <w:rsid w:val="63501494"/>
    <w:rsid w:val="636D23E7"/>
    <w:rsid w:val="638C5AAE"/>
    <w:rsid w:val="63A252D2"/>
    <w:rsid w:val="63A34404"/>
    <w:rsid w:val="63B1334D"/>
    <w:rsid w:val="63B773AF"/>
    <w:rsid w:val="63BD05A6"/>
    <w:rsid w:val="63BD3EBA"/>
    <w:rsid w:val="63D51247"/>
    <w:rsid w:val="63E851F4"/>
    <w:rsid w:val="63F25DC5"/>
    <w:rsid w:val="63F45694"/>
    <w:rsid w:val="63FB3908"/>
    <w:rsid w:val="63FF44D2"/>
    <w:rsid w:val="64284983"/>
    <w:rsid w:val="642F125B"/>
    <w:rsid w:val="643465D9"/>
    <w:rsid w:val="64357EF4"/>
    <w:rsid w:val="64370110"/>
    <w:rsid w:val="643A375C"/>
    <w:rsid w:val="643C1282"/>
    <w:rsid w:val="644C7266"/>
    <w:rsid w:val="64597E7D"/>
    <w:rsid w:val="645E0594"/>
    <w:rsid w:val="64634A61"/>
    <w:rsid w:val="649D17D9"/>
    <w:rsid w:val="64A659A7"/>
    <w:rsid w:val="64B96D77"/>
    <w:rsid w:val="64C179D9"/>
    <w:rsid w:val="64C5396E"/>
    <w:rsid w:val="64D15E6F"/>
    <w:rsid w:val="64D579C6"/>
    <w:rsid w:val="64D63485"/>
    <w:rsid w:val="64D67929"/>
    <w:rsid w:val="65056B91"/>
    <w:rsid w:val="650B01A2"/>
    <w:rsid w:val="650C50F9"/>
    <w:rsid w:val="651E4B62"/>
    <w:rsid w:val="6523084E"/>
    <w:rsid w:val="65242442"/>
    <w:rsid w:val="652C7549"/>
    <w:rsid w:val="653D1756"/>
    <w:rsid w:val="65474383"/>
    <w:rsid w:val="6549634D"/>
    <w:rsid w:val="654B3E73"/>
    <w:rsid w:val="65504D02"/>
    <w:rsid w:val="655266E4"/>
    <w:rsid w:val="656960A7"/>
    <w:rsid w:val="657B5F8E"/>
    <w:rsid w:val="659375C8"/>
    <w:rsid w:val="659770B8"/>
    <w:rsid w:val="6597783B"/>
    <w:rsid w:val="659B647C"/>
    <w:rsid w:val="65AC2438"/>
    <w:rsid w:val="65B35574"/>
    <w:rsid w:val="65D75707"/>
    <w:rsid w:val="65D774B5"/>
    <w:rsid w:val="65D8147F"/>
    <w:rsid w:val="65E72634"/>
    <w:rsid w:val="65F664EB"/>
    <w:rsid w:val="65FC6F1B"/>
    <w:rsid w:val="66077F48"/>
    <w:rsid w:val="660A5ADC"/>
    <w:rsid w:val="66221974"/>
    <w:rsid w:val="662E7BD7"/>
    <w:rsid w:val="662F6938"/>
    <w:rsid w:val="66320B8F"/>
    <w:rsid w:val="663A7135"/>
    <w:rsid w:val="66434B4A"/>
    <w:rsid w:val="66560D21"/>
    <w:rsid w:val="665E3732"/>
    <w:rsid w:val="666260FB"/>
    <w:rsid w:val="66630D48"/>
    <w:rsid w:val="66660838"/>
    <w:rsid w:val="666920D7"/>
    <w:rsid w:val="666D1BC7"/>
    <w:rsid w:val="667B14F1"/>
    <w:rsid w:val="66862C89"/>
    <w:rsid w:val="66882EA5"/>
    <w:rsid w:val="668B0780"/>
    <w:rsid w:val="668D04BB"/>
    <w:rsid w:val="668E5921"/>
    <w:rsid w:val="66901C8E"/>
    <w:rsid w:val="66AF3F8D"/>
    <w:rsid w:val="66B127A6"/>
    <w:rsid w:val="66BC66AA"/>
    <w:rsid w:val="66C37A39"/>
    <w:rsid w:val="66CD6B09"/>
    <w:rsid w:val="66E63727"/>
    <w:rsid w:val="66F44096"/>
    <w:rsid w:val="67043C7A"/>
    <w:rsid w:val="670B5FBB"/>
    <w:rsid w:val="6712276E"/>
    <w:rsid w:val="67223B77"/>
    <w:rsid w:val="672F3320"/>
    <w:rsid w:val="67310E46"/>
    <w:rsid w:val="674566A0"/>
    <w:rsid w:val="67534942"/>
    <w:rsid w:val="676034DA"/>
    <w:rsid w:val="676B1407"/>
    <w:rsid w:val="67732BC2"/>
    <w:rsid w:val="67803B7C"/>
    <w:rsid w:val="678713F7"/>
    <w:rsid w:val="67890C82"/>
    <w:rsid w:val="678C598F"/>
    <w:rsid w:val="678E6299"/>
    <w:rsid w:val="679372F1"/>
    <w:rsid w:val="679D472E"/>
    <w:rsid w:val="67AB159E"/>
    <w:rsid w:val="67D6379C"/>
    <w:rsid w:val="67EB7247"/>
    <w:rsid w:val="67FB3202"/>
    <w:rsid w:val="67FF2CF3"/>
    <w:rsid w:val="68057461"/>
    <w:rsid w:val="6808352E"/>
    <w:rsid w:val="680E73DA"/>
    <w:rsid w:val="681A18DB"/>
    <w:rsid w:val="681A5D7E"/>
    <w:rsid w:val="683F7593"/>
    <w:rsid w:val="68427338"/>
    <w:rsid w:val="68447540"/>
    <w:rsid w:val="68464AE6"/>
    <w:rsid w:val="684921C0"/>
    <w:rsid w:val="68563069"/>
    <w:rsid w:val="685C0145"/>
    <w:rsid w:val="685D30B1"/>
    <w:rsid w:val="686B0388"/>
    <w:rsid w:val="686B1BE4"/>
    <w:rsid w:val="686B65DA"/>
    <w:rsid w:val="687E5B8B"/>
    <w:rsid w:val="68907DEF"/>
    <w:rsid w:val="68994EF5"/>
    <w:rsid w:val="68B14B5C"/>
    <w:rsid w:val="68B24209"/>
    <w:rsid w:val="68B80943"/>
    <w:rsid w:val="68C4795E"/>
    <w:rsid w:val="68CD2DF1"/>
    <w:rsid w:val="68D26659"/>
    <w:rsid w:val="68D56296"/>
    <w:rsid w:val="68E814ED"/>
    <w:rsid w:val="68ED37CA"/>
    <w:rsid w:val="68F00A95"/>
    <w:rsid w:val="68FD36D6"/>
    <w:rsid w:val="69034A64"/>
    <w:rsid w:val="69182073"/>
    <w:rsid w:val="692410C6"/>
    <w:rsid w:val="69286279"/>
    <w:rsid w:val="692A1FF1"/>
    <w:rsid w:val="692E6E22"/>
    <w:rsid w:val="693370F8"/>
    <w:rsid w:val="69342E70"/>
    <w:rsid w:val="693B2280"/>
    <w:rsid w:val="693D1D24"/>
    <w:rsid w:val="69450332"/>
    <w:rsid w:val="694F3806"/>
    <w:rsid w:val="6954264D"/>
    <w:rsid w:val="695B664F"/>
    <w:rsid w:val="695B7FAD"/>
    <w:rsid w:val="695C667F"/>
    <w:rsid w:val="696F72C8"/>
    <w:rsid w:val="69731BEA"/>
    <w:rsid w:val="69823BDB"/>
    <w:rsid w:val="698F34F6"/>
    <w:rsid w:val="699833C0"/>
    <w:rsid w:val="69A14E6A"/>
    <w:rsid w:val="69A51678"/>
    <w:rsid w:val="69AC0C81"/>
    <w:rsid w:val="69AF2172"/>
    <w:rsid w:val="69BC3852"/>
    <w:rsid w:val="69C45FA2"/>
    <w:rsid w:val="69D34437"/>
    <w:rsid w:val="69DB63B6"/>
    <w:rsid w:val="69E71C90"/>
    <w:rsid w:val="69F60125"/>
    <w:rsid w:val="6A002D52"/>
    <w:rsid w:val="6A0B1E23"/>
    <w:rsid w:val="6A1707C7"/>
    <w:rsid w:val="6A1A02B8"/>
    <w:rsid w:val="6A1D3904"/>
    <w:rsid w:val="6A1D56B2"/>
    <w:rsid w:val="6A2E3D63"/>
    <w:rsid w:val="6A4F2E95"/>
    <w:rsid w:val="6A537EE3"/>
    <w:rsid w:val="6A5C61DA"/>
    <w:rsid w:val="6A6C0315"/>
    <w:rsid w:val="6A75205E"/>
    <w:rsid w:val="6A890F99"/>
    <w:rsid w:val="6A8B6AC0"/>
    <w:rsid w:val="6A927E4E"/>
    <w:rsid w:val="6AA45DD3"/>
    <w:rsid w:val="6AAD6A36"/>
    <w:rsid w:val="6ABF775C"/>
    <w:rsid w:val="6AC67AF8"/>
    <w:rsid w:val="6ADA35A3"/>
    <w:rsid w:val="6AE306AA"/>
    <w:rsid w:val="6AE663EC"/>
    <w:rsid w:val="6B086362"/>
    <w:rsid w:val="6B1661FD"/>
    <w:rsid w:val="6B1E16E2"/>
    <w:rsid w:val="6B364C7D"/>
    <w:rsid w:val="6B453112"/>
    <w:rsid w:val="6B4E0D35"/>
    <w:rsid w:val="6B95409A"/>
    <w:rsid w:val="6B971DB3"/>
    <w:rsid w:val="6B981494"/>
    <w:rsid w:val="6B9E0A74"/>
    <w:rsid w:val="6BAA7419"/>
    <w:rsid w:val="6BAE0CB8"/>
    <w:rsid w:val="6BB564B9"/>
    <w:rsid w:val="6BB64010"/>
    <w:rsid w:val="6BB76C4C"/>
    <w:rsid w:val="6BB771C5"/>
    <w:rsid w:val="6BB81B36"/>
    <w:rsid w:val="6BBA6991"/>
    <w:rsid w:val="6BBB33D4"/>
    <w:rsid w:val="6BBF2306"/>
    <w:rsid w:val="6BD83F86"/>
    <w:rsid w:val="6BEA5A68"/>
    <w:rsid w:val="6BEC0976"/>
    <w:rsid w:val="6BED4A29"/>
    <w:rsid w:val="6BF07522"/>
    <w:rsid w:val="6BF568E6"/>
    <w:rsid w:val="6C007039"/>
    <w:rsid w:val="6C0F0B2F"/>
    <w:rsid w:val="6C1D5E3D"/>
    <w:rsid w:val="6C25681A"/>
    <w:rsid w:val="6C262F44"/>
    <w:rsid w:val="6C2F78A6"/>
    <w:rsid w:val="6C315445"/>
    <w:rsid w:val="6C3B7931"/>
    <w:rsid w:val="6C450EF0"/>
    <w:rsid w:val="6C4C174F"/>
    <w:rsid w:val="6C753394"/>
    <w:rsid w:val="6C757A27"/>
    <w:rsid w:val="6C895A6C"/>
    <w:rsid w:val="6C924135"/>
    <w:rsid w:val="6C9854C4"/>
    <w:rsid w:val="6CB322FE"/>
    <w:rsid w:val="6CB542C8"/>
    <w:rsid w:val="6CE34991"/>
    <w:rsid w:val="6CE7620E"/>
    <w:rsid w:val="6CF748E0"/>
    <w:rsid w:val="6CF941B4"/>
    <w:rsid w:val="6CFC1CDD"/>
    <w:rsid w:val="6D010BDE"/>
    <w:rsid w:val="6D013069"/>
    <w:rsid w:val="6D050DAB"/>
    <w:rsid w:val="6D0A63C2"/>
    <w:rsid w:val="6D143EBC"/>
    <w:rsid w:val="6D3451EC"/>
    <w:rsid w:val="6D3464F5"/>
    <w:rsid w:val="6D393E7F"/>
    <w:rsid w:val="6D3B2A1F"/>
    <w:rsid w:val="6D400035"/>
    <w:rsid w:val="6D505D9E"/>
    <w:rsid w:val="6D540CF5"/>
    <w:rsid w:val="6D57712D"/>
    <w:rsid w:val="6D7D4DE5"/>
    <w:rsid w:val="6D8048D6"/>
    <w:rsid w:val="6D9D5488"/>
    <w:rsid w:val="6DAE5A59"/>
    <w:rsid w:val="6DB002C5"/>
    <w:rsid w:val="6DB77BCC"/>
    <w:rsid w:val="6DBB76BC"/>
    <w:rsid w:val="6DBD56EC"/>
    <w:rsid w:val="6DCA3DA3"/>
    <w:rsid w:val="6DDF784E"/>
    <w:rsid w:val="6DEC1F6B"/>
    <w:rsid w:val="6DF36E56"/>
    <w:rsid w:val="6DF547FB"/>
    <w:rsid w:val="6E00670D"/>
    <w:rsid w:val="6E10219F"/>
    <w:rsid w:val="6E113780"/>
    <w:rsid w:val="6E1F40EF"/>
    <w:rsid w:val="6E3C04D7"/>
    <w:rsid w:val="6E5D0773"/>
    <w:rsid w:val="6E5F44EB"/>
    <w:rsid w:val="6E634CD3"/>
    <w:rsid w:val="6E6C09B6"/>
    <w:rsid w:val="6E8C63CF"/>
    <w:rsid w:val="6E8E4DD0"/>
    <w:rsid w:val="6E91666F"/>
    <w:rsid w:val="6E925C1E"/>
    <w:rsid w:val="6EAB4A97"/>
    <w:rsid w:val="6EB760D5"/>
    <w:rsid w:val="6EBE1CE9"/>
    <w:rsid w:val="6EC91BF3"/>
    <w:rsid w:val="6ED749C9"/>
    <w:rsid w:val="6ED924EF"/>
    <w:rsid w:val="6EE40E94"/>
    <w:rsid w:val="6EE60768"/>
    <w:rsid w:val="6F101C89"/>
    <w:rsid w:val="6F1524CD"/>
    <w:rsid w:val="6F1702C2"/>
    <w:rsid w:val="6F20011E"/>
    <w:rsid w:val="6F234695"/>
    <w:rsid w:val="6F503A01"/>
    <w:rsid w:val="6F5E29F5"/>
    <w:rsid w:val="6F694B09"/>
    <w:rsid w:val="6F701E0B"/>
    <w:rsid w:val="6F7E219E"/>
    <w:rsid w:val="6F8D32DA"/>
    <w:rsid w:val="6F975F07"/>
    <w:rsid w:val="6FA922E6"/>
    <w:rsid w:val="6FB22D40"/>
    <w:rsid w:val="6FB865A9"/>
    <w:rsid w:val="6FD3327C"/>
    <w:rsid w:val="6FDD1FFC"/>
    <w:rsid w:val="6FE32EFA"/>
    <w:rsid w:val="6FE949B4"/>
    <w:rsid w:val="70007439"/>
    <w:rsid w:val="70025A76"/>
    <w:rsid w:val="70107966"/>
    <w:rsid w:val="701115CE"/>
    <w:rsid w:val="702459EC"/>
    <w:rsid w:val="703379DD"/>
    <w:rsid w:val="703F45D4"/>
    <w:rsid w:val="70473489"/>
    <w:rsid w:val="70611486"/>
    <w:rsid w:val="70745809"/>
    <w:rsid w:val="708C533F"/>
    <w:rsid w:val="70A13FD2"/>
    <w:rsid w:val="70A97C9F"/>
    <w:rsid w:val="70C90342"/>
    <w:rsid w:val="70D34D1C"/>
    <w:rsid w:val="70EF6DAB"/>
    <w:rsid w:val="70F54ACA"/>
    <w:rsid w:val="7104581E"/>
    <w:rsid w:val="710D6480"/>
    <w:rsid w:val="711A34A8"/>
    <w:rsid w:val="711D04D3"/>
    <w:rsid w:val="713003C1"/>
    <w:rsid w:val="713A2FED"/>
    <w:rsid w:val="71445C1A"/>
    <w:rsid w:val="714D76FF"/>
    <w:rsid w:val="714F444D"/>
    <w:rsid w:val="71500A63"/>
    <w:rsid w:val="715B3690"/>
    <w:rsid w:val="715E6CDC"/>
    <w:rsid w:val="71641E18"/>
    <w:rsid w:val="716C2EC2"/>
    <w:rsid w:val="717758D1"/>
    <w:rsid w:val="71806864"/>
    <w:rsid w:val="718D110B"/>
    <w:rsid w:val="71922E29"/>
    <w:rsid w:val="719E17CE"/>
    <w:rsid w:val="71A37674"/>
    <w:rsid w:val="71B617FE"/>
    <w:rsid w:val="71C54FAD"/>
    <w:rsid w:val="71C64881"/>
    <w:rsid w:val="71DB657E"/>
    <w:rsid w:val="71EC078C"/>
    <w:rsid w:val="71F118FE"/>
    <w:rsid w:val="71F5068D"/>
    <w:rsid w:val="71F61501"/>
    <w:rsid w:val="71FE0B22"/>
    <w:rsid w:val="71FE5EBF"/>
    <w:rsid w:val="72165809"/>
    <w:rsid w:val="72180B78"/>
    <w:rsid w:val="722D66AE"/>
    <w:rsid w:val="72331F17"/>
    <w:rsid w:val="72347C96"/>
    <w:rsid w:val="724404EA"/>
    <w:rsid w:val="72482C50"/>
    <w:rsid w:val="724C122A"/>
    <w:rsid w:val="724E32AE"/>
    <w:rsid w:val="72585F46"/>
    <w:rsid w:val="726C7A52"/>
    <w:rsid w:val="726E33A4"/>
    <w:rsid w:val="72702731"/>
    <w:rsid w:val="72721A31"/>
    <w:rsid w:val="727662A7"/>
    <w:rsid w:val="7284281E"/>
    <w:rsid w:val="72932DFF"/>
    <w:rsid w:val="72A559C3"/>
    <w:rsid w:val="72AC64D6"/>
    <w:rsid w:val="72AE77EF"/>
    <w:rsid w:val="72C214EC"/>
    <w:rsid w:val="72C25048"/>
    <w:rsid w:val="72C74D55"/>
    <w:rsid w:val="72CA214F"/>
    <w:rsid w:val="72CB65F3"/>
    <w:rsid w:val="72CE1C3F"/>
    <w:rsid w:val="72D336FA"/>
    <w:rsid w:val="72D37256"/>
    <w:rsid w:val="72D94E75"/>
    <w:rsid w:val="72DA05E4"/>
    <w:rsid w:val="72E96A79"/>
    <w:rsid w:val="72F0605A"/>
    <w:rsid w:val="72FE3651"/>
    <w:rsid w:val="730F1287"/>
    <w:rsid w:val="73117D7E"/>
    <w:rsid w:val="73217FC1"/>
    <w:rsid w:val="73235862"/>
    <w:rsid w:val="73257F57"/>
    <w:rsid w:val="7329156C"/>
    <w:rsid w:val="732950C8"/>
    <w:rsid w:val="732C3097"/>
    <w:rsid w:val="732E26DE"/>
    <w:rsid w:val="73344CB8"/>
    <w:rsid w:val="733D66E3"/>
    <w:rsid w:val="73421C3F"/>
    <w:rsid w:val="73426189"/>
    <w:rsid w:val="734C0DB6"/>
    <w:rsid w:val="73504231"/>
    <w:rsid w:val="7355410F"/>
    <w:rsid w:val="73571C35"/>
    <w:rsid w:val="735F2A69"/>
    <w:rsid w:val="73685C1A"/>
    <w:rsid w:val="73700F48"/>
    <w:rsid w:val="737F118B"/>
    <w:rsid w:val="738A200A"/>
    <w:rsid w:val="738B7B30"/>
    <w:rsid w:val="73914A51"/>
    <w:rsid w:val="73922C6D"/>
    <w:rsid w:val="7399049F"/>
    <w:rsid w:val="739B4217"/>
    <w:rsid w:val="73AB01D2"/>
    <w:rsid w:val="73AC7267"/>
    <w:rsid w:val="73B66561"/>
    <w:rsid w:val="73CE2998"/>
    <w:rsid w:val="73D508E9"/>
    <w:rsid w:val="73D56708"/>
    <w:rsid w:val="73D6524F"/>
    <w:rsid w:val="73D96AEE"/>
    <w:rsid w:val="73E21E46"/>
    <w:rsid w:val="73E334C8"/>
    <w:rsid w:val="73F05BE5"/>
    <w:rsid w:val="73F90F3E"/>
    <w:rsid w:val="73FF3C95"/>
    <w:rsid w:val="7400051E"/>
    <w:rsid w:val="740022CC"/>
    <w:rsid w:val="740A6CA7"/>
    <w:rsid w:val="74177616"/>
    <w:rsid w:val="741B5358"/>
    <w:rsid w:val="741F786D"/>
    <w:rsid w:val="74220495"/>
    <w:rsid w:val="74281823"/>
    <w:rsid w:val="7434641A"/>
    <w:rsid w:val="74373814"/>
    <w:rsid w:val="7439758C"/>
    <w:rsid w:val="743B50B2"/>
    <w:rsid w:val="7447614D"/>
    <w:rsid w:val="744F0B5E"/>
    <w:rsid w:val="744F337F"/>
    <w:rsid w:val="745B5755"/>
    <w:rsid w:val="74741324"/>
    <w:rsid w:val="747D391D"/>
    <w:rsid w:val="748922C2"/>
    <w:rsid w:val="74956EB9"/>
    <w:rsid w:val="749F7E91"/>
    <w:rsid w:val="74A0760B"/>
    <w:rsid w:val="74AE7F7A"/>
    <w:rsid w:val="74B15375"/>
    <w:rsid w:val="74C07CAE"/>
    <w:rsid w:val="74C759C7"/>
    <w:rsid w:val="74CB3E90"/>
    <w:rsid w:val="74F703B3"/>
    <w:rsid w:val="74FB3256"/>
    <w:rsid w:val="75045DEC"/>
    <w:rsid w:val="7510653F"/>
    <w:rsid w:val="751678CE"/>
    <w:rsid w:val="751C3136"/>
    <w:rsid w:val="75232716"/>
    <w:rsid w:val="75304351"/>
    <w:rsid w:val="7537163A"/>
    <w:rsid w:val="753A22BD"/>
    <w:rsid w:val="753F5076"/>
    <w:rsid w:val="755C1784"/>
    <w:rsid w:val="75634436"/>
    <w:rsid w:val="756B19C7"/>
    <w:rsid w:val="75732004"/>
    <w:rsid w:val="757F36C5"/>
    <w:rsid w:val="758228C7"/>
    <w:rsid w:val="758B206A"/>
    <w:rsid w:val="75936EA0"/>
    <w:rsid w:val="759B0861"/>
    <w:rsid w:val="759E7FEF"/>
    <w:rsid w:val="75A03D67"/>
    <w:rsid w:val="75A1363B"/>
    <w:rsid w:val="75A92504"/>
    <w:rsid w:val="75BC0475"/>
    <w:rsid w:val="75D91027"/>
    <w:rsid w:val="75E1612D"/>
    <w:rsid w:val="75E654F2"/>
    <w:rsid w:val="75E8126A"/>
    <w:rsid w:val="75EE68C3"/>
    <w:rsid w:val="75F714AD"/>
    <w:rsid w:val="760F67F7"/>
    <w:rsid w:val="7621790B"/>
    <w:rsid w:val="762B73A9"/>
    <w:rsid w:val="762F5335"/>
    <w:rsid w:val="76586CE3"/>
    <w:rsid w:val="76593F16"/>
    <w:rsid w:val="766052A4"/>
    <w:rsid w:val="76676633"/>
    <w:rsid w:val="76707B72"/>
    <w:rsid w:val="76790AE0"/>
    <w:rsid w:val="767B0330"/>
    <w:rsid w:val="767B20DE"/>
    <w:rsid w:val="768A2321"/>
    <w:rsid w:val="768D3BBF"/>
    <w:rsid w:val="768E25B3"/>
    <w:rsid w:val="7693003E"/>
    <w:rsid w:val="76A020B9"/>
    <w:rsid w:val="76A258BD"/>
    <w:rsid w:val="76A55B76"/>
    <w:rsid w:val="76BE1FCB"/>
    <w:rsid w:val="76C021E7"/>
    <w:rsid w:val="76CC293A"/>
    <w:rsid w:val="76CF5F86"/>
    <w:rsid w:val="76D161A2"/>
    <w:rsid w:val="76D17F50"/>
    <w:rsid w:val="76D474B3"/>
    <w:rsid w:val="76D84886"/>
    <w:rsid w:val="76F033C4"/>
    <w:rsid w:val="76F37EC6"/>
    <w:rsid w:val="76F8372F"/>
    <w:rsid w:val="76FD2AF3"/>
    <w:rsid w:val="76FF2D0F"/>
    <w:rsid w:val="77000835"/>
    <w:rsid w:val="770B16B4"/>
    <w:rsid w:val="77106CCA"/>
    <w:rsid w:val="77232FAB"/>
    <w:rsid w:val="77277B70"/>
    <w:rsid w:val="77304C77"/>
    <w:rsid w:val="77416E84"/>
    <w:rsid w:val="77475601"/>
    <w:rsid w:val="774E16BB"/>
    <w:rsid w:val="77534E09"/>
    <w:rsid w:val="775748F9"/>
    <w:rsid w:val="77585F7B"/>
    <w:rsid w:val="776879A8"/>
    <w:rsid w:val="77725B0E"/>
    <w:rsid w:val="777A3AF4"/>
    <w:rsid w:val="777A4144"/>
    <w:rsid w:val="777D3C34"/>
    <w:rsid w:val="77844AA8"/>
    <w:rsid w:val="778466B1"/>
    <w:rsid w:val="778877AE"/>
    <w:rsid w:val="778D20C9"/>
    <w:rsid w:val="779C230C"/>
    <w:rsid w:val="77A86F03"/>
    <w:rsid w:val="77AB254F"/>
    <w:rsid w:val="77AD4519"/>
    <w:rsid w:val="77B5517C"/>
    <w:rsid w:val="77BA0262"/>
    <w:rsid w:val="77C06211"/>
    <w:rsid w:val="77C27899"/>
    <w:rsid w:val="77C875A5"/>
    <w:rsid w:val="77C90C27"/>
    <w:rsid w:val="77D00208"/>
    <w:rsid w:val="77D23F80"/>
    <w:rsid w:val="77D608F3"/>
    <w:rsid w:val="77D73344"/>
    <w:rsid w:val="77DA4BE2"/>
    <w:rsid w:val="77DE2925"/>
    <w:rsid w:val="77E141C3"/>
    <w:rsid w:val="77E31CE9"/>
    <w:rsid w:val="77E3618D"/>
    <w:rsid w:val="77EB3293"/>
    <w:rsid w:val="77EE52A6"/>
    <w:rsid w:val="77F263D0"/>
    <w:rsid w:val="77F4039A"/>
    <w:rsid w:val="77F959B0"/>
    <w:rsid w:val="77F9775E"/>
    <w:rsid w:val="77FE2FC7"/>
    <w:rsid w:val="78126A72"/>
    <w:rsid w:val="78144598"/>
    <w:rsid w:val="783130EA"/>
    <w:rsid w:val="78342545"/>
    <w:rsid w:val="78397B5B"/>
    <w:rsid w:val="783B1B25"/>
    <w:rsid w:val="783D2CA1"/>
    <w:rsid w:val="7866291A"/>
    <w:rsid w:val="787B63C5"/>
    <w:rsid w:val="78807F3E"/>
    <w:rsid w:val="7883527A"/>
    <w:rsid w:val="788F00C3"/>
    <w:rsid w:val="7890494D"/>
    <w:rsid w:val="78961451"/>
    <w:rsid w:val="789A32F3"/>
    <w:rsid w:val="789B25C4"/>
    <w:rsid w:val="78B64239"/>
    <w:rsid w:val="78C142DE"/>
    <w:rsid w:val="78C25DA2"/>
    <w:rsid w:val="78C95383"/>
    <w:rsid w:val="78CA2EA9"/>
    <w:rsid w:val="78D15FE5"/>
    <w:rsid w:val="78E57CE3"/>
    <w:rsid w:val="78E73A5B"/>
    <w:rsid w:val="78E85B93"/>
    <w:rsid w:val="78F341AE"/>
    <w:rsid w:val="78F543CA"/>
    <w:rsid w:val="78FB3062"/>
    <w:rsid w:val="78FE1FE6"/>
    <w:rsid w:val="79067852"/>
    <w:rsid w:val="79142376"/>
    <w:rsid w:val="79321971"/>
    <w:rsid w:val="793D7B1F"/>
    <w:rsid w:val="7940316B"/>
    <w:rsid w:val="79524E8E"/>
    <w:rsid w:val="79600DAC"/>
    <w:rsid w:val="797378F1"/>
    <w:rsid w:val="797A48CF"/>
    <w:rsid w:val="7984020D"/>
    <w:rsid w:val="79892D64"/>
    <w:rsid w:val="799139C7"/>
    <w:rsid w:val="799759E4"/>
    <w:rsid w:val="79A32814"/>
    <w:rsid w:val="79A365BC"/>
    <w:rsid w:val="79AE4579"/>
    <w:rsid w:val="79B74113"/>
    <w:rsid w:val="79BA2F1D"/>
    <w:rsid w:val="79C36276"/>
    <w:rsid w:val="79D35A59"/>
    <w:rsid w:val="79E32474"/>
    <w:rsid w:val="79F301DD"/>
    <w:rsid w:val="7A0643B5"/>
    <w:rsid w:val="7A0B5527"/>
    <w:rsid w:val="7A1545F8"/>
    <w:rsid w:val="7A1563A6"/>
    <w:rsid w:val="7A187C44"/>
    <w:rsid w:val="7A2111EE"/>
    <w:rsid w:val="7A287E87"/>
    <w:rsid w:val="7A2B3E1B"/>
    <w:rsid w:val="7A313550"/>
    <w:rsid w:val="7A344822"/>
    <w:rsid w:val="7A3B0646"/>
    <w:rsid w:val="7A49604F"/>
    <w:rsid w:val="7A5549F4"/>
    <w:rsid w:val="7A65732D"/>
    <w:rsid w:val="7A69004B"/>
    <w:rsid w:val="7A6B1FA0"/>
    <w:rsid w:val="7A6F3D08"/>
    <w:rsid w:val="7A814D0A"/>
    <w:rsid w:val="7A85177D"/>
    <w:rsid w:val="7A8D418E"/>
    <w:rsid w:val="7A8F43AA"/>
    <w:rsid w:val="7AA4582C"/>
    <w:rsid w:val="7AA66827"/>
    <w:rsid w:val="7AAD65DE"/>
    <w:rsid w:val="7AAE38BE"/>
    <w:rsid w:val="7ABA01A0"/>
    <w:rsid w:val="7ABC4A73"/>
    <w:rsid w:val="7AD324E9"/>
    <w:rsid w:val="7AD93877"/>
    <w:rsid w:val="7ADA4499"/>
    <w:rsid w:val="7AFA4E57"/>
    <w:rsid w:val="7AFB1A3F"/>
    <w:rsid w:val="7B072192"/>
    <w:rsid w:val="7B0C08EF"/>
    <w:rsid w:val="7B0C1557"/>
    <w:rsid w:val="7B2E6C98"/>
    <w:rsid w:val="7B3029A3"/>
    <w:rsid w:val="7B3867F0"/>
    <w:rsid w:val="7B3E46E9"/>
    <w:rsid w:val="7B537186"/>
    <w:rsid w:val="7B566C76"/>
    <w:rsid w:val="7B6018A2"/>
    <w:rsid w:val="7B647AEE"/>
    <w:rsid w:val="7B6E5D6D"/>
    <w:rsid w:val="7B876E2F"/>
    <w:rsid w:val="7B8A691F"/>
    <w:rsid w:val="7B9D48A5"/>
    <w:rsid w:val="7BA07EF1"/>
    <w:rsid w:val="7BAA6303"/>
    <w:rsid w:val="7BAF698D"/>
    <w:rsid w:val="7BB816DF"/>
    <w:rsid w:val="7BBC76E2"/>
    <w:rsid w:val="7BC6204D"/>
    <w:rsid w:val="7BC97448"/>
    <w:rsid w:val="7BD52290"/>
    <w:rsid w:val="7BD858DD"/>
    <w:rsid w:val="7BDC13DD"/>
    <w:rsid w:val="7BE61DA8"/>
    <w:rsid w:val="7BE92C4E"/>
    <w:rsid w:val="7BEC1388"/>
    <w:rsid w:val="7BF30969"/>
    <w:rsid w:val="7BF66C24"/>
    <w:rsid w:val="7BF74568"/>
    <w:rsid w:val="7C0E2551"/>
    <w:rsid w:val="7C1728A9"/>
    <w:rsid w:val="7C1C3A1B"/>
    <w:rsid w:val="7C2B0102"/>
    <w:rsid w:val="7C2E1319"/>
    <w:rsid w:val="7C330D65"/>
    <w:rsid w:val="7C3A0D50"/>
    <w:rsid w:val="7C4F3DF1"/>
    <w:rsid w:val="7C5219BD"/>
    <w:rsid w:val="7C55517F"/>
    <w:rsid w:val="7C602DF5"/>
    <w:rsid w:val="7C605FFE"/>
    <w:rsid w:val="7C63789C"/>
    <w:rsid w:val="7C6929D9"/>
    <w:rsid w:val="7C761AE2"/>
    <w:rsid w:val="7C831CEC"/>
    <w:rsid w:val="7C8B294F"/>
    <w:rsid w:val="7CA1076C"/>
    <w:rsid w:val="7CAA54CB"/>
    <w:rsid w:val="7CAD6D69"/>
    <w:rsid w:val="7CC71CBE"/>
    <w:rsid w:val="7CC83BA3"/>
    <w:rsid w:val="7CC876FF"/>
    <w:rsid w:val="7CCD3799"/>
    <w:rsid w:val="7CEF1A0D"/>
    <w:rsid w:val="7CF36E72"/>
    <w:rsid w:val="7CF74B9B"/>
    <w:rsid w:val="7CF8690C"/>
    <w:rsid w:val="7D0C1CE2"/>
    <w:rsid w:val="7D1312C2"/>
    <w:rsid w:val="7D382AD7"/>
    <w:rsid w:val="7D4C6582"/>
    <w:rsid w:val="7D644010"/>
    <w:rsid w:val="7D692C90"/>
    <w:rsid w:val="7D6C09D3"/>
    <w:rsid w:val="7D731D61"/>
    <w:rsid w:val="7D781125"/>
    <w:rsid w:val="7D965A4F"/>
    <w:rsid w:val="7DA97531"/>
    <w:rsid w:val="7DB54128"/>
    <w:rsid w:val="7DB7677B"/>
    <w:rsid w:val="7DC205F3"/>
    <w:rsid w:val="7DD02D0F"/>
    <w:rsid w:val="7DDD542C"/>
    <w:rsid w:val="7DE44A0D"/>
    <w:rsid w:val="7DF42D49"/>
    <w:rsid w:val="7DFC4599"/>
    <w:rsid w:val="7E176B90"/>
    <w:rsid w:val="7E2117BD"/>
    <w:rsid w:val="7E24305B"/>
    <w:rsid w:val="7E350DC4"/>
    <w:rsid w:val="7E3A287F"/>
    <w:rsid w:val="7E470AF8"/>
    <w:rsid w:val="7E486D4A"/>
    <w:rsid w:val="7E4E1E86"/>
    <w:rsid w:val="7E7318ED"/>
    <w:rsid w:val="7E7E361D"/>
    <w:rsid w:val="7E941F8F"/>
    <w:rsid w:val="7E944A02"/>
    <w:rsid w:val="7E9E696A"/>
    <w:rsid w:val="7EB0669D"/>
    <w:rsid w:val="7EB663A9"/>
    <w:rsid w:val="7EBC14E6"/>
    <w:rsid w:val="7EC65E37"/>
    <w:rsid w:val="7ECD54A1"/>
    <w:rsid w:val="7ECD724F"/>
    <w:rsid w:val="7EF10BB6"/>
    <w:rsid w:val="7EF50BCB"/>
    <w:rsid w:val="7EFB5EB0"/>
    <w:rsid w:val="7F016EF9"/>
    <w:rsid w:val="7F0F5AB9"/>
    <w:rsid w:val="7F1906E6"/>
    <w:rsid w:val="7F1C738E"/>
    <w:rsid w:val="7F224FB0"/>
    <w:rsid w:val="7F2F1CB8"/>
    <w:rsid w:val="7F345ABC"/>
    <w:rsid w:val="7F370B6C"/>
    <w:rsid w:val="7F3D4D8D"/>
    <w:rsid w:val="7F460DAF"/>
    <w:rsid w:val="7F471A84"/>
    <w:rsid w:val="7F62208D"/>
    <w:rsid w:val="7F65392B"/>
    <w:rsid w:val="7F65523E"/>
    <w:rsid w:val="7F692316"/>
    <w:rsid w:val="7F842003"/>
    <w:rsid w:val="7F98785D"/>
    <w:rsid w:val="7F996FE1"/>
    <w:rsid w:val="7F9E21EE"/>
    <w:rsid w:val="7FA04963"/>
    <w:rsid w:val="7FA75CF2"/>
    <w:rsid w:val="7FB421BD"/>
    <w:rsid w:val="7FBB6BA4"/>
    <w:rsid w:val="7FC05006"/>
    <w:rsid w:val="7FD34D39"/>
    <w:rsid w:val="7FE24F7C"/>
    <w:rsid w:val="7FF27EF4"/>
    <w:rsid w:val="7FF77EA0"/>
    <w:rsid w:val="7FFF3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qFormat/>
    <w:uiPriority w:val="0"/>
    <w:pPr>
      <w:keepNext/>
      <w:spacing w:line="360" w:lineRule="auto"/>
      <w:jc w:val="center"/>
      <w:outlineLvl w:val="0"/>
    </w:pPr>
    <w:rPr>
      <w:b/>
      <w:sz w:val="36"/>
    </w:rPr>
  </w:style>
  <w:style w:type="paragraph" w:styleId="4">
    <w:name w:val="heading 2"/>
    <w:basedOn w:val="1"/>
    <w:next w:val="1"/>
    <w:link w:val="84"/>
    <w:qFormat/>
    <w:uiPriority w:val="0"/>
    <w:pPr>
      <w:keepNext/>
      <w:keepLines/>
      <w:widowControl w:val="0"/>
      <w:spacing w:before="260" w:after="260" w:line="416" w:lineRule="auto"/>
      <w:textAlignment w:val="auto"/>
      <w:outlineLvl w:val="1"/>
    </w:pPr>
    <w:rPr>
      <w:rFonts w:ascii="Arial" w:hAnsi="Arial" w:eastAsia="黑体" w:cs="Times New Roman"/>
      <w:b/>
      <w:bCs/>
      <w:sz w:val="32"/>
      <w:szCs w:val="32"/>
    </w:rPr>
  </w:style>
  <w:style w:type="paragraph" w:styleId="5">
    <w:name w:val="heading 4"/>
    <w:basedOn w:val="1"/>
    <w:next w:val="1"/>
    <w:qFormat/>
    <w:uiPriority w:val="99"/>
    <w:pPr>
      <w:keepNext/>
      <w:keepLines/>
      <w:adjustRightInd w:val="0"/>
      <w:spacing w:before="280" w:after="290" w:line="376" w:lineRule="atLeast"/>
      <w:outlineLvl w:val="3"/>
    </w:pPr>
    <w:rPr>
      <w:rFonts w:ascii="Arial" w:hAnsi="Arial"/>
      <w:b/>
      <w:spacing w:val="20"/>
      <w:sz w:val="28"/>
    </w:rPr>
  </w:style>
  <w:style w:type="paragraph" w:styleId="6">
    <w:name w:val="heading 6"/>
    <w:basedOn w:val="1"/>
    <w:next w:val="1"/>
    <w:qFormat/>
    <w:uiPriority w:val="9"/>
    <w:pPr>
      <w:keepNext/>
      <w:keepLines/>
      <w:spacing w:line="317" w:lineRule="auto"/>
      <w:outlineLvl w:val="5"/>
    </w:pPr>
    <w:rPr>
      <w:rFonts w:ascii="Arial" w:hAnsi="Arial" w:eastAsia="黑体"/>
      <w:b/>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annotation text"/>
    <w:basedOn w:val="1"/>
    <w:qFormat/>
    <w:uiPriority w:val="0"/>
    <w:pPr>
      <w:jc w:val="left"/>
    </w:pPr>
  </w:style>
  <w:style w:type="paragraph" w:styleId="8">
    <w:name w:val="Body Text"/>
    <w:basedOn w:val="1"/>
    <w:next w:val="1"/>
    <w:qFormat/>
    <w:uiPriority w:val="0"/>
    <w:pPr>
      <w:spacing w:after="120"/>
    </w:pPr>
    <w:rPr>
      <w:rFonts w:ascii="宋体"/>
      <w:kern w:val="0"/>
      <w:sz w:val="34"/>
    </w:rPr>
  </w:style>
  <w:style w:type="paragraph" w:styleId="9">
    <w:name w:val="Body Text Indent"/>
    <w:basedOn w:val="1"/>
    <w:next w:val="10"/>
    <w:link w:val="82"/>
    <w:qFormat/>
    <w:uiPriority w:val="0"/>
    <w:pPr>
      <w:spacing w:after="120"/>
      <w:ind w:left="420" w:leftChars="200"/>
    </w:pPr>
  </w:style>
  <w:style w:type="paragraph" w:styleId="10">
    <w:name w:val="Body Text First Indent 2"/>
    <w:basedOn w:val="9"/>
    <w:qFormat/>
    <w:uiPriority w:val="0"/>
    <w:pPr>
      <w:ind w:firstLine="420" w:firstLineChars="200"/>
    </w:p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Plain Text"/>
    <w:basedOn w:val="1"/>
    <w:link w:val="79"/>
    <w:qFormat/>
    <w:uiPriority w:val="0"/>
    <w:pPr>
      <w:widowControl w:val="0"/>
      <w:textAlignment w:val="auto"/>
    </w:pPr>
    <w:rPr>
      <w:rFonts w:ascii="宋体" w:hAnsi="Courier New" w:cs="Courier New"/>
      <w:szCs w:val="21"/>
    </w:rPr>
  </w:style>
  <w:style w:type="paragraph" w:styleId="13">
    <w:name w:val="Date"/>
    <w:basedOn w:val="1"/>
    <w:next w:val="1"/>
    <w:qFormat/>
    <w:uiPriority w:val="0"/>
    <w:rPr>
      <w:rFonts w:ascii="宋体"/>
      <w:sz w:val="24"/>
    </w:rPr>
  </w:style>
  <w:style w:type="paragraph" w:styleId="14">
    <w:name w:val="Body Text Indent 2"/>
    <w:basedOn w:val="1"/>
    <w:qFormat/>
    <w:uiPriority w:val="99"/>
    <w:pPr>
      <w:autoSpaceDE w:val="0"/>
      <w:autoSpaceDN w:val="0"/>
      <w:adjustRightInd w:val="0"/>
      <w:spacing w:line="640" w:lineRule="exact"/>
      <w:ind w:firstLine="645"/>
    </w:pPr>
    <w:rPr>
      <w:rFonts w:ascii="楷体_GB2312" w:eastAsia="楷体_GB2312"/>
      <w:kern w:val="0"/>
      <w:sz w:val="32"/>
      <w:szCs w:val="32"/>
    </w:rPr>
  </w:style>
  <w:style w:type="paragraph" w:styleId="15">
    <w:name w:val="Balloon Text"/>
    <w:basedOn w:val="1"/>
    <w:link w:val="75"/>
    <w:qFormat/>
    <w:uiPriority w:val="0"/>
    <w:rPr>
      <w:sz w:val="18"/>
      <w:szCs w:val="18"/>
    </w:rPr>
  </w:style>
  <w:style w:type="paragraph" w:styleId="16">
    <w:name w:val="footer"/>
    <w:basedOn w:val="1"/>
    <w:next w:val="8"/>
    <w:link w:val="74"/>
    <w:qFormat/>
    <w:uiPriority w:val="0"/>
    <w:pPr>
      <w:tabs>
        <w:tab w:val="center" w:pos="4153"/>
        <w:tab w:val="right" w:pos="8306"/>
      </w:tabs>
      <w:spacing w:line="240" w:lineRule="atLeast"/>
      <w:jc w:val="left"/>
    </w:pPr>
    <w:rPr>
      <w:kern w:val="0"/>
      <w:sz w:val="18"/>
    </w:rPr>
  </w:style>
  <w:style w:type="paragraph" w:styleId="17">
    <w:name w:val="header"/>
    <w:basedOn w:val="1"/>
    <w:link w:val="83"/>
    <w:qFormat/>
    <w:uiPriority w:val="99"/>
    <w:pPr>
      <w:pBdr>
        <w:bottom w:val="single" w:color="000000" w:sz="6" w:space="1"/>
      </w:pBdr>
      <w:tabs>
        <w:tab w:val="center" w:pos="4153"/>
        <w:tab w:val="right" w:pos="8306"/>
      </w:tabs>
      <w:snapToGrid w:val="0"/>
      <w:jc w:val="center"/>
    </w:pPr>
    <w:rPr>
      <w:sz w:val="18"/>
      <w:szCs w:val="18"/>
    </w:rPr>
  </w:style>
  <w:style w:type="paragraph" w:styleId="18">
    <w:name w:val="toc 2"/>
    <w:basedOn w:val="1"/>
    <w:next w:val="1"/>
    <w:qFormat/>
    <w:uiPriority w:val="39"/>
    <w:pPr>
      <w:ind w:left="420" w:leftChars="200"/>
    </w:pPr>
  </w:style>
  <w:style w:type="paragraph" w:styleId="19">
    <w:name w:val="Body Text 2"/>
    <w:basedOn w:val="1"/>
    <w:qFormat/>
    <w:uiPriority w:val="0"/>
    <w:pPr>
      <w:jc w:val="left"/>
    </w:pPr>
    <w:rPr>
      <w:rFonts w:ascii="仿宋_GB2312" w:hAnsi="宋体" w:eastAsia="仿宋_GB2312"/>
    </w:rPr>
  </w:style>
  <w:style w:type="paragraph" w:styleId="20">
    <w:name w:val="Normal (Web)"/>
    <w:basedOn w:val="1"/>
    <w:qFormat/>
    <w:uiPriority w:val="99"/>
    <w:pPr>
      <w:spacing w:before="100" w:beforeAutospacing="1" w:after="100" w:afterAutospacing="1"/>
      <w:jc w:val="left"/>
    </w:pPr>
    <w:rPr>
      <w:rFonts w:ascii="宋体" w:hAnsi="宋体"/>
      <w:kern w:val="0"/>
      <w:sz w:val="24"/>
      <w:szCs w:val="24"/>
    </w:rPr>
  </w:style>
  <w:style w:type="paragraph" w:styleId="21">
    <w:name w:val="Body Text First Indent"/>
    <w:basedOn w:val="8"/>
    <w:unhideWhenUsed/>
    <w:qFormat/>
    <w:uiPriority w:val="0"/>
    <w:pPr>
      <w:spacing w:after="120" w:line="240" w:lineRule="auto"/>
      <w:ind w:firstLine="420" w:firstLineChars="100"/>
    </w:pPr>
    <w:rPr>
      <w:color w:val="auto"/>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sz w:val="21"/>
    </w:rPr>
  </w:style>
  <w:style w:type="character" w:styleId="26">
    <w:name w:val="page number"/>
    <w:basedOn w:val="24"/>
    <w:qFormat/>
    <w:uiPriority w:val="0"/>
  </w:style>
  <w:style w:type="character" w:styleId="27">
    <w:name w:val="Hyperlink"/>
    <w:basedOn w:val="24"/>
    <w:qFormat/>
    <w:uiPriority w:val="99"/>
    <w:rPr>
      <w:color w:val="0000FF"/>
      <w:sz w:val="24"/>
      <w:szCs w:val="24"/>
      <w:u w:val="single"/>
    </w:rPr>
  </w:style>
  <w:style w:type="character" w:styleId="28">
    <w:name w:val="annotation reference"/>
    <w:basedOn w:val="24"/>
    <w:qFormat/>
    <w:uiPriority w:val="0"/>
    <w:rPr>
      <w:sz w:val="21"/>
      <w:szCs w:val="21"/>
    </w:rPr>
  </w:style>
  <w:style w:type="paragraph" w:customStyle="1" w:styleId="29">
    <w:name w:val="Heading1"/>
    <w:basedOn w:val="1"/>
    <w:next w:val="1"/>
    <w:qFormat/>
    <w:uiPriority w:val="0"/>
    <w:pPr>
      <w:keepNext/>
      <w:spacing w:line="360" w:lineRule="auto"/>
      <w:jc w:val="center"/>
    </w:pPr>
    <w:rPr>
      <w:b/>
      <w:sz w:val="36"/>
    </w:rPr>
  </w:style>
  <w:style w:type="paragraph" w:customStyle="1" w:styleId="30">
    <w:name w:val="Heading2"/>
    <w:basedOn w:val="1"/>
    <w:next w:val="1"/>
    <w:qFormat/>
    <w:uiPriority w:val="0"/>
    <w:pPr>
      <w:keepNext/>
      <w:keepLines/>
      <w:spacing w:line="360" w:lineRule="auto"/>
      <w:jc w:val="center"/>
    </w:pPr>
    <w:rPr>
      <w:rFonts w:ascii="Arial" w:hAnsi="Arial" w:cs="Times New Roman"/>
      <w:b/>
      <w:bCs/>
      <w:sz w:val="32"/>
      <w:szCs w:val="32"/>
    </w:rPr>
  </w:style>
  <w:style w:type="paragraph" w:customStyle="1" w:styleId="31">
    <w:name w:val="Heading3"/>
    <w:basedOn w:val="1"/>
    <w:next w:val="1"/>
    <w:qFormat/>
    <w:uiPriority w:val="0"/>
    <w:pPr>
      <w:keepNext/>
      <w:keepLines/>
      <w:spacing w:before="260" w:after="260" w:line="416" w:lineRule="auto"/>
    </w:pPr>
    <w:rPr>
      <w:rFonts w:cs="Times New Roman"/>
      <w:b/>
      <w:bCs/>
      <w:sz w:val="32"/>
      <w:szCs w:val="32"/>
    </w:rPr>
  </w:style>
  <w:style w:type="paragraph" w:customStyle="1" w:styleId="32">
    <w:name w:val="Heading4"/>
    <w:basedOn w:val="1"/>
    <w:next w:val="1"/>
    <w:qFormat/>
    <w:uiPriority w:val="0"/>
    <w:pPr>
      <w:keepNext/>
      <w:keepLines/>
      <w:spacing w:before="280" w:after="290" w:line="372" w:lineRule="auto"/>
    </w:pPr>
    <w:rPr>
      <w:rFonts w:ascii="Arial" w:hAnsi="Arial" w:eastAsia="黑体"/>
      <w:b/>
      <w:sz w:val="28"/>
    </w:rPr>
  </w:style>
  <w:style w:type="character" w:customStyle="1" w:styleId="33">
    <w:name w:val="NormalCharacter"/>
    <w:semiHidden/>
    <w:qFormat/>
    <w:uiPriority w:val="0"/>
    <w:rPr>
      <w:sz w:val="24"/>
      <w:szCs w:val="24"/>
    </w:rPr>
  </w:style>
  <w:style w:type="table" w:customStyle="1" w:styleId="34">
    <w:name w:val="TableNormal"/>
    <w:semiHidden/>
    <w:qFormat/>
    <w:uiPriority w:val="0"/>
    <w:tblPr>
      <w:tblCellMar>
        <w:top w:w="0" w:type="dxa"/>
        <w:left w:w="0" w:type="dxa"/>
        <w:bottom w:w="0" w:type="dxa"/>
        <w:right w:w="0" w:type="dxa"/>
      </w:tblCellMar>
    </w:tblPr>
  </w:style>
  <w:style w:type="paragraph" w:customStyle="1" w:styleId="35">
    <w:name w:val="NavPane"/>
    <w:basedOn w:val="1"/>
    <w:link w:val="36"/>
    <w:qFormat/>
    <w:uiPriority w:val="0"/>
    <w:rPr>
      <w:rFonts w:ascii="宋体"/>
      <w:sz w:val="18"/>
      <w:szCs w:val="18"/>
    </w:rPr>
  </w:style>
  <w:style w:type="character" w:customStyle="1" w:styleId="36">
    <w:name w:val="UserStyle_0"/>
    <w:link w:val="35"/>
    <w:qFormat/>
    <w:uiPriority w:val="0"/>
    <w:rPr>
      <w:rFonts w:ascii="宋体"/>
      <w:kern w:val="2"/>
      <w:sz w:val="18"/>
      <w:szCs w:val="18"/>
    </w:rPr>
  </w:style>
  <w:style w:type="paragraph" w:customStyle="1" w:styleId="37">
    <w:name w:val="AnnotationText"/>
    <w:basedOn w:val="1"/>
    <w:link w:val="38"/>
    <w:qFormat/>
    <w:uiPriority w:val="0"/>
    <w:pPr>
      <w:jc w:val="left"/>
    </w:pPr>
    <w:rPr>
      <w:szCs w:val="24"/>
    </w:rPr>
  </w:style>
  <w:style w:type="character" w:customStyle="1" w:styleId="38">
    <w:name w:val="UserStyle_1"/>
    <w:link w:val="37"/>
    <w:qFormat/>
    <w:uiPriority w:val="0"/>
    <w:rPr>
      <w:kern w:val="2"/>
      <w:sz w:val="21"/>
      <w:szCs w:val="24"/>
    </w:rPr>
  </w:style>
  <w:style w:type="paragraph" w:customStyle="1" w:styleId="39">
    <w:name w:val="BodyText"/>
    <w:basedOn w:val="1"/>
    <w:next w:val="1"/>
    <w:link w:val="40"/>
    <w:qFormat/>
    <w:uiPriority w:val="0"/>
    <w:pPr>
      <w:spacing w:after="120"/>
    </w:pPr>
    <w:rPr>
      <w:szCs w:val="24"/>
    </w:rPr>
  </w:style>
  <w:style w:type="character" w:customStyle="1" w:styleId="40">
    <w:name w:val="UserStyle_2"/>
    <w:link w:val="39"/>
    <w:qFormat/>
    <w:uiPriority w:val="0"/>
    <w:rPr>
      <w:kern w:val="2"/>
      <w:sz w:val="21"/>
      <w:szCs w:val="24"/>
    </w:rPr>
  </w:style>
  <w:style w:type="paragraph" w:customStyle="1" w:styleId="41">
    <w:name w:val="BodyTextIndent"/>
    <w:basedOn w:val="1"/>
    <w:qFormat/>
    <w:uiPriority w:val="0"/>
    <w:pPr>
      <w:ind w:firstLine="552"/>
    </w:pPr>
    <w:rPr>
      <w:rFonts w:ascii="宋体"/>
      <w:sz w:val="28"/>
    </w:rPr>
  </w:style>
  <w:style w:type="paragraph" w:customStyle="1" w:styleId="42">
    <w:name w:val="TOC3"/>
    <w:basedOn w:val="1"/>
    <w:next w:val="1"/>
    <w:qFormat/>
    <w:uiPriority w:val="0"/>
    <w:pPr>
      <w:ind w:left="840" w:leftChars="400"/>
    </w:pPr>
  </w:style>
  <w:style w:type="paragraph" w:customStyle="1" w:styleId="43">
    <w:name w:val="PlainText"/>
    <w:basedOn w:val="1"/>
    <w:qFormat/>
    <w:uiPriority w:val="0"/>
    <w:rPr>
      <w:rFonts w:ascii="宋体" w:hAnsi="Courier New"/>
    </w:rPr>
  </w:style>
  <w:style w:type="paragraph" w:customStyle="1" w:styleId="44">
    <w:name w:val="Acetate"/>
    <w:basedOn w:val="1"/>
    <w:link w:val="45"/>
    <w:qFormat/>
    <w:uiPriority w:val="0"/>
    <w:rPr>
      <w:sz w:val="18"/>
      <w:szCs w:val="18"/>
    </w:rPr>
  </w:style>
  <w:style w:type="character" w:customStyle="1" w:styleId="45">
    <w:name w:val="UserStyle_3"/>
    <w:link w:val="44"/>
    <w:qFormat/>
    <w:uiPriority w:val="0"/>
    <w:rPr>
      <w:kern w:val="2"/>
      <w:sz w:val="18"/>
      <w:szCs w:val="18"/>
    </w:rPr>
  </w:style>
  <w:style w:type="paragraph" w:customStyle="1" w:styleId="46">
    <w:name w:val="TOC1"/>
    <w:basedOn w:val="1"/>
    <w:next w:val="1"/>
    <w:qFormat/>
    <w:uiPriority w:val="0"/>
  </w:style>
  <w:style w:type="paragraph" w:customStyle="1" w:styleId="47">
    <w:name w:val="TOC2"/>
    <w:basedOn w:val="1"/>
    <w:next w:val="1"/>
    <w:qFormat/>
    <w:uiPriority w:val="0"/>
    <w:pPr>
      <w:ind w:left="420" w:leftChars="200"/>
    </w:pPr>
  </w:style>
  <w:style w:type="paragraph" w:customStyle="1" w:styleId="48">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9">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50">
    <w:name w:val="AnnotationSubject"/>
    <w:basedOn w:val="37"/>
    <w:next w:val="37"/>
    <w:link w:val="51"/>
    <w:qFormat/>
    <w:uiPriority w:val="0"/>
    <w:rPr>
      <w:rFonts w:cs="Times New Roman"/>
      <w:b/>
      <w:bCs/>
    </w:rPr>
  </w:style>
  <w:style w:type="character" w:customStyle="1" w:styleId="51">
    <w:name w:val="UserStyle_5"/>
    <w:link w:val="50"/>
    <w:qFormat/>
    <w:uiPriority w:val="0"/>
    <w:rPr>
      <w:rFonts w:cs="Times New Roman"/>
      <w:b/>
      <w:bCs/>
      <w:kern w:val="2"/>
      <w:sz w:val="21"/>
      <w:szCs w:val="24"/>
    </w:rPr>
  </w:style>
  <w:style w:type="table" w:customStyle="1" w:styleId="52">
    <w:name w:val="TableGrid"/>
    <w:basedOn w:val="34"/>
    <w:qFormat/>
    <w:uiPriority w:val="0"/>
  </w:style>
  <w:style w:type="character" w:customStyle="1" w:styleId="53">
    <w:name w:val="PageNumber"/>
    <w:basedOn w:val="33"/>
    <w:qFormat/>
    <w:uiPriority w:val="0"/>
    <w:rPr>
      <w:sz w:val="24"/>
      <w:szCs w:val="24"/>
    </w:rPr>
  </w:style>
  <w:style w:type="character" w:customStyle="1" w:styleId="54">
    <w:name w:val="AnnotationReference"/>
    <w:qFormat/>
    <w:uiPriority w:val="0"/>
    <w:rPr>
      <w:sz w:val="21"/>
      <w:szCs w:val="21"/>
    </w:rPr>
  </w:style>
  <w:style w:type="character" w:customStyle="1" w:styleId="55">
    <w:name w:val="UserStyle_6"/>
    <w:qFormat/>
    <w:uiPriority w:val="0"/>
    <w:rPr>
      <w:rFonts w:ascii="仿宋_GB2312" w:eastAsia="仿宋_GB2312"/>
      <w:color w:val="000000"/>
      <w:sz w:val="20"/>
      <w:szCs w:val="20"/>
    </w:rPr>
  </w:style>
  <w:style w:type="character" w:customStyle="1" w:styleId="56">
    <w:name w:val="UserStyle_7"/>
    <w:qFormat/>
    <w:uiPriority w:val="0"/>
    <w:rPr>
      <w:rFonts w:ascii="仿宋_GB2312" w:eastAsia="仿宋_GB2312"/>
      <w:color w:val="FF0000"/>
      <w:sz w:val="20"/>
      <w:szCs w:val="20"/>
    </w:rPr>
  </w:style>
  <w:style w:type="character" w:customStyle="1" w:styleId="57">
    <w:name w:val="UserStyle_8"/>
    <w:qFormat/>
    <w:uiPriority w:val="0"/>
    <w:rPr>
      <w:rFonts w:ascii="宋体" w:hAnsi="宋体" w:eastAsia="宋体"/>
      <w:color w:val="000000"/>
      <w:sz w:val="20"/>
      <w:szCs w:val="20"/>
    </w:rPr>
  </w:style>
  <w:style w:type="character" w:customStyle="1" w:styleId="58">
    <w:name w:val="UserStyle_9"/>
    <w:qFormat/>
    <w:uiPriority w:val="0"/>
    <w:rPr>
      <w:rFonts w:ascii="仿宋_GB2312" w:eastAsia="仿宋_GB2312"/>
      <w:color w:val="000000"/>
      <w:sz w:val="20"/>
      <w:szCs w:val="20"/>
    </w:rPr>
  </w:style>
  <w:style w:type="character" w:customStyle="1" w:styleId="59">
    <w:name w:val="UserStyle_10"/>
    <w:qFormat/>
    <w:uiPriority w:val="0"/>
    <w:rPr>
      <w:rFonts w:ascii="宋体" w:hAnsi="宋体" w:eastAsia="宋体"/>
      <w:color w:val="000000"/>
      <w:sz w:val="18"/>
      <w:szCs w:val="18"/>
    </w:rPr>
  </w:style>
  <w:style w:type="character" w:customStyle="1" w:styleId="60">
    <w:name w:val="UserStyle_11"/>
    <w:qFormat/>
    <w:uiPriority w:val="0"/>
    <w:rPr>
      <w:rFonts w:ascii="宋体" w:hAnsi="宋体" w:eastAsia="宋体"/>
      <w:color w:val="000000"/>
      <w:sz w:val="22"/>
      <w:szCs w:val="22"/>
    </w:rPr>
  </w:style>
  <w:style w:type="character" w:customStyle="1" w:styleId="61">
    <w:name w:val="UserStyle_12"/>
    <w:qFormat/>
    <w:uiPriority w:val="0"/>
    <w:rPr>
      <w:rFonts w:ascii="宋体" w:hAnsi="宋体" w:eastAsia="宋体"/>
      <w:color w:val="FF0000"/>
      <w:sz w:val="20"/>
      <w:szCs w:val="20"/>
    </w:rPr>
  </w:style>
  <w:style w:type="character" w:customStyle="1" w:styleId="62">
    <w:name w:val="UserStyle_13"/>
    <w:qFormat/>
    <w:uiPriority w:val="0"/>
    <w:rPr>
      <w:rFonts w:ascii="仿宋_GB2312" w:eastAsia="仿宋_GB2312"/>
      <w:color w:val="00B0F0"/>
      <w:sz w:val="20"/>
      <w:szCs w:val="20"/>
    </w:rPr>
  </w:style>
  <w:style w:type="character" w:customStyle="1" w:styleId="63">
    <w:name w:val="UserStyle_14"/>
    <w:qFormat/>
    <w:uiPriority w:val="0"/>
    <w:rPr>
      <w:rFonts w:ascii="宋体" w:hAnsi="宋体" w:eastAsia="宋体"/>
      <w:color w:val="000000"/>
      <w:sz w:val="20"/>
      <w:szCs w:val="20"/>
    </w:rPr>
  </w:style>
  <w:style w:type="character" w:customStyle="1" w:styleId="64">
    <w:name w:val="UserStyle_15"/>
    <w:qFormat/>
    <w:uiPriority w:val="0"/>
    <w:rPr>
      <w:rFonts w:ascii="宋体" w:hAnsi="宋体" w:eastAsia="宋体"/>
      <w:color w:val="000000"/>
      <w:sz w:val="20"/>
      <w:szCs w:val="20"/>
    </w:rPr>
  </w:style>
  <w:style w:type="paragraph" w:customStyle="1" w:styleId="65">
    <w:name w:val="UserStyle_16"/>
    <w:basedOn w:val="1"/>
    <w:qFormat/>
    <w:uiPriority w:val="0"/>
    <w:pPr>
      <w:tabs>
        <w:tab w:val="left" w:pos="360"/>
      </w:tabs>
      <w:ind w:left="360" w:hanging="360" w:hangingChars="200"/>
    </w:pPr>
    <w:rPr>
      <w:sz w:val="24"/>
      <w:szCs w:val="24"/>
    </w:rPr>
  </w:style>
  <w:style w:type="paragraph" w:customStyle="1" w:styleId="66">
    <w:name w:val="UserStyle_17"/>
    <w:basedOn w:val="29"/>
    <w:qFormat/>
    <w:uiPriority w:val="0"/>
    <w:pPr>
      <w:keepLines/>
      <w:spacing w:before="340" w:after="330" w:line="240" w:lineRule="auto"/>
    </w:pPr>
    <w:rPr>
      <w:rFonts w:ascii="黑体" w:eastAsia="黑体" w:cs="Times New Roman"/>
      <w:b w:val="0"/>
      <w:bCs/>
      <w:kern w:val="44"/>
      <w:szCs w:val="36"/>
    </w:rPr>
  </w:style>
  <w:style w:type="paragraph" w:customStyle="1" w:styleId="67">
    <w:name w:val="UserStyle_18"/>
    <w:basedOn w:val="1"/>
    <w:qFormat/>
    <w:uiPriority w:val="0"/>
    <w:rPr>
      <w:rFonts w:ascii="Tahoma" w:hAnsi="Tahoma"/>
      <w:sz w:val="24"/>
    </w:rPr>
  </w:style>
  <w:style w:type="paragraph" w:customStyle="1" w:styleId="68">
    <w:name w:val="UserStyle_19"/>
    <w:basedOn w:val="1"/>
    <w:qFormat/>
    <w:uiPriority w:val="0"/>
    <w:pPr>
      <w:spacing w:line="360" w:lineRule="auto"/>
    </w:pPr>
  </w:style>
  <w:style w:type="paragraph" w:customStyle="1" w:styleId="69">
    <w:name w:val="UserStyle_20"/>
    <w:basedOn w:val="1"/>
    <w:qFormat/>
    <w:uiPriority w:val="0"/>
    <w:pPr>
      <w:spacing w:line="400" w:lineRule="exact"/>
      <w:ind w:firstLine="200" w:firstLineChars="200"/>
    </w:pPr>
    <w:rPr>
      <w:sz w:val="24"/>
      <w:szCs w:val="24"/>
    </w:rPr>
  </w:style>
  <w:style w:type="paragraph" w:customStyle="1" w:styleId="70">
    <w:name w:val="UserStyle_21"/>
    <w:basedOn w:val="1"/>
    <w:qFormat/>
    <w:uiPriority w:val="0"/>
    <w:pPr>
      <w:ind w:firstLine="420" w:firstLineChars="200"/>
    </w:pPr>
  </w:style>
  <w:style w:type="paragraph" w:customStyle="1" w:styleId="71">
    <w:name w:val="UserStyle_22"/>
    <w:basedOn w:val="1"/>
    <w:qFormat/>
    <w:uiPriority w:val="0"/>
    <w:pPr>
      <w:spacing w:after="160" w:line="240" w:lineRule="exact"/>
      <w:jc w:val="left"/>
    </w:pPr>
    <w:rPr>
      <w:rFonts w:ascii="Verdana" w:hAnsi="Verdana" w:eastAsia="仿宋_GB2312"/>
      <w:kern w:val="0"/>
      <w:sz w:val="24"/>
      <w:lang w:eastAsia="en-US"/>
    </w:rPr>
  </w:style>
  <w:style w:type="paragraph" w:customStyle="1" w:styleId="72">
    <w:name w:val="178"/>
    <w:qFormat/>
    <w:uiPriority w:val="0"/>
    <w:pPr>
      <w:textAlignment w:val="baseline"/>
    </w:pPr>
    <w:rPr>
      <w:rFonts w:ascii="Times New Roman" w:hAnsi="Times New Roman" w:eastAsia="宋体" w:cstheme="minorBidi"/>
      <w:kern w:val="2"/>
      <w:sz w:val="21"/>
      <w:lang w:val="en-US" w:eastAsia="zh-CN" w:bidi="ar-SA"/>
    </w:rPr>
  </w:style>
  <w:style w:type="paragraph" w:customStyle="1" w:styleId="73">
    <w:name w:val="179"/>
    <w:basedOn w:val="1"/>
    <w:qFormat/>
    <w:uiPriority w:val="0"/>
    <w:pPr>
      <w:ind w:left="720"/>
      <w:contextualSpacing/>
      <w:jc w:val="left"/>
    </w:pPr>
    <w:rPr>
      <w:rFonts w:ascii="Calibri" w:hAnsi="Calibri"/>
      <w:kern w:val="0"/>
      <w:sz w:val="24"/>
      <w:lang w:eastAsia="en-US" w:bidi="en-US"/>
    </w:rPr>
  </w:style>
  <w:style w:type="character" w:customStyle="1" w:styleId="74">
    <w:name w:val="页脚 Char"/>
    <w:basedOn w:val="33"/>
    <w:link w:val="16"/>
    <w:qFormat/>
    <w:uiPriority w:val="0"/>
    <w:rPr>
      <w:sz w:val="18"/>
      <w:szCs w:val="24"/>
    </w:rPr>
  </w:style>
  <w:style w:type="character" w:customStyle="1" w:styleId="75">
    <w:name w:val="批注框文本 Char"/>
    <w:basedOn w:val="24"/>
    <w:link w:val="15"/>
    <w:qFormat/>
    <w:uiPriority w:val="0"/>
    <w:rPr>
      <w:kern w:val="2"/>
      <w:sz w:val="18"/>
      <w:szCs w:val="18"/>
    </w:rPr>
  </w:style>
  <w:style w:type="paragraph" w:customStyle="1" w:styleId="76">
    <w:name w:val="WPSOffice手动目录 1"/>
    <w:qFormat/>
    <w:uiPriority w:val="0"/>
    <w:rPr>
      <w:rFonts w:ascii="Times New Roman" w:hAnsi="Times New Roman" w:eastAsia="宋体" w:cstheme="minorBidi"/>
      <w:lang w:val="en-US" w:eastAsia="zh-CN" w:bidi="ar-SA"/>
    </w:rPr>
  </w:style>
  <w:style w:type="paragraph" w:customStyle="1" w:styleId="77">
    <w:name w:val="WPSOffice手动目录 2"/>
    <w:qFormat/>
    <w:uiPriority w:val="0"/>
    <w:pPr>
      <w:ind w:left="200" w:leftChars="200"/>
    </w:pPr>
    <w:rPr>
      <w:rFonts w:ascii="Times New Roman" w:hAnsi="Times New Roman" w:eastAsia="宋体" w:cstheme="minorBidi"/>
      <w:lang w:val="en-US" w:eastAsia="zh-CN" w:bidi="ar-SA"/>
    </w:rPr>
  </w:style>
  <w:style w:type="paragraph" w:customStyle="1" w:styleId="78">
    <w:name w:val="列出段落1"/>
    <w:basedOn w:val="1"/>
    <w:qFormat/>
    <w:uiPriority w:val="34"/>
    <w:pPr>
      <w:ind w:firstLine="420" w:firstLineChars="200"/>
    </w:pPr>
  </w:style>
  <w:style w:type="character" w:customStyle="1" w:styleId="79">
    <w:name w:val="纯文本 Char"/>
    <w:basedOn w:val="24"/>
    <w:link w:val="12"/>
    <w:qFormat/>
    <w:uiPriority w:val="0"/>
    <w:rPr>
      <w:rFonts w:ascii="宋体" w:hAnsi="Courier New" w:cs="Courier New"/>
      <w:kern w:val="2"/>
      <w:sz w:val="21"/>
      <w:szCs w:val="21"/>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1">
    <w:name w:val="p0"/>
    <w:basedOn w:val="1"/>
    <w:qFormat/>
    <w:uiPriority w:val="0"/>
    <w:pPr>
      <w:textAlignment w:val="auto"/>
    </w:pPr>
    <w:rPr>
      <w:rFonts w:cs="Times New Roman"/>
      <w:kern w:val="0"/>
      <w:szCs w:val="21"/>
    </w:rPr>
  </w:style>
  <w:style w:type="character" w:customStyle="1" w:styleId="82">
    <w:name w:val="正文文本缩进 Char"/>
    <w:basedOn w:val="24"/>
    <w:link w:val="9"/>
    <w:qFormat/>
    <w:uiPriority w:val="0"/>
    <w:rPr>
      <w:rFonts w:cstheme="minorBidi"/>
      <w:kern w:val="2"/>
      <w:sz w:val="21"/>
    </w:rPr>
  </w:style>
  <w:style w:type="character" w:customStyle="1" w:styleId="83">
    <w:name w:val="页眉 Char"/>
    <w:link w:val="17"/>
    <w:qFormat/>
    <w:uiPriority w:val="99"/>
    <w:rPr>
      <w:rFonts w:cstheme="minorBidi"/>
      <w:kern w:val="2"/>
      <w:sz w:val="18"/>
      <w:szCs w:val="18"/>
    </w:rPr>
  </w:style>
  <w:style w:type="character" w:customStyle="1" w:styleId="84">
    <w:name w:val="标题 2 Char"/>
    <w:basedOn w:val="24"/>
    <w:link w:val="4"/>
    <w:qFormat/>
    <w:uiPriority w:val="0"/>
    <w:rPr>
      <w:rFonts w:ascii="Arial" w:hAnsi="Arial" w:eastAsia="黑体"/>
      <w:b/>
      <w:bCs/>
      <w:kern w:val="2"/>
      <w:sz w:val="32"/>
      <w:szCs w:val="32"/>
    </w:rPr>
  </w:style>
  <w:style w:type="paragraph" w:styleId="85">
    <w:name w:val="List Paragraph"/>
    <w:basedOn w:val="1"/>
    <w:qFormat/>
    <w:uiPriority w:val="34"/>
    <w:pPr>
      <w:ind w:firstLine="420" w:firstLineChars="200"/>
    </w:pPr>
  </w:style>
  <w:style w:type="paragraph" w:customStyle="1" w:styleId="86">
    <w:name w:val="表格内容"/>
    <w:basedOn w:val="87"/>
    <w:qFormat/>
    <w:uiPriority w:val="0"/>
    <w:pPr>
      <w:spacing w:line="240" w:lineRule="auto"/>
      <w:ind w:firstLine="0" w:firstLineChars="0"/>
    </w:pPr>
    <w:rPr>
      <w:rFonts w:ascii="宋体" w:hAnsi="宋体"/>
      <w:bCs/>
    </w:rPr>
  </w:style>
  <w:style w:type="paragraph" w:customStyle="1" w:styleId="87">
    <w:name w:val="正文-自"/>
    <w:basedOn w:val="1"/>
    <w:qFormat/>
    <w:uiPriority w:val="0"/>
    <w:pPr>
      <w:spacing w:line="360" w:lineRule="auto"/>
      <w:ind w:firstLine="480" w:firstLineChars="200"/>
    </w:pPr>
    <w:rPr>
      <w:sz w:val="24"/>
    </w:rPr>
  </w:style>
  <w:style w:type="paragraph" w:customStyle="1" w:styleId="88">
    <w:name w:val="正文内容"/>
    <w:basedOn w:val="1"/>
    <w:qFormat/>
    <w:uiPriority w:val="0"/>
    <w:pPr>
      <w:ind w:firstLine="200"/>
    </w:pPr>
  </w:style>
  <w:style w:type="paragraph" w:customStyle="1" w:styleId="89">
    <w:name w:val="图表内容"/>
    <w:basedOn w:val="90"/>
    <w:next w:val="1"/>
    <w:qFormat/>
    <w:uiPriority w:val="0"/>
    <w:pPr>
      <w:jc w:val="center"/>
    </w:pPr>
    <w:rPr>
      <w:rFonts w:ascii="Times New Roman" w:hAnsi="Times New Roman" w:eastAsia="宋体" w:cs="Times New Roman"/>
      <w:szCs w:val="24"/>
    </w:rPr>
  </w:style>
  <w:style w:type="paragraph" w:styleId="90">
    <w:name w:val="No Spacing"/>
    <w:qFormat/>
    <w:uiPriority w:val="9"/>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正文文本1"/>
    <w:basedOn w:val="1"/>
    <w:qFormat/>
    <w:uiPriority w:val="0"/>
    <w:pPr>
      <w:spacing w:after="130" w:line="324" w:lineRule="auto"/>
      <w:ind w:firstLine="400"/>
      <w:jc w:val="left"/>
    </w:pPr>
    <w:rPr>
      <w:rFonts w:ascii="宋体" w:hAnsi="宋体" w:eastAsia="宋体" w:cs="宋体"/>
      <w:color w:val="E47A6E"/>
      <w:sz w:val="20"/>
      <w:szCs w:val="20"/>
      <w:lang w:val="zh-CN" w:bidi="zh-CN"/>
    </w:rPr>
  </w:style>
  <w:style w:type="paragraph" w:customStyle="1" w:styleId="92">
    <w:name w:val="标题 #4"/>
    <w:basedOn w:val="1"/>
    <w:qFormat/>
    <w:uiPriority w:val="0"/>
    <w:pPr>
      <w:spacing w:after="80" w:line="397" w:lineRule="exact"/>
      <w:ind w:left="460" w:firstLine="560"/>
      <w:jc w:val="left"/>
      <w:outlineLvl w:val="3"/>
    </w:pPr>
    <w:rPr>
      <w:rFonts w:ascii="宋体" w:hAnsi="宋体" w:eastAsia="宋体" w:cs="宋体"/>
      <w:lang w:val="zh-CN" w:bidi="zh-CN"/>
    </w:rPr>
  </w:style>
  <w:style w:type="paragraph" w:customStyle="1" w:styleId="93">
    <w:name w:val="Table Text"/>
    <w:basedOn w:val="1"/>
    <w:semiHidden/>
    <w:qFormat/>
    <w:uiPriority w:val="0"/>
    <w:rPr>
      <w:rFonts w:ascii="宋体" w:hAnsi="宋体" w:eastAsia="宋体" w:cs="宋体"/>
      <w:sz w:val="24"/>
      <w:szCs w:val="24"/>
      <w:lang w:val="en-US" w:eastAsia="en-US" w:bidi="ar-SA"/>
    </w:rPr>
  </w:style>
  <w:style w:type="table" w:customStyle="1" w:styleId="94">
    <w:name w:val="Table Normal"/>
    <w:semiHidden/>
    <w:unhideWhenUsed/>
    <w:qFormat/>
    <w:uiPriority w:val="0"/>
    <w:tblPr>
      <w:tblCellMar>
        <w:top w:w="0" w:type="dxa"/>
        <w:left w:w="0" w:type="dxa"/>
        <w:bottom w:w="0" w:type="dxa"/>
        <w:right w:w="0" w:type="dxa"/>
      </w:tblCellMar>
    </w:tblPr>
  </w:style>
  <w:style w:type="paragraph" w:customStyle="1" w:styleId="95">
    <w:name w:val="列表段落1"/>
    <w:basedOn w:val="1"/>
    <w:qFormat/>
    <w:uiPriority w:val="0"/>
    <w:pPr>
      <w:ind w:firstLine="420" w:firstLineChars="200"/>
    </w:pPr>
  </w:style>
  <w:style w:type="paragraph" w:customStyle="1" w:styleId="96">
    <w:name w:val="表格文字"/>
    <w:basedOn w:val="1"/>
    <w:next w:val="8"/>
    <w:qFormat/>
    <w:uiPriority w:val="0"/>
    <w:pPr>
      <w:spacing w:before="120" w:after="120"/>
    </w:pPr>
    <w:rPr>
      <w:rFonts w:ascii="新宋体" w:hAnsi="宋体" w:eastAsia="新宋体"/>
      <w:bCs/>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2229B-737D-41F1-853B-2C0ECBDCF8A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63</Pages>
  <Words>27304</Words>
  <Characters>29011</Characters>
  <Lines>235</Lines>
  <Paragraphs>66</Paragraphs>
  <TotalTime>16</TotalTime>
  <ScaleCrop>false</ScaleCrop>
  <LinksUpToDate>false</LinksUpToDate>
  <CharactersWithSpaces>30581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2022-09-27T09:41:00Z</dcterms:created>
  <dc:creator>ASUS</dc:creator>
  <cp:lastModifiedBy>万阳</cp:lastModifiedBy>
  <cp:lastPrinted>2023-04-25T05:45:00Z</cp:lastPrinted>
  <dcterms:modified xsi:type="dcterms:W3CDTF">2023-12-05T03:13:57Z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643770A8E7D04E78AB9782B5DA85AA46</vt:lpwstr>
  </property>
</Properties>
</file>