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b/>
          <w:bCs/>
          <w:sz w:val="36"/>
          <w:szCs w:val="44"/>
          <w:lang w:val="en-US" w:eastAsia="zh-CN"/>
        </w:rPr>
      </w:pPr>
      <w:r>
        <w:rPr>
          <w:rFonts w:hint="eastAsia"/>
          <w:b/>
          <w:bCs/>
          <w:sz w:val="36"/>
          <w:szCs w:val="44"/>
          <w:lang w:val="en-US" w:eastAsia="zh-CN"/>
        </w:rPr>
        <w:t>永寿县集体土地所有权数据更新交汇项目招标公告</w:t>
      </w:r>
    </w:p>
    <w:p>
      <w:pPr>
        <w:bidi w:val="0"/>
        <w:jc w:val="center"/>
        <w:rPr>
          <w:rFonts w:hint="eastAsia"/>
          <w:b/>
          <w:bCs/>
          <w:sz w:val="36"/>
          <w:szCs w:val="44"/>
          <w:lang w:val="en-US" w:eastAsia="zh-CN"/>
        </w:rPr>
      </w:pP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永寿县集体土地所有权数据更新交汇项目</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咸阳市人民西路 29 号金方圆广场B座20层2002室</w:t>
      </w:r>
      <w:r>
        <w:rPr>
          <w:rFonts w:hint="eastAsia" w:ascii="微软雅黑" w:hAnsi="微软雅黑" w:eastAsia="微软雅黑" w:cs="微软雅黑"/>
          <w:i w:val="0"/>
          <w:iCs w:val="0"/>
          <w:caps w:val="0"/>
          <w:color w:val="333333"/>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2023年12月05日 14时30分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项目编号：SXDZZ（2023）241号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项目名称：永寿县集体土地所有权数据更新交汇项目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预算金额：2,962,644.00元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合同包1(永寿县集体土地所有权数据更新交汇项目):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合同包预算金额：2,962,644.00元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合同包最高限价：2,962,644.00元</w:t>
      </w:r>
    </w:p>
    <w:tbl>
      <w:tblPr>
        <w:tblW w:w="887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16"/>
        <w:gridCol w:w="1281"/>
        <w:gridCol w:w="2296"/>
        <w:gridCol w:w="712"/>
        <w:gridCol w:w="1071"/>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55" w:hRule="atLeast"/>
          <w:tblHeader/>
        </w:trPr>
        <w:tc>
          <w:tcPr>
            <w:tcW w:w="58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15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15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73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44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90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90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5"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数据加工处理服务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对永寿县集体土地所有权数据进行更新交汇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2,962,644.00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2,962,644.00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合同履行期限：自合同签订之日起6个月（具体服务起止日期可随合同签订时间相应顺延）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合同包1(永寿县集体土地所有权数据更新交汇项目)落实政府采购政策需满足的资格要求如下: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（1）《政府采购促进中小企业发展管理办法》（财库〔2020〕46号）；（2）《财政部 司法部关于政府采购支持监狱企业发展有关问题的通知》（财库〔2014〕68号）；（3）《国务院办公厅关于建立政府强制采购节能产品制度的通知》（国办发〔2007〕51号）；（4）《环境标志产品政府采购实施的意见》（财库〔2006〕90号）；（5）《节能产品政府采购实施意见》--（财库[2004]185号）；（6）《关于促进残疾人就业政府采购政策的通知》财库〔2017〕141号；（7）《财政部发展改革委生态环境部市场监管总局关于调整优化节能产品、环境标志产品政府采购执行机制的通知》（财库〔2019〕9号）；（8）《财政部国务院扶贫办关于运用政府采购政策支持脱贫攻坚的通知》（财库〔2019〕27号）；（9）陕西省财政厅关于印发《陕西省中小企业政府采购信用融资办法》（陕财办采〔2018〕23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合同包1(永寿县集体土地所有权数据更新交汇项目)特定资格要求如下: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营业执照等主体资格证明文件：投标人应具有独立承担民事责任的能力的企业法人、事业法人、其他组织或自然人，出具合法有效的营业执照等相关证明文件，自然人参与的提供其身份证明；（2）、法人身份证明或法定代表人授权书：法定代表人直接参加投标的，须出具法人身份证明（含法人身份证原件、复印件及近三个月社保参保证明）；法定代表人授权代表参加投标的，须出具法定代表人授权书（含法人、被授权人身份证复印件）、被授权人身份证原件及近三个月社保参保证明；（3）、企业资质：投标人须具备国家测绘主管部门颁发的乙级及以上测绘资质证书；（4）拟派项目负责人：拟派项目负责人须具中级测绘师证书，且需在本单位注册。（5）书面声明：出具参加本次采购活动前三年内在经营活动中没有重大违法记录的书面声明;（6）、财务状况报告：提供2022年度经审计的财务报告（成立时间至提交投标文件截止时间不足一年的可提供成立后任意时段的资产负债表），或在投标截止时间前六个月内其基本开户银行出具的资信证明；（7）、社会保障资金缴纳证明：提供采购活动前6个月内任意一个月已缴纳的社会保障资金缴存单据或社保机构开具的社会保险参保缴费情况证明，依法不需要缴纳社会保障资金的应提供相关文件证明；（8）、税收缴纳证明：提供采购活动前6个月内任意一个月已缴纳的完税凭证或税务机关开具的完税证明（任意税种），依法免税的单位应提供相关证明材料；（9）、信誉要求：供应商不得被列入“中国执行信息公开网”（http://zxgk.court.gov.cn）失信被执行人，不得被列入“信用中国”网站（www.creditchina.gov.cn）重大税收违法失信主体，不得被列入“中国政府采购网”（www.ccgp.gov.cn）政府采购严重违法失信行为记录名单中被财政部门禁止参加政府采购活动；（提供查询结果网页截图并加盖供应商公章）；（10）、单位负责人为同一人或者存在控股、管理关系的不同供应商，不得同时参加本项目投标；（11）、本项目不接受联合体投标,供应商需保证资质文件的真实、合法、有效；（12）本项目为专门面向中小企业项目，供应商应为中小型、微型企业、监狱企业、残疾人 福利性单位。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2023年11月13日 至 2023年11月17日 ，每天上午 08:00:00 至 12:00:00 ，下午 14:00:00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咸阳市人民西路 29 号金方圆广场B座20层2002室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2023年12月05日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咸阳市人民西路 29 号金方圆广场B座20层2028室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咸阳市人民西路 29 号金方圆广场B座20层2028室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kern w:val="0"/>
          <w:sz w:val="21"/>
          <w:szCs w:val="21"/>
          <w:bdr w:val="none" w:color="auto" w:sz="0" w:space="0"/>
          <w:shd w:val="clear" w:fill="FFFFFF"/>
          <w:lang w:val="en-US" w:eastAsia="zh-CN" w:bidi="ar"/>
        </w:rPr>
        <w:t>1、请供应商按照陕西省财政厅关于政府采购供应商注册登记有关事项的通知中的要求，通过陕西省政府采购网（http://www.ccgp-shaanxi.gov.cn/）注册登记加入陕西省政府采购供应商库。2、有意向供应商请携带单位介绍信和经办人身份证复印件（加盖公章）及原件领取招标文件，谢绝邮寄,双休日及法定节假日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永寿县自然资源局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永寿县西兰大街北段20号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029-37663472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陕西德正建设工程项目管理有限公司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陕西省咸阳市秦都区人民西路金方圆广场Ｂ座20层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029-33575132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杨工、史工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A82E5"/>
          <w:spacing w:val="0"/>
          <w:sz w:val="21"/>
          <w:szCs w:val="21"/>
          <w:bdr w:val="none" w:color="auto" w:sz="0" w:space="0"/>
          <w:shd w:val="clear" w:fill="FFFFFF"/>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15709202966，17829500313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A82E5"/>
          <w:spacing w:val="0"/>
          <w:sz w:val="21"/>
          <w:szCs w:val="21"/>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A82E5"/>
          <w:spacing w:val="0"/>
          <w:sz w:val="21"/>
          <w:szCs w:val="21"/>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A82E5"/>
          <w:spacing w:val="0"/>
          <w:sz w:val="21"/>
          <w:szCs w:val="21"/>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bdr w:val="none" w:color="auto" w:sz="0" w:space="0"/>
          <w:shd w:val="clear" w:fill="FFFFFF"/>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陕西德正建设工程项目管理有限公司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rFonts w:hint="default" w:ascii="微软雅黑" w:hAnsi="微软雅黑" w:eastAsia="微软雅黑" w:cs="微软雅黑"/>
          <w:i w:val="0"/>
          <w:iCs w:val="0"/>
          <w:caps w:val="0"/>
          <w:color w:val="333333"/>
          <w:spacing w:val="0"/>
          <w:sz w:val="21"/>
          <w:szCs w:val="21"/>
          <w:bdr w:val="none" w:color="auto" w:sz="0" w:space="0"/>
          <w:shd w:val="clear" w:fill="FFFFFF"/>
          <w:lang w:val="en-US" w:eastAsia="zh-CN"/>
        </w:rPr>
      </w:pPr>
      <w:r>
        <w:rPr>
          <w:rFonts w:hint="eastAsia" w:ascii="微软雅黑" w:hAnsi="微软雅黑" w:eastAsia="微软雅黑" w:cs="微软雅黑"/>
          <w:i w:val="0"/>
          <w:iCs w:val="0"/>
          <w:caps w:val="0"/>
          <w:color w:val="333333"/>
          <w:spacing w:val="0"/>
          <w:sz w:val="21"/>
          <w:szCs w:val="21"/>
          <w:bdr w:val="none" w:color="auto" w:sz="0" w:space="0"/>
          <w:shd w:val="clear" w:fill="FFFFFF"/>
          <w:lang w:val="en-US" w:eastAsia="zh-CN"/>
        </w:rPr>
        <w:t xml:space="preserve">2023年11月10日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rFonts w:hint="default"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kZDgzOTkwYzBkMjQxNjg5MDllYjlhYTNiNzc0YTQifQ=="/>
  </w:docVars>
  <w:rsids>
    <w:rsidRoot w:val="00000000"/>
    <w:rsid w:val="11A231DD"/>
    <w:rsid w:val="27F80A4E"/>
    <w:rsid w:val="314D5F0A"/>
    <w:rsid w:val="4CAB0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2023-11-08T09:21:00Z</dcterms:created>
  <dc:creator>Administrator</dc:creator>
  <cp:lastModifiedBy>敏敏</cp:lastModifiedBy>
  <dcterms:modified xsi:type="dcterms:W3CDTF">2023-11-10T00:22:22Z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3112E92160B143B190B89A2B816B208A_12</vt:lpwstr>
  </property>
</Properties>
</file>