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77" w:lineRule="auto"/>
        <w:jc w:val="left"/>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lang w:eastAsia="zh-CN"/>
        </w:rPr>
        <w:t>【政府采购</w:t>
      </w:r>
      <w:r>
        <w:rPr>
          <w:rFonts w:hint="eastAsia" w:ascii="宋体" w:hAnsi="宋体" w:eastAsia="宋体" w:cs="宋体"/>
          <w:b/>
          <w:color w:val="000000"/>
          <w:sz w:val="32"/>
          <w:szCs w:val="32"/>
          <w:highlight w:val="none"/>
          <w:lang w:val="en-US" w:eastAsia="zh-CN"/>
        </w:rPr>
        <w:t>-非专门面向中小企业采购项目</w:t>
      </w:r>
      <w:r>
        <w:rPr>
          <w:rFonts w:hint="eastAsia" w:ascii="宋体" w:hAnsi="宋体" w:eastAsia="宋体" w:cs="宋体"/>
          <w:b/>
          <w:color w:val="000000"/>
          <w:sz w:val="32"/>
          <w:szCs w:val="32"/>
          <w:highlight w:val="none"/>
          <w:lang w:eastAsia="zh-CN"/>
        </w:rPr>
        <w:t>】</w:t>
      </w:r>
    </w:p>
    <w:p>
      <w:pPr>
        <w:jc w:val="both"/>
        <w:rPr>
          <w:rFonts w:hint="eastAsia" w:ascii="宋体" w:hAnsi="宋体" w:eastAsia="宋体" w:cs="宋体"/>
          <w:b/>
          <w:bCs/>
          <w:sz w:val="32"/>
          <w:szCs w:val="32"/>
          <w:highlight w:val="none"/>
          <w:lang w:val="en-US" w:eastAsia="zh-CN"/>
        </w:rPr>
      </w:pPr>
      <w:r>
        <w:rPr>
          <w:rFonts w:hint="eastAsia" w:ascii="宋体" w:hAnsi="宋体" w:eastAsia="宋体" w:cs="宋体"/>
          <w:b/>
          <w:bCs/>
          <w:color w:val="000000"/>
          <w:sz w:val="32"/>
          <w:szCs w:val="36"/>
          <w:highlight w:val="none"/>
          <w:lang w:eastAsia="zh-CN"/>
        </w:rPr>
        <w:t>项目编号</w:t>
      </w:r>
      <w:r>
        <w:rPr>
          <w:rFonts w:hint="eastAsia" w:ascii="宋体" w:hAnsi="宋体" w:eastAsia="宋体" w:cs="宋体"/>
          <w:b/>
          <w:bCs/>
          <w:color w:val="000000"/>
          <w:sz w:val="32"/>
          <w:szCs w:val="36"/>
          <w:highlight w:val="none"/>
        </w:rPr>
        <w:t>：</w:t>
      </w:r>
      <w:r>
        <w:rPr>
          <w:rFonts w:hint="eastAsia" w:ascii="宋体" w:hAnsi="宋体" w:eastAsia="宋体" w:cs="宋体"/>
          <w:b/>
          <w:bCs/>
          <w:color w:val="000000"/>
          <w:sz w:val="32"/>
          <w:szCs w:val="36"/>
          <w:highlight w:val="none"/>
          <w:lang w:val="en-US" w:eastAsia="zh-CN"/>
        </w:rPr>
        <w:t>JZDCG-2023-028</w:t>
      </w:r>
    </w:p>
    <w:p>
      <w:pPr>
        <w:rPr>
          <w:rFonts w:hint="eastAsia" w:ascii="宋体" w:hAnsi="宋体" w:eastAsia="宋体" w:cs="宋体"/>
          <w:b/>
          <w:spacing w:val="-18"/>
          <w:sz w:val="52"/>
          <w:szCs w:val="52"/>
          <w:highlight w:val="none"/>
        </w:rPr>
      </w:pPr>
    </w:p>
    <w:p>
      <w:pPr>
        <w:pStyle w:val="8"/>
        <w:rPr>
          <w:rFonts w:hint="eastAsia" w:ascii="宋体" w:hAnsi="宋体" w:eastAsia="宋体" w:cs="宋体"/>
          <w:highlight w:val="none"/>
        </w:rPr>
      </w:pPr>
    </w:p>
    <w:p>
      <w:pPr>
        <w:spacing w:line="600" w:lineRule="auto"/>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县医院购置“互联网+医疗”信息化服务项目</w:t>
      </w:r>
    </w:p>
    <w:p>
      <w:pPr>
        <w:keepNext/>
        <w:keepLines/>
        <w:spacing w:line="377" w:lineRule="auto"/>
        <w:rPr>
          <w:rFonts w:hint="eastAsia" w:ascii="宋体" w:hAnsi="宋体" w:eastAsia="宋体" w:cs="宋体"/>
          <w:highlight w:val="none"/>
        </w:rPr>
      </w:pPr>
    </w:p>
    <w:p>
      <w:pPr>
        <w:jc w:val="center"/>
        <w:rPr>
          <w:rFonts w:hint="eastAsia" w:ascii="宋体" w:hAnsi="宋体" w:eastAsia="宋体" w:cs="宋体"/>
          <w:b/>
          <w:bCs/>
          <w:spacing w:val="20"/>
          <w:kern w:val="0"/>
          <w:sz w:val="72"/>
          <w:szCs w:val="72"/>
          <w:highlight w:val="none"/>
        </w:rPr>
      </w:pPr>
    </w:p>
    <w:p>
      <w:pPr>
        <w:jc w:val="center"/>
        <w:rPr>
          <w:rFonts w:hint="eastAsia" w:ascii="宋体" w:hAnsi="宋体" w:eastAsia="宋体" w:cs="宋体"/>
          <w:b/>
          <w:bCs/>
          <w:spacing w:val="20"/>
          <w:kern w:val="0"/>
          <w:sz w:val="72"/>
          <w:szCs w:val="72"/>
          <w:highlight w:val="none"/>
          <w:lang w:eastAsia="zh-CN"/>
        </w:rPr>
      </w:pPr>
      <w:r>
        <w:rPr>
          <w:rFonts w:hint="eastAsia" w:ascii="宋体" w:hAnsi="宋体" w:eastAsia="宋体" w:cs="宋体"/>
          <w:b/>
          <w:bCs/>
          <w:spacing w:val="20"/>
          <w:kern w:val="0"/>
          <w:sz w:val="72"/>
          <w:szCs w:val="72"/>
          <w:highlight w:val="none"/>
          <w:lang w:eastAsia="zh-CN"/>
        </w:rPr>
        <w:t>磋商文件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drawing>
          <wp:inline distT="0" distB="0" distL="114300" distR="114300">
            <wp:extent cx="1629410" cy="1822450"/>
            <wp:effectExtent l="0" t="0" r="8890" b="0"/>
            <wp:docPr id="1" name="图片 2" descr="金准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金准达logo"/>
                    <pic:cNvPicPr preferRelativeResize="0">
                      <a:picLocks noChangeAspect="1"/>
                    </pic:cNvPicPr>
                  </pic:nvPicPr>
                  <pic:blipFill>
                    <a:blip r:embed="rId11"/>
                    <a:stretch>
                      <a:fillRect/>
                    </a:stretch>
                  </pic:blipFill>
                  <pic:spPr>
                    <a:xfrm flipH="1">
                      <a:off x="0" y="0"/>
                      <a:ext cx="1629410" cy="1822450"/>
                    </a:xfrm>
                    <a:prstGeom prst="rect">
                      <a:avLst/>
                    </a:prstGeom>
                    <a:noFill/>
                    <a:ln>
                      <a:noFill/>
                    </a:ln>
                  </pic:spPr>
                </pic:pic>
              </a:graphicData>
            </a:graphic>
          </wp:inline>
        </w:drawing>
      </w:r>
    </w:p>
    <w:p>
      <w:pPr>
        <w:pStyle w:val="25"/>
        <w:rPr>
          <w:rFonts w:hint="eastAsia" w:ascii="宋体" w:hAnsi="宋体" w:eastAsia="宋体" w:cs="宋体"/>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陕西金准达项目管理有限责任公司</w:t>
      </w:r>
    </w:p>
    <w:p>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二零二</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eastAsia="zh-CN"/>
        </w:rPr>
        <w:t>八</w:t>
      </w:r>
      <w:r>
        <w:rPr>
          <w:rFonts w:hint="eastAsia" w:ascii="宋体" w:hAnsi="宋体" w:eastAsia="宋体" w:cs="宋体"/>
          <w:b/>
          <w:bCs/>
          <w:sz w:val="36"/>
          <w:szCs w:val="36"/>
          <w:highlight w:val="none"/>
        </w:rPr>
        <w:t>月</w:t>
      </w:r>
    </w:p>
    <w:p>
      <w:pPr>
        <w:pStyle w:val="2"/>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eastAsia="宋体" w:cs="宋体"/>
          <w:b/>
          <w:sz w:val="52"/>
          <w:szCs w:val="52"/>
          <w:highlight w:val="none"/>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eastAsia="宋体" w:cs="宋体"/>
          <w:b/>
          <w:sz w:val="52"/>
          <w:szCs w:val="5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eastAsia="宋体" w:cs="宋体"/>
          <w:b/>
          <w:sz w:val="52"/>
          <w:szCs w:val="52"/>
          <w:highlight w:val="none"/>
        </w:rPr>
      </w:pPr>
      <w:r>
        <w:rPr>
          <w:rFonts w:hint="eastAsia" w:ascii="宋体" w:hAnsi="宋体" w:eastAsia="宋体" w:cs="宋体"/>
          <w:b/>
          <w:sz w:val="52"/>
          <w:szCs w:val="52"/>
          <w:highlight w:val="none"/>
        </w:rPr>
        <w:t>目录</w:t>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rFonts w:hint="eastAsia" w:ascii="宋体" w:hAnsi="宋体" w:eastAsia="宋体" w:cs="宋体"/>
          <w:sz w:val="36"/>
          <w:szCs w:val="36"/>
          <w:highlight w:val="none"/>
        </w:rPr>
      </w:pP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TOC\o"1-1"\h\u</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_Toc24927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第一部分</w:t>
      </w:r>
      <w:r>
        <w:rPr>
          <w:rFonts w:hint="eastAsia" w:ascii="宋体" w:hAnsi="宋体" w:cs="宋体"/>
          <w:sz w:val="36"/>
          <w:szCs w:val="36"/>
          <w:highlight w:val="none"/>
          <w:lang w:val="en-US" w:eastAsia="zh-CN"/>
        </w:rPr>
        <w:t xml:space="preserve">  </w:t>
      </w:r>
      <w:r>
        <w:rPr>
          <w:rFonts w:hint="eastAsia" w:ascii="宋体" w:hAnsi="宋体" w:eastAsia="宋体" w:cs="宋体"/>
          <w:sz w:val="36"/>
          <w:szCs w:val="36"/>
          <w:highlight w:val="none"/>
        </w:rPr>
        <w:t>竞争性磋商公告</w:t>
      </w:r>
      <w:r>
        <w:rPr>
          <w:sz w:val="36"/>
          <w:szCs w:val="36"/>
          <w:highlight w:val="none"/>
        </w:rPr>
        <w:tab/>
      </w:r>
      <w:r>
        <w:rPr>
          <w:sz w:val="36"/>
          <w:szCs w:val="36"/>
          <w:highlight w:val="none"/>
        </w:rPr>
        <w:fldChar w:fldCharType="begin"/>
      </w:r>
      <w:r>
        <w:rPr>
          <w:sz w:val="36"/>
          <w:szCs w:val="36"/>
          <w:highlight w:val="none"/>
        </w:rPr>
        <w:instrText xml:space="preserve"> PAGEREF _Toc24927 \h </w:instrText>
      </w:r>
      <w:r>
        <w:rPr>
          <w:sz w:val="36"/>
          <w:szCs w:val="36"/>
          <w:highlight w:val="none"/>
        </w:rPr>
        <w:fldChar w:fldCharType="separate"/>
      </w:r>
      <w:r>
        <w:rPr>
          <w:sz w:val="36"/>
          <w:szCs w:val="36"/>
          <w:highlight w:val="none"/>
        </w:rPr>
        <w:t>1</w:t>
      </w:r>
      <w:r>
        <w:rPr>
          <w:sz w:val="36"/>
          <w:szCs w:val="36"/>
          <w:highlight w:val="none"/>
        </w:rPr>
        <w:fldChar w:fldCharType="end"/>
      </w:r>
      <w:r>
        <w:rPr>
          <w:rFonts w:hint="eastAsia" w:ascii="宋体" w:hAnsi="宋体" w:eastAsia="宋体" w:cs="宋体"/>
          <w:sz w:val="36"/>
          <w:szCs w:val="36"/>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_Toc31655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第二部分</w:t>
      </w:r>
      <w:r>
        <w:rPr>
          <w:rFonts w:hint="eastAsia" w:ascii="宋体" w:hAnsi="宋体" w:cs="宋体"/>
          <w:sz w:val="36"/>
          <w:szCs w:val="36"/>
          <w:highlight w:val="none"/>
          <w:lang w:val="en-US" w:eastAsia="zh-CN"/>
        </w:rPr>
        <w:t xml:space="preserve">  </w:t>
      </w:r>
      <w:r>
        <w:rPr>
          <w:rFonts w:hint="eastAsia" w:ascii="宋体" w:hAnsi="宋体" w:eastAsia="宋体" w:cs="宋体"/>
          <w:sz w:val="36"/>
          <w:szCs w:val="36"/>
          <w:highlight w:val="none"/>
        </w:rPr>
        <w:t>供应商须知</w:t>
      </w:r>
      <w:r>
        <w:rPr>
          <w:sz w:val="36"/>
          <w:szCs w:val="36"/>
          <w:highlight w:val="none"/>
        </w:rPr>
        <w:tab/>
      </w:r>
      <w:r>
        <w:rPr>
          <w:sz w:val="36"/>
          <w:szCs w:val="36"/>
          <w:highlight w:val="none"/>
        </w:rPr>
        <w:fldChar w:fldCharType="begin"/>
      </w:r>
      <w:r>
        <w:rPr>
          <w:sz w:val="36"/>
          <w:szCs w:val="36"/>
          <w:highlight w:val="none"/>
        </w:rPr>
        <w:instrText xml:space="preserve"> PAGEREF _Toc31655 \h </w:instrText>
      </w:r>
      <w:r>
        <w:rPr>
          <w:sz w:val="36"/>
          <w:szCs w:val="36"/>
          <w:highlight w:val="none"/>
        </w:rPr>
        <w:fldChar w:fldCharType="separate"/>
      </w:r>
      <w:r>
        <w:rPr>
          <w:sz w:val="36"/>
          <w:szCs w:val="36"/>
          <w:highlight w:val="none"/>
        </w:rPr>
        <w:t>5</w:t>
      </w:r>
      <w:r>
        <w:rPr>
          <w:sz w:val="36"/>
          <w:szCs w:val="36"/>
          <w:highlight w:val="none"/>
        </w:rPr>
        <w:fldChar w:fldCharType="end"/>
      </w:r>
      <w:r>
        <w:rPr>
          <w:rFonts w:hint="eastAsia" w:ascii="宋体" w:hAnsi="宋体" w:eastAsia="宋体" w:cs="宋体"/>
          <w:sz w:val="36"/>
          <w:szCs w:val="36"/>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_Toc22311 </w:instrText>
      </w:r>
      <w:r>
        <w:rPr>
          <w:rFonts w:hint="eastAsia" w:ascii="宋体" w:hAnsi="宋体" w:eastAsia="宋体" w:cs="宋体"/>
          <w:sz w:val="36"/>
          <w:szCs w:val="36"/>
          <w:highlight w:val="none"/>
        </w:rPr>
        <w:fldChar w:fldCharType="separate"/>
      </w:r>
      <w:r>
        <w:rPr>
          <w:rFonts w:hint="eastAsia" w:ascii="宋体" w:hAnsi="宋体" w:eastAsia="宋体" w:cs="宋体"/>
          <w:bCs/>
          <w:sz w:val="36"/>
          <w:szCs w:val="36"/>
          <w:highlight w:val="none"/>
        </w:rPr>
        <w:t>第三部分</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lang w:eastAsia="zh-CN"/>
        </w:rPr>
        <w:t>评审</w:t>
      </w:r>
      <w:r>
        <w:rPr>
          <w:rFonts w:hint="eastAsia" w:ascii="宋体" w:hAnsi="宋体" w:eastAsia="宋体" w:cs="宋体"/>
          <w:bCs/>
          <w:sz w:val="36"/>
          <w:szCs w:val="36"/>
          <w:highlight w:val="none"/>
        </w:rPr>
        <w:t>办法</w:t>
      </w:r>
      <w:r>
        <w:rPr>
          <w:sz w:val="36"/>
          <w:szCs w:val="36"/>
          <w:highlight w:val="none"/>
        </w:rPr>
        <w:tab/>
      </w:r>
      <w:r>
        <w:rPr>
          <w:sz w:val="36"/>
          <w:szCs w:val="36"/>
          <w:highlight w:val="none"/>
        </w:rPr>
        <w:fldChar w:fldCharType="begin"/>
      </w:r>
      <w:r>
        <w:rPr>
          <w:sz w:val="36"/>
          <w:szCs w:val="36"/>
          <w:highlight w:val="none"/>
        </w:rPr>
        <w:instrText xml:space="preserve"> PAGEREF _Toc22311 \h </w:instrText>
      </w:r>
      <w:r>
        <w:rPr>
          <w:sz w:val="36"/>
          <w:szCs w:val="36"/>
          <w:highlight w:val="none"/>
        </w:rPr>
        <w:fldChar w:fldCharType="separate"/>
      </w:r>
      <w:r>
        <w:rPr>
          <w:sz w:val="36"/>
          <w:szCs w:val="36"/>
          <w:highlight w:val="none"/>
        </w:rPr>
        <w:t>32</w:t>
      </w:r>
      <w:r>
        <w:rPr>
          <w:sz w:val="36"/>
          <w:szCs w:val="36"/>
          <w:highlight w:val="none"/>
        </w:rPr>
        <w:fldChar w:fldCharType="end"/>
      </w:r>
      <w:r>
        <w:rPr>
          <w:rFonts w:hint="eastAsia" w:ascii="宋体" w:hAnsi="宋体" w:eastAsia="宋体" w:cs="宋体"/>
          <w:sz w:val="36"/>
          <w:szCs w:val="36"/>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_Toc1613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lang w:eastAsia="zh-CN"/>
        </w:rPr>
        <w:t>第四部分</w:t>
      </w:r>
      <w:r>
        <w:rPr>
          <w:rFonts w:hint="eastAsia" w:ascii="宋体" w:hAnsi="宋体" w:cs="宋体"/>
          <w:sz w:val="36"/>
          <w:szCs w:val="36"/>
          <w:highlight w:val="none"/>
          <w:lang w:val="en-US" w:eastAsia="zh-CN"/>
        </w:rPr>
        <w:t xml:space="preserve">  </w:t>
      </w:r>
      <w:r>
        <w:rPr>
          <w:rFonts w:hint="eastAsia" w:ascii="宋体" w:hAnsi="宋体" w:eastAsia="宋体" w:cs="宋体"/>
          <w:sz w:val="36"/>
          <w:szCs w:val="36"/>
          <w:highlight w:val="none"/>
          <w:lang w:eastAsia="zh-CN"/>
        </w:rPr>
        <w:t>采购内容及要求</w:t>
      </w:r>
      <w:r>
        <w:rPr>
          <w:sz w:val="36"/>
          <w:szCs w:val="36"/>
          <w:highlight w:val="none"/>
        </w:rPr>
        <w:tab/>
      </w:r>
      <w:r>
        <w:rPr>
          <w:sz w:val="36"/>
          <w:szCs w:val="36"/>
          <w:highlight w:val="none"/>
        </w:rPr>
        <w:fldChar w:fldCharType="begin"/>
      </w:r>
      <w:r>
        <w:rPr>
          <w:sz w:val="36"/>
          <w:szCs w:val="36"/>
          <w:highlight w:val="none"/>
        </w:rPr>
        <w:instrText xml:space="preserve"> PAGEREF _Toc1613 \h </w:instrText>
      </w:r>
      <w:r>
        <w:rPr>
          <w:sz w:val="36"/>
          <w:szCs w:val="36"/>
          <w:highlight w:val="none"/>
        </w:rPr>
        <w:fldChar w:fldCharType="separate"/>
      </w:r>
      <w:r>
        <w:rPr>
          <w:sz w:val="36"/>
          <w:szCs w:val="36"/>
          <w:highlight w:val="none"/>
        </w:rPr>
        <w:t>40</w:t>
      </w:r>
      <w:r>
        <w:rPr>
          <w:sz w:val="36"/>
          <w:szCs w:val="36"/>
          <w:highlight w:val="none"/>
        </w:rPr>
        <w:fldChar w:fldCharType="end"/>
      </w:r>
      <w:r>
        <w:rPr>
          <w:rFonts w:hint="eastAsia" w:ascii="宋体" w:hAnsi="宋体" w:eastAsia="宋体" w:cs="宋体"/>
          <w:sz w:val="36"/>
          <w:szCs w:val="36"/>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_Toc12760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lang w:val="en-US" w:eastAsia="zh-CN"/>
        </w:rPr>
        <w:t>第五部分</w:t>
      </w:r>
      <w:r>
        <w:rPr>
          <w:rFonts w:hint="eastAsia" w:ascii="宋体" w:hAnsi="宋体" w:cs="宋体"/>
          <w:sz w:val="36"/>
          <w:szCs w:val="36"/>
          <w:highlight w:val="none"/>
          <w:lang w:val="en-US" w:eastAsia="zh-CN"/>
        </w:rPr>
        <w:t xml:space="preserve">  </w:t>
      </w:r>
      <w:r>
        <w:rPr>
          <w:rFonts w:hint="eastAsia" w:ascii="宋体" w:hAnsi="宋体" w:eastAsia="宋体" w:cs="宋体"/>
          <w:sz w:val="36"/>
          <w:szCs w:val="36"/>
          <w:highlight w:val="none"/>
          <w:lang w:eastAsia="zh-CN"/>
        </w:rPr>
        <w:t>合同条款及格式</w:t>
      </w:r>
      <w:r>
        <w:rPr>
          <w:sz w:val="36"/>
          <w:szCs w:val="36"/>
          <w:highlight w:val="none"/>
        </w:rPr>
        <w:tab/>
      </w:r>
      <w:r>
        <w:rPr>
          <w:sz w:val="36"/>
          <w:szCs w:val="36"/>
          <w:highlight w:val="none"/>
        </w:rPr>
        <w:fldChar w:fldCharType="begin"/>
      </w:r>
      <w:r>
        <w:rPr>
          <w:sz w:val="36"/>
          <w:szCs w:val="36"/>
          <w:highlight w:val="none"/>
        </w:rPr>
        <w:instrText xml:space="preserve"> PAGEREF _Toc12760 \h </w:instrText>
      </w:r>
      <w:r>
        <w:rPr>
          <w:sz w:val="36"/>
          <w:szCs w:val="36"/>
          <w:highlight w:val="none"/>
        </w:rPr>
        <w:fldChar w:fldCharType="separate"/>
      </w:r>
      <w:r>
        <w:rPr>
          <w:sz w:val="36"/>
          <w:szCs w:val="36"/>
          <w:highlight w:val="none"/>
        </w:rPr>
        <w:t>52</w:t>
      </w:r>
      <w:r>
        <w:rPr>
          <w:sz w:val="36"/>
          <w:szCs w:val="36"/>
          <w:highlight w:val="none"/>
        </w:rPr>
        <w:fldChar w:fldCharType="end"/>
      </w:r>
      <w:r>
        <w:rPr>
          <w:rFonts w:hint="eastAsia" w:ascii="宋体" w:hAnsi="宋体" w:eastAsia="宋体" w:cs="宋体"/>
          <w:sz w:val="36"/>
          <w:szCs w:val="36"/>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480" w:lineRule="auto"/>
        <w:textAlignment w:val="auto"/>
        <w:rPr>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_Toc19059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lang w:val="en-US" w:eastAsia="zh-CN"/>
        </w:rPr>
        <w:t>第六部分</w:t>
      </w:r>
      <w:r>
        <w:rPr>
          <w:rFonts w:hint="eastAsia" w:ascii="宋体" w:hAnsi="宋体" w:cs="宋体"/>
          <w:sz w:val="36"/>
          <w:szCs w:val="36"/>
          <w:highlight w:val="none"/>
          <w:lang w:val="en-US" w:eastAsia="zh-CN"/>
        </w:rPr>
        <w:t xml:space="preserve">  </w:t>
      </w:r>
      <w:r>
        <w:rPr>
          <w:rFonts w:hint="eastAsia" w:ascii="宋体" w:hAnsi="宋体" w:eastAsia="宋体" w:cs="宋体"/>
          <w:sz w:val="36"/>
          <w:szCs w:val="36"/>
          <w:highlight w:val="none"/>
          <w:lang w:val="en-US" w:eastAsia="zh-CN"/>
        </w:rPr>
        <w:t>磋商响应文件格式</w:t>
      </w:r>
      <w:r>
        <w:rPr>
          <w:sz w:val="36"/>
          <w:szCs w:val="36"/>
          <w:highlight w:val="none"/>
        </w:rPr>
        <w:tab/>
      </w:r>
      <w:r>
        <w:rPr>
          <w:sz w:val="36"/>
          <w:szCs w:val="36"/>
          <w:highlight w:val="none"/>
        </w:rPr>
        <w:fldChar w:fldCharType="begin"/>
      </w:r>
      <w:r>
        <w:rPr>
          <w:sz w:val="36"/>
          <w:szCs w:val="36"/>
          <w:highlight w:val="none"/>
        </w:rPr>
        <w:instrText xml:space="preserve"> PAGEREF _Toc19059 \h </w:instrText>
      </w:r>
      <w:r>
        <w:rPr>
          <w:sz w:val="36"/>
          <w:szCs w:val="36"/>
          <w:highlight w:val="none"/>
        </w:rPr>
        <w:fldChar w:fldCharType="separate"/>
      </w:r>
      <w:r>
        <w:rPr>
          <w:sz w:val="36"/>
          <w:szCs w:val="36"/>
          <w:highlight w:val="none"/>
        </w:rPr>
        <w:t>53</w:t>
      </w:r>
      <w:r>
        <w:rPr>
          <w:sz w:val="36"/>
          <w:szCs w:val="36"/>
          <w:highlight w:val="none"/>
        </w:rPr>
        <w:fldChar w:fldCharType="end"/>
      </w:r>
      <w:r>
        <w:rPr>
          <w:rFonts w:hint="eastAsia" w:ascii="宋体" w:hAnsi="宋体" w:eastAsia="宋体" w:cs="宋体"/>
          <w:sz w:val="36"/>
          <w:szCs w:val="36"/>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720" w:firstLineChars="200"/>
        <w:jc w:val="center"/>
        <w:textAlignment w:val="auto"/>
        <w:rPr>
          <w:rFonts w:hint="eastAsia" w:ascii="宋体" w:hAnsi="宋体" w:eastAsia="宋体" w:cs="宋体"/>
          <w:sz w:val="72"/>
          <w:szCs w:val="72"/>
          <w:highlight w:val="none"/>
        </w:rPr>
      </w:pPr>
      <w:r>
        <w:rPr>
          <w:rFonts w:hint="eastAsia" w:ascii="宋体" w:hAnsi="宋体" w:eastAsia="宋体" w:cs="宋体"/>
          <w:sz w:val="36"/>
          <w:szCs w:val="36"/>
          <w:highlight w:val="none"/>
        </w:rPr>
        <w:fldChar w:fldCharType="end"/>
      </w:r>
    </w:p>
    <w:p>
      <w:pPr>
        <w:spacing w:line="700" w:lineRule="exact"/>
        <w:ind w:firstLine="640" w:firstLineChars="200"/>
        <w:rPr>
          <w:rFonts w:hint="eastAsia" w:ascii="宋体" w:hAnsi="宋体" w:eastAsia="宋体" w:cs="宋体"/>
          <w:sz w:val="32"/>
          <w:szCs w:val="32"/>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pStyle w:val="3"/>
        <w:pageBreakBefore w:val="0"/>
        <w:shd w:val="clear"/>
        <w:kinsoku/>
        <w:overflowPunct/>
        <w:topLinePunct w:val="0"/>
        <w:autoSpaceDE/>
        <w:autoSpaceDN/>
        <w:bidi w:val="0"/>
        <w:adjustRightInd/>
        <w:snapToGrid/>
        <w:spacing w:line="360" w:lineRule="auto"/>
        <w:jc w:val="center"/>
        <w:rPr>
          <w:rFonts w:hint="eastAsia" w:ascii="宋体" w:hAnsi="宋体" w:eastAsia="宋体" w:cs="宋体"/>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24927"/>
      <w:bookmarkStart w:id="1" w:name="_Toc22345"/>
      <w:bookmarkStart w:id="2" w:name="_Toc7658"/>
      <w:bookmarkStart w:id="3" w:name="_Toc32148"/>
      <w:bookmarkStart w:id="4" w:name="_Toc18759"/>
      <w:bookmarkStart w:id="5" w:name="_Toc14166"/>
    </w:p>
    <w:p>
      <w:pPr>
        <w:pStyle w:val="3"/>
        <w:pageBreakBefore w:val="0"/>
        <w:shd w:val="clear"/>
        <w:kinsoku/>
        <w:overflowPunct/>
        <w:topLinePunct w:val="0"/>
        <w:autoSpaceDE/>
        <w:autoSpaceDN/>
        <w:bidi w:val="0"/>
        <w:adjustRightInd/>
        <w:snapToGrid/>
        <w:spacing w:line="360" w:lineRule="auto"/>
        <w:jc w:val="center"/>
        <w:rPr>
          <w:rFonts w:hint="eastAsia" w:ascii="宋体" w:hAnsi="宋体" w:eastAsia="宋体" w:cs="宋体"/>
          <w:highlight w:val="none"/>
        </w:rPr>
      </w:pPr>
      <w:r>
        <w:rPr>
          <w:rFonts w:hint="eastAsia" w:ascii="宋体" w:hAnsi="宋体" w:eastAsia="宋体" w:cs="宋体"/>
          <w:highlight w:val="none"/>
        </w:rPr>
        <w:t>第一部分</w:t>
      </w:r>
      <w:r>
        <w:rPr>
          <w:rFonts w:hint="eastAsia" w:ascii="宋体" w:hAnsi="宋体" w:cs="宋体"/>
          <w:highlight w:val="none"/>
          <w:lang w:val="en-US" w:eastAsia="zh-CN"/>
        </w:rPr>
        <w:t xml:space="preserve">  </w:t>
      </w:r>
      <w:r>
        <w:rPr>
          <w:rFonts w:hint="eastAsia" w:ascii="宋体" w:hAnsi="宋体" w:eastAsia="宋体" w:cs="宋体"/>
          <w:highlight w:val="none"/>
        </w:rPr>
        <w:t>竞争性磋商公告</w:t>
      </w:r>
      <w:bookmarkEnd w:id="0"/>
      <w:bookmarkEnd w:id="1"/>
      <w:bookmarkEnd w:id="2"/>
      <w:bookmarkEnd w:id="3"/>
      <w:bookmarkEnd w:id="4"/>
      <w:bookmarkEnd w:id="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58" w:lineRule="auto"/>
              <w:ind w:left="0" w:right="0"/>
              <w:jc w:val="left"/>
              <w:textAlignment w:val="baseline"/>
              <w:outlineLvl w:val="9"/>
              <w:rPr>
                <w:rFonts w:hint="eastAsia" w:ascii="宋体" w:hAnsi="宋体" w:eastAsia="宋体" w:cs="宋体"/>
                <w:b w:val="0"/>
                <w:bCs w:val="0"/>
                <w:color w:val="auto"/>
                <w:sz w:val="24"/>
                <w:szCs w:val="24"/>
                <w:highlight w:val="none"/>
              </w:rPr>
            </w:pPr>
            <w:r>
              <w:rPr>
                <w:rStyle w:val="24"/>
                <w:rFonts w:hint="eastAsia" w:ascii="宋体" w:hAnsi="宋体" w:eastAsia="宋体" w:cs="宋体"/>
                <w:b/>
                <w:bCs/>
                <w:i w:val="0"/>
                <w:iCs w:val="0"/>
                <w:caps w:val="0"/>
                <w:color w:val="auto"/>
                <w:spacing w:val="0"/>
                <w:sz w:val="24"/>
                <w:szCs w:val="24"/>
                <w:highlight w:val="none"/>
                <w:shd w:val="clear" w:color="auto" w:fill="FFFFFF"/>
                <w:vertAlign w:val="baseline"/>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58" w:lineRule="auto"/>
              <w:ind w:left="0" w:right="0" w:firstLine="480"/>
              <w:jc w:val="both"/>
              <w:textAlignment w:val="baseline"/>
              <w:outlineLvl w:val="9"/>
              <w:rPr>
                <w:rStyle w:val="24"/>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eastAsia="zh-CN"/>
              </w:rPr>
              <w:t>县医院购置“互联网+医疗”信息化服务项目</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采购项目的潜在供应商应在陕西省西安市高新区科技五路3号橡树星座B座902室获取采购文件，并于</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2023</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年</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08</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月</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23</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日</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14</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时</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00</w:t>
            </w:r>
            <w:r>
              <w:rPr>
                <w:rStyle w:val="24"/>
                <w:rFonts w:hint="eastAsia" w:ascii="宋体" w:hAnsi="宋体" w:eastAsia="宋体" w:cs="宋体"/>
                <w:b w:val="0"/>
                <w:bCs w:val="0"/>
                <w:i w:val="0"/>
                <w:iCs w:val="0"/>
                <w:caps w:val="0"/>
                <w:color w:val="auto"/>
                <w:spacing w:val="0"/>
                <w:sz w:val="24"/>
                <w:szCs w:val="24"/>
                <w:highlight w:val="none"/>
                <w:shd w:val="clear" w:color="auto" w:fill="FFFFFF"/>
                <w:vertAlign w:val="baseline"/>
              </w:rPr>
              <w:t>分（北京时间）前提交响应文件。</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58" w:lineRule="auto"/>
        <w:ind w:left="0" w:right="0" w:firstLine="0" w:firstLineChars="0"/>
        <w:jc w:val="left"/>
        <w:textAlignment w:val="baseline"/>
        <w:outlineLvl w:val="9"/>
        <w:rPr>
          <w:rFonts w:hint="eastAsia" w:ascii="宋体" w:hAnsi="宋体" w:eastAsia="宋体" w:cs="宋体"/>
          <w:b w:val="0"/>
          <w:bCs w:val="0"/>
          <w:i w:val="0"/>
          <w:iCs w:val="0"/>
          <w:caps w:val="0"/>
          <w:color w:val="000000" w:themeColor="text1"/>
          <w:spacing w:val="0"/>
          <w:sz w:val="24"/>
          <w:szCs w:val="24"/>
          <w:highlight w:val="none"/>
          <w14:textFill>
            <w14:solidFill>
              <w14:schemeClr w14:val="tx1"/>
            </w14:solidFill>
          </w14:textFill>
        </w:rPr>
      </w:pPr>
      <w:r>
        <w:rPr>
          <w:rStyle w:val="24"/>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项目编号：</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JZDCG-2023-028</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项目名称：</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采购方式：竞争性磋商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预算金额：</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835000.00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835000.00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58" w:lineRule="auto"/>
        <w:ind w:left="0" w:right="0" w:firstLine="480" w:firstLineChars="200"/>
        <w:jc w:val="both"/>
        <w:textAlignment w:val="baseline"/>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835000.00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元</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1176"/>
        <w:gridCol w:w="1935"/>
        <w:gridCol w:w="945"/>
        <w:gridCol w:w="1275"/>
        <w:gridCol w:w="133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1" w:hRule="atLeast"/>
          <w:tblHeader/>
        </w:trPr>
        <w:tc>
          <w:tcPr>
            <w:tcW w:w="2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品目号</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品目名称</w:t>
            </w:r>
          </w:p>
        </w:tc>
        <w:tc>
          <w:tcPr>
            <w:tcW w:w="11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采购标的</w:t>
            </w:r>
          </w:p>
        </w:tc>
        <w:tc>
          <w:tcPr>
            <w:tcW w:w="5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数量</w:t>
            </w:r>
          </w:p>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（单位）</w:t>
            </w:r>
          </w:p>
        </w:tc>
        <w:tc>
          <w:tcPr>
            <w:tcW w:w="7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品目预算(元)</w:t>
            </w:r>
          </w:p>
        </w:tc>
        <w:tc>
          <w:tcPr>
            <w:tcW w:w="8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4" w:hRule="atLeast"/>
        </w:trPr>
        <w:tc>
          <w:tcPr>
            <w:tcW w:w="2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其他租赁服务</w:t>
            </w:r>
          </w:p>
        </w:tc>
        <w:tc>
          <w:tcPr>
            <w:tcW w:w="11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移动护士站业务系统租用服务、交互大屏智慧护理业务系统租用服务、IWIFI业务租用服务</w:t>
            </w:r>
          </w:p>
        </w:tc>
        <w:tc>
          <w:tcPr>
            <w:tcW w:w="5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w:t>
            </w:r>
          </w:p>
        </w:tc>
        <w:tc>
          <w:tcPr>
            <w:tcW w:w="7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58" w:lineRule="auto"/>
              <w:ind w:left="0" w:right="0" w:firstLine="0" w:firstLineChars="0"/>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358" w:lineRule="auto"/>
              <w:ind w:left="0" w:right="0" w:firstLine="0" w:firstLineChars="0"/>
              <w:jc w:val="righ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835000.00</w:t>
            </w:r>
          </w:p>
        </w:tc>
        <w:tc>
          <w:tcPr>
            <w:tcW w:w="8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358" w:lineRule="auto"/>
              <w:ind w:left="0" w:right="0" w:firstLine="0" w:firstLineChars="0"/>
              <w:jc w:val="righ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835000.00</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合同履行期限：</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服务期</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3年，合同按单年签订履行，次年合同根据上年度服务履行情况决定是否续签。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58" w:lineRule="auto"/>
        <w:ind w:left="0" w:right="0" w:firstLine="0" w:firstLineChars="0"/>
        <w:jc w:val="left"/>
        <w:textAlignment w:val="baseline"/>
        <w:outlineLvl w:val="9"/>
        <w:rPr>
          <w:rStyle w:val="24"/>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pPr>
      <w:r>
        <w:rPr>
          <w:rStyle w:val="24"/>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无</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体资格证明：在中华人民共和国境内注册，并有效续存的营业执照/事业单位法人证书/非企业专业服务机构执业许可证/民办非企业单位登记证书、税务登记证、组织机构代码证，或“三证合一”后的注册登记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（2）财务状况报告：提供2022年度财务审计报告（至少包括资产负债表、利润表、现金流量表及财务报表附注，成立时间至提交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截止时间不足一年的可提供成立后任意时段的资产负债表），或开标前3个月内其基本存款账户开户银行出具的资信证明及基本存款账户开户证明资料；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（4）税收缴纳证明：自2023年1月1日以来已缴存的至少一个月的纳税证明或完税证明，纳税证明或完税证明上应有代收机构或税务机关的公章或业务专用章。依法免税的供应商应提供相关文件证明；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（5）未被列入“信用中国”网站（www.creditchina.gov.cn）失信被执行人和重大税收违法案件当事人名单，不得为“中国政府采购网”(www.ccgp.gov.cn)政府采购严重违法失信行为记录名单中禁止参加政府采购活动的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授权书（附法定代表人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、被授权人身份证复印件）及被授权人身份证原件；法定代表人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直接参加投标的，须提供法定代表人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身份证明文件</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（8）提供具有履行合同所必需的设备和专业技术能力的承诺函；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（9）本项目不接受联合体</w:t>
      </w:r>
      <w:r>
        <w:rPr>
          <w:rFonts w:hint="eastAsia" w:ascii="宋体" w:hAnsi="宋体" w:eastAsia="宋体" w:cs="宋体"/>
          <w:sz w:val="24"/>
          <w:szCs w:val="24"/>
          <w:highlight w:val="none"/>
          <w:lang w:eastAsia="zh-CN"/>
        </w:rPr>
        <w:t>参与</w:t>
      </w:r>
      <w:r>
        <w:rPr>
          <w:rFonts w:hint="eastAsia" w:ascii="宋体" w:hAnsi="宋体" w:eastAsia="宋体" w:cs="宋体"/>
          <w:sz w:val="24"/>
          <w:szCs w:val="24"/>
          <w:highlight w:val="none"/>
        </w:rPr>
        <w:t>，单位负责人为同一人或者存在直接控股、管理关系的不同单位不得同时参加，未提及之处详见</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pPr>
      <w:r>
        <w:rPr>
          <w:rFonts w:hint="eastAsia" w:ascii="宋体" w:hAnsi="宋体" w:eastAsia="宋体" w:cs="宋体"/>
          <w:sz w:val="24"/>
          <w:szCs w:val="24"/>
          <w:highlight w:val="none"/>
        </w:rPr>
        <w:t>注：①以上资格要求均为必备资格，缺少其中任何一项，其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视为无效文件。②事业单位参与投标可不提供财务状况报告和社会保障资金缴纳证明。③</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凡是参加</w:t>
      </w:r>
      <w:r>
        <w:rPr>
          <w:rFonts w:hint="eastAsia" w:ascii="宋体" w:hAnsi="宋体" w:eastAsia="宋体" w:cs="宋体"/>
          <w:sz w:val="24"/>
          <w:szCs w:val="24"/>
          <w:highlight w:val="none"/>
          <w:lang w:eastAsia="zh-CN"/>
        </w:rPr>
        <w:t>磋商会议</w:t>
      </w:r>
      <w:r>
        <w:rPr>
          <w:rFonts w:hint="eastAsia" w:ascii="宋体" w:hAnsi="宋体" w:eastAsia="宋体" w:cs="宋体"/>
          <w:sz w:val="24"/>
          <w:szCs w:val="24"/>
          <w:highlight w:val="none"/>
        </w:rPr>
        <w:t>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中所填报的被授权人本人必须到场，不得委托他人，否则按照无效</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处理。</w:t>
      </w:r>
      <w:r>
        <w:rPr>
          <w:rFonts w:hint="eastAsia" w:ascii="宋体" w:hAnsi="宋体" w:eastAsia="宋体" w:cs="宋体"/>
          <w:sz w:val="24"/>
          <w:szCs w:val="24"/>
          <w:highlight w:val="none"/>
          <w:lang w:eastAsia="zh-CN"/>
        </w:rPr>
        <w:t>④凡要求法定代表人签字或盖章处，非法人单位均参照执行。</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三、获取采购文件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日至</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日，每天上午09:00:00至12:00:00，下午13:00:00至17:00:00（北京时间）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途径：陕西省西安市高新区科技五路3号橡树星座B座902室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方式：现场获取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售价：500元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四、响应文件提交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截止时间：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分</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地点：陕西省西安市高新区科技五路3号橡树星座B座902室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五、开启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分</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地点：陕西省西安市高新区科技五路3号橡树星座B座902室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六、公告期限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自本公告发布之日起3个工作日。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七、其他补充事宜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w:t>
      </w:r>
      <w:r>
        <w:rPr>
          <w:rFonts w:hint="eastAsia" w:ascii="宋体" w:hAnsi="宋体" w:eastAsia="宋体" w:cs="宋体"/>
          <w:i w:val="0"/>
          <w:iCs w:val="0"/>
          <w:caps w:val="0"/>
          <w:color w:val="auto"/>
          <w:spacing w:val="0"/>
          <w:sz w:val="24"/>
          <w:szCs w:val="24"/>
          <w:highlight w:val="none"/>
          <w:shd w:val="clear"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fill="FFFFFF"/>
          <w:vertAlign w:val="baseline"/>
        </w:rPr>
        <w:t>须持单位介绍信、经办人身份证原件及复印件并加盖单位公章在陕西省西安市高新区科技五路橡树星座B座902室获取</w:t>
      </w:r>
      <w:r>
        <w:rPr>
          <w:rFonts w:hint="eastAsia" w:ascii="宋体" w:hAnsi="宋体" w:eastAsia="宋体" w:cs="宋体"/>
          <w:i w:val="0"/>
          <w:iCs w:val="0"/>
          <w:caps w:val="0"/>
          <w:color w:val="auto"/>
          <w:spacing w:val="0"/>
          <w:sz w:val="24"/>
          <w:szCs w:val="24"/>
          <w:highlight w:val="none"/>
          <w:shd w:val="clear" w:fill="FFFFFF"/>
          <w:vertAlign w:val="baseline"/>
          <w:lang w:eastAsia="zh-CN"/>
        </w:rPr>
        <w:t>磋商文件</w:t>
      </w:r>
      <w:r>
        <w:rPr>
          <w:rFonts w:hint="eastAsia" w:ascii="宋体" w:hAnsi="宋体" w:eastAsia="宋体" w:cs="宋体"/>
          <w:i w:val="0"/>
          <w:iCs w:val="0"/>
          <w:caps w:val="0"/>
          <w:color w:val="auto"/>
          <w:spacing w:val="0"/>
          <w:sz w:val="24"/>
          <w:szCs w:val="24"/>
          <w:highlight w:val="none"/>
          <w:shd w:val="clear" w:fill="FFFFFF"/>
          <w:vertAlign w:val="baseli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需要落实政府采购政策：（1）财政部、工业和信息化部关于印发《政府采购促进中小企业发展管理办法》的通知(财库〔2020〕46号)、《财政部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12）《陕西省财政厅关于进一步落实政府采购支持中小企业相关政策的通知》（陕财办采〔2023〕3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3、请</w:t>
      </w:r>
      <w:r>
        <w:rPr>
          <w:rFonts w:hint="eastAsia" w:ascii="宋体" w:hAnsi="宋体" w:eastAsia="宋体" w:cs="宋体"/>
          <w:i w:val="0"/>
          <w:iCs w:val="0"/>
          <w:caps w:val="0"/>
          <w:color w:val="auto"/>
          <w:spacing w:val="0"/>
          <w:sz w:val="24"/>
          <w:szCs w:val="24"/>
          <w:highlight w:val="none"/>
          <w:shd w:val="clear"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fill="FFFFFF"/>
          <w:vertAlign w:val="baseline"/>
        </w:rPr>
        <w:t>按照《陕西省财政厅关于政府采购供应商注册登记有关事项的通知》的要求，通过陕西省政府采购网（http://www.ccgp-shaanxi.gov.cn/）注册登记加入陕西省政府采购供应商库。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fill="FFFFFF"/>
          <w:vertAlign w:val="baseline"/>
        </w:rPr>
        <w:t>4、标的所属行业：</w:t>
      </w:r>
      <w:r>
        <w:rPr>
          <w:rFonts w:hint="eastAsia" w:ascii="宋体" w:hAnsi="宋体" w:eastAsia="宋体" w:cs="宋体"/>
          <w:i w:val="0"/>
          <w:iCs w:val="0"/>
          <w:caps w:val="0"/>
          <w:color w:val="auto"/>
          <w:spacing w:val="0"/>
          <w:sz w:val="24"/>
          <w:szCs w:val="24"/>
          <w:highlight w:val="none"/>
          <w:shd w:val="clear" w:fill="FFFFFF"/>
          <w:vertAlign w:val="baseline"/>
          <w:lang w:eastAsia="zh-CN"/>
        </w:rPr>
        <w:t>商务服务业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2"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八、对本次招标提出询问，请按以下方式联系。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名称：蒲城县医院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地址：陕西省蒲城县延安街西段14号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联系方式：0913-720581</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w:t>
      </w:r>
      <w:bookmarkStart w:id="102" w:name="_GoBack"/>
      <w:bookmarkEnd w:id="102"/>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名称：陕西金准达项目管理有限责任公司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地址：陕西省西安市高新区科技五路3号橡树星座B座902室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联系方式：029-89555599</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项目联系人：王工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电话：029-89555599</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right="0"/>
        <w:jc w:val="right"/>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陕西金准达项目管理有限责任公司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right="0"/>
        <w:jc w:val="right"/>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 xml:space="preserve">  2023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20" w:firstLineChars="200"/>
        <w:jc w:val="right"/>
        <w:textAlignment w:val="baseline"/>
        <w:rPr>
          <w:rFonts w:hint="eastAsia" w:ascii="宋体" w:hAnsi="宋体" w:eastAsia="宋体" w:cs="宋体"/>
          <w:i w:val="0"/>
          <w:iCs w:val="0"/>
          <w:caps w:val="0"/>
          <w:color w:val="333333"/>
          <w:spacing w:val="0"/>
          <w:sz w:val="21"/>
          <w:szCs w:val="21"/>
          <w:highlight w:val="none"/>
        </w:rPr>
      </w:pPr>
    </w:p>
    <w:p>
      <w:pPr>
        <w:outlineLvl w:val="9"/>
        <w:rPr>
          <w:rFonts w:hint="eastAsia" w:ascii="宋体" w:hAnsi="宋体" w:eastAsia="宋体" w:cs="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bookmarkStart w:id="6" w:name="_Toc28083"/>
      <w:bookmarkStart w:id="7" w:name="_Toc15172"/>
      <w:bookmarkStart w:id="8" w:name="_Toc11472"/>
      <w:bookmarkStart w:id="9" w:name="_Toc22820"/>
      <w:bookmarkStart w:id="10" w:name="_Toc31655"/>
      <w:r>
        <w:rPr>
          <w:rFonts w:hint="eastAsia" w:ascii="宋体" w:hAnsi="宋体" w:eastAsia="宋体" w:cs="宋体"/>
          <w:highlight w:val="none"/>
        </w:rPr>
        <w:t>第二部分</w:t>
      </w:r>
      <w:r>
        <w:rPr>
          <w:rFonts w:hint="eastAsia" w:ascii="宋体" w:hAnsi="宋体" w:cs="宋体"/>
          <w:highlight w:val="none"/>
          <w:lang w:val="en-US" w:eastAsia="zh-CN"/>
        </w:rPr>
        <w:t xml:space="preserve">  </w:t>
      </w:r>
      <w:r>
        <w:rPr>
          <w:rFonts w:hint="eastAsia" w:ascii="宋体" w:hAnsi="宋体" w:eastAsia="宋体" w:cs="宋体"/>
          <w:highlight w:val="none"/>
        </w:rPr>
        <w:t>供应商须知</w:t>
      </w:r>
      <w:bookmarkEnd w:id="6"/>
      <w:bookmarkEnd w:id="7"/>
      <w:bookmarkEnd w:id="8"/>
      <w:bookmarkEnd w:id="9"/>
      <w:bookmarkEnd w:id="10"/>
    </w:p>
    <w:p>
      <w:pPr>
        <w:pStyle w:val="26"/>
        <w:ind w:firstLine="0" w:firstLineChars="0"/>
        <w:jc w:val="center"/>
        <w:outlineLvl w:val="1"/>
        <w:rPr>
          <w:rFonts w:hint="eastAsia" w:ascii="宋体" w:hAnsi="宋体" w:eastAsia="宋体" w:cs="宋体"/>
          <w:b/>
          <w:szCs w:val="28"/>
          <w:highlight w:val="none"/>
        </w:rPr>
      </w:pPr>
      <w:r>
        <w:rPr>
          <w:rFonts w:hint="eastAsia" w:ascii="宋体" w:hAnsi="宋体" w:eastAsia="宋体" w:cs="宋体"/>
          <w:b/>
          <w:szCs w:val="28"/>
          <w:highlight w:val="none"/>
        </w:rPr>
        <w:t>供应商须知前附表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553"/>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56"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内容</w:t>
            </w:r>
          </w:p>
        </w:tc>
        <w:tc>
          <w:tcPr>
            <w:tcW w:w="3732"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名称：蒲城县医院</w:t>
            </w:r>
          </w:p>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地址：陕西省蒲城县延安街西段14号</w:t>
            </w:r>
          </w:p>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联系方式：0913-720581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名称：陕西金准达项目管理有限责任公司</w:t>
            </w:r>
          </w:p>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陕西省西安市</w:t>
            </w:r>
            <w:r>
              <w:rPr>
                <w:rFonts w:hint="eastAsia" w:ascii="宋体" w:hAnsi="宋体" w:eastAsia="宋体" w:cs="宋体"/>
                <w:sz w:val="24"/>
                <w:szCs w:val="24"/>
                <w:highlight w:val="none"/>
                <w:lang w:eastAsia="zh-CN"/>
              </w:rPr>
              <w:t>高新区</w:t>
            </w:r>
            <w:r>
              <w:rPr>
                <w:rFonts w:hint="eastAsia" w:ascii="宋体" w:hAnsi="宋体" w:eastAsia="宋体" w:cs="宋体"/>
                <w:sz w:val="24"/>
                <w:szCs w:val="24"/>
                <w:highlight w:val="none"/>
              </w:rPr>
              <w:t>科技五路3号橡树星座B座902</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室</w:t>
            </w:r>
          </w:p>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联系人：王工</w:t>
            </w:r>
          </w:p>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电话：029-89555599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pacing w:val="-6"/>
                <w:sz w:val="24"/>
                <w:szCs w:val="24"/>
                <w:highlight w:val="none"/>
                <w:lang w:eastAsia="zh-CN"/>
              </w:rPr>
            </w:pPr>
            <w:r>
              <w:rPr>
                <w:rFonts w:hint="eastAsia" w:ascii="宋体" w:hAnsi="宋体" w:eastAsia="宋体" w:cs="宋体"/>
                <w:color w:val="auto"/>
                <w:sz w:val="24"/>
                <w:szCs w:val="24"/>
                <w:highlight w:val="none"/>
                <w:lang w:val="en-US" w:eastAsia="zh-CN"/>
              </w:rPr>
              <w:t>县医院购置“互联网+医疗”信息化服务项目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JZDCG-2023-028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项目性质</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预算</w:t>
            </w:r>
          </w:p>
        </w:tc>
        <w:tc>
          <w:tcPr>
            <w:tcW w:w="3732" w:type="pct"/>
            <w:vAlign w:val="center"/>
          </w:tcPr>
          <w:p>
            <w:pPr>
              <w:keepNext w:val="0"/>
              <w:keepLines w:val="0"/>
              <w:pageBreakBefore w:val="0"/>
              <w:kinsoku/>
              <w:overflowPunct/>
              <w:topLinePunct w:val="0"/>
              <w:bidi w:val="0"/>
              <w:snapToGrid/>
              <w:spacing w:line="356" w:lineRule="auto"/>
              <w:textAlignment w:val="auto"/>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u w:val="none"/>
                <w:lang w:val="en-US" w:eastAsia="zh-CN" w:bidi="ar-SA"/>
              </w:rPr>
              <w:t>835000.00元/年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356" w:type="pct"/>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最高限价</w:t>
            </w:r>
          </w:p>
        </w:tc>
        <w:tc>
          <w:tcPr>
            <w:tcW w:w="3732" w:type="pct"/>
            <w:vAlign w:val="center"/>
          </w:tcPr>
          <w:p>
            <w:pPr>
              <w:keepNext w:val="0"/>
              <w:keepLines w:val="0"/>
              <w:pageBreakBefore w:val="0"/>
              <w:kinsoku/>
              <w:overflowPunct/>
              <w:topLinePunct w:val="0"/>
              <w:bidi w:val="0"/>
              <w:snapToGrid/>
              <w:spacing w:line="356"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本项目最高限价：</w:t>
            </w:r>
            <w:r>
              <w:rPr>
                <w:rFonts w:hint="eastAsia" w:ascii="宋体" w:hAnsi="宋体" w:eastAsia="宋体" w:cs="宋体"/>
                <w:color w:val="auto"/>
                <w:sz w:val="24"/>
                <w:szCs w:val="24"/>
                <w:highlight w:val="none"/>
                <w:u w:val="none"/>
                <w:lang w:val="en-US" w:eastAsia="zh-CN" w:bidi="ar-SA"/>
              </w:rPr>
              <w:t>835000.00元/年，</w:t>
            </w:r>
            <w:r>
              <w:rPr>
                <w:rFonts w:hint="eastAsia" w:ascii="宋体" w:hAnsi="宋体" w:eastAsia="宋体" w:cs="宋体"/>
                <w:sz w:val="24"/>
                <w:szCs w:val="24"/>
                <w:highlight w:val="none"/>
              </w:rPr>
              <w:t>供应商任何超出</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rPr>
              <w:t>的报价为无效报价，作为未实质性响应磋商文件，按无效响应处理。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项目用途</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用于县医院购置“互联网+医疗”信息化服务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服务期</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3年，合同按单年签订履行，次年合同根据上年度服务履行情况决定是否续签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采购内容和要求</w:t>
            </w:r>
          </w:p>
        </w:tc>
        <w:tc>
          <w:tcPr>
            <w:tcW w:w="3732" w:type="pct"/>
            <w:vAlign w:val="center"/>
          </w:tcPr>
          <w:p>
            <w:pPr>
              <w:keepNext w:val="0"/>
              <w:keepLines w:val="0"/>
              <w:pageBreakBefore w:val="0"/>
              <w:kinsoku/>
              <w:overflowPunct/>
              <w:topLinePunct w:val="0"/>
              <w:bidi w:val="0"/>
              <w:snapToGrid/>
              <w:spacing w:line="356" w:lineRule="auto"/>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县医院购置“互联网+医疗”信息化服务项目</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none"/>
                <w:lang w:val="en-US" w:eastAsia="zh-CN" w:bidi="ar-SA"/>
              </w:rPr>
              <w:t>具体内容详见磋商文件）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标的所属</w:t>
            </w:r>
          </w:p>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行业</w:t>
            </w:r>
          </w:p>
        </w:tc>
        <w:tc>
          <w:tcPr>
            <w:tcW w:w="3732" w:type="pct"/>
            <w:vAlign w:val="center"/>
          </w:tcPr>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供应商的资格要求</w:t>
            </w:r>
          </w:p>
        </w:tc>
        <w:tc>
          <w:tcPr>
            <w:tcW w:w="3732" w:type="pct"/>
            <w:vAlign w:val="center"/>
          </w:tcPr>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1.满足《中华人民共和国政府采购法》第二十二条规定;</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2.落实政府采购政策需满足的资格要求：</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合同包1(县医院购置“互联网+医疗”信息化服务项目)落实政府采购政策需满足的资格要求如下:</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无。</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3.本项目的特定资格要求：</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合同包1(县医院购置“互联网+医疗”信息化服务项目)特定资格要求如下:</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主体资格证明：在中华人民共和国境内注册，并有效续存的营业执照/事业单位法人证书/非企业专业服务机构执业许可证/民办非企业单位登记证书、税务登记证、组织机构代码证，或“三证合一”后的注册登记证；</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财务状况报告：提供2022年度财务审计报告（至少包括资产负债表、利润表、现金流量表及财务报表附注，成立时间至提交响应文件截止时间不足一年的可提供成立后任意时段的资产负债表），或开标前3个月内其基本存款账户开户银行出具的资信证明及基本存款账户开户证明资料；</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（4）税收缴纳证明：自2023年1月1日以来已缴存的至少一个月的纳税证明或完税证明，纳税证明或完税证明上应有代收机构或税务机关的公章或业务专用章。依法免税的供应商应提供相关文件证明；</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未被列入“信用中国”网站（www.creditchina.gov.cn）失信被执行人和重大税收违法案件当事人名单，不得为“中国政府采购网”(www.ccgp.gov.cn)政府采购严重违法失信行为记录名单中禁止参加政府采购活动的供应商；</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（6）</w:t>
            </w:r>
            <w:r>
              <w:rPr>
                <w:rFonts w:hint="eastAsia" w:ascii="宋体" w:hAnsi="宋体" w:eastAsia="宋体" w:cs="宋体"/>
                <w:sz w:val="24"/>
                <w:szCs w:val="24"/>
                <w:highlight w:val="none"/>
              </w:rPr>
              <w:t>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授权书（附法定代表人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、被授权人身份证复印件）及被授权人身份证原件；法定代表人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直接参加投标的，须提供法定代表人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身份证明文件</w:t>
            </w:r>
            <w:r>
              <w:rPr>
                <w:rFonts w:hint="eastAsia" w:ascii="宋体" w:hAnsi="宋体" w:eastAsia="宋体" w:cs="宋体"/>
                <w:color w:val="auto"/>
                <w:kern w:val="0"/>
                <w:sz w:val="24"/>
                <w:szCs w:val="24"/>
                <w:highlight w:val="none"/>
                <w:u w:val="none"/>
                <w:lang w:val="en-US" w:eastAsia="zh-CN" w:bidi="ar-SA"/>
              </w:rPr>
              <w:t>；</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（7）参加政府采购活动前三年内在经营活动中没有重大违法记录的书面声明；</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（8）提供具有履行合同所必需的设备和专业技术能力的承诺函；</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（9）本项目不接受联合体参与，单位负责人为同一人或者存在直接控股、管理关系的不同单位不得同时参加，未提及之处详见磋商文件。</w:t>
            </w:r>
          </w:p>
          <w:p>
            <w:pPr>
              <w:pStyle w:val="1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56" w:lineRule="auto"/>
              <w:ind w:firstLine="0" w:firstLineChars="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注：①以上资格要求均为必备资格，缺少其中任何一项，其响应文件视为无效文件。②事业单位参与投标可不提供财务状况报告和社会保障资金缴纳证明。③供应商凡是参加磋商会议的，其响应文件中所填报的被授权人本人必须到场，不得委托他人，否则按照无效响应处理。</w:t>
            </w:r>
            <w:r>
              <w:rPr>
                <w:rFonts w:hint="eastAsia" w:ascii="宋体" w:hAnsi="宋体" w:eastAsia="宋体" w:cs="宋体"/>
                <w:sz w:val="24"/>
                <w:szCs w:val="24"/>
                <w:highlight w:val="none"/>
                <w:lang w:eastAsia="zh-CN"/>
              </w:rPr>
              <w:t>④凡要求法定代表人签字或盖章处，非法人单位均参照执行。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磋商文件</w:t>
            </w:r>
          </w:p>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发售</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发售时间：详见竞争性磋商公告。</w:t>
            </w:r>
          </w:p>
          <w:p>
            <w:pPr>
              <w:keepNext w:val="0"/>
              <w:keepLines w:val="0"/>
              <w:pageBreakBefore w:val="0"/>
              <w:kinsoku/>
              <w:overflowPunct/>
              <w:topLinePunct w:val="0"/>
              <w:bidi w:val="0"/>
              <w:snapToGrid/>
              <w:spacing w:line="356"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发</w:t>
            </w:r>
            <w:r>
              <w:rPr>
                <w:rFonts w:hint="eastAsia" w:ascii="宋体" w:hAnsi="宋体" w:eastAsia="宋体" w:cs="宋体"/>
                <w:sz w:val="24"/>
                <w:szCs w:val="24"/>
                <w:highlight w:val="none"/>
                <w:lang w:val="en-US" w:eastAsia="zh-CN"/>
              </w:rPr>
              <w:t>售</w:t>
            </w:r>
            <w:r>
              <w:rPr>
                <w:rFonts w:hint="eastAsia" w:ascii="宋体" w:hAnsi="宋体" w:eastAsia="宋体" w:cs="宋体"/>
                <w:sz w:val="24"/>
                <w:szCs w:val="24"/>
                <w:highlight w:val="none"/>
              </w:rPr>
              <w:t>地点：详见竞争性磋商公告。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联合体磋商</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spacing w:val="-18"/>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现场勘查、标前答疑会</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不组织</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eastAsia="zh-CN"/>
              </w:rPr>
              <w:t>磋商文件</w:t>
            </w:r>
            <w:r>
              <w:rPr>
                <w:rFonts w:hint="eastAsia" w:ascii="宋体" w:hAnsi="宋体" w:eastAsia="宋体" w:cs="宋体"/>
                <w:color w:val="000000"/>
                <w:sz w:val="24"/>
                <w:szCs w:val="24"/>
                <w:highlight w:val="none"/>
                <w:lang w:val="en-US" w:eastAsia="zh-CN"/>
              </w:rPr>
              <w:t>澄清或修改</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采购代理</w:t>
            </w:r>
            <w:r>
              <w:rPr>
                <w:rFonts w:hint="eastAsia" w:ascii="宋体" w:hAnsi="宋体" w:eastAsia="宋体" w:cs="宋体"/>
                <w:i w:val="0"/>
                <w:iCs w:val="0"/>
                <w:caps w:val="0"/>
                <w:color w:val="auto"/>
                <w:spacing w:val="0"/>
                <w:sz w:val="24"/>
                <w:szCs w:val="24"/>
                <w:highlight w:val="none"/>
                <w:shd w:val="clear" w:color="auto" w:fill="FFFFFF"/>
              </w:rPr>
              <w:t>机构可以对已发出的</w:t>
            </w:r>
            <w:r>
              <w:rPr>
                <w:rFonts w:hint="eastAsia" w:ascii="宋体" w:hAnsi="宋体" w:eastAsia="宋体" w:cs="宋体"/>
                <w:i w:val="0"/>
                <w:iCs w:val="0"/>
                <w:caps w:val="0"/>
                <w:color w:val="auto"/>
                <w:spacing w:val="0"/>
                <w:sz w:val="24"/>
                <w:szCs w:val="24"/>
                <w:highlight w:val="none"/>
                <w:shd w:val="clear" w:color="auto" w:fill="FFFFFF"/>
                <w:lang w:eastAsia="zh-CN"/>
              </w:rPr>
              <w:t>磋商文件</w:t>
            </w:r>
            <w:r>
              <w:rPr>
                <w:rFonts w:hint="eastAsia" w:ascii="宋体" w:hAnsi="宋体" w:eastAsia="宋体" w:cs="宋体"/>
                <w:i w:val="0"/>
                <w:iCs w:val="0"/>
                <w:caps w:val="0"/>
                <w:color w:val="auto"/>
                <w:spacing w:val="0"/>
                <w:sz w:val="24"/>
                <w:szCs w:val="24"/>
                <w:highlight w:val="none"/>
                <w:shd w:val="clear" w:color="auto" w:fill="FFFFFF"/>
              </w:rPr>
              <w:t>进行必要的澄清或者修改，</w:t>
            </w:r>
            <w:r>
              <w:rPr>
                <w:rFonts w:hint="eastAsia" w:ascii="宋体" w:hAnsi="宋体" w:eastAsia="宋体" w:cs="宋体"/>
                <w:i w:val="0"/>
                <w:iCs w:val="0"/>
                <w:caps w:val="0"/>
                <w:color w:val="auto"/>
                <w:spacing w:val="0"/>
                <w:sz w:val="24"/>
                <w:szCs w:val="24"/>
                <w:highlight w:val="none"/>
                <w:shd w:val="clear" w:color="auto" w:fill="FFFFFF"/>
                <w:lang w:val="en-US" w:eastAsia="zh-CN"/>
              </w:rPr>
              <w:t>澄清或修改内容可能影响磋商响应文件编制的应在磋商</w:t>
            </w:r>
            <w:r>
              <w:rPr>
                <w:rFonts w:hint="eastAsia" w:ascii="宋体" w:hAnsi="宋体" w:eastAsia="宋体" w:cs="宋体"/>
                <w:i w:val="0"/>
                <w:iCs w:val="0"/>
                <w:caps w:val="0"/>
                <w:color w:val="auto"/>
                <w:spacing w:val="0"/>
                <w:sz w:val="24"/>
                <w:szCs w:val="24"/>
                <w:highlight w:val="none"/>
                <w:shd w:val="clear" w:color="auto" w:fill="FFFFFF"/>
              </w:rPr>
              <w:t>响应文件截止时间至少5日前</w:t>
            </w:r>
            <w:r>
              <w:rPr>
                <w:rFonts w:hint="eastAsia" w:ascii="宋体" w:hAnsi="宋体" w:eastAsia="宋体" w:cs="宋体"/>
                <w:i w:val="0"/>
                <w:iCs w:val="0"/>
                <w:caps w:val="0"/>
                <w:color w:val="auto"/>
                <w:spacing w:val="0"/>
                <w:sz w:val="24"/>
                <w:szCs w:val="24"/>
                <w:highlight w:val="none"/>
                <w:shd w:val="clear" w:color="auto" w:fill="FFFFFF"/>
                <w:lang w:val="en-US" w:eastAsia="zh-CN"/>
              </w:rPr>
              <w:t>以书面形式</w:t>
            </w:r>
            <w:r>
              <w:rPr>
                <w:rFonts w:hint="eastAsia" w:ascii="宋体" w:hAnsi="宋体" w:eastAsia="宋体" w:cs="宋体"/>
                <w:i w:val="0"/>
                <w:iCs w:val="0"/>
                <w:caps w:val="0"/>
                <w:color w:val="auto"/>
                <w:spacing w:val="0"/>
                <w:sz w:val="24"/>
                <w:szCs w:val="24"/>
                <w:highlight w:val="none"/>
                <w:shd w:val="clear" w:color="auto" w:fill="FFFFFF"/>
              </w:rPr>
              <w:t>通知所有获取</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i w:val="0"/>
                <w:iCs w:val="0"/>
                <w:caps w:val="0"/>
                <w:color w:val="auto"/>
                <w:spacing w:val="0"/>
                <w:sz w:val="24"/>
                <w:szCs w:val="24"/>
                <w:highlight w:val="none"/>
                <w:shd w:val="clear" w:color="auto" w:fill="FFFFFF"/>
              </w:rPr>
              <w:t>的供应商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spacing w:val="-10"/>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供应商对</w:t>
            </w:r>
            <w:r>
              <w:rPr>
                <w:rFonts w:hint="eastAsia" w:ascii="宋体" w:hAnsi="宋体" w:eastAsia="宋体" w:cs="宋体"/>
                <w:spacing w:val="0"/>
                <w:sz w:val="24"/>
                <w:szCs w:val="24"/>
                <w:highlight w:val="none"/>
                <w:lang w:eastAsia="zh-CN"/>
              </w:rPr>
              <w:t>磋商文件</w:t>
            </w:r>
            <w:r>
              <w:rPr>
                <w:rFonts w:hint="eastAsia" w:ascii="宋体" w:hAnsi="宋体" w:eastAsia="宋体" w:cs="宋体"/>
                <w:color w:val="000000" w:themeColor="text1"/>
                <w:spacing w:val="0"/>
                <w:sz w:val="24"/>
                <w:szCs w:val="24"/>
                <w:highlight w:val="none"/>
                <w14:textFill>
                  <w14:solidFill>
                    <w14:schemeClr w14:val="tx1"/>
                  </w14:solidFill>
                </w14:textFill>
              </w:rPr>
              <w:t>提出质疑的时间</w:t>
            </w:r>
          </w:p>
        </w:tc>
        <w:tc>
          <w:tcPr>
            <w:tcW w:w="3732" w:type="pct"/>
            <w:vAlign w:val="center"/>
          </w:tcPr>
          <w:p>
            <w:pPr>
              <w:keepNext w:val="0"/>
              <w:keepLines w:val="0"/>
              <w:pageBreakBefore w:val="0"/>
              <w:kinsoku/>
              <w:overflowPunct/>
              <w:topLinePunct w:val="0"/>
              <w:bidi w:val="0"/>
              <w:snapToGrid/>
              <w:spacing w:line="356" w:lineRule="auto"/>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供应商若对</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有质疑的，在磋商截止时间3日前，以书面形式向采购代理机构提出，在此之后提出的质疑无效。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w:t>
            </w:r>
            <w:r>
              <w:rPr>
                <w:rFonts w:hint="eastAsia" w:ascii="宋体" w:hAnsi="宋体" w:eastAsia="宋体" w:cs="宋体"/>
                <w:sz w:val="24"/>
                <w:szCs w:val="24"/>
                <w:highlight w:val="none"/>
                <w:lang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的其他文件</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的澄清、修改书及有关补充通知为</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spacing w:val="-3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14:textFill>
                  <w14:solidFill>
                    <w14:schemeClr w14:val="tx1"/>
                  </w14:solidFill>
                </w14:textFill>
              </w:rPr>
              <w:t>截止时间及磋商时间和地点</w:t>
            </w:r>
          </w:p>
        </w:tc>
        <w:tc>
          <w:tcPr>
            <w:tcW w:w="3732" w:type="pct"/>
            <w:vAlign w:val="center"/>
          </w:tcPr>
          <w:p>
            <w:pPr>
              <w:pStyle w:val="27"/>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有效期</w:t>
            </w:r>
          </w:p>
        </w:tc>
        <w:tc>
          <w:tcPr>
            <w:tcW w:w="3732" w:type="pct"/>
            <w:vAlign w:val="center"/>
          </w:tcPr>
          <w:p>
            <w:pPr>
              <w:keepNext w:val="0"/>
              <w:keepLines w:val="0"/>
              <w:pageBreakBefore w:val="0"/>
              <w:kinsoku/>
              <w:overflowPunct/>
              <w:topLinePunct w:val="0"/>
              <w:bidi w:val="0"/>
              <w:snapToGrid/>
              <w:spacing w:line="356"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自磋商之日起90日历日</w:t>
            </w:r>
            <w:r>
              <w:rPr>
                <w:rFonts w:hint="eastAsia" w:ascii="宋体" w:hAnsi="宋体" w:eastAsia="宋体" w:cs="宋体"/>
                <w:color w:val="000000" w:themeColor="text1"/>
                <w:spacing w:val="-4"/>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磋商保证金</w:t>
            </w:r>
          </w:p>
        </w:tc>
        <w:tc>
          <w:tcPr>
            <w:tcW w:w="3732" w:type="pct"/>
            <w:vAlign w:val="center"/>
          </w:tcPr>
          <w:p>
            <w:pPr>
              <w:pStyle w:val="28"/>
              <w:keepNext w:val="0"/>
              <w:keepLines w:val="0"/>
              <w:pageBreakBefore w:val="0"/>
              <w:widowControl w:val="0"/>
              <w:kinsoku/>
              <w:wordWrap w:val="0"/>
              <w:overflowPunct/>
              <w:topLinePunct w:val="0"/>
              <w:bidi w:val="0"/>
              <w:snapToGrid/>
              <w:spacing w:line="356" w:lineRule="auto"/>
              <w:jc w:val="both"/>
              <w:textAlignment w:val="auto"/>
              <w:rPr>
                <w:rFonts w:hint="eastAsia" w:ascii="宋体" w:hAnsi="宋体" w:eastAsia="宋体" w:cs="宋体"/>
                <w:b/>
                <w:bCs/>
                <w:highlight w:val="none"/>
              </w:rPr>
            </w:pPr>
            <w:r>
              <w:rPr>
                <w:rFonts w:hint="eastAsia" w:ascii="宋体" w:hAnsi="宋体" w:eastAsia="宋体" w:cs="宋体"/>
                <w:b/>
                <w:bCs/>
                <w:highlight w:val="none"/>
                <w:lang w:eastAsia="zh-CN"/>
              </w:rPr>
              <w:t>磋商保证金</w:t>
            </w:r>
            <w:r>
              <w:rPr>
                <w:rFonts w:hint="eastAsia" w:ascii="宋体" w:hAnsi="宋体" w:eastAsia="宋体" w:cs="宋体"/>
                <w:b/>
                <w:bCs/>
                <w:highlight w:val="none"/>
              </w:rPr>
              <w:t>金额：</w:t>
            </w:r>
            <w:r>
              <w:rPr>
                <w:rFonts w:hint="eastAsia" w:cs="宋体"/>
                <w:b/>
                <w:bCs/>
                <w:highlight w:val="none"/>
                <w:lang w:eastAsia="zh-CN"/>
              </w:rPr>
              <w:t>壹万伍仟元整</w:t>
            </w:r>
            <w:r>
              <w:rPr>
                <w:rFonts w:hint="eastAsia" w:ascii="宋体" w:hAnsi="宋体" w:eastAsia="宋体" w:cs="宋体"/>
                <w:b/>
                <w:bCs/>
                <w:highlight w:val="none"/>
              </w:rPr>
              <w:t>（¥</w:t>
            </w:r>
            <w:r>
              <w:rPr>
                <w:rFonts w:hint="eastAsia" w:cs="宋体"/>
                <w:b/>
                <w:bCs/>
                <w:highlight w:val="none"/>
                <w:lang w:val="en-US" w:eastAsia="zh-CN"/>
              </w:rPr>
              <w:t>15000.00</w:t>
            </w:r>
            <w:r>
              <w:rPr>
                <w:rFonts w:hint="eastAsia" w:ascii="宋体" w:hAnsi="宋体" w:eastAsia="宋体" w:cs="宋体"/>
                <w:b/>
                <w:bCs/>
                <w:highlight w:val="none"/>
              </w:rPr>
              <w:t>元）</w:t>
            </w:r>
          </w:p>
          <w:p>
            <w:pPr>
              <w:pStyle w:val="28"/>
              <w:keepNext w:val="0"/>
              <w:keepLines w:val="0"/>
              <w:pageBreakBefore w:val="0"/>
              <w:widowControl w:val="0"/>
              <w:kinsoku/>
              <w:wordWrap w:val="0"/>
              <w:overflowPunct/>
              <w:topLinePunct w:val="0"/>
              <w:bidi w:val="0"/>
              <w:snapToGrid/>
              <w:spacing w:line="356" w:lineRule="auto"/>
              <w:jc w:val="both"/>
              <w:textAlignment w:val="auto"/>
              <w:rPr>
                <w:rFonts w:hint="eastAsia" w:ascii="宋体" w:hAnsi="宋体" w:eastAsia="宋体" w:cs="宋体"/>
                <w:highlight w:val="none"/>
              </w:rPr>
            </w:pPr>
            <w:r>
              <w:rPr>
                <w:rFonts w:hint="eastAsia" w:ascii="宋体" w:hAnsi="宋体" w:eastAsia="宋体" w:cs="宋体"/>
                <w:b/>
                <w:bCs/>
                <w:highlight w:val="none"/>
              </w:rPr>
              <w:t>形式：</w:t>
            </w:r>
            <w:r>
              <w:rPr>
                <w:rFonts w:hint="eastAsia" w:ascii="宋体" w:hAnsi="宋体" w:eastAsia="宋体" w:cs="宋体"/>
                <w:highlight w:val="none"/>
              </w:rPr>
              <w:t>银行转账、支票、汇票、本票、保函等非现金形式。</w:t>
            </w:r>
          </w:p>
          <w:p>
            <w:pPr>
              <w:pStyle w:val="28"/>
              <w:keepNext w:val="0"/>
              <w:keepLines w:val="0"/>
              <w:pageBreakBefore w:val="0"/>
              <w:widowControl w:val="0"/>
              <w:kinsoku/>
              <w:wordWrap w:val="0"/>
              <w:overflowPunct/>
              <w:topLinePunct w:val="0"/>
              <w:bidi w:val="0"/>
              <w:snapToGrid/>
              <w:spacing w:line="356" w:lineRule="auto"/>
              <w:jc w:val="both"/>
              <w:textAlignment w:val="auto"/>
              <w:rPr>
                <w:rFonts w:hint="eastAsia" w:ascii="宋体" w:hAnsi="宋体" w:eastAsia="宋体" w:cs="宋体"/>
                <w:highlight w:val="none"/>
              </w:rPr>
            </w:pPr>
            <w:r>
              <w:rPr>
                <w:rFonts w:hint="eastAsia" w:ascii="宋体" w:hAnsi="宋体" w:eastAsia="宋体" w:cs="宋体"/>
                <w:highlight w:val="none"/>
              </w:rPr>
              <w:t>重要提示：</w:t>
            </w:r>
          </w:p>
          <w:p>
            <w:pPr>
              <w:pStyle w:val="28"/>
              <w:keepNext w:val="0"/>
              <w:keepLines w:val="0"/>
              <w:pageBreakBefore w:val="0"/>
              <w:widowControl w:val="0"/>
              <w:kinsoku/>
              <w:wordWrap w:val="0"/>
              <w:overflowPunct/>
              <w:topLinePunct w:val="0"/>
              <w:bidi w:val="0"/>
              <w:snapToGrid/>
              <w:spacing w:line="36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rPr>
              <w:t>（1）不接受现金形式。以转账、电汇形式交纳保证金的</w:t>
            </w:r>
            <w:r>
              <w:rPr>
                <w:rFonts w:hint="eastAsia" w:ascii="宋体" w:hAnsi="宋体" w:eastAsia="宋体" w:cs="宋体"/>
                <w:highlight w:val="none"/>
                <w:lang w:eastAsia="zh-CN"/>
              </w:rPr>
              <w:t>供应商</w:t>
            </w:r>
            <w:r>
              <w:rPr>
                <w:rFonts w:hint="eastAsia" w:ascii="宋体" w:hAnsi="宋体" w:eastAsia="宋体" w:cs="宋体"/>
                <w:highlight w:val="none"/>
              </w:rPr>
              <w:t>应当从其基本账户转出</w:t>
            </w:r>
            <w:r>
              <w:rPr>
                <w:rFonts w:hint="eastAsia" w:ascii="宋体" w:hAnsi="宋体" w:eastAsia="宋体" w:cs="宋体"/>
                <w:highlight w:val="none"/>
                <w:lang w:val="en-US" w:eastAsia="zh-CN"/>
              </w:rPr>
              <w:t>；</w:t>
            </w:r>
          </w:p>
          <w:p>
            <w:pPr>
              <w:pStyle w:val="28"/>
              <w:keepNext w:val="0"/>
              <w:keepLines w:val="0"/>
              <w:pageBreakBefore w:val="0"/>
              <w:widowControl w:val="0"/>
              <w:kinsoku/>
              <w:wordWrap w:val="0"/>
              <w:overflowPunct/>
              <w:topLinePunct w:val="0"/>
              <w:bidi w:val="0"/>
              <w:snapToGrid/>
              <w:spacing w:line="360" w:lineRule="auto"/>
              <w:jc w:val="both"/>
              <w:textAlignment w:val="auto"/>
              <w:rPr>
                <w:rFonts w:hint="eastAsia" w:ascii="宋体" w:hAnsi="宋体" w:eastAsia="宋体" w:cs="宋体"/>
                <w:highlight w:val="none"/>
              </w:rPr>
            </w:pPr>
            <w:r>
              <w:rPr>
                <w:rFonts w:hint="eastAsia" w:ascii="宋体" w:hAnsi="宋体" w:eastAsia="宋体" w:cs="宋体"/>
                <w:highlight w:val="none"/>
              </w:rPr>
              <w:t>（2）转账、汇款时必须写明项目名称（简称也可）及</w:t>
            </w:r>
            <w:r>
              <w:rPr>
                <w:rFonts w:hint="eastAsia" w:ascii="宋体" w:hAnsi="宋体" w:eastAsia="宋体" w:cs="宋体"/>
                <w:highlight w:val="none"/>
                <w:lang w:eastAsia="zh-CN"/>
              </w:rPr>
              <w:t>磋商保证金</w:t>
            </w:r>
            <w:r>
              <w:rPr>
                <w:rFonts w:hint="eastAsia" w:ascii="宋体" w:hAnsi="宋体" w:eastAsia="宋体" w:cs="宋体"/>
                <w:highlight w:val="none"/>
              </w:rPr>
              <w:t>字样，便于查询登记。</w:t>
            </w:r>
          </w:p>
          <w:p>
            <w:pPr>
              <w:pStyle w:val="28"/>
              <w:keepNext w:val="0"/>
              <w:keepLines w:val="0"/>
              <w:pageBreakBefore w:val="0"/>
              <w:widowControl w:val="0"/>
              <w:kinsoku/>
              <w:wordWrap w:val="0"/>
              <w:overflowPunct/>
              <w:topLinePunct w:val="0"/>
              <w:bidi w:val="0"/>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rPr>
              <w:t>（3）交纳办法和交纳时间：</w:t>
            </w:r>
            <w:r>
              <w:rPr>
                <w:rFonts w:hint="eastAsia" w:ascii="宋体" w:hAnsi="宋体" w:eastAsia="宋体" w:cs="宋体"/>
                <w:highlight w:val="none"/>
                <w:lang w:val="en-US" w:eastAsia="zh-CN"/>
              </w:rPr>
              <w:t>①采用转账、电汇形式交纳</w:t>
            </w:r>
            <w:r>
              <w:rPr>
                <w:rFonts w:hint="eastAsia" w:ascii="宋体" w:hAnsi="宋体" w:eastAsia="宋体" w:cs="宋体"/>
                <w:highlight w:val="none"/>
                <w:lang w:eastAsia="zh-CN"/>
              </w:rPr>
              <w:t>磋商保证金</w:t>
            </w:r>
            <w:r>
              <w:rPr>
                <w:rFonts w:hint="eastAsia" w:ascii="宋体" w:hAnsi="宋体" w:eastAsia="宋体" w:cs="宋体"/>
                <w:highlight w:val="none"/>
                <w:lang w:val="en-US" w:eastAsia="zh-CN"/>
              </w:rPr>
              <w:t>的，</w:t>
            </w:r>
            <w:r>
              <w:rPr>
                <w:rFonts w:hint="eastAsia" w:ascii="宋体" w:hAnsi="宋体" w:eastAsia="宋体" w:cs="宋体"/>
                <w:highlight w:val="none"/>
              </w:rPr>
              <w:t>必须在</w:t>
            </w:r>
            <w:r>
              <w:rPr>
                <w:rFonts w:hint="eastAsia" w:ascii="宋体" w:hAnsi="宋体" w:eastAsia="宋体" w:cs="宋体"/>
                <w:highlight w:val="none"/>
                <w:lang w:val="en-US" w:eastAsia="zh-CN"/>
              </w:rPr>
              <w:t>磋商响应</w:t>
            </w:r>
            <w:r>
              <w:rPr>
                <w:rFonts w:hint="eastAsia" w:ascii="宋体" w:hAnsi="宋体" w:eastAsia="宋体" w:cs="宋体"/>
                <w:highlight w:val="none"/>
              </w:rPr>
              <w:t>文件递交截止时间前交纳至</w:t>
            </w:r>
            <w:r>
              <w:rPr>
                <w:rFonts w:hint="eastAsia" w:ascii="宋体" w:hAnsi="宋体" w:eastAsia="宋体" w:cs="宋体"/>
                <w:highlight w:val="none"/>
                <w:lang w:val="en-US" w:eastAsia="zh-CN"/>
              </w:rPr>
              <w:t>磋商</w:t>
            </w:r>
            <w:r>
              <w:rPr>
                <w:rFonts w:hint="eastAsia" w:ascii="宋体" w:hAnsi="宋体" w:eastAsia="宋体" w:cs="宋体"/>
                <w:highlight w:val="none"/>
              </w:rPr>
              <w:t>文件规定的保证金专用账户。请供应商考虑资金在银行之间的转账要求和时间成本，确保在</w:t>
            </w:r>
            <w:r>
              <w:rPr>
                <w:rFonts w:hint="eastAsia" w:ascii="宋体" w:hAnsi="宋体" w:eastAsia="宋体" w:cs="宋体"/>
                <w:highlight w:val="none"/>
                <w:lang w:eastAsia="zh-CN"/>
              </w:rPr>
              <w:t>磋商响应文件</w:t>
            </w:r>
            <w:r>
              <w:rPr>
                <w:rFonts w:hint="eastAsia" w:ascii="宋体" w:hAnsi="宋体" w:eastAsia="宋体" w:cs="宋体"/>
                <w:highlight w:val="none"/>
              </w:rPr>
              <w:t>递交截止时间之前保证金专用账户能收到所交的</w:t>
            </w:r>
            <w:r>
              <w:rPr>
                <w:rFonts w:hint="eastAsia" w:ascii="宋体" w:hAnsi="宋体" w:eastAsia="宋体" w:cs="宋体"/>
                <w:highlight w:val="none"/>
                <w:lang w:eastAsia="zh-CN"/>
              </w:rPr>
              <w:t>磋商保证金</w:t>
            </w:r>
            <w:r>
              <w:rPr>
                <w:rFonts w:hint="eastAsia" w:ascii="宋体" w:hAnsi="宋体" w:eastAsia="宋体" w:cs="宋体"/>
                <w:highlight w:val="none"/>
              </w:rPr>
              <w:t>，如果在</w:t>
            </w:r>
            <w:r>
              <w:rPr>
                <w:rFonts w:hint="eastAsia" w:ascii="宋体" w:hAnsi="宋体" w:eastAsia="宋体" w:cs="宋体"/>
                <w:highlight w:val="none"/>
                <w:lang w:eastAsia="zh-CN"/>
              </w:rPr>
              <w:t>磋商响应文件</w:t>
            </w:r>
            <w:r>
              <w:rPr>
                <w:rFonts w:hint="eastAsia" w:ascii="宋体" w:hAnsi="宋体" w:eastAsia="宋体" w:cs="宋体"/>
                <w:highlight w:val="none"/>
              </w:rPr>
              <w:t>递交截止时间保证金专用账户未能收到</w:t>
            </w:r>
            <w:r>
              <w:rPr>
                <w:rFonts w:hint="eastAsia" w:ascii="宋体" w:hAnsi="宋体" w:eastAsia="宋体" w:cs="宋体"/>
                <w:highlight w:val="none"/>
                <w:lang w:eastAsia="zh-CN"/>
              </w:rPr>
              <w:t>磋商保证金</w:t>
            </w:r>
            <w:r>
              <w:rPr>
                <w:rFonts w:hint="eastAsia" w:ascii="宋体" w:hAnsi="宋体" w:eastAsia="宋体" w:cs="宋体"/>
                <w:highlight w:val="none"/>
              </w:rPr>
              <w:t>，则该</w:t>
            </w:r>
            <w:r>
              <w:rPr>
                <w:rFonts w:hint="eastAsia" w:cs="宋体"/>
                <w:highlight w:val="none"/>
                <w:lang w:val="en-US" w:eastAsia="zh-CN"/>
              </w:rPr>
              <w:t>响应</w:t>
            </w:r>
            <w:r>
              <w:rPr>
                <w:rFonts w:hint="eastAsia" w:ascii="宋体" w:hAnsi="宋体" w:eastAsia="宋体" w:cs="宋体"/>
                <w:highlight w:val="none"/>
              </w:rPr>
              <w:t>为无效。</w:t>
            </w:r>
            <w:r>
              <w:rPr>
                <w:rFonts w:hint="eastAsia" w:ascii="宋体" w:hAnsi="宋体" w:eastAsia="宋体" w:cs="宋体"/>
                <w:highlight w:val="none"/>
                <w:lang w:val="en-US" w:eastAsia="zh-CN"/>
              </w:rPr>
              <w:t>②采用保函形式交纳磋商保证金的，</w:t>
            </w:r>
            <w:r>
              <w:rPr>
                <w:rFonts w:hint="eastAsia" w:ascii="宋体" w:hAnsi="宋体" w:eastAsia="宋体" w:cs="宋体"/>
                <w:b/>
                <w:bCs/>
                <w:sz w:val="24"/>
                <w:szCs w:val="24"/>
                <w:highlight w:val="none"/>
                <w:lang w:val="en-US" w:eastAsia="zh-CN"/>
              </w:rPr>
              <w:t>请于开标前1日将</w:t>
            </w:r>
            <w:r>
              <w:rPr>
                <w:rFonts w:hint="eastAsia" w:ascii="宋体" w:hAnsi="宋体" w:eastAsia="宋体" w:cs="宋体"/>
                <w:b/>
                <w:bCs/>
                <w:sz w:val="24"/>
                <w:szCs w:val="24"/>
                <w:highlight w:val="none"/>
                <w:lang w:eastAsia="zh-CN"/>
              </w:rPr>
              <w:t>纸质</w:t>
            </w:r>
            <w:r>
              <w:rPr>
                <w:rFonts w:hint="eastAsia" w:ascii="宋体" w:hAnsi="宋体" w:eastAsia="宋体" w:cs="宋体"/>
                <w:b/>
                <w:bCs/>
                <w:sz w:val="24"/>
                <w:szCs w:val="24"/>
                <w:highlight w:val="none"/>
              </w:rPr>
              <w:t>保函原件</w:t>
            </w:r>
            <w:r>
              <w:rPr>
                <w:rFonts w:hint="eastAsia" w:ascii="宋体" w:hAnsi="宋体" w:eastAsia="宋体" w:cs="宋体"/>
                <w:b/>
                <w:bCs/>
                <w:sz w:val="24"/>
                <w:szCs w:val="24"/>
                <w:highlight w:val="none"/>
                <w:lang w:eastAsia="zh-CN"/>
              </w:rPr>
              <w:t>或电子保函打印件（盖供应商公章）</w:t>
            </w:r>
            <w:r>
              <w:rPr>
                <w:rFonts w:hint="eastAsia" w:ascii="宋体" w:hAnsi="宋体" w:eastAsia="宋体" w:cs="宋体"/>
                <w:sz w:val="24"/>
                <w:szCs w:val="24"/>
                <w:highlight w:val="none"/>
                <w:lang w:val="en-US" w:eastAsia="zh-CN"/>
              </w:rPr>
              <w:t>递交至陕西省西安市高新区科技五路3号橡树星座B座902室。保函原件未按要求递交或经查实保函为无效保函的，该</w:t>
            </w:r>
            <w:r>
              <w:rPr>
                <w:rFonts w:hint="eastAsia" w:cs="宋体"/>
                <w:sz w:val="24"/>
                <w:szCs w:val="24"/>
                <w:highlight w:val="none"/>
                <w:lang w:val="en-US" w:eastAsia="zh-CN"/>
              </w:rPr>
              <w:t>响应</w:t>
            </w:r>
            <w:r>
              <w:rPr>
                <w:rFonts w:hint="eastAsia" w:ascii="宋体" w:hAnsi="宋体" w:eastAsia="宋体" w:cs="宋体"/>
                <w:sz w:val="24"/>
                <w:szCs w:val="24"/>
                <w:highlight w:val="none"/>
                <w:lang w:val="en-US" w:eastAsia="zh-CN"/>
              </w:rPr>
              <w:t>为无效。</w:t>
            </w:r>
          </w:p>
          <w:p>
            <w:pPr>
              <w:pStyle w:val="12"/>
              <w:keepNext w:val="0"/>
              <w:keepLines w:val="0"/>
              <w:pageBreakBefore w:val="0"/>
              <w:widowControl w:val="0"/>
              <w:numPr>
                <w:ilvl w:val="0"/>
                <w:numId w:val="3"/>
              </w:numPr>
              <w:kinsoku/>
              <w:wordWrap w:val="0"/>
              <w:overflowPunct/>
              <w:topLinePunct w:val="0"/>
              <w:bidi w:val="0"/>
              <w:adjustRightInd w:val="0"/>
              <w:snapToGrid/>
              <w:spacing w:line="360" w:lineRule="auto"/>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为支持和促进中小企业发展，进一步发挥政府采购政策功能作用，有效缓解中小企业融资难等问题，根据陕西省财政厅关于印发《陕西省中小企业政府采购信用融资办法》（陕财办采〔2018〕23号）、陕西省财政厅《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keepNext w:val="0"/>
              <w:keepLines w:val="0"/>
              <w:pageBreakBefore w:val="0"/>
              <w:widowControl w:val="0"/>
              <w:kinsoku/>
              <w:wordWrap w:val="0"/>
              <w:overflowPunct/>
              <w:topLinePunct w:val="0"/>
              <w:bidi w:val="0"/>
              <w:snapToGrid/>
              <w:spacing w:line="356"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（5）保证金专用账户</w:t>
            </w:r>
          </w:p>
          <w:p>
            <w:pPr>
              <w:keepNext w:val="0"/>
              <w:keepLines w:val="0"/>
              <w:pageBreakBefore w:val="0"/>
              <w:widowControl w:val="0"/>
              <w:kinsoku/>
              <w:wordWrap w:val="0"/>
              <w:overflowPunct/>
              <w:topLinePunct w:val="0"/>
              <w:bidi w:val="0"/>
              <w:snapToGrid/>
              <w:spacing w:line="356"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开户名称：陕西金准达项目管理有限责任公司</w:t>
            </w:r>
          </w:p>
          <w:p>
            <w:pPr>
              <w:keepNext w:val="0"/>
              <w:keepLines w:val="0"/>
              <w:pageBreakBefore w:val="0"/>
              <w:widowControl w:val="0"/>
              <w:kinsoku/>
              <w:wordWrap w:val="0"/>
              <w:overflowPunct/>
              <w:topLinePunct w:val="0"/>
              <w:bidi w:val="0"/>
              <w:snapToGrid/>
              <w:spacing w:line="356"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开户银行：招商银行西安分行营业部</w:t>
            </w:r>
          </w:p>
          <w:p>
            <w:pPr>
              <w:keepNext w:val="0"/>
              <w:keepLines w:val="0"/>
              <w:pageBreakBefore w:val="0"/>
              <w:kinsoku/>
              <w:overflowPunct/>
              <w:topLinePunct w:val="0"/>
              <w:bidi w:val="0"/>
              <w:snapToGrid/>
              <w:spacing w:line="356"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32"/>
                <w:highlight w:val="none"/>
              </w:rPr>
              <w:t>账号：129911244910902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z w:val="24"/>
                <w:szCs w:val="24"/>
                <w:highlight w:val="none"/>
              </w:rPr>
              <w:t>备选方案和报价</w:t>
            </w:r>
          </w:p>
        </w:tc>
        <w:tc>
          <w:tcPr>
            <w:tcW w:w="3732" w:type="pct"/>
            <w:vAlign w:val="center"/>
          </w:tcPr>
          <w:p>
            <w:pPr>
              <w:keepNext w:val="0"/>
              <w:keepLines w:val="0"/>
              <w:pageBreakBefore w:val="0"/>
              <w:tabs>
                <w:tab w:val="left" w:pos="7013"/>
              </w:tabs>
              <w:kinsoku/>
              <w:overflowPunct/>
              <w:topLinePunct w:val="0"/>
              <w:bidi w:val="0"/>
              <w:snapToGrid/>
              <w:spacing w:line="356"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不接受备选方案和多个报价及只对采购项目部分内容的报价。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盖章签字</w:t>
            </w:r>
          </w:p>
        </w:tc>
        <w:tc>
          <w:tcPr>
            <w:tcW w:w="3732" w:type="pct"/>
            <w:vAlign w:val="center"/>
          </w:tcPr>
          <w:p>
            <w:pPr>
              <w:keepNext w:val="0"/>
              <w:keepLines w:val="0"/>
              <w:pageBreakBefore w:val="0"/>
              <w:tabs>
                <w:tab w:val="left" w:pos="7013"/>
              </w:tabs>
              <w:kinsoku/>
              <w:overflowPunct/>
              <w:topLinePunct w:val="0"/>
              <w:bidi w:val="0"/>
              <w:snapToGrid/>
              <w:spacing w:line="356"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的规定和要求签字盖章，对未按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的规定和要求盖章、签字的磋商响应文件，将作为无效响应文件</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数量、装订</w:t>
            </w:r>
            <w:r>
              <w:rPr>
                <w:rFonts w:hint="eastAsia" w:ascii="宋体" w:hAnsi="宋体" w:eastAsia="宋体" w:cs="宋体"/>
                <w:sz w:val="24"/>
                <w:szCs w:val="24"/>
                <w:highlight w:val="none"/>
                <w:lang w:eastAsia="zh-CN"/>
              </w:rPr>
              <w:t>、密封</w:t>
            </w:r>
          </w:p>
        </w:tc>
        <w:tc>
          <w:tcPr>
            <w:tcW w:w="3732" w:type="pct"/>
            <w:vAlign w:val="center"/>
          </w:tcPr>
          <w:p>
            <w:pPr>
              <w:keepNext w:val="0"/>
              <w:keepLines w:val="0"/>
              <w:pageBreakBefore w:val="0"/>
              <w:numPr>
                <w:ilvl w:val="0"/>
                <w:numId w:val="0"/>
              </w:numPr>
              <w:tabs>
                <w:tab w:val="left" w:pos="7013"/>
              </w:tabs>
              <w:kinsoku/>
              <w:wordWrap/>
              <w:overflowPunct/>
              <w:topLinePunct w:val="0"/>
              <w:bidi w:val="0"/>
              <w:snapToGrid/>
              <w:spacing w:beforeAutospacing="0" w:afterAutospacing="0" w:line="356" w:lineRule="auto"/>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（1）磋商响应文件数量：磋商</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val="en-US" w:eastAsia="zh-CN"/>
              </w:rPr>
              <w:t>四份</w:t>
            </w:r>
            <w:r>
              <w:rPr>
                <w:rFonts w:hint="eastAsia" w:ascii="宋体" w:hAnsi="宋体" w:eastAsia="宋体" w:cs="宋体"/>
                <w:sz w:val="24"/>
                <w:szCs w:val="24"/>
                <w:highlight w:val="none"/>
              </w:rPr>
              <w:t>，其中正本</w:t>
            </w:r>
            <w:r>
              <w:rPr>
                <w:rFonts w:hint="eastAsia" w:ascii="宋体" w:hAnsi="宋体" w:eastAsia="宋体" w:cs="宋体"/>
                <w:sz w:val="24"/>
                <w:szCs w:val="24"/>
                <w:highlight w:val="none"/>
                <w:lang w:val="en-US" w:eastAsia="zh-CN"/>
              </w:rPr>
              <w:t>一份</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val="en-US" w:eastAsia="zh-CN"/>
              </w:rPr>
              <w:t>二份</w:t>
            </w:r>
            <w:r>
              <w:rPr>
                <w:rFonts w:hint="eastAsia" w:ascii="宋体" w:hAnsi="宋体" w:eastAsia="宋体" w:cs="宋体"/>
                <w:sz w:val="24"/>
                <w:szCs w:val="24"/>
                <w:highlight w:val="none"/>
              </w:rPr>
              <w:t>，电子版U盘</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val="en-US" w:eastAsia="zh-CN"/>
              </w:rPr>
              <w:t>内容为</w:t>
            </w:r>
            <w:r>
              <w:rPr>
                <w:rFonts w:hint="eastAsia" w:ascii="宋体" w:hAnsi="宋体" w:eastAsia="宋体" w:cs="宋体"/>
                <w:sz w:val="24"/>
                <w:szCs w:val="24"/>
                <w:highlight w:val="none"/>
              </w:rPr>
              <w:t>可编辑WORD格式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与正本内容保持一致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pPr>
              <w:keepNext w:val="0"/>
              <w:keepLines w:val="0"/>
              <w:pageBreakBefore w:val="0"/>
              <w:tabs>
                <w:tab w:val="left" w:pos="7013"/>
              </w:tabs>
              <w:kinsoku/>
              <w:wordWrap/>
              <w:overflowPunct/>
              <w:topLinePunct w:val="0"/>
              <w:bidi w:val="0"/>
              <w:snapToGrid/>
              <w:spacing w:beforeAutospacing="0" w:afterAutospacing="0" w:line="356" w:lineRule="auto"/>
              <w:ind w:right="0" w:righ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（2）磋商响应文件装订：磋商响应</w:t>
            </w:r>
            <w:r>
              <w:rPr>
                <w:rFonts w:hint="eastAsia" w:ascii="宋体" w:hAnsi="宋体" w:eastAsia="宋体" w:cs="宋体"/>
                <w:sz w:val="24"/>
                <w:szCs w:val="24"/>
                <w:highlight w:val="none"/>
              </w:rPr>
              <w:t>文件的正本和副本均须A4纸打印，并编制目录和页码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一律采用书籍（胶装）方式</w:t>
            </w:r>
            <w:r>
              <w:rPr>
                <w:rFonts w:hint="eastAsia" w:ascii="宋体" w:hAnsi="宋体" w:eastAsia="宋体" w:cs="宋体"/>
                <w:sz w:val="24"/>
                <w:szCs w:val="24"/>
                <w:highlight w:val="none"/>
                <w:lang w:val="en-US" w:eastAsia="zh-CN"/>
              </w:rPr>
              <w:t>分别</w:t>
            </w:r>
            <w:r>
              <w:rPr>
                <w:rFonts w:hint="eastAsia" w:ascii="宋体" w:hAnsi="宋体" w:eastAsia="宋体" w:cs="宋体"/>
                <w:sz w:val="24"/>
                <w:szCs w:val="24"/>
                <w:highlight w:val="none"/>
              </w:rPr>
              <w:t>装订</w:t>
            </w:r>
            <w:r>
              <w:rPr>
                <w:rFonts w:hint="eastAsia" w:ascii="宋体" w:hAnsi="宋体" w:eastAsia="宋体" w:cs="宋体"/>
                <w:sz w:val="24"/>
                <w:szCs w:val="24"/>
                <w:highlight w:val="none"/>
                <w:lang w:val="en-US" w:eastAsia="zh-CN"/>
              </w:rPr>
              <w:t>成册；</w:t>
            </w:r>
          </w:p>
          <w:p>
            <w:pPr>
              <w:keepNext w:val="0"/>
              <w:keepLines w:val="0"/>
              <w:pageBreakBefore w:val="0"/>
              <w:tabs>
                <w:tab w:val="left" w:pos="7013"/>
              </w:tabs>
              <w:kinsoku/>
              <w:wordWrap/>
              <w:overflowPunct/>
              <w:topLinePunct w:val="0"/>
              <w:bidi w:val="0"/>
              <w:snapToGrid/>
              <w:spacing w:beforeAutospacing="0" w:afterAutospacing="0" w:line="356" w:lineRule="auto"/>
              <w:ind w:right="0" w:righ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（3）磋商响应文件密封：磋商</w:t>
            </w:r>
            <w:r>
              <w:rPr>
                <w:rFonts w:hint="eastAsia" w:ascii="宋体" w:hAnsi="宋体" w:eastAsia="宋体" w:cs="宋体"/>
                <w:color w:val="auto"/>
                <w:kern w:val="0"/>
                <w:sz w:val="24"/>
                <w:szCs w:val="24"/>
                <w:highlight w:val="none"/>
                <w:lang w:val="en-US" w:eastAsia="zh-CN"/>
              </w:rPr>
              <w:t>响应文件正本密封一个标袋、全部副本密封一个标袋，电子版随正本密封，封套上应写明“项目名称”、“项目编号”、“供应商名称”、“年月日”、“正本”、“副本”及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时启封”</w:t>
            </w:r>
            <w:r>
              <w:rPr>
                <w:rFonts w:hint="eastAsia" w:ascii="宋体" w:hAnsi="宋体" w:eastAsia="宋体" w:cs="宋体"/>
                <w:color w:val="auto"/>
                <w:kern w:val="0"/>
                <w:sz w:val="24"/>
                <w:szCs w:val="24"/>
                <w:highlight w:val="none"/>
                <w:lang w:val="en-US" w:eastAsia="zh-CN"/>
              </w:rPr>
              <w:t>字样，封口处用密封条密封并加盖单位公章。</w:t>
            </w:r>
          </w:p>
          <w:p>
            <w:pPr>
              <w:keepNext w:val="0"/>
              <w:keepLines w:val="0"/>
              <w:pageBreakBefore w:val="0"/>
              <w:numPr>
                <w:ilvl w:val="0"/>
                <w:numId w:val="0"/>
              </w:numPr>
              <w:kinsoku/>
              <w:overflowPunct/>
              <w:topLinePunct w:val="0"/>
              <w:bidi w:val="0"/>
              <w:snapToGrid/>
              <w:spacing w:line="356" w:lineRule="auto"/>
              <w:ind w:left="0" w:leftChars="0" w:firstLine="0" w:firstLineChars="0"/>
              <w:textAlignment w:val="auto"/>
              <w:rPr>
                <w:rFonts w:hint="eastAsia" w:ascii="宋体" w:hAnsi="宋体" w:eastAsia="宋体" w:cs="宋体"/>
                <w:b/>
                <w:kern w:val="2"/>
                <w:sz w:val="24"/>
                <w:szCs w:val="24"/>
                <w:highlight w:val="none"/>
                <w:u w:val="single"/>
                <w:lang w:val="en-US" w:eastAsia="zh-CN" w:bidi="ar-SA"/>
              </w:rPr>
            </w:pPr>
            <w:r>
              <w:rPr>
                <w:rFonts w:hint="eastAsia" w:ascii="宋体" w:hAnsi="宋体" w:eastAsia="宋体" w:cs="宋体"/>
                <w:b/>
                <w:bCs/>
                <w:sz w:val="24"/>
                <w:szCs w:val="24"/>
                <w:highlight w:val="none"/>
                <w:lang w:eastAsia="zh-CN"/>
              </w:rPr>
              <w:t>注：</w:t>
            </w:r>
            <w:r>
              <w:rPr>
                <w:rFonts w:hint="eastAsia" w:ascii="宋体" w:hAnsi="宋体" w:eastAsia="宋体" w:cs="宋体"/>
                <w:b/>
                <w:sz w:val="24"/>
                <w:szCs w:val="24"/>
                <w:highlight w:val="none"/>
              </w:rPr>
              <w:t>对未按</w:t>
            </w:r>
            <w:r>
              <w:rPr>
                <w:rFonts w:hint="eastAsia" w:ascii="宋体" w:hAnsi="宋体" w:eastAsia="宋体" w:cs="宋体"/>
                <w:b/>
                <w:sz w:val="24"/>
                <w:szCs w:val="24"/>
                <w:highlight w:val="none"/>
                <w:lang w:val="en-US" w:eastAsia="zh-CN"/>
              </w:rPr>
              <w:t>磋商文件</w:t>
            </w:r>
            <w:r>
              <w:rPr>
                <w:rFonts w:hint="eastAsia" w:ascii="宋体" w:hAnsi="宋体" w:eastAsia="宋体" w:cs="宋体"/>
                <w:b/>
                <w:sz w:val="24"/>
                <w:szCs w:val="24"/>
                <w:highlight w:val="none"/>
              </w:rPr>
              <w:t>要求数量递交的</w:t>
            </w:r>
            <w:r>
              <w:rPr>
                <w:rFonts w:hint="eastAsia" w:ascii="宋体" w:hAnsi="宋体" w:eastAsia="宋体" w:cs="宋体"/>
                <w:b/>
                <w:sz w:val="24"/>
                <w:szCs w:val="24"/>
                <w:highlight w:val="none"/>
                <w:lang w:val="en-US" w:eastAsia="zh-CN"/>
              </w:rPr>
              <w:t>竞争性磋商</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，将作为无效</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信用信息</w:t>
            </w:r>
          </w:p>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查询</w:t>
            </w:r>
            <w:r>
              <w:rPr>
                <w:rFonts w:hint="eastAsia" w:ascii="宋体" w:hAnsi="宋体" w:eastAsia="宋体" w:cs="宋体"/>
                <w:color w:val="000000"/>
                <w:sz w:val="24"/>
                <w:szCs w:val="24"/>
                <w:highlight w:val="none"/>
                <w:lang w:val="en-US" w:eastAsia="zh-CN"/>
              </w:rPr>
              <w:t>使用</w:t>
            </w:r>
          </w:p>
        </w:tc>
        <w:tc>
          <w:tcPr>
            <w:tcW w:w="3732" w:type="pct"/>
            <w:vAlign w:val="center"/>
          </w:tcPr>
          <w:p>
            <w:pPr>
              <w:pStyle w:val="28"/>
              <w:keepNext w:val="0"/>
              <w:keepLines w:val="0"/>
              <w:pageBreakBefore w:val="0"/>
              <w:widowControl w:val="0"/>
              <w:numPr>
                <w:ilvl w:val="0"/>
                <w:numId w:val="0"/>
              </w:numPr>
              <w:kinsoku/>
              <w:wordWrap/>
              <w:overflowPunct/>
              <w:topLinePunct w:val="0"/>
              <w:bidi w:val="0"/>
              <w:snapToGrid/>
              <w:spacing w:line="356" w:lineRule="auto"/>
              <w:ind w:right="0" w:rightChars="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“信用中国”网站（www.creditchina.gov.cn）和“中国政府采购网”（www.ccgp.gov.cn）为</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信用信息查询渠道</w:t>
            </w:r>
            <w:r>
              <w:rPr>
                <w:rFonts w:hint="eastAsia" w:ascii="宋体" w:hAnsi="宋体" w:eastAsia="宋体" w:cs="宋体"/>
                <w:color w:val="000000"/>
                <w:sz w:val="24"/>
                <w:highlight w:val="none"/>
                <w:lang w:eastAsia="zh-CN"/>
              </w:rPr>
              <w:t>。</w:t>
            </w:r>
          </w:p>
          <w:p>
            <w:pPr>
              <w:pStyle w:val="28"/>
              <w:keepNext w:val="0"/>
              <w:keepLines w:val="0"/>
              <w:pageBreakBefore w:val="0"/>
              <w:widowControl w:val="0"/>
              <w:numPr>
                <w:ilvl w:val="0"/>
                <w:numId w:val="0"/>
              </w:numPr>
              <w:kinsoku/>
              <w:wordWrap/>
              <w:overflowPunct/>
              <w:topLinePunct w:val="0"/>
              <w:bidi w:val="0"/>
              <w:snapToGrid/>
              <w:spacing w:line="356" w:lineRule="auto"/>
              <w:ind w:left="0" w:leftChars="0" w:right="0" w:rightChars="0"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2、采购代理机构将</w:t>
            </w:r>
            <w:r>
              <w:rPr>
                <w:rFonts w:hint="eastAsia" w:cs="宋体"/>
                <w:color w:val="000000"/>
                <w:sz w:val="24"/>
                <w:highlight w:val="none"/>
                <w:lang w:val="en-US" w:eastAsia="zh-CN"/>
              </w:rPr>
              <w:t>在磋商截止时间后符合性审查前</w:t>
            </w:r>
            <w:r>
              <w:rPr>
                <w:rFonts w:hint="eastAsia" w:ascii="宋体" w:hAnsi="宋体" w:eastAsia="宋体" w:cs="宋体"/>
                <w:color w:val="000000"/>
                <w:sz w:val="24"/>
                <w:highlight w:val="none"/>
                <w:lang w:val="en-US" w:eastAsia="zh-CN"/>
              </w:rPr>
              <w:t>通过</w:t>
            </w:r>
            <w:r>
              <w:rPr>
                <w:rFonts w:hint="eastAsia" w:ascii="宋体" w:hAnsi="宋体" w:eastAsia="宋体" w:cs="宋体"/>
                <w:color w:val="000000"/>
                <w:sz w:val="24"/>
                <w:highlight w:val="none"/>
              </w:rPr>
              <w:t>“信用中国”网站（www.creditchina.gov.cn）和“中国政府采购网”（www.ccgp.gov.cn）</w:t>
            </w:r>
            <w:r>
              <w:rPr>
                <w:rFonts w:hint="eastAsia" w:ascii="宋体" w:hAnsi="宋体" w:eastAsia="宋体" w:cs="宋体"/>
                <w:color w:val="000000"/>
                <w:sz w:val="24"/>
                <w:highlight w:val="none"/>
                <w:lang w:val="en-US" w:eastAsia="zh-CN"/>
              </w:rPr>
              <w:t>对各供应商的信用记录进行甄别，并对信用信息查询记录和证据打印留存。对</w:t>
            </w:r>
            <w:r>
              <w:rPr>
                <w:rFonts w:hint="eastAsia" w:ascii="宋体" w:hAnsi="宋体" w:eastAsia="宋体" w:cs="宋体"/>
                <w:color w:val="000000"/>
                <w:kern w:val="2"/>
                <w:sz w:val="24"/>
                <w:szCs w:val="24"/>
                <w:highlight w:val="none"/>
                <w:lang w:val="en-US" w:eastAsia="zh-CN" w:bidi="ar-SA"/>
              </w:rPr>
              <w:t>列入失信被执行人、重大税收违法案件当事人名单、政府采购严重违法失信行为记录名单及其他不符合《中华人民共和国政府采购法》第二十二条规定的供应商，根据《关于在政府采购活动中查询及使用信用记录有关问题的通知》（财库〔2016〕125号）的第二条第（三）款规定，其磋商资格将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w:t>
            </w:r>
          </w:p>
        </w:tc>
        <w:tc>
          <w:tcPr>
            <w:tcW w:w="911" w:type="pct"/>
            <w:vAlign w:val="center"/>
          </w:tcPr>
          <w:p>
            <w:pPr>
              <w:pStyle w:val="28"/>
              <w:keepNext w:val="0"/>
              <w:keepLines w:val="0"/>
              <w:pageBreakBefore w:val="0"/>
              <w:kinsoku/>
              <w:overflowPunct/>
              <w:topLinePunct w:val="0"/>
              <w:bidi w:val="0"/>
              <w:snapToGrid/>
              <w:spacing w:line="356" w:lineRule="auto"/>
              <w:jc w:val="center"/>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供应商身份查验</w:t>
            </w:r>
          </w:p>
        </w:tc>
        <w:tc>
          <w:tcPr>
            <w:tcW w:w="3732" w:type="pct"/>
            <w:vAlign w:val="center"/>
          </w:tcPr>
          <w:p>
            <w:pPr>
              <w:pStyle w:val="28"/>
              <w:keepNext w:val="0"/>
              <w:keepLines w:val="0"/>
              <w:pageBreakBefore w:val="0"/>
              <w:kinsoku/>
              <w:overflowPunct/>
              <w:topLinePunct w:val="0"/>
              <w:bidi w:val="0"/>
              <w:snapToGrid/>
              <w:spacing w:line="356" w:lineRule="auto"/>
              <w:ind w:right="105" w:rightChars="50"/>
              <w:jc w:val="both"/>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highlight w:val="none"/>
                <w:lang w:val="zh-CN"/>
              </w:rPr>
              <w:t>的法定代表人或其被授权人应当按时参加磋商会议，在递交磋商响应文件时提交法定代表人</w:t>
            </w:r>
            <w:r>
              <w:rPr>
                <w:rFonts w:hint="eastAsia" w:cs="宋体"/>
                <w:color w:val="auto"/>
                <w:highlight w:val="none"/>
                <w:lang w:val="en-US" w:eastAsia="zh-CN"/>
              </w:rPr>
              <w:t>/</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color w:val="auto"/>
                <w:highlight w:val="none"/>
                <w:lang w:val="zh-CN"/>
              </w:rPr>
              <w:t>授权书（附法定代表人</w:t>
            </w:r>
            <w:r>
              <w:rPr>
                <w:rFonts w:hint="eastAsia" w:cs="宋体"/>
                <w:color w:val="auto"/>
                <w:highlight w:val="none"/>
                <w:lang w:val="en-US" w:eastAsia="zh-CN"/>
              </w:rPr>
              <w:t>/</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color w:val="auto"/>
                <w:highlight w:val="none"/>
                <w:lang w:val="zh-CN"/>
              </w:rPr>
              <w:t>、被授权人身份证复印件）及被授权人身份证原件；法定代表人</w:t>
            </w:r>
            <w:r>
              <w:rPr>
                <w:rFonts w:hint="eastAsia" w:cs="宋体"/>
                <w:color w:val="auto"/>
                <w:highlight w:val="none"/>
                <w:lang w:val="en-US" w:eastAsia="zh-CN"/>
              </w:rPr>
              <w:t>/</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color w:val="auto"/>
                <w:highlight w:val="none"/>
                <w:lang w:val="zh-CN"/>
              </w:rPr>
              <w:t>直接参加磋商的，须单独提交本人身份证原件及法定代表人</w:t>
            </w:r>
            <w:r>
              <w:rPr>
                <w:rFonts w:hint="eastAsia" w:cs="宋体"/>
                <w:color w:val="auto"/>
                <w:highlight w:val="none"/>
                <w:lang w:val="en-US" w:eastAsia="zh-CN"/>
              </w:rPr>
              <w:t>/</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color w:val="auto"/>
                <w:highlight w:val="none"/>
                <w:lang w:val="zh-CN"/>
              </w:rPr>
              <w:t>身份证明文件进行身份核验</w:t>
            </w:r>
            <w:r>
              <w:rPr>
                <w:rFonts w:hint="eastAsia" w:cs="宋体"/>
                <w:color w:val="auto"/>
                <w:highlight w:val="none"/>
                <w:lang w:val="zh-CN"/>
              </w:rPr>
              <w:t>，</w:t>
            </w:r>
            <w:r>
              <w:rPr>
                <w:rFonts w:hint="eastAsia" w:cs="宋体"/>
                <w:color w:val="auto"/>
                <w:highlight w:val="none"/>
                <w:lang w:val="en-US" w:eastAsia="zh-CN"/>
              </w:rPr>
              <w:t>否则将无法参加磋商会议，造成的后果由供应商自行承担。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w:t>
            </w:r>
          </w:p>
        </w:tc>
        <w:tc>
          <w:tcPr>
            <w:tcW w:w="911" w:type="pct"/>
            <w:vAlign w:val="center"/>
          </w:tcPr>
          <w:p>
            <w:pPr>
              <w:keepNext w:val="0"/>
              <w:keepLines w:val="0"/>
              <w:pageBreakBefore w:val="0"/>
              <w:kinsoku/>
              <w:overflowPunct/>
              <w:topLinePunct w:val="0"/>
              <w:bidi w:val="0"/>
              <w:snapToGrid/>
              <w:spacing w:line="356"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评审办法及标准</w:t>
            </w:r>
          </w:p>
        </w:tc>
        <w:tc>
          <w:tcPr>
            <w:tcW w:w="3732" w:type="pct"/>
            <w:vAlign w:val="center"/>
          </w:tcPr>
          <w:p>
            <w:pPr>
              <w:pStyle w:val="27"/>
              <w:keepNext w:val="0"/>
              <w:keepLines w:val="0"/>
              <w:pageBreakBefore w:val="0"/>
              <w:tabs>
                <w:tab w:val="right" w:pos="6323"/>
              </w:tabs>
              <w:kinsoku/>
              <w:overflowPunct/>
              <w:topLinePunct w:val="0"/>
              <w:bidi w:val="0"/>
              <w:snapToGrid/>
              <w:spacing w:line="356"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磋商文件第三部分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356" w:type="pct"/>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w:t>
            </w:r>
          </w:p>
        </w:tc>
        <w:tc>
          <w:tcPr>
            <w:tcW w:w="911" w:type="pct"/>
            <w:vAlign w:val="center"/>
          </w:tcPr>
          <w:p>
            <w:pPr>
              <w:pStyle w:val="28"/>
              <w:keepNext w:val="0"/>
              <w:keepLines w:val="0"/>
              <w:pageBreakBefore w:val="0"/>
              <w:kinsoku/>
              <w:overflowPunct/>
              <w:topLinePunct w:val="0"/>
              <w:bidi w:val="0"/>
              <w:snapToGrid/>
              <w:spacing w:line="356" w:lineRule="auto"/>
              <w:jc w:val="center"/>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rPr>
              <w:t>代理服务费</w:t>
            </w:r>
          </w:p>
        </w:tc>
        <w:tc>
          <w:tcPr>
            <w:tcW w:w="3732" w:type="pct"/>
            <w:vAlign w:val="center"/>
          </w:tcPr>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成交</w:t>
            </w:r>
            <w:r>
              <w:rPr>
                <w:rFonts w:hint="eastAsia" w:ascii="宋体" w:hAnsi="宋体" w:eastAsia="宋体" w:cs="宋体"/>
                <w:sz w:val="24"/>
                <w:szCs w:val="24"/>
                <w:highlight w:val="none"/>
                <w:lang w:val="zh-CN"/>
              </w:rPr>
              <w:t>供应商须向采购代理机构按如下标准和规定交纳代理服务费：</w:t>
            </w:r>
          </w:p>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）代理服务费参照国家计委关于印发《招标代理服务收费管理暂行办法》的通知（计价格〔2002〕1980号）、《国家发展和改革委员会办公厅关于招标代理服务收费有关问题的通知》（发改办价格〔2003〕857号）</w:t>
            </w:r>
            <w:r>
              <w:rPr>
                <w:rFonts w:hint="eastAsia" w:ascii="宋体" w:hAnsi="宋体" w:eastAsia="宋体" w:cs="宋体"/>
                <w:sz w:val="24"/>
                <w:szCs w:val="24"/>
                <w:highlight w:val="none"/>
                <w:lang w:val="en-US" w:eastAsia="zh-CN"/>
              </w:rPr>
              <w:t>文件计取</w:t>
            </w:r>
            <w:r>
              <w:rPr>
                <w:rFonts w:hint="eastAsia" w:ascii="宋体" w:hAnsi="宋体" w:eastAsia="宋体" w:cs="宋体"/>
                <w:sz w:val="24"/>
                <w:szCs w:val="24"/>
                <w:highlight w:val="none"/>
                <w:lang w:val="zh-CN"/>
              </w:rPr>
              <w:t>；</w:t>
            </w:r>
          </w:p>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）代理服务费的交纳方式：</w:t>
            </w:r>
            <w:r>
              <w:rPr>
                <w:rFonts w:hint="eastAsia" w:ascii="宋体" w:hAnsi="宋体" w:eastAsia="宋体" w:cs="宋体"/>
                <w:color w:val="auto"/>
                <w:highlight w:val="none"/>
              </w:rPr>
              <w:t>本项目服务期为3年，代理服务费按3年总金额计算收取</w:t>
            </w:r>
            <w:r>
              <w:rPr>
                <w:rFonts w:hint="eastAsia" w:ascii="宋体" w:hAnsi="宋体" w:eastAsia="宋体" w:cs="宋体"/>
                <w:color w:val="auto"/>
                <w:highlight w:val="none"/>
                <w:lang w:eastAsia="zh-CN"/>
              </w:rPr>
              <w:t>，</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lang w:val="zh-CN"/>
              </w:rPr>
              <w:t>在领取</w:t>
            </w:r>
            <w:r>
              <w:rPr>
                <w:rFonts w:hint="eastAsia" w:ascii="宋体" w:hAnsi="宋体" w:eastAsia="宋体" w:cs="宋体"/>
                <w:sz w:val="24"/>
                <w:szCs w:val="24"/>
                <w:highlight w:val="none"/>
              </w:rPr>
              <w:t>成交</w:t>
            </w:r>
            <w:r>
              <w:rPr>
                <w:rFonts w:hint="eastAsia" w:ascii="宋体" w:hAnsi="宋体" w:eastAsia="宋体" w:cs="宋体"/>
                <w:sz w:val="24"/>
                <w:szCs w:val="24"/>
                <w:highlight w:val="none"/>
                <w:lang w:val="zh-CN"/>
              </w:rPr>
              <w:t>通知书前向采购代理机构一次性支付；</w:t>
            </w:r>
          </w:p>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开户名称：陕西金准达项目管理有限责任公司</w:t>
            </w:r>
          </w:p>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开户行名称：招商银行西安分行营业部</w:t>
            </w:r>
          </w:p>
          <w:p>
            <w:pPr>
              <w:pStyle w:val="28"/>
              <w:keepNext w:val="0"/>
              <w:keepLines w:val="0"/>
              <w:pageBreakBefore w:val="0"/>
              <w:kinsoku/>
              <w:overflowPunct/>
              <w:topLinePunct w:val="0"/>
              <w:bidi w:val="0"/>
              <w:snapToGrid/>
              <w:spacing w:line="356" w:lineRule="auto"/>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rPr>
              <w:t>账号：129911244910902</w:t>
            </w:r>
          </w:p>
        </w:tc>
      </w:tr>
    </w:tbl>
    <w:p>
      <w:pPr>
        <w:pStyle w:val="2"/>
        <w:rPr>
          <w:rFonts w:hint="eastAsia" w:ascii="宋体" w:hAnsi="宋体" w:eastAsia="宋体" w:cs="宋体"/>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20" w:lineRule="atLeast"/>
        <w:jc w:val="center"/>
        <w:outlineLvl w:val="1"/>
        <w:rPr>
          <w:rFonts w:hint="eastAsia" w:ascii="宋体" w:hAnsi="宋体" w:eastAsia="宋体" w:cs="宋体"/>
          <w:b/>
          <w:sz w:val="24"/>
          <w:highlight w:val="none"/>
        </w:rPr>
      </w:pPr>
      <w:r>
        <w:rPr>
          <w:rFonts w:hint="eastAsia" w:ascii="宋体" w:hAnsi="宋体" w:eastAsia="宋体" w:cs="宋体"/>
          <w:b/>
          <w:sz w:val="32"/>
          <w:szCs w:val="32"/>
          <w:highlight w:val="none"/>
        </w:rPr>
        <w:t>供应商须知</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highlight w:val="none"/>
          <w:lang w:eastAsia="zh-CN"/>
        </w:rPr>
      </w:pPr>
      <w:r>
        <w:rPr>
          <w:rFonts w:hint="eastAsia" w:ascii="宋体" w:hAnsi="宋体" w:eastAsia="宋体" w:cs="宋体"/>
          <w:b/>
          <w:sz w:val="24"/>
          <w:highlight w:val="none"/>
        </w:rPr>
        <w:t>一、</w:t>
      </w:r>
      <w:r>
        <w:rPr>
          <w:rFonts w:hint="eastAsia" w:ascii="宋体" w:hAnsi="宋体" w:eastAsia="宋体" w:cs="宋体"/>
          <w:b/>
          <w:sz w:val="24"/>
          <w:highlight w:val="none"/>
          <w:lang w:eastAsia="zh-CN"/>
        </w:rPr>
        <w:t>适用范围</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仅适用于本次</w:t>
      </w:r>
      <w:r>
        <w:rPr>
          <w:rFonts w:hint="eastAsia" w:ascii="宋体" w:hAnsi="宋体" w:eastAsia="宋体" w:cs="宋体"/>
          <w:color w:val="auto"/>
          <w:sz w:val="24"/>
          <w:highlight w:val="none"/>
          <w:lang w:eastAsia="zh-CN"/>
        </w:rPr>
        <w:t>竞争性磋商</w:t>
      </w:r>
      <w:r>
        <w:rPr>
          <w:rFonts w:hint="eastAsia" w:ascii="宋体" w:hAnsi="宋体" w:eastAsia="宋体" w:cs="宋体"/>
          <w:color w:val="auto"/>
          <w:sz w:val="24"/>
          <w:highlight w:val="none"/>
        </w:rPr>
        <w:t>所叙述项目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采购活动。</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二</w:t>
      </w:r>
      <w:r>
        <w:rPr>
          <w:rFonts w:hint="eastAsia" w:ascii="宋体" w:hAnsi="宋体" w:eastAsia="宋体" w:cs="宋体"/>
          <w:b/>
          <w:sz w:val="24"/>
          <w:highlight w:val="none"/>
        </w:rPr>
        <w:t>、名词解释</w:t>
      </w:r>
    </w:p>
    <w:p>
      <w:pPr>
        <w:pStyle w:val="2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single" w:color="FFFFFF"/>
        </w:rPr>
      </w:pPr>
      <w:r>
        <w:rPr>
          <w:rFonts w:hint="eastAsia" w:ascii="宋体" w:hAnsi="宋体" w:eastAsia="宋体" w:cs="宋体"/>
          <w:b w:val="0"/>
          <w:bCs/>
          <w:sz w:val="24"/>
          <w:szCs w:val="24"/>
          <w:highlight w:val="none"/>
        </w:rPr>
        <w:t>1、采购</w:t>
      </w:r>
      <w:r>
        <w:rPr>
          <w:rFonts w:hint="eastAsia" w:ascii="宋体" w:hAnsi="宋体" w:eastAsia="宋体" w:cs="宋体"/>
          <w:b w:val="0"/>
          <w:bCs/>
          <w:sz w:val="24"/>
          <w:szCs w:val="24"/>
          <w:highlight w:val="none"/>
          <w:u w:val="single" w:color="FFFFFF"/>
        </w:rPr>
        <w:t>人：蒲城县医院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w:t>
      </w:r>
      <w:r>
        <w:rPr>
          <w:rFonts w:hint="eastAsia" w:ascii="宋体" w:hAnsi="宋体" w:eastAsia="宋体" w:cs="宋体"/>
          <w:b w:val="0"/>
          <w:bCs/>
          <w:sz w:val="24"/>
          <w:highlight w:val="none"/>
          <w:lang w:val="en-US" w:eastAsia="zh-CN"/>
        </w:rPr>
        <w:t>采购</w:t>
      </w:r>
      <w:r>
        <w:rPr>
          <w:rFonts w:hint="eastAsia" w:ascii="宋体" w:hAnsi="宋体" w:eastAsia="宋体" w:cs="宋体"/>
          <w:b w:val="0"/>
          <w:bCs/>
          <w:sz w:val="24"/>
          <w:highlight w:val="none"/>
        </w:rPr>
        <w:t>代理机构：陕西金准达项目管理有限责任公司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3、监督管理机构：</w:t>
      </w:r>
      <w:r>
        <w:rPr>
          <w:rFonts w:hint="eastAsia" w:ascii="宋体" w:hAnsi="宋体" w:eastAsia="宋体" w:cs="宋体"/>
          <w:b w:val="0"/>
          <w:bCs/>
          <w:color w:val="auto"/>
          <w:sz w:val="24"/>
          <w:highlight w:val="none"/>
          <w:lang w:val="en-US" w:eastAsia="zh-CN"/>
        </w:rPr>
        <w:t>蒲城县财政局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14:textFill>
            <w14:solidFill>
              <w14:schemeClr w14:val="tx1"/>
            </w14:solidFill>
          </w14:textFill>
        </w:rPr>
        <w:t>供应商：</w:t>
      </w:r>
      <w:r>
        <w:rPr>
          <w:rFonts w:hint="eastAsia" w:ascii="宋体" w:hAnsi="宋体" w:eastAsia="宋体" w:cs="宋体"/>
          <w:sz w:val="24"/>
          <w:szCs w:val="24"/>
          <w:highlight w:val="none"/>
        </w:rPr>
        <w:t>是指响应和符合</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规定资格条件且参与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竞争的法人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其他组织或者自然人</w:t>
      </w:r>
      <w:r>
        <w:rPr>
          <w:rFonts w:hint="eastAsia" w:ascii="宋体" w:hAnsi="宋体" w:eastAsia="宋体" w:cs="宋体"/>
          <w:b w:val="0"/>
          <w:bCs/>
          <w:color w:val="000000" w:themeColor="text1"/>
          <w:sz w:val="24"/>
          <w:highlight w:val="none"/>
          <w14:textFill>
            <w14:solidFill>
              <w14:schemeClr w14:val="tx1"/>
            </w14:solidFill>
          </w14:textFill>
        </w:rPr>
        <w:t>。</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lang w:eastAsia="zh-CN"/>
        </w:rPr>
        <w:t>三</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磋商文件</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1、本次采购依据《中华人民共和国政府采购法》和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政府采购竞争性磋商采购方式管理暂行办法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（财库〔2014〕214号）及相关法规政策。</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包括目录中所列的六部分，供应商应仔细阅读</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中所有的事项、格式、条款和规范要求，在</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磋商响应文件中对磋商文件的各方面都作出实质性的响应，按照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的要求提交全部资料。</w:t>
      </w:r>
    </w:p>
    <w:p>
      <w:pPr>
        <w:keepNext w:val="0"/>
        <w:keepLines w:val="0"/>
        <w:pageBreakBefore w:val="0"/>
        <w:tabs>
          <w:tab w:val="left" w:pos="0"/>
        </w:tabs>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的修改、澄清或补正</w:t>
      </w:r>
    </w:p>
    <w:p>
      <w:pPr>
        <w:keepNext w:val="0"/>
        <w:keepLines w:val="0"/>
        <w:pageBreakBefore w:val="0"/>
        <w:tabs>
          <w:tab w:val="left" w:pos="0"/>
        </w:tabs>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3-1、采购代理机构可以对已发出的</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进行必要的澄清或者修改，澄清或者修改的内容作为磋商文件的组成部分。澄清或者修改的内容可能影响</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响应文件编制的，采购代理机构应当在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响应文件截止时间至少5日前，以书面形式通知所有获取</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的供应商；不足5日的，采购代理机构应当顺延提交首次</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响应文件截止时间。</w:t>
      </w:r>
    </w:p>
    <w:p>
      <w:pPr>
        <w:keepNext w:val="0"/>
        <w:keepLines w:val="0"/>
        <w:pageBreakBefore w:val="0"/>
        <w:tabs>
          <w:tab w:val="left" w:pos="0"/>
        </w:tabs>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3-2、供应商要求对</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进行澄清的，必须在磋商截止时间三日前，以书面形式送达</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将以书面形式予以答复；必要时将书面答复传送给所有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收受人。</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可以视采购具体情况，延长磋商截止时间和磋商时间，但至少在</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要求的提交磋商响应文件的截止时间二日前，将变更时间书面通知所有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收受人，并在政府采购信息发布媒体上发布变更公告。</w:t>
      </w:r>
    </w:p>
    <w:p>
      <w:pPr>
        <w:keepNext w:val="0"/>
        <w:keepLines w:val="0"/>
        <w:pageBreakBefore w:val="0"/>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磋商截止</w:t>
      </w:r>
      <w:r>
        <w:rPr>
          <w:rFonts w:hint="eastAsia" w:ascii="宋体" w:hAnsi="宋体" w:eastAsia="宋体" w:cs="宋体"/>
          <w:sz w:val="24"/>
          <w:szCs w:val="24"/>
          <w:highlight w:val="none"/>
        </w:rPr>
        <w:t>前未对磋商文件所列条款提出质疑而进行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，视为接受磋商文件所列条款，</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采购代理</w:t>
      </w:r>
      <w:r>
        <w:rPr>
          <w:rFonts w:hint="eastAsia" w:ascii="宋体" w:hAnsi="宋体" w:eastAsia="宋体" w:cs="宋体"/>
          <w:sz w:val="24"/>
          <w:szCs w:val="24"/>
          <w:highlight w:val="none"/>
        </w:rPr>
        <w:t>机构将不再受理对磋商文件所列条款的任何质疑。</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登记发售，一经售出，恕不能退。</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不得擅自转让、变卖或复制</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进行磋商响应。</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的解释权归</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7、不论</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结果如何，</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应自行承担所有与准备和参加</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相关的全部费用。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四</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竞争性</w:t>
      </w:r>
      <w:r>
        <w:rPr>
          <w:rFonts w:hint="eastAsia" w:ascii="宋体" w:hAnsi="宋体" w:eastAsia="宋体" w:cs="宋体"/>
          <w:b/>
          <w:bCs/>
          <w:sz w:val="24"/>
          <w:highlight w:val="none"/>
        </w:rPr>
        <w:t>磋商</w:t>
      </w:r>
      <w:r>
        <w:rPr>
          <w:rFonts w:hint="eastAsia" w:ascii="宋体" w:hAnsi="宋体" w:eastAsia="宋体" w:cs="宋体"/>
          <w:b/>
          <w:bCs/>
          <w:sz w:val="24"/>
          <w:highlight w:val="none"/>
          <w:lang w:eastAsia="zh-CN"/>
        </w:rPr>
        <w:t>响应</w:t>
      </w:r>
      <w:r>
        <w:rPr>
          <w:rFonts w:hint="eastAsia" w:ascii="宋体" w:hAnsi="宋体" w:eastAsia="宋体" w:cs="宋体"/>
          <w:b/>
          <w:bCs/>
          <w:sz w:val="24"/>
          <w:highlight w:val="none"/>
        </w:rPr>
        <w:t>文件</w:t>
      </w:r>
      <w:r>
        <w:rPr>
          <w:rFonts w:hint="eastAsia" w:ascii="宋体" w:hAnsi="宋体" w:eastAsia="宋体" w:cs="宋体"/>
          <w:b/>
          <w:bCs/>
          <w:sz w:val="24"/>
          <w:highlight w:val="none"/>
          <w:lang w:eastAsia="zh-CN"/>
        </w:rPr>
        <w:t>要求</w:t>
      </w:r>
    </w:p>
    <w:p>
      <w:pPr>
        <w:pStyle w:val="33"/>
        <w:keepNext w:val="0"/>
        <w:keepLines w:val="0"/>
        <w:pageBreakBefore w:val="0"/>
        <w:widowControl/>
        <w:kinsoku/>
        <w:wordWrap/>
        <w:overflowPunct/>
        <w:topLinePunct w:val="0"/>
        <w:autoSpaceDE/>
        <w:autoSpaceDN/>
        <w:bidi w:val="0"/>
        <w:spacing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sz w:val="24"/>
          <w:highlight w:val="none"/>
          <w:lang w:val="en-US" w:eastAsia="zh-CN"/>
        </w:rPr>
        <w:t>1、</w:t>
      </w:r>
      <w:r>
        <w:rPr>
          <w:rFonts w:hint="eastAsia" w:ascii="宋体" w:hAnsi="宋体" w:eastAsia="宋体" w:cs="宋体"/>
          <w:color w:val="auto"/>
          <w:kern w:val="0"/>
          <w:sz w:val="24"/>
          <w:szCs w:val="24"/>
          <w:highlight w:val="none"/>
          <w:u w:val="none"/>
          <w:lang w:val="en-US" w:eastAsia="zh-CN" w:bidi="ar-SA"/>
        </w:rPr>
        <w:t>供应商资格要求：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无</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8"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1-3、</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县医院购置“互联网+医疗”信息化服务项目</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体资格证明：在中华人民共和国境内注册，并有效续存的营业执照/事业单位法人证书/非企业专业服务机构执业许可证/民办非企业单位登记证书、税务登记证、组织机构代码证，或“三证合一”后的注册登记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（2）财务状况报告：提供2022年度财务审计报告（至少包括资产负债表、利润表、现金流量表及财务报表附注，成立时间至提交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截止时间不足一年的可提供成立后任意时段的资产负债表），或开标前3个月内其基本存款账户开户银行出具的资信证明及基本存款账户开户证明资料；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（4）税收缴纳证明：自2023年1月1日以来已缴存的至少一个月的纳税证明或完税证明，纳税证明或完税证明上应有代收机构或税务机关的公章或业务专用章。依法免税的供应商应提供相关文件证明；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（5）未被列入“信用中国”网站（www.creditchina.gov.cn）失信被执行人和重大税收违法案件当事人名单，不得为“中国政府采购网”(www.ccgp.gov.cn)政府采购严重违法失信行为记录名单中禁止参加政府采购活动的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授权书（附法定代表人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、被授权人身份证复印件）及被授权人身份证原件；法定代表人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直接参加投标的，须提供法定代表人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（8）提供具有履行合同所必需的设备和专业技术能力的承诺函；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（9）本项目不接受联合体</w:t>
      </w:r>
      <w:r>
        <w:rPr>
          <w:rFonts w:hint="eastAsia" w:ascii="宋体" w:hAnsi="宋体" w:eastAsia="宋体" w:cs="宋体"/>
          <w:sz w:val="24"/>
          <w:szCs w:val="24"/>
          <w:highlight w:val="none"/>
          <w:lang w:eastAsia="zh-CN"/>
        </w:rPr>
        <w:t>参与</w:t>
      </w:r>
      <w:r>
        <w:rPr>
          <w:rFonts w:hint="eastAsia" w:ascii="宋体" w:hAnsi="宋体" w:eastAsia="宋体" w:cs="宋体"/>
          <w:sz w:val="24"/>
          <w:szCs w:val="24"/>
          <w:highlight w:val="none"/>
        </w:rPr>
        <w:t>，单位负责人为同一人或者存在直接控股、管理关系的不同单位不得同时参加，未提及之处详见</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注：①以上资格要求均为必备资格，缺少其中任何一项，其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视为无效文件。②事业单位参与投标可不提供财务状况报告和社会保障资金缴纳证明。③</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凡是参加</w:t>
      </w:r>
      <w:r>
        <w:rPr>
          <w:rFonts w:hint="eastAsia" w:ascii="宋体" w:hAnsi="宋体" w:eastAsia="宋体" w:cs="宋体"/>
          <w:sz w:val="24"/>
          <w:szCs w:val="24"/>
          <w:highlight w:val="none"/>
          <w:lang w:eastAsia="zh-CN"/>
        </w:rPr>
        <w:t>磋商会议</w:t>
      </w:r>
      <w:r>
        <w:rPr>
          <w:rFonts w:hint="eastAsia" w:ascii="宋体" w:hAnsi="宋体" w:eastAsia="宋体" w:cs="宋体"/>
          <w:sz w:val="24"/>
          <w:szCs w:val="24"/>
          <w:highlight w:val="none"/>
        </w:rPr>
        <w:t>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中所填报的被授权人本人必须到场，不得委托他人，否则按照无效</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处理。</w:t>
      </w:r>
      <w:r>
        <w:rPr>
          <w:rFonts w:hint="eastAsia" w:ascii="宋体" w:hAnsi="宋体" w:eastAsia="宋体" w:cs="宋体"/>
          <w:sz w:val="24"/>
          <w:szCs w:val="24"/>
          <w:highlight w:val="none"/>
          <w:lang w:eastAsia="zh-CN"/>
        </w:rPr>
        <w:t>④凡要求法定代表人签字处，非法人单位均参照执行。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、磋商响应文件的组成：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响应文件必须根据</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提供的内容及格式编制，并对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做出实质性响应。具体内容包括：</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2-1、磋商响应函</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2-2、磋商报价一览表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2-3、服务响应偏离表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2-4、供应商资格证明文件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2-5、类似业绩一览表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2-6、磋商响应方案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2-7、</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认为有必要补充说明的其他事项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2-8、供应商承诺书；</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3、供应商不得以他人名义磋商和串通磋商。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4、磋商内容填写说明</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4-1、磋商响应文件格式：供应商提交的磋商响应文件应当使用磋商文件规定的全部格式（表格可以按同样格式扩展）编写，装订成册。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4-2、磋商报价一览表要求按格式填写。若供应商填写有误，采购代理机构将默认为磋商文件要求格式。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5、磋商响应文件的计量单位</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磋商响应文件中所使用的计量单位，除有特殊要求外，均采用国家法定计量单位。</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6、磋商报价</w:t>
      </w:r>
    </w:p>
    <w:p>
      <w:pPr>
        <w:keepNext w:val="0"/>
        <w:keepLines w:val="0"/>
        <w:pageBreakBefore w:val="0"/>
        <w:widowControl w:val="0"/>
        <w:numPr>
          <w:ilvl w:val="0"/>
          <w:numId w:val="0"/>
        </w:numPr>
        <w:kinsoku/>
        <w:wordWrap/>
        <w:overflowPunct/>
        <w:topLinePunct w:val="0"/>
        <w:autoSpaceDE/>
        <w:autoSpaceDN/>
        <w:bidi w:val="0"/>
        <w:spacing w:line="360" w:lineRule="auto"/>
        <w:ind w:firstLine="496" w:firstLineChars="200"/>
        <w:textAlignment w:val="auto"/>
        <w:rPr>
          <w:rFonts w:hint="eastAsia" w:ascii="宋体" w:hAnsi="宋体" w:eastAsia="宋体" w:cs="宋体"/>
          <w:spacing w:val="4"/>
          <w:sz w:val="24"/>
          <w:highlight w:val="none"/>
          <w:lang w:val="en-US" w:eastAsia="zh-CN"/>
        </w:rPr>
      </w:pPr>
      <w:r>
        <w:rPr>
          <w:rFonts w:hint="eastAsia" w:ascii="宋体" w:hAnsi="宋体" w:eastAsia="宋体" w:cs="宋体"/>
          <w:spacing w:val="4"/>
          <w:sz w:val="24"/>
          <w:highlight w:val="none"/>
          <w:lang w:val="en-US" w:eastAsia="zh-CN"/>
        </w:rPr>
        <w:t>6-1、</w:t>
      </w:r>
      <w:r>
        <w:rPr>
          <w:rFonts w:hint="eastAsia" w:ascii="宋体" w:hAnsi="宋体" w:eastAsia="宋体" w:cs="宋体"/>
          <w:b/>
          <w:bCs/>
          <w:spacing w:val="4"/>
          <w:sz w:val="24"/>
          <w:highlight w:val="none"/>
          <w:u w:val="single"/>
          <w:lang w:val="en-US" w:eastAsia="zh-CN"/>
        </w:rPr>
        <w:t>本项目报价为单年度县医院购置“互联网+医疗”信息化服务报价，成交金额为单年签订合同价依据，供应商应按照磋商文件要求填报，并充分了解该采购项目的总体情况以及影响磋商报价的其他要素</w:t>
      </w:r>
      <w:r>
        <w:rPr>
          <w:rFonts w:hint="eastAsia" w:ascii="宋体" w:hAnsi="宋体" w:eastAsia="宋体" w:cs="宋体"/>
          <w:spacing w:val="4"/>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firstLine="496" w:firstLineChars="200"/>
        <w:textAlignment w:val="auto"/>
        <w:rPr>
          <w:rFonts w:hint="eastAsia" w:ascii="宋体" w:hAnsi="宋体" w:eastAsia="宋体" w:cs="宋体"/>
          <w:sz w:val="24"/>
          <w:szCs w:val="20"/>
          <w:highlight w:val="none"/>
        </w:rPr>
      </w:pPr>
      <w:r>
        <w:rPr>
          <w:rFonts w:hint="eastAsia" w:ascii="宋体" w:hAnsi="宋体" w:eastAsia="宋体" w:cs="宋体"/>
          <w:spacing w:val="4"/>
          <w:sz w:val="24"/>
          <w:highlight w:val="none"/>
          <w:lang w:val="en-US" w:eastAsia="zh-CN"/>
        </w:rPr>
        <w:t>6-2、本次采购磋商报价为自主报价。</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6-3、供应商的磋商报价不得高于磋商文件规定的最高限价，否则按无效响应处理。供应商的磋商报价小数点后保留二位，供应商自行考虑并承担风险。</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000000"/>
          <w:sz w:val="24"/>
          <w:highlight w:val="none"/>
          <w:shd w:val="clear" w:color="auto" w:fill="auto"/>
          <w:lang w:val="en-US" w:eastAsia="zh-CN"/>
        </w:rPr>
        <w:t>6-4、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响应项目要求的全部工作内容的价格体现。在提供</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的过程中的任何遗漏，均由</w:t>
      </w:r>
      <w:r>
        <w:rPr>
          <w:rFonts w:hint="eastAsia" w:ascii="宋体" w:hAnsi="宋体" w:eastAsia="宋体" w:cs="宋体"/>
          <w:bCs/>
          <w:color w:val="000000"/>
          <w:sz w:val="24"/>
          <w:highlight w:val="none"/>
          <w:shd w:val="clear" w:color="auto" w:fill="auto"/>
          <w:lang w:val="en-US" w:eastAsia="zh-CN"/>
        </w:rPr>
        <w:t>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免费提供，采购人将不再支付任何费用。</w:t>
      </w:r>
      <w:r>
        <w:rPr>
          <w:rFonts w:hint="eastAsia" w:ascii="宋体" w:hAnsi="宋体" w:eastAsia="宋体" w:cs="宋体"/>
          <w:bCs/>
          <w:color w:val="000000"/>
          <w:sz w:val="24"/>
          <w:highlight w:val="none"/>
          <w:shd w:val="clear" w:color="auto" w:fill="auto"/>
          <w:lang w:val="en-US" w:eastAsia="zh-CN"/>
        </w:rPr>
        <w:t>成交</w:t>
      </w:r>
      <w:r>
        <w:rPr>
          <w:rFonts w:hint="eastAsia" w:ascii="宋体" w:hAnsi="宋体" w:eastAsia="宋体" w:cs="宋体"/>
          <w:color w:val="auto"/>
          <w:sz w:val="24"/>
          <w:highlight w:val="none"/>
        </w:rPr>
        <w:t>后不允许擅自改变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内容。</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6-5、供应商每种服务只允许有一个报价，并且在合同履行过程中是固定不变的，任何有选择或可调整的报价将不予接受，并按无效响应处理。</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-6、当磋商小组认为，某供应商的报价存在明显低于其他通过资格性及符合性审查供应商的报价，有可能影响服务质量和不能诚信履约的，应当要求其在评审现场规定时间内，提供必要的书面文件予以解释和说明，必要时提交相关证明材料；若供应商不能证明其报价合理性，磋商小组将其作无效响应处理。</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rPr>
      </w:pPr>
      <w:r>
        <w:rPr>
          <w:rFonts w:hint="eastAsia" w:ascii="宋体" w:hAnsi="宋体" w:eastAsia="宋体" w:cs="宋体"/>
          <w:bCs/>
          <w:color w:val="000000"/>
          <w:sz w:val="24"/>
          <w:highlight w:val="none"/>
          <w:shd w:val="clear" w:color="auto" w:fill="auto"/>
          <w:lang w:val="en-US" w:eastAsia="zh-CN"/>
        </w:rPr>
        <w:t>6-7、</w:t>
      </w:r>
      <w:r>
        <w:rPr>
          <w:rFonts w:hint="eastAsia" w:ascii="宋体" w:hAnsi="宋体" w:eastAsia="宋体" w:cs="宋体"/>
          <w:bCs/>
          <w:color w:val="000000"/>
          <w:sz w:val="24"/>
          <w:highlight w:val="none"/>
          <w:shd w:val="clear" w:color="auto" w:fill="auto"/>
        </w:rPr>
        <w:t>报价以人民币（元）为计算单位。</w:t>
      </w:r>
    </w:p>
    <w:p>
      <w:pPr>
        <w:keepNext w:val="0"/>
        <w:keepLines w:val="0"/>
        <w:pageBreakBefore w:val="0"/>
        <w:tabs>
          <w:tab w:val="left" w:pos="156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lang w:val="en-US" w:eastAsia="zh-CN"/>
        </w:rPr>
        <w:t>7</w:t>
      </w:r>
      <w:r>
        <w:rPr>
          <w:rFonts w:hint="eastAsia" w:ascii="宋体" w:hAnsi="宋体" w:eastAsia="宋体" w:cs="宋体"/>
          <w:kern w:val="0"/>
          <w:sz w:val="24"/>
          <w:szCs w:val="21"/>
          <w:highlight w:val="none"/>
        </w:rPr>
        <w:t>、磋商有效期</w:t>
      </w:r>
    </w:p>
    <w:p>
      <w:pPr>
        <w:pStyle w:val="26"/>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eastAsia="zh-CN"/>
        </w:rPr>
        <w:t>磋商</w:t>
      </w:r>
      <w:r>
        <w:rPr>
          <w:rFonts w:hint="eastAsia" w:ascii="宋体" w:hAnsi="宋体" w:eastAsia="宋体" w:cs="宋体"/>
          <w:sz w:val="24"/>
          <w:szCs w:val="21"/>
          <w:highlight w:val="none"/>
        </w:rPr>
        <w:t>响应文件有效期为自磋商之日起算九十（90）个日历日；</w:t>
      </w:r>
      <w:r>
        <w:rPr>
          <w:rFonts w:hint="eastAsia" w:ascii="宋体" w:hAnsi="宋体" w:eastAsia="宋体" w:cs="宋体"/>
          <w:sz w:val="24"/>
          <w:szCs w:val="21"/>
          <w:highlight w:val="none"/>
          <w:lang w:eastAsia="zh-CN"/>
        </w:rPr>
        <w:t>磋商</w:t>
      </w:r>
      <w:r>
        <w:rPr>
          <w:rFonts w:hint="eastAsia" w:ascii="宋体" w:hAnsi="宋体" w:eastAsia="宋体" w:cs="宋体"/>
          <w:sz w:val="24"/>
          <w:szCs w:val="21"/>
          <w:highlight w:val="none"/>
        </w:rPr>
        <w:t>响应文件无磋商有效期或有效期短于</w:t>
      </w:r>
      <w:r>
        <w:rPr>
          <w:rFonts w:hint="eastAsia" w:ascii="宋体" w:hAnsi="宋体" w:eastAsia="宋体" w:cs="宋体"/>
          <w:sz w:val="24"/>
          <w:szCs w:val="21"/>
          <w:highlight w:val="none"/>
          <w:lang w:eastAsia="zh-CN"/>
        </w:rPr>
        <w:t>磋商文件</w:t>
      </w:r>
      <w:r>
        <w:rPr>
          <w:rFonts w:hint="eastAsia" w:ascii="宋体" w:hAnsi="宋体" w:eastAsia="宋体" w:cs="宋体"/>
          <w:sz w:val="24"/>
          <w:szCs w:val="21"/>
          <w:highlight w:val="none"/>
        </w:rPr>
        <w:t>规定的磋商有效期，按无效响应文件处理。成交供应商的</w:t>
      </w:r>
      <w:r>
        <w:rPr>
          <w:rFonts w:hint="eastAsia" w:ascii="宋体" w:hAnsi="宋体" w:eastAsia="宋体" w:cs="宋体"/>
          <w:sz w:val="24"/>
          <w:szCs w:val="21"/>
          <w:highlight w:val="none"/>
          <w:lang w:eastAsia="zh-CN"/>
        </w:rPr>
        <w:t>竞争性磋商</w:t>
      </w:r>
      <w:r>
        <w:rPr>
          <w:rFonts w:hint="eastAsia" w:ascii="宋体" w:hAnsi="宋体" w:eastAsia="宋体" w:cs="宋体"/>
          <w:sz w:val="24"/>
          <w:szCs w:val="21"/>
          <w:highlight w:val="none"/>
        </w:rPr>
        <w:t>响应文件有效期延长至合同执行完毕。</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、磋商期间一切费用自理。</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五</w:t>
      </w:r>
      <w:r>
        <w:rPr>
          <w:rFonts w:hint="eastAsia" w:ascii="宋体" w:hAnsi="宋体" w:eastAsia="宋体" w:cs="宋体"/>
          <w:b/>
          <w:sz w:val="24"/>
          <w:highlight w:val="none"/>
        </w:rPr>
        <w:t>、磋商保证金</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数额见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投标时，应当提交足额的</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，并作为其</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的一部分。</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的提交</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开标现场不办理</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事宜。未按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要求在规定时间前（以银行实际到账时间为准）交纳规定数额</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的，将按无效</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处理。</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以银行转账或者金融机构、担保机构出具的保函等非现金形式提交。</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（1）以银行转账</w:t>
      </w:r>
      <w:r>
        <w:rPr>
          <w:rFonts w:hint="eastAsia" w:ascii="宋体" w:hAnsi="宋体" w:eastAsia="宋体" w:cs="宋体"/>
          <w:sz w:val="24"/>
          <w:szCs w:val="24"/>
          <w:highlight w:val="none"/>
          <w:lang w:val="en-US" w:eastAsia="zh-CN"/>
        </w:rPr>
        <w:t>交</w:t>
      </w:r>
      <w:r>
        <w:rPr>
          <w:rFonts w:hint="eastAsia" w:ascii="宋体" w:hAnsi="宋体" w:eastAsia="宋体" w:cs="宋体"/>
          <w:sz w:val="24"/>
          <w:szCs w:val="24"/>
          <w:highlight w:val="none"/>
        </w:rPr>
        <w:t>纳保证金的，可以采取电汇、网银等方式，应从其基本账户转出。</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（2）以信用担保函形式交纳保证金的，</w:t>
      </w:r>
      <w:r>
        <w:rPr>
          <w:rFonts w:hint="eastAsia" w:ascii="宋体" w:hAnsi="宋体" w:eastAsia="宋体" w:cs="宋体"/>
          <w:b/>
          <w:bCs/>
          <w:sz w:val="24"/>
          <w:szCs w:val="24"/>
          <w:highlight w:val="none"/>
        </w:rPr>
        <w:t>请于开标前1日将</w:t>
      </w:r>
      <w:r>
        <w:rPr>
          <w:rFonts w:hint="eastAsia" w:ascii="宋体" w:hAnsi="宋体" w:eastAsia="宋体" w:cs="宋体"/>
          <w:b/>
          <w:bCs/>
          <w:sz w:val="24"/>
          <w:szCs w:val="24"/>
          <w:highlight w:val="none"/>
          <w:lang w:eastAsia="zh-CN"/>
        </w:rPr>
        <w:t>纸质</w:t>
      </w:r>
      <w:r>
        <w:rPr>
          <w:rFonts w:hint="eastAsia" w:ascii="宋体" w:hAnsi="宋体" w:eastAsia="宋体" w:cs="宋体"/>
          <w:b/>
          <w:bCs/>
          <w:sz w:val="24"/>
          <w:szCs w:val="24"/>
          <w:highlight w:val="none"/>
        </w:rPr>
        <w:t>保函原件</w:t>
      </w:r>
      <w:r>
        <w:rPr>
          <w:rFonts w:hint="eastAsia" w:ascii="宋体" w:hAnsi="宋体" w:eastAsia="宋体" w:cs="宋体"/>
          <w:b/>
          <w:bCs/>
          <w:sz w:val="24"/>
          <w:szCs w:val="24"/>
          <w:highlight w:val="none"/>
          <w:lang w:eastAsia="zh-CN"/>
        </w:rPr>
        <w:t>或电子保函打印件（盖供应商公章）</w:t>
      </w:r>
      <w:r>
        <w:rPr>
          <w:rFonts w:hint="eastAsia" w:ascii="宋体" w:hAnsi="宋体" w:eastAsia="宋体" w:cs="宋体"/>
          <w:b/>
          <w:bCs/>
          <w:sz w:val="24"/>
          <w:szCs w:val="24"/>
          <w:highlight w:val="none"/>
        </w:rPr>
        <w:t>递交至陕西省西安市高新区科技五路3号橡树星座B座902室</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违约</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，开具保函单位承担连带责任</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未提供相关证明或经查实其交纳账户为非基本存款账户的，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代理机构按该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未交纳保证金处理。</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的退还</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，将在</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发出之日起5个工作日内全额退还。</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，在合同签订生效后5个工作日内全额退还。未及时办理退还者，由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有下列情形之一的，不予退还</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规定的投标有效期内撤销</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在领取</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后，无正当理由不与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签订合同的；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无正当理由，未能按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规定时间内领取《</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未能按规定支付招标代理服务费；</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无正当理由，不按</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文件规定交纳履约保证金的；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违反竞</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函相关内容和条款的；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（7）投标有效期内，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在政府采购活动中有违规、违纪和违法行为的；</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（8）法律法规规定的其他情况。</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退还程序：</w:t>
      </w:r>
    </w:p>
    <w:p>
      <w:pPr>
        <w:keepNext w:val="0"/>
        <w:keepLines w:val="0"/>
        <w:pageBreakBefore w:val="0"/>
        <w:kinsoku/>
        <w:wordWrap/>
        <w:overflowPunct/>
        <w:topLinePunct w:val="0"/>
        <w:autoSpaceDE/>
        <w:autoSpaceDN/>
        <w:bidi w:val="0"/>
        <w:spacing w:line="36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》发出之日起5个工作日内，主动退还至其基本账户。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应当在合同签订生效之日起5个工作日内还至其基本账户。</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六、竞争性</w:t>
      </w:r>
      <w:r>
        <w:rPr>
          <w:rFonts w:hint="eastAsia" w:ascii="宋体" w:hAnsi="宋体" w:eastAsia="宋体" w:cs="宋体"/>
          <w:b/>
          <w:sz w:val="24"/>
          <w:highlight w:val="none"/>
        </w:rPr>
        <w:t>磋商响应</w:t>
      </w:r>
      <w:r>
        <w:rPr>
          <w:rFonts w:hint="eastAsia" w:ascii="宋体" w:hAnsi="宋体" w:eastAsia="宋体" w:cs="宋体"/>
          <w:b/>
          <w:sz w:val="24"/>
          <w:highlight w:val="none"/>
          <w:lang w:eastAsia="zh-CN"/>
        </w:rPr>
        <w:t>文件封装、递交</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bCs/>
          <w:sz w:val="24"/>
          <w:highlight w:val="none"/>
        </w:rPr>
        <w:t>磋商响应文件</w:t>
      </w:r>
      <w:r>
        <w:rPr>
          <w:rFonts w:hint="eastAsia" w:ascii="宋体" w:hAnsi="宋体" w:eastAsia="宋体" w:cs="宋体"/>
          <w:sz w:val="24"/>
          <w:highlight w:val="none"/>
        </w:rPr>
        <w:t>的装订和递交</w:t>
      </w:r>
      <w:r>
        <w:rPr>
          <w:rFonts w:hint="eastAsia" w:ascii="宋体" w:hAnsi="宋体" w:eastAsia="宋体" w:cs="宋体"/>
          <w:sz w:val="24"/>
          <w:highlight w:val="none"/>
        </w:rPr>
        <w:tab/>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eastAsia="zh-CN"/>
        </w:rPr>
        <w:t>、</w:t>
      </w:r>
      <w:r>
        <w:rPr>
          <w:rFonts w:hint="eastAsia" w:ascii="宋体" w:hAnsi="宋体" w:eastAsia="宋体" w:cs="宋体"/>
          <w:bCs/>
          <w:sz w:val="24"/>
          <w:highlight w:val="none"/>
        </w:rPr>
        <w:t>磋商响应文件</w:t>
      </w:r>
      <w:r>
        <w:rPr>
          <w:rFonts w:hint="eastAsia" w:ascii="宋体" w:hAnsi="宋体" w:eastAsia="宋体" w:cs="宋体"/>
          <w:sz w:val="24"/>
          <w:highlight w:val="none"/>
        </w:rPr>
        <w:t>的装订：</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（1）磋商时，供应商应自行将</w:t>
      </w:r>
      <w:r>
        <w:rPr>
          <w:rFonts w:hint="eastAsia" w:ascii="宋体" w:hAnsi="宋体" w:eastAsia="宋体" w:cs="宋体"/>
          <w:bCs/>
          <w:sz w:val="24"/>
          <w:highlight w:val="none"/>
        </w:rPr>
        <w:t>磋商响应文件</w:t>
      </w:r>
      <w:r>
        <w:rPr>
          <w:rFonts w:hint="eastAsia" w:ascii="宋体" w:hAnsi="宋体" w:eastAsia="宋体" w:cs="宋体"/>
          <w:sz w:val="24"/>
          <w:highlight w:val="none"/>
        </w:rPr>
        <w:t>密封完好。封装袋上应写明项目名称、</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编号、供应商名称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年月日、</w:t>
      </w:r>
      <w:r>
        <w:rPr>
          <w:rFonts w:hint="eastAsia" w:ascii="宋体" w:hAnsi="宋体" w:eastAsia="宋体" w:cs="宋体"/>
          <w:sz w:val="24"/>
          <w:highlight w:val="none"/>
        </w:rPr>
        <w:t>正本、副本字样，</w:t>
      </w:r>
      <w:r>
        <w:rPr>
          <w:rFonts w:hint="eastAsia" w:ascii="宋体" w:hAnsi="宋体" w:eastAsia="宋体" w:cs="宋体"/>
          <w:color w:val="auto"/>
          <w:kern w:val="0"/>
          <w:sz w:val="24"/>
          <w:szCs w:val="24"/>
          <w:highlight w:val="none"/>
          <w:lang w:val="en-US" w:eastAsia="zh-CN"/>
        </w:rPr>
        <w:t>封口处用密封条密封并加盖单位公章</w:t>
      </w:r>
      <w:r>
        <w:rPr>
          <w:rFonts w:hint="eastAsia" w:ascii="宋体" w:hAnsi="宋体" w:eastAsia="宋体" w:cs="宋体"/>
          <w:sz w:val="24"/>
          <w:highlight w:val="non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Cs/>
          <w:sz w:val="24"/>
          <w:highlight w:val="none"/>
        </w:rPr>
        <w:t>磋商响应文件</w:t>
      </w:r>
      <w:r>
        <w:rPr>
          <w:rFonts w:hint="eastAsia" w:ascii="宋体" w:hAnsi="宋体" w:eastAsia="宋体" w:cs="宋体"/>
          <w:sz w:val="24"/>
          <w:highlight w:val="none"/>
        </w:rPr>
        <w:t>一律采用书籍（胶装）方式装订。</w:t>
      </w:r>
      <w:r>
        <w:rPr>
          <w:rFonts w:hint="eastAsia" w:ascii="宋体" w:hAnsi="宋体" w:eastAsia="宋体" w:cs="宋体"/>
          <w:bCs/>
          <w:sz w:val="24"/>
          <w:highlight w:val="none"/>
        </w:rPr>
        <w:t>磋商响应文件</w:t>
      </w:r>
      <w:r>
        <w:rPr>
          <w:rFonts w:hint="eastAsia" w:ascii="宋体" w:hAnsi="宋体" w:eastAsia="宋体" w:cs="宋体"/>
          <w:sz w:val="24"/>
          <w:highlight w:val="none"/>
        </w:rPr>
        <w:t>共四份，其中正本一份，副本二份，电子版U盘一份。</w:t>
      </w:r>
      <w:r>
        <w:rPr>
          <w:rFonts w:hint="eastAsia" w:ascii="宋体" w:hAnsi="宋体" w:eastAsia="宋体" w:cs="宋体"/>
          <w:bCs/>
          <w:sz w:val="24"/>
          <w:highlight w:val="none"/>
        </w:rPr>
        <w:t>磋商响应文件</w:t>
      </w:r>
      <w:r>
        <w:rPr>
          <w:rFonts w:hint="eastAsia" w:ascii="宋体" w:hAnsi="宋体" w:eastAsia="宋体" w:cs="宋体"/>
          <w:sz w:val="24"/>
          <w:highlight w:val="none"/>
        </w:rPr>
        <w:t>的正本和副本均须A4纸打印，并编制目录和页码；正、副本分别各自装订成册。</w:t>
      </w:r>
      <w:r>
        <w:rPr>
          <w:rFonts w:hint="eastAsia" w:ascii="宋体" w:hAnsi="宋体" w:eastAsia="宋体" w:cs="宋体"/>
          <w:bCs/>
          <w:sz w:val="24"/>
          <w:highlight w:val="none"/>
        </w:rPr>
        <w:t>磋商响应文件</w:t>
      </w:r>
      <w:r>
        <w:rPr>
          <w:rFonts w:hint="eastAsia" w:ascii="宋体" w:hAnsi="宋体" w:eastAsia="宋体" w:cs="宋体"/>
          <w:sz w:val="24"/>
          <w:highlight w:val="none"/>
        </w:rPr>
        <w:t>正本须逐页加盖红章，副本可以是正本的复印件。各封装袋上注明“磋商时启封”字样。如果正本与副本不符，以正本为准，正副本及电子版封装要求见供应商须知前附表。</w:t>
      </w:r>
    </w:p>
    <w:p>
      <w:pPr>
        <w:keepNext w:val="0"/>
        <w:keepLines w:val="0"/>
        <w:pageBreakBefore w:val="0"/>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注：</w:t>
      </w:r>
      <w:r>
        <w:rPr>
          <w:rFonts w:hint="eastAsia" w:ascii="宋体" w:hAnsi="宋体" w:eastAsia="宋体" w:cs="宋体"/>
          <w:b/>
          <w:sz w:val="24"/>
          <w:highlight w:val="none"/>
          <w:u w:val="single"/>
        </w:rPr>
        <w:t>对未按</w:t>
      </w:r>
      <w:r>
        <w:rPr>
          <w:rFonts w:hint="eastAsia" w:ascii="宋体" w:hAnsi="宋体" w:eastAsia="宋体" w:cs="宋体"/>
          <w:b/>
          <w:sz w:val="24"/>
          <w:highlight w:val="none"/>
          <w:u w:val="single"/>
          <w:lang w:eastAsia="zh-CN"/>
        </w:rPr>
        <w:t>磋商文件</w:t>
      </w:r>
      <w:r>
        <w:rPr>
          <w:rFonts w:hint="eastAsia" w:ascii="宋体" w:hAnsi="宋体" w:eastAsia="宋体" w:cs="宋体"/>
          <w:b/>
          <w:sz w:val="24"/>
          <w:highlight w:val="none"/>
          <w:u w:val="single"/>
        </w:rPr>
        <w:t>要求</w:t>
      </w:r>
      <w:bookmarkStart w:id="11" w:name="OLE_LINK13"/>
      <w:r>
        <w:rPr>
          <w:rFonts w:hint="eastAsia" w:ascii="宋体" w:hAnsi="宋体" w:eastAsia="宋体" w:cs="宋体"/>
          <w:b/>
          <w:sz w:val="24"/>
          <w:highlight w:val="none"/>
          <w:u w:val="single"/>
        </w:rPr>
        <w:t>数量和方式装订递交</w:t>
      </w:r>
      <w:bookmarkEnd w:id="11"/>
      <w:r>
        <w:rPr>
          <w:rFonts w:hint="eastAsia" w:ascii="宋体" w:hAnsi="宋体" w:eastAsia="宋体" w:cs="宋体"/>
          <w:b/>
          <w:sz w:val="24"/>
          <w:highlight w:val="none"/>
          <w:u w:val="single"/>
        </w:rPr>
        <w:t>的磋商响应文件，将作为无效</w:t>
      </w:r>
      <w:r>
        <w:rPr>
          <w:rFonts w:hint="eastAsia" w:ascii="宋体" w:hAnsi="宋体" w:eastAsia="宋体" w:cs="宋体"/>
          <w:b/>
          <w:sz w:val="24"/>
          <w:highlight w:val="none"/>
          <w:u w:val="single"/>
          <w:lang w:eastAsia="zh-CN"/>
        </w:rPr>
        <w:t>响应文件</w:t>
      </w:r>
      <w:r>
        <w:rPr>
          <w:rFonts w:hint="eastAsia" w:ascii="宋体" w:hAnsi="宋体" w:eastAsia="宋体" w:cs="宋体"/>
          <w:b/>
          <w:sz w:val="24"/>
          <w:highlight w:val="none"/>
          <w:u w:val="singl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1-2</w:t>
      </w:r>
      <w:r>
        <w:rPr>
          <w:rFonts w:hint="eastAsia" w:ascii="宋体" w:hAnsi="宋体" w:eastAsia="宋体" w:cs="宋体"/>
          <w:sz w:val="24"/>
          <w:highlight w:val="none"/>
          <w:lang w:eastAsia="zh-CN"/>
        </w:rPr>
        <w:t>、</w:t>
      </w:r>
      <w:r>
        <w:rPr>
          <w:rFonts w:hint="eastAsia" w:ascii="宋体" w:hAnsi="宋体" w:eastAsia="宋体" w:cs="宋体"/>
          <w:bCs/>
          <w:sz w:val="24"/>
          <w:highlight w:val="none"/>
        </w:rPr>
        <w:t>磋商响应文件</w:t>
      </w:r>
      <w:r>
        <w:rPr>
          <w:rFonts w:hint="eastAsia" w:ascii="宋体" w:hAnsi="宋体" w:eastAsia="宋体" w:cs="宋体"/>
          <w:sz w:val="24"/>
          <w:highlight w:val="none"/>
        </w:rPr>
        <w:t>的递交：</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（1）供应商应按规定的时间、地点，于磋商截止时间前递交</w:t>
      </w:r>
      <w:r>
        <w:rPr>
          <w:rFonts w:hint="eastAsia" w:ascii="宋体" w:hAnsi="宋体" w:eastAsia="宋体" w:cs="宋体"/>
          <w:bCs/>
          <w:sz w:val="24"/>
          <w:highlight w:val="none"/>
        </w:rPr>
        <w:t>磋商</w:t>
      </w:r>
      <w:r>
        <w:rPr>
          <w:rFonts w:hint="eastAsia" w:ascii="宋体" w:hAnsi="宋体" w:eastAsia="宋体" w:cs="宋体"/>
          <w:sz w:val="24"/>
          <w:highlight w:val="none"/>
        </w:rPr>
        <w:t>响应文件；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（2）采购代理机构推迟递交</w:t>
      </w:r>
      <w:r>
        <w:rPr>
          <w:rFonts w:hint="eastAsia" w:ascii="宋体" w:hAnsi="宋体" w:eastAsia="宋体" w:cs="宋体"/>
          <w:bCs/>
          <w:sz w:val="24"/>
          <w:highlight w:val="none"/>
        </w:rPr>
        <w:t>磋商响应文件</w:t>
      </w:r>
      <w:r>
        <w:rPr>
          <w:rFonts w:hint="eastAsia" w:ascii="宋体" w:hAnsi="宋体" w:eastAsia="宋体" w:cs="宋体"/>
          <w:sz w:val="24"/>
          <w:highlight w:val="none"/>
        </w:rPr>
        <w:t>截止时间时，应在递交</w:t>
      </w:r>
      <w:r>
        <w:rPr>
          <w:rFonts w:hint="eastAsia" w:ascii="宋体" w:hAnsi="宋体" w:eastAsia="宋体" w:cs="宋体"/>
          <w:bCs/>
          <w:sz w:val="24"/>
          <w:highlight w:val="none"/>
        </w:rPr>
        <w:t>磋商响应文件</w:t>
      </w:r>
      <w:r>
        <w:rPr>
          <w:rFonts w:hint="eastAsia" w:ascii="宋体" w:hAnsi="宋体" w:eastAsia="宋体" w:cs="宋体"/>
          <w:sz w:val="24"/>
          <w:highlight w:val="none"/>
        </w:rPr>
        <w:t>截止时间1日前以书面或传真的形式通知所有供应商。采购代理机构和供应商的权利和义务将受到新的截止期的约束。</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（3）逾期递交</w:t>
      </w:r>
      <w:r>
        <w:rPr>
          <w:rFonts w:hint="eastAsia" w:ascii="宋体" w:hAnsi="宋体" w:eastAsia="宋体" w:cs="宋体"/>
          <w:bCs/>
          <w:sz w:val="24"/>
          <w:highlight w:val="none"/>
        </w:rPr>
        <w:t>磋商响应文件</w:t>
      </w:r>
      <w:r>
        <w:rPr>
          <w:rFonts w:hint="eastAsia" w:ascii="宋体" w:hAnsi="宋体" w:eastAsia="宋体" w:cs="宋体"/>
          <w:sz w:val="24"/>
          <w:highlight w:val="none"/>
        </w:rPr>
        <w:t>，将被拒收。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sz w:val="24"/>
          <w:highlight w:val="none"/>
        </w:rPr>
        <w:t>（4）采购</w:t>
      </w:r>
      <w:r>
        <w:rPr>
          <w:rFonts w:hint="eastAsia" w:ascii="宋体" w:hAnsi="宋体" w:eastAsia="宋体" w:cs="宋体"/>
          <w:bCs/>
          <w:sz w:val="24"/>
          <w:highlight w:val="none"/>
        </w:rPr>
        <w:t>代理机构只负责磋商响应文件的接收、登记工作，对其有效性不负任何责任，请供应商法定代表人或被授权人签字确认递交情况；</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w:t>
      </w:r>
      <w:r>
        <w:rPr>
          <w:rFonts w:hint="eastAsia" w:ascii="宋体" w:hAnsi="宋体" w:eastAsia="宋体" w:cs="宋体"/>
          <w:sz w:val="24"/>
          <w:highlight w:val="none"/>
          <w:lang w:eastAsia="zh-CN"/>
        </w:rPr>
        <w:t>、</w:t>
      </w:r>
      <w:r>
        <w:rPr>
          <w:rFonts w:hint="eastAsia" w:ascii="宋体" w:hAnsi="宋体" w:eastAsia="宋体" w:cs="宋体"/>
          <w:bCs/>
          <w:sz w:val="24"/>
          <w:highlight w:val="none"/>
        </w:rPr>
        <w:t>磋商响应文件</w:t>
      </w:r>
      <w:r>
        <w:rPr>
          <w:rFonts w:hint="eastAsia" w:ascii="宋体" w:hAnsi="宋体" w:eastAsia="宋体" w:cs="宋体"/>
          <w:sz w:val="24"/>
          <w:highlight w:val="none"/>
        </w:rPr>
        <w:t>的补充、修改与撤回：</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（1）供应商在递交</w:t>
      </w:r>
      <w:r>
        <w:rPr>
          <w:rFonts w:hint="eastAsia" w:ascii="宋体" w:hAnsi="宋体" w:eastAsia="宋体" w:cs="宋体"/>
          <w:bCs/>
          <w:sz w:val="24"/>
          <w:highlight w:val="none"/>
        </w:rPr>
        <w:t>磋商</w:t>
      </w:r>
      <w:r>
        <w:rPr>
          <w:rFonts w:hint="eastAsia" w:ascii="宋体" w:hAnsi="宋体" w:eastAsia="宋体" w:cs="宋体"/>
          <w:sz w:val="24"/>
          <w:highlight w:val="none"/>
        </w:rPr>
        <w:t>响应文件以后，在规定的磋商截止时间之前,可以书面形式补充、修改或撤回已递交的</w:t>
      </w:r>
      <w:r>
        <w:rPr>
          <w:rFonts w:hint="eastAsia" w:ascii="宋体" w:hAnsi="宋体" w:eastAsia="宋体" w:cs="宋体"/>
          <w:bCs/>
          <w:sz w:val="24"/>
          <w:highlight w:val="none"/>
        </w:rPr>
        <w:t>磋商</w:t>
      </w:r>
      <w:r>
        <w:rPr>
          <w:rFonts w:hint="eastAsia" w:ascii="宋体" w:hAnsi="宋体" w:eastAsia="宋体" w:cs="宋体"/>
          <w:sz w:val="24"/>
          <w:highlight w:val="none"/>
        </w:rPr>
        <w:t>响应文件，并以书面形式通知采购代理机构。补充、修改的内容应当按磋商文件要求签署、盖章，并作为</w:t>
      </w:r>
      <w:r>
        <w:rPr>
          <w:rFonts w:hint="eastAsia" w:ascii="宋体" w:hAnsi="宋体" w:eastAsia="宋体" w:cs="宋体"/>
          <w:bCs/>
          <w:sz w:val="24"/>
          <w:highlight w:val="none"/>
        </w:rPr>
        <w:t>磋商</w:t>
      </w:r>
      <w:r>
        <w:rPr>
          <w:rFonts w:hint="eastAsia" w:ascii="宋体" w:hAnsi="宋体" w:eastAsia="宋体" w:cs="宋体"/>
          <w:sz w:val="24"/>
          <w:highlight w:val="none"/>
        </w:rPr>
        <w:t>响应文件的组成部分；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（2）供应商提出书面修改和撤标要求，须在递交</w:t>
      </w:r>
      <w:r>
        <w:rPr>
          <w:rFonts w:hint="eastAsia" w:ascii="宋体" w:hAnsi="宋体" w:eastAsia="宋体" w:cs="宋体"/>
          <w:bCs/>
          <w:sz w:val="24"/>
          <w:highlight w:val="none"/>
        </w:rPr>
        <w:t>磋商</w:t>
      </w:r>
      <w:r>
        <w:rPr>
          <w:rFonts w:hint="eastAsia" w:ascii="宋体" w:hAnsi="宋体" w:eastAsia="宋体" w:cs="宋体"/>
          <w:sz w:val="24"/>
          <w:highlight w:val="none"/>
        </w:rPr>
        <w:t>响应文件截止时间前密封送达采购代理机构，并在封面上加注“修改”或“撤回”字样。采购代理机构可以接受，但不退还原</w:t>
      </w:r>
      <w:r>
        <w:rPr>
          <w:rFonts w:hint="eastAsia" w:ascii="宋体" w:hAnsi="宋体" w:eastAsia="宋体" w:cs="宋体"/>
          <w:sz w:val="24"/>
          <w:highlight w:val="none"/>
          <w:lang w:eastAsia="zh-CN"/>
        </w:rPr>
        <w:t>竞争性</w:t>
      </w:r>
      <w:r>
        <w:rPr>
          <w:rFonts w:hint="eastAsia" w:ascii="宋体" w:hAnsi="宋体" w:eastAsia="宋体" w:cs="宋体"/>
          <w:bCs/>
          <w:sz w:val="24"/>
          <w:highlight w:val="none"/>
        </w:rPr>
        <w:t>磋商</w:t>
      </w:r>
      <w:r>
        <w:rPr>
          <w:rFonts w:hint="eastAsia" w:ascii="宋体" w:hAnsi="宋体" w:eastAsia="宋体" w:cs="宋体"/>
          <w:sz w:val="24"/>
          <w:highlight w:val="none"/>
        </w:rPr>
        <w:t>响应文件。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（3）撤回</w:t>
      </w:r>
      <w:r>
        <w:rPr>
          <w:rFonts w:hint="eastAsia" w:ascii="宋体" w:hAnsi="宋体" w:eastAsia="宋体" w:cs="宋体"/>
          <w:bCs/>
          <w:sz w:val="24"/>
          <w:highlight w:val="none"/>
        </w:rPr>
        <w:t>磋商</w:t>
      </w:r>
      <w:r>
        <w:rPr>
          <w:rFonts w:hint="eastAsia" w:ascii="宋体" w:hAnsi="宋体" w:eastAsia="宋体" w:cs="宋体"/>
          <w:sz w:val="24"/>
          <w:highlight w:val="none"/>
        </w:rPr>
        <w:t>响应文件应以书面形式由有权人（法人代表或授权代表）通知采购代理机构。如采取传真形式撤回磋商，随后必须补充有法人代表或授权代表签署的要求撤回磋商的正式文件。以在磋商开始前送达磋商地点为准。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（4）磋商截止时间之后，供应商不得补充、修改</w:t>
      </w:r>
      <w:r>
        <w:rPr>
          <w:rFonts w:hint="eastAsia" w:ascii="宋体" w:hAnsi="宋体" w:eastAsia="宋体" w:cs="宋体"/>
          <w:sz w:val="24"/>
          <w:highlight w:val="none"/>
          <w:lang w:eastAsia="zh-CN"/>
        </w:rPr>
        <w:t>竞</w:t>
      </w:r>
      <w:r>
        <w:rPr>
          <w:rFonts w:hint="eastAsia" w:ascii="宋体" w:hAnsi="宋体" w:eastAsia="宋体" w:cs="宋体"/>
          <w:bCs/>
          <w:sz w:val="24"/>
          <w:highlight w:val="none"/>
        </w:rPr>
        <w:t>磋商</w:t>
      </w:r>
      <w:r>
        <w:rPr>
          <w:rFonts w:hint="eastAsia" w:ascii="宋体" w:hAnsi="宋体" w:eastAsia="宋体" w:cs="宋体"/>
          <w:sz w:val="24"/>
          <w:highlight w:val="none"/>
        </w:rPr>
        <w:t>响应文件；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（5）在磋商截止时间至磋商有效期满之前，供应商不得撤回</w:t>
      </w:r>
      <w:r>
        <w:rPr>
          <w:rFonts w:hint="eastAsia" w:ascii="宋体" w:hAnsi="宋体" w:eastAsia="宋体" w:cs="宋体"/>
          <w:bCs/>
          <w:sz w:val="24"/>
          <w:highlight w:val="none"/>
        </w:rPr>
        <w:t>磋商</w:t>
      </w:r>
      <w:r>
        <w:rPr>
          <w:rFonts w:hint="eastAsia" w:ascii="宋体" w:hAnsi="宋体" w:eastAsia="宋体" w:cs="宋体"/>
          <w:sz w:val="24"/>
          <w:highlight w:val="none"/>
        </w:rPr>
        <w:t>响应文件，否则需承担</w:t>
      </w:r>
      <w:r>
        <w:rPr>
          <w:rFonts w:hint="eastAsia" w:ascii="宋体" w:hAnsi="宋体" w:eastAsia="宋体" w:cs="宋体"/>
          <w:sz w:val="24"/>
          <w:highlight w:val="none"/>
          <w:u w:val="none"/>
        </w:rPr>
        <w:t>采购人损失。</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bCs/>
          <w:sz w:val="24"/>
          <w:highlight w:val="none"/>
        </w:rPr>
        <w:t>磋商</w:t>
      </w:r>
      <w:r>
        <w:rPr>
          <w:rFonts w:hint="eastAsia" w:ascii="宋体" w:hAnsi="宋体" w:eastAsia="宋体" w:cs="宋体"/>
          <w:sz w:val="24"/>
          <w:highlight w:val="none"/>
        </w:rPr>
        <w:t>响应文件的有效性：</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（1）磋商时，</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响应文件出现下列情形之一的，应当作为无效</w:t>
      </w:r>
      <w:r>
        <w:rPr>
          <w:rFonts w:hint="eastAsia" w:ascii="宋体" w:hAnsi="宋体" w:eastAsia="宋体" w:cs="宋体"/>
          <w:bCs/>
          <w:sz w:val="24"/>
          <w:highlight w:val="none"/>
        </w:rPr>
        <w:t>磋商</w:t>
      </w:r>
      <w:r>
        <w:rPr>
          <w:rFonts w:hint="eastAsia" w:ascii="宋体" w:hAnsi="宋体" w:eastAsia="宋体" w:cs="宋体"/>
          <w:sz w:val="24"/>
          <w:highlight w:val="none"/>
        </w:rPr>
        <w:t>响应文件</w:t>
      </w:r>
      <w:r>
        <w:rPr>
          <w:rFonts w:hint="eastAsia" w:ascii="宋体" w:hAnsi="宋体" w:eastAsia="宋体" w:cs="宋体"/>
          <w:sz w:val="24"/>
          <w:highlight w:val="none"/>
          <w:u w:val="none"/>
        </w:rPr>
        <w:t>，不得进入评审：</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a、供应商未经过正常渠道购买</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b、</w:t>
      </w:r>
      <w:r>
        <w:rPr>
          <w:rFonts w:hint="eastAsia" w:ascii="宋体" w:hAnsi="宋体" w:eastAsia="宋体" w:cs="宋体"/>
          <w:bCs/>
          <w:sz w:val="24"/>
          <w:highlight w:val="none"/>
        </w:rPr>
        <w:t>磋商</w:t>
      </w:r>
      <w:r>
        <w:rPr>
          <w:rFonts w:hint="eastAsia" w:ascii="宋体" w:hAnsi="宋体" w:eastAsia="宋体" w:cs="宋体"/>
          <w:sz w:val="24"/>
          <w:highlight w:val="none"/>
        </w:rPr>
        <w:t>响应文件、磋商</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函未逐页加盖供应商公章（正本须为鲜章），或未经法定代表人或其授权代表签字或盖章的；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c、</w:t>
      </w:r>
      <w:r>
        <w:rPr>
          <w:rFonts w:hint="eastAsia" w:ascii="宋体" w:hAnsi="宋体" w:eastAsia="宋体" w:cs="宋体"/>
          <w:sz w:val="24"/>
          <w:highlight w:val="none"/>
          <w:lang w:eastAsia="zh-CN"/>
        </w:rPr>
        <w:t>竞争性</w:t>
      </w:r>
      <w:r>
        <w:rPr>
          <w:rFonts w:hint="eastAsia" w:ascii="宋体" w:hAnsi="宋体" w:eastAsia="宋体" w:cs="宋体"/>
          <w:bCs/>
          <w:sz w:val="24"/>
          <w:highlight w:val="none"/>
        </w:rPr>
        <w:t>磋商</w:t>
      </w:r>
      <w:r>
        <w:rPr>
          <w:rFonts w:hint="eastAsia" w:ascii="宋体" w:hAnsi="宋体" w:eastAsia="宋体" w:cs="宋体"/>
          <w:sz w:val="24"/>
          <w:highlight w:val="none"/>
        </w:rPr>
        <w:t>响应文件的关键内容字迹模糊、无法辨认的；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d、供应商名称或组织机构与</w:t>
      </w:r>
      <w:r>
        <w:rPr>
          <w:rFonts w:hint="eastAsia" w:ascii="宋体" w:hAnsi="宋体" w:eastAsia="宋体" w:cs="宋体"/>
          <w:sz w:val="24"/>
          <w:highlight w:val="none"/>
          <w:lang w:eastAsia="zh-CN"/>
        </w:rPr>
        <w:t>营业执照或资质证书</w:t>
      </w:r>
      <w:r>
        <w:rPr>
          <w:rFonts w:hint="eastAsia" w:ascii="宋体" w:hAnsi="宋体" w:eastAsia="宋体" w:cs="宋体"/>
          <w:sz w:val="24"/>
          <w:highlight w:val="none"/>
        </w:rPr>
        <w:t>不一致的；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e、明显不符合技术规格、技术标准的要求的；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f、</w:t>
      </w:r>
      <w:r>
        <w:rPr>
          <w:rFonts w:hint="eastAsia" w:ascii="宋体" w:hAnsi="宋体" w:eastAsia="宋体" w:cs="宋体"/>
          <w:bCs/>
          <w:sz w:val="24"/>
          <w:highlight w:val="none"/>
        </w:rPr>
        <w:t>磋商</w:t>
      </w:r>
      <w:r>
        <w:rPr>
          <w:rFonts w:hint="eastAsia" w:ascii="宋体" w:hAnsi="宋体" w:eastAsia="宋体" w:cs="宋体"/>
          <w:sz w:val="24"/>
          <w:highlight w:val="none"/>
        </w:rPr>
        <w:t>响应文件载明的</w:t>
      </w:r>
      <w:r>
        <w:rPr>
          <w:rFonts w:hint="eastAsia" w:ascii="宋体" w:hAnsi="宋体" w:eastAsia="宋体" w:cs="宋体"/>
          <w:sz w:val="24"/>
          <w:highlight w:val="none"/>
          <w:lang w:eastAsia="zh-CN"/>
        </w:rPr>
        <w:t>项目内容和</w:t>
      </w:r>
      <w:r>
        <w:rPr>
          <w:rFonts w:hint="eastAsia" w:ascii="宋体" w:hAnsi="宋体" w:eastAsia="宋体" w:cs="宋体"/>
          <w:sz w:val="24"/>
          <w:highlight w:val="none"/>
        </w:rPr>
        <w:t>技术要求等不符合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g、</w:t>
      </w:r>
      <w:r>
        <w:rPr>
          <w:rFonts w:hint="eastAsia" w:ascii="宋体" w:hAnsi="宋体" w:eastAsia="宋体" w:cs="宋体"/>
          <w:bCs/>
          <w:sz w:val="24"/>
          <w:highlight w:val="none"/>
        </w:rPr>
        <w:t>磋商</w:t>
      </w:r>
      <w:r>
        <w:rPr>
          <w:rFonts w:hint="eastAsia" w:ascii="宋体" w:hAnsi="宋体" w:eastAsia="宋体" w:cs="宋体"/>
          <w:sz w:val="24"/>
          <w:highlight w:val="none"/>
        </w:rPr>
        <w:t>响应文件附有采购人不能接受的条件的；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h、不符合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规定的其他实质性要求的。</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开标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采购代理机构按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规定的时间、地点组织磋商会议，并通知采购人和所有供应商参加。</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所有参会人员应签名报到，以证明其出席</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并在签名同时签署</w:t>
      </w:r>
      <w:r>
        <w:rPr>
          <w:rFonts w:hint="eastAsia" w:ascii="宋体" w:hAnsi="宋体" w:eastAsia="宋体" w:cs="宋体"/>
          <w:sz w:val="24"/>
          <w:highlight w:val="none"/>
        </w:rPr>
        <w:t>陕西省政府采购</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拒绝政府采购领域商业贿赂承诺书</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未出席并签字报到的视为无效响应。</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供应商按规定提交合格的</w:t>
      </w:r>
      <w:r>
        <w:rPr>
          <w:rFonts w:hint="eastAsia" w:ascii="宋体" w:hAnsi="宋体" w:eastAsia="宋体" w:cs="宋体"/>
          <w:bCs/>
          <w:sz w:val="24"/>
          <w:highlight w:val="none"/>
        </w:rPr>
        <w:t>磋商</w:t>
      </w:r>
      <w:r>
        <w:rPr>
          <w:rFonts w:hint="eastAsia" w:ascii="宋体" w:hAnsi="宋体" w:eastAsia="宋体" w:cs="宋体"/>
          <w:sz w:val="24"/>
          <w:highlight w:val="none"/>
        </w:rPr>
        <w:t>响应文件后到磋商截止时间前如中途要求撤回时，则该</w:t>
      </w:r>
      <w:r>
        <w:rPr>
          <w:rFonts w:hint="eastAsia" w:ascii="宋体" w:hAnsi="宋体" w:eastAsia="宋体" w:cs="宋体"/>
          <w:bCs/>
          <w:sz w:val="24"/>
          <w:highlight w:val="none"/>
        </w:rPr>
        <w:t>磋商</w:t>
      </w:r>
      <w:r>
        <w:rPr>
          <w:rFonts w:hint="eastAsia" w:ascii="宋体" w:hAnsi="宋体" w:eastAsia="宋体" w:cs="宋体"/>
          <w:sz w:val="24"/>
          <w:highlight w:val="none"/>
        </w:rPr>
        <w:t>响应文件不予开封，摄像留存后将</w:t>
      </w:r>
      <w:r>
        <w:rPr>
          <w:rFonts w:hint="eastAsia" w:ascii="宋体" w:hAnsi="宋体" w:eastAsia="宋体" w:cs="宋体"/>
          <w:bCs/>
          <w:sz w:val="24"/>
          <w:highlight w:val="none"/>
        </w:rPr>
        <w:t>磋商</w:t>
      </w:r>
      <w:r>
        <w:rPr>
          <w:rFonts w:hint="eastAsia" w:ascii="宋体" w:hAnsi="宋体" w:eastAsia="宋体" w:cs="宋体"/>
          <w:sz w:val="24"/>
          <w:highlight w:val="none"/>
        </w:rPr>
        <w:t>响应文件退还供应商（包含纸质及电子版）。</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不合格供应商按规定提交的</w:t>
      </w:r>
      <w:r>
        <w:rPr>
          <w:rFonts w:hint="eastAsia" w:ascii="宋体" w:hAnsi="宋体" w:eastAsia="宋体" w:cs="宋体"/>
          <w:bCs/>
          <w:sz w:val="24"/>
          <w:highlight w:val="none"/>
        </w:rPr>
        <w:t>磋商</w:t>
      </w:r>
      <w:r>
        <w:rPr>
          <w:rFonts w:hint="eastAsia" w:ascii="宋体" w:hAnsi="宋体" w:eastAsia="宋体" w:cs="宋体"/>
          <w:sz w:val="24"/>
          <w:highlight w:val="none"/>
        </w:rPr>
        <w:t>响应文件，未开封的磋商响应文件摄像留存后，将</w:t>
      </w:r>
      <w:r>
        <w:rPr>
          <w:rFonts w:hint="eastAsia" w:ascii="宋体" w:hAnsi="宋体" w:eastAsia="宋体" w:cs="宋体"/>
          <w:bCs/>
          <w:sz w:val="24"/>
          <w:highlight w:val="none"/>
        </w:rPr>
        <w:t>磋商</w:t>
      </w:r>
      <w:r>
        <w:rPr>
          <w:rFonts w:hint="eastAsia" w:ascii="宋体" w:hAnsi="宋体" w:eastAsia="宋体" w:cs="宋体"/>
          <w:sz w:val="24"/>
          <w:highlight w:val="none"/>
        </w:rPr>
        <w:t>响应文件退还供应商；已开封的磋商响应文件不予退还。</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磋商会议程序：</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5-1、</w:t>
      </w:r>
      <w:r>
        <w:rPr>
          <w:rFonts w:hint="eastAsia" w:ascii="宋体" w:hAnsi="宋体" w:eastAsia="宋体" w:cs="宋体"/>
          <w:sz w:val="24"/>
          <w:highlight w:val="none"/>
        </w:rPr>
        <w:t>宣布磋商会议开始并致辞；</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5-2、</w:t>
      </w:r>
      <w:r>
        <w:rPr>
          <w:rFonts w:hint="eastAsia" w:ascii="宋体" w:hAnsi="宋体" w:eastAsia="宋体" w:cs="宋体"/>
          <w:sz w:val="24"/>
          <w:highlight w:val="none"/>
        </w:rPr>
        <w:t>宣布会议现场纪律和有关注意事项；</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5-3、</w:t>
      </w:r>
      <w:r>
        <w:rPr>
          <w:rFonts w:hint="eastAsia" w:ascii="宋体" w:hAnsi="宋体" w:eastAsia="宋体" w:cs="宋体"/>
          <w:sz w:val="24"/>
          <w:highlight w:val="none"/>
        </w:rPr>
        <w:t>公布参加磋商的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名单（根据</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签到表）；</w:t>
      </w:r>
    </w:p>
    <w:p>
      <w:pPr>
        <w:keepNext w:val="0"/>
        <w:keepLines w:val="0"/>
        <w:pageBreakBefore w:val="0"/>
        <w:wordWrap/>
        <w:overflowPunct/>
        <w:topLinePunct w:val="0"/>
        <w:bidi w:val="0"/>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宣布</w:t>
      </w:r>
      <w:r>
        <w:rPr>
          <w:rFonts w:hint="eastAsia" w:ascii="宋体" w:hAnsi="宋体" w:eastAsia="宋体" w:cs="宋体"/>
          <w:sz w:val="24"/>
          <w:highlight w:val="none"/>
          <w:lang w:val="en-US" w:eastAsia="zh-CN"/>
        </w:rPr>
        <w:t>主持</w:t>
      </w:r>
      <w:r>
        <w:rPr>
          <w:rFonts w:hint="eastAsia" w:ascii="宋体" w:hAnsi="宋体" w:eastAsia="宋体" w:cs="宋体"/>
          <w:sz w:val="24"/>
          <w:highlight w:val="none"/>
        </w:rPr>
        <w:t>人、唱标人、监标人、记录人等有关人员姓名；</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5-5、</w:t>
      </w:r>
      <w:r>
        <w:rPr>
          <w:rFonts w:hint="eastAsia" w:ascii="宋体" w:hAnsi="宋体" w:eastAsia="宋体" w:cs="宋体"/>
          <w:sz w:val="24"/>
          <w:highlight w:val="none"/>
        </w:rPr>
        <w:t>检查并宣布</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的密封情况。由</w:t>
      </w:r>
      <w:r>
        <w:rPr>
          <w:rFonts w:hint="eastAsia" w:ascii="宋体" w:hAnsi="宋体" w:eastAsia="宋体" w:cs="宋体"/>
          <w:sz w:val="24"/>
          <w:highlight w:val="none"/>
          <w:lang w:val="en-US" w:eastAsia="zh-CN"/>
        </w:rPr>
        <w:t>供应商各自检查各自文件密封内容，</w:t>
      </w:r>
      <w:r>
        <w:rPr>
          <w:rFonts w:hint="eastAsia" w:ascii="宋体" w:hAnsi="宋体" w:eastAsia="宋体" w:cs="宋体"/>
          <w:sz w:val="24"/>
          <w:highlight w:val="none"/>
        </w:rPr>
        <w:t>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对密封查验结果自行负责，不相互查验及提出质疑</w:t>
      </w:r>
      <w:r>
        <w:rPr>
          <w:rFonts w:hint="eastAsia" w:ascii="宋体" w:hAnsi="宋体" w:eastAsia="宋体" w:cs="宋体"/>
          <w:sz w:val="24"/>
          <w:highlight w:val="none"/>
          <w:lang w:val="en-US" w:eastAsia="zh-CN"/>
        </w:rPr>
        <w:t>；随后</w:t>
      </w:r>
      <w:r>
        <w:rPr>
          <w:rFonts w:hint="eastAsia" w:ascii="宋体" w:hAnsi="宋体" w:eastAsia="宋体" w:cs="宋体"/>
          <w:sz w:val="24"/>
          <w:highlight w:val="none"/>
        </w:rPr>
        <w:t>监</w:t>
      </w:r>
      <w:r>
        <w:rPr>
          <w:rFonts w:hint="eastAsia" w:ascii="宋体" w:hAnsi="宋体" w:eastAsia="宋体" w:cs="宋体"/>
          <w:sz w:val="24"/>
          <w:highlight w:val="none"/>
          <w:lang w:val="en-US" w:eastAsia="zh-CN"/>
        </w:rPr>
        <w:t>标人</w:t>
      </w:r>
      <w:r>
        <w:rPr>
          <w:rFonts w:hint="eastAsia" w:ascii="宋体" w:hAnsi="宋体" w:eastAsia="宋体" w:cs="宋体"/>
          <w:sz w:val="24"/>
          <w:highlight w:val="none"/>
        </w:rPr>
        <w:t>检查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密封情况，经检查无误后，签字确认；</w:t>
      </w:r>
    </w:p>
    <w:p>
      <w:pPr>
        <w:keepNext w:val="0"/>
        <w:keepLines w:val="0"/>
        <w:pageBreakBefore w:val="0"/>
        <w:wordWrap/>
        <w:overflowPunct/>
        <w:topLinePunct w:val="0"/>
        <w:bidi w:val="0"/>
        <w:spacing w:line="360" w:lineRule="auto"/>
        <w:ind w:firstLine="460" w:firstLineChars="1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5-6、</w:t>
      </w:r>
      <w:r>
        <w:rPr>
          <w:rFonts w:hint="eastAsia" w:ascii="宋体" w:hAnsi="宋体" w:eastAsia="宋体" w:cs="宋体"/>
          <w:sz w:val="24"/>
          <w:highlight w:val="none"/>
        </w:rPr>
        <w:t>开标。主持人宣布开标</w:t>
      </w:r>
      <w:r>
        <w:rPr>
          <w:rFonts w:hint="eastAsia" w:ascii="宋体" w:hAnsi="宋体" w:eastAsia="宋体" w:cs="宋体"/>
          <w:sz w:val="24"/>
          <w:highlight w:val="none"/>
          <w:lang w:eastAsia="zh-CN"/>
        </w:rPr>
        <w:t>后，</w:t>
      </w:r>
      <w:r>
        <w:rPr>
          <w:rFonts w:hint="eastAsia" w:ascii="宋体" w:hAnsi="宋体" w:eastAsia="宋体" w:cs="宋体"/>
          <w:sz w:val="24"/>
          <w:highlight w:val="none"/>
          <w:lang w:val="en-US" w:eastAsia="zh-CN"/>
        </w:rPr>
        <w:t>开启供应商的磋商响应文件。</w:t>
      </w:r>
    </w:p>
    <w:p>
      <w:pPr>
        <w:keepNext w:val="0"/>
        <w:keepLines w:val="0"/>
        <w:pageBreakBefore w:val="0"/>
        <w:wordWrap/>
        <w:overflowPunct/>
        <w:topLinePunct w:val="0"/>
        <w:bidi w:val="0"/>
        <w:spacing w:line="360" w:lineRule="auto"/>
        <w:ind w:firstLine="460" w:firstLineChars="192"/>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5-7、由工作人员</w:t>
      </w:r>
      <w:r>
        <w:rPr>
          <w:rFonts w:hint="eastAsia" w:ascii="宋体" w:hAnsi="宋体" w:eastAsia="宋体" w:cs="宋体"/>
          <w:sz w:val="24"/>
          <w:highlight w:val="none"/>
        </w:rPr>
        <w:t>宣读</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响应</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份数等内容。</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5-8、</w:t>
      </w:r>
      <w:r>
        <w:rPr>
          <w:rFonts w:hint="eastAsia" w:ascii="宋体" w:hAnsi="宋体" w:eastAsia="宋体" w:cs="宋体"/>
          <w:sz w:val="24"/>
          <w:highlight w:val="none"/>
        </w:rPr>
        <w:t>磋商采购形式：采取背对背的磋商采购方式。即磋商小组所有成员在资格评审及符合性评审的基础上对各供应商的磋商响应文件认真阅读，并对</w:t>
      </w:r>
      <w:r>
        <w:rPr>
          <w:rFonts w:hint="eastAsia" w:ascii="宋体" w:hAnsi="宋体" w:eastAsia="宋体" w:cs="宋体"/>
          <w:sz w:val="24"/>
          <w:highlight w:val="none"/>
          <w:lang w:eastAsia="zh-CN"/>
        </w:rPr>
        <w:t>项目</w:t>
      </w:r>
      <w:r>
        <w:rPr>
          <w:rFonts w:hint="eastAsia" w:ascii="宋体" w:hAnsi="宋体" w:eastAsia="宋体" w:cs="宋体"/>
          <w:sz w:val="24"/>
          <w:highlight w:val="none"/>
        </w:rPr>
        <w:t>内容、报价等集中与各供应商分别进行一对一、面对面的磋商。各供应商就磋商中的</w:t>
      </w:r>
      <w:r>
        <w:rPr>
          <w:rFonts w:hint="eastAsia" w:ascii="宋体" w:hAnsi="宋体" w:eastAsia="宋体" w:cs="宋体"/>
          <w:sz w:val="24"/>
          <w:highlight w:val="none"/>
          <w:lang w:eastAsia="zh-CN"/>
        </w:rPr>
        <w:t>项目内容</w:t>
      </w:r>
      <w:r>
        <w:rPr>
          <w:rFonts w:hint="eastAsia" w:ascii="宋体" w:hAnsi="宋体" w:eastAsia="宋体" w:cs="宋体"/>
          <w:sz w:val="24"/>
          <w:highlight w:val="none"/>
        </w:rPr>
        <w:t>、价格</w:t>
      </w:r>
      <w:r>
        <w:rPr>
          <w:rFonts w:hint="eastAsia" w:ascii="宋体" w:hAnsi="宋体" w:eastAsia="宋体" w:cs="宋体"/>
          <w:sz w:val="24"/>
          <w:highlight w:val="none"/>
          <w:lang w:eastAsia="zh-CN"/>
        </w:rPr>
        <w:t>方案</w:t>
      </w:r>
      <w:r>
        <w:rPr>
          <w:rFonts w:hint="eastAsia" w:ascii="宋体" w:hAnsi="宋体" w:eastAsia="宋体" w:cs="宋体"/>
          <w:sz w:val="24"/>
          <w:highlight w:val="none"/>
        </w:rPr>
        <w:t>等内容按要求进行补充、完善、澄清、承诺，但补充完善的内容必须在其授权范围内。磋商小组以补充、完善后的内容作为评审的依据。</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5-9、</w:t>
      </w:r>
      <w:r>
        <w:rPr>
          <w:rFonts w:hint="eastAsia" w:ascii="宋体" w:hAnsi="宋体" w:eastAsia="宋体" w:cs="宋体"/>
          <w:sz w:val="24"/>
          <w:highlight w:val="none"/>
        </w:rPr>
        <w:t>通过资格审查、符合性审查、磋商、澄清及承诺等程序且实质性响应</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的各供应商，进行二次报价，磋商会议现场不公布磋商价格。磋商小组按其磋商响应文件、最终承诺和最终报价内容，进行综合评审打分。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5-10、</w:t>
      </w:r>
      <w:r>
        <w:rPr>
          <w:rFonts w:hint="eastAsia" w:ascii="宋体" w:hAnsi="宋体" w:eastAsia="宋体" w:cs="宋体"/>
          <w:sz w:val="24"/>
          <w:highlight w:val="none"/>
        </w:rPr>
        <w:t>宣布磋商会议结束，所有供应商离场。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采购代理机构对磋商过程进行摄像、文字记录，并存档备查。</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八</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供应商资格审查</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1、资格审查</w:t>
      </w:r>
    </w:p>
    <w:p>
      <w:pPr>
        <w:pStyle w:val="8"/>
        <w:keepNext w:val="0"/>
        <w:keepLines w:val="0"/>
        <w:pageBreakBefore w:val="0"/>
        <w:wordWrap/>
        <w:overflowPunct/>
        <w:topLinePunct w:val="0"/>
        <w:bidi w:val="0"/>
        <w:spacing w:line="360" w:lineRule="auto"/>
        <w:rPr>
          <w:rFonts w:hint="eastAsia" w:ascii="宋体" w:hAnsi="宋体" w:eastAsia="宋体" w:cs="宋体"/>
          <w:bCs/>
          <w:sz w:val="24"/>
          <w:highlight w:val="none"/>
          <w:lang w:eastAsia="zh-CN"/>
        </w:rPr>
      </w:pPr>
      <w:r>
        <w:rPr>
          <w:rFonts w:hint="eastAsia" w:ascii="宋体" w:hAnsi="宋体" w:eastAsia="宋体" w:cs="宋体"/>
          <w:sz w:val="24"/>
          <w:highlight w:val="none"/>
          <w:lang w:val="en-US" w:eastAsia="zh-CN"/>
        </w:rPr>
        <w:t>根据《中华人民共和国政府采购法》第二十三条规定，</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采购人或采购人授权委托人</w:t>
      </w:r>
      <w:r>
        <w:rPr>
          <w:rFonts w:hint="eastAsia" w:ascii="宋体" w:hAnsi="宋体" w:eastAsia="宋体" w:cs="宋体"/>
          <w:bCs/>
          <w:sz w:val="24"/>
          <w:highlight w:val="none"/>
        </w:rPr>
        <w:t>对</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资格进行审查</w:t>
      </w:r>
      <w:r>
        <w:rPr>
          <w:rFonts w:hint="eastAsia" w:ascii="宋体" w:hAnsi="宋体" w:eastAsia="宋体" w:cs="宋体"/>
          <w:bCs/>
          <w:sz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2、资格审查办法</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2-1、</w:t>
      </w:r>
      <w:r>
        <w:rPr>
          <w:rFonts w:hint="eastAsia" w:ascii="宋体" w:hAnsi="宋体" w:eastAsia="宋体" w:cs="宋体"/>
          <w:color w:val="000000"/>
          <w:sz w:val="24"/>
          <w:highlight w:val="none"/>
        </w:rPr>
        <w:t>资格审查在开标之后</w:t>
      </w:r>
      <w:r>
        <w:rPr>
          <w:rFonts w:hint="eastAsia" w:ascii="宋体" w:hAnsi="宋体" w:eastAsia="宋体" w:cs="宋体"/>
          <w:color w:val="000000"/>
          <w:sz w:val="24"/>
          <w:highlight w:val="none"/>
          <w:lang w:val="en-US" w:eastAsia="zh-CN"/>
        </w:rPr>
        <w:t>评审</w:t>
      </w:r>
      <w:r>
        <w:rPr>
          <w:rFonts w:hint="eastAsia" w:ascii="宋体" w:hAnsi="宋体" w:eastAsia="宋体" w:cs="宋体"/>
          <w:color w:val="000000"/>
          <w:sz w:val="24"/>
          <w:highlight w:val="none"/>
        </w:rPr>
        <w:t>之前进行。由采购人代表</w:t>
      </w:r>
      <w:r>
        <w:rPr>
          <w:rFonts w:hint="eastAsia" w:ascii="宋体" w:hAnsi="宋体" w:eastAsia="宋体" w:cs="宋体"/>
          <w:color w:val="000000"/>
          <w:sz w:val="24"/>
          <w:highlight w:val="none"/>
          <w:lang w:val="en-US" w:eastAsia="zh-CN"/>
        </w:rPr>
        <w:t>或采购人授权委托人组成资格审查小组</w:t>
      </w:r>
      <w:r>
        <w:rPr>
          <w:rFonts w:hint="eastAsia" w:ascii="宋体" w:hAnsi="宋体" w:eastAsia="宋体" w:cs="宋体"/>
          <w:color w:val="000000"/>
          <w:sz w:val="24"/>
          <w:highlight w:val="none"/>
        </w:rPr>
        <w:t>进行</w:t>
      </w:r>
      <w:r>
        <w:rPr>
          <w:rFonts w:hint="eastAsia" w:ascii="宋体" w:hAnsi="宋体" w:eastAsia="宋体" w:cs="宋体"/>
          <w:color w:val="000000"/>
          <w:sz w:val="24"/>
          <w:highlight w:val="none"/>
          <w:lang w:val="en-US" w:eastAsia="zh-CN"/>
        </w:rPr>
        <w:t>资格</w:t>
      </w:r>
      <w:r>
        <w:rPr>
          <w:rFonts w:hint="eastAsia" w:ascii="宋体" w:hAnsi="宋体" w:eastAsia="宋体" w:cs="宋体"/>
          <w:color w:val="000000"/>
          <w:sz w:val="24"/>
          <w:highlight w:val="none"/>
        </w:rPr>
        <w:t>审查</w:t>
      </w:r>
      <w:r>
        <w:rPr>
          <w:rFonts w:hint="eastAsia" w:ascii="宋体" w:hAnsi="宋体" w:eastAsia="宋体" w:cs="宋体"/>
          <w:color w:val="000000"/>
          <w:sz w:val="24"/>
          <w:highlight w:val="none"/>
          <w:lang w:val="en-US" w:eastAsia="zh-CN"/>
        </w:rPr>
        <w:t>，资格审查小组成员共3人</w:t>
      </w:r>
      <w:r>
        <w:rPr>
          <w:rFonts w:hint="eastAsia" w:ascii="宋体" w:hAnsi="宋体" w:eastAsia="宋体" w:cs="宋体"/>
          <w:color w:val="000000"/>
          <w:sz w:val="24"/>
          <w:highlight w:val="none"/>
        </w:rPr>
        <w:t>，资格审查将依据</w:t>
      </w:r>
      <w:r>
        <w:rPr>
          <w:rFonts w:hint="eastAsia" w:ascii="宋体" w:hAnsi="宋体" w:eastAsia="宋体" w:cs="宋体"/>
          <w:color w:val="000000"/>
          <w:sz w:val="24"/>
          <w:highlight w:val="none"/>
          <w:lang w:val="en-US" w:eastAsia="zh-CN"/>
        </w:rPr>
        <w:t>供应商磋商响应</w:t>
      </w:r>
      <w:r>
        <w:rPr>
          <w:rFonts w:hint="eastAsia" w:ascii="宋体" w:hAnsi="宋体" w:eastAsia="宋体" w:cs="宋体"/>
          <w:color w:val="000000"/>
          <w:sz w:val="24"/>
          <w:highlight w:val="none"/>
        </w:rPr>
        <w:t>文件，按照</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资格审查标准</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的</w:t>
      </w:r>
      <w:r>
        <w:rPr>
          <w:rFonts w:hint="eastAsia" w:ascii="宋体" w:hAnsi="宋体" w:eastAsia="宋体" w:cs="宋体"/>
          <w:color w:val="000000"/>
          <w:sz w:val="24"/>
          <w:highlight w:val="none"/>
        </w:rPr>
        <w:t>要求对</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进行资格审查，以确定其是否具备相应资格。如果</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不具备资格、不满足</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文件所规定的资格条件,将被视为未实质性响应</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文件,按无效</w:t>
      </w:r>
      <w:r>
        <w:rPr>
          <w:rFonts w:hint="eastAsia" w:ascii="宋体" w:hAnsi="宋体" w:eastAsia="宋体" w:cs="宋体"/>
          <w:color w:val="000000"/>
          <w:sz w:val="24"/>
          <w:highlight w:val="none"/>
          <w:lang w:eastAsia="zh-CN"/>
        </w:rPr>
        <w:t>响应</w:t>
      </w:r>
      <w:r>
        <w:rPr>
          <w:rFonts w:hint="eastAsia" w:ascii="宋体" w:hAnsi="宋体" w:eastAsia="宋体" w:cs="宋体"/>
          <w:color w:val="000000"/>
          <w:sz w:val="24"/>
          <w:highlight w:val="none"/>
        </w:rPr>
        <w:t>处理。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2-2、</w:t>
      </w:r>
      <w:r>
        <w:rPr>
          <w:rFonts w:hint="eastAsia" w:ascii="宋体" w:hAnsi="宋体" w:eastAsia="宋体" w:cs="宋体"/>
          <w:color w:val="000000"/>
          <w:kern w:val="0"/>
          <w:sz w:val="24"/>
          <w:highlight w:val="none"/>
        </w:rPr>
        <w:t>资格审查按下列程序进行：</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资格审查</w:t>
      </w:r>
      <w:r>
        <w:rPr>
          <w:rFonts w:hint="eastAsia" w:ascii="宋体" w:hAnsi="宋体" w:eastAsia="宋体" w:cs="宋体"/>
          <w:color w:val="000000"/>
          <w:kern w:val="0"/>
          <w:sz w:val="24"/>
          <w:highlight w:val="none"/>
          <w:lang w:val="en-US" w:eastAsia="zh-CN"/>
        </w:rPr>
        <w:t>小组签到</w:t>
      </w:r>
      <w:r>
        <w:rPr>
          <w:rFonts w:hint="eastAsia" w:ascii="宋体" w:hAnsi="宋体" w:eastAsia="宋体" w:cs="宋体"/>
          <w:color w:val="000000"/>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（2）资格审查；</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填写资格审查表</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及编制资格审查报告。</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70" w:firstLineChars="196"/>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2-3、</w:t>
      </w:r>
      <w:r>
        <w:rPr>
          <w:rFonts w:hint="eastAsia" w:ascii="宋体" w:hAnsi="宋体" w:eastAsia="宋体" w:cs="宋体"/>
          <w:color w:val="000000"/>
          <w:kern w:val="0"/>
          <w:sz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lang w:val="en-US" w:eastAsia="zh-CN"/>
        </w:rPr>
        <w:t>1</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kern w:val="0"/>
          <w:sz w:val="24"/>
          <w:highlight w:val="none"/>
        </w:rPr>
        <w:t>资格审查小组应当按下表审查标准进行</w:t>
      </w:r>
      <w:r>
        <w:rPr>
          <w:rFonts w:hint="eastAsia" w:ascii="宋体" w:hAnsi="宋体" w:eastAsia="宋体" w:cs="宋体"/>
          <w:bCs/>
          <w:color w:val="000000"/>
          <w:sz w:val="24"/>
          <w:highlight w:val="none"/>
        </w:rPr>
        <w:t>资格审查，</w:t>
      </w:r>
      <w:r>
        <w:rPr>
          <w:rFonts w:hint="eastAsia" w:ascii="宋体" w:hAnsi="宋体" w:eastAsia="宋体" w:cs="宋体"/>
          <w:color w:val="000000"/>
          <w:kern w:val="0"/>
          <w:sz w:val="24"/>
          <w:highlight w:val="none"/>
        </w:rPr>
        <w:t>有一项不合格，资格审查为不合格，按无效</w:t>
      </w:r>
      <w:r>
        <w:rPr>
          <w:rFonts w:hint="eastAsia" w:ascii="宋体" w:hAnsi="宋体" w:eastAsia="宋体" w:cs="宋体"/>
          <w:color w:val="000000"/>
          <w:kern w:val="0"/>
          <w:sz w:val="24"/>
          <w:highlight w:val="none"/>
          <w:lang w:eastAsia="zh-CN"/>
        </w:rPr>
        <w:t>响应</w:t>
      </w:r>
      <w:r>
        <w:rPr>
          <w:rFonts w:hint="eastAsia" w:ascii="宋体" w:hAnsi="宋体" w:eastAsia="宋体" w:cs="宋体"/>
          <w:color w:val="000000"/>
          <w:kern w:val="0"/>
          <w:sz w:val="24"/>
          <w:highlight w:val="none"/>
        </w:rPr>
        <w:t>处理</w:t>
      </w:r>
      <w:r>
        <w:rPr>
          <w:rFonts w:hint="eastAsia" w:ascii="宋体" w:hAnsi="宋体" w:eastAsia="宋体" w:cs="宋体"/>
          <w:color w:val="000000"/>
          <w:kern w:val="0"/>
          <w:sz w:val="24"/>
          <w:highlight w:val="none"/>
          <w:lang w:eastAsia="zh-CN"/>
        </w:rPr>
        <w:t>。</w:t>
      </w:r>
    </w:p>
    <w:tbl>
      <w:tblPr>
        <w:tblStyle w:val="21"/>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40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51" w:type="pct"/>
            <w:gridSpan w:val="2"/>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审查因素</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485" w:type="pct"/>
            <w:vMerge w:val="restar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资格</w:t>
            </w:r>
            <w:r>
              <w:rPr>
                <w:rFonts w:hint="eastAsia" w:ascii="宋体" w:hAnsi="宋体" w:eastAsia="宋体" w:cs="宋体"/>
                <w:color w:val="000000"/>
                <w:kern w:val="0"/>
                <w:sz w:val="24"/>
                <w:szCs w:val="24"/>
                <w:highlight w:val="none"/>
                <w:lang w:val="en-US" w:eastAsia="zh-CN"/>
              </w:rPr>
              <w:t>审查标准</w:t>
            </w: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u w:val="none"/>
                <w:lang w:val="en-US" w:eastAsia="zh-CN" w:bidi="ar-SA"/>
              </w:rPr>
              <w:t>主体资格证明：在中华人民共和国境内注册，并有效续存的营业执照/事业单位法人证书/非企业专业服务机构执业许可证/民办非企业单位登记证书、税务登记证、组织机构代码证，或“三证合一”后的注册登记证</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合格</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u w:val="none"/>
                <w:lang w:val="en-US" w:eastAsia="zh-CN" w:bidi="ar-SA"/>
              </w:rPr>
              <w:t>财务状况报告：提供2022年度财务审计报告（至少包括资产负债表、利润表、现金流量表及财务报表附注，成立时间至提交响应文件截止时间不足一年的可提供成立后任意时段的资产负债表），或开标前3个月内其基本存款账户开户银行出具的资信证明及基本存款账户开户证明资料</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合格</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u w:val="none"/>
                <w:lang w:val="en-US" w:eastAsia="zh-CN" w:bidi="ar-SA"/>
              </w:rPr>
              <w:t>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合格</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u w:val="none"/>
                <w:lang w:val="en-US" w:eastAsia="zh-CN" w:bidi="ar-SA"/>
              </w:rPr>
              <w:t>税收缴纳证明：自2023年1月1日以来已缴存的至少一个月的纳税证明或完税证明，纳税证明或完税证明上应有代收机构或税务机关的公章或业务专用章。依法免税的供应商应提供相关文件证明</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合格</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kern w:val="0"/>
                <w:sz w:val="24"/>
                <w:szCs w:val="24"/>
                <w:highlight w:val="none"/>
                <w:u w:val="none"/>
                <w:lang w:val="en-US" w:eastAsia="zh-CN" w:bidi="ar-SA"/>
              </w:rPr>
              <w:t>未被列入“信用中国”网站（www.creditchina.gov.cn）失信被执行人和重大税收违法案件当事人名单，不得为“中国政府采购网”(www.ccgp.gov.cn)政府采购严重违法失信行为记录名单中禁止参加政府采购活动的供应商</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提供声明书并查询核实无不良记录为合格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sz w:val="24"/>
                <w:szCs w:val="24"/>
                <w:highlight w:val="none"/>
              </w:rPr>
              <w:t>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授权书（附法定代表人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、被授权人身份证复印件）及被授权人身份证原件；法定代表人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直接参加投标的，须提供法定代表人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身份证明文件</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color w:val="auto"/>
                <w:kern w:val="0"/>
                <w:sz w:val="24"/>
                <w:szCs w:val="24"/>
                <w:highlight w:val="none"/>
                <w:u w:val="none"/>
                <w:lang w:val="en-US" w:eastAsia="zh-CN" w:bidi="ar-SA"/>
              </w:rPr>
              <w:t>参加政府采购活动前三年内在经营活动中没有重大违法记录的书面声明</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提供书面声明为合格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u w:val="none"/>
                <w:lang w:val="en-US" w:eastAsia="zh-CN" w:bidi="ar-SA"/>
              </w:rPr>
              <w:t>提供具有履行合同所必需的设备和专业技术能力的承诺函</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提供书面承诺函为合格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本项目不接受联合体参与</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提供非联合体声明为合格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5" w:type="pct"/>
            <w:vMerge w:val="continue"/>
            <w:tcBorders>
              <w:tl2br w:val="nil"/>
              <w:tr2bl w:val="nil"/>
            </w:tcBorders>
            <w:noWrap w:val="0"/>
            <w:vAlign w:val="top"/>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kern w:val="0"/>
                <w:sz w:val="24"/>
                <w:szCs w:val="24"/>
                <w:highlight w:val="none"/>
              </w:rPr>
            </w:pPr>
          </w:p>
        </w:tc>
        <w:tc>
          <w:tcPr>
            <w:tcW w:w="3666"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textAlignment w:val="auto"/>
              <w:rPr>
                <w:rFonts w:hint="eastAsia" w:ascii="宋体" w:hAnsi="宋体" w:eastAsia="宋体" w:cs="宋体"/>
                <w:color w:val="00000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单位负责人为同一人或者存在直接控股、管理关系的不同单位不得同时参加</w:t>
            </w:r>
          </w:p>
        </w:tc>
        <w:tc>
          <w:tcPr>
            <w:tcW w:w="848" w:type="pct"/>
            <w:tcBorders>
              <w:tl2br w:val="nil"/>
              <w:tr2bl w:val="nil"/>
            </w:tcBorders>
            <w:noWrap w:val="0"/>
            <w:vAlign w:val="center"/>
          </w:tcPr>
          <w:p>
            <w:pPr>
              <w:keepNext w:val="0"/>
              <w:keepLines w:val="0"/>
              <w:pageBreakBefore w:val="0"/>
              <w:widowControl w:val="0"/>
              <w:tabs>
                <w:tab w:val="left" w:pos="0"/>
                <w:tab w:val="center" w:pos="4153"/>
                <w:tab w:val="right" w:pos="8306"/>
              </w:tabs>
              <w:kinsoku/>
              <w:wordWrap/>
              <w:overflowPunct/>
              <w:topLinePunct w:val="0"/>
              <w:autoSpaceDE/>
              <w:autoSpaceDN/>
              <w:bidi w:val="0"/>
              <w:adjustRightInd w:val="0"/>
              <w:snapToGrid w:val="0"/>
              <w:spacing w:line="353"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无相关联单位参加为合格</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资格审查报告：</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a、</w:t>
      </w:r>
      <w:r>
        <w:rPr>
          <w:rFonts w:hint="eastAsia" w:ascii="宋体" w:hAnsi="宋体" w:eastAsia="宋体" w:cs="宋体"/>
          <w:color w:val="000000"/>
          <w:sz w:val="24"/>
          <w:highlight w:val="none"/>
        </w:rPr>
        <w:t>资格审查报告由资格审查小组成员编写并签字确认，其附表《</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资格审查表》应当经资格审查小组成员签字确认。</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b、</w:t>
      </w:r>
      <w:r>
        <w:rPr>
          <w:rFonts w:hint="eastAsia" w:ascii="宋体" w:hAnsi="宋体" w:eastAsia="宋体" w:cs="宋体"/>
          <w:color w:val="000000"/>
          <w:sz w:val="24"/>
          <w:highlight w:val="none"/>
        </w:rPr>
        <w:t>合格</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不足3家的，不</w:t>
      </w:r>
      <w:r>
        <w:rPr>
          <w:rFonts w:hint="eastAsia" w:ascii="宋体" w:hAnsi="宋体" w:eastAsia="宋体" w:cs="宋体"/>
          <w:color w:val="000000"/>
          <w:sz w:val="24"/>
          <w:highlight w:val="none"/>
          <w:lang w:val="en-US" w:eastAsia="zh-CN"/>
        </w:rPr>
        <w:t>得评审</w:t>
      </w:r>
      <w:r>
        <w:rPr>
          <w:rFonts w:hint="eastAsia" w:ascii="宋体" w:hAnsi="宋体" w:eastAsia="宋体" w:cs="宋体"/>
          <w:color w:val="000000"/>
          <w:sz w:val="24"/>
          <w:highlight w:val="none"/>
        </w:rPr>
        <w:t>。</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c、</w:t>
      </w:r>
      <w:r>
        <w:rPr>
          <w:rFonts w:hint="eastAsia" w:ascii="宋体" w:hAnsi="宋体" w:eastAsia="宋体" w:cs="宋体"/>
          <w:color w:val="000000"/>
          <w:sz w:val="24"/>
          <w:highlight w:val="none"/>
        </w:rPr>
        <w:t>不合格的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，不得进入</w:t>
      </w:r>
      <w:r>
        <w:rPr>
          <w:rFonts w:hint="eastAsia" w:ascii="宋体" w:hAnsi="宋体" w:eastAsia="宋体" w:cs="宋体"/>
          <w:color w:val="000000"/>
          <w:sz w:val="24"/>
          <w:highlight w:val="none"/>
          <w:lang w:val="en-US" w:eastAsia="zh-CN"/>
        </w:rPr>
        <w:t>评审</w:t>
      </w:r>
      <w:r>
        <w:rPr>
          <w:rFonts w:hint="eastAsia" w:ascii="宋体" w:hAnsi="宋体" w:eastAsia="宋体" w:cs="宋体"/>
          <w:color w:val="000000"/>
          <w:sz w:val="24"/>
          <w:highlight w:val="none"/>
        </w:rPr>
        <w:t>环节。</w:t>
      </w:r>
    </w:p>
    <w:p>
      <w:pPr>
        <w:keepNext w:val="0"/>
        <w:keepLines w:val="0"/>
        <w:pageBreakBefore w:val="0"/>
        <w:widowControl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评审</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磋商小组</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采购代理机构根据《中华人民共和国政府采购法》、《中华人民共和国政府采购法实施条例》和</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政府采购竞争性磋商采购方式管理暂行办法</w:t>
      </w:r>
      <w:r>
        <w:rPr>
          <w:rFonts w:hint="eastAsia" w:ascii="宋体" w:hAnsi="宋体" w:eastAsia="宋体" w:cs="宋体"/>
          <w:sz w:val="24"/>
          <w:highlight w:val="none"/>
          <w:lang w:eastAsia="zh-CN"/>
        </w:rPr>
        <w:t>》</w:t>
      </w:r>
      <w:r>
        <w:rPr>
          <w:rFonts w:hint="eastAsia" w:ascii="宋体" w:hAnsi="宋体" w:eastAsia="宋体" w:cs="宋体"/>
          <w:sz w:val="24"/>
          <w:highlight w:val="none"/>
        </w:rPr>
        <w:t>的规定，依法组建磋商小组，磋商小组成员在</w:t>
      </w:r>
      <w:r>
        <w:rPr>
          <w:rFonts w:hint="eastAsia" w:ascii="宋体" w:hAnsi="宋体" w:eastAsia="宋体" w:cs="宋体"/>
          <w:color w:val="000000"/>
          <w:sz w:val="24"/>
          <w:highlight w:val="none"/>
        </w:rPr>
        <w:t>省级财政部门设立的政府采购评审专家库中随机抽取</w:t>
      </w:r>
      <w:r>
        <w:rPr>
          <w:rFonts w:hint="eastAsia" w:ascii="宋体" w:hAnsi="宋体" w:eastAsia="宋体" w:cs="宋体"/>
          <w:sz w:val="24"/>
          <w:highlight w:val="none"/>
        </w:rPr>
        <w:t>。采购人派代表进入</w:t>
      </w: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，并向采购代理机构出具授权函。磋商小组由采购人代表和评审专家共3人以上单数组成，评审专家人数应占总人数的2/3以上。磋商小组负责对具备实质性响应的</w:t>
      </w:r>
      <w:r>
        <w:rPr>
          <w:rFonts w:hint="eastAsia" w:ascii="宋体" w:hAnsi="宋体" w:eastAsia="宋体" w:cs="宋体"/>
          <w:sz w:val="24"/>
          <w:highlight w:val="none"/>
          <w:lang w:eastAsia="zh-CN"/>
        </w:rPr>
        <w:t>竞争性磋商响应文件</w:t>
      </w:r>
      <w:r>
        <w:rPr>
          <w:rFonts w:hint="eastAsia" w:ascii="宋体" w:hAnsi="宋体" w:eastAsia="宋体" w:cs="宋体"/>
          <w:sz w:val="24"/>
          <w:highlight w:val="none"/>
        </w:rPr>
        <w:t>进行评估和比较。</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磋商小组成员应当遵守并履行下列职责义务：</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遵纪守法，客观、公正、认真负责地履行职责，根据磋商文件规定的评审程序、评审方法和评审标准审查磋商响应文件是否符合磋商文件的要求，并做出评价；</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磋商小组可要求供应商就磋商响应文件中含义不明确的内容进行书面说明并提供相关材料；</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依据磋商文件的要求和</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标准进行磋商，推荐成交候选单位名单，对磋商意见承担个人责任；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对磋商过程及各供应商的商业机密予以保密；</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拟定</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结果；</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告知采购人、采购代理机构在评审过程中发现的供应商的违法违规行为；</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配合采购人、采购代理机构答复各供应商提出的质疑；</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配合各部门的投诉处理和监督检查工作。</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bCs/>
          <w:sz w:val="24"/>
          <w:highlight w:val="none"/>
        </w:rPr>
      </w:pPr>
      <w:r>
        <w:rPr>
          <w:rFonts w:hint="eastAsia" w:ascii="宋体" w:hAnsi="宋体" w:eastAsia="宋体" w:cs="宋体"/>
          <w:bCs/>
          <w:sz w:val="24"/>
          <w:highlight w:val="none"/>
          <w:lang w:val="en-US" w:eastAsia="zh-CN"/>
        </w:rPr>
        <w:t>1-3、</w:t>
      </w:r>
      <w:r>
        <w:rPr>
          <w:rFonts w:hint="eastAsia" w:ascii="宋体" w:hAnsi="宋体" w:eastAsia="宋体" w:cs="宋体"/>
          <w:sz w:val="24"/>
          <w:highlight w:val="none"/>
        </w:rPr>
        <w:t>在政府采购活动中，采购人员及相关人员（包括磋商小组）与供应商有下列利害关系之一的，应当回避：</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（1）参加采购活动前3年内与供应商存在劳动关系；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（2）参加采购活动前3年内担任供应商的董事、监事；</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（3）参加采购活动前3年内是供应商的控股股东或者实际控制人；</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（4）与供应商的法定代表人或者负责人有夫妻、直系血亲、三代以内旁系血亲或者近姻亲关系；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（5）与供应商有其他可能影响政府采购活动公平、公正进行的关系。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供应商认为采购人</w:t>
      </w:r>
      <w:r>
        <w:rPr>
          <w:rFonts w:hint="eastAsia" w:ascii="宋体" w:hAnsi="宋体" w:eastAsia="宋体" w:cs="宋体"/>
          <w:sz w:val="24"/>
          <w:highlight w:val="none"/>
          <w:lang w:val="en-US" w:eastAsia="zh-CN"/>
        </w:rPr>
        <w:t>员</w:t>
      </w:r>
      <w:r>
        <w:rPr>
          <w:rFonts w:hint="eastAsia" w:ascii="宋体" w:hAnsi="宋体" w:eastAsia="宋体" w:cs="宋体"/>
          <w:sz w:val="24"/>
          <w:highlight w:val="none"/>
        </w:rPr>
        <w:t>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1-4、</w:t>
      </w:r>
      <w:r>
        <w:rPr>
          <w:rFonts w:hint="eastAsia" w:ascii="宋体" w:hAnsi="宋体" w:eastAsia="宋体" w:cs="宋体"/>
          <w:bCs/>
          <w:sz w:val="24"/>
          <w:highlight w:val="none"/>
        </w:rPr>
        <w:t>评审原则</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坚持公平、公正、科学、择优，禁止不正当竞争。根据质量和服务均能满足磋商文件实质性响应要求且最终评审得分最高的原则确定成交供应商。</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1-5、</w:t>
      </w:r>
      <w:r>
        <w:rPr>
          <w:rFonts w:hint="eastAsia" w:ascii="宋体" w:hAnsi="宋体" w:eastAsia="宋体" w:cs="宋体"/>
          <w:bCs/>
          <w:sz w:val="24"/>
          <w:highlight w:val="none"/>
        </w:rPr>
        <w:t>评审工作程序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符合性审查：由磋商小组</w:t>
      </w:r>
      <w:r>
        <w:rPr>
          <w:rFonts w:hint="eastAsia" w:ascii="宋体" w:hAnsi="宋体" w:eastAsia="宋体" w:cs="宋体"/>
          <w:sz w:val="24"/>
          <w:highlight w:val="none"/>
          <w:lang w:val="en-US" w:eastAsia="zh-CN"/>
        </w:rPr>
        <w:t>按照评审办法中符合性审查标准内容进行符合性审查</w:t>
      </w:r>
      <w:r>
        <w:rPr>
          <w:rFonts w:hint="eastAsia" w:ascii="宋体" w:hAnsi="宋体" w:eastAsia="宋体" w:cs="宋体"/>
          <w:sz w:val="24"/>
          <w:highlight w:val="none"/>
        </w:rPr>
        <w:t>，</w:t>
      </w:r>
      <w:r>
        <w:rPr>
          <w:rFonts w:hint="eastAsia" w:ascii="宋体" w:hAnsi="宋体" w:eastAsia="宋体" w:cs="宋体"/>
          <w:bCs/>
          <w:sz w:val="24"/>
          <w:highlight w:val="none"/>
        </w:rPr>
        <w:t>不符合</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要求的按无效响应处理，不得进入后续评审工作。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对</w:t>
      </w:r>
      <w:r>
        <w:rPr>
          <w:rFonts w:hint="eastAsia" w:ascii="宋体" w:hAnsi="宋体" w:eastAsia="宋体" w:cs="宋体"/>
          <w:sz w:val="24"/>
          <w:highlight w:val="none"/>
        </w:rPr>
        <w:t>通过符合性审查的各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，磋商小组按其</w:t>
      </w:r>
      <w:r>
        <w:rPr>
          <w:rFonts w:hint="eastAsia" w:ascii="宋体" w:hAnsi="宋体" w:eastAsia="宋体" w:cs="宋体"/>
          <w:sz w:val="24"/>
          <w:highlight w:val="none"/>
          <w:lang w:eastAsia="zh-CN"/>
        </w:rPr>
        <w:t>服务</w:t>
      </w:r>
      <w:r>
        <w:rPr>
          <w:rFonts w:hint="eastAsia" w:ascii="宋体" w:hAnsi="宋体" w:eastAsia="宋体" w:cs="宋体"/>
          <w:sz w:val="24"/>
          <w:highlight w:val="none"/>
        </w:rPr>
        <w:t>内容及最终承诺和报价内容，进行评比并排序。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）凡未实质性响应</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按无效文件处理，不得进入后续评审工作，内容如下：</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a、</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未经过正常渠道购买</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名称与登记领取</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的单位名称不一致的；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b、</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、磋商</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函未逐页加盖</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公章，或</w:t>
      </w:r>
      <w:r>
        <w:rPr>
          <w:rFonts w:hint="eastAsia" w:ascii="宋体" w:hAnsi="宋体" w:eastAsia="宋体" w:cs="宋体"/>
          <w:bCs/>
          <w:sz w:val="24"/>
          <w:highlight w:val="none"/>
          <w:lang w:val="en-US" w:eastAsia="zh-CN"/>
        </w:rPr>
        <w:t>法</w:t>
      </w:r>
      <w:r>
        <w:rPr>
          <w:rFonts w:hint="eastAsia" w:ascii="宋体" w:hAnsi="宋体" w:eastAsia="宋体" w:cs="宋体"/>
          <w:bCs/>
          <w:sz w:val="24"/>
          <w:highlight w:val="none"/>
        </w:rPr>
        <w:t>定代表人或其授权</w:t>
      </w:r>
      <w:r>
        <w:rPr>
          <w:rFonts w:hint="eastAsia" w:ascii="宋体" w:hAnsi="宋体" w:eastAsia="宋体" w:cs="宋体"/>
          <w:bCs/>
          <w:sz w:val="24"/>
          <w:highlight w:val="none"/>
          <w:lang w:val="en-US" w:eastAsia="zh-CN"/>
        </w:rPr>
        <w:t>委托人</w:t>
      </w:r>
      <w:r>
        <w:rPr>
          <w:rFonts w:hint="eastAsia" w:ascii="宋体" w:hAnsi="宋体" w:eastAsia="宋体" w:cs="宋体"/>
          <w:bCs/>
          <w:sz w:val="24"/>
          <w:highlight w:val="none"/>
        </w:rPr>
        <w:t>未按格式要求、签字或盖章的；</w:t>
      </w:r>
    </w:p>
    <w:p>
      <w:pPr>
        <w:keepNext w:val="0"/>
        <w:keepLines w:val="0"/>
        <w:pageBreakBefore w:val="0"/>
        <w:widowControl w:val="0"/>
        <w:kinsoku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bCs/>
          <w:sz w:val="24"/>
          <w:highlight w:val="none"/>
        </w:rPr>
        <w:t>c、</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不满足</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必备资质要求，</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超出经营范围进行经营的</w:t>
      </w:r>
      <w:r>
        <w:rPr>
          <w:rFonts w:hint="eastAsia" w:ascii="宋体" w:hAnsi="宋体" w:eastAsia="宋体" w:cs="宋体"/>
          <w:sz w:val="24"/>
          <w:highlight w:val="none"/>
          <w:lang w:eastAsia="zh-CN"/>
        </w:rPr>
        <w:t>；</w:t>
      </w:r>
    </w:p>
    <w:p>
      <w:pPr>
        <w:keepNext w:val="0"/>
        <w:keepLines w:val="0"/>
        <w:pageBreakBefore w:val="0"/>
        <w:widowControl w:val="0"/>
        <w:kinsoku w:val="0"/>
        <w:wordWrap/>
        <w:overflowPunct/>
        <w:topLinePunct w:val="0"/>
        <w:autoSpaceDE/>
        <w:autoSpaceDN/>
        <w:bidi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d、</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超过</w:t>
      </w:r>
      <w:r>
        <w:rPr>
          <w:rFonts w:hint="eastAsia" w:ascii="宋体" w:hAnsi="宋体" w:eastAsia="宋体" w:cs="宋体"/>
          <w:sz w:val="24"/>
          <w:highlight w:val="none"/>
          <w:lang w:val="en-US" w:eastAsia="zh-CN"/>
        </w:rPr>
        <w:t>最高</w:t>
      </w:r>
      <w:r>
        <w:rPr>
          <w:rFonts w:hint="eastAsia" w:ascii="宋体" w:hAnsi="宋体" w:eastAsia="宋体" w:cs="宋体"/>
          <w:sz w:val="24"/>
          <w:highlight w:val="none"/>
          <w:lang w:eastAsia="zh-CN"/>
        </w:rPr>
        <w:t>限价</w:t>
      </w:r>
      <w:r>
        <w:rPr>
          <w:rFonts w:hint="eastAsia" w:ascii="宋体" w:hAnsi="宋体" w:eastAsia="宋体" w:cs="宋体"/>
          <w:sz w:val="24"/>
          <w:highlight w:val="none"/>
        </w:rPr>
        <w:t>；</w:t>
      </w:r>
    </w:p>
    <w:p>
      <w:pPr>
        <w:keepNext w:val="0"/>
        <w:keepLines w:val="0"/>
        <w:pageBreakBefore w:val="0"/>
        <w:widowControl w:val="0"/>
        <w:kinsoku w:val="0"/>
        <w:wordWrap/>
        <w:overflowPunct/>
        <w:topLinePunct w:val="0"/>
        <w:autoSpaceDE/>
        <w:autoSpaceDN/>
        <w:bidi w:val="0"/>
        <w:spacing w:line="360" w:lineRule="auto"/>
        <w:textAlignment w:val="auto"/>
        <w:rPr>
          <w:rFonts w:hint="eastAsia" w:ascii="宋体" w:hAnsi="宋体" w:eastAsia="宋体" w:cs="宋体"/>
          <w:bCs/>
          <w:sz w:val="24"/>
          <w:highlight w:val="none"/>
        </w:rPr>
      </w:pPr>
      <w:r>
        <w:rPr>
          <w:rFonts w:hint="eastAsia" w:ascii="宋体" w:hAnsi="宋体" w:eastAsia="宋体" w:cs="宋体"/>
          <w:sz w:val="24"/>
          <w:highlight w:val="none"/>
        </w:rPr>
        <w:t>e、</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针对同一项目递交两份或多份内容不同的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，未书面声明哪一份是有效的或出现选择性报价的；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f、明显不符合</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要求，存在负偏离的；</w:t>
      </w:r>
    </w:p>
    <w:p>
      <w:pPr>
        <w:keepNext w:val="0"/>
        <w:keepLines w:val="0"/>
        <w:pageBreakBefore w:val="0"/>
        <w:widowControl w:val="0"/>
        <w:tabs>
          <w:tab w:val="left" w:pos="1260"/>
        </w:tabs>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g、磋商有效期（磋商有效期不足）；</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h</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出现漏项或数量与要求不符,存在</w:t>
      </w:r>
      <w:r>
        <w:rPr>
          <w:rFonts w:hint="eastAsia" w:ascii="宋体" w:hAnsi="宋体" w:eastAsia="宋体" w:cs="宋体"/>
          <w:sz w:val="24"/>
          <w:highlight w:val="none"/>
          <w:lang w:eastAsia="zh-CN"/>
        </w:rPr>
        <w:t>重大</w:t>
      </w:r>
      <w:r>
        <w:rPr>
          <w:rFonts w:hint="eastAsia" w:ascii="宋体" w:hAnsi="宋体" w:eastAsia="宋体" w:cs="宋体"/>
          <w:sz w:val="24"/>
          <w:highlight w:val="none"/>
        </w:rPr>
        <w:t>负偏离的；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i</w:t>
      </w:r>
      <w:r>
        <w:rPr>
          <w:rFonts w:hint="eastAsia" w:ascii="宋体" w:hAnsi="宋体" w:eastAsia="宋体" w:cs="宋体"/>
          <w:sz w:val="24"/>
          <w:highlight w:val="none"/>
        </w:rPr>
        <w:t>、报价与市场价偏差较大，低于成本，存在不正当竞争；</w:t>
      </w:r>
    </w:p>
    <w:p>
      <w:pPr>
        <w:keepNext w:val="0"/>
        <w:keepLines w:val="0"/>
        <w:pageBreakBefore w:val="0"/>
        <w:widowControl w:val="0"/>
        <w:tabs>
          <w:tab w:val="center" w:pos="4779"/>
        </w:tabs>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j</w:t>
      </w:r>
      <w:r>
        <w:rPr>
          <w:rFonts w:hint="eastAsia" w:ascii="宋体" w:hAnsi="宋体" w:eastAsia="宋体" w:cs="宋体"/>
          <w:sz w:val="24"/>
          <w:highlight w:val="none"/>
        </w:rPr>
        <w:t>、提供虚假资料；</w:t>
      </w:r>
      <w:r>
        <w:rPr>
          <w:rFonts w:hint="eastAsia" w:ascii="宋体" w:hAnsi="宋体" w:eastAsia="宋体" w:cs="宋体"/>
          <w:sz w:val="24"/>
          <w:highlight w:val="none"/>
        </w:rPr>
        <w:tab/>
      </w:r>
    </w:p>
    <w:p>
      <w:pPr>
        <w:keepNext w:val="0"/>
        <w:keepLines w:val="0"/>
        <w:pageBreakBefore w:val="0"/>
        <w:widowControl w:val="0"/>
        <w:kinsoku/>
        <w:wordWrap/>
        <w:overflowPunct/>
        <w:topLinePunct w:val="0"/>
        <w:autoSpaceDE/>
        <w:autoSpaceDN/>
        <w:bidi w:val="0"/>
        <w:adjustRightInd/>
        <w:snapToGrid/>
        <w:spacing w:line="358" w:lineRule="auto"/>
        <w:ind w:left="479" w:leftChars="228" w:firstLine="0" w:firstLineChars="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k</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有围标、串标现象，经查证属实的；</w:t>
      </w:r>
    </w:p>
    <w:p>
      <w:pPr>
        <w:keepNext w:val="0"/>
        <w:keepLines w:val="0"/>
        <w:pageBreakBefore w:val="0"/>
        <w:widowControl w:val="0"/>
        <w:kinsoku/>
        <w:wordWrap/>
        <w:overflowPunct/>
        <w:topLinePunct w:val="0"/>
        <w:autoSpaceDE/>
        <w:autoSpaceDN/>
        <w:bidi w:val="0"/>
        <w:adjustRightInd/>
        <w:snapToGrid/>
        <w:spacing w:line="358" w:lineRule="auto"/>
        <w:ind w:left="479" w:leftChars="228"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l</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附有采购人不能接受的条件的；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m</w:t>
      </w:r>
      <w:r>
        <w:rPr>
          <w:rFonts w:hint="eastAsia" w:ascii="宋体" w:hAnsi="宋体" w:eastAsia="宋体" w:cs="宋体"/>
          <w:sz w:val="24"/>
          <w:highlight w:val="none"/>
        </w:rPr>
        <w:t>、不符合</w:t>
      </w:r>
      <w:r>
        <w:rPr>
          <w:rFonts w:hint="eastAsia" w:ascii="宋体" w:hAnsi="宋体" w:eastAsia="宋体" w:cs="宋体"/>
          <w:bCs/>
          <w:sz w:val="24"/>
          <w:highlight w:val="none"/>
          <w:lang w:eastAsia="zh-CN"/>
        </w:rPr>
        <w:t>磋商文件</w:t>
      </w:r>
      <w:r>
        <w:rPr>
          <w:rFonts w:hint="eastAsia" w:ascii="宋体" w:hAnsi="宋体" w:eastAsia="宋体" w:cs="宋体"/>
          <w:sz w:val="24"/>
          <w:highlight w:val="none"/>
        </w:rPr>
        <w:t>规定的其他实质性要求的</w:t>
      </w:r>
      <w:r>
        <w:rPr>
          <w:rFonts w:hint="eastAsia" w:ascii="宋体" w:hAnsi="宋体" w:eastAsia="宋体" w:cs="宋体"/>
          <w:bCs/>
          <w:sz w:val="24"/>
          <w:highlight w:val="none"/>
        </w:rPr>
        <w:t>。</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）在磋商响应文件的评审和比较、成交</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的确定过程中，供应商向磋商小组施加压力的任何行为，都将会导致其磋商响应被拒绝。</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）磋商小组在磋商过程中，</w:t>
      </w:r>
      <w:r>
        <w:rPr>
          <w:rFonts w:hint="eastAsia" w:ascii="宋体" w:hAnsi="宋体" w:eastAsia="宋体" w:cs="宋体"/>
          <w:bCs/>
          <w:sz w:val="24"/>
          <w:highlight w:val="none"/>
          <w:lang w:val="en-US" w:eastAsia="zh-CN"/>
        </w:rPr>
        <w:t>可以根据磋商文件各磋商情况实质性变动采购需求中的技术、服务要求以及合同草案条款，但不得变动磋商文件中的其他内容。实质性变动内容，须经采购人代表确认。</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磋商小组对磋商响应文件的有效性、完整性和响应程度或其他内容有疑问的，磋商小组可要求供应商对磋商响应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磋商响应文件的范围或改变磋商响应文件的实质性内容。磋商小组不得寻求或建议对采购价格和响应文件的实质进行变更。</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质询工作应当由全体磋商小组成员参加。对于实质性不符合磋商文件的，磋商小组有权予以拒绝。质询工作应做书面记录，采购人代表、磋商小组成员及供应商应在记录上签字确认。</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1-6、</w:t>
      </w:r>
      <w:r>
        <w:rPr>
          <w:rFonts w:hint="eastAsia" w:ascii="宋体" w:hAnsi="宋体" w:eastAsia="宋体" w:cs="宋体"/>
          <w:sz w:val="24"/>
          <w:highlight w:val="none"/>
        </w:rPr>
        <w:t>磋商响应文件的审查标准：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（1）磋商响应文件图表与文字不符时，以文字为准；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（2）磋商响应文件正本与副本不符时，以正本为准；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（3）磋商响应文件大写与小写不符时，以大写为准；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（4）单价乘以数量不等于总价时，以单价乘以数量为准；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（5）磋商响应文件有关内容与“一览表”不一致的，以“一览表”为准。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注：按上述修正方法调整的内容对供应商具有约束力，如果供应商不接受修正后的内容，其投标将被拒绝。</w:t>
      </w:r>
    </w:p>
    <w:p>
      <w:pPr>
        <w:keepNext w:val="0"/>
        <w:keepLines w:val="0"/>
        <w:pageBreakBefore w:val="0"/>
        <w:widowControl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十</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定标</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定标程序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磋商小组依据磋商文件的要求，对供应商进行认真评审。经过评审、澄清</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等程序后，从质量和服务均能满足磋商文件实质性响应要求的供应商中，按照评审得分由高到低的顺序推荐3名以上成交候选人，并编写评审报告。</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采购人在收到评审报告5个工作日内，从评审报告提出的成交候选人中，根据质量和服务均能满足磋商文件实质性响应要求且评审得分最高的原则确定成交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；采购人逾期未确定成交</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且不提出异议的，视为确定评审报告推荐的评审得分最高的供应商为成交供应商。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采购代理机构接到采购人的《成交复函》后2个工作日内，将成交结果在陕西省政府采购网上发布公告。公告发布1个工作日，其他供应商若有异议，按《政府采购法》第52条执行。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lang w:eastAsia="zh-CN"/>
        </w:rPr>
        <w:t>、</w:t>
      </w:r>
      <w:r>
        <w:rPr>
          <w:rFonts w:hint="eastAsia" w:ascii="宋体" w:hAnsi="宋体" w:eastAsia="宋体" w:cs="宋体"/>
          <w:sz w:val="24"/>
          <w:highlight w:val="none"/>
        </w:rPr>
        <w:t>成交供应商确定后，采购人和采购代理机构对未成交原因不做任何解释，</w:t>
      </w:r>
      <w:r>
        <w:rPr>
          <w:rFonts w:hint="eastAsia" w:ascii="宋体" w:hAnsi="宋体" w:eastAsia="宋体" w:cs="宋体"/>
          <w:bCs/>
          <w:sz w:val="24"/>
          <w:highlight w:val="none"/>
        </w:rPr>
        <w:t>磋商</w:t>
      </w:r>
      <w:r>
        <w:rPr>
          <w:rFonts w:hint="eastAsia" w:ascii="宋体" w:hAnsi="宋体" w:eastAsia="宋体" w:cs="宋体"/>
          <w:sz w:val="24"/>
          <w:highlight w:val="none"/>
        </w:rPr>
        <w:t>响应文件不予退还（含纸质及电子版文件）。</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享受政府采购政策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1、节能产品、环境标志产品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对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财政部、国家发展改革委、生态环境部、市场监管总局&lt;关于调整优化节能产品、环境标志产品政府采购执行机制&gt;的通知》（财库〔2019〕9号）、关于印发环境标志产品政府采购品目清单的通知(财库〔2019〕18号)、关于印发节能产品政府采购品目清单的通知(财库〔2019〕19号)的有关规定，依据品目清单和认证证书实施政府采购优先采购和强制采购。</w:t>
      </w:r>
      <w:r>
        <w:rPr>
          <w:rFonts w:hint="eastAsia" w:hAnsi="宋体" w:cs="宋体"/>
          <w:color w:val="auto"/>
          <w:sz w:val="24"/>
          <w:szCs w:val="24"/>
          <w:highlight w:val="none"/>
          <w:lang w:eastAsia="zh-CN"/>
        </w:rPr>
        <w:t>采购人</w:t>
      </w:r>
      <w:r>
        <w:rPr>
          <w:rFonts w:hint="eastAsia" w:ascii="宋体" w:hAnsi="宋体" w:eastAsia="宋体" w:cs="宋体"/>
          <w:color w:val="auto"/>
          <w:sz w:val="24"/>
          <w:szCs w:val="24"/>
          <w:highlight w:val="none"/>
        </w:rPr>
        <w:t>拟采购的产品属于品目清单范围的，</w:t>
      </w:r>
      <w:r>
        <w:rPr>
          <w:rFonts w:hint="eastAsia" w:hAnsi="宋体" w:cs="宋体"/>
          <w:color w:val="auto"/>
          <w:sz w:val="24"/>
          <w:szCs w:val="24"/>
          <w:highlight w:val="none"/>
          <w:lang w:eastAsia="zh-CN"/>
        </w:rPr>
        <w:t>采购人</w:t>
      </w:r>
      <w:r>
        <w:rPr>
          <w:rFonts w:hint="eastAsia" w:ascii="宋体" w:hAnsi="宋体" w:eastAsia="宋体" w:cs="宋体"/>
          <w:color w:val="auto"/>
          <w:sz w:val="24"/>
          <w:szCs w:val="24"/>
          <w:highlight w:val="none"/>
        </w:rPr>
        <w:t>及其委托的招标代理机构应当依据国家确定的认证机构出具的、处于有效期之内的节能产品、环境标志产品认证证书，对获得证书的产品实施政府优先采购或强制采购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应提</w:t>
      </w:r>
      <w:r>
        <w:rPr>
          <w:rFonts w:hint="eastAsia" w:ascii="宋体" w:hAnsi="宋体" w:eastAsia="宋体" w:cs="宋体"/>
          <w:color w:val="auto"/>
          <w:sz w:val="24"/>
          <w:szCs w:val="24"/>
          <w:highlight w:val="none"/>
        </w:rPr>
        <w:t>供所投产品经国家确定的认证机构出具的、处于有效期之内的节能产品、环境标志产品认证证书复印件</w:t>
      </w:r>
      <w:r>
        <w:rPr>
          <w:rFonts w:hint="eastAsia" w:ascii="宋体" w:hAnsi="宋体" w:eastAsia="宋体" w:cs="宋体"/>
          <w:color w:val="auto"/>
          <w:sz w:val="24"/>
          <w:szCs w:val="24"/>
          <w:highlight w:val="none"/>
          <w:lang w:val="en-US" w:eastAsia="zh-CN"/>
        </w:rPr>
        <w:t>予以证明。</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若节能、环保、环境标志清单内的产品仅是构成所投产品的部件、组件或零件的，则该所投产品不享受鼓励优惠政策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小微企业可重复享受小微企业及节能产品、环境标志产品政策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同一项目中部分产品属于优先采购政策的，评审时只对该部分产品实行优先采购。</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、供应商按《工业和信息化部、国家统计局、国家发展和改革委员会、财政部关于印发中小企业划型标准规定的通知》规定划分标准，属于中小企业的，可享受支持中小型企业发展优惠政策。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于经主管预算单位统筹后未预留份额专门面向中小企业采购的采购项目，以及预留份额项目中的非预留部分采购包按照《陕西省财政厅关于进一步加大政府采购支持中小企业力度的通知》陕财办采【2022】5号文件的要求，对符合要求的</w:t>
      </w:r>
      <w:r>
        <w:rPr>
          <w:rFonts w:hint="eastAsia" w:ascii="宋体" w:hAnsi="宋体" w:eastAsia="宋体" w:cs="宋体"/>
          <w:color w:val="auto"/>
          <w:sz w:val="24"/>
          <w:szCs w:val="24"/>
          <w:highlight w:val="none"/>
          <w:lang w:eastAsia="zh-CN"/>
        </w:rPr>
        <w:t>小型和微型企业的</w:t>
      </w:r>
      <w:r>
        <w:rPr>
          <w:rFonts w:hint="eastAsia" w:ascii="宋体" w:hAnsi="宋体" w:eastAsia="宋体" w:cs="宋体"/>
          <w:color w:val="auto"/>
          <w:sz w:val="24"/>
          <w:szCs w:val="24"/>
          <w:highlight w:val="none"/>
          <w:lang w:val="en-US" w:eastAsia="zh-CN"/>
        </w:rPr>
        <w:t>报价，货物服务采购项目</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w:t>
      </w:r>
      <w:r>
        <w:rPr>
          <w:rFonts w:hint="eastAsia" w:ascii="宋体" w:hAnsi="宋体" w:eastAsia="宋体" w:cs="宋体"/>
          <w:color w:val="auto"/>
          <w:sz w:val="24"/>
          <w:szCs w:val="24"/>
          <w:highlight w:val="none"/>
          <w:lang w:val="en-US" w:eastAsia="zh-CN"/>
        </w:rPr>
        <w:t>政府采购工程项目</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、联合体共同参加非专门面向中小企业的政府采购活动，联合协议中约定，小型和微型企业的协议合同金额占到联合体协议合同金额的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0%以上的，可给予联合体</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%的价格扣除，用扣除后的价格参与评审。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、参加本项目的</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小企业须提供《中小企业声明函》（</w:t>
      </w:r>
      <w:r>
        <w:rPr>
          <w:rFonts w:hint="eastAsia" w:hAnsi="宋体" w:cs="宋体"/>
          <w:color w:val="auto"/>
          <w:sz w:val="24"/>
          <w:szCs w:val="24"/>
          <w:highlight w:val="none"/>
          <w:lang w:val="en-US" w:eastAsia="zh-CN"/>
        </w:rPr>
        <w:t>格式5</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小企业按《政府采购促进中小企业发展管理办法》（财库〔2020〕46号）文件规定标准确认。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在政府采购活动中，供应商提供的货物、工程或者服务符合下列情形的，享受《办法》规定的中小企业扶持政策：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①在货物采购项目中，货物由中小企业制造，即货物由中小企业生产且使用该中小企业商号或者注册商标；</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②在工程采购项目中，工程由中小企业承建，即工程施工单位为中小企业；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③在服务采购项目中，服务由中小企业承接，即提供服务的人员为中小企业依照《中华人民共和国劳动合同法》订立劳动合同的从业人员。</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在货物采购项目中，供应商提供的货物既有中小企业制造货物，也有大型企业制造货物的，不享受《办法》规定的中小企业扶持政策。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依据《办法》规定享受扶持政策获得政府采购合同的，小微企业不得将合同分包给大中型企业，中型企业不得将合同分包给大型企业。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3、监狱企业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监狱企业按《财政部司法部关于政府采购支持监狱企业发展有关问题的通知》（财库〔2014〕68号）文件规定执行。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rPr>
        <w:t>监狱企业声明函</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格式6</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应当</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提供由省级以上监狱管理局、戒毒管理局（含新疆生产建设兵团）出具的属于监狱企业的证明文件。</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对于经主管预算单位统筹后未预留份额专门面向中小企业采购的采购项目，以及预留份额项目中的非预留部分采购包，对</w:t>
      </w:r>
      <w:r>
        <w:rPr>
          <w:rFonts w:hint="eastAsia" w:ascii="宋体" w:hAnsi="宋体" w:eastAsia="宋体" w:cs="宋体"/>
          <w:color w:val="auto"/>
          <w:sz w:val="24"/>
          <w:szCs w:val="24"/>
          <w:highlight w:val="none"/>
          <w:lang w:val="en-US" w:eastAsia="zh-CN"/>
        </w:rPr>
        <w:t>符合要求的</w:t>
      </w:r>
      <w:r>
        <w:rPr>
          <w:rFonts w:hint="eastAsia" w:ascii="宋体" w:hAnsi="宋体" w:eastAsia="宋体" w:cs="宋体"/>
          <w:color w:val="auto"/>
          <w:sz w:val="24"/>
          <w:szCs w:val="24"/>
          <w:highlight w:val="none"/>
        </w:rPr>
        <w:t>监狱企业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视同为小型和微型企业，在货物服务采购项目中</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w:t>
      </w:r>
      <w:r>
        <w:rPr>
          <w:rFonts w:hint="eastAsia" w:ascii="宋体" w:hAnsi="宋体" w:eastAsia="宋体" w:cs="宋体"/>
          <w:color w:val="auto"/>
          <w:sz w:val="24"/>
          <w:szCs w:val="24"/>
          <w:highlight w:val="none"/>
          <w:lang w:val="en-US" w:eastAsia="zh-CN"/>
        </w:rPr>
        <w:t>在政府采购工程项目中</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4、残疾人福利性单位</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4-1、残疾人福利性单位按照财政部、民政部、中国残疾人联合会下发的《关于促进残疾人就业政府采购政策的通知》（财库〔2017〕141号）的文件规定执行。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4-2、参加政府采购的残疾人福利单位须提供《残疾人福利性单位声明函》（</w:t>
      </w:r>
      <w:r>
        <w:rPr>
          <w:rFonts w:hint="eastAsia" w:hAnsi="宋体" w:cs="宋体"/>
          <w:color w:val="auto"/>
          <w:sz w:val="24"/>
          <w:szCs w:val="24"/>
          <w:highlight w:val="none"/>
          <w:lang w:val="en-US" w:eastAsia="zh-CN"/>
        </w:rPr>
        <w:t>格式7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残疾人福利性质单位。</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4-3、对于经主管预算单位统筹后未预留份额专门面向中小企业采购的采购项目，以及预留份额项目中的非预留部分采购包，对符合要求的残疾人福利性单位视同为小型和微型企业，在货物服务采购项目中</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w:t>
      </w:r>
      <w:r>
        <w:rPr>
          <w:rFonts w:hint="eastAsia" w:ascii="宋体" w:hAnsi="宋体" w:eastAsia="宋体" w:cs="宋体"/>
          <w:color w:val="auto"/>
          <w:sz w:val="24"/>
          <w:szCs w:val="24"/>
          <w:highlight w:val="none"/>
          <w:lang w:val="en-US" w:eastAsia="zh-CN"/>
        </w:rPr>
        <w:t>在政府采购工程项目中</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扣除，用扣除后的价格参与评审，</w:t>
      </w:r>
      <w:r>
        <w:rPr>
          <w:rFonts w:hint="eastAsia" w:ascii="宋体" w:hAnsi="宋体" w:eastAsia="宋体" w:cs="宋体"/>
          <w:color w:val="auto"/>
          <w:sz w:val="24"/>
          <w:szCs w:val="24"/>
          <w:highlight w:val="none"/>
          <w:lang w:val="en-US" w:eastAsia="zh-CN"/>
        </w:rPr>
        <w:t>残疾人福利性单位属于小型、微型企业的，不重复享受政策。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财政部农业农村部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农业农村部国家乡村振兴局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7、信用担保及融资</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为支持和促进中小企业发展，进一步发挥政府采购政策功能作用，有效缓解中小企业融资难等问题，根据陕西省财政局关于印发《陕西省中小企业政府采购信用融资办法》（陕财办采〔2018〕23号）、《陕西省财政局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十二</w:t>
      </w:r>
      <w:r>
        <w:rPr>
          <w:rFonts w:hint="eastAsia" w:ascii="宋体" w:hAnsi="宋体" w:eastAsia="宋体" w:cs="宋体"/>
          <w:b/>
          <w:sz w:val="24"/>
          <w:highlight w:val="none"/>
        </w:rPr>
        <w:t>、成交通知</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结果公示发出的同时，采购代理机构向成交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发出成交通知书。</w:t>
      </w:r>
    </w:p>
    <w:p>
      <w:pPr>
        <w:keepNext w:val="0"/>
        <w:keepLines w:val="0"/>
        <w:pageBreakBefore w:val="0"/>
        <w:widowControl w:val="0"/>
        <w:tabs>
          <w:tab w:val="left" w:pos="270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2、成交供应商应在接到采购代理机构通知之日起七日内领取成交通知书。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1"/>
        <w:rPr>
          <w:rFonts w:hint="eastAsia" w:ascii="宋体" w:hAnsi="宋体" w:eastAsia="宋体" w:cs="宋体"/>
          <w:sz w:val="24"/>
          <w:highlight w:val="none"/>
        </w:rPr>
      </w:pPr>
      <w:r>
        <w:rPr>
          <w:rFonts w:hint="eastAsia" w:ascii="宋体" w:hAnsi="宋体" w:eastAsia="宋体" w:cs="宋体"/>
          <w:b/>
          <w:sz w:val="24"/>
          <w:highlight w:val="none"/>
          <w:lang w:val="en-US" w:eastAsia="zh-CN"/>
        </w:rPr>
        <w:t>十三</w:t>
      </w:r>
      <w:r>
        <w:rPr>
          <w:rFonts w:hint="eastAsia" w:ascii="宋体" w:hAnsi="宋体" w:eastAsia="宋体" w:cs="宋体"/>
          <w:b/>
          <w:sz w:val="24"/>
          <w:highlight w:val="none"/>
        </w:rPr>
        <w:t>、合同授予</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根据《</w:t>
      </w:r>
      <w:r>
        <w:rPr>
          <w:rFonts w:hint="eastAsia" w:ascii="宋体" w:hAnsi="宋体" w:eastAsia="宋体" w:cs="宋体"/>
          <w:sz w:val="24"/>
          <w:highlight w:val="none"/>
        </w:rPr>
        <w:t>陕西省财政厅关于进一步优化政府采购营商环境有关事项的通知</w:t>
      </w:r>
      <w:r>
        <w:rPr>
          <w:rFonts w:hint="eastAsia" w:ascii="宋体" w:hAnsi="宋体" w:eastAsia="宋体" w:cs="宋体"/>
          <w:sz w:val="24"/>
          <w:highlight w:val="none"/>
          <w:lang w:eastAsia="zh-CN"/>
        </w:rPr>
        <w:t>》（陕财办采〔2023〕4号）的规定，</w:t>
      </w:r>
      <w:r>
        <w:rPr>
          <w:rFonts w:hint="eastAsia" w:ascii="宋体" w:hAnsi="宋体" w:eastAsia="宋体" w:cs="宋体"/>
          <w:sz w:val="24"/>
          <w:highlight w:val="none"/>
        </w:rPr>
        <w:t>成交供应商在收到成交通知书后</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日历日内，应按磋商文件的要求与采购人签订合同。成交供应商因自身原因不按规定与采购人签订合同，则采购人将废除授标,给采购人造成损失的，还应当予以赔偿，并依法承担相应法律责任；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成交供应商不得参加对该项目重新开展的采购活</w:t>
      </w:r>
      <w:r>
        <w:rPr>
          <w:rFonts w:hint="eastAsia" w:ascii="宋体" w:hAnsi="宋体" w:eastAsia="宋体" w:cs="宋体"/>
          <w:sz w:val="24"/>
          <w:highlight w:val="none"/>
          <w:lang w:val="en-US" w:eastAsia="zh-CN"/>
        </w:rPr>
        <w:t>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b/>
          <w:sz w:val="24"/>
          <w:highlight w:val="none"/>
        </w:rPr>
      </w:pPr>
      <w:r>
        <w:rPr>
          <w:rFonts w:hint="eastAsia" w:ascii="宋体" w:hAnsi="宋体" w:eastAsia="宋体" w:cs="宋体"/>
          <w:sz w:val="24"/>
          <w:highlight w:val="none"/>
        </w:rPr>
        <w:t>3、成交通知书将是合同的重要组成部分。磋商文件、成交供应商的磋商响应文件及评</w:t>
      </w:r>
      <w:r>
        <w:rPr>
          <w:rFonts w:hint="eastAsia" w:ascii="宋体" w:hAnsi="宋体" w:eastAsia="宋体" w:cs="宋体"/>
          <w:sz w:val="24"/>
          <w:highlight w:val="none"/>
          <w:lang w:val="en-US" w:eastAsia="zh-CN"/>
        </w:rPr>
        <w:t>审</w:t>
      </w:r>
      <w:r>
        <w:rPr>
          <w:rFonts w:hint="eastAsia" w:ascii="宋体" w:hAnsi="宋体" w:eastAsia="宋体" w:cs="宋体"/>
          <w:sz w:val="24"/>
          <w:highlight w:val="none"/>
        </w:rPr>
        <w:t>过程中有关的澄清文件均作为合同附件。</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4、成交后，成交供应商应按照合同约定履行义务，完成项目的</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5、采购人需追加与合同标的相同的货物、工程或服务的，在不改变合同其他条款的前提下，可以与供应商协商签订补充合同，但所有补充合同的采购金额不得超过原合同采购金额的百分之十</w:t>
      </w:r>
      <w:r>
        <w:rPr>
          <w:rFonts w:hint="eastAsia" w:ascii="宋体" w:hAnsi="宋体" w:eastAsia="宋体" w:cs="宋体"/>
          <w:sz w:val="24"/>
          <w:highlight w:val="none"/>
          <w:lang w:eastAsia="zh-CN"/>
        </w:rPr>
        <w:t>，</w:t>
      </w:r>
      <w:r>
        <w:rPr>
          <w:rFonts w:hint="eastAsia" w:ascii="宋体" w:hAnsi="宋体" w:cs="宋体"/>
          <w:sz w:val="24"/>
          <w:highlight w:val="none"/>
          <w:lang w:eastAsia="zh-TW"/>
        </w:rPr>
        <w:t>签订补充合同的</w:t>
      </w:r>
      <w:r>
        <w:rPr>
          <w:rFonts w:hint="eastAsia" w:ascii="宋体" w:hAnsi="宋体" w:cs="宋体"/>
          <w:sz w:val="24"/>
          <w:highlight w:val="none"/>
        </w:rPr>
        <w:t>应</w:t>
      </w:r>
      <w:r>
        <w:rPr>
          <w:rFonts w:hint="eastAsia" w:ascii="宋体" w:hAnsi="宋体" w:cs="宋体"/>
          <w:sz w:val="24"/>
          <w:highlight w:val="none"/>
          <w:lang w:eastAsia="zh-TW"/>
        </w:rPr>
        <w:t>按规定备案。</w:t>
      </w:r>
    </w:p>
    <w:p>
      <w:pPr>
        <w:keepNext w:val="0"/>
        <w:keepLines w:val="0"/>
        <w:pageBreakBefore w:val="0"/>
        <w:widowControl w:val="0"/>
        <w:kinsoku/>
        <w:wordWrap/>
        <w:overflowPunct/>
        <w:topLinePunct w:val="0"/>
        <w:autoSpaceDE/>
        <w:autoSpaceDN/>
        <w:bidi w:val="0"/>
        <w:spacing w:line="360" w:lineRule="auto"/>
        <w:ind w:left="0" w:leftChars="0"/>
        <w:jc w:val="left"/>
        <w:textAlignment w:val="auto"/>
        <w:outlineLvl w:val="1"/>
        <w:rPr>
          <w:rFonts w:hint="eastAsia" w:ascii="宋体" w:hAnsi="宋体" w:eastAsia="宋体" w:cs="宋体"/>
          <w:sz w:val="24"/>
          <w:highlight w:val="none"/>
        </w:rPr>
      </w:pPr>
      <w:r>
        <w:rPr>
          <w:rFonts w:hint="eastAsia" w:ascii="宋体" w:hAnsi="宋体" w:eastAsia="宋体" w:cs="宋体"/>
          <w:b/>
          <w:sz w:val="24"/>
          <w:highlight w:val="none"/>
          <w:lang w:val="en-US" w:eastAsia="zh-CN"/>
        </w:rPr>
        <w:t>十四</w:t>
      </w:r>
      <w:r>
        <w:rPr>
          <w:rFonts w:hint="eastAsia" w:ascii="宋体" w:hAnsi="宋体" w:eastAsia="宋体" w:cs="宋体"/>
          <w:b/>
          <w:sz w:val="24"/>
          <w:highlight w:val="none"/>
        </w:rPr>
        <w:t>、</w:t>
      </w:r>
      <w:r>
        <w:rPr>
          <w:rFonts w:hint="eastAsia" w:ascii="宋体" w:hAnsi="宋体" w:eastAsia="宋体" w:cs="宋体"/>
          <w:b/>
          <w:sz w:val="24"/>
          <w:highlight w:val="none"/>
          <w:lang w:eastAsia="zh-CN"/>
        </w:rPr>
        <w:t>代理</w:t>
      </w:r>
      <w:r>
        <w:rPr>
          <w:rFonts w:hint="eastAsia" w:ascii="宋体" w:hAnsi="宋体" w:eastAsia="宋体" w:cs="宋体"/>
          <w:b/>
          <w:sz w:val="24"/>
          <w:highlight w:val="none"/>
        </w:rPr>
        <w:t>服务费</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1、成交供应商</w:t>
      </w:r>
      <w:r>
        <w:rPr>
          <w:rFonts w:hint="eastAsia" w:ascii="宋体" w:hAnsi="宋体" w:cs="宋体"/>
          <w:sz w:val="24"/>
          <w:highlight w:val="none"/>
        </w:rPr>
        <w:t>在领取《</w:t>
      </w:r>
      <w:r>
        <w:rPr>
          <w:rFonts w:hint="eastAsia" w:ascii="宋体" w:hAnsi="宋体" w:cs="宋体"/>
          <w:sz w:val="24"/>
          <w:highlight w:val="none"/>
          <w:lang w:val="en-US" w:eastAsia="zh-CN"/>
        </w:rPr>
        <w:t>成交</w:t>
      </w:r>
      <w:r>
        <w:rPr>
          <w:rFonts w:hint="eastAsia" w:ascii="宋体" w:hAnsi="宋体" w:cs="宋体"/>
          <w:sz w:val="24"/>
          <w:highlight w:val="none"/>
        </w:rPr>
        <w:t>通知书》之前，应向采购代理机构交纳代理服务费。</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2、成交供应商</w:t>
      </w:r>
      <w:r>
        <w:rPr>
          <w:rFonts w:hint="eastAsia" w:ascii="宋体" w:hAnsi="宋体" w:cs="宋体"/>
          <w:sz w:val="24"/>
          <w:highlight w:val="none"/>
        </w:rPr>
        <w:t>在领取</w:t>
      </w:r>
      <w:r>
        <w:rPr>
          <w:rFonts w:hint="eastAsia" w:ascii="宋体" w:hAnsi="宋体" w:cs="宋体"/>
          <w:sz w:val="24"/>
          <w:highlight w:val="none"/>
          <w:lang w:val="en-US" w:eastAsia="zh-CN"/>
        </w:rPr>
        <w:t>成交</w:t>
      </w:r>
      <w:r>
        <w:rPr>
          <w:rFonts w:hint="eastAsia" w:ascii="宋体" w:hAnsi="宋体" w:cs="宋体"/>
          <w:sz w:val="24"/>
          <w:highlight w:val="none"/>
        </w:rPr>
        <w:t>通知书前，须向采购代理机构支付代理服务费，</w:t>
      </w:r>
      <w:r>
        <w:rPr>
          <w:rFonts w:hint="eastAsia" w:ascii="宋体" w:hAnsi="宋体" w:cs="宋体"/>
          <w:sz w:val="24"/>
          <w:highlight w:val="none"/>
          <w:lang w:val="en-US" w:eastAsia="zh-CN"/>
        </w:rPr>
        <w:t>采购人、</w:t>
      </w:r>
      <w:r>
        <w:rPr>
          <w:rFonts w:hint="eastAsia" w:ascii="宋体" w:hAnsi="宋体" w:cs="宋体"/>
          <w:sz w:val="24"/>
          <w:highlight w:val="none"/>
        </w:rPr>
        <w:t>代理服务费参照《国家计委关于印发招标代理服务收费管理暂行办法的通知》（计价格【2002】1980号）和国家发改委办公厅颁发的《关于招标代理服务收费有关问题的通知》（发改办价格【2003】857号）文件规定标准收取。</w:t>
      </w:r>
    </w:p>
    <w:p>
      <w:pPr>
        <w:widowControl/>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本项目服务期为3年，代理服务费按3年总金额计算收取</w:t>
      </w:r>
      <w:r>
        <w:rPr>
          <w:rFonts w:hint="eastAsia" w:ascii="宋体" w:hAnsi="宋体" w:cs="宋体"/>
          <w:sz w:val="24"/>
          <w:highlight w:val="none"/>
          <w:lang w:eastAsia="zh-CN"/>
        </w:rPr>
        <w:t>，成交供应商</w:t>
      </w:r>
      <w:r>
        <w:rPr>
          <w:rFonts w:hint="eastAsia" w:ascii="宋体" w:hAnsi="宋体" w:cs="宋体"/>
          <w:sz w:val="24"/>
          <w:highlight w:val="none"/>
          <w:lang w:val="zh-CN"/>
        </w:rPr>
        <w:t>在领取</w:t>
      </w:r>
      <w:r>
        <w:rPr>
          <w:rFonts w:hint="eastAsia" w:ascii="宋体" w:hAnsi="宋体" w:cs="宋体"/>
          <w:sz w:val="24"/>
          <w:highlight w:val="none"/>
        </w:rPr>
        <w:t>成交</w:t>
      </w:r>
      <w:r>
        <w:rPr>
          <w:rFonts w:hint="eastAsia" w:ascii="宋体" w:hAnsi="宋体" w:cs="宋体"/>
          <w:sz w:val="24"/>
          <w:highlight w:val="none"/>
          <w:lang w:val="zh-CN"/>
        </w:rPr>
        <w:t>通知书前向采购代理机构一次性支付；</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代理服务费，可以采取支票、银行汇票、电汇、网银等方式缴纳。</w:t>
      </w:r>
    </w:p>
    <w:p>
      <w:pPr>
        <w:keepNext w:val="0"/>
        <w:keepLines w:val="0"/>
        <w:pageBreakBefore w:val="0"/>
        <w:widowControl w:val="0"/>
        <w:kinsoku/>
        <w:wordWrap/>
        <w:overflowPunct/>
        <w:topLinePunct w:val="0"/>
        <w:autoSpaceDE/>
        <w:autoSpaceDN/>
        <w:bidi w:val="0"/>
        <w:spacing w:line="360" w:lineRule="auto"/>
        <w:ind w:left="0" w:leftChars="0"/>
        <w:jc w:val="left"/>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十五</w:t>
      </w:r>
      <w:r>
        <w:rPr>
          <w:rFonts w:hint="eastAsia" w:ascii="宋体" w:hAnsi="宋体" w:eastAsia="宋体" w:cs="宋体"/>
          <w:b/>
          <w:sz w:val="24"/>
          <w:highlight w:val="none"/>
        </w:rPr>
        <w:t>、变更采购方式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如果发生下列情况之一的，采购人或采购代理机构将按《</w:t>
      </w:r>
      <w:r>
        <w:rPr>
          <w:rFonts w:hint="eastAsia" w:ascii="宋体" w:hAnsi="宋体" w:eastAsia="宋体" w:cs="宋体"/>
          <w:sz w:val="24"/>
          <w:highlight w:val="none"/>
          <w:lang w:val="en-US" w:eastAsia="zh-CN"/>
        </w:rPr>
        <w:t>中华人民共和国</w:t>
      </w:r>
      <w:r>
        <w:rPr>
          <w:rFonts w:hint="eastAsia" w:ascii="宋体" w:hAnsi="宋体" w:eastAsia="宋体" w:cs="宋体"/>
          <w:sz w:val="24"/>
          <w:highlight w:val="none"/>
        </w:rPr>
        <w:t>政府采购法》、《政府采购竞争性磋商采购方式管理暂行办法》等有关规定重新组织采购（或继续进行）：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1、因情况变化，不再符合规定的磋商采购方式适用情形的；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3、磋商小组三分之二以上的专家认定所有磋商报价存在价格不实的现象；</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4、在采购过程中符合竞争要求的供应商或者报价未超过采购预算的供应商不足三家的。</w:t>
      </w:r>
    </w:p>
    <w:p>
      <w:pPr>
        <w:keepNext w:val="0"/>
        <w:keepLines w:val="0"/>
        <w:pageBreakBefore w:val="0"/>
        <w:widowControl w:val="0"/>
        <w:kinsoku/>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六</w:t>
      </w:r>
      <w:r>
        <w:rPr>
          <w:rFonts w:hint="eastAsia" w:ascii="宋体" w:hAnsi="宋体" w:eastAsia="宋体" w:cs="宋体"/>
          <w:b/>
          <w:sz w:val="24"/>
          <w:highlight w:val="none"/>
        </w:rPr>
        <w:t>、质疑与投诉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1-1、供应商</w:t>
      </w:r>
      <w:r>
        <w:rPr>
          <w:rFonts w:hint="eastAsia" w:ascii="宋体" w:hAnsi="宋体" w:eastAsia="宋体" w:cs="宋体"/>
          <w:sz w:val="24"/>
          <w:szCs w:val="24"/>
          <w:highlight w:val="none"/>
        </w:rPr>
        <w:t>对本次招标采购活动有疑问的，按照国家《中华人民共和国政府采购法》、《中华人民共和国政府采购法实施条例》及《政府采购质疑和投诉办法》（财政部94号令）的规定办理。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1-2、供应商</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、采购过程或中标结果使自身的合法权益受到损害，应当在法定期限内，按照质疑函范本格式要求以书面形式向采购代理机构提出质疑。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质疑书应当包括以下主要内容：被质疑项目、项目编号、</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获取日期、质疑事项、证据及来源线索、法律依据（具体条款）、招标采购活动中自己权益受到侵害的实质内容、质疑人有效联系方式等。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质疑书应当由法定代表人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或授权代表签字或盖章，并加盖单位公章，公章不得以合同章或其他印章代替，并附法定代表人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质疑人可以</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质疑函范本格式在中国政府采购网站（http://www.ccgp.gov.cn/）自行下载。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接收质疑函的联系部门、联系电话和通讯地址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联系单位：陕西金准达项目管理有限责任公司；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联系人：王工   联系电话：029-89555599；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通讯地址：陕西省西安市高新区科技五路3号橡树星座B座902室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1）质疑人不是参与本次政府采购项目的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2）质疑人与质疑事项不存在利害关系的；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3）未在法定期限内提出质疑的；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4）质疑未以书面形式提出，以传真、电子邮件、移动通信等形式即时收悉提交的质疑材料；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5）质疑未按质疑函范本格式提出的；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6）质疑书主要内容构成不完整的；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8）以非法手段取得证据、材料的；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采购代理机构或采购人将在收到书面质疑后7个工作日内做出答复，并以书面形式通知质疑人和其他有关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和其他厉害关系人认为本次招标采购活动违反法律、法规和规章规定的，有权向有关行政监督机构投诉。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2-2、供应商</w:t>
      </w:r>
      <w:r>
        <w:rPr>
          <w:rFonts w:hint="eastAsia" w:ascii="宋体" w:hAnsi="宋体" w:eastAsia="宋体" w:cs="宋体"/>
          <w:sz w:val="24"/>
          <w:szCs w:val="24"/>
          <w:highlight w:val="none"/>
        </w:rPr>
        <w:t>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投诉书范本格式在中国政府采购网站（http://www.ccgp.gov.cn/）自行下载。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对捏造事实、提供虚假材料进行质疑、投诉的行为予以严肃处理：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依据《中华人民共和国政府采购法》及其实施条例、《中华人民共和国招标投标法》及其实施条例、《政府采购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投诉处理办法》等法律法规的规定，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质疑、投诉应当有明确的请求和必要的证明材料。对于捏造事实、提供虚假材料或者以非法手段取得证明材料进行投诉的，财政部门应当予以驳回。</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捏造事实、提供虚假材料或者以非法手段取得证明材料进行投诉的，由财政部门列入不良行为记录名单，禁止其一至三年内参加政府采购活动。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对捏造事实诬告陷害他人、诽谤他人的法律适用：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《中华人民共和国刑法》第246条【侮辱罪、诽谤罪】以暴力或者其他方法公然侮辱他人或者捏造事实诽谤他人，情节严重的，处三年以下有期徒刑、拘役、管制或者剥夺政治权利</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spacing w:line="360" w:lineRule="auto"/>
        <w:ind w:left="0" w:leftChars="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十</w:t>
      </w:r>
      <w:r>
        <w:rPr>
          <w:rFonts w:hint="eastAsia" w:ascii="宋体" w:hAnsi="宋体" w:eastAsia="宋体" w:cs="宋体"/>
          <w:b/>
          <w:bCs/>
          <w:sz w:val="24"/>
          <w:highlight w:val="none"/>
          <w:lang w:val="en-US" w:eastAsia="zh-CN"/>
        </w:rPr>
        <w:t>七</w:t>
      </w:r>
      <w:r>
        <w:rPr>
          <w:rFonts w:hint="eastAsia" w:ascii="宋体" w:hAnsi="宋体" w:eastAsia="宋体" w:cs="宋体"/>
          <w:b/>
          <w:bCs/>
          <w:sz w:val="24"/>
          <w:highlight w:val="none"/>
        </w:rPr>
        <w:t>、拒绝商业贿赂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1、遵照陕西省财政厅的规定，采购人、采购代理机构、供应商和评审专家在采购活动中，都要签订相应的《拒绝政府采购领域商业贿赂承诺书》，并对违反承诺的行为承担全部责任。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w:t>
      </w:r>
      <w:r>
        <w:rPr>
          <w:rFonts w:hint="eastAsia" w:ascii="宋体" w:hAnsi="宋体" w:eastAsia="宋体" w:cs="宋体"/>
          <w:sz w:val="24"/>
          <w:highlight w:val="none"/>
          <w:lang w:val="en-US" w:eastAsia="zh-CN"/>
        </w:rPr>
        <w:t>按照磋商响应文件</w:t>
      </w:r>
      <w:r>
        <w:rPr>
          <w:rFonts w:hint="eastAsia" w:ascii="宋体" w:hAnsi="宋体" w:eastAsia="宋体" w:cs="宋体"/>
          <w:sz w:val="24"/>
          <w:highlight w:val="none"/>
        </w:rPr>
        <w:t>《拒绝政府采购领域商业贿赂承诺书》（附件）</w:t>
      </w:r>
      <w:r>
        <w:rPr>
          <w:rFonts w:hint="eastAsia" w:ascii="宋体" w:hAnsi="宋体" w:eastAsia="宋体" w:cs="宋体"/>
          <w:sz w:val="24"/>
          <w:highlight w:val="none"/>
          <w:lang w:val="en-US" w:eastAsia="zh-CN"/>
        </w:rPr>
        <w:t>格式填写</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ascii="宋体" w:hAnsi="宋体" w:eastAsia="宋体" w:cs="宋体"/>
          <w:b/>
          <w:bCs/>
          <w:sz w:val="44"/>
          <w:szCs w:val="44"/>
          <w:highlight w:val="none"/>
        </w:rPr>
      </w:pPr>
      <w:bookmarkStart w:id="12" w:name="_Toc8871"/>
      <w:bookmarkStart w:id="13" w:name="_Toc22311"/>
      <w:bookmarkStart w:id="14" w:name="_Toc11545"/>
      <w:bookmarkStart w:id="15" w:name="_Toc22406"/>
      <w:bookmarkStart w:id="16" w:name="_Toc23513"/>
      <w:r>
        <w:rPr>
          <w:rFonts w:hint="eastAsia" w:ascii="宋体" w:hAnsi="宋体" w:eastAsia="宋体" w:cs="宋体"/>
          <w:b/>
          <w:bCs/>
          <w:sz w:val="44"/>
          <w:szCs w:val="44"/>
          <w:highlight w:val="none"/>
        </w:rPr>
        <w:t>第三部分</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lang w:eastAsia="zh-CN"/>
        </w:rPr>
        <w:t>评审</w:t>
      </w:r>
      <w:r>
        <w:rPr>
          <w:rFonts w:hint="eastAsia" w:ascii="宋体" w:hAnsi="宋体" w:eastAsia="宋体" w:cs="宋体"/>
          <w:b/>
          <w:bCs/>
          <w:sz w:val="44"/>
          <w:szCs w:val="44"/>
          <w:highlight w:val="none"/>
        </w:rPr>
        <w:t>办法</w:t>
      </w:r>
      <w:bookmarkEnd w:id="12"/>
      <w:bookmarkEnd w:id="13"/>
      <w:bookmarkEnd w:id="14"/>
      <w:bookmarkEnd w:id="15"/>
      <w:bookmarkEnd w:id="16"/>
    </w:p>
    <w:p>
      <w:pPr>
        <w:keepNext w:val="0"/>
        <w:keepLines w:val="0"/>
        <w:pageBreakBefore w:val="0"/>
        <w:widowControl w:val="0"/>
        <w:tabs>
          <w:tab w:val="left" w:pos="1575"/>
        </w:tabs>
        <w:kinsoku/>
        <w:wordWrap/>
        <w:overflowPunct/>
        <w:topLinePunct w:val="0"/>
        <w:autoSpaceDE/>
        <w:autoSpaceDN/>
        <w:bidi w:val="0"/>
        <w:snapToGrid/>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本次磋商采用综合评分法进行评审。</w:t>
      </w:r>
    </w:p>
    <w:p>
      <w:pPr>
        <w:keepNext w:val="0"/>
        <w:keepLines w:val="0"/>
        <w:pageBreakBefore w:val="0"/>
        <w:widowControl w:val="0"/>
        <w:tabs>
          <w:tab w:val="left" w:pos="1575"/>
        </w:tabs>
        <w:kinsoku/>
        <w:wordWrap/>
        <w:overflowPunct/>
        <w:topLinePunct w:val="0"/>
        <w:autoSpaceDE/>
        <w:autoSpaceDN/>
        <w:bidi w:val="0"/>
        <w:snapToGrid/>
        <w:spacing w:line="360" w:lineRule="auto"/>
        <w:ind w:right="0" w:rightChars="0"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7" w:name="_Toc1942"/>
      <w:bookmarkStart w:id="18" w:name="_Toc24166"/>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磋商小组</w:t>
      </w:r>
      <w:bookmarkEnd w:id="17"/>
      <w:bookmarkEnd w:id="18"/>
    </w:p>
    <w:p>
      <w:pPr>
        <w:pStyle w:val="29"/>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根据有关法律法规</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相关规定</w:t>
      </w:r>
      <w:r>
        <w:rPr>
          <w:rFonts w:hint="eastAsia" w:ascii="宋体" w:hAnsi="宋体" w:eastAsia="宋体" w:cs="宋体"/>
          <w:color w:val="000000" w:themeColor="text1"/>
          <w:kern w:val="2"/>
          <w:sz w:val="24"/>
          <w:szCs w:val="24"/>
          <w:highlight w:val="none"/>
          <w14:textFill>
            <w14:solidFill>
              <w14:schemeClr w14:val="tx1"/>
            </w14:solidFill>
          </w14:textFill>
        </w:rPr>
        <w:t>和本磋商文件的规定，结合本磋商项目的特点组建磋商小组，对具备实质性响应的</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kern w:val="2"/>
          <w:sz w:val="24"/>
          <w:szCs w:val="24"/>
          <w:highlight w:val="none"/>
          <w14:textFill>
            <w14:solidFill>
              <w14:schemeClr w14:val="tx1"/>
            </w14:solidFill>
          </w14:textFill>
        </w:rPr>
        <w:t>进行评估和比较。磋商小组由三人</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kern w:val="2"/>
          <w:sz w:val="24"/>
          <w:szCs w:val="24"/>
          <w:highlight w:val="none"/>
          <w14:textFill>
            <w14:solidFill>
              <w14:schemeClr w14:val="tx1"/>
            </w14:solidFill>
          </w14:textFill>
        </w:rPr>
        <w:t>以上单数组成，其中经济、技术等方面的专家不少于磋商小组成员总数的三分之二。</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采购人派代表进入磋商小组的，须向采购代理机构出具授权函。</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z w:val="24"/>
          <w:szCs w:val="24"/>
          <w:highlight w:val="none"/>
        </w:rPr>
        <w:t>评审专家应当从</w:t>
      </w:r>
      <w:r>
        <w:rPr>
          <w:rFonts w:hint="eastAsia" w:ascii="宋体" w:hAnsi="宋体" w:eastAsia="宋体" w:cs="宋体"/>
          <w:color w:val="000000"/>
          <w:sz w:val="24"/>
          <w:highlight w:val="none"/>
        </w:rPr>
        <w:t>省级财政部门设立的政府采购评审专家库中随机抽取</w:t>
      </w:r>
      <w:r>
        <w:rPr>
          <w:rFonts w:hint="eastAsia" w:ascii="宋体" w:hAnsi="宋体" w:eastAsia="宋体" w:cs="宋体"/>
          <w:sz w:val="24"/>
          <w:szCs w:val="24"/>
          <w:highlight w:val="none"/>
        </w:rPr>
        <w:t>。符合《政府采购竞争性磋商采购方式管理暂行办法》的通知(财库〔2014〕214号)第三条第四项规定情形的项目，以及情况特殊、通过随机方式难以确定合适的评审专家的项目，经主管预算单位同意，可以自行选定评审专家</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color w:val="000000" w:themeColor="text1"/>
          <w:sz w:val="24"/>
          <w:szCs w:val="24"/>
          <w:highlight w:val="none"/>
          <w14:textFill>
            <w14:solidFill>
              <w14:schemeClr w14:val="tx1"/>
            </w14:solidFill>
          </w14:textFill>
        </w:rPr>
      </w:pPr>
      <w:bookmarkStart w:id="19" w:name="_Toc11634"/>
      <w:bookmarkStart w:id="20" w:name="_Toc14995"/>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bookmarkEnd w:id="19"/>
      <w:bookmarkEnd w:id="20"/>
      <w:r>
        <w:rPr>
          <w:rFonts w:hint="eastAsia" w:ascii="宋体" w:hAnsi="宋体" w:eastAsia="宋体" w:cs="宋体"/>
          <w:b/>
          <w:color w:val="000000" w:themeColor="text1"/>
          <w:sz w:val="24"/>
          <w:szCs w:val="24"/>
          <w:highlight w:val="none"/>
          <w:lang w:val="en-US" w:eastAsia="zh-CN"/>
          <w14:textFill>
            <w14:solidFill>
              <w14:schemeClr w14:val="tx1"/>
            </w14:solidFill>
          </w14:textFill>
        </w:rPr>
        <w:t>符合性</w:t>
      </w:r>
      <w:r>
        <w:rPr>
          <w:rFonts w:hint="eastAsia" w:ascii="宋体" w:hAnsi="宋体" w:eastAsia="宋体" w:cs="宋体"/>
          <w:b/>
          <w:color w:val="000000" w:themeColor="text1"/>
          <w:sz w:val="24"/>
          <w:szCs w:val="24"/>
          <w:highlight w:val="none"/>
          <w:lang w:eastAsia="zh-CN"/>
          <w14:textFill>
            <w14:solidFill>
              <w14:schemeClr w14:val="tx1"/>
            </w14:solidFill>
          </w14:textFill>
        </w:rPr>
        <w:t>评审</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磋商小组所有成员应当集中与单一供应商分别进行磋商，并给予所有参加磋商的供应商平等的磋商机会</w:t>
      </w:r>
      <w:r>
        <w:rPr>
          <w:rFonts w:hint="eastAsia" w:ascii="宋体" w:hAnsi="宋体" w:eastAsia="宋体" w:cs="宋体"/>
          <w:sz w:val="24"/>
          <w:szCs w:val="24"/>
          <w:highlight w:val="none"/>
          <w:lang w:eastAsia="zh-CN"/>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2、磋商小组</w:t>
      </w:r>
      <w:r>
        <w:rPr>
          <w:rFonts w:hint="eastAsia" w:ascii="宋体" w:hAnsi="宋体" w:eastAsia="宋体" w:cs="宋体"/>
          <w:sz w:val="24"/>
          <w:szCs w:val="24"/>
          <w:highlight w:val="none"/>
        </w:rPr>
        <w:t>依法对符合资格的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文件进行符合性审查。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文件的有效性、完整性和对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文件的响应程度进行审查，以确定其是否对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文件实质性内容作出响应。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3、磋商小组</w:t>
      </w:r>
      <w:r>
        <w:rPr>
          <w:rFonts w:hint="eastAsia" w:ascii="宋体" w:hAnsi="宋体" w:eastAsia="宋体" w:cs="宋体"/>
          <w:sz w:val="24"/>
          <w:szCs w:val="24"/>
          <w:highlight w:val="none"/>
        </w:rPr>
        <w:t>应当按下列评审标准进行符合性审查：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669"/>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w:t>
            </w:r>
          </w:p>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r>
              <w:rPr>
                <w:rFonts w:hint="eastAsia" w:ascii="宋体" w:hAnsi="宋体" w:eastAsia="宋体" w:cs="宋体"/>
                <w:b/>
                <w:bCs/>
                <w:color w:val="000000" w:themeColor="text1"/>
                <w:sz w:val="24"/>
                <w:szCs w:val="24"/>
                <w:highlight w:val="none"/>
                <w14:textFill>
                  <w14:solidFill>
                    <w14:schemeClr w14:val="tx1"/>
                  </w14:solidFill>
                </w14:textFill>
              </w:rPr>
              <w:t>项目</w:t>
            </w: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restart"/>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符合性</w:t>
            </w:r>
          </w:p>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审查</w:t>
            </w: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格式</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磋商函签字盖章</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有法定代表人或被授权人签字或盖章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首次</w:t>
            </w:r>
            <w:r>
              <w:rPr>
                <w:rFonts w:hint="eastAsia" w:ascii="宋体" w:hAnsi="宋体" w:eastAsia="宋体" w:cs="宋体"/>
                <w:color w:val="000000" w:themeColor="text1"/>
                <w:sz w:val="24"/>
                <w:szCs w:val="24"/>
                <w:highlight w:val="none"/>
                <w14:textFill>
                  <w14:solidFill>
                    <w14:schemeClr w14:val="tx1"/>
                  </w14:solidFill>
                </w14:textFill>
              </w:rPr>
              <w:t>只能有一个有效报价，且不能超过</w:t>
            </w:r>
          </w:p>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采购预算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应符合</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份数</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符合“供应商须知前附表”中规定的正本、副本、电子文件数量要求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电子文件（U盘）</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应符合</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内容</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的响应程度</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2800" w:type="pct"/>
            <w:vAlign w:val="center"/>
          </w:tcPr>
          <w:p>
            <w:pPr>
              <w:keepNext w:val="0"/>
              <w:keepLines w:val="0"/>
              <w:pageBreakBefore w:val="0"/>
              <w:widowControl w:val="0"/>
              <w:tabs>
                <w:tab w:val="left" w:pos="1575"/>
              </w:tabs>
              <w:kinsoku/>
              <w:overflowPunct/>
              <w:topLinePunct w:val="0"/>
              <w:autoSpaceDE/>
              <w:autoSpaceDN/>
              <w:bidi w:val="0"/>
              <w:adjustRightInd w:val="0"/>
              <w:snapToGrid/>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应满足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2" w:type="pct"/>
            <w:vMerge w:val="continue"/>
            <w:vAlign w:val="center"/>
          </w:tcPr>
          <w:p>
            <w:pPr>
              <w:keepNext w:val="0"/>
              <w:keepLines w:val="0"/>
              <w:pageBreakBefore w:val="0"/>
              <w:widowControl w:val="0"/>
              <w:tabs>
                <w:tab w:val="left" w:pos="709"/>
              </w:tabs>
              <w:kinsoku/>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566" w:type="pct"/>
            <w:vAlign w:val="center"/>
          </w:tcPr>
          <w:p>
            <w:pPr>
              <w:keepNext w:val="0"/>
              <w:keepLines w:val="0"/>
              <w:pageBreakBefore w:val="0"/>
              <w:widowControl w:val="0"/>
              <w:shd w:val="clear"/>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磋商保证金</w:t>
            </w:r>
          </w:p>
        </w:tc>
        <w:tc>
          <w:tcPr>
            <w:tcW w:w="2800" w:type="pct"/>
            <w:vAlign w:val="center"/>
          </w:tcPr>
          <w:p>
            <w:pPr>
              <w:keepNext w:val="0"/>
              <w:keepLines w:val="0"/>
              <w:pageBreakBefore w:val="0"/>
              <w:widowControl w:val="0"/>
              <w:shd w:val="clear"/>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应</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磋商文件中</w:t>
            </w:r>
            <w:r>
              <w:rPr>
                <w:rFonts w:hint="eastAsia" w:ascii="宋体" w:hAnsi="宋体" w:eastAsia="宋体" w:cs="宋体"/>
                <w:sz w:val="24"/>
                <w:szCs w:val="24"/>
                <w:highlight w:val="none"/>
                <w:lang w:eastAsia="zh-CN"/>
              </w:rPr>
              <w:t>对磋商保证金</w:t>
            </w:r>
            <w:r>
              <w:rPr>
                <w:rFonts w:hint="eastAsia" w:ascii="宋体" w:hAnsi="宋体" w:eastAsia="宋体" w:cs="宋体"/>
                <w:sz w:val="24"/>
                <w:szCs w:val="24"/>
                <w:highlight w:val="none"/>
              </w:rPr>
              <w:t>的规定</w:t>
            </w:r>
          </w:p>
        </w:tc>
      </w:tr>
    </w:tbl>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注：以上审查项有任意一项不合格视为无效响应。</w:t>
      </w:r>
    </w:p>
    <w:p>
      <w:pPr>
        <w:pStyle w:val="8"/>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未通过符合性</w:t>
      </w:r>
      <w:r>
        <w:rPr>
          <w:rFonts w:hint="eastAsia" w:ascii="宋体" w:hAnsi="宋体" w:eastAsia="宋体" w:cs="宋体"/>
          <w:color w:val="000000"/>
          <w:sz w:val="24"/>
          <w:highlight w:val="none"/>
          <w:lang w:val="en-US" w:eastAsia="zh-CN"/>
        </w:rPr>
        <w:t>审查的磋商响应</w:t>
      </w:r>
      <w:r>
        <w:rPr>
          <w:rFonts w:hint="eastAsia" w:ascii="宋体" w:hAnsi="宋体" w:eastAsia="宋体" w:cs="宋体"/>
          <w:color w:val="000000"/>
          <w:sz w:val="24"/>
          <w:highlight w:val="none"/>
        </w:rPr>
        <w:t>文件，不得进入后续评</w:t>
      </w:r>
      <w:r>
        <w:rPr>
          <w:rFonts w:hint="eastAsia" w:ascii="宋体" w:hAnsi="宋体" w:eastAsia="宋体" w:cs="宋体"/>
          <w:color w:val="000000"/>
          <w:sz w:val="24"/>
          <w:highlight w:val="none"/>
          <w:lang w:val="en-US" w:eastAsia="zh-CN"/>
        </w:rPr>
        <w:t>审</w:t>
      </w:r>
      <w:r>
        <w:rPr>
          <w:rFonts w:hint="eastAsia" w:ascii="宋体" w:hAnsi="宋体" w:eastAsia="宋体" w:cs="宋体"/>
          <w:color w:val="000000"/>
          <w:sz w:val="24"/>
          <w:highlight w:val="none"/>
        </w:rPr>
        <w:t>环节。</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1" w:name="_Toc30847"/>
      <w:bookmarkStart w:id="22" w:name="_Toc18601"/>
      <w:r>
        <w:rPr>
          <w:rFonts w:hint="eastAsia" w:ascii="宋体" w:hAnsi="宋体" w:eastAsia="宋体" w:cs="宋体"/>
          <w:b/>
          <w:color w:val="000000" w:themeColor="text1"/>
          <w:sz w:val="24"/>
          <w:szCs w:val="24"/>
          <w:highlight w:val="none"/>
          <w:lang w:val="en-US" w:eastAsia="zh-CN"/>
          <w14:textFill>
            <w14:solidFill>
              <w14:schemeClr w14:val="tx1"/>
            </w14:solidFill>
          </w14:textFill>
        </w:rPr>
        <w:t>三、磋商</w:t>
      </w:r>
      <w:r>
        <w:rPr>
          <w:rFonts w:hint="eastAsia" w:ascii="宋体" w:hAnsi="宋体" w:eastAsia="宋体" w:cs="宋体"/>
          <w:b/>
          <w:color w:val="000000" w:themeColor="text1"/>
          <w:sz w:val="24"/>
          <w:szCs w:val="24"/>
          <w:highlight w:val="none"/>
          <w14:textFill>
            <w14:solidFill>
              <w14:schemeClr w14:val="tx1"/>
            </w14:solidFill>
          </w14:textFill>
        </w:rPr>
        <w:t>响应</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文件</w:t>
      </w:r>
      <w:r>
        <w:rPr>
          <w:rFonts w:hint="eastAsia" w:ascii="宋体" w:hAnsi="宋体" w:eastAsia="宋体" w:cs="宋体"/>
          <w:b/>
          <w:color w:val="000000" w:themeColor="text1"/>
          <w:sz w:val="24"/>
          <w:szCs w:val="24"/>
          <w:highlight w:val="none"/>
          <w14:textFill>
            <w14:solidFill>
              <w14:schemeClr w14:val="tx1"/>
            </w14:solidFill>
          </w14:textFill>
        </w:rPr>
        <w:t>的澄清</w:t>
      </w:r>
      <w:bookmarkEnd w:id="21"/>
      <w:bookmarkEnd w:id="22"/>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磋商小组在对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进行审查时，可以要求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中含义不明确、同类问题表述不一致或者有明显文字和计算错误的内容等作出必要的澄清、说明或者更正。</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的澄清、说明或者更正不得超出</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的范围或者改变</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的实质性内容。磋商小组要求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澄清、说明或者更正</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应当以书面形式作出，并由磋商小组专家签字。</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的澄清、说明或者更正应当由法定代表人或其</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签字或者加盖公章。由</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签字的，应当附法定代表人授权书。</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必须按照磋商小组通知的内容和时间做出书面答复，该答复经法定代表人或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签字认可，将作为</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内容的一部分。澄清、说明或者补正不得超出</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的范围或者改变</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的实质性内容。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拒不按照要求对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进行澄清、说明或者补正的，磋商小组可拒绝该响应。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如磋商小组一致认为某个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的报价与各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报价的平均报价价差较大，存在明显不合理，有低于成本价或降低质量、不能诚信履行的可能，影响公平竞争时，磋商小组有权决定是否通知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限期进行书面解释或提供相关证明材料。若已要求，而该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在规定期限内未做出解释、作出的解释不合理或不能提供证明材料的，磋商小组可拒绝该响应。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3" w:name="_Toc1938"/>
      <w:bookmarkStart w:id="24" w:name="_Toc145"/>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对</w:t>
      </w:r>
      <w:r>
        <w:rPr>
          <w:rFonts w:hint="eastAsia" w:ascii="宋体" w:hAnsi="宋体" w:eastAsia="宋体" w:cs="宋体"/>
          <w:b/>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b/>
          <w:color w:val="000000" w:themeColor="text1"/>
          <w:sz w:val="24"/>
          <w:szCs w:val="24"/>
          <w:highlight w:val="none"/>
          <w14:textFill>
            <w14:solidFill>
              <w14:schemeClr w14:val="tx1"/>
            </w14:solidFill>
          </w14:textFill>
        </w:rPr>
        <w:t>的详细评审</w:t>
      </w:r>
      <w:bookmarkEnd w:id="23"/>
      <w:bookmarkEnd w:id="24"/>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1、磋商小组所有成员应当集中与单一供应商分别进行磋商，并给予所有参加磋商的供应商平等的磋商机会。</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sz w:val="24"/>
          <w:highlight w:val="none"/>
        </w:rPr>
        <w:t>磋商小组在磋商过程中，</w:t>
      </w:r>
      <w:r>
        <w:rPr>
          <w:rFonts w:hint="eastAsia" w:ascii="宋体" w:hAnsi="宋体" w:eastAsia="宋体" w:cs="宋体"/>
          <w:bCs/>
          <w:sz w:val="24"/>
          <w:highlight w:val="none"/>
          <w:lang w:val="en-US" w:eastAsia="zh-CN"/>
        </w:rPr>
        <w:t>可以根据磋商文件各磋商情况实质性变动采购需求中的技术、服务要求以及合同草案条款，但不得变动磋商文件中的其他内容。实质性变动内容，须经采购人代表确认。</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作出的实质性变动是</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的有效组成部分，磋商小组应当及时以书面形式同时通知所有参加磋商的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的变动情况和磋商小组的要求重新提交</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，并由其法定代表人或</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签字或者加盖公章。由</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签字的，应当附法定代表人授权书。</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为自然人的，应当由本人签字并附身份证明。</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能够详细列明采购标的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磋商结束后，磋商小组应当要求所有实质性响应的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在规定时间内提交报价，提交最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不得少于3家。</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不能详细列明采购标的的，需经磋商由</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最终服务</w:t>
      </w:r>
      <w:r>
        <w:rPr>
          <w:rFonts w:hint="eastAsia" w:ascii="宋体" w:hAnsi="宋体" w:eastAsia="宋体" w:cs="宋体"/>
          <w:color w:val="000000" w:themeColor="text1"/>
          <w:sz w:val="24"/>
          <w:szCs w:val="24"/>
          <w:highlight w:val="none"/>
          <w14:textFill>
            <w14:solidFill>
              <w14:schemeClr w14:val="tx1"/>
            </w14:solidFill>
          </w14:textFill>
        </w:rPr>
        <w:t>方案或解决方案的，磋商结束后，磋商小组应当按照少数服从多数的原则投票推荐3家以上</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w:t>
      </w:r>
      <w:r>
        <w:rPr>
          <w:rFonts w:hint="eastAsia" w:ascii="宋体" w:hAnsi="宋体" w:eastAsia="宋体" w:cs="宋体"/>
          <w:color w:val="000000" w:themeColor="text1"/>
          <w:sz w:val="24"/>
          <w:szCs w:val="24"/>
          <w:highlight w:val="none"/>
          <w14:textFill>
            <w14:solidFill>
              <w14:schemeClr w14:val="tx1"/>
            </w14:solidFill>
          </w14:textFill>
        </w:rPr>
        <w:t>方案或者解决方案，并要求其在规定时间内提交最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报价是</w:t>
      </w:r>
      <w:r>
        <w:rPr>
          <w:rFonts w:hint="eastAsia" w:ascii="宋体" w:hAnsi="宋体" w:eastAsia="宋体" w:cs="宋体"/>
          <w:color w:val="000000" w:themeColor="text1"/>
          <w:sz w:val="24"/>
          <w:szCs w:val="24"/>
          <w:highlight w:val="none"/>
          <w:lang w:eastAsia="zh-CN"/>
          <w14:textFill>
            <w14:solidFill>
              <w14:schemeClr w14:val="tx1"/>
            </w14:solidFill>
          </w14:textFill>
        </w:rPr>
        <w:t>供应商磋商响应文件</w:t>
      </w:r>
      <w:r>
        <w:rPr>
          <w:rFonts w:hint="eastAsia" w:ascii="宋体" w:hAnsi="宋体" w:eastAsia="宋体" w:cs="宋体"/>
          <w:color w:val="000000" w:themeColor="text1"/>
          <w:sz w:val="24"/>
          <w:szCs w:val="24"/>
          <w:highlight w:val="none"/>
          <w14:textFill>
            <w14:solidFill>
              <w14:schemeClr w14:val="tx1"/>
            </w14:solidFill>
          </w14:textFill>
        </w:rPr>
        <w:t>的有效组成部分。符合《政府采购竞争性磋商采购方式管理暂行办法》的通知(财库〔2014〕214号)第三条第四项情形的，提交最后报价的供应商可以为2家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已提交</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报价之前，可以根据磋商情况退出磋商。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经磋商确定最终采购需求和提交最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，由磋商小组采用综合评分法对提交最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和最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报价进行综合评分。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评审时，磋商小组各成员应当独立对每个有效响应的文件进行评价、打分，然后汇总每个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每项评分因素的得分。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5" w:name="_Toc32575"/>
      <w:bookmarkStart w:id="26" w:name="_Toc27743"/>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评</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b/>
          <w:color w:val="000000" w:themeColor="text1"/>
          <w:sz w:val="24"/>
          <w:szCs w:val="24"/>
          <w:highlight w:val="none"/>
          <w14:textFill>
            <w14:solidFill>
              <w14:schemeClr w14:val="tx1"/>
            </w14:solidFill>
          </w14:textFill>
        </w:rPr>
        <w:t>标准及方法</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采用综合评分法，将依据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对其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服务方案</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配件保障、质量保障、应急预案、服务承诺、业绩</w:t>
      </w:r>
      <w:r>
        <w:rPr>
          <w:rFonts w:hint="eastAsia" w:ascii="宋体" w:hAnsi="宋体" w:eastAsia="宋体" w:cs="宋体"/>
          <w:color w:val="000000" w:themeColor="text1"/>
          <w:sz w:val="24"/>
          <w:szCs w:val="24"/>
          <w:highlight w:val="none"/>
          <w14:textFill>
            <w14:solidFill>
              <w14:schemeClr w14:val="tx1"/>
            </w14:solidFill>
          </w14:textFill>
        </w:rPr>
        <w:t>等各项因素进行综合评价，综合评选出最优响应方案。</w:t>
      </w:r>
    </w:p>
    <w:p>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《详细评审标准》</w:t>
      </w:r>
    </w:p>
    <w:tbl>
      <w:tblPr>
        <w:tblStyle w:val="21"/>
        <w:tblW w:w="4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9"/>
        <w:gridCol w:w="975"/>
        <w:gridCol w:w="5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43"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项目</w:t>
            </w:r>
          </w:p>
        </w:tc>
        <w:tc>
          <w:tcPr>
            <w:tcW w:w="778"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评审因素及权重</w:t>
            </w:r>
          </w:p>
        </w:tc>
        <w:tc>
          <w:tcPr>
            <w:tcW w:w="593"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分值</w:t>
            </w:r>
          </w:p>
        </w:tc>
        <w:tc>
          <w:tcPr>
            <w:tcW w:w="3184"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443"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报价部分</w:t>
            </w:r>
          </w:p>
        </w:tc>
        <w:tc>
          <w:tcPr>
            <w:tcW w:w="778"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磋商报价</w:t>
            </w:r>
          </w:p>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r>
              <w:rPr>
                <w:rFonts w:hint="eastAsia" w:hAnsi="宋体" w:eastAsia="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lang w:val="en-US" w:eastAsia="zh-CN"/>
              </w:rPr>
              <w:t>%</w:t>
            </w:r>
          </w:p>
        </w:tc>
        <w:tc>
          <w:tcPr>
            <w:tcW w:w="593"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rPr>
            </w:pPr>
            <w:r>
              <w:rPr>
                <w:rFonts w:hint="eastAsia" w:hAnsi="宋体" w:eastAsia="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lang w:val="en-US" w:eastAsia="zh-CN"/>
              </w:rPr>
              <w:t>分</w:t>
            </w:r>
          </w:p>
        </w:tc>
        <w:tc>
          <w:tcPr>
            <w:tcW w:w="3184"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满足磋商文件要求且最终报价最低的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的价格为磋商基准价得</w:t>
            </w:r>
            <w:r>
              <w:rPr>
                <w:rFonts w:hint="eastAsia"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分，其他各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的最终报价得分按下列公式计算：（磋商基准价/最终磋商报价）×</w:t>
            </w:r>
            <w:r>
              <w:rPr>
                <w:rFonts w:hint="eastAsia"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％×100。</w:t>
            </w:r>
          </w:p>
          <w:p>
            <w:pPr>
              <w:pStyle w:val="11"/>
              <w:keepNext w:val="0"/>
              <w:keepLines w:val="0"/>
              <w:pageBreakBefore w:val="0"/>
              <w:widowControl w:val="0"/>
              <w:tabs>
                <w:tab w:val="left" w:pos="600"/>
              </w:tabs>
              <w:kinsoku/>
              <w:wordWrap/>
              <w:overflowPunct/>
              <w:topLinePunct w:val="0"/>
              <w:autoSpaceDE/>
              <w:autoSpaceDN/>
              <w:bidi w:val="0"/>
              <w:adjustRightInd w:val="0"/>
              <w:snapToGrid w:val="0"/>
              <w:spacing w:line="360" w:lineRule="auto"/>
              <w:ind w:left="0" w:leftChars="0" w:right="0" w:firstLine="0" w:firstLineChars="0"/>
              <w:textAlignment w:val="auto"/>
              <w:rPr>
                <w:rFonts w:hint="eastAsia" w:ascii="宋体" w:hAnsi="宋体" w:eastAsia="宋体" w:cs="宋体"/>
                <w:b w:val="0"/>
                <w:bCs/>
                <w:color w:val="000000"/>
                <w:sz w:val="24"/>
                <w:szCs w:val="24"/>
                <w:highlight w:val="none"/>
              </w:rPr>
            </w:pPr>
            <w:r>
              <w:rPr>
                <w:rFonts w:hint="eastAsia" w:ascii="宋体" w:hAnsi="宋体" w:eastAsia="宋体" w:cs="宋体"/>
                <w:color w:val="000000"/>
                <w:sz w:val="24"/>
                <w:szCs w:val="24"/>
                <w:highlight w:val="none"/>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44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部分</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拟提供软硬件主要技术参数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20%</w:t>
            </w:r>
          </w:p>
        </w:tc>
        <w:tc>
          <w:tcPr>
            <w:tcW w:w="5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3184"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“▲”项为主要技术指标，每有一项不满足扣1分，扣完20分为止。</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注：供应商须按照磋商文件的要求提供主要技术指标证明材料的复印件，否则不予得分。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adjustRightInd w:val="0"/>
              <w:snapToGrid w:val="0"/>
              <w:spacing w:line="360" w:lineRule="auto"/>
              <w:jc w:val="center"/>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bCs/>
                <w:sz w:val="24"/>
                <w:szCs w:val="24"/>
                <w:highlight w:val="none"/>
                <w:lang w:val="en-US" w:eastAsia="zh-CN"/>
              </w:rPr>
              <w:t>计划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975" w:type="dxa"/>
            <w:tcBorders>
              <w:tl2br w:val="nil"/>
              <w:tr2bl w:val="nil"/>
            </w:tcBorders>
            <w:noWrap w:val="0"/>
            <w:vAlign w:val="center"/>
          </w:tcPr>
          <w:p>
            <w:pPr>
              <w:adjustRightInd w:val="0"/>
              <w:snapToGrid w:val="0"/>
              <w:spacing w:line="360" w:lineRule="auto"/>
              <w:jc w:val="center"/>
              <w:rPr>
                <w:rFonts w:hint="eastAsia" w:ascii="宋体" w:hAnsi="宋体" w:cs="宋体"/>
                <w:bCs/>
                <w:sz w:val="24"/>
                <w:szCs w:val="24"/>
                <w:highlight w:val="none"/>
                <w:lang w:val="en-US" w:eastAsia="zh-CN"/>
              </w:rPr>
            </w:pPr>
          </w:p>
          <w:p>
            <w:pPr>
              <w:adjustRightInd w:val="0"/>
              <w:snapToGrid w:val="0"/>
              <w:spacing w:line="360" w:lineRule="auto"/>
              <w:jc w:val="center"/>
              <w:rPr>
                <w:rFonts w:hint="default" w:ascii="宋体" w:hAnsi="宋体" w:cs="宋体"/>
                <w:sz w:val="24"/>
                <w:szCs w:val="24"/>
                <w:highlight w:val="none"/>
                <w:lang w:val="en-US" w:eastAsia="zh-CN"/>
              </w:rPr>
            </w:pPr>
            <w:r>
              <w:rPr>
                <w:rFonts w:hint="eastAsia" w:ascii="宋体" w:hAnsi="宋体" w:cs="宋体"/>
                <w:bCs/>
                <w:sz w:val="24"/>
                <w:szCs w:val="24"/>
                <w:highlight w:val="none"/>
                <w:lang w:val="en-US" w:eastAsia="zh-CN"/>
              </w:rPr>
              <w:t>10分</w:t>
            </w:r>
          </w:p>
        </w:tc>
        <w:tc>
          <w:tcPr>
            <w:tcW w:w="5232" w:type="dxa"/>
            <w:tcBorders>
              <w:tl2br w:val="nil"/>
              <w:tr2bl w:val="nil"/>
            </w:tcBorders>
            <w:noWrap w:val="0"/>
            <w:vAlign w:val="center"/>
          </w:tcPr>
          <w:p>
            <w:pPr>
              <w:adjustRightInd w:val="0"/>
              <w:snapToGrid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包含但不限于：服务目标、</w:t>
            </w:r>
            <w:r>
              <w:rPr>
                <w:rFonts w:hint="eastAsia" w:ascii="宋体" w:hAnsi="宋体" w:cs="宋体"/>
                <w:kern w:val="2"/>
                <w:sz w:val="24"/>
                <w:szCs w:val="24"/>
                <w:highlight w:val="none"/>
                <w:lang w:val="en-US" w:eastAsia="zh-CN" w:bidi="ar-SA"/>
              </w:rPr>
              <w:t>服务内容、服务流程标准</w:t>
            </w:r>
            <w:r>
              <w:rPr>
                <w:rFonts w:hint="eastAsia" w:ascii="宋体" w:hAnsi="宋体" w:eastAsia="宋体" w:cs="宋体"/>
                <w:kern w:val="2"/>
                <w:sz w:val="24"/>
                <w:szCs w:val="24"/>
                <w:highlight w:val="none"/>
                <w:lang w:val="en-US" w:eastAsia="zh-CN" w:bidi="ar-SA"/>
              </w:rPr>
              <w:t>等。</w:t>
            </w:r>
          </w:p>
          <w:p>
            <w:pPr>
              <w:adjustRightInd w:val="0"/>
              <w:snapToGrid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1、内容描述详尽，</w:t>
            </w:r>
            <w:r>
              <w:rPr>
                <w:rFonts w:hint="eastAsia" w:ascii="宋体" w:hAnsi="宋体" w:cs="宋体"/>
                <w:kern w:val="2"/>
                <w:sz w:val="24"/>
                <w:szCs w:val="24"/>
                <w:highlight w:val="none"/>
                <w:lang w:val="en-US" w:eastAsia="zh-CN" w:bidi="ar-SA"/>
              </w:rPr>
              <w:t>流程清晰</w:t>
            </w:r>
            <w:r>
              <w:rPr>
                <w:rFonts w:hint="eastAsia" w:ascii="宋体" w:hAnsi="宋体" w:eastAsia="宋体" w:cs="宋体"/>
                <w:kern w:val="2"/>
                <w:sz w:val="24"/>
                <w:szCs w:val="24"/>
                <w:highlight w:val="none"/>
                <w:lang w:val="en-US" w:eastAsia="zh-CN" w:bidi="ar-SA"/>
              </w:rPr>
              <w:t>，整体考虑周全，可操作性强得(</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]分；</w:t>
            </w:r>
          </w:p>
          <w:p>
            <w:pPr>
              <w:adjustRightInd w:val="0"/>
              <w:snapToGrid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2、内容描述详尽，</w:t>
            </w:r>
            <w:r>
              <w:rPr>
                <w:rFonts w:hint="eastAsia" w:ascii="宋体" w:hAnsi="宋体" w:cs="宋体"/>
                <w:kern w:val="2"/>
                <w:sz w:val="24"/>
                <w:szCs w:val="24"/>
                <w:highlight w:val="none"/>
                <w:lang w:val="en-US" w:eastAsia="zh-CN" w:bidi="ar-SA"/>
              </w:rPr>
              <w:t>流程清晰</w:t>
            </w:r>
            <w:r>
              <w:rPr>
                <w:rFonts w:hint="eastAsia" w:ascii="宋体" w:hAnsi="宋体" w:eastAsia="宋体" w:cs="宋体"/>
                <w:kern w:val="2"/>
                <w:sz w:val="24"/>
                <w:szCs w:val="24"/>
                <w:highlight w:val="none"/>
                <w:lang w:val="en-US" w:eastAsia="zh-CN" w:bidi="ar-SA"/>
              </w:rPr>
              <w:t>，整体考虑周全，可操作性强得(</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]分；</w:t>
            </w:r>
          </w:p>
          <w:p>
            <w:pPr>
              <w:adjustRightInd w:val="0"/>
              <w:snapToGrid w:val="0"/>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3、内容描述详尽，</w:t>
            </w:r>
            <w:r>
              <w:rPr>
                <w:rFonts w:hint="eastAsia" w:ascii="宋体" w:hAnsi="宋体" w:cs="宋体"/>
                <w:kern w:val="2"/>
                <w:sz w:val="24"/>
                <w:szCs w:val="24"/>
                <w:highlight w:val="none"/>
                <w:lang w:val="en-US" w:eastAsia="zh-CN" w:bidi="ar-SA"/>
              </w:rPr>
              <w:t>流程清晰</w:t>
            </w:r>
            <w:r>
              <w:rPr>
                <w:rFonts w:hint="eastAsia" w:ascii="宋体" w:hAnsi="宋体" w:eastAsia="宋体" w:cs="宋体"/>
                <w:kern w:val="2"/>
                <w:sz w:val="24"/>
                <w:szCs w:val="24"/>
                <w:highlight w:val="none"/>
                <w:lang w:val="en-US" w:eastAsia="zh-CN" w:bidi="ar-SA"/>
              </w:rPr>
              <w:t>，整体考虑周全，可操作性强得(0-</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]分；</w:t>
            </w:r>
          </w:p>
          <w:p>
            <w:pPr>
              <w:adjustRightInd w:val="0"/>
              <w:snapToGrid w:val="0"/>
              <w:spacing w:line="360" w:lineRule="auto"/>
              <w:jc w:val="left"/>
              <w:rPr>
                <w:rFonts w:hint="eastAsia" w:ascii="宋体" w:hAnsi="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bidi="ar-SA"/>
              </w:rPr>
              <w:t>4、未提供</w:t>
            </w:r>
            <w:r>
              <w:rPr>
                <w:rFonts w:hint="eastAsia" w:ascii="宋体" w:hAnsi="宋体" w:cs="宋体"/>
                <w:kern w:val="2"/>
                <w:sz w:val="24"/>
                <w:szCs w:val="24"/>
                <w:highlight w:val="none"/>
                <w:lang w:val="en-US" w:eastAsia="zh-CN" w:bidi="ar-SA"/>
              </w:rPr>
              <w:t>服务计划</w:t>
            </w:r>
            <w:r>
              <w:rPr>
                <w:rFonts w:hint="eastAsia" w:ascii="宋体" w:hAnsi="宋体" w:eastAsia="宋体" w:cs="宋体"/>
                <w:kern w:val="2"/>
                <w:sz w:val="24"/>
                <w:szCs w:val="24"/>
                <w:highlight w:val="none"/>
                <w:lang w:val="en-US" w:eastAsia="zh-CN" w:bidi="ar-S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实施方案10%</w:t>
            </w:r>
          </w:p>
        </w:tc>
        <w:tc>
          <w:tcPr>
            <w:tcW w:w="593"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31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包括但不限于组织管理，进度管理，人员配置，系统、设备安装调试及试运行，定期检查维护等内容：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1、实施方案全面，进度安排合理，人员配置得当，系统、设备安装调试及运行合理，定期检查维护方案完整得(8-10]分；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2、实施方案基本全面，进度安排较合理，人员配置较得当，系统、设备安装调试及运行较合理，定期检查维护方案较完整得(4-8]分；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3、实施方案不全面，进度安排不合理，人员配置不得当，系统、设备安装调试及运行不合理，定期检查维护方案不完整得(0-4]分；</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4、未提供实施方案不得分。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adjustRightInd w:val="0"/>
              <w:snapToGrid w:val="0"/>
              <w:spacing w:line="360" w:lineRule="auto"/>
              <w:jc w:val="center"/>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故障</w:t>
            </w:r>
          </w:p>
          <w:p>
            <w:pPr>
              <w:adjustRightInd w:val="0"/>
              <w:snapToGrid w:val="0"/>
              <w:spacing w:line="360" w:lineRule="auto"/>
              <w:jc w:val="center"/>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处理</w:t>
            </w:r>
          </w:p>
          <w:p>
            <w:pPr>
              <w:adjustRightInd w:val="0"/>
              <w:snapToGrid w:val="0"/>
              <w:spacing w:line="360" w:lineRule="auto"/>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10%</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cs="宋体" w:eastAsiaTheme="minorEastAsia"/>
                <w:kern w:val="2"/>
                <w:sz w:val="24"/>
                <w:szCs w:val="24"/>
                <w:highlight w:val="none"/>
                <w:lang w:val="en-US" w:eastAsia="zh-CN" w:bidi="ar-SA"/>
              </w:rPr>
            </w:pPr>
          </w:p>
        </w:tc>
        <w:tc>
          <w:tcPr>
            <w:tcW w:w="593" w:type="pct"/>
            <w:tcBorders>
              <w:tl2br w:val="nil"/>
              <w:tr2bl w:val="nil"/>
            </w:tcBorders>
            <w:noWrap w:val="0"/>
            <w:vAlign w:val="center"/>
          </w:tcPr>
          <w:p>
            <w:pPr>
              <w:adjustRightInd w:val="0"/>
              <w:snapToGrid w:val="0"/>
              <w:spacing w:line="360" w:lineRule="auto"/>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10分</w:t>
            </w:r>
          </w:p>
        </w:tc>
        <w:tc>
          <w:tcPr>
            <w:tcW w:w="3184" w:type="pct"/>
            <w:tcBorders>
              <w:tl2br w:val="nil"/>
              <w:tr2bl w:val="nil"/>
            </w:tcBorders>
            <w:noWrap w:val="0"/>
            <w:vAlign w:val="center"/>
          </w:tcPr>
          <w:p>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包含但不限于：各类突发故障的预判、故障分类、故障分析及维修、衔接等环节处理等内容。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Cs/>
                <w:kern w:val="2"/>
                <w:sz w:val="24"/>
                <w:szCs w:val="24"/>
                <w:highlight w:val="none"/>
                <w:lang w:val="en-US" w:eastAsia="zh-CN" w:bidi="ar-SA"/>
              </w:rPr>
              <w:t>1、计划详细，预判、分类、分析准确，维修、衔接等环节处理措施完善得</w:t>
            </w:r>
            <w:r>
              <w:rPr>
                <w:rFonts w:hint="eastAsia" w:ascii="宋体" w:hAnsi="宋体" w:eastAsia="宋体" w:cs="宋体"/>
                <w:sz w:val="24"/>
                <w:szCs w:val="24"/>
                <w:highlight w:val="none"/>
                <w:lang w:val="en-US" w:eastAsia="zh-CN"/>
              </w:rPr>
              <w:t>(8-10]分；</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Cs/>
                <w:kern w:val="2"/>
                <w:sz w:val="24"/>
                <w:szCs w:val="24"/>
                <w:highlight w:val="none"/>
                <w:lang w:val="en-US" w:eastAsia="zh-CN" w:bidi="ar-SA"/>
              </w:rPr>
              <w:t>2、计划较详细，预判、分类、分析较准确，维修、衔接等环节处理措施较完善得</w:t>
            </w:r>
            <w:r>
              <w:rPr>
                <w:rFonts w:hint="eastAsia" w:ascii="宋体" w:hAnsi="宋体" w:eastAsia="宋体" w:cs="宋体"/>
                <w:sz w:val="24"/>
                <w:szCs w:val="24"/>
                <w:highlight w:val="none"/>
                <w:lang w:val="en-US" w:eastAsia="zh-CN"/>
              </w:rPr>
              <w:t>(4-8]分；</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Cs/>
                <w:kern w:val="2"/>
                <w:sz w:val="24"/>
                <w:szCs w:val="24"/>
                <w:highlight w:val="none"/>
                <w:lang w:val="en-US" w:eastAsia="zh-CN" w:bidi="ar-SA"/>
              </w:rPr>
              <w:t>3、计划不详细，预判、分类、分析不准确，维修、衔接等环节处理措施不完善得</w:t>
            </w:r>
            <w:r>
              <w:rPr>
                <w:rFonts w:hint="eastAsia" w:ascii="宋体" w:hAnsi="宋体" w:eastAsia="宋体" w:cs="宋体"/>
                <w:sz w:val="24"/>
                <w:szCs w:val="24"/>
                <w:highlight w:val="none"/>
                <w:lang w:val="en-US" w:eastAsia="zh-CN"/>
              </w:rPr>
              <w:t>(0-4]分；</w:t>
            </w:r>
          </w:p>
          <w:p>
            <w:pPr>
              <w:spacing w:line="360" w:lineRule="auto"/>
              <w:rPr>
                <w:rFonts w:hint="default" w:eastAsia="黑体"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lang w:val="en-US" w:eastAsia="zh-CN"/>
              </w:rPr>
              <w:t>4、未提供故障处理不得分。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培训方案10%</w:t>
            </w:r>
          </w:p>
          <w:p>
            <w:pPr>
              <w:pStyle w:val="8"/>
              <w:keepNext w:val="0"/>
              <w:keepLines w:val="0"/>
              <w:pageBreakBefore w:val="0"/>
              <w:kinsoku/>
              <w:wordWrap/>
              <w:overflowPunct/>
              <w:topLinePunct w:val="0"/>
              <w:autoSpaceDE/>
              <w:autoSpaceDN/>
              <w:bidi w:val="0"/>
              <w:spacing w:line="360" w:lineRule="auto"/>
              <w:ind w:firstLine="0" w:firstLineChars="0"/>
              <w:textAlignment w:val="auto"/>
              <w:rPr>
                <w:rFonts w:hint="eastAsia" w:ascii="Times New Roman" w:hAnsiTheme="minorHAnsi" w:eastAsiaTheme="minorEastAsia" w:cstheme="minorBidi"/>
                <w:kern w:val="2"/>
                <w:sz w:val="24"/>
                <w:szCs w:val="24"/>
                <w:highlight w:val="none"/>
                <w:lang w:val="en-US" w:eastAsia="zh-CN" w:bidi="ar-SA"/>
              </w:rPr>
            </w:pPr>
          </w:p>
        </w:tc>
        <w:tc>
          <w:tcPr>
            <w:tcW w:w="593"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31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包括但不限于</w:t>
            </w:r>
            <w:r>
              <w:rPr>
                <w:rFonts w:hint="eastAsia" w:ascii="宋体" w:hAnsi="宋体" w:eastAsia="宋体" w:cs="宋体"/>
                <w:color w:val="auto"/>
                <w:kern w:val="2"/>
                <w:sz w:val="24"/>
                <w:szCs w:val="24"/>
                <w:highlight w:val="none"/>
                <w:shd w:val="clear" w:color="auto" w:fill="auto"/>
                <w:lang w:val="en-US" w:eastAsia="zh-CN" w:bidi="ar-SA"/>
              </w:rPr>
              <w:t>系统、设备操作、使用人员培训等内容：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1、培训计划、培训内容全面，对象明确，方式得当，流程清晰得</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8</w:t>
            </w:r>
            <w:r>
              <w:rPr>
                <w:rFonts w:ascii="宋体" w:hAnsi="宋体" w:cs="宋体"/>
                <w:bCs/>
                <w:sz w:val="24"/>
                <w:szCs w:val="24"/>
                <w:highlight w:val="none"/>
              </w:rPr>
              <w:t>-</w:t>
            </w: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w:t>
            </w:r>
            <w:r>
              <w:rPr>
                <w:rFonts w:hint="eastAsia" w:ascii="宋体" w:hAnsi="宋体" w:cs="宋体"/>
                <w:sz w:val="24"/>
                <w:szCs w:val="24"/>
                <w:highlight w:val="none"/>
              </w:rPr>
              <w:t>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2、培训计划、培训内容基本全面，对象较明确，方式基本得当，流程较清晰得</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ascii="宋体" w:hAnsi="宋体" w:cs="宋体"/>
                <w:bCs/>
                <w:sz w:val="24"/>
                <w:szCs w:val="24"/>
                <w:highlight w:val="none"/>
              </w:rPr>
              <w:t>-</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w:t>
            </w:r>
            <w:r>
              <w:rPr>
                <w:rFonts w:hint="eastAsia" w:ascii="宋体" w:hAnsi="宋体" w:cs="宋体"/>
                <w:sz w:val="24"/>
                <w:szCs w:val="24"/>
                <w:highlight w:val="none"/>
              </w:rPr>
              <w:t>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3、培训计划、培训内容不全面，对象不明确，方式不得当，流程不清晰得</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0</w:t>
            </w:r>
            <w:r>
              <w:rPr>
                <w:rFonts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w:t>
            </w:r>
            <w:r>
              <w:rPr>
                <w:rFonts w:hint="eastAsia" w:ascii="宋体" w:hAnsi="宋体" w:cs="宋体"/>
                <w:sz w:val="24"/>
                <w:szCs w:val="24"/>
                <w:highlight w:val="none"/>
              </w:rPr>
              <w:t>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4、未提供培训方案不得分。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质量保障10%</w:t>
            </w:r>
          </w:p>
        </w:tc>
        <w:tc>
          <w:tcPr>
            <w:tcW w:w="593"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3184" w:type="pct"/>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1、质量目标明确，质量控制措施完善，质量承诺详细得</w:t>
            </w:r>
            <w:r>
              <w:rPr>
                <w:rFonts w:hint="eastAsia" w:ascii="宋体" w:hAnsi="宋体" w:eastAsia="宋体" w:cs="宋体"/>
                <w:color w:val="000000"/>
                <w:sz w:val="24"/>
                <w:szCs w:val="24"/>
                <w:highlight w:val="none"/>
                <w:shd w:val="clear" w:color="auto" w:fill="auto"/>
                <w:lang w:val="en-US" w:eastAsia="zh-CN"/>
              </w:rPr>
              <w:t>(8-10]分；</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2、质量目标较明确，质量控制措施较完善，质量承诺较详细得</w:t>
            </w:r>
            <w:r>
              <w:rPr>
                <w:rFonts w:hint="eastAsia" w:ascii="宋体" w:hAnsi="宋体" w:eastAsia="宋体" w:cs="宋体"/>
                <w:color w:val="000000"/>
                <w:sz w:val="24"/>
                <w:szCs w:val="24"/>
                <w:highlight w:val="none"/>
                <w:shd w:val="clear" w:color="auto" w:fill="auto"/>
                <w:lang w:val="en-US" w:eastAsia="zh-CN"/>
              </w:rPr>
              <w:t>(4-8]分；</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3、质量目标不明确，质量控制措施不完善，质量承诺不详细得</w:t>
            </w:r>
            <w:r>
              <w:rPr>
                <w:rFonts w:hint="eastAsia" w:ascii="宋体" w:hAnsi="宋体" w:eastAsia="宋体" w:cs="宋体"/>
                <w:color w:val="000000"/>
                <w:sz w:val="24"/>
                <w:szCs w:val="24"/>
                <w:highlight w:val="none"/>
                <w:shd w:val="clear" w:color="auto" w:fill="auto"/>
                <w:lang w:val="en-US" w:eastAsia="zh-CN"/>
              </w:rPr>
              <w:t>(0-4]分；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4、未提供质量保障不得分。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44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val="0"/>
                <w:bCs/>
                <w:color w:val="000000"/>
                <w:sz w:val="24"/>
                <w:szCs w:val="24"/>
                <w:highlight w:val="none"/>
                <w:lang w:val="en-US" w:eastAsia="zh-CN"/>
              </w:rPr>
            </w:pP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售后服务10%</w:t>
            </w:r>
          </w:p>
        </w:tc>
        <w:tc>
          <w:tcPr>
            <w:tcW w:w="5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31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包括但不限于</w:t>
            </w:r>
            <w:r>
              <w:rPr>
                <w:rFonts w:hint="eastAsia" w:ascii="宋体" w:hAnsi="宋体" w:eastAsia="宋体" w:cs="宋体"/>
                <w:color w:val="000000"/>
                <w:kern w:val="0"/>
                <w:sz w:val="24"/>
                <w:szCs w:val="24"/>
                <w:highlight w:val="none"/>
                <w:lang w:val="en-US" w:eastAsia="zh-CN" w:bidi="ar"/>
              </w:rPr>
              <w:t>售后服务承诺、售后服务体系、售后服务人员、故障响应时间及应对措施</w:t>
            </w:r>
            <w:r>
              <w:rPr>
                <w:rFonts w:hint="eastAsia" w:ascii="宋体" w:hAnsi="宋体" w:eastAsia="宋体" w:cs="宋体"/>
                <w:color w:val="auto"/>
                <w:kern w:val="2"/>
                <w:sz w:val="24"/>
                <w:szCs w:val="24"/>
                <w:highlight w:val="none"/>
                <w:shd w:val="clear" w:color="auto" w:fill="auto"/>
                <w:lang w:val="en-US" w:eastAsia="zh-CN" w:bidi="ar-SA"/>
              </w:rPr>
              <w:t>等，根据内容进行评审：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1、方案详细、全面，内容明确清晰得</w:t>
            </w:r>
            <w:r>
              <w:rPr>
                <w:rFonts w:hint="eastAsia" w:ascii="宋体" w:hAnsi="宋体" w:eastAsia="宋体" w:cs="宋体"/>
                <w:b w:val="0"/>
                <w:bCs/>
                <w:color w:val="auto"/>
                <w:sz w:val="24"/>
                <w:szCs w:val="24"/>
                <w:highlight w:val="none"/>
                <w:lang w:val="en-US" w:eastAsia="zh-CN"/>
              </w:rPr>
              <w:t>(8-10]</w:t>
            </w:r>
            <w:r>
              <w:rPr>
                <w:rFonts w:hint="eastAsia" w:ascii="宋体" w:hAnsi="宋体" w:eastAsia="宋体" w:cs="宋体"/>
                <w:color w:val="auto"/>
                <w:kern w:val="2"/>
                <w:sz w:val="24"/>
                <w:szCs w:val="24"/>
                <w:highlight w:val="none"/>
                <w:shd w:val="clear" w:color="auto" w:fill="auto"/>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2、方案较详细、较全面，内容较明确清晰得</w:t>
            </w:r>
            <w:r>
              <w:rPr>
                <w:rFonts w:hint="eastAsia" w:ascii="宋体" w:hAnsi="宋体" w:eastAsia="宋体" w:cs="宋体"/>
                <w:b w:val="0"/>
                <w:bCs/>
                <w:color w:val="auto"/>
                <w:sz w:val="24"/>
                <w:szCs w:val="24"/>
                <w:highlight w:val="none"/>
                <w:lang w:val="en-US" w:eastAsia="zh-CN"/>
              </w:rPr>
              <w:t>(4-8]</w:t>
            </w:r>
            <w:r>
              <w:rPr>
                <w:rFonts w:hint="eastAsia" w:ascii="宋体" w:hAnsi="宋体" w:eastAsia="宋体" w:cs="宋体"/>
                <w:color w:val="auto"/>
                <w:kern w:val="2"/>
                <w:sz w:val="24"/>
                <w:szCs w:val="24"/>
                <w:highlight w:val="none"/>
                <w:shd w:val="clear" w:color="auto" w:fill="auto"/>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3、方案不详细、不全面，内容不明确清晰得</w:t>
            </w:r>
            <w:r>
              <w:rPr>
                <w:rFonts w:hint="eastAsia" w:ascii="宋体" w:hAnsi="宋体" w:eastAsia="宋体" w:cs="宋体"/>
                <w:b w:val="0"/>
                <w:bCs/>
                <w:color w:val="auto"/>
                <w:sz w:val="24"/>
                <w:szCs w:val="24"/>
                <w:highlight w:val="none"/>
                <w:lang w:val="en-US" w:eastAsia="zh-CN"/>
              </w:rPr>
              <w:t>(0-4]</w:t>
            </w:r>
            <w:r>
              <w:rPr>
                <w:rFonts w:hint="eastAsia" w:ascii="宋体" w:hAnsi="宋体" w:eastAsia="宋体" w:cs="宋体"/>
                <w:color w:val="auto"/>
                <w:kern w:val="2"/>
                <w:sz w:val="24"/>
                <w:szCs w:val="24"/>
                <w:highlight w:val="none"/>
                <w:shd w:val="clear" w:color="auto" w:fill="auto"/>
                <w:lang w:val="en-US" w:eastAsia="zh-CN" w:bidi="ar-SA"/>
              </w:rPr>
              <w:t>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4、未提供售后服务不得分。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rPr>
              <w:t>业绩部分</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rPr>
              <w:t>10%</w:t>
            </w:r>
          </w:p>
        </w:tc>
        <w:tc>
          <w:tcPr>
            <w:tcW w:w="5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rPr>
              <w:t>10分</w:t>
            </w:r>
          </w:p>
        </w:tc>
        <w:tc>
          <w:tcPr>
            <w:tcW w:w="31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供应商需</w:t>
            </w:r>
            <w:r>
              <w:rPr>
                <w:rFonts w:hint="eastAsia" w:ascii="宋体" w:hAnsi="宋体" w:eastAsia="宋体" w:cs="宋体"/>
                <w:b w:val="0"/>
                <w:bCs/>
                <w:color w:val="000000"/>
                <w:sz w:val="24"/>
                <w:szCs w:val="24"/>
                <w:highlight w:val="none"/>
              </w:rPr>
              <w:t>提供20</w:t>
            </w:r>
            <w:r>
              <w:rPr>
                <w:rFonts w:hint="eastAsia" w:ascii="宋体" w:hAnsi="宋体" w:eastAsia="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年1月1日以来独立承担过类似</w:t>
            </w:r>
            <w:r>
              <w:rPr>
                <w:rFonts w:hint="eastAsia" w:ascii="宋体" w:hAnsi="宋体" w:eastAsia="宋体" w:cs="宋体"/>
                <w:b w:val="0"/>
                <w:bCs/>
                <w:color w:val="000000"/>
                <w:sz w:val="24"/>
                <w:szCs w:val="24"/>
                <w:highlight w:val="none"/>
                <w:lang w:eastAsia="zh-CN"/>
              </w:rPr>
              <w:t>项目</w:t>
            </w:r>
            <w:r>
              <w:rPr>
                <w:rFonts w:hint="eastAsia" w:ascii="宋体" w:hAnsi="宋体" w:eastAsia="宋体" w:cs="宋体"/>
                <w:b w:val="0"/>
                <w:bCs/>
                <w:color w:val="000000"/>
                <w:sz w:val="24"/>
                <w:szCs w:val="24"/>
                <w:highlight w:val="none"/>
              </w:rPr>
              <w:t>业绩，每个业绩计</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分，最高计10分。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color w:val="000000"/>
                <w:sz w:val="24"/>
                <w:szCs w:val="24"/>
                <w:highlight w:val="none"/>
              </w:rPr>
              <w:t>注：</w:t>
            </w:r>
            <w:r>
              <w:rPr>
                <w:rFonts w:hint="eastAsia" w:ascii="宋体" w:hAnsi="宋体" w:eastAsia="宋体" w:cs="宋体"/>
                <w:b w:val="0"/>
                <w:bCs/>
                <w:color w:val="000000"/>
                <w:sz w:val="24"/>
                <w:szCs w:val="24"/>
                <w:highlight w:val="none"/>
                <w:lang w:val="en-US" w:eastAsia="zh-CN"/>
              </w:rPr>
              <w:t>类似业绩是指与本项目类似业绩，</w:t>
            </w:r>
            <w:r>
              <w:rPr>
                <w:rFonts w:hint="eastAsia" w:ascii="宋体" w:hAnsi="宋体" w:eastAsia="宋体" w:cs="宋体"/>
                <w:b w:val="0"/>
                <w:bCs/>
                <w:color w:val="000000"/>
                <w:sz w:val="24"/>
                <w:szCs w:val="24"/>
                <w:highlight w:val="none"/>
              </w:rPr>
              <w:t>业绩证明文件以合同为准，时间以合同签订时间为准；</w:t>
            </w:r>
            <w:r>
              <w:rPr>
                <w:rFonts w:hint="eastAsia" w:ascii="宋体" w:hAnsi="宋体" w:eastAsia="宋体" w:cs="宋体"/>
                <w:b w:val="0"/>
                <w:bCs/>
                <w:color w:val="000000"/>
                <w:sz w:val="24"/>
                <w:szCs w:val="24"/>
                <w:highlight w:val="none"/>
                <w:lang w:eastAsia="zh-CN"/>
              </w:rPr>
              <w:t>磋商响应文件</w:t>
            </w:r>
            <w:r>
              <w:rPr>
                <w:rFonts w:hint="eastAsia" w:ascii="宋体" w:hAnsi="宋体" w:eastAsia="宋体" w:cs="宋体"/>
                <w:b w:val="0"/>
                <w:bCs/>
                <w:color w:val="000000"/>
                <w:sz w:val="24"/>
                <w:szCs w:val="24"/>
                <w:highlight w:val="none"/>
              </w:rPr>
              <w:t>正本中的业绩证明文件复印件须加盖公章，未提供或不清晰导致无法识别的不予认可。</w:t>
            </w:r>
          </w:p>
        </w:tc>
      </w:tr>
    </w:tbl>
    <w:p>
      <w:pPr>
        <w:keepNext w:val="0"/>
        <w:keepLines w:val="0"/>
        <w:pageBreakBefore w:val="0"/>
        <w:widowControl w:val="0"/>
        <w:tabs>
          <w:tab w:val="left" w:pos="709"/>
        </w:tabs>
        <w:kinsoku/>
        <w:wordWrap/>
        <w:overflowPunct/>
        <w:topLinePunct w:val="0"/>
        <w:autoSpaceDE/>
        <w:autoSpaceDN/>
        <w:bidi w:val="0"/>
        <w:adjustRightInd w:val="0"/>
        <w:spacing w:line="360" w:lineRule="auto"/>
        <w:jc w:val="left"/>
        <w:textAlignment w:val="baseline"/>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政策性扣减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符合小型、微型企业</w:t>
      </w:r>
      <w:r>
        <w:rPr>
          <w:rFonts w:hint="eastAsia" w:ascii="宋体" w:hAnsi="宋体" w:eastAsia="宋体" w:cs="宋体"/>
          <w:sz w:val="24"/>
          <w:szCs w:val="24"/>
          <w:highlight w:val="none"/>
          <w:lang w:val="en-US" w:eastAsia="zh-CN"/>
        </w:rPr>
        <w:t>条件的，</w:t>
      </w:r>
      <w:r>
        <w:rPr>
          <w:rFonts w:hint="eastAsia" w:ascii="宋体" w:hAnsi="宋体" w:eastAsia="宋体" w:cs="宋体"/>
          <w:sz w:val="24"/>
          <w:szCs w:val="24"/>
          <w:highlight w:val="none"/>
        </w:rPr>
        <w:t>其磋商报价价格评审时将按相应比例进行扣减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具体详见本文件“供应商须知”十一条第2项内容。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符合监狱企业</w:t>
      </w:r>
      <w:r>
        <w:rPr>
          <w:rFonts w:hint="eastAsia" w:ascii="宋体" w:hAnsi="宋体" w:eastAsia="宋体" w:cs="宋体"/>
          <w:sz w:val="24"/>
          <w:szCs w:val="24"/>
          <w:highlight w:val="none"/>
          <w:lang w:val="en-US" w:eastAsia="zh-CN"/>
        </w:rPr>
        <w:t>或残疾人福利性单位</w:t>
      </w:r>
      <w:r>
        <w:rPr>
          <w:rFonts w:hint="eastAsia" w:ascii="宋体" w:hAnsi="宋体" w:eastAsia="宋体" w:cs="宋体"/>
          <w:sz w:val="24"/>
          <w:szCs w:val="24"/>
          <w:highlight w:val="none"/>
        </w:rPr>
        <w:t>条件的，其磋商报价价格评审时将按相应比例进行扣减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具体详见本文件“供应商须知”十一条第3项、第4项内容。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七、</w:t>
      </w:r>
      <w:r>
        <w:rPr>
          <w:rFonts w:hint="eastAsia" w:ascii="宋体" w:hAnsi="宋体" w:eastAsia="宋体" w:cs="宋体"/>
          <w:b/>
          <w:sz w:val="24"/>
          <w:szCs w:val="24"/>
          <w:highlight w:val="none"/>
        </w:rPr>
        <w:t>确定</w:t>
      </w:r>
      <w:r>
        <w:rPr>
          <w:rFonts w:hint="eastAsia" w:ascii="宋体" w:hAnsi="宋体" w:eastAsia="宋体" w:cs="宋体"/>
          <w:b/>
          <w:sz w:val="24"/>
          <w:szCs w:val="24"/>
          <w:highlight w:val="none"/>
          <w:lang w:eastAsia="zh-CN"/>
        </w:rPr>
        <w:t>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应当根据综合评分情况，按照评审得分由高到低顺序推荐3名以上成交候选供应商，并编写评审报告。符合《政府采购竞争性磋商采购方式管理暂行办法》的通知(财库〔2014〕214号)第二十一条第三款情形的，可以推荐2家成交候选供应商。评审得分相同的，按照最后报价由低到高的顺序推荐。评审得分且最后报价相同的，按照技术方案优劣顺序推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采购人将确定排名第一的成交候选人为成交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并向其授予合同。排名第一的成交候选人因不可抗力或者自身原因不能履行合同，采购人可以按照政府采购竞争性磋商采购方式管理暂行办法》的通知(财库〔2014〕214号)第二十八条第三款规定的原则确定其他供应商作为成交供应商并签订政府采购合同。</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采购人也可授权磋商小组按本条规定直接确定成交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八、</w:t>
      </w:r>
      <w:r>
        <w:rPr>
          <w:rFonts w:hint="eastAsia" w:ascii="宋体" w:hAnsi="宋体" w:eastAsia="宋体" w:cs="宋体"/>
          <w:b/>
          <w:bCs/>
          <w:sz w:val="24"/>
          <w:szCs w:val="24"/>
          <w:highlight w:val="none"/>
        </w:rPr>
        <w:t>响应文件属下列情形之一的，按无效磋商处理：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规定要求密封、签署、盖章的；</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不符合资格证明文件要求的；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3、以他人名义磋商的；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4、竞争性磋商响应文件有效期不符合磋商文件要求的；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5、有重大缺漏项的；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6、第一次报价超过采购预算（最高限价）的；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7、附有采购人、磋商组织机构不能接受的条款和要求的。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九、评审过程保密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1、响应截止时间之后，直到授予供应商合同止，凡是属于审查、澄清、评价和比较响应的有关资料以及授标意向等，均不向供应商或其他与评标无关的人员透露。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2、在评审期间，供应商企图影响采购人或磋商小组的任何活动，将导致响应被拒绝，并由其承担相应的法律责任。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eastAsia="zh-CN"/>
        </w:rPr>
      </w:pPr>
      <w:bookmarkStart w:id="27" w:name="_Toc13519"/>
      <w:bookmarkStart w:id="28" w:name="_Toc1613"/>
      <w:bookmarkStart w:id="29" w:name="_Toc13528"/>
      <w:bookmarkStart w:id="30" w:name="_Toc21873"/>
      <w:bookmarkStart w:id="31" w:name="_Toc6678"/>
      <w:r>
        <w:rPr>
          <w:rFonts w:hint="eastAsia" w:ascii="宋体" w:hAnsi="宋体" w:eastAsia="宋体" w:cs="宋体"/>
          <w:highlight w:val="none"/>
          <w:lang w:eastAsia="zh-CN"/>
        </w:rPr>
        <w:t>第四部分</w:t>
      </w:r>
      <w:r>
        <w:rPr>
          <w:rFonts w:hint="eastAsia" w:ascii="宋体" w:hAnsi="宋体" w:cs="宋体"/>
          <w:highlight w:val="none"/>
          <w:lang w:val="en-US" w:eastAsia="zh-CN"/>
        </w:rPr>
        <w:t xml:space="preserve">  </w:t>
      </w:r>
      <w:r>
        <w:rPr>
          <w:rFonts w:hint="eastAsia" w:ascii="宋体" w:hAnsi="宋体" w:eastAsia="宋体" w:cs="宋体"/>
          <w:highlight w:val="none"/>
          <w:lang w:eastAsia="zh-CN"/>
        </w:rPr>
        <w:t>采购内容及要求</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一、采购内容</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07"/>
        <w:gridCol w:w="2103"/>
        <w:gridCol w:w="109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序号</w:t>
            </w:r>
          </w:p>
        </w:tc>
        <w:tc>
          <w:tcPr>
            <w:tcW w:w="2881"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名称</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单位</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64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sz w:val="24"/>
                <w:szCs w:val="24"/>
                <w:highlight w:val="none"/>
              </w:rPr>
              <w:t>移动护士站业务系统租用服务</w:t>
            </w: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软件系统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PDA端</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lang w:val="en-US" w:eastAsia="zh-CN"/>
              </w:rPr>
              <w:t>PC端</w:t>
            </w:r>
            <w:r>
              <w:rPr>
                <w:rFonts w:hint="eastAsia" w:ascii="宋体" w:hAnsi="宋体" w:eastAsia="宋体" w:cs="宋体"/>
                <w:b w:val="0"/>
                <w:bCs w:val="0"/>
                <w:sz w:val="24"/>
                <w:szCs w:val="24"/>
                <w:highlight w:val="none"/>
                <w:lang w:eastAsia="zh-CN"/>
              </w:rPr>
              <w:t>）</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套</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p>
        </w:tc>
        <w:tc>
          <w:tcPr>
            <w:tcW w:w="164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手持终端</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部</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64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sz w:val="24"/>
                <w:szCs w:val="24"/>
                <w:highlight w:val="none"/>
              </w:rPr>
              <w:t>交互大屏智慧护理业务系统租用服务</w:t>
            </w: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sz w:val="24"/>
                <w:szCs w:val="24"/>
                <w:highlight w:val="none"/>
              </w:rPr>
              <w:t>软件系统</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套</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p>
        </w:tc>
        <w:tc>
          <w:tcPr>
            <w:tcW w:w="164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显示设备</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台</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881"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IWIFI业务租用服务</w:t>
            </w:r>
          </w:p>
        </w:tc>
        <w:tc>
          <w:tcPr>
            <w:tcW w:w="6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项</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二、服务要求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1、移动护士站技术要求</w:t>
      </w: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sz w:val="24"/>
          <w:szCs w:val="24"/>
          <w:highlight w:val="none"/>
          <w:lang w:val="en-US" w:eastAsia="zh-CN"/>
        </w:rPr>
        <w:t>（1</w:t>
      </w:r>
      <w:r>
        <w:rPr>
          <w:rFonts w:hint="eastAsia" w:ascii="宋体" w:hAnsi="宋体" w:eastAsia="宋体" w:cs="宋体"/>
          <w:sz w:val="24"/>
          <w:szCs w:val="24"/>
          <w:highlight w:val="none"/>
          <w:lang w:val="en-US" w:eastAsia="zh-CN"/>
        </w:rPr>
        <w:t>）PDA端软件功能要求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7"/>
        <w:gridCol w:w="1232"/>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179" w:type="pct"/>
            <w:gridSpan w:val="2"/>
            <w:shd w:val="clear" w:color="auto" w:fill="auto"/>
            <w:noWrap w:val="0"/>
            <w:vAlign w:val="center"/>
          </w:tcPr>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ascii="宋体" w:hAnsi="宋体" w:cs="宋体"/>
                <w:b/>
                <w:color w:val="auto"/>
                <w:kern w:val="0"/>
                <w:sz w:val="24"/>
                <w:szCs w:val="24"/>
                <w:highlight w:val="none"/>
              </w:rPr>
            </w:pPr>
            <w:bookmarkStart w:id="32" w:name="_Hlk46130109"/>
            <w:r>
              <w:rPr>
                <w:rFonts w:hint="eastAsia" w:ascii="宋体" w:hAnsi="宋体" w:cs="宋体"/>
                <w:b/>
                <w:color w:val="auto"/>
                <w:kern w:val="0"/>
                <w:sz w:val="24"/>
                <w:szCs w:val="24"/>
                <w:highlight w:val="none"/>
              </w:rPr>
              <w:t>功能列表</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hint="eastAsia" w:ascii="宋体" w:hAnsi="宋体" w:cs="宋体" w:eastAsiaTheme="minorEastAsia"/>
                <w:b/>
                <w:color w:val="auto"/>
                <w:kern w:val="0"/>
                <w:sz w:val="24"/>
                <w:szCs w:val="24"/>
                <w:highlight w:val="none"/>
                <w:lang w:eastAsia="zh-CN"/>
              </w:rPr>
            </w:pPr>
            <w:r>
              <w:rPr>
                <w:rFonts w:hint="eastAsia" w:ascii="宋体" w:hAnsi="宋体" w:cs="宋体"/>
                <w:b/>
                <w:color w:val="auto"/>
                <w:kern w:val="0"/>
                <w:sz w:val="24"/>
                <w:szCs w:val="24"/>
                <w:highlight w:val="none"/>
              </w:rPr>
              <w:t>功能</w:t>
            </w:r>
            <w:r>
              <w:rPr>
                <w:rFonts w:hint="eastAsia" w:ascii="宋体" w:hAnsi="宋体" w:cs="宋体"/>
                <w:b/>
                <w:color w:val="auto"/>
                <w:kern w:val="0"/>
                <w:sz w:val="24"/>
                <w:szCs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（一）</w:t>
            </w:r>
            <w:r>
              <w:rPr>
                <w:rFonts w:hint="eastAsia" w:ascii="宋体" w:hAnsi="宋体" w:cs="宋体"/>
                <w:b/>
                <w:color w:val="auto"/>
                <w:kern w:val="0"/>
                <w:sz w:val="24"/>
                <w:szCs w:val="24"/>
                <w:highlight w:val="none"/>
              </w:rPr>
              <w:t>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用户登录</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支持</w:t>
            </w:r>
            <w:r>
              <w:rPr>
                <w:rFonts w:hint="eastAsia" w:ascii="宋体" w:hAnsi="宋体"/>
                <w:color w:val="auto"/>
                <w:sz w:val="24"/>
                <w:szCs w:val="24"/>
                <w:highlight w:val="none"/>
              </w:rPr>
              <w:t>账号密码登录</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手动登录/扫描快捷登录/账号密码加密验证登录。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今日待办</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医嘱待办提醒（医嘱当天的详细执行情况</w:t>
            </w:r>
            <w:r>
              <w:rPr>
                <w:rFonts w:hint="eastAsia" w:ascii="宋体" w:hAnsi="宋体"/>
                <w:color w:val="auto"/>
                <w:sz w:val="24"/>
                <w:szCs w:val="24"/>
                <w:highlight w:val="none"/>
                <w:lang w:eastAsia="zh-CN"/>
              </w:rPr>
              <w:t>例</w:t>
            </w:r>
            <w:r>
              <w:rPr>
                <w:rFonts w:hint="eastAsia" w:ascii="宋体" w:hAnsi="宋体"/>
                <w:color w:val="auto"/>
                <w:sz w:val="24"/>
                <w:szCs w:val="24"/>
                <w:highlight w:val="none"/>
              </w:rPr>
              <w:t>如：待配液，未执行，开始执行，暂停执行，执行完毕等）。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（二）</w:t>
            </w:r>
            <w:r>
              <w:rPr>
                <w:rFonts w:hint="eastAsia" w:ascii="宋体" w:hAnsi="宋体" w:cs="宋体"/>
                <w:b/>
                <w:color w:val="auto"/>
                <w:kern w:val="0"/>
                <w:sz w:val="24"/>
                <w:szCs w:val="24"/>
                <w:highlight w:val="none"/>
              </w:rPr>
              <w:t>病人管理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患者列表</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患者总览功能</w:t>
            </w:r>
            <w:r>
              <w:rPr>
                <w:rFonts w:hint="eastAsia" w:ascii="宋体" w:hAnsi="宋体"/>
                <w:color w:val="auto"/>
                <w:sz w:val="24"/>
                <w:szCs w:val="24"/>
                <w:highlight w:val="none"/>
                <w:lang w:eastAsia="zh-CN"/>
              </w:rPr>
              <w:t>至少</w:t>
            </w:r>
            <w:r>
              <w:rPr>
                <w:rFonts w:hint="eastAsia" w:ascii="宋体" w:hAnsi="宋体"/>
                <w:color w:val="auto"/>
                <w:sz w:val="24"/>
                <w:szCs w:val="24"/>
                <w:highlight w:val="none"/>
              </w:rPr>
              <w:t>包含患者总人数，患者住院号姓名、床号、性别、年龄、和护理级别以及未核对完毕的标本，长期医嘱，临时医嘱数据等信息</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患者信息</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olor w:val="auto"/>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患者姓名、住院ID、床号、入院时间、诊断、护理级别、过敏史等基本信息的查看功能。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患者筛选</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olor w:val="auto"/>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同患者列表所有查看，筛选</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门诊座位</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olor w:val="auto"/>
                <w:sz w:val="24"/>
                <w:szCs w:val="24"/>
                <w:highlight w:val="none"/>
              </w:rPr>
            </w:pPr>
            <w:r>
              <w:rPr>
                <w:rFonts w:hint="eastAsia" w:ascii="宋体" w:hAnsi="宋体"/>
                <w:color w:val="auto"/>
                <w:sz w:val="24"/>
                <w:szCs w:val="24"/>
                <w:highlight w:val="none"/>
                <w:lang w:eastAsia="zh-CN"/>
              </w:rPr>
              <w:t>至少</w:t>
            </w:r>
            <w:r>
              <w:rPr>
                <w:rFonts w:hint="eastAsia" w:ascii="宋体" w:hAnsi="宋体"/>
                <w:color w:val="auto"/>
                <w:sz w:val="24"/>
                <w:szCs w:val="24"/>
                <w:highlight w:val="none"/>
              </w:rPr>
              <w:t>显示门诊患者的信息和座位的释放状态。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住院经费</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olor w:val="auto"/>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展示住院病人的经费信息，显示当前患者费用合计、预交金，医保类型等。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（三）</w:t>
            </w:r>
            <w:r>
              <w:rPr>
                <w:rFonts w:hint="eastAsia" w:ascii="宋体" w:hAnsi="宋体" w:cs="宋体"/>
                <w:b/>
                <w:color w:val="auto"/>
                <w:kern w:val="0"/>
                <w:sz w:val="24"/>
                <w:szCs w:val="24"/>
                <w:highlight w:val="none"/>
              </w:rPr>
              <w:t>医嘱执行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新医嘱提醒</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使用过程中同步新医嘱信息，并声音提示护士新医嘱到达。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摆药核查</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当前患者医嘱一览，</w:t>
            </w: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展示医嘱内容、医嘱开始时间、用法、频率、当前执行次数、核对执行记录等信息。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配液核对</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展示医嘱内容、医嘱开始时间、用法、频率、当前执行次数、核对执行记录等信息。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医嘱执行</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展示医嘱内容、医嘱开始时间、用法、频率、当前执行次数、核对执行记录等信息。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口服给药</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此功能项和医嘱执行功能一致，只显示口服类医嘱。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注射医嘱</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此功能项和医嘱执行功能一致，只显示注射类医嘱。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皮试药品</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此功能项和医嘱执行功能一致，只显示皮试类医嘱。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护理药品</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此功能项和医嘱执行功能一致，只显示护理类医嘱</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精麻药品</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此功能项和医嘱执行功能一致，只显示精麻药品医嘱</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17</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输血备血</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eastAsia" w:ascii="宋体" w:hAnsi="宋体" w:cs="宋体" w:eastAsiaTheme="minorEastAsia"/>
                <w:color w:val="auto"/>
                <w:kern w:val="0"/>
                <w:sz w:val="24"/>
                <w:szCs w:val="24"/>
                <w:highlight w:val="none"/>
                <w:lang w:eastAsia="zh-CN"/>
              </w:rPr>
            </w:pPr>
            <w:r>
              <w:rPr>
                <w:rFonts w:hint="eastAsia" w:ascii="宋体" w:hAnsi="宋体"/>
                <w:color w:val="auto"/>
                <w:sz w:val="24"/>
                <w:szCs w:val="24"/>
                <w:highlight w:val="none"/>
              </w:rPr>
              <w:t>此功能项和医嘱执行功能一致，只显示输血备血医嘱</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18</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输液医嘱查询</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展示长期和临时医嘱，展示当前患者的今日输液医嘱，具备医嘱所有执行记录查看</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医嘱查询</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展示长期和临时医嘱，具备执行状态筛选（待配液、未执行、开始执行、暂停执行、执行完毕）。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拒绝执行医嘱列表</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eastAsia" w:ascii="宋体" w:hAnsi="宋体" w:cs="宋体" w:eastAsiaTheme="minorEastAsia"/>
                <w:color w:val="auto"/>
                <w:kern w:val="0"/>
                <w:sz w:val="24"/>
                <w:szCs w:val="24"/>
                <w:highlight w:val="none"/>
                <w:lang w:eastAsia="zh-CN"/>
              </w:rPr>
            </w:pPr>
            <w:r>
              <w:rPr>
                <w:rFonts w:hint="eastAsia" w:ascii="宋体" w:hAnsi="宋体"/>
                <w:color w:val="auto"/>
                <w:sz w:val="24"/>
                <w:szCs w:val="24"/>
                <w:highlight w:val="none"/>
                <w:lang w:eastAsia="zh-CN"/>
              </w:rPr>
              <w:t>至少包含</w:t>
            </w:r>
            <w:r>
              <w:rPr>
                <w:rFonts w:hint="eastAsia" w:ascii="宋体" w:hAnsi="宋体"/>
                <w:color w:val="auto"/>
                <w:sz w:val="24"/>
                <w:szCs w:val="24"/>
                <w:highlight w:val="none"/>
              </w:rPr>
              <w:t>展示拒绝执行的医嘱</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（四）</w:t>
            </w:r>
            <w:r>
              <w:rPr>
                <w:rFonts w:hint="eastAsia" w:ascii="宋体" w:hAnsi="宋体" w:cs="宋体"/>
                <w:b/>
                <w:color w:val="auto"/>
                <w:kern w:val="0"/>
                <w:sz w:val="24"/>
                <w:szCs w:val="24"/>
                <w:highlight w:val="none"/>
              </w:rPr>
              <w:t>标本管理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标本核对</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olor w:val="auto"/>
                <w:sz w:val="24"/>
                <w:szCs w:val="24"/>
                <w:highlight w:val="none"/>
                <w:lang w:eastAsia="zh-CN"/>
              </w:rPr>
              <w:t>至少包含</w:t>
            </w:r>
            <w:r>
              <w:rPr>
                <w:rFonts w:hint="eastAsia" w:ascii="宋体" w:hAnsi="宋体" w:cs="宋体"/>
                <w:color w:val="auto"/>
                <w:kern w:val="0"/>
                <w:sz w:val="24"/>
                <w:szCs w:val="24"/>
                <w:highlight w:val="none"/>
              </w:rPr>
              <w:t>单个患者标本</w:t>
            </w:r>
            <w:r>
              <w:rPr>
                <w:rFonts w:hint="eastAsia" w:ascii="宋体" w:hAnsi="宋体"/>
                <w:color w:val="auto"/>
                <w:sz w:val="24"/>
                <w:szCs w:val="24"/>
                <w:highlight w:val="none"/>
              </w:rPr>
              <w:t>展示科室患者医嘱执行记录</w:t>
            </w:r>
            <w:r>
              <w:rPr>
                <w:rFonts w:hint="eastAsia" w:ascii="宋体" w:hAnsi="宋体"/>
                <w:color w:val="auto"/>
                <w:sz w:val="24"/>
                <w:szCs w:val="24"/>
                <w:highlight w:val="none"/>
                <w:lang w:eastAsia="zh-CN"/>
              </w:rPr>
              <w:t>、一</w:t>
            </w:r>
            <w:r>
              <w:rPr>
                <w:rFonts w:hint="eastAsia" w:ascii="宋体" w:hAnsi="宋体" w:cs="宋体"/>
                <w:color w:val="auto"/>
                <w:kern w:val="0"/>
                <w:sz w:val="24"/>
                <w:szCs w:val="24"/>
                <w:highlight w:val="none"/>
              </w:rPr>
              <w:t>览功能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标本检查内容、检查科室、申请时间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核对状态</w:t>
            </w:r>
            <w:r>
              <w:rPr>
                <w:rFonts w:hint="eastAsia" w:ascii="宋体" w:hAnsi="宋体" w:cs="宋体"/>
                <w:color w:val="auto"/>
                <w:kern w:val="0"/>
                <w:sz w:val="24"/>
                <w:szCs w:val="24"/>
                <w:highlight w:val="none"/>
                <w:lang w:eastAsia="zh-CN"/>
              </w:rPr>
              <w:t>、扫描功能</w:t>
            </w:r>
            <w:r>
              <w:rPr>
                <w:rFonts w:hint="eastAsia" w:ascii="宋体" w:hAnsi="宋体" w:cs="宋体"/>
                <w:color w:val="auto"/>
                <w:kern w:val="0"/>
                <w:sz w:val="24"/>
                <w:szCs w:val="24"/>
                <w:highlight w:val="none"/>
              </w:rPr>
              <w:t>等信息。</w:t>
            </w:r>
          </w:p>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扫描功能</w:t>
            </w:r>
            <w:r>
              <w:rPr>
                <w:rFonts w:hint="eastAsia" w:ascii="宋体" w:hAnsi="宋体" w:cs="宋体"/>
                <w:color w:val="auto"/>
                <w:kern w:val="0"/>
                <w:sz w:val="24"/>
                <w:szCs w:val="24"/>
                <w:highlight w:val="none"/>
                <w:lang w:eastAsia="zh-CN"/>
              </w:rPr>
              <w:t>至少包含：</w:t>
            </w:r>
            <w:r>
              <w:rPr>
                <w:rFonts w:hint="eastAsia" w:ascii="宋体" w:hAnsi="宋体" w:cs="宋体"/>
                <w:color w:val="auto"/>
                <w:kern w:val="0"/>
                <w:sz w:val="24"/>
                <w:szCs w:val="24"/>
                <w:highlight w:val="none"/>
              </w:rPr>
              <w:t>①扫描腕带切换到指定患者。②扫描标本条码，切换到对应标本下的患者，和对应的标本信息。③手动执行，扫描执行。④执行标本前先绑定患者腕带功能。⑤能够区分护士是扫描执行条码还是手动执行条码的功能。⑥扫描条码执行标本时是否需要确认提示对话框功能。⑦标本送检功能，核对完标本，提供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标本送检</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至少</w:t>
            </w:r>
            <w:r>
              <w:rPr>
                <w:rFonts w:hint="eastAsia" w:ascii="宋体" w:hAnsi="宋体" w:cs="宋体"/>
                <w:color w:val="auto"/>
                <w:kern w:val="0"/>
                <w:sz w:val="24"/>
                <w:szCs w:val="24"/>
                <w:highlight w:val="none"/>
              </w:rPr>
              <w:t>包含标本核对功能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标本送检</w:t>
            </w:r>
            <w:r>
              <w:rPr>
                <w:rFonts w:hint="eastAsia" w:ascii="宋体" w:hAnsi="宋体" w:cs="宋体"/>
                <w:color w:val="auto"/>
                <w:kern w:val="0"/>
                <w:sz w:val="24"/>
                <w:szCs w:val="24"/>
                <w:highlight w:val="none"/>
                <w:lang w:eastAsia="zh-CN"/>
              </w:rPr>
              <w:t>等功能</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标本登记</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至少</w:t>
            </w:r>
            <w:r>
              <w:rPr>
                <w:rFonts w:hint="eastAsia" w:ascii="宋体" w:hAnsi="宋体" w:cs="宋体"/>
                <w:color w:val="auto"/>
                <w:kern w:val="0"/>
                <w:sz w:val="24"/>
                <w:szCs w:val="24"/>
                <w:highlight w:val="none"/>
              </w:rPr>
              <w:t>包含标本采集功能，His提供登记接口，调用接口，Hi</w:t>
            </w:r>
            <w:r>
              <w:rPr>
                <w:rFonts w:hint="eastAsia" w:ascii="宋体" w:hAnsi="宋体" w:cs="宋体"/>
                <w:color w:val="auto"/>
                <w:kern w:val="0"/>
                <w:sz w:val="24"/>
                <w:szCs w:val="24"/>
                <w:highlight w:val="none"/>
                <w:lang w:val="en-US" w:eastAsia="zh-CN"/>
              </w:rPr>
              <w:t>s</w:t>
            </w:r>
            <w:r>
              <w:rPr>
                <w:rFonts w:hint="eastAsia" w:ascii="宋体" w:hAnsi="宋体" w:cs="宋体"/>
                <w:color w:val="auto"/>
                <w:kern w:val="0"/>
                <w:sz w:val="24"/>
                <w:szCs w:val="24"/>
                <w:highlight w:val="none"/>
              </w:rPr>
              <w:t>返回是否登记成功，重复登记结果。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检验检查</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至少</w:t>
            </w:r>
            <w:r>
              <w:rPr>
                <w:rFonts w:hint="eastAsia" w:ascii="宋体" w:hAnsi="宋体" w:cs="宋体"/>
                <w:color w:val="auto"/>
                <w:kern w:val="0"/>
                <w:sz w:val="24"/>
                <w:szCs w:val="24"/>
                <w:highlight w:val="none"/>
              </w:rPr>
              <w:t>包含提供检验科和其他科室的检验名称，科室名称和申请时间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展示患者的检查检验报告，以及诊断意见。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（五）</w:t>
            </w:r>
            <w:r>
              <w:rPr>
                <w:rFonts w:hint="eastAsia" w:ascii="宋体" w:hAnsi="宋体" w:cs="宋体"/>
                <w:b/>
                <w:color w:val="auto"/>
                <w:kern w:val="0"/>
                <w:sz w:val="24"/>
                <w:szCs w:val="24"/>
                <w:highlight w:val="none"/>
              </w:rPr>
              <w:t>体征管理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体征录入</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至少</w:t>
            </w:r>
            <w:r>
              <w:rPr>
                <w:rFonts w:hint="eastAsia" w:ascii="宋体" w:hAnsi="宋体" w:cs="宋体"/>
                <w:color w:val="auto"/>
                <w:kern w:val="0"/>
                <w:sz w:val="24"/>
                <w:szCs w:val="24"/>
                <w:highlight w:val="none"/>
              </w:rPr>
              <w:t>包含快速录入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校验判断</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大小值和异常值范围判断</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护士更改录入时间或者是否需要录入归属时间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提供历史查看功能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删除</w:t>
            </w:r>
            <w:r>
              <w:rPr>
                <w:rFonts w:hint="eastAsia" w:ascii="宋体" w:hAnsi="宋体" w:cs="宋体"/>
                <w:color w:val="auto"/>
                <w:kern w:val="0"/>
                <w:sz w:val="24"/>
                <w:szCs w:val="24"/>
                <w:highlight w:val="none"/>
                <w:lang w:eastAsia="zh-CN"/>
              </w:rPr>
              <w:t>及</w:t>
            </w:r>
            <w:r>
              <w:rPr>
                <w:rFonts w:hint="eastAsia" w:ascii="宋体" w:hAnsi="宋体" w:cs="宋体"/>
                <w:color w:val="auto"/>
                <w:kern w:val="0"/>
                <w:sz w:val="24"/>
                <w:szCs w:val="24"/>
                <w:highlight w:val="none"/>
              </w:rPr>
              <w:t>修改历史录入的体征项（使用时需考虑是否回传到HIS）</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根据不同模板和归属时间来筛选要录入体征项功能。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批量体征录入</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至少包含</w:t>
            </w:r>
            <w:r>
              <w:rPr>
                <w:rFonts w:hint="eastAsia" w:ascii="宋体" w:hAnsi="宋体" w:cs="宋体"/>
                <w:color w:val="auto"/>
                <w:kern w:val="0"/>
                <w:sz w:val="24"/>
                <w:szCs w:val="24"/>
                <w:highlight w:val="none"/>
              </w:rPr>
              <w:t>录入多个患者，多个体征项同一批次的功能。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27</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血压测量</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血压测量功能，连接外接血压设备，测量结束，自动回传到系统。（通过蓝牙设备提供的功能，可遥控设备）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28</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血糖测量</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血糖测量功能，连接外接血糖设备，测量结束，自动回传到系统。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29</w:t>
            </w:r>
          </w:p>
        </w:tc>
        <w:tc>
          <w:tcPr>
            <w:tcW w:w="723" w:type="pct"/>
            <w:shd w:val="clear" w:color="auto" w:fill="auto"/>
            <w:noWrap w:val="0"/>
            <w:vAlign w:val="center"/>
          </w:tcPr>
          <w:p>
            <w:pPr>
              <w:keepNext w:val="0"/>
              <w:keepLines w:val="0"/>
              <w:pageBreakBefore w:val="0"/>
              <w:widowControl w:val="0"/>
              <w:tabs>
                <w:tab w:val="left" w:pos="1202"/>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耳温测量</w:t>
            </w:r>
          </w:p>
        </w:tc>
        <w:tc>
          <w:tcPr>
            <w:tcW w:w="3820" w:type="pct"/>
            <w:shd w:val="clear" w:color="auto" w:fill="auto"/>
            <w:noWrap w:val="0"/>
            <w:vAlign w:val="center"/>
          </w:tcPr>
          <w:p>
            <w:pPr>
              <w:keepNext w:val="0"/>
              <w:keepLines w:val="0"/>
              <w:pageBreakBefore w:val="0"/>
              <w:widowControl w:val="0"/>
              <w:tabs>
                <w:tab w:val="left" w:pos="1202"/>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体温/耳温等测量功能，连接外接体温/耳温等设备，测量结束，自动回传到系统。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血糖监测</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血糖测量界面，可以连接蓝牙设备，测量血糖并获取测量结果。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体质评估</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展示录入患者评估单项，如（患者平常的，气虚状况，过敏状况等）和时间的功能。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体征查询</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展示历史录入体征数据功能；显示后台三测单功能。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p>
        </w:tc>
        <w:tc>
          <w:tcPr>
            <w:tcW w:w="723" w:type="pct"/>
            <w:shd w:val="clear" w:color="auto" w:fill="auto"/>
            <w:noWrap w:val="0"/>
            <w:vAlign w:val="center"/>
          </w:tcPr>
          <w:p>
            <w:pPr>
              <w:keepNext w:val="0"/>
              <w:keepLines w:val="0"/>
              <w:pageBreakBefore w:val="0"/>
              <w:widowControl w:val="0"/>
              <w:tabs>
                <w:tab w:val="left" w:pos="1838"/>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批量体征查询</w:t>
            </w:r>
          </w:p>
        </w:tc>
        <w:tc>
          <w:tcPr>
            <w:tcW w:w="3820" w:type="pct"/>
            <w:shd w:val="clear" w:color="auto" w:fill="auto"/>
            <w:noWrap w:val="0"/>
            <w:vAlign w:val="center"/>
          </w:tcPr>
          <w:p>
            <w:pPr>
              <w:keepNext w:val="0"/>
              <w:keepLines w:val="0"/>
              <w:pageBreakBefore w:val="0"/>
              <w:widowControl w:val="0"/>
              <w:tabs>
                <w:tab w:val="left" w:pos="1838"/>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展示录入批量体征护士的姓名和时间列表展示。</w:t>
            </w:r>
          </w:p>
          <w:p>
            <w:pPr>
              <w:keepNext w:val="0"/>
              <w:keepLines w:val="0"/>
              <w:pageBreakBefore w:val="0"/>
              <w:widowControl w:val="0"/>
              <w:tabs>
                <w:tab w:val="left" w:pos="1838"/>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具备删除同一批次录入的批量数据功能。</w:t>
            </w:r>
          </w:p>
          <w:p>
            <w:pPr>
              <w:keepNext w:val="0"/>
              <w:keepLines w:val="0"/>
              <w:pageBreakBefore w:val="0"/>
              <w:widowControl w:val="0"/>
              <w:tabs>
                <w:tab w:val="left" w:pos="1838"/>
              </w:tabs>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查看每一个录入护士录入体征详情的功能。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体征异常</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根据护理规范，对于体征异常的患者，如：体温、脉搏、大便等体征性，提供一览功能。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发烧提醒</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根据配置的发烧等级护理规范，对于发烧的患者，提供一览功能。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His体征查询</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展示His同步过来的体征项。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EMR体征查询</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与His体征查询相同。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（六）</w:t>
            </w:r>
            <w:r>
              <w:rPr>
                <w:rFonts w:hint="eastAsia" w:ascii="宋体" w:hAnsi="宋体" w:cs="宋体"/>
                <w:b/>
                <w:color w:val="auto"/>
                <w:kern w:val="0"/>
                <w:sz w:val="24"/>
                <w:szCs w:val="24"/>
                <w:highlight w:val="none"/>
              </w:rPr>
              <w:t>护理管理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护理记录</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展示护理记录单一览，展示如：护理记录单名称、添加护士、提交时间，默认显示当天录入记录单。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39</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护理评估</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显示添加的护理评估单列表。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护理评估单</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显示当前病区所有评估单模板；选择评估单模板进行评估数据录入。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41</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护理操作</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展示患者需要护理操作的项目。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不良事件</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展示护士需要选择的不良事件项目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43</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护理措施</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可根据护理评估，生成护理措施。（根据评估得分区间服务端自动生成护理措施项）。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His护理记录查询</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展示His同步过来的护理记录数据。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（七）</w:t>
            </w:r>
            <w:r>
              <w:rPr>
                <w:rFonts w:hint="eastAsia" w:ascii="宋体" w:hAnsi="宋体" w:cs="宋体"/>
                <w:b/>
                <w:color w:val="auto"/>
                <w:kern w:val="0"/>
                <w:sz w:val="24"/>
                <w:szCs w:val="24"/>
                <w:highlight w:val="none"/>
              </w:rPr>
              <w:t>巡视管理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45</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olor w:val="auto"/>
                <w:sz w:val="24"/>
                <w:szCs w:val="24"/>
                <w:highlight w:val="none"/>
              </w:rPr>
            </w:pPr>
            <w:r>
              <w:rPr>
                <w:rFonts w:hint="eastAsia" w:ascii="宋体" w:hAnsi="宋体"/>
                <w:color w:val="auto"/>
                <w:sz w:val="24"/>
                <w:szCs w:val="24"/>
                <w:highlight w:val="none"/>
              </w:rPr>
              <w:t>患者巡视</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olor w:val="auto"/>
                <w:sz w:val="24"/>
                <w:szCs w:val="24"/>
                <w:highlight w:val="none"/>
              </w:rPr>
            </w:pPr>
            <w:r>
              <w:rPr>
                <w:rFonts w:hint="eastAsia" w:ascii="宋体" w:hAnsi="宋体"/>
                <w:color w:val="auto"/>
                <w:sz w:val="24"/>
                <w:szCs w:val="24"/>
                <w:highlight w:val="none"/>
              </w:rPr>
              <w:t>展示患者需要巡视项目。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46</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病房巡视</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具备查看护士是否巡视病房和巡视病房时间功能。护士每次巡视完病房就会去扫描病房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47</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定时巡视</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具备选择需要去巡视的护理级别分类选择功能。每次去做定时巡视时候首先要去选择巡视的护理级别。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（八）</w:t>
            </w:r>
            <w:r>
              <w:rPr>
                <w:rFonts w:hint="eastAsia" w:ascii="宋体" w:hAnsi="宋体" w:cs="宋体"/>
                <w:b/>
                <w:color w:val="auto"/>
                <w:kern w:val="0"/>
                <w:sz w:val="24"/>
                <w:szCs w:val="24"/>
                <w:highlight w:val="none"/>
              </w:rPr>
              <w:t>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工作量统计</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提供医嘱执行情况的工作量统计，方便查看已执行的和未执行的医嘱；提供标本检查核对的工作量统计；提供体征录入和患者巡视的工作量统计。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（九）</w:t>
            </w:r>
            <w:r>
              <w:rPr>
                <w:rFonts w:hint="eastAsia" w:ascii="宋体" w:hAnsi="宋体" w:cs="宋体"/>
                <w:b/>
                <w:color w:val="auto"/>
                <w:kern w:val="0"/>
                <w:sz w:val="24"/>
                <w:szCs w:val="24"/>
                <w:highlight w:val="none"/>
              </w:rPr>
              <w:t>健康宣教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49</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健康宣教</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展示患者注意事项宣传及健康知识普及，以及提供疾病术后的宣教。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（十）</w:t>
            </w:r>
            <w:r>
              <w:rPr>
                <w:rFonts w:hint="eastAsia" w:ascii="宋体" w:hAnsi="宋体" w:cs="宋体"/>
                <w:b/>
                <w:color w:val="auto"/>
                <w:kern w:val="0"/>
                <w:sz w:val="24"/>
                <w:szCs w:val="24"/>
                <w:highlight w:val="none"/>
              </w:rPr>
              <w:t>系统设置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50</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系统设置</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hint="eastAsia" w:ascii="宋体" w:hAnsi="宋体" w:cs="宋体" w:eastAsiaTheme="minorEastAsia"/>
                <w:color w:val="auto"/>
                <w:kern w:val="0"/>
                <w:sz w:val="24"/>
                <w:szCs w:val="24"/>
                <w:highlight w:val="none"/>
                <w:lang w:eastAsia="zh-CN"/>
              </w:rPr>
            </w:pPr>
            <w:r>
              <w:rPr>
                <w:rFonts w:hint="eastAsia" w:ascii="宋体" w:hAnsi="宋体" w:cs="宋体"/>
                <w:color w:val="auto"/>
                <w:kern w:val="0"/>
                <w:sz w:val="24"/>
                <w:szCs w:val="24"/>
                <w:highlight w:val="none"/>
              </w:rPr>
              <w:t>展示当前信息</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3"/>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（十一）</w:t>
            </w:r>
            <w:r>
              <w:rPr>
                <w:rFonts w:hint="eastAsia" w:ascii="宋体" w:hAnsi="宋体" w:cs="宋体"/>
                <w:b/>
                <w:color w:val="auto"/>
                <w:kern w:val="0"/>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51</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血袋签收</w:t>
            </w:r>
          </w:p>
        </w:tc>
        <w:tc>
          <w:tcPr>
            <w:tcW w:w="38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进行当前科室，血袋，核对签收功能。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52</w:t>
            </w:r>
          </w:p>
        </w:tc>
        <w:tc>
          <w:tcPr>
            <w:tcW w:w="72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人脸注册</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查看患者列表，选择患者进行面部信息采集并上传到服务端，实现患者面部信息绑定功能。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53</w:t>
            </w:r>
          </w:p>
        </w:tc>
        <w:tc>
          <w:tcPr>
            <w:tcW w:w="723"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面部识别切换患者</w:t>
            </w:r>
          </w:p>
        </w:tc>
        <w:tc>
          <w:tcPr>
            <w:tcW w:w="3820" w:type="pct"/>
            <w:shd w:val="clear" w:color="auto" w:fill="auto"/>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该功能同扫描患者腕带识别患者，在患者腕带损坏时，可以采用面部识别的方式确认患者。</w:t>
            </w:r>
          </w:p>
        </w:tc>
      </w:tr>
      <w:bookmarkEnd w:id="32"/>
    </w:tbl>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sz w:val="24"/>
          <w:szCs w:val="24"/>
          <w:highlight w:val="none"/>
          <w:lang w:val="en-US" w:eastAsia="zh-CN"/>
        </w:rPr>
      </w:pP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 xml:space="preserve"> PC端软件功能要求</w:t>
      </w:r>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555"/>
        <w:gridCol w:w="975"/>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89" w:type="pct"/>
            <w:gridSpan w:val="3"/>
            <w:shd w:val="clear" w:color="auto" w:fill="auto"/>
            <w:noWrap w:val="0"/>
            <w:vAlign w:val="center"/>
          </w:tcPr>
          <w:p>
            <w:pPr>
              <w:widowControl/>
              <w:spacing w:line="360" w:lineRule="auto"/>
              <w:jc w:val="center"/>
              <w:rPr>
                <w:rFonts w:hint="eastAsia" w:ascii="宋体" w:hAnsi="宋体" w:cs="宋体" w:eastAsiaTheme="minorEastAsia"/>
                <w:b/>
                <w:bCs/>
                <w:color w:val="000000"/>
                <w:kern w:val="0"/>
                <w:sz w:val="24"/>
                <w:highlight w:val="none"/>
                <w:lang w:eastAsia="zh-CN"/>
              </w:rPr>
            </w:pPr>
            <w:bookmarkStart w:id="33" w:name="_Hlk46130159"/>
            <w:r>
              <w:rPr>
                <w:rFonts w:hint="eastAsia" w:ascii="宋体" w:hAnsi="宋体" w:cs="宋体"/>
                <w:b/>
                <w:bCs/>
                <w:color w:val="000000"/>
                <w:kern w:val="0"/>
                <w:sz w:val="24"/>
                <w:highlight w:val="none"/>
                <w:lang w:eastAsia="zh-CN"/>
              </w:rPr>
              <w:t>功能列表</w:t>
            </w:r>
          </w:p>
        </w:tc>
        <w:tc>
          <w:tcPr>
            <w:tcW w:w="3710"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2" w:hRule="atLeast"/>
        </w:trPr>
        <w:tc>
          <w:tcPr>
            <w:tcW w:w="390" w:type="pct"/>
            <w:shd w:val="clear" w:color="auto" w:fill="auto"/>
            <w:noWrap w:val="0"/>
            <w:vAlign w:val="center"/>
          </w:tcPr>
          <w:p>
            <w:pPr>
              <w:widowControl/>
              <w:spacing w:line="360" w:lineRule="auto"/>
              <w:jc w:val="center"/>
              <w:rPr>
                <w:rFonts w:hint="eastAsia"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患者信息</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可实时查看患者的基本信息，并标明患者的护理等级、病情状况以及过敏情况，是否欠费等相关信息</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提供按护理等级、危重病人、新入院病人等分类查询显示</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病人分组维护及查询</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390" w:type="pct"/>
            <w:shd w:val="clear" w:color="auto" w:fill="auto"/>
            <w:noWrap w:val="0"/>
            <w:vAlign w:val="center"/>
          </w:tcPr>
          <w:p>
            <w:pPr>
              <w:widowControl/>
              <w:spacing w:line="360" w:lineRule="auto"/>
              <w:jc w:val="center"/>
              <w:rPr>
                <w:rFonts w:hint="eastAsia"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2</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床头卡打印</w:t>
            </w:r>
          </w:p>
        </w:tc>
        <w:tc>
          <w:tcPr>
            <w:tcW w:w="3710" w:type="pct"/>
            <w:shd w:val="clear" w:color="auto" w:fill="auto"/>
            <w:noWrap w:val="0"/>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支持在护士站打印病人床头卡，包括患者姓名、性别、年龄、科室、床号、住院号、入院时间、主诊医师、责任护士、过敏史、诊断等信息。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6" w:hRule="atLeast"/>
        </w:trPr>
        <w:tc>
          <w:tcPr>
            <w:tcW w:w="390" w:type="pct"/>
            <w:shd w:val="clear" w:color="auto" w:fill="auto"/>
            <w:noWrap w:val="0"/>
            <w:vAlign w:val="center"/>
          </w:tcPr>
          <w:p>
            <w:pPr>
              <w:widowControl/>
              <w:spacing w:line="360" w:lineRule="auto"/>
              <w:jc w:val="center"/>
              <w:rPr>
                <w:rFonts w:hint="eastAsia"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3</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患者腕带</w:t>
            </w:r>
          </w:p>
        </w:tc>
        <w:tc>
          <w:tcPr>
            <w:tcW w:w="3710" w:type="pct"/>
            <w:shd w:val="clear" w:color="auto" w:fill="auto"/>
            <w:noWrap w:val="0"/>
            <w:vAlign w:val="center"/>
          </w:tcPr>
          <w:p>
            <w:pPr>
              <w:widowControl/>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支持在护士站打印佩戴于住院病人手腕上的腕带，并提供腕带打印预览效果显示。</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腕带须包含带有病人信息的条码，腕带并显示患者姓名、性别、年龄、科室、住院号等信息。并可以和临床LIS标本采集、医嘱执行、手术相关处理等功能结合使用</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支持腕带丢失后的重新打印申请，并为病人打印新的腕带（包含带有病人信息的条码）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390" w:type="pct"/>
            <w:shd w:val="clear" w:color="auto" w:fill="auto"/>
            <w:noWrap w:val="0"/>
            <w:vAlign w:val="center"/>
          </w:tcPr>
          <w:p>
            <w:pPr>
              <w:widowControl/>
              <w:spacing w:line="360" w:lineRule="auto"/>
              <w:jc w:val="center"/>
              <w:rPr>
                <w:rFonts w:hint="eastAsia"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4</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护士登陆胸牌</w:t>
            </w:r>
          </w:p>
        </w:tc>
        <w:tc>
          <w:tcPr>
            <w:tcW w:w="3710" w:type="pct"/>
            <w:shd w:val="clear" w:color="auto" w:fill="auto"/>
            <w:noWrap w:val="0"/>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支持打印护士登陆终端用的二维码胸牌，方便护士快速登陆系统，支持单个或者批量打印。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2" w:hRule="atLeast"/>
        </w:trPr>
        <w:tc>
          <w:tcPr>
            <w:tcW w:w="390" w:type="pct"/>
            <w:vMerge w:val="restar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5</w:t>
            </w:r>
          </w:p>
        </w:tc>
        <w:tc>
          <w:tcPr>
            <w:tcW w:w="326" w:type="pct"/>
            <w:vMerge w:val="restar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医嘱</w:t>
            </w: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医嘱查询</w:t>
            </w:r>
          </w:p>
        </w:tc>
        <w:tc>
          <w:tcPr>
            <w:tcW w:w="3710" w:type="pct"/>
            <w:shd w:val="clear" w:color="auto" w:fill="auto"/>
            <w:noWrap w:val="0"/>
            <w:vAlign w:val="center"/>
          </w:tcPr>
          <w:p>
            <w:pPr>
              <w:widowControl/>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 xml:space="preserve">根据医嘱的执行途径分类显示，如注射，口服等；支持医嘱类型长期/临时医嘱的分类显示；支持按执行状态分类查询 </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根据医嘱执行频次对医嘱自动进行分拆，并根据系统自动产生的新医嘱任务，进行移动端的提醒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8" w:hRule="atLeast"/>
        </w:trPr>
        <w:tc>
          <w:tcPr>
            <w:tcW w:w="390" w:type="pct"/>
            <w:vMerge w:val="continue"/>
            <w:shd w:val="clear" w:color="auto" w:fill="auto"/>
            <w:noWrap w:val="0"/>
            <w:vAlign w:val="center"/>
          </w:tcPr>
          <w:p>
            <w:pPr>
              <w:widowControl/>
              <w:spacing w:line="360" w:lineRule="auto"/>
              <w:jc w:val="left"/>
              <w:rPr>
                <w:rFonts w:hint="eastAsia" w:ascii="宋体" w:hAnsi="宋体" w:cs="宋体" w:eastAsiaTheme="minorEastAsia"/>
                <w:b/>
                <w:bCs/>
                <w:color w:val="000000"/>
                <w:kern w:val="0"/>
                <w:sz w:val="24"/>
                <w:highlight w:val="none"/>
                <w:lang w:val="en-US" w:eastAsia="zh-CN"/>
              </w:rPr>
            </w:pPr>
          </w:p>
        </w:tc>
        <w:tc>
          <w:tcPr>
            <w:tcW w:w="326" w:type="pct"/>
            <w:vMerge w:val="continue"/>
            <w:shd w:val="clear" w:color="auto" w:fill="auto"/>
            <w:noWrap w:val="0"/>
            <w:vAlign w:val="center"/>
          </w:tcPr>
          <w:p>
            <w:pPr>
              <w:widowControl/>
              <w:spacing w:line="360" w:lineRule="auto"/>
              <w:jc w:val="left"/>
              <w:rPr>
                <w:rFonts w:ascii="宋体" w:hAnsi="宋体" w:cs="宋体"/>
                <w:b/>
                <w:bCs/>
                <w:color w:val="000000"/>
                <w:kern w:val="0"/>
                <w:sz w:val="24"/>
                <w:highlight w:val="none"/>
              </w:rPr>
            </w:pP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医嘱执行</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在执行医嘱前扫描病人腕带，对各类医嘱进行核对确保人员信息与医嘱信息相匹配，包括针剂类医嘱，口服类医嘱，采样医嘱，输血医嘱等</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支持医嘱执行补录</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已执行医嘱和未执行医嘱有明确的颜色区分</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支持医嘱执行单的查询</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390" w:type="pct"/>
            <w:vMerge w:val="continue"/>
            <w:shd w:val="clear" w:color="auto" w:fill="auto"/>
            <w:noWrap w:val="0"/>
            <w:vAlign w:val="center"/>
          </w:tcPr>
          <w:p>
            <w:pPr>
              <w:widowControl/>
              <w:spacing w:line="360" w:lineRule="auto"/>
              <w:jc w:val="left"/>
              <w:rPr>
                <w:rFonts w:hint="eastAsia" w:ascii="宋体" w:hAnsi="宋体" w:cs="宋体" w:eastAsiaTheme="minorEastAsia"/>
                <w:b/>
                <w:bCs/>
                <w:color w:val="000000"/>
                <w:kern w:val="0"/>
                <w:sz w:val="24"/>
                <w:highlight w:val="none"/>
                <w:lang w:val="en-US" w:eastAsia="zh-CN"/>
              </w:rPr>
            </w:pPr>
          </w:p>
        </w:tc>
        <w:tc>
          <w:tcPr>
            <w:tcW w:w="326" w:type="pct"/>
            <w:vMerge w:val="continue"/>
            <w:shd w:val="clear" w:color="auto" w:fill="auto"/>
            <w:noWrap w:val="0"/>
            <w:vAlign w:val="center"/>
          </w:tcPr>
          <w:p>
            <w:pPr>
              <w:widowControl/>
              <w:spacing w:line="360" w:lineRule="auto"/>
              <w:jc w:val="left"/>
              <w:rPr>
                <w:rFonts w:ascii="宋体" w:hAnsi="宋体" w:cs="宋体"/>
                <w:b/>
                <w:bCs/>
                <w:color w:val="000000"/>
                <w:kern w:val="0"/>
                <w:sz w:val="24"/>
                <w:highlight w:val="none"/>
              </w:rPr>
            </w:pP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瓶贴打印</w:t>
            </w:r>
          </w:p>
        </w:tc>
        <w:tc>
          <w:tcPr>
            <w:tcW w:w="3710" w:type="pct"/>
            <w:shd w:val="clear" w:color="auto" w:fill="auto"/>
            <w:noWrap w:val="0"/>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根据相关医嘱类型进行医嘱自动拆分，然后进行对应瓶贴打印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trPr>
        <w:tc>
          <w:tcPr>
            <w:tcW w:w="390" w:type="pct"/>
            <w:vMerge w:val="continue"/>
            <w:shd w:val="clear" w:color="auto" w:fill="auto"/>
            <w:noWrap w:val="0"/>
            <w:vAlign w:val="center"/>
          </w:tcPr>
          <w:p>
            <w:pPr>
              <w:widowControl/>
              <w:spacing w:line="360" w:lineRule="auto"/>
              <w:jc w:val="left"/>
              <w:rPr>
                <w:rFonts w:hint="eastAsia" w:ascii="宋体" w:hAnsi="宋体" w:cs="宋体" w:eastAsiaTheme="minorEastAsia"/>
                <w:b/>
                <w:bCs/>
                <w:color w:val="000000"/>
                <w:kern w:val="0"/>
                <w:sz w:val="24"/>
                <w:highlight w:val="none"/>
                <w:lang w:val="en-US" w:eastAsia="zh-CN"/>
              </w:rPr>
            </w:pPr>
          </w:p>
        </w:tc>
        <w:tc>
          <w:tcPr>
            <w:tcW w:w="326" w:type="pct"/>
            <w:vMerge w:val="continue"/>
            <w:shd w:val="clear" w:color="auto" w:fill="auto"/>
            <w:noWrap w:val="0"/>
            <w:vAlign w:val="center"/>
          </w:tcPr>
          <w:p>
            <w:pPr>
              <w:widowControl/>
              <w:spacing w:line="360" w:lineRule="auto"/>
              <w:jc w:val="left"/>
              <w:rPr>
                <w:rFonts w:ascii="宋体" w:hAnsi="宋体" w:cs="宋体"/>
                <w:b/>
                <w:bCs/>
                <w:color w:val="000000"/>
                <w:kern w:val="0"/>
                <w:sz w:val="24"/>
                <w:highlight w:val="none"/>
              </w:rPr>
            </w:pP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摆药配药查询</w:t>
            </w:r>
          </w:p>
        </w:tc>
        <w:tc>
          <w:tcPr>
            <w:tcW w:w="3710" w:type="pct"/>
            <w:shd w:val="clear" w:color="auto" w:fill="auto"/>
            <w:noWrap w:val="0"/>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患者输液用药成组药品的摆药核对扫描，输液配药的配合核对扫描操作，并自动记录相关操作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390" w:type="pct"/>
            <w:vMerge w:val="restar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6</w:t>
            </w:r>
          </w:p>
        </w:tc>
        <w:tc>
          <w:tcPr>
            <w:tcW w:w="326" w:type="pct"/>
            <w:vMerge w:val="restar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护理文书</w:t>
            </w: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体温单/体征录入</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护士能够通过PC记录病人的体温、脉搏、呼吸、血压、出入量等各项指标</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采集方式支持批量采集和个体采集两种</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生命体征值采集完成后，可以通过切换时间查询之前的生命体征信息，同时体温信息自动生成体温单曲线图并显示</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全科体征智能提示：根据病人的护理等级、危重状态、发烧及手术等具体情况，结合医院规定，由系统自动动态计算病人需要测量体征的时间点</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2" w:hRule="atLeast"/>
        </w:trPr>
        <w:tc>
          <w:tcPr>
            <w:tcW w:w="390" w:type="pct"/>
            <w:vMerge w:val="continue"/>
            <w:shd w:val="clear" w:color="auto" w:fill="auto"/>
            <w:noWrap w:val="0"/>
            <w:vAlign w:val="center"/>
          </w:tcPr>
          <w:p>
            <w:pPr>
              <w:widowControl/>
              <w:spacing w:line="360" w:lineRule="auto"/>
              <w:jc w:val="left"/>
              <w:rPr>
                <w:rFonts w:hint="default" w:ascii="宋体" w:hAnsi="宋体" w:cs="宋体" w:eastAsiaTheme="minorEastAsia"/>
                <w:b/>
                <w:bCs/>
                <w:color w:val="000000"/>
                <w:kern w:val="0"/>
                <w:sz w:val="24"/>
                <w:highlight w:val="none"/>
                <w:lang w:val="en-US" w:eastAsia="zh-CN"/>
              </w:rPr>
            </w:pPr>
          </w:p>
        </w:tc>
        <w:tc>
          <w:tcPr>
            <w:tcW w:w="326" w:type="pct"/>
            <w:vMerge w:val="continue"/>
            <w:shd w:val="clear" w:color="auto" w:fill="auto"/>
            <w:noWrap w:val="0"/>
            <w:vAlign w:val="center"/>
          </w:tcPr>
          <w:p>
            <w:pPr>
              <w:widowControl/>
              <w:spacing w:line="360" w:lineRule="auto"/>
              <w:jc w:val="left"/>
              <w:rPr>
                <w:rFonts w:ascii="宋体" w:hAnsi="宋体" w:cs="宋体"/>
                <w:b/>
                <w:bCs/>
                <w:color w:val="000000"/>
                <w:kern w:val="0"/>
                <w:sz w:val="24"/>
                <w:highlight w:val="none"/>
              </w:rPr>
            </w:pP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护理记录单</w:t>
            </w:r>
          </w:p>
        </w:tc>
        <w:tc>
          <w:tcPr>
            <w:tcW w:w="3710" w:type="pct"/>
            <w:shd w:val="clear" w:color="auto" w:fill="auto"/>
            <w:noWrap w:val="0"/>
            <w:vAlign w:val="center"/>
          </w:tcPr>
          <w:p>
            <w:pPr>
              <w:widowControl/>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支持床旁实时采集，支持一点录入，多点共享</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 xml:space="preserve"> </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支持一般护理单记录、查询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支持血糖记录单记录、查询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支持出入量护理单记录、查询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支持转科患者护理记录单记录、查询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支持危重患者护理记录单记录、查询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支持输血护理记录单记录、查询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支持手术护理记录单记录、查询</w:t>
            </w:r>
            <w:r>
              <w:rPr>
                <w:rFonts w:hint="eastAsia" w:ascii="宋体" w:hAnsi="宋体" w:cs="宋体"/>
                <w:color w:val="000000"/>
                <w:kern w:val="0"/>
                <w:sz w:val="24"/>
                <w:highlight w:val="none"/>
                <w:lang w:eastAsia="zh-CN"/>
              </w:rPr>
              <w:t>。</w:t>
            </w:r>
          </w:p>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9、</w:t>
            </w:r>
            <w:r>
              <w:rPr>
                <w:rFonts w:hint="eastAsia" w:ascii="宋体" w:hAnsi="宋体" w:cs="宋体"/>
                <w:color w:val="000000"/>
                <w:kern w:val="0"/>
                <w:sz w:val="24"/>
                <w:highlight w:val="none"/>
              </w:rPr>
              <w:t>支持医院单据定制</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2" w:hRule="atLeast"/>
        </w:trPr>
        <w:tc>
          <w:tcPr>
            <w:tcW w:w="390" w:type="pct"/>
            <w:vMerge w:val="continue"/>
            <w:shd w:val="clear" w:color="auto" w:fill="auto"/>
            <w:noWrap w:val="0"/>
            <w:vAlign w:val="center"/>
          </w:tcPr>
          <w:p>
            <w:pPr>
              <w:widowControl/>
              <w:spacing w:line="360" w:lineRule="auto"/>
              <w:jc w:val="left"/>
              <w:rPr>
                <w:rFonts w:hint="default" w:ascii="宋体" w:hAnsi="宋体" w:cs="宋体" w:eastAsiaTheme="minorEastAsia"/>
                <w:b/>
                <w:bCs/>
                <w:color w:val="000000"/>
                <w:kern w:val="0"/>
                <w:sz w:val="24"/>
                <w:highlight w:val="none"/>
                <w:lang w:val="en-US" w:eastAsia="zh-CN"/>
              </w:rPr>
            </w:pPr>
          </w:p>
        </w:tc>
        <w:tc>
          <w:tcPr>
            <w:tcW w:w="326" w:type="pct"/>
            <w:vMerge w:val="continue"/>
            <w:shd w:val="clear" w:color="auto" w:fill="auto"/>
            <w:noWrap w:val="0"/>
            <w:vAlign w:val="center"/>
          </w:tcPr>
          <w:p>
            <w:pPr>
              <w:widowControl/>
              <w:spacing w:line="360" w:lineRule="auto"/>
              <w:jc w:val="left"/>
              <w:rPr>
                <w:rFonts w:ascii="宋体" w:hAnsi="宋体" w:cs="宋体"/>
                <w:b/>
                <w:bCs/>
                <w:color w:val="000000"/>
                <w:kern w:val="0"/>
                <w:sz w:val="24"/>
                <w:highlight w:val="none"/>
              </w:rPr>
            </w:pPr>
          </w:p>
        </w:tc>
        <w:tc>
          <w:tcPr>
            <w:tcW w:w="572" w:type="pct"/>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评估记录单</w:t>
            </w:r>
          </w:p>
        </w:tc>
        <w:tc>
          <w:tcPr>
            <w:tcW w:w="3710" w:type="pct"/>
            <w:shd w:val="clear" w:color="auto" w:fill="auto"/>
            <w:noWrap w:val="0"/>
            <w:vAlign w:val="center"/>
          </w:tcPr>
          <w:p>
            <w:pPr>
              <w:widowControl/>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支持利用手持终端床旁数据采集录入</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支持入院评估单记录、查询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支持Barthel指数（BI）评估单记录、查询以</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支持导管危险评估单记录、查询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支持坠床/跌倒危险评估单记录、查询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支持烫伤危险评估单记录、查询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支持MEWS评估单记录、查询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支持Braden评估单记录、查询</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9、</w:t>
            </w:r>
            <w:r>
              <w:rPr>
                <w:rFonts w:hint="eastAsia" w:ascii="宋体" w:hAnsi="宋体" w:cs="宋体"/>
                <w:color w:val="000000"/>
                <w:kern w:val="0"/>
                <w:sz w:val="24"/>
                <w:highlight w:val="none"/>
              </w:rPr>
              <w:t>支持医院单据定制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6"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7</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检验信息</w:t>
            </w:r>
          </w:p>
        </w:tc>
        <w:tc>
          <w:tcPr>
            <w:tcW w:w="3710" w:type="pct"/>
            <w:shd w:val="clear" w:color="auto" w:fill="auto"/>
            <w:noWrap w:val="0"/>
            <w:vAlign w:val="center"/>
          </w:tcPr>
          <w:p>
            <w:pPr>
              <w:widowControl/>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能够查看病人的，检验项目的标本采集，检验结果</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异常结果分类显示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8</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不良事件</w:t>
            </w:r>
          </w:p>
        </w:tc>
        <w:tc>
          <w:tcPr>
            <w:tcW w:w="3710" w:type="pct"/>
            <w:shd w:val="clear" w:color="auto" w:fill="auto"/>
            <w:noWrap w:val="0"/>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支持不良事件模板维护及上报审核，以及鱼骨图展示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9</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健康宣教</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查询护士的宣教任务、执行情况。</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宣教的内容自主维护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10</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巡床管理</w:t>
            </w:r>
          </w:p>
        </w:tc>
        <w:tc>
          <w:tcPr>
            <w:tcW w:w="3710" w:type="pct"/>
            <w:shd w:val="clear" w:color="auto" w:fill="auto"/>
            <w:noWrap w:val="0"/>
            <w:vAlign w:val="center"/>
          </w:tcPr>
          <w:p>
            <w:pPr>
              <w:widowControl/>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查询护士巡床任务、执行情况。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11</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消息提醒</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rPr>
              <w:t>根据医院实际要求，进行重要消息推送提醒，如新医嘱提醒，未签名医嘱提醒等等</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12</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工作量记录/统计</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rPr>
              <w:t>对住院患者实施的基础护理（如洗脸、刷牙、梳头、床上擦浴等）进行记录并统计工作量；以及使用护士当天工作量统计明细查询</w:t>
            </w:r>
            <w:r>
              <w:rPr>
                <w:rFonts w:hint="eastAsia" w:ascii="宋体" w:hAnsi="宋体"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90" w:type="pct"/>
            <w:shd w:val="clear" w:color="auto" w:fill="auto"/>
            <w:noWrap w:val="0"/>
            <w:vAlign w:val="center"/>
          </w:tcPr>
          <w:p>
            <w:pPr>
              <w:widowControl/>
              <w:spacing w:line="360" w:lineRule="auto"/>
              <w:jc w:val="center"/>
              <w:rPr>
                <w:rFonts w:hint="default" w:ascii="宋体" w:hAnsi="宋体" w:cs="宋体" w:eastAsiaTheme="minorEastAsia"/>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13</w:t>
            </w:r>
          </w:p>
        </w:tc>
        <w:tc>
          <w:tcPr>
            <w:tcW w:w="898" w:type="pct"/>
            <w:gridSpan w:val="2"/>
            <w:shd w:val="clear" w:color="auto" w:fill="auto"/>
            <w:noWrap w:val="0"/>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历史查询</w:t>
            </w:r>
          </w:p>
        </w:tc>
        <w:tc>
          <w:tcPr>
            <w:tcW w:w="3710" w:type="pct"/>
            <w:shd w:val="clear" w:color="auto" w:fill="auto"/>
            <w:noWrap w:val="0"/>
            <w:vAlign w:val="center"/>
          </w:tcPr>
          <w:p>
            <w:pPr>
              <w:widowControl/>
              <w:spacing w:line="360" w:lineRule="auto"/>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rPr>
              <w:t>针对已出院病人护理文书查询（包含体温单，表单及评估单）</w:t>
            </w:r>
            <w:r>
              <w:rPr>
                <w:rFonts w:hint="eastAsia" w:ascii="宋体" w:hAnsi="宋体" w:cs="宋体"/>
                <w:color w:val="000000"/>
                <w:kern w:val="0"/>
                <w:sz w:val="24"/>
                <w:highlight w:val="none"/>
                <w:lang w:eastAsia="zh-CN"/>
              </w:rPr>
              <w:t>。</w:t>
            </w:r>
          </w:p>
        </w:tc>
      </w:tr>
      <w:bookmarkEnd w:id="33"/>
    </w:tbl>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eastAsia="zh-CN"/>
        </w:rPr>
      </w:pP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b/>
          <w:bCs/>
          <w:sz w:val="24"/>
          <w:szCs w:val="24"/>
          <w:highlight w:val="none"/>
          <w:lang w:val="en-US" w:eastAsia="zh-CN"/>
        </w:rPr>
      </w:pPr>
      <w:r>
        <w:rPr>
          <w:rFonts w:hint="eastAsia" w:ascii="宋体" w:hAnsi="宋体" w:eastAsia="宋体" w:cs="宋体"/>
          <w:b/>
          <w:bCs/>
          <w:sz w:val="24"/>
          <w:szCs w:val="24"/>
          <w:highlight w:val="none"/>
          <w:lang w:eastAsia="zh-CN"/>
        </w:rPr>
        <w:t>备注：须提供①</w:t>
      </w:r>
      <w:r>
        <w:rPr>
          <w:rFonts w:hint="eastAsia" w:ascii="宋体" w:hAnsi="宋体" w:eastAsia="宋体" w:cs="宋体"/>
          <w:b/>
          <w:bCs/>
          <w:sz w:val="24"/>
          <w:szCs w:val="24"/>
          <w:highlight w:val="none"/>
        </w:rPr>
        <w:t>移动护理软件著作权证书、软件测试报告</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②</w:t>
      </w:r>
      <w:r>
        <w:rPr>
          <w:rFonts w:ascii="宋体" w:hAnsi="宋体" w:eastAsia="宋体" w:cs="宋体"/>
          <w:b/>
          <w:bCs/>
          <w:sz w:val="24"/>
          <w:szCs w:val="24"/>
          <w:highlight w:val="none"/>
        </w:rPr>
        <w:t>护理电子病历软件著作权证书</w:t>
      </w:r>
      <w:r>
        <w:rPr>
          <w:rFonts w:hint="eastAsia" w:ascii="宋体" w:hAnsi="宋体" w:eastAsia="宋体" w:cs="宋体"/>
          <w:b/>
          <w:bCs/>
          <w:sz w:val="24"/>
          <w:szCs w:val="24"/>
          <w:highlight w:val="none"/>
          <w:lang w:eastAsia="zh-CN"/>
        </w:rPr>
        <w:t>。</w:t>
      </w: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 xml:space="preserve"> 手持终端参数要求</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42"/>
        <w:gridCol w:w="53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b/>
                <w:bCs/>
                <w:sz w:val="24"/>
                <w:szCs w:val="24"/>
                <w:highlight w:val="none"/>
              </w:rPr>
            </w:pPr>
            <w:r>
              <w:rPr>
                <w:rFonts w:hint="eastAsia" w:ascii="宋体" w:hAnsi="宋体" w:eastAsia="宋体" w:cs="华文细黑"/>
                <w:b/>
                <w:bCs/>
                <w:sz w:val="24"/>
                <w:szCs w:val="24"/>
                <w:highlight w:val="none"/>
              </w:rPr>
              <w:t>序号</w:t>
            </w:r>
          </w:p>
        </w:tc>
        <w:tc>
          <w:tcPr>
            <w:tcW w:w="1442" w:type="dxa"/>
            <w:shd w:val="clear" w:color="auto" w:fill="auto"/>
            <w:noWrap/>
            <w:vAlign w:val="center"/>
          </w:tcPr>
          <w:p>
            <w:pPr>
              <w:spacing w:line="360" w:lineRule="auto"/>
              <w:jc w:val="center"/>
              <w:rPr>
                <w:rFonts w:ascii="宋体" w:hAnsi="宋体" w:eastAsia="宋体" w:cs="华文细黑"/>
                <w:b/>
                <w:bCs/>
                <w:sz w:val="24"/>
                <w:szCs w:val="24"/>
                <w:highlight w:val="none"/>
              </w:rPr>
            </w:pPr>
            <w:r>
              <w:rPr>
                <w:rFonts w:hint="eastAsia" w:ascii="宋体" w:hAnsi="宋体" w:eastAsia="宋体" w:cs="华文细黑"/>
                <w:b/>
                <w:bCs/>
                <w:sz w:val="24"/>
                <w:szCs w:val="24"/>
                <w:highlight w:val="none"/>
              </w:rPr>
              <w:t>内容</w:t>
            </w:r>
          </w:p>
        </w:tc>
        <w:tc>
          <w:tcPr>
            <w:tcW w:w="5392" w:type="dxa"/>
            <w:shd w:val="clear" w:color="auto" w:fill="auto"/>
            <w:vAlign w:val="center"/>
          </w:tcPr>
          <w:p>
            <w:pPr>
              <w:spacing w:line="360" w:lineRule="auto"/>
              <w:jc w:val="center"/>
              <w:rPr>
                <w:rFonts w:ascii="宋体" w:hAnsi="宋体" w:eastAsia="宋体" w:cs="华文细黑"/>
                <w:b/>
                <w:bCs/>
                <w:sz w:val="24"/>
                <w:szCs w:val="24"/>
                <w:highlight w:val="none"/>
              </w:rPr>
            </w:pPr>
            <w:r>
              <w:rPr>
                <w:rFonts w:hint="eastAsia" w:ascii="宋体" w:hAnsi="宋体" w:eastAsia="宋体" w:cs="华文细黑"/>
                <w:b/>
                <w:bCs/>
                <w:sz w:val="24"/>
                <w:szCs w:val="24"/>
                <w:highlight w:val="none"/>
              </w:rPr>
              <w:t>性能参数</w:t>
            </w:r>
          </w:p>
        </w:tc>
        <w:tc>
          <w:tcPr>
            <w:tcW w:w="709" w:type="dxa"/>
            <w:shd w:val="clear" w:color="auto" w:fill="auto"/>
            <w:vAlign w:val="center"/>
          </w:tcPr>
          <w:p>
            <w:pPr>
              <w:spacing w:line="360" w:lineRule="auto"/>
              <w:jc w:val="center"/>
              <w:rPr>
                <w:rFonts w:ascii="宋体" w:hAnsi="宋体" w:eastAsia="宋体" w:cs="华文细黑"/>
                <w:b/>
                <w:bCs/>
                <w:sz w:val="24"/>
                <w:szCs w:val="24"/>
                <w:highlight w:val="none"/>
              </w:rPr>
            </w:pPr>
            <w:r>
              <w:rPr>
                <w:rFonts w:hint="eastAsia" w:ascii="宋体" w:hAnsi="宋体" w:eastAsia="宋体" w:cs="华文细黑"/>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CPU</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1.8GHz、八核</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2</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操作系统</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Andriod 10.0</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3</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内存容量</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4GB RAM、64GB ROM</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4</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屏幕</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6.0英寸</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5</w:t>
            </w:r>
          </w:p>
        </w:tc>
        <w:tc>
          <w:tcPr>
            <w:tcW w:w="1442" w:type="dxa"/>
            <w:vMerge w:val="restart"/>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网络制式</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支持</w:t>
            </w:r>
            <w:r>
              <w:rPr>
                <w:rFonts w:hint="eastAsia" w:ascii="宋体" w:hAnsi="宋体" w:eastAsia="宋体" w:cs="华文细黑"/>
                <w:sz w:val="24"/>
                <w:szCs w:val="24"/>
                <w:highlight w:val="none"/>
              </w:rPr>
              <w:t>5</w:t>
            </w:r>
            <w:r>
              <w:rPr>
                <w:rFonts w:ascii="宋体" w:hAnsi="宋体" w:eastAsia="宋体" w:cs="华文细黑"/>
                <w:sz w:val="24"/>
                <w:szCs w:val="24"/>
                <w:highlight w:val="none"/>
              </w:rPr>
              <w:t>G</w:t>
            </w:r>
            <w:r>
              <w:rPr>
                <w:rFonts w:hint="eastAsia" w:ascii="宋体" w:hAnsi="宋体" w:eastAsia="宋体" w:cs="华文细黑"/>
                <w:sz w:val="24"/>
                <w:szCs w:val="24"/>
                <w:highlight w:val="none"/>
              </w:rPr>
              <w:t>全网通</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6</w:t>
            </w:r>
          </w:p>
        </w:tc>
        <w:tc>
          <w:tcPr>
            <w:tcW w:w="1442" w:type="dxa"/>
            <w:vMerge w:val="continue"/>
            <w:vAlign w:val="center"/>
          </w:tcPr>
          <w:p>
            <w:pPr>
              <w:spacing w:line="360" w:lineRule="auto"/>
              <w:jc w:val="center"/>
              <w:rPr>
                <w:rFonts w:ascii="宋体" w:hAnsi="宋体" w:eastAsia="宋体" w:cs="华文细黑"/>
                <w:sz w:val="24"/>
                <w:szCs w:val="24"/>
                <w:highlight w:val="none"/>
              </w:rPr>
            </w:pPr>
          </w:p>
        </w:tc>
        <w:tc>
          <w:tcPr>
            <w:tcW w:w="5392" w:type="dxa"/>
            <w:shd w:val="clear" w:color="auto" w:fill="auto"/>
            <w:vAlign w:val="center"/>
          </w:tcPr>
          <w:p>
            <w:pPr>
              <w:spacing w:line="360" w:lineRule="auto"/>
              <w:jc w:val="center"/>
              <w:rPr>
                <w:rFonts w:hint="eastAsia" w:ascii="宋体" w:hAnsi="宋体" w:eastAsia="宋体" w:cs="华文细黑"/>
                <w:sz w:val="24"/>
                <w:szCs w:val="24"/>
                <w:highlight w:val="none"/>
                <w:lang w:eastAsia="zh-CN"/>
              </w:rPr>
            </w:pPr>
            <w:r>
              <w:rPr>
                <w:rFonts w:hint="eastAsia" w:ascii="宋体" w:hAnsi="宋体" w:eastAsia="宋体" w:cs="华文细黑"/>
                <w:sz w:val="24"/>
                <w:szCs w:val="24"/>
                <w:highlight w:val="none"/>
                <w:lang w:eastAsia="zh-CN"/>
              </w:rPr>
              <w:t>支持</w:t>
            </w:r>
            <w:r>
              <w:rPr>
                <w:rFonts w:hint="eastAsia" w:ascii="宋体" w:hAnsi="宋体" w:eastAsia="宋体" w:cs="华文细黑"/>
                <w:sz w:val="24"/>
                <w:szCs w:val="24"/>
                <w:highlight w:val="none"/>
              </w:rPr>
              <w:t>2G</w:t>
            </w:r>
            <w:r>
              <w:rPr>
                <w:rFonts w:hint="eastAsia" w:ascii="宋体" w:hAnsi="宋体" w:eastAsia="宋体" w:cs="华文细黑"/>
                <w:sz w:val="24"/>
                <w:szCs w:val="24"/>
                <w:highlight w:val="none"/>
                <w:lang w:eastAsia="zh-CN"/>
              </w:rPr>
              <w:t>、</w:t>
            </w:r>
            <w:r>
              <w:rPr>
                <w:rFonts w:hint="eastAsia" w:ascii="宋体" w:hAnsi="宋体" w:eastAsia="宋体" w:cs="华文细黑"/>
                <w:sz w:val="24"/>
                <w:szCs w:val="24"/>
                <w:highlight w:val="none"/>
              </w:rPr>
              <w:t>3G</w:t>
            </w:r>
            <w:r>
              <w:rPr>
                <w:rFonts w:hint="eastAsia" w:ascii="宋体" w:hAnsi="宋体" w:eastAsia="宋体" w:cs="华文细黑"/>
                <w:sz w:val="24"/>
                <w:szCs w:val="24"/>
                <w:highlight w:val="none"/>
                <w:lang w:eastAsia="zh-CN"/>
              </w:rPr>
              <w:t>、</w:t>
            </w:r>
            <w:r>
              <w:rPr>
                <w:rFonts w:hint="eastAsia" w:ascii="宋体" w:hAnsi="宋体" w:eastAsia="宋体" w:cs="华文细黑"/>
                <w:sz w:val="24"/>
                <w:szCs w:val="24"/>
                <w:highlight w:val="none"/>
              </w:rPr>
              <w:t>4G</w:t>
            </w:r>
            <w:r>
              <w:rPr>
                <w:rFonts w:hint="eastAsia" w:ascii="宋体" w:hAnsi="宋体" w:eastAsia="宋体" w:cs="华文细黑"/>
                <w:sz w:val="24"/>
                <w:szCs w:val="24"/>
                <w:highlight w:val="none"/>
                <w:lang w:eastAsia="zh-CN"/>
              </w:rPr>
              <w:t>全网通</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7</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电池性能</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4000mAh，电池可拆卸</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8</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数据接口</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USB Type C接口</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9</w:t>
            </w:r>
          </w:p>
        </w:tc>
        <w:tc>
          <w:tcPr>
            <w:tcW w:w="144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二维码扫描头</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支持一维码、二维码扫描</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10</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摄像头</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后置</w:t>
            </w: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lang w:val="en-US" w:eastAsia="zh-CN"/>
              </w:rPr>
              <w:t>1500</w:t>
            </w:r>
            <w:r>
              <w:rPr>
                <w:rFonts w:hint="eastAsia" w:ascii="宋体" w:hAnsi="宋体" w:eastAsia="宋体" w:cs="华文细黑"/>
                <w:sz w:val="24"/>
                <w:szCs w:val="24"/>
                <w:highlight w:val="none"/>
              </w:rPr>
              <w:t>万像素，前置</w:t>
            </w: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lang w:val="en-US" w:eastAsia="zh-CN"/>
              </w:rPr>
              <w:t>600</w:t>
            </w:r>
            <w:r>
              <w:rPr>
                <w:rFonts w:hint="eastAsia" w:ascii="宋体" w:hAnsi="宋体" w:eastAsia="宋体" w:cs="华文细黑"/>
                <w:sz w:val="24"/>
                <w:szCs w:val="24"/>
                <w:highlight w:val="none"/>
              </w:rPr>
              <w:t>万像素</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11</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三防</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IP65</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12</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MTU设定</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可以设定MTU值，适配网络数据传输要求</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13</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WIFI限制</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可以通过SSID限制WIFI接入</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14</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SOS功能</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可以开启并可拨打应急号码</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15</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网络安全</w:t>
            </w:r>
          </w:p>
        </w:tc>
        <w:tc>
          <w:tcPr>
            <w:tcW w:w="5392" w:type="dxa"/>
            <w:shd w:val="clear" w:color="auto" w:fill="auto"/>
            <w:vAlign w:val="center"/>
          </w:tcPr>
          <w:p>
            <w:pPr>
              <w:spacing w:line="360" w:lineRule="auto"/>
              <w:jc w:val="both"/>
              <w:rPr>
                <w:rFonts w:ascii="宋体" w:hAnsi="宋体" w:eastAsia="宋体" w:cs="华文细黑"/>
                <w:sz w:val="24"/>
                <w:szCs w:val="24"/>
                <w:highlight w:val="none"/>
              </w:rPr>
            </w:pPr>
            <w:r>
              <w:rPr>
                <w:rFonts w:hint="eastAsia" w:ascii="宋体" w:hAnsi="宋体" w:eastAsia="宋体" w:cs="华文细黑"/>
                <w:sz w:val="24"/>
                <w:szCs w:val="24"/>
                <w:highlight w:val="none"/>
              </w:rPr>
              <w:t>可绑定运营商APN拨号，限制编辑APN（从系统层面控制，非简单的系统中开启关闭功能）</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16</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安全措施</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可禁止WIFI、蓝牙、电话、短信（从系统层面控制，非简单的系统中开启关闭功能）</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17</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蓝牙</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lang w:eastAsia="zh-CN"/>
              </w:rPr>
              <w:t>不低于</w:t>
            </w:r>
            <w:r>
              <w:rPr>
                <w:rFonts w:hint="eastAsia" w:ascii="宋体" w:hAnsi="宋体" w:eastAsia="宋体" w:cs="华文细黑"/>
                <w:sz w:val="24"/>
                <w:szCs w:val="24"/>
                <w:highlight w:val="none"/>
              </w:rPr>
              <w:t>5.1</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18</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WiFi</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支持WiFi,2.4G/5G双频,IEEE 802.11 a/b/g/n/ac</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19</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实体按键</w:t>
            </w:r>
          </w:p>
        </w:tc>
        <w:tc>
          <w:tcPr>
            <w:tcW w:w="5392" w:type="dxa"/>
            <w:shd w:val="clear" w:color="auto" w:fill="auto"/>
            <w:vAlign w:val="center"/>
          </w:tcPr>
          <w:p>
            <w:pPr>
              <w:spacing w:line="360" w:lineRule="auto"/>
              <w:jc w:val="both"/>
              <w:rPr>
                <w:rFonts w:ascii="宋体" w:hAnsi="宋体" w:eastAsia="宋体" w:cs="华文细黑"/>
                <w:sz w:val="24"/>
                <w:szCs w:val="24"/>
                <w:highlight w:val="none"/>
              </w:rPr>
            </w:pPr>
            <w:r>
              <w:rPr>
                <w:rFonts w:hint="eastAsia" w:ascii="宋体" w:hAnsi="宋体" w:eastAsia="宋体" w:cs="华文细黑"/>
                <w:sz w:val="24"/>
                <w:szCs w:val="24"/>
                <w:highlight w:val="none"/>
              </w:rPr>
              <w:t>除安卓系统基本的电源键、音量键，预留不少于两个按键用于扫描功能，不接受虚拟按键。</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6"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20</w:t>
            </w:r>
          </w:p>
        </w:tc>
        <w:tc>
          <w:tcPr>
            <w:tcW w:w="1442" w:type="dxa"/>
            <w:shd w:val="clear" w:color="auto" w:fill="auto"/>
            <w:noWrap/>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充电</w:t>
            </w:r>
          </w:p>
        </w:tc>
        <w:tc>
          <w:tcPr>
            <w:tcW w:w="5392"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支持座充式无线充电，不接受触点式充电。</w:t>
            </w:r>
          </w:p>
        </w:tc>
        <w:tc>
          <w:tcPr>
            <w:tcW w:w="709" w:type="dxa"/>
            <w:shd w:val="clear" w:color="auto" w:fill="auto"/>
            <w:vAlign w:val="center"/>
          </w:tcPr>
          <w:p>
            <w:pPr>
              <w:spacing w:line="360" w:lineRule="auto"/>
              <w:jc w:val="center"/>
              <w:rPr>
                <w:rFonts w:ascii="宋体" w:hAnsi="宋体" w:eastAsia="宋体" w:cs="华文细黑"/>
                <w:sz w:val="24"/>
                <w:szCs w:val="24"/>
                <w:highlight w:val="none"/>
              </w:rPr>
            </w:pPr>
            <w:r>
              <w:rPr>
                <w:rFonts w:hint="eastAsia" w:ascii="宋体" w:hAnsi="宋体" w:eastAsia="宋体" w:cs="华文细黑"/>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59" w:type="dxa"/>
            <w:gridSpan w:val="4"/>
            <w:shd w:val="clear" w:color="auto" w:fill="auto"/>
            <w:noWrap/>
            <w:vAlign w:val="center"/>
          </w:tcPr>
          <w:p>
            <w:pPr>
              <w:spacing w:line="360" w:lineRule="auto"/>
              <w:jc w:val="both"/>
              <w:rPr>
                <w:rFonts w:hint="eastAsia" w:ascii="宋体" w:hAnsi="宋体" w:eastAsia="宋体" w:cs="华文细黑"/>
                <w:sz w:val="24"/>
                <w:szCs w:val="24"/>
                <w:highlight w:val="none"/>
              </w:rPr>
            </w:pPr>
            <w:r>
              <w:rPr>
                <w:rFonts w:hint="eastAsia" w:ascii="宋体" w:hAnsi="宋体" w:eastAsia="宋体" w:cs="宋体"/>
                <w:sz w:val="24"/>
                <w:szCs w:val="24"/>
                <w:highlight w:val="none"/>
                <w:lang w:eastAsia="zh-CN"/>
              </w:rPr>
              <w:t>备注：须提供①</w:t>
            </w:r>
            <w:r>
              <w:rPr>
                <w:rFonts w:hint="eastAsia" w:ascii="宋体" w:hAnsi="宋体" w:eastAsia="宋体" w:cs="宋体"/>
                <w:sz w:val="24"/>
                <w:szCs w:val="24"/>
                <w:highlight w:val="none"/>
              </w:rPr>
              <w:t>移动护理手持PDA CCC安全认证证书</w:t>
            </w:r>
            <w:r>
              <w:rPr>
                <w:rFonts w:hint="eastAsia" w:ascii="宋体" w:hAnsi="宋体" w:eastAsia="宋体" w:cs="宋体"/>
                <w:sz w:val="24"/>
                <w:szCs w:val="24"/>
                <w:highlight w:val="none"/>
                <w:lang w:eastAsia="zh-CN"/>
              </w:rPr>
              <w:t>、②</w:t>
            </w:r>
            <w:r>
              <w:rPr>
                <w:rFonts w:hint="eastAsia" w:ascii="宋体" w:hAnsi="宋体" w:eastAsia="宋体" w:cs="宋体"/>
                <w:sz w:val="24"/>
                <w:szCs w:val="24"/>
                <w:highlight w:val="none"/>
              </w:rPr>
              <w:t>移动护理手持PDA工信部进网许可证书</w:t>
            </w:r>
            <w:r>
              <w:rPr>
                <w:rFonts w:hint="eastAsia" w:ascii="宋体" w:hAnsi="宋体" w:eastAsia="宋体" w:cs="宋体"/>
                <w:sz w:val="24"/>
                <w:szCs w:val="24"/>
                <w:highlight w:val="none"/>
                <w:lang w:eastAsia="zh-CN"/>
              </w:rPr>
              <w:t>、③</w:t>
            </w:r>
            <w:r>
              <w:rPr>
                <w:rFonts w:hint="eastAsia" w:ascii="宋体" w:hAnsi="宋体" w:eastAsia="宋体" w:cs="宋体"/>
                <w:sz w:val="24"/>
                <w:szCs w:val="24"/>
                <w:highlight w:val="none"/>
              </w:rPr>
              <w:t>移动护理手持PDA无线发射设备型号核准证</w:t>
            </w:r>
            <w:r>
              <w:rPr>
                <w:rFonts w:hint="eastAsia" w:ascii="宋体" w:hAnsi="宋体" w:eastAsia="宋体" w:cs="宋体"/>
                <w:sz w:val="24"/>
                <w:szCs w:val="24"/>
                <w:highlight w:val="none"/>
                <w:lang w:eastAsia="zh-CN"/>
              </w:rPr>
              <w:t>、④</w:t>
            </w:r>
            <w:r>
              <w:rPr>
                <w:rFonts w:hint="eastAsia" w:ascii="宋体" w:hAnsi="宋体" w:eastAsia="宋体" w:cs="宋体"/>
                <w:sz w:val="24"/>
                <w:szCs w:val="24"/>
                <w:highlight w:val="none"/>
              </w:rPr>
              <w:t xml:space="preserve">移动护理手持PDA </w:t>
            </w:r>
            <w:r>
              <w:rPr>
                <w:rFonts w:hint="eastAsia" w:ascii="宋体" w:hAnsi="宋体" w:eastAsia="宋体" w:cs="宋体"/>
                <w:sz w:val="24"/>
                <w:szCs w:val="24"/>
                <w:highlight w:val="none"/>
                <w:lang w:eastAsia="zh-CN"/>
              </w:rPr>
              <w:t>三防</w:t>
            </w:r>
            <w:r>
              <w:rPr>
                <w:rFonts w:ascii="宋体" w:hAnsi="宋体" w:eastAsia="宋体" w:cs="华文细黑"/>
                <w:sz w:val="24"/>
                <w:szCs w:val="24"/>
                <w:highlight w:val="none"/>
              </w:rPr>
              <w:t>测试报告</w:t>
            </w:r>
            <w:r>
              <w:rPr>
                <w:rFonts w:hint="eastAsia" w:ascii="宋体" w:hAnsi="宋体" w:eastAsia="宋体" w:cs="华文细黑"/>
                <w:sz w:val="24"/>
                <w:szCs w:val="24"/>
                <w:highlight w:val="none"/>
                <w:lang w:eastAsia="zh-CN"/>
              </w:rPr>
              <w:t>、⑤</w:t>
            </w:r>
            <w:r>
              <w:rPr>
                <w:rFonts w:hint="eastAsia" w:ascii="宋体" w:hAnsi="宋体" w:eastAsia="宋体" w:cs="宋体"/>
                <w:sz w:val="24"/>
                <w:szCs w:val="24"/>
                <w:highlight w:val="none"/>
              </w:rPr>
              <w:t>移动护理手持PDA</w:t>
            </w:r>
            <w:r>
              <w:rPr>
                <w:rFonts w:hint="eastAsia" w:ascii="宋体" w:hAnsi="宋体" w:eastAsia="宋体"/>
                <w:sz w:val="24"/>
                <w:szCs w:val="24"/>
                <w:highlight w:val="none"/>
              </w:rPr>
              <w:t>耐腐蚀、耐擦拭测试报告</w:t>
            </w:r>
            <w:r>
              <w:rPr>
                <w:rFonts w:hint="eastAsia" w:ascii="宋体" w:hAnsi="宋体" w:eastAsia="宋体" w:cs="宋体"/>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2、交互大屏智慧护理业务系统租用服务技术要求</w:t>
      </w: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sz w:val="24"/>
          <w:szCs w:val="24"/>
          <w:highlight w:val="none"/>
          <w:lang w:val="en-US" w:eastAsia="zh-CN"/>
        </w:rPr>
        <w:t>（1</w:t>
      </w:r>
      <w:r>
        <w:rPr>
          <w:rFonts w:hint="eastAsia" w:ascii="宋体" w:hAnsi="宋体" w:eastAsia="宋体" w:cs="宋体"/>
          <w:sz w:val="24"/>
          <w:szCs w:val="24"/>
          <w:highlight w:val="none"/>
          <w:lang w:val="en-US" w:eastAsia="zh-CN"/>
        </w:rPr>
        <w:t>）软件系统功能要求</w:t>
      </w:r>
    </w:p>
    <w:tbl>
      <w:tblPr>
        <w:tblStyle w:val="21"/>
        <w:tblW w:w="4999" w:type="pct"/>
        <w:jc w:val="center"/>
        <w:shd w:val="clear" w:color="auto" w:fill="auto"/>
        <w:tblLayout w:type="autofit"/>
        <w:tblCellMar>
          <w:top w:w="15" w:type="dxa"/>
          <w:left w:w="15" w:type="dxa"/>
          <w:bottom w:w="15" w:type="dxa"/>
          <w:right w:w="15" w:type="dxa"/>
        </w:tblCellMar>
      </w:tblPr>
      <w:tblGrid>
        <w:gridCol w:w="469"/>
        <w:gridCol w:w="1432"/>
        <w:gridCol w:w="5639"/>
        <w:gridCol w:w="794"/>
      </w:tblGrid>
      <w:tr>
        <w:tblPrEx>
          <w:shd w:val="clear" w:color="auto" w:fill="auto"/>
          <w:tblCellMar>
            <w:top w:w="15" w:type="dxa"/>
            <w:left w:w="15" w:type="dxa"/>
            <w:bottom w:w="15" w:type="dxa"/>
            <w:right w:w="15" w:type="dxa"/>
          </w:tblCellMar>
        </w:tblPrEx>
        <w:trPr>
          <w:trHeight w:val="750" w:hRule="atLeast"/>
          <w:jc w:val="center"/>
        </w:trPr>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cs="宋体" w:eastAsiaTheme="minorEastAsia"/>
                <w:b/>
                <w:color w:val="auto"/>
                <w:kern w:val="0"/>
                <w:sz w:val="24"/>
                <w:szCs w:val="24"/>
                <w:highlight w:val="none"/>
                <w:lang w:val="en-US" w:eastAsia="zh-CN" w:bidi="ar-SA"/>
              </w:rPr>
            </w:pPr>
            <w:r>
              <w:rPr>
                <w:rFonts w:hint="eastAsia" w:ascii="宋体" w:hAnsi="宋体" w:cs="宋体" w:eastAsiaTheme="minorEastAsia"/>
                <w:b/>
                <w:color w:val="auto"/>
                <w:kern w:val="0"/>
                <w:sz w:val="24"/>
                <w:szCs w:val="24"/>
                <w:highlight w:val="none"/>
                <w:lang w:val="en-US" w:eastAsia="zh-CN" w:bidi="ar-SA"/>
              </w:rPr>
              <w:t>功能列表</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cs="宋体" w:eastAsiaTheme="minorEastAsia"/>
                <w:b/>
                <w:color w:val="auto"/>
                <w:kern w:val="0"/>
                <w:sz w:val="24"/>
                <w:szCs w:val="24"/>
                <w:highlight w:val="none"/>
                <w:lang w:val="en-US" w:eastAsia="zh-CN" w:bidi="ar-SA"/>
              </w:rPr>
            </w:pPr>
            <w:r>
              <w:rPr>
                <w:rFonts w:hint="eastAsia" w:ascii="宋体" w:hAnsi="宋体" w:cs="宋体" w:eastAsiaTheme="minorEastAsia"/>
                <w:b/>
                <w:color w:val="auto"/>
                <w:kern w:val="0"/>
                <w:sz w:val="24"/>
                <w:szCs w:val="24"/>
                <w:highlight w:val="none"/>
                <w:lang w:val="en-US" w:eastAsia="zh-CN" w:bidi="ar-SA"/>
              </w:rPr>
              <w:t>功能简述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cs="宋体" w:eastAsiaTheme="minorEastAsia"/>
                <w:b/>
                <w:color w:val="auto"/>
                <w:kern w:val="0"/>
                <w:sz w:val="24"/>
                <w:szCs w:val="24"/>
                <w:highlight w:val="none"/>
                <w:lang w:val="en-US" w:eastAsia="zh-CN" w:bidi="ar-SA"/>
              </w:rPr>
            </w:pPr>
            <w:r>
              <w:rPr>
                <w:rFonts w:hint="eastAsia" w:ascii="宋体" w:hAnsi="宋体" w:cs="宋体" w:eastAsiaTheme="minorEastAsia"/>
                <w:b/>
                <w:color w:val="auto"/>
                <w:kern w:val="0"/>
                <w:sz w:val="24"/>
                <w:szCs w:val="24"/>
                <w:highlight w:val="none"/>
                <w:lang w:val="en-US" w:eastAsia="zh-CN" w:bidi="ar-SA"/>
              </w:rPr>
              <w:t>备注</w:t>
            </w:r>
          </w:p>
        </w:tc>
      </w:tr>
      <w:tr>
        <w:tblPrEx>
          <w:shd w:val="clear" w:color="auto" w:fill="auto"/>
          <w:tblCellMar>
            <w:top w:w="15" w:type="dxa"/>
            <w:left w:w="15" w:type="dxa"/>
            <w:bottom w:w="15" w:type="dxa"/>
            <w:right w:w="15" w:type="dxa"/>
          </w:tblCellMar>
        </w:tblPrEx>
        <w:trPr>
          <w:trHeight w:val="187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常规护理项目显示</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至少包含</w:t>
            </w:r>
            <w:r>
              <w:rPr>
                <w:rFonts w:hint="eastAsia" w:ascii="宋体" w:hAnsi="宋体" w:eastAsia="宋体" w:cs="宋体"/>
                <w:sz w:val="24"/>
                <w:szCs w:val="24"/>
                <w:highlight w:val="none"/>
                <w:shd w:val="clear" w:color="auto" w:fill="FFFFFF"/>
              </w:rPr>
              <w:t>常规护理内容，各病区可以自定义基础护理项目如测血压、床边血糖、心电监护、24小时出入量、相应治疗、转科、出入量、雾化吸入等并显示项目相关床位，整体数据实时更新；同一护理项目存在较多的床位患者，能够支持内容分页显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40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重点项目显示</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支持配置显示病人总数、今日入院、今日出院、危重病人、今日手术、明日手术、不同护理等级的重点关注护理项目，显示项目人员总数，以及相应具体的床位床号。</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55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体征项目显示</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支持配置的体征规则，显示科室当天的体征检测的护理项目及具体床号、频次等，对体温、血压、脉搏、呼吸监测等各项生命体征状况进行测量监测的任务进行提醒。</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08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自定义护理项目</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支持配置自定义的护理项目，护士可以在大屏上手动调整、管理该项目下的病区患者/床位，以满足特殊情况需要。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898"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项目患者信息卡</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支持点击护理项目下的床号，显示该床号患者简况，可跳转查看该患者详情；</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90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护理项目标记和提醒</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支持对具体护理项（含床号），进行状态标注和醒目显示；支持为项目床号设定定时任务，到期进行语音播报提醒，有效地提醒护士执行。</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108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任务时间轴</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系统智能筛选当前时间段内需重点关注或执行的护理项目，在专门区域的展示提醒。</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793"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新医嘱提醒</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新开医嘱，在大屏首页提醒护士，方便护士及时处理医生下达的紧急医嘱。</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968"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项目打印</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可将大屏显示的多个护理项目/医嘱任务打印出来，方便护士对照统计和执行，避免了手工抄写信息产生的遗漏或错误，同时提高了护士工作效率；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148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患者一览表</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展示科室所有患者/床位的简要信息（包括但不限于床号、姓名、入院天数、主治医生、医保类型等）；</w:t>
            </w:r>
          </w:p>
          <w:p>
            <w:pPr>
              <w:keepNext w:val="0"/>
              <w:keepLines w:val="0"/>
              <w:pageBreakBefore w:val="0"/>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支持按不同类别进行筛选展示，例如：病重、病危、不同护理等级、手术、空床等；进一步点击查看患者的详细情况、医嘱情况；</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95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屏蔽患者/床位敏感信息</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患者一览表中，</w:t>
            </w: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支持切换简要信息模式，避免显示床位/患者的详细敏感信息；</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918"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护士交班</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支持对接提取科室病区信息，将当日班次内病人的各项状况汇总，自动生成交班报告，方便护士直接在大屏上进行交班工作。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685"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护士排班</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护士站大屏</w:t>
            </w: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能显示科室当日班次具体人员信息，并能查看护士个人一周班次详情。</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785"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借出物管理</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在护士站大屏上对借入、借出物管理，物品的借出和归还都有详细的记录，避免遗忘和科室财务损失。</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75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换床管理</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显示科室换床、加床及占床信息，支持手动添加换床信息</w:t>
            </w:r>
            <w:r>
              <w:rPr>
                <w:rFonts w:hint="eastAsia" w:ascii="宋体" w:hAnsi="宋体" w:eastAsia="宋体" w:cs="宋体"/>
                <w:sz w:val="24"/>
                <w:szCs w:val="24"/>
                <w:highlight w:val="none"/>
                <w:shd w:val="clear" w:color="auto" w:fill="FFFFFF"/>
                <w:lang w:eastAsia="zh-CN"/>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711"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便签备忘录</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支持在大屏端直接添加便签备忘录信息。</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08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通知消息</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由护理部或护士长从后台管理下发的科室通知，信息快速广播并提示在护士站大屏上，可点击查看通知详细内容。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836"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医护信息</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在大屏显示当前的值班医生、护士信息，以及护士责任管床、医生线级分管床位等信息。</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082"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护士学习教育</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支持将培训、学习的资料课件、文档、视频通过后台管理上传以及对资源库的管理</w:t>
            </w:r>
            <w:r>
              <w:rPr>
                <w:rFonts w:hint="eastAsia" w:ascii="宋体" w:hAnsi="宋体" w:eastAsia="宋体" w:cs="宋体"/>
                <w:sz w:val="24"/>
                <w:szCs w:val="24"/>
                <w:highlight w:val="none"/>
                <w:shd w:val="clear" w:color="auto" w:fill="FFFFFF"/>
                <w:lang w:eastAsia="zh-CN"/>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919"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电子白板</w:t>
            </w:r>
          </w:p>
        </w:tc>
        <w:tc>
          <w:tcPr>
            <w:tcW w:w="3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提供大屏上的电子白板功能，并用户在屏幕上书写、勾画的信息以图片形式保存下来。</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1299"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21</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智能锁屏与屏保</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支持任意界面的内容进行锁屏，输入密码解锁后才能进行大屏更多内容的查看和交互，可自行设定无操作后锁屏时间；可实现多种锁屏屏保的展示</w:t>
            </w:r>
            <w:r>
              <w:rPr>
                <w:rFonts w:hint="eastAsia" w:ascii="宋体" w:hAnsi="宋体" w:eastAsia="宋体" w:cs="宋体"/>
                <w:sz w:val="24"/>
                <w:szCs w:val="24"/>
                <w:highlight w:val="none"/>
                <w:shd w:val="clear" w:color="auto" w:fill="FFFFFF"/>
                <w:lang w:eastAsia="zh-CN"/>
              </w:rPr>
              <w:t>。</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882"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22</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高级软件界面交互</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支持夜间模式，及适配不同科室风格的界面配色方案。</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shd w:val="clear" w:color="auto" w:fill="auto"/>
          <w:tblCellMar>
            <w:top w:w="15" w:type="dxa"/>
            <w:left w:w="15" w:type="dxa"/>
            <w:bottom w:w="15" w:type="dxa"/>
            <w:right w:w="15" w:type="dxa"/>
          </w:tblCellMar>
        </w:tblPrEx>
        <w:trPr>
          <w:trHeight w:val="1005"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23</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快捷菜单</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left"/>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shd w:val="clear" w:color="auto" w:fill="FFFFFF"/>
              </w:rPr>
              <w:t>支持在界面上设置快捷菜单，一键式跳转目标功能。</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shd w:val="clear" w:color="auto" w:fill="auto"/>
          <w:tblCellMar>
            <w:top w:w="15" w:type="dxa"/>
            <w:left w:w="15" w:type="dxa"/>
            <w:bottom w:w="15" w:type="dxa"/>
            <w:right w:w="15" w:type="dxa"/>
          </w:tblCellMar>
        </w:tblPrEx>
        <w:trPr>
          <w:trHeight w:val="815"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24</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第三方硬件接入</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shd w:val="clear" w:color="auto" w:fill="FFFFFF"/>
              </w:rPr>
              <w:t>支持第三方呼叫设备的接入，呼叫床号及相关信息直接在大屏上提示显示</w:t>
            </w:r>
            <w:r>
              <w:rPr>
                <w:rFonts w:hint="eastAsia" w:ascii="宋体" w:hAnsi="宋体" w:eastAsia="宋体" w:cs="宋体"/>
                <w:sz w:val="24"/>
                <w:szCs w:val="24"/>
                <w:highlight w:val="none"/>
                <w:shd w:val="clear" w:color="auto" w:fill="FFFFFF"/>
                <w:lang w:eastAsia="zh-CN"/>
              </w:rPr>
              <w:t>。</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华文细黑"/>
                <w:sz w:val="24"/>
                <w:szCs w:val="24"/>
                <w:highlight w:val="none"/>
              </w:rPr>
              <w:t>▲</w:t>
            </w:r>
          </w:p>
        </w:tc>
      </w:tr>
      <w:tr>
        <w:tblPrEx>
          <w:tblCellMar>
            <w:top w:w="15" w:type="dxa"/>
            <w:left w:w="15" w:type="dxa"/>
            <w:bottom w:w="15" w:type="dxa"/>
            <w:right w:w="15" w:type="dxa"/>
          </w:tblCellMar>
        </w:tblPrEx>
        <w:trPr>
          <w:trHeight w:val="835"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25</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身份智能筛选</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任意护士通过身份认证登录后，会智能进行护理项目、床位患者、等模块功能的内容筛选过滤</w:t>
            </w:r>
            <w:r>
              <w:rPr>
                <w:rFonts w:hint="eastAsia" w:ascii="宋体" w:hAnsi="宋体" w:eastAsia="宋体" w:cs="宋体"/>
                <w:sz w:val="24"/>
                <w:szCs w:val="24"/>
                <w:highlight w:val="none"/>
                <w:shd w:val="clear" w:color="auto" w:fill="FFFFFF"/>
                <w:lang w:eastAsia="zh-CN"/>
              </w:rPr>
              <w:t>。</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tblCellMar>
            <w:top w:w="15" w:type="dxa"/>
            <w:left w:w="15" w:type="dxa"/>
            <w:bottom w:w="15" w:type="dxa"/>
            <w:right w:w="15" w:type="dxa"/>
          </w:tblCellMar>
        </w:tblPrEx>
        <w:trPr>
          <w:trHeight w:val="1082"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2</w:t>
            </w:r>
            <w:r>
              <w:rPr>
                <w:rFonts w:hint="eastAsia" w:ascii="宋体" w:hAnsi="宋体" w:eastAsia="宋体" w:cs="宋体"/>
                <w:sz w:val="24"/>
                <w:szCs w:val="24"/>
                <w:highlight w:val="none"/>
                <w:shd w:val="clear" w:color="auto" w:fill="FFFFFF"/>
                <w:lang w:val="en-US" w:eastAsia="zh-CN"/>
              </w:rPr>
              <w:t>6</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综合管理后台</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系统有综合后台管理系统和界面，</w:t>
            </w:r>
            <w:r>
              <w:rPr>
                <w:rFonts w:hint="eastAsia" w:ascii="宋体" w:hAnsi="宋体" w:eastAsia="宋体" w:cs="宋体"/>
                <w:sz w:val="24"/>
                <w:szCs w:val="24"/>
                <w:highlight w:val="none"/>
                <w:shd w:val="clear" w:color="auto" w:fill="FFFFFF"/>
                <w:lang w:eastAsia="zh-CN"/>
              </w:rPr>
              <w:t>至少</w:t>
            </w:r>
            <w:r>
              <w:rPr>
                <w:rFonts w:hint="eastAsia" w:ascii="宋体" w:hAnsi="宋体" w:eastAsia="宋体" w:cs="宋体"/>
                <w:sz w:val="24"/>
                <w:szCs w:val="24"/>
                <w:highlight w:val="none"/>
              </w:rPr>
              <w:t>支持统一的后台配置管理入口，支持多用户、不同角色的管理用户和权限管理</w:t>
            </w:r>
            <w:r>
              <w:rPr>
                <w:rFonts w:hint="eastAsia" w:ascii="宋体" w:hAnsi="宋体" w:eastAsia="宋体" w:cs="宋体"/>
                <w:sz w:val="24"/>
                <w:szCs w:val="24"/>
                <w:highlight w:val="none"/>
                <w:lang w:eastAsia="zh-CN"/>
              </w:rPr>
              <w:t>。</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shd w:val="clear" w:color="auto" w:fill="FFFFFF"/>
              </w:rPr>
            </w:pPr>
          </w:p>
        </w:tc>
      </w:tr>
      <w:tr>
        <w:tblPrEx>
          <w:tblCellMar>
            <w:top w:w="15" w:type="dxa"/>
            <w:left w:w="15" w:type="dxa"/>
            <w:bottom w:w="15" w:type="dxa"/>
            <w:right w:w="15" w:type="dxa"/>
          </w:tblCellMar>
        </w:tblPrEx>
        <w:trPr>
          <w:trHeight w:val="934" w:hRule="atLeast"/>
          <w:jc w:val="center"/>
        </w:trPr>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lang w:val="en-US" w:eastAsia="zh-CN"/>
              </w:rPr>
              <w:t>27</w:t>
            </w:r>
          </w:p>
        </w:tc>
        <w:tc>
          <w:tcPr>
            <w:tcW w:w="859"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sz w:val="24"/>
                <w:szCs w:val="24"/>
                <w:highlight w:val="none"/>
                <w:shd w:val="clear" w:color="auto" w:fill="FFFFFF"/>
              </w:rPr>
              <w:t>自动更新</w:t>
            </w:r>
          </w:p>
        </w:tc>
        <w:tc>
          <w:tcPr>
            <w:tcW w:w="33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sz w:val="24"/>
                <w:szCs w:val="24"/>
                <w:highlight w:val="none"/>
              </w:rPr>
              <w:t>分布在医院各个科室病区的大屏终端上的软件，支持远端统一版本发布后自动升级更新</w:t>
            </w:r>
            <w:r>
              <w:rPr>
                <w:rFonts w:hint="eastAsia" w:ascii="宋体" w:hAnsi="宋体" w:eastAsia="宋体" w:cs="宋体"/>
                <w:sz w:val="24"/>
                <w:szCs w:val="24"/>
                <w:highlight w:val="none"/>
                <w:lang w:eastAsia="zh-CN"/>
              </w:rPr>
              <w:t>。</w:t>
            </w:r>
          </w:p>
        </w:tc>
        <w:tc>
          <w:tcPr>
            <w:tcW w:w="4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bidi w:val="0"/>
              <w:adjustRightInd w:val="0"/>
              <w:snapToGrid w:val="0"/>
              <w:ind w:firstLine="0"/>
              <w:jc w:val="center"/>
              <w:textAlignment w:val="auto"/>
              <w:rPr>
                <w:rFonts w:hint="eastAsia" w:ascii="宋体" w:hAnsi="宋体" w:eastAsia="宋体" w:cs="宋体"/>
                <w:sz w:val="24"/>
                <w:szCs w:val="24"/>
                <w:highlight w:val="none"/>
              </w:rPr>
            </w:pPr>
            <w:r>
              <w:rPr>
                <w:rFonts w:hint="eastAsia" w:ascii="宋体" w:hAnsi="宋体" w:eastAsia="宋体" w:cs="华文细黑"/>
                <w:sz w:val="24"/>
                <w:szCs w:val="24"/>
                <w:highlight w:val="none"/>
              </w:rPr>
              <w:t>▲</w:t>
            </w:r>
          </w:p>
        </w:tc>
      </w:tr>
    </w:tbl>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sz w:val="24"/>
          <w:szCs w:val="24"/>
          <w:highlight w:val="none"/>
          <w:lang w:val="en-US" w:eastAsia="zh-CN"/>
        </w:rPr>
      </w:pPr>
    </w:p>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val="0"/>
          <w:bCs w:val="0"/>
          <w:color w:val="auto"/>
          <w:sz w:val="24"/>
          <w:szCs w:val="24"/>
          <w:highlight w:val="none"/>
          <w:vertAlign w:val="baseline"/>
          <w:lang w:eastAsia="zh-CN"/>
        </w:rPr>
        <w:t>显示设备技术</w:t>
      </w:r>
      <w:r>
        <w:rPr>
          <w:rFonts w:hint="eastAsia" w:ascii="宋体" w:hAnsi="宋体" w:eastAsia="宋体" w:cs="宋体"/>
          <w:sz w:val="24"/>
          <w:szCs w:val="24"/>
          <w:highlight w:val="none"/>
          <w:lang w:val="en-US" w:eastAsia="zh-CN"/>
        </w:rPr>
        <w:t>要求</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18"/>
        <w:gridCol w:w="53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序号</w:t>
            </w:r>
          </w:p>
        </w:tc>
        <w:tc>
          <w:tcPr>
            <w:tcW w:w="1618" w:type="dxa"/>
            <w:shd w:val="clear" w:color="auto" w:fill="auto"/>
            <w:noWrap/>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内容</w:t>
            </w:r>
          </w:p>
        </w:tc>
        <w:tc>
          <w:tcPr>
            <w:tcW w:w="5392" w:type="dxa"/>
            <w:shd w:val="clear" w:color="auto" w:fill="auto"/>
            <w:vAlign w:val="center"/>
          </w:tcPr>
          <w:p>
            <w:pPr>
              <w:spacing w:line="360" w:lineRule="auto"/>
              <w:jc w:val="center"/>
              <w:rPr>
                <w:rFonts w:hint="eastAsia" w:ascii="宋体" w:hAnsi="宋体" w:eastAsia="宋体" w:cs="华文细黑"/>
                <w:b/>
                <w:bCs/>
                <w:szCs w:val="21"/>
                <w:highlight w:val="none"/>
                <w:lang w:eastAsia="zh-CN"/>
              </w:rPr>
            </w:pPr>
            <w:r>
              <w:rPr>
                <w:rFonts w:hint="eastAsia" w:ascii="宋体" w:hAnsi="宋体" w:eastAsia="宋体" w:cs="华文细黑"/>
                <w:b/>
                <w:bCs/>
                <w:szCs w:val="21"/>
                <w:highlight w:val="none"/>
                <w:lang w:eastAsia="zh-CN"/>
              </w:rPr>
              <w:t>性能要求</w:t>
            </w:r>
          </w:p>
        </w:tc>
        <w:tc>
          <w:tcPr>
            <w:tcW w:w="709" w:type="dxa"/>
            <w:shd w:val="clear" w:color="auto" w:fill="auto"/>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vMerge w:val="restart"/>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1</w:t>
            </w:r>
          </w:p>
        </w:tc>
        <w:tc>
          <w:tcPr>
            <w:tcW w:w="1618" w:type="dxa"/>
            <w:vMerge w:val="restart"/>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sz w:val="24"/>
                <w:szCs w:val="24"/>
                <w:highlight w:val="none"/>
              </w:rPr>
              <w:t>显示屏</w:t>
            </w:r>
          </w:p>
        </w:tc>
        <w:tc>
          <w:tcPr>
            <w:tcW w:w="5392" w:type="dxa"/>
            <w:shd w:val="clear" w:color="auto" w:fill="auto"/>
            <w:vAlign w:val="center"/>
          </w:tcPr>
          <w:p>
            <w:pPr>
              <w:spacing w:line="360" w:lineRule="auto"/>
              <w:jc w:val="both"/>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不低于</w:t>
            </w:r>
            <w:r>
              <w:rPr>
                <w:rFonts w:hint="eastAsia" w:ascii="宋体" w:hAnsi="宋体" w:eastAsia="宋体" w:cs="宋体"/>
                <w:bCs/>
                <w:sz w:val="24"/>
                <w:szCs w:val="24"/>
                <w:highlight w:val="none"/>
              </w:rPr>
              <w:t>屏幕尺寸</w:t>
            </w:r>
            <w:r>
              <w:rPr>
                <w:rFonts w:hint="eastAsia" w:ascii="宋体" w:hAnsi="宋体" w:eastAsia="宋体" w:cs="宋体"/>
                <w:bCs/>
                <w:sz w:val="24"/>
                <w:szCs w:val="24"/>
                <w:highlight w:val="none"/>
                <w:lang w:val="en-US" w:eastAsia="zh-CN"/>
              </w:rPr>
              <w:t>60</w:t>
            </w:r>
            <w:r>
              <w:rPr>
                <w:rFonts w:hint="eastAsia" w:ascii="宋体" w:hAnsi="宋体" w:eastAsia="宋体" w:cs="宋体"/>
                <w:bCs/>
                <w:sz w:val="24"/>
                <w:szCs w:val="24"/>
                <w:highlight w:val="none"/>
              </w:rPr>
              <w:t>英寸，亮度450 cd/㎡，对比度5000：1，显示比例16:9</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屏幕分辨率3840×2160。</w:t>
            </w:r>
          </w:p>
          <w:p>
            <w:pPr>
              <w:spacing w:line="360" w:lineRule="auto"/>
              <w:jc w:val="both"/>
              <w:rPr>
                <w:rFonts w:hint="eastAsia" w:ascii="宋体" w:hAnsi="宋体" w:eastAsia="宋体" w:cs="华文细黑"/>
                <w:b/>
                <w:bCs/>
                <w:szCs w:val="21"/>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防眩光玻璃面板，玻璃透过率不低于88% ,玻璃面板硬度≥8H。</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vMerge w:val="continue"/>
            <w:shd w:val="clear" w:color="auto" w:fill="auto"/>
            <w:noWrap/>
            <w:vAlign w:val="center"/>
          </w:tcPr>
          <w:p>
            <w:pPr>
              <w:spacing w:line="360" w:lineRule="auto"/>
              <w:jc w:val="center"/>
              <w:rPr>
                <w:rFonts w:hint="eastAsia" w:ascii="宋体" w:hAnsi="宋体" w:eastAsia="宋体" w:cs="华文细黑"/>
                <w:b/>
                <w:bCs/>
                <w:szCs w:val="21"/>
                <w:highlight w:val="none"/>
              </w:rPr>
            </w:pPr>
          </w:p>
        </w:tc>
        <w:tc>
          <w:tcPr>
            <w:tcW w:w="1618" w:type="dxa"/>
            <w:vMerge w:val="continue"/>
            <w:shd w:val="clear" w:color="auto" w:fill="auto"/>
            <w:noWrap/>
            <w:vAlign w:val="center"/>
          </w:tcPr>
          <w:p>
            <w:pPr>
              <w:spacing w:line="360" w:lineRule="auto"/>
              <w:jc w:val="center"/>
              <w:rPr>
                <w:rFonts w:hint="eastAsia" w:ascii="宋体" w:hAnsi="宋体" w:eastAsia="宋体" w:cs="华文细黑"/>
                <w:b/>
                <w:bCs/>
                <w:szCs w:val="21"/>
                <w:highlight w:val="none"/>
              </w:rPr>
            </w:pPr>
          </w:p>
        </w:tc>
        <w:tc>
          <w:tcPr>
            <w:tcW w:w="5392" w:type="dxa"/>
            <w:shd w:val="clear" w:color="auto" w:fill="auto"/>
            <w:vAlign w:val="center"/>
          </w:tcPr>
          <w:p>
            <w:pPr>
              <w:spacing w:line="360" w:lineRule="auto"/>
              <w:jc w:val="both"/>
              <w:rPr>
                <w:rFonts w:hint="eastAsia" w:ascii="宋体" w:hAnsi="宋体" w:eastAsia="宋体" w:cs="华文细黑"/>
                <w:b/>
                <w:bCs/>
                <w:szCs w:val="21"/>
                <w:highlight w:val="none"/>
              </w:rPr>
            </w:pPr>
            <w:r>
              <w:rPr>
                <w:rFonts w:hint="eastAsia" w:ascii="宋体" w:hAnsi="宋体" w:eastAsia="宋体" w:cs="宋体"/>
                <w:sz w:val="24"/>
                <w:szCs w:val="24"/>
                <w:highlight w:val="none"/>
                <w:lang w:eastAsia="zh-CN"/>
              </w:rPr>
              <w:t>须采用</w:t>
            </w:r>
            <w:r>
              <w:rPr>
                <w:rFonts w:hint="eastAsia" w:ascii="宋体" w:hAnsi="宋体" w:eastAsia="宋体" w:cs="宋体"/>
                <w:sz w:val="24"/>
                <w:szCs w:val="24"/>
                <w:highlight w:val="none"/>
              </w:rPr>
              <w:t>医用抗菌玻璃，抗菌能力不低于</w:t>
            </w:r>
            <w:r>
              <w:rPr>
                <w:rFonts w:hint="eastAsia" w:ascii="宋体" w:hAnsi="宋体" w:eastAsia="宋体" w:cs="宋体"/>
                <w:sz w:val="24"/>
                <w:szCs w:val="24"/>
                <w:highlight w:val="none"/>
                <w:lang w:val="en-US" w:eastAsia="zh-CN"/>
              </w:rPr>
              <w:t>99.3</w:t>
            </w:r>
            <w:r>
              <w:rPr>
                <w:rFonts w:hint="eastAsia" w:ascii="宋体" w:hAnsi="宋体" w:eastAsia="宋体" w:cs="宋体"/>
                <w:sz w:val="24"/>
                <w:szCs w:val="24"/>
                <w:highlight w:val="none"/>
              </w:rPr>
              <w:t>%</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lang w:eastAsia="zh-CN"/>
              </w:rPr>
            </w:pPr>
            <w:r>
              <w:rPr>
                <w:rFonts w:hint="eastAsia" w:ascii="宋体" w:hAnsi="宋体" w:eastAsia="宋体" w:cs="宋体"/>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2</w:t>
            </w:r>
          </w:p>
        </w:tc>
        <w:tc>
          <w:tcPr>
            <w:tcW w:w="1618"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sz w:val="24"/>
                <w:szCs w:val="24"/>
                <w:highlight w:val="none"/>
              </w:rPr>
              <w:t>触摸书写系统</w:t>
            </w:r>
          </w:p>
        </w:tc>
        <w:tc>
          <w:tcPr>
            <w:tcW w:w="5392" w:type="dxa"/>
            <w:shd w:val="clear" w:color="auto" w:fill="auto"/>
            <w:vAlign w:val="center"/>
          </w:tcPr>
          <w:p>
            <w:pPr>
              <w:numPr>
                <w:ilvl w:val="0"/>
                <w:numId w:val="0"/>
              </w:numPr>
              <w:spacing w:line="360" w:lineRule="auto"/>
              <w:ind w:left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红外识别原理</w:t>
            </w:r>
            <w:r>
              <w:rPr>
                <w:rFonts w:hint="eastAsia" w:ascii="宋体" w:hAnsi="宋体" w:eastAsia="宋体" w:cs="宋体"/>
                <w:bCs/>
                <w:sz w:val="24"/>
                <w:szCs w:val="24"/>
                <w:highlight w:val="none"/>
                <w:lang w:eastAsia="zh-CN"/>
              </w:rPr>
              <w:t>；不低于</w:t>
            </w:r>
            <w:r>
              <w:rPr>
                <w:rFonts w:hint="eastAsia" w:ascii="宋体" w:hAnsi="宋体" w:eastAsia="宋体" w:cs="宋体"/>
                <w:bCs/>
                <w:sz w:val="24"/>
                <w:szCs w:val="24"/>
                <w:highlight w:val="none"/>
              </w:rPr>
              <w:t>触摸点数20</w:t>
            </w:r>
            <w:r>
              <w:rPr>
                <w:rFonts w:hint="eastAsia" w:ascii="宋体" w:hAnsi="宋体" w:eastAsia="宋体" w:cs="宋体"/>
                <w:bCs/>
                <w:sz w:val="24"/>
                <w:szCs w:val="24"/>
                <w:highlight w:val="none"/>
                <w:lang w:eastAsia="zh-CN"/>
              </w:rPr>
              <w:t>。</w:t>
            </w:r>
          </w:p>
          <w:p>
            <w:pPr>
              <w:numPr>
                <w:ilvl w:val="0"/>
                <w:numId w:val="0"/>
              </w:numPr>
              <w:spacing w:line="360" w:lineRule="auto"/>
              <w:ind w:leftChars="0"/>
              <w:rPr>
                <w:rFonts w:hint="eastAsia" w:ascii="宋体" w:hAnsi="宋体" w:eastAsia="宋体" w:cs="华文细黑"/>
                <w:b/>
                <w:bCs/>
                <w:szCs w:val="21"/>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触摸精度90%以上的触摸区域为±1mm。</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3</w:t>
            </w:r>
          </w:p>
        </w:tc>
        <w:tc>
          <w:tcPr>
            <w:tcW w:w="1618"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sz w:val="24"/>
                <w:szCs w:val="24"/>
                <w:highlight w:val="none"/>
              </w:rPr>
              <w:t>内置系统</w:t>
            </w:r>
          </w:p>
        </w:tc>
        <w:tc>
          <w:tcPr>
            <w:tcW w:w="5392" w:type="dxa"/>
            <w:shd w:val="clear" w:color="auto" w:fill="auto"/>
            <w:vAlign w:val="center"/>
          </w:tcPr>
          <w:p>
            <w:pPr>
              <w:spacing w:line="360" w:lineRule="auto"/>
              <w:jc w:val="both"/>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模块化设计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内置安卓系统，支持双系统。</w:t>
            </w:r>
          </w:p>
          <w:p>
            <w:pPr>
              <w:spacing w:line="360" w:lineRule="auto"/>
              <w:jc w:val="both"/>
              <w:rPr>
                <w:rFonts w:hint="eastAsia" w:ascii="宋体" w:hAnsi="宋体" w:eastAsia="宋体" w:cs="华文细黑"/>
                <w:b/>
                <w:bCs/>
                <w:szCs w:val="21"/>
                <w:highlight w:val="none"/>
                <w:lang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Android系统版本</w:t>
            </w:r>
            <w:r>
              <w:rPr>
                <w:rFonts w:hint="eastAsia" w:ascii="宋体" w:hAnsi="宋体" w:eastAsia="宋体" w:cs="宋体"/>
                <w:bCs/>
                <w:sz w:val="24"/>
                <w:szCs w:val="24"/>
                <w:highlight w:val="none"/>
                <w:lang w:eastAsia="zh-CN"/>
              </w:rPr>
              <w:t>不低于</w:t>
            </w:r>
            <w:r>
              <w:rPr>
                <w:rFonts w:hint="eastAsia" w:ascii="宋体" w:hAnsi="宋体" w:eastAsia="宋体" w:cs="宋体"/>
                <w:bCs/>
                <w:sz w:val="24"/>
                <w:szCs w:val="24"/>
                <w:highlight w:val="none"/>
              </w:rPr>
              <w:t>8.0</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存储容量16G ROM</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系统内存4G RAM</w:t>
            </w:r>
            <w:r>
              <w:rPr>
                <w:rFonts w:hint="eastAsia" w:ascii="宋体" w:hAnsi="宋体" w:eastAsia="宋体" w:cs="宋体"/>
                <w:bCs/>
                <w:sz w:val="24"/>
                <w:szCs w:val="24"/>
                <w:highlight w:val="none"/>
                <w:lang w:eastAsia="zh-CN"/>
              </w:rPr>
              <w:t>。</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4</w:t>
            </w:r>
          </w:p>
        </w:tc>
        <w:tc>
          <w:tcPr>
            <w:tcW w:w="1618"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sz w:val="24"/>
                <w:szCs w:val="24"/>
                <w:highlight w:val="none"/>
              </w:rPr>
              <w:t>输入输出端口</w:t>
            </w:r>
          </w:p>
        </w:tc>
        <w:tc>
          <w:tcPr>
            <w:tcW w:w="5392" w:type="dxa"/>
            <w:shd w:val="clear" w:color="auto" w:fill="auto"/>
            <w:vAlign w:val="center"/>
          </w:tcPr>
          <w:p>
            <w:pPr>
              <w:spacing w:line="360" w:lineRule="auto"/>
              <w:jc w:val="both"/>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后置输入接口</w:t>
            </w:r>
            <w:r>
              <w:rPr>
                <w:rFonts w:hint="eastAsia" w:ascii="宋体" w:hAnsi="宋体" w:eastAsia="宋体" w:cs="宋体"/>
                <w:bCs/>
                <w:sz w:val="24"/>
                <w:szCs w:val="24"/>
                <w:highlight w:val="none"/>
                <w:lang w:eastAsia="zh-CN"/>
              </w:rPr>
              <w:t>至少包括USB 3.0(Android)*1；USB 2.0(public)*2；HDMI IN*2；VGA IN*1；AUDIO IN *1；RJ45 *1 ；RS232*1 ；MIC IN*1。</w:t>
            </w:r>
          </w:p>
          <w:p>
            <w:pPr>
              <w:spacing w:line="360" w:lineRule="auto"/>
              <w:jc w:val="both"/>
              <w:rPr>
                <w:rFonts w:hint="eastAsia" w:ascii="宋体" w:hAnsi="宋体" w:eastAsia="宋体" w:cs="华文细黑"/>
                <w:b/>
                <w:bCs/>
                <w:szCs w:val="21"/>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后置输出接口</w:t>
            </w:r>
            <w:r>
              <w:rPr>
                <w:rFonts w:hint="eastAsia" w:ascii="宋体" w:hAnsi="宋体" w:eastAsia="宋体" w:cs="宋体"/>
                <w:bCs/>
                <w:sz w:val="24"/>
                <w:szCs w:val="24"/>
                <w:highlight w:val="none"/>
                <w:lang w:eastAsia="zh-CN"/>
              </w:rPr>
              <w:t>至少包括</w:t>
            </w:r>
            <w:r>
              <w:rPr>
                <w:rFonts w:hint="eastAsia" w:ascii="宋体" w:hAnsi="宋体" w:eastAsia="宋体" w:cs="宋体"/>
                <w:bCs/>
                <w:sz w:val="24"/>
                <w:szCs w:val="24"/>
                <w:highlight w:val="none"/>
              </w:rPr>
              <w:t>HDMI OUT *1 ；USB TOUCH *1 ；Earphone *1 ；SPDIF *13）前置接口：USB 2.0 (public)*2；HDMI IN*1（前置HDMI 1.4）；USB touch*1</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5</w:t>
            </w:r>
          </w:p>
        </w:tc>
        <w:tc>
          <w:tcPr>
            <w:tcW w:w="1618"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kern w:val="2"/>
                <w:sz w:val="24"/>
                <w:szCs w:val="24"/>
                <w:highlight w:val="none"/>
                <w:lang w:val="en-US" w:eastAsia="zh-CN" w:bidi="ar-SA"/>
              </w:rPr>
              <w:t>环境适应</w:t>
            </w:r>
          </w:p>
        </w:tc>
        <w:tc>
          <w:tcPr>
            <w:tcW w:w="5392" w:type="dxa"/>
            <w:shd w:val="clear" w:color="auto" w:fill="auto"/>
            <w:vAlign w:val="center"/>
          </w:tcPr>
          <w:p>
            <w:pPr>
              <w:spacing w:line="360" w:lineRule="auto"/>
              <w:jc w:val="both"/>
              <w:rPr>
                <w:rFonts w:hint="eastAsia" w:ascii="宋体" w:hAnsi="宋体" w:eastAsia="宋体" w:cs="华文细黑"/>
                <w:b/>
                <w:bCs/>
                <w:szCs w:val="21"/>
                <w:highlight w:val="none"/>
                <w:lang w:eastAsia="zh-CN"/>
              </w:rPr>
            </w:pPr>
            <w:r>
              <w:rPr>
                <w:rFonts w:hint="eastAsia" w:ascii="宋体" w:hAnsi="宋体" w:eastAsia="宋体" w:cs="宋体"/>
                <w:bCs/>
                <w:kern w:val="2"/>
                <w:sz w:val="24"/>
                <w:szCs w:val="24"/>
                <w:highlight w:val="none"/>
              </w:rPr>
              <w:t>整机在0℃—40℃环境下可正常工作，在-20℃—60℃的环境下可正常贮存且贮存后功能，海拔高度5000米以下正常使用</w:t>
            </w:r>
            <w:r>
              <w:rPr>
                <w:rFonts w:hint="eastAsia" w:ascii="宋体" w:hAnsi="宋体" w:eastAsia="宋体" w:cs="宋体"/>
                <w:bCs/>
                <w:kern w:val="2"/>
                <w:sz w:val="24"/>
                <w:szCs w:val="24"/>
                <w:highlight w:val="none"/>
                <w:lang w:eastAsia="zh-CN"/>
              </w:rPr>
              <w:t>。</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vMerge w:val="restart"/>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6</w:t>
            </w:r>
          </w:p>
        </w:tc>
        <w:tc>
          <w:tcPr>
            <w:tcW w:w="1618" w:type="dxa"/>
            <w:vMerge w:val="restart"/>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b/>
                <w:sz w:val="24"/>
                <w:szCs w:val="24"/>
                <w:highlight w:val="none"/>
              </w:rPr>
              <w:t>其他整机设计</w:t>
            </w:r>
          </w:p>
        </w:tc>
        <w:tc>
          <w:tcPr>
            <w:tcW w:w="5392" w:type="dxa"/>
            <w:shd w:val="clear" w:color="auto" w:fill="auto"/>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sz w:val="24"/>
                <w:szCs w:val="24"/>
                <w:highlight w:val="none"/>
                <w:lang w:eastAsia="zh-CN"/>
              </w:rPr>
              <w:t>内置不低于</w:t>
            </w:r>
            <w:r>
              <w:rPr>
                <w:rFonts w:hint="eastAsia" w:ascii="宋体" w:hAnsi="宋体" w:eastAsia="宋体" w:cs="宋体"/>
                <w:sz w:val="24"/>
                <w:szCs w:val="24"/>
                <w:highlight w:val="none"/>
                <w:lang w:val="en-US" w:eastAsia="zh-CN"/>
              </w:rPr>
              <w:t>4k</w:t>
            </w:r>
            <w:r>
              <w:rPr>
                <w:rFonts w:hint="eastAsia" w:ascii="宋体" w:hAnsi="宋体" w:eastAsia="宋体" w:cs="宋体"/>
                <w:sz w:val="24"/>
                <w:szCs w:val="24"/>
                <w:highlight w:val="none"/>
              </w:rPr>
              <w:t>高清摄像头</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lang w:eastAsia="zh-CN"/>
              </w:rPr>
            </w:pPr>
            <w:r>
              <w:rPr>
                <w:rFonts w:hint="eastAsia" w:ascii="宋体" w:hAnsi="宋体" w:eastAsia="宋体" w:cs="宋体"/>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vMerge w:val="continue"/>
            <w:shd w:val="clear" w:color="auto" w:fill="auto"/>
            <w:noWrap/>
            <w:vAlign w:val="center"/>
          </w:tcPr>
          <w:p>
            <w:pPr>
              <w:spacing w:line="360" w:lineRule="auto"/>
              <w:jc w:val="center"/>
              <w:rPr>
                <w:rFonts w:hint="eastAsia" w:ascii="宋体" w:hAnsi="宋体" w:eastAsia="宋体" w:cs="华文细黑"/>
                <w:b/>
                <w:bCs/>
                <w:szCs w:val="21"/>
                <w:highlight w:val="none"/>
              </w:rPr>
            </w:pPr>
          </w:p>
        </w:tc>
        <w:tc>
          <w:tcPr>
            <w:tcW w:w="1618" w:type="dxa"/>
            <w:vMerge w:val="continue"/>
            <w:shd w:val="clear" w:color="auto" w:fill="auto"/>
            <w:noWrap/>
            <w:vAlign w:val="center"/>
          </w:tcPr>
          <w:p>
            <w:pPr>
              <w:spacing w:line="360" w:lineRule="auto"/>
              <w:jc w:val="center"/>
              <w:rPr>
                <w:rFonts w:hint="eastAsia" w:ascii="宋体" w:hAnsi="宋体" w:eastAsia="宋体" w:cs="华文细黑"/>
                <w:b/>
                <w:bCs/>
                <w:szCs w:val="21"/>
                <w:highlight w:val="none"/>
              </w:rPr>
            </w:pPr>
          </w:p>
        </w:tc>
        <w:tc>
          <w:tcPr>
            <w:tcW w:w="5392" w:type="dxa"/>
            <w:shd w:val="clear" w:color="auto" w:fill="auto"/>
            <w:vAlign w:val="center"/>
          </w:tcPr>
          <w:p>
            <w:pPr>
              <w:spacing w:line="360" w:lineRule="auto"/>
              <w:jc w:val="both"/>
              <w:rPr>
                <w:rFonts w:hint="eastAsia" w:ascii="宋体" w:hAnsi="宋体" w:eastAsia="宋体" w:cs="华文细黑"/>
                <w:b/>
                <w:bCs/>
                <w:szCs w:val="21"/>
                <w:highlight w:val="none"/>
              </w:rPr>
            </w:pPr>
            <w:r>
              <w:rPr>
                <w:rFonts w:hint="eastAsia" w:ascii="宋体" w:hAnsi="宋体" w:eastAsia="宋体" w:cs="宋体"/>
                <w:bCs/>
                <w:sz w:val="24"/>
                <w:szCs w:val="24"/>
                <w:highlight w:val="none"/>
              </w:rPr>
              <w:t>内置</w:t>
            </w:r>
            <w:r>
              <w:rPr>
                <w:rFonts w:hint="eastAsia" w:ascii="宋体" w:hAnsi="宋体" w:eastAsia="宋体" w:cs="宋体"/>
                <w:bCs/>
                <w:sz w:val="24"/>
                <w:szCs w:val="24"/>
                <w:highlight w:val="none"/>
                <w:lang w:eastAsia="zh-CN"/>
              </w:rPr>
              <w:t>不低于</w:t>
            </w:r>
            <w:r>
              <w:rPr>
                <w:rFonts w:hint="eastAsia" w:ascii="宋体" w:hAnsi="宋体" w:eastAsia="宋体" w:cs="宋体"/>
                <w:bCs/>
                <w:sz w:val="24"/>
                <w:szCs w:val="24"/>
                <w:highlight w:val="none"/>
              </w:rPr>
              <w:t xml:space="preserve">8路矩阵式麦克风阵列，拾音范围不小于180°, </w:t>
            </w:r>
            <w:r>
              <w:rPr>
                <w:rFonts w:hint="eastAsia" w:ascii="宋体" w:hAnsi="宋体" w:eastAsia="宋体" w:cs="宋体"/>
                <w:bCs/>
                <w:sz w:val="24"/>
                <w:szCs w:val="24"/>
                <w:highlight w:val="none"/>
                <w:lang w:eastAsia="zh-CN"/>
              </w:rPr>
              <w:t>不低于</w:t>
            </w:r>
            <w:r>
              <w:rPr>
                <w:rFonts w:hint="eastAsia" w:ascii="宋体" w:hAnsi="宋体" w:eastAsia="宋体" w:cs="宋体"/>
                <w:bCs/>
                <w:sz w:val="24"/>
                <w:szCs w:val="24"/>
                <w:highlight w:val="none"/>
              </w:rPr>
              <w:t>10米拾音距离，具备全双工，回声消除，噪声抑制，波束成形功能, 高品质20 kHz音频。</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59" w:type="dxa"/>
            <w:gridSpan w:val="4"/>
            <w:shd w:val="clear" w:color="auto" w:fill="auto"/>
            <w:noWrap/>
            <w:vAlign w:val="center"/>
          </w:tcPr>
          <w:p>
            <w:pPr>
              <w:spacing w:line="360" w:lineRule="auto"/>
              <w:jc w:val="both"/>
              <w:rPr>
                <w:rFonts w:hint="eastAsia" w:ascii="宋体" w:hAnsi="宋体" w:eastAsia="宋体" w:cs="华文细黑"/>
                <w:b/>
                <w:bCs/>
                <w:szCs w:val="21"/>
                <w:highlight w:val="none"/>
                <w:lang w:eastAsia="zh-CN"/>
              </w:rPr>
            </w:pPr>
            <w:r>
              <w:rPr>
                <w:rFonts w:hint="eastAsia" w:ascii="宋体" w:hAnsi="宋体" w:eastAsia="宋体" w:cs="华文细黑"/>
                <w:b w:val="0"/>
                <w:bCs w:val="0"/>
                <w:sz w:val="24"/>
                <w:szCs w:val="24"/>
                <w:highlight w:val="none"/>
                <w:lang w:eastAsia="zh-CN"/>
              </w:rPr>
              <w:t>注：</w:t>
            </w:r>
            <w:r>
              <w:rPr>
                <w:rFonts w:hint="eastAsia" w:ascii="宋体" w:hAnsi="宋体" w:eastAsia="宋体" w:cs="宋体"/>
                <w:bCs/>
                <w:sz w:val="24"/>
                <w:szCs w:val="24"/>
                <w:highlight w:val="none"/>
              </w:rPr>
              <w:t>产品</w:t>
            </w:r>
            <w:r>
              <w:rPr>
                <w:rFonts w:hint="eastAsia" w:ascii="宋体" w:hAnsi="宋体" w:eastAsia="宋体" w:cs="宋体"/>
                <w:bCs/>
                <w:sz w:val="24"/>
                <w:szCs w:val="24"/>
                <w:highlight w:val="none"/>
                <w:lang w:eastAsia="zh-CN"/>
              </w:rPr>
              <w:t>须</w:t>
            </w:r>
            <w:r>
              <w:rPr>
                <w:rFonts w:hint="eastAsia" w:ascii="宋体" w:hAnsi="宋体" w:eastAsia="宋体" w:cs="宋体"/>
                <w:bCs/>
                <w:sz w:val="24"/>
                <w:szCs w:val="24"/>
                <w:highlight w:val="none"/>
              </w:rPr>
              <w:t>符合强制性产品认证</w:t>
            </w:r>
            <w:r>
              <w:rPr>
                <w:rFonts w:hint="eastAsia" w:ascii="宋体" w:hAnsi="宋体" w:eastAsia="宋体" w:cs="宋体"/>
                <w:bCs/>
                <w:sz w:val="24"/>
                <w:szCs w:val="24"/>
                <w:highlight w:val="none"/>
                <w:lang w:eastAsia="zh-CN"/>
              </w:rPr>
              <w:t>，须</w:t>
            </w:r>
            <w:r>
              <w:rPr>
                <w:rFonts w:hint="eastAsia" w:ascii="宋体" w:hAnsi="宋体" w:eastAsia="宋体" w:cs="宋体"/>
                <w:b w:val="0"/>
                <w:bCs w:val="0"/>
                <w:sz w:val="24"/>
                <w:szCs w:val="24"/>
                <w:highlight w:val="none"/>
                <w:lang w:eastAsia="zh-CN"/>
              </w:rPr>
              <w:t>提供</w:t>
            </w:r>
            <w:r>
              <w:rPr>
                <w:rFonts w:hint="eastAsia" w:ascii="宋体" w:hAnsi="宋体" w:eastAsia="宋体" w:cs="宋体"/>
                <w:b w:val="0"/>
                <w:bCs w:val="0"/>
                <w:sz w:val="24"/>
                <w:szCs w:val="24"/>
                <w:highlight w:val="none"/>
              </w:rPr>
              <w:t>CCC认证</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3、IWIFI业务租用服务技术要求</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775"/>
        <w:gridCol w:w="52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序号</w:t>
            </w:r>
          </w:p>
        </w:tc>
        <w:tc>
          <w:tcPr>
            <w:tcW w:w="1775" w:type="dxa"/>
            <w:shd w:val="clear" w:color="auto" w:fill="auto"/>
            <w:noWrap/>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内容</w:t>
            </w:r>
          </w:p>
        </w:tc>
        <w:tc>
          <w:tcPr>
            <w:tcW w:w="5235" w:type="dxa"/>
            <w:shd w:val="clear" w:color="auto" w:fill="auto"/>
            <w:vAlign w:val="center"/>
          </w:tcPr>
          <w:p>
            <w:pPr>
              <w:spacing w:line="360" w:lineRule="auto"/>
              <w:jc w:val="center"/>
              <w:rPr>
                <w:rFonts w:hint="eastAsia" w:ascii="宋体" w:hAnsi="宋体" w:eastAsia="宋体" w:cs="华文细黑"/>
                <w:b/>
                <w:bCs/>
                <w:szCs w:val="21"/>
                <w:highlight w:val="none"/>
                <w:lang w:eastAsia="zh-CN"/>
              </w:rPr>
            </w:pPr>
            <w:r>
              <w:rPr>
                <w:rFonts w:hint="eastAsia" w:ascii="宋体" w:hAnsi="宋体" w:eastAsia="宋体" w:cs="华文细黑"/>
                <w:b/>
                <w:bCs/>
                <w:szCs w:val="21"/>
                <w:highlight w:val="none"/>
                <w:lang w:eastAsia="zh-CN"/>
              </w:rPr>
              <w:t>要求</w:t>
            </w:r>
          </w:p>
        </w:tc>
        <w:tc>
          <w:tcPr>
            <w:tcW w:w="709" w:type="dxa"/>
            <w:shd w:val="clear" w:color="auto" w:fill="auto"/>
            <w:vAlign w:val="center"/>
          </w:tcPr>
          <w:p>
            <w:pPr>
              <w:spacing w:line="360" w:lineRule="auto"/>
              <w:jc w:val="center"/>
              <w:rPr>
                <w:rFonts w:ascii="宋体" w:hAnsi="宋体" w:eastAsia="宋体" w:cs="华文细黑"/>
                <w:b/>
                <w:bCs/>
                <w:szCs w:val="21"/>
                <w:highlight w:val="none"/>
              </w:rPr>
            </w:pPr>
            <w:r>
              <w:rPr>
                <w:rFonts w:hint="eastAsia" w:ascii="宋体" w:hAnsi="宋体" w:eastAsia="宋体" w:cs="华文细黑"/>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1</w:t>
            </w:r>
          </w:p>
        </w:tc>
        <w:tc>
          <w:tcPr>
            <w:tcW w:w="1775"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kern w:val="2"/>
                <w:sz w:val="24"/>
                <w:szCs w:val="24"/>
                <w:highlight w:val="none"/>
                <w:lang w:val="en-US" w:eastAsia="zh-CN" w:bidi="ar-SA"/>
              </w:rPr>
              <w:t>最高传输速率</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不低于800Mbps</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2</w:t>
            </w:r>
          </w:p>
        </w:tc>
        <w:tc>
          <w:tcPr>
            <w:tcW w:w="1775"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kern w:val="2"/>
                <w:sz w:val="24"/>
                <w:szCs w:val="24"/>
                <w:highlight w:val="none"/>
                <w:lang w:val="en-US" w:eastAsia="zh-CN" w:bidi="ar-SA"/>
              </w:rPr>
              <w:t>频率范围</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至少包含双频（2.4GHz，5GHz）</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3</w:t>
            </w:r>
          </w:p>
        </w:tc>
        <w:tc>
          <w:tcPr>
            <w:tcW w:w="1775"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cs="宋体"/>
                <w:kern w:val="2"/>
                <w:sz w:val="24"/>
                <w:szCs w:val="24"/>
                <w:highlight w:val="none"/>
                <w:lang w:val="en-US" w:eastAsia="zh-CN" w:bidi="ar-SA"/>
              </w:rPr>
              <w:t>网络接口</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至少包含1个不低于千兆以太网口</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4</w:t>
            </w:r>
          </w:p>
        </w:tc>
        <w:tc>
          <w:tcPr>
            <w:tcW w:w="1775"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cs="宋体"/>
                <w:kern w:val="2"/>
                <w:sz w:val="24"/>
                <w:szCs w:val="24"/>
                <w:highlight w:val="none"/>
                <w:lang w:val="en-US" w:eastAsia="zh-CN" w:bidi="ar-SA"/>
              </w:rPr>
              <w:t>工作模式</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至少包含Fat/Fit 两种模式</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5</w:t>
            </w:r>
          </w:p>
        </w:tc>
        <w:tc>
          <w:tcPr>
            <w:tcW w:w="1775" w:type="dxa"/>
            <w:shd w:val="clear" w:color="auto" w:fill="auto"/>
            <w:noWrap/>
            <w:vAlign w:val="center"/>
          </w:tcPr>
          <w:p>
            <w:pPr>
              <w:spacing w:line="360" w:lineRule="auto"/>
              <w:jc w:val="center"/>
              <w:rPr>
                <w:rFonts w:hint="eastAsia" w:ascii="宋体" w:hAnsi="宋体" w:eastAsia="宋体" w:cs="华文细黑"/>
                <w:b/>
                <w:bCs/>
                <w:szCs w:val="21"/>
                <w:highlight w:val="none"/>
              </w:rPr>
            </w:pPr>
            <w:r>
              <w:rPr>
                <w:rFonts w:hint="eastAsia" w:ascii="宋体" w:hAnsi="宋体" w:eastAsia="宋体" w:cs="宋体"/>
                <w:kern w:val="2"/>
                <w:sz w:val="24"/>
                <w:szCs w:val="24"/>
                <w:highlight w:val="none"/>
                <w:lang w:val="en-US" w:eastAsia="zh-CN" w:bidi="ar-SA"/>
              </w:rPr>
              <w:t>功能参数</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至少支持IPV4、QOS</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6</w:t>
            </w:r>
          </w:p>
        </w:tc>
        <w:tc>
          <w:tcPr>
            <w:tcW w:w="1775" w:type="dxa"/>
            <w:shd w:val="clear" w:color="auto" w:fill="auto"/>
            <w:noWrap/>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环境标准</w:t>
            </w:r>
          </w:p>
        </w:tc>
        <w:tc>
          <w:tcPr>
            <w:tcW w:w="5235" w:type="dxa"/>
            <w:shd w:val="clear" w:color="auto" w:fill="auto"/>
            <w:vAlign w:val="center"/>
          </w:tcPr>
          <w:p>
            <w:pPr>
              <w:spacing w:line="360" w:lineRule="auto"/>
              <w:jc w:val="both"/>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工作温度：至少在-5-50℃区间范围；</w:t>
            </w:r>
          </w:p>
          <w:p>
            <w:pPr>
              <w:spacing w:line="360" w:lineRule="auto"/>
              <w:jc w:val="both"/>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工作湿度：至少在6%-90%（非冷凝）区间范围；</w:t>
            </w:r>
          </w:p>
          <w:p>
            <w:pPr>
              <w:spacing w:line="360" w:lineRule="auto"/>
              <w:jc w:val="both"/>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存储温度：至少在-30-60℃区间范围；</w:t>
            </w:r>
          </w:p>
          <w:p>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存储湿度：至少在6%-90%（非冷凝）区间范围。</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7</w:t>
            </w:r>
          </w:p>
        </w:tc>
        <w:tc>
          <w:tcPr>
            <w:tcW w:w="1775" w:type="dxa"/>
            <w:shd w:val="clear" w:color="auto" w:fill="auto"/>
            <w:noWrap/>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客户端数量</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每射频点位最大接入用户数不低于100个</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8</w:t>
            </w:r>
          </w:p>
        </w:tc>
        <w:tc>
          <w:tcPr>
            <w:tcW w:w="1775" w:type="dxa"/>
            <w:shd w:val="clear" w:color="auto" w:fill="auto"/>
            <w:noWrap/>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防护等级</w:t>
            </w:r>
          </w:p>
        </w:tc>
        <w:tc>
          <w:tcPr>
            <w:tcW w:w="5235" w:type="dxa"/>
            <w:shd w:val="clear" w:color="auto" w:fill="auto"/>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不低于IP41</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0" w:type="dxa"/>
            <w:shd w:val="clear" w:color="auto" w:fill="auto"/>
            <w:noWrap/>
            <w:vAlign w:val="center"/>
          </w:tcPr>
          <w:p>
            <w:pPr>
              <w:spacing w:line="360" w:lineRule="auto"/>
              <w:jc w:val="center"/>
              <w:rPr>
                <w:rFonts w:hint="eastAsia" w:ascii="宋体" w:hAnsi="宋体" w:eastAsia="宋体" w:cs="华文细黑"/>
                <w:b/>
                <w:bCs/>
                <w:szCs w:val="21"/>
                <w:highlight w:val="none"/>
                <w:lang w:val="en-US" w:eastAsia="zh-CN"/>
              </w:rPr>
            </w:pPr>
            <w:r>
              <w:rPr>
                <w:rFonts w:hint="eastAsia" w:ascii="宋体" w:hAnsi="宋体" w:eastAsia="宋体" w:cs="华文细黑"/>
                <w:b/>
                <w:bCs/>
                <w:szCs w:val="21"/>
                <w:highlight w:val="none"/>
                <w:lang w:val="en-US" w:eastAsia="zh-CN"/>
              </w:rPr>
              <w:t>9</w:t>
            </w:r>
          </w:p>
        </w:tc>
        <w:tc>
          <w:tcPr>
            <w:tcW w:w="1775" w:type="dxa"/>
            <w:shd w:val="clear" w:color="auto" w:fill="auto"/>
            <w:noWrap/>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安全性能</w:t>
            </w:r>
          </w:p>
        </w:tc>
        <w:tc>
          <w:tcPr>
            <w:tcW w:w="5235" w:type="dxa"/>
            <w:shd w:val="clear" w:color="auto" w:fill="auto"/>
            <w:vAlign w:val="center"/>
          </w:tcPr>
          <w:p>
            <w:pPr>
              <w:spacing w:line="360" w:lineRule="auto"/>
              <w:jc w:val="both"/>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至少包含无线用户隔离；报文过滤、MAC地址过滤、广播风暴抑制等；无线端点准入/无线EAD</w:t>
            </w:r>
          </w:p>
          <w:p>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支持SSID与VLAN绑定；智能无线业务感知(wIAA)；支持wIDS/wIPS；管理帧保护(802.11w)；支持实时频谱防护(RTSG)</w:t>
            </w:r>
          </w:p>
        </w:tc>
        <w:tc>
          <w:tcPr>
            <w:tcW w:w="709" w:type="dxa"/>
            <w:shd w:val="clear" w:color="auto" w:fill="auto"/>
            <w:vAlign w:val="center"/>
          </w:tcPr>
          <w:p>
            <w:pPr>
              <w:spacing w:line="360" w:lineRule="auto"/>
              <w:jc w:val="center"/>
              <w:rPr>
                <w:rFonts w:hint="eastAsia" w:ascii="宋体" w:hAnsi="宋体" w:eastAsia="宋体" w:cs="华文细黑"/>
                <w:b/>
                <w:bCs/>
                <w:szCs w:val="21"/>
                <w:highlight w:val="none"/>
              </w:rPr>
            </w:pPr>
          </w:p>
        </w:tc>
      </w:tr>
    </w:tbl>
    <w:p>
      <w:pPr>
        <w:pStyle w:val="19"/>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cs="宋体" w:eastAsiaTheme="minorEastAsia"/>
          <w:b/>
          <w:bCs/>
          <w:color w:val="auto"/>
          <w:kern w:val="2"/>
          <w:sz w:val="24"/>
          <w:szCs w:val="24"/>
          <w:highlight w:val="none"/>
          <w:lang w:val="en-US" w:eastAsia="zh-CN" w:bidi="ar-SA"/>
        </w:rPr>
      </w:pPr>
      <w:r>
        <w:rPr>
          <w:rFonts w:hint="eastAsia" w:ascii="宋体" w:hAnsi="宋体" w:eastAsia="宋体" w:cs="宋体"/>
          <w:b/>
          <w:bCs/>
          <w:sz w:val="24"/>
          <w:szCs w:val="24"/>
          <w:highlight w:val="none"/>
          <w:lang w:val="en-US" w:eastAsia="zh-CN"/>
        </w:rPr>
        <w:t>注：</w:t>
      </w:r>
      <w:r>
        <w:rPr>
          <w:rFonts w:hint="eastAsia" w:ascii="宋体" w:hAnsi="宋体" w:cs="宋体" w:eastAsiaTheme="minorEastAsia"/>
          <w:b/>
          <w:bCs/>
          <w:color w:val="auto"/>
          <w:kern w:val="2"/>
          <w:sz w:val="24"/>
          <w:szCs w:val="24"/>
          <w:highlight w:val="none"/>
          <w:lang w:val="en-US" w:eastAsia="zh-CN" w:bidi="ar-SA"/>
        </w:rPr>
        <w:t>“▲”项为产品主要技术指标，供应商需提供国家认可的第三方检测机构出具的软件测试报告或检测报告或</w:t>
      </w:r>
      <w:r>
        <w:rPr>
          <w:rFonts w:hint="eastAsia" w:ascii="宋体" w:hAnsi="宋体" w:cs="宋体"/>
          <w:b/>
          <w:bCs/>
          <w:color w:val="auto"/>
          <w:kern w:val="2"/>
          <w:sz w:val="24"/>
          <w:szCs w:val="24"/>
          <w:highlight w:val="none"/>
          <w:lang w:val="en-US" w:eastAsia="zh-CN" w:bidi="ar-SA"/>
        </w:rPr>
        <w:t>软件</w:t>
      </w:r>
      <w:r>
        <w:rPr>
          <w:rFonts w:hint="eastAsia" w:ascii="宋体" w:hAnsi="宋体" w:cs="宋体" w:eastAsiaTheme="minorEastAsia"/>
          <w:b/>
          <w:bCs/>
          <w:color w:val="auto"/>
          <w:kern w:val="2"/>
          <w:sz w:val="24"/>
          <w:szCs w:val="24"/>
          <w:highlight w:val="none"/>
          <w:lang w:val="en-US" w:eastAsia="zh-CN" w:bidi="ar-SA"/>
        </w:rPr>
        <w:t>功能截图，否则将影响评分。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b/>
          <w:bCs/>
          <w:sz w:val="24"/>
          <w:szCs w:val="24"/>
          <w:highlight w:val="none"/>
          <w:lang w:val="en-US" w:eastAsia="zh-CN"/>
        </w:rPr>
      </w:pPr>
      <w:r>
        <w:rPr>
          <w:rFonts w:hint="eastAsia"/>
          <w:b w:val="0"/>
          <w:bCs w:val="0"/>
          <w:sz w:val="24"/>
          <w:szCs w:val="24"/>
          <w:highlight w:val="none"/>
          <w:lang w:val="en-US" w:eastAsia="zh-CN"/>
        </w:rPr>
        <w:t>4、为保证系统的稳定，供应商须与采购人联络渠道的7x24小时畅通；在接到甲方的故障电话后，需在1小时内做出回应、处理。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三、服务期：</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服务期</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3年，合同按单年签订履行，次年合同根据上年度服务履行情况决定是否续签。</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b w:val="0"/>
          <w:bCs w:val="0"/>
          <w:sz w:val="24"/>
          <w:szCs w:val="24"/>
          <w:highlight w:val="none"/>
          <w:u w:val="none"/>
          <w:lang w:val="en-US" w:eastAsia="zh-CN"/>
        </w:rPr>
      </w:pPr>
      <w:r>
        <w:rPr>
          <w:rFonts w:hint="eastAsia"/>
          <w:b/>
          <w:bCs/>
          <w:sz w:val="24"/>
          <w:szCs w:val="24"/>
          <w:highlight w:val="none"/>
          <w:lang w:val="en-US" w:eastAsia="zh-CN"/>
        </w:rPr>
        <w:t>四、服务地点：</w:t>
      </w:r>
      <w:r>
        <w:rPr>
          <w:rFonts w:hint="eastAsia"/>
          <w:b w:val="0"/>
          <w:bCs w:val="0"/>
          <w:sz w:val="24"/>
          <w:szCs w:val="24"/>
          <w:highlight w:val="none"/>
          <w:u w:val="none"/>
          <w:lang w:val="en-US" w:eastAsia="zh-CN"/>
        </w:rPr>
        <w:t>采购人指定地点。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五、质量：</w:t>
      </w:r>
      <w:r>
        <w:rPr>
          <w:rFonts w:hint="eastAsia" w:ascii="宋体" w:hAnsi="宋体" w:eastAsia="宋体" w:cs="宋体"/>
          <w:b w:val="0"/>
          <w:bCs w:val="0"/>
          <w:color w:val="auto"/>
          <w:sz w:val="24"/>
          <w:szCs w:val="24"/>
          <w:highlight w:val="none"/>
          <w:lang w:val="en-US" w:eastAsia="zh-CN"/>
        </w:rPr>
        <w:t>符合国家、省、市有关标准，质量合格。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b/>
          <w:bCs/>
          <w:sz w:val="24"/>
          <w:szCs w:val="24"/>
          <w:highlight w:val="none"/>
          <w:lang w:val="en-US" w:eastAsia="zh-CN"/>
        </w:rPr>
        <w:t>六、验收：</w:t>
      </w:r>
      <w:r>
        <w:rPr>
          <w:rFonts w:hint="eastAsia" w:ascii="宋体" w:hAnsi="宋体" w:eastAsia="宋体" w:cs="宋体"/>
          <w:b w:val="0"/>
          <w:bCs w:val="0"/>
          <w:color w:val="auto"/>
          <w:kern w:val="0"/>
          <w:sz w:val="24"/>
          <w:szCs w:val="24"/>
          <w:highlight w:val="none"/>
          <w:lang w:val="en-US" w:eastAsia="zh-CN" w:bidi="ar-SA"/>
        </w:rPr>
        <w:t>软件系统到达采购人指定地点后，供应商负责在现场对软件系统进行安装、调试和试运行，软件操作正常，达到采购人的要求视为验收合格。成交供应商应提供全部安装、调试过程中所需的材料、设施设备、人工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sz w:val="24"/>
          <w:szCs w:val="24"/>
          <w:highlight w:val="none"/>
          <w:u w:val="none"/>
          <w:lang w:val="en-US" w:eastAsia="zh-CN"/>
        </w:rPr>
      </w:pPr>
      <w:r>
        <w:rPr>
          <w:rFonts w:hint="eastAsia"/>
          <w:b/>
          <w:bCs/>
          <w:sz w:val="24"/>
          <w:szCs w:val="24"/>
          <w:highlight w:val="none"/>
          <w:lang w:val="en-US" w:eastAsia="zh-CN"/>
        </w:rPr>
        <w:t>七、结算：</w:t>
      </w:r>
      <w:r>
        <w:rPr>
          <w:rFonts w:hint="eastAsia"/>
          <w:b w:val="0"/>
          <w:bCs w:val="0"/>
          <w:sz w:val="24"/>
          <w:szCs w:val="24"/>
          <w:highlight w:val="none"/>
          <w:lang w:val="en-US" w:eastAsia="zh-CN"/>
        </w:rPr>
        <w:t>服务期内，采购人按照月度对成交供应商进行支付</w:t>
      </w:r>
      <w:r>
        <w:rPr>
          <w:rFonts w:hint="eastAsia" w:ascii="宋体" w:hAnsi="宋体" w:eastAsia="宋体" w:cs="宋体"/>
          <w:b w:val="0"/>
          <w:bCs w:val="0"/>
          <w:color w:val="auto"/>
          <w:kern w:val="2"/>
          <w:sz w:val="24"/>
          <w:szCs w:val="24"/>
          <w:highlight w:val="none"/>
          <w:u w:val="none"/>
          <w:lang w:val="en-US" w:eastAsia="zh-CN" w:bidi="ar-SA"/>
        </w:rPr>
        <w:t>。</w:t>
      </w:r>
    </w:p>
    <w:p>
      <w:pPr>
        <w:rPr>
          <w:rFonts w:hint="eastAsia" w:ascii="宋体" w:hAnsi="宋体" w:eastAsia="宋体" w:cs="宋体"/>
          <w:b w:val="0"/>
          <w:bCs w:val="0"/>
          <w:highlight w:val="none"/>
          <w:u w:val="none"/>
          <w:lang w:val="en-US" w:eastAsia="zh-CN"/>
        </w:rPr>
      </w:pPr>
      <w:bookmarkStart w:id="34" w:name="_Toc25547"/>
      <w:bookmarkStart w:id="35" w:name="_Toc8756"/>
      <w:bookmarkStart w:id="36" w:name="_Toc1664"/>
      <w:bookmarkStart w:id="37" w:name="_Toc20860"/>
      <w:bookmarkStart w:id="38" w:name="_Toc12760"/>
      <w:r>
        <w:rPr>
          <w:rFonts w:hint="eastAsia" w:ascii="宋体" w:hAnsi="宋体" w:eastAsia="宋体" w:cs="宋体"/>
          <w:b w:val="0"/>
          <w:bCs w:val="0"/>
          <w:highlight w:val="none"/>
          <w:u w:val="none"/>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第五部分</w:t>
      </w:r>
      <w:r>
        <w:rPr>
          <w:rFonts w:hint="eastAsia" w:ascii="宋体" w:hAnsi="宋体" w:cs="宋体"/>
          <w:highlight w:val="none"/>
          <w:lang w:val="en-US" w:eastAsia="zh-CN"/>
        </w:rPr>
        <w:t xml:space="preserve">  </w:t>
      </w:r>
      <w:r>
        <w:rPr>
          <w:rFonts w:hint="eastAsia" w:ascii="宋体" w:hAnsi="宋体" w:eastAsia="宋体" w:cs="宋体"/>
          <w:highlight w:val="none"/>
          <w:lang w:eastAsia="zh-CN"/>
        </w:rPr>
        <w:t>合同条款及格式</w:t>
      </w:r>
      <w:bookmarkEnd w:id="34"/>
      <w:bookmarkEnd w:id="35"/>
      <w:bookmarkEnd w:id="36"/>
      <w:bookmarkEnd w:id="37"/>
      <w:bookmarkEnd w:id="38"/>
    </w:p>
    <w:p>
      <w:pPr>
        <w:pageBreakBefore w:val="0"/>
        <w:wordWrap/>
        <w:overflowPunct/>
        <w:bidi w:val="0"/>
        <w:spacing w:line="360" w:lineRule="auto"/>
        <w:ind w:left="0" w:leftChars="0"/>
        <w:jc w:val="center"/>
        <w:outlineLvl w:val="9"/>
        <w:rPr>
          <w:rFonts w:ascii="宋体" w:hAnsi="宋体" w:cs="宋体"/>
          <w:b/>
          <w:color w:val="000000"/>
          <w:sz w:val="44"/>
          <w:szCs w:val="44"/>
          <w:highlight w:val="none"/>
        </w:rPr>
      </w:pPr>
    </w:p>
    <w:p>
      <w:pPr>
        <w:pStyle w:val="2"/>
        <w:pageBreakBefore w:val="0"/>
        <w:wordWrap/>
        <w:overflowPunct/>
        <w:bidi w:val="0"/>
        <w:spacing w:line="360" w:lineRule="auto"/>
        <w:ind w:left="0" w:leftChars="0"/>
        <w:jc w:val="center"/>
        <w:outlineLvl w:val="9"/>
        <w:rPr>
          <w:rFonts w:hint="eastAsia" w:ascii="宋体" w:hAnsi="宋体" w:cs="宋体"/>
          <w:b/>
          <w:color w:val="000000"/>
          <w:kern w:val="2"/>
          <w:sz w:val="48"/>
          <w:szCs w:val="48"/>
          <w:highlight w:val="none"/>
          <w:lang w:val="en-US" w:eastAsia="zh-CN"/>
        </w:rPr>
      </w:pPr>
      <w:r>
        <w:rPr>
          <w:rFonts w:hint="eastAsia" w:ascii="宋体" w:hAnsi="宋体" w:cs="宋体"/>
          <w:b/>
          <w:color w:val="000000"/>
          <w:kern w:val="2"/>
          <w:sz w:val="48"/>
          <w:szCs w:val="48"/>
          <w:highlight w:val="none"/>
          <w:lang w:val="en-US" w:eastAsia="zh-CN"/>
        </w:rPr>
        <w:t>县医院购置“互联网+医疗”</w:t>
      </w:r>
    </w:p>
    <w:p>
      <w:pPr>
        <w:pStyle w:val="2"/>
        <w:pageBreakBefore w:val="0"/>
        <w:wordWrap/>
        <w:overflowPunct/>
        <w:bidi w:val="0"/>
        <w:spacing w:line="360" w:lineRule="auto"/>
        <w:ind w:left="0" w:leftChars="0"/>
        <w:jc w:val="center"/>
        <w:outlineLvl w:val="9"/>
        <w:rPr>
          <w:rFonts w:ascii="宋体" w:hAnsi="宋体" w:cs="宋体"/>
          <w:b/>
          <w:color w:val="000000"/>
          <w:kern w:val="2"/>
          <w:sz w:val="48"/>
          <w:szCs w:val="48"/>
          <w:highlight w:val="none"/>
        </w:rPr>
      </w:pPr>
      <w:r>
        <w:rPr>
          <w:rFonts w:hint="eastAsia" w:ascii="宋体" w:hAnsi="宋体" w:cs="宋体"/>
          <w:b/>
          <w:color w:val="000000"/>
          <w:kern w:val="2"/>
          <w:sz w:val="48"/>
          <w:szCs w:val="48"/>
          <w:highlight w:val="none"/>
          <w:lang w:val="en-US" w:eastAsia="zh-CN"/>
        </w:rPr>
        <w:t>信息化服务项目</w:t>
      </w:r>
    </w:p>
    <w:p>
      <w:pPr>
        <w:pageBreakBefore w:val="0"/>
        <w:wordWrap/>
        <w:overflowPunct/>
        <w:bidi w:val="0"/>
        <w:spacing w:line="360" w:lineRule="auto"/>
        <w:ind w:left="0" w:leftChars="0"/>
        <w:outlineLvl w:val="9"/>
        <w:rPr>
          <w:rFonts w:ascii="宋体" w:hAnsi="宋体" w:cs="宋体"/>
          <w:color w:val="000000"/>
          <w:highlight w:val="none"/>
        </w:rPr>
      </w:pPr>
    </w:p>
    <w:p>
      <w:pPr>
        <w:keepNext/>
        <w:keepLines/>
        <w:pageBreakBefore w:val="0"/>
        <w:wordWrap/>
        <w:overflowPunct/>
        <w:bidi w:val="0"/>
        <w:spacing w:line="360" w:lineRule="auto"/>
        <w:ind w:left="0" w:leftChars="0"/>
        <w:outlineLvl w:val="9"/>
        <w:rPr>
          <w:rFonts w:ascii="宋体" w:hAnsi="宋体" w:cs="宋体"/>
          <w:color w:val="000000"/>
          <w:highlight w:val="none"/>
        </w:rPr>
      </w:pPr>
    </w:p>
    <w:p>
      <w:pPr>
        <w:pStyle w:val="2"/>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adjustRightInd w:val="0"/>
        <w:snapToGrid w:val="0"/>
        <w:spacing w:line="360" w:lineRule="auto"/>
        <w:ind w:left="0" w:leftChars="0"/>
        <w:jc w:val="center"/>
        <w:outlineLvl w:val="9"/>
        <w:rPr>
          <w:rFonts w:ascii="宋体" w:hAnsi="宋体" w:cs="宋体"/>
          <w:b/>
          <w:bCs/>
          <w:color w:val="000000"/>
          <w:sz w:val="36"/>
          <w:szCs w:val="36"/>
          <w:highlight w:val="none"/>
        </w:rPr>
      </w:pPr>
      <w:r>
        <w:rPr>
          <w:rFonts w:hint="eastAsia" w:ascii="宋体" w:hAnsi="宋体" w:cs="宋体"/>
          <w:b/>
          <w:bCs/>
          <w:color w:val="000000"/>
          <w:sz w:val="36"/>
          <w:szCs w:val="36"/>
          <w:highlight w:val="none"/>
        </w:rPr>
        <w:t>（示范文本，最终已签订为准）</w:t>
      </w:r>
    </w:p>
    <w:p>
      <w:pPr>
        <w:pageBreakBefore w:val="0"/>
        <w:wordWrap/>
        <w:overflowPunct/>
        <w:bidi w:val="0"/>
        <w:spacing w:line="360" w:lineRule="auto"/>
        <w:ind w:left="0" w:leftChars="0" w:firstLine="480"/>
        <w:outlineLvl w:val="9"/>
        <w:rPr>
          <w:rFonts w:ascii="宋体" w:hAnsi="宋体" w:cs="宋体"/>
          <w:color w:val="000000"/>
          <w:highlight w:val="none"/>
        </w:rPr>
      </w:pPr>
    </w:p>
    <w:p>
      <w:pPr>
        <w:pageBreakBefore w:val="0"/>
        <w:wordWrap/>
        <w:overflowPunct/>
        <w:bidi w:val="0"/>
        <w:spacing w:line="360" w:lineRule="auto"/>
        <w:ind w:left="0" w:leftChars="0" w:firstLine="480"/>
        <w:outlineLvl w:val="9"/>
        <w:rPr>
          <w:rFonts w:ascii="宋体" w:hAnsi="宋体" w:cs="宋体"/>
          <w:color w:val="000000"/>
          <w:highlight w:val="none"/>
        </w:rPr>
      </w:pPr>
    </w:p>
    <w:p>
      <w:pPr>
        <w:pageBreakBefore w:val="0"/>
        <w:wordWrap/>
        <w:overflowPunct/>
        <w:bidi w:val="0"/>
        <w:spacing w:line="360" w:lineRule="auto"/>
        <w:ind w:left="0" w:leftChars="0" w:firstLine="480"/>
        <w:outlineLvl w:val="9"/>
        <w:rPr>
          <w:rFonts w:ascii="宋体" w:hAnsi="宋体" w:cs="宋体"/>
          <w:color w:val="000000"/>
          <w:highlight w:val="none"/>
        </w:rPr>
      </w:pPr>
    </w:p>
    <w:p>
      <w:pPr>
        <w:pageBreakBefore w:val="0"/>
        <w:wordWrap/>
        <w:overflowPunct/>
        <w:bidi w:val="0"/>
        <w:spacing w:line="360" w:lineRule="auto"/>
        <w:ind w:left="0" w:leftChars="0" w:firstLine="480"/>
        <w:outlineLvl w:val="9"/>
        <w:rPr>
          <w:rFonts w:ascii="宋体" w:hAnsi="宋体" w:cs="宋体"/>
          <w:color w:val="000000"/>
          <w:highlight w:val="none"/>
        </w:rPr>
      </w:pPr>
    </w:p>
    <w:p>
      <w:pPr>
        <w:pStyle w:val="2"/>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spacing w:line="360" w:lineRule="auto"/>
        <w:ind w:left="0" w:leftChars="0"/>
        <w:outlineLvl w:val="9"/>
        <w:rPr>
          <w:rFonts w:ascii="宋体" w:hAnsi="宋体" w:cs="宋体"/>
          <w:highlight w:val="none"/>
        </w:rPr>
      </w:pPr>
    </w:p>
    <w:p>
      <w:pPr>
        <w:pageBreakBefore w:val="0"/>
        <w:wordWrap/>
        <w:overflowPunct/>
        <w:bidi w:val="0"/>
        <w:spacing w:line="360" w:lineRule="auto"/>
        <w:ind w:left="0" w:leftChars="0"/>
        <w:outlineLvl w:val="9"/>
        <w:rPr>
          <w:rFonts w:ascii="宋体" w:hAnsi="宋体" w:cs="宋体"/>
          <w:color w:val="000000"/>
          <w:highlight w:val="none"/>
        </w:rPr>
      </w:pPr>
    </w:p>
    <w:p>
      <w:pPr>
        <w:pStyle w:val="2"/>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spacing w:line="360" w:lineRule="auto"/>
        <w:ind w:left="0" w:leftChars="0"/>
        <w:outlineLvl w:val="9"/>
        <w:rPr>
          <w:rFonts w:ascii="宋体" w:hAnsi="宋体" w:cs="宋体"/>
          <w:color w:val="000000"/>
          <w:highlight w:val="none"/>
        </w:rPr>
      </w:pPr>
    </w:p>
    <w:p>
      <w:pPr>
        <w:pageBreakBefore w:val="0"/>
        <w:wordWrap/>
        <w:overflowPunct/>
        <w:bidi w:val="0"/>
        <w:spacing w:line="360" w:lineRule="auto"/>
        <w:ind w:left="0" w:leftChars="0" w:firstLine="964" w:firstLineChars="300"/>
        <w:jc w:val="left"/>
        <w:outlineLvl w:val="9"/>
        <w:rPr>
          <w:rFonts w:ascii="宋体" w:hAnsi="宋体" w:cs="宋体"/>
          <w:b/>
          <w:color w:val="000000"/>
          <w:kern w:val="0"/>
          <w:sz w:val="32"/>
          <w:szCs w:val="32"/>
          <w:highlight w:val="none"/>
          <w:u w:val="single"/>
        </w:rPr>
      </w:pPr>
      <w:r>
        <w:rPr>
          <w:rFonts w:hint="eastAsia" w:ascii="宋体" w:hAnsi="宋体" w:cs="宋体"/>
          <w:b/>
          <w:color w:val="000000"/>
          <w:kern w:val="0"/>
          <w:sz w:val="32"/>
          <w:szCs w:val="32"/>
          <w:highlight w:val="none"/>
        </w:rPr>
        <w:t>甲方：</w:t>
      </w:r>
      <w:r>
        <w:rPr>
          <w:rFonts w:hint="eastAsia" w:ascii="宋体" w:hAnsi="宋体" w:cs="宋体"/>
          <w:b/>
          <w:color w:val="000000"/>
          <w:kern w:val="0"/>
          <w:sz w:val="32"/>
          <w:szCs w:val="32"/>
          <w:highlight w:val="none"/>
          <w:u w:val="single"/>
        </w:rPr>
        <w:t xml:space="preserve">                              </w:t>
      </w:r>
    </w:p>
    <w:p>
      <w:pPr>
        <w:pageBreakBefore w:val="0"/>
        <w:wordWrap/>
        <w:overflowPunct/>
        <w:bidi w:val="0"/>
        <w:spacing w:line="360" w:lineRule="auto"/>
        <w:ind w:left="0" w:leftChars="0" w:firstLine="964" w:firstLineChars="300"/>
        <w:jc w:val="left"/>
        <w:outlineLvl w:val="9"/>
        <w:rPr>
          <w:rFonts w:ascii="宋体" w:hAnsi="宋体" w:cs="宋体"/>
          <w:b/>
          <w:color w:val="000000"/>
          <w:kern w:val="0"/>
          <w:sz w:val="32"/>
          <w:szCs w:val="32"/>
          <w:highlight w:val="none"/>
        </w:rPr>
      </w:pPr>
      <w:r>
        <w:rPr>
          <w:rFonts w:hint="eastAsia" w:ascii="宋体" w:hAnsi="宋体" w:cs="宋体"/>
          <w:b/>
          <w:color w:val="000000"/>
          <w:kern w:val="0"/>
          <w:sz w:val="32"/>
          <w:szCs w:val="32"/>
          <w:highlight w:val="none"/>
        </w:rPr>
        <w:t>乙方：</w:t>
      </w:r>
      <w:r>
        <w:rPr>
          <w:rFonts w:hint="eastAsia" w:ascii="宋体" w:hAnsi="宋体" w:cs="宋体"/>
          <w:b/>
          <w:color w:val="000000"/>
          <w:kern w:val="0"/>
          <w:sz w:val="32"/>
          <w:szCs w:val="32"/>
          <w:highlight w:val="none"/>
          <w:u w:val="single"/>
        </w:rPr>
        <w:t xml:space="preserve">                              </w:t>
      </w:r>
    </w:p>
    <w:p>
      <w:pPr>
        <w:pageBreakBefore w:val="0"/>
        <w:wordWrap/>
        <w:overflowPunct/>
        <w:bidi w:val="0"/>
        <w:spacing w:line="360" w:lineRule="auto"/>
        <w:jc w:val="center"/>
        <w:outlineLvl w:val="9"/>
        <w:rPr>
          <w:rFonts w:ascii="宋体" w:hAnsi="宋体" w:cs="宋体"/>
          <w:b/>
          <w:color w:val="000000"/>
          <w:kern w:val="0"/>
          <w:sz w:val="32"/>
          <w:szCs w:val="32"/>
          <w:highlight w:val="none"/>
        </w:rPr>
      </w:pPr>
      <w:r>
        <w:rPr>
          <w:rFonts w:hint="eastAsia" w:ascii="宋体" w:hAnsi="宋体" w:cs="宋体"/>
          <w:b/>
          <w:color w:val="000000"/>
          <w:kern w:val="0"/>
          <w:sz w:val="32"/>
          <w:szCs w:val="32"/>
          <w:highlight w:val="none"/>
        </w:rPr>
        <w:t>二〇二三年</w:t>
      </w:r>
      <w:r>
        <w:rPr>
          <w:rFonts w:hint="eastAsia" w:ascii="宋体" w:hAnsi="宋体" w:cs="宋体"/>
          <w:b/>
          <w:color w:val="000000"/>
          <w:kern w:val="0"/>
          <w:sz w:val="32"/>
          <w:szCs w:val="32"/>
          <w:highlight w:val="none"/>
          <w:u w:val="single"/>
        </w:rPr>
        <w:t xml:space="preserve">   </w:t>
      </w:r>
      <w:r>
        <w:rPr>
          <w:rFonts w:hint="eastAsia" w:ascii="宋体" w:hAnsi="宋体" w:cs="宋体"/>
          <w:b/>
          <w:color w:val="000000"/>
          <w:kern w:val="0"/>
          <w:sz w:val="32"/>
          <w:szCs w:val="32"/>
          <w:highlight w:val="none"/>
        </w:rPr>
        <w:t>月</w:t>
      </w:r>
    </w:p>
    <w:p>
      <w:pPr>
        <w:jc w:val="center"/>
        <w:rPr>
          <w:rFonts w:hint="eastAsia" w:ascii="宋体" w:hAnsi="宋体" w:eastAsia="宋体" w:cs="宋体"/>
          <w:highlight w:val="none"/>
          <w:lang w:val="en-US" w:eastAsia="zh-CN"/>
        </w:rPr>
      </w:pPr>
    </w:p>
    <w:p>
      <w:pPr>
        <w:pStyle w:val="2"/>
        <w:jc w:val="center"/>
        <w:rPr>
          <w:rFonts w:hint="eastAsia" w:ascii="宋体" w:hAnsi="宋体" w:eastAsia="宋体" w:cs="宋体"/>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甲方（采购人）：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依据《中华人民共和国民法典》和《中华人民共和国政府采购法》，经双方在平等、自愿、互利的基础上，签订本合同，共同信守。</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一、项目概况</w:t>
      </w:r>
    </w:p>
    <w:p>
      <w:pPr>
        <w:keepNext w:val="0"/>
        <w:keepLines w:val="0"/>
        <w:pageBreakBefore w:val="0"/>
        <w:widowControl w:val="0"/>
        <w:kinsoku/>
        <w:wordWrap/>
        <w:overflowPunct/>
        <w:topLinePunct w:val="0"/>
        <w:bidi w:val="0"/>
        <w:adjustRightInd w:val="0"/>
        <w:snapToGrid w:val="0"/>
        <w:spacing w:line="360" w:lineRule="auto"/>
        <w:ind w:firstLine="475" w:firstLineChars="198"/>
        <w:textAlignment w:val="auto"/>
        <w:rPr>
          <w:rFonts w:hint="eastAsia" w:ascii="仿宋" w:hAnsi="仿宋" w:eastAsia="仿宋" w:cs="仿宋"/>
          <w:sz w:val="24"/>
          <w:szCs w:val="24"/>
          <w:highlight w:val="none"/>
        </w:rPr>
      </w:pPr>
      <w:r>
        <w:rPr>
          <w:rFonts w:hint="eastAsia" w:ascii="宋体" w:hAnsi="宋体" w:eastAsia="宋体" w:cs="宋体"/>
          <w:color w:val="auto"/>
          <w:sz w:val="24"/>
          <w:szCs w:val="24"/>
          <w:highlight w:val="none"/>
        </w:rPr>
        <w:t>1.项目名称：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keepNext w:val="0"/>
        <w:keepLines w:val="0"/>
        <w:pageBreakBefore w:val="0"/>
        <w:widowControl w:val="0"/>
        <w:tabs>
          <w:tab w:val="center" w:pos="4140"/>
          <w:tab w:val="right" w:pos="8300"/>
        </w:tabs>
        <w:kinsoku/>
        <w:wordWrap/>
        <w:overflowPunct/>
        <w:topLinePunct w:val="0"/>
        <w:autoSpaceDE w:val="0"/>
        <w:autoSpaceDN w:val="0"/>
        <w:bidi w:val="0"/>
        <w:adjustRightInd w:val="0"/>
        <w:snapToGrid w:val="0"/>
        <w:spacing w:line="360" w:lineRule="auto"/>
        <w:ind w:firstLine="480" w:firstLineChars="200"/>
        <w:textAlignment w:val="auto"/>
        <w:rPr>
          <w:rFonts w:hint="default" w:eastAsia="仿宋"/>
          <w:sz w:val="24"/>
          <w:szCs w:val="24"/>
          <w:highlight w:val="none"/>
          <w:lang w:val="en-US" w:eastAsia="zh-CN"/>
        </w:rPr>
      </w:pPr>
      <w:r>
        <w:rPr>
          <w:rFonts w:hint="eastAsia" w:ascii="宋体" w:hAnsi="宋体" w:eastAsia="宋体" w:cs="宋体"/>
          <w:color w:val="auto"/>
          <w:sz w:val="24"/>
          <w:szCs w:val="24"/>
          <w:highlight w:val="none"/>
          <w:lang w:val="en-US" w:eastAsia="zh-CN"/>
        </w:rPr>
        <w:t>2.服务期：</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center" w:pos="4140"/>
          <w:tab w:val="right" w:pos="8300"/>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3.项目地点：</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、合同价款</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合同价款为人民币（大写）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bCs/>
          <w:color w:val="auto"/>
          <w:sz w:val="24"/>
          <w:szCs w:val="24"/>
          <w:highlight w:val="none"/>
          <w:lang w:eastAsia="zh-CN"/>
        </w:rPr>
        <w:t>固定总价合同，固定</w:t>
      </w:r>
      <w:r>
        <w:rPr>
          <w:rFonts w:hint="eastAsia" w:ascii="宋体" w:hAnsi="宋体" w:eastAsia="宋体" w:cs="宋体"/>
          <w:color w:val="auto"/>
          <w:sz w:val="24"/>
          <w:szCs w:val="24"/>
          <w:highlight w:val="none"/>
        </w:rPr>
        <w:t>总价合同是指本次</w:t>
      </w:r>
      <w:r>
        <w:rPr>
          <w:rFonts w:hint="eastAsia" w:ascii="宋体" w:hAnsi="宋体" w:eastAsia="宋体" w:cs="宋体"/>
          <w:color w:val="auto"/>
          <w:sz w:val="24"/>
          <w:szCs w:val="24"/>
          <w:highlight w:val="none"/>
          <w:lang w:val="zh-CN"/>
        </w:rPr>
        <w:t>服务内容所需的全部费用,</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lang w:val="zh-CN"/>
        </w:rPr>
        <w:t>人员工资、管理费、利润、风险、各种税金等</w:t>
      </w:r>
      <w:r>
        <w:rPr>
          <w:rFonts w:hint="eastAsia" w:ascii="宋体" w:hAnsi="宋体" w:cs="宋体"/>
          <w:color w:val="auto"/>
          <w:sz w:val="24"/>
          <w:szCs w:val="24"/>
          <w:highlight w:val="none"/>
          <w:lang w:val="zh-CN"/>
        </w:rPr>
        <w:t>一切费用</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（三）合同价款一次性包死，不受市场价格变化因素的影响。</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、款项结算</w:t>
      </w:r>
    </w:p>
    <w:p>
      <w:pPr>
        <w:keepNext w:val="0"/>
        <w:keepLines w:val="0"/>
        <w:pageBreakBefore w:val="0"/>
        <w:tabs>
          <w:tab w:val="left" w:pos="9030"/>
        </w:tabs>
        <w:kinsoku/>
        <w:wordWrap/>
        <w:overflowPunct/>
        <w:topLinePunct w:val="0"/>
        <w:bidi w:val="0"/>
        <w:adjustRightInd w:val="0"/>
        <w:snapToGrid w:val="0"/>
        <w:spacing w:line="360" w:lineRule="auto"/>
        <w:ind w:firstLine="480" w:firstLineChars="200"/>
        <w:textAlignment w:val="auto"/>
        <w:rPr>
          <w:rFonts w:hint="default" w:eastAsia="宋体"/>
          <w:sz w:val="24"/>
          <w:szCs w:val="24"/>
          <w:highlight w:val="none"/>
          <w:u w:val="single"/>
          <w:lang w:val="en-US" w:eastAsia="zh-CN"/>
        </w:rPr>
      </w:pPr>
      <w:r>
        <w:rPr>
          <w:rFonts w:hint="eastAsia" w:ascii="宋体" w:hAnsi="宋体" w:eastAsia="宋体" w:cs="宋体"/>
          <w:bCs/>
          <w:color w:val="auto"/>
          <w:sz w:val="24"/>
          <w:szCs w:val="24"/>
          <w:highlight w:val="none"/>
        </w:rPr>
        <w:t>（一）支付方式：</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none"/>
          <w:lang w:val="en-US" w:eastAsia="zh-CN"/>
        </w:rPr>
        <w:t>。</w:t>
      </w:r>
    </w:p>
    <w:p>
      <w:pPr>
        <w:keepNext w:val="0"/>
        <w:keepLines w:val="0"/>
        <w:pageBreakBefore w:val="0"/>
        <w:tabs>
          <w:tab w:val="left" w:pos="903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（二）结算方式：</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（三）结算单位：</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四、内容及要求</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即交付的服务内容与</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 xml:space="preserve">等所指明的，或者与本合同所指明的服务内容相一致。（附清单） </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五、双方的权利和义务</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（一）甲方的权利与义务</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甲方负责配合本次项目服务工作；</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甲方应按本合同的约定向乙方支付合同价款；</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甲方有权对乙方的工作进行监督和考核。</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4.甲方安排的有利于本项目实施的其他事项。</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（二）乙方的权利与义务</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乙方的工作人员必须严格遵守甲方的规章制度，以良好的形象和积极的工作态度，按甲方要求开展工作；</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乙方应服从甲方统筹管理并按流程开展工作；</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乙方保证安排的相关人员需按照指定时间到达指定地点进行服务，乙方在活动时间内不得迟到早退，如有特殊情况，必须事先通知并征得甲方同意；</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乙方提交的方案等应得到甲方确认再予以实施；</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乙方在服务期间发布的任何涉及有关甲方的相关信息，需经甲方确认无误后方可发布；</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乙方负责解决所需要的工作条件及相应的工作配合，甲方有义务提供必要的便利条件。</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六、服务质量保证</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（一）乙方需派一名项目负责人，直接与甲方沟通，项目负责人接收甲方提出的问题与要求，并及时反馈给工作组，解决在项目实施过程中遇到的问题。</w:t>
      </w:r>
    </w:p>
    <w:p>
      <w:pPr>
        <w:keepNext w:val="0"/>
        <w:keepLines w:val="0"/>
        <w:pageBreakBefore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（二）项目在实施过程中会出现不可预料的需求变更，乙方需积极配合甲方的需求变更，并按照变更后的需求继续进行方案实施。</w:t>
      </w:r>
    </w:p>
    <w:p>
      <w:pPr>
        <w:keepNext w:val="0"/>
        <w:keepLines w:val="0"/>
        <w:pageBreakBefore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（三）乙方需提交所有实施方案流程及说明文档。</w:t>
      </w:r>
    </w:p>
    <w:p>
      <w:pPr>
        <w:keepNext w:val="0"/>
        <w:keepLines w:val="0"/>
        <w:pageBreakBefore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（四）乙方需建立高效的服务团队，项目团队组成合理。</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（五）乙方需设有详细的技术资料档案和服务档案，将保存项目的详细资料以便于更好地提供服务。</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七、知识产权</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（一）本项目知识产权归</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rPr>
        <w:t>方所有。</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（二）乙方无论出于任何目的如在其他地方使用该成果，必须经甲方同意方可使用。否则，贵甲方有权要求终止涉及到该中标知识产权的任何使用活动并保留追究卖方相应的法律责任的权利。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（三）乙方为执行本合同而提供的技术资料使用权归甲方所有。</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八、保密规定</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应永久恪守因签署或履行本合同而获知的对方秘密信息及其它秘密资料。任何一方如将获知的对方秘密信息泄露给第三方，应赔偿因泄密而给对方造成的一切损失并承担相应的法律责任（包括刑事责任）。</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九、其他事项</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（一）合同执行中发生争议的，当事人双方应协商解决，协商达不成一致时，双方同意向</w:t>
      </w:r>
      <w:r>
        <w:rPr>
          <w:rFonts w:hint="eastAsia" w:ascii="宋体" w:hAnsi="宋体" w:eastAsia="宋体" w:cs="宋体"/>
          <w:color w:val="auto"/>
          <w:sz w:val="24"/>
          <w:szCs w:val="24"/>
          <w:highlight w:val="none"/>
          <w:lang w:eastAsia="zh-CN"/>
        </w:rPr>
        <w:t>采购人所在地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或向采购人所在地人民法院提请诉讼</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十、验收</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（一）本项目验收费用，由乙方自行承担。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w:t>
      </w:r>
      <w:r>
        <w:rPr>
          <w:rFonts w:hint="eastAsia" w:ascii="宋体" w:hAnsi="宋体" w:eastAsia="宋体" w:cs="宋体"/>
          <w:b w:val="0"/>
          <w:bCs w:val="0"/>
          <w:color w:val="auto"/>
          <w:kern w:val="0"/>
          <w:sz w:val="24"/>
          <w:szCs w:val="24"/>
          <w:highlight w:val="none"/>
          <w:lang w:val="en-US" w:eastAsia="zh-CN" w:bidi="ar-SA"/>
        </w:rPr>
        <w:t>软件系统安装调试完毕且试运行30个日历日后</w:t>
      </w:r>
      <w:r>
        <w:rPr>
          <w:rFonts w:hint="eastAsia" w:ascii="宋体" w:hAnsi="宋体" w:eastAsia="宋体" w:cs="宋体"/>
          <w:bCs/>
          <w:color w:val="auto"/>
          <w:sz w:val="24"/>
          <w:szCs w:val="24"/>
          <w:highlight w:val="none"/>
        </w:rPr>
        <w:t>，由乙方向甲方递交验收</w:t>
      </w:r>
      <w:r>
        <w:rPr>
          <w:rFonts w:hint="eastAsia" w:ascii="宋体" w:hAnsi="宋体" w:eastAsia="宋体" w:cs="宋体"/>
          <w:bCs/>
          <w:color w:val="auto"/>
          <w:sz w:val="24"/>
          <w:szCs w:val="24"/>
          <w:highlight w:val="none"/>
          <w:lang w:eastAsia="zh-CN"/>
        </w:rPr>
        <w:t>申请</w:t>
      </w:r>
      <w:r>
        <w:rPr>
          <w:rFonts w:hint="eastAsia" w:ascii="宋体" w:hAnsi="宋体" w:eastAsia="宋体" w:cs="宋体"/>
          <w:bCs/>
          <w:color w:val="auto"/>
          <w:sz w:val="24"/>
          <w:szCs w:val="24"/>
          <w:highlight w:val="none"/>
        </w:rPr>
        <w:t>，经甲方确认后，组织乙方进行系统验收（必要时采购人可委托具有相关资质的第三方检测机构/技术专家对本次服务进行系统验收）。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（三）验收依据：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本合同及附加文本；</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响应文件等</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国家相应的标准、规范</w:t>
      </w:r>
      <w:r>
        <w:rPr>
          <w:rFonts w:hint="eastAsia" w:ascii="宋体" w:hAnsi="宋体" w:cs="宋体"/>
          <w:bCs/>
          <w:color w:val="auto"/>
          <w:sz w:val="24"/>
          <w:szCs w:val="24"/>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4.甲方规定的相关项目资料</w:t>
      </w:r>
      <w:r>
        <w:rPr>
          <w:rFonts w:hint="eastAsia" w:ascii="宋体" w:hAnsi="宋体" w:cs="宋体"/>
          <w:bCs/>
          <w:color w:val="auto"/>
          <w:kern w:val="2"/>
          <w:sz w:val="24"/>
          <w:szCs w:val="24"/>
          <w:highlight w:val="none"/>
          <w:lang w:val="en-US" w:eastAsia="zh-CN" w:bidi="ar-SA"/>
        </w:rPr>
        <w:t>。</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十一、违约责任</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w:t>
      </w:r>
      <w:r>
        <w:rPr>
          <w:rFonts w:hint="eastAsia" w:ascii="宋体" w:hAnsi="宋体" w:eastAsia="宋体" w:cs="宋体"/>
          <w:bCs/>
          <w:color w:val="auto"/>
          <w:sz w:val="24"/>
          <w:szCs w:val="24"/>
          <w:highlight w:val="none"/>
        </w:rPr>
        <w:t>中华人民共和国民法典</w:t>
      </w:r>
      <w:r>
        <w:rPr>
          <w:rFonts w:hint="eastAsia" w:ascii="宋体" w:hAnsi="宋体" w:eastAsia="宋体" w:cs="宋体"/>
          <w:color w:val="auto"/>
          <w:sz w:val="24"/>
          <w:szCs w:val="24"/>
          <w:highlight w:val="none"/>
        </w:rPr>
        <w:t>》中的相关条款执行。</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（二）未按合同要求提供服务或服务质量不能满足本次采购要求，采购人会同监督机构、采购代理机构有权终止合同和对</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供应商违约行为进行追究，同时按政府采购法的有关规定进行相应的处罚。</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十二、合同生效</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（一）本合同须经甲、乙双方的法定代表人（</w:t>
      </w:r>
      <w:r>
        <w:rPr>
          <w:rFonts w:hint="eastAsia" w:ascii="宋体" w:hAnsi="宋体" w:cs="宋体"/>
          <w:color w:val="auto"/>
          <w:sz w:val="24"/>
          <w:szCs w:val="24"/>
          <w:highlight w:val="none"/>
          <w:lang w:eastAsia="zh-CN"/>
        </w:rPr>
        <w:t>被</w:t>
      </w:r>
      <w:r>
        <w:rPr>
          <w:rFonts w:hint="eastAsia" w:ascii="宋体" w:hAnsi="宋体" w:eastAsia="宋体" w:cs="宋体"/>
          <w:color w:val="auto"/>
          <w:sz w:val="24"/>
          <w:szCs w:val="24"/>
          <w:highlight w:val="none"/>
        </w:rPr>
        <w:t>授权代表）在合同书上签字并加盖本单位公章后正式生效。</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（二）合同生效后，甲、乙双方须严格执行本合同条款的规定，全面履行合同，违者按《</w:t>
      </w:r>
      <w:r>
        <w:rPr>
          <w:rFonts w:hint="eastAsia" w:ascii="宋体" w:hAnsi="宋体" w:eastAsia="宋体" w:cs="宋体"/>
          <w:bCs/>
          <w:color w:val="auto"/>
          <w:sz w:val="24"/>
          <w:szCs w:val="24"/>
          <w:highlight w:val="none"/>
        </w:rPr>
        <w:t>中华人民共和国民法典</w:t>
      </w:r>
      <w:r>
        <w:rPr>
          <w:rFonts w:hint="eastAsia" w:ascii="宋体" w:hAnsi="宋体" w:eastAsia="宋体" w:cs="宋体"/>
          <w:color w:val="auto"/>
          <w:sz w:val="24"/>
          <w:szCs w:val="24"/>
          <w:highlight w:val="none"/>
        </w:rPr>
        <w:t>》的有关规定承担相应责任。</w:t>
      </w:r>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（四）本合同如有未尽事宜，甲、乙双方协商解决。</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以下无正文</w:t>
      </w:r>
    </w:p>
    <w:p>
      <w:pPr>
        <w:pStyle w:val="2"/>
        <w:rPr>
          <w:rFonts w:hint="eastAsia" w:ascii="宋体" w:hAnsi="宋体" w:cs="宋体"/>
          <w:sz w:val="24"/>
          <w:szCs w:val="24"/>
          <w:highlight w:val="none"/>
        </w:rPr>
      </w:pPr>
    </w:p>
    <w:tbl>
      <w:tblPr>
        <w:tblStyle w:val="21"/>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1345"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20"/>
                <w:kern w:val="0"/>
                <w:sz w:val="24"/>
                <w:szCs w:val="24"/>
                <w:highlight w:val="none"/>
                <w:u w:val="single"/>
                <w:lang w:val="en-US" w:eastAsia="zh-CN"/>
              </w:rPr>
            </w:pPr>
            <w:r>
              <w:rPr>
                <w:rFonts w:hint="eastAsia" w:ascii="宋体" w:hAnsi="宋体" w:cs="宋体"/>
                <w:color w:val="auto"/>
                <w:spacing w:val="-20"/>
                <w:kern w:val="0"/>
                <w:sz w:val="24"/>
                <w:szCs w:val="24"/>
                <w:highlight w:val="none"/>
                <w:lang w:eastAsia="zh-CN"/>
              </w:rPr>
              <w:t>甲方（盖章）</w:t>
            </w:r>
            <w:r>
              <w:rPr>
                <w:rFonts w:hint="eastAsia" w:ascii="宋体" w:hAnsi="宋体" w:cs="宋体"/>
                <w:color w:val="auto"/>
                <w:spacing w:val="-20"/>
                <w:kern w:val="0"/>
                <w:sz w:val="24"/>
                <w:szCs w:val="24"/>
                <w:highlight w:val="none"/>
                <w:u w:val="single"/>
                <w:lang w:val="en-US" w:eastAsia="zh-CN"/>
              </w:rPr>
              <w:t xml:space="preserve">                     </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 xml:space="preserve">地址：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20"/>
                <w:kern w:val="0"/>
                <w:sz w:val="24"/>
                <w:szCs w:val="24"/>
                <w:highlight w:val="none"/>
                <w:u w:val="single"/>
                <w:lang w:val="en-US" w:eastAsia="zh-CN"/>
              </w:rPr>
            </w:pPr>
            <w:r>
              <w:rPr>
                <w:rFonts w:hint="eastAsia" w:ascii="宋体" w:hAnsi="宋体" w:cs="宋体"/>
                <w:color w:val="auto"/>
                <w:spacing w:val="-20"/>
                <w:kern w:val="0"/>
                <w:sz w:val="24"/>
                <w:szCs w:val="24"/>
                <w:highlight w:val="none"/>
                <w:lang w:eastAsia="zh-CN"/>
              </w:rPr>
              <w:t>乙方（盖章）</w:t>
            </w:r>
            <w:r>
              <w:rPr>
                <w:rFonts w:hint="eastAsia" w:ascii="宋体" w:hAnsi="宋体" w:cs="宋体"/>
                <w:color w:val="auto"/>
                <w:spacing w:val="-20"/>
                <w:kern w:val="0"/>
                <w:sz w:val="24"/>
                <w:szCs w:val="24"/>
                <w:highlight w:val="none"/>
                <w:u w:val="single"/>
                <w:lang w:val="en-US" w:eastAsia="zh-CN"/>
              </w:rPr>
              <w:t xml:space="preserve">                    </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地址：</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邮编：</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邮编：</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法定代表人：</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法定代表人：</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被授权代表：</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被授权代表：</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电话：</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840" w:hanging="600" w:hangingChars="300"/>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电话：</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传真：</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20"/>
                <w:kern w:val="0"/>
                <w:sz w:val="24"/>
                <w:szCs w:val="24"/>
                <w:highlight w:val="none"/>
                <w:lang w:val="en-US"/>
              </w:rPr>
            </w:pPr>
            <w:r>
              <w:rPr>
                <w:rFonts w:hint="eastAsia" w:ascii="宋体" w:hAnsi="宋体" w:eastAsia="宋体" w:cs="宋体"/>
                <w:color w:val="auto"/>
                <w:spacing w:val="-20"/>
                <w:kern w:val="0"/>
                <w:sz w:val="24"/>
                <w:szCs w:val="24"/>
                <w:highlight w:val="none"/>
              </w:rPr>
              <w:t>传真：</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开户银行：</w:t>
            </w:r>
            <w:r>
              <w:rPr>
                <w:rFonts w:hint="eastAsia" w:ascii="宋体" w:hAnsi="宋体" w:eastAsia="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开户银行：</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680" w:hRule="exact"/>
          <w:jc w:val="center"/>
        </w:trPr>
        <w:tc>
          <w:tcPr>
            <w:tcW w:w="4201"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20"/>
                <w:kern w:val="0"/>
                <w:sz w:val="24"/>
                <w:szCs w:val="24"/>
                <w:highlight w:val="none"/>
                <w:lang w:val="en-US"/>
              </w:rPr>
            </w:pPr>
            <w:r>
              <w:rPr>
                <w:rFonts w:hint="eastAsia" w:ascii="宋体" w:hAnsi="宋体" w:eastAsia="宋体" w:cs="宋体"/>
                <w:color w:val="auto"/>
                <w:spacing w:val="-20"/>
                <w:kern w:val="0"/>
                <w:sz w:val="24"/>
                <w:szCs w:val="24"/>
                <w:highlight w:val="none"/>
              </w:rPr>
              <w:t>日期：</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p>
        </w:tc>
        <w:tc>
          <w:tcPr>
            <w:tcW w:w="4202" w:type="dxa"/>
            <w:noWrap w:val="0"/>
            <w:vAlign w:val="center"/>
          </w:tcPr>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20"/>
                <w:kern w:val="0"/>
                <w:sz w:val="24"/>
                <w:szCs w:val="24"/>
                <w:highlight w:val="none"/>
                <w:lang w:val="en-US"/>
              </w:rPr>
            </w:pPr>
            <w:r>
              <w:rPr>
                <w:rFonts w:hint="eastAsia" w:ascii="宋体" w:hAnsi="宋体" w:eastAsia="宋体" w:cs="宋体"/>
                <w:color w:val="auto"/>
                <w:spacing w:val="-20"/>
                <w:kern w:val="0"/>
                <w:sz w:val="24"/>
                <w:szCs w:val="24"/>
                <w:highlight w:val="none"/>
              </w:rPr>
              <w:t>日期：</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cs="宋体"/>
                <w:color w:val="auto"/>
                <w:spacing w:val="-20"/>
                <w:kern w:val="0"/>
                <w:sz w:val="24"/>
                <w:szCs w:val="24"/>
                <w:highlight w:val="none"/>
                <w:u w:val="single"/>
                <w:lang w:val="en-US" w:eastAsia="zh-CN"/>
              </w:rPr>
              <w:t xml:space="preserve"> </w:t>
            </w:r>
          </w:p>
        </w:tc>
      </w:tr>
    </w:tbl>
    <w:p>
      <w:pPr>
        <w:keepNext w:val="0"/>
        <w:keepLines w:val="0"/>
        <w:pageBreakBefore w:val="0"/>
        <w:kinsoku/>
        <w:wordWrap/>
        <w:overflowPunct/>
        <w:topLinePunct/>
        <w:autoSpaceDE/>
        <w:autoSpaceDN/>
        <w:bidi w:val="0"/>
        <w:spacing w:line="360" w:lineRule="auto"/>
        <w:ind w:firstLine="482" w:firstLineChars="200"/>
        <w:textAlignment w:val="auto"/>
        <w:rPr>
          <w:rFonts w:hint="eastAsia" w:ascii="宋体" w:hAnsi="宋体" w:eastAsia="宋体" w:cs="宋体"/>
          <w:b/>
          <w:bCs/>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 w:name="_Toc24071"/>
      <w:bookmarkStart w:id="40" w:name="_Toc3959"/>
      <w:bookmarkStart w:id="41" w:name="_Toc21417"/>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val="en-US" w:eastAsia="zh-CN"/>
        </w:rPr>
      </w:pPr>
      <w:bookmarkStart w:id="42" w:name="_Toc19059"/>
      <w:bookmarkStart w:id="43" w:name="_Toc28766"/>
      <w:r>
        <w:rPr>
          <w:rFonts w:hint="eastAsia" w:ascii="宋体" w:hAnsi="宋体" w:eastAsia="宋体" w:cs="宋体"/>
          <w:highlight w:val="none"/>
          <w:lang w:val="en-US" w:eastAsia="zh-CN"/>
        </w:rPr>
        <w:t>第六部分</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磋商响应文件格式</w:t>
      </w:r>
      <w:bookmarkEnd w:id="39"/>
      <w:bookmarkEnd w:id="40"/>
      <w:bookmarkEnd w:id="41"/>
      <w:bookmarkEnd w:id="42"/>
      <w:bookmarkEnd w:id="43"/>
    </w:p>
    <w:p>
      <w:pPr>
        <w:pStyle w:val="2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p>
    <w:p>
      <w:pPr>
        <w:pStyle w:val="2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1、陕西金准达项目管理有限责任公司提供的磋商响应文件格式，起到样式作用，编制磋商响应文件前，请详细阅读磋商文件，理解文件中的每一项要求。</w:t>
      </w:r>
    </w:p>
    <w:p>
      <w:pPr>
        <w:pStyle w:val="2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2、磋商响应文件的编制应按照样本格式提供的内容，做出逐一明确的答复；供应商认为有必要，还可以做其它补充说明。</w:t>
      </w:r>
    </w:p>
    <w:p>
      <w:pPr>
        <w:pStyle w:val="2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、全部编制完成，并加盖印章后，按规定分别装订成册。</w:t>
      </w:r>
      <w:r>
        <w:rPr>
          <w:rFonts w:hint="eastAsia" w:ascii="宋体" w:hAnsi="宋体" w:eastAsia="宋体" w:cs="宋体"/>
          <w:sz w:val="24"/>
          <w:szCs w:val="24"/>
          <w:highlight w:val="none"/>
        </w:rPr>
        <w:cr/>
      </w:r>
    </w:p>
    <w:p>
      <w:pPr>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val="0"/>
        <w:spacing w:line="360" w:lineRule="auto"/>
        <w:ind w:left="-15" w:leftChars="-89" w:right="-187" w:rightChars="-89" w:hanging="172" w:hangingChars="39"/>
        <w:jc w:val="right"/>
        <w:outlineLvl w:val="9"/>
        <w:rPr>
          <w:rFonts w:hint="eastAsia" w:ascii="宋体" w:hAnsi="宋体" w:eastAsia="宋体" w:cs="宋体"/>
          <w:b/>
          <w:sz w:val="44"/>
          <w:szCs w:val="44"/>
          <w:highlight w:val="none"/>
        </w:rPr>
      </w:pPr>
      <w:bookmarkStart w:id="44" w:name="_Toc21852"/>
      <w:r>
        <w:rPr>
          <w:rFonts w:hint="eastAsia" w:ascii="宋体" w:hAnsi="宋体" w:eastAsia="宋体" w:cs="宋体"/>
          <w:b/>
          <w:sz w:val="44"/>
          <w:szCs w:val="44"/>
          <w:highlight w:val="none"/>
        </w:rPr>
        <w:t>正（副）本</w:t>
      </w:r>
      <w:bookmarkEnd w:id="44"/>
    </w:p>
    <w:p>
      <w:pPr>
        <w:outlineLvl w:val="9"/>
        <w:rPr>
          <w:rFonts w:hint="eastAsia" w:ascii="宋体" w:hAnsi="宋体" w:eastAsia="宋体" w:cs="宋体"/>
          <w:b/>
          <w:sz w:val="36"/>
          <w:szCs w:val="36"/>
          <w:highlight w:val="none"/>
        </w:rPr>
      </w:pPr>
    </w:p>
    <w:p>
      <w:pPr>
        <w:pStyle w:val="25"/>
        <w:outlineLvl w:val="9"/>
        <w:rPr>
          <w:rFonts w:hint="eastAsia" w:ascii="宋体" w:hAnsi="宋体" w:eastAsia="宋体" w:cs="宋体"/>
          <w:highlight w:val="none"/>
        </w:rPr>
      </w:pPr>
    </w:p>
    <w:p>
      <w:pPr>
        <w:spacing w:line="600" w:lineRule="auto"/>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县医院购置“互联网+医疗”</w:t>
      </w:r>
    </w:p>
    <w:p>
      <w:pPr>
        <w:spacing w:line="600" w:lineRule="auto"/>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信息化服务项目</w:t>
      </w:r>
    </w:p>
    <w:p>
      <w:pPr>
        <w:jc w:val="cente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outlineLvl w:val="9"/>
        <w:rPr>
          <w:rFonts w:hint="eastAsia" w:ascii="宋体" w:hAnsi="宋体" w:eastAsia="宋体" w:cs="宋体"/>
          <w:b/>
          <w:sz w:val="36"/>
          <w:szCs w:val="36"/>
          <w:highlight w:val="none"/>
        </w:rPr>
      </w:pPr>
    </w:p>
    <w:p>
      <w:pPr>
        <w:pStyle w:val="25"/>
        <w:outlineLvl w:val="9"/>
        <w:rPr>
          <w:rFonts w:hint="eastAsia" w:ascii="宋体" w:hAnsi="宋体" w:eastAsia="宋体" w:cs="宋体"/>
          <w:highlight w:val="none"/>
        </w:rPr>
      </w:pPr>
    </w:p>
    <w:p>
      <w:pPr>
        <w:spacing w:before="120" w:beforeLines="50" w:line="800" w:lineRule="exact"/>
        <w:jc w:val="center"/>
        <w:outlineLvl w:val="9"/>
        <w:rPr>
          <w:rFonts w:hint="eastAsia" w:ascii="宋体" w:hAnsi="宋体" w:eastAsia="宋体" w:cs="宋体"/>
          <w:b/>
          <w:bCs/>
          <w:spacing w:val="20"/>
          <w:kern w:val="0"/>
          <w:sz w:val="84"/>
          <w:szCs w:val="84"/>
          <w:highlight w:val="none"/>
        </w:rPr>
      </w:pPr>
      <w:bookmarkStart w:id="45" w:name="_Toc28987"/>
      <w:r>
        <w:rPr>
          <w:rFonts w:hint="eastAsia" w:ascii="宋体" w:hAnsi="宋体" w:eastAsia="宋体" w:cs="宋体"/>
          <w:b/>
          <w:bCs/>
          <w:spacing w:val="20"/>
          <w:kern w:val="0"/>
          <w:sz w:val="84"/>
          <w:szCs w:val="84"/>
          <w:highlight w:val="none"/>
        </w:rPr>
        <w:t>磋商响应文件</w:t>
      </w:r>
      <w:bookmarkEnd w:id="45"/>
    </w:p>
    <w:p>
      <w:pPr>
        <w:spacing w:before="120" w:beforeLines="50" w:line="800" w:lineRule="exact"/>
        <w:jc w:val="center"/>
        <w:outlineLvl w:val="9"/>
        <w:rPr>
          <w:rFonts w:hint="eastAsia" w:ascii="宋体" w:hAnsi="宋体" w:eastAsia="宋体" w:cs="宋体"/>
          <w:b/>
          <w:bCs/>
          <w:spacing w:val="20"/>
          <w:kern w:val="0"/>
          <w:sz w:val="84"/>
          <w:szCs w:val="84"/>
          <w:highlight w:val="none"/>
        </w:rPr>
      </w:pPr>
    </w:p>
    <w:p>
      <w:pPr>
        <w:jc w:val="center"/>
        <w:outlineLvl w:val="9"/>
        <w:rPr>
          <w:rFonts w:hint="eastAsia" w:ascii="宋体" w:hAnsi="宋体" w:eastAsia="宋体" w:cs="宋体"/>
          <w:b/>
          <w:sz w:val="36"/>
          <w:szCs w:val="36"/>
          <w:highlight w:val="none"/>
        </w:rPr>
      </w:pPr>
      <w:bookmarkStart w:id="46" w:name="_Toc27420"/>
      <w:r>
        <w:rPr>
          <w:rFonts w:hint="eastAsia" w:ascii="宋体" w:hAnsi="宋体" w:eastAsia="宋体" w:cs="宋体"/>
          <w:b/>
          <w:sz w:val="36"/>
          <w:szCs w:val="36"/>
          <w:highlight w:val="none"/>
        </w:rPr>
        <w:t>项目编号：</w:t>
      </w:r>
      <w:bookmarkEnd w:id="46"/>
    </w:p>
    <w:p>
      <w:pP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u w:val="single"/>
        </w:rPr>
      </w:pPr>
      <w:bookmarkStart w:id="47" w:name="_Toc28777"/>
      <w:bookmarkStart w:id="48" w:name="_Toc4842"/>
      <w:bookmarkStart w:id="49" w:name="_Toc10698"/>
      <w:bookmarkStart w:id="50" w:name="_Toc801"/>
      <w:bookmarkStart w:id="51" w:name="_Toc12590"/>
      <w:r>
        <w:rPr>
          <w:rFonts w:hint="eastAsia" w:ascii="宋体" w:hAnsi="宋体" w:eastAsia="宋体" w:cs="宋体"/>
          <w:b/>
          <w:sz w:val="28"/>
          <w:szCs w:val="28"/>
          <w:highlight w:val="none"/>
        </w:rPr>
        <w:t>供   应   商：</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  公  章）</w:t>
      </w:r>
      <w:bookmarkEnd w:id="47"/>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rPr>
      </w:pPr>
      <w:bookmarkStart w:id="52" w:name="_Toc13666"/>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bookmarkEnd w:id="52"/>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u w:val="single"/>
        </w:rPr>
      </w:pPr>
      <w:bookmarkStart w:id="53" w:name="_Toc7877"/>
      <w:r>
        <w:rPr>
          <w:rFonts w:hint="eastAsia" w:ascii="宋体" w:hAnsi="宋体" w:eastAsia="宋体" w:cs="宋体"/>
          <w:b/>
          <w:sz w:val="28"/>
          <w:szCs w:val="28"/>
          <w:highlight w:val="none"/>
        </w:rPr>
        <w:t>时        间：</w:t>
      </w:r>
      <w:bookmarkEnd w:id="53"/>
      <w:r>
        <w:rPr>
          <w:rFonts w:hint="eastAsia" w:ascii="宋体" w:hAnsi="宋体" w:eastAsia="宋体" w:cs="宋体"/>
          <w:b/>
          <w:sz w:val="28"/>
          <w:szCs w:val="28"/>
          <w:highlight w:val="none"/>
          <w:u w:val="single"/>
        </w:rPr>
        <w:t xml:space="preserve">                                </w:t>
      </w:r>
    </w:p>
    <w:p>
      <w:pP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eastAsia="zh-CN"/>
        </w:rPr>
        <w:br w:type="page"/>
      </w:r>
    </w:p>
    <w:p>
      <w:pPr>
        <w:pStyle w:val="26"/>
        <w:ind w:firstLine="0" w:firstLineChars="0"/>
        <w:jc w:val="center"/>
        <w:outlineLvl w:val="9"/>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eastAsia="zh-CN"/>
        </w:rPr>
        <w:t>目录</w:t>
      </w:r>
      <w:bookmarkEnd w:id="48"/>
      <w:bookmarkEnd w:id="49"/>
      <w:bookmarkEnd w:id="50"/>
      <w:bookmarkEnd w:id="51"/>
    </w:p>
    <w:p>
      <w:pPr>
        <w:outlineLvl w:val="9"/>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一、磋商响应函</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二、磋商报价一览表</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三、服务响应偏离表</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四、供应商资格证明文件</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五、类似业绩一览表</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六、磋商响应方案</w:t>
      </w:r>
    </w:p>
    <w:p>
      <w:pPr>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七、供应商认为有必要补充的其他事项</w:t>
      </w:r>
    </w:p>
    <w:p>
      <w:pPr>
        <w:rPr>
          <w:rFonts w:hint="eastAsia" w:ascii="宋体" w:hAnsi="宋体" w:eastAsia="宋体" w:cs="宋体"/>
          <w:kern w:val="2"/>
          <w:sz w:val="30"/>
          <w:szCs w:val="30"/>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kern w:val="2"/>
          <w:sz w:val="30"/>
          <w:szCs w:val="30"/>
          <w:highlight w:val="none"/>
          <w:lang w:val="en-US" w:eastAsia="zh-CN" w:bidi="ar-SA"/>
        </w:rPr>
        <w:t>八、供应商承诺书</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bookmarkStart w:id="54" w:name="_Toc18873"/>
      <w:bookmarkStart w:id="55" w:name="_Toc7259"/>
      <w:bookmarkStart w:id="56" w:name="_Toc12797"/>
      <w:bookmarkStart w:id="57" w:name="_Toc26616"/>
      <w:bookmarkStart w:id="58" w:name="_Toc178"/>
      <w:r>
        <w:rPr>
          <w:rFonts w:hint="eastAsia" w:ascii="宋体" w:hAnsi="宋体" w:eastAsia="宋体" w:cs="宋体"/>
          <w:b/>
          <w:bCs/>
          <w:kern w:val="2"/>
          <w:sz w:val="32"/>
          <w:szCs w:val="32"/>
          <w:highlight w:val="none"/>
          <w:lang w:val="en-US" w:eastAsia="zh-CN" w:bidi="ar-SA"/>
        </w:rPr>
        <w:t>一、</w:t>
      </w:r>
      <w:bookmarkStart w:id="59" w:name="_Toc10837"/>
      <w:bookmarkStart w:id="60" w:name="_Toc20352"/>
      <w:r>
        <w:rPr>
          <w:rFonts w:hint="eastAsia" w:ascii="宋体" w:hAnsi="宋体" w:eastAsia="宋体" w:cs="宋体"/>
          <w:b/>
          <w:bCs/>
          <w:sz w:val="32"/>
          <w:szCs w:val="32"/>
          <w:highlight w:val="none"/>
        </w:rPr>
        <w:t>磋商响应函</w:t>
      </w:r>
      <w:bookmarkEnd w:id="54"/>
      <w:bookmarkEnd w:id="55"/>
      <w:bookmarkEnd w:id="56"/>
      <w:bookmarkEnd w:id="57"/>
      <w:bookmarkEnd w:id="58"/>
      <w:bookmarkEnd w:id="59"/>
      <w:bookmarkEnd w:id="60"/>
    </w:p>
    <w:p>
      <w:pPr>
        <w:pStyle w:val="26"/>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致：陕西金准达项目管理</w:t>
      </w:r>
      <w:r>
        <w:rPr>
          <w:rFonts w:hint="eastAsia" w:ascii="宋体" w:hAnsi="宋体" w:eastAsia="宋体" w:cs="宋体"/>
          <w:b/>
          <w:sz w:val="24"/>
          <w:szCs w:val="24"/>
          <w:highlight w:val="none"/>
          <w:lang w:val="en-US" w:eastAsia="zh-CN"/>
        </w:rPr>
        <w:t>有</w:t>
      </w:r>
      <w:r>
        <w:rPr>
          <w:rFonts w:hint="eastAsia" w:ascii="宋体" w:hAnsi="宋体" w:eastAsia="宋体" w:cs="宋体"/>
          <w:b/>
          <w:sz w:val="24"/>
          <w:szCs w:val="24"/>
          <w:highlight w:val="none"/>
        </w:rPr>
        <w:t>限责任公司</w:t>
      </w:r>
    </w:p>
    <w:p>
      <w:pPr>
        <w:pStyle w:val="2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根据贵单位</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rPr>
        <w:t>的磋商公告，我方代表</w:t>
      </w:r>
      <w:r>
        <w:rPr>
          <w:rFonts w:hint="eastAsia" w:ascii="宋体" w:hAnsi="宋体" w:eastAsia="宋体" w:cs="宋体"/>
          <w:sz w:val="24"/>
          <w:szCs w:val="24"/>
          <w:highlight w:val="none"/>
          <w:u w:val="single"/>
        </w:rPr>
        <w:t>（姓名、职务）</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就该项目进行磋商。</w:t>
      </w:r>
    </w:p>
    <w:p>
      <w:pPr>
        <w:pStyle w:val="26"/>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在此，我方郑重声明以下诸点，并负法律责任：</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1、我方保证</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磋商响应</w:t>
      </w:r>
      <w:r>
        <w:rPr>
          <w:rFonts w:hint="eastAsia" w:ascii="宋体" w:hAnsi="宋体" w:eastAsia="宋体" w:cs="宋体"/>
          <w:color w:val="000000" w:themeColor="text1"/>
          <w:sz w:val="24"/>
          <w:szCs w:val="24"/>
          <w:highlight w:val="none"/>
          <w14:textFill>
            <w14:solidFill>
              <w14:schemeClr w14:val="tx1"/>
            </w14:solidFill>
          </w14:textFill>
        </w:rPr>
        <w:t>文件提供的数据和材料真实、准确。否则，愿承担《中华人民共和国政府采购法》</w:t>
      </w:r>
      <w:r>
        <w:rPr>
          <w:rFonts w:hint="eastAsia" w:ascii="宋体" w:hAnsi="宋体" w:eastAsia="宋体" w:cs="宋体"/>
          <w:bCs/>
          <w:color w:val="000000" w:themeColor="text1"/>
          <w:sz w:val="24"/>
          <w:szCs w:val="24"/>
          <w:highlight w:val="none"/>
          <w14:textFill>
            <w14:solidFill>
              <w14:schemeClr w14:val="tx1"/>
            </w14:solidFill>
          </w14:textFill>
        </w:rPr>
        <w:t>第七十七条规定的法律责任。</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我方所附磋商报价</w:t>
      </w:r>
      <w:r>
        <w:rPr>
          <w:rFonts w:hint="eastAsia" w:ascii="宋体" w:hAnsi="宋体" w:cs="宋体"/>
          <w:color w:val="000000" w:themeColor="text1"/>
          <w:sz w:val="24"/>
          <w:szCs w:val="24"/>
          <w:highlight w:val="none"/>
          <w:lang w:val="en-US" w:eastAsia="zh-CN"/>
          <w14:textFill>
            <w14:solidFill>
              <w14:schemeClr w14:val="tx1"/>
            </w14:solidFill>
          </w14:textFill>
        </w:rPr>
        <w:t>一览</w:t>
      </w:r>
      <w:r>
        <w:rPr>
          <w:rFonts w:hint="eastAsia" w:ascii="宋体" w:hAnsi="宋体" w:eastAsia="宋体" w:cs="宋体"/>
          <w:color w:val="000000" w:themeColor="text1"/>
          <w:sz w:val="24"/>
          <w:szCs w:val="24"/>
          <w:highlight w:val="none"/>
          <w14:textFill>
            <w14:solidFill>
              <w14:schemeClr w14:val="tx1"/>
            </w14:solidFill>
          </w14:textFill>
        </w:rPr>
        <w:t>表中应完成本项目全部内容的</w:t>
      </w:r>
      <w:r>
        <w:rPr>
          <w:rFonts w:hint="eastAsia" w:ascii="宋体" w:hAnsi="宋体" w:cs="宋体"/>
          <w:color w:val="000000" w:themeColor="text1"/>
          <w:sz w:val="24"/>
          <w:szCs w:val="24"/>
          <w:highlight w:val="none"/>
          <w:lang w:val="en-US" w:eastAsia="zh-CN"/>
          <w14:textFill>
            <w14:solidFill>
              <w14:schemeClr w14:val="tx1"/>
            </w14:solidFill>
          </w14:textFill>
        </w:rPr>
        <w:t>磋商报价</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人民币（大写）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3、我方已详细审查全部磋商文件，完全理解并同意放弃对这方面有不明及误解质疑的权力。</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、我方同意按照要求提供磋商有关的一切数据或资料。</w:t>
      </w:r>
    </w:p>
    <w:p>
      <w:pPr>
        <w:pStyle w:val="2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、我方将按磋商文件的规定履行合同责任和义务。</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、我方完全理解最低报价不是成交的唯一条件，采购人权选择质优价廉的服务。</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、我方同意按磋商文件规定，遵守贵方有关采购的各项规定。</w:t>
      </w:r>
    </w:p>
    <w:p>
      <w:pPr>
        <w:pStyle w:val="2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、若我方被选为</w:t>
      </w:r>
      <w:r>
        <w:rPr>
          <w:rFonts w:hint="eastAsia" w:ascii="宋体" w:hAnsi="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，我方保证按有关规定向贵方支付</w:t>
      </w:r>
      <w:r>
        <w:rPr>
          <w:rFonts w:hint="eastAsia" w:ascii="宋体" w:hAnsi="宋体" w:cs="宋体"/>
          <w:color w:val="000000" w:themeColor="text1"/>
          <w:sz w:val="24"/>
          <w:szCs w:val="24"/>
          <w:highlight w:val="none"/>
          <w:lang w:val="en-US" w:eastAsia="zh-CN"/>
          <w14:textFill>
            <w14:solidFill>
              <w14:schemeClr w14:val="tx1"/>
            </w14:solidFill>
          </w14:textFill>
        </w:rPr>
        <w:t>代理</w:t>
      </w:r>
      <w:r>
        <w:rPr>
          <w:rFonts w:hint="eastAsia" w:ascii="宋体" w:hAnsi="宋体" w:eastAsia="宋体" w:cs="宋体"/>
          <w:color w:val="000000" w:themeColor="text1"/>
          <w:sz w:val="24"/>
          <w:szCs w:val="24"/>
          <w:highlight w:val="none"/>
          <w14:textFill>
            <w14:solidFill>
              <w14:schemeClr w14:val="tx1"/>
            </w14:solidFill>
          </w14:textFill>
        </w:rPr>
        <w:t>服务费。</w:t>
      </w:r>
    </w:p>
    <w:p>
      <w:pPr>
        <w:pStyle w:val="2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、磋商有效期为自磋商日起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pStyle w:val="2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、所有关于本项目的函电，请按下列地址联系：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通讯地址：</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邮政编码：</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    真：</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电子邮件：</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    号：</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p>
    <w:p>
      <w:pPr>
        <w:pStyle w:val="2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bookmarkStart w:id="61" w:name="_Toc11134"/>
      <w:bookmarkStart w:id="62" w:name="_Toc32070"/>
      <w:bookmarkStart w:id="63" w:name="_Toc19237"/>
      <w:bookmarkStart w:id="64" w:name="_Toc21222"/>
      <w:bookmarkStart w:id="65" w:name="_Toc12708"/>
      <w:r>
        <w:rPr>
          <w:rFonts w:hint="eastAsia" w:ascii="宋体" w:hAnsi="宋体" w:eastAsia="宋体" w:cs="宋体"/>
          <w:b/>
          <w:bCs/>
          <w:kern w:val="2"/>
          <w:sz w:val="32"/>
          <w:szCs w:val="32"/>
          <w:highlight w:val="none"/>
          <w:lang w:val="en-US" w:eastAsia="zh-CN" w:bidi="ar-SA"/>
        </w:rPr>
        <w:t>二、磋商报价一览表</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p>
    <w:tbl>
      <w:tblPr>
        <w:tblStyle w:val="22"/>
        <w:tblW w:w="4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450" w:type="pct"/>
            <w:vMerge w:val="restar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磋商报价（元）</w:t>
            </w:r>
          </w:p>
        </w:tc>
        <w:tc>
          <w:tcPr>
            <w:tcW w:w="3549" w:type="pc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450" w:type="pct"/>
            <w:vMerge w:val="continue"/>
            <w:noWrap w:val="0"/>
            <w:vAlign w:val="center"/>
          </w:tcPr>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p>
        </w:tc>
        <w:tc>
          <w:tcPr>
            <w:tcW w:w="3549" w:type="pc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450" w:type="pct"/>
            <w:noWrap w:val="0"/>
            <w:vAlign w:val="center"/>
          </w:tcPr>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服务期</w:t>
            </w:r>
          </w:p>
        </w:tc>
        <w:tc>
          <w:tcPr>
            <w:tcW w:w="3549" w:type="pc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450" w:type="pc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c>
          <w:tcPr>
            <w:tcW w:w="3549" w:type="pct"/>
            <w:noWrap w:val="0"/>
            <w:vAlign w:val="center"/>
          </w:tcPr>
          <w:p>
            <w:pPr>
              <w:pStyle w:val="30"/>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所有</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均以人民币作为货币单位填写及计算（保留至两位小数点），</w:t>
      </w:r>
      <w:r>
        <w:rPr>
          <w:rFonts w:hint="eastAsia" w:ascii="宋体" w:hAnsi="宋体" w:eastAsia="宋体" w:cs="宋体"/>
          <w:b/>
          <w:bCs/>
          <w:color w:val="auto"/>
          <w:sz w:val="21"/>
          <w:szCs w:val="21"/>
          <w:highlight w:val="none"/>
          <w:lang w:val="en-US" w:eastAsia="zh-CN"/>
        </w:rPr>
        <w:t>磋商总</w:t>
      </w:r>
      <w:r>
        <w:rPr>
          <w:rFonts w:hint="eastAsia" w:ascii="宋体" w:hAnsi="宋体" w:eastAsia="宋体" w:cs="宋体"/>
          <w:b/>
          <w:bCs/>
          <w:color w:val="auto"/>
          <w:sz w:val="21"/>
          <w:szCs w:val="21"/>
          <w:highlight w:val="none"/>
        </w:rPr>
        <w:t>报价应包含完成本次采购项目的所有费用。</w:t>
      </w:r>
    </w:p>
    <w:p>
      <w:pPr>
        <w:pStyle w:val="8"/>
        <w:keepNext w:val="0"/>
        <w:keepLines w:val="0"/>
        <w:pageBreakBefore w:val="0"/>
        <w:widowControl w:val="0"/>
        <w:kinsoku/>
        <w:wordWrap/>
        <w:overflowPunct/>
        <w:topLinePunct w:val="0"/>
        <w:autoSpaceDE/>
        <w:autoSpaceDN/>
        <w:bidi w:val="0"/>
        <w:snapToGrid/>
        <w:ind w:firstLine="422" w:firstLineChars="200"/>
        <w:textAlignment w:val="auto"/>
        <w:rPr>
          <w:rFonts w:hint="eastAsia" w:ascii="宋体" w:hAnsi="宋体" w:eastAsia="宋体" w:cs="宋体"/>
          <w:highlight w:val="none"/>
          <w:lang w:val="en-US" w:eastAsia="zh-CN"/>
        </w:rPr>
      </w:pPr>
      <w:r>
        <w:rPr>
          <w:rFonts w:hint="eastAsia" w:ascii="宋体" w:hAnsi="宋体" w:eastAsia="宋体" w:cs="宋体"/>
          <w:b/>
          <w:bCs/>
          <w:color w:val="auto"/>
          <w:sz w:val="21"/>
          <w:szCs w:val="21"/>
          <w:highlight w:val="none"/>
          <w:lang w:val="en-US" w:eastAsia="zh-CN"/>
        </w:rPr>
        <w:t>2、供应商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磋商总报价</w:t>
      </w:r>
      <w:r>
        <w:rPr>
          <w:rFonts w:hint="eastAsia" w:ascii="宋体" w:hAnsi="宋体" w:eastAsia="宋体" w:cs="宋体"/>
          <w:b/>
          <w:bCs/>
          <w:color w:val="auto"/>
          <w:sz w:val="21"/>
          <w:szCs w:val="21"/>
          <w:highlight w:val="none"/>
        </w:rPr>
        <w:t>不得</w:t>
      </w:r>
      <w:r>
        <w:rPr>
          <w:rFonts w:hint="eastAsia" w:ascii="宋体" w:hAnsi="宋体" w:eastAsia="宋体" w:cs="宋体"/>
          <w:b/>
          <w:bCs/>
          <w:color w:val="auto"/>
          <w:sz w:val="21"/>
          <w:szCs w:val="21"/>
          <w:highlight w:val="none"/>
          <w:lang w:val="en-US" w:eastAsia="zh-CN"/>
        </w:rPr>
        <w:t>高于本项目采购预算（最高限价）</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p>
    <w:p>
      <w:pPr>
        <w:spacing w:line="360" w:lineRule="auto"/>
        <w:ind w:firstLine="422" w:firstLineChars="200"/>
        <w:jc w:val="left"/>
        <w:rPr>
          <w:rFonts w:hint="eastAsia" w:ascii="宋体" w:hAnsi="宋体" w:eastAsia="宋体" w:cs="宋体"/>
          <w:b/>
          <w:bCs/>
          <w:color w:val="auto"/>
          <w:sz w:val="21"/>
          <w:szCs w:val="21"/>
          <w:highlight w:val="none"/>
        </w:rPr>
      </w:pPr>
    </w:p>
    <w:p>
      <w:pPr>
        <w:pStyle w:val="19"/>
        <w:rPr>
          <w:rFonts w:hint="eastAsia" w:ascii="宋体" w:hAnsi="宋体" w:eastAsia="宋体" w:cs="宋体"/>
          <w:highlight w:val="none"/>
        </w:rPr>
      </w:pPr>
    </w:p>
    <w:p>
      <w:pPr>
        <w:pStyle w:val="9"/>
        <w:rPr>
          <w:rFonts w:hint="eastAsia" w:ascii="宋体" w:hAnsi="宋体" w:eastAsia="宋体" w:cs="宋体"/>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kern w:val="2"/>
          <w:sz w:val="28"/>
          <w:szCs w:val="28"/>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outlineLvl w:val="0"/>
        <w:rPr>
          <w:rFonts w:hint="eastAsia" w:ascii="宋体" w:hAnsi="宋体" w:eastAsia="宋体" w:cs="宋体"/>
          <w:b/>
          <w:color w:val="auto"/>
          <w:sz w:val="28"/>
          <w:szCs w:val="28"/>
          <w:highlight w:val="none"/>
        </w:rPr>
      </w:pPr>
      <w:bookmarkStart w:id="66" w:name="_Toc4492"/>
      <w:bookmarkStart w:id="67" w:name="_Toc80"/>
      <w:bookmarkStart w:id="68" w:name="_Toc32624"/>
      <w:bookmarkStart w:id="69" w:name="_Toc18075"/>
      <w:bookmarkStart w:id="70" w:name="_Toc10803"/>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三</w:t>
      </w:r>
      <w:r>
        <w:rPr>
          <w:rFonts w:hint="eastAsia" w:ascii="宋体" w:hAnsi="宋体" w:eastAsia="宋体" w:cs="宋体"/>
          <w:b/>
          <w:bCs/>
          <w:color w:val="000000" w:themeColor="text1"/>
          <w:highlight w:val="none"/>
          <w14:textFill>
            <w14:solidFill>
              <w14:schemeClr w14:val="tx1"/>
            </w14:solidFill>
          </w14:textFill>
        </w:rPr>
        <w:t>、</w:t>
      </w:r>
      <w:bookmarkEnd w:id="66"/>
      <w:bookmarkEnd w:id="67"/>
      <w:bookmarkEnd w:id="68"/>
      <w:bookmarkEnd w:id="69"/>
      <w:bookmarkStart w:id="71" w:name="_Toc26334"/>
      <w:bookmarkStart w:id="72" w:name="_Toc7674"/>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服务响应偏离表</w:t>
      </w:r>
      <w:bookmarkEnd w:id="70"/>
    </w:p>
    <w:p>
      <w:pPr>
        <w:keepNext w:val="0"/>
        <w:keepLines w:val="0"/>
        <w:pageBreakBefore w:val="0"/>
        <w:widowControl w:val="0"/>
        <w:kinsoku/>
        <w:wordWrap/>
        <w:overflowPunct/>
        <w:topLinePunct w:val="0"/>
        <w:autoSpaceDE/>
        <w:autoSpaceDN/>
        <w:bidi w:val="0"/>
        <w:adjustRightInd/>
        <w:snapToGrid/>
        <w:spacing w:line="360" w:lineRule="auto"/>
        <w:ind w:left="0" w:hanging="7680" w:hangingChars="3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361"/>
        <w:gridCol w:w="2891"/>
        <w:gridCol w:w="922"/>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val="en-US" w:eastAsia="zh-CN"/>
              </w:rPr>
              <w:t>磋商文件服务</w:t>
            </w:r>
            <w:r>
              <w:rPr>
                <w:rFonts w:hint="eastAsia" w:ascii="宋体" w:hAnsi="宋体" w:eastAsia="宋体" w:cs="宋体"/>
                <w:b/>
                <w:color w:val="auto"/>
                <w:sz w:val="24"/>
                <w:highlight w:val="none"/>
              </w:rPr>
              <w:t>要求</w:t>
            </w:r>
          </w:p>
        </w:tc>
        <w:tc>
          <w:tcPr>
            <w:tcW w:w="1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lang w:val="en-US"/>
              </w:rPr>
            </w:pPr>
            <w:r>
              <w:rPr>
                <w:rFonts w:hint="eastAsia" w:ascii="宋体" w:hAnsi="宋体" w:eastAsia="宋体" w:cs="宋体"/>
                <w:b/>
                <w:color w:val="auto"/>
                <w:sz w:val="24"/>
                <w:highlight w:val="none"/>
                <w:lang w:val="en-US" w:eastAsia="zh-CN"/>
              </w:rPr>
              <w:t>磋商响应</w:t>
            </w:r>
            <w:r>
              <w:rPr>
                <w:rFonts w:hint="eastAsia" w:ascii="宋体" w:hAnsi="宋体" w:eastAsia="宋体" w:cs="宋体"/>
                <w:b/>
                <w:color w:val="auto"/>
                <w:sz w:val="24"/>
                <w:highlight w:val="none"/>
              </w:rPr>
              <w:t>文件</w:t>
            </w:r>
            <w:r>
              <w:rPr>
                <w:rFonts w:hint="eastAsia" w:ascii="宋体" w:hAnsi="宋体" w:eastAsia="宋体" w:cs="宋体"/>
                <w:b/>
                <w:color w:val="auto"/>
                <w:sz w:val="24"/>
                <w:highlight w:val="none"/>
                <w:lang w:val="en-US" w:eastAsia="zh-CN"/>
              </w:rPr>
              <w:t>服务响应</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w:t>
            </w:r>
          </w:p>
        </w:tc>
        <w:tc>
          <w:tcPr>
            <w:tcW w:w="8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偏离及其</w:t>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38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169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54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c>
          <w:tcPr>
            <w:tcW w:w="86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24"/>
              <w:textAlignment w:val="auto"/>
              <w:rPr>
                <w:rFonts w:hint="eastAsia" w:ascii="宋体" w:hAnsi="宋体" w:eastAsia="宋体" w:cs="宋体"/>
                <w:bCs/>
                <w:color w:val="auto"/>
                <w:sz w:val="24"/>
                <w:highlight w:val="none"/>
              </w:rPr>
            </w:pPr>
          </w:p>
        </w:tc>
      </w:tr>
    </w:tbl>
    <w:p>
      <w:pPr>
        <w:adjustRightInd w:val="0"/>
        <w:spacing w:line="360" w:lineRule="auto"/>
        <w:ind w:firstLine="527" w:firstLineChars="25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eastAsia="zh-CN"/>
        </w:rPr>
        <w:t>必须据实填写，</w:t>
      </w:r>
      <w:r>
        <w:rPr>
          <w:rFonts w:hint="eastAsia" w:ascii="宋体" w:hAnsi="宋体" w:eastAsia="宋体" w:cs="宋体"/>
          <w:b/>
          <w:bCs/>
          <w:color w:val="auto"/>
          <w:sz w:val="21"/>
          <w:szCs w:val="21"/>
          <w:highlight w:val="none"/>
          <w:lang w:val="en-US" w:eastAsia="zh-CN"/>
        </w:rPr>
        <w:t>逐条响应，</w:t>
      </w:r>
      <w:r>
        <w:rPr>
          <w:rFonts w:hint="eastAsia" w:ascii="宋体" w:hAnsi="宋体" w:eastAsia="宋体" w:cs="宋体"/>
          <w:b/>
          <w:bCs/>
          <w:color w:val="auto"/>
          <w:sz w:val="21"/>
          <w:szCs w:val="21"/>
          <w:highlight w:val="none"/>
          <w:lang w:eastAsia="zh-CN"/>
        </w:rPr>
        <w:t>偏离情况填写：正偏离、负偏离、无偏离，不得虚假响应，否则将取消其</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资格，并按有关规定进行处罚。</w:t>
      </w:r>
    </w:p>
    <w:p>
      <w:pPr>
        <w:adjustRightInd w:val="0"/>
        <w:spacing w:line="360" w:lineRule="auto"/>
        <w:ind w:firstLine="527" w:firstLineChars="2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2、此表在不改变表式的情况下可自行扩展。</w:t>
      </w:r>
    </w:p>
    <w:p>
      <w:pPr>
        <w:adjustRightInd w:val="0"/>
        <w:spacing w:line="360" w:lineRule="auto"/>
        <w:ind w:firstLine="527" w:firstLineChars="250"/>
        <w:jc w:val="left"/>
        <w:rPr>
          <w:rFonts w:hint="eastAsia" w:ascii="宋体" w:hAnsi="宋体" w:eastAsia="宋体" w:cs="宋体"/>
          <w:b/>
          <w:bCs/>
          <w:color w:val="auto"/>
          <w:sz w:val="21"/>
          <w:szCs w:val="21"/>
          <w:highlight w:val="none"/>
          <w:lang w:val="en-US" w:eastAsia="zh-CN"/>
        </w:rPr>
      </w:pPr>
    </w:p>
    <w:p>
      <w:pPr>
        <w:adjustRightInd w:val="0"/>
        <w:spacing w:line="400" w:lineRule="exact"/>
        <w:jc w:val="left"/>
        <w:rPr>
          <w:rFonts w:hint="eastAsia" w:ascii="宋体" w:hAnsi="宋体" w:eastAsia="宋体" w:cs="宋体"/>
          <w:color w:val="auto"/>
          <w:sz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pPr>
        <w:pStyle w:val="1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60" w:lineRule="auto"/>
        <w:jc w:val="center"/>
        <w:textAlignment w:val="auto"/>
        <w:outlineLvl w:val="0"/>
        <w:rPr>
          <w:rFonts w:hint="eastAsia" w:ascii="宋体" w:hAnsi="宋体" w:eastAsia="宋体" w:cs="宋体"/>
          <w:b/>
          <w:bCs/>
          <w:kern w:val="2"/>
          <w:sz w:val="32"/>
          <w:szCs w:val="32"/>
          <w:highlight w:val="none"/>
          <w:lang w:val="en-US" w:eastAsia="zh-CN" w:bidi="ar-SA"/>
        </w:rPr>
      </w:pPr>
      <w:bookmarkStart w:id="73" w:name="_Toc5239"/>
      <w:bookmarkStart w:id="74" w:name="_Toc32759"/>
      <w:r>
        <w:rPr>
          <w:rFonts w:hint="eastAsia" w:ascii="宋体" w:hAnsi="宋体" w:eastAsia="宋体" w:cs="宋体"/>
          <w:b/>
          <w:bCs/>
          <w:kern w:val="2"/>
          <w:sz w:val="32"/>
          <w:szCs w:val="32"/>
          <w:highlight w:val="none"/>
          <w:lang w:val="en-US" w:eastAsia="zh-CN" w:bidi="ar-SA"/>
        </w:rPr>
        <w:t>四、供应商资格证明文件</w:t>
      </w:r>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体资格证明：在中华人民共和国境内注册，并有效续存的营业执照/事业单位法人证书/非企业专业服务机构执业许可证/民办非企业单位登记证书、税务登记证、组织机构代码证，或“三证合一”后的注册登记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（2）财务状况报告：提供2022年度财务审计报告（至少包括资产负债表、利润表、现金流量表及财务报表附注，成立时间至提交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截止时间不足一年的可提供成立后任意时段的资产负债表），或开标前3个月内其基本存款账户开户银行出具的资信证明及基本存款账户开户证明资料；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（4）税收缴纳证明：自2023年1月1日以来已缴存的至少一个月的纳税证明或完税证明，纳税证明或完税证明上应有代收机构或税务机关的公章或业务专用章。依法免税的供应商应提供相关文件证明；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（5）未被列入“信用中国”网站（www.creditchina.gov.cn）失信被执行人和重大税收违法案件当事人名单，不得为“中国政府采购网”(www.ccgp.gov.cn)政府采购严重违法失信行为记录名单中禁止参加政府采购活动的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授权书（附法定代表人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、被授权人身份证复印件）及被授权人身份证原件；法定代表人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直接参加投标的，须提供法定代表人</w:t>
      </w:r>
      <w:r>
        <w:rPr>
          <w:rFonts w:hint="eastAsia" w:ascii="宋体" w:hAnsi="宋体" w:eastAsia="宋体" w:cs="宋体"/>
          <w:sz w:val="24"/>
          <w:szCs w:val="24"/>
          <w:highlight w:val="none"/>
          <w:lang w:val="en-US" w:eastAsia="zh-CN"/>
        </w:rPr>
        <w:t>/非法人单位负责人</w:t>
      </w:r>
      <w:r>
        <w:rPr>
          <w:rFonts w:hint="eastAsia" w:ascii="宋体" w:hAnsi="宋体" w:eastAsia="宋体" w:cs="宋体"/>
          <w:sz w:val="24"/>
          <w:szCs w:val="24"/>
          <w:highlight w:val="none"/>
        </w:rPr>
        <w:t>身份证明文件</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（8）提供具有履行合同所必需的设备和专业技术能力的承诺函；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（9）本项目不接受联合体</w:t>
      </w:r>
      <w:r>
        <w:rPr>
          <w:rFonts w:hint="eastAsia" w:ascii="宋体" w:hAnsi="宋体" w:eastAsia="宋体" w:cs="宋体"/>
          <w:sz w:val="24"/>
          <w:szCs w:val="24"/>
          <w:highlight w:val="none"/>
          <w:lang w:eastAsia="zh-CN"/>
        </w:rPr>
        <w:t>参与</w:t>
      </w:r>
      <w:r>
        <w:rPr>
          <w:rFonts w:hint="eastAsia" w:ascii="宋体" w:hAnsi="宋体" w:eastAsia="宋体" w:cs="宋体"/>
          <w:sz w:val="24"/>
          <w:szCs w:val="24"/>
          <w:highlight w:val="none"/>
        </w:rPr>
        <w:t>，单位负责人为同一人或者存在直接控股、管理关系的不同单位不得同时参加，未提及之处详见</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sz w:val="24"/>
          <w:szCs w:val="24"/>
          <w:highlight w:val="none"/>
        </w:rPr>
        <w:t>注：①以上资格要求均为必备资格，缺少其中任何一项，其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视为无效文件。②事业单位参与投标可不提供财务状况报告和社会保障资金缴纳证明。③</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凡是参加</w:t>
      </w:r>
      <w:r>
        <w:rPr>
          <w:rFonts w:hint="eastAsia" w:ascii="宋体" w:hAnsi="宋体" w:eastAsia="宋体" w:cs="宋体"/>
          <w:sz w:val="24"/>
          <w:szCs w:val="24"/>
          <w:highlight w:val="none"/>
          <w:lang w:eastAsia="zh-CN"/>
        </w:rPr>
        <w:t>磋商会议</w:t>
      </w:r>
      <w:r>
        <w:rPr>
          <w:rFonts w:hint="eastAsia" w:ascii="宋体" w:hAnsi="宋体" w:eastAsia="宋体" w:cs="宋体"/>
          <w:sz w:val="24"/>
          <w:szCs w:val="24"/>
          <w:highlight w:val="none"/>
        </w:rPr>
        <w:t>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中所填报的被授权人本人必须到场，不得委托他人，否则按照无效</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处理。</w:t>
      </w:r>
      <w:r>
        <w:rPr>
          <w:rFonts w:hint="eastAsia" w:ascii="宋体" w:hAnsi="宋体" w:eastAsia="宋体" w:cs="宋体"/>
          <w:sz w:val="24"/>
          <w:szCs w:val="24"/>
          <w:highlight w:val="none"/>
          <w:lang w:eastAsia="zh-CN"/>
        </w:rPr>
        <w:t>④凡要求法定代表人签字或盖章处，非法人单位均参照执行。</w:t>
      </w:r>
    </w:p>
    <w:p>
      <w:pPr>
        <w:pStyle w:val="2"/>
        <w:rPr>
          <w:rFonts w:hint="eastAsia"/>
          <w:highlight w:val="none"/>
        </w:rPr>
      </w:pP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说明：</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eastAsia="zh-CN"/>
        </w:rPr>
        <w:t>、供应商</w:t>
      </w:r>
      <w:r>
        <w:rPr>
          <w:rFonts w:hint="eastAsia" w:ascii="宋体" w:hAnsi="宋体" w:eastAsia="宋体" w:cs="宋体"/>
          <w:b/>
          <w:bCs/>
          <w:color w:val="000000"/>
          <w:sz w:val="21"/>
          <w:szCs w:val="21"/>
          <w:highlight w:val="none"/>
        </w:rPr>
        <w:t>应</w:t>
      </w:r>
      <w:r>
        <w:rPr>
          <w:rFonts w:hint="eastAsia" w:ascii="宋体" w:hAnsi="宋体" w:eastAsia="宋体" w:cs="宋体"/>
          <w:b/>
          <w:bCs/>
          <w:color w:val="000000"/>
          <w:sz w:val="21"/>
          <w:szCs w:val="21"/>
          <w:highlight w:val="none"/>
          <w:lang w:val="en-US" w:eastAsia="zh-CN"/>
        </w:rPr>
        <w:t>按照上述内容按序提供资格证明文件，并加盖供应商公章。</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2、“第5项”提供供应商信用情况声明书详见“格式1”；</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3、“第6项”法定代表人/非法人单位负责人身份证明文件或法定代表人/非法人单位负责人授权书格式详见“</w:t>
      </w:r>
      <w:r>
        <w:rPr>
          <w:rFonts w:hint="eastAsia" w:ascii="宋体" w:hAnsi="宋体" w:eastAsia="宋体" w:cs="宋体"/>
          <w:b/>
          <w:bCs/>
          <w:color w:val="000000"/>
          <w:sz w:val="21"/>
          <w:szCs w:val="21"/>
          <w:highlight w:val="none"/>
        </w:rPr>
        <w:t>格式</w:t>
      </w:r>
      <w:r>
        <w:rPr>
          <w:rFonts w:hint="eastAsia" w:ascii="宋体" w:hAnsi="宋体" w:eastAsia="宋体" w:cs="宋体"/>
          <w:b/>
          <w:bCs/>
          <w:color w:val="000000"/>
          <w:sz w:val="21"/>
          <w:szCs w:val="21"/>
          <w:highlight w:val="none"/>
          <w:lang w:val="en-US" w:eastAsia="zh-CN"/>
        </w:rPr>
        <w:t>2”、“格式3”。</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4、“第7项”提供参加政府采购活动前三年内在经营活动中没有重大违法记录的书面声明详见“格式4”。</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5、“第8项”提供具有履行合同所必需的设备和专业技术能力的承诺函，格式自拟。</w:t>
      </w:r>
    </w:p>
    <w:p>
      <w:pPr>
        <w:keepNext w:val="0"/>
        <w:keepLines w:val="0"/>
        <w:pageBreakBefore w:val="0"/>
        <w:kinsoku/>
        <w:wordWrap/>
        <w:overflowPunct/>
        <w:topLinePunct w:val="0"/>
        <w:autoSpaceDE/>
        <w:autoSpaceDN/>
        <w:bidi w:val="0"/>
        <w:adjustRightInd/>
        <w:snapToGrid/>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6、“第9项”提供非联合体声明，格式自拟，单位负责人为同一人或者存在直接控股、管理关系的不同单位说明详见“格式5”。</w:t>
      </w:r>
    </w:p>
    <w:p>
      <w:pPr>
        <w:adjustRightInd w:val="0"/>
        <w:spacing w:line="360" w:lineRule="auto"/>
        <w:ind w:firstLine="700" w:firstLineChars="250"/>
        <w:jc w:val="left"/>
        <w:rPr>
          <w:rFonts w:hint="eastAsia" w:ascii="宋体" w:hAnsi="宋体" w:eastAsia="宋体" w:cs="宋体"/>
          <w:kern w:val="2"/>
          <w:sz w:val="28"/>
          <w:szCs w:val="28"/>
          <w:highlight w:val="none"/>
          <w:lang w:val="en-US" w:eastAsia="zh-CN" w:bidi="ar-SA"/>
        </w:rPr>
      </w:pPr>
    </w:p>
    <w:p>
      <w:pPr>
        <w:spacing w:line="500" w:lineRule="exac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br w:type="page"/>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格式1、</w:t>
      </w:r>
      <w:r>
        <w:rPr>
          <w:rFonts w:hint="eastAsia" w:ascii="宋体" w:hAnsi="宋体" w:eastAsia="宋体" w:cs="宋体"/>
          <w:b/>
          <w:sz w:val="24"/>
          <w:szCs w:val="24"/>
          <w:highlight w:val="none"/>
          <w:lang w:val="en-US" w:eastAsia="zh-CN"/>
        </w:rPr>
        <w:t>供应商信用情况声明书</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陕西金准达项目管理有限责任公司：</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）供应商，在此郑重声明：</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（填“未被列入”或“被列入”）失信被执行人名单。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（填“未被列入”或“被列入”）重大税收违法案件当事人名单。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（填“未被列入”或“被列入”）政府采购严重违法失信行为记录名单。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如有不实，我方将无条件地退出本项目的采购活动，并遵照《政府采购法》有关“提供虚假材料的规定”接受处罚。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500" w:lineRule="exact"/>
        <w:ind w:firstLine="3600" w:firstLineChars="1500"/>
        <w:rPr>
          <w:rFonts w:hint="eastAsia" w:ascii="宋体" w:hAnsi="宋体" w:eastAsia="宋体" w:cs="宋体"/>
          <w:color w:val="auto"/>
          <w:sz w:val="24"/>
          <w:szCs w:val="24"/>
          <w:highlight w:val="none"/>
        </w:rPr>
      </w:pPr>
    </w:p>
    <w:p>
      <w:pPr>
        <w:spacing w:line="500" w:lineRule="exact"/>
        <w:ind w:firstLine="3600" w:firstLineChars="15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3600" w:firstLineChars="15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ind w:firstLine="5280" w:firstLineChars="2200"/>
        <w:rPr>
          <w:rFonts w:hint="eastAsia" w:ascii="宋体" w:hAnsi="宋体" w:eastAsia="宋体" w:cs="宋体"/>
          <w:color w:val="auto"/>
          <w:sz w:val="24"/>
          <w:szCs w:val="24"/>
          <w:highlight w:val="none"/>
        </w:rPr>
      </w:pPr>
    </w:p>
    <w:p>
      <w:pPr>
        <w:ind w:firstLine="5280" w:firstLineChars="2200"/>
        <w:rPr>
          <w:rFonts w:hint="eastAsia" w:ascii="宋体" w:hAnsi="宋体" w:eastAsia="宋体" w:cs="宋体"/>
          <w:kern w:val="2"/>
          <w:sz w:val="22"/>
          <w:szCs w:val="22"/>
          <w:highlight w:val="none"/>
          <w:lang w:val="en-US" w:eastAsia="zh-CN" w:bidi="ar-SA"/>
        </w:rPr>
      </w:pPr>
      <w:r>
        <w:rPr>
          <w:rFonts w:hint="eastAsia" w:ascii="宋体" w:hAnsi="宋体" w:eastAsia="宋体" w:cs="宋体"/>
          <w:color w:val="auto"/>
          <w:sz w:val="24"/>
          <w:szCs w:val="24"/>
          <w:highlight w:val="none"/>
        </w:rPr>
        <w:t>日期：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日</w:t>
      </w: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pStyle w:val="8"/>
        <w:rPr>
          <w:rFonts w:hint="eastAsia" w:ascii="宋体" w:hAnsi="宋体" w:eastAsia="宋体" w:cs="宋体"/>
          <w:b/>
          <w:bCs/>
          <w:sz w:val="21"/>
          <w:szCs w:val="21"/>
          <w:highlight w:val="none"/>
          <w:lang w:val="en-US" w:eastAsia="zh-CN"/>
        </w:rPr>
      </w:pPr>
    </w:p>
    <w:p>
      <w:pPr>
        <w:rPr>
          <w:rFonts w:hint="eastAsia" w:ascii="宋体" w:hAnsi="宋体" w:eastAsia="宋体" w:cs="宋体"/>
          <w:b/>
          <w:bCs/>
          <w:sz w:val="21"/>
          <w:szCs w:val="21"/>
          <w:highlight w:val="none"/>
          <w:lang w:val="en-US" w:eastAsia="zh-CN"/>
        </w:rPr>
      </w:pPr>
    </w:p>
    <w:p>
      <w:pPr>
        <w:pStyle w:val="8"/>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提示：供应商可通过【信用中国（www.creditchina.gov.cn）】、【中国政府采购网（www.ccgp.gov.cn）】网站对自身信用记录进行自查，并按查询结果填写声明。</w:t>
      </w:r>
    </w:p>
    <w:p>
      <w:p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br w:type="page"/>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法定代表人/非法人单位负责人</w:t>
      </w:r>
      <w:r>
        <w:rPr>
          <w:rFonts w:hint="eastAsia" w:ascii="宋体" w:hAnsi="宋体" w:eastAsia="宋体" w:cs="宋体"/>
          <w:b/>
          <w:sz w:val="24"/>
          <w:szCs w:val="24"/>
          <w:highlight w:val="none"/>
        </w:rPr>
        <w:t>身份证明</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名称）的</w:t>
      </w:r>
      <w:r>
        <w:rPr>
          <w:rFonts w:hint="eastAsia" w:ascii="宋体" w:hAnsi="宋体" w:eastAsia="宋体" w:cs="宋体"/>
          <w:kern w:val="0"/>
          <w:sz w:val="24"/>
          <w:szCs w:val="24"/>
          <w:highlight w:val="none"/>
          <w:lang w:val="en-US" w:eastAsia="zh-CN"/>
        </w:rPr>
        <w:t>法定代表人/非法人单位负责人</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w:t>
      </w:r>
      <w:r>
        <w:rPr>
          <w:rFonts w:hint="eastAsia" w:ascii="宋体" w:hAnsi="宋体" w:eastAsia="宋体" w:cs="宋体"/>
          <w:sz w:val="24"/>
          <w:szCs w:val="24"/>
          <w:highlight w:val="none"/>
          <w:lang w:val="en-US" w:eastAsia="zh-CN"/>
        </w:rPr>
        <w:t>法定代表人/非法人单位负责人</w:t>
      </w:r>
      <w:r>
        <w:rPr>
          <w:rFonts w:hint="eastAsia" w:ascii="宋体" w:hAnsi="宋体" w:eastAsia="宋体" w:cs="宋体"/>
          <w:sz w:val="24"/>
          <w:szCs w:val="24"/>
          <w:highlight w:val="none"/>
        </w:rPr>
        <w:t>身份证复印件</w:t>
      </w: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法定代表人身份证复印件正反面</w:t>
            </w:r>
          </w:p>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sz w:val="24"/>
                <w:szCs w:val="24"/>
                <w:highlight w:val="none"/>
              </w:rPr>
            </w:pPr>
          </w:p>
        </w:tc>
      </w:tr>
    </w:tbl>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firstLine="5280" w:firstLineChars="2200"/>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420" w:firstLine="2400" w:firstLineChars="1000"/>
        <w:jc w:val="righ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pPr>
        <w:keepNext w:val="0"/>
        <w:keepLines w:val="0"/>
        <w:pageBreakBefore w:val="0"/>
        <w:kinsoku/>
        <w:wordWrap/>
        <w:overflowPunct/>
        <w:topLinePunct w:val="0"/>
        <w:bidi w:val="0"/>
        <w:adjustRightInd w:val="0"/>
        <w:snapToGrid w:val="0"/>
        <w:spacing w:line="360" w:lineRule="auto"/>
        <w:ind w:right="420" w:firstLine="5520" w:firstLineChars="2300"/>
        <w:jc w:val="righ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firstLine="4320" w:firstLineChars="1800"/>
        <w:jc w:val="righ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2"/>
        <w:keepNext w:val="0"/>
        <w:keepLines w:val="0"/>
        <w:pageBreakBefore w:val="0"/>
        <w:kinsoku/>
        <w:wordWrap/>
        <w:overflowPunct/>
        <w:topLinePunct w:val="0"/>
        <w:bidi w:val="0"/>
        <w:textAlignment w:val="auto"/>
        <w:outlineLvl w:val="9"/>
        <w:rPr>
          <w:rFonts w:hint="eastAsia" w:ascii="宋体" w:hAnsi="宋体" w:eastAsia="宋体" w:cs="宋体"/>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highlight w:val="none"/>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说明：仅限</w:t>
      </w:r>
      <w:r>
        <w:rPr>
          <w:rFonts w:hint="eastAsia" w:ascii="宋体" w:hAnsi="宋体" w:eastAsia="宋体" w:cs="宋体"/>
          <w:b/>
          <w:bCs/>
          <w:color w:val="000000"/>
          <w:sz w:val="21"/>
          <w:szCs w:val="21"/>
          <w:highlight w:val="none"/>
          <w:lang w:val="en-US" w:eastAsia="zh-CN"/>
        </w:rPr>
        <w:t>法定代表人/非法人单位负责人</w:t>
      </w:r>
      <w:r>
        <w:rPr>
          <w:rFonts w:hint="eastAsia" w:ascii="宋体" w:hAnsi="宋体" w:eastAsia="宋体" w:cs="宋体"/>
          <w:b/>
          <w:bCs/>
          <w:sz w:val="21"/>
          <w:szCs w:val="21"/>
          <w:highlight w:val="none"/>
        </w:rPr>
        <w:t>参加</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时提供。</w:t>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75" w:name="_Toc9117"/>
      <w:bookmarkStart w:id="76" w:name="_Toc8935"/>
      <w:bookmarkStart w:id="77" w:name="_Toc517188987"/>
      <w:bookmarkStart w:id="78" w:name="_Toc523922505"/>
      <w:bookmarkStart w:id="79" w:name="_Toc22880"/>
      <w:bookmarkStart w:id="80" w:name="_Toc465419586"/>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授权委托书</w:t>
      </w:r>
      <w:bookmarkEnd w:id="75"/>
      <w:bookmarkEnd w:id="76"/>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本人</w:t>
      </w:r>
      <w:r>
        <w:rPr>
          <w:rFonts w:hint="eastAsia" w:ascii="宋体" w:hAnsi="宋体" w:eastAsia="宋体" w:cs="宋体"/>
          <w:sz w:val="24"/>
          <w:szCs w:val="24"/>
          <w:highlight w:val="none"/>
          <w:u w:val="single"/>
          <w:lang w:val="zh-CN"/>
        </w:rPr>
        <w:t xml:space="preserve">   （姓名）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 xml:space="preserve">   （供应商名称）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lang w:val="zh-CN" w:eastAsia="zh-CN"/>
        </w:rPr>
        <w:t>法定代表人/非法人单位负责人</w:t>
      </w:r>
      <w:r>
        <w:rPr>
          <w:rFonts w:hint="eastAsia" w:ascii="宋体" w:hAnsi="宋体" w:eastAsia="宋体" w:cs="宋体"/>
          <w:sz w:val="24"/>
          <w:szCs w:val="24"/>
          <w:highlight w:val="none"/>
          <w:lang w:val="zh-CN"/>
        </w:rPr>
        <w:t>，现委托</w:t>
      </w:r>
      <w:r>
        <w:rPr>
          <w:rFonts w:hint="eastAsia" w:ascii="宋体" w:hAnsi="宋体" w:eastAsia="宋体" w:cs="宋体"/>
          <w:sz w:val="24"/>
          <w:szCs w:val="24"/>
          <w:highlight w:val="none"/>
          <w:u w:val="single"/>
          <w:lang w:val="zh-CN"/>
        </w:rPr>
        <w:t xml:space="preserve">           （被</w:t>
      </w:r>
      <w:r>
        <w:rPr>
          <w:rFonts w:hint="eastAsia" w:ascii="宋体" w:hAnsi="宋体" w:eastAsia="宋体" w:cs="宋体"/>
          <w:sz w:val="24"/>
          <w:szCs w:val="24"/>
          <w:highlight w:val="none"/>
          <w:u w:val="single"/>
        </w:rPr>
        <w:t>授权人</w:t>
      </w:r>
      <w:r>
        <w:rPr>
          <w:rFonts w:hint="eastAsia" w:ascii="宋体" w:hAnsi="宋体" w:eastAsia="宋体" w:cs="宋体"/>
          <w:sz w:val="24"/>
          <w:szCs w:val="24"/>
          <w:highlight w:val="none"/>
          <w:u w:val="single"/>
          <w:lang w:val="zh-CN"/>
        </w:rPr>
        <w:t>姓名）</w:t>
      </w:r>
      <w:r>
        <w:rPr>
          <w:rFonts w:hint="eastAsia" w:ascii="宋体" w:hAnsi="宋体" w:eastAsia="宋体" w:cs="宋体"/>
          <w:sz w:val="24"/>
          <w:szCs w:val="24"/>
          <w:highlight w:val="none"/>
          <w:lang w:val="zh-CN"/>
        </w:rPr>
        <w:t>为我方代理人。代理人根据授权，以我方的名义签署、澄清确认、递交、撤回、修改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磋商响应文件、签订合同和全权处理一切与之有关的事宜，</w:t>
      </w:r>
      <w:r>
        <w:rPr>
          <w:rFonts w:hint="eastAsia" w:ascii="宋体" w:hAnsi="宋体" w:eastAsia="宋体" w:cs="宋体"/>
          <w:kern w:val="0"/>
          <w:sz w:val="24"/>
          <w:szCs w:val="24"/>
          <w:highlight w:val="none"/>
        </w:rPr>
        <w:t>其法律后果由我方承担。</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委托期限</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lang w:eastAsia="zh-CN"/>
        </w:rPr>
        <w:t>自磋商截止之日起</w:t>
      </w:r>
      <w:r>
        <w:rPr>
          <w:rFonts w:hint="eastAsia" w:ascii="宋体" w:hAnsi="宋体" w:eastAsia="宋体" w:cs="宋体"/>
          <w:sz w:val="24"/>
          <w:szCs w:val="24"/>
          <w:highlight w:val="none"/>
          <w:u w:val="none"/>
          <w:lang w:val="en-US" w:eastAsia="zh-CN"/>
        </w:rPr>
        <w:t>90日历日</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被授权人无转委托权。</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附：</w:t>
      </w:r>
      <w:r>
        <w:rPr>
          <w:rFonts w:hint="eastAsia" w:ascii="宋体" w:hAnsi="宋体" w:eastAsia="宋体" w:cs="宋体"/>
          <w:sz w:val="24"/>
          <w:szCs w:val="24"/>
          <w:highlight w:val="none"/>
          <w:lang w:val="zh-CN" w:eastAsia="zh-CN"/>
        </w:rPr>
        <w:t>法定代表人/非法人单位负责人</w:t>
      </w: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、被授权</w:t>
      </w:r>
      <w:r>
        <w:rPr>
          <w:rFonts w:hint="eastAsia" w:ascii="宋体" w:hAnsi="宋体" w:eastAsia="宋体" w:cs="宋体"/>
          <w:sz w:val="24"/>
          <w:szCs w:val="24"/>
          <w:highlight w:val="none"/>
          <w:lang w:val="zh-CN"/>
        </w:rPr>
        <w:t>人身份证复印件</w:t>
      </w:r>
    </w:p>
    <w:tbl>
      <w:tblPr>
        <w:tblStyle w:val="21"/>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法定代表人/非法人单位负责人</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r>
    </w:tbl>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2400" w:firstLineChars="10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盖章</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bidi w:val="0"/>
        <w:spacing w:line="324"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jc w:val="righ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法定代表人/非法人单位负责人</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kinsoku/>
        <w:wordWrap/>
        <w:overflowPunct/>
        <w:topLinePunct w:val="0"/>
        <w:bidi w:val="0"/>
        <w:spacing w:line="324" w:lineRule="auto"/>
        <w:ind w:firstLine="3960" w:firstLineChars="165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2400" w:firstLineChars="100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bidi w:val="0"/>
        <w:spacing w:line="324" w:lineRule="auto"/>
        <w:ind w:firstLine="3960" w:firstLineChars="165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2400" w:firstLineChars="10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（签字）     </w:t>
      </w:r>
    </w:p>
    <w:p>
      <w:pPr>
        <w:keepNext w:val="0"/>
        <w:keepLines w:val="0"/>
        <w:pageBreakBefore w:val="0"/>
        <w:kinsoku/>
        <w:wordWrap/>
        <w:overflowPunct/>
        <w:topLinePunct w:val="0"/>
        <w:bidi w:val="0"/>
        <w:spacing w:line="324" w:lineRule="auto"/>
        <w:ind w:firstLine="3240" w:firstLineChars="1350"/>
        <w:jc w:val="lef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2400" w:firstLineChars="100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bidi w:val="0"/>
        <w:spacing w:line="324"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2400" w:firstLineChars="10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授权委托日期：     年   月   日</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sz w:val="21"/>
          <w:szCs w:val="21"/>
          <w:highlight w:val="none"/>
          <w:lang w:val="zh-CN"/>
        </w:rPr>
      </w:pPr>
    </w:p>
    <w:p>
      <w:pPr>
        <w:pStyle w:val="8"/>
        <w:rPr>
          <w:rFonts w:hint="eastAsia" w:ascii="宋体" w:hAnsi="宋体" w:eastAsia="宋体" w:cs="宋体"/>
          <w:highlight w:val="none"/>
          <w:lang w:val="zh-CN"/>
        </w:rPr>
      </w:pPr>
    </w:p>
    <w:p>
      <w:pP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说明：仅限被授权人参加磋商时提供。</w:t>
      </w:r>
    </w:p>
    <w:p>
      <w:pPr>
        <w:rPr>
          <w:rFonts w:hint="eastAsia" w:ascii="宋体" w:hAnsi="宋体" w:eastAsia="宋体" w:cs="宋体"/>
          <w:b/>
          <w:bCs/>
          <w:sz w:val="21"/>
          <w:szCs w:val="21"/>
          <w:highlight w:val="none"/>
          <w:lang w:val="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格式</w:t>
      </w:r>
      <w:bookmarkEnd w:id="77"/>
      <w:bookmarkEnd w:id="78"/>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参加政府采购活动近三年内在经营活动中</w:t>
      </w:r>
      <w:bookmarkEnd w:id="79"/>
      <w:bookmarkStart w:id="81" w:name="_Toc16591"/>
      <w:r>
        <w:rPr>
          <w:rFonts w:hint="eastAsia" w:ascii="宋体" w:hAnsi="宋体" w:eastAsia="宋体" w:cs="宋体"/>
          <w:b/>
          <w:color w:val="auto"/>
          <w:sz w:val="24"/>
          <w:szCs w:val="24"/>
          <w:highlight w:val="none"/>
        </w:rPr>
        <w:t>无重大违法记录的书面声</w:t>
      </w:r>
      <w:r>
        <w:rPr>
          <w:rFonts w:hint="eastAsia" w:ascii="宋体" w:hAnsi="宋体" w:eastAsia="宋体" w:cs="宋体"/>
          <w:b/>
          <w:color w:val="auto"/>
          <w:sz w:val="24"/>
          <w:szCs w:val="24"/>
          <w:highlight w:val="none"/>
          <w:lang w:eastAsia="zh-CN"/>
        </w:rPr>
        <w:t>明</w:t>
      </w:r>
      <w:bookmarkEnd w:id="81"/>
    </w:p>
    <w:p>
      <w:pPr>
        <w:keepNext w:val="0"/>
        <w:keepLines w:val="0"/>
        <w:pageBreakBefore w:val="0"/>
        <w:widowControl/>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sz w:val="24"/>
          <w:szCs w:val="24"/>
          <w:highlight w:val="none"/>
        </w:rPr>
      </w:pPr>
    </w:p>
    <w:bookmarkEnd w:id="80"/>
    <w:p>
      <w:pPr>
        <w:keepNext w:val="0"/>
        <w:keepLines w:val="0"/>
        <w:pageBreakBefore w:val="0"/>
        <w:widowControl/>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lang w:eastAsia="zh-CN"/>
        </w:rPr>
        <w:t>陕西金准达项目管理有限责任公司</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投标事宜，在此郑重声明：</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1、我公司所提交的响应文件全部真实有效；</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2、我公司近3年来无因安全事故、质量事故、投标违规等不良记录被政府有关部门处罚或仍在处罚期限内的情形存在；</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3、我公司近3年来无违规违法经营受到责令停产(或停止经营)、 吊销生产许可证（或经营许可证）、较大数额罚款等行政处罚的情形存在；</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4、我公司无企业财产被查封、冻结或处于破产状态或严重亏损状态等情形存在；</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5、我公司承诺在投标过程中，保证不予其他单位围标、串标，不出让投标资格，不采取不正当手段诋毁、排挤其他</w:t>
      </w:r>
      <w:r>
        <w:rPr>
          <w:rFonts w:hint="eastAsia" w:ascii="宋体" w:hAnsi="宋体" w:eastAsia="宋体" w:cs="宋体"/>
          <w:color w:val="auto"/>
          <w:sz w:val="24"/>
          <w:szCs w:val="24"/>
          <w:highlight w:val="none"/>
          <w:lang w:eastAsia="zh-CN"/>
        </w:rPr>
        <w:t>磋商响应单位</w:t>
      </w:r>
      <w:r>
        <w:rPr>
          <w:rFonts w:hint="eastAsia" w:ascii="宋体" w:hAnsi="宋体" w:eastAsia="宋体" w:cs="宋体"/>
          <w:color w:val="auto"/>
          <w:sz w:val="24"/>
          <w:szCs w:val="24"/>
          <w:highlight w:val="none"/>
        </w:rPr>
        <w:t>，不向委托方、采购人、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小组成员行贿。</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以上声明若有违反，一经查实，本公司愿意接受政府有关部门的相应处罚，并愿意承担由此带来的法律后果。</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9"/>
        <w:keepNext w:val="0"/>
        <w:keepLines w:val="0"/>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pPr>
        <w:pStyle w:val="9"/>
        <w:keepNext w:val="0"/>
        <w:keepLines w:val="0"/>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40" w:lineRule="exact"/>
        <w:ind w:firstLine="480" w:firstLineChars="2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rPr>
        <w:t>名称、盖章)</w:t>
      </w:r>
    </w:p>
    <w:p>
      <w:pPr>
        <w:keepNext w:val="0"/>
        <w:keepLines w:val="0"/>
        <w:pageBreakBefore w:val="0"/>
        <w:kinsoku/>
        <w:wordWrap/>
        <w:overflowPunct/>
        <w:topLinePunct w:val="0"/>
        <w:bidi w:val="0"/>
        <w:spacing w:line="540" w:lineRule="exact"/>
        <w:ind w:firstLine="480" w:firstLineChars="200"/>
        <w:jc w:val="righ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或盖章</w:t>
      </w:r>
      <w:r>
        <w:rPr>
          <w:rFonts w:hint="eastAsia" w:ascii="宋体" w:hAnsi="宋体" w:eastAsia="宋体" w:cs="宋体"/>
          <w:color w:val="auto"/>
          <w:sz w:val="24"/>
          <w:szCs w:val="24"/>
          <w:highlight w:val="none"/>
          <w:u w:val="none"/>
        </w:rPr>
        <w:t>）</w:t>
      </w:r>
    </w:p>
    <w:p>
      <w:pPr>
        <w:keepNext w:val="0"/>
        <w:keepLines w:val="0"/>
        <w:pageBreakBefore w:val="0"/>
        <w:kinsoku/>
        <w:wordWrap/>
        <w:overflowPunct/>
        <w:topLinePunct w:val="0"/>
        <w:bidi w:val="0"/>
        <w:spacing w:line="540" w:lineRule="exact"/>
        <w:ind w:firstLine="480" w:firstLineChars="200"/>
        <w:jc w:val="righ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年    月    日</w:t>
      </w:r>
    </w:p>
    <w:p>
      <w:pPr>
        <w:keepNext w:val="0"/>
        <w:keepLines w:val="0"/>
        <w:pageBreakBefore w:val="0"/>
        <w:kinsoku/>
        <w:wordWrap/>
        <w:overflowPunct/>
        <w:topLinePunct w:val="0"/>
        <w:bidi w:val="0"/>
        <w:spacing w:line="540" w:lineRule="exact"/>
        <w:ind w:firstLine="420" w:firstLineChars="200"/>
        <w:jc w:val="right"/>
        <w:textAlignment w:val="auto"/>
        <w:outlineLvl w:val="9"/>
        <w:rPr>
          <w:rFonts w:hint="eastAsia" w:ascii="宋体" w:hAnsi="宋体" w:eastAsia="宋体" w:cs="宋体"/>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9"/>
        <w:rPr>
          <w:rFonts w:hint="eastAsia" w:ascii="宋体" w:hAnsi="宋体" w:eastAsia="宋体" w:cs="宋体"/>
          <w:b/>
          <w:color w:val="auto"/>
          <w:sz w:val="28"/>
          <w:szCs w:val="28"/>
          <w:highlight w:val="none"/>
          <w:lang w:val="en-US" w:eastAsia="zh-CN"/>
        </w:rPr>
      </w:pPr>
      <w:bookmarkStart w:id="82" w:name="_Toc25681"/>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9"/>
        <w:rPr>
          <w:rFonts w:hint="eastAsia" w:ascii="宋体" w:hAnsi="宋体" w:eastAsia="宋体" w:cs="宋体"/>
          <w:b/>
          <w:color w:val="auto"/>
          <w:sz w:val="28"/>
          <w:szCs w:val="28"/>
          <w:highlight w:val="none"/>
          <w:lang w:val="en-US" w:eastAsia="zh-CN"/>
        </w:rPr>
      </w:pPr>
    </w:p>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1"/>
        <w:rPr>
          <w:rFonts w:hint="eastAsia" w:ascii="宋体" w:hAnsi="宋体" w:eastAsia="宋体" w:cs="宋体"/>
          <w:b/>
          <w:color w:val="auto"/>
          <w:sz w:val="24"/>
          <w:szCs w:val="24"/>
          <w:highlight w:val="none"/>
          <w:lang w:val="en-US" w:eastAsia="zh-CN"/>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格式5、</w:t>
      </w:r>
      <w:r>
        <w:rPr>
          <w:rFonts w:hint="eastAsia" w:ascii="宋体" w:hAnsi="宋体" w:eastAsia="宋体" w:cs="宋体"/>
          <w:b/>
          <w:color w:val="auto"/>
          <w:sz w:val="24"/>
          <w:szCs w:val="24"/>
          <w:highlight w:val="none"/>
          <w:lang w:val="zh-CN"/>
        </w:rPr>
        <w:t>单位负责人为同一人或者存在直接控股、管理关系的不同供应商</w:t>
      </w:r>
      <w:r>
        <w:rPr>
          <w:rFonts w:hint="eastAsia" w:ascii="宋体" w:hAnsi="宋体" w:eastAsia="宋体" w:cs="宋体"/>
          <w:b/>
          <w:color w:val="auto"/>
          <w:sz w:val="24"/>
          <w:szCs w:val="24"/>
          <w:highlight w:val="none"/>
          <w:lang w:val="en-US" w:eastAsia="zh-CN"/>
        </w:rPr>
        <w:t>说明</w:t>
      </w:r>
      <w:bookmarkEnd w:id="82"/>
    </w:p>
    <w:p>
      <w:pPr>
        <w:keepNext w:val="0"/>
        <w:keepLines w:val="0"/>
        <w:pageBreakBefore w:val="0"/>
        <w:kinsoku/>
        <w:wordWrap/>
        <w:overflowPunct/>
        <w:topLinePunct w:val="0"/>
        <w:autoSpaceDE/>
        <w:autoSpaceDN/>
        <w:bidi w:val="0"/>
        <w:spacing w:after="0" w:line="36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1、供应商股东及股权证明。（提供国家企业信用信息公示系统http://www.gsxt.gov.cn/index.html网页截图并加盖供应商红章）</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2、供应商在本项目投标中，不存在与其它供应商负责人为同一人，有控股、管理等关联关系承诺：</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2.1管理关系说明：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2.2股权关系说明：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2.3、单位负责人：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（是或否）为采购项目提供整体设计、规范编制或者项目管理、监理、检测等服务的供应商。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4、其他与本项目有关的利害关系说明：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pPr>
        <w:pStyle w:val="19"/>
        <w:keepNext w:val="0"/>
        <w:keepLines w:val="0"/>
        <w:pageBreakBefore w:val="0"/>
        <w:kinsoku/>
        <w:wordWrap/>
        <w:overflowPunct/>
        <w:topLinePunct w:val="0"/>
        <w:autoSpaceDE/>
        <w:autoSpaceDN/>
        <w:bidi w:val="0"/>
        <w:spacing w:after="0" w:afterLines="0" w:line="360" w:lineRule="auto"/>
        <w:textAlignment w:val="auto"/>
        <w:outlineLvl w:val="9"/>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spacing w:after="0" w:afterLines="0" w:line="360" w:lineRule="auto"/>
        <w:textAlignment w:val="auto"/>
        <w:outlineLvl w:val="9"/>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spacing w:after="0" w:afterLines="0" w:line="360" w:lineRule="auto"/>
        <w:textAlignment w:val="auto"/>
        <w:outlineLvl w:val="9"/>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autoSpaceDE/>
        <w:autoSpaceDN/>
        <w:bidi w:val="0"/>
        <w:spacing w:after="0" w:afterLines="0" w:line="360" w:lineRule="auto"/>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napToGrid/>
        <w:spacing w:after="0" w:line="420" w:lineRule="auto"/>
        <w:ind w:firstLine="2640" w:firstLineChars="1100"/>
        <w:jc w:val="right"/>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000000"/>
          <w:sz w:val="24"/>
          <w:highlight w:val="none"/>
          <w:lang w:val="en-US" w:eastAsia="zh-CN"/>
        </w:rPr>
        <w:t>供应商名称</w:t>
      </w:r>
      <w:r>
        <w:rPr>
          <w:rFonts w:hint="eastAsia" w:ascii="宋体" w:hAnsi="宋体" w:eastAsia="宋体" w:cs="宋体"/>
          <w:color w:val="000000"/>
          <w:sz w:val="24"/>
          <w:highlight w:val="none"/>
        </w:rPr>
        <w:t>：</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szCs w:val="24"/>
          <w:highlight w:val="none"/>
        </w:rPr>
        <w:t>盖章</w:t>
      </w:r>
      <w:r>
        <w:rPr>
          <w:rFonts w:hint="eastAsia" w:ascii="宋体" w:hAnsi="宋体" w:eastAsia="宋体" w:cs="宋体"/>
          <w:color w:val="auto"/>
          <w:sz w:val="24"/>
          <w:highlight w:val="none"/>
          <w:lang w:val="zh-CN"/>
        </w:rPr>
        <w:t>)</w:t>
      </w:r>
    </w:p>
    <w:p>
      <w:pPr>
        <w:keepNext w:val="0"/>
        <w:keepLines w:val="0"/>
        <w:pageBreakBefore w:val="0"/>
        <w:widowControl w:val="0"/>
        <w:kinsoku/>
        <w:wordWrap/>
        <w:overflowPunct/>
        <w:topLinePunct w:val="0"/>
        <w:autoSpaceDE/>
        <w:autoSpaceDN/>
        <w:bidi w:val="0"/>
        <w:snapToGrid/>
        <w:spacing w:after="0" w:line="420" w:lineRule="auto"/>
        <w:ind w:firstLine="2640" w:firstLineChars="1100"/>
        <w:jc w:val="right"/>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（签字</w:t>
      </w:r>
      <w:r>
        <w:rPr>
          <w:rFonts w:hint="eastAsia" w:ascii="宋体" w:hAnsi="宋体" w:eastAsia="宋体" w:cs="宋体"/>
          <w:color w:val="auto"/>
          <w:sz w:val="24"/>
          <w:highlight w:val="none"/>
          <w:lang w:val="zh-CN" w:eastAsia="zh-CN"/>
        </w:rPr>
        <w:t>或盖章</w:t>
      </w:r>
      <w:r>
        <w:rPr>
          <w:rFonts w:hint="eastAsia" w:ascii="宋体" w:hAnsi="宋体" w:eastAsia="宋体" w:cs="宋体"/>
          <w:color w:val="auto"/>
          <w:sz w:val="24"/>
          <w:highlight w:val="none"/>
          <w:lang w:val="zh-CN"/>
        </w:rPr>
        <w:t>）</w:t>
      </w:r>
    </w:p>
    <w:p>
      <w:pPr>
        <w:keepNext w:val="0"/>
        <w:keepLines w:val="0"/>
        <w:pageBreakBefore w:val="0"/>
        <w:kinsoku/>
        <w:wordWrap/>
        <w:overflowPunct/>
        <w:topLinePunct w:val="0"/>
        <w:autoSpaceDE/>
        <w:autoSpaceDN/>
        <w:bidi w:val="0"/>
        <w:adjustRightInd w:val="0"/>
        <w:spacing w:after="0" w:line="360" w:lineRule="auto"/>
        <w:ind w:firstLine="120" w:firstLineChars="50"/>
        <w:jc w:val="righ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p>
      <w:pPr>
        <w:pStyle w:val="8"/>
        <w:keepNext w:val="0"/>
        <w:keepLines w:val="0"/>
        <w:pageBreakBefore w:val="0"/>
        <w:kinsoku/>
        <w:wordWrap/>
        <w:overflowPunct/>
        <w:topLinePunct w:val="0"/>
        <w:bidi w:val="0"/>
        <w:textAlignment w:val="auto"/>
        <w:outlineLvl w:val="9"/>
        <w:rPr>
          <w:rFonts w:hint="eastAsia" w:ascii="宋体" w:hAnsi="宋体" w:eastAsia="宋体" w:cs="宋体"/>
          <w:highlight w:val="none"/>
          <w:lang w:val="zh-CN"/>
        </w:rPr>
      </w:pP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0"/>
        <w:rPr>
          <w:rFonts w:hint="eastAsia" w:ascii="宋体" w:hAnsi="宋体" w:eastAsia="宋体" w:cs="宋体"/>
          <w:b/>
          <w:bCs/>
          <w:kern w:val="2"/>
          <w:sz w:val="32"/>
          <w:szCs w:val="32"/>
          <w:highlight w:val="none"/>
          <w:lang w:val="en-US" w:eastAsia="zh-CN" w:bidi="ar-SA"/>
        </w:rPr>
      </w:pPr>
      <w:bookmarkStart w:id="83" w:name="_Toc20840"/>
      <w:bookmarkStart w:id="84" w:name="_Toc18003"/>
      <w:bookmarkStart w:id="85" w:name="_Toc22501"/>
      <w:bookmarkStart w:id="86" w:name="_Toc10607"/>
      <w:bookmarkStart w:id="87" w:name="_Toc25382"/>
      <w:r>
        <w:rPr>
          <w:rFonts w:hint="eastAsia" w:ascii="宋体" w:hAnsi="宋体" w:eastAsia="宋体" w:cs="宋体"/>
          <w:b/>
          <w:bCs/>
          <w:kern w:val="2"/>
          <w:sz w:val="32"/>
          <w:szCs w:val="32"/>
          <w:highlight w:val="none"/>
          <w:lang w:val="en-US" w:eastAsia="zh-CN" w:bidi="ar-SA"/>
        </w:rPr>
        <w:t>五、类似业绩一览表</w:t>
      </w:r>
      <w:bookmarkEnd w:id="83"/>
      <w:bookmarkEnd w:id="84"/>
      <w:bookmarkEnd w:id="85"/>
      <w:bookmarkEnd w:id="86"/>
    </w:p>
    <w:p>
      <w:pPr>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color w:val="auto"/>
          <w:sz w:val="24"/>
          <w:highlight w:val="none"/>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65"/>
        <w:gridCol w:w="1739"/>
        <w:gridCol w:w="1402"/>
        <w:gridCol w:w="156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72"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年份</w:t>
            </w:r>
          </w:p>
        </w:tc>
        <w:tc>
          <w:tcPr>
            <w:tcW w:w="1035"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业主名称</w:t>
            </w:r>
          </w:p>
        </w:tc>
        <w:tc>
          <w:tcPr>
            <w:tcW w:w="1020"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822"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合同金额</w:t>
            </w:r>
          </w:p>
        </w:tc>
        <w:tc>
          <w:tcPr>
            <w:tcW w:w="917"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完成时间</w:t>
            </w:r>
          </w:p>
        </w:tc>
        <w:tc>
          <w:tcPr>
            <w:tcW w:w="630" w:type="pct"/>
            <w:tcBorders>
              <w:tl2br w:val="nil"/>
              <w:tr2bl w:val="nil"/>
            </w:tcBorders>
            <w:noWrap w:val="0"/>
            <w:vAlign w:val="center"/>
          </w:tcPr>
          <w:p>
            <w:pPr>
              <w:pStyle w:val="8"/>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35"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102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822"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917"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c>
          <w:tcPr>
            <w:tcW w:w="630" w:type="pct"/>
            <w:tcBorders>
              <w:tl2br w:val="nil"/>
              <w:tr2bl w:val="nil"/>
            </w:tcBorders>
            <w:noWrap w:val="0"/>
            <w:vAlign w:val="top"/>
          </w:tcPr>
          <w:p>
            <w:pPr>
              <w:pStyle w:val="8"/>
              <w:spacing w:line="360" w:lineRule="auto"/>
              <w:ind w:firstLine="480"/>
              <w:rPr>
                <w:rFonts w:hint="eastAsia" w:ascii="宋体" w:hAnsi="宋体" w:eastAsia="宋体" w:cs="宋体"/>
                <w:sz w:val="24"/>
                <w:highlight w:val="none"/>
              </w:rPr>
            </w:pPr>
          </w:p>
        </w:tc>
      </w:tr>
    </w:tbl>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说明</w:t>
      </w:r>
      <w:r>
        <w:rPr>
          <w:rFonts w:hint="eastAsia" w:ascii="宋体" w:hAnsi="宋体" w:eastAsia="宋体" w:cs="宋体"/>
          <w:b/>
          <w:bCs/>
          <w:sz w:val="21"/>
          <w:szCs w:val="21"/>
          <w:highlight w:val="none"/>
        </w:rPr>
        <w:t>：①</w:t>
      </w:r>
      <w:r>
        <w:rPr>
          <w:rFonts w:hint="eastAsia" w:ascii="宋体" w:hAnsi="宋体" w:eastAsia="宋体" w:cs="宋体"/>
          <w:b/>
          <w:bCs/>
          <w:sz w:val="21"/>
          <w:szCs w:val="21"/>
          <w:highlight w:val="none"/>
          <w:lang w:val="en-US" w:eastAsia="zh-CN"/>
        </w:rPr>
        <w:t>业绩为自2020年1月1日以来类似业绩，</w:t>
      </w:r>
      <w:r>
        <w:rPr>
          <w:rFonts w:hint="eastAsia" w:ascii="宋体" w:hAnsi="宋体" w:eastAsia="宋体" w:cs="宋体"/>
          <w:b/>
          <w:bCs/>
          <w:sz w:val="21"/>
          <w:szCs w:val="21"/>
          <w:highlight w:val="none"/>
        </w:rPr>
        <w:t>以合同签订时间为准，后附合同复印件并加盖公章。</w:t>
      </w:r>
    </w:p>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应如实列出以上情况，如有隐瞒，一经查实将导致其</w:t>
      </w:r>
      <w:r>
        <w:rPr>
          <w:rFonts w:hint="eastAsia" w:ascii="宋体" w:hAnsi="宋体" w:eastAsia="宋体" w:cs="宋体"/>
          <w:b/>
          <w:bCs/>
          <w:sz w:val="21"/>
          <w:szCs w:val="21"/>
          <w:highlight w:val="none"/>
          <w:lang w:eastAsia="zh-CN"/>
        </w:rPr>
        <w:t>磋商响应文件</w:t>
      </w:r>
      <w:r>
        <w:rPr>
          <w:rFonts w:hint="eastAsia" w:ascii="宋体" w:hAnsi="宋体" w:eastAsia="宋体" w:cs="宋体"/>
          <w:b/>
          <w:bCs/>
          <w:sz w:val="21"/>
          <w:szCs w:val="21"/>
          <w:highlight w:val="none"/>
        </w:rPr>
        <w:t>被拒绝。</w:t>
      </w:r>
    </w:p>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③未按上述要求提供、填写的，</w:t>
      </w: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时不予以考虑。</w:t>
      </w:r>
    </w:p>
    <w:p>
      <w:pPr>
        <w:pStyle w:val="19"/>
        <w:rPr>
          <w:rFonts w:hint="eastAsia" w:ascii="宋体" w:hAnsi="宋体" w:eastAsia="宋体" w:cs="宋体"/>
          <w:b/>
          <w:bCs/>
          <w:sz w:val="21"/>
          <w:szCs w:val="21"/>
          <w:highlight w:val="none"/>
        </w:rPr>
      </w:pPr>
    </w:p>
    <w:p>
      <w:pPr>
        <w:pStyle w:val="19"/>
        <w:rPr>
          <w:rFonts w:hint="eastAsia" w:ascii="宋体" w:hAnsi="宋体" w:eastAsia="宋体" w:cs="宋体"/>
          <w:b/>
          <w:bCs/>
          <w:sz w:val="21"/>
          <w:szCs w:val="21"/>
          <w:highlight w:val="none"/>
        </w:rPr>
      </w:pPr>
    </w:p>
    <w:p>
      <w:pPr>
        <w:pStyle w:val="19"/>
        <w:rPr>
          <w:rFonts w:hint="eastAsia" w:ascii="宋体" w:hAnsi="宋体" w:eastAsia="宋体" w:cs="宋体"/>
          <w:b/>
          <w:bCs/>
          <w:sz w:val="21"/>
          <w:szCs w:val="21"/>
          <w:highlight w:val="none"/>
          <w:lang w:eastAsia="zh-CN"/>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ind w:firstLine="480"/>
        <w:jc w:val="right"/>
        <w:rPr>
          <w:rFonts w:hint="eastAsia" w:ascii="宋体" w:hAnsi="宋体" w:eastAsia="宋体" w:cs="宋体"/>
          <w:color w:val="auto"/>
          <w:sz w:val="24"/>
          <w:szCs w:val="24"/>
          <w:highlight w:val="none"/>
        </w:rPr>
      </w:pPr>
    </w:p>
    <w:p>
      <w:pPr>
        <w:adjustRightInd w:val="0"/>
        <w:spacing w:line="360" w:lineRule="auto"/>
        <w:ind w:firstLine="480" w:firstLineChars="200"/>
        <w:jc w:val="right"/>
        <w:rPr>
          <w:rFonts w:hint="eastAsia" w:ascii="宋体" w:hAnsi="宋体" w:eastAsia="宋体" w:cs="宋体"/>
          <w:b/>
          <w:bCs/>
          <w:sz w:val="21"/>
          <w:szCs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9"/>
        <w:rPr>
          <w:rFonts w:hint="eastAsia" w:ascii="宋体" w:hAnsi="宋体" w:eastAsia="宋体" w:cs="宋体"/>
          <w:b/>
          <w:bCs/>
          <w:sz w:val="21"/>
          <w:szCs w:val="21"/>
          <w:highlight w:val="none"/>
        </w:rPr>
      </w:pPr>
    </w:p>
    <w:p>
      <w:pPr>
        <w:pStyle w:val="19"/>
        <w:rPr>
          <w:rFonts w:hint="eastAsia" w:ascii="宋体" w:hAnsi="宋体" w:eastAsia="宋体" w:cs="宋体"/>
          <w:b/>
          <w:bCs/>
          <w:sz w:val="21"/>
          <w:szCs w:val="21"/>
          <w:highlight w:val="none"/>
        </w:rPr>
      </w:pPr>
    </w:p>
    <w:p>
      <w:pPr>
        <w:ind w:firstLine="6184" w:firstLineChars="2200"/>
        <w:rPr>
          <w:rFonts w:hint="eastAsia" w:ascii="宋体" w:hAnsi="宋体" w:eastAsia="宋体" w:cs="宋体"/>
          <w:highlight w:val="none"/>
          <w:lang w:val="en-US" w:eastAsia="zh-CN"/>
        </w:rPr>
      </w:pPr>
      <w:r>
        <w:rPr>
          <w:rFonts w:hint="eastAsia" w:ascii="宋体" w:hAnsi="宋体" w:eastAsia="宋体" w:cs="宋体"/>
          <w:b/>
          <w:bCs/>
          <w:kern w:val="2"/>
          <w:sz w:val="28"/>
          <w:szCs w:val="28"/>
          <w:highlight w:val="none"/>
          <w:lang w:val="en-US" w:eastAsia="zh-CN" w:bidi="ar-SA"/>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0"/>
        <w:rPr>
          <w:rFonts w:hint="eastAsia" w:ascii="宋体" w:hAnsi="宋体" w:eastAsia="宋体" w:cs="宋体"/>
          <w:b/>
          <w:bCs/>
          <w:kern w:val="2"/>
          <w:sz w:val="32"/>
          <w:szCs w:val="32"/>
          <w:highlight w:val="none"/>
          <w:lang w:val="en-US" w:eastAsia="zh-CN" w:bidi="ar-SA"/>
        </w:rPr>
      </w:pPr>
      <w:bookmarkStart w:id="88" w:name="_Toc913"/>
      <w:bookmarkStart w:id="89" w:name="_Toc16497"/>
      <w:bookmarkStart w:id="90" w:name="_Toc12143"/>
      <w:bookmarkStart w:id="91" w:name="_Toc31480"/>
      <w:r>
        <w:rPr>
          <w:rFonts w:hint="eastAsia" w:ascii="宋体" w:hAnsi="宋体" w:eastAsia="宋体" w:cs="宋体"/>
          <w:b/>
          <w:bCs/>
          <w:kern w:val="2"/>
          <w:sz w:val="32"/>
          <w:szCs w:val="32"/>
          <w:highlight w:val="none"/>
          <w:lang w:val="en-US" w:eastAsia="zh-CN" w:bidi="ar-SA"/>
        </w:rPr>
        <w:t>六、磋商响应方案</w:t>
      </w:r>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Cs/>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根据磋商文件要求和采购需求及评</w:t>
      </w:r>
      <w:r>
        <w:rPr>
          <w:rFonts w:hint="eastAsia" w:ascii="宋体" w:hAnsi="宋体" w:eastAsia="宋体" w:cs="宋体"/>
          <w:bCs/>
          <w:sz w:val="24"/>
          <w:szCs w:val="24"/>
          <w:highlight w:val="none"/>
          <w:lang w:val="en-US" w:eastAsia="zh-CN"/>
        </w:rPr>
        <w:t>审</w:t>
      </w:r>
      <w:r>
        <w:rPr>
          <w:rFonts w:hint="eastAsia" w:ascii="宋体" w:hAnsi="宋体" w:eastAsia="宋体" w:cs="宋体"/>
          <w:bCs/>
          <w:sz w:val="24"/>
          <w:szCs w:val="24"/>
          <w:highlight w:val="none"/>
        </w:rPr>
        <w:t>办法，编制</w:t>
      </w:r>
      <w:r>
        <w:rPr>
          <w:rFonts w:hint="eastAsia" w:ascii="宋体" w:hAnsi="宋体" w:eastAsia="宋体" w:cs="宋体"/>
          <w:bCs/>
          <w:sz w:val="24"/>
          <w:szCs w:val="24"/>
          <w:highlight w:val="none"/>
          <w:lang w:eastAsia="zh-CN"/>
        </w:rPr>
        <w:t>磋商响应方案</w:t>
      </w:r>
      <w:r>
        <w:rPr>
          <w:rFonts w:hint="eastAsia" w:ascii="宋体" w:hAnsi="宋体" w:eastAsia="宋体" w:cs="宋体"/>
          <w:bCs/>
          <w:sz w:val="24"/>
          <w:szCs w:val="24"/>
          <w:highlight w:val="none"/>
        </w:rPr>
        <w:t>，包含但不限于下列内容。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服务方案</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t>配件保障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4、应急预案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highlight w:val="none"/>
          <w:lang w:val="en-US" w:eastAsia="zh-CN"/>
        </w:rPr>
      </w:pPr>
      <w:r>
        <w:rPr>
          <w:rFonts w:hint="eastAsia" w:ascii="宋体" w:hAnsi="宋体" w:eastAsia="宋体" w:cs="宋体"/>
          <w:color w:val="auto"/>
          <w:sz w:val="24"/>
          <w:szCs w:val="24"/>
          <w:highlight w:val="none"/>
          <w:lang w:val="en-US" w:eastAsia="zh-CN"/>
        </w:rPr>
        <w:t>5、服务承诺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19"/>
        <w:spacing w:after="0" w:line="360" w:lineRule="auto"/>
        <w:ind w:firstLine="240"/>
        <w:rPr>
          <w:rFonts w:hint="eastAsia" w:ascii="宋体" w:hAnsi="宋体" w:eastAsia="宋体" w:cs="宋体"/>
          <w:bCs/>
          <w:sz w:val="24"/>
          <w:szCs w:val="24"/>
          <w:highlight w:val="none"/>
        </w:rPr>
      </w:pPr>
    </w:p>
    <w:p>
      <w:pPr>
        <w:pStyle w:val="19"/>
        <w:spacing w:after="0" w:line="360" w:lineRule="auto"/>
        <w:ind w:firstLine="240"/>
        <w:rPr>
          <w:rFonts w:hint="eastAsia" w:ascii="宋体" w:hAnsi="宋体" w:eastAsia="宋体" w:cs="宋体"/>
          <w:bCs/>
          <w:sz w:val="24"/>
          <w:szCs w:val="24"/>
          <w:highlight w:val="none"/>
        </w:rPr>
      </w:pPr>
    </w:p>
    <w:p>
      <w:pPr>
        <w:pStyle w:val="19"/>
        <w:spacing w:after="0" w:line="360" w:lineRule="auto"/>
        <w:ind w:firstLine="240"/>
        <w:rPr>
          <w:rFonts w:hint="eastAsia" w:ascii="宋体" w:hAnsi="宋体" w:eastAsia="宋体" w:cs="宋体"/>
          <w:bCs/>
          <w:sz w:val="24"/>
          <w:szCs w:val="24"/>
          <w:highlight w:val="none"/>
        </w:rPr>
      </w:pPr>
    </w:p>
    <w:p>
      <w:pPr>
        <w:rPr>
          <w:rFonts w:hint="eastAsia" w:ascii="宋体" w:hAnsi="宋体" w:eastAsia="宋体" w:cs="宋体"/>
          <w:b/>
          <w:bCs/>
          <w:color w:val="auto"/>
          <w:kern w:val="2"/>
          <w:sz w:val="28"/>
          <w:szCs w:val="28"/>
          <w:highlight w:val="none"/>
          <w:lang w:val="en-US" w:eastAsia="zh-CN" w:bidi="ar-SA"/>
        </w:rPr>
      </w:pPr>
      <w:bookmarkStart w:id="92" w:name="_Toc4721_WPSOffice_Level1"/>
      <w:bookmarkStart w:id="93" w:name="_Toc3132_WPSOffice_Level1"/>
      <w:r>
        <w:rPr>
          <w:rFonts w:hint="eastAsia" w:ascii="宋体" w:hAnsi="宋体" w:eastAsia="宋体" w:cs="宋体"/>
          <w:b/>
          <w:bCs/>
          <w:color w:val="auto"/>
          <w:kern w:val="2"/>
          <w:sz w:val="28"/>
          <w:szCs w:val="28"/>
          <w:highlight w:val="none"/>
          <w:lang w:val="en-US" w:eastAsia="zh-CN" w:bidi="ar-SA"/>
        </w:rPr>
        <w:br w:type="page"/>
      </w:r>
    </w:p>
    <w:bookmarkEnd w:id="92"/>
    <w:bookmarkEnd w:id="93"/>
    <w:p>
      <w:pPr>
        <w:jc w:val="center"/>
        <w:outlineLvl w:val="0"/>
        <w:rPr>
          <w:rFonts w:hint="eastAsia" w:ascii="宋体" w:hAnsi="宋体" w:eastAsia="宋体" w:cs="宋体"/>
          <w:b/>
          <w:bCs/>
          <w:kern w:val="2"/>
          <w:sz w:val="32"/>
          <w:szCs w:val="32"/>
          <w:highlight w:val="none"/>
          <w:lang w:val="en-US" w:eastAsia="zh-CN" w:bidi="ar-SA"/>
        </w:rPr>
      </w:pPr>
      <w:bookmarkStart w:id="94" w:name="_Toc26549"/>
      <w:bookmarkStart w:id="95" w:name="_Toc27088"/>
      <w:bookmarkStart w:id="96" w:name="_Toc31769"/>
      <w:bookmarkStart w:id="97" w:name="_Toc16763"/>
      <w:r>
        <w:rPr>
          <w:rFonts w:hint="eastAsia" w:ascii="宋体" w:hAnsi="宋体" w:eastAsia="宋体" w:cs="宋体"/>
          <w:b/>
          <w:bCs/>
          <w:kern w:val="2"/>
          <w:sz w:val="32"/>
          <w:szCs w:val="32"/>
          <w:highlight w:val="none"/>
          <w:lang w:val="en-US" w:eastAsia="zh-CN" w:bidi="ar-SA"/>
        </w:rPr>
        <w:t>七、供应商认为有必要补充说明的其他事项</w:t>
      </w:r>
      <w:bookmarkEnd w:id="94"/>
      <w:bookmarkEnd w:id="95"/>
      <w:bookmarkEnd w:id="96"/>
    </w:p>
    <w:p>
      <w:pPr>
        <w:jc w:val="center"/>
        <w:rPr>
          <w:rFonts w:hint="eastAsia" w:ascii="宋体" w:hAnsi="宋体" w:eastAsia="宋体" w:cs="宋体"/>
          <w:b/>
          <w:bCs/>
          <w:kern w:val="2"/>
          <w:sz w:val="24"/>
          <w:szCs w:val="24"/>
          <w:highlight w:val="none"/>
          <w:lang w:val="en-US" w:eastAsia="zh-CN" w:bidi="ar-SA"/>
        </w:rPr>
      </w:pPr>
    </w:p>
    <w:p>
      <w:pPr>
        <w:pStyle w:val="2"/>
        <w:rPr>
          <w:rFonts w:hint="eastAsia" w:ascii="宋体" w:hAnsi="宋体" w:eastAsia="宋体" w:cs="宋体"/>
          <w:color w:val="000000"/>
          <w:highlight w:val="none"/>
          <w:lang w:val="en-US" w:eastAsia="zh-CN"/>
        </w:rPr>
      </w:pPr>
    </w:p>
    <w:p>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（一）磋商保证金</w:t>
      </w:r>
    </w:p>
    <w:p>
      <w:pPr>
        <w:spacing w:line="70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附：磋商保证金交纳凭证或保函及基本户开户许可证的复印件</w:t>
      </w:r>
      <w:r>
        <w:rPr>
          <w:rFonts w:hint="eastAsia" w:ascii="宋体" w:hAnsi="宋体" w:eastAsia="宋体" w:cs="宋体"/>
          <w:b/>
          <w:bCs/>
          <w:color w:val="auto"/>
          <w:sz w:val="24"/>
          <w:highlight w:val="none"/>
          <w:lang w:eastAsia="zh-CN"/>
        </w:rPr>
        <w:t>）</w:t>
      </w:r>
    </w:p>
    <w:p>
      <w:pPr>
        <w:spacing w:line="700" w:lineRule="exact"/>
        <w:jc w:val="both"/>
        <w:rPr>
          <w:rFonts w:hint="eastAsia" w:ascii="宋体" w:hAnsi="宋体" w:eastAsia="宋体" w:cs="宋体"/>
          <w:b/>
          <w:bCs/>
          <w:color w:val="auto"/>
          <w:sz w:val="24"/>
          <w:highlight w:val="none"/>
        </w:rPr>
      </w:pPr>
    </w:p>
    <w:p>
      <w:pPr>
        <w:numPr>
          <w:ilvl w:val="0"/>
          <w:numId w:val="0"/>
        </w:numPr>
        <w:spacing w:line="700" w:lineRule="exact"/>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（二）在不违背磋商文件要求的前提下提供认为有必须补充说明事项</w:t>
      </w:r>
    </w:p>
    <w:p>
      <w:pPr>
        <w:numPr>
          <w:ilvl w:val="0"/>
          <w:numId w:val="0"/>
        </w:numPr>
        <w:spacing w:line="7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（格式自拟）</w:t>
      </w:r>
    </w:p>
    <w:p>
      <w:pPr>
        <w:rPr>
          <w:rFonts w:hint="eastAsia" w:ascii="宋体" w:hAnsi="宋体" w:eastAsia="宋体" w:cs="宋体"/>
          <w:b/>
          <w:bCs/>
          <w:kern w:val="2"/>
          <w:sz w:val="30"/>
          <w:szCs w:val="30"/>
          <w:highlight w:val="none"/>
          <w:lang w:val="en-US" w:eastAsia="zh-CN" w:bidi="ar-SA"/>
        </w:rPr>
      </w:pPr>
    </w:p>
    <w:p>
      <w:pPr>
        <w:rPr>
          <w:rFonts w:hint="eastAsia" w:ascii="宋体" w:hAnsi="宋体" w:eastAsia="宋体" w:cs="宋体"/>
          <w:b/>
          <w:bCs/>
          <w:kern w:val="2"/>
          <w:sz w:val="30"/>
          <w:szCs w:val="30"/>
          <w:highlight w:val="none"/>
          <w:lang w:val="en-US" w:eastAsia="zh-CN" w:bidi="ar-SA"/>
        </w:rPr>
      </w:pPr>
    </w:p>
    <w:p>
      <w:pPr>
        <w:rPr>
          <w:rFonts w:hint="eastAsia" w:ascii="宋体" w:hAnsi="宋体" w:eastAsia="宋体" w:cs="宋体"/>
          <w:b/>
          <w:bCs/>
          <w:kern w:val="2"/>
          <w:sz w:val="30"/>
          <w:szCs w:val="30"/>
          <w:highlight w:val="none"/>
          <w:lang w:val="en-US" w:eastAsia="zh-CN" w:bidi="ar-SA"/>
        </w:rPr>
      </w:pPr>
    </w:p>
    <w:p>
      <w:pPr>
        <w:rPr>
          <w:rFonts w:hint="eastAsia" w:ascii="宋体" w:hAnsi="宋体" w:eastAsia="宋体" w:cs="宋体"/>
          <w:b/>
          <w:bCs/>
          <w:kern w:val="2"/>
          <w:sz w:val="30"/>
          <w:szCs w:val="30"/>
          <w:highlight w:val="none"/>
          <w:lang w:val="en-US" w:eastAsia="zh-CN" w:bidi="ar-SA"/>
        </w:rPr>
      </w:pPr>
      <w:r>
        <w:rPr>
          <w:rFonts w:hint="eastAsia" w:ascii="宋体" w:hAnsi="宋体" w:eastAsia="宋体" w:cs="宋体"/>
          <w:b/>
          <w:bCs/>
          <w:kern w:val="2"/>
          <w:sz w:val="30"/>
          <w:szCs w:val="30"/>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bookmarkStart w:id="98" w:name="_Toc19234"/>
      <w:bookmarkStart w:id="99" w:name="_Toc7036"/>
      <w:bookmarkStart w:id="100" w:name="_Toc13005"/>
      <w:bookmarkStart w:id="101" w:name="_Toc23326"/>
      <w:r>
        <w:rPr>
          <w:rFonts w:hint="eastAsia" w:ascii="宋体" w:hAnsi="宋体" w:eastAsia="宋体" w:cs="宋体"/>
          <w:b/>
          <w:bCs/>
          <w:kern w:val="2"/>
          <w:sz w:val="32"/>
          <w:szCs w:val="32"/>
          <w:highlight w:val="none"/>
          <w:lang w:val="en-US" w:eastAsia="zh-CN" w:bidi="ar-SA"/>
        </w:rPr>
        <w:t>八、供应商承诺书</w:t>
      </w:r>
      <w:bookmarkEnd w:id="97"/>
      <w:bookmarkEnd w:id="98"/>
      <w:bookmarkEnd w:id="99"/>
      <w:bookmarkEnd w:id="100"/>
      <w:bookmarkEnd w:id="101"/>
    </w:p>
    <w:p>
      <w:pPr>
        <w:rPr>
          <w:rFonts w:hint="eastAsia" w:ascii="宋体" w:hAnsi="宋体" w:eastAsia="宋体" w:cs="宋体"/>
          <w:highlight w:val="none"/>
          <w:lang w:eastAsia="zh-CN"/>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（一）陕西省政府采购</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拒绝政府采购领域商业贿赂承诺书</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为响应党中央、国务院关于治理政府采购领域商业贿赂行为的号召，我单位在此庄严承诺：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1、在参与政府采购活动中遵纪守法、诚信经营、公平竞标。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2、不向采购人、代理机构和政府采购评审专家进行任何形式的商业贿赂以谋取交易机会。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3、不向政府采购代理机构和采购人提供虚假资质文件或采用虚假应标方式参与政府采购市场竞争并谋取</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 xml:space="preserve">成交。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4、不采取“围标、陪标”等商业欺诈手段获得政府采购定单。</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5、不采取不正当手段诋毁、排挤其他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6、不在提供商品和服务时“偷梁换柱、以次充好”损害采购人的合法权益。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7、不与采购人、投标代理机构政府采购评审专家或其它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恶意串通，进行质疑和投诉，维护政府采购市场秩序。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8、尊重和接受政府采购监督管理部门的监督和政府投标代理机构投标要求，承担因违约行为给采购人造成的损失。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9、不发生其他有悖于政府采购公开、公平、公正和诚信原则的行为。</w:t>
      </w:r>
    </w:p>
    <w:p>
      <w:pPr>
        <w:spacing w:line="360" w:lineRule="auto"/>
        <w:ind w:left="420" w:leftChars="2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    期：      年    月    日</w:t>
      </w:r>
    </w:p>
    <w:p>
      <w:pPr>
        <w:pStyle w:val="8"/>
        <w:spacing w:line="360" w:lineRule="auto"/>
        <w:ind w:firstLine="480"/>
        <w:rPr>
          <w:rFonts w:hint="eastAsia" w:ascii="宋体" w:hAnsi="宋体" w:eastAsia="宋体" w:cs="宋体"/>
          <w:sz w:val="24"/>
          <w:highlight w:val="none"/>
        </w:rPr>
      </w:pPr>
    </w:p>
    <w:p>
      <w:pPr>
        <w:pStyle w:val="8"/>
        <w:spacing w:line="360" w:lineRule="auto"/>
        <w:ind w:firstLine="480"/>
        <w:rPr>
          <w:rFonts w:hint="eastAsia" w:ascii="宋体" w:hAnsi="宋体" w:eastAsia="宋体" w:cs="宋体"/>
          <w:sz w:val="24"/>
          <w:highlight w:val="none"/>
        </w:rPr>
      </w:pPr>
    </w:p>
    <w:p>
      <w:pPr>
        <w:rPr>
          <w:rFonts w:hint="eastAsia" w:ascii="宋体" w:hAnsi="宋体" w:eastAsia="宋体" w:cs="宋体"/>
          <w:highlight w:val="none"/>
        </w:rPr>
      </w:pPr>
    </w:p>
    <w:p>
      <w:pPr>
        <w:pStyle w:val="8"/>
        <w:spacing w:line="360" w:lineRule="auto"/>
        <w:ind w:firstLine="480"/>
        <w:rPr>
          <w:rFonts w:hint="eastAsia" w:ascii="宋体" w:hAnsi="宋体" w:eastAsia="宋体" w:cs="宋体"/>
          <w:sz w:val="24"/>
          <w:highlight w:val="none"/>
        </w:rPr>
      </w:pPr>
    </w:p>
    <w:p>
      <w:pPr>
        <w:pStyle w:val="8"/>
        <w:spacing w:line="360" w:lineRule="auto"/>
        <w:ind w:firstLine="480"/>
        <w:rPr>
          <w:rFonts w:hint="eastAsia" w:ascii="宋体" w:hAnsi="宋体" w:eastAsia="宋体" w:cs="宋体"/>
          <w:sz w:val="24"/>
          <w:highlight w:val="none"/>
        </w:rPr>
      </w:pPr>
    </w:p>
    <w:p>
      <w:pPr>
        <w:ind w:left="0" w:leftChars="0" w:right="0" w:righ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（二）承诺书</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（三）承诺书</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，本公司郑重申告并承诺：近三年受到有关行政主管部门的行政处理、不良行为记录为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（四）承诺书</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，本公司郑重申告：近三年因服务质量的不法行为记录为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pPr>
        <w:spacing w:line="360" w:lineRule="auto"/>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（五）承诺书</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pPr>
        <w:spacing w:line="360" w:lineRule="auto"/>
        <w:ind w:firstLine="480"/>
        <w:rPr>
          <w:rFonts w:hint="eastAsia" w:ascii="宋体" w:hAnsi="宋体" w:eastAsia="宋体" w:cs="宋体"/>
          <w:sz w:val="24"/>
          <w:szCs w:val="24"/>
          <w:highlight w:val="none"/>
        </w:rPr>
      </w:pPr>
    </w:p>
    <w:p>
      <w:pPr>
        <w:rPr>
          <w:rFonts w:hint="eastAsia" w:ascii="宋体" w:hAnsi="宋体" w:eastAsia="宋体" w:cs="宋体"/>
          <w:highlight w:val="none"/>
          <w:lang w:val="en-US" w:eastAsia="zh-CN"/>
        </w:rPr>
      </w:pPr>
    </w:p>
    <w:p>
      <w:pPr>
        <w:rPr>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1"/>
        <w:shd w:val="clear" w:color="auto" w:fill="auto"/>
        <w:spacing w:line="400" w:lineRule="exact"/>
        <w:jc w:val="both"/>
        <w:outlineLvl w:val="0"/>
        <w:rPr>
          <w:rFonts w:hint="eastAsia" w:ascii="宋体" w:hAnsi="宋体" w:eastAsia="宋体" w:cs="宋体"/>
          <w:color w:val="auto"/>
          <w:sz w:val="24"/>
          <w:szCs w:val="24"/>
          <w:highlight w:val="none"/>
          <w:lang w:val="en-US"/>
        </w:rPr>
      </w:pPr>
      <w:r>
        <w:rPr>
          <w:rFonts w:hint="eastAsia" w:ascii="宋体" w:hAnsi="宋体" w:cs="宋体" w:eastAsiaTheme="minorEastAsia"/>
          <w:b/>
          <w:kern w:val="2"/>
          <w:sz w:val="28"/>
          <w:szCs w:val="28"/>
          <w:highlight w:val="none"/>
          <w:lang w:val="en-US" w:eastAsia="zh-CN" w:bidi="ar-SA"/>
        </w:rPr>
        <w:t>附件1、中小企业声明函</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szCs w:val="22"/>
          <w:highlight w:val="none"/>
        </w:rPr>
        <w:t>中小企业声明函 (工程、服务)</w:t>
      </w:r>
    </w:p>
    <w:p>
      <w:pPr>
        <w:keepNext w:val="0"/>
        <w:keepLines w:val="0"/>
        <w:pageBreakBefore w:val="0"/>
        <w:widowControl w:val="0"/>
        <w:tabs>
          <w:tab w:val="left" w:pos="193"/>
        </w:tabs>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本公司 (联合体) 郑重声明，根据《政府采购促进中小 企业发展管理办法》(财库 ﹝ 2020 ﹞ 46 号) 的规定，本公司(联合体) 参加</w:t>
      </w:r>
      <w:r>
        <w:rPr>
          <w:rFonts w:hint="eastAsia" w:ascii="宋体" w:hAnsi="宋体" w:eastAsia="宋体" w:cs="宋体"/>
          <w:i w:val="0"/>
          <w:iCs w:val="0"/>
          <w:color w:val="auto"/>
          <w:spacing w:val="0"/>
          <w:position w:val="0"/>
          <w:sz w:val="24"/>
          <w:szCs w:val="24"/>
          <w:highlight w:val="none"/>
          <w:u w:val="single" w:color="auto"/>
        </w:rPr>
        <w:t xml:space="preserve"> (单位名称) </w:t>
      </w:r>
      <w:r>
        <w:rPr>
          <w:rFonts w:hint="eastAsia" w:ascii="宋体" w:hAnsi="宋体" w:eastAsia="宋体" w:cs="宋体"/>
          <w:i w:val="0"/>
          <w:iCs w:val="0"/>
          <w:color w:val="auto"/>
          <w:spacing w:val="0"/>
          <w:position w:val="0"/>
          <w:sz w:val="24"/>
          <w:szCs w:val="24"/>
          <w:highlight w:val="none"/>
        </w:rPr>
        <w:t xml:space="preserve"> 的</w:t>
      </w:r>
      <w:r>
        <w:rPr>
          <w:rFonts w:hint="eastAsia" w:ascii="宋体" w:hAnsi="宋体" w:eastAsia="宋体" w:cs="宋体"/>
          <w:i w:val="0"/>
          <w:iCs w:val="0"/>
          <w:color w:val="auto"/>
          <w:spacing w:val="0"/>
          <w:position w:val="0"/>
          <w:sz w:val="24"/>
          <w:szCs w:val="24"/>
          <w:highlight w:val="none"/>
          <w:u w:val="single" w:color="auto"/>
        </w:rPr>
        <w:t xml:space="preserve"> (项目名称) </w:t>
      </w:r>
      <w:r>
        <w:rPr>
          <w:rFonts w:hint="eastAsia" w:ascii="宋体" w:hAnsi="宋体" w:eastAsia="宋体" w:cs="宋体"/>
          <w:i w:val="0"/>
          <w:iCs w:val="0"/>
          <w:color w:val="auto"/>
          <w:spacing w:val="0"/>
          <w:position w:val="0"/>
          <w:sz w:val="24"/>
          <w:szCs w:val="24"/>
          <w:highlight w:val="none"/>
        </w:rPr>
        <w:t>采购活动，工程的施工单位全部为符合政策要求的中小企业 (或者：服务 全部由符合政策要求的中小企业承接) 。相关企业(含联合体中的中小企业、签订分包意向协议的中小企业) 的具体情 况如下：</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1.</w:t>
      </w:r>
      <w:r>
        <w:rPr>
          <w:rFonts w:hint="eastAsia" w:ascii="宋体" w:hAnsi="宋体" w:eastAsia="宋体" w:cs="宋体"/>
          <w:i w:val="0"/>
          <w:iCs w:val="0"/>
          <w:color w:val="auto"/>
          <w:spacing w:val="0"/>
          <w:position w:val="0"/>
          <w:sz w:val="24"/>
          <w:szCs w:val="24"/>
          <w:highlight w:val="none"/>
          <w:u w:val="single" w:color="auto"/>
        </w:rPr>
        <w:t xml:space="preserve"> (标的名称) </w:t>
      </w:r>
      <w:r>
        <w:rPr>
          <w:rFonts w:hint="eastAsia" w:ascii="宋体" w:hAnsi="宋体" w:eastAsia="宋体" w:cs="宋体"/>
          <w:i w:val="0"/>
          <w:iCs w:val="0"/>
          <w:color w:val="auto"/>
          <w:spacing w:val="0"/>
          <w:position w:val="0"/>
          <w:sz w:val="24"/>
          <w:szCs w:val="24"/>
          <w:highlight w:val="none"/>
        </w:rPr>
        <w:t>，属于</w:t>
      </w:r>
      <w:r>
        <w:rPr>
          <w:rFonts w:hint="eastAsia" w:ascii="宋体" w:hAnsi="宋体" w:eastAsia="宋体" w:cs="宋体"/>
          <w:i w:val="0"/>
          <w:iCs w:val="0"/>
          <w:color w:val="auto"/>
          <w:spacing w:val="0"/>
          <w:position w:val="0"/>
          <w:sz w:val="24"/>
          <w:szCs w:val="24"/>
          <w:highlight w:val="none"/>
          <w:u w:val="single" w:color="auto"/>
        </w:rPr>
        <w:t>(采购文件中明确的所属行业</w:t>
      </w:r>
      <w:r>
        <w:rPr>
          <w:rFonts w:hint="eastAsia" w:ascii="宋体" w:hAnsi="宋体" w:eastAsia="宋体" w:cs="宋体"/>
          <w:i w:val="0"/>
          <w:iCs w:val="0"/>
          <w:color w:val="auto"/>
          <w:spacing w:val="0"/>
          <w:position w:val="0"/>
          <w:sz w:val="24"/>
          <w:szCs w:val="24"/>
          <w:highlight w:val="none"/>
        </w:rPr>
        <w:t>)；承建(承接) 企业为</w:t>
      </w:r>
      <w:r>
        <w:rPr>
          <w:rFonts w:hint="eastAsia" w:ascii="宋体" w:hAnsi="宋体" w:eastAsia="宋体" w:cs="宋体"/>
          <w:i w:val="0"/>
          <w:iCs w:val="0"/>
          <w:color w:val="auto"/>
          <w:spacing w:val="0"/>
          <w:position w:val="0"/>
          <w:sz w:val="24"/>
          <w:szCs w:val="24"/>
          <w:highlight w:val="none"/>
          <w:u w:val="single" w:color="auto"/>
        </w:rPr>
        <w:t xml:space="preserve"> (企业名称</w:t>
      </w:r>
      <w:r>
        <w:rPr>
          <w:rFonts w:hint="eastAsia" w:ascii="宋体" w:hAnsi="宋体" w:eastAsia="宋体" w:cs="宋体"/>
          <w:i w:val="0"/>
          <w:iCs w:val="0"/>
          <w:color w:val="auto"/>
          <w:spacing w:val="0"/>
          <w:position w:val="0"/>
          <w:sz w:val="24"/>
          <w:szCs w:val="24"/>
          <w:highlight w:val="none"/>
        </w:rPr>
        <w:t>)，从业人员</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人，营业收入为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万元，资产总额为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 ，属于</w:t>
      </w:r>
      <w:r>
        <w:rPr>
          <w:rFonts w:hint="eastAsia" w:ascii="宋体" w:hAnsi="宋体" w:eastAsia="宋体" w:cs="宋体"/>
          <w:i w:val="0"/>
          <w:iCs w:val="0"/>
          <w:color w:val="auto"/>
          <w:spacing w:val="0"/>
          <w:position w:val="0"/>
          <w:sz w:val="24"/>
          <w:szCs w:val="24"/>
          <w:highlight w:val="none"/>
          <w:u w:val="single" w:color="auto"/>
        </w:rPr>
        <w:t xml:space="preserve"> (中型企业、小型企业、微型企业</w:t>
      </w: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2.</w:t>
      </w:r>
      <w:r>
        <w:rPr>
          <w:rFonts w:hint="eastAsia" w:ascii="宋体" w:hAnsi="宋体" w:eastAsia="宋体" w:cs="宋体"/>
          <w:i w:val="0"/>
          <w:iCs w:val="0"/>
          <w:color w:val="auto"/>
          <w:spacing w:val="0"/>
          <w:position w:val="0"/>
          <w:sz w:val="24"/>
          <w:szCs w:val="24"/>
          <w:highlight w:val="none"/>
          <w:u w:val="single" w:color="auto"/>
        </w:rPr>
        <w:t xml:space="preserve"> (标的名称) </w:t>
      </w:r>
      <w:r>
        <w:rPr>
          <w:rFonts w:hint="eastAsia" w:ascii="宋体" w:hAnsi="宋体" w:eastAsia="宋体" w:cs="宋体"/>
          <w:i w:val="0"/>
          <w:iCs w:val="0"/>
          <w:color w:val="auto"/>
          <w:spacing w:val="0"/>
          <w:position w:val="0"/>
          <w:sz w:val="24"/>
          <w:szCs w:val="24"/>
          <w:highlight w:val="none"/>
        </w:rPr>
        <w:t>，属于</w:t>
      </w:r>
      <w:r>
        <w:rPr>
          <w:rFonts w:hint="eastAsia" w:ascii="宋体" w:hAnsi="宋体" w:eastAsia="宋体" w:cs="宋体"/>
          <w:i w:val="0"/>
          <w:iCs w:val="0"/>
          <w:color w:val="auto"/>
          <w:spacing w:val="0"/>
          <w:position w:val="0"/>
          <w:sz w:val="24"/>
          <w:szCs w:val="24"/>
          <w:highlight w:val="none"/>
          <w:u w:val="single" w:color="auto"/>
        </w:rPr>
        <w:t>(采购文件中明确的所属行业</w:t>
      </w:r>
      <w:r>
        <w:rPr>
          <w:rFonts w:hint="eastAsia" w:ascii="宋体" w:hAnsi="宋体" w:eastAsia="宋体" w:cs="宋体"/>
          <w:i w:val="0"/>
          <w:iCs w:val="0"/>
          <w:color w:val="auto"/>
          <w:spacing w:val="0"/>
          <w:position w:val="0"/>
          <w:sz w:val="24"/>
          <w:szCs w:val="24"/>
          <w:highlight w:val="none"/>
        </w:rPr>
        <w:t>)； 承建(承接) 企业为</w:t>
      </w:r>
      <w:r>
        <w:rPr>
          <w:rFonts w:hint="eastAsia" w:ascii="宋体" w:hAnsi="宋体" w:eastAsia="宋体" w:cs="宋体"/>
          <w:i w:val="0"/>
          <w:iCs w:val="0"/>
          <w:color w:val="auto"/>
          <w:spacing w:val="0"/>
          <w:position w:val="0"/>
          <w:sz w:val="24"/>
          <w:szCs w:val="24"/>
          <w:highlight w:val="none"/>
          <w:u w:val="single" w:color="auto"/>
        </w:rPr>
        <w:t xml:space="preserve"> (企业名称</w:t>
      </w:r>
      <w:r>
        <w:rPr>
          <w:rFonts w:hint="eastAsia" w:ascii="宋体" w:hAnsi="宋体" w:eastAsia="宋体" w:cs="宋体"/>
          <w:i w:val="0"/>
          <w:iCs w:val="0"/>
          <w:color w:val="auto"/>
          <w:spacing w:val="0"/>
          <w:position w:val="0"/>
          <w:sz w:val="24"/>
          <w:szCs w:val="24"/>
          <w:highlight w:val="none"/>
        </w:rPr>
        <w:t>)，从业人员</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人，营业 收入为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万元，资产总额为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万元，属于</w:t>
      </w:r>
      <w:r>
        <w:rPr>
          <w:rFonts w:hint="eastAsia" w:ascii="宋体" w:hAnsi="宋体" w:eastAsia="宋体" w:cs="宋体"/>
          <w:i w:val="0"/>
          <w:iCs w:val="0"/>
          <w:color w:val="auto"/>
          <w:spacing w:val="0"/>
          <w:position w:val="0"/>
          <w:sz w:val="24"/>
          <w:szCs w:val="24"/>
          <w:highlight w:val="none"/>
          <w:u w:val="single" w:color="auto"/>
        </w:rPr>
        <w:t xml:space="preserve"> (中型企业、</w:t>
      </w:r>
      <w:r>
        <w:rPr>
          <w:rFonts w:hint="eastAsia" w:ascii="宋体" w:hAnsi="宋体" w:eastAsia="宋体" w:cs="宋体"/>
          <w:i w:val="0"/>
          <w:iCs w:val="0"/>
          <w:color w:val="auto"/>
          <w:spacing w:val="0"/>
          <w:position w:val="0"/>
          <w:sz w:val="24"/>
          <w:szCs w:val="24"/>
          <w:highlight w:val="none"/>
        </w:rPr>
        <w:t xml:space="preserve"> </w:t>
      </w:r>
      <w:r>
        <w:rPr>
          <w:rFonts w:hint="eastAsia" w:ascii="宋体" w:hAnsi="宋体" w:eastAsia="宋体" w:cs="宋体"/>
          <w:i w:val="0"/>
          <w:iCs w:val="0"/>
          <w:color w:val="auto"/>
          <w:spacing w:val="0"/>
          <w:position w:val="0"/>
          <w:sz w:val="24"/>
          <w:szCs w:val="24"/>
          <w:highlight w:val="none"/>
          <w:u w:val="single" w:color="auto"/>
        </w:rPr>
        <w:t>小型企业、微型企业</w:t>
      </w: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以上企业，不属于大企业的分支机构，不存在控股股东 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本企业对上述声明内容的真实性负责。如有虚假，将依 法承担相应责任。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80" w:firstLineChars="2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企业名称 (盖章)：</w:t>
      </w:r>
    </w:p>
    <w:p>
      <w:pPr>
        <w:pStyle w:val="32"/>
        <w:keepNext w:val="0"/>
        <w:keepLines w:val="0"/>
        <w:pageBreakBefore w:val="0"/>
        <w:widowControl w:val="0"/>
        <w:kinsoku/>
        <w:wordWrap/>
        <w:overflowPunct/>
        <w:topLinePunct w:val="0"/>
        <w:autoSpaceDE/>
        <w:autoSpaceDN/>
        <w:bidi w:val="0"/>
        <w:adjustRightInd/>
        <w:snapToGrid/>
        <w:spacing w:line="360" w:lineRule="auto"/>
        <w:ind w:left="0" w:right="0" w:firstLine="5280" w:firstLineChars="2200"/>
        <w:jc w:val="left"/>
        <w:textAlignment w:val="auto"/>
        <w:outlineLvl w:val="9"/>
        <w:rPr>
          <w:rFonts w:hint="eastAsia" w:ascii="宋体" w:hAnsi="宋体" w:eastAsia="宋体" w:cs="宋体"/>
          <w:b w:val="0"/>
          <w:bCs w:val="0"/>
          <w:i w:val="0"/>
          <w:iCs w:val="0"/>
          <w:color w:val="auto"/>
          <w:spacing w:val="0"/>
          <w:kern w:val="0"/>
          <w:position w:val="0"/>
          <w:sz w:val="24"/>
          <w:szCs w:val="24"/>
          <w:highlight w:val="none"/>
          <w:u w:val="none"/>
          <w:lang w:val="en-US" w:eastAsia="zh-CN" w:bidi="ar-SA"/>
        </w:rPr>
      </w:pPr>
      <w:r>
        <w:rPr>
          <w:rFonts w:hint="eastAsia" w:ascii="宋体" w:hAnsi="宋体" w:eastAsia="宋体" w:cs="宋体"/>
          <w:i w:val="0"/>
          <w:iCs w:val="0"/>
          <w:color w:val="auto"/>
          <w:spacing w:val="0"/>
          <w:position w:val="0"/>
          <w:sz w:val="24"/>
          <w:szCs w:val="24"/>
          <w:highlight w:val="none"/>
        </w:rPr>
        <w:t>日 期：</w:t>
      </w:r>
    </w:p>
    <w:p>
      <w:pPr>
        <w:pStyle w:val="3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390" w:firstLineChars="200"/>
        <w:textAlignment w:val="auto"/>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2、从业人员、营业收入、资产总额填报上一年度数据，无上一年度数据的新成立企业可不填报。</w:t>
      </w:r>
    </w:p>
    <w:p>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color w:val="auto"/>
          <w:highlight w:val="none"/>
          <w:lang w:val="en-US" w:eastAsia="zh-CN"/>
        </w:rPr>
        <w:t>如供应商不符合要求则无需填写及提交此表。</w:t>
      </w:r>
    </w:p>
    <w:p>
      <w:pPr>
        <w:rPr>
          <w:rFonts w:hint="eastAsia" w:ascii="宋体" w:hAnsi="宋体" w:cs="宋体"/>
          <w:b/>
          <w:kern w:val="2"/>
          <w:sz w:val="28"/>
          <w:szCs w:val="28"/>
          <w:highlight w:val="none"/>
          <w:lang w:val="en-US" w:eastAsia="zh-CN" w:bidi="ar-SA"/>
        </w:rPr>
      </w:pPr>
      <w:r>
        <w:rPr>
          <w:rFonts w:hint="eastAsia" w:ascii="宋体" w:hAnsi="宋体" w:cs="宋体"/>
          <w:b/>
          <w:kern w:val="2"/>
          <w:sz w:val="28"/>
          <w:szCs w:val="28"/>
          <w:highlight w:val="none"/>
          <w:lang w:val="en-US" w:eastAsia="zh-CN" w:bidi="ar-SA"/>
        </w:rPr>
        <w:br w:type="page"/>
      </w:r>
    </w:p>
    <w:p>
      <w:pPr>
        <w:spacing w:line="588" w:lineRule="exact"/>
        <w:jc w:val="both"/>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kern w:val="2"/>
          <w:sz w:val="28"/>
          <w:szCs w:val="28"/>
          <w:highlight w:val="none"/>
          <w:lang w:val="en-US" w:eastAsia="zh-CN" w:bidi="ar-SA"/>
        </w:rPr>
        <w:t>附件2</w:t>
      </w:r>
      <w:r>
        <w:rPr>
          <w:rFonts w:hint="eastAsia" w:ascii="宋体" w:hAnsi="宋体" w:cs="宋体" w:eastAsiaTheme="minorEastAsia"/>
          <w:b/>
          <w:kern w:val="2"/>
          <w:sz w:val="28"/>
          <w:szCs w:val="28"/>
          <w:highlight w:val="none"/>
          <w:lang w:val="en-US" w:eastAsia="zh-CN" w:bidi="ar-SA"/>
        </w:rPr>
        <w:t>、残疾人福利性单位声明函</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outlineLvl w:val="9"/>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kern w:val="2"/>
          <w:sz w:val="24"/>
          <w:szCs w:val="22"/>
          <w:highlight w:val="none"/>
          <w:lang w:val="en-US" w:eastAsia="zh-CN" w:bidi="ar-SA"/>
        </w:rPr>
        <w:t>残疾人福利性单位声明函</w:t>
      </w:r>
    </w:p>
    <w:p>
      <w:pPr>
        <w:spacing w:line="360" w:lineRule="auto"/>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标段</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pacing w:line="360" w:lineRule="auto"/>
        <w:ind w:firstLine="504" w:firstLineChars="200"/>
        <w:outlineLvl w:val="9"/>
        <w:rPr>
          <w:rFonts w:hint="eastAsia" w:ascii="宋体" w:hAnsi="宋体" w:eastAsia="宋体" w:cs="宋体"/>
          <w:color w:val="auto"/>
          <w:spacing w:val="6"/>
          <w:sz w:val="24"/>
          <w:highlight w:val="none"/>
        </w:rPr>
      </w:pPr>
    </w:p>
    <w:p>
      <w:pPr>
        <w:spacing w:line="360" w:lineRule="auto"/>
        <w:ind w:firstLine="504" w:firstLineChars="200"/>
        <w:outlineLvl w:val="9"/>
        <w:rPr>
          <w:rFonts w:hint="eastAsia" w:ascii="宋体" w:hAnsi="宋体" w:eastAsia="宋体" w:cs="宋体"/>
          <w:color w:val="auto"/>
          <w:spacing w:val="6"/>
          <w:sz w:val="24"/>
          <w:highlight w:val="none"/>
        </w:rPr>
      </w:pPr>
    </w:p>
    <w:p>
      <w:pPr>
        <w:tabs>
          <w:tab w:val="left" w:pos="4860"/>
        </w:tabs>
        <w:spacing w:line="360" w:lineRule="auto"/>
        <w:ind w:right="1560" w:firstLine="504" w:firstLineChars="200"/>
        <w:jc w:val="center"/>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adjustRightInd w:val="0"/>
        <w:snapToGrid w:val="0"/>
        <w:spacing w:line="360" w:lineRule="exact"/>
        <w:ind w:left="105" w:leftChars="50" w:firstLine="504" w:firstLineChars="200"/>
        <w:outlineLvl w:val="9"/>
        <w:rPr>
          <w:rFonts w:hint="eastAsia" w:ascii="宋体" w:hAnsi="宋体" w:eastAsia="宋体" w:cs="宋体"/>
          <w:color w:val="auto"/>
          <w:spacing w:val="6"/>
          <w:sz w:val="24"/>
          <w:highlight w:val="none"/>
        </w:rPr>
      </w:pPr>
    </w:p>
    <w:p>
      <w:pPr>
        <w:adjustRightInd w:val="0"/>
        <w:snapToGrid w:val="0"/>
        <w:spacing w:line="360" w:lineRule="exact"/>
        <w:ind w:left="105" w:leftChars="50" w:firstLine="504" w:firstLineChars="200"/>
        <w:outlineLvl w:val="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eastAsia" w:ascii="宋体" w:hAnsi="宋体" w:eastAsia="宋体" w:cs="宋体"/>
          <w:color w:val="auto"/>
          <w:szCs w:val="21"/>
          <w:highlight w:val="none"/>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textAlignment w:val="auto"/>
        <w:outlineLvl w:val="9"/>
        <w:rPr>
          <w:rFonts w:hint="eastAsia" w:ascii="宋体" w:hAnsi="宋体" w:eastAsia="宋体" w:cs="宋体"/>
          <w:b/>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auto"/>
          <w:highlight w:val="none"/>
          <w:lang w:val="en-US" w:eastAsia="zh-CN"/>
        </w:rPr>
        <w:t>说明：如供应商不符合要求则无需填写及提交此表。</w:t>
      </w:r>
    </w:p>
    <w:p>
      <w:pPr>
        <w:pStyle w:val="12"/>
        <w:spacing w:line="360" w:lineRule="auto"/>
        <w:jc w:val="both"/>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cs="宋体" w:eastAsiaTheme="minorEastAsia"/>
          <w:b/>
          <w:kern w:val="2"/>
          <w:sz w:val="28"/>
          <w:szCs w:val="28"/>
          <w:highlight w:val="none"/>
          <w:lang w:val="en-US" w:eastAsia="zh-CN" w:bidi="ar-SA"/>
        </w:rPr>
        <w:t>附件3、监狱企业声明函</w:t>
      </w:r>
    </w:p>
    <w:p>
      <w:pPr>
        <w:pStyle w:val="12"/>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outlineLvl w:val="9"/>
        <w:rPr>
          <w:rFonts w:hint="eastAsia" w:ascii="宋体" w:hAnsi="宋体" w:eastAsia="宋体" w:cs="宋体"/>
          <w:b/>
          <w:color w:val="auto"/>
          <w:spacing w:val="6"/>
          <w:kern w:val="2"/>
          <w:sz w:val="24"/>
          <w:szCs w:val="24"/>
          <w:highlight w:val="none"/>
          <w:lang w:val="en-US" w:eastAsia="zh-CN" w:bidi="ar-SA"/>
        </w:rPr>
      </w:pPr>
      <w:r>
        <w:rPr>
          <w:rFonts w:hint="eastAsia" w:ascii="宋体" w:hAnsi="宋体" w:eastAsia="宋体" w:cs="宋体"/>
          <w:b/>
          <w:color w:val="auto"/>
          <w:spacing w:val="6"/>
          <w:kern w:val="2"/>
          <w:sz w:val="24"/>
          <w:szCs w:val="22"/>
          <w:highlight w:val="none"/>
          <w:lang w:val="en-US" w:eastAsia="zh-CN" w:bidi="ar-SA"/>
        </w:rPr>
        <w:t>监狱企业声明函</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color w:val="auto"/>
          <w:spacing w:val="6"/>
          <w:sz w:val="24"/>
          <w:szCs w:val="24"/>
          <w:highlight w:val="none"/>
          <w:u w:val="single"/>
        </w:rPr>
        <w:t>（符合/不符合）</w:t>
      </w:r>
      <w:r>
        <w:rPr>
          <w:rFonts w:hint="eastAsia" w:ascii="宋体" w:hAnsi="宋体" w:eastAsia="宋体" w:cs="宋体"/>
          <w:color w:val="auto"/>
          <w:spacing w:val="6"/>
          <w:sz w:val="24"/>
          <w:szCs w:val="24"/>
          <w:highlight w:val="none"/>
        </w:rPr>
        <w:t>条件，故本单位为</w:t>
      </w:r>
      <w:r>
        <w:rPr>
          <w:rFonts w:hint="eastAsia" w:ascii="宋体" w:hAnsi="宋体" w:eastAsia="宋体" w:cs="宋体"/>
          <w:color w:val="auto"/>
          <w:spacing w:val="6"/>
          <w:sz w:val="24"/>
          <w:szCs w:val="24"/>
          <w:highlight w:val="none"/>
          <w:u w:val="single"/>
        </w:rPr>
        <w:t>（监狱/非监狱）</w:t>
      </w:r>
      <w:r>
        <w:rPr>
          <w:rFonts w:hint="eastAsia" w:ascii="宋体" w:hAnsi="宋体" w:eastAsia="宋体" w:cs="宋体"/>
          <w:color w:val="auto"/>
          <w:spacing w:val="6"/>
          <w:sz w:val="24"/>
          <w:szCs w:val="24"/>
          <w:highlight w:val="none"/>
        </w:rPr>
        <w:t xml:space="preserve">企业。 </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pStyle w:val="8"/>
        <w:rPr>
          <w:rFonts w:hint="eastAsia" w:ascii="宋体" w:hAnsi="宋体" w:eastAsia="宋体" w:cs="宋体"/>
          <w:b/>
          <w:color w:val="auto"/>
          <w:sz w:val="24"/>
          <w:szCs w:val="24"/>
          <w:highlight w:val="none"/>
        </w:rPr>
      </w:pPr>
    </w:p>
    <w:p>
      <w:pPr>
        <w:pStyle w:val="12"/>
        <w:spacing w:line="360" w:lineRule="auto"/>
        <w:rPr>
          <w:rFonts w:hint="eastAsia" w:ascii="宋体" w:hAnsi="宋体" w:eastAsia="宋体" w:cs="宋体"/>
          <w:b/>
          <w:bCs/>
          <w:color w:val="auto"/>
          <w:sz w:val="24"/>
          <w:szCs w:val="24"/>
          <w:highlight w:val="none"/>
          <w:lang w:val="en-US" w:eastAsia="zh-CN"/>
        </w:rPr>
      </w:pPr>
    </w:p>
    <w:p>
      <w:pPr>
        <w:pStyle w:val="12"/>
        <w:spacing w:line="360" w:lineRule="auto"/>
        <w:rPr>
          <w:rFonts w:hint="eastAsia" w:ascii="宋体" w:hAnsi="宋体" w:eastAsia="宋体" w:cs="宋体"/>
          <w:b/>
          <w:bCs/>
          <w:color w:val="auto"/>
          <w:sz w:val="24"/>
          <w:szCs w:val="24"/>
          <w:highlight w:val="none"/>
          <w:lang w:val="en-US" w:eastAsia="zh-CN"/>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4"/>
          <w:highlight w:val="none"/>
        </w:rPr>
        <w:t>声  明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名称、公章)</w:t>
      </w:r>
    </w:p>
    <w:p>
      <w:pPr>
        <w:pStyle w:val="8"/>
        <w:spacing w:line="360" w:lineRule="auto"/>
        <w:ind w:firstLine="480"/>
        <w:jc w:val="right"/>
        <w:rPr>
          <w:rFonts w:hint="eastAsia" w:ascii="宋体" w:hAnsi="宋体" w:eastAsia="宋体" w:cs="宋体"/>
          <w:color w:val="auto"/>
          <w:sz w:val="24"/>
          <w:highlight w:val="none"/>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（签名或盖章）</w:t>
      </w:r>
    </w:p>
    <w:p>
      <w:pPr>
        <w:pStyle w:val="8"/>
        <w:spacing w:line="360" w:lineRule="auto"/>
        <w:ind w:firstLine="480"/>
        <w:rPr>
          <w:rFonts w:hint="eastAsia" w:ascii="宋体" w:hAnsi="宋体" w:eastAsia="宋体" w:cs="宋体"/>
          <w:color w:val="auto"/>
          <w:sz w:val="24"/>
          <w:highlight w:val="none"/>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pStyle w:val="12"/>
        <w:spacing w:line="360" w:lineRule="auto"/>
        <w:rPr>
          <w:rFonts w:hint="eastAsia" w:ascii="宋体" w:hAnsi="宋体" w:eastAsia="宋体" w:cs="宋体"/>
          <w:b/>
          <w:bCs/>
          <w:color w:val="auto"/>
          <w:sz w:val="24"/>
          <w:szCs w:val="24"/>
          <w:highlight w:val="none"/>
          <w:lang w:val="en-US" w:eastAsia="zh-CN"/>
        </w:rPr>
      </w:pPr>
    </w:p>
    <w:p>
      <w:pPr>
        <w:pStyle w:val="12"/>
        <w:spacing w:line="360" w:lineRule="auto"/>
        <w:rPr>
          <w:rFonts w:hint="eastAsia" w:ascii="宋体" w:hAnsi="宋体" w:eastAsia="宋体" w:cs="宋体"/>
          <w:b/>
          <w:bCs/>
          <w:color w:val="auto"/>
          <w:sz w:val="24"/>
          <w:szCs w:val="24"/>
          <w:highlight w:val="none"/>
          <w:lang w:val="en-US" w:eastAsia="zh-CN"/>
        </w:rPr>
      </w:pPr>
    </w:p>
    <w:p>
      <w:pPr>
        <w:pStyle w:val="12"/>
        <w:spacing w:line="360" w:lineRule="auto"/>
        <w:rPr>
          <w:rFonts w:hint="eastAsia" w:ascii="宋体" w:hAnsi="宋体" w:eastAsia="宋体" w:cs="宋体"/>
          <w:b/>
          <w:bCs/>
          <w:color w:val="auto"/>
          <w:sz w:val="24"/>
          <w:szCs w:val="24"/>
          <w:highlight w:val="none"/>
          <w:lang w:val="en-US" w:eastAsia="zh-CN"/>
        </w:rPr>
      </w:pPr>
    </w:p>
    <w:p>
      <w:pPr>
        <w:pStyle w:val="12"/>
        <w:spacing w:line="360" w:lineRule="auto"/>
        <w:rPr>
          <w:rFonts w:hint="eastAsia" w:ascii="宋体" w:hAnsi="宋体" w:eastAsia="宋体" w:cs="宋体"/>
          <w:b/>
          <w:bCs/>
          <w:color w:val="auto"/>
          <w:sz w:val="24"/>
          <w:szCs w:val="24"/>
          <w:highlight w:val="none"/>
          <w:lang w:val="en-US" w:eastAsia="zh-CN"/>
        </w:rPr>
      </w:pPr>
    </w:p>
    <w:p>
      <w:pPr>
        <w:pStyle w:val="12"/>
        <w:spacing w:line="360" w:lineRule="auto"/>
        <w:rPr>
          <w:rFonts w:hint="eastAsia" w:ascii="宋体" w:hAnsi="宋体" w:eastAsia="宋体" w:cs="宋体"/>
          <w:b/>
          <w:bCs/>
          <w:color w:val="auto"/>
          <w:sz w:val="24"/>
          <w:szCs w:val="24"/>
          <w:highlight w:val="none"/>
          <w:lang w:val="en-US" w:eastAsia="zh-CN"/>
        </w:rPr>
      </w:pPr>
    </w:p>
    <w:p>
      <w:pPr>
        <w:pStyle w:val="19"/>
        <w:rPr>
          <w:highlight w:val="none"/>
        </w:rPr>
      </w:pPr>
      <w:r>
        <w:rPr>
          <w:rFonts w:hint="eastAsia" w:ascii="宋体" w:hAnsi="宋体" w:eastAsia="宋体" w:cs="宋体"/>
          <w:b/>
          <w:bCs/>
          <w:color w:val="auto"/>
          <w:kern w:val="2"/>
          <w:sz w:val="21"/>
          <w:szCs w:val="21"/>
          <w:highlight w:val="none"/>
          <w:lang w:val="en-US" w:eastAsia="zh-CN" w:bidi="ar-SA"/>
        </w:rPr>
        <w:t>说明：监狱企业参加政府采购活动时，应当提供由省级以上监狱管理局、戒毒管理局（含新疆生产建设兵团）出具的属于监狱企业的证明文件，</w:t>
      </w:r>
      <w:r>
        <w:rPr>
          <w:rFonts w:hint="eastAsia" w:ascii="宋体" w:hAnsi="宋体" w:eastAsia="宋体" w:cs="宋体"/>
          <w:b/>
          <w:bCs/>
          <w:color w:val="auto"/>
          <w:highlight w:val="none"/>
          <w:lang w:val="en-US" w:eastAsia="zh-CN"/>
        </w:rPr>
        <w:t>如供应商不符合要求则无需填写及提交此表。</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rPr>
        <w:rFonts w:ascii="宋体" w:hAnsi="宋体" w:cs="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rPr>
        <w:rFonts w:ascii="宋体" w:hAnsi="宋体" w:cs="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jc w:val="center"/>
      <w:rPr>
        <w:rFonts w:ascii="宋体" w:hAnsi="宋体" w:cs="宋体"/>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p>
    <w:pPr>
      <w:pStyle w:val="14"/>
      <w:jc w:val="center"/>
      <w:rPr>
        <w:rFonts w:ascii="宋体" w:hAnsi="宋体" w:cs="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p>
  <w:p>
    <w:pPr>
      <w:pStyle w:val="14"/>
      <w:jc w:val="center"/>
      <w:rPr>
        <w:rFonts w:ascii="宋体" w:hAnsi="宋体" w:cs="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D2A7"/>
    <w:multiLevelType w:val="singleLevel"/>
    <w:tmpl w:val="8291D2A7"/>
    <w:lvl w:ilvl="0" w:tentative="0">
      <w:start w:val="4"/>
      <w:numFmt w:val="decimal"/>
      <w:suff w:val="nothing"/>
      <w:lvlText w:val="（%1）"/>
      <w:lvlJc w:val="left"/>
    </w:lvl>
  </w:abstractNum>
  <w:abstractNum w:abstractNumId="1">
    <w:nsid w:val="00000005"/>
    <w:multiLevelType w:val="multilevel"/>
    <w:tmpl w:val="00000005"/>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00000013"/>
    <w:multiLevelType w:val="multilevel"/>
    <w:tmpl w:val="00000013"/>
    <w:lvl w:ilvl="0" w:tentative="0">
      <w:start w:val="1"/>
      <w:numFmt w:val="chineseCountingThousand"/>
      <w:pStyle w:val="29"/>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DI2MzRhODc1Mzk2MTdhNzhjYmRmOGY3MDFlNmYifQ=="/>
  </w:docVars>
  <w:rsids>
    <w:rsidRoot w:val="69855702"/>
    <w:rsid w:val="02725067"/>
    <w:rsid w:val="02AF769C"/>
    <w:rsid w:val="02BF7992"/>
    <w:rsid w:val="02F40713"/>
    <w:rsid w:val="06C10701"/>
    <w:rsid w:val="07787177"/>
    <w:rsid w:val="0826386C"/>
    <w:rsid w:val="096D1D5A"/>
    <w:rsid w:val="0B9276F9"/>
    <w:rsid w:val="0DB53CD0"/>
    <w:rsid w:val="0E4E0389"/>
    <w:rsid w:val="0EB919AC"/>
    <w:rsid w:val="0EFC55BB"/>
    <w:rsid w:val="11005262"/>
    <w:rsid w:val="16E03486"/>
    <w:rsid w:val="17D42FA4"/>
    <w:rsid w:val="182061EA"/>
    <w:rsid w:val="192524E1"/>
    <w:rsid w:val="1A293A7B"/>
    <w:rsid w:val="1A4239CB"/>
    <w:rsid w:val="1EC53505"/>
    <w:rsid w:val="1EE937D9"/>
    <w:rsid w:val="200868AE"/>
    <w:rsid w:val="20484530"/>
    <w:rsid w:val="23A5689E"/>
    <w:rsid w:val="25BE773F"/>
    <w:rsid w:val="264E03C6"/>
    <w:rsid w:val="26DD57D9"/>
    <w:rsid w:val="27AF018E"/>
    <w:rsid w:val="2B6F4AE3"/>
    <w:rsid w:val="2C0922A1"/>
    <w:rsid w:val="2C8E12C0"/>
    <w:rsid w:val="2D4D4A85"/>
    <w:rsid w:val="30FF0C3A"/>
    <w:rsid w:val="3212499D"/>
    <w:rsid w:val="33386DCA"/>
    <w:rsid w:val="333F17C2"/>
    <w:rsid w:val="3AB40CE8"/>
    <w:rsid w:val="3B0D617B"/>
    <w:rsid w:val="3C461E92"/>
    <w:rsid w:val="3D1E4F3C"/>
    <w:rsid w:val="3D967762"/>
    <w:rsid w:val="3EF47905"/>
    <w:rsid w:val="3F806AA9"/>
    <w:rsid w:val="4101356D"/>
    <w:rsid w:val="424F5A38"/>
    <w:rsid w:val="428B000A"/>
    <w:rsid w:val="429531AD"/>
    <w:rsid w:val="44C3213E"/>
    <w:rsid w:val="47637D1D"/>
    <w:rsid w:val="4860425D"/>
    <w:rsid w:val="4B667C11"/>
    <w:rsid w:val="4B8D7117"/>
    <w:rsid w:val="4BD73658"/>
    <w:rsid w:val="4C4719BC"/>
    <w:rsid w:val="4D7543CA"/>
    <w:rsid w:val="4FC10E4D"/>
    <w:rsid w:val="538F6092"/>
    <w:rsid w:val="53FE6F0E"/>
    <w:rsid w:val="55417ECD"/>
    <w:rsid w:val="58D8399B"/>
    <w:rsid w:val="592A1837"/>
    <w:rsid w:val="595C637A"/>
    <w:rsid w:val="5B4F6DF9"/>
    <w:rsid w:val="5B6857EC"/>
    <w:rsid w:val="5BE1260A"/>
    <w:rsid w:val="5CA67E73"/>
    <w:rsid w:val="5E056FE1"/>
    <w:rsid w:val="6034674D"/>
    <w:rsid w:val="606C3347"/>
    <w:rsid w:val="62526006"/>
    <w:rsid w:val="649234BD"/>
    <w:rsid w:val="65117ED6"/>
    <w:rsid w:val="69855702"/>
    <w:rsid w:val="6B362B02"/>
    <w:rsid w:val="6EA168B2"/>
    <w:rsid w:val="71B349B1"/>
    <w:rsid w:val="73D9089C"/>
    <w:rsid w:val="7420296E"/>
    <w:rsid w:val="74620891"/>
    <w:rsid w:val="76312C11"/>
    <w:rsid w:val="76E4584E"/>
    <w:rsid w:val="76F459ED"/>
    <w:rsid w:val="778B00FF"/>
    <w:rsid w:val="78C90E4C"/>
    <w:rsid w:val="7B1A0118"/>
    <w:rsid w:val="7B94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0"/>
    <w:pPr>
      <w:keepNext/>
      <w:keepLines/>
      <w:numPr>
        <w:ilvl w:val="5"/>
        <w:numId w:val="1"/>
      </w:numPr>
      <w:spacing w:before="240" w:after="64" w:line="316" w:lineRule="auto"/>
      <w:outlineLvl w:val="5"/>
    </w:pPr>
    <w:rPr>
      <w:rFonts w:ascii="Arial" w:hAnsi="Arial" w:eastAsia="黑体" w:cs="Times New Roman"/>
      <w:b/>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next w:val="1"/>
    <w:qFormat/>
    <w:uiPriority w:val="0"/>
    <w:pPr>
      <w:spacing w:line="300" w:lineRule="auto"/>
      <w:ind w:firstLine="420" w:firstLineChars="200"/>
    </w:pPr>
    <w:rPr>
      <w:rFonts w:ascii="Times New Roman"/>
      <w:szCs w:val="24"/>
    </w:rPr>
  </w:style>
  <w:style w:type="paragraph" w:styleId="9">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10">
    <w:name w:val="annotation text"/>
    <w:basedOn w:val="1"/>
    <w:qFormat/>
    <w:uiPriority w:val="0"/>
    <w:pPr>
      <w:jc w:val="left"/>
    </w:pPr>
  </w:style>
  <w:style w:type="paragraph" w:styleId="11">
    <w:name w:val="Body Text Indent"/>
    <w:basedOn w:val="1"/>
    <w:next w:val="1"/>
    <w:qFormat/>
    <w:uiPriority w:val="0"/>
    <w:pPr>
      <w:ind w:firstLine="552"/>
    </w:pPr>
    <w:rPr>
      <w:rFonts w:ascii="宋体"/>
      <w:sz w:val="28"/>
    </w:rPr>
  </w:style>
  <w:style w:type="paragraph" w:styleId="12">
    <w:name w:val="Plain Text"/>
    <w:basedOn w:val="1"/>
    <w:next w:val="1"/>
    <w:qFormat/>
    <w:uiPriority w:val="0"/>
    <w:rPr>
      <w:rFonts w:ascii="宋体" w:hAnsi="Courier New" w:eastAsia="宋体"/>
    </w:rPr>
  </w:style>
  <w:style w:type="paragraph" w:styleId="13">
    <w:name w:val="Body Text Indent 2"/>
    <w:basedOn w:val="1"/>
    <w:next w:val="1"/>
    <w:qFormat/>
    <w:uiPriority w:val="0"/>
    <w:pPr>
      <w:ind w:firstLine="630"/>
    </w:pPr>
    <w:rPr>
      <w:sz w:val="32"/>
      <w:szCs w:val="20"/>
    </w:rPr>
  </w:style>
  <w:style w:type="paragraph" w:styleId="14">
    <w:name w:val="footer"/>
    <w:basedOn w:val="1"/>
    <w:next w:val="2"/>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unhideWhenUsed/>
    <w:qFormat/>
    <w:uiPriority w:val="39"/>
  </w:style>
  <w:style w:type="paragraph" w:styleId="18">
    <w:name w:val="Normal (Web)"/>
    <w:basedOn w:val="1"/>
    <w:semiHidden/>
    <w:unhideWhenUsed/>
    <w:qFormat/>
    <w:uiPriority w:val="99"/>
    <w:pPr>
      <w:spacing w:beforeAutospacing="1" w:afterAutospacing="1"/>
      <w:jc w:val="left"/>
    </w:pPr>
    <w:rPr>
      <w:rFonts w:cs="Times New Roman"/>
      <w:kern w:val="0"/>
      <w:sz w:val="24"/>
    </w:rPr>
  </w:style>
  <w:style w:type="paragraph" w:styleId="19">
    <w:name w:val="Body Text First Indent"/>
    <w:basedOn w:val="2"/>
    <w:next w:val="2"/>
    <w:unhideWhenUsed/>
    <w:qFormat/>
    <w:uiPriority w:val="99"/>
    <w:pPr>
      <w:ind w:firstLine="420" w:firstLineChars="100"/>
    </w:pPr>
  </w:style>
  <w:style w:type="paragraph" w:styleId="20">
    <w:name w:val="Body Text First Indent 2"/>
    <w:basedOn w:val="11"/>
    <w:qFormat/>
    <w:uiPriority w:val="0"/>
    <w:pPr>
      <w:spacing w:after="0"/>
      <w:ind w:firstLine="420"/>
    </w:pPr>
    <w:rPr>
      <w:rFonts w:ascii="Times New Roman" w:hAnsi="Times New Roman" w:eastAsia="宋体" w:cs="Times New Roman"/>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0"/>
    <w:rPr>
      <w:b/>
      <w:bCs/>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7">
    <w:name w:val="p15"/>
    <w:basedOn w:val="1"/>
    <w:qFormat/>
    <w:uiPriority w:val="99"/>
    <w:pPr>
      <w:widowControl/>
    </w:pPr>
    <w:rPr>
      <w:szCs w:val="21"/>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样式1"/>
    <w:basedOn w:val="1"/>
    <w:qFormat/>
    <w:uiPriority w:val="0"/>
    <w:pPr>
      <w:numPr>
        <w:ilvl w:val="0"/>
        <w:numId w:val="2"/>
      </w:numPr>
      <w:tabs>
        <w:tab w:val="left" w:pos="709"/>
      </w:tabs>
      <w:adjustRightInd w:val="0"/>
      <w:textAlignment w:val="baseline"/>
    </w:pPr>
    <w:rPr>
      <w:rFonts w:ascii="宋体" w:hAnsi="宋体"/>
      <w:kern w:val="0"/>
      <w:szCs w:val="21"/>
    </w:rPr>
  </w:style>
  <w:style w:type="paragraph" w:customStyle="1" w:styleId="30">
    <w:name w:val="样式 标题 3 + (中文) 黑体 小四 非加粗 段前: 7.8 磅 段后: 0 磅 行距: 固定值 20 磅"/>
    <w:basedOn w:val="5"/>
    <w:qFormat/>
    <w:uiPriority w:val="0"/>
    <w:pPr>
      <w:spacing w:line="400" w:lineRule="exact"/>
    </w:pPr>
    <w:rPr>
      <w:rFonts w:eastAsia="黑体" w:cs="宋体"/>
      <w:b w:val="0"/>
      <w:szCs w:val="20"/>
    </w:rPr>
  </w:style>
  <w:style w:type="paragraph" w:customStyle="1" w:styleId="31">
    <w:name w:val="Char1"/>
    <w:basedOn w:val="1"/>
    <w:qFormat/>
    <w:uiPriority w:val="0"/>
    <w:rPr>
      <w:rFonts w:ascii="Times New Roman" w:hAnsi="Times New Roman" w:eastAsia="宋体" w:cs="Times New Roman"/>
      <w:szCs w:val="21"/>
    </w:rPr>
  </w:style>
  <w:style w:type="paragraph" w:customStyle="1" w:styleId="32">
    <w:name w:val="正文缩进1"/>
    <w:basedOn w:val="1"/>
    <w:qFormat/>
    <w:uiPriority w:val="0"/>
    <w:pPr>
      <w:ind w:firstLine="420" w:firstLineChars="200"/>
    </w:pPr>
  </w:style>
  <w:style w:type="paragraph" w:styleId="33">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34">
    <w:name w:val="列出段落1"/>
    <w:basedOn w:val="1"/>
    <w:qFormat/>
    <w:uiPriority w:val="99"/>
    <w:pPr>
      <w:ind w:firstLine="420" w:firstLineChars="200"/>
    </w:pPr>
    <w:rPr>
      <w:szCs w:val="20"/>
    </w:rPr>
  </w:style>
  <w:style w:type="paragraph" w:customStyle="1" w:styleId="35">
    <w:name w:val="Table Text"/>
    <w:basedOn w:val="1"/>
    <w:semiHidden/>
    <w:qFormat/>
    <w:uiPriority w:val="0"/>
    <w:rPr>
      <w:rFonts w:ascii="仿宋" w:hAnsi="仿宋" w:eastAsia="仿宋" w:cs="仿宋"/>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styleId="3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40243</Words>
  <Characters>42203</Characters>
  <Lines>0</Lines>
  <Paragraphs>0</Paragraphs>
  <TotalTime>4</TotalTime>
  <ScaleCrop>false</ScaleCrop>
  <LinksUpToDate>false</LinksUpToDate>
  <CharactersWithSpaces>44814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2023-04-26T07:56:00Z</dcterms:created>
  <dc:creator></dc:creator>
  <cp:lastModifiedBy>Administrator</cp:lastModifiedBy>
  <dcterms:modified xsi:type="dcterms:W3CDTF">2023-08-24T03:47:50Z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92A01A1C93D94FC2B838A6686A98C485_13</vt:lpwstr>
  </property>
</Properties>
</file>