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1、基础设施要求：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1）基础环境和设施要求：具备自有物业和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不小于100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㎡</w:t>
      </w:r>
      <w:r>
        <w:rPr>
          <w:rFonts w:hint="eastAsia" w:ascii="宋体" w:hAnsi="宋体"/>
          <w:sz w:val="24"/>
          <w:szCs w:val="24"/>
          <w:highlight w:val="none"/>
        </w:rPr>
        <w:t>本地化空间；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不小于20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㎡</w:t>
      </w:r>
      <w:r>
        <w:rPr>
          <w:rFonts w:hint="eastAsia" w:ascii="宋体" w:hAnsi="宋体"/>
          <w:sz w:val="24"/>
          <w:szCs w:val="24"/>
          <w:highlight w:val="none"/>
        </w:rPr>
        <w:t>独立的物理隔离空间，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独立空间</w:t>
      </w:r>
      <w:r>
        <w:rPr>
          <w:rFonts w:hint="eastAsia" w:ascii="宋体" w:hAnsi="宋体"/>
          <w:sz w:val="24"/>
          <w:szCs w:val="24"/>
          <w:highlight w:val="none"/>
        </w:rPr>
        <w:t>具备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不低于5P的</w:t>
      </w:r>
      <w:r>
        <w:rPr>
          <w:rFonts w:hint="eastAsia" w:ascii="宋体" w:hAnsi="宋体"/>
          <w:sz w:val="24"/>
          <w:szCs w:val="24"/>
          <w:highlight w:val="none"/>
        </w:rPr>
        <w:t>机房精密空调；配备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不少于</w:t>
      </w:r>
      <w:r>
        <w:rPr>
          <w:rFonts w:hint="eastAsia" w:ascii="宋体" w:hAnsi="宋体"/>
          <w:sz w:val="24"/>
          <w:szCs w:val="24"/>
          <w:highlight w:val="none"/>
        </w:rPr>
        <w:t>两组1000AH蓄电池UPS电源系统和后备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应急</w:t>
      </w:r>
      <w:r>
        <w:rPr>
          <w:rFonts w:hint="eastAsia" w:ascii="宋体" w:hAnsi="宋体"/>
          <w:sz w:val="24"/>
          <w:szCs w:val="24"/>
          <w:highlight w:val="none"/>
        </w:rPr>
        <w:t>发电机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2）动环及门禁系统：IDC机房的大数据设备区域必须具备可视化电子门禁系统、动力环境监控系统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3）视频监控系统：IDC机房的大数据设备区域必须具备视频监控系统，视频存储格式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不低于</w:t>
      </w:r>
      <w:r>
        <w:rPr>
          <w:rFonts w:hint="eastAsia" w:ascii="宋体" w:hAnsi="宋体"/>
          <w:sz w:val="24"/>
          <w:szCs w:val="24"/>
          <w:highlight w:val="none"/>
        </w:rPr>
        <w:t>1080P，视频存储时长不小于30天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2、服务内容：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1）对原蒲城县电子政务网络进行网络拓扑的摸查，对蒲城县电子政务网络进行规划和设计；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2）蒲城县大数据中心机房原有的各政府单位业务网络割接到新机房；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3）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配合</w:t>
      </w:r>
      <w:r>
        <w:rPr>
          <w:rFonts w:hint="eastAsia" w:ascii="宋体" w:hAnsi="宋体"/>
          <w:sz w:val="24"/>
          <w:szCs w:val="24"/>
          <w:highlight w:val="none"/>
        </w:rPr>
        <w:t>各运营商完成各自业务割接和业务验证，确保各单位所有业务接入新机房；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）对蒲城县国家电子政务网与省电子政务网设备的硬件搬迁，完成设备数据配置，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新增</w:t>
      </w:r>
      <w:r>
        <w:rPr>
          <w:rFonts w:hint="eastAsia" w:ascii="宋体" w:hAnsi="宋体"/>
          <w:sz w:val="24"/>
          <w:szCs w:val="24"/>
          <w:highlight w:val="none"/>
        </w:rPr>
        <w:t>核心交换机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2台</w:t>
      </w:r>
      <w:r>
        <w:rPr>
          <w:rFonts w:hint="eastAsia" w:ascii="宋体" w:hAnsi="宋体"/>
          <w:sz w:val="24"/>
          <w:szCs w:val="24"/>
          <w:highlight w:val="none"/>
        </w:rPr>
        <w:t>、防火墙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2台，替换原有核心交换机及防火墙等设备</w:t>
      </w:r>
      <w:r>
        <w:rPr>
          <w:rFonts w:hint="eastAsia" w:ascii="宋体" w:hAnsi="宋体"/>
          <w:sz w:val="24"/>
          <w:szCs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提供三年运维服务。</w:t>
      </w:r>
    </w:p>
    <w:p>
      <w:pPr>
        <w:spacing w:line="360" w:lineRule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3、主要设备的参数要求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需两台核心交换机，采用堆叠模式；需两台防火墙，采用双机热备配置。</w:t>
      </w:r>
    </w:p>
    <w:tbl>
      <w:tblPr>
        <w:tblStyle w:val="3"/>
        <w:tblW w:w="8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500"/>
        <w:gridCol w:w="6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构成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主机框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总装机箱 ；主交换网单元*2；主控处理单元EC*2；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冗余交流电源模块*2；伸缩滑道  基本软件,每设备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背板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≧1块48端口万兆以太网光接口板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背板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≧1块48端口千兆以太网光接口板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背板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≧1块48端口百兆/千兆以太网电接口板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≧9块光模块-eSFP-GE-多模模块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≧24块光模块-eSFP-GE-单模模块(1310nm,10km,LC)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≧6块光模块-SFP+-10G-万兆多模模块(850nm,0.3km,LC)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其他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光纤线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若干 满足项目需求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防火墙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接口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≧12×GE (RJ45)+8×GE (SFP)+4×10GE (SFP+)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防护时间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配置威胁防护≧36个月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</w:t>
            </w:r>
          </w:p>
        </w:tc>
        <w:tc>
          <w:tcPr>
            <w:tcW w:w="6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≧240G固态硬盘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、服务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1）机房电源、空调等硬件设施、光缆提供7×24小时状态监控；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2）交换机、防火墙等网络设备提供7×24小时运行状态监测；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3）具备本地化运维团队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能力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并且不低于一名专职人员</w:t>
      </w:r>
      <w:r>
        <w:rPr>
          <w:rFonts w:hint="eastAsia" w:ascii="宋体" w:hAnsi="宋体"/>
          <w:sz w:val="24"/>
          <w:szCs w:val="24"/>
          <w:highlight w:val="none"/>
        </w:rPr>
        <w:t>，提供7×24小时管理和支持服务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hkNDVmNWE5YmE2OTk5YzUwNzFhYzJkNGIwMGUifQ=="/>
  </w:docVars>
  <w:rsids>
    <w:rsidRoot w:val="00000000"/>
    <w:rsid w:val="630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2023-09-21T03:50:32Z</dcterms:created>
  <dc:creator>Administrator</dc:creator>
  <cp:lastModifiedBy>宋</cp:lastModifiedBy>
  <dcterms:modified xsi:type="dcterms:W3CDTF">2023-09-21T03:50:35Z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B2FDDA4C2A144A92B54B4A6B747E66E5_12</vt:lpwstr>
  </property>
</Properties>
</file>