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723" w:firstLineChars="200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延长县中医医院医疗收费电子票据系统建设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723" w:firstLineChars="200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项目建设项目采购需求</w:t>
      </w:r>
      <w:bookmarkStart w:id="0" w:name="_GoBack"/>
      <w:bookmarkEnd w:id="0"/>
    </w:p>
    <w:tbl>
      <w:tblPr>
        <w:tblStyle w:val="3"/>
        <w:tblW w:w="922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30"/>
        <w:gridCol w:w="4593"/>
        <w:gridCol w:w="1023"/>
        <w:gridCol w:w="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系统描述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规格描述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电子发票系统平台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1、医疗电子票标准化开票（电子开票、冲红、查看、换开纸质票据等功能）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2、标准的通知/归集（电子票据短信、微信小程序通知）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3、电子票据存储 （电子票据本地化存储）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4、医疗电子票据管理（电子票据申领、发放、入库、核销等功能）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5、多票种电子票据管理（往来、捐赠电子票据）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6、医院定制化电子票据交付、告知(对接微信公众号、互联网医院、支付宝、医院APP等，配合院方对医疗专用告知单、挂号单、导诊单等单据进行改造）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7、医疗电子票据系统、财政的技术对账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8、依据本院结算及财务记账规则进行业务对账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9、自助终端对接联调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10、对接财务系统进行电子入账（对接财务ERP，实现接口自动入账或通过汇总单提供入账凭证依据和报表。）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数字签名服务器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1、软硬一体机设备，双电源，千兆网卡 * 2个接口；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2、支持负载均衡；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3、可配置多证书链，验证多 CA系统签发的数字证书；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4、可配置时间服务器及同步策略，实现与时间源的时间同步校对；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5、提供CRL/OCSP等多种方式的证书有效性验证；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6、提供PKCS1/ PKCS7 attach/PKCS7 detach/XML Sign 等多种格式的数字签名和数字签名验证功能(PKCS1签名支持记录签名日志功能)；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7、提供日志记录，可将日志以syslog的方式发送到指定服务器；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8、签名能力≥1000次/秒；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9、支持算法：SM1、SM2、SM3、SM4、3DES、AES、RSA、SHA256；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10、SM2 Attach 签名 750 次/秒；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11、SM2 Detach 签名 750 次/秒；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12、SM2 Attach 验签 1200 次/秒；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13、SM2Detach 验签 1200 次/秒；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14、SM2数字信封加密 600 次/秒；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SM2数字信封解密 700 次/秒。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应用服务器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CPU &gt;=8核，主频2.0G以上；内存&gt;=16;存储&gt;=300G*3，支持RAID 0，1，10，5。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数据库服务器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CPU&gt;=16核，主频2.0G以上；内存&gt;=32G;存储&gt;=600G*3,支持RAID 0，1，10，5。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自助打印机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打印方式云打印技术，热敏/热转印技术，能完美兼容财政电子票据系统，扫码打印电子票据，身份证读取打印（选配）。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全机柜采用1.5毫米优质冷轧钢板制作。机柜表面处理采用豪华喷塑工艺制作。定制亚格力及丝印灯箱，定制发光。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打印头寿命150km，打印宽度106mm，打印速度102mm/s，分辨率300dpi，内存SDRAM：16MB，FLASH：8MB，无接触式，纯手机操作方式。安全可控（非国外知识产权）系统。标配接口Wifi、网口，选配接口4G（与标配接口二选一）。扫描头45°（水平），30°（垂直），支持语音播报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桌面电票打印机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打印速度150mm/s,无需预热直接打印；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一机多用，同时打印凭条、发票、清单；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无需硒鼓、碳带、墨水；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收费系统对接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视服务接口工作量而定，由院方与HIS厂商对接。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次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1"/>
          <w:sz w:val="28"/>
          <w:szCs w:val="28"/>
          <w:lang w:val="en-US" w:eastAsia="zh-CN" w:bidi="ar-SA"/>
        </w:rPr>
        <w:t>1、供货期：10日历日；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1"/>
          <w:sz w:val="28"/>
          <w:szCs w:val="28"/>
          <w:lang w:val="en-US" w:eastAsia="zh-CN" w:bidi="ar-SA"/>
        </w:rPr>
        <w:t>2、质保期：1年；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ZTVmZDg4MGU5ZDE2M2YzNGFiYjg5NzJkMmVmNWUifQ=="/>
  </w:docVars>
  <w:rsids>
    <w:rsidRoot w:val="00000000"/>
    <w:rsid w:val="3E57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autoSpaceDE w:val="0"/>
      <w:autoSpaceDN w:val="0"/>
      <w:adjustRightInd w:val="0"/>
      <w:spacing w:line="720" w:lineRule="exact"/>
      <w:outlineLvl w:val="1"/>
    </w:pPr>
    <w:rPr>
      <w:rFonts w:ascii="黑体" w:eastAsia="黑体"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2023-08-11T03:56:19Z</dcterms:created>
  <dc:creator>lenovo</dc:creator>
  <cp:lastModifiedBy>zc</cp:lastModifiedBy>
  <dcterms:modified xsi:type="dcterms:W3CDTF">2023-08-11T03:57:01Z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5CE6BCD3778F4F1BB56F77734E6B2B19_12</vt:lpwstr>
  </property>
</Properties>
</file>