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tLeast"/>
        <w:jc w:val="center"/>
        <w:rPr>
          <w:rFonts w:hint="eastAsia" w:ascii="黑体" w:hAnsi="黑体" w:eastAsia="黑体" w:cs="黑体"/>
          <w:b/>
          <w:sz w:val="36"/>
          <w:szCs w:val="36"/>
        </w:rPr>
      </w:pPr>
      <w:r>
        <w:rPr>
          <w:rFonts w:hint="eastAsia" w:ascii="黑体" w:hAnsi="黑体" w:eastAsia="黑体" w:cs="黑体"/>
          <w:b/>
          <w:sz w:val="36"/>
          <w:szCs w:val="36"/>
        </w:rPr>
        <w:t>谈判公告</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黑体" w:hAnsi="黑体" w:eastAsia="黑体" w:cs="黑体"/>
          <w:color w:val="auto"/>
          <w:sz w:val="24"/>
          <w:highlight w:val="none"/>
        </w:rPr>
      </w:pPr>
      <w:r>
        <w:rPr>
          <w:rFonts w:hint="eastAsia" w:ascii="黑体" w:hAnsi="黑体" w:eastAsia="黑体" w:cs="黑体"/>
          <w:color w:val="auto"/>
          <w:sz w:val="24"/>
          <w:highlight w:val="none"/>
        </w:rPr>
        <w:t>延长县政府采购中心受</w:t>
      </w:r>
      <w:r>
        <w:rPr>
          <w:rFonts w:hint="eastAsia" w:ascii="黑体" w:hAnsi="黑体" w:eastAsia="黑体" w:cs="黑体"/>
          <w:color w:val="auto"/>
          <w:sz w:val="24"/>
          <w:highlight w:val="none"/>
          <w:lang w:val="en-US" w:eastAsia="zh-CN"/>
        </w:rPr>
        <w:t>延长县住房和城乡建设局</w:t>
      </w:r>
      <w:r>
        <w:rPr>
          <w:rFonts w:hint="eastAsia" w:ascii="黑体" w:hAnsi="黑体" w:eastAsia="黑体" w:cs="黑体"/>
          <w:color w:val="auto"/>
          <w:sz w:val="24"/>
          <w:highlight w:val="none"/>
        </w:rPr>
        <w:t>的委托，经政府采购管理部门批准，按照政府采购程序，拟就采购政府主导开发建设小区</w:t>
      </w:r>
      <w:r>
        <w:rPr>
          <w:rFonts w:hint="eastAsia" w:ascii="黑体" w:hAnsi="黑体" w:eastAsia="黑体" w:cs="黑体"/>
          <w:color w:val="auto"/>
          <w:sz w:val="24"/>
          <w:highlight w:val="none"/>
          <w:lang w:val="en-US" w:eastAsia="zh-CN"/>
        </w:rPr>
        <w:t>消防检测进行</w:t>
      </w:r>
      <w:r>
        <w:rPr>
          <w:rFonts w:hint="eastAsia" w:ascii="黑体" w:hAnsi="黑体" w:eastAsia="黑体" w:cs="黑体"/>
          <w:color w:val="auto"/>
          <w:sz w:val="24"/>
          <w:highlight w:val="none"/>
          <w:lang w:eastAsia="zh-CN"/>
        </w:rPr>
        <w:t>竞争性</w:t>
      </w:r>
      <w:r>
        <w:rPr>
          <w:rFonts w:hint="eastAsia" w:ascii="黑体" w:hAnsi="黑体" w:eastAsia="黑体" w:cs="黑体"/>
          <w:color w:val="auto"/>
          <w:sz w:val="24"/>
          <w:highlight w:val="none"/>
        </w:rPr>
        <w:t>谈判，欢迎符合资格条件的、有能力提供本项目所需服务的供应商参加。</w:t>
      </w:r>
    </w:p>
    <w:p>
      <w:pPr>
        <w:keepNext w:val="0"/>
        <w:keepLines w:val="0"/>
        <w:pageBreakBefore w:val="0"/>
        <w:kinsoku/>
        <w:wordWrap/>
        <w:overflowPunct/>
        <w:topLinePunct w:val="0"/>
        <w:autoSpaceDE/>
        <w:autoSpaceDN/>
        <w:bidi w:val="0"/>
        <w:adjustRightInd/>
        <w:snapToGrid/>
        <w:spacing w:line="460" w:lineRule="exact"/>
        <w:ind w:firstLine="472" w:firstLineChars="196"/>
        <w:textAlignment w:val="auto"/>
        <w:rPr>
          <w:rFonts w:hint="eastAsia" w:ascii="黑体" w:hAnsi="黑体" w:eastAsia="黑体" w:cs="黑体"/>
          <w:b/>
          <w:sz w:val="24"/>
        </w:rPr>
      </w:pPr>
      <w:r>
        <w:rPr>
          <w:rFonts w:hint="eastAsia" w:ascii="黑体" w:hAnsi="黑体" w:eastAsia="黑体" w:cs="黑体"/>
          <w:b/>
          <w:sz w:val="24"/>
        </w:rPr>
        <w:t>一、采购项目名称：</w:t>
      </w:r>
    </w:p>
    <w:p>
      <w:pPr>
        <w:keepNext w:val="0"/>
        <w:keepLines w:val="0"/>
        <w:pageBreakBefore w:val="0"/>
        <w:widowControl w:val="0"/>
        <w:kinsoku/>
        <w:wordWrap/>
        <w:overflowPunct/>
        <w:topLinePunct w:val="0"/>
        <w:autoSpaceDE/>
        <w:autoSpaceDN/>
        <w:bidi w:val="0"/>
        <w:adjustRightInd/>
        <w:snapToGrid/>
        <w:spacing w:line="460" w:lineRule="exact"/>
        <w:ind w:firstLine="470" w:firstLineChars="196"/>
        <w:textAlignment w:val="auto"/>
        <w:rPr>
          <w:rFonts w:hint="eastAsia" w:ascii="黑体" w:hAnsi="黑体" w:eastAsia="黑体" w:cs="黑体"/>
          <w:color w:val="auto"/>
          <w:sz w:val="24"/>
          <w:highlight w:val="none"/>
          <w:lang w:val="en-US" w:eastAsia="zh-CN"/>
        </w:rPr>
      </w:pPr>
      <w:r>
        <w:rPr>
          <w:rFonts w:hint="eastAsia" w:ascii="黑体" w:hAnsi="黑体" w:eastAsia="黑体" w:cs="黑体"/>
          <w:color w:val="auto"/>
          <w:sz w:val="24"/>
          <w:highlight w:val="none"/>
          <w:lang w:val="en-US" w:eastAsia="zh-CN"/>
        </w:rPr>
        <w:t>采购政府主导开发建设小区消防检测</w:t>
      </w:r>
    </w:p>
    <w:p>
      <w:pPr>
        <w:keepNext w:val="0"/>
        <w:keepLines w:val="0"/>
        <w:pageBreakBefore w:val="0"/>
        <w:widowControl w:val="0"/>
        <w:kinsoku/>
        <w:wordWrap/>
        <w:overflowPunct/>
        <w:topLinePunct w:val="0"/>
        <w:autoSpaceDE/>
        <w:autoSpaceDN/>
        <w:bidi w:val="0"/>
        <w:adjustRightInd/>
        <w:snapToGrid/>
        <w:spacing w:line="460" w:lineRule="exact"/>
        <w:ind w:firstLine="472" w:firstLineChars="196"/>
        <w:textAlignment w:val="auto"/>
        <w:rPr>
          <w:rFonts w:hint="default" w:ascii="黑体" w:hAnsi="黑体" w:eastAsia="黑体" w:cs="黑体"/>
          <w:sz w:val="24"/>
          <w:lang w:val="en-US" w:eastAsia="zh-CN"/>
        </w:rPr>
      </w:pPr>
      <w:r>
        <w:rPr>
          <w:rFonts w:hint="eastAsia" w:ascii="黑体" w:hAnsi="黑体" w:eastAsia="黑体" w:cs="黑体"/>
          <w:b/>
          <w:sz w:val="24"/>
        </w:rPr>
        <w:t>二、采购项目编号：</w:t>
      </w:r>
      <w:r>
        <w:rPr>
          <w:rFonts w:hint="eastAsia" w:ascii="黑体" w:hAnsi="黑体" w:eastAsia="黑体" w:cs="黑体"/>
          <w:sz w:val="24"/>
        </w:rPr>
        <w:t>YCZC-2023-J</w:t>
      </w:r>
      <w:r>
        <w:rPr>
          <w:rFonts w:hint="eastAsia" w:ascii="黑体" w:hAnsi="黑体" w:eastAsia="黑体" w:cs="黑体"/>
          <w:sz w:val="24"/>
          <w:lang w:eastAsia="zh-CN"/>
        </w:rPr>
        <w:t>0</w:t>
      </w:r>
      <w:r>
        <w:rPr>
          <w:rFonts w:hint="eastAsia" w:ascii="黑体" w:hAnsi="黑体" w:eastAsia="黑体" w:cs="黑体"/>
          <w:sz w:val="24"/>
          <w:lang w:val="en-US" w:eastAsia="zh-CN"/>
        </w:rPr>
        <w:t>38</w:t>
      </w:r>
    </w:p>
    <w:p>
      <w:pPr>
        <w:keepNext w:val="0"/>
        <w:keepLines w:val="0"/>
        <w:pageBreakBefore w:val="0"/>
        <w:widowControl w:val="0"/>
        <w:kinsoku/>
        <w:wordWrap/>
        <w:overflowPunct/>
        <w:topLinePunct w:val="0"/>
        <w:autoSpaceDE/>
        <w:autoSpaceDN/>
        <w:bidi w:val="0"/>
        <w:adjustRightInd/>
        <w:snapToGrid/>
        <w:spacing w:line="460" w:lineRule="exact"/>
        <w:ind w:firstLine="472" w:firstLineChars="196"/>
        <w:textAlignment w:val="auto"/>
        <w:rPr>
          <w:rFonts w:hint="eastAsia" w:ascii="黑体" w:hAnsi="黑体" w:eastAsia="黑体" w:cs="黑体"/>
          <w:sz w:val="24"/>
          <w:lang w:val="en-US" w:eastAsia="zh-CN"/>
        </w:rPr>
      </w:pPr>
      <w:r>
        <w:rPr>
          <w:rFonts w:hint="eastAsia" w:ascii="黑体" w:hAnsi="黑体" w:eastAsia="黑体" w:cs="黑体"/>
          <w:b/>
          <w:sz w:val="24"/>
        </w:rPr>
        <w:t>三、采购人名称：</w:t>
      </w:r>
      <w:r>
        <w:rPr>
          <w:rFonts w:hint="eastAsia" w:ascii="黑体" w:hAnsi="黑体" w:eastAsia="黑体" w:cs="黑体"/>
          <w:color w:val="auto"/>
          <w:sz w:val="24"/>
          <w:highlight w:val="none"/>
          <w:lang w:val="en-US" w:eastAsia="zh-CN"/>
        </w:rPr>
        <w:t>延长县住房和城乡建设局</w:t>
      </w:r>
    </w:p>
    <w:p>
      <w:pPr>
        <w:keepNext w:val="0"/>
        <w:keepLines w:val="0"/>
        <w:pageBreakBefore w:val="0"/>
        <w:widowControl w:val="0"/>
        <w:kinsoku/>
        <w:wordWrap/>
        <w:overflowPunct/>
        <w:topLinePunct w:val="0"/>
        <w:autoSpaceDE/>
        <w:autoSpaceDN/>
        <w:bidi w:val="0"/>
        <w:adjustRightInd/>
        <w:snapToGrid/>
        <w:spacing w:line="460" w:lineRule="exact"/>
        <w:ind w:firstLine="555"/>
        <w:textAlignment w:val="auto"/>
        <w:rPr>
          <w:rFonts w:hint="default" w:ascii="黑体" w:hAnsi="黑体" w:eastAsia="黑体" w:cs="黑体"/>
          <w:sz w:val="24"/>
          <w:lang w:val="en-US" w:eastAsia="zh-CN"/>
        </w:rPr>
      </w:pPr>
      <w:r>
        <w:rPr>
          <w:rFonts w:hint="eastAsia" w:ascii="黑体" w:hAnsi="黑体" w:eastAsia="黑体" w:cs="黑体"/>
          <w:sz w:val="24"/>
        </w:rPr>
        <w:t>联系人：</w:t>
      </w:r>
      <w:r>
        <w:rPr>
          <w:rFonts w:hint="eastAsia" w:ascii="黑体" w:hAnsi="黑体" w:eastAsia="黑体" w:cs="黑体"/>
          <w:sz w:val="24"/>
          <w:lang w:val="en-US" w:eastAsia="zh-CN"/>
        </w:rPr>
        <w:t>肖路</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黑体" w:hAnsi="黑体" w:eastAsia="黑体" w:cs="黑体"/>
          <w:sz w:val="24"/>
          <w:lang w:val="en-US" w:eastAsia="zh-CN"/>
        </w:rPr>
      </w:pPr>
      <w:r>
        <w:rPr>
          <w:rFonts w:hint="eastAsia" w:ascii="黑体" w:hAnsi="黑体" w:eastAsia="黑体" w:cs="黑体"/>
          <w:sz w:val="24"/>
        </w:rPr>
        <w:t xml:space="preserve">    联系方式：</w:t>
      </w:r>
      <w:r>
        <w:rPr>
          <w:rFonts w:hint="eastAsia" w:ascii="黑体" w:hAnsi="黑体" w:eastAsia="黑体" w:cs="黑体"/>
          <w:sz w:val="24"/>
          <w:lang w:val="en-US" w:eastAsia="zh-CN"/>
        </w:rPr>
        <w:t>0911-8612130</w:t>
      </w:r>
    </w:p>
    <w:p>
      <w:pPr>
        <w:keepNext w:val="0"/>
        <w:keepLines w:val="0"/>
        <w:pageBreakBefore w:val="0"/>
        <w:widowControl w:val="0"/>
        <w:kinsoku/>
        <w:wordWrap/>
        <w:overflowPunct/>
        <w:topLinePunct w:val="0"/>
        <w:autoSpaceDE/>
        <w:autoSpaceDN/>
        <w:bidi w:val="0"/>
        <w:adjustRightInd/>
        <w:snapToGrid/>
        <w:spacing w:line="460" w:lineRule="exact"/>
        <w:ind w:firstLine="472" w:firstLineChars="196"/>
        <w:textAlignment w:val="auto"/>
        <w:rPr>
          <w:rFonts w:hint="eastAsia" w:ascii="黑体" w:hAnsi="黑体" w:eastAsia="黑体" w:cs="黑体"/>
          <w:sz w:val="24"/>
        </w:rPr>
      </w:pPr>
      <w:r>
        <w:rPr>
          <w:rFonts w:hint="eastAsia" w:ascii="黑体" w:hAnsi="黑体" w:eastAsia="黑体" w:cs="黑体"/>
          <w:b/>
          <w:sz w:val="24"/>
        </w:rPr>
        <w:t>四、采购代理机构名称：</w:t>
      </w:r>
      <w:r>
        <w:rPr>
          <w:rFonts w:hint="eastAsia" w:ascii="黑体" w:hAnsi="黑体" w:eastAsia="黑体" w:cs="黑体"/>
          <w:sz w:val="24"/>
        </w:rPr>
        <w:t>延长县政府采购中心</w:t>
      </w:r>
    </w:p>
    <w:p>
      <w:pPr>
        <w:keepNext w:val="0"/>
        <w:keepLines w:val="0"/>
        <w:pageBreakBefore w:val="0"/>
        <w:widowControl w:val="0"/>
        <w:kinsoku/>
        <w:wordWrap/>
        <w:overflowPunct/>
        <w:topLinePunct w:val="0"/>
        <w:autoSpaceDE/>
        <w:autoSpaceDN/>
        <w:bidi w:val="0"/>
        <w:adjustRightInd/>
        <w:snapToGrid/>
        <w:spacing w:line="460" w:lineRule="exact"/>
        <w:ind w:firstLine="555"/>
        <w:textAlignment w:val="auto"/>
        <w:rPr>
          <w:rFonts w:hint="eastAsia" w:ascii="黑体" w:hAnsi="黑体" w:eastAsia="黑体" w:cs="黑体"/>
          <w:sz w:val="24"/>
        </w:rPr>
      </w:pPr>
      <w:r>
        <w:rPr>
          <w:rFonts w:hint="eastAsia" w:ascii="黑体" w:hAnsi="黑体" w:eastAsia="黑体" w:cs="黑体"/>
          <w:sz w:val="24"/>
        </w:rPr>
        <w:t>联系人：</w:t>
      </w:r>
      <w:r>
        <w:rPr>
          <w:rFonts w:hint="eastAsia" w:ascii="黑体" w:hAnsi="黑体" w:eastAsia="黑体" w:cs="黑体"/>
          <w:sz w:val="24"/>
          <w:lang w:val="en-US" w:eastAsia="zh-CN"/>
        </w:rPr>
        <w:t>刘红莉</w:t>
      </w:r>
      <w:r>
        <w:rPr>
          <w:rFonts w:hint="eastAsia" w:ascii="黑体" w:hAnsi="黑体" w:eastAsia="黑体" w:cs="黑体"/>
          <w:sz w:val="24"/>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555"/>
        <w:textAlignment w:val="auto"/>
        <w:rPr>
          <w:rFonts w:hint="eastAsia" w:ascii="黑体" w:hAnsi="黑体" w:eastAsia="黑体" w:cs="黑体"/>
          <w:sz w:val="24"/>
          <w:lang w:val="en-US" w:eastAsia="zh-CN"/>
        </w:rPr>
      </w:pPr>
      <w:r>
        <w:rPr>
          <w:rFonts w:hint="eastAsia" w:ascii="黑体" w:hAnsi="黑体" w:eastAsia="黑体" w:cs="黑体"/>
          <w:sz w:val="24"/>
        </w:rPr>
        <w:t>联系方式：0911-861</w:t>
      </w:r>
      <w:r>
        <w:rPr>
          <w:rFonts w:hint="eastAsia" w:ascii="黑体" w:hAnsi="黑体" w:eastAsia="黑体" w:cs="黑体"/>
          <w:sz w:val="24"/>
          <w:lang w:val="en-US" w:eastAsia="zh-CN"/>
        </w:rPr>
        <w:t>9952</w:t>
      </w:r>
    </w:p>
    <w:p>
      <w:pPr>
        <w:keepNext w:val="0"/>
        <w:keepLines w:val="0"/>
        <w:pageBreakBefore w:val="0"/>
        <w:widowControl w:val="0"/>
        <w:kinsoku/>
        <w:wordWrap/>
        <w:overflowPunct/>
        <w:topLinePunct w:val="0"/>
        <w:autoSpaceDE/>
        <w:autoSpaceDN/>
        <w:bidi w:val="0"/>
        <w:adjustRightInd/>
        <w:snapToGrid/>
        <w:spacing w:line="360" w:lineRule="auto"/>
        <w:ind w:firstLine="472" w:firstLineChars="196"/>
        <w:textAlignment w:val="auto"/>
        <w:rPr>
          <w:rFonts w:hint="eastAsia" w:ascii="黑体" w:hAnsi="黑体" w:eastAsia="黑体" w:cs="黑体"/>
          <w:b/>
          <w:sz w:val="24"/>
        </w:rPr>
      </w:pPr>
      <w:r>
        <w:rPr>
          <w:rFonts w:hint="eastAsia" w:ascii="黑体" w:hAnsi="黑体" w:eastAsia="黑体" w:cs="黑体"/>
          <w:b/>
          <w:sz w:val="24"/>
        </w:rPr>
        <w:t>五、采购内容：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right="0" w:firstLine="480"/>
        <w:jc w:val="both"/>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延长共有6个小区，分别是文苑小区、机械小区、园丁小区、晨苑小区、陆一井、温馨家园。</w:t>
      </w:r>
    </w:p>
    <w:p>
      <w:pPr>
        <w:pStyle w:val="10"/>
        <w:numPr>
          <w:ilvl w:val="0"/>
          <w:numId w:val="1"/>
        </w:numPr>
        <w:ind w:left="280" w:leftChars="0"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检测的消防设施包括：  </w:t>
      </w:r>
    </w:p>
    <w:p>
      <w:pPr>
        <w:pStyle w:val="10"/>
        <w:numPr>
          <w:ilvl w:val="0"/>
          <w:numId w:val="0"/>
        </w:numP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1.消防供配电系统</w:t>
      </w:r>
    </w:p>
    <w:p>
      <w:pPr>
        <w:pStyle w:val="10"/>
        <w:rPr>
          <w:rFonts w:hint="eastAsia" w:ascii="仿宋" w:hAnsi="仿宋" w:eastAsia="仿宋" w:cs="仿宋"/>
          <w:sz w:val="28"/>
          <w:szCs w:val="28"/>
          <w:lang w:eastAsia="zh-CN"/>
        </w:rPr>
      </w:pP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火灾自动报警系统：</w:t>
      </w:r>
    </w:p>
    <w:p>
      <w:pPr>
        <w:pStyle w:val="10"/>
        <w:numPr>
          <w:ilvl w:val="0"/>
          <w:numId w:val="2"/>
        </w:numPr>
        <w:rPr>
          <w:rFonts w:hint="eastAsia" w:ascii="仿宋" w:hAnsi="仿宋" w:eastAsia="仿宋" w:cs="仿宋"/>
          <w:sz w:val="28"/>
          <w:szCs w:val="28"/>
          <w:lang w:eastAsia="zh-CN"/>
        </w:rPr>
      </w:pPr>
      <w:r>
        <w:rPr>
          <w:rFonts w:hint="eastAsia" w:ascii="仿宋" w:hAnsi="仿宋" w:eastAsia="仿宋" w:cs="仿宋"/>
          <w:sz w:val="28"/>
          <w:szCs w:val="28"/>
        </w:rPr>
        <w:t>报警系统布线（2)火灾探测器（3)手动报警按钮功能检测（4)集中报警控制器功能（5)区域报警控制器（6)消防联动控制柜（7)消防通讯（8)火灾事故广播功能</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9</w:t>
      </w:r>
      <w:r>
        <w:rPr>
          <w:rFonts w:hint="eastAsia" w:ascii="仿宋" w:hAnsi="仿宋" w:eastAsia="仿宋" w:cs="仿宋"/>
          <w:sz w:val="28"/>
          <w:szCs w:val="28"/>
          <w:lang w:eastAsia="zh-CN"/>
        </w:rPr>
        <w:t>）</w:t>
      </w:r>
      <w:r>
        <w:rPr>
          <w:rFonts w:hint="eastAsia" w:ascii="仿宋" w:hAnsi="仿宋" w:eastAsia="仿宋" w:cs="仿宋"/>
          <w:sz w:val="28"/>
          <w:szCs w:val="28"/>
        </w:rPr>
        <w:t>消防电梯（</w:t>
      </w:r>
      <w:r>
        <w:rPr>
          <w:rFonts w:hint="eastAsia" w:ascii="仿宋" w:hAnsi="仿宋" w:eastAsia="仿宋" w:cs="仿宋"/>
          <w:sz w:val="28"/>
          <w:szCs w:val="28"/>
          <w:lang w:val="en-US" w:eastAsia="zh-CN"/>
        </w:rPr>
        <w:t>10</w:t>
      </w:r>
      <w:r>
        <w:rPr>
          <w:rFonts w:hint="eastAsia" w:ascii="仿宋" w:hAnsi="仿宋" w:eastAsia="仿宋" w:cs="仿宋"/>
          <w:sz w:val="28"/>
          <w:szCs w:val="28"/>
        </w:rPr>
        <w:t>)</w:t>
      </w:r>
      <w:r>
        <w:rPr>
          <w:rFonts w:hint="eastAsia" w:ascii="仿宋" w:hAnsi="仿宋" w:eastAsia="仿宋" w:cs="仿宋"/>
          <w:sz w:val="28"/>
          <w:szCs w:val="28"/>
          <w:lang w:eastAsia="zh-CN"/>
        </w:rPr>
        <w:t>电</w:t>
      </w:r>
      <w:r>
        <w:rPr>
          <w:rFonts w:hint="eastAsia" w:ascii="仿宋" w:hAnsi="仿宋" w:eastAsia="仿宋" w:cs="仿宋"/>
          <w:sz w:val="28"/>
          <w:szCs w:val="28"/>
        </w:rPr>
        <w:t>梯迫降（1</w:t>
      </w:r>
      <w:r>
        <w:rPr>
          <w:rFonts w:hint="eastAsia" w:ascii="仿宋" w:hAnsi="仿宋" w:eastAsia="仿宋" w:cs="仿宋"/>
          <w:sz w:val="28"/>
          <w:szCs w:val="28"/>
          <w:lang w:val="en-US" w:eastAsia="zh-CN"/>
        </w:rPr>
        <w:t>1</w:t>
      </w:r>
      <w:r>
        <w:rPr>
          <w:rFonts w:hint="eastAsia" w:ascii="仿宋" w:hAnsi="仿宋" w:eastAsia="仿宋" w:cs="仿宋"/>
          <w:sz w:val="28"/>
          <w:szCs w:val="28"/>
        </w:rPr>
        <w:t>）火灾应急照明疏散指示</w:t>
      </w:r>
      <w:r>
        <w:rPr>
          <w:rFonts w:hint="eastAsia" w:ascii="仿宋" w:hAnsi="仿宋" w:eastAsia="仿宋" w:cs="仿宋"/>
          <w:sz w:val="28"/>
          <w:szCs w:val="28"/>
          <w:lang w:eastAsia="zh-CN"/>
        </w:rPr>
        <w:t>。</w:t>
      </w:r>
    </w:p>
    <w:p>
      <w:pPr>
        <w:pStyle w:val="10"/>
        <w:numPr>
          <w:ilvl w:val="0"/>
          <w:numId w:val="0"/>
        </w:numPr>
        <w:rPr>
          <w:rFonts w:hint="eastAsia" w:ascii="仿宋" w:hAnsi="仿宋" w:eastAsia="仿宋" w:cs="仿宋"/>
          <w:sz w:val="28"/>
          <w:szCs w:val="28"/>
          <w:lang w:eastAsia="zh-CN"/>
        </w:rPr>
      </w:pP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消防给水灭火系统：</w:t>
      </w:r>
    </w:p>
    <w:p>
      <w:pPr>
        <w:pStyle w:val="10"/>
        <w:numPr>
          <w:ilvl w:val="0"/>
          <w:numId w:val="0"/>
        </w:numPr>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）消防水池（</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）消防水箱（</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）稳压系统（</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）给水市政供水（</w:t>
      </w: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）消防水泵（</w:t>
      </w:r>
      <w:r>
        <w:rPr>
          <w:rFonts w:hint="eastAsia" w:ascii="仿宋" w:hAnsi="仿宋" w:eastAsia="仿宋" w:cs="仿宋"/>
          <w:sz w:val="28"/>
          <w:szCs w:val="28"/>
          <w:lang w:val="en-US" w:eastAsia="zh-CN"/>
        </w:rPr>
        <w:t>6</w:t>
      </w:r>
      <w:r>
        <w:rPr>
          <w:rFonts w:hint="eastAsia" w:ascii="仿宋" w:hAnsi="仿宋" w:eastAsia="仿宋" w:cs="仿宋"/>
          <w:sz w:val="28"/>
          <w:szCs w:val="28"/>
          <w:lang w:eastAsia="zh-CN"/>
        </w:rPr>
        <w:t>）喷淋水泵（</w:t>
      </w:r>
      <w:r>
        <w:rPr>
          <w:rFonts w:hint="eastAsia" w:ascii="仿宋" w:hAnsi="仿宋" w:eastAsia="仿宋" w:cs="仿宋"/>
          <w:sz w:val="28"/>
          <w:szCs w:val="28"/>
          <w:lang w:val="en-US" w:eastAsia="zh-CN"/>
        </w:rPr>
        <w:t>7</w:t>
      </w:r>
      <w:r>
        <w:rPr>
          <w:rFonts w:hint="eastAsia" w:ascii="仿宋" w:hAnsi="仿宋" w:eastAsia="仿宋" w:cs="仿宋"/>
          <w:sz w:val="28"/>
          <w:szCs w:val="28"/>
          <w:lang w:eastAsia="zh-CN"/>
        </w:rPr>
        <w:t>）稳压泵增压泵（</w:t>
      </w:r>
      <w:r>
        <w:rPr>
          <w:rFonts w:hint="eastAsia" w:ascii="仿宋" w:hAnsi="仿宋" w:eastAsia="仿宋" w:cs="仿宋"/>
          <w:sz w:val="28"/>
          <w:szCs w:val="28"/>
          <w:lang w:val="en-US" w:eastAsia="zh-CN"/>
        </w:rPr>
        <w:t>8</w:t>
      </w:r>
      <w:r>
        <w:rPr>
          <w:rFonts w:hint="eastAsia" w:ascii="仿宋" w:hAnsi="仿宋" w:eastAsia="仿宋" w:cs="仿宋"/>
          <w:sz w:val="28"/>
          <w:szCs w:val="28"/>
          <w:lang w:eastAsia="zh-CN"/>
        </w:rPr>
        <w:t>)报警阀组（</w:t>
      </w:r>
      <w:r>
        <w:rPr>
          <w:rFonts w:hint="eastAsia" w:ascii="仿宋" w:hAnsi="仿宋" w:eastAsia="仿宋" w:cs="仿宋"/>
          <w:sz w:val="28"/>
          <w:szCs w:val="28"/>
          <w:lang w:val="en-US" w:eastAsia="zh-CN"/>
        </w:rPr>
        <w:t>9</w:t>
      </w:r>
      <w:r>
        <w:rPr>
          <w:rFonts w:hint="eastAsia" w:ascii="仿宋" w:hAnsi="仿宋" w:eastAsia="仿宋" w:cs="仿宋"/>
          <w:sz w:val="28"/>
          <w:szCs w:val="28"/>
          <w:lang w:eastAsia="zh-CN"/>
        </w:rPr>
        <w:t>）喷头（</w:t>
      </w:r>
      <w:r>
        <w:rPr>
          <w:rFonts w:hint="eastAsia" w:ascii="仿宋" w:hAnsi="仿宋" w:eastAsia="仿宋" w:cs="仿宋"/>
          <w:sz w:val="28"/>
          <w:szCs w:val="28"/>
          <w:lang w:val="en-US" w:eastAsia="zh-CN"/>
        </w:rPr>
        <w:t>10</w:t>
      </w:r>
      <w:r>
        <w:rPr>
          <w:rFonts w:hint="eastAsia" w:ascii="仿宋" w:hAnsi="仿宋" w:eastAsia="仿宋" w:cs="仿宋"/>
          <w:sz w:val="28"/>
          <w:szCs w:val="28"/>
          <w:lang w:eastAsia="zh-CN"/>
        </w:rPr>
        <w:t>）管道安装（</w:t>
      </w:r>
      <w:r>
        <w:rPr>
          <w:rFonts w:hint="eastAsia" w:ascii="仿宋" w:hAnsi="仿宋" w:eastAsia="仿宋" w:cs="仿宋"/>
          <w:sz w:val="28"/>
          <w:szCs w:val="28"/>
          <w:lang w:val="en-US" w:eastAsia="zh-CN"/>
        </w:rPr>
        <w:t>11</w:t>
      </w:r>
      <w:r>
        <w:rPr>
          <w:rFonts w:hint="eastAsia" w:ascii="仿宋" w:hAnsi="仿宋" w:eastAsia="仿宋" w:cs="仿宋"/>
          <w:sz w:val="28"/>
          <w:szCs w:val="28"/>
          <w:lang w:eastAsia="zh-CN"/>
        </w:rPr>
        <w:t>）水泵控制柜功能试验（</w:t>
      </w:r>
      <w:r>
        <w:rPr>
          <w:rFonts w:hint="eastAsia" w:ascii="仿宋" w:hAnsi="仿宋" w:eastAsia="仿宋" w:cs="仿宋"/>
          <w:sz w:val="28"/>
          <w:szCs w:val="28"/>
          <w:lang w:val="en-US" w:eastAsia="zh-CN"/>
        </w:rPr>
        <w:t>12</w:t>
      </w:r>
      <w:r>
        <w:rPr>
          <w:rFonts w:hint="eastAsia" w:ascii="仿宋" w:hAnsi="仿宋" w:eastAsia="仿宋" w:cs="仿宋"/>
          <w:sz w:val="28"/>
          <w:szCs w:val="28"/>
          <w:lang w:eastAsia="zh-CN"/>
        </w:rPr>
        <w:t>)末端试水装置（</w:t>
      </w:r>
      <w:r>
        <w:rPr>
          <w:rFonts w:hint="eastAsia" w:ascii="仿宋" w:hAnsi="仿宋" w:eastAsia="仿宋" w:cs="仿宋"/>
          <w:sz w:val="28"/>
          <w:szCs w:val="28"/>
          <w:lang w:val="en-US" w:eastAsia="zh-CN"/>
        </w:rPr>
        <w:t>13</w:t>
      </w:r>
      <w:r>
        <w:rPr>
          <w:rFonts w:hint="eastAsia" w:ascii="仿宋" w:hAnsi="仿宋" w:eastAsia="仿宋" w:cs="仿宋"/>
          <w:sz w:val="28"/>
          <w:szCs w:val="28"/>
          <w:lang w:eastAsia="zh-CN"/>
        </w:rPr>
        <w:t>）室内消火栓（</w:t>
      </w:r>
      <w:r>
        <w:rPr>
          <w:rFonts w:hint="eastAsia" w:ascii="仿宋" w:hAnsi="仿宋" w:eastAsia="仿宋" w:cs="仿宋"/>
          <w:sz w:val="28"/>
          <w:szCs w:val="28"/>
          <w:lang w:val="en-US" w:eastAsia="zh-CN"/>
        </w:rPr>
        <w:t>14</w:t>
      </w:r>
      <w:r>
        <w:rPr>
          <w:rFonts w:hint="eastAsia" w:ascii="仿宋" w:hAnsi="仿宋" w:eastAsia="仿宋" w:cs="仿宋"/>
          <w:sz w:val="28"/>
          <w:szCs w:val="28"/>
          <w:lang w:eastAsia="zh-CN"/>
        </w:rPr>
        <w:t>）室外消火栓（</w:t>
      </w:r>
      <w:r>
        <w:rPr>
          <w:rFonts w:hint="eastAsia" w:ascii="仿宋" w:hAnsi="仿宋" w:eastAsia="仿宋" w:cs="仿宋"/>
          <w:sz w:val="28"/>
          <w:szCs w:val="28"/>
          <w:lang w:val="en-US" w:eastAsia="zh-CN"/>
        </w:rPr>
        <w:t>15</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消防水喉（16）水泵接合器</w:t>
      </w:r>
    </w:p>
    <w:p>
      <w:pPr>
        <w:pStyle w:val="10"/>
        <w:numPr>
          <w:ilvl w:val="0"/>
          <w:numId w:val="0"/>
        </w:numPr>
        <w:rPr>
          <w:rFonts w:hint="eastAsia" w:ascii="仿宋" w:hAnsi="仿宋" w:eastAsia="仿宋" w:cs="仿宋"/>
          <w:sz w:val="28"/>
          <w:szCs w:val="28"/>
          <w:lang w:eastAsia="zh-CN"/>
        </w:rPr>
      </w:pP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防、排烟系统</w:t>
      </w:r>
    </w:p>
    <w:p>
      <w:pPr>
        <w:pStyle w:val="10"/>
        <w:numPr>
          <w:ilvl w:val="0"/>
          <w:numId w:val="0"/>
        </w:numPr>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）送风机功能检测（</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)排烟机功能检测（</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）送风口（</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)排烟口</w:t>
      </w:r>
    </w:p>
    <w:p>
      <w:pPr>
        <w:pStyle w:val="10"/>
        <w:numPr>
          <w:ilvl w:val="0"/>
          <w:numId w:val="0"/>
        </w:numPr>
        <w:rPr>
          <w:rFonts w:hint="eastAsia" w:ascii="仿宋" w:hAnsi="仿宋" w:eastAsia="仿宋" w:cs="仿宋"/>
          <w:sz w:val="28"/>
          <w:szCs w:val="28"/>
          <w:lang w:eastAsia="zh-CN"/>
        </w:rPr>
      </w:pPr>
      <w:r>
        <w:rPr>
          <w:rFonts w:hint="eastAsia" w:ascii="仿宋" w:hAnsi="仿宋" w:eastAsia="仿宋" w:cs="仿宋"/>
          <w:sz w:val="28"/>
          <w:szCs w:val="28"/>
          <w:lang w:eastAsia="zh-CN"/>
        </w:rPr>
        <w:t>（3)楼梯间正压值的测量（4)前室或合用前室正压值的测量（</w:t>
      </w: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）走廊、大厅排烟口风速（</w:t>
      </w:r>
      <w:r>
        <w:rPr>
          <w:rFonts w:hint="eastAsia" w:ascii="仿宋" w:hAnsi="仿宋" w:eastAsia="仿宋" w:cs="仿宋"/>
          <w:sz w:val="28"/>
          <w:szCs w:val="28"/>
          <w:lang w:val="en-US" w:eastAsia="zh-CN"/>
        </w:rPr>
        <w:t>6</w:t>
      </w:r>
      <w:r>
        <w:rPr>
          <w:rFonts w:hint="eastAsia" w:ascii="仿宋" w:hAnsi="仿宋" w:eastAsia="仿宋" w:cs="仿宋"/>
          <w:sz w:val="28"/>
          <w:szCs w:val="28"/>
          <w:lang w:eastAsia="zh-CN"/>
        </w:rPr>
        <w:t>)走廊、大厅排烟口风量（6)地下车库排烟量</w:t>
      </w:r>
    </w:p>
    <w:p>
      <w:pPr>
        <w:pStyle w:val="10"/>
        <w:numPr>
          <w:ilvl w:val="0"/>
          <w:numId w:val="0"/>
        </w:numPr>
        <w:rPr>
          <w:rFonts w:hint="eastAsia" w:ascii="仿宋" w:hAnsi="仿宋" w:eastAsia="仿宋" w:cs="仿宋"/>
          <w:sz w:val="28"/>
          <w:szCs w:val="28"/>
          <w:lang w:eastAsia="zh-CN"/>
        </w:rPr>
      </w:pPr>
      <w:r>
        <w:rPr>
          <w:rFonts w:hint="eastAsia" w:ascii="仿宋" w:hAnsi="仿宋" w:eastAsia="仿宋" w:cs="仿宋"/>
          <w:sz w:val="28"/>
          <w:szCs w:val="28"/>
          <w:lang w:eastAsia="zh-CN"/>
        </w:rPr>
        <w:t>（7)送风管道的安装质量（</w:t>
      </w:r>
      <w:r>
        <w:rPr>
          <w:rFonts w:hint="eastAsia" w:ascii="仿宋" w:hAnsi="仿宋" w:eastAsia="仿宋" w:cs="仿宋"/>
          <w:sz w:val="28"/>
          <w:szCs w:val="28"/>
          <w:lang w:val="en-US" w:eastAsia="zh-CN"/>
        </w:rPr>
        <w:t>8</w:t>
      </w:r>
      <w:r>
        <w:rPr>
          <w:rFonts w:hint="eastAsia" w:ascii="仿宋" w:hAnsi="仿宋" w:eastAsia="仿宋" w:cs="仿宋"/>
          <w:sz w:val="28"/>
          <w:szCs w:val="28"/>
          <w:lang w:eastAsia="zh-CN"/>
        </w:rPr>
        <w:t>）送风管道的安装位置（</w:t>
      </w:r>
      <w:r>
        <w:rPr>
          <w:rFonts w:hint="eastAsia" w:ascii="仿宋" w:hAnsi="仿宋" w:eastAsia="仿宋" w:cs="仿宋"/>
          <w:sz w:val="28"/>
          <w:szCs w:val="28"/>
          <w:lang w:val="en-US" w:eastAsia="zh-CN"/>
        </w:rPr>
        <w:t>9</w:t>
      </w:r>
      <w:r>
        <w:rPr>
          <w:rFonts w:hint="eastAsia" w:ascii="仿宋" w:hAnsi="仿宋" w:eastAsia="仿宋" w:cs="仿宋"/>
          <w:sz w:val="28"/>
          <w:szCs w:val="28"/>
          <w:lang w:eastAsia="zh-CN"/>
        </w:rPr>
        <w:t>)排烟管道的安装质量（</w:t>
      </w:r>
      <w:r>
        <w:rPr>
          <w:rFonts w:hint="eastAsia" w:ascii="仿宋" w:hAnsi="仿宋" w:eastAsia="仿宋" w:cs="仿宋"/>
          <w:sz w:val="28"/>
          <w:szCs w:val="28"/>
          <w:lang w:val="en-US" w:eastAsia="zh-CN"/>
        </w:rPr>
        <w:t>10</w:t>
      </w:r>
      <w:r>
        <w:rPr>
          <w:rFonts w:hint="eastAsia" w:ascii="仿宋" w:hAnsi="仿宋" w:eastAsia="仿宋" w:cs="仿宋"/>
          <w:sz w:val="28"/>
          <w:szCs w:val="28"/>
          <w:lang w:eastAsia="zh-CN"/>
        </w:rPr>
        <w:t>）排烟管道的安装位置（</w:t>
      </w:r>
      <w:r>
        <w:rPr>
          <w:rFonts w:hint="eastAsia" w:ascii="仿宋" w:hAnsi="仿宋" w:eastAsia="仿宋" w:cs="仿宋"/>
          <w:sz w:val="28"/>
          <w:szCs w:val="28"/>
          <w:lang w:val="en-US" w:eastAsia="zh-CN"/>
        </w:rPr>
        <w:t>11</w:t>
      </w:r>
      <w:r>
        <w:rPr>
          <w:rFonts w:hint="eastAsia" w:ascii="仿宋" w:hAnsi="仿宋" w:eastAsia="仿宋" w:cs="仿宋"/>
          <w:sz w:val="28"/>
          <w:szCs w:val="28"/>
          <w:lang w:eastAsia="zh-CN"/>
        </w:rPr>
        <w:t>）排烟防火阀检测</w:t>
      </w:r>
    </w:p>
    <w:p>
      <w:pPr>
        <w:pStyle w:val="10"/>
        <w:numPr>
          <w:ilvl w:val="0"/>
          <w:numId w:val="0"/>
        </w:numPr>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12</w:t>
      </w:r>
      <w:r>
        <w:rPr>
          <w:rFonts w:hint="eastAsia" w:ascii="仿宋" w:hAnsi="仿宋" w:eastAsia="仿宋" w:cs="仿宋"/>
          <w:sz w:val="28"/>
          <w:szCs w:val="28"/>
          <w:lang w:eastAsia="zh-CN"/>
        </w:rPr>
        <w:t>）正压送风手动控制功能（</w:t>
      </w:r>
      <w:r>
        <w:rPr>
          <w:rFonts w:hint="eastAsia" w:ascii="仿宋" w:hAnsi="仿宋" w:eastAsia="仿宋" w:cs="仿宋"/>
          <w:sz w:val="28"/>
          <w:szCs w:val="28"/>
          <w:lang w:val="en-US" w:eastAsia="zh-CN"/>
        </w:rPr>
        <w:t>13</w:t>
      </w:r>
      <w:r>
        <w:rPr>
          <w:rFonts w:hint="eastAsia" w:ascii="仿宋" w:hAnsi="仿宋" w:eastAsia="仿宋" w:cs="仿宋"/>
          <w:sz w:val="28"/>
          <w:szCs w:val="28"/>
          <w:lang w:eastAsia="zh-CN"/>
        </w:rPr>
        <w:t>）正压送风自动控制功能（</w:t>
      </w:r>
      <w:r>
        <w:rPr>
          <w:rFonts w:hint="eastAsia" w:ascii="仿宋" w:hAnsi="仿宋" w:eastAsia="仿宋" w:cs="仿宋"/>
          <w:sz w:val="28"/>
          <w:szCs w:val="28"/>
          <w:lang w:val="en-US" w:eastAsia="zh-CN"/>
        </w:rPr>
        <w:t>14</w:t>
      </w:r>
      <w:r>
        <w:rPr>
          <w:rFonts w:hint="eastAsia" w:ascii="仿宋" w:hAnsi="仿宋" w:eastAsia="仿宋" w:cs="仿宋"/>
          <w:sz w:val="28"/>
          <w:szCs w:val="28"/>
          <w:lang w:eastAsia="zh-CN"/>
        </w:rPr>
        <w:t>）机械排烟手动控制功能（</w:t>
      </w:r>
      <w:r>
        <w:rPr>
          <w:rFonts w:hint="eastAsia" w:ascii="仿宋" w:hAnsi="仿宋" w:eastAsia="仿宋" w:cs="仿宋"/>
          <w:sz w:val="28"/>
          <w:szCs w:val="28"/>
          <w:lang w:val="en-US" w:eastAsia="zh-CN"/>
        </w:rPr>
        <w:t>15</w:t>
      </w:r>
      <w:r>
        <w:rPr>
          <w:rFonts w:hint="eastAsia" w:ascii="仿宋" w:hAnsi="仿宋" w:eastAsia="仿宋" w:cs="仿宋"/>
          <w:sz w:val="28"/>
          <w:szCs w:val="28"/>
          <w:lang w:eastAsia="zh-CN"/>
        </w:rPr>
        <w:t>）机械排烟自动控制功能</w:t>
      </w:r>
    </w:p>
    <w:p>
      <w:pPr>
        <w:pStyle w:val="10"/>
        <w:numPr>
          <w:ilvl w:val="0"/>
          <w:numId w:val="0"/>
        </w:numPr>
        <w:rPr>
          <w:rFonts w:hint="eastAsia" w:ascii="仿宋" w:hAnsi="仿宋" w:eastAsia="仿宋" w:cs="仿宋"/>
          <w:sz w:val="28"/>
          <w:szCs w:val="28"/>
          <w:lang w:eastAsia="zh-CN"/>
        </w:rPr>
      </w:pP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防火卷帘、防火门、挡烟垂壁</w:t>
      </w:r>
    </w:p>
    <w:p>
      <w:pPr>
        <w:pStyle w:val="10"/>
        <w:numPr>
          <w:ilvl w:val="0"/>
          <w:numId w:val="0"/>
        </w:numPr>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）防火卷帘门运行功能（</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）防火卷帘门回复功能（</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）防火卷帘门信号反馈功能（</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）防火卷帘门的手动控制功能（</w:t>
      </w: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）防火卷帘门的自动控制功能（</w:t>
      </w:r>
      <w:r>
        <w:rPr>
          <w:rFonts w:hint="eastAsia" w:ascii="仿宋" w:hAnsi="仿宋" w:eastAsia="仿宋" w:cs="仿宋"/>
          <w:sz w:val="28"/>
          <w:szCs w:val="28"/>
          <w:lang w:val="en-US" w:eastAsia="zh-CN"/>
        </w:rPr>
        <w:t>6</w:t>
      </w:r>
      <w:r>
        <w:rPr>
          <w:rFonts w:hint="eastAsia" w:ascii="仿宋" w:hAnsi="仿宋" w:eastAsia="仿宋" w:cs="仿宋"/>
          <w:sz w:val="28"/>
          <w:szCs w:val="28"/>
          <w:lang w:eastAsia="zh-CN"/>
        </w:rPr>
        <w:t>）电动防火门安装质量（</w:t>
      </w:r>
      <w:r>
        <w:rPr>
          <w:rFonts w:hint="eastAsia" w:ascii="仿宋" w:hAnsi="仿宋" w:eastAsia="仿宋" w:cs="仿宋"/>
          <w:sz w:val="28"/>
          <w:szCs w:val="28"/>
          <w:lang w:val="en-US" w:eastAsia="zh-CN"/>
        </w:rPr>
        <w:t>7</w:t>
      </w:r>
      <w:r>
        <w:rPr>
          <w:rFonts w:hint="eastAsia" w:ascii="仿宋" w:hAnsi="仿宋" w:eastAsia="仿宋" w:cs="仿宋"/>
          <w:sz w:val="28"/>
          <w:szCs w:val="28"/>
          <w:lang w:eastAsia="zh-CN"/>
        </w:rPr>
        <w:t>）电动防火门顺序关闭功能（</w:t>
      </w:r>
      <w:r>
        <w:rPr>
          <w:rFonts w:hint="eastAsia" w:ascii="仿宋" w:hAnsi="仿宋" w:eastAsia="仿宋" w:cs="仿宋"/>
          <w:sz w:val="28"/>
          <w:szCs w:val="28"/>
          <w:lang w:val="en-US" w:eastAsia="zh-CN"/>
        </w:rPr>
        <w:t>8</w:t>
      </w:r>
      <w:r>
        <w:rPr>
          <w:rFonts w:hint="eastAsia" w:ascii="仿宋" w:hAnsi="仿宋" w:eastAsia="仿宋" w:cs="仿宋"/>
          <w:sz w:val="28"/>
          <w:szCs w:val="28"/>
          <w:lang w:eastAsia="zh-CN"/>
        </w:rPr>
        <w:t>)电动防火门开启方向（</w:t>
      </w:r>
      <w:r>
        <w:rPr>
          <w:rFonts w:hint="eastAsia" w:ascii="仿宋" w:hAnsi="仿宋" w:eastAsia="仿宋" w:cs="仿宋"/>
          <w:sz w:val="28"/>
          <w:szCs w:val="28"/>
          <w:lang w:val="en-US" w:eastAsia="zh-CN"/>
        </w:rPr>
        <w:t>9</w:t>
      </w:r>
      <w:r>
        <w:rPr>
          <w:rFonts w:hint="eastAsia" w:ascii="仿宋" w:hAnsi="仿宋" w:eastAsia="仿宋" w:cs="仿宋"/>
          <w:sz w:val="28"/>
          <w:szCs w:val="28"/>
          <w:lang w:eastAsia="zh-CN"/>
        </w:rPr>
        <w:t>）电动防火门自动关闭功能</w:t>
      </w:r>
    </w:p>
    <w:p>
      <w:pPr>
        <w:pStyle w:val="10"/>
        <w:numPr>
          <w:ilvl w:val="0"/>
          <w:numId w:val="0"/>
        </w:numPr>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10</w:t>
      </w:r>
      <w:r>
        <w:rPr>
          <w:rFonts w:hint="eastAsia" w:ascii="仿宋" w:hAnsi="仿宋" w:eastAsia="仿宋" w:cs="仿宋"/>
          <w:sz w:val="28"/>
          <w:szCs w:val="28"/>
          <w:lang w:eastAsia="zh-CN"/>
        </w:rPr>
        <w:t>）钢制、木制防火门安装质量（</w:t>
      </w:r>
      <w:r>
        <w:rPr>
          <w:rFonts w:hint="eastAsia" w:ascii="仿宋" w:hAnsi="仿宋" w:eastAsia="仿宋" w:cs="仿宋"/>
          <w:sz w:val="28"/>
          <w:szCs w:val="28"/>
          <w:lang w:val="en-US" w:eastAsia="zh-CN"/>
        </w:rPr>
        <w:t>11</w:t>
      </w:r>
      <w:r>
        <w:rPr>
          <w:rFonts w:hint="eastAsia" w:ascii="仿宋" w:hAnsi="仿宋" w:eastAsia="仿宋" w:cs="仿宋"/>
          <w:sz w:val="28"/>
          <w:szCs w:val="28"/>
          <w:lang w:eastAsia="zh-CN"/>
        </w:rPr>
        <w:t>）钢制、木制防火门自动关闭（</w:t>
      </w:r>
      <w:r>
        <w:rPr>
          <w:rFonts w:hint="eastAsia" w:ascii="仿宋" w:hAnsi="仿宋" w:eastAsia="仿宋" w:cs="仿宋"/>
          <w:sz w:val="28"/>
          <w:szCs w:val="28"/>
          <w:lang w:val="en-US" w:eastAsia="zh-CN"/>
        </w:rPr>
        <w:t>12</w:t>
      </w:r>
      <w:r>
        <w:rPr>
          <w:rFonts w:hint="eastAsia" w:ascii="仿宋" w:hAnsi="仿宋" w:eastAsia="仿宋" w:cs="仿宋"/>
          <w:sz w:val="28"/>
          <w:szCs w:val="28"/>
          <w:lang w:eastAsia="zh-CN"/>
        </w:rPr>
        <w:t>）钢制、木制防火门顺序关闭功能。</w:t>
      </w:r>
    </w:p>
    <w:p>
      <w:pPr>
        <w:pStyle w:val="10"/>
        <w:numPr>
          <w:ilvl w:val="0"/>
          <w:numId w:val="0"/>
        </w:numPr>
        <w:rPr>
          <w:rFonts w:hint="eastAsia" w:ascii="仿宋" w:hAnsi="仿宋" w:eastAsia="仿宋" w:cs="仿宋"/>
          <w:sz w:val="28"/>
          <w:szCs w:val="28"/>
          <w:lang w:eastAsia="zh-CN"/>
        </w:rPr>
      </w:pPr>
      <w:r>
        <w:rPr>
          <w:rFonts w:hint="eastAsia" w:ascii="仿宋" w:hAnsi="仿宋" w:eastAsia="仿宋" w:cs="仿宋"/>
          <w:sz w:val="28"/>
          <w:szCs w:val="28"/>
          <w:lang w:val="en-US" w:eastAsia="zh-CN"/>
        </w:rPr>
        <w:t>6.</w:t>
      </w:r>
      <w:r>
        <w:rPr>
          <w:rFonts w:hint="eastAsia" w:ascii="仿宋" w:hAnsi="仿宋" w:eastAsia="仿宋" w:cs="仿宋"/>
          <w:sz w:val="28"/>
          <w:szCs w:val="28"/>
          <w:lang w:eastAsia="zh-CN"/>
        </w:rPr>
        <w:t>应急照明及安全疏散系统</w:t>
      </w:r>
    </w:p>
    <w:p>
      <w:pPr>
        <w:pStyle w:val="10"/>
        <w:numPr>
          <w:ilvl w:val="0"/>
          <w:numId w:val="3"/>
        </w:numPr>
        <w:rPr>
          <w:rFonts w:hint="eastAsia" w:ascii="仿宋" w:hAnsi="仿宋" w:eastAsia="仿宋" w:cs="仿宋"/>
          <w:sz w:val="28"/>
          <w:szCs w:val="28"/>
          <w:lang w:eastAsia="zh-CN"/>
        </w:rPr>
      </w:pPr>
      <w:r>
        <w:rPr>
          <w:rFonts w:hint="eastAsia" w:ascii="仿宋" w:hAnsi="仿宋" w:eastAsia="仿宋" w:cs="仿宋"/>
          <w:sz w:val="28"/>
          <w:szCs w:val="28"/>
          <w:lang w:eastAsia="zh-CN"/>
        </w:rPr>
        <w:t>应急照明灯的安装质量（</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）应急照明的照度（</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）应急照明灯的强制切断功能（</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）疏散指示灯的安装质量（</w:t>
      </w: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）疏散指示灯的应急转换功能</w:t>
      </w:r>
    </w:p>
    <w:p>
      <w:pPr>
        <w:pStyle w:val="10"/>
        <w:numPr>
          <w:ilvl w:val="0"/>
          <w:numId w:val="0"/>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7.灭火器</w:t>
      </w:r>
    </w:p>
    <w:p>
      <w:pPr>
        <w:pStyle w:val="10"/>
        <w:numPr>
          <w:ilvl w:val="0"/>
          <w:numId w:val="0"/>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（1）灭火器的型号规格（2）灭火器的种类（3）灭火器的安装位置</w:t>
      </w:r>
    </w:p>
    <w:p>
      <w:pPr>
        <w:pStyle w:val="10"/>
        <w:numPr>
          <w:ilvl w:val="0"/>
          <w:numId w:val="0"/>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8.建筑的防火间距、安全疏散的距离、楼梯间的布置、设备用房的平面布局。</w:t>
      </w:r>
    </w:p>
    <w:p>
      <w:pPr>
        <w:pStyle w:val="10"/>
        <w:numPr>
          <w:ilvl w:val="0"/>
          <w:numId w:val="0"/>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9.气体灭火系统</w:t>
      </w:r>
    </w:p>
    <w:p>
      <w:pPr>
        <w:pStyle w:val="10"/>
        <w:numPr>
          <w:ilvl w:val="0"/>
          <w:numId w:val="0"/>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 消防检测的依据</w:t>
      </w:r>
    </w:p>
    <w:p>
      <w:pPr>
        <w:pStyle w:val="10"/>
        <w:numPr>
          <w:ilvl w:val="0"/>
          <w:numId w:val="0"/>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1.《建筑消防设施检测技术规范》XF503-2004</w:t>
      </w:r>
    </w:p>
    <w:p>
      <w:pPr>
        <w:pStyle w:val="10"/>
        <w:numPr>
          <w:ilvl w:val="0"/>
          <w:numId w:val="0"/>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2.《建筑设计防火规范》GB50016-2014(2018 版)</w:t>
      </w:r>
    </w:p>
    <w:p>
      <w:pPr>
        <w:pStyle w:val="10"/>
        <w:numPr>
          <w:ilvl w:val="0"/>
          <w:numId w:val="0"/>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3《火灾自动报警系统设计规范》GB50116-2013</w:t>
      </w:r>
    </w:p>
    <w:p>
      <w:pPr>
        <w:pStyle w:val="10"/>
        <w:numPr>
          <w:ilvl w:val="0"/>
          <w:numId w:val="0"/>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4《火灾自动报警系统施工验收规范》GB50166-2019</w:t>
      </w:r>
    </w:p>
    <w:p>
      <w:pPr>
        <w:pStyle w:val="10"/>
        <w:numPr>
          <w:ilvl w:val="0"/>
          <w:numId w:val="0"/>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5《自动喷水灭火系统设计规范》 GB50084-2017</w:t>
      </w:r>
    </w:p>
    <w:p>
      <w:pPr>
        <w:pStyle w:val="10"/>
        <w:numPr>
          <w:ilvl w:val="0"/>
          <w:numId w:val="0"/>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6《自动喷水灭火系统施工及验收规范》GB50261-2017</w:t>
      </w:r>
    </w:p>
    <w:p>
      <w:pPr>
        <w:pStyle w:val="10"/>
        <w:numPr>
          <w:ilvl w:val="0"/>
          <w:numId w:val="0"/>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7《固定消防炮灭火系统设计规范》GB50338-2003</w:t>
      </w:r>
    </w:p>
    <w:p>
      <w:pPr>
        <w:pStyle w:val="10"/>
        <w:numPr>
          <w:ilvl w:val="0"/>
          <w:numId w:val="0"/>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8《建筑工程消防验收规范》DB 33 1067—2010</w:t>
      </w:r>
    </w:p>
    <w:p>
      <w:pPr>
        <w:pStyle w:val="10"/>
        <w:numPr>
          <w:ilvl w:val="0"/>
          <w:numId w:val="0"/>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9《气体灭火系统设计规范》GB50370-2005</w:t>
      </w:r>
    </w:p>
    <w:p>
      <w:pPr>
        <w:pStyle w:val="10"/>
        <w:numPr>
          <w:ilvl w:val="0"/>
          <w:numId w:val="0"/>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10《气体灭火系统施工及验收规范》GB50263-2007</w:t>
      </w:r>
    </w:p>
    <w:p>
      <w:pPr>
        <w:pStyle w:val="10"/>
        <w:numPr>
          <w:ilvl w:val="0"/>
          <w:numId w:val="0"/>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11《建筑灭火器配置验收与检查规范》GB50444-2008</w:t>
      </w:r>
    </w:p>
    <w:p>
      <w:pPr>
        <w:pStyle w:val="10"/>
        <w:numPr>
          <w:ilvl w:val="0"/>
          <w:numId w:val="0"/>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12《建筑灭火器配置设计规范》GB50140-2005</w:t>
      </w:r>
    </w:p>
    <w:p>
      <w:pPr>
        <w:pStyle w:val="10"/>
        <w:numPr>
          <w:ilvl w:val="0"/>
          <w:numId w:val="0"/>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13《消防电梯制造与安装安全规范》GB26464-2011</w:t>
      </w:r>
    </w:p>
    <w:p>
      <w:pPr>
        <w:pStyle w:val="10"/>
        <w:numPr>
          <w:ilvl w:val="0"/>
          <w:numId w:val="0"/>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14《建筑防烟排烟系统技术标准》GB51251-2017</w:t>
      </w:r>
    </w:p>
    <w:p>
      <w:pPr>
        <w:pStyle w:val="10"/>
        <w:numPr>
          <w:ilvl w:val="0"/>
          <w:numId w:val="0"/>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15《汽车库、修车库、停车场设计防火规范》GB50067-2014</w:t>
      </w:r>
    </w:p>
    <w:p>
      <w:pPr>
        <w:pStyle w:val="5"/>
        <w:ind w:firstLine="480"/>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70" w:firstLineChars="196"/>
        <w:textAlignment w:val="auto"/>
        <w:rPr>
          <w:rFonts w:hint="eastAsia" w:ascii="黑体" w:hAnsi="黑体" w:eastAsia="黑体" w:cs="黑体"/>
          <w:b w:val="0"/>
          <w:bCs/>
          <w:sz w:val="24"/>
          <w:lang w:val="en-US" w:eastAsia="zh-CN"/>
        </w:rPr>
      </w:pPr>
      <w:r>
        <w:rPr>
          <w:rFonts w:hint="eastAsia" w:ascii="黑体" w:hAnsi="黑体" w:eastAsia="黑体" w:cs="黑体"/>
          <w:b w:val="0"/>
          <w:bCs/>
          <w:sz w:val="24"/>
          <w:lang w:val="en-US" w:eastAsia="zh-CN"/>
        </w:rPr>
        <w:t>2.项目属性：服务</w:t>
      </w:r>
    </w:p>
    <w:p>
      <w:pPr>
        <w:keepNext w:val="0"/>
        <w:keepLines w:val="0"/>
        <w:pageBreakBefore w:val="0"/>
        <w:widowControl w:val="0"/>
        <w:kinsoku/>
        <w:wordWrap/>
        <w:overflowPunct/>
        <w:topLinePunct w:val="0"/>
        <w:autoSpaceDE/>
        <w:autoSpaceDN/>
        <w:bidi w:val="0"/>
        <w:adjustRightInd/>
        <w:snapToGrid/>
        <w:spacing w:line="360" w:lineRule="auto"/>
        <w:ind w:firstLine="470" w:firstLineChars="196"/>
        <w:textAlignment w:val="auto"/>
        <w:rPr>
          <w:rFonts w:hint="default"/>
          <w:lang w:val="en-US"/>
        </w:rPr>
      </w:pPr>
      <w:r>
        <w:rPr>
          <w:rFonts w:hint="eastAsia" w:ascii="黑体" w:hAnsi="黑体" w:eastAsia="黑体" w:cs="黑体"/>
          <w:b w:val="0"/>
          <w:bCs/>
          <w:sz w:val="24"/>
          <w:lang w:val="en-US" w:eastAsia="zh-CN"/>
        </w:rPr>
        <w:t>3.</w:t>
      </w:r>
      <w:r>
        <w:rPr>
          <w:rFonts w:hint="eastAsia" w:ascii="黑体" w:hAnsi="黑体" w:eastAsia="黑体" w:cs="黑体"/>
          <w:b w:val="0"/>
          <w:bCs/>
          <w:sz w:val="24"/>
          <w:highlight w:val="none"/>
          <w:lang w:val="en-US" w:eastAsia="zh-CN"/>
        </w:rPr>
        <w:t>服务期：</w:t>
      </w:r>
      <w:r>
        <w:rPr>
          <w:rFonts w:hint="eastAsia" w:ascii="黑体" w:hAnsi="黑体" w:eastAsia="黑体" w:cs="黑体"/>
          <w:b w:val="0"/>
          <w:bCs/>
          <w:color w:val="auto"/>
          <w:sz w:val="24"/>
          <w:highlight w:val="none"/>
          <w:lang w:val="en-US" w:eastAsia="zh-CN"/>
        </w:rPr>
        <w:t>45日历日</w:t>
      </w:r>
    </w:p>
    <w:p>
      <w:pPr>
        <w:keepNext w:val="0"/>
        <w:keepLines w:val="0"/>
        <w:pageBreakBefore w:val="0"/>
        <w:kinsoku/>
        <w:wordWrap/>
        <w:overflowPunct/>
        <w:topLinePunct w:val="0"/>
        <w:autoSpaceDE/>
        <w:autoSpaceDN/>
        <w:bidi w:val="0"/>
        <w:adjustRightInd/>
        <w:snapToGrid/>
        <w:spacing w:line="360" w:lineRule="auto"/>
        <w:ind w:firstLine="472" w:firstLineChars="196"/>
        <w:textAlignment w:val="auto"/>
        <w:rPr>
          <w:rFonts w:hint="default" w:eastAsia="黑体"/>
          <w:highlight w:val="yellow"/>
          <w:lang w:val="en-US" w:eastAsia="zh-CN"/>
        </w:rPr>
      </w:pPr>
      <w:r>
        <w:rPr>
          <w:rFonts w:hint="eastAsia" w:ascii="黑体" w:hAnsi="黑体" w:eastAsia="黑体" w:cs="黑体"/>
          <w:b/>
          <w:sz w:val="24"/>
        </w:rPr>
        <w:t>预算金额：</w:t>
      </w:r>
      <w:r>
        <w:rPr>
          <w:rFonts w:hint="eastAsia" w:ascii="黑体" w:hAnsi="黑体" w:eastAsia="黑体" w:cs="黑体"/>
          <w:b/>
          <w:sz w:val="24"/>
          <w:lang w:val="en-US" w:eastAsia="zh-CN"/>
        </w:rPr>
        <w:t>412000.00</w:t>
      </w:r>
      <w:r>
        <w:rPr>
          <w:rFonts w:hint="eastAsia" w:ascii="黑体" w:hAnsi="黑体" w:eastAsia="黑体" w:cs="黑体"/>
          <w:sz w:val="24"/>
        </w:rPr>
        <w:t>元</w:t>
      </w:r>
    </w:p>
    <w:p>
      <w:pPr>
        <w:keepNext w:val="0"/>
        <w:keepLines w:val="0"/>
        <w:pageBreakBefore w:val="0"/>
        <w:numPr>
          <w:ilvl w:val="0"/>
          <w:numId w:val="4"/>
        </w:numPr>
        <w:kinsoku/>
        <w:wordWrap/>
        <w:overflowPunct/>
        <w:topLinePunct w:val="0"/>
        <w:autoSpaceDE/>
        <w:autoSpaceDN/>
        <w:bidi w:val="0"/>
        <w:adjustRightInd/>
        <w:snapToGrid/>
        <w:spacing w:line="360" w:lineRule="auto"/>
        <w:ind w:firstLine="482" w:firstLineChars="200"/>
        <w:textAlignment w:val="auto"/>
        <w:rPr>
          <w:rFonts w:hint="eastAsia" w:ascii="黑体" w:hAnsi="黑体" w:eastAsia="黑体" w:cs="黑体"/>
          <w:b/>
          <w:sz w:val="24"/>
        </w:rPr>
      </w:pPr>
      <w:r>
        <w:rPr>
          <w:rFonts w:hint="eastAsia" w:ascii="黑体" w:hAnsi="黑体" w:eastAsia="黑体" w:cs="黑体"/>
          <w:b/>
          <w:sz w:val="24"/>
        </w:rPr>
        <w:t>供应商资格要求：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黑体" w:hAnsi="黑体" w:eastAsia="黑体" w:cs="黑体"/>
          <w:b/>
          <w:bCs/>
          <w:i w:val="0"/>
          <w:caps w:val="0"/>
          <w:color w:val="auto"/>
          <w:spacing w:val="0"/>
          <w:sz w:val="24"/>
          <w:szCs w:val="24"/>
          <w:shd w:val="clear" w:color="auto" w:fill="FFFFFF"/>
        </w:rPr>
      </w:pPr>
      <w:r>
        <w:rPr>
          <w:rFonts w:hint="eastAsia" w:ascii="黑体" w:hAnsi="黑体" w:eastAsia="黑体" w:cs="黑体"/>
          <w:b/>
          <w:bCs/>
          <w:i w:val="0"/>
          <w:caps w:val="0"/>
          <w:color w:val="auto"/>
          <w:spacing w:val="0"/>
          <w:sz w:val="24"/>
          <w:szCs w:val="24"/>
          <w:shd w:val="clear" w:color="auto" w:fill="FFFFFF"/>
          <w:lang w:val="en-US" w:eastAsia="zh-CN"/>
        </w:rPr>
        <w:t>1</w:t>
      </w:r>
      <w:r>
        <w:rPr>
          <w:rFonts w:hint="eastAsia" w:ascii="黑体" w:hAnsi="黑体" w:eastAsia="黑体" w:cs="黑体"/>
          <w:b/>
          <w:bCs/>
          <w:i w:val="0"/>
          <w:caps w:val="0"/>
          <w:color w:val="auto"/>
          <w:spacing w:val="0"/>
          <w:sz w:val="24"/>
          <w:szCs w:val="24"/>
          <w:shd w:val="clear" w:color="auto" w:fill="FFFFFF"/>
        </w:rPr>
        <w:t>、落实政府采购政策需满足的资格要求：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color="auto" w:fill="FFFFFF"/>
          <w:vertAlign w:val="baseline"/>
        </w:rPr>
        <w:t>1.满足《中华人民共和国政府采购法》第二十二条规定;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color="auto" w:fill="FFFFFF"/>
          <w:vertAlign w:val="baseline"/>
        </w:rPr>
        <w:t>2.落实政府采购政策需满足的资格要求：</w:t>
      </w:r>
    </w:p>
    <w:p>
      <w:pPr>
        <w:keepNext w:val="0"/>
        <w:keepLines w:val="0"/>
        <w:pageBreakBefore w:val="0"/>
        <w:widowControl w:val="0"/>
        <w:kinsoku/>
        <w:wordWrap/>
        <w:overflowPunct/>
        <w:topLinePunct w:val="0"/>
        <w:autoSpaceDE/>
        <w:autoSpaceDN/>
        <w:bidi w:val="0"/>
        <w:adjustRightInd/>
        <w:snapToGrid/>
        <w:spacing w:line="460" w:lineRule="exact"/>
        <w:ind w:firstLine="411" w:firstLineChars="196"/>
        <w:textAlignment w:val="auto"/>
        <w:rPr>
          <w:sz w:val="21"/>
          <w:szCs w:val="21"/>
        </w:rPr>
      </w:pPr>
      <w:r>
        <w:rPr>
          <w:rFonts w:hint="eastAsia" w:ascii="微软雅黑" w:hAnsi="微软雅黑" w:eastAsia="微软雅黑" w:cs="微软雅黑"/>
          <w:i w:val="0"/>
          <w:iCs w:val="0"/>
          <w:caps w:val="0"/>
          <w:color w:val="333333"/>
          <w:spacing w:val="0"/>
          <w:sz w:val="21"/>
          <w:szCs w:val="21"/>
          <w:shd w:val="clear" w:color="auto" w:fill="FFFFFF"/>
          <w:vertAlign w:val="baseline"/>
        </w:rPr>
        <w:t>合同包1(采购政府主导开发建设小区工程质量安全鉴定)落实政府采购政策需满足的资格要求如下: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微软雅黑" w:hAnsi="微软雅黑" w:eastAsia="微软雅黑" w:cs="微软雅黑"/>
          <w:i w:val="0"/>
          <w:iCs w:val="0"/>
          <w:caps w:val="0"/>
          <w:color w:val="333333"/>
          <w:spacing w:val="0"/>
          <w:sz w:val="21"/>
          <w:szCs w:val="21"/>
          <w:shd w:val="clear" w:color="auto" w:fill="FFFFFF"/>
          <w:vertAlign w:val="baseline"/>
        </w:rPr>
      </w:pPr>
      <w:r>
        <w:rPr>
          <w:rFonts w:hint="eastAsia" w:ascii="微软雅黑" w:hAnsi="微软雅黑" w:eastAsia="微软雅黑" w:cs="微软雅黑"/>
          <w:i w:val="0"/>
          <w:iCs w:val="0"/>
          <w:caps w:val="0"/>
          <w:color w:val="333333"/>
          <w:spacing w:val="0"/>
          <w:sz w:val="21"/>
          <w:szCs w:val="21"/>
          <w:shd w:val="clear" w:color="auto" w:fill="FFFFFF"/>
          <w:vertAlign w:val="baseline"/>
        </w:rPr>
        <w:t>2.1财政部财库〔2020〕46号关于印发《政府采购促进中小企业发展管理办法》的通知；</w:t>
      </w:r>
      <w:r>
        <w:rPr>
          <w:rFonts w:hint="eastAsia" w:ascii="微软雅黑" w:hAnsi="微软雅黑" w:eastAsia="微软雅黑" w:cs="微软雅黑"/>
          <w:i w:val="0"/>
          <w:iCs w:val="0"/>
          <w:caps w:val="0"/>
          <w:color w:val="333333"/>
          <w:spacing w:val="0"/>
          <w:sz w:val="21"/>
          <w:szCs w:val="21"/>
          <w:shd w:val="clear" w:color="auto" w:fill="FFFFFF"/>
          <w:vertAlign w:val="baseline"/>
        </w:rPr>
        <w:br w:type="textWrapping"/>
      </w:r>
      <w:r>
        <w:rPr>
          <w:rFonts w:hint="eastAsia" w:ascii="微软雅黑" w:hAnsi="微软雅黑" w:eastAsia="微软雅黑" w:cs="微软雅黑"/>
          <w:i w:val="0"/>
          <w:iCs w:val="0"/>
          <w:caps w:val="0"/>
          <w:color w:val="333333"/>
          <w:spacing w:val="0"/>
          <w:sz w:val="21"/>
          <w:szCs w:val="21"/>
          <w:shd w:val="clear" w:color="auto" w:fill="FFFFFF"/>
          <w:vertAlign w:val="baseline"/>
        </w:rPr>
        <w:t>2.2《财政部司法部关于政府采购支持监狱企业发展有关问题的通知》（财库〔2014〕68号）；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shd w:val="clear" w:color="auto" w:fill="FFFFFF"/>
          <w:vertAlign w:val="baseline"/>
        </w:rPr>
        <w:br w:type="textWrapping"/>
      </w:r>
      <w:r>
        <w:rPr>
          <w:rFonts w:hint="eastAsia" w:ascii="微软雅黑" w:hAnsi="微软雅黑" w:eastAsia="微软雅黑" w:cs="微软雅黑"/>
          <w:i w:val="0"/>
          <w:iCs w:val="0"/>
          <w:caps w:val="0"/>
          <w:color w:val="333333"/>
          <w:spacing w:val="0"/>
          <w:sz w:val="21"/>
          <w:szCs w:val="21"/>
          <w:shd w:val="clear" w:color="auto" w:fill="FFFFFF"/>
          <w:vertAlign w:val="baseline"/>
        </w:rPr>
        <w:t>2.3《国务院办公厅关于建立政府强制采购节能产品制度的通知》（国办发〔2007〕51号）；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shd w:val="clear" w:color="auto" w:fill="FFFFFF"/>
          <w:vertAlign w:val="baseline"/>
        </w:rPr>
        <w:br w:type="textWrapping"/>
      </w:r>
      <w:r>
        <w:rPr>
          <w:rFonts w:hint="eastAsia" w:ascii="微软雅黑" w:hAnsi="微软雅黑" w:eastAsia="微软雅黑" w:cs="微软雅黑"/>
          <w:i w:val="0"/>
          <w:iCs w:val="0"/>
          <w:caps w:val="0"/>
          <w:color w:val="333333"/>
          <w:spacing w:val="0"/>
          <w:sz w:val="21"/>
          <w:szCs w:val="21"/>
          <w:shd w:val="clear" w:color="auto" w:fill="FFFFFF"/>
          <w:vertAlign w:val="baseline"/>
        </w:rPr>
        <w:t>2.4《节能产品政府采购实施意见》（财库[2004]185号）；</w:t>
      </w:r>
      <w:r>
        <w:rPr>
          <w:rFonts w:hint="eastAsia" w:ascii="微软雅黑" w:hAnsi="微软雅黑" w:eastAsia="微软雅黑" w:cs="微软雅黑"/>
          <w:i w:val="0"/>
          <w:iCs w:val="0"/>
          <w:caps w:val="0"/>
          <w:color w:val="333333"/>
          <w:spacing w:val="0"/>
          <w:sz w:val="21"/>
          <w:szCs w:val="21"/>
          <w:shd w:val="clear" w:color="auto" w:fill="FFFFFF"/>
          <w:vertAlign w:val="baseline"/>
        </w:rPr>
        <w:br w:type="textWrapping"/>
      </w:r>
      <w:r>
        <w:rPr>
          <w:rFonts w:hint="eastAsia" w:ascii="微软雅黑" w:hAnsi="微软雅黑" w:eastAsia="微软雅黑" w:cs="微软雅黑"/>
          <w:i w:val="0"/>
          <w:iCs w:val="0"/>
          <w:caps w:val="0"/>
          <w:color w:val="333333"/>
          <w:spacing w:val="0"/>
          <w:sz w:val="21"/>
          <w:szCs w:val="21"/>
          <w:shd w:val="clear" w:color="auto" w:fill="FFFFFF"/>
          <w:vertAlign w:val="baseline"/>
        </w:rPr>
        <w:t>2.5陕西省财政厅关于印发《陕西省中小企业政府采购信用融资办法》（陕财办采〔2018〕23号）； </w:t>
      </w:r>
      <w:r>
        <w:rPr>
          <w:rFonts w:hint="eastAsia" w:ascii="微软雅黑" w:hAnsi="微软雅黑" w:eastAsia="微软雅黑" w:cs="微软雅黑"/>
          <w:i w:val="0"/>
          <w:iCs w:val="0"/>
          <w:caps w:val="0"/>
          <w:color w:val="333333"/>
          <w:spacing w:val="0"/>
          <w:sz w:val="21"/>
          <w:szCs w:val="21"/>
          <w:shd w:val="clear" w:color="auto" w:fill="FFFFFF"/>
          <w:vertAlign w:val="baseline"/>
        </w:rPr>
        <w:br w:type="textWrapping"/>
      </w:r>
      <w:r>
        <w:rPr>
          <w:rFonts w:hint="eastAsia" w:ascii="微软雅黑" w:hAnsi="微软雅黑" w:eastAsia="微软雅黑" w:cs="微软雅黑"/>
          <w:i w:val="0"/>
          <w:iCs w:val="0"/>
          <w:caps w:val="0"/>
          <w:color w:val="333333"/>
          <w:spacing w:val="0"/>
          <w:sz w:val="21"/>
          <w:szCs w:val="21"/>
          <w:shd w:val="clear" w:color="auto" w:fill="FFFFFF"/>
          <w:vertAlign w:val="baseline"/>
        </w:rPr>
        <w:t>2.6《关于在政府采购活动中查询及使用信用记录有关问题的通知》（财库〔2016〕125号）；</w:t>
      </w:r>
      <w:r>
        <w:rPr>
          <w:rFonts w:hint="eastAsia" w:ascii="微软雅黑" w:hAnsi="微软雅黑" w:eastAsia="微软雅黑" w:cs="微软雅黑"/>
          <w:i w:val="0"/>
          <w:iCs w:val="0"/>
          <w:caps w:val="0"/>
          <w:color w:val="333333"/>
          <w:spacing w:val="0"/>
          <w:sz w:val="21"/>
          <w:szCs w:val="21"/>
          <w:shd w:val="clear" w:color="auto" w:fill="FFFFFF"/>
          <w:vertAlign w:val="baseline"/>
        </w:rPr>
        <w:br w:type="textWrapping"/>
      </w:r>
      <w:r>
        <w:rPr>
          <w:rFonts w:hint="eastAsia" w:ascii="微软雅黑" w:hAnsi="微软雅黑" w:eastAsia="微软雅黑" w:cs="微软雅黑"/>
          <w:i w:val="0"/>
          <w:iCs w:val="0"/>
          <w:caps w:val="0"/>
          <w:color w:val="333333"/>
          <w:spacing w:val="0"/>
          <w:sz w:val="21"/>
          <w:szCs w:val="21"/>
          <w:shd w:val="clear" w:color="auto" w:fill="FFFFFF"/>
          <w:vertAlign w:val="baseline"/>
        </w:rPr>
        <w:t>2.7《环境标志产品政府采购实施的意见》（财库[2006]90号）； </w:t>
      </w:r>
      <w:r>
        <w:rPr>
          <w:rFonts w:hint="eastAsia" w:ascii="微软雅黑" w:hAnsi="微软雅黑" w:eastAsia="微软雅黑" w:cs="微软雅黑"/>
          <w:i w:val="0"/>
          <w:iCs w:val="0"/>
          <w:caps w:val="0"/>
          <w:color w:val="333333"/>
          <w:spacing w:val="0"/>
          <w:sz w:val="21"/>
          <w:szCs w:val="21"/>
          <w:shd w:val="clear" w:color="auto" w:fill="FFFFFF"/>
          <w:vertAlign w:val="baseline"/>
        </w:rPr>
        <w:br w:type="textWrapping"/>
      </w:r>
      <w:r>
        <w:rPr>
          <w:rFonts w:hint="eastAsia" w:ascii="微软雅黑" w:hAnsi="微软雅黑" w:eastAsia="微软雅黑" w:cs="微软雅黑"/>
          <w:i w:val="0"/>
          <w:iCs w:val="0"/>
          <w:caps w:val="0"/>
          <w:color w:val="333333"/>
          <w:spacing w:val="0"/>
          <w:sz w:val="21"/>
          <w:szCs w:val="21"/>
          <w:shd w:val="clear" w:color="auto" w:fill="FFFFFF"/>
          <w:vertAlign w:val="baseline"/>
        </w:rPr>
        <w:t>2.8《三部门联合发布关于促进残疾人就业政府采购政策的通知》（财库〔2017〕141号）；</w:t>
      </w:r>
      <w:r>
        <w:rPr>
          <w:rFonts w:hint="eastAsia" w:ascii="微软雅黑" w:hAnsi="微软雅黑" w:eastAsia="微软雅黑" w:cs="微软雅黑"/>
          <w:i w:val="0"/>
          <w:iCs w:val="0"/>
          <w:caps w:val="0"/>
          <w:color w:val="333333"/>
          <w:spacing w:val="0"/>
          <w:sz w:val="21"/>
          <w:szCs w:val="21"/>
          <w:shd w:val="clear" w:color="auto" w:fill="FFFFFF"/>
          <w:vertAlign w:val="baseline"/>
        </w:rPr>
        <w:br w:type="textWrapping"/>
      </w:r>
      <w:r>
        <w:rPr>
          <w:rFonts w:hint="eastAsia" w:ascii="微软雅黑" w:hAnsi="微软雅黑" w:eastAsia="微软雅黑" w:cs="微软雅黑"/>
          <w:i w:val="0"/>
          <w:iCs w:val="0"/>
          <w:caps w:val="0"/>
          <w:color w:val="333333"/>
          <w:spacing w:val="0"/>
          <w:sz w:val="21"/>
          <w:szCs w:val="21"/>
          <w:shd w:val="clear" w:color="auto" w:fill="FFFFFF"/>
          <w:vertAlign w:val="baseline"/>
        </w:rPr>
        <w:t>2.9《财政部 发展改革委 生态环境部 市场监管总局关于调整优化节能产品、环境标志产品政府采购执行机制的通知》（财库〔2019〕9号）； </w:t>
      </w:r>
      <w:r>
        <w:rPr>
          <w:rFonts w:hint="eastAsia" w:ascii="微软雅黑" w:hAnsi="微软雅黑" w:eastAsia="微软雅黑" w:cs="微软雅黑"/>
          <w:i w:val="0"/>
          <w:iCs w:val="0"/>
          <w:caps w:val="0"/>
          <w:color w:val="333333"/>
          <w:spacing w:val="0"/>
          <w:sz w:val="21"/>
          <w:szCs w:val="21"/>
          <w:shd w:val="clear" w:color="auto" w:fill="FFFFFF"/>
          <w:vertAlign w:val="baseline"/>
        </w:rPr>
        <w:br w:type="textWrapping"/>
      </w:r>
      <w:r>
        <w:rPr>
          <w:rFonts w:hint="eastAsia" w:ascii="微软雅黑" w:hAnsi="微软雅黑" w:eastAsia="微软雅黑" w:cs="微软雅黑"/>
          <w:i w:val="0"/>
          <w:iCs w:val="0"/>
          <w:caps w:val="0"/>
          <w:color w:val="333333"/>
          <w:spacing w:val="0"/>
          <w:sz w:val="21"/>
          <w:szCs w:val="21"/>
          <w:shd w:val="clear" w:color="auto" w:fill="FFFFFF"/>
          <w:vertAlign w:val="baseline"/>
        </w:rPr>
        <w:t>2.10《财政部 国务院扶贫办关于运用政府采购政策支持脱贫攻坚的通知》（财库〔2019〕27号）； </w:t>
      </w:r>
      <w:r>
        <w:rPr>
          <w:rFonts w:hint="eastAsia" w:ascii="微软雅黑" w:hAnsi="微软雅黑" w:eastAsia="微软雅黑" w:cs="微软雅黑"/>
          <w:i w:val="0"/>
          <w:iCs w:val="0"/>
          <w:caps w:val="0"/>
          <w:color w:val="333333"/>
          <w:spacing w:val="0"/>
          <w:sz w:val="21"/>
          <w:szCs w:val="21"/>
          <w:shd w:val="clear" w:color="auto" w:fill="FFFFFF"/>
          <w:vertAlign w:val="baseline"/>
        </w:rPr>
        <w:br w:type="textWrapping"/>
      </w:r>
      <w:r>
        <w:rPr>
          <w:rFonts w:hint="eastAsia" w:ascii="微软雅黑" w:hAnsi="微软雅黑" w:eastAsia="微软雅黑" w:cs="微软雅黑"/>
          <w:i w:val="0"/>
          <w:iCs w:val="0"/>
          <w:caps w:val="0"/>
          <w:color w:val="333333"/>
          <w:spacing w:val="0"/>
          <w:sz w:val="21"/>
          <w:szCs w:val="21"/>
          <w:shd w:val="clear" w:color="auto" w:fill="FFFFFF"/>
          <w:vertAlign w:val="baseline"/>
        </w:rPr>
        <w:t>2.11关于印发环境标志产品政府采购品目清单的通知(财库〔2019〕18号)；</w:t>
      </w:r>
      <w:r>
        <w:rPr>
          <w:rFonts w:hint="eastAsia" w:ascii="微软雅黑" w:hAnsi="微软雅黑" w:eastAsia="微软雅黑" w:cs="微软雅黑"/>
          <w:i w:val="0"/>
          <w:iCs w:val="0"/>
          <w:caps w:val="0"/>
          <w:color w:val="333333"/>
          <w:spacing w:val="0"/>
          <w:sz w:val="21"/>
          <w:szCs w:val="21"/>
          <w:shd w:val="clear" w:color="auto" w:fill="FFFFFF"/>
          <w:vertAlign w:val="baseline"/>
        </w:rPr>
        <w:br w:type="textWrapping"/>
      </w:r>
      <w:r>
        <w:rPr>
          <w:rFonts w:hint="eastAsia" w:ascii="微软雅黑" w:hAnsi="微软雅黑" w:eastAsia="微软雅黑" w:cs="微软雅黑"/>
          <w:i w:val="0"/>
          <w:iCs w:val="0"/>
          <w:caps w:val="0"/>
          <w:color w:val="333333"/>
          <w:spacing w:val="0"/>
          <w:sz w:val="21"/>
          <w:szCs w:val="21"/>
          <w:shd w:val="clear" w:color="auto" w:fill="FFFFFF"/>
          <w:vertAlign w:val="baseline"/>
        </w:rPr>
        <w:t>2.12《关于运用政府采购政策支持乡村产业振兴的通知》（财库〔2021〕19 号）；</w:t>
      </w:r>
      <w:r>
        <w:rPr>
          <w:rFonts w:hint="eastAsia" w:ascii="微软雅黑" w:hAnsi="微软雅黑" w:eastAsia="微软雅黑" w:cs="微软雅黑"/>
          <w:i w:val="0"/>
          <w:iCs w:val="0"/>
          <w:caps w:val="0"/>
          <w:color w:val="333333"/>
          <w:spacing w:val="0"/>
          <w:sz w:val="21"/>
          <w:szCs w:val="21"/>
          <w:shd w:val="clear" w:color="auto" w:fill="FFFFFF"/>
          <w:vertAlign w:val="baseline"/>
        </w:rPr>
        <w:br w:type="textWrapping"/>
      </w:r>
      <w:r>
        <w:rPr>
          <w:rFonts w:hint="eastAsia" w:ascii="微软雅黑" w:hAnsi="微软雅黑" w:eastAsia="微软雅黑" w:cs="微软雅黑"/>
          <w:i w:val="0"/>
          <w:iCs w:val="0"/>
          <w:caps w:val="0"/>
          <w:color w:val="333333"/>
          <w:spacing w:val="0"/>
          <w:sz w:val="21"/>
          <w:szCs w:val="21"/>
          <w:shd w:val="clear" w:color="auto" w:fill="FFFFFF"/>
          <w:vertAlign w:val="baseline"/>
        </w:rPr>
        <w:t>2.13《财政部关于在政府采购活动中落实平等对待内外资企业有关政策的通知》（财库〔2021〕35号）；</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黑体" w:hAnsi="黑体" w:eastAsia="黑体" w:cs="黑体"/>
          <w:b/>
          <w:bCs/>
          <w:i w:val="0"/>
          <w:caps w:val="0"/>
          <w:color w:val="333333"/>
          <w:spacing w:val="0"/>
          <w:sz w:val="24"/>
          <w:szCs w:val="24"/>
          <w:shd w:val="clear" w:color="auto" w:fill="FFFFFF"/>
          <w:lang w:val="en-US" w:eastAsia="zh-CN"/>
        </w:rPr>
      </w:pPr>
      <w:r>
        <w:rPr>
          <w:rFonts w:hint="eastAsia" w:ascii="微软雅黑" w:hAnsi="微软雅黑" w:eastAsia="微软雅黑" w:cs="微软雅黑"/>
          <w:i w:val="0"/>
          <w:iCs w:val="0"/>
          <w:caps w:val="0"/>
          <w:color w:val="333333"/>
          <w:spacing w:val="0"/>
          <w:sz w:val="21"/>
          <w:szCs w:val="21"/>
          <w:shd w:val="clear" w:color="auto" w:fill="FFFFFF"/>
          <w:vertAlign w:val="baseline"/>
          <w:lang w:val="en-US" w:eastAsia="zh-CN"/>
        </w:rPr>
        <w:t>2.14《</w:t>
      </w:r>
      <w:r>
        <w:rPr>
          <w:rFonts w:hint="eastAsia" w:ascii="微软雅黑" w:hAnsi="微软雅黑" w:eastAsia="微软雅黑" w:cs="微软雅黑"/>
          <w:i w:val="0"/>
          <w:iCs w:val="0"/>
          <w:caps w:val="0"/>
          <w:color w:val="333333"/>
          <w:spacing w:val="0"/>
          <w:sz w:val="21"/>
          <w:szCs w:val="21"/>
          <w:shd w:val="clear" w:color="auto" w:fill="FFFFFF"/>
          <w:vertAlign w:val="baseline"/>
        </w:rPr>
        <w:t>关于进一步加大政府采购支持中小企业力度的通知</w:t>
      </w:r>
      <w:r>
        <w:rPr>
          <w:rFonts w:hint="eastAsia" w:ascii="微软雅黑" w:hAnsi="微软雅黑" w:eastAsia="微软雅黑" w:cs="微软雅黑"/>
          <w:i w:val="0"/>
          <w:iCs w:val="0"/>
          <w:caps w:val="0"/>
          <w:color w:val="333333"/>
          <w:spacing w:val="0"/>
          <w:sz w:val="21"/>
          <w:szCs w:val="21"/>
          <w:shd w:val="clear" w:color="auto" w:fill="FFFFFF"/>
          <w:vertAlign w:val="baseline"/>
          <w:lang w:eastAsia="zh-CN"/>
        </w:rPr>
        <w:t>》（</w:t>
      </w:r>
      <w:r>
        <w:rPr>
          <w:rFonts w:hint="eastAsia" w:ascii="微软雅黑" w:hAnsi="微软雅黑" w:eastAsia="微软雅黑" w:cs="微软雅黑"/>
          <w:i w:val="0"/>
          <w:iCs w:val="0"/>
          <w:caps w:val="0"/>
          <w:color w:val="333333"/>
          <w:spacing w:val="0"/>
          <w:sz w:val="21"/>
          <w:szCs w:val="21"/>
          <w:shd w:val="clear" w:color="auto" w:fill="FFFFFF"/>
          <w:vertAlign w:val="baseline"/>
        </w:rPr>
        <w:t>财库〔2022〕19号</w:t>
      </w:r>
      <w:r>
        <w:rPr>
          <w:rFonts w:hint="eastAsia" w:ascii="微软雅黑" w:hAnsi="微软雅黑" w:eastAsia="微软雅黑" w:cs="微软雅黑"/>
          <w:i w:val="0"/>
          <w:iCs w:val="0"/>
          <w:caps w:val="0"/>
          <w:color w:val="333333"/>
          <w:spacing w:val="0"/>
          <w:sz w:val="21"/>
          <w:szCs w:val="21"/>
          <w:shd w:val="clear" w:color="auto" w:fill="FFFFFF"/>
          <w:vertAlign w:val="baseline"/>
          <w:lang w:eastAsia="zh-CN"/>
        </w:rPr>
        <w:t>）</w:t>
      </w:r>
      <w:r>
        <w:rPr>
          <w:rFonts w:hint="eastAsia" w:ascii="微软雅黑" w:hAnsi="微软雅黑" w:eastAsia="微软雅黑" w:cs="微软雅黑"/>
          <w:i w:val="0"/>
          <w:iCs w:val="0"/>
          <w:caps w:val="0"/>
          <w:color w:val="333333"/>
          <w:spacing w:val="0"/>
          <w:sz w:val="21"/>
          <w:szCs w:val="21"/>
          <w:shd w:val="clear" w:color="auto" w:fill="FFFFFF"/>
          <w:vertAlign w:val="baseline"/>
          <w:lang w:val="en-US" w:eastAsia="zh-CN"/>
        </w:rPr>
        <w:t>；</w:t>
      </w:r>
      <w:r>
        <w:rPr>
          <w:rFonts w:hint="eastAsia" w:ascii="微软雅黑" w:hAnsi="微软雅黑" w:eastAsia="微软雅黑" w:cs="微软雅黑"/>
          <w:i w:val="0"/>
          <w:iCs w:val="0"/>
          <w:caps w:val="0"/>
          <w:color w:val="333333"/>
          <w:spacing w:val="0"/>
          <w:sz w:val="21"/>
          <w:szCs w:val="21"/>
          <w:shd w:val="clear" w:color="auto" w:fill="FFFFFF"/>
          <w:vertAlign w:val="baseline"/>
        </w:rPr>
        <w:br w:type="textWrapping"/>
      </w:r>
      <w:r>
        <w:rPr>
          <w:rFonts w:hint="eastAsia" w:ascii="微软雅黑" w:hAnsi="微软雅黑" w:eastAsia="微软雅黑" w:cs="微软雅黑"/>
          <w:i w:val="0"/>
          <w:iCs w:val="0"/>
          <w:caps w:val="0"/>
          <w:color w:val="333333"/>
          <w:spacing w:val="0"/>
          <w:sz w:val="21"/>
          <w:szCs w:val="21"/>
          <w:shd w:val="clear" w:color="auto" w:fill="FFFFFF"/>
          <w:vertAlign w:val="baseline"/>
        </w:rPr>
        <w:t>2.1</w:t>
      </w:r>
      <w:r>
        <w:rPr>
          <w:rFonts w:hint="eastAsia" w:ascii="微软雅黑" w:hAnsi="微软雅黑" w:eastAsia="微软雅黑" w:cs="微软雅黑"/>
          <w:i w:val="0"/>
          <w:iCs w:val="0"/>
          <w:caps w:val="0"/>
          <w:color w:val="333333"/>
          <w:spacing w:val="0"/>
          <w:sz w:val="21"/>
          <w:szCs w:val="21"/>
          <w:shd w:val="clear" w:color="auto" w:fill="FFFFFF"/>
          <w:vertAlign w:val="baseline"/>
          <w:lang w:val="en-US" w:eastAsia="zh-CN"/>
        </w:rPr>
        <w:t>5</w:t>
      </w:r>
      <w:r>
        <w:rPr>
          <w:rFonts w:hint="eastAsia" w:ascii="微软雅黑" w:hAnsi="微软雅黑" w:eastAsia="微软雅黑" w:cs="微软雅黑"/>
          <w:i w:val="0"/>
          <w:iCs w:val="0"/>
          <w:caps w:val="0"/>
          <w:color w:val="333333"/>
          <w:spacing w:val="0"/>
          <w:sz w:val="21"/>
          <w:szCs w:val="21"/>
          <w:shd w:val="clear" w:color="auto" w:fill="FFFFFF"/>
          <w:vertAlign w:val="baseline"/>
        </w:rPr>
        <w:t>其他需要落实的政府采购政策。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eastAsia" w:ascii="黑体" w:hAnsi="黑体" w:eastAsia="黑体" w:cs="黑体"/>
          <w:i w:val="0"/>
          <w:caps w:val="0"/>
          <w:color w:val="333333"/>
          <w:spacing w:val="0"/>
          <w:sz w:val="24"/>
          <w:szCs w:val="24"/>
          <w:shd w:val="clear" w:color="auto" w:fill="FFFFFF"/>
        </w:rPr>
      </w:pPr>
      <w:r>
        <w:rPr>
          <w:rFonts w:hint="eastAsia" w:ascii="黑体" w:hAnsi="黑体" w:eastAsia="黑体" w:cs="黑体"/>
          <w:b/>
          <w:bCs/>
          <w:i w:val="0"/>
          <w:caps w:val="0"/>
          <w:color w:val="333333"/>
          <w:spacing w:val="0"/>
          <w:sz w:val="24"/>
          <w:szCs w:val="24"/>
          <w:shd w:val="clear" w:color="auto" w:fill="FFFFFF"/>
          <w:lang w:val="en-US" w:eastAsia="zh-CN"/>
        </w:rPr>
        <w:t>3</w:t>
      </w:r>
      <w:r>
        <w:rPr>
          <w:rFonts w:hint="eastAsia" w:ascii="黑体" w:hAnsi="黑体" w:eastAsia="黑体" w:cs="黑体"/>
          <w:b/>
          <w:bCs/>
          <w:i w:val="0"/>
          <w:caps w:val="0"/>
          <w:color w:val="333333"/>
          <w:spacing w:val="0"/>
          <w:sz w:val="24"/>
          <w:szCs w:val="24"/>
          <w:shd w:val="clear" w:color="auto" w:fill="FFFFFF"/>
        </w:rPr>
        <w:t>、本项目的特定资格要求</w:t>
      </w:r>
      <w:r>
        <w:rPr>
          <w:rFonts w:hint="eastAsia" w:ascii="黑体" w:hAnsi="黑体" w:eastAsia="黑体" w:cs="黑体"/>
          <w:i w:val="0"/>
          <w:caps w:val="0"/>
          <w:color w:val="333333"/>
          <w:spacing w:val="0"/>
          <w:sz w:val="24"/>
          <w:szCs w:val="24"/>
          <w:shd w:val="clear" w:color="auto" w:fill="FFFFFF"/>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eastAsia" w:ascii="黑体" w:hAnsi="黑体" w:eastAsia="黑体" w:cs="黑体"/>
          <w:color w:val="000000"/>
          <w:kern w:val="0"/>
          <w:sz w:val="24"/>
          <w:szCs w:val="24"/>
          <w:highlight w:val="none"/>
        </w:rPr>
      </w:pPr>
      <w:r>
        <w:rPr>
          <w:rFonts w:hint="eastAsia" w:ascii="黑体" w:hAnsi="黑体" w:eastAsia="黑体" w:cs="黑体"/>
          <w:color w:val="000000"/>
          <w:kern w:val="0"/>
          <w:sz w:val="24"/>
          <w:szCs w:val="24"/>
          <w:highlight w:val="none"/>
        </w:rPr>
        <w:t>符合《中华人民共和国政府采购法》第二十二条有关规定，供应商属于企业法人或其他组织，能够独立承担民事责任，有履行完成本项目的能力，经营范围与所投内容相符，并具有以下条件：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150" w:beforeAutospacing="0" w:after="0" w:afterAutospacing="0" w:line="750" w:lineRule="atLeast"/>
        <w:ind w:left="0" w:right="0" w:firstLine="240" w:firstLineChars="100"/>
        <w:jc w:val="left"/>
        <w:rPr>
          <w:rStyle w:val="9"/>
          <w:rFonts w:hint="eastAsia" w:ascii="微软雅黑" w:hAnsi="微软雅黑" w:eastAsia="微软雅黑" w:cs="微软雅黑"/>
          <w:b w:val="0"/>
          <w:bCs w:val="0"/>
          <w:i w:val="0"/>
          <w:iCs w:val="0"/>
          <w:caps w:val="0"/>
          <w:color w:val="333333"/>
          <w:spacing w:val="0"/>
          <w:sz w:val="24"/>
          <w:szCs w:val="24"/>
          <w:u w:val="none"/>
          <w:shd w:val="clear" w:color="auto" w:fill="FFFFFF"/>
          <w:lang w:val="en-US" w:eastAsia="zh-CN"/>
        </w:rPr>
      </w:pPr>
      <w:r>
        <w:rPr>
          <w:rStyle w:val="9"/>
          <w:rFonts w:hint="eastAsia" w:ascii="微软雅黑" w:hAnsi="微软雅黑" w:eastAsia="微软雅黑" w:cs="微软雅黑"/>
          <w:b w:val="0"/>
          <w:bCs w:val="0"/>
          <w:i w:val="0"/>
          <w:iCs w:val="0"/>
          <w:caps w:val="0"/>
          <w:color w:val="333333"/>
          <w:spacing w:val="0"/>
          <w:sz w:val="24"/>
          <w:szCs w:val="24"/>
          <w:u w:val="none"/>
          <w:shd w:val="clear" w:color="auto" w:fill="FFFFFF"/>
          <w:lang w:val="en-US" w:eastAsia="zh-CN"/>
        </w:rPr>
        <w:t>3.1具有独立承担民事责任能力的法人或其他组织，提供合法有效的统一社会信用代码的营业执照（含年度报告）；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150" w:beforeAutospacing="0" w:after="0" w:afterAutospacing="0" w:line="750" w:lineRule="atLeast"/>
        <w:ind w:left="0" w:right="0" w:firstLine="240" w:firstLineChars="100"/>
        <w:jc w:val="left"/>
        <w:rPr>
          <w:rStyle w:val="9"/>
          <w:rFonts w:hint="eastAsia" w:ascii="微软雅黑" w:hAnsi="微软雅黑" w:eastAsia="微软雅黑" w:cs="微软雅黑"/>
          <w:b w:val="0"/>
          <w:bCs w:val="0"/>
          <w:i w:val="0"/>
          <w:iCs w:val="0"/>
          <w:caps w:val="0"/>
          <w:color w:val="333333"/>
          <w:spacing w:val="0"/>
          <w:sz w:val="24"/>
          <w:szCs w:val="24"/>
          <w:u w:val="none"/>
          <w:shd w:val="clear" w:color="auto" w:fill="FFFFFF"/>
          <w:lang w:val="en-US" w:eastAsia="zh-CN"/>
        </w:rPr>
      </w:pPr>
      <w:r>
        <w:rPr>
          <w:rStyle w:val="9"/>
          <w:rFonts w:hint="eastAsia" w:ascii="微软雅黑" w:hAnsi="微软雅黑" w:eastAsia="微软雅黑" w:cs="微软雅黑"/>
          <w:b w:val="0"/>
          <w:bCs w:val="0"/>
          <w:i w:val="0"/>
          <w:iCs w:val="0"/>
          <w:caps w:val="0"/>
          <w:color w:val="333333"/>
          <w:spacing w:val="0"/>
          <w:sz w:val="24"/>
          <w:szCs w:val="24"/>
          <w:u w:val="none"/>
          <w:shd w:val="clear" w:color="auto" w:fill="FFFFFF"/>
          <w:lang w:val="en-US" w:eastAsia="zh-CN"/>
        </w:rPr>
        <w:t>3.2法定代表人授权书（附法定代表人身份证复印件）及被授权人身份证（法定代表人直接参加谈判只须提供法定代表人身份证）；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150" w:beforeAutospacing="0" w:after="0" w:afterAutospacing="0" w:line="750" w:lineRule="atLeast"/>
        <w:ind w:left="0" w:right="0" w:firstLine="240" w:firstLineChars="100"/>
        <w:jc w:val="left"/>
        <w:rPr>
          <w:rStyle w:val="9"/>
          <w:rFonts w:hint="eastAsia" w:ascii="微软雅黑" w:hAnsi="微软雅黑" w:eastAsia="微软雅黑" w:cs="微软雅黑"/>
          <w:b w:val="0"/>
          <w:bCs w:val="0"/>
          <w:i w:val="0"/>
          <w:iCs w:val="0"/>
          <w:caps w:val="0"/>
          <w:color w:val="333333"/>
          <w:spacing w:val="0"/>
          <w:sz w:val="24"/>
          <w:szCs w:val="24"/>
          <w:u w:val="none"/>
          <w:shd w:val="clear" w:color="auto" w:fill="FFFFFF"/>
          <w:lang w:val="en-US" w:eastAsia="zh-CN"/>
        </w:rPr>
      </w:pPr>
      <w:r>
        <w:rPr>
          <w:rStyle w:val="9"/>
          <w:rFonts w:hint="eastAsia" w:ascii="微软雅黑" w:hAnsi="微软雅黑" w:eastAsia="微软雅黑" w:cs="微软雅黑"/>
          <w:b w:val="0"/>
          <w:bCs w:val="0"/>
          <w:i w:val="0"/>
          <w:iCs w:val="0"/>
          <w:caps w:val="0"/>
          <w:color w:val="333333"/>
          <w:spacing w:val="0"/>
          <w:sz w:val="24"/>
          <w:szCs w:val="24"/>
          <w:u w:val="none"/>
          <w:shd w:val="clear" w:color="auto" w:fill="FFFFFF"/>
          <w:lang w:val="en-US" w:eastAsia="zh-CN"/>
        </w:rPr>
        <w:t>3.3供应商在社会消防技术服务信息系统（https://shhxf.119.gov.cn/）中可查询；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150" w:beforeAutospacing="0" w:after="0" w:afterAutospacing="0" w:line="750" w:lineRule="atLeast"/>
        <w:ind w:left="0" w:right="0" w:firstLine="240" w:firstLineChars="100"/>
        <w:jc w:val="left"/>
        <w:rPr>
          <w:rStyle w:val="9"/>
          <w:rFonts w:hint="eastAsia" w:ascii="微软雅黑" w:hAnsi="微软雅黑" w:eastAsia="微软雅黑" w:cs="微软雅黑"/>
          <w:b w:val="0"/>
          <w:bCs w:val="0"/>
          <w:i w:val="0"/>
          <w:iCs w:val="0"/>
          <w:caps w:val="0"/>
          <w:color w:val="333333"/>
          <w:spacing w:val="0"/>
          <w:sz w:val="24"/>
          <w:szCs w:val="24"/>
          <w:u w:val="none"/>
          <w:shd w:val="clear" w:color="auto" w:fill="FFFFFF"/>
          <w:lang w:val="en-US" w:eastAsia="zh-CN"/>
        </w:rPr>
      </w:pPr>
      <w:r>
        <w:rPr>
          <w:rStyle w:val="9"/>
          <w:rFonts w:hint="eastAsia" w:ascii="微软雅黑" w:hAnsi="微软雅黑" w:eastAsia="微软雅黑" w:cs="微软雅黑"/>
          <w:b w:val="0"/>
          <w:bCs w:val="0"/>
          <w:i w:val="0"/>
          <w:iCs w:val="0"/>
          <w:caps w:val="0"/>
          <w:color w:val="333333"/>
          <w:spacing w:val="0"/>
          <w:sz w:val="24"/>
          <w:szCs w:val="24"/>
          <w:u w:val="none"/>
          <w:shd w:val="clear" w:color="auto" w:fill="FFFFFF"/>
          <w:lang w:val="en-US" w:eastAsia="zh-CN"/>
        </w:rPr>
        <w:t>3.4拟派项目负责人须持有一级注册消防工程师资格，必须为本公司注册人员，并提供本企业为其缴纳近半年任意一个月的社保缴纳证明；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150" w:beforeAutospacing="0" w:after="0" w:afterAutospacing="0" w:line="750" w:lineRule="atLeast"/>
        <w:ind w:left="0" w:right="0" w:firstLine="240" w:firstLineChars="100"/>
        <w:jc w:val="left"/>
        <w:rPr>
          <w:rStyle w:val="9"/>
          <w:rFonts w:hint="eastAsia" w:ascii="微软雅黑" w:hAnsi="微软雅黑" w:eastAsia="微软雅黑" w:cs="微软雅黑"/>
          <w:b w:val="0"/>
          <w:bCs w:val="0"/>
          <w:i w:val="0"/>
          <w:iCs w:val="0"/>
          <w:caps w:val="0"/>
          <w:color w:val="333333"/>
          <w:spacing w:val="0"/>
          <w:sz w:val="24"/>
          <w:szCs w:val="24"/>
          <w:u w:val="none"/>
          <w:shd w:val="clear" w:color="auto" w:fill="FFFFFF"/>
          <w:lang w:val="en-US" w:eastAsia="zh-CN"/>
        </w:rPr>
      </w:pPr>
      <w:r>
        <w:rPr>
          <w:rStyle w:val="9"/>
          <w:rFonts w:hint="eastAsia" w:ascii="微软雅黑" w:hAnsi="微软雅黑" w:eastAsia="微软雅黑" w:cs="微软雅黑"/>
          <w:b w:val="0"/>
          <w:bCs w:val="0"/>
          <w:i w:val="0"/>
          <w:iCs w:val="0"/>
          <w:caps w:val="0"/>
          <w:color w:val="333333"/>
          <w:spacing w:val="0"/>
          <w:sz w:val="24"/>
          <w:szCs w:val="24"/>
          <w:u w:val="none"/>
          <w:shd w:val="clear" w:color="auto" w:fill="FFFFFF"/>
          <w:lang w:val="en-US" w:eastAsia="zh-CN"/>
        </w:rPr>
        <w:t>3.5税收缴纳证明：提供2022年至今任意3个月依法缴纳税收证明，依法免税的单位应提供相关证明材料。（复印件加盖投标人公章）；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150" w:beforeAutospacing="0" w:after="0" w:afterAutospacing="0" w:line="750" w:lineRule="atLeast"/>
        <w:ind w:left="0" w:right="0" w:firstLine="240" w:firstLineChars="100"/>
        <w:jc w:val="left"/>
        <w:rPr>
          <w:rStyle w:val="9"/>
          <w:rFonts w:hint="eastAsia" w:ascii="微软雅黑" w:hAnsi="微软雅黑" w:eastAsia="微软雅黑" w:cs="微软雅黑"/>
          <w:b w:val="0"/>
          <w:bCs w:val="0"/>
          <w:i w:val="0"/>
          <w:iCs w:val="0"/>
          <w:caps w:val="0"/>
          <w:color w:val="333333"/>
          <w:spacing w:val="0"/>
          <w:sz w:val="24"/>
          <w:szCs w:val="24"/>
          <w:u w:val="none"/>
          <w:shd w:val="clear" w:color="auto" w:fill="FFFFFF"/>
          <w:lang w:val="en-US" w:eastAsia="zh-CN"/>
        </w:rPr>
      </w:pPr>
      <w:r>
        <w:rPr>
          <w:rStyle w:val="9"/>
          <w:rFonts w:hint="eastAsia" w:ascii="微软雅黑" w:hAnsi="微软雅黑" w:eastAsia="微软雅黑" w:cs="微软雅黑"/>
          <w:b w:val="0"/>
          <w:bCs w:val="0"/>
          <w:i w:val="0"/>
          <w:iCs w:val="0"/>
          <w:caps w:val="0"/>
          <w:color w:val="333333"/>
          <w:spacing w:val="0"/>
          <w:sz w:val="24"/>
          <w:szCs w:val="24"/>
          <w:u w:val="none"/>
          <w:shd w:val="clear" w:color="auto" w:fill="FFFFFF"/>
          <w:lang w:val="en-US" w:eastAsia="zh-CN"/>
        </w:rPr>
        <w:t>3.6财务状况报告：提供2020年度或2021年的财务审计报告(成立时间至提交投标文件截止时间不足一年的成立后任意时段的资产负债表或提供开标日期前3个月内其基本开户银行出具的资信证明）；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150" w:beforeAutospacing="0" w:after="0" w:afterAutospacing="0" w:line="750" w:lineRule="atLeast"/>
        <w:ind w:left="0" w:right="0" w:firstLine="240" w:firstLineChars="100"/>
        <w:jc w:val="left"/>
        <w:rPr>
          <w:rStyle w:val="9"/>
          <w:rFonts w:hint="eastAsia" w:ascii="微软雅黑" w:hAnsi="微软雅黑" w:eastAsia="微软雅黑" w:cs="微软雅黑"/>
          <w:b w:val="0"/>
          <w:bCs w:val="0"/>
          <w:i w:val="0"/>
          <w:iCs w:val="0"/>
          <w:caps w:val="0"/>
          <w:color w:val="333333"/>
          <w:spacing w:val="0"/>
          <w:sz w:val="24"/>
          <w:szCs w:val="24"/>
          <w:u w:val="none"/>
          <w:shd w:val="clear" w:color="auto" w:fill="FFFFFF"/>
          <w:lang w:val="en-US" w:eastAsia="zh-CN"/>
        </w:rPr>
      </w:pPr>
      <w:r>
        <w:rPr>
          <w:rStyle w:val="9"/>
          <w:rFonts w:hint="eastAsia" w:ascii="微软雅黑" w:hAnsi="微软雅黑" w:eastAsia="微软雅黑" w:cs="微软雅黑"/>
          <w:b w:val="0"/>
          <w:bCs w:val="0"/>
          <w:i w:val="0"/>
          <w:iCs w:val="0"/>
          <w:caps w:val="0"/>
          <w:color w:val="333333"/>
          <w:spacing w:val="0"/>
          <w:sz w:val="24"/>
          <w:szCs w:val="24"/>
          <w:u w:val="none"/>
          <w:shd w:val="clear" w:color="auto" w:fill="FFFFFF"/>
          <w:lang w:val="en-US" w:eastAsia="zh-CN"/>
        </w:rPr>
        <w:t>3.7社会保障资金缴纳证明：提供已缴存的2022年至今任一月份的社会保障资金缴存单据或社保机构开具的社会保险参保缴费情况证明，单据或证明上应有社保机构或代收机构的公章，依法不需要缴纳社会保障资金的服务商应提供相关文件证明；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150" w:beforeAutospacing="0" w:after="0" w:afterAutospacing="0" w:line="750" w:lineRule="atLeast"/>
        <w:ind w:left="0" w:right="0" w:firstLine="240" w:firstLineChars="100"/>
        <w:jc w:val="left"/>
        <w:rPr>
          <w:rStyle w:val="9"/>
          <w:rFonts w:hint="eastAsia" w:ascii="微软雅黑" w:hAnsi="微软雅黑" w:eastAsia="微软雅黑" w:cs="微软雅黑"/>
          <w:b w:val="0"/>
          <w:bCs w:val="0"/>
          <w:i w:val="0"/>
          <w:iCs w:val="0"/>
          <w:caps w:val="0"/>
          <w:color w:val="333333"/>
          <w:spacing w:val="0"/>
          <w:sz w:val="24"/>
          <w:szCs w:val="24"/>
          <w:u w:val="none"/>
          <w:shd w:val="clear" w:color="auto" w:fill="FFFFFF"/>
          <w:lang w:val="en-US" w:eastAsia="zh-CN"/>
        </w:rPr>
      </w:pPr>
      <w:r>
        <w:rPr>
          <w:rStyle w:val="9"/>
          <w:rFonts w:hint="eastAsia" w:ascii="微软雅黑" w:hAnsi="微软雅黑" w:eastAsia="微软雅黑" w:cs="微软雅黑"/>
          <w:b w:val="0"/>
          <w:bCs w:val="0"/>
          <w:i w:val="0"/>
          <w:iCs w:val="0"/>
          <w:caps w:val="0"/>
          <w:color w:val="333333"/>
          <w:spacing w:val="0"/>
          <w:sz w:val="24"/>
          <w:szCs w:val="24"/>
          <w:u w:val="none"/>
          <w:shd w:val="clear" w:color="auto" w:fill="FFFFFF"/>
          <w:lang w:val="en-US" w:eastAsia="zh-CN"/>
        </w:rPr>
        <w:t>3.8参加政府采购活动前3年内在经营活动中没有重大违法记录的书面声明；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150" w:beforeAutospacing="0" w:after="0" w:afterAutospacing="0" w:line="750" w:lineRule="atLeast"/>
        <w:ind w:left="0" w:right="0" w:firstLine="240" w:firstLineChars="100"/>
        <w:jc w:val="left"/>
        <w:rPr>
          <w:rStyle w:val="9"/>
          <w:rFonts w:hint="eastAsia" w:ascii="微软雅黑" w:hAnsi="微软雅黑" w:eastAsia="微软雅黑" w:cs="微软雅黑"/>
          <w:b w:val="0"/>
          <w:bCs w:val="0"/>
          <w:i w:val="0"/>
          <w:iCs w:val="0"/>
          <w:caps w:val="0"/>
          <w:color w:val="333333"/>
          <w:spacing w:val="0"/>
          <w:sz w:val="24"/>
          <w:szCs w:val="24"/>
          <w:u w:val="none"/>
          <w:shd w:val="clear" w:color="auto" w:fill="FFFFFF"/>
          <w:lang w:val="en-US" w:eastAsia="zh-CN"/>
        </w:rPr>
      </w:pPr>
      <w:r>
        <w:rPr>
          <w:rStyle w:val="9"/>
          <w:rFonts w:hint="eastAsia" w:ascii="微软雅黑" w:hAnsi="微软雅黑" w:eastAsia="微软雅黑" w:cs="微软雅黑"/>
          <w:b w:val="0"/>
          <w:bCs w:val="0"/>
          <w:i w:val="0"/>
          <w:iCs w:val="0"/>
          <w:caps w:val="0"/>
          <w:color w:val="333333"/>
          <w:spacing w:val="0"/>
          <w:sz w:val="24"/>
          <w:szCs w:val="24"/>
          <w:u w:val="none"/>
          <w:shd w:val="clear" w:color="auto" w:fill="FFFFFF"/>
          <w:lang w:val="en-US" w:eastAsia="zh-CN"/>
        </w:rPr>
        <w:t>3.9供应商不得为“信用中国”网站中列入失信被执行人和重大税收违法案件当事人名单的供应商，不得为中国政府采购网政府采购严重违法失信行为记录名单中被财政部门禁止参加政府采购活动的供应商（提供查询结果网页截图并加盖供应商公章），非企业单位提供书面声明，加盖公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150" w:beforeAutospacing="0" w:after="0" w:afterAutospacing="0" w:line="750" w:lineRule="atLeast"/>
        <w:ind w:left="0" w:right="0" w:firstLine="240" w:firstLineChars="100"/>
        <w:jc w:val="left"/>
        <w:rPr>
          <w:rStyle w:val="9"/>
          <w:rFonts w:hint="eastAsia" w:ascii="微软雅黑" w:hAnsi="微软雅黑" w:eastAsia="微软雅黑" w:cs="微软雅黑"/>
          <w:b w:val="0"/>
          <w:bCs w:val="0"/>
          <w:i w:val="0"/>
          <w:iCs w:val="0"/>
          <w:caps w:val="0"/>
          <w:color w:val="333333"/>
          <w:spacing w:val="0"/>
          <w:sz w:val="24"/>
          <w:szCs w:val="24"/>
          <w:u w:val="none"/>
          <w:shd w:val="clear" w:color="auto" w:fill="FFFFFF"/>
          <w:lang w:val="en-US" w:eastAsia="zh-CN"/>
        </w:rPr>
      </w:pPr>
      <w:r>
        <w:rPr>
          <w:rStyle w:val="9"/>
          <w:rFonts w:hint="eastAsia" w:ascii="微软雅黑" w:hAnsi="微软雅黑" w:eastAsia="微软雅黑" w:cs="微软雅黑"/>
          <w:b w:val="0"/>
          <w:bCs w:val="0"/>
          <w:i w:val="0"/>
          <w:iCs w:val="0"/>
          <w:caps w:val="0"/>
          <w:color w:val="333333"/>
          <w:spacing w:val="0"/>
          <w:sz w:val="24"/>
          <w:szCs w:val="24"/>
          <w:u w:val="none"/>
          <w:shd w:val="clear" w:color="auto" w:fill="FFFFFF"/>
          <w:lang w:val="en-US" w:eastAsia="zh-CN"/>
        </w:rPr>
        <w:t>3.10单位负责人为同一人或者存在直接控股、管理关系的不同供应商，不得参加同一合同项下的政府采购活动；</w:t>
      </w:r>
    </w:p>
    <w:p/>
    <w:p>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简体">
    <w:altName w:val="宋体"/>
    <w:panose1 w:val="02010601030101010101"/>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6FA966"/>
    <w:multiLevelType w:val="singleLevel"/>
    <w:tmpl w:val="9C6FA966"/>
    <w:lvl w:ilvl="0" w:tentative="0">
      <w:start w:val="1"/>
      <w:numFmt w:val="decimal"/>
      <w:lvlText w:val="（%1)"/>
      <w:lvlJc w:val="left"/>
      <w:pPr>
        <w:tabs>
          <w:tab w:val="left" w:pos="312"/>
        </w:tabs>
      </w:pPr>
    </w:lvl>
  </w:abstractNum>
  <w:abstractNum w:abstractNumId="1">
    <w:nsid w:val="1A08AFBA"/>
    <w:multiLevelType w:val="singleLevel"/>
    <w:tmpl w:val="1A08AFBA"/>
    <w:lvl w:ilvl="0" w:tentative="0">
      <w:start w:val="6"/>
      <w:numFmt w:val="chineseCounting"/>
      <w:suff w:val="nothing"/>
      <w:lvlText w:val="%1、"/>
      <w:lvlJc w:val="left"/>
      <w:rPr>
        <w:rFonts w:hint="eastAsia"/>
      </w:rPr>
    </w:lvl>
  </w:abstractNum>
  <w:abstractNum w:abstractNumId="2">
    <w:nsid w:val="5C4FC881"/>
    <w:multiLevelType w:val="singleLevel"/>
    <w:tmpl w:val="5C4FC881"/>
    <w:lvl w:ilvl="0" w:tentative="0">
      <w:start w:val="1"/>
      <w:numFmt w:val="decimal"/>
      <w:suff w:val="nothing"/>
      <w:lvlText w:val="（%1）"/>
      <w:lvlJc w:val="left"/>
    </w:lvl>
  </w:abstractNum>
  <w:abstractNum w:abstractNumId="3">
    <w:nsid w:val="7162812F"/>
    <w:multiLevelType w:val="singleLevel"/>
    <w:tmpl w:val="7162812F"/>
    <w:lvl w:ilvl="0" w:tentative="0">
      <w:start w:val="1"/>
      <w:numFmt w:val="chineseCounting"/>
      <w:suff w:val="space"/>
      <w:lvlText w:val="%1、"/>
      <w:lvlJc w:val="left"/>
      <w:pPr>
        <w:ind w:left="280" w:firstLine="0"/>
      </w:pPr>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5ZDAxMDMwYTQyZWRkYWNkYjFiYWQ1YTMwOGQ1N2IifQ=="/>
  </w:docVars>
  <w:rsids>
    <w:rsidRoot w:val="00000000"/>
    <w:rsid w:val="4ECC4C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4"/>
    <w:basedOn w:val="1"/>
    <w:next w:val="1"/>
    <w:qFormat/>
    <w:uiPriority w:val="0"/>
    <w:pPr>
      <w:keepNext/>
      <w:keepLines/>
      <w:adjustRightInd w:val="0"/>
      <w:spacing w:line="376" w:lineRule="atLeast"/>
      <w:textAlignment w:val="baseline"/>
      <w:outlineLvl w:val="3"/>
    </w:pPr>
    <w:rPr>
      <w:rFonts w:ascii="Arial" w:hAnsi="Arial"/>
      <w:b/>
      <w:spacing w:val="20"/>
      <w:sz w:val="28"/>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autoSpaceDE w:val="0"/>
      <w:autoSpaceDN w:val="0"/>
      <w:adjustRightInd w:val="0"/>
      <w:spacing w:line="600" w:lineRule="exact"/>
      <w:ind w:firstLine="560"/>
    </w:pPr>
    <w:rPr>
      <w:rFonts w:ascii="方正书宋简体" w:eastAsia="方正书宋简体"/>
      <w:kern w:val="0"/>
      <w:sz w:val="28"/>
      <w:szCs w:val="28"/>
    </w:rPr>
  </w:style>
  <w:style w:type="paragraph" w:styleId="5">
    <w:name w:val="envelope return"/>
    <w:basedOn w:val="1"/>
    <w:qFormat/>
    <w:uiPriority w:val="0"/>
    <w:pPr>
      <w:snapToGrid w:val="0"/>
    </w:pPr>
    <w:rPr>
      <w:rFonts w:ascii="Arial" w:hAnsi="Arial"/>
    </w:rPr>
  </w:style>
  <w:style w:type="paragraph" w:styleId="6">
    <w:name w:val="Normal (Web)"/>
    <w:basedOn w:val="1"/>
    <w:next w:val="5"/>
    <w:qFormat/>
    <w:uiPriority w:val="0"/>
    <w:pPr>
      <w:widowControl/>
      <w:spacing w:before="100" w:beforeAutospacing="1" w:after="100" w:afterAutospacing="1"/>
      <w:jc w:val="left"/>
    </w:pPr>
    <w:rPr>
      <w:rFonts w:ascii="宋体" w:hAnsi="宋体" w:cs="宋体"/>
      <w:kern w:val="0"/>
      <w:sz w:val="24"/>
    </w:rPr>
  </w:style>
  <w:style w:type="character" w:styleId="9">
    <w:name w:val="Strong"/>
    <w:basedOn w:val="8"/>
    <w:qFormat/>
    <w:uiPriority w:val="0"/>
    <w:rPr>
      <w:b/>
    </w:rPr>
  </w:style>
  <w:style w:type="paragraph" w:customStyle="1" w:styleId="10">
    <w:name w:val="样式1"/>
    <w:basedOn w:val="1"/>
    <w:qFormat/>
    <w:uiPriority w:val="0"/>
    <w:rPr>
      <w:rFonts w:eastAsia="仿宋_GB2312"/>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2734</Words>
  <Characters>3159</Characters>
  <Lines>0</Lines>
  <Paragraphs>0</Paragraphs>
  <TotalTime>0</TotalTime>
  <ScaleCrop>false</ScaleCrop>
  <LinksUpToDate>false</LinksUpToDate>
  <CharactersWithSpaces>3184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2023-08-04T09:13:37Z</dcterms:created>
  <dc:creator>lenovo</dc:creator>
  <cp:lastModifiedBy>刘红莉</cp:lastModifiedBy>
  <dcterms:modified xsi:type="dcterms:W3CDTF">2023-08-04T09:13:52Z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709912E4DCD1424D87C2BBEA57728580_12</vt:lpwstr>
  </property>
</Properties>
</file>