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全国文明城市创建公益广告设计制作、景观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小品购置安装相关要求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一、项目名称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16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  <w:t>全国文明城市创建公益广告设计制作、景观小品购置安装项目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二、项目概况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今年是全面贯彻落实党的二十大精神的开局之年，是实施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“十四五”规划承上启下的关键一年，也是全国文明城市创建2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021-2023年届期具有决定意义的收官之年。为适应新形势新要求，以更高的标准深化新时代精神文明建设，不断推动文明城市创建工作提质增效，营造万众一心、人人参与浓厚创建氛围，努力提升我县全国文明城市影响力和美誉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三、服务期限：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一年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四、交付时间：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合同签订后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个日历日。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五、估算总价：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55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万元（含发布费、设计费、安装费、制作费及税金等）。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六、宣传内容：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全国文明城市创建相关内容。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七、具体要求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（一）公益广告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设置地点：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马岔市场对面生化厂周边、长盛街、河滨路沿线，柳树坪公安局沿线等地。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材质要求：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PVC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550喷绘布，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不褪色墨水喷绘。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规格和数量要求：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PVC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面积约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㎡、550喷绘布面积约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具体规格和数量依据实地情况设计制作。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（二）景观小品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设置地点：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广场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个：红星小学广场、凤仪广场；社区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个：保安街道办公楼广场、灵皇地台社区广场；公共文化设施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个：文化馆小广场、志丹陵园广场。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材质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镀锌管、镀锌板、铁艺、不锈钢等耐腐蚀材质。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规格和数量要求：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广场景观小品，高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4m*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10m*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0.3m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；社区景观小品，高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3m*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6m*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0.3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；公共文化设施景观小品，高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2m*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长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5m*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0.3m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高、宽误差±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0.5m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，厚误差±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0.1m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，具体尺寸依据实地情况设计制作。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八、其他要求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画面高清、图像清晰、美观，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宣传内容、色调与周围的城市景观风貌相融合；宣传突出思想性，兼顾艺术性、观赏性、耐久性，内容无书写错误、表述不规范或与党中央精神、社会公德、公序良俗不相符的问题。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一年服务期内，画面出现残缺、褪色等情况，供货商免费负责维新更换。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志丹县精神文明建设指导委员会办公室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                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2DA9"/>
    <w:rsid w:val="12283DEF"/>
    <w:rsid w:val="19AC38A7"/>
    <w:rsid w:val="31F97981"/>
    <w:rsid w:val="709D2DA9"/>
    <w:rsid w:val="73E8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ind w:leftChars="0"/>
      <w:jc w:val="both"/>
      <w:outlineLvl w:val="0"/>
    </w:pPr>
    <w:rPr>
      <w:rFonts w:ascii="Arial" w:hAnsi="Arial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2023-08-28T09:16:00Z</dcterms:created>
  <dc:creator>子寒</dc:creator>
  <cp:lastModifiedBy>子寒</cp:lastModifiedBy>
  <dcterms:modified xsi:type="dcterms:W3CDTF">2023-08-30T08:04:50Z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A103E7E7CB3A4F9AA8F02C73E0ABF94C</vt:lpwstr>
  </property>
</Properties>
</file>