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u w:val="single"/>
          <w:lang w:val="en-US" w:eastAsia="zh-CN" w:bidi="ar"/>
        </w:rPr>
        <w:t>富县人民医院重症监护病房设备一批竞争性谈判公告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重症监护病房设备一批</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2023年10月30日 14时00分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项目编号：ZXZC2023-047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项目名称：重症监护病房设备一批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预算金额：3,300,000.00元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合同包1(重症监护病房设备一批):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合同包预算金额：3,300,000.00元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合同包最高限价：3,300,000.00元</w:t>
      </w:r>
    </w:p>
    <w:tbl>
      <w:tblPr>
        <w:tblStyle w:val="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64"/>
        <w:gridCol w:w="1751"/>
        <w:gridCol w:w="662"/>
        <w:gridCol w:w="1013"/>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品目号</w:t>
            </w:r>
          </w:p>
        </w:tc>
        <w:tc>
          <w:tcPr>
            <w:tcW w:w="11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品目名称</w:t>
            </w:r>
          </w:p>
        </w:tc>
        <w:tc>
          <w:tcPr>
            <w:tcW w:w="11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采购标的</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数量（单位）</w:t>
            </w:r>
          </w:p>
        </w:tc>
        <w:tc>
          <w:tcPr>
            <w:tcW w:w="7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技术规格、参数及要求</w:t>
            </w:r>
          </w:p>
        </w:tc>
        <w:tc>
          <w:tcPr>
            <w:tcW w:w="5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品目预算(元)</w:t>
            </w:r>
          </w:p>
        </w:tc>
        <w:tc>
          <w:tcPr>
            <w:tcW w:w="5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1-1</w:t>
            </w:r>
          </w:p>
        </w:tc>
        <w:tc>
          <w:tcPr>
            <w:tcW w:w="11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其他医疗设备</w:t>
            </w:r>
          </w:p>
        </w:tc>
        <w:tc>
          <w:tcPr>
            <w:tcW w:w="11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3300000.00</w:t>
            </w:r>
          </w:p>
        </w:tc>
        <w:tc>
          <w:tcPr>
            <w:tcW w:w="4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1(批)</w:t>
            </w:r>
          </w:p>
        </w:tc>
        <w:tc>
          <w:tcPr>
            <w:tcW w:w="79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lang w:val="en-US" w:eastAsia="zh-CN" w:bidi="ar"/>
              </w:rPr>
              <w:t>详见采购文件</w:t>
            </w:r>
          </w:p>
        </w:tc>
        <w:tc>
          <w:tcPr>
            <w:tcW w:w="5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3,300,000.00</w:t>
            </w:r>
          </w:p>
        </w:tc>
        <w:tc>
          <w:tcPr>
            <w:tcW w:w="5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lang w:val="en-US" w:eastAsia="zh-CN" w:bidi="ar"/>
              </w:rPr>
              <w:t>3,300,000.00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合同包1(重症监护病房设备一批)落实政府采购政策需满足的资格要求如下: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合同包1(重症监护病房设备一批)特定资格要求如下: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3.2.法定代表人授权书（附法定代表人身份证复印件）及被授权人身份证（法定代表人直接参加</w:t>
      </w:r>
      <w:r>
        <w:rPr>
          <w:rFonts w:hint="eastAsia" w:ascii="微软雅黑" w:hAnsi="微软雅黑" w:eastAsia="微软雅黑" w:cs="微软雅黑"/>
          <w:i w:val="0"/>
          <w:iCs w:val="0"/>
          <w:caps w:val="0"/>
          <w:color w:val="333333"/>
          <w:spacing w:val="0"/>
          <w:sz w:val="21"/>
          <w:szCs w:val="21"/>
          <w:shd w:val="clear" w:fill="FFFFFF"/>
          <w:lang w:val="en-US" w:eastAsia="zh-CN"/>
        </w:rPr>
        <w:t>谈判</w:t>
      </w:r>
      <w:r>
        <w:rPr>
          <w:rFonts w:hint="eastAsia" w:ascii="微软雅黑" w:hAnsi="微软雅黑" w:eastAsia="微软雅黑" w:cs="微软雅黑"/>
          <w:i w:val="0"/>
          <w:iCs w:val="0"/>
          <w:caps w:val="0"/>
          <w:color w:val="333333"/>
          <w:spacing w:val="0"/>
          <w:sz w:val="21"/>
          <w:szCs w:val="21"/>
          <w:shd w:val="clear" w:fill="FFFFFF"/>
        </w:rPr>
        <w:t>只须提供法定代表人身份证）；</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3.3.税收缴纳证明：提供本年度已缴纳的至少连续3个月的纳税证明或完税证明，依法免税的单位应提供相关证明材料；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3.4.供应商为代理商的须提供《医疗器械经营许可证》供应商为制造厂家须提供《医疗器械生产许可证》；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3.6.财务状况报告：提供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3.7.供应商应出具参加政府采购活动前3年内在经营活动中没有重大违法记录的书面声明；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2023年10月23日 至 2023年10月25日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2023年10月30日 14时00分00秒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2023年10月30日 14时00分00秒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shd w:val="clear" w:fill="FFFFFF"/>
        </w:rPr>
        <w:t>注：1.领取谈判文件时请于发售时间内(上午9:00-12:00,下午14:00-17:00）携带单位介绍信及本人有效身份证原件加盖公章（鲜章）复印件一份（谢绝邮寄）。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shd w:val="clear" w:fill="FFFFFF"/>
        </w:rPr>
        <w:t>      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富县人民医院</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富县正街84号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13772296066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陕西泽信项目管理有限公司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延安市新区能源小区A区12号楼一单元2302室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赵勃勃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陕西泽信项目管理有限公司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30FD102A"/>
    <w:rsid w:val="571E18BB"/>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2023-10-22T07:50:51Z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