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建设目标</w:t>
      </w:r>
    </w:p>
    <w:p>
      <w:pPr>
        <w:pStyle w:val="5"/>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落实国家、及省市医保支付方式改革要求，医院亟需按照《国家医疗保障按病种分值付费（DIP）技术规范》等相关标准，结合国家统一的支付方式管理子系统和DIP支付子系统、陕西省统一的支付方式管理子系统和DIP支付子系统来建设一套医院DIP管理平台以提升数据质量和运营分析等，以此助力医院精细化管理，实现医院的可持续性发展。</w:t>
      </w:r>
    </w:p>
    <w:p>
      <w:pPr>
        <w:pStyle w:val="3"/>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总体要求</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1、应用软件在开发中要遵循实用性、高效性、可靠性、易操作性和安全性原则；</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系统必须根据医院管理模式采用科学化、信息化、规范化、标准化理论进行设计建立，以满足医院管理模式和管理流程的规范化和持续改进的需要，同时也应考虑到医院的实际情况进行人性化设计和智能化设计；</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3、系统应具有较好的实用性。它应该符合现行医院体系结构、管理模式和运作程序，能满足医院对信息的需求，提高医疗服务质量、工作效率和管理水平，为医院带来一定的经济效益和社会效益；</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4、系统必须保证与我国现行的有关法律、法规、规章制度相一致；</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5、系统满足与各级医疗机构和各级卫生行政部门交换信息的要求；</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6、系统必须保证各项信息统计指标，符合卫生行政管理部门颁布的信息统计指标规范，可根据卫生行政管理部门的要求及时对系统进行升级；</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7、满足及遵循《全国医院信息化建设标准与规范（试行）》最新标准及相关要求。</w:t>
      </w:r>
    </w:p>
    <w:p>
      <w:pPr>
        <w:pStyle w:val="3"/>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采购内容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24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5245"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1276"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5245" w:type="dxa"/>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医保结算清单质量管理软件服务</w:t>
            </w:r>
          </w:p>
        </w:tc>
        <w:tc>
          <w:tcPr>
            <w:tcW w:w="1276"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5245" w:type="dxa"/>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费用测算分析系统软件服务</w:t>
            </w:r>
          </w:p>
        </w:tc>
        <w:tc>
          <w:tcPr>
            <w:tcW w:w="1276"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5245" w:type="dxa"/>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医生端质控及预入组软件服务</w:t>
            </w:r>
          </w:p>
        </w:tc>
        <w:tc>
          <w:tcPr>
            <w:tcW w:w="1276"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5245" w:type="dxa"/>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医院运营分析系统软件服务</w:t>
            </w:r>
          </w:p>
        </w:tc>
        <w:tc>
          <w:tcPr>
            <w:tcW w:w="1276"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1套</w:t>
            </w:r>
          </w:p>
        </w:tc>
      </w:tr>
    </w:tbl>
    <w:p>
      <w:pPr>
        <w:pStyle w:val="3"/>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技术参数要求</w:t>
      </w:r>
    </w:p>
    <w:p>
      <w:pPr>
        <w:pStyle w:val="4"/>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w:t>
      </w:r>
      <w:r>
        <w:rPr>
          <w:rFonts w:hint="eastAsia" w:ascii="宋体" w:hAnsi="宋体" w:eastAsia="宋体" w:cs="宋体"/>
          <w:color w:val="000000" w:themeColor="text1"/>
          <w:sz w:val="24"/>
          <w:szCs w:val="24"/>
          <w14:textFill>
            <w14:solidFill>
              <w14:schemeClr w14:val="tx1"/>
            </w14:solidFill>
          </w14:textFill>
        </w:rPr>
        <w:t>医保结算清单质量管理软件服务</w:t>
      </w:r>
    </w:p>
    <w:p>
      <w:pPr>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1医保结算清单管理</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1）支持DIP、病种分值、特殊门诊及其他（单病种、生育住院...）业务类型的结算清单管理；</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2）支持按结算时间、出院时间灵活选择查询结算清单，满足各科室不同角色数据诉求；</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3）支持单个与批量抽取结算清单，同时，针对上传失败的结算清单可设置自动抽取；</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4）支持结算清单数据智能分组，未入组清单可提示未入组的原因；</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5）支持实时质控处理，方便用户实时查看质控提示及问题清单处理；</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7）支持审核流程自定义配置，满足医院不同审批流程场景；</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8）针对质控通过结算清单，支持一键上传、自动上传配置，批量结算清单一键上传，提高工作效率；</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9）直观提醒已结算天数，确保结算清单能及时上传至医保；</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10）支持智能转码，国家临床版诊断编码转医保版、国家临床版手术操作编码转医保版，同时也支持医保结算清单贯标码转换；</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11）支持导出上传失败、质控缺陷、无法入组等问题清单，方便用户自主分析问题原因，提升团队协同办公效率。</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2质控结果统计分析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1）支持结算清单与病案首页的质控结果统计分析，同时，可根据医院实际开展情况，灵活配置显示结算清单与病案首页统计；</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2）支持按结算时间、出院时间灵活选择查询结算清单，满足各科室不同角色数据诉求；</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3）支持多个科室之间的质控指标比对；</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4）支持从科室、医生、病人维度的质控结果统计；</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5）支持各科室质控指标及质控明细数据导出。</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3质控违规多维分析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1）支持结算清单与病案首页的质控结果统计分析；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2）支持按结算时间、出院时间灵活选择查询结算清单，满足各科室不同角色数据诉求；</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3）支持从科室、医生、质控规则、病种多维度统计分析；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4）支持查看全部科室质控违规排名分析；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5）支持查看全院医生质控违规明细数据；</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6）支持查看各违规类别的规则错误统计；</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7）支持按DIP病种维度统计违规病例数、违规次数。</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4清单归档实时监测</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1）支持查看全院、各科室的结算清单状态及数量情况；</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2）支持查看已结算未归档、已结算已归档、质控通过、质控未通过、已上传、未上传各状态类型的结算清单查询；</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3）支持按各险种、结算时间、医生等组合查询结算清单。</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5清单入组统计分析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为病案室提供对医保结算清单分组结果统计、入组情况分析、全院入组排名等功能。</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1）支持按入组病例数、入组率进行科室排名；</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2）支持查看各科室的结算清单入组列表，可快速查看各科室的总病例数、DIP组数、入组病例数、入组率病例数、未入组病例数；</w:t>
      </w:r>
    </w:p>
    <w:p>
      <w:pPr>
        <w:pStyle w:val="4"/>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费用测算分析系统软件服务</w:t>
      </w:r>
    </w:p>
    <w:p>
      <w:pPr>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1在院病例测算分析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1）支持按权限科室、病人医保身份等条件进行数据筛选，同时支持一键重置过滤条件；</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2）支持查看在院病例总览情况包括在院病例总数、总费用、填写诊断病例数、未填写诊断病例数、已入组病例数、未入组病例数；</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3）支持查看科室盈亏排名、医生盈亏排名；</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4）支持查看在院病人费用预警播报；</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5）支持查看费用类型分析包括未入组病例、超长住院病例、低倍率病例等；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7）所有列表支持自定义排序、数据导出。</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2出院病例测算分析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1）支持结算时间和出院时间、权限科室、患者医保身份、费用类型、结算类型、患者姓名等条件进行数据筛选；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2）支持查看出院病例指标总览情况包括总人数、平均盈亏额、总盈亏、DIP组数、总分值，可查看指标同比和环比数据；</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3）支持查看出院病例盈亏明细、病例结算清单详情；</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4）支持查看费用类型分析柱状图、年度盈亏变化趋势图；</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6）所有列表支持自定义排序、数据导出。</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3科室结算盈亏分析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1）支持结算时间、权限科室、患者医保身份、费用类型、结算类型等条件进行数据筛选；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2）支持查看结算病例指标总览情况包括总盈亏、总费用、总分值、入组率、药占比、耗占比、总人次等；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3）支持查看科室结算病例详情列表、支持下钻到医生盈亏详情概览和列表、病人盈亏列表；</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4）支持查看科室盈亏排名、医生盈亏排名；</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5）支持查看所选时间段内盈亏额趋势图包括盈亏额同比和环比；</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6）所有列表支持自定义排序、数据导出；</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4DIP病种盈亏分析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1）支持按结算时间、权限科室、病种名称、患者医保身份、费用类型、结算类型、盈亏类型等条件进行数据筛选；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2）支持查看DIP组指标总览包括：DIP组数、核心病种数、综合病种数、总盈亏、总分值等指标；</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3）支持查看DIP病种盈亏明细；</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4）支持查看同DIP组不同科室指标对比、同DIP组不同医师指标对比；</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5）支持下钻到病人明细列表、病人结算清单详情；</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7）支持按月度结算和年终清算两种政策类型进行盈亏测算。</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5病例结算类型分析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1）支持按结算时间、权限科室、患者医保身份等条件进行数据筛选；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2）支持查看病例结算类型指标总览包括：盈亏额、DIP支付费用、总费用、总人次等指标；</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3）支持查看每个结算类型的盈亏额和人次柱状图；</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4）支持查看病例结算类型明细列表包括：正常病例、未入组病例、低倍率病例、高倍率病例等类型；</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5）支持查看同结算类型不同病例对比、下钻到病人结算清单详情；</w:t>
      </w:r>
    </w:p>
    <w:p>
      <w:pPr>
        <w:spacing w:line="480" w:lineRule="exact"/>
        <w:rPr>
          <w:rFonts w:hint="eastAsia"/>
        </w:rPr>
      </w:pPr>
      <w:r>
        <w:rPr>
          <w:rFonts w:hint="eastAsia" w:ascii="宋体" w:hAnsi="宋体" w:cs="宋体"/>
          <w:b/>
          <w:bCs/>
          <w:color w:val="000000" w:themeColor="text1"/>
          <w:szCs w:val="24"/>
          <w:lang w:eastAsia="zh-CN"/>
          <w14:textFill>
            <w14:solidFill>
              <w14:schemeClr w14:val="tx1"/>
            </w14:solidFill>
          </w14:textFill>
        </w:rPr>
        <w:t>注：</w:t>
      </w:r>
      <w:r>
        <w:rPr>
          <w:rFonts w:hint="eastAsia" w:ascii="宋体" w:hAnsi="宋体" w:cs="宋体"/>
          <w:b/>
          <w:bCs/>
          <w:color w:val="000000" w:themeColor="text1"/>
          <w:szCs w:val="24"/>
          <w14:textFill>
            <w14:solidFill>
              <w14:schemeClr w14:val="tx1"/>
            </w14:solidFill>
          </w14:textFill>
        </w:rPr>
        <w:t>系统须实现与市医保平台及医院信息系统无缝对接，涉及接口费用由投标人自行承担。</w:t>
      </w:r>
    </w:p>
    <w:p>
      <w:pPr>
        <w:pStyle w:val="4"/>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医生端质控及预入组软件服务</w:t>
      </w:r>
    </w:p>
    <w:p>
      <w:pPr>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病案质量校验：</w:t>
      </w:r>
      <w:r>
        <w:rPr>
          <w:rFonts w:hint="eastAsia" w:ascii="宋体" w:hAnsi="宋体" w:eastAsia="宋体" w:cs="宋体"/>
          <w:color w:val="000000" w:themeColor="text1"/>
          <w:kern w:val="0"/>
          <w:sz w:val="24"/>
          <w:szCs w:val="24"/>
          <w14:textFill>
            <w14:solidFill>
              <w14:schemeClr w14:val="tx1"/>
            </w14:solidFill>
          </w14:textFill>
        </w:rPr>
        <w:t>在临床医生填写病案首页/病案室对病案首页进行编码时，通过接口调用病案首页书写规范知识库和病案首页编码知识库库对病案首页进行实时检查，对不符合数据质控规则的病案首页进行预警。</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预分组</w:t>
      </w:r>
      <w:r>
        <w:rPr>
          <w:rFonts w:hint="eastAsia" w:ascii="宋体" w:hAnsi="宋体" w:eastAsia="宋体" w:cs="宋体"/>
          <w:color w:val="000000" w:themeColor="text1"/>
          <w:kern w:val="0"/>
          <w:sz w:val="24"/>
          <w:szCs w:val="24"/>
          <w14:textFill>
            <w14:solidFill>
              <w14:schemeClr w14:val="tx1"/>
            </w14:solidFill>
          </w14:textFill>
        </w:rPr>
        <w:t>：提供诊断预入组弹窗插件，通过HIS接口服务，为医生端提供诊断预入组、费用盈亏偏差分析服务。根据患者基本信息、诊断信息、手术信息，测算预计能入的DIP组，展现DIP组权重、标杆费用等参考信息，辅助临床合理控制医保费用。同时为临床医师提供费用偏差预警功能，对比患者实际治疗费用与预测能入DIP组标杆费用差异，辅助临床医师调整治疗方案。</w:t>
      </w:r>
    </w:p>
    <w:p>
      <w:pPr>
        <w:pStyle w:val="4"/>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w:t>
      </w:r>
      <w:r>
        <w:rPr>
          <w:rFonts w:hint="eastAsia" w:ascii="宋体" w:hAnsi="宋体" w:eastAsia="宋体" w:cs="宋体"/>
          <w:color w:val="000000" w:themeColor="text1"/>
          <w:sz w:val="24"/>
          <w:szCs w:val="24"/>
          <w14:textFill>
            <w14:solidFill>
              <w14:schemeClr w14:val="tx1"/>
            </w14:solidFill>
          </w14:textFill>
        </w:rPr>
        <w:t>医院运营分析系统软件服务</w:t>
      </w:r>
    </w:p>
    <w:p>
      <w:pPr>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1能力管理分析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1）支持按年份/月份/日期、医保支付方式、病人医保身份等条件进行数据筛选；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2）DIP组详情：支持查看所选时间段内全院服务能力核心指标包含：总分值、总病例数、DIP组数等指标数据；</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3）分值趋势分析：支持查看近一年总分值趋势图和列表明细以及同比分值和环比分值支持列表导出；</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2效率管理分析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1）支持按年份/月份/日期、权限科室、医保支付方式、病人医保身份等条件进行数据筛选，同时支持一键重置过滤条件；</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2）概览：支持查看所选时间段内全院服务效率核心指标包含：费用消耗指数、时间消耗指数、药品消耗指数、耗材消耗指数、平均住院日、药品费用、耗材费用、药占比、耗占比等；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3）通过散点图、趋势图分析全院费用消耗指数、时间消耗指数、药品消耗指数、耗材消耗指数等指标运营情况；</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4）支持从科室维度、DIP组维度查看核心效率指标情况。</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3安全管理分析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1）支持按年份/月份/日期、医保支付方式、病人医保身份等条件进行数据筛选；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2）通过分析低风险组死亡率指标告知医院存在医疗风险，支持查看所选时间段内低分值组死亡率趋势图分析、低分值组死亡人数分布图，可查看同比环比趋势图；</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3）低分值组死亡人次列表：支持查看死亡病人所属医师、科室以及诊断入组信息。</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4科室对比分析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1）支持筛选DIP结算、非DIP结算、全院病例数据进行科室指标数据对比分析；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2）支持查看不同科室的结算人次、入组率、平均分值、次均费用、盈亏额、平均住院日等核心指标；</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查看不同科室的高、低倍率病例类型的病例数综合对比；盈亏额、次均费用等费用管控指标综合对比；总分值、平均分值等医疗服务能力指标综合对比；入组率等质控情况分析综合对比；药占比、耗材占比等费用结构指标综合对比；时间消耗指数、费用消耗指数等医疗服务效率指标综合对比；</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4）支持科室的入组情况对比主题分析，直观展示未入组病例、已入组病例、核心病种病例、综合病种病例、入组率等指标，分类统计显示入组率优秀、良好、一般的科室。</w:t>
      </w:r>
    </w:p>
    <w:p>
      <w:pPr>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r>
        <w:rPr>
          <w:rFonts w:hint="eastAsia" w:ascii="宋体" w:hAnsi="宋体" w:eastAsia="宋体" w:cs="宋体"/>
          <w:color w:val="000000" w:themeColor="text1"/>
          <w:kern w:val="0"/>
          <w:sz w:val="24"/>
          <w:szCs w:val="24"/>
          <w14:textFill>
            <w14:solidFill>
              <w14:schemeClr w14:val="tx1"/>
            </w14:solidFill>
          </w14:textFill>
        </w:rPr>
        <w:t>5）支持科室的医疗服务效率情况对比分析，可根据科室例均分值与平均住院日二维坐标轴，将科室划分为低效科室与高效科室。</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5科室综合分析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1）支持按年份/月份/日期、权限科室、病例范围等条件进行数据筛选；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2）支持按主题分析包括：盈亏分析、入组分析、病种分析、费用结构分析、重点病例分析等；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3）盈亏分析：支持查看指标总览、病例类型分布图、病例类型列表、盈亏额/次均盈亏额/医疗总费用/DIP支付费用/等指标的趋势分析，可下钻到病例明细、支持关键字模糊筛选；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4）入组分析：支持查看入组率、已入组病例数、未入组病例数、核心病种病例数、综合病种病例数；</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5）病种分析：支持查看分值区间病种分布图、分值区间列表明细以及诊断手术组合列表明细、DIP组列表明细，可进行主诊断/主手术模糊查询、数据导出；</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6）费用结构分析：支持查看费用结构分布图、费用结构类型列表、总费用同比情况、病种费用结构分析，支持关键字模糊筛选、盈余病种和亏损病种快速筛选、诊断手术组合和DIP组快速筛选，支持查看DIP组费用结构分析和费用明细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6医疗组综合分析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1）支持按出院时间/结算时间、权限科室、病例范围、医疗组等条件进行数据筛选；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2）支持查看医疗组核心运营指标包括：病例数、高倍率病例数、低倍率病例数、入组率、总分值、平均住院日、盈亏额、各计费类别费用以及占比等；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3）支持自定义列表展示字段；</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4）支持快速筛选包括盈余病种、亏损病种等；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7医生综合分析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1）支持按出院时间/结算时间、权限科室、病例范围、医生等条件进行数据筛选；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2）支持查看医生核心运营指标包括：病例数、高倍率病例数、低倍率病例数、入组率、总分值、平均住院日、盈亏额、费用消耗指数、时间消耗指数、各计费类别费用以及占比等；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3）支持自定义列表展示字段；</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4）支持快速筛选包括盈余医生、亏损医生等；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5）支持根据平均分值与次均盈亏二维四象限图，将科室医生划分为优质医生、优势医生、劣势医生与问题医生4个部分，并可查看医生明细统计数据；</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6）支持直观展示未入组病例、入组率等指标，分类统计显示入组率优秀、良好、一般的医生。</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7）支持科室的医疗服务效率情况分析，可根据科室医生平均分值与平均住院日二维坐标轴，将医生划分为低效医生与高效医生。</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8病种综合分析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1）支持按出院时间/结算时间、权限科室、病例范围、医疗组等条件进行数据筛选；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2）支持查看病种核心运营指标包括：病例数、入组率、总分值、平均住院日、盈亏额、各计费类别费用以及占比等；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3）支持自定义列表展示字段、设置重点关注病种；</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4）支持快速筛选包括盈余病种、亏损病种、重点关注病种等；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9病例综合分析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w:t>
      </w:r>
      <w:bookmarkStart w:id="0" w:name="_GoBack"/>
      <w:bookmarkEnd w:id="0"/>
      <w:r>
        <w:rPr>
          <w:rFonts w:hint="eastAsia" w:ascii="宋体" w:hAnsi="宋体" w:eastAsia="宋体" w:cs="宋体"/>
          <w:color w:val="000000" w:themeColor="text1"/>
          <w:kern w:val="0"/>
          <w:sz w:val="24"/>
          <w:szCs w:val="24"/>
          <w14:textFill>
            <w14:solidFill>
              <w14:schemeClr w14:val="tx1"/>
            </w14:solidFill>
          </w14:textFill>
        </w:rPr>
        <w:t>按出院时间/结算时间、权限科室、病例范围、医疗组、医生、盈亏区间、倍率区间等条件进行数据筛选；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2）支持查看病例运营分析列表包括：病人基本信息、结算状态、归档状态、主要诊断、主要手术、分值、倍率、住院日、药占比、耗占比等；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4）支持快速筛选包括盈余病例、亏损</w:t>
      </w:r>
      <w:r>
        <w:rPr>
          <w:rFonts w:hint="eastAsia" w:ascii="宋体" w:hAnsi="宋体" w:eastAsia="宋体" w:cs="宋体"/>
          <w:color w:val="000000" w:themeColor="text1"/>
          <w:kern w:val="0"/>
          <w:sz w:val="21"/>
          <w:szCs w:val="21"/>
          <w14:textFill>
            <w14:solidFill>
              <w14:schemeClr w14:val="tx1"/>
            </w14:solidFill>
          </w14:textFill>
        </w:rPr>
        <w:t>病例、正常病例、高倍率病例、低倍率病例等；</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5）支持列表自定义排序、数据导出。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r>
        <w:rPr>
          <w:rFonts w:hint="eastAsia" w:ascii="宋体" w:hAnsi="宋体"/>
          <w:b/>
          <w:color w:val="auto"/>
          <w:sz w:val="24"/>
          <w:highlight w:val="none"/>
        </w:rPr>
        <w:t>注：采购内容及技术要求为实质性要求，不得负偏离。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NTc2NGQ4ZGJlOWNiNWMxMTMwOWZhOTg0YTg3NTMifQ=="/>
  </w:docVars>
  <w:rsids>
    <w:rsidRoot w:val="00000000"/>
    <w:rsid w:val="1AAA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sz w:val="21"/>
      <w:szCs w:val="24"/>
    </w:rPr>
  </w:style>
  <w:style w:type="paragraph" w:styleId="5">
    <w:name w:val="Normal Indent"/>
    <w:basedOn w:val="1"/>
    <w:next w:val="1"/>
    <w:qFormat/>
    <w:uiPriority w:val="0"/>
    <w:pPr>
      <w:ind w:firstLine="420"/>
    </w:pPr>
    <w:rPr>
      <w:sz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2023-10-24T11:08:31Z</dcterms:created>
  <dc:creator>Administrator</dc:creator>
  <cp:lastModifiedBy>aaa</cp:lastModifiedBy>
  <dcterms:modified xsi:type="dcterms:W3CDTF">2023-10-24T11:08:43Z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D47148A4F1F3410C89768DDA37ABBAD2_12</vt:lpwstr>
  </property>
</Properties>
</file>