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088"/>
        <w:gridCol w:w="608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638" w:type="pct"/>
            <w:noWrap w:val="0"/>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3570" w:type="pct"/>
            <w:noWrap w:val="0"/>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参数</w:t>
            </w:r>
          </w:p>
        </w:tc>
        <w:tc>
          <w:tcPr>
            <w:tcW w:w="408" w:type="pct"/>
            <w:noWrap w:val="0"/>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电子票据系统平台</w:t>
            </w:r>
          </w:p>
        </w:tc>
        <w:tc>
          <w:tcPr>
            <w:tcW w:w="3570"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医疗电子票据系统平台，实现医疗电子票据标准化开票，满足电子开票、冲红、作废、查看、换开纸质票据等全系统功能。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系统管理：（1）用户管理：根据医院实际业务情况，创建本单位的用户信息，对单位及单位下的开票点管理操作。（2）角色管理：满足医院实际业务中，多岗位多角色办理的情况。（3）权限管理：按照用户、岗位、机构的不同，可根据医院的实际需求进行授权设置。通过对用户、岗位或机构的绑定，允许其办理或查看相应的事项或数据，严格把控数据权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票据开具：（1）在线开具：财务人员或收费处人员根据业务需要，可采用直接登录电子票据系统在线开具电子票据。（2）系统开具：根据业务系统实际发生情况，按业务交易信息自动开具电子票据。（3）票据冲红：当单位发生退费业务时，需要对已开具的电子票据进行冲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3、单位管理：印章管理、开票点管理、开票员管理、项目分组、编码对照管理、业务类别维护等单位管理功能。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4、库存管理：对开票点票据库存进行管理，有手工票据领购查询，票据作废查询，财政端接口同步等功能。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查询对账：欠费管理、库存结余表、医疗电子票据明细表、医疗电子票据汇总表、交费渠道汇总表、部门开票点汇总表、部门收费员汇总表等查询对账功能。可以具体查看开票信息包含业务日期、开票日期、开票点名称、收费员、患者姓名、 业务标识、科室、交费渠道、开票总金额、票据名称、票据代码、票据号码、关联红票号码、状态。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6、票据交付：实现二维码交付、自助机打印交付、窗口交付，预留接口，供第三方平台（医院自有APP、短信、邮箱、微信、公众号等）接入，接入后，患者可根据医院开票后的推送方式获取电子票据。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7、财务入账管理：提供对应的电子票据记账接口，与单位财务系统对接，财务系统可批量获取待入账的电子票据信息进行记账，简化财务人员操作。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电子票据档案管理：基础功能包括电子票据入账后的30年存储，分类归档备查，提供电子票据收集、整理、保管、统计、利用、销毁的服务。所有开具票据以pdf格式保存到医院本地服务器，便于单位进行电子票据查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9、满足医疗电子票据全国流转的需要，开具的医疗电子票据能够在财政部全国财政电子票据查验平台上进行查验，确保开具票据合法有效。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10、提供与HIS系统联调的接口文档规范。</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陕西省财政电子票据管理系统集成接口服务</w:t>
            </w:r>
          </w:p>
        </w:tc>
        <w:tc>
          <w:tcPr>
            <w:tcW w:w="3570"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陕西省财政电子票据公共服务平台管理系统集成接口服务，陕西省财政电子票据服务接口对接，票据类型和模板根据财政厅统一要求配置。对接省财政的医疗电子票据平台定制的规则标准，实现医院和省财政信息相互对应，保证电子印章和收费项目等信息一致，确保单位开具票据符合财政要求。</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电子票据自助机系统集成接口服务</w:t>
            </w:r>
          </w:p>
        </w:tc>
        <w:tc>
          <w:tcPr>
            <w:tcW w:w="3570"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医疗电子票据自助机系统集成接口服务，实现自助机上电子票据打印件打印。</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服务器</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外形：2U机架式；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处理器：</w:t>
            </w:r>
            <w:r>
              <w:rPr>
                <w:rFonts w:hint="eastAsia" w:ascii="宋体" w:hAnsi="宋体" w:cs="宋体"/>
                <w:i w:val="0"/>
                <w:color w:val="000000"/>
                <w:kern w:val="0"/>
                <w:sz w:val="24"/>
                <w:szCs w:val="24"/>
                <w:u w:val="none"/>
                <w:lang w:val="en-US" w:eastAsia="zh-CN" w:bidi="ar"/>
              </w:rPr>
              <w:t>不低于以下配置：</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 xml:space="preserve"> 1颗Intel Xeon 4314(16C,185W,2.4GHz)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内存：32G DDR4 内存插槽≥16个DDR4 3200 MT/s内存；支持RDIMM, LRDIMM内存；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硬盘：2块2T SATA 3.5寸硬盘，可扩展支持≥29个2.5寸热插拔 SSD；可扩展支持≥12个3.5寸 SATA/SAS 硬盘；可扩展支持≥12个 U.2 NVMe SSD；后置可扩展支持≥2*E1.S或2*M.2；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RAID：8通道高性能SAS RAID卡，支持RAID0/1/5/6/10/50等；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网络：双口千兆网口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I/O插槽：最大支持5个标准PCIe 4.0，支持1个Raid Mezz卡，支持1个200Gb/s OCP3.0网卡，支持4个单宽GPU；</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管理： BMC管理模块，支持IPMI、KVM Over IP、虚拟媒体等；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电源及其他：单电源；机架安装导轨及电源线。</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服务器</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外形：2U机架式；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处理器：</w:t>
            </w:r>
            <w:r>
              <w:rPr>
                <w:rFonts w:hint="eastAsia" w:ascii="宋体" w:hAnsi="宋体" w:cs="宋体"/>
                <w:i w:val="0"/>
                <w:color w:val="000000"/>
                <w:kern w:val="0"/>
                <w:sz w:val="24"/>
                <w:szCs w:val="24"/>
                <w:u w:val="none"/>
                <w:lang w:val="en-US" w:eastAsia="zh-CN" w:bidi="ar"/>
              </w:rPr>
              <w:t>不低于以下配置：</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 xml:space="preserve"> 1颗Intel Xeon 4314(16C,185W,2.4GHz)</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内存：32G DDR4 内存插槽≥16个DDR4 3200 MT/s内存；支持RDIMM, LRDIMM内存；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硬盘：2块2T SATA 3.5寸硬盘，可扩展支持≥29个2.5寸热插拔 SSD；可扩展支持≥12个3.5寸 SATA/SAS 硬盘；可扩展支持≥12个 U.2 NVMe SSD；后置可扩展支持≥2*E1.S或2*M.2；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RAID：8通道高性能SAS RAID卡，支持RAID0/1/5/6/10/50等；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网络：双口千兆网口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I/O插槽：最大支持5个标准PCIe 4.0，支持1个Raid Mezz卡，支持1个200Gb/s OCP3.0网卡，支持4个单宽GPU；</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管理： BMC管理模块，支持IPMI、KVM Over IP、虚拟媒体等；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电源及其他：单电源；机架安装导轨及电源线。</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签名验签服务器（CA）</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color w:val="000000"/>
                <w:kern w:val="0"/>
                <w:sz w:val="24"/>
                <w:szCs w:val="24"/>
                <w:u w:val="none"/>
                <w:lang w:val="en-US" w:eastAsia="zh-CN" w:bidi="ar"/>
              </w:rPr>
              <w:t>签名验签服务器是一款软硬一体化的安全密码设备。主要功能包括数据电子签名、签名真实性与有效性验证，可应用于验证用户身份、检验交易凭证、防止抵赖等方面。</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1.功能：</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(1) 符合国家保密局和财政部相关技术标准，主要应用于电子发票系统与财政系统电子签名互签互认，支持电子发票开具；</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(2) 提供电子票据文件的签名与验证，可以对专用电子票据文件进行数字签名和数字签名验证功能，提供财政部专用电子签名与验签服务接口；</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(3) 电子票据数字信封功能，对票据数据进行加密传输，只有指定的信封接收者可以解密数据；</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(4) 财政签发证书的有效性验证功能，提供 CRL/OCSP 等多种方式的证书有效性验证；</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(5) 财政专有证书管理，生成证书申请，生成 P10 服务器证书请求,,提供财政服务器证书配置功能，生成证书请求、导入证书。</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(6) 提供pkcs1/Pkcs7 attach/Pkcs7 detach/xml Sign等格式的数字签名验证功能；</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(7) 密钥安全存储：保证关键密钥在任何时候不以明文形式出现在设备外，密钥备份文件也受到主密钥的保护；</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(8) 支持多种操作系统：应用服务器与签名验证服务器之间采用TCP/IP协议进行通信；</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(9) 支持连接密码及白名单：通过连接密码和白名单的支持，实现了签名验证服务器对应用服务器的授权认证，进一步提高了系统的安全性；</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(10) 证书验证时可对多</w:t>
            </w:r>
            <w:bookmarkStart w:id="0" w:name="_GoBack"/>
            <w:bookmarkEnd w:id="0"/>
            <w:r>
              <w:rPr>
                <w:rFonts w:hint="eastAsia" w:ascii="宋体" w:hAnsi="宋体" w:eastAsia="宋体" w:cs="宋体"/>
                <w:b w:val="0"/>
                <w:bCs w:val="0"/>
                <w:i w:val="0"/>
                <w:color w:val="000000"/>
                <w:kern w:val="0"/>
                <w:sz w:val="24"/>
                <w:szCs w:val="24"/>
                <w:u w:val="none"/>
                <w:lang w:val="en-US" w:eastAsia="zh-CN" w:bidi="ar"/>
              </w:rPr>
              <w:t xml:space="preserve"> CA 机构的根证书进行验证，实现多家CA 机构签发的证书能够在同一平台互认互验；</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(11) 可根据应用需求灵活配置CA、CRL、OCSP级别验证证书，并可以配置外部地址或者从证书获取地址等方式验证证书；</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w:t>
            </w:r>
            <w:r>
              <w:rPr>
                <w:rFonts w:hint="eastAsia" w:ascii="宋体" w:hAnsi="宋体" w:eastAsia="宋体" w:cs="宋体"/>
                <w:b w:val="0"/>
                <w:bCs w:val="0"/>
                <w:i w:val="0"/>
                <w:color w:val="auto"/>
                <w:kern w:val="0"/>
                <w:sz w:val="24"/>
                <w:szCs w:val="24"/>
                <w:u w:val="none"/>
                <w:lang w:val="en-US" w:eastAsia="zh-CN" w:bidi="ar"/>
              </w:rPr>
              <w:t>12) 满足医疗机构财政票据开具电子化的应用需求；对医疗电子票据提供签名验证等电子签名应用服务；</w:t>
            </w:r>
            <w:r>
              <w:rPr>
                <w:rStyle w:val="7"/>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(13)提供C、COM 、Java 等主流开发API</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color w:val="auto"/>
                <w:sz w:val="24"/>
                <w:szCs w:val="24"/>
                <w:lang w:val="en-US" w:eastAsia="zh-CN" w:bidi="ar"/>
              </w:rPr>
              <w:t>(14) 本产品通过财政部符合性测试并具有相关证明材料。</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color w:val="auto"/>
                <w:sz w:val="24"/>
                <w:szCs w:val="24"/>
                <w:lang w:val="en-US" w:eastAsia="zh-CN" w:bidi="ar"/>
              </w:rPr>
              <w:t>(15) 具有签名验签服务器软件的计算机软件著作权登记证书；</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color w:val="auto"/>
                <w:sz w:val="24"/>
                <w:szCs w:val="24"/>
                <w:lang w:val="en-US" w:eastAsia="zh-CN" w:bidi="ar"/>
              </w:rPr>
              <w:t>(16) 具有签名验签服务器的商用密码产品认证证书；</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color w:val="auto"/>
                <w:sz w:val="24"/>
                <w:szCs w:val="24"/>
                <w:lang w:val="en-US" w:eastAsia="zh-CN" w:bidi="ar"/>
              </w:rPr>
              <w:t>(17) 具有签名验签服务器软件的软件产品证书。</w:t>
            </w:r>
            <w:r>
              <w:rPr>
                <w:rStyle w:val="8"/>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(18)</w:t>
            </w:r>
            <w:r>
              <w:rPr>
                <w:rFonts w:ascii="宋体" w:hAnsi="宋体" w:eastAsia="宋体" w:cs="宋体"/>
                <w:b w:val="0"/>
                <w:bCs w:val="0"/>
                <w:sz w:val="24"/>
                <w:szCs w:val="24"/>
              </w:rPr>
              <w:t>提供功能证明材料，包含单不限于检测报告等</w:t>
            </w:r>
            <w:r>
              <w:rPr>
                <w:rStyle w:val="7"/>
                <w:rFonts w:hint="eastAsia" w:ascii="宋体" w:hAnsi="宋体" w:eastAsia="宋体" w:cs="宋体"/>
                <w:b w:val="0"/>
                <w:bCs w:val="0"/>
                <w:color w:val="auto"/>
                <w:sz w:val="24"/>
                <w:szCs w:val="24"/>
                <w:lang w:val="en-US" w:eastAsia="zh-CN" w:bidi="ar"/>
              </w:rPr>
              <w:t>；</w:t>
            </w:r>
            <w:r>
              <w:rPr>
                <w:rStyle w:val="7"/>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(19)为保证系统安全，需要提供《信息技术产品安全测试证书》</w:t>
            </w:r>
            <w:r>
              <w:rPr>
                <w:rStyle w:val="7"/>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(20)系统需要支持IPV6，并提供相关资质证明材料。</w:t>
            </w:r>
            <w:r>
              <w:rPr>
                <w:rStyle w:val="8"/>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2.硬件指标：</w:t>
            </w:r>
            <w:r>
              <w:rPr>
                <w:rStyle w:val="7"/>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（1）设备大小为桌面型</w:t>
            </w:r>
            <w:r>
              <w:rPr>
                <w:rStyle w:val="7"/>
                <w:rFonts w:hint="eastAsia" w:ascii="宋体" w:hAnsi="宋体" w:eastAsia="宋体" w:cs="宋体"/>
                <w:b w:val="0"/>
                <w:bCs w:val="0"/>
                <w:color w:val="auto"/>
                <w:sz w:val="24"/>
                <w:szCs w:val="24"/>
                <w:lang w:val="en-US" w:eastAsia="zh-CN" w:bidi="ar"/>
              </w:rPr>
              <w:br w:type="textWrapping"/>
            </w:r>
            <w:r>
              <w:rPr>
                <w:rStyle w:val="7"/>
                <w:rFonts w:hint="eastAsia" w:ascii="宋体" w:hAnsi="宋体" w:eastAsia="宋体" w:cs="宋体"/>
                <w:b w:val="0"/>
                <w:bCs w:val="0"/>
                <w:color w:val="auto"/>
                <w:sz w:val="24"/>
                <w:szCs w:val="24"/>
                <w:lang w:val="en-US" w:eastAsia="zh-CN" w:bidi="ar"/>
              </w:rPr>
              <w:t>（2）网络接口≥10M/100M自适应网口并支持WiFi</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color w:val="auto"/>
                <w:sz w:val="24"/>
                <w:szCs w:val="24"/>
                <w:lang w:val="en-US" w:eastAsia="zh-CN" w:bidi="ar"/>
              </w:rPr>
              <w:t>3.性能指标</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color w:val="auto"/>
                <w:sz w:val="24"/>
                <w:szCs w:val="24"/>
                <w:lang w:val="en-US" w:eastAsia="zh-CN" w:bidi="ar"/>
              </w:rPr>
              <w:t>（1）256位SM2密钥对生成：3500对/秒；</w:t>
            </w:r>
            <w:r>
              <w:rPr>
                <w:rStyle w:val="8"/>
                <w:rFonts w:hint="eastAsia" w:ascii="宋体" w:hAnsi="宋体" w:eastAsia="宋体" w:cs="宋体"/>
                <w:b w:val="0"/>
                <w:bCs w:val="0"/>
                <w:color w:val="auto"/>
                <w:sz w:val="24"/>
                <w:szCs w:val="24"/>
                <w:lang w:val="en-US" w:eastAsia="zh-CN" w:bidi="ar"/>
              </w:rPr>
              <w:br w:type="textWrapping"/>
            </w:r>
            <w:r>
              <w:rPr>
                <w:rStyle w:val="8"/>
                <w:rFonts w:hint="eastAsia" w:ascii="宋体" w:hAnsi="宋体" w:eastAsia="宋体" w:cs="宋体"/>
                <w:b w:val="0"/>
                <w:bCs w:val="0"/>
                <w:sz w:val="24"/>
                <w:szCs w:val="24"/>
                <w:lang w:val="en-US" w:eastAsia="zh-CN" w:bidi="ar"/>
              </w:rPr>
              <w:t>（2）256位SM2签名速度：8000次/秒；</w:t>
            </w:r>
            <w:r>
              <w:rPr>
                <w:rStyle w:val="8"/>
                <w:rFonts w:hint="eastAsia" w:ascii="宋体" w:hAnsi="宋体" w:eastAsia="宋体" w:cs="宋体"/>
                <w:b w:val="0"/>
                <w:bCs w:val="0"/>
                <w:sz w:val="24"/>
                <w:szCs w:val="24"/>
                <w:lang w:val="en-US" w:eastAsia="zh-CN" w:bidi="ar"/>
              </w:rPr>
              <w:br w:type="textWrapping"/>
            </w:r>
            <w:r>
              <w:rPr>
                <w:rStyle w:val="8"/>
                <w:rFonts w:hint="eastAsia" w:ascii="宋体" w:hAnsi="宋体" w:eastAsia="宋体" w:cs="宋体"/>
                <w:b w:val="0"/>
                <w:bCs w:val="0"/>
                <w:sz w:val="24"/>
                <w:szCs w:val="24"/>
                <w:lang w:val="en-US" w:eastAsia="zh-CN" w:bidi="ar"/>
              </w:rPr>
              <w:t>（3）256位SM2验证速度：2500次/秒；</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电子票据自助打印机</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color w:val="000000"/>
                <w:kern w:val="0"/>
                <w:sz w:val="24"/>
                <w:szCs w:val="24"/>
                <w:u w:val="none"/>
                <w:lang w:val="en-US" w:eastAsia="zh-CN" w:bidi="ar"/>
              </w:rPr>
              <w:t>打印方式:云打印技术，热敏/热转印技术，能兼容财政电子票据系统，扫码打印电子票据， 身份证读取打印</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机柜:全机柜采用1.5毫米优质冷轧钢板制作。机柜表面处理采用豪华喷塑工艺制作。专业模块化设计，机柜整体内部布局简洁。</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广告灯箱:定制亚格力及丝印 定制发光</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打印头寿命:≥150km</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分辨率:≥300dpi</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打印宽度:≥110mm</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打印速度:≥102mm/s</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内存:SDRAM：≥16MB  FLASH：≥8MB</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纸张规格:纸厚：0.06~0.254mm      纸宽：25~118mm</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外径：127mm（5英寸）  内径：25.4~76mm（1-3英寸）</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操作方式:无接触式，纯手机操作</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系统:安全可控（非国外知识产权）</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售后服务:提供持续软硬件售后维护服务，提供上门服务</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标配传感器:纸张检测、黑标检测、标签检测、机构检测、碳带检测</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标配接口:Wifi、网口</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选配接口:4G（与标配接口二选一）</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碳带规格:内径：25.4mm、外径：68mm、宽度33~110mm、长度：300m</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分辨率:640（水平）×480（垂直），256 gray levels</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功能配件:扫描头45°（水平），30°（垂直），语音播报</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重量:约40kg（落地型）</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电子票据专用打印机</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打印方式:热转印及热敏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打印头寿命:≥150km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分辨率:≥203dpi</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打印宽度:≥110mm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打印速度:≥150mm/s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内存:SDRAM：≥8MB  FLASH：≥8MB</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纸张规格:纸厚：0.06~0.254mm 纸宽：19~120mm  外径：203mm（8 英寸）  内径：38~76mm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标配传感器:纸张检测、黑标检测、标签检测、机构检测、碳带检测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标配接口:网口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碳带规格:内径：25.4mm、外径：68mm、宽度 33~110mm、长度：300m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标配件:自动切刀</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机柜</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42U</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接口费</w:t>
            </w:r>
          </w:p>
        </w:tc>
        <w:tc>
          <w:tcPr>
            <w:tcW w:w="357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与医院现有信息化HIS系统无缝对接</w:t>
            </w:r>
          </w:p>
        </w:tc>
        <w:tc>
          <w:tcPr>
            <w:tcW w:w="408" w:type="pct"/>
            <w:noWrap w:val="0"/>
            <w:vAlign w:val="top"/>
          </w:tcPr>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c2NGQ4ZGJlOWNiNWMxMTMwOWZhOTg0YTg3NTMifQ=="/>
  </w:docVars>
  <w:rsids>
    <w:rsidRoot w:val="00000000"/>
    <w:rsid w:val="1D7D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9"/>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sz w:val="21"/>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default" w:ascii="等线" w:hAnsi="等线" w:eastAsia="等线" w:cs="等线"/>
      <w:color w:val="FF0000"/>
      <w:sz w:val="22"/>
      <w:szCs w:val="22"/>
      <w:u w:val="none"/>
    </w:rPr>
  </w:style>
  <w:style w:type="character" w:customStyle="1" w:styleId="8">
    <w:name w:val="font11"/>
    <w:basedOn w:val="6"/>
    <w:qFormat/>
    <w:uiPriority w:val="0"/>
    <w:rPr>
      <w:rFonts w:hint="eastAsia" w:ascii="仿宋" w:hAnsi="仿宋" w:eastAsia="仿宋" w:cs="仿宋"/>
      <w:b/>
      <w:bCs/>
      <w:color w:val="202020"/>
      <w:sz w:val="24"/>
      <w:szCs w:val="24"/>
      <w:u w:val="none"/>
    </w:rPr>
  </w:style>
  <w:style w:type="character" w:customStyle="1" w:styleId="9">
    <w:name w:val="标题 1 字符"/>
    <w:link w:val="3"/>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2023-10-24T11:06:54Z</dcterms:created>
  <dc:creator>Administrator</dc:creator>
  <cp:lastModifiedBy>aaa</cp:lastModifiedBy>
  <dcterms:modified xsi:type="dcterms:W3CDTF">2023-10-24T11:07:50Z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160118C45CF846F58A7AE92FD9C750E5_12</vt:lpwstr>
  </property>
</Properties>
</file>