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color w:val="auto"/>
          <w:highlight w:val="none"/>
        </w:rPr>
      </w:pPr>
    </w:p>
    <w:p>
      <w:pPr>
        <w:spacing w:line="360" w:lineRule="auto"/>
        <w:jc w:val="right"/>
        <w:rPr>
          <w:rFonts w:ascii="宋体" w:hAnsi="宋体" w:cs="宋体"/>
          <w:b/>
          <w:color w:val="auto"/>
          <w:sz w:val="36"/>
          <w:szCs w:val="36"/>
          <w:highlight w:val="none"/>
          <w:bdr w:val="single" w:color="auto" w:sz="4" w:space="0"/>
          <w:shd w:val="pct10" w:color="auto" w:fill="FFFFFF"/>
        </w:rPr>
      </w:pPr>
      <w:r>
        <w:rPr>
          <w:rFonts w:hint="eastAsia" w:ascii="宋体" w:hAnsi="宋体" w:cs="宋体"/>
          <w:b/>
          <w:color w:val="auto"/>
          <w:sz w:val="36"/>
          <w:szCs w:val="36"/>
          <w:highlight w:val="none"/>
          <w:bdr w:val="single" w:color="auto" w:sz="4" w:space="0"/>
          <w:shd w:val="pct10" w:color="auto" w:fill="FFFFFF"/>
        </w:rPr>
        <w:t>政府采购项目</w:t>
      </w:r>
    </w:p>
    <w:p>
      <w:pPr>
        <w:spacing w:line="360" w:lineRule="auto"/>
        <w:jc w:val="left"/>
        <w:rPr>
          <w:rFonts w:hint="eastAsia" w:ascii="宋体" w:hAnsi="宋体" w:eastAsia="宋体" w:cs="宋体"/>
          <w:b/>
          <w:color w:val="auto"/>
          <w:sz w:val="36"/>
          <w:szCs w:val="36"/>
          <w:highlight w:val="none"/>
          <w:bdr w:val="single" w:color="auto" w:sz="4" w:space="0"/>
          <w:shd w:val="pct10" w:color="auto" w:fill="FFFFFF"/>
          <w:lang w:eastAsia="zh-CN"/>
        </w:rPr>
      </w:pPr>
      <w:r>
        <w:rPr>
          <w:rFonts w:hint="eastAsia" w:ascii="宋体" w:hAnsi="宋体" w:cs="宋体"/>
          <w:b/>
          <w:color w:val="auto"/>
          <w:sz w:val="36"/>
          <w:szCs w:val="36"/>
          <w:highlight w:val="none"/>
        </w:rPr>
        <w:t xml:space="preserve">项目编号: </w:t>
      </w:r>
      <w:r>
        <w:rPr>
          <w:rFonts w:hint="eastAsia" w:ascii="宋体" w:hAnsi="宋体" w:cs="宋体"/>
          <w:b/>
          <w:color w:val="auto"/>
          <w:sz w:val="36"/>
          <w:szCs w:val="36"/>
          <w:highlight w:val="none"/>
          <w:lang w:eastAsia="zh-CN"/>
        </w:rPr>
        <w:t>SDZC2023-281-01</w:t>
      </w:r>
    </w:p>
    <w:p>
      <w:pPr>
        <w:widowControl/>
        <w:spacing w:line="300" w:lineRule="atLeast"/>
        <w:jc w:val="center"/>
        <w:rPr>
          <w:rFonts w:ascii="宋体" w:hAnsi="宋体" w:cs="宋体"/>
          <w:b/>
          <w:color w:val="auto"/>
          <w:sz w:val="52"/>
          <w:szCs w:val="52"/>
          <w:highlight w:val="none"/>
        </w:rPr>
      </w:pPr>
    </w:p>
    <w:p>
      <w:pPr>
        <w:spacing w:line="600" w:lineRule="exact"/>
        <w:jc w:val="center"/>
        <w:rPr>
          <w:rFonts w:hint="eastAsia" w:ascii="宋体" w:hAnsi="宋体" w:cs="宋体"/>
          <w:b/>
          <w:color w:val="auto"/>
          <w:sz w:val="40"/>
          <w:szCs w:val="40"/>
          <w:highlight w:val="none"/>
          <w:lang w:val="en-US" w:eastAsia="zh-CN"/>
        </w:rPr>
      </w:pPr>
    </w:p>
    <w:p>
      <w:pPr>
        <w:spacing w:line="600" w:lineRule="exact"/>
        <w:jc w:val="center"/>
        <w:rPr>
          <w:rFonts w:hint="eastAsia" w:ascii="宋体" w:hAnsi="宋体" w:cs="宋体"/>
          <w:b/>
          <w:color w:val="auto"/>
          <w:sz w:val="40"/>
          <w:szCs w:val="40"/>
          <w:highlight w:val="none"/>
          <w:lang w:val="en-US" w:eastAsia="zh-CN"/>
        </w:rPr>
      </w:pPr>
      <w:r>
        <w:rPr>
          <w:rFonts w:hint="eastAsia" w:ascii="宋体" w:hAnsi="宋体" w:cs="宋体"/>
          <w:b/>
          <w:color w:val="auto"/>
          <w:sz w:val="40"/>
          <w:szCs w:val="40"/>
          <w:highlight w:val="none"/>
          <w:lang w:val="en-US" w:eastAsia="zh-CN"/>
        </w:rPr>
        <w:t>黄龙县人民医院信息化DIP、电子票据建设项目</w:t>
      </w:r>
    </w:p>
    <w:p>
      <w:pPr>
        <w:pStyle w:val="2"/>
      </w:pPr>
    </w:p>
    <w:p>
      <w:pPr>
        <w:pStyle w:val="18"/>
        <w:jc w:val="center"/>
        <w:rPr>
          <w:rFonts w:hint="default" w:ascii="宋体" w:hAnsi="宋体" w:eastAsia="宋体" w:cs="宋体"/>
          <w:b/>
          <w:color w:val="auto"/>
          <w:kern w:val="2"/>
          <w:sz w:val="40"/>
          <w:szCs w:val="40"/>
          <w:highlight w:val="none"/>
          <w:lang w:val="en-US" w:eastAsia="zh-CN" w:bidi="ar-SA"/>
        </w:rPr>
      </w:pPr>
      <w:r>
        <w:rPr>
          <w:rFonts w:hint="eastAsia" w:ascii="宋体" w:hAnsi="宋体" w:eastAsia="宋体" w:cs="宋体"/>
          <w:b/>
          <w:color w:val="auto"/>
          <w:kern w:val="2"/>
          <w:sz w:val="40"/>
          <w:szCs w:val="40"/>
          <w:highlight w:val="none"/>
          <w:lang w:val="en-US" w:eastAsia="zh-CN" w:bidi="ar-SA"/>
        </w:rPr>
        <w:t>(</w:t>
      </w:r>
      <w:r>
        <w:rPr>
          <w:rFonts w:hint="eastAsia" w:ascii="宋体" w:hAnsi="宋体" w:cs="宋体"/>
          <w:b/>
          <w:color w:val="auto"/>
          <w:kern w:val="2"/>
          <w:sz w:val="40"/>
          <w:szCs w:val="40"/>
          <w:highlight w:val="none"/>
          <w:lang w:val="en-US" w:eastAsia="zh-CN" w:bidi="ar-SA"/>
        </w:rPr>
        <w:t>第一标段</w:t>
      </w:r>
      <w:r>
        <w:rPr>
          <w:rFonts w:hint="eastAsia" w:ascii="宋体" w:hAnsi="宋体" w:eastAsia="宋体" w:cs="宋体"/>
          <w:b/>
          <w:color w:val="auto"/>
          <w:kern w:val="2"/>
          <w:sz w:val="40"/>
          <w:szCs w:val="40"/>
          <w:highlight w:val="none"/>
          <w:lang w:val="en-US" w:eastAsia="zh-CN" w:bidi="ar-SA"/>
        </w:rPr>
        <w:t>：</w:t>
      </w:r>
      <w:r>
        <w:rPr>
          <w:rFonts w:hint="eastAsia" w:ascii="宋体" w:hAnsi="宋体" w:cs="宋体"/>
          <w:b/>
          <w:color w:val="auto"/>
          <w:kern w:val="2"/>
          <w:sz w:val="40"/>
          <w:szCs w:val="40"/>
          <w:highlight w:val="none"/>
          <w:lang w:val="en-US" w:eastAsia="zh-CN" w:bidi="ar-SA"/>
        </w:rPr>
        <w:t>按病种分值付费（DIP）建设项目</w:t>
      </w:r>
      <w:r>
        <w:rPr>
          <w:rFonts w:hint="eastAsia" w:ascii="宋体" w:hAnsi="宋体" w:eastAsia="宋体" w:cs="宋体"/>
          <w:b/>
          <w:color w:val="auto"/>
          <w:kern w:val="2"/>
          <w:sz w:val="40"/>
          <w:szCs w:val="40"/>
          <w:highlight w:val="none"/>
          <w:lang w:val="en-US" w:eastAsia="zh-CN" w:bidi="ar-SA"/>
        </w:rPr>
        <w:t>)</w:t>
      </w:r>
    </w:p>
    <w:p>
      <w:pPr>
        <w:rPr>
          <w:rFonts w:ascii="宋体" w:hAnsi="宋体" w:cs="宋体"/>
          <w:color w:val="auto"/>
          <w:highlight w:val="none"/>
        </w:rPr>
      </w:pPr>
    </w:p>
    <w:p>
      <w:pPr>
        <w:spacing w:before="120" w:beforeLines="50" w:line="800" w:lineRule="exact"/>
        <w:jc w:val="center"/>
        <w:rPr>
          <w:rFonts w:ascii="宋体" w:hAnsi="宋体" w:cs="宋体"/>
          <w:b/>
          <w:color w:val="auto"/>
          <w:sz w:val="48"/>
          <w:szCs w:val="48"/>
          <w:highlight w:val="none"/>
        </w:rPr>
      </w:pPr>
      <w:r>
        <w:rPr>
          <w:rFonts w:hint="eastAsia" w:ascii="宋体" w:hAnsi="宋体" w:cs="宋体"/>
          <w:b/>
          <w:color w:val="auto"/>
          <w:sz w:val="48"/>
          <w:szCs w:val="48"/>
          <w:highlight w:val="none"/>
        </w:rPr>
        <w:t>公开招标文件</w:t>
      </w:r>
    </w:p>
    <w:p>
      <w:pPr>
        <w:spacing w:line="400" w:lineRule="exact"/>
        <w:jc w:val="center"/>
        <w:rPr>
          <w:rFonts w:ascii="宋体" w:hAnsi="宋体" w:cs="宋体"/>
          <w:b/>
          <w:color w:val="auto"/>
          <w:sz w:val="52"/>
          <w:szCs w:val="52"/>
          <w:highlight w:val="none"/>
          <w:shd w:val="clear" w:color="auto" w:fill="FFFFFF"/>
        </w:rPr>
      </w:pPr>
    </w:p>
    <w:p>
      <w:pPr>
        <w:spacing w:line="400" w:lineRule="exact"/>
        <w:jc w:val="center"/>
        <w:rPr>
          <w:rFonts w:ascii="宋体" w:hAnsi="宋体" w:cs="宋体"/>
          <w:b/>
          <w:color w:val="auto"/>
          <w:sz w:val="32"/>
          <w:szCs w:val="32"/>
          <w:highlight w:val="none"/>
          <w:shd w:val="clear" w:color="auto" w:fill="FFFFFF"/>
        </w:rPr>
      </w:pPr>
      <w:r>
        <w:rPr>
          <w:rFonts w:hint="eastAsia" w:ascii="宋体" w:hAnsi="宋体" w:cs="宋体"/>
          <w:color w:val="auto"/>
          <w:highlight w:val="none"/>
        </w:rPr>
        <w:drawing>
          <wp:anchor distT="0" distB="0" distL="114300" distR="114300" simplePos="0" relativeHeight="251660288" behindDoc="0" locked="0" layoutInCell="1" allowOverlap="1">
            <wp:simplePos x="0" y="0"/>
            <wp:positionH relativeFrom="column">
              <wp:posOffset>1501140</wp:posOffset>
            </wp:positionH>
            <wp:positionV relativeFrom="paragraph">
              <wp:posOffset>57150</wp:posOffset>
            </wp:positionV>
            <wp:extent cx="2816225" cy="2774950"/>
            <wp:effectExtent l="0" t="0" r="3175" b="6350"/>
            <wp:wrapNone/>
            <wp:docPr id="4" name="图片 3" descr="C:\Users\Administrator\Desktop\十佳代理机构评选资料\陕西上德招标有限公司申报资料\公司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十佳代理机构评选资料\陕西上德招标有限公司申报资料\公司LOGO.png"/>
                    <pic:cNvPicPr>
                      <a:picLocks noChangeAspect="1"/>
                    </pic:cNvPicPr>
                  </pic:nvPicPr>
                  <pic:blipFill>
                    <a:blip r:embed="rId22"/>
                    <a:stretch>
                      <a:fillRect/>
                    </a:stretch>
                  </pic:blipFill>
                  <pic:spPr>
                    <a:xfrm>
                      <a:off x="0" y="0"/>
                      <a:ext cx="2816225" cy="2774950"/>
                    </a:xfrm>
                    <a:prstGeom prst="rect">
                      <a:avLst/>
                    </a:prstGeom>
                    <a:noFill/>
                    <a:ln>
                      <a:noFill/>
                    </a:ln>
                  </pic:spPr>
                </pic:pic>
              </a:graphicData>
            </a:graphic>
          </wp:anchor>
        </w:drawing>
      </w:r>
    </w:p>
    <w:p>
      <w:pPr>
        <w:spacing w:line="400" w:lineRule="exact"/>
        <w:jc w:val="center"/>
        <w:rPr>
          <w:rFonts w:ascii="宋体" w:hAnsi="宋体" w:cs="宋体"/>
          <w:b/>
          <w:color w:val="auto"/>
          <w:sz w:val="32"/>
          <w:szCs w:val="32"/>
          <w:highlight w:val="none"/>
          <w:shd w:val="clear" w:color="auto" w:fill="FFFFFF"/>
        </w:rPr>
      </w:pPr>
    </w:p>
    <w:p>
      <w:pPr>
        <w:spacing w:line="400" w:lineRule="exact"/>
        <w:rPr>
          <w:rFonts w:ascii="宋体" w:hAnsi="宋体" w:cs="宋体"/>
          <w:b/>
          <w:color w:val="auto"/>
          <w:sz w:val="32"/>
          <w:szCs w:val="32"/>
          <w:highlight w:val="none"/>
          <w:shd w:val="clear" w:color="auto" w:fill="FFFFFF"/>
        </w:rPr>
      </w:pPr>
    </w:p>
    <w:p>
      <w:pPr>
        <w:spacing w:line="400" w:lineRule="exact"/>
        <w:jc w:val="center"/>
        <w:rPr>
          <w:rFonts w:ascii="宋体" w:hAnsi="宋体" w:cs="宋体"/>
          <w:b/>
          <w:color w:val="auto"/>
          <w:sz w:val="32"/>
          <w:szCs w:val="32"/>
          <w:highlight w:val="none"/>
          <w:shd w:val="clear" w:color="auto" w:fill="FFFFFF"/>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rPr>
          <w:rFonts w:ascii="宋体" w:hAnsi="宋体" w:cs="宋体"/>
          <w:color w:val="auto"/>
          <w:sz w:val="32"/>
          <w:highlight w:val="none"/>
        </w:rPr>
      </w:pPr>
    </w:p>
    <w:p>
      <w:pPr>
        <w:jc w:val="center"/>
        <w:rPr>
          <w:rFonts w:ascii="宋体" w:hAnsi="宋体" w:cs="宋体"/>
          <w:b/>
          <w:color w:val="auto"/>
          <w:sz w:val="36"/>
          <w:szCs w:val="36"/>
          <w:highlight w:val="none"/>
        </w:rPr>
      </w:pP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陕西上德招标有限公司</w:t>
      </w:r>
    </w:p>
    <w:p>
      <w:pPr>
        <w:spacing w:before="168" w:beforeLines="70"/>
        <w:ind w:firstLine="3357" w:firstLineChars="1045"/>
        <w:rPr>
          <w:rFonts w:ascii="宋体" w:hAnsi="宋体" w:cs="宋体"/>
          <w:b/>
          <w:bCs/>
          <w:color w:val="auto"/>
          <w:sz w:val="32"/>
          <w:szCs w:val="32"/>
          <w:highlight w:val="none"/>
        </w:rPr>
      </w:pPr>
      <w:r>
        <w:rPr>
          <w:rFonts w:hint="eastAsia" w:ascii="宋体" w:hAnsi="宋体" w:cs="宋体"/>
          <w:b/>
          <w:bCs/>
          <w:color w:val="auto"/>
          <w:sz w:val="32"/>
          <w:szCs w:val="32"/>
          <w:highlight w:val="none"/>
        </w:rPr>
        <w:t>二零二三年</w:t>
      </w:r>
      <w:r>
        <w:rPr>
          <w:rFonts w:hint="eastAsia" w:ascii="宋体" w:hAnsi="宋体" w:cs="宋体"/>
          <w:b/>
          <w:bCs/>
          <w:color w:val="auto"/>
          <w:sz w:val="32"/>
          <w:szCs w:val="32"/>
          <w:highlight w:val="none"/>
          <w:lang w:eastAsia="zh-CN"/>
        </w:rPr>
        <w:t>十</w:t>
      </w:r>
      <w:r>
        <w:rPr>
          <w:rFonts w:hint="eastAsia" w:ascii="宋体" w:hAnsi="宋体" w:cs="宋体"/>
          <w:b/>
          <w:bCs/>
          <w:color w:val="auto"/>
          <w:sz w:val="32"/>
          <w:szCs w:val="32"/>
          <w:highlight w:val="none"/>
        </w:rPr>
        <w:t>月</w:t>
      </w:r>
    </w:p>
    <w:p>
      <w:pPr>
        <w:tabs>
          <w:tab w:val="left" w:pos="2775"/>
        </w:tabs>
        <w:rPr>
          <w:rFonts w:ascii="宋体" w:hAnsi="宋体" w:cs="宋体"/>
          <w:b/>
          <w:color w:val="auto"/>
          <w:sz w:val="44"/>
          <w:szCs w:val="36"/>
          <w:highlight w:val="none"/>
        </w:rPr>
      </w:pPr>
      <w:r>
        <w:rPr>
          <w:rFonts w:hint="eastAsia" w:ascii="宋体" w:hAnsi="宋体" w:cs="宋体"/>
          <w:color w:val="auto"/>
          <w:sz w:val="36"/>
          <w:szCs w:val="36"/>
          <w:highlight w:val="none"/>
        </w:rPr>
        <w:tab/>
      </w:r>
    </w:p>
    <w:p>
      <w:pPr>
        <w:jc w:val="center"/>
        <w:rPr>
          <w:rFonts w:ascii="宋体" w:hAnsi="宋体" w:cs="宋体"/>
          <w:b/>
          <w:bCs/>
          <w:color w:val="auto"/>
          <w:sz w:val="52"/>
          <w:szCs w:val="52"/>
          <w:highlight w:val="none"/>
          <w:lang w:val="zh-CN"/>
        </w:rPr>
      </w:pPr>
    </w:p>
    <w:p>
      <w:pPr>
        <w:jc w:val="center"/>
        <w:rPr>
          <w:rFonts w:ascii="宋体" w:hAnsi="宋体" w:cs="宋体"/>
          <w:b/>
          <w:bCs/>
          <w:color w:val="auto"/>
          <w:sz w:val="52"/>
          <w:szCs w:val="52"/>
          <w:highlight w:val="none"/>
          <w:lang w:val="zh-CN"/>
        </w:rPr>
      </w:pPr>
      <w:r>
        <w:rPr>
          <w:rFonts w:hint="eastAsia" w:ascii="宋体" w:hAnsi="宋体" w:cs="宋体"/>
          <w:b/>
          <w:bCs/>
          <w:color w:val="auto"/>
          <w:sz w:val="52"/>
          <w:szCs w:val="52"/>
          <w:highlight w:val="none"/>
          <w:lang w:val="zh-CN"/>
        </w:rPr>
        <w:t>目 录</w:t>
      </w:r>
    </w:p>
    <w:p>
      <w:pPr>
        <w:rPr>
          <w:rFonts w:ascii="宋体" w:hAnsi="宋体" w:cs="宋体"/>
          <w:color w:val="auto"/>
          <w:highlight w:val="none"/>
          <w:lang w:val="zh-CN"/>
        </w:rPr>
      </w:pPr>
    </w:p>
    <w:p>
      <w:pPr>
        <w:pStyle w:val="2"/>
        <w:tabs>
          <w:tab w:val="right" w:leader="dot" w:pos="8998"/>
        </w:tabs>
        <w:spacing w:line="360" w:lineRule="auto"/>
        <w:rPr>
          <w:rFonts w:ascii="宋体" w:hAnsi="宋体" w:cs="宋体"/>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color w:val="auto"/>
          <w:highlight w:val="none"/>
        </w:rPr>
        <w:fldChar w:fldCharType="begin"/>
      </w:r>
      <w:r>
        <w:rPr>
          <w:color w:val="auto"/>
          <w:highlight w:val="none"/>
        </w:rPr>
        <w:instrText xml:space="preserve"> HYPERLINK \l "_Toc6915" </w:instrText>
      </w:r>
      <w:r>
        <w:rPr>
          <w:color w:val="auto"/>
          <w:highlight w:val="none"/>
        </w:rPr>
        <w:fldChar w:fldCharType="separate"/>
      </w:r>
      <w:r>
        <w:rPr>
          <w:rFonts w:hint="eastAsia" w:ascii="宋体" w:hAnsi="宋体" w:cs="宋体"/>
          <w:color w:val="auto"/>
          <w:sz w:val="24"/>
          <w:highlight w:val="none"/>
        </w:rPr>
        <w:t>第一章  招标公告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_Toc6915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
        <w:tabs>
          <w:tab w:val="right" w:leader="dot" w:pos="8998"/>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"_Toc5515" </w:instrText>
      </w:r>
      <w:r>
        <w:rPr>
          <w:color w:val="auto"/>
          <w:highlight w:val="none"/>
        </w:rPr>
        <w:fldChar w:fldCharType="separate"/>
      </w:r>
      <w:r>
        <w:rPr>
          <w:rFonts w:hint="eastAsia" w:ascii="宋体" w:hAnsi="宋体" w:cs="宋体"/>
          <w:color w:val="auto"/>
          <w:sz w:val="24"/>
          <w:highlight w:val="none"/>
        </w:rPr>
        <w:t>第二章  投标人须知</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_Toc5515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"_Toc7212" </w:instrText>
      </w:r>
      <w:r>
        <w:rPr>
          <w:color w:val="auto"/>
          <w:highlight w:val="none"/>
        </w:rPr>
        <w:fldChar w:fldCharType="separate"/>
      </w:r>
      <w:r>
        <w:rPr>
          <w:rFonts w:hint="eastAsia" w:ascii="宋体" w:hAnsi="宋体" w:cs="宋体"/>
          <w:color w:val="auto"/>
          <w:sz w:val="24"/>
          <w:highlight w:val="none"/>
        </w:rPr>
        <w:t>一、投标人须知前附表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_Toc7212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"_Toc18888" </w:instrText>
      </w:r>
      <w:r>
        <w:rPr>
          <w:color w:val="auto"/>
          <w:highlight w:val="none"/>
        </w:rPr>
        <w:fldChar w:fldCharType="separate"/>
      </w:r>
      <w:r>
        <w:rPr>
          <w:rFonts w:hint="eastAsia" w:ascii="宋体" w:hAnsi="宋体" w:cs="宋体"/>
          <w:color w:val="auto"/>
          <w:kern w:val="0"/>
          <w:sz w:val="24"/>
          <w:highlight w:val="none"/>
        </w:rPr>
        <w:t>二、项目说明</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_Toc18888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"_Toc20458" </w:instrText>
      </w:r>
      <w:r>
        <w:rPr>
          <w:color w:val="auto"/>
          <w:highlight w:val="none"/>
        </w:rPr>
        <w:fldChar w:fldCharType="separate"/>
      </w:r>
      <w:r>
        <w:rPr>
          <w:rFonts w:hint="eastAsia" w:ascii="宋体" w:hAnsi="宋体" w:cs="宋体"/>
          <w:color w:val="auto"/>
          <w:kern w:val="0"/>
          <w:sz w:val="24"/>
          <w:highlight w:val="none"/>
        </w:rPr>
        <w:t>三、招标文件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_Toc20458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11</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"_Toc22100" </w:instrText>
      </w:r>
      <w:r>
        <w:rPr>
          <w:color w:val="auto"/>
          <w:highlight w:val="none"/>
        </w:rPr>
        <w:fldChar w:fldCharType="separate"/>
      </w:r>
      <w:r>
        <w:rPr>
          <w:rFonts w:hint="eastAsia" w:ascii="宋体" w:hAnsi="宋体" w:cs="宋体"/>
          <w:color w:val="auto"/>
          <w:kern w:val="0"/>
          <w:sz w:val="24"/>
          <w:highlight w:val="none"/>
        </w:rPr>
        <w:t>四、投标文件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_Toc22100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"_Toc26520" </w:instrText>
      </w:r>
      <w:r>
        <w:rPr>
          <w:color w:val="auto"/>
          <w:highlight w:val="none"/>
        </w:rPr>
        <w:fldChar w:fldCharType="separate"/>
      </w:r>
      <w:r>
        <w:rPr>
          <w:rFonts w:hint="eastAsia" w:ascii="宋体" w:hAnsi="宋体" w:cs="宋体"/>
          <w:color w:val="auto"/>
          <w:kern w:val="0"/>
          <w:sz w:val="24"/>
          <w:highlight w:val="none"/>
        </w:rPr>
        <w:t>五、投标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_Toc26520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"_Toc14707" </w:instrText>
      </w:r>
      <w:r>
        <w:rPr>
          <w:color w:val="auto"/>
          <w:highlight w:val="none"/>
        </w:rPr>
        <w:fldChar w:fldCharType="separate"/>
      </w:r>
      <w:r>
        <w:rPr>
          <w:rFonts w:hint="eastAsia" w:ascii="宋体" w:hAnsi="宋体" w:cs="宋体"/>
          <w:color w:val="auto"/>
          <w:kern w:val="0"/>
          <w:sz w:val="24"/>
          <w:highlight w:val="none"/>
        </w:rPr>
        <w:t>六、开标、资格审查、评标和定标</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_Toc14707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16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"_Toc6495" </w:instrText>
      </w:r>
      <w:r>
        <w:rPr>
          <w:color w:val="auto"/>
          <w:highlight w:val="none"/>
        </w:rPr>
        <w:fldChar w:fldCharType="separate"/>
      </w:r>
      <w:r>
        <w:rPr>
          <w:rFonts w:hint="eastAsia" w:ascii="宋体" w:hAnsi="宋体" w:cs="宋体"/>
          <w:color w:val="auto"/>
          <w:kern w:val="0"/>
          <w:sz w:val="24"/>
          <w:highlight w:val="none"/>
        </w:rPr>
        <w:t>七、合同</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_Toc6495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26</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"_Toc1496" </w:instrText>
      </w:r>
      <w:r>
        <w:rPr>
          <w:color w:val="auto"/>
          <w:highlight w:val="none"/>
        </w:rPr>
        <w:fldChar w:fldCharType="separate"/>
      </w:r>
      <w:r>
        <w:rPr>
          <w:rFonts w:hint="eastAsia" w:ascii="宋体" w:hAnsi="宋体" w:cs="宋体"/>
          <w:color w:val="auto"/>
          <w:kern w:val="0"/>
          <w:sz w:val="24"/>
          <w:highlight w:val="none"/>
        </w:rPr>
        <w:t>八、合同的履约验收</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_Toc1496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"_Toc13731" </w:instrText>
      </w:r>
      <w:r>
        <w:rPr>
          <w:color w:val="auto"/>
          <w:highlight w:val="none"/>
        </w:rPr>
        <w:fldChar w:fldCharType="separate"/>
      </w:r>
      <w:r>
        <w:rPr>
          <w:rFonts w:hint="eastAsia" w:ascii="宋体" w:hAnsi="宋体" w:cs="宋体"/>
          <w:color w:val="auto"/>
          <w:kern w:val="0"/>
          <w:sz w:val="24"/>
          <w:highlight w:val="none"/>
        </w:rPr>
        <w:t>九、招标代理服务费</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_Toc13731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"_Toc14543" </w:instrText>
      </w:r>
      <w:r>
        <w:rPr>
          <w:color w:val="auto"/>
          <w:highlight w:val="none"/>
        </w:rPr>
        <w:fldChar w:fldCharType="separate"/>
      </w:r>
      <w:r>
        <w:rPr>
          <w:rFonts w:hint="eastAsia" w:ascii="宋体" w:hAnsi="宋体" w:cs="宋体"/>
          <w:color w:val="auto"/>
          <w:kern w:val="0"/>
          <w:sz w:val="24"/>
          <w:highlight w:val="none"/>
        </w:rPr>
        <w:t>十、重新组织采购活动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_Toc14543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"_Toc22148" </w:instrText>
      </w:r>
      <w:r>
        <w:rPr>
          <w:color w:val="auto"/>
          <w:highlight w:val="none"/>
        </w:rPr>
        <w:fldChar w:fldCharType="separate"/>
      </w:r>
      <w:r>
        <w:rPr>
          <w:rFonts w:hint="eastAsia" w:ascii="宋体" w:hAnsi="宋体" w:cs="宋体"/>
          <w:color w:val="auto"/>
          <w:kern w:val="0"/>
          <w:sz w:val="24"/>
          <w:highlight w:val="none"/>
        </w:rPr>
        <w:t>十</w:t>
      </w:r>
      <w:r>
        <w:rPr>
          <w:rFonts w:hint="eastAsia" w:ascii="宋体" w:hAnsi="宋体" w:cs="宋体"/>
          <w:color w:val="auto"/>
          <w:kern w:val="0"/>
          <w:sz w:val="24"/>
          <w:highlight w:val="none"/>
          <w:lang w:eastAsia="zh-CN"/>
        </w:rPr>
        <w:t>一</w:t>
      </w:r>
      <w:r>
        <w:rPr>
          <w:rFonts w:hint="eastAsia" w:ascii="宋体" w:hAnsi="宋体" w:cs="宋体"/>
          <w:color w:val="auto"/>
          <w:kern w:val="0"/>
          <w:sz w:val="24"/>
          <w:highlight w:val="none"/>
        </w:rPr>
        <w:t>、询问、质疑与投诉</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_Toc22148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"_Toc24663" </w:instrText>
      </w:r>
      <w:r>
        <w:rPr>
          <w:color w:val="auto"/>
          <w:highlight w:val="none"/>
        </w:rPr>
        <w:fldChar w:fldCharType="separate"/>
      </w:r>
      <w:r>
        <w:rPr>
          <w:rFonts w:hint="eastAsia" w:ascii="宋体" w:hAnsi="宋体" w:cs="宋体"/>
          <w:color w:val="auto"/>
          <w:kern w:val="0"/>
          <w:sz w:val="24"/>
          <w:highlight w:val="none"/>
        </w:rPr>
        <w:t>十</w:t>
      </w:r>
      <w:r>
        <w:rPr>
          <w:rFonts w:hint="eastAsia" w:ascii="宋体" w:hAnsi="宋体" w:cs="宋体"/>
          <w:color w:val="auto"/>
          <w:kern w:val="0"/>
          <w:sz w:val="24"/>
          <w:highlight w:val="none"/>
          <w:lang w:eastAsia="zh-CN"/>
        </w:rPr>
        <w:t>二</w:t>
      </w:r>
      <w:r>
        <w:rPr>
          <w:rFonts w:hint="eastAsia" w:ascii="宋体" w:hAnsi="宋体" w:cs="宋体"/>
          <w:color w:val="auto"/>
          <w:kern w:val="0"/>
          <w:sz w:val="24"/>
          <w:highlight w:val="none"/>
        </w:rPr>
        <w:t>、拒绝商业贿赂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_Toc24663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30"/>
        <w:tabs>
          <w:tab w:val="right" w:leader="dot" w:pos="8998"/>
        </w:tabs>
        <w:spacing w:line="360" w:lineRule="auto"/>
        <w:ind w:left="480"/>
        <w:rPr>
          <w:rFonts w:ascii="宋体" w:hAnsi="宋体" w:cs="宋体"/>
          <w:color w:val="auto"/>
          <w:sz w:val="24"/>
          <w:highlight w:val="none"/>
        </w:rPr>
      </w:pPr>
      <w:r>
        <w:rPr>
          <w:color w:val="auto"/>
          <w:highlight w:val="none"/>
        </w:rPr>
        <w:fldChar w:fldCharType="begin"/>
      </w:r>
      <w:r>
        <w:rPr>
          <w:color w:val="auto"/>
          <w:highlight w:val="none"/>
        </w:rPr>
        <w:instrText xml:space="preserve"> HYPERLINK \l "_Toc9673" </w:instrText>
      </w:r>
      <w:r>
        <w:rPr>
          <w:color w:val="auto"/>
          <w:highlight w:val="none"/>
        </w:rPr>
        <w:fldChar w:fldCharType="separate"/>
      </w:r>
      <w:r>
        <w:rPr>
          <w:rFonts w:hint="eastAsia" w:ascii="宋体" w:hAnsi="宋体" w:cs="宋体"/>
          <w:bCs/>
          <w:color w:val="auto"/>
          <w:sz w:val="24"/>
          <w:highlight w:val="none"/>
        </w:rPr>
        <w:t>十</w:t>
      </w:r>
      <w:r>
        <w:rPr>
          <w:rFonts w:hint="eastAsia" w:ascii="宋体" w:hAnsi="宋体" w:cs="宋体"/>
          <w:bCs/>
          <w:color w:val="auto"/>
          <w:sz w:val="24"/>
          <w:highlight w:val="none"/>
          <w:lang w:eastAsia="zh-CN"/>
        </w:rPr>
        <w:t>三</w:t>
      </w:r>
      <w:r>
        <w:rPr>
          <w:rFonts w:hint="eastAsia" w:ascii="宋体" w:hAnsi="宋体" w:cs="宋体"/>
          <w:bCs/>
          <w:color w:val="auto"/>
          <w:sz w:val="24"/>
          <w:highlight w:val="none"/>
        </w:rPr>
        <w:t>、政府采购信用担保及信用融资政策</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_Toc9673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
        <w:tabs>
          <w:tab w:val="right" w:leader="dot" w:pos="8998"/>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"_Toc2336" </w:instrText>
      </w:r>
      <w:r>
        <w:rPr>
          <w:color w:val="auto"/>
          <w:highlight w:val="none"/>
        </w:rPr>
        <w:fldChar w:fldCharType="separate"/>
      </w:r>
      <w:r>
        <w:rPr>
          <w:rFonts w:hint="eastAsia" w:ascii="宋体" w:hAnsi="宋体" w:cs="宋体"/>
          <w:color w:val="auto"/>
          <w:kern w:val="0"/>
          <w:sz w:val="24"/>
          <w:highlight w:val="none"/>
        </w:rPr>
        <w:t>第三章  采购内容及技术要求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_Toc2336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30</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
        <w:tabs>
          <w:tab w:val="right" w:leader="dot" w:pos="8998"/>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"_Toc28361" </w:instrText>
      </w:r>
      <w:r>
        <w:rPr>
          <w:color w:val="auto"/>
          <w:highlight w:val="none"/>
        </w:rPr>
        <w:fldChar w:fldCharType="separate"/>
      </w:r>
      <w:r>
        <w:rPr>
          <w:rFonts w:hint="eastAsia" w:ascii="宋体" w:hAnsi="宋体" w:cs="宋体"/>
          <w:color w:val="auto"/>
          <w:kern w:val="0"/>
          <w:sz w:val="24"/>
          <w:highlight w:val="none"/>
        </w:rPr>
        <w:t>第四章  商务要求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_Toc28361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
        <w:tabs>
          <w:tab w:val="right" w:leader="dot" w:pos="8998"/>
        </w:tabs>
        <w:spacing w:line="360" w:lineRule="auto"/>
        <w:rPr>
          <w:rFonts w:ascii="宋体" w:hAnsi="宋体" w:cs="宋体"/>
          <w:color w:val="auto"/>
          <w:sz w:val="24"/>
          <w:highlight w:val="none"/>
        </w:rPr>
      </w:pPr>
      <w:r>
        <w:rPr>
          <w:color w:val="auto"/>
          <w:highlight w:val="none"/>
        </w:rPr>
        <w:fldChar w:fldCharType="begin"/>
      </w:r>
      <w:r>
        <w:rPr>
          <w:color w:val="auto"/>
          <w:highlight w:val="none"/>
        </w:rPr>
        <w:instrText xml:space="preserve"> HYPERLINK \l "_Toc20144" </w:instrText>
      </w:r>
      <w:r>
        <w:rPr>
          <w:color w:val="auto"/>
          <w:highlight w:val="none"/>
        </w:rPr>
        <w:fldChar w:fldCharType="separate"/>
      </w:r>
      <w:r>
        <w:rPr>
          <w:rFonts w:hint="eastAsia" w:ascii="宋体" w:hAnsi="宋体" w:cs="宋体"/>
          <w:color w:val="auto"/>
          <w:sz w:val="24"/>
          <w:highlight w:val="none"/>
        </w:rPr>
        <w:t>第五章  合同条款</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_Toc20144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59</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pStyle w:val="2"/>
        <w:tabs>
          <w:tab w:val="right" w:leader="dot" w:pos="8998"/>
        </w:tabs>
        <w:spacing w:line="360" w:lineRule="auto"/>
        <w:rPr>
          <w:rFonts w:ascii="宋体" w:hAnsi="宋体" w:cs="宋体"/>
          <w:color w:val="auto"/>
          <w:highlight w:val="none"/>
        </w:rPr>
      </w:pPr>
      <w:r>
        <w:rPr>
          <w:color w:val="auto"/>
          <w:highlight w:val="none"/>
        </w:rPr>
        <w:fldChar w:fldCharType="begin"/>
      </w:r>
      <w:r>
        <w:rPr>
          <w:color w:val="auto"/>
          <w:highlight w:val="none"/>
        </w:rPr>
        <w:instrText xml:space="preserve"> HYPERLINK \l "_Toc31878" </w:instrText>
      </w:r>
      <w:r>
        <w:rPr>
          <w:color w:val="auto"/>
          <w:highlight w:val="none"/>
        </w:rPr>
        <w:fldChar w:fldCharType="separate"/>
      </w:r>
      <w:r>
        <w:rPr>
          <w:rFonts w:hint="eastAsia" w:ascii="宋体" w:hAnsi="宋体" w:cs="宋体"/>
          <w:color w:val="auto"/>
          <w:sz w:val="24"/>
          <w:highlight w:val="none"/>
        </w:rPr>
        <w:t>第六章  投标文件格式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_Toc31878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68</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pPr>
        <w:spacing w:line="360" w:lineRule="auto"/>
        <w:rPr>
          <w:rFonts w:ascii="宋体" w:hAnsi="宋体" w:cs="宋体"/>
          <w:color w:val="auto"/>
          <w:szCs w:val="24"/>
          <w:highlight w:val="none"/>
        </w:rPr>
      </w:pPr>
      <w:r>
        <w:rPr>
          <w:rFonts w:hint="eastAsia" w:ascii="宋体" w:hAnsi="宋体" w:cs="宋体"/>
          <w:color w:val="auto"/>
          <w:szCs w:val="24"/>
          <w:highlight w:val="none"/>
        </w:rPr>
        <w:fldChar w:fldCharType="end"/>
      </w:r>
    </w:p>
    <w:p>
      <w:pPr>
        <w:rPr>
          <w:rFonts w:ascii="宋体" w:hAnsi="宋体" w:cs="宋体"/>
          <w:color w:val="auto"/>
          <w:highlight w:val="none"/>
        </w:rPr>
      </w:pPr>
    </w:p>
    <w:p>
      <w:pPr>
        <w:rPr>
          <w:rFonts w:ascii="宋体" w:hAnsi="宋体" w:cs="宋体"/>
          <w:color w:val="auto"/>
          <w:sz w:val="32"/>
          <w:szCs w:val="32"/>
          <w:highlight w:val="none"/>
        </w:rPr>
      </w:pPr>
    </w:p>
    <w:p>
      <w:pPr>
        <w:rPr>
          <w:rFonts w:ascii="宋体" w:hAnsi="宋体" w:cs="宋体"/>
          <w:color w:val="auto"/>
          <w:sz w:val="32"/>
          <w:szCs w:val="32"/>
          <w:highlight w:val="none"/>
        </w:rPr>
      </w:pPr>
    </w:p>
    <w:p>
      <w:pPr>
        <w:rPr>
          <w:rFonts w:ascii="宋体" w:hAnsi="宋体" w:cs="宋体"/>
          <w:color w:val="auto"/>
          <w:sz w:val="32"/>
          <w:szCs w:val="32"/>
          <w:highlight w:val="none"/>
        </w:rPr>
      </w:pPr>
    </w:p>
    <w:p>
      <w:pPr>
        <w:pStyle w:val="3"/>
        <w:spacing w:before="0" w:after="0" w:line="800" w:lineRule="exact"/>
        <w:jc w:val="center"/>
        <w:rPr>
          <w:rFonts w:ascii="宋体" w:hAnsi="宋体" w:cs="宋体"/>
          <w:color w:val="auto"/>
          <w:highlight w:val="none"/>
        </w:rPr>
      </w:pPr>
      <w:bookmarkStart w:id="0" w:name="_Toc19866"/>
      <w:bookmarkStart w:id="1" w:name="_Toc458617452"/>
      <w:bookmarkStart w:id="2" w:name="_Toc30185"/>
      <w:bookmarkStart w:id="3" w:name="_Toc458617729"/>
      <w:r>
        <w:rPr>
          <w:rFonts w:hint="eastAsia" w:ascii="宋体" w:hAnsi="宋体" w:cs="宋体"/>
          <w:color w:val="auto"/>
          <w:highlight w:val="none"/>
        </w:rPr>
        <w:br w:type="page"/>
      </w:r>
      <w:bookmarkStart w:id="4" w:name="_Toc6915"/>
      <w:r>
        <w:rPr>
          <w:rFonts w:hint="eastAsia" w:ascii="宋体" w:hAnsi="宋体" w:cs="宋体"/>
          <w:color w:val="auto"/>
          <w:highlight w:val="none"/>
        </w:rPr>
        <w:t>第一章  招标公告</w:t>
      </w:r>
      <w:bookmarkEnd w:id="0"/>
      <w:bookmarkEnd w:id="1"/>
      <w:bookmarkEnd w:id="2"/>
      <w:bookmarkEnd w:id="3"/>
      <w:bookmarkEnd w:id="4"/>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项目概况</w:t>
      </w:r>
    </w:p>
    <w:p>
      <w:pPr>
        <w:pStyle w:val="149"/>
        <w:spacing w:before="0" w:beforeAutospacing="0" w:after="0" w:afterAutospacing="0" w:line="500" w:lineRule="exact"/>
        <w:ind w:firstLine="480" w:firstLineChars="200"/>
        <w:rPr>
          <w:color w:val="auto"/>
          <w:szCs w:val="32"/>
          <w:highlight w:val="none"/>
        </w:rPr>
      </w:pPr>
      <w:r>
        <w:rPr>
          <w:rFonts w:hint="eastAsia"/>
          <w:color w:val="auto"/>
          <w:highlight w:val="none"/>
          <w:lang w:eastAsia="zh-CN"/>
        </w:rPr>
        <w:t>黄龙县人民医院信息化DIP、电子票据建设项目</w:t>
      </w:r>
      <w:r>
        <w:rPr>
          <w:rFonts w:hint="eastAsia"/>
          <w:color w:val="auto"/>
          <w:szCs w:val="32"/>
          <w:highlight w:val="none"/>
        </w:rPr>
        <w:t>的潜在投标人应在全国公共资源交易平台（</w:t>
      </w:r>
      <w:r>
        <w:rPr>
          <w:rFonts w:hint="eastAsia"/>
          <w:color w:val="auto"/>
          <w:szCs w:val="32"/>
          <w:highlight w:val="none"/>
          <w:lang w:eastAsia="zh-CN"/>
        </w:rPr>
        <w:t>陕西省·延安市</w:t>
      </w:r>
      <w:r>
        <w:rPr>
          <w:rFonts w:hint="eastAsia"/>
          <w:color w:val="auto"/>
          <w:szCs w:val="32"/>
          <w:highlight w:val="none"/>
        </w:rPr>
        <w:t>）网站〖首页〉电子交易平台〉政府采购交易系统〉企业端〗获取招标文件，并于2023年</w:t>
      </w:r>
      <w:r>
        <w:rPr>
          <w:rFonts w:hint="eastAsia"/>
          <w:color w:val="auto"/>
          <w:szCs w:val="32"/>
          <w:highlight w:val="none"/>
          <w:lang w:val="en-US" w:eastAsia="zh-CN"/>
        </w:rPr>
        <w:t>11</w:t>
      </w:r>
      <w:r>
        <w:rPr>
          <w:rFonts w:hint="eastAsia"/>
          <w:color w:val="auto"/>
          <w:szCs w:val="32"/>
          <w:highlight w:val="none"/>
        </w:rPr>
        <w:t>月</w:t>
      </w:r>
      <w:r>
        <w:rPr>
          <w:rFonts w:hint="eastAsia"/>
          <w:color w:val="auto"/>
          <w:szCs w:val="32"/>
          <w:highlight w:val="none"/>
          <w:lang w:val="en-US" w:eastAsia="zh-CN"/>
        </w:rPr>
        <w:t>16</w:t>
      </w:r>
      <w:r>
        <w:rPr>
          <w:rFonts w:hint="eastAsia"/>
          <w:color w:val="auto"/>
          <w:szCs w:val="32"/>
          <w:highlight w:val="none"/>
        </w:rPr>
        <w:t>日</w:t>
      </w:r>
      <w:r>
        <w:rPr>
          <w:rFonts w:hint="eastAsia"/>
          <w:color w:val="auto"/>
          <w:szCs w:val="32"/>
          <w:highlight w:val="none"/>
          <w:lang w:val="en-US" w:eastAsia="zh-CN"/>
        </w:rPr>
        <w:t>14</w:t>
      </w:r>
      <w:r>
        <w:rPr>
          <w:rFonts w:hint="eastAsia"/>
          <w:color w:val="auto"/>
          <w:szCs w:val="32"/>
          <w:highlight w:val="none"/>
        </w:rPr>
        <w:t>时</w:t>
      </w:r>
      <w:r>
        <w:rPr>
          <w:rFonts w:hint="eastAsia"/>
          <w:color w:val="auto"/>
          <w:szCs w:val="32"/>
          <w:highlight w:val="none"/>
          <w:lang w:val="en-US" w:eastAsia="zh-CN"/>
        </w:rPr>
        <w:t>3</w:t>
      </w:r>
      <w:r>
        <w:rPr>
          <w:rFonts w:hint="eastAsia"/>
          <w:color w:val="auto"/>
          <w:szCs w:val="32"/>
          <w:highlight w:val="none"/>
        </w:rPr>
        <w:t>0分（北京时间）前递交投标文件。</w:t>
      </w:r>
    </w:p>
    <w:p>
      <w:pPr>
        <w:pStyle w:val="149"/>
        <w:spacing w:before="0" w:beforeAutospacing="0" w:after="0" w:afterAutospacing="0" w:line="500" w:lineRule="exact"/>
        <w:rPr>
          <w:b/>
          <w:bCs/>
          <w:color w:val="auto"/>
          <w:highlight w:val="none"/>
        </w:rPr>
      </w:pPr>
      <w:r>
        <w:rPr>
          <w:rFonts w:hint="eastAsia"/>
          <w:b/>
          <w:bCs/>
          <w:color w:val="auto"/>
          <w:highlight w:val="none"/>
        </w:rPr>
        <w:t>一、项目基本情况：</w:t>
      </w:r>
    </w:p>
    <w:p>
      <w:pPr>
        <w:pStyle w:val="33"/>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项目编号：</w:t>
      </w:r>
      <w:r>
        <w:rPr>
          <w:rFonts w:hint="eastAsia" w:ascii="宋体" w:hAnsi="宋体" w:cs="宋体"/>
          <w:color w:val="auto"/>
          <w:highlight w:val="none"/>
          <w:lang w:eastAsia="zh-CN"/>
        </w:rPr>
        <w:t>SDZC2023-281-01</w:t>
      </w:r>
    </w:p>
    <w:p>
      <w:pPr>
        <w:pStyle w:val="33"/>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黄龙县人民医院信息化DIP、电子票据建设项目</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采购方式：公开招标</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预算金额：</w:t>
      </w:r>
      <w:r>
        <w:rPr>
          <w:rFonts w:hint="eastAsia" w:ascii="宋体" w:hAnsi="宋体" w:cs="宋体"/>
          <w:color w:val="auto"/>
          <w:highlight w:val="none"/>
          <w:lang w:val="en-US" w:eastAsia="zh-CN"/>
        </w:rPr>
        <w:t>1550000</w:t>
      </w:r>
      <w:r>
        <w:rPr>
          <w:rFonts w:hint="eastAsia" w:ascii="宋体" w:hAnsi="宋体" w:cs="宋体"/>
          <w:color w:val="auto"/>
          <w:highlight w:val="none"/>
        </w:rPr>
        <w:t>.00元</w:t>
      </w:r>
    </w:p>
    <w:p>
      <w:pPr>
        <w:pStyle w:val="33"/>
        <w:widowControl/>
        <w:spacing w:line="480" w:lineRule="atLeast"/>
        <w:ind w:firstLine="480"/>
        <w:textAlignment w:val="baseline"/>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采购需求：合同包1(</w:t>
      </w:r>
      <w:r>
        <w:rPr>
          <w:rFonts w:hint="eastAsia"/>
          <w:color w:val="auto"/>
          <w:highlight w:val="none"/>
          <w:lang w:eastAsia="zh-CN"/>
        </w:rPr>
        <w:t>按病种分值付费（DIP）建设项目</w:t>
      </w:r>
      <w:r>
        <w:rPr>
          <w:rFonts w:hint="eastAsia" w:ascii="宋体" w:hAnsi="宋体" w:cs="宋体"/>
          <w:color w:val="auto"/>
          <w:highlight w:val="none"/>
          <w:shd w:val="clear" w:color="auto" w:fill="FFFFFF"/>
        </w:rPr>
        <w:t>):</w:t>
      </w:r>
    </w:p>
    <w:p>
      <w:pPr>
        <w:pStyle w:val="33"/>
        <w:widowControl/>
        <w:spacing w:line="480" w:lineRule="atLeast"/>
        <w:ind w:firstLine="480"/>
        <w:textAlignment w:val="baseline"/>
        <w:rPr>
          <w:rFonts w:ascii="宋体" w:hAnsi="宋体" w:cs="宋体"/>
          <w:color w:val="auto"/>
          <w:highlight w:val="none"/>
        </w:rPr>
      </w:pPr>
      <w:r>
        <w:rPr>
          <w:rFonts w:hint="eastAsia" w:ascii="宋体" w:hAnsi="宋体" w:cs="宋体"/>
          <w:color w:val="auto"/>
          <w:highlight w:val="none"/>
          <w:shd w:val="clear" w:color="auto" w:fill="FFFFFF"/>
        </w:rPr>
        <w:t>合同包预算金额：</w:t>
      </w:r>
      <w:r>
        <w:rPr>
          <w:rFonts w:hint="eastAsia" w:ascii="宋体" w:hAnsi="宋体" w:cs="宋体"/>
          <w:color w:val="auto"/>
          <w:highlight w:val="none"/>
          <w:lang w:val="en-US" w:eastAsia="zh-CN"/>
        </w:rPr>
        <w:t>1550000</w:t>
      </w:r>
      <w:r>
        <w:rPr>
          <w:rFonts w:hint="eastAsia" w:ascii="宋体" w:hAnsi="宋体" w:cs="宋体"/>
          <w:color w:val="auto"/>
          <w:highlight w:val="none"/>
        </w:rPr>
        <w:t>.00元</w:t>
      </w:r>
    </w:p>
    <w:tbl>
      <w:tblPr>
        <w:tblStyle w:val="38"/>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3"/>
        <w:gridCol w:w="1372"/>
        <w:gridCol w:w="2082"/>
        <w:gridCol w:w="1221"/>
        <w:gridCol w:w="1385"/>
        <w:gridCol w:w="1555"/>
        <w:gridCol w:w="8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8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品目号</w:t>
            </w:r>
          </w:p>
        </w:tc>
        <w:tc>
          <w:tcPr>
            <w:tcW w:w="13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品目名称</w:t>
            </w:r>
          </w:p>
        </w:tc>
        <w:tc>
          <w:tcPr>
            <w:tcW w:w="208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lang w:bidi="ar"/>
              </w:rPr>
            </w:pPr>
            <w:r>
              <w:rPr>
                <w:rFonts w:hint="eastAsia" w:ascii="宋体" w:hAnsi="宋体" w:cs="宋体"/>
                <w:b/>
                <w:bCs/>
                <w:color w:val="auto"/>
                <w:highlight w:val="none"/>
                <w:lang w:bidi="ar"/>
              </w:rPr>
              <w:t>数量</w:t>
            </w:r>
          </w:p>
          <w:p>
            <w:pPr>
              <w:wordWrap w:val="0"/>
              <w:jc w:val="center"/>
              <w:rPr>
                <w:rFonts w:ascii="宋体" w:hAnsi="宋体" w:cs="宋体"/>
                <w:b/>
                <w:bCs/>
                <w:color w:val="auto"/>
                <w:highlight w:val="none"/>
              </w:rPr>
            </w:pPr>
            <w:r>
              <w:rPr>
                <w:rFonts w:hint="eastAsia" w:ascii="宋体" w:hAnsi="宋体" w:cs="宋体"/>
                <w:b/>
                <w:bCs/>
                <w:color w:val="auto"/>
                <w:highlight w:val="none"/>
                <w:lang w:bidi="ar"/>
              </w:rPr>
              <w:t>（单位）</w:t>
            </w:r>
          </w:p>
        </w:tc>
        <w:tc>
          <w:tcPr>
            <w:tcW w:w="13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技术规格、参数及要求</w:t>
            </w:r>
          </w:p>
        </w:tc>
        <w:tc>
          <w:tcPr>
            <w:tcW w:w="15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品目预算(元)</w:t>
            </w:r>
          </w:p>
        </w:tc>
        <w:tc>
          <w:tcPr>
            <w:tcW w:w="8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b/>
                <w:bCs/>
                <w:color w:val="auto"/>
                <w:highlight w:val="none"/>
              </w:rPr>
            </w:pPr>
            <w:r>
              <w:rPr>
                <w:rFonts w:hint="eastAsia" w:ascii="宋体" w:hAnsi="宋体" w:cs="宋体"/>
                <w:b/>
                <w:bCs/>
                <w:color w:val="auto"/>
                <w:highlight w:val="none"/>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81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color w:val="auto"/>
                <w:highlight w:val="none"/>
                <w:lang w:bidi="ar"/>
              </w:rPr>
            </w:pPr>
            <w:r>
              <w:rPr>
                <w:rFonts w:hint="eastAsia" w:ascii="宋体" w:hAnsi="宋体" w:cs="宋体"/>
                <w:color w:val="auto"/>
                <w:highlight w:val="none"/>
                <w:lang w:bidi="ar"/>
              </w:rPr>
              <w:t>1-1</w:t>
            </w:r>
          </w:p>
        </w:tc>
        <w:tc>
          <w:tcPr>
            <w:tcW w:w="13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hint="eastAsia" w:ascii="宋体" w:hAnsi="宋体" w:eastAsia="宋体" w:cs="宋体"/>
                <w:color w:val="auto"/>
                <w:highlight w:val="none"/>
                <w:lang w:val="en-US" w:eastAsia="zh-CN" w:bidi="ar"/>
              </w:rPr>
            </w:pPr>
            <w:r>
              <w:rPr>
                <w:rFonts w:hint="eastAsia" w:ascii="宋体" w:hAnsi="宋体" w:cs="宋体"/>
                <w:color w:val="auto"/>
                <w:highlight w:val="none"/>
                <w:lang w:val="en-US" w:eastAsia="zh-CN" w:bidi="ar"/>
              </w:rPr>
              <w:t>应用软件</w:t>
            </w:r>
          </w:p>
        </w:tc>
        <w:tc>
          <w:tcPr>
            <w:tcW w:w="208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hint="eastAsia" w:ascii="宋体" w:hAnsi="宋体" w:eastAsia="宋体" w:cs="宋体"/>
                <w:color w:val="auto"/>
                <w:highlight w:val="none"/>
                <w:lang w:bidi="ar"/>
              </w:rPr>
            </w:pPr>
            <w:r>
              <w:rPr>
                <w:rFonts w:hint="eastAsia" w:ascii="宋体" w:hAnsi="宋体" w:eastAsia="宋体" w:cs="宋体"/>
                <w:color w:val="auto"/>
                <w:highlight w:val="none"/>
                <w:lang w:eastAsia="zh-CN"/>
              </w:rPr>
              <w:t>按病种分值付费（DIP）建设</w:t>
            </w:r>
          </w:p>
        </w:tc>
        <w:tc>
          <w:tcPr>
            <w:tcW w:w="12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color w:val="auto"/>
                <w:highlight w:val="none"/>
                <w:lang w:bidi="ar"/>
              </w:rPr>
            </w:pPr>
            <w:r>
              <w:rPr>
                <w:rFonts w:hint="eastAsia" w:ascii="宋体" w:hAnsi="宋体" w:cs="宋体"/>
                <w:color w:val="auto"/>
                <w:highlight w:val="none"/>
                <w:lang w:bidi="ar"/>
              </w:rPr>
              <w:t>1(批)</w:t>
            </w:r>
          </w:p>
        </w:tc>
        <w:tc>
          <w:tcPr>
            <w:tcW w:w="13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jc w:val="center"/>
              <w:rPr>
                <w:rFonts w:ascii="宋体" w:hAnsi="宋体" w:cs="宋体"/>
                <w:color w:val="auto"/>
                <w:highlight w:val="none"/>
              </w:rPr>
            </w:pPr>
            <w:r>
              <w:rPr>
                <w:rFonts w:hint="eastAsia" w:ascii="宋体" w:hAnsi="宋体" w:cs="宋体"/>
                <w:color w:val="auto"/>
                <w:highlight w:val="none"/>
                <w:lang w:bidi="ar"/>
              </w:rPr>
              <w:t>详见采购文件</w:t>
            </w:r>
          </w:p>
        </w:tc>
        <w:tc>
          <w:tcPr>
            <w:tcW w:w="155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jc w:val="right"/>
              <w:rPr>
                <w:rFonts w:ascii="宋体" w:hAnsi="宋体" w:cs="宋体"/>
                <w:color w:val="auto"/>
                <w:highlight w:val="none"/>
              </w:rPr>
            </w:pPr>
            <w:r>
              <w:rPr>
                <w:rFonts w:hint="eastAsia" w:ascii="宋体" w:hAnsi="宋体" w:cs="宋体"/>
                <w:color w:val="auto"/>
                <w:highlight w:val="none"/>
                <w:lang w:val="en-US" w:eastAsia="zh-CN"/>
              </w:rPr>
              <w:t>1550000</w:t>
            </w:r>
            <w:r>
              <w:rPr>
                <w:rFonts w:hint="eastAsia" w:ascii="宋体" w:hAnsi="宋体" w:cs="宋体"/>
                <w:color w:val="auto"/>
                <w:highlight w:val="none"/>
              </w:rPr>
              <w:t>.00</w:t>
            </w:r>
          </w:p>
        </w:tc>
        <w:tc>
          <w:tcPr>
            <w:tcW w:w="80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jc w:val="right"/>
              <w:rPr>
                <w:rFonts w:ascii="宋体" w:hAnsi="宋体" w:cs="宋体"/>
                <w:color w:val="auto"/>
                <w:highlight w:val="none"/>
              </w:rPr>
            </w:pPr>
            <w:r>
              <w:rPr>
                <w:rFonts w:hint="eastAsia" w:ascii="宋体" w:hAnsi="宋体" w:cs="宋体"/>
                <w:color w:val="auto"/>
                <w:highlight w:val="none"/>
                <w:lang w:bidi="ar"/>
              </w:rPr>
              <w:t>-</w:t>
            </w:r>
          </w:p>
        </w:tc>
      </w:tr>
    </w:tbl>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本合同包不接受联合体投标</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合同履行期限：</w:t>
      </w:r>
      <w:bookmarkStart w:id="5" w:name="_Hlk145449750"/>
      <w:r>
        <w:rPr>
          <w:rFonts w:hint="eastAsia" w:ascii="宋体" w:hAnsi="宋体" w:cs="宋体"/>
          <w:color w:val="auto"/>
          <w:highlight w:val="none"/>
        </w:rPr>
        <w:t>自合同签订之日起</w:t>
      </w:r>
      <w:r>
        <w:rPr>
          <w:rFonts w:hint="eastAsia" w:ascii="宋体" w:hAnsi="宋体" w:cs="宋体"/>
          <w:color w:val="auto"/>
          <w:highlight w:val="none"/>
          <w:u w:val="none"/>
          <w:lang w:val="en-US" w:eastAsia="zh-CN"/>
        </w:rPr>
        <w:t>30</w:t>
      </w:r>
      <w:r>
        <w:rPr>
          <w:rFonts w:hint="eastAsia" w:ascii="宋体" w:hAnsi="宋体" w:cs="宋体"/>
          <w:color w:val="auto"/>
          <w:highlight w:val="none"/>
        </w:rPr>
        <w:t>个日历日</w:t>
      </w:r>
      <w:r>
        <w:rPr>
          <w:rFonts w:hint="eastAsia" w:ascii="宋体" w:hAnsi="宋体" w:cs="宋体"/>
          <w:color w:val="auto"/>
          <w:highlight w:val="none"/>
          <w:lang w:eastAsia="zh-CN"/>
        </w:rPr>
        <w:t>完成建设</w:t>
      </w:r>
      <w:r>
        <w:rPr>
          <w:rFonts w:hint="eastAsia" w:ascii="宋体" w:hAnsi="宋体" w:cs="宋体"/>
          <w:color w:val="auto"/>
          <w:highlight w:val="none"/>
        </w:rPr>
        <w:t>。</w:t>
      </w:r>
      <w:bookmarkEnd w:id="5"/>
      <w:r>
        <w:rPr>
          <w:rFonts w:hint="eastAsia" w:ascii="宋体" w:hAnsi="宋体" w:cs="宋体"/>
          <w:color w:val="auto"/>
          <w:highlight w:val="none"/>
        </w:rPr>
        <w:t xml:space="preserve"> </w:t>
      </w:r>
    </w:p>
    <w:p>
      <w:pPr>
        <w:pStyle w:val="149"/>
        <w:spacing w:before="0" w:beforeAutospacing="0" w:after="0" w:afterAutospacing="0" w:line="500" w:lineRule="exact"/>
        <w:rPr>
          <w:b/>
          <w:bCs/>
          <w:color w:val="auto"/>
          <w:highlight w:val="none"/>
        </w:rPr>
      </w:pPr>
      <w:r>
        <w:rPr>
          <w:rFonts w:hint="eastAsia"/>
          <w:b/>
          <w:bCs/>
          <w:color w:val="auto"/>
          <w:highlight w:val="none"/>
        </w:rPr>
        <w:t>二、申请人的资格要求：</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1.满足《中华人民共和国政府采购法》第二十二条规定</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2.落实政府采购政策需满足的资格要求：</w:t>
      </w:r>
    </w:p>
    <w:p>
      <w:pPr>
        <w:pStyle w:val="33"/>
        <w:spacing w:line="500" w:lineRule="exact"/>
        <w:ind w:firstLine="480"/>
        <w:rPr>
          <w:rFonts w:hint="eastAsia" w:ascii="宋体" w:hAnsi="宋体" w:eastAsia="宋体" w:cs="宋体"/>
          <w:color w:val="auto"/>
          <w:highlight w:val="none"/>
          <w:lang w:val="en-US" w:eastAsia="zh-CN"/>
        </w:rPr>
      </w:pPr>
      <w:r>
        <w:rPr>
          <w:rFonts w:hint="eastAsia" w:ascii="宋体" w:hAnsi="宋体" w:cs="宋体"/>
          <w:color w:val="auto"/>
          <w:highlight w:val="none"/>
        </w:rPr>
        <w:t>合同包1(</w:t>
      </w:r>
      <w:r>
        <w:rPr>
          <w:rFonts w:hint="eastAsia" w:ascii="宋体" w:hAnsi="宋体" w:cs="宋体"/>
          <w:color w:val="auto"/>
          <w:highlight w:val="none"/>
          <w:lang w:eastAsia="zh-CN"/>
        </w:rPr>
        <w:t>按病种分值付费（DIP）建设项目</w:t>
      </w:r>
      <w:r>
        <w:rPr>
          <w:rFonts w:hint="eastAsia" w:ascii="宋体" w:hAnsi="宋体" w:cs="宋体"/>
          <w:color w:val="auto"/>
          <w:highlight w:val="none"/>
        </w:rPr>
        <w:t>)落实政府采购政策需满足的资格要求如下：</w:t>
      </w:r>
      <w:r>
        <w:rPr>
          <w:rFonts w:hint="eastAsia" w:ascii="宋体" w:hAnsi="宋体" w:cs="宋体"/>
          <w:color w:val="auto"/>
          <w:highlight w:val="none"/>
          <w:lang w:eastAsia="zh-CN"/>
        </w:rPr>
        <w:t>无。</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3.本项目的特定资格要求：</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合同包1(</w:t>
      </w:r>
      <w:r>
        <w:rPr>
          <w:rFonts w:hint="eastAsia" w:ascii="宋体" w:hAnsi="宋体" w:cs="宋体"/>
          <w:color w:val="auto"/>
          <w:highlight w:val="none"/>
          <w:lang w:eastAsia="zh-CN"/>
        </w:rPr>
        <w:t>按病种分值付费（DIP）建设项目</w:t>
      </w:r>
      <w:r>
        <w:rPr>
          <w:rFonts w:hint="eastAsia" w:ascii="宋体" w:hAnsi="宋体" w:cs="宋体"/>
          <w:color w:val="auto"/>
          <w:highlight w:val="none"/>
        </w:rPr>
        <w:t>)特定资格要求如下:</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 xml:space="preserve">3.1法定代表人授权委托书（附法定代表人身份证复印件及被授权人身份证复印件）；法定代表人直接参加投标只须提供法定代表人资格证明书（附法定代表人身份证复印件）；采购文件凡是法定代表人之处，非法人单位的负责人均参照执行； </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2</w:t>
      </w:r>
      <w:r>
        <w:rPr>
          <w:rFonts w:hint="eastAsia" w:ascii="宋体" w:hAnsi="宋体" w:cs="宋体"/>
          <w:color w:val="auto"/>
          <w:highlight w:val="none"/>
        </w:rPr>
        <w:t xml:space="preserve">不得为“信用中国”网站(http://www.creditchina.gov.cn)列入“失信被执行人（页面跳转至“中国执行信息公开网”http://zxgk.court.gov.cn/shixin/）、重大税收违法失信主体、政府采购严重违法失信行为记录名单”的投标人；不得为中国政府采购网(http://www.ccgp.gov.cn)“政府采购严重违法失信行为记录名单”中的投标人； </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3.</w:t>
      </w:r>
      <w:r>
        <w:rPr>
          <w:rFonts w:hint="eastAsia" w:ascii="宋体" w:hAnsi="宋体" w:cs="宋体"/>
          <w:color w:val="auto"/>
          <w:highlight w:val="none"/>
          <w:lang w:val="en-US" w:eastAsia="zh-CN"/>
        </w:rPr>
        <w:t>3</w:t>
      </w:r>
      <w:r>
        <w:rPr>
          <w:rFonts w:hint="eastAsia" w:ascii="宋体" w:hAnsi="宋体" w:cs="宋体"/>
          <w:color w:val="auto"/>
          <w:highlight w:val="none"/>
        </w:rPr>
        <w:t xml:space="preserve">单位负责人为同一人或者存在直接控股、管理关系的不同投标人，不得参加同一合同项下的政府采购活动。 </w:t>
      </w:r>
    </w:p>
    <w:p>
      <w:pPr>
        <w:pStyle w:val="33"/>
        <w:spacing w:line="500" w:lineRule="exac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三、获取招标文件</w:t>
      </w:r>
    </w:p>
    <w:p>
      <w:pPr>
        <w:pStyle w:val="33"/>
        <w:spacing w:line="500" w:lineRule="exact"/>
        <w:ind w:firstLine="480"/>
        <w:rPr>
          <w:rFonts w:ascii="宋体" w:hAnsi="宋体" w:cs="宋体"/>
          <w:color w:val="auto"/>
          <w:szCs w:val="32"/>
          <w:highlight w:val="none"/>
        </w:rPr>
      </w:pPr>
      <w:r>
        <w:rPr>
          <w:rFonts w:hint="eastAsia" w:ascii="宋体" w:hAnsi="宋体" w:cs="宋体"/>
          <w:color w:val="auto"/>
          <w:highlight w:val="none"/>
        </w:rPr>
        <w:t>时间：2023年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26</w:t>
      </w:r>
      <w:r>
        <w:rPr>
          <w:rFonts w:hint="eastAsia" w:ascii="宋体" w:hAnsi="宋体" w:cs="宋体"/>
          <w:color w:val="auto"/>
          <w:highlight w:val="none"/>
        </w:rPr>
        <w:t>日至2023年</w:t>
      </w:r>
      <w:r>
        <w:rPr>
          <w:rFonts w:hint="eastAsia" w:ascii="宋体" w:hAnsi="宋体" w:cs="宋体"/>
          <w:color w:val="auto"/>
          <w:highlight w:val="none"/>
          <w:lang w:val="en-US" w:eastAsia="zh-CN"/>
        </w:rPr>
        <w:t>11</w:t>
      </w:r>
      <w:r>
        <w:rPr>
          <w:rFonts w:hint="eastAsia" w:ascii="宋体" w:hAnsi="宋体" w:cs="宋体"/>
          <w:color w:val="auto"/>
          <w:highlight w:val="none"/>
        </w:rPr>
        <w:t>月</w:t>
      </w:r>
      <w:r>
        <w:rPr>
          <w:rFonts w:hint="eastAsia" w:ascii="宋体" w:hAnsi="宋体" w:cs="宋体"/>
          <w:color w:val="auto"/>
          <w:highlight w:val="none"/>
          <w:lang w:val="en-US" w:eastAsia="zh-CN"/>
        </w:rPr>
        <w:t>01</w:t>
      </w:r>
      <w:r>
        <w:rPr>
          <w:rFonts w:hint="eastAsia" w:ascii="宋体" w:hAnsi="宋体" w:cs="宋体"/>
          <w:color w:val="auto"/>
          <w:highlight w:val="none"/>
        </w:rPr>
        <w:t>日，每天上午0</w:t>
      </w:r>
      <w:r>
        <w:rPr>
          <w:rFonts w:hint="eastAsia" w:ascii="宋体" w:hAnsi="宋体" w:cs="宋体"/>
          <w:color w:val="auto"/>
          <w:highlight w:val="none"/>
          <w:lang w:val="en-US" w:eastAsia="zh-CN"/>
        </w:rPr>
        <w:t>9</w:t>
      </w:r>
      <w:r>
        <w:rPr>
          <w:rFonts w:hint="eastAsia" w:ascii="宋体" w:hAnsi="宋体" w:cs="宋体"/>
          <w:color w:val="auto"/>
          <w:highlight w:val="none"/>
        </w:rPr>
        <w:t>:00:00至12:00:00，</w:t>
      </w:r>
      <w:r>
        <w:rPr>
          <w:rFonts w:hint="eastAsia" w:ascii="宋体" w:hAnsi="宋体" w:cs="宋体"/>
          <w:color w:val="auto"/>
          <w:szCs w:val="32"/>
          <w:highlight w:val="none"/>
        </w:rPr>
        <w:t>下午1</w:t>
      </w:r>
      <w:r>
        <w:rPr>
          <w:rFonts w:hint="eastAsia" w:ascii="宋体" w:hAnsi="宋体" w:cs="宋体"/>
          <w:color w:val="auto"/>
          <w:szCs w:val="32"/>
          <w:highlight w:val="none"/>
          <w:lang w:val="en-US" w:eastAsia="zh-CN"/>
        </w:rPr>
        <w:t>4</w:t>
      </w:r>
      <w:r>
        <w:rPr>
          <w:rFonts w:hint="eastAsia" w:ascii="宋体" w:hAnsi="宋体" w:cs="宋体"/>
          <w:color w:val="auto"/>
          <w:szCs w:val="32"/>
          <w:highlight w:val="none"/>
        </w:rPr>
        <w:t>:00:00至</w:t>
      </w:r>
      <w:r>
        <w:rPr>
          <w:rFonts w:hint="eastAsia" w:ascii="宋体" w:hAnsi="宋体" w:cs="宋体"/>
          <w:color w:val="auto"/>
          <w:szCs w:val="32"/>
          <w:highlight w:val="none"/>
          <w:lang w:val="en-US" w:eastAsia="zh-CN"/>
        </w:rPr>
        <w:t>17</w:t>
      </w:r>
      <w:r>
        <w:rPr>
          <w:rFonts w:hint="eastAsia" w:ascii="宋体" w:hAnsi="宋体" w:cs="宋体"/>
          <w:color w:val="auto"/>
          <w:szCs w:val="32"/>
          <w:highlight w:val="none"/>
        </w:rPr>
        <w:t>:</w:t>
      </w:r>
      <w:r>
        <w:rPr>
          <w:rFonts w:hint="eastAsia" w:ascii="宋体" w:hAnsi="宋体" w:cs="宋体"/>
          <w:color w:val="auto"/>
          <w:szCs w:val="32"/>
          <w:highlight w:val="none"/>
          <w:lang w:val="en-US" w:eastAsia="zh-CN"/>
        </w:rPr>
        <w:t>00</w:t>
      </w:r>
      <w:r>
        <w:rPr>
          <w:rFonts w:hint="eastAsia" w:ascii="宋体" w:hAnsi="宋体" w:cs="宋体"/>
          <w:color w:val="auto"/>
          <w:szCs w:val="32"/>
          <w:highlight w:val="none"/>
        </w:rPr>
        <w:t>:</w:t>
      </w:r>
      <w:r>
        <w:rPr>
          <w:rFonts w:hint="eastAsia" w:ascii="宋体" w:hAnsi="宋体" w:cs="宋体"/>
          <w:color w:val="auto"/>
          <w:szCs w:val="32"/>
          <w:highlight w:val="none"/>
          <w:lang w:val="en-US" w:eastAsia="zh-CN"/>
        </w:rPr>
        <w:t>00</w:t>
      </w:r>
      <w:r>
        <w:rPr>
          <w:rFonts w:hint="eastAsia" w:ascii="宋体" w:hAnsi="宋体" w:cs="宋体"/>
          <w:color w:val="auto"/>
          <w:szCs w:val="32"/>
          <w:highlight w:val="none"/>
        </w:rPr>
        <w:t>（北京时间,法定节假日除外）</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highlight w:val="none"/>
          <w:shd w:val="clear" w:color="auto" w:fill="FFFFFF"/>
        </w:rPr>
        <w:t>地点：</w:t>
      </w:r>
      <w:r>
        <w:rPr>
          <w:rFonts w:hint="eastAsia" w:ascii="宋体" w:hAnsi="宋体" w:cs="宋体"/>
          <w:color w:val="auto"/>
          <w:szCs w:val="32"/>
          <w:highlight w:val="none"/>
        </w:rPr>
        <w:t>全国公共资源交易平台（</w:t>
      </w:r>
      <w:r>
        <w:rPr>
          <w:rFonts w:hint="eastAsia" w:ascii="宋体" w:hAnsi="宋体" w:cs="宋体"/>
          <w:color w:val="auto"/>
          <w:szCs w:val="32"/>
          <w:highlight w:val="none"/>
          <w:lang w:eastAsia="zh-CN"/>
        </w:rPr>
        <w:t>陕西省·延安市</w:t>
      </w:r>
      <w:r>
        <w:rPr>
          <w:rFonts w:hint="eastAsia" w:ascii="宋体" w:hAnsi="宋体" w:cs="宋体"/>
          <w:color w:val="auto"/>
          <w:szCs w:val="32"/>
          <w:highlight w:val="none"/>
        </w:rPr>
        <w:t>）</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方式：在线获取</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售价：免费获取</w:t>
      </w:r>
    </w:p>
    <w:p>
      <w:pPr>
        <w:pStyle w:val="149"/>
        <w:spacing w:before="0" w:beforeAutospacing="0" w:after="0" w:afterAutospacing="0" w:line="500" w:lineRule="exact"/>
        <w:rPr>
          <w:b/>
          <w:bCs/>
          <w:color w:val="auto"/>
          <w:highlight w:val="none"/>
        </w:rPr>
      </w:pPr>
      <w:r>
        <w:rPr>
          <w:rFonts w:hint="eastAsia"/>
          <w:b/>
          <w:bCs/>
          <w:color w:val="auto"/>
          <w:highlight w:val="none"/>
        </w:rPr>
        <w:t>四、提交投标文件截止时间、开标时间和地点</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2023年</w:t>
      </w:r>
      <w:r>
        <w:rPr>
          <w:rFonts w:hint="eastAsia" w:ascii="宋体" w:hAnsi="宋体" w:cs="宋体"/>
          <w:color w:val="auto"/>
          <w:szCs w:val="32"/>
          <w:highlight w:val="none"/>
          <w:lang w:val="en-US" w:eastAsia="zh-CN"/>
        </w:rPr>
        <w:t>11</w:t>
      </w:r>
      <w:r>
        <w:rPr>
          <w:rFonts w:hint="eastAsia" w:ascii="宋体" w:hAnsi="宋体" w:cs="宋体"/>
          <w:color w:val="auto"/>
          <w:szCs w:val="32"/>
          <w:highlight w:val="none"/>
        </w:rPr>
        <w:t>月</w:t>
      </w:r>
      <w:r>
        <w:rPr>
          <w:rFonts w:hint="eastAsia" w:ascii="宋体" w:hAnsi="宋体" w:cs="宋体"/>
          <w:color w:val="auto"/>
          <w:szCs w:val="32"/>
          <w:highlight w:val="none"/>
          <w:lang w:val="en-US" w:eastAsia="zh-CN"/>
        </w:rPr>
        <w:t>16</w:t>
      </w:r>
      <w:r>
        <w:rPr>
          <w:rFonts w:hint="eastAsia" w:ascii="宋体" w:hAnsi="宋体" w:cs="宋体"/>
          <w:color w:val="auto"/>
          <w:szCs w:val="32"/>
          <w:highlight w:val="none"/>
        </w:rPr>
        <w:t>日</w:t>
      </w:r>
      <w:r>
        <w:rPr>
          <w:rFonts w:hint="eastAsia" w:ascii="宋体" w:hAnsi="宋体" w:cs="宋体"/>
          <w:color w:val="auto"/>
          <w:szCs w:val="32"/>
          <w:highlight w:val="none"/>
          <w:lang w:val="en-US" w:eastAsia="zh-CN"/>
        </w:rPr>
        <w:t>14</w:t>
      </w:r>
      <w:r>
        <w:rPr>
          <w:rFonts w:hint="eastAsia" w:ascii="宋体" w:hAnsi="宋体" w:cs="宋体"/>
          <w:color w:val="auto"/>
          <w:szCs w:val="32"/>
          <w:highlight w:val="none"/>
        </w:rPr>
        <w:t>时</w:t>
      </w:r>
      <w:r>
        <w:rPr>
          <w:rFonts w:hint="eastAsia" w:ascii="宋体" w:hAnsi="宋体" w:cs="宋体"/>
          <w:color w:val="auto"/>
          <w:szCs w:val="32"/>
          <w:highlight w:val="none"/>
          <w:lang w:val="en-US" w:eastAsia="zh-CN"/>
        </w:rPr>
        <w:t>3</w:t>
      </w:r>
      <w:r>
        <w:rPr>
          <w:rFonts w:hint="eastAsia" w:ascii="宋体" w:hAnsi="宋体" w:cs="宋体"/>
          <w:color w:val="auto"/>
          <w:szCs w:val="32"/>
          <w:highlight w:val="none"/>
        </w:rPr>
        <w:t>0分00秒（北京时间）</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地点：全国公共资源交易平台（</w:t>
      </w:r>
      <w:r>
        <w:rPr>
          <w:rFonts w:hint="eastAsia" w:ascii="宋体" w:hAnsi="宋体" w:cs="宋体"/>
          <w:color w:val="auto"/>
          <w:szCs w:val="32"/>
          <w:highlight w:val="none"/>
          <w:lang w:eastAsia="zh-CN"/>
        </w:rPr>
        <w:t>陕西省·延安市</w:t>
      </w:r>
      <w:r>
        <w:rPr>
          <w:rFonts w:hint="eastAsia" w:ascii="宋体" w:hAnsi="宋体" w:cs="宋体"/>
          <w:color w:val="auto"/>
          <w:szCs w:val="32"/>
          <w:highlight w:val="none"/>
        </w:rPr>
        <w:t>）</w:t>
      </w:r>
    </w:p>
    <w:p>
      <w:pPr>
        <w:pStyle w:val="149"/>
        <w:spacing w:before="0" w:beforeAutospacing="0" w:after="0" w:afterAutospacing="0" w:line="500" w:lineRule="exact"/>
        <w:rPr>
          <w:b/>
          <w:bCs/>
          <w:color w:val="auto"/>
          <w:highlight w:val="none"/>
        </w:rPr>
      </w:pPr>
      <w:r>
        <w:rPr>
          <w:rFonts w:hint="eastAsia"/>
          <w:b/>
          <w:bCs/>
          <w:color w:val="auto"/>
          <w:highlight w:val="none"/>
        </w:rPr>
        <w:t>五、公告期限</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自本公告发布之日起5个工作日。</w:t>
      </w:r>
    </w:p>
    <w:p>
      <w:pPr>
        <w:pStyle w:val="149"/>
        <w:spacing w:before="0" w:beforeAutospacing="0" w:after="0" w:afterAutospacing="0" w:line="500" w:lineRule="exact"/>
        <w:rPr>
          <w:b/>
          <w:bCs/>
          <w:color w:val="auto"/>
          <w:highlight w:val="none"/>
        </w:rPr>
      </w:pPr>
      <w:r>
        <w:rPr>
          <w:rFonts w:hint="eastAsia"/>
          <w:b/>
          <w:bCs/>
          <w:color w:val="auto"/>
          <w:highlight w:val="none"/>
        </w:rPr>
        <w:t>六、其他补充事宜</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1.落实的政府采购政策:</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1.1《政府采购促进中小企业发展管理办法》（财库〔2020〕46号）；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1.2《财政部 司法部关于政府采购支持监狱企业发展有关问题的通知》（财库〔2014〕68号）；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1.3《国务院办公厅关于建立政府强制采购节能产品制度的通知》（国办发〔2007〕51号）；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1.4《节能产品政府采购实施意见》（财库[2004]185号）；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1.5《环境标志产品政府采购实施的意见》（财库[2006]90号）；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1.6《关于调整优化节能产品、环境标志产品政府采购执行机制的通知》（财库〔2019〕9号）、《关于印发环境标志产品政府采购品目清单的通知》（财库〔2019〕18号）、《关于印发节能产品政府采购品目清单的通知》（财库〔2019〕19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1.7《财政部、民政部、中国残疾人联合会关于促进残疾人就业政府采购政策的通知》（财库[2017]141号）；</w:t>
      </w:r>
    </w:p>
    <w:p>
      <w:pPr>
        <w:pStyle w:val="33"/>
        <w:widowControl/>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1.8《陕西省中小企业政府采购信用融资办法》（陕财办采〔2018〕23号）；</w:t>
      </w:r>
    </w:p>
    <w:p>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1.9《陕西省财政厅关于进一步加大政府采购支持中小企业力度的通知》（陕财办采〔2022〕5号）、《陕西省财政厅关于落实政府采购支持中小企业政策有关事项的通知》（陕财办采函〔2022〕10号）；</w:t>
      </w:r>
    </w:p>
    <w:p>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1.10如有最新颁布的政府采购政策，按最新的文件执行。</w:t>
      </w:r>
    </w:p>
    <w:p>
      <w:pPr>
        <w:pStyle w:val="33"/>
        <w:keepNext w:val="0"/>
        <w:keepLines w:val="0"/>
        <w:pageBreakBefore w:val="0"/>
        <w:widowControl/>
        <w:kinsoku/>
        <w:wordWrap/>
        <w:overflowPunct/>
        <w:topLinePunct w:val="0"/>
        <w:autoSpaceDE/>
        <w:autoSpaceDN/>
        <w:bidi w:val="0"/>
        <w:adjustRightInd/>
        <w:snapToGrid/>
        <w:spacing w:line="480" w:lineRule="exact"/>
        <w:ind w:firstLine="480"/>
        <w:jc w:val="left"/>
        <w:textAlignment w:val="baseline"/>
        <w:rPr>
          <w:rFonts w:ascii="宋体" w:hAnsi="宋体" w:cs="宋体"/>
          <w:color w:val="auto"/>
          <w:szCs w:val="32"/>
          <w:highlight w:val="none"/>
        </w:rPr>
      </w:pPr>
      <w:r>
        <w:rPr>
          <w:rFonts w:hint="eastAsia" w:ascii="宋体" w:hAnsi="宋体" w:cs="宋体"/>
          <w:color w:val="auto"/>
          <w:szCs w:val="32"/>
          <w:highlight w:val="none"/>
        </w:rPr>
        <w:t>2.其他事宜</w:t>
      </w:r>
    </w:p>
    <w:p>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CN" w:bidi="ar-SA"/>
        </w:rPr>
        <w:t>1投标人须完成数字认证证书（CA锁）办理（包括法人锁、主锁、副锁）及信息绑定。数字认证证书（CA锁）办理地址：延安市新区为民服务中心7号楼2楼B205室，CA锁企业信息绑定在1号服务窗口（7号楼2楼大厅）办理；</w:t>
      </w:r>
    </w:p>
    <w:p>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CN" w:bidi="ar-SA"/>
        </w:rPr>
        <w:t>2报名登记：供应商使用捆绑CA证书登录 全国公共资源交易平台（陕西省·延安市）延安市公共资源交易中心，选择电子交易平台中的陕西政府采购交易系统 进行登录，登录后选择“交易乙方”身份进入供应商界面进行报名；</w:t>
      </w:r>
    </w:p>
    <w:p>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2.3</w:t>
      </w:r>
      <w:r>
        <w:rPr>
          <w:rFonts w:hint="eastAsia" w:ascii="宋体" w:hAnsi="宋体" w:eastAsia="宋体" w:cs="宋体"/>
          <w:color w:val="auto"/>
          <w:kern w:val="2"/>
          <w:sz w:val="24"/>
          <w:szCs w:val="32"/>
          <w:highlight w:val="none"/>
          <w:lang w:val="en-US" w:eastAsia="zh-CN" w:bidi="ar-SA"/>
        </w:rPr>
        <w:t>下载文件：供应商登录延安市公共资源交易中心，选择“交易乙方”身份进入供应商界面下载采购文件；</w:t>
      </w:r>
    </w:p>
    <w:p>
      <w:pPr>
        <w:keepNext w:val="0"/>
        <w:keepLines w:val="0"/>
        <w:pageBreakBefore w:val="0"/>
        <w:kinsoku/>
        <w:wordWrap/>
        <w:overflowPunct/>
        <w:topLinePunct w:val="0"/>
        <w:autoSpaceDE/>
        <w:autoSpaceDN/>
        <w:bidi w:val="0"/>
        <w:adjustRightInd/>
        <w:snapToGrid/>
        <w:spacing w:line="480" w:lineRule="exact"/>
        <w:ind w:firstLine="480" w:firstLineChars="200"/>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kern w:val="2"/>
          <w:sz w:val="24"/>
          <w:szCs w:val="32"/>
          <w:highlight w:val="none"/>
          <w:lang w:val="en-US" w:eastAsia="zh-CN" w:bidi="ar-SA"/>
        </w:rPr>
        <w:t>2.</w:t>
      </w:r>
      <w:r>
        <w:rPr>
          <w:rFonts w:hint="eastAsia" w:ascii="宋体" w:hAnsi="宋体" w:eastAsia="宋体" w:cs="宋体"/>
          <w:color w:val="auto"/>
          <w:kern w:val="2"/>
          <w:sz w:val="24"/>
          <w:szCs w:val="32"/>
          <w:highlight w:val="none"/>
          <w:lang w:val="en-US" w:eastAsia="zh-CN" w:bidi="ar-SA"/>
        </w:rPr>
        <w:t>4本次开标采用线上不见面开标模式。</w:t>
      </w:r>
    </w:p>
    <w:p>
      <w:pPr>
        <w:spacing w:line="400" w:lineRule="exact"/>
        <w:rPr>
          <w:rFonts w:ascii="宋体" w:hAnsi="宋体" w:cs="宋体"/>
          <w:b/>
          <w:color w:val="auto"/>
          <w:szCs w:val="24"/>
          <w:highlight w:val="none"/>
        </w:rPr>
      </w:pPr>
      <w:r>
        <w:rPr>
          <w:rFonts w:hint="eastAsia" w:ascii="宋体" w:hAnsi="宋体" w:cs="宋体"/>
          <w:b/>
          <w:color w:val="auto"/>
          <w:szCs w:val="24"/>
          <w:highlight w:val="none"/>
        </w:rPr>
        <w:t>七、对本次招标提出询问，请按以下方式联系。</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1.釆购人信息</w:t>
      </w:r>
    </w:p>
    <w:p>
      <w:pPr>
        <w:pStyle w:val="33"/>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名称：</w:t>
      </w:r>
      <w:r>
        <w:rPr>
          <w:rFonts w:hint="eastAsia" w:ascii="宋体" w:hAnsi="宋体" w:cs="宋体"/>
          <w:color w:val="auto"/>
          <w:highlight w:val="none"/>
          <w:lang w:eastAsia="zh-CN"/>
        </w:rPr>
        <w:t>黄龙县人民医院（黄龙县120急救服务中心）</w:t>
      </w:r>
    </w:p>
    <w:p>
      <w:pPr>
        <w:pStyle w:val="33"/>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地址：</w:t>
      </w:r>
      <w:r>
        <w:rPr>
          <w:rFonts w:hint="eastAsia" w:ascii="宋体" w:hAnsi="宋体" w:cs="宋体"/>
          <w:color w:val="auto"/>
          <w:highlight w:val="none"/>
          <w:lang w:eastAsia="zh-CN"/>
        </w:rPr>
        <w:t>黄龙县中心街39号</w:t>
      </w:r>
    </w:p>
    <w:p>
      <w:pPr>
        <w:pStyle w:val="33"/>
        <w:spacing w:line="50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联系方式：</w:t>
      </w:r>
      <w:r>
        <w:rPr>
          <w:rFonts w:hint="eastAsia" w:ascii="宋体" w:hAnsi="宋体" w:cs="宋体"/>
          <w:color w:val="auto"/>
          <w:highlight w:val="none"/>
          <w:lang w:eastAsia="zh-CN"/>
        </w:rPr>
        <w:t>0911-3317322</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2.釆购代理机构信息</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rPr>
        <w:t>名称：陕西上德招标有限公司</w:t>
      </w:r>
    </w:p>
    <w:p>
      <w:pPr>
        <w:pStyle w:val="33"/>
        <w:spacing w:line="500" w:lineRule="exact"/>
        <w:ind w:firstLine="480"/>
        <w:rPr>
          <w:rFonts w:ascii="宋体" w:hAnsi="宋体" w:cs="宋体"/>
          <w:color w:val="auto"/>
          <w:highlight w:val="none"/>
        </w:rPr>
      </w:pPr>
      <w:r>
        <w:rPr>
          <w:rFonts w:hint="eastAsia" w:ascii="宋体" w:hAnsi="宋体" w:cs="宋体"/>
          <w:color w:val="auto"/>
          <w:highlight w:val="none"/>
          <w:shd w:val="clear" w:color="auto" w:fill="FFFFFF"/>
        </w:rPr>
        <w:t>地址：</w:t>
      </w:r>
      <w:r>
        <w:rPr>
          <w:rFonts w:hint="eastAsia" w:ascii="宋体" w:hAnsi="宋体" w:cs="宋体"/>
          <w:color w:val="auto"/>
          <w:highlight w:val="none"/>
        </w:rPr>
        <w:t>西安市经开区凤城八路正尚国际金融广场A座7层703</w:t>
      </w:r>
    </w:p>
    <w:p>
      <w:pPr>
        <w:pStyle w:val="33"/>
        <w:widowControl/>
        <w:spacing w:line="480" w:lineRule="exact"/>
        <w:ind w:firstLine="480"/>
        <w:textAlignment w:val="baseline"/>
        <w:rPr>
          <w:rFonts w:ascii="宋体" w:hAnsi="宋体" w:cs="宋体"/>
          <w:color w:val="auto"/>
          <w:highlight w:val="none"/>
        </w:rPr>
      </w:pPr>
      <w:r>
        <w:rPr>
          <w:rFonts w:hint="eastAsia" w:ascii="宋体" w:hAnsi="宋体" w:cs="宋体"/>
          <w:color w:val="auto"/>
          <w:highlight w:val="none"/>
        </w:rPr>
        <w:t xml:space="preserve">         （张家堡转盘东南角）</w:t>
      </w:r>
    </w:p>
    <w:p>
      <w:pPr>
        <w:pStyle w:val="33"/>
        <w:widowControl/>
        <w:spacing w:line="480" w:lineRule="exact"/>
        <w:ind w:firstLine="480"/>
        <w:textAlignment w:val="baseline"/>
        <w:rPr>
          <w:rFonts w:ascii="宋体" w:hAnsi="宋体" w:cs="宋体"/>
          <w:color w:val="auto"/>
          <w:highlight w:val="none"/>
        </w:rPr>
      </w:pPr>
      <w:r>
        <w:rPr>
          <w:rFonts w:hint="eastAsia" w:ascii="宋体" w:hAnsi="宋体" w:cs="宋体"/>
          <w:color w:val="auto"/>
          <w:highlight w:val="none"/>
          <w:shd w:val="clear" w:color="auto" w:fill="FFFFFF"/>
        </w:rPr>
        <w:t>联系方式：</w:t>
      </w:r>
      <w:r>
        <w:rPr>
          <w:rFonts w:hint="eastAsia" w:ascii="宋体" w:hAnsi="宋体" w:cs="宋体"/>
          <w:color w:val="auto"/>
          <w:highlight w:val="none"/>
        </w:rPr>
        <w:t xml:space="preserve">029-86673953、86518381、89299829 </w:t>
      </w:r>
    </w:p>
    <w:p>
      <w:pPr>
        <w:pStyle w:val="33"/>
        <w:widowControl/>
        <w:spacing w:line="480" w:lineRule="exact"/>
        <w:ind w:firstLine="480"/>
        <w:textAlignment w:val="baseline"/>
        <w:rPr>
          <w:rFonts w:ascii="宋体" w:hAnsi="宋体" w:cs="宋体"/>
          <w:color w:val="auto"/>
          <w:highlight w:val="none"/>
        </w:rPr>
      </w:pPr>
      <w:r>
        <w:rPr>
          <w:rFonts w:hint="eastAsia" w:ascii="宋体" w:hAnsi="宋体" w:cs="宋体"/>
          <w:color w:val="auto"/>
          <w:highlight w:val="none"/>
        </w:rPr>
        <w:t>3.项目联系方式</w:t>
      </w:r>
    </w:p>
    <w:p>
      <w:pPr>
        <w:pStyle w:val="33"/>
        <w:widowControl/>
        <w:spacing w:line="480" w:lineRule="exact"/>
        <w:ind w:firstLine="480"/>
        <w:textAlignment w:val="baseline"/>
        <w:rPr>
          <w:rFonts w:ascii="宋体" w:hAnsi="宋体" w:cs="宋体"/>
          <w:color w:val="auto"/>
          <w:highlight w:val="none"/>
        </w:rPr>
      </w:pPr>
      <w:r>
        <w:rPr>
          <w:rFonts w:hint="eastAsia" w:ascii="宋体" w:hAnsi="宋体" w:cs="宋体"/>
          <w:color w:val="auto"/>
          <w:highlight w:val="none"/>
        </w:rPr>
        <w:t>项目联系人：</w:t>
      </w:r>
      <w:r>
        <w:rPr>
          <w:rFonts w:hint="eastAsia" w:ascii="宋体" w:hAnsi="宋体" w:cs="宋体"/>
          <w:color w:val="auto"/>
          <w:highlight w:val="none"/>
          <w:lang w:eastAsia="zh-CN"/>
        </w:rPr>
        <w:t>何长青</w:t>
      </w:r>
      <w:r>
        <w:rPr>
          <w:rFonts w:hint="eastAsia" w:ascii="宋体" w:hAnsi="宋体" w:cs="宋体"/>
          <w:color w:val="auto"/>
          <w:highlight w:val="none"/>
        </w:rPr>
        <w:t>（</w:t>
      </w:r>
      <w:r>
        <w:rPr>
          <w:rFonts w:hint="eastAsia" w:ascii="宋体" w:hAnsi="宋体" w:cs="宋体"/>
          <w:color w:val="auto"/>
          <w:highlight w:val="none"/>
          <w:lang w:eastAsia="zh-CN"/>
        </w:rPr>
        <w:t>12号工位</w:t>
      </w:r>
      <w:r>
        <w:rPr>
          <w:rFonts w:hint="eastAsia" w:ascii="宋体" w:hAnsi="宋体" w:cs="宋体"/>
          <w:color w:val="auto"/>
          <w:highlight w:val="none"/>
        </w:rPr>
        <w:t>）</w:t>
      </w:r>
    </w:p>
    <w:p>
      <w:pPr>
        <w:spacing w:line="480" w:lineRule="exact"/>
        <w:ind w:firstLine="482" w:firstLineChars="200"/>
        <w:rPr>
          <w:rFonts w:hint="eastAsia" w:ascii="宋体" w:hAnsi="宋体" w:eastAsia="宋体" w:cs="宋体"/>
          <w:color w:val="auto"/>
          <w:szCs w:val="24"/>
          <w:highlight w:val="none"/>
          <w:lang w:eastAsia="zh-CN"/>
        </w:rPr>
      </w:pPr>
      <w:r>
        <w:rPr>
          <w:rFonts w:hint="eastAsia" w:ascii="宋体" w:hAnsi="宋体" w:cs="宋体"/>
          <w:b/>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361315</wp:posOffset>
                </wp:positionV>
                <wp:extent cx="5929630" cy="720090"/>
                <wp:effectExtent l="4445" t="4445" r="9525" b="12065"/>
                <wp:wrapSquare wrapText="bothSides"/>
                <wp:docPr id="1" name="文本框 4"/>
                <wp:cNvGraphicFramePr/>
                <a:graphic xmlns:a="http://schemas.openxmlformats.org/drawingml/2006/main">
                  <a:graphicData uri="http://schemas.microsoft.com/office/word/2010/wordprocessingShape">
                    <wps:wsp>
                      <wps:cNvSpPr txBox="1"/>
                      <wps:spPr>
                        <a:xfrm>
                          <a:off x="0" y="0"/>
                          <a:ext cx="5929630" cy="7200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520" w:lineRule="exact"/>
                              <w:rPr>
                                <w:rFonts w:ascii="宋体" w:hAnsi="宋体"/>
                                <w:b/>
                                <w:szCs w:val="24"/>
                              </w:rPr>
                            </w:pPr>
                            <w:r>
                              <w:rPr>
                                <w:rFonts w:hint="eastAsia" w:ascii="宋体" w:hAnsi="宋体"/>
                                <w:b/>
                                <w:szCs w:val="24"/>
                              </w:rPr>
                              <w:t>温馨提示：获取招标文件后，请仔细阅读，特别注意粗体及划线部分，如有疑问请来电咨询。</w:t>
                            </w:r>
                          </w:p>
                        </w:txbxContent>
                      </wps:txbx>
                      <wps:bodyPr wrap="square" upright="1"/>
                    </wps:wsp>
                  </a:graphicData>
                </a:graphic>
              </wp:anchor>
            </w:drawing>
          </mc:Choice>
          <mc:Fallback>
            <w:pict>
              <v:shape id="文本框 4" o:spid="_x0000_s1026" o:spt="202" type="#_x0000_t202" style="position:absolute;left:0pt;margin-left:-3.8pt;margin-top:28.45pt;height:56.7pt;width:466.9pt;mso-wrap-distance-bottom:0pt;mso-wrap-distance-left:9pt;mso-wrap-distance-right:9pt;mso-wrap-distance-top:0pt;z-index:251659264;mso-width-relative:page;mso-height-relative:page;" fillcolor="#FFFFFF" filled="t" stroked="t" coordsize="21600,21600" o:gfxdata="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iLawdkAAAAJAQAADwAA&#10;AAAAAAABACAAAAAiAAAAZHJzL2Rvd25yZXYueG1sUEsBAhQAFAAAAAgAh07iQGIBTj0VAgAARAQA&#10;AA4AAAAAAAAAAQAgAAAAKAEAAGRycy9lMm9Eb2MueG1sUEsFBgAAAAAGAAYAWQEAAK8FAAAAAA==&#10;">
                <v:fill on="t" focussize="0,0"/>
                <v:stroke color="#000000" joinstyle="miter"/>
                <v:imagedata o:title=""/>
                <o:lock v:ext="edit" aspectratio="f"/>
                <v:textbox>
                  <w:txbxContent>
                    <w:p>
                      <w:pPr>
                        <w:spacing w:line="520" w:lineRule="exact"/>
                        <w:rPr>
                          <w:rFonts w:ascii="宋体" w:hAnsi="宋体"/>
                          <w:b/>
                          <w:szCs w:val="24"/>
                        </w:rPr>
                      </w:pPr>
                      <w:r>
                        <w:rPr>
                          <w:rFonts w:hint="eastAsia" w:ascii="宋体" w:hAnsi="宋体"/>
                          <w:b/>
                          <w:szCs w:val="24"/>
                        </w:rPr>
                        <w:t>温馨提示：获取招标文件后，请仔细阅读，特别注意粗体及划线部分，如有疑问请来电咨询。</w:t>
                      </w:r>
                    </w:p>
                  </w:txbxContent>
                </v:textbox>
                <w10:wrap type="square"/>
              </v:shape>
            </w:pict>
          </mc:Fallback>
        </mc:AlternateContent>
      </w:r>
      <w:r>
        <w:rPr>
          <w:rFonts w:hint="eastAsia" w:ascii="宋体" w:hAnsi="宋体" w:cs="宋体"/>
          <w:color w:val="auto"/>
          <w:highlight w:val="none"/>
        </w:rPr>
        <w:t>电 话：029-86673953、86518381、89299829</w:t>
      </w:r>
      <w:r>
        <w:rPr>
          <w:rFonts w:hint="eastAsia" w:ascii="宋体" w:hAnsi="宋体" w:cs="宋体"/>
          <w:color w:val="auto"/>
          <w:szCs w:val="24"/>
          <w:highlight w:val="none"/>
        </w:rPr>
        <w:t>转</w:t>
      </w:r>
      <w:r>
        <w:rPr>
          <w:rFonts w:hint="eastAsia" w:ascii="宋体" w:hAnsi="宋体" w:cs="宋体"/>
          <w:color w:val="auto"/>
          <w:szCs w:val="24"/>
          <w:highlight w:val="none"/>
          <w:lang w:eastAsia="zh-CN"/>
        </w:rPr>
        <w:t>8012</w:t>
      </w:r>
    </w:p>
    <w:p>
      <w:pPr>
        <w:pStyle w:val="33"/>
        <w:spacing w:line="500" w:lineRule="exact"/>
        <w:ind w:firstLine="480"/>
        <w:rPr>
          <w:rFonts w:ascii="宋体" w:hAnsi="宋体" w:cs="宋体"/>
          <w:color w:val="auto"/>
          <w:highlight w:val="none"/>
        </w:rPr>
      </w:pPr>
    </w:p>
    <w:p>
      <w:pPr>
        <w:pStyle w:val="3"/>
        <w:spacing w:before="0" w:after="0" w:line="800" w:lineRule="exact"/>
        <w:jc w:val="center"/>
        <w:rPr>
          <w:rFonts w:ascii="宋体" w:hAnsi="宋体" w:cs="宋体"/>
          <w:color w:val="auto"/>
          <w:highlight w:val="none"/>
        </w:rPr>
      </w:pPr>
      <w:bookmarkStart w:id="6" w:name="_Toc5515"/>
      <w:bookmarkStart w:id="7" w:name="_Toc458617730"/>
      <w:bookmarkStart w:id="8" w:name="_Toc458617453"/>
      <w:r>
        <w:rPr>
          <w:rFonts w:hint="eastAsia" w:ascii="宋体" w:hAnsi="宋体" w:cs="宋体"/>
          <w:color w:val="auto"/>
          <w:highlight w:val="none"/>
        </w:rPr>
        <w:br w:type="page"/>
      </w:r>
      <w:r>
        <w:rPr>
          <w:rFonts w:hint="eastAsia" w:ascii="宋体" w:hAnsi="宋体" w:cs="宋体"/>
          <w:color w:val="auto"/>
          <w:highlight w:val="none"/>
        </w:rPr>
        <w:t>第二章  投标人须知</w:t>
      </w:r>
      <w:bookmarkEnd w:id="6"/>
      <w:bookmarkEnd w:id="7"/>
      <w:bookmarkEnd w:id="8"/>
    </w:p>
    <w:p>
      <w:pPr>
        <w:pStyle w:val="4"/>
        <w:spacing w:before="0" w:after="0" w:line="600" w:lineRule="exact"/>
        <w:jc w:val="center"/>
        <w:rPr>
          <w:rFonts w:ascii="宋体" w:hAnsi="宋体" w:eastAsia="宋体" w:cs="宋体"/>
          <w:color w:val="auto"/>
          <w:sz w:val="28"/>
          <w:szCs w:val="28"/>
          <w:highlight w:val="none"/>
        </w:rPr>
      </w:pPr>
      <w:bookmarkStart w:id="9" w:name="_Toc7212"/>
      <w:bookmarkStart w:id="10" w:name="_Toc458617454"/>
      <w:bookmarkStart w:id="11" w:name="_Toc458617731"/>
      <w:r>
        <w:rPr>
          <w:rFonts w:hint="eastAsia" w:ascii="宋体" w:hAnsi="宋体" w:eastAsia="宋体" w:cs="宋体"/>
          <w:color w:val="auto"/>
          <w:sz w:val="28"/>
          <w:szCs w:val="28"/>
          <w:highlight w:val="none"/>
        </w:rPr>
        <w:t>一、投标人须知前附表</w:t>
      </w:r>
      <w:bookmarkEnd w:id="9"/>
      <w:bookmarkEnd w:id="10"/>
      <w:bookmarkEnd w:id="11"/>
    </w:p>
    <w:p>
      <w:pPr>
        <w:jc w:val="center"/>
        <w:rPr>
          <w:rFonts w:ascii="宋体" w:hAnsi="宋体" w:cs="宋体"/>
          <w:b/>
          <w:color w:val="auto"/>
          <w:sz w:val="15"/>
          <w:szCs w:val="15"/>
          <w:highlight w:val="none"/>
        </w:rPr>
      </w:pPr>
    </w:p>
    <w:tbl>
      <w:tblPr>
        <w:tblStyle w:val="3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09" w:type="dxa"/>
            <w:vAlign w:val="center"/>
          </w:tcPr>
          <w:p>
            <w:pPr>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2552" w:type="dxa"/>
            <w:vAlign w:val="center"/>
          </w:tcPr>
          <w:p>
            <w:pPr>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条款名称</w:t>
            </w:r>
          </w:p>
        </w:tc>
        <w:tc>
          <w:tcPr>
            <w:tcW w:w="6662" w:type="dxa"/>
            <w:vAlign w:val="center"/>
          </w:tcPr>
          <w:p>
            <w:pPr>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采购人</w:t>
            </w:r>
          </w:p>
        </w:tc>
        <w:tc>
          <w:tcPr>
            <w:tcW w:w="6662" w:type="dxa"/>
          </w:tcPr>
          <w:p>
            <w:pPr>
              <w:spacing w:line="400" w:lineRule="exact"/>
              <w:rPr>
                <w:rFonts w:hint="eastAsia" w:ascii="宋体" w:hAnsi="宋体" w:eastAsia="宋体" w:cs="宋体"/>
                <w:color w:val="auto"/>
                <w:szCs w:val="24"/>
                <w:highlight w:val="none"/>
                <w:lang w:eastAsia="zh-CN"/>
              </w:rPr>
            </w:pPr>
            <w:r>
              <w:rPr>
                <w:rFonts w:hint="eastAsia" w:ascii="宋体" w:hAnsi="宋体" w:cs="宋体"/>
                <w:color w:val="auto"/>
                <w:highlight w:val="none"/>
                <w:lang w:eastAsia="zh-CN"/>
              </w:rPr>
              <w:t>黄龙县人民医院（黄龙县120急救服务中心）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2</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采购代理机构</w:t>
            </w:r>
          </w:p>
        </w:tc>
        <w:tc>
          <w:tcPr>
            <w:tcW w:w="6662" w:type="dxa"/>
          </w:tcPr>
          <w:p>
            <w:pPr>
              <w:pStyle w:val="155"/>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3</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监督管理机构</w:t>
            </w:r>
          </w:p>
        </w:tc>
        <w:tc>
          <w:tcPr>
            <w:tcW w:w="6662" w:type="dxa"/>
          </w:tcPr>
          <w:p>
            <w:pPr>
              <w:spacing w:line="40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黄龙县财政局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4</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投标人</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响应</w:t>
            </w:r>
            <w:r>
              <w:rPr>
                <w:color w:val="auto"/>
                <w:highlight w:val="none"/>
              </w:rPr>
              <w:fldChar w:fldCharType="begin"/>
            </w:r>
            <w:r>
              <w:rPr>
                <w:color w:val="auto"/>
                <w:highlight w:val="none"/>
              </w:rPr>
              <w:instrText xml:space="preserve"> HYPERLINK "http://baike.baidu.com/view/8707.htm" \t "_blank" </w:instrText>
            </w:r>
            <w:r>
              <w:rPr>
                <w:color w:val="auto"/>
                <w:highlight w:val="none"/>
              </w:rPr>
              <w:fldChar w:fldCharType="separate"/>
            </w:r>
            <w:r>
              <w:rPr>
                <w:rFonts w:hint="eastAsia" w:ascii="宋体" w:hAnsi="宋体" w:cs="宋体"/>
                <w:color w:val="auto"/>
                <w:szCs w:val="24"/>
                <w:highlight w:val="none"/>
              </w:rPr>
              <w:t>招标</w:t>
            </w:r>
            <w:r>
              <w:rPr>
                <w:rFonts w:hint="eastAsia" w:ascii="宋体" w:hAnsi="宋体" w:cs="宋体"/>
                <w:color w:val="auto"/>
                <w:szCs w:val="24"/>
                <w:highlight w:val="none"/>
              </w:rPr>
              <w:fldChar w:fldCharType="end"/>
            </w:r>
            <w:r>
              <w:rPr>
                <w:rFonts w:hint="eastAsia" w:ascii="宋体" w:hAnsi="宋体" w:cs="宋体"/>
                <w:color w:val="auto"/>
                <w:szCs w:val="24"/>
                <w:highlight w:val="none"/>
              </w:rPr>
              <w:t>并且符合招标文件规定资格条件和参加投标竞争的法人或其他组织。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5</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交货期、交货地点</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交货期：</w:t>
            </w:r>
            <w:r>
              <w:rPr>
                <w:rFonts w:hint="eastAsia" w:ascii="宋体" w:hAnsi="宋体" w:cs="宋体"/>
                <w:color w:val="auto"/>
                <w:highlight w:val="none"/>
              </w:rPr>
              <w:t>自合同签订之日起</w:t>
            </w:r>
            <w:r>
              <w:rPr>
                <w:rFonts w:hint="eastAsia" w:ascii="宋体" w:hAnsi="宋体" w:cs="宋体"/>
                <w:color w:val="auto"/>
                <w:highlight w:val="none"/>
                <w:u w:val="none"/>
                <w:lang w:val="en-US" w:eastAsia="zh-CN"/>
              </w:rPr>
              <w:t>30</w:t>
            </w:r>
            <w:r>
              <w:rPr>
                <w:rFonts w:hint="eastAsia" w:ascii="宋体" w:hAnsi="宋体" w:cs="宋体"/>
                <w:color w:val="auto"/>
                <w:highlight w:val="none"/>
              </w:rPr>
              <w:t>个日历日</w:t>
            </w:r>
            <w:r>
              <w:rPr>
                <w:rFonts w:hint="eastAsia" w:ascii="宋体" w:hAnsi="宋体" w:cs="宋体"/>
                <w:color w:val="auto"/>
                <w:highlight w:val="none"/>
                <w:lang w:eastAsia="zh-CN"/>
              </w:rPr>
              <w:t>完成建设</w:t>
            </w:r>
          </w:p>
          <w:p>
            <w:pPr>
              <w:spacing w:line="400" w:lineRule="exact"/>
              <w:rPr>
                <w:rFonts w:ascii="宋体" w:hAnsi="宋体" w:cs="宋体"/>
                <w:color w:val="auto"/>
                <w:szCs w:val="24"/>
                <w:highlight w:val="none"/>
              </w:rPr>
            </w:pPr>
            <w:r>
              <w:rPr>
                <w:rFonts w:hint="eastAsia" w:ascii="宋体" w:hAnsi="宋体" w:cs="宋体"/>
                <w:color w:val="auto"/>
                <w:szCs w:val="24"/>
                <w:highlight w:val="none"/>
              </w:rPr>
              <w:t>交货地点：</w:t>
            </w:r>
            <w:r>
              <w:rPr>
                <w:rFonts w:hint="eastAsia" w:ascii="宋体" w:hAnsi="宋体" w:cs="宋体"/>
                <w:color w:val="auto"/>
                <w:highlight w:val="none"/>
                <w:lang w:eastAsia="zh-CN"/>
              </w:rPr>
              <w:t>黄龙县人民医院</w:t>
            </w:r>
            <w:r>
              <w:rPr>
                <w:rFonts w:hint="eastAsia" w:ascii="宋体" w:hAnsi="宋体" w:cs="宋体"/>
                <w:color w:val="auto"/>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6</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联合体投标</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7</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现场勘查、标前答疑会</w:t>
            </w:r>
          </w:p>
        </w:tc>
        <w:tc>
          <w:tcPr>
            <w:tcW w:w="6662" w:type="dxa"/>
            <w:vAlign w:val="center"/>
          </w:tcPr>
          <w:p>
            <w:pPr>
              <w:spacing w:line="400" w:lineRule="exact"/>
              <w:rPr>
                <w:rFonts w:ascii="宋体" w:hAnsi="宋体" w:cs="宋体"/>
                <w:color w:val="auto"/>
                <w:szCs w:val="24"/>
                <w:highlight w:val="none"/>
              </w:rPr>
            </w:pPr>
            <w:r>
              <w:rPr>
                <w:rFonts w:hint="eastAsia" w:ascii="宋体" w:hAnsi="宋体" w:cs="宋体"/>
                <w:color w:val="auto"/>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8</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投标人对招标文件提出质疑的时间</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投标人认为招标文件使自己的权益受到损害的，在收到采购文件之日起七个工作日内，以书面形式向采购代理机构提出质疑，逾期提出的无效，因此带来的一切不利后果由投标人自负。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9</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构成招标文件的其他文件</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10</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投标有效期</w:t>
            </w:r>
          </w:p>
        </w:tc>
        <w:tc>
          <w:tcPr>
            <w:tcW w:w="6662" w:type="dxa"/>
          </w:tcPr>
          <w:p>
            <w:pPr>
              <w:spacing w:line="400" w:lineRule="exact"/>
              <w:rPr>
                <w:rFonts w:ascii="宋体" w:hAnsi="宋体" w:cs="宋体"/>
                <w:color w:val="auto"/>
                <w:szCs w:val="24"/>
                <w:highlight w:val="none"/>
              </w:rPr>
            </w:pPr>
            <w:r>
              <w:rPr>
                <w:rFonts w:hint="eastAsia" w:ascii="宋体" w:hAnsi="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11</w:t>
            </w:r>
          </w:p>
        </w:tc>
        <w:tc>
          <w:tcPr>
            <w:tcW w:w="2552" w:type="dxa"/>
            <w:vAlign w:val="center"/>
          </w:tcPr>
          <w:p>
            <w:pPr>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汇款账户</w:t>
            </w:r>
          </w:p>
        </w:tc>
        <w:tc>
          <w:tcPr>
            <w:tcW w:w="6662" w:type="dxa"/>
          </w:tcPr>
          <w:p>
            <w:pPr>
              <w:pStyle w:val="148"/>
              <w:spacing w:line="400" w:lineRule="exact"/>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1.开户行名称：陕西上德招标有限公司</w:t>
            </w:r>
          </w:p>
          <w:p>
            <w:pPr>
              <w:pStyle w:val="148"/>
              <w:spacing w:line="400" w:lineRule="exact"/>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2.开  户  行：中信银行西安南稍门支行</w:t>
            </w:r>
          </w:p>
          <w:p>
            <w:pPr>
              <w:pStyle w:val="148"/>
              <w:spacing w:line="400" w:lineRule="exact"/>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3.帐      号：8111 7010 1170 0299 237</w:t>
            </w:r>
          </w:p>
          <w:p>
            <w:pPr>
              <w:pStyle w:val="148"/>
              <w:spacing w:line="400" w:lineRule="exact"/>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财务部联系方式：029-86673953、029-86518381、029-89299829、029-89293231 转8033</w:t>
            </w:r>
          </w:p>
          <w:p>
            <w:pPr>
              <w:pStyle w:val="148"/>
              <w:spacing w:line="400" w:lineRule="exact"/>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备注：投标人在汇款（招标代理服务费）时须注明项目编号+项目简称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12</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备选投标方案</w:t>
            </w:r>
          </w:p>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和报价</w:t>
            </w:r>
          </w:p>
        </w:tc>
        <w:tc>
          <w:tcPr>
            <w:tcW w:w="6662" w:type="dxa"/>
            <w:vAlign w:val="center"/>
          </w:tcPr>
          <w:p>
            <w:pPr>
              <w:tabs>
                <w:tab w:val="left" w:pos="7013"/>
              </w:tabs>
              <w:spacing w:line="400" w:lineRule="exact"/>
              <w:rPr>
                <w:rFonts w:ascii="宋体" w:hAnsi="宋体" w:cs="宋体"/>
                <w:color w:val="auto"/>
                <w:szCs w:val="24"/>
                <w:highlight w:val="none"/>
              </w:rPr>
            </w:pPr>
            <w:r>
              <w:rPr>
                <w:rFonts w:hint="eastAsia" w:ascii="宋体" w:hAnsi="宋体" w:cs="宋体"/>
                <w:color w:val="auto"/>
                <w:szCs w:val="24"/>
                <w:highlight w:val="none"/>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13</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盖章签字</w:t>
            </w:r>
          </w:p>
        </w:tc>
        <w:tc>
          <w:tcPr>
            <w:tcW w:w="6662" w:type="dxa"/>
            <w:vAlign w:val="center"/>
          </w:tcPr>
          <w:p>
            <w:pPr>
              <w:numPr>
                <w:ilvl w:val="0"/>
                <w:numId w:val="1"/>
              </w:numPr>
              <w:spacing w:line="400" w:lineRule="exact"/>
              <w:rPr>
                <w:rFonts w:ascii="宋体" w:hAnsi="宋体" w:cs="宋体"/>
                <w:color w:val="auto"/>
                <w:highlight w:val="none"/>
              </w:rPr>
            </w:pPr>
            <w:r>
              <w:rPr>
                <w:rFonts w:hint="eastAsia" w:ascii="宋体" w:hAnsi="宋体" w:cs="宋体"/>
                <w:color w:val="auto"/>
                <w:highlight w:val="none"/>
              </w:rPr>
              <w:t>电子投标文件制作过程中，需要法定代表人签字或盖章的地方，请使用“法人CA锁”进行签章；需要加盖供应商公章的地方，请使用“企业CA锁”进行签章。</w:t>
            </w:r>
          </w:p>
          <w:p>
            <w:pPr>
              <w:numPr>
                <w:ilvl w:val="0"/>
                <w:numId w:val="1"/>
              </w:numPr>
              <w:spacing w:line="400" w:lineRule="exact"/>
              <w:rPr>
                <w:rFonts w:ascii="宋体" w:hAnsi="宋体" w:cs="宋体"/>
                <w:color w:val="auto"/>
                <w:szCs w:val="24"/>
                <w:highlight w:val="none"/>
              </w:rPr>
            </w:pPr>
            <w:r>
              <w:rPr>
                <w:rFonts w:hint="eastAsia" w:ascii="宋体" w:hAnsi="宋体" w:cs="宋体"/>
                <w:color w:val="auto"/>
                <w:highlight w:val="none"/>
              </w:rPr>
              <w:t>投标人必须按照招标文件的规定和要求在投标文件中指定的页面落款处加盖公章（鲜章）并由法定代表人签字（或盖章）。招标文件凡是要求法定代表人签字或盖章之处，非法人单位的负责人均参照执行。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14</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投标文件份数</w:t>
            </w:r>
          </w:p>
        </w:tc>
        <w:tc>
          <w:tcPr>
            <w:tcW w:w="6662" w:type="dxa"/>
            <w:vAlign w:val="center"/>
          </w:tcPr>
          <w:p>
            <w:pPr>
              <w:spacing w:line="400" w:lineRule="exact"/>
              <w:rPr>
                <w:rFonts w:ascii="宋体" w:hAnsi="宋体" w:cs="宋体"/>
                <w:color w:val="auto"/>
                <w:szCs w:val="24"/>
                <w:highlight w:val="none"/>
              </w:rPr>
            </w:pPr>
            <w:r>
              <w:rPr>
                <w:rFonts w:hint="eastAsia" w:ascii="宋体" w:hAnsi="宋体" w:cs="宋体"/>
                <w:color w:val="auto"/>
                <w:szCs w:val="24"/>
                <w:highlight w:val="none"/>
              </w:rPr>
              <w:t>投标供应商无需提供；</w:t>
            </w:r>
          </w:p>
          <w:p>
            <w:pPr>
              <w:spacing w:line="400" w:lineRule="exact"/>
              <w:rPr>
                <w:rFonts w:ascii="宋体" w:hAnsi="宋体" w:cs="宋体"/>
                <w:color w:val="auto"/>
                <w:szCs w:val="24"/>
                <w:highlight w:val="none"/>
              </w:rPr>
            </w:pPr>
            <w:r>
              <w:rPr>
                <w:rFonts w:hint="eastAsia" w:ascii="宋体" w:hAnsi="宋体" w:cs="宋体"/>
                <w:color w:val="auto"/>
                <w:szCs w:val="24"/>
                <w:highlight w:val="none"/>
              </w:rPr>
              <w:t>中标供应商在领取中标通知书时提供一正两副纸质投标文件及电子投标文件一份（U盘或移动硬盘；电子投标文件为Word版本和PDF版本，PDF文件为签字、盖章的完整正本扫描件）。</w:t>
            </w:r>
          </w:p>
          <w:p>
            <w:pPr>
              <w:spacing w:line="400" w:lineRule="exact"/>
              <w:rPr>
                <w:rFonts w:ascii="宋体" w:hAnsi="宋体" w:cs="宋体"/>
                <w:color w:val="auto"/>
                <w:szCs w:val="24"/>
                <w:highlight w:val="none"/>
              </w:rPr>
            </w:pPr>
            <w:r>
              <w:rPr>
                <w:rFonts w:hint="eastAsia" w:ascii="宋体" w:hAnsi="宋体" w:cs="宋体"/>
                <w:color w:val="auto"/>
                <w:szCs w:val="24"/>
                <w:highlight w:val="none"/>
              </w:rPr>
              <w:t>装订：纸质投标文件采用书籍（胶装）方式装订成册，与电子投标文件一致的签字、盖章的完整版本。</w:t>
            </w:r>
            <w:r>
              <w:rPr>
                <w:rFonts w:hint="eastAsia" w:ascii="宋体" w:hAnsi="宋体" w:cs="宋体"/>
                <w:color w:val="auto"/>
                <w:highlight w:val="none"/>
              </w:rPr>
              <w:t>投标文件正本中的法人授权书及其它资质证明文件为复印件加盖投标人公章（鲜章）。副本可以是正本的复印件。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15</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投标报价</w:t>
            </w:r>
          </w:p>
        </w:tc>
        <w:tc>
          <w:tcPr>
            <w:tcW w:w="6662" w:type="dxa"/>
            <w:vAlign w:val="center"/>
          </w:tcPr>
          <w:p>
            <w:pPr>
              <w:pStyle w:val="146"/>
              <w:spacing w:line="400" w:lineRule="exact"/>
              <w:rPr>
                <w:rFonts w:ascii="宋体" w:hAnsi="宋体" w:cs="宋体"/>
                <w:b/>
                <w:color w:val="auto"/>
                <w:kern w:val="2"/>
                <w:sz w:val="24"/>
                <w:szCs w:val="24"/>
                <w:highlight w:val="none"/>
              </w:rPr>
            </w:pPr>
            <w:r>
              <w:rPr>
                <w:rFonts w:hint="eastAsia" w:ascii="宋体" w:hAnsi="宋体" w:cs="宋体"/>
                <w:b/>
                <w:color w:val="auto"/>
                <w:kern w:val="2"/>
                <w:sz w:val="24"/>
                <w:szCs w:val="24"/>
                <w:highlight w:val="none"/>
              </w:rPr>
              <w:t>投标报价=</w:t>
            </w:r>
            <w:r>
              <w:rPr>
                <w:rFonts w:hint="eastAsia" w:ascii="宋体" w:hAnsi="宋体" w:cs="宋体"/>
                <w:b/>
                <w:color w:val="auto"/>
                <w:kern w:val="2"/>
                <w:sz w:val="24"/>
                <w:szCs w:val="24"/>
                <w:highlight w:val="none"/>
                <w:lang w:eastAsia="zh-CN"/>
              </w:rPr>
              <w:t>完成本项目所需要的所有费用</w:t>
            </w:r>
            <w:r>
              <w:rPr>
                <w:rFonts w:hint="eastAsia" w:ascii="宋体" w:hAnsi="宋体" w:cs="宋体"/>
                <w:b/>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16</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评标办法及标准</w:t>
            </w:r>
          </w:p>
        </w:tc>
        <w:tc>
          <w:tcPr>
            <w:tcW w:w="6662" w:type="dxa"/>
            <w:vAlign w:val="center"/>
          </w:tcPr>
          <w:p>
            <w:pPr>
              <w:pStyle w:val="146"/>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详见招标文件第二章。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17</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政府采购信息发布媒体</w:t>
            </w:r>
          </w:p>
        </w:tc>
        <w:tc>
          <w:tcPr>
            <w:tcW w:w="6662" w:type="dxa"/>
            <w:vAlign w:val="center"/>
          </w:tcPr>
          <w:p>
            <w:pPr>
              <w:spacing w:line="400" w:lineRule="exact"/>
              <w:rPr>
                <w:rFonts w:ascii="宋体" w:hAnsi="宋体" w:cs="宋体"/>
                <w:color w:val="auto"/>
                <w:szCs w:val="24"/>
                <w:highlight w:val="none"/>
              </w:rPr>
            </w:pPr>
            <w:r>
              <w:rPr>
                <w:rFonts w:hint="eastAsia" w:ascii="宋体" w:hAnsi="宋体" w:cs="宋体"/>
                <w:color w:val="auto"/>
                <w:szCs w:val="24"/>
                <w:highlight w:val="none"/>
              </w:rPr>
              <w:t>1．陕西省政府采购网：仅提供项目公告，官网地址：http://ccgp-shaanxi.gov.cn/。</w:t>
            </w:r>
          </w:p>
          <w:p>
            <w:pPr>
              <w:pStyle w:val="33"/>
              <w:widowControl/>
              <w:spacing w:line="400" w:lineRule="exact"/>
              <w:jc w:val="left"/>
              <w:textAlignment w:val="baseline"/>
              <w:rPr>
                <w:rFonts w:ascii="宋体" w:hAnsi="宋体" w:cs="宋体"/>
                <w:color w:val="auto"/>
                <w:highlight w:val="none"/>
              </w:rPr>
            </w:pPr>
            <w:r>
              <w:rPr>
                <w:rFonts w:hint="eastAsia" w:ascii="宋体" w:hAnsi="宋体" w:cs="宋体"/>
                <w:color w:val="auto"/>
                <w:highlight w:val="none"/>
              </w:rPr>
              <w:t>2．全国公共资源交易平台（陕西省</w:t>
            </w:r>
            <w:r>
              <w:rPr>
                <w:rFonts w:hint="eastAsia" w:ascii="宋体" w:hAnsi="宋体" w:cs="宋体"/>
                <w:color w:val="auto"/>
                <w:highlight w:val="none"/>
                <w:lang w:eastAsia="zh-CN"/>
              </w:rPr>
              <w:t>延安</w:t>
            </w:r>
            <w:r>
              <w:rPr>
                <w:rFonts w:hint="eastAsia" w:ascii="宋体" w:hAnsi="宋体" w:cs="宋体"/>
                <w:color w:val="auto"/>
                <w:highlight w:val="none"/>
              </w:rPr>
              <w:t>市）：即</w:t>
            </w:r>
            <w:r>
              <w:rPr>
                <w:rFonts w:hint="eastAsia" w:ascii="宋体" w:hAnsi="宋体" w:cs="宋体"/>
                <w:color w:val="auto"/>
                <w:highlight w:val="none"/>
                <w:lang w:eastAsia="zh-CN"/>
              </w:rPr>
              <w:t>延安</w:t>
            </w:r>
            <w:r>
              <w:rPr>
                <w:rFonts w:hint="eastAsia" w:ascii="宋体" w:hAnsi="宋体" w:cs="宋体"/>
                <w:color w:val="auto"/>
                <w:highlight w:val="none"/>
              </w:rPr>
              <w:t>市公共资源交易平台，提供项目公告和采购文件下载。官网地址：http://ya.sxggzyjy.cn/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18</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投标人注册登记</w:t>
            </w:r>
          </w:p>
        </w:tc>
        <w:tc>
          <w:tcPr>
            <w:tcW w:w="6662" w:type="dxa"/>
            <w:vAlign w:val="center"/>
          </w:tcPr>
          <w:p>
            <w:pPr>
              <w:pStyle w:val="33"/>
              <w:widowControl/>
              <w:spacing w:line="400" w:lineRule="exact"/>
              <w:jc w:val="left"/>
              <w:textAlignment w:val="baseline"/>
              <w:rPr>
                <w:rFonts w:ascii="宋体" w:hAnsi="宋体" w:cs="宋体"/>
                <w:color w:val="auto"/>
                <w:highlight w:val="none"/>
              </w:rPr>
            </w:pPr>
            <w:r>
              <w:rPr>
                <w:rStyle w:val="41"/>
                <w:rFonts w:hint="eastAsia" w:ascii="宋体" w:hAnsi="宋体" w:cs="宋体"/>
                <w:color w:val="auto"/>
                <w:highlight w:val="none"/>
                <w:shd w:val="clear" w:color="auto" w:fill="FFFFFF"/>
              </w:rPr>
              <w:t>请投标人按照陕西省财政厅关于政府采购供应商注册登记有关事项的通知中的要求，通过陕西省政府采购网（http://www.ccgp-shaanxi.gov.cn）注册登记加入陕西省政府采购供应商库。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19</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信用信息查询特别说明</w:t>
            </w:r>
          </w:p>
        </w:tc>
        <w:tc>
          <w:tcPr>
            <w:tcW w:w="6662" w:type="dxa"/>
            <w:vAlign w:val="center"/>
          </w:tcPr>
          <w:p>
            <w:pPr>
              <w:spacing w:line="400" w:lineRule="exact"/>
              <w:rPr>
                <w:rStyle w:val="41"/>
                <w:rFonts w:ascii="宋体" w:hAnsi="宋体" w:cs="宋体"/>
                <w:color w:val="auto"/>
                <w:szCs w:val="24"/>
                <w:highlight w:val="none"/>
                <w:shd w:val="clear" w:color="auto" w:fill="FFFFFF"/>
              </w:rPr>
            </w:pPr>
            <w:r>
              <w:rPr>
                <w:rFonts w:hint="eastAsia" w:ascii="宋体" w:hAnsi="宋体" w:cs="宋体"/>
                <w:color w:val="auto"/>
                <w:highlight w:val="none"/>
              </w:rPr>
              <w:t>投标人如在中标通知书发出前出现违法失信行为，招标人仍有权利提请评标委员会取消其中标资格。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20</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其它事项</w:t>
            </w:r>
          </w:p>
        </w:tc>
        <w:tc>
          <w:tcPr>
            <w:tcW w:w="6662" w:type="dxa"/>
            <w:vAlign w:val="center"/>
          </w:tcPr>
          <w:p>
            <w:pPr>
              <w:adjustRightInd w:val="0"/>
              <w:snapToGrid w:val="0"/>
              <w:spacing w:line="400" w:lineRule="exact"/>
              <w:rPr>
                <w:rFonts w:ascii="宋体" w:hAnsi="宋体" w:cs="宋体"/>
                <w:color w:val="auto"/>
                <w:szCs w:val="24"/>
                <w:highlight w:val="none"/>
              </w:rPr>
            </w:pPr>
            <w:r>
              <w:rPr>
                <w:rFonts w:hint="eastAsia" w:ascii="宋体" w:hAnsi="宋体" w:cs="宋体"/>
                <w:color w:val="auto"/>
                <w:szCs w:val="24"/>
                <w:highlight w:val="none"/>
              </w:rPr>
              <w:t>1.本次采购、投标报价、评审和合同授予均以项目为单位，投标人必须就一个完整项目进行响应。中标人与采购人在中标通知书发出25天内签订合同，不及时签订视为自动放弃。本项目不允许中标后另行转包或者分包。中标人无正当理由不得放弃中标。因自身原因拒绝签订政府采购合同的或者未按合同约定进行履约的，中标人不得参加对该项目重新开展的招标活动。</w:t>
            </w:r>
          </w:p>
          <w:p>
            <w:pPr>
              <w:adjustRightInd w:val="0"/>
              <w:snapToGrid w:val="0"/>
              <w:spacing w:line="400" w:lineRule="exact"/>
              <w:rPr>
                <w:rFonts w:ascii="宋体" w:hAnsi="宋体" w:cs="宋体"/>
                <w:color w:val="auto"/>
                <w:szCs w:val="24"/>
                <w:highlight w:val="none"/>
              </w:rPr>
            </w:pPr>
            <w:r>
              <w:rPr>
                <w:rFonts w:hint="eastAsia" w:ascii="宋体" w:hAnsi="宋体" w:cs="宋体"/>
                <w:color w:val="auto"/>
                <w:szCs w:val="24"/>
                <w:highlight w:val="none"/>
              </w:rPr>
              <w:t>2.已免费领取招标文件的投标人，如不参与项目投标活动，应在递投标文件截止时间前一天以书面形式告知采购代理机构。否则，采购代理机构可以向财政部门反应情况并提供相应佐证。投标人一年内累计出现三次该情形，将被监管部门记录为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highlight w:val="none"/>
              </w:rPr>
              <w:t>22</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本项目是否专门面向中小企业</w:t>
            </w:r>
          </w:p>
        </w:tc>
        <w:tc>
          <w:tcPr>
            <w:tcW w:w="6662" w:type="dxa"/>
            <w:vAlign w:val="center"/>
          </w:tcPr>
          <w:p>
            <w:pPr>
              <w:pStyle w:val="146"/>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highlight w:val="none"/>
              </w:rPr>
              <w:t>24</w:t>
            </w:r>
          </w:p>
        </w:tc>
        <w:tc>
          <w:tcPr>
            <w:tcW w:w="2552" w:type="dxa"/>
            <w:vAlign w:val="center"/>
          </w:tcPr>
          <w:p>
            <w:pPr>
              <w:spacing w:line="400" w:lineRule="exact"/>
              <w:jc w:val="center"/>
              <w:rPr>
                <w:rFonts w:ascii="宋体" w:hAnsi="宋体" w:cs="宋体"/>
                <w:color w:val="auto"/>
                <w:szCs w:val="24"/>
                <w:highlight w:val="none"/>
              </w:rPr>
            </w:pPr>
            <w:r>
              <w:rPr>
                <w:rFonts w:hint="eastAsia" w:ascii="宋体" w:hAnsi="宋体" w:cs="宋体"/>
                <w:color w:val="auto"/>
                <w:szCs w:val="24"/>
                <w:highlight w:val="none"/>
              </w:rPr>
              <w:t>采购标的对应的中小企业划分标准所属行业</w:t>
            </w:r>
          </w:p>
        </w:tc>
        <w:tc>
          <w:tcPr>
            <w:tcW w:w="6662" w:type="dxa"/>
            <w:vAlign w:val="center"/>
          </w:tcPr>
          <w:p>
            <w:pPr>
              <w:pStyle w:val="146"/>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shd w:val="clear" w:fill="FFFFFF"/>
              </w:rPr>
              <w:t>软件和信息技术服务业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25</w:t>
            </w:r>
          </w:p>
        </w:tc>
        <w:tc>
          <w:tcPr>
            <w:tcW w:w="2552" w:type="dxa"/>
            <w:vAlign w:val="center"/>
          </w:tcPr>
          <w:p>
            <w:pPr>
              <w:jc w:val="center"/>
              <w:rPr>
                <w:rFonts w:hint="eastAsia" w:ascii="宋体" w:hAnsi="宋体" w:cs="宋体"/>
                <w:color w:val="auto"/>
                <w:szCs w:val="24"/>
                <w:highlight w:val="none"/>
              </w:rPr>
            </w:pPr>
            <w:r>
              <w:rPr>
                <w:rFonts w:hint="eastAsia" w:ascii="宋体" w:hAnsi="宋体"/>
                <w:sz w:val="24"/>
                <w:lang w:val="en-US" w:eastAsia="zh-CN"/>
              </w:rPr>
              <w:t>投标保证金/履约保证金</w:t>
            </w:r>
          </w:p>
        </w:tc>
        <w:tc>
          <w:tcPr>
            <w:tcW w:w="6662" w:type="dxa"/>
            <w:vAlign w:val="center"/>
          </w:tcPr>
          <w:p>
            <w:pPr>
              <w:pStyle w:val="146"/>
              <w:spacing w:line="460" w:lineRule="exac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sz w:val="24"/>
                <w:szCs w:val="24"/>
                <w:lang w:val="en-US" w:eastAsia="zh-CN"/>
              </w:rPr>
              <w:t>无</w:t>
            </w:r>
          </w:p>
        </w:tc>
      </w:tr>
    </w:tbl>
    <w:p>
      <w:pPr>
        <w:pStyle w:val="4"/>
        <w:spacing w:before="0" w:after="0" w:line="480" w:lineRule="exact"/>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br w:type="page"/>
      </w:r>
      <w:bookmarkStart w:id="12" w:name="_Toc18888"/>
      <w:r>
        <w:rPr>
          <w:rFonts w:hint="eastAsia" w:ascii="宋体" w:hAnsi="宋体" w:eastAsia="宋体" w:cs="宋体"/>
          <w:color w:val="auto"/>
          <w:kern w:val="0"/>
          <w:sz w:val="28"/>
          <w:szCs w:val="28"/>
          <w:highlight w:val="none"/>
        </w:rPr>
        <w:t>二、项目说明</w:t>
      </w:r>
      <w:bookmarkEnd w:id="12"/>
    </w:p>
    <w:p>
      <w:pPr>
        <w:spacing w:line="480" w:lineRule="exact"/>
        <w:ind w:firstLine="570"/>
        <w:rPr>
          <w:rFonts w:ascii="宋体" w:hAnsi="宋体" w:cs="宋体"/>
          <w:color w:val="auto"/>
          <w:kern w:val="0"/>
          <w:szCs w:val="24"/>
          <w:highlight w:val="none"/>
        </w:rPr>
      </w:pPr>
      <w:r>
        <w:rPr>
          <w:rFonts w:hint="eastAsia" w:ascii="宋体" w:hAnsi="宋体" w:cs="宋体"/>
          <w:color w:val="auto"/>
          <w:kern w:val="0"/>
          <w:szCs w:val="24"/>
          <w:highlight w:val="none"/>
        </w:rPr>
        <w:t>1.本项目说明详见投标人须知前附表。</w:t>
      </w:r>
      <w:bookmarkStart w:id="13" w:name="_Toc458617732"/>
      <w:bookmarkStart w:id="14" w:name="_Toc458617455"/>
    </w:p>
    <w:p>
      <w:pPr>
        <w:spacing w:line="480" w:lineRule="exact"/>
        <w:ind w:firstLine="570"/>
        <w:rPr>
          <w:rFonts w:ascii="宋体" w:hAnsi="宋体" w:cs="宋体"/>
          <w:color w:val="auto"/>
          <w:kern w:val="0"/>
          <w:szCs w:val="24"/>
          <w:highlight w:val="none"/>
        </w:rPr>
      </w:pPr>
      <w:r>
        <w:rPr>
          <w:rFonts w:hint="eastAsia" w:ascii="宋体" w:hAnsi="宋体" w:cs="宋体"/>
          <w:color w:val="auto"/>
          <w:kern w:val="0"/>
          <w:szCs w:val="24"/>
          <w:highlight w:val="none"/>
        </w:rPr>
        <w:t>2.本项目按照《中华人民共和国政府采购法》等有关法律、行政法规和部门规章，通过公开招标方式择优选定中标人。</w:t>
      </w:r>
    </w:p>
    <w:bookmarkEnd w:id="13"/>
    <w:bookmarkEnd w:id="14"/>
    <w:p>
      <w:pPr>
        <w:pStyle w:val="4"/>
        <w:spacing w:before="0" w:after="0" w:line="480" w:lineRule="exact"/>
        <w:rPr>
          <w:rFonts w:ascii="宋体" w:hAnsi="宋体" w:eastAsia="宋体" w:cs="宋体"/>
          <w:color w:val="auto"/>
          <w:kern w:val="0"/>
          <w:sz w:val="28"/>
          <w:szCs w:val="28"/>
          <w:highlight w:val="none"/>
        </w:rPr>
      </w:pPr>
      <w:bookmarkStart w:id="15" w:name="_Toc458617456"/>
      <w:bookmarkStart w:id="16" w:name="_Toc20458"/>
      <w:bookmarkStart w:id="17" w:name="_Toc458617733"/>
      <w:r>
        <w:rPr>
          <w:rFonts w:hint="eastAsia" w:ascii="宋体" w:hAnsi="宋体" w:eastAsia="宋体" w:cs="宋体"/>
          <w:color w:val="auto"/>
          <w:kern w:val="0"/>
          <w:sz w:val="28"/>
          <w:szCs w:val="28"/>
          <w:highlight w:val="none"/>
        </w:rPr>
        <w:t>三、招标文件</w:t>
      </w:r>
      <w:bookmarkEnd w:id="15"/>
      <w:bookmarkEnd w:id="16"/>
      <w:bookmarkEnd w:id="17"/>
    </w:p>
    <w:p>
      <w:pPr>
        <w:spacing w:line="480" w:lineRule="exact"/>
        <w:ind w:firstLine="480" w:firstLineChars="200"/>
        <w:rPr>
          <w:rFonts w:ascii="宋体" w:hAnsi="宋体" w:cs="宋体"/>
          <w:color w:val="auto"/>
          <w:szCs w:val="24"/>
          <w:highlight w:val="none"/>
        </w:rPr>
      </w:pPr>
      <w:bookmarkStart w:id="18" w:name="_Toc458617457"/>
      <w:bookmarkStart w:id="19" w:name="_Toc458617734"/>
      <w:r>
        <w:rPr>
          <w:rFonts w:hint="eastAsia" w:ascii="宋体" w:hAnsi="宋体" w:cs="宋体"/>
          <w:color w:val="auto"/>
          <w:szCs w:val="24"/>
          <w:highlight w:val="none"/>
        </w:rPr>
        <w:t>1.招标文件适用：仅适用于本次招标文件所述项目。</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2.招标文件获取：投标人须从全国公共资源交易平台（</w:t>
      </w:r>
      <w:r>
        <w:rPr>
          <w:rFonts w:hint="eastAsia" w:ascii="宋体" w:hAnsi="宋体" w:cs="宋体"/>
          <w:color w:val="auto"/>
          <w:szCs w:val="24"/>
          <w:highlight w:val="none"/>
          <w:lang w:eastAsia="zh-CN"/>
        </w:rPr>
        <w:t>陕西省·延安市</w:t>
      </w:r>
      <w:r>
        <w:rPr>
          <w:rFonts w:hint="eastAsia" w:ascii="宋体" w:hAnsi="宋体" w:cs="宋体"/>
          <w:color w:val="auto"/>
          <w:szCs w:val="24"/>
          <w:highlight w:val="none"/>
        </w:rPr>
        <w:t>）网站〖首页〉电子交易平台〉政府采购交易系统〉企业端〗自行下载招标文件，投标人自行转让招标文件视为无效招标文件。投标人名称与登记获取招标文件的单位名称不一致的，将作为无效投标处理。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3.招标文件的组成：包括目录中所列的前五章。 </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4.投标人应认真审阅和充分理解招标文件所有的事项、格式、条款和规范要求等，在投标文件中对招标文件的各方面都做出响应，否则将导致投标无效。</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5.招标文件的澄清或修改：</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5.1采购人或采购代理机构可以以书面形式对招标文件进行必要的澄清或修改，但不得改变采购标的和资格条件，并在原信息发布媒体上发布变更公告。澄清或修改的内容均为招标文件的组成部分，并对采购人及投标人起约束作用。澄清或修改的内容可能影响投标文件编制的，都将于提交投标文件截止时间15日前以书面形式通知所有获取招标文件的潜在投标人；不足15日的，采购人或者采购代理机构应当顺延提交投标文件的截止时间。</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5.2招标文件的澄清或修改内容均以书面形式明确的内容为准。当招标文件的澄清、修改、补充等在同一内容的表述上不一致时，以最后发出的书面文件为准。所有补充文件将作为招标文件的组成部分，对所有投标人具有约束力。</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6.投标人若对招标文件有任何疑问，可以以书面形式向采购代理机构提出询问。否则，视为同意招标文件的一切条款和要求并承担由此引起的一切法律责任。凡因投标人对招标文件阅读不深、理解不透、误解、疏漏、或因市场行情了解不清造成的后果和风险均由投标人自负。</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7.投标人认为招标文件使自己的权益受到损害的，在收到采购文件之日</w:t>
      </w:r>
      <w:r>
        <w:rPr>
          <w:rFonts w:hint="eastAsia" w:ascii="宋体" w:hAnsi="宋体" w:cs="宋体"/>
          <w:color w:val="auto"/>
          <w:kern w:val="0"/>
          <w:szCs w:val="24"/>
          <w:highlight w:val="none"/>
        </w:rPr>
        <w:t>起七个工作日内，</w:t>
      </w:r>
      <w:r>
        <w:rPr>
          <w:rFonts w:hint="eastAsia" w:ascii="宋体" w:hAnsi="宋体" w:cs="宋体"/>
          <w:color w:val="auto"/>
          <w:szCs w:val="24"/>
          <w:highlight w:val="none"/>
        </w:rPr>
        <w:t>以书面形式向采购代理机构提出质疑，逾期提出的无效，</w:t>
      </w:r>
      <w:bookmarkStart w:id="20" w:name="OLE_LINK6"/>
      <w:r>
        <w:rPr>
          <w:rFonts w:hint="eastAsia" w:ascii="宋体" w:hAnsi="宋体" w:cs="宋体"/>
          <w:color w:val="auto"/>
          <w:szCs w:val="24"/>
          <w:highlight w:val="none"/>
        </w:rPr>
        <w:t>因此带来的一切不利后果由投标人自负。</w:t>
      </w:r>
      <w:bookmarkEnd w:id="20"/>
    </w:p>
    <w:p>
      <w:pPr>
        <w:kinsoku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8.在投标截止时间前，根据招标工作进展实际情况，采购人可酌情延长提交投标文件的截止时间，若延长将另行以书面形式通知各投标人并在原信息发布媒体上发布变更公告。</w:t>
      </w:r>
      <w:bookmarkStart w:id="21" w:name="OLE_LINK7"/>
      <w:r>
        <w:rPr>
          <w:rFonts w:hint="eastAsia" w:ascii="宋体" w:hAnsi="宋体" w:cs="宋体"/>
          <w:color w:val="auto"/>
          <w:szCs w:val="24"/>
          <w:highlight w:val="none"/>
        </w:rPr>
        <w:t>采购代理机构和投标人的权利和义务将受到新的截止期的约束。</w:t>
      </w:r>
    </w:p>
    <w:bookmarkEnd w:id="21"/>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9.招标文件的解释权归采购代理机构，如发现招标文件内容与现行法律法规不相符的情况，以现行法律法规为准。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10.现场勘查、标前答疑会：见须知前附表。</w:t>
      </w:r>
    </w:p>
    <w:p>
      <w:pPr>
        <w:pStyle w:val="4"/>
        <w:spacing w:before="0" w:after="0" w:line="480" w:lineRule="exact"/>
        <w:rPr>
          <w:rFonts w:ascii="宋体" w:hAnsi="宋体" w:eastAsia="宋体" w:cs="宋体"/>
          <w:color w:val="auto"/>
          <w:kern w:val="0"/>
          <w:sz w:val="28"/>
          <w:szCs w:val="28"/>
          <w:highlight w:val="none"/>
        </w:rPr>
      </w:pPr>
      <w:bookmarkStart w:id="22" w:name="_Toc22100"/>
      <w:r>
        <w:rPr>
          <w:rFonts w:hint="eastAsia" w:ascii="宋体" w:hAnsi="宋体" w:eastAsia="宋体" w:cs="宋体"/>
          <w:color w:val="auto"/>
          <w:kern w:val="0"/>
          <w:sz w:val="28"/>
          <w:szCs w:val="28"/>
          <w:highlight w:val="none"/>
        </w:rPr>
        <w:t>四、投标文件</w:t>
      </w:r>
      <w:bookmarkEnd w:id="18"/>
      <w:bookmarkEnd w:id="19"/>
      <w:bookmarkEnd w:id="22"/>
    </w:p>
    <w:p>
      <w:pPr>
        <w:spacing w:line="48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 xml:space="preserve">1.投标文件的组成 </w:t>
      </w:r>
    </w:p>
    <w:p>
      <w:pPr>
        <w:spacing w:line="48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1.1投标函（格式）</w:t>
      </w:r>
    </w:p>
    <w:p>
      <w:pPr>
        <w:spacing w:line="48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1.2开标一览表（格式）</w:t>
      </w:r>
    </w:p>
    <w:p>
      <w:pPr>
        <w:spacing w:line="48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1.3分项</w:t>
      </w:r>
      <w:r>
        <w:rPr>
          <w:rFonts w:hint="eastAsia" w:ascii="宋体" w:hAnsi="宋体" w:cs="宋体"/>
          <w:color w:val="auto"/>
          <w:highlight w:val="none"/>
        </w:rPr>
        <w:t>报价表</w:t>
      </w:r>
      <w:r>
        <w:rPr>
          <w:rFonts w:hint="eastAsia" w:ascii="宋体" w:hAnsi="宋体" w:cs="宋体"/>
          <w:color w:val="auto"/>
          <w:szCs w:val="24"/>
          <w:highlight w:val="none"/>
        </w:rPr>
        <w:t>（格式）</w:t>
      </w:r>
    </w:p>
    <w:p>
      <w:pPr>
        <w:spacing w:line="480" w:lineRule="exact"/>
        <w:ind w:firstLine="470" w:firstLineChars="196"/>
        <w:rPr>
          <w:rFonts w:ascii="宋体" w:hAnsi="宋体" w:cs="宋体"/>
          <w:color w:val="auto"/>
          <w:highlight w:val="none"/>
        </w:rPr>
      </w:pPr>
      <w:r>
        <w:rPr>
          <w:rFonts w:hint="eastAsia" w:ascii="宋体" w:hAnsi="宋体" w:cs="宋体"/>
          <w:color w:val="auto"/>
          <w:szCs w:val="24"/>
          <w:highlight w:val="none"/>
        </w:rPr>
        <w:t>1.4节能环保、环境标志产品明细表</w:t>
      </w:r>
      <w:r>
        <w:rPr>
          <w:rFonts w:hint="eastAsia" w:ascii="宋体" w:hAnsi="宋体" w:cs="宋体"/>
          <w:color w:val="auto"/>
          <w:highlight w:val="none"/>
        </w:rPr>
        <w:t>（格式，若有）</w:t>
      </w:r>
    </w:p>
    <w:p>
      <w:pPr>
        <w:spacing w:line="480" w:lineRule="exact"/>
        <w:rPr>
          <w:rFonts w:ascii="宋体" w:hAnsi="宋体" w:cs="宋体"/>
          <w:color w:val="auto"/>
          <w:kern w:val="0"/>
          <w:szCs w:val="24"/>
          <w:highlight w:val="none"/>
        </w:rPr>
      </w:pPr>
      <w:r>
        <w:rPr>
          <w:rFonts w:hint="eastAsia" w:ascii="宋体" w:hAnsi="宋体" w:cs="宋体"/>
          <w:color w:val="auto"/>
          <w:kern w:val="0"/>
          <w:szCs w:val="24"/>
          <w:highlight w:val="none"/>
        </w:rPr>
        <w:t xml:space="preserve">    要求：</w:t>
      </w:r>
      <w:r>
        <w:rPr>
          <w:rFonts w:hint="eastAsia" w:ascii="宋体" w:hAnsi="宋体" w:cs="宋体"/>
          <w:color w:val="auto"/>
          <w:szCs w:val="21"/>
          <w:highlight w:val="none"/>
          <w:lang w:val="zh-CN"/>
        </w:rPr>
        <w:t>如投标产品为节能环保、环境标志产品，须按格式逐项填写，并附相关认证证书，否则评审时不予计分。</w:t>
      </w:r>
    </w:p>
    <w:p>
      <w:pPr>
        <w:spacing w:line="480" w:lineRule="exact"/>
        <w:ind w:firstLine="470" w:firstLineChars="196"/>
        <w:rPr>
          <w:rFonts w:ascii="宋体" w:hAnsi="宋体" w:cs="宋体"/>
          <w:color w:val="auto"/>
          <w:kern w:val="0"/>
          <w:szCs w:val="24"/>
          <w:highlight w:val="none"/>
        </w:rPr>
      </w:pPr>
      <w:r>
        <w:rPr>
          <w:rFonts w:hint="eastAsia" w:ascii="宋体" w:hAnsi="宋体" w:cs="宋体"/>
          <w:color w:val="auto"/>
          <w:kern w:val="0"/>
          <w:szCs w:val="24"/>
          <w:highlight w:val="none"/>
        </w:rPr>
        <w:t>1.5</w:t>
      </w:r>
      <w:r>
        <w:rPr>
          <w:rFonts w:hint="eastAsia" w:ascii="宋体" w:hAnsi="宋体" w:cs="宋体"/>
          <w:color w:val="auto"/>
          <w:szCs w:val="24"/>
          <w:highlight w:val="none"/>
        </w:rPr>
        <w:t>技术规格响应偏离表</w:t>
      </w:r>
      <w:r>
        <w:rPr>
          <w:rFonts w:hint="eastAsia" w:ascii="宋体" w:hAnsi="宋体" w:cs="宋体"/>
          <w:color w:val="auto"/>
          <w:kern w:val="0"/>
          <w:szCs w:val="24"/>
          <w:highlight w:val="none"/>
        </w:rPr>
        <w:t>（格式）</w:t>
      </w:r>
    </w:p>
    <w:p>
      <w:pPr>
        <w:spacing w:line="480" w:lineRule="exact"/>
        <w:ind w:left="470"/>
        <w:rPr>
          <w:rFonts w:ascii="宋体" w:hAnsi="宋体" w:cs="宋体"/>
          <w:color w:val="auto"/>
          <w:kern w:val="0"/>
          <w:szCs w:val="24"/>
          <w:highlight w:val="none"/>
        </w:rPr>
      </w:pPr>
      <w:r>
        <w:rPr>
          <w:rFonts w:hint="eastAsia" w:ascii="宋体" w:hAnsi="宋体" w:cs="宋体"/>
          <w:color w:val="auto"/>
          <w:kern w:val="0"/>
          <w:szCs w:val="24"/>
          <w:highlight w:val="none"/>
        </w:rPr>
        <w:t>1.5.1对应招标文件《采购内容及技术要求》，按实际技术参数逐条填写。</w:t>
      </w:r>
    </w:p>
    <w:p>
      <w:pPr>
        <w:spacing w:line="480" w:lineRule="exact"/>
        <w:ind w:left="470"/>
        <w:rPr>
          <w:rFonts w:ascii="宋体" w:hAnsi="宋体" w:cs="宋体"/>
          <w:color w:val="auto"/>
          <w:kern w:val="0"/>
          <w:szCs w:val="24"/>
          <w:highlight w:val="none"/>
        </w:rPr>
      </w:pPr>
      <w:r>
        <w:rPr>
          <w:rFonts w:hint="eastAsia" w:ascii="宋体" w:hAnsi="宋体" w:cs="宋体"/>
          <w:color w:val="auto"/>
          <w:kern w:val="0"/>
          <w:szCs w:val="24"/>
          <w:highlight w:val="none"/>
        </w:rPr>
        <w:t>1.5.2明确填写偏离情况并做出详细说明。</w:t>
      </w:r>
    </w:p>
    <w:p>
      <w:pPr>
        <w:spacing w:line="480" w:lineRule="exact"/>
        <w:ind w:firstLine="470" w:firstLineChars="196"/>
        <w:rPr>
          <w:rFonts w:ascii="宋体" w:hAnsi="宋体" w:cs="宋体"/>
          <w:color w:val="auto"/>
          <w:kern w:val="0"/>
          <w:szCs w:val="24"/>
          <w:highlight w:val="none"/>
        </w:rPr>
      </w:pPr>
      <w:r>
        <w:rPr>
          <w:rFonts w:hint="eastAsia" w:ascii="宋体" w:hAnsi="宋体" w:cs="宋体"/>
          <w:color w:val="auto"/>
          <w:kern w:val="0"/>
          <w:szCs w:val="24"/>
          <w:highlight w:val="none"/>
        </w:rPr>
        <w:t>1.5.3投标人应按实际响应的技术参数明确、如实填写。</w:t>
      </w:r>
    </w:p>
    <w:p>
      <w:pPr>
        <w:spacing w:line="480" w:lineRule="exact"/>
        <w:ind w:firstLine="482" w:firstLineChars="200"/>
        <w:rPr>
          <w:rFonts w:ascii="宋体" w:hAnsi="宋体" w:cs="宋体"/>
          <w:b/>
          <w:bCs/>
          <w:color w:val="auto"/>
          <w:kern w:val="0"/>
          <w:szCs w:val="24"/>
          <w:highlight w:val="none"/>
        </w:rPr>
      </w:pPr>
      <w:r>
        <w:rPr>
          <w:rFonts w:hint="eastAsia" w:ascii="宋体" w:hAnsi="宋体" w:cs="宋体"/>
          <w:b/>
          <w:bCs/>
          <w:color w:val="auto"/>
          <w:kern w:val="0"/>
          <w:szCs w:val="24"/>
          <w:highlight w:val="none"/>
        </w:rPr>
        <w:t>注：技术响应文件所含内容必须表述一致，如出现厂家技术资料、检测报告等不一致等情况将作为无效投标处理。</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1.6</w:t>
      </w:r>
      <w:r>
        <w:rPr>
          <w:rFonts w:hint="eastAsia" w:ascii="宋体" w:hAnsi="宋体" w:cs="宋体"/>
          <w:color w:val="auto"/>
          <w:szCs w:val="24"/>
          <w:highlight w:val="none"/>
        </w:rPr>
        <w:t>商务条款响应偏离表</w:t>
      </w:r>
      <w:r>
        <w:rPr>
          <w:rFonts w:hint="eastAsia" w:ascii="宋体" w:hAnsi="宋体" w:cs="宋体"/>
          <w:color w:val="auto"/>
          <w:kern w:val="0"/>
          <w:szCs w:val="24"/>
          <w:highlight w:val="none"/>
        </w:rPr>
        <w:t>（格式）</w:t>
      </w:r>
    </w:p>
    <w:p>
      <w:pPr>
        <w:spacing w:line="480" w:lineRule="exact"/>
        <w:ind w:left="560"/>
        <w:rPr>
          <w:rFonts w:ascii="宋体" w:hAnsi="宋体" w:cs="宋体"/>
          <w:color w:val="auto"/>
          <w:kern w:val="0"/>
          <w:szCs w:val="24"/>
          <w:highlight w:val="none"/>
        </w:rPr>
      </w:pPr>
      <w:r>
        <w:rPr>
          <w:rFonts w:hint="eastAsia" w:ascii="宋体" w:hAnsi="宋体" w:cs="宋体"/>
          <w:color w:val="auto"/>
          <w:kern w:val="0"/>
          <w:szCs w:val="24"/>
          <w:highlight w:val="none"/>
        </w:rPr>
        <w:t>要求：</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1.6.1对应招标文件《商务要求》，按实际商务条款填写。</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1.6.2明确填写偏离情况并做出详细说明。</w:t>
      </w:r>
    </w:p>
    <w:p>
      <w:pPr>
        <w:spacing w:line="480" w:lineRule="exact"/>
        <w:ind w:firstLine="470" w:firstLineChars="196"/>
        <w:rPr>
          <w:rFonts w:ascii="宋体" w:hAnsi="宋体" w:cs="宋体"/>
          <w:color w:val="auto"/>
          <w:kern w:val="0"/>
          <w:szCs w:val="24"/>
          <w:highlight w:val="none"/>
        </w:rPr>
      </w:pPr>
      <w:r>
        <w:rPr>
          <w:rFonts w:hint="eastAsia" w:ascii="宋体" w:hAnsi="宋体" w:cs="宋体"/>
          <w:color w:val="auto"/>
          <w:kern w:val="0"/>
          <w:szCs w:val="24"/>
          <w:highlight w:val="none"/>
        </w:rPr>
        <w:t>1.6.3投标人应按实际响应的商务条款如实填写。</w:t>
      </w:r>
    </w:p>
    <w:p>
      <w:pPr>
        <w:spacing w:line="480" w:lineRule="exact"/>
        <w:ind w:left="480"/>
        <w:rPr>
          <w:rFonts w:ascii="宋体" w:hAnsi="宋体" w:cs="宋体"/>
          <w:color w:val="auto"/>
          <w:kern w:val="0"/>
          <w:szCs w:val="24"/>
          <w:highlight w:val="none"/>
        </w:rPr>
      </w:pPr>
      <w:r>
        <w:rPr>
          <w:rFonts w:hint="eastAsia" w:ascii="宋体" w:hAnsi="宋体" w:cs="宋体"/>
          <w:color w:val="auto"/>
          <w:kern w:val="0"/>
          <w:szCs w:val="24"/>
          <w:highlight w:val="none"/>
        </w:rPr>
        <w:t>1.7法定代表人授权书（格式）</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要求：法定代表人投标时提供投标文件格式“7.1法定代表人资格证明书”，被授权人投标时提供“7.2法定代表人授权委托书”。</w:t>
      </w:r>
    </w:p>
    <w:p>
      <w:pPr>
        <w:spacing w:line="480" w:lineRule="exact"/>
        <w:ind w:firstLine="480" w:firstLineChars="200"/>
        <w:rPr>
          <w:rFonts w:hint="eastAsia" w:ascii="宋体" w:hAnsi="宋体" w:cs="宋体"/>
          <w:color w:val="auto"/>
          <w:kern w:val="0"/>
          <w:szCs w:val="24"/>
          <w:highlight w:val="none"/>
        </w:rPr>
      </w:pPr>
      <w:r>
        <w:rPr>
          <w:rFonts w:hint="eastAsia" w:ascii="宋体" w:hAnsi="宋体" w:cs="宋体"/>
          <w:color w:val="auto"/>
          <w:kern w:val="0"/>
          <w:szCs w:val="24"/>
          <w:highlight w:val="none"/>
        </w:rPr>
        <w:t>1.8资格证明文件</w:t>
      </w:r>
    </w:p>
    <w:p>
      <w:pPr>
        <w:spacing w:line="480" w:lineRule="exact"/>
        <w:ind w:firstLine="480" w:firstLineChars="20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9技术指标</w:t>
      </w:r>
      <w:r>
        <w:rPr>
          <w:rFonts w:hint="eastAsia" w:ascii="宋体" w:hAnsi="宋体" w:cs="宋体"/>
          <w:color w:val="auto"/>
          <w:kern w:val="0"/>
          <w:szCs w:val="24"/>
          <w:highlight w:val="none"/>
          <w:lang w:eastAsia="zh-CN"/>
        </w:rPr>
        <w:t>及</w:t>
      </w:r>
      <w:r>
        <w:rPr>
          <w:rFonts w:hint="eastAsia" w:ascii="宋体" w:hAnsi="宋体" w:cs="宋体"/>
          <w:color w:val="auto"/>
          <w:kern w:val="0"/>
          <w:szCs w:val="24"/>
          <w:highlight w:val="none"/>
        </w:rPr>
        <w:t>配置</w:t>
      </w:r>
    </w:p>
    <w:p>
      <w:pPr>
        <w:spacing w:line="480" w:lineRule="exact"/>
        <w:ind w:firstLine="480" w:firstLineChars="200"/>
        <w:rPr>
          <w:rFonts w:hint="eastAsia" w:ascii="宋体" w:hAnsi="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1.10技术方案</w:t>
      </w:r>
    </w:p>
    <w:p>
      <w:pPr>
        <w:spacing w:line="480" w:lineRule="exact"/>
        <w:ind w:firstLine="480" w:firstLineChars="200"/>
        <w:rPr>
          <w:rFonts w:hint="eastAsia" w:ascii="宋体" w:hAnsi="宋体" w:cs="宋体"/>
          <w:color w:val="auto"/>
          <w:kern w:val="0"/>
          <w:szCs w:val="24"/>
          <w:highlight w:val="none"/>
        </w:rPr>
      </w:pP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项目实施方案</w:t>
      </w:r>
    </w:p>
    <w:p>
      <w:pPr>
        <w:spacing w:line="480" w:lineRule="exact"/>
        <w:ind w:firstLine="480" w:firstLineChars="200"/>
        <w:rPr>
          <w:rFonts w:hint="eastAsia" w:ascii="宋体" w:hAnsi="宋体" w:cs="宋体"/>
          <w:color w:val="auto"/>
          <w:szCs w:val="24"/>
          <w:highlight w:val="none"/>
          <w:lang w:eastAsia="zh-CN"/>
        </w:rPr>
      </w:pP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en-US" w:eastAsia="zh-CN"/>
        </w:rPr>
        <w:t>2</w:t>
      </w:r>
      <w:r>
        <w:rPr>
          <w:rFonts w:hint="eastAsia" w:ascii="宋体" w:hAnsi="宋体" w:cs="宋体"/>
          <w:color w:val="auto"/>
          <w:szCs w:val="24"/>
          <w:highlight w:val="none"/>
          <w:lang w:eastAsia="zh-CN"/>
        </w:rPr>
        <w:t>拟派项目组人员</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1.1</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售后服务方案及培训方案</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1.1</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rPr>
        <w:t>招标文件要求的其他证明资料及投标人认为需要提供的资料。</w:t>
      </w:r>
    </w:p>
    <w:p>
      <w:pPr>
        <w:spacing w:line="480" w:lineRule="exact"/>
        <w:ind w:firstLine="470" w:firstLineChars="196"/>
        <w:rPr>
          <w:rFonts w:ascii="宋体" w:hAnsi="宋体" w:cs="宋体"/>
          <w:b/>
          <w:bCs/>
          <w:color w:val="auto"/>
          <w:szCs w:val="24"/>
          <w:highlight w:val="none"/>
        </w:rPr>
      </w:pPr>
      <w:r>
        <w:rPr>
          <w:rFonts w:hint="eastAsia" w:ascii="宋体" w:hAnsi="宋体" w:cs="宋体"/>
          <w:bCs/>
          <w:color w:val="auto"/>
          <w:szCs w:val="24"/>
          <w:highlight w:val="none"/>
        </w:rPr>
        <w:t>2.</w:t>
      </w:r>
      <w:r>
        <w:rPr>
          <w:rFonts w:hint="eastAsia" w:ascii="宋体" w:hAnsi="宋体" w:cs="宋体"/>
          <w:color w:val="auto"/>
          <w:szCs w:val="24"/>
          <w:highlight w:val="none"/>
        </w:rPr>
        <w:t>投标文件编写说明</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2.1投标文件</w:t>
      </w:r>
      <w:r>
        <w:rPr>
          <w:rFonts w:hint="eastAsia" w:ascii="宋体" w:hAnsi="宋体" w:cs="宋体"/>
          <w:color w:val="auto"/>
          <w:highlight w:val="none"/>
        </w:rPr>
        <w:t>应当按照招标文件给定的格式编制，格式之外的可自行编写。</w:t>
      </w:r>
      <w:r>
        <w:rPr>
          <w:rFonts w:hint="eastAsia" w:ascii="宋体" w:hAnsi="宋体" w:cs="宋体"/>
          <w:color w:val="auto"/>
          <w:szCs w:val="24"/>
          <w:highlight w:val="none"/>
        </w:rPr>
        <w:t>否则，将作为无效投标处理。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2.2投标人必须按照招标文件的规定和要求由法定代表人或被授权人签字（或盖章）。</w:t>
      </w:r>
    </w:p>
    <w:p>
      <w:pPr>
        <w:spacing w:line="480" w:lineRule="exact"/>
        <w:ind w:firstLine="454" w:firstLineChars="196"/>
        <w:rPr>
          <w:rFonts w:ascii="宋体" w:hAnsi="宋体" w:cs="宋体"/>
          <w:color w:val="auto"/>
          <w:szCs w:val="24"/>
          <w:highlight w:val="none"/>
        </w:rPr>
      </w:pPr>
      <w:r>
        <w:rPr>
          <w:rFonts w:hint="eastAsia" w:ascii="宋体" w:hAnsi="宋体" w:cs="宋体"/>
          <w:color w:val="auto"/>
          <w:spacing w:val="-4"/>
          <w:szCs w:val="24"/>
          <w:highlight w:val="none"/>
        </w:rPr>
        <w:t>2.3“开标一览表”为在开标会议上唱标的内</w:t>
      </w:r>
      <w:r>
        <w:rPr>
          <w:rFonts w:hint="eastAsia" w:ascii="宋体" w:hAnsi="宋体" w:cs="宋体"/>
          <w:color w:val="auto"/>
          <w:szCs w:val="24"/>
          <w:highlight w:val="none"/>
        </w:rPr>
        <w:t>容，按格式要求填写，同时应保证“开标一览表”在投标文件中仍有且一致。如果不一致，以唱标内容为准。</w:t>
      </w:r>
    </w:p>
    <w:p>
      <w:pPr>
        <w:spacing w:line="48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3.投标文件的计量单位</w:t>
      </w:r>
    </w:p>
    <w:p>
      <w:pPr>
        <w:spacing w:line="480" w:lineRule="exact"/>
        <w:ind w:left="-180" w:leftChars="-75" w:firstLine="624" w:firstLineChars="260"/>
        <w:rPr>
          <w:rFonts w:ascii="宋体" w:hAnsi="宋体" w:cs="宋体"/>
          <w:b/>
          <w:bCs/>
          <w:color w:val="auto"/>
          <w:szCs w:val="24"/>
          <w:highlight w:val="none"/>
        </w:rPr>
      </w:pPr>
      <w:r>
        <w:rPr>
          <w:rFonts w:hint="eastAsia" w:ascii="宋体" w:hAnsi="宋体" w:cs="宋体"/>
          <w:color w:val="auto"/>
          <w:szCs w:val="24"/>
          <w:highlight w:val="none"/>
        </w:rPr>
        <w:t>投标文件中所使用的计量单位，除有特殊要求外，均采用国家法定计量单位。</w:t>
      </w:r>
    </w:p>
    <w:p>
      <w:pPr>
        <w:spacing w:line="480" w:lineRule="exact"/>
        <w:ind w:firstLine="470" w:firstLineChars="196"/>
        <w:rPr>
          <w:rFonts w:ascii="宋体" w:hAnsi="宋体" w:cs="宋体"/>
          <w:b/>
          <w:bCs/>
          <w:color w:val="auto"/>
          <w:szCs w:val="24"/>
          <w:highlight w:val="none"/>
        </w:rPr>
      </w:pPr>
      <w:r>
        <w:rPr>
          <w:rFonts w:hint="eastAsia" w:ascii="宋体" w:hAnsi="宋体" w:cs="宋体"/>
          <w:bCs/>
          <w:color w:val="auto"/>
          <w:szCs w:val="24"/>
          <w:highlight w:val="none"/>
        </w:rPr>
        <w:t>4.投标报价</w:t>
      </w:r>
    </w:p>
    <w:p>
      <w:pPr>
        <w:spacing w:line="48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4.1投标货币：人民币      单位:元（保留小数点后两位）。</w:t>
      </w:r>
    </w:p>
    <w:p>
      <w:pPr>
        <w:spacing w:line="48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4.2投标</w:t>
      </w:r>
      <w:bookmarkStart w:id="23" w:name="OLE_LINK11"/>
      <w:r>
        <w:rPr>
          <w:rFonts w:hint="eastAsia" w:ascii="宋体" w:hAnsi="宋体" w:cs="宋体"/>
          <w:color w:val="auto"/>
          <w:szCs w:val="24"/>
          <w:highlight w:val="none"/>
        </w:rPr>
        <w:t>报价是指产品到达使用地点，达到正常使用条件下的所有费用，包括产品的报价及所发生的运杂费（含保险）及按现行税收政策征收的一切税费等。以招标文件的内容和要求作为投标依据。</w:t>
      </w:r>
    </w:p>
    <w:bookmarkEnd w:id="23"/>
    <w:p>
      <w:pPr>
        <w:spacing w:line="480" w:lineRule="exact"/>
        <w:ind w:firstLine="470" w:firstLineChars="196"/>
        <w:rPr>
          <w:rFonts w:ascii="宋体" w:hAnsi="宋体" w:cs="宋体"/>
          <w:bCs/>
          <w:color w:val="auto"/>
          <w:szCs w:val="24"/>
          <w:highlight w:val="none"/>
        </w:rPr>
      </w:pPr>
      <w:bookmarkStart w:id="24" w:name="_Toc458617735"/>
      <w:bookmarkStart w:id="25" w:name="_Toc458617458"/>
      <w:r>
        <w:rPr>
          <w:rFonts w:hint="eastAsia" w:ascii="宋体" w:hAnsi="宋体" w:cs="宋体"/>
          <w:bCs/>
          <w:color w:val="auto"/>
          <w:szCs w:val="24"/>
          <w:highlight w:val="none"/>
        </w:rPr>
        <w:t>4.3</w:t>
      </w:r>
      <w:r>
        <w:rPr>
          <w:rFonts w:hint="eastAsia" w:ascii="宋体" w:hAnsi="宋体" w:cs="宋体"/>
          <w:b/>
          <w:color w:val="auto"/>
          <w:szCs w:val="24"/>
          <w:highlight w:val="none"/>
        </w:rPr>
        <w:t>投标报价=</w:t>
      </w:r>
      <w:r>
        <w:rPr>
          <w:rFonts w:hint="eastAsia" w:ascii="宋体" w:hAnsi="宋体" w:cs="宋体"/>
          <w:b/>
          <w:color w:val="auto"/>
          <w:szCs w:val="24"/>
          <w:highlight w:val="none"/>
          <w:lang w:eastAsia="zh-CN"/>
        </w:rPr>
        <w:t>完成本项目所需要的所有费用</w:t>
      </w:r>
      <w:r>
        <w:rPr>
          <w:rFonts w:hint="eastAsia" w:ascii="宋体" w:hAnsi="宋体" w:cs="宋体"/>
          <w:b/>
          <w:color w:val="auto"/>
          <w:szCs w:val="24"/>
          <w:highlight w:val="none"/>
        </w:rPr>
        <w:t>。</w:t>
      </w:r>
    </w:p>
    <w:p>
      <w:pPr>
        <w:spacing w:line="480" w:lineRule="exact"/>
        <w:ind w:firstLine="590" w:firstLineChars="245"/>
        <w:rPr>
          <w:rFonts w:ascii="宋体" w:hAnsi="宋体" w:cs="宋体"/>
          <w:b/>
          <w:color w:val="auto"/>
          <w:szCs w:val="24"/>
          <w:highlight w:val="none"/>
        </w:rPr>
      </w:pPr>
      <w:r>
        <w:rPr>
          <w:rFonts w:hint="eastAsia" w:ascii="宋体" w:hAnsi="宋体" w:cs="宋体"/>
          <w:b/>
          <w:color w:val="auto"/>
          <w:szCs w:val="24"/>
          <w:highlight w:val="none"/>
        </w:rPr>
        <w:t>注：投标</w:t>
      </w:r>
      <w:r>
        <w:rPr>
          <w:rFonts w:hint="eastAsia" w:ascii="宋体" w:hAnsi="宋体" w:cs="宋体"/>
          <w:b/>
          <w:color w:val="auto"/>
          <w:kern w:val="0"/>
          <w:szCs w:val="24"/>
          <w:highlight w:val="none"/>
        </w:rPr>
        <w:t>报价超过采购预算的，投标无效。</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4.4投标人须对《采购内容及技术要求》中所包括涉及的采购事项进行完整报价，采购代理机构拒绝只对其中一部分进行报价的投标。投标人应在分项报价表上标明拟对本次招标所采购的货物和与货物有关的服务的报价。任何有选择的报价将不予接受，每项只允许有一个报价，并且在合同履行过程中是固定不变的。</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4.5投标人要按分项报价表内容填写货物名称、品牌型号、单价总价、制造厂家等内容，并由法人代表或被授权人签署。投标分项报价表上的价格应按下列要求分项填写：</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4.5.1所投货物的货物价</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4.5.2货物运至指定地点的运输（含保险）费用</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4.5.3招标文件要求的所有伴随服务的费用</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4.5.4所有根据合同或其它原因应由投标人支付的税款和其它应交纳的费用都要包括在投标人提交的投标价格中。</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4.6投标人所报的投标价在合同执行过程中是固定不变的，不得以任何理由予以变更。任何包含价格调整要求的投标，将被认为是非响应性投标而予以拒绝。</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4.7选配件是投标产品的附件，仅作为采购人后期选择购买，其报价不包含在本次投标报价内。</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5.对投标人的其他要求：</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5.1投标人不得以他人名义投标和串通投标。</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5.2必须根据招标文件要求进行生产、供货等。</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5.3本项目不允许中标后另行转包或者分包履行，一经发现，立即取消其中标资格，并承担由此引起的一切经济损失。</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5.4接受采购人委托的相关单位对货物内容、质量、进度、实施方案、价款支付与结算审核等的监督和管理。</w:t>
      </w:r>
    </w:p>
    <w:p>
      <w:pPr>
        <w:spacing w:line="460" w:lineRule="exact"/>
        <w:ind w:firstLine="470" w:firstLineChars="196"/>
        <w:rPr>
          <w:rFonts w:ascii="宋体" w:hAnsi="宋体" w:cs="宋体"/>
          <w:b/>
          <w:bCs/>
          <w:color w:val="auto"/>
          <w:szCs w:val="24"/>
          <w:highlight w:val="none"/>
        </w:rPr>
      </w:pPr>
      <w:r>
        <w:rPr>
          <w:rFonts w:hint="eastAsia" w:ascii="宋体" w:hAnsi="宋体" w:cs="宋体"/>
          <w:color w:val="auto"/>
          <w:szCs w:val="24"/>
          <w:highlight w:val="none"/>
        </w:rPr>
        <w:t>5.5投标人应保证在本项目使用的任何产品和服务的任何一部分，不会产生因第三方提出的侵犯其专利权、商标权、著作权或其它知识产权而引起的法律和经济纠纷，由此引起的纠纷，由投标人承担所有相关责任。</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5.6采购人享有在本项目实施过程中产生的知识成果及知识产权。投标人如欲在项目实施过程中采用自有知识成果，需在投标文件中声明，并提供相关知识产权证明文件。使用该知识成果后，投标人须提供开发接口和开发手册等技术文档，并承诺提供无限期技术支持，采购人享有永久使用权。如采用投标人所不拥有的知识产权，则在投标报价中必须包含合法获得该知识产权的相关费用。</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5.7投标人承诺给予采购人的各种优惠条件不能包括采购项目本身所包括涉及的采购事项。投标人不能以“赠送、赠予”等任何名义提供货物和服务以规避招标文件的约束。否则，投标人提供的投标文件将作为无效投标处理，投标人的投标行为将作为以不正当手段排挤其他投标人认定。</w:t>
      </w:r>
    </w:p>
    <w:bookmarkEnd w:id="24"/>
    <w:bookmarkEnd w:id="25"/>
    <w:p>
      <w:pPr>
        <w:pStyle w:val="4"/>
        <w:spacing w:before="0" w:after="0" w:line="480" w:lineRule="exact"/>
        <w:rPr>
          <w:rFonts w:ascii="宋体" w:hAnsi="宋体" w:eastAsia="宋体" w:cs="宋体"/>
          <w:color w:val="auto"/>
          <w:kern w:val="0"/>
          <w:sz w:val="28"/>
          <w:szCs w:val="28"/>
          <w:highlight w:val="none"/>
        </w:rPr>
      </w:pPr>
      <w:bookmarkStart w:id="26" w:name="_Toc458617736"/>
      <w:bookmarkStart w:id="27" w:name="_Toc458617459"/>
      <w:bookmarkStart w:id="28" w:name="_Toc26520"/>
      <w:r>
        <w:rPr>
          <w:rFonts w:hint="eastAsia" w:ascii="宋体" w:hAnsi="宋体" w:eastAsia="宋体" w:cs="宋体"/>
          <w:color w:val="auto"/>
          <w:kern w:val="0"/>
          <w:sz w:val="28"/>
          <w:szCs w:val="28"/>
          <w:highlight w:val="none"/>
        </w:rPr>
        <w:t>五、投标</w:t>
      </w:r>
      <w:bookmarkEnd w:id="26"/>
      <w:bookmarkEnd w:id="27"/>
      <w:bookmarkEnd w:id="28"/>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1.投标文件的补充、修改与撤回：</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1.1投标截止时间之后，投标人不得补充、修改投标文件。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1.2在投标截止时间至投标有效期满之前，投标人不得撤回其投标文件。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2.投标有效期：</w:t>
      </w:r>
    </w:p>
    <w:p>
      <w:pPr>
        <w:pStyle w:val="148"/>
        <w:widowControl w:val="0"/>
        <w:spacing w:line="480" w:lineRule="exact"/>
        <w:ind w:firstLine="464"/>
        <w:rPr>
          <w:rFonts w:ascii="宋体" w:hAnsi="宋体" w:cs="宋体"/>
          <w:color w:val="auto"/>
          <w:kern w:val="2"/>
          <w:sz w:val="24"/>
          <w:szCs w:val="24"/>
          <w:highlight w:val="none"/>
        </w:rPr>
      </w:pPr>
      <w:r>
        <w:rPr>
          <w:rFonts w:hint="eastAsia" w:ascii="宋体" w:hAnsi="宋体" w:cs="宋体"/>
          <w:color w:val="auto"/>
          <w:spacing w:val="-4"/>
          <w:sz w:val="24"/>
          <w:szCs w:val="24"/>
          <w:highlight w:val="none"/>
        </w:rPr>
        <w:t>2.1自提交投标文件的截止之日起90个日历日。</w:t>
      </w:r>
      <w:bookmarkStart w:id="29" w:name="OLE_LINK15"/>
      <w:r>
        <w:rPr>
          <w:rFonts w:hint="eastAsia" w:ascii="宋体" w:hAnsi="宋体" w:cs="宋体"/>
          <w:color w:val="auto"/>
          <w:spacing w:val="-4"/>
          <w:sz w:val="24"/>
          <w:szCs w:val="24"/>
          <w:highlight w:val="none"/>
        </w:rPr>
        <w:t>投标人投标有效期短于招标文件规定</w:t>
      </w:r>
      <w:r>
        <w:rPr>
          <w:rFonts w:hint="eastAsia" w:ascii="宋体" w:hAnsi="宋体" w:cs="宋体"/>
          <w:color w:val="auto"/>
          <w:kern w:val="2"/>
          <w:sz w:val="24"/>
          <w:szCs w:val="24"/>
          <w:highlight w:val="none"/>
        </w:rPr>
        <w:t>的投标有效期，按无效投标处理。中标单位的投标有效期延长至合同执行完毕。</w:t>
      </w:r>
    </w:p>
    <w:p>
      <w:pPr>
        <w:pStyle w:val="148"/>
        <w:widowControl w:val="0"/>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2.2在原投标有效期结束前，采购代理机构可要求投标人延长投标有效期。拒绝延长投标有效期的投标人，不得参与该项目后续采购活动。</w:t>
      </w:r>
      <w:bookmarkEnd w:id="29"/>
      <w:bookmarkStart w:id="30" w:name="_Toc458617460"/>
      <w:bookmarkStart w:id="31" w:name="_Toc458617737"/>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sz w:val="24"/>
          <w:szCs w:val="24"/>
          <w:highlight w:val="none"/>
        </w:rPr>
        <w:t>3.投标人</w:t>
      </w:r>
      <w:r>
        <w:rPr>
          <w:rFonts w:hint="eastAsia" w:ascii="宋体" w:hAnsi="宋体" w:cs="宋体"/>
          <w:color w:val="auto"/>
          <w:kern w:val="2"/>
          <w:sz w:val="24"/>
          <w:szCs w:val="24"/>
          <w:highlight w:val="none"/>
        </w:rPr>
        <w:t>有下列情形之一的，属于恶意串通，对其依照《中华人民共和国政府采购法》第七十七条第一款的规定追究法律责任，投标无效：</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3.1投标人直接或者间接从采购人或采购代理机构处获得其他投标人的相关情况并修改其投标文件；</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3.2投标人按照采购人或采购代理机构的授意撤换、修改投标文件；</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3.3投标人之间协商报价、技术方案等投标文件的实质性内容；</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3.4属于同一集团、协会、商会等组织成员的投标人按照该组织要求协同参加政府采购活动；</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3.5投标人之间事先约定由某一特定投标人中标；</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3.6投标人之间商定部分投标人放弃参加政府采购活动或放弃中标；</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3.7投标人相互之间，为谋求特定投标人中标或排斥其他投标人的其他串通行为。</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4.有下列情形之一的，视为投标人串通投标，其投标无效：</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4.1不同投标人的投标文件由同一单位或者个人编制；</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4.2不同投标人委托同一单位或者个人办理投标事宜；</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4.3不同投标人的投标文件载明的项目管理成员或者联系人为同一人；</w:t>
      </w:r>
    </w:p>
    <w:p>
      <w:pPr>
        <w:pStyle w:val="148"/>
        <w:spacing w:line="480" w:lineRule="exact"/>
        <w:ind w:firstLine="480"/>
        <w:rPr>
          <w:rFonts w:ascii="宋体" w:hAnsi="宋体" w:cs="宋体"/>
          <w:color w:val="auto"/>
          <w:kern w:val="2"/>
          <w:sz w:val="24"/>
          <w:szCs w:val="24"/>
          <w:highlight w:val="none"/>
        </w:rPr>
      </w:pPr>
      <w:r>
        <w:rPr>
          <w:rFonts w:hint="eastAsia" w:ascii="宋体" w:hAnsi="宋体" w:cs="宋体"/>
          <w:color w:val="auto"/>
          <w:kern w:val="2"/>
          <w:sz w:val="24"/>
          <w:szCs w:val="24"/>
          <w:highlight w:val="none"/>
        </w:rPr>
        <w:t>4.4不同投标人的投标文件异常一致或者投标报价呈现规律性差异；</w:t>
      </w:r>
    </w:p>
    <w:p>
      <w:pPr>
        <w:pStyle w:val="4"/>
        <w:spacing w:before="0" w:after="0" w:line="480" w:lineRule="exact"/>
        <w:rPr>
          <w:rFonts w:ascii="宋体" w:hAnsi="宋体" w:eastAsia="宋体" w:cs="宋体"/>
          <w:color w:val="auto"/>
          <w:kern w:val="0"/>
          <w:sz w:val="28"/>
          <w:szCs w:val="28"/>
          <w:highlight w:val="none"/>
        </w:rPr>
      </w:pPr>
      <w:bookmarkStart w:id="32" w:name="_Toc14707"/>
      <w:r>
        <w:rPr>
          <w:rFonts w:hint="eastAsia" w:ascii="宋体" w:hAnsi="宋体" w:eastAsia="宋体" w:cs="宋体"/>
          <w:color w:val="auto"/>
          <w:kern w:val="0"/>
          <w:sz w:val="28"/>
          <w:szCs w:val="28"/>
          <w:highlight w:val="none"/>
        </w:rPr>
        <w:t>六、开标、资格审查、评标和定标</w:t>
      </w:r>
      <w:bookmarkEnd w:id="30"/>
      <w:bookmarkEnd w:id="31"/>
      <w:bookmarkEnd w:id="32"/>
    </w:p>
    <w:p>
      <w:pPr>
        <w:spacing w:line="480" w:lineRule="exact"/>
        <w:ind w:firstLine="482" w:firstLineChars="200"/>
        <w:rPr>
          <w:rFonts w:ascii="宋体" w:hAnsi="宋体" w:cs="宋体"/>
          <w:b/>
          <w:color w:val="auto"/>
          <w:szCs w:val="24"/>
          <w:highlight w:val="none"/>
        </w:rPr>
      </w:pPr>
      <w:r>
        <w:rPr>
          <w:rFonts w:hint="eastAsia" w:ascii="宋体" w:hAnsi="宋体" w:cs="宋体"/>
          <w:b/>
          <w:bCs/>
          <w:color w:val="auto"/>
          <w:szCs w:val="24"/>
          <w:highlight w:val="none"/>
        </w:rPr>
        <w:t>1.开标</w:t>
      </w:r>
    </w:p>
    <w:p>
      <w:pPr>
        <w:spacing w:line="480" w:lineRule="exact"/>
        <w:ind w:firstLine="480" w:firstLineChars="200"/>
        <w:rPr>
          <w:rFonts w:ascii="宋体" w:hAnsi="宋体" w:cs="宋体"/>
          <w:color w:val="auto"/>
          <w:highlight w:val="none"/>
        </w:rPr>
      </w:pPr>
      <w:r>
        <w:rPr>
          <w:rFonts w:hint="eastAsia" w:ascii="宋体" w:hAnsi="宋体" w:cs="宋体"/>
          <w:color w:val="auto"/>
          <w:highlight w:val="none"/>
        </w:rPr>
        <w:t>1.1所有投标人应在开标时间前登录交易平台不见面开标大厅进行在线签到并上传投标文件，开标时间到后宣布开启会开始。</w:t>
      </w:r>
    </w:p>
    <w:p>
      <w:pPr>
        <w:spacing w:line="480" w:lineRule="exact"/>
        <w:ind w:firstLine="480" w:firstLineChars="200"/>
        <w:rPr>
          <w:rFonts w:ascii="宋体" w:hAnsi="宋体" w:cs="宋体"/>
          <w:color w:val="auto"/>
          <w:highlight w:val="none"/>
        </w:rPr>
      </w:pPr>
      <w:r>
        <w:rPr>
          <w:rFonts w:hint="eastAsia" w:ascii="宋体" w:hAnsi="宋体" w:cs="宋体"/>
          <w:color w:val="auto"/>
          <w:highlight w:val="none"/>
        </w:rPr>
        <w:t>1.2通过开标大厅宣布开标纪律。</w:t>
      </w:r>
    </w:p>
    <w:p>
      <w:pPr>
        <w:spacing w:line="480" w:lineRule="exact"/>
        <w:ind w:firstLine="480" w:firstLineChars="200"/>
        <w:rPr>
          <w:rFonts w:ascii="宋体" w:hAnsi="宋体" w:cs="宋体"/>
          <w:color w:val="auto"/>
          <w:highlight w:val="none"/>
        </w:rPr>
      </w:pPr>
      <w:r>
        <w:rPr>
          <w:rFonts w:hint="eastAsia" w:ascii="宋体" w:hAnsi="宋体" w:cs="宋体"/>
          <w:color w:val="auto"/>
          <w:highlight w:val="none"/>
        </w:rPr>
        <w:t>1.3发起解密环节，投标人按指示在规定时间内完成投标文件解密。</w:t>
      </w:r>
    </w:p>
    <w:p>
      <w:pPr>
        <w:spacing w:line="480" w:lineRule="exact"/>
        <w:ind w:firstLine="480" w:firstLineChars="200"/>
        <w:rPr>
          <w:rFonts w:ascii="宋体" w:hAnsi="宋体" w:cs="宋体"/>
          <w:color w:val="auto"/>
          <w:highlight w:val="none"/>
        </w:rPr>
      </w:pPr>
      <w:r>
        <w:rPr>
          <w:rFonts w:hint="eastAsia" w:ascii="宋体" w:hAnsi="宋体" w:cs="宋体"/>
          <w:color w:val="auto"/>
          <w:highlight w:val="none"/>
        </w:rPr>
        <w:t>1.4解密完成后，进行电声唱标，宣布各投标人报价，随后开标会结束，进入评审环节。</w:t>
      </w:r>
    </w:p>
    <w:p>
      <w:pPr>
        <w:spacing w:line="480" w:lineRule="exact"/>
        <w:ind w:firstLine="480" w:firstLineChars="200"/>
        <w:rPr>
          <w:rFonts w:ascii="宋体" w:hAnsi="宋体" w:cs="宋体"/>
          <w:bCs/>
          <w:color w:val="auto"/>
          <w:szCs w:val="24"/>
          <w:highlight w:val="none"/>
        </w:rPr>
      </w:pPr>
      <w:r>
        <w:rPr>
          <w:rFonts w:hint="eastAsia" w:ascii="宋体" w:hAnsi="宋体" w:cs="宋体"/>
          <w:color w:val="auto"/>
          <w:highlight w:val="none"/>
        </w:rPr>
        <w:t>各投标人在项目开标、评标期间应保持在线状态，对未在规定时间和要求范围内完成签到、解密、答复、确认、澄清等指令的，视为其放弃，由投标人自行承担相应后果。</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2.资格审查</w:t>
      </w:r>
    </w:p>
    <w:p>
      <w:pPr>
        <w:pStyle w:val="148"/>
        <w:spacing w:line="480" w:lineRule="exact"/>
        <w:ind w:firstLine="482"/>
        <w:rPr>
          <w:rFonts w:ascii="宋体" w:hAnsi="宋体" w:cs="宋体"/>
          <w:b/>
          <w:color w:val="auto"/>
          <w:szCs w:val="24"/>
          <w:highlight w:val="none"/>
        </w:rPr>
      </w:pPr>
      <w:r>
        <w:rPr>
          <w:rFonts w:hint="eastAsia" w:ascii="宋体" w:hAnsi="宋体" w:cs="宋体"/>
          <w:b/>
          <w:color w:val="auto"/>
          <w:sz w:val="24"/>
          <w:szCs w:val="24"/>
          <w:highlight w:val="none"/>
        </w:rPr>
        <w:t>开标结束后，由资格审查小组依法对投标人的资格进行审查，审查合格的投标人方可进入评标阶段，缺项或一项不符合要求即不合格，不合格的投标人其投标无效</w:t>
      </w:r>
      <w:r>
        <w:rPr>
          <w:rFonts w:hint="eastAsia" w:ascii="宋体" w:hAnsi="宋体" w:cs="宋体"/>
          <w:b/>
          <w:color w:val="auto"/>
          <w:szCs w:val="24"/>
          <w:highlight w:val="none"/>
        </w:rPr>
        <w:t>。</w:t>
      </w:r>
    </w:p>
    <w:p>
      <w:pPr>
        <w:pStyle w:val="148"/>
        <w:spacing w:line="480" w:lineRule="exact"/>
        <w:ind w:firstLine="482"/>
        <w:rPr>
          <w:rFonts w:ascii="宋体" w:hAnsi="宋体" w:cs="宋体"/>
          <w:color w:val="auto"/>
          <w:sz w:val="24"/>
          <w:szCs w:val="24"/>
          <w:highlight w:val="none"/>
        </w:rPr>
      </w:pPr>
      <w:r>
        <w:rPr>
          <w:rFonts w:hint="eastAsia" w:ascii="宋体" w:hAnsi="宋体" w:cs="宋体"/>
          <w:b/>
          <w:color w:val="auto"/>
          <w:sz w:val="24"/>
          <w:szCs w:val="24"/>
          <w:highlight w:val="none"/>
        </w:rPr>
        <w:t>2.1基本资格条件</w:t>
      </w:r>
      <w:r>
        <w:rPr>
          <w:rFonts w:hint="eastAsia" w:ascii="宋体" w:hAnsi="宋体" w:cs="宋体"/>
          <w:color w:val="auto"/>
          <w:sz w:val="24"/>
          <w:szCs w:val="24"/>
          <w:highlight w:val="none"/>
        </w:rPr>
        <w:t>：符合《中华人民共和国政府采购法》第二十二条的规定的投标人条件；</w:t>
      </w:r>
    </w:p>
    <w:p>
      <w:pPr>
        <w:pStyle w:val="148"/>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2.1.1</w:t>
      </w:r>
      <w:r>
        <w:rPr>
          <w:rFonts w:hint="eastAsia" w:ascii="宋体" w:hAnsi="宋体"/>
          <w:sz w:val="24"/>
          <w:szCs w:val="24"/>
        </w:rPr>
        <w:t>提供投标人合法注册的法人或其他组织的营业执照/事业单位法人证书/非企业专业服务机构执业许可证/民办非企业单位登记证书</w:t>
      </w:r>
      <w:r>
        <w:rPr>
          <w:rFonts w:hint="eastAsia" w:ascii="宋体" w:hAnsi="宋体" w:cs="宋体"/>
          <w:color w:val="auto"/>
          <w:sz w:val="24"/>
          <w:szCs w:val="24"/>
          <w:highlight w:val="none"/>
        </w:rPr>
        <w:t>；</w:t>
      </w:r>
    </w:p>
    <w:p>
      <w:pPr>
        <w:pStyle w:val="148"/>
        <w:widowControl w:val="0"/>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2.1.2财务状况报告：提供具有财务审计资质单位出具的2021年度或2022年度财务报告（成立时间至开标时间不足一年的可提供成立后任意时段的资产负债表）或开标前六个月内其基本账户银行出具的资信证明或政府采购信用担保机构出具的担保函；</w:t>
      </w:r>
    </w:p>
    <w:p>
      <w:pPr>
        <w:pStyle w:val="148"/>
        <w:widowControl w:val="0"/>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2.1.3税收缴纳证明：提供截止至开标时间前一年内任意一个月的缴纳凭据；（</w:t>
      </w:r>
      <w:r>
        <w:rPr>
          <w:rFonts w:hint="eastAsia" w:ascii="宋体" w:hAnsi="宋体" w:cs="宋体"/>
          <w:b/>
          <w:bCs/>
          <w:color w:val="auto"/>
          <w:sz w:val="24"/>
          <w:szCs w:val="24"/>
          <w:highlight w:val="none"/>
        </w:rPr>
        <w:t>增值税、企业所得税至少提供一种，依法免税的投标人应提供相关文件证明</w:t>
      </w:r>
      <w:r>
        <w:rPr>
          <w:rFonts w:hint="eastAsia" w:ascii="宋体" w:hAnsi="宋体" w:cs="宋体"/>
          <w:color w:val="auto"/>
          <w:sz w:val="24"/>
          <w:szCs w:val="24"/>
          <w:highlight w:val="none"/>
        </w:rPr>
        <w:t>）</w:t>
      </w:r>
    </w:p>
    <w:p>
      <w:pPr>
        <w:pStyle w:val="148"/>
        <w:widowControl w:val="0"/>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2.1.4社会保障资金缴纳证明：提供截止至开标时间前六个月内任意一个月的社保缴纳凭据或社保机构开具的社会保险参保缴纳情况证明；（依法不需要缴纳社会保障资金的投标人应提供相关证明）</w:t>
      </w:r>
    </w:p>
    <w:p>
      <w:pPr>
        <w:pStyle w:val="148"/>
        <w:widowControl w:val="0"/>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2.1.5提供具有履行本合同所必需的设备和专业技术能力的说明及承诺；（提供书面说明及承诺，加盖投标人公章）</w:t>
      </w:r>
    </w:p>
    <w:p>
      <w:pPr>
        <w:pStyle w:val="148"/>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2.1.6提供参加政府采购活动前三年内在经营活动中没有重大违法记录的书面声明。（提供书面声明，加盖投标人公章）</w:t>
      </w:r>
    </w:p>
    <w:p>
      <w:pPr>
        <w:pStyle w:val="148"/>
        <w:spacing w:line="480" w:lineRule="exact"/>
        <w:ind w:firstLine="482"/>
        <w:rPr>
          <w:rFonts w:ascii="宋体" w:hAnsi="宋体" w:cs="宋体"/>
          <w:color w:val="auto"/>
          <w:highlight w:val="none"/>
        </w:rPr>
      </w:pPr>
      <w:r>
        <w:rPr>
          <w:rFonts w:hint="eastAsia" w:ascii="宋体" w:hAnsi="宋体" w:cs="宋体"/>
          <w:b/>
          <w:color w:val="auto"/>
          <w:sz w:val="24"/>
          <w:szCs w:val="24"/>
          <w:highlight w:val="none"/>
        </w:rPr>
        <w:t>2.2落实政府采购政策需满足的资格要求：</w:t>
      </w:r>
      <w:r>
        <w:rPr>
          <w:rFonts w:hint="eastAsia" w:ascii="宋体" w:hAnsi="宋体" w:cs="宋体"/>
          <w:b/>
          <w:color w:val="auto"/>
          <w:sz w:val="24"/>
          <w:szCs w:val="24"/>
          <w:highlight w:val="none"/>
          <w:lang w:val="en-US" w:eastAsia="zh-CN"/>
        </w:rPr>
        <w:t>无</w:t>
      </w:r>
    </w:p>
    <w:p>
      <w:pPr>
        <w:pStyle w:val="148"/>
        <w:spacing w:line="480" w:lineRule="exact"/>
        <w:ind w:firstLine="482"/>
        <w:rPr>
          <w:rFonts w:ascii="宋体" w:hAnsi="宋体" w:cs="宋体"/>
          <w:b/>
          <w:color w:val="auto"/>
          <w:sz w:val="24"/>
          <w:szCs w:val="24"/>
          <w:highlight w:val="none"/>
        </w:rPr>
      </w:pPr>
      <w:r>
        <w:rPr>
          <w:rFonts w:hint="eastAsia" w:ascii="宋体" w:hAnsi="宋体" w:cs="宋体"/>
          <w:b/>
          <w:color w:val="auto"/>
          <w:sz w:val="24"/>
          <w:szCs w:val="24"/>
          <w:highlight w:val="none"/>
        </w:rPr>
        <w:t>2.3特定资格条件：</w:t>
      </w:r>
    </w:p>
    <w:p>
      <w:pPr>
        <w:pStyle w:val="148"/>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2.3.1法定代表人授权委托书（附法定代表人身份证复印件及被授权人身份证复印件）；法定代表人直接参加投标只须提供法定代表人资格证明书（附法定代表人身份证复印件）；采购文件凡是法定代表人之处，非法人单位的负责人均参照执行</w:t>
      </w:r>
      <w:r>
        <w:rPr>
          <w:rFonts w:hint="eastAsia" w:ascii="宋体" w:hAnsi="宋体" w:cs="宋体"/>
          <w:b/>
          <w:bCs/>
          <w:color w:val="auto"/>
          <w:sz w:val="24"/>
          <w:szCs w:val="24"/>
          <w:highlight w:val="none"/>
        </w:rPr>
        <w:t>（式样见投标文件格式）</w:t>
      </w:r>
    </w:p>
    <w:p>
      <w:pPr>
        <w:pStyle w:val="148"/>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不得为“信用中国”网站(http://</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4"/>
          <w:szCs w:val="24"/>
          <w:highlight w:val="none"/>
        </w:rPr>
        <w:t>www.creditchina.gov.cn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)列入“失信被执行人（页面跳转至“中国执行信息公开网”http://zxgk.court.gov.cn/shixin/）、重大税收违法失信主体、政府采购严重违法失信行为记录名单”的投标人；不得为中国政府采购网(http://</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cs="宋体"/>
          <w:color w:val="auto"/>
          <w:sz w:val="24"/>
          <w:szCs w:val="24"/>
          <w:highlight w:val="none"/>
        </w:rPr>
        <w:t>www.ccgp.gov.cn</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政府采购严重违法失信行为记录名单”中的投标人；（根据财库【2019】38号文规定，此项由资格审查小组在投标截止日当天在“信用中国”网站和中国政府采购网站进行查询，截图留档；如网站无投标人信息的，投标人须提供相关证明资料或书面声明）。</w:t>
      </w:r>
    </w:p>
    <w:p>
      <w:pPr>
        <w:pStyle w:val="148"/>
        <w:spacing w:line="480" w:lineRule="exact"/>
        <w:ind w:firstLine="480"/>
        <w:rPr>
          <w:rFonts w:ascii="宋体" w:hAnsi="宋体" w:cs="宋体"/>
          <w:color w:val="auto"/>
          <w:sz w:val="24"/>
          <w:szCs w:val="24"/>
          <w:highlight w:val="none"/>
        </w:rPr>
      </w:pPr>
      <w:r>
        <w:rPr>
          <w:rFonts w:hint="eastAsia" w:ascii="宋体" w:hAnsi="宋体" w:cs="宋体"/>
          <w:color w:val="auto"/>
          <w:sz w:val="24"/>
          <w:szCs w:val="24"/>
          <w:highlight w:val="none"/>
        </w:rPr>
        <w:t>2.3.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单位负责人为同一人或者存在直接控股、管理关系的不同投标人，不得参加同一合同项下的政府采购活动。（根据财库【2019】38号文规定，此项由资格审查小组在投标截止日当天在“国家企业信用信息公示系统”进行查询，截图留档；如网站无投标人信息的，投标人须提供相关证明资料或书面声明）。</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3.评标</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w:t>
      </w:r>
      <w:r>
        <w:rPr>
          <w:rFonts w:hint="eastAsia" w:ascii="宋体" w:hAnsi="宋体" w:cs="宋体"/>
          <w:bCs/>
          <w:color w:val="auto"/>
          <w:szCs w:val="24"/>
          <w:highlight w:val="none"/>
        </w:rPr>
        <w:t>评标委员会</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3.1.1采购代理机构根据《中华人民共和国政府采购法》及其实施条例、《政府采购货物和服务招标投标管理办法》（财政部令第87号）等规定，依法组建评标委员会。</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3.1.2采购人派一名代表进入评标委员会时，须向采购代理机构出具授权函。</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3.1.3评标委员会应推荐一名评审专家担任评审组长，并由评审组长牵头组织该项目评审工作，采购人代表不得担任评审组长。</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3.1.4评标委员会成员不得参加开标活动。</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3.1.5评标委员会成员应当遵守并履行下列职责义务：</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3.1.5.1遵纪守法，客观、公正、认真负责地履行职责，根据招标文件规定的评标程序、评标方法和评标标准审查投标文件；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3.1.5.2符合性审查、评价投标文件是否符合招标文件的商务、技术等实质性要求；</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3.1.5.3要求投标人对投标文件有关事项作出澄清或者说明；</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3.1.5.4对投标文件进行比较和评价；</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3.1.5.5确定中标候选人名单，以及根据采购人委托直接确定中标人；</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3.1.5.6向采购人、采购代理机构或者有关部门报告评标中发现的违法行为； </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3.1.5.7对评标过程及各投标人的商业机密予以保密；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3.1.5.8配合采购人、采购代理机构答复各投标人提出的质疑；</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3.1.5.9配合各部门的投诉处理和监督检查工作。</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3.2在政府采购活动中，采购人员及相关人员（包括评标委员会）与投标人有下列利害关系之一的，应当回避：</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3.2.1参加采购活动前3年内与投标人存在劳动关系；</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3.2.2参加采购活动前3年内担任投标人的董事、监事；</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3.2.3参加采购活动前3年内是投标人的控股股东或者实际控制人；</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3.2.4与投标人的法定代表人或者负责人有夫妻、直系血亲、三代以内旁系血亲或者近姻亲关系；</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3.2.5与投标人有其他可能影响政府采购活动公平、公正进行的关系。</w:t>
      </w:r>
    </w:p>
    <w:p>
      <w:pPr>
        <w:spacing w:line="480" w:lineRule="exact"/>
        <w:ind w:firstLine="480" w:firstLineChars="200"/>
        <w:rPr>
          <w:rFonts w:ascii="宋体" w:hAnsi="宋体" w:cs="宋体"/>
          <w:bCs/>
          <w:color w:val="auto"/>
          <w:szCs w:val="24"/>
          <w:highlight w:val="none"/>
        </w:rPr>
      </w:pPr>
      <w:r>
        <w:rPr>
          <w:rFonts w:hint="eastAsia" w:ascii="宋体" w:hAnsi="宋体" w:cs="宋体"/>
          <w:bCs/>
          <w:color w:val="auto"/>
          <w:szCs w:val="24"/>
          <w:highlight w:val="none"/>
        </w:rPr>
        <w:t>3.3评标原则：</w:t>
      </w:r>
      <w:r>
        <w:rPr>
          <w:rFonts w:hint="eastAsia" w:ascii="宋体" w:hAnsi="宋体" w:cs="宋体"/>
          <w:color w:val="auto"/>
          <w:szCs w:val="24"/>
          <w:highlight w:val="none"/>
        </w:rPr>
        <w:t>坚持公平、公正、科学、择优原则，禁止不正当竞争。</w:t>
      </w:r>
    </w:p>
    <w:p>
      <w:pPr>
        <w:spacing w:line="480" w:lineRule="exact"/>
        <w:ind w:firstLine="480" w:firstLineChars="200"/>
        <w:rPr>
          <w:rFonts w:ascii="宋体" w:hAnsi="宋体" w:cs="宋体"/>
          <w:color w:val="auto"/>
          <w:szCs w:val="24"/>
          <w:highlight w:val="none"/>
        </w:rPr>
      </w:pPr>
      <w:r>
        <w:rPr>
          <w:rFonts w:hint="eastAsia" w:ascii="宋体" w:hAnsi="宋体" w:cs="宋体"/>
          <w:bCs/>
          <w:color w:val="auto"/>
          <w:szCs w:val="24"/>
          <w:highlight w:val="none"/>
        </w:rPr>
        <w:t>3.4评标办法</w:t>
      </w:r>
      <w:r>
        <w:rPr>
          <w:rFonts w:hint="eastAsia" w:ascii="宋体" w:hAnsi="宋体" w:cs="宋体"/>
          <w:color w:val="auto"/>
          <w:szCs w:val="24"/>
          <w:highlight w:val="none"/>
        </w:rPr>
        <w:t>：本次招标采用综合评分法（详见本节评分标准）。</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3.5评标工作程序：</w:t>
      </w:r>
      <w:r>
        <w:rPr>
          <w:rFonts w:hint="eastAsia" w:ascii="宋体" w:hAnsi="宋体" w:cs="宋体"/>
          <w:color w:val="auto"/>
          <w:szCs w:val="24"/>
          <w:highlight w:val="none"/>
        </w:rPr>
        <w:t>符合性审查、澄清、评价、推荐中标候选人的工作程序进行评标。</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3.5.1投标文件符合性审查</w:t>
      </w:r>
    </w:p>
    <w:p>
      <w:pPr>
        <w:spacing w:line="480" w:lineRule="exact"/>
        <w:rPr>
          <w:rFonts w:ascii="宋体" w:hAnsi="宋体" w:cs="宋体"/>
          <w:b/>
          <w:bCs/>
          <w:color w:val="auto"/>
          <w:szCs w:val="24"/>
          <w:highlight w:val="none"/>
        </w:rPr>
      </w:pPr>
      <w:r>
        <w:rPr>
          <w:rFonts w:hint="eastAsia" w:ascii="宋体" w:hAnsi="宋体" w:cs="宋体"/>
          <w:color w:val="auto"/>
          <w:highlight w:val="none"/>
        </w:rPr>
        <w:t xml:space="preserve">    依据招标文件的规定，</w:t>
      </w:r>
      <w:r>
        <w:rPr>
          <w:rFonts w:hint="eastAsia" w:ascii="宋体" w:hAnsi="宋体" w:cs="宋体"/>
          <w:color w:val="auto"/>
          <w:szCs w:val="24"/>
          <w:highlight w:val="none"/>
        </w:rPr>
        <w:t>对资格合格者投标文件的完整性、有效性和对招标文件的响应程度进行审查，以确定是否对招标文件的实质性内容做出响应，包含但不限于以下内容，未通过审查的按无效投标处理：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3.5.1.1投标人名称与登记获取招标文件的单位名称不一致；</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3.5.1.2除明确允许投标人可以自行编写以外，投标文件未按照招标文件给定的格式和要求编制； </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3.5.1.3投标文件未按照招标文件的要求盖章签字；</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3.5.1.4投标报价超过采购预算；</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3.5.1.5投标有效期不符合招标文件的要求；</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3.5.1.6未对招标文件商务要求作出明确且实质性响应；</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3.5.1.7未对招标文件技术要求作出明确响应，对不得偏离的要求未作出实质性响应； </w:t>
      </w:r>
    </w:p>
    <w:p>
      <w:pPr>
        <w:spacing w:line="480" w:lineRule="exact"/>
        <w:ind w:left="480" w:leftChars="200"/>
        <w:rPr>
          <w:rFonts w:ascii="宋体" w:hAnsi="宋体" w:cs="宋体"/>
          <w:color w:val="auto"/>
          <w:szCs w:val="24"/>
          <w:highlight w:val="none"/>
        </w:rPr>
      </w:pPr>
      <w:r>
        <w:rPr>
          <w:rFonts w:hint="eastAsia" w:ascii="宋体" w:hAnsi="宋体" w:cs="宋体"/>
          <w:color w:val="auto"/>
          <w:szCs w:val="24"/>
          <w:highlight w:val="none"/>
        </w:rPr>
        <w:t>3.5.1.</w:t>
      </w:r>
      <w:r>
        <w:rPr>
          <w:rFonts w:hint="eastAsia" w:ascii="宋体" w:hAnsi="宋体" w:cs="宋体"/>
          <w:color w:val="auto"/>
          <w:szCs w:val="24"/>
          <w:highlight w:val="none"/>
          <w:lang w:val="en-US" w:eastAsia="zh-CN"/>
        </w:rPr>
        <w:t>8</w:t>
      </w:r>
      <w:r>
        <w:rPr>
          <w:rFonts w:hint="eastAsia" w:ascii="宋体" w:hAnsi="宋体" w:cs="宋体"/>
          <w:color w:val="auto"/>
          <w:szCs w:val="24"/>
          <w:highlight w:val="none"/>
        </w:rPr>
        <w:t>投标文件含有采购人不能接受的附加条件；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3.5.1.</w:t>
      </w:r>
      <w:r>
        <w:rPr>
          <w:rFonts w:hint="eastAsia" w:ascii="宋体" w:hAnsi="宋体" w:cs="宋体"/>
          <w:color w:val="auto"/>
          <w:szCs w:val="24"/>
          <w:highlight w:val="none"/>
          <w:lang w:val="en-US" w:eastAsia="zh-CN"/>
        </w:rPr>
        <w:t>9</w:t>
      </w:r>
      <w:r>
        <w:rPr>
          <w:rFonts w:hint="eastAsia" w:ascii="宋体" w:hAnsi="宋体" w:cs="宋体"/>
          <w:color w:val="auto"/>
          <w:szCs w:val="24"/>
          <w:highlight w:val="none"/>
        </w:rPr>
        <w:t>法律、法规和招标文件规定的其他无效投标情形。</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szCs w:val="24"/>
          <w:highlight w:val="none"/>
        </w:rPr>
        <w:t>3.5.2投标文件的澄清：</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highlight w:val="none"/>
        </w:rPr>
        <w:t>3.5.2.1在评标期间,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被授权人签字。投标人的澄清、说明或者补正不得超出投标文件的范围或者改变投标文件的实质性内容。</w:t>
      </w:r>
    </w:p>
    <w:p>
      <w:pPr>
        <w:overflowPunct w:val="0"/>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3.5.3书写错误的评审标准：</w:t>
      </w:r>
    </w:p>
    <w:p>
      <w:pPr>
        <w:overflowPunct w:val="0"/>
        <w:adjustRightInd w:val="0"/>
        <w:snapToGrid w:val="0"/>
        <w:spacing w:line="480" w:lineRule="exact"/>
        <w:ind w:firstLine="482" w:firstLineChars="200"/>
        <w:rPr>
          <w:rFonts w:ascii="宋体" w:hAnsi="宋体"/>
          <w:b/>
          <w:bCs/>
          <w:color w:val="auto"/>
          <w:highlight w:val="none"/>
        </w:rPr>
      </w:pPr>
      <w:r>
        <w:rPr>
          <w:rFonts w:hint="eastAsia" w:ascii="宋体" w:hAnsi="宋体"/>
          <w:b/>
          <w:bCs/>
          <w:color w:val="auto"/>
          <w:highlight w:val="none"/>
        </w:rPr>
        <w:t>报价出现下列情况之一者，按照下列规定修正，（同时出现两种以上不一致的，按下列规定的修正）：</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3.5.3.1</w:t>
      </w:r>
      <w:r>
        <w:rPr>
          <w:rFonts w:hint="eastAsia" w:ascii="宋体" w:hAnsi="宋体"/>
          <w:szCs w:val="24"/>
        </w:rPr>
        <w:t>投标文件有关内容与“开标一览表”不一致的，以“开标一览表”为准</w:t>
      </w:r>
      <w:r>
        <w:rPr>
          <w:rFonts w:ascii="宋体" w:hAnsi="宋体"/>
        </w:rPr>
        <w:t>；</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3.5.3.2</w:t>
      </w:r>
      <w:r>
        <w:rPr>
          <w:rFonts w:hint="eastAsia" w:ascii="宋体" w:hAnsi="宋体"/>
          <w:szCs w:val="24"/>
        </w:rPr>
        <w:t>大写金额与小写金额不一致的，以大写金额为准</w:t>
      </w:r>
      <w:r>
        <w:rPr>
          <w:rFonts w:ascii="宋体" w:hAnsi="宋体"/>
        </w:rPr>
        <w:t>；</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3.5.3.3</w:t>
      </w:r>
      <w:r>
        <w:rPr>
          <w:rFonts w:hint="eastAsia" w:ascii="宋体" w:hAnsi="宋体"/>
        </w:rPr>
        <w:t>单价金额小数点或者百分比有明显错位的，以“</w:t>
      </w:r>
      <w:r>
        <w:rPr>
          <w:rFonts w:hint="eastAsia" w:ascii="宋体" w:hAnsi="宋体"/>
          <w:szCs w:val="24"/>
        </w:rPr>
        <w:t>开标一览表</w:t>
      </w:r>
      <w:r>
        <w:rPr>
          <w:rFonts w:hint="eastAsia" w:ascii="宋体" w:hAnsi="宋体"/>
        </w:rPr>
        <w:t>”的总价为准，并修改单价；</w:t>
      </w:r>
    </w:p>
    <w:p>
      <w:pPr>
        <w:overflowPunct w:val="0"/>
        <w:adjustRightInd w:val="0"/>
        <w:snapToGrid w:val="0"/>
        <w:spacing w:line="480" w:lineRule="exact"/>
        <w:ind w:firstLine="480" w:firstLineChars="200"/>
        <w:rPr>
          <w:rFonts w:hint="eastAsia" w:ascii="宋体" w:hAnsi="宋体"/>
          <w:szCs w:val="24"/>
        </w:rPr>
      </w:pPr>
      <w:r>
        <w:rPr>
          <w:rFonts w:hint="eastAsia" w:ascii="宋体" w:hAnsi="宋体"/>
          <w:lang w:val="en-US" w:eastAsia="zh-CN"/>
        </w:rPr>
        <w:t>3.5.3.4</w:t>
      </w:r>
      <w:r>
        <w:rPr>
          <w:rFonts w:hint="eastAsia" w:ascii="宋体" w:hAnsi="宋体"/>
        </w:rPr>
        <w:t>总价金额与按</w:t>
      </w:r>
      <w:r>
        <w:rPr>
          <w:rFonts w:hint="eastAsia" w:ascii="宋体" w:hAnsi="宋体"/>
          <w:szCs w:val="24"/>
        </w:rPr>
        <w:t>单价汇总金额不一致的，以单价乘以数量的计算结果为准</w:t>
      </w:r>
      <w:r>
        <w:rPr>
          <w:rFonts w:hint="eastAsia" w:ascii="宋体" w:hAnsi="宋体"/>
        </w:rPr>
        <w:t>；</w:t>
      </w:r>
    </w:p>
    <w:p>
      <w:pPr>
        <w:overflowPunct w:val="0"/>
        <w:adjustRightInd w:val="0"/>
        <w:snapToGrid w:val="0"/>
        <w:spacing w:line="480" w:lineRule="exact"/>
        <w:ind w:firstLine="482" w:firstLineChars="200"/>
        <w:rPr>
          <w:rFonts w:hint="eastAsia" w:ascii="宋体" w:hAnsi="宋体"/>
          <w:lang w:val="en-US" w:eastAsia="zh-CN"/>
        </w:rPr>
      </w:pPr>
      <w:r>
        <w:rPr>
          <w:rFonts w:hint="eastAsia" w:ascii="宋体" w:hAnsi="宋体"/>
          <w:b/>
          <w:bCs/>
          <w:lang w:val="en-US" w:eastAsia="zh-CN"/>
        </w:rPr>
        <w:t>评审过程中，发现投标文件出现下列情况之一者，按照下列规定修正：</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3.5.3.5</w:t>
      </w:r>
      <w:r>
        <w:rPr>
          <w:rFonts w:hint="eastAsia" w:ascii="宋体" w:hAnsi="宋体"/>
          <w:szCs w:val="24"/>
        </w:rPr>
        <w:t>投标文件图表与文字不符时，以文字为准</w:t>
      </w:r>
      <w:r>
        <w:rPr>
          <w:rFonts w:hint="eastAsia" w:ascii="宋体" w:hAnsi="宋体"/>
        </w:rPr>
        <w:t>；</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3.5.3.6</w:t>
      </w:r>
      <w:r>
        <w:rPr>
          <w:rFonts w:ascii="宋体" w:hAnsi="宋体"/>
        </w:rPr>
        <w:t>对不同文字文本投标文件的解释发生异议的，以中文文本为准；</w:t>
      </w:r>
    </w:p>
    <w:p>
      <w:pPr>
        <w:overflowPunct w:val="0"/>
        <w:adjustRightInd w:val="0"/>
        <w:snapToGrid w:val="0"/>
        <w:spacing w:line="480" w:lineRule="exact"/>
        <w:ind w:firstLine="480" w:firstLineChars="200"/>
        <w:rPr>
          <w:rFonts w:hint="eastAsia" w:ascii="宋体" w:hAnsi="宋体"/>
        </w:rPr>
      </w:pPr>
      <w:r>
        <w:rPr>
          <w:rFonts w:hint="eastAsia" w:ascii="宋体" w:hAnsi="宋体"/>
          <w:lang w:val="en-US" w:eastAsia="zh-CN"/>
        </w:rPr>
        <w:t>3.5.3.7</w:t>
      </w:r>
      <w:r>
        <w:rPr>
          <w:rFonts w:hint="eastAsia" w:ascii="宋体" w:hAnsi="宋体"/>
        </w:rPr>
        <w:t>分项报价表、技术响应偏离表中的技术响应参数、规格型号不一致时，以分项报价表为准；</w:t>
      </w:r>
    </w:p>
    <w:p>
      <w:pPr>
        <w:spacing w:line="480" w:lineRule="exact"/>
        <w:ind w:firstLine="480" w:firstLineChars="200"/>
        <w:rPr>
          <w:rFonts w:hint="eastAsia" w:ascii="宋体" w:hAnsi="宋体"/>
          <w:szCs w:val="24"/>
        </w:rPr>
      </w:pPr>
      <w:r>
        <w:rPr>
          <w:rFonts w:hint="eastAsia" w:ascii="宋体" w:hAnsi="宋体"/>
          <w:lang w:val="en-US" w:eastAsia="zh-CN"/>
        </w:rPr>
        <w:t>3.5.3.8</w:t>
      </w:r>
      <w:r>
        <w:rPr>
          <w:rFonts w:hint="eastAsia" w:ascii="宋体" w:hAnsi="宋体"/>
          <w:szCs w:val="24"/>
        </w:rPr>
        <w:t>多处内容交叉不符时，以评标委员会评审结果为准。</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注：按上述方法修正的内容，经投标人确认后产生约束力，投标人不确认的，其投标无效。</w:t>
      </w:r>
    </w:p>
    <w:p>
      <w:pPr>
        <w:spacing w:line="480" w:lineRule="exact"/>
        <w:ind w:firstLine="465"/>
        <w:rPr>
          <w:rFonts w:ascii="宋体" w:hAnsi="宋体" w:cs="宋体"/>
          <w:color w:val="auto"/>
          <w:szCs w:val="24"/>
          <w:highlight w:val="none"/>
        </w:rPr>
      </w:pPr>
      <w:r>
        <w:rPr>
          <w:rFonts w:hint="eastAsia" w:ascii="宋体" w:hAnsi="宋体" w:cs="宋体"/>
          <w:color w:val="auto"/>
          <w:szCs w:val="24"/>
          <w:highlight w:val="none"/>
        </w:rPr>
        <w:t>3.5.4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80" w:lineRule="exact"/>
        <w:ind w:firstLine="465"/>
        <w:rPr>
          <w:rFonts w:ascii="宋体" w:hAnsi="宋体" w:cs="宋体"/>
          <w:color w:val="auto"/>
          <w:szCs w:val="24"/>
          <w:highlight w:val="none"/>
        </w:rPr>
      </w:pPr>
      <w:r>
        <w:rPr>
          <w:rFonts w:hint="eastAsia" w:ascii="宋体" w:hAnsi="宋体" w:cs="宋体"/>
          <w:color w:val="auto"/>
          <w:szCs w:val="24"/>
          <w:highlight w:val="none"/>
        </w:rPr>
        <w:t>3.5.5评审：</w:t>
      </w:r>
    </w:p>
    <w:p>
      <w:pPr>
        <w:spacing w:line="480" w:lineRule="exact"/>
        <w:ind w:firstLine="465"/>
        <w:rPr>
          <w:rFonts w:ascii="宋体" w:hAnsi="宋体" w:cs="宋体"/>
          <w:color w:val="auto"/>
          <w:szCs w:val="24"/>
          <w:highlight w:val="none"/>
        </w:rPr>
      </w:pPr>
      <w:r>
        <w:rPr>
          <w:rFonts w:hint="eastAsia" w:ascii="宋体" w:hAnsi="宋体" w:cs="宋体"/>
          <w:color w:val="auto"/>
          <w:szCs w:val="24"/>
          <w:highlight w:val="none"/>
        </w:rPr>
        <w:t>3.5.5.1评标委员会评审投标文件符合性只根据投标文件本身的内容，而不寻求其他外部证据。</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szCs w:val="24"/>
          <w:highlight w:val="none"/>
        </w:rPr>
        <w:t>3.5.5.2</w:t>
      </w:r>
      <w:r>
        <w:rPr>
          <w:rFonts w:hint="eastAsia" w:ascii="宋体" w:hAnsi="宋体" w:cs="宋体"/>
          <w:color w:val="auto"/>
          <w:highlight w:val="none"/>
        </w:rPr>
        <w:t>评标采取逐项分步评审方式，每一步评审不符合者按无效投标处理，不进入下一步评审，全部评审合格的投标人进行最后的综合评审和打分，按最后得分由高向低排序，推荐中标候选人。</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highlight w:val="none"/>
        </w:rPr>
        <w:t>3.5.6其他需说明的情况：</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highlight w:val="none"/>
        </w:rPr>
        <w:t>3.5.6.1对于投标文件中不构成实质性偏差的小的不正规、不一致或不规则，采购人可以接受，但这种接受不能损害或影响任何投标人的相对排序；</w:t>
      </w:r>
    </w:p>
    <w:p>
      <w:pPr>
        <w:spacing w:line="480" w:lineRule="exact"/>
        <w:ind w:firstLine="480" w:firstLineChars="200"/>
        <w:rPr>
          <w:rFonts w:ascii="宋体" w:hAnsi="宋体" w:cs="宋体"/>
          <w:color w:val="auto"/>
          <w:szCs w:val="24"/>
          <w:highlight w:val="none"/>
        </w:rPr>
      </w:pPr>
      <w:r>
        <w:rPr>
          <w:rFonts w:hint="eastAsia" w:ascii="宋体" w:hAnsi="宋体" w:cs="宋体"/>
          <w:color w:val="auto"/>
          <w:highlight w:val="none"/>
        </w:rPr>
        <w:t>3.5.6.2最低报价不是中标的唯一条件；</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highlight w:val="none"/>
        </w:rPr>
        <w:t>3.5.6.3如果投标实质上没有响应招标文件的要求，其投标将被拒绝，投标人不得通过修正或撤消不合要求的偏离或保留从而使其投标成为实质上响应的投标。</w:t>
      </w:r>
    </w:p>
    <w:p>
      <w:pPr>
        <w:overflowPunct w:val="0"/>
        <w:adjustRightInd w:val="0"/>
        <w:snapToGrid w:val="0"/>
        <w:spacing w:line="480" w:lineRule="exact"/>
        <w:ind w:firstLine="480" w:firstLineChars="200"/>
        <w:rPr>
          <w:rFonts w:ascii="宋体" w:hAnsi="宋体" w:cs="宋体"/>
          <w:color w:val="auto"/>
          <w:highlight w:val="none"/>
        </w:rPr>
      </w:pPr>
      <w:r>
        <w:rPr>
          <w:rFonts w:hint="eastAsia" w:ascii="宋体" w:hAnsi="宋体" w:cs="宋体"/>
          <w:color w:val="auto"/>
          <w:highlight w:val="none"/>
        </w:rPr>
        <w:t>3.5.6.4</w:t>
      </w:r>
      <w:r>
        <w:rPr>
          <w:rFonts w:hint="eastAsia" w:ascii="宋体" w:hAnsi="宋体" w:cs="宋体"/>
          <w:color w:val="auto"/>
          <w:szCs w:val="24"/>
          <w:highlight w:val="none"/>
        </w:rPr>
        <w:t>无论投标的结果如何，投标期间一切费用自理。</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3.6评分标准：</w:t>
      </w:r>
    </w:p>
    <w:tbl>
      <w:tblPr>
        <w:tblStyle w:val="38"/>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992"/>
        <w:gridCol w:w="7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40" w:lineRule="exact"/>
              <w:ind w:left="-134" w:leftChars="-56" w:right="-108" w:rightChars="-45"/>
              <w:jc w:val="center"/>
              <w:rPr>
                <w:rFonts w:ascii="宋体" w:hAnsi="宋体" w:cs="宋体"/>
                <w:color w:val="auto"/>
                <w:szCs w:val="24"/>
                <w:highlight w:val="none"/>
              </w:rPr>
            </w:pPr>
            <w:r>
              <w:rPr>
                <w:rFonts w:hint="eastAsia" w:ascii="宋体" w:hAnsi="宋体" w:cs="宋体"/>
                <w:color w:val="auto"/>
                <w:highlight w:val="none"/>
              </w:rPr>
              <w:t>评审分项</w:t>
            </w:r>
          </w:p>
        </w:tc>
        <w:tc>
          <w:tcPr>
            <w:tcW w:w="992" w:type="dxa"/>
            <w:vAlign w:val="center"/>
          </w:tcPr>
          <w:p>
            <w:pPr>
              <w:spacing w:line="440" w:lineRule="exact"/>
              <w:ind w:left="-134" w:leftChars="-56" w:right="-108" w:rightChars="-45"/>
              <w:jc w:val="center"/>
              <w:rPr>
                <w:rFonts w:ascii="宋体" w:hAnsi="宋体" w:cs="宋体"/>
                <w:color w:val="auto"/>
                <w:szCs w:val="24"/>
                <w:highlight w:val="none"/>
              </w:rPr>
            </w:pPr>
            <w:r>
              <w:rPr>
                <w:rFonts w:hint="eastAsia" w:ascii="宋体" w:hAnsi="宋体" w:cs="宋体"/>
                <w:color w:val="auto"/>
                <w:highlight w:val="none"/>
              </w:rPr>
              <w:t>分项分值</w:t>
            </w:r>
          </w:p>
        </w:tc>
        <w:tc>
          <w:tcPr>
            <w:tcW w:w="7541" w:type="dxa"/>
            <w:vAlign w:val="center"/>
          </w:tcPr>
          <w:p>
            <w:pPr>
              <w:spacing w:line="440" w:lineRule="exact"/>
              <w:jc w:val="center"/>
              <w:rPr>
                <w:rFonts w:ascii="宋体" w:hAnsi="宋体" w:cs="宋体"/>
                <w:color w:val="auto"/>
                <w:szCs w:val="24"/>
                <w:highlight w:val="none"/>
              </w:rPr>
            </w:pPr>
            <w:r>
              <w:rPr>
                <w:rFonts w:hint="eastAsia" w:ascii="宋体" w:hAnsi="宋体" w:cs="宋体"/>
                <w:color w:val="auto"/>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40" w:lineRule="exact"/>
              <w:ind w:right="-108" w:rightChars="-45"/>
              <w:jc w:val="center"/>
              <w:rPr>
                <w:rFonts w:ascii="宋体" w:hAnsi="宋体" w:cs="宋体"/>
                <w:color w:val="auto"/>
                <w:szCs w:val="24"/>
                <w:highlight w:val="none"/>
              </w:rPr>
            </w:pPr>
            <w:r>
              <w:rPr>
                <w:rFonts w:hint="eastAsia" w:ascii="宋体" w:hAnsi="宋体" w:cs="宋体"/>
                <w:color w:val="auto"/>
                <w:szCs w:val="24"/>
                <w:highlight w:val="none"/>
              </w:rPr>
              <w:t>报价</w:t>
            </w:r>
          </w:p>
        </w:tc>
        <w:tc>
          <w:tcPr>
            <w:tcW w:w="992" w:type="dxa"/>
            <w:vAlign w:val="center"/>
          </w:tcPr>
          <w:p>
            <w:pPr>
              <w:spacing w:line="440" w:lineRule="exact"/>
              <w:ind w:left="-134" w:leftChars="-56" w:right="-108" w:rightChars="-45"/>
              <w:jc w:val="center"/>
              <w:rPr>
                <w:rFonts w:ascii="宋体" w:hAnsi="宋体" w:cs="宋体"/>
                <w:color w:val="auto"/>
                <w:szCs w:val="24"/>
                <w:highlight w:val="none"/>
              </w:rPr>
            </w:pPr>
            <w:r>
              <w:rPr>
                <w:rFonts w:hint="eastAsia" w:ascii="宋体" w:hAnsi="宋体" w:cs="宋体"/>
                <w:color w:val="auto"/>
                <w:szCs w:val="24"/>
                <w:highlight w:val="none"/>
              </w:rPr>
              <w:t>30分</w:t>
            </w:r>
          </w:p>
        </w:tc>
        <w:tc>
          <w:tcPr>
            <w:tcW w:w="7541" w:type="dxa"/>
            <w:vAlign w:val="center"/>
          </w:tcPr>
          <w:p>
            <w:pPr>
              <w:pStyle w:val="145"/>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    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w:t>
            </w:r>
          </w:p>
          <w:p>
            <w:pPr>
              <w:pStyle w:val="145"/>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投标报价得分=（评标基准价/投标报价）×价格权值（即30%）×100</w:t>
            </w:r>
          </w:p>
          <w:p>
            <w:pPr>
              <w:pStyle w:val="145"/>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（因落实政府采购政策进行价格调整的，以调整后的价格计算评标基准价和投标报价，详见3.7.1至3.7.3）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80" w:lineRule="exact"/>
              <w:ind w:right="-108" w:rightChars="-45"/>
              <w:jc w:val="center"/>
              <w:rPr>
                <w:rFonts w:hint="eastAsia" w:ascii="宋体" w:hAnsi="宋体" w:cs="宋体"/>
                <w:color w:val="auto"/>
                <w:szCs w:val="24"/>
                <w:highlight w:val="none"/>
              </w:rPr>
            </w:pPr>
            <w:r>
              <w:rPr>
                <w:rFonts w:hint="eastAsia" w:ascii="宋体" w:hAnsi="宋体"/>
                <w:szCs w:val="24"/>
              </w:rPr>
              <w:t xml:space="preserve"> 节能、环保产品</w:t>
            </w:r>
          </w:p>
        </w:tc>
        <w:tc>
          <w:tcPr>
            <w:tcW w:w="992" w:type="dxa"/>
            <w:vAlign w:val="center"/>
          </w:tcPr>
          <w:p>
            <w:pPr>
              <w:spacing w:line="480" w:lineRule="exact"/>
              <w:ind w:left="-134" w:leftChars="-56" w:right="-108" w:rightChars="-45"/>
              <w:jc w:val="center"/>
              <w:rPr>
                <w:rFonts w:hint="eastAsia" w:ascii="宋体" w:hAnsi="宋体" w:cs="宋体"/>
                <w:color w:val="auto"/>
                <w:szCs w:val="24"/>
                <w:highlight w:val="none"/>
              </w:rPr>
            </w:pPr>
            <w:r>
              <w:rPr>
                <w:rFonts w:hint="eastAsia" w:ascii="宋体" w:hAnsi="宋体"/>
                <w:szCs w:val="24"/>
              </w:rPr>
              <w:t>2分</w:t>
            </w:r>
          </w:p>
        </w:tc>
        <w:tc>
          <w:tcPr>
            <w:tcW w:w="7541" w:type="dxa"/>
            <w:vAlign w:val="center"/>
          </w:tcPr>
          <w:p>
            <w:pPr>
              <w:pStyle w:val="145"/>
              <w:spacing w:line="460" w:lineRule="exact"/>
              <w:rPr>
                <w:rFonts w:hint="eastAsia" w:ascii="宋体" w:hAnsi="宋体" w:cs="宋体"/>
                <w:color w:val="auto"/>
                <w:sz w:val="24"/>
                <w:szCs w:val="24"/>
                <w:highlight w:val="none"/>
              </w:rPr>
            </w:pPr>
            <w:r>
              <w:rPr>
                <w:rFonts w:hint="eastAsia" w:ascii="宋体" w:hAnsi="宋体"/>
                <w:sz w:val="24"/>
                <w:szCs w:val="24"/>
              </w:rPr>
              <w:t>投标人投标产品中每有一项为节能产品政府采购清单中优先采购的节能产品的计0.5分，每有一项为环境标志产品政府采购清单中的产品的计0.5分，每有一项产品同时为节能产品政府采购清单中优先采购的节能产品和环境标志产品政府采购清单中的产品的得1分，最多得2分。</w:t>
            </w:r>
            <w:r>
              <w:rPr>
                <w:rFonts w:hint="eastAsia" w:ascii="宋体" w:hAnsi="宋体"/>
                <w:sz w:val="24"/>
                <w:szCs w:val="24"/>
                <w:highlight w:val="none"/>
              </w:rPr>
              <w:t>（提供认证机构出具的、处于有效期之内的节能产品、环境标志产品认证证书，详</w:t>
            </w:r>
            <w:r>
              <w:rPr>
                <w:rFonts w:hint="eastAsia" w:ascii="宋体" w:hAnsi="宋体"/>
                <w:sz w:val="24"/>
                <w:szCs w:val="24"/>
              </w:rPr>
              <w:t>见3-7-4）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80" w:lineRule="exact"/>
              <w:jc w:val="center"/>
              <w:rPr>
                <w:rFonts w:hint="eastAsia" w:ascii="宋体" w:hAnsi="宋体" w:eastAsia="宋体" w:cs="宋体"/>
                <w:sz w:val="24"/>
              </w:rPr>
            </w:pPr>
            <w:r>
              <w:rPr>
                <w:rFonts w:hint="eastAsia" w:ascii="宋体" w:hAnsi="宋体" w:eastAsia="宋体" w:cs="宋体"/>
                <w:sz w:val="24"/>
              </w:rPr>
              <w:t>商务</w:t>
            </w:r>
          </w:p>
          <w:p>
            <w:pPr>
              <w:spacing w:line="480" w:lineRule="exact"/>
              <w:jc w:val="center"/>
              <w:rPr>
                <w:rFonts w:ascii="宋体" w:hAnsi="宋体" w:cs="宋体"/>
                <w:color w:val="auto"/>
                <w:szCs w:val="24"/>
                <w:highlight w:val="none"/>
              </w:rPr>
            </w:pPr>
            <w:r>
              <w:rPr>
                <w:rFonts w:hint="eastAsia" w:ascii="宋体" w:hAnsi="宋体" w:eastAsia="宋体" w:cs="宋体"/>
                <w:sz w:val="24"/>
              </w:rPr>
              <w:t>响应</w:t>
            </w:r>
          </w:p>
        </w:tc>
        <w:tc>
          <w:tcPr>
            <w:tcW w:w="992" w:type="dxa"/>
            <w:vAlign w:val="center"/>
          </w:tcPr>
          <w:p>
            <w:pPr>
              <w:spacing w:line="440" w:lineRule="exact"/>
              <w:ind w:left="-134" w:leftChars="-56" w:right="-108" w:rightChars="-45"/>
              <w:jc w:val="center"/>
              <w:rPr>
                <w:rFonts w:ascii="宋体" w:hAnsi="宋体" w:cs="宋体"/>
                <w:color w:val="auto"/>
                <w:szCs w:val="24"/>
                <w:highlight w:val="none"/>
              </w:rPr>
            </w:pPr>
            <w:r>
              <w:rPr>
                <w:rFonts w:hint="eastAsia" w:ascii="宋体" w:hAnsi="宋体" w:cs="宋体"/>
                <w:sz w:val="24"/>
                <w:lang w:val="en-US" w:eastAsia="zh-CN"/>
              </w:rPr>
              <w:t>3</w:t>
            </w:r>
            <w:r>
              <w:rPr>
                <w:rFonts w:hint="eastAsia" w:ascii="宋体" w:hAnsi="宋体" w:eastAsia="宋体" w:cs="宋体"/>
                <w:sz w:val="24"/>
              </w:rPr>
              <w:t>分</w:t>
            </w:r>
          </w:p>
        </w:tc>
        <w:tc>
          <w:tcPr>
            <w:tcW w:w="7541" w:type="dxa"/>
            <w:vAlign w:val="center"/>
          </w:tcPr>
          <w:p>
            <w:pPr>
              <w:autoSpaceDE w:val="0"/>
              <w:autoSpaceDN w:val="0"/>
              <w:adjustRightInd w:val="0"/>
              <w:snapToGrid w:val="0"/>
              <w:spacing w:before="240" w:line="520" w:lineRule="exact"/>
              <w:rPr>
                <w:rFonts w:hint="eastAsia" w:ascii="仿宋" w:hAnsi="仿宋" w:eastAsia="仿宋" w:cs="仿宋"/>
                <w:szCs w:val="24"/>
                <w:lang w:val="zh-CN"/>
              </w:rPr>
            </w:pPr>
            <w:r>
              <w:rPr>
                <w:rFonts w:hint="eastAsia" w:ascii="宋体" w:hAnsi="宋体" w:cs="宋体"/>
                <w:sz w:val="24"/>
                <w:lang w:eastAsia="zh-CN"/>
              </w:rPr>
              <w:t>投标</w:t>
            </w:r>
            <w:r>
              <w:rPr>
                <w:rFonts w:hint="eastAsia" w:ascii="宋体" w:hAnsi="宋体" w:eastAsia="宋体" w:cs="宋体"/>
                <w:sz w:val="24"/>
              </w:rPr>
              <w:t>文件对</w:t>
            </w:r>
            <w:r>
              <w:rPr>
                <w:rFonts w:hint="eastAsia" w:ascii="宋体" w:hAnsi="宋体" w:eastAsia="宋体" w:cs="宋体"/>
                <w:sz w:val="24"/>
                <w:lang w:eastAsia="zh-CN"/>
              </w:rPr>
              <w:t>交货</w:t>
            </w:r>
            <w:r>
              <w:rPr>
                <w:rFonts w:hint="eastAsia" w:ascii="宋体" w:hAnsi="宋体" w:cs="宋体"/>
                <w:sz w:val="24"/>
                <w:lang w:eastAsia="zh-CN"/>
              </w:rPr>
              <w:t>期</w:t>
            </w:r>
            <w:r>
              <w:rPr>
                <w:rFonts w:hint="eastAsia" w:ascii="宋体" w:hAnsi="宋体" w:eastAsia="宋体" w:cs="宋体"/>
                <w:sz w:val="24"/>
                <w:lang w:eastAsia="zh-CN"/>
              </w:rPr>
              <w:t>、质保期、</w:t>
            </w:r>
            <w:r>
              <w:rPr>
                <w:rFonts w:hint="eastAsia" w:ascii="宋体" w:hAnsi="宋体" w:eastAsia="宋体" w:cs="宋体"/>
                <w:sz w:val="24"/>
              </w:rPr>
              <w:t>付款方式等商务要求进行详细说明，完全响应</w:t>
            </w:r>
            <w:r>
              <w:rPr>
                <w:rFonts w:hint="eastAsia" w:ascii="宋体" w:hAnsi="宋体" w:cs="宋体"/>
                <w:sz w:val="24"/>
                <w:lang w:eastAsia="zh-CN"/>
              </w:rPr>
              <w:t>招标</w:t>
            </w:r>
            <w:r>
              <w:rPr>
                <w:rFonts w:hint="eastAsia" w:ascii="宋体" w:hAnsi="宋体" w:eastAsia="宋体" w:cs="宋体"/>
                <w:sz w:val="24"/>
              </w:rPr>
              <w:t>文件的计</w:t>
            </w:r>
            <w:r>
              <w:rPr>
                <w:rFonts w:hint="eastAsia" w:ascii="宋体" w:hAnsi="宋体" w:cs="宋体"/>
                <w:sz w:val="24"/>
                <w:lang w:val="en-US" w:eastAsia="zh-CN"/>
              </w:rPr>
              <w:t>2</w:t>
            </w:r>
            <w:r>
              <w:rPr>
                <w:rFonts w:hint="eastAsia" w:ascii="宋体" w:hAnsi="宋体" w:eastAsia="宋体" w:cs="宋体"/>
                <w:sz w:val="24"/>
              </w:rPr>
              <w:t>分，</w:t>
            </w:r>
            <w:r>
              <w:rPr>
                <w:rFonts w:hint="eastAsia" w:ascii="宋体" w:hAnsi="宋体" w:eastAsia="宋体" w:cs="宋体"/>
                <w:sz w:val="24"/>
                <w:lang w:eastAsia="zh-CN"/>
              </w:rPr>
              <w:t>交货</w:t>
            </w:r>
            <w:r>
              <w:rPr>
                <w:rFonts w:hint="eastAsia" w:ascii="宋体" w:hAnsi="宋体" w:cs="宋体"/>
                <w:sz w:val="24"/>
                <w:lang w:eastAsia="zh-CN"/>
              </w:rPr>
              <w:t>期</w:t>
            </w:r>
            <w:r>
              <w:rPr>
                <w:rFonts w:hint="eastAsia" w:ascii="宋体" w:hAnsi="宋体" w:eastAsia="宋体" w:cs="宋体"/>
                <w:sz w:val="24"/>
                <w:lang w:eastAsia="zh-CN"/>
              </w:rPr>
              <w:t>、质保期</w:t>
            </w:r>
            <w:r>
              <w:rPr>
                <w:rFonts w:hint="eastAsia" w:ascii="宋体" w:hAnsi="宋体" w:eastAsia="宋体" w:cs="宋体"/>
                <w:sz w:val="24"/>
              </w:rPr>
              <w:t>优于</w:t>
            </w:r>
            <w:r>
              <w:rPr>
                <w:rFonts w:hint="eastAsia" w:ascii="宋体" w:hAnsi="宋体" w:cs="宋体"/>
                <w:sz w:val="24"/>
                <w:lang w:eastAsia="zh-CN"/>
              </w:rPr>
              <w:t>招标</w:t>
            </w:r>
            <w:r>
              <w:rPr>
                <w:rFonts w:hint="eastAsia" w:ascii="宋体" w:hAnsi="宋体" w:eastAsia="宋体" w:cs="宋体"/>
                <w:sz w:val="24"/>
              </w:rPr>
              <w:t>文件的，</w:t>
            </w:r>
            <w:r>
              <w:rPr>
                <w:rFonts w:hint="eastAsia" w:ascii="宋体" w:hAnsi="宋体" w:eastAsia="宋体" w:cs="宋体"/>
                <w:sz w:val="24"/>
                <w:lang w:eastAsia="zh-CN"/>
              </w:rPr>
              <w:t>每项加</w:t>
            </w:r>
            <w:r>
              <w:rPr>
                <w:rFonts w:hint="eastAsia" w:ascii="宋体" w:hAnsi="宋体" w:cs="宋体"/>
                <w:sz w:val="24"/>
                <w:lang w:val="en-US" w:eastAsia="zh-CN"/>
              </w:rPr>
              <w:t>0.5</w:t>
            </w:r>
            <w:r>
              <w:rPr>
                <w:rFonts w:hint="eastAsia" w:ascii="宋体" w:hAnsi="宋体" w:eastAsia="宋体" w:cs="宋体"/>
                <w:sz w:val="24"/>
                <w:lang w:val="en-US" w:eastAsia="zh-CN"/>
              </w:rPr>
              <w:t>分，</w:t>
            </w:r>
            <w:r>
              <w:rPr>
                <w:rFonts w:hint="eastAsia" w:ascii="宋体" w:hAnsi="宋体" w:eastAsia="宋体" w:cs="宋体"/>
                <w:sz w:val="24"/>
              </w:rPr>
              <w:t>最多加</w:t>
            </w:r>
            <w:r>
              <w:rPr>
                <w:rFonts w:hint="eastAsia" w:ascii="宋体" w:hAnsi="宋体" w:cs="宋体"/>
                <w:sz w:val="24"/>
                <w:lang w:val="en-US" w:eastAsia="zh-CN"/>
              </w:rPr>
              <w:t>1</w:t>
            </w:r>
            <w:r>
              <w:rPr>
                <w:rFonts w:hint="eastAsia" w:ascii="宋体" w:hAnsi="宋体" w:eastAsia="宋体" w:cs="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w:t>
            </w:r>
          </w:p>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auto"/>
                <w:szCs w:val="24"/>
                <w:highlight w:val="none"/>
              </w:rPr>
            </w:pPr>
            <w:r>
              <w:rPr>
                <w:rFonts w:hint="eastAsia" w:ascii="宋体" w:hAnsi="宋体" w:eastAsia="宋体" w:cs="宋体"/>
                <w:color w:val="auto"/>
                <w:kern w:val="0"/>
                <w:sz w:val="24"/>
                <w:szCs w:val="24"/>
                <w:highlight w:val="none"/>
              </w:rPr>
              <w:t>指标及配置</w:t>
            </w:r>
          </w:p>
        </w:tc>
        <w:tc>
          <w:tcPr>
            <w:tcW w:w="992" w:type="dxa"/>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cs="宋体"/>
                <w:color w:val="auto"/>
                <w:szCs w:val="24"/>
                <w:highlight w:val="none"/>
              </w:rPr>
            </w:pP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c>
          <w:tcPr>
            <w:tcW w:w="7541" w:type="dxa"/>
            <w:vAlign w:val="top"/>
          </w:tcPr>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1.基本分（</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分）：完全符合、满足</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文件技术要求的，计</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 xml:space="preserve">分； </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2.正偏离加分（</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分）：在各自所得基本分的基础上，投标产品技术指标、参数或功能优于</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文件规定的相应技术指标、参数或功能，并且有实质性能提升的，</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一致认可的可进行相应加分，每项加1分，加分最多加</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分。正偏离须提供技术佐证材料（佐证材料包括但不限于：经厂家确认的产品彩页、检测报告、官网截图等证明材料）,</w:t>
            </w:r>
            <w:r>
              <w:rPr>
                <w:rFonts w:ascii="宋体" w:hAnsi="宋体" w:eastAsia="宋体" w:cs="宋体"/>
                <w:sz w:val="24"/>
                <w:szCs w:val="24"/>
              </w:rPr>
              <w:t>未提供证明材料的视为无正偏离</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40" w:lineRule="exact"/>
              <w:ind w:right="-108" w:rightChars="-45"/>
              <w:jc w:val="center"/>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技术</w:t>
            </w:r>
          </w:p>
          <w:p>
            <w:pPr>
              <w:spacing w:line="440" w:lineRule="exact"/>
              <w:ind w:right="-108" w:rightChars="-45"/>
              <w:jc w:val="center"/>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方案</w:t>
            </w:r>
          </w:p>
        </w:tc>
        <w:tc>
          <w:tcPr>
            <w:tcW w:w="992" w:type="dxa"/>
            <w:vAlign w:val="center"/>
          </w:tcPr>
          <w:p>
            <w:pPr>
              <w:spacing w:line="440" w:lineRule="exact"/>
              <w:ind w:left="-134" w:leftChars="-56" w:right="-108" w:rightChars="-45"/>
              <w:jc w:val="center"/>
              <w:rPr>
                <w:rFonts w:ascii="宋体" w:hAnsi="宋体" w:cs="宋体"/>
                <w:color w:val="auto"/>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c>
          <w:tcPr>
            <w:tcW w:w="7541" w:type="dxa"/>
            <w:vAlign w:val="center"/>
          </w:tcPr>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需根据项目的建设需求提供完整的技术方案，详细阐述系统的技术思路、系统架构、功能设计</w:t>
            </w:r>
            <w:r>
              <w:rPr>
                <w:rFonts w:hint="eastAsia" w:ascii="宋体" w:hAnsi="宋体" w:eastAsia="宋体" w:cs="宋体"/>
                <w:color w:val="auto"/>
                <w:sz w:val="24"/>
                <w:szCs w:val="24"/>
                <w:highlight w:val="none"/>
                <w:lang w:eastAsia="zh-CN"/>
              </w:rPr>
              <w:t>等。</w:t>
            </w:r>
          </w:p>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技术方案思路清晰、结构合理、内容全面、功能描述详细</w:t>
            </w:r>
            <w:r>
              <w:rPr>
                <w:rFonts w:hint="eastAsia" w:ascii="宋体" w:hAnsi="宋体" w:eastAsia="宋体" w:cs="宋体"/>
                <w:color w:val="auto"/>
                <w:sz w:val="24"/>
                <w:szCs w:val="24"/>
                <w:highlight w:val="none"/>
                <w:lang w:eastAsia="zh-CN"/>
              </w:rPr>
              <w:t>的计</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②方案内容有1项欠缺、薄弱的计</w:t>
            </w:r>
            <w:r>
              <w:rPr>
                <w:rFonts w:hint="eastAsia" w:ascii="宋体" w:hAnsi="宋体" w:eastAsia="宋体" w:cs="宋体"/>
                <w:color w:val="auto"/>
                <w:sz w:val="24"/>
                <w:szCs w:val="24"/>
                <w:highlight w:val="none"/>
                <w:lang w:val="zh-CN" w:eastAsia="zh-CN"/>
              </w:rPr>
              <w:t>5.1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③方案内容有</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项及以上欠缺、薄弱的计</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④未提供技术方案不计分。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40" w:lineRule="exact"/>
              <w:ind w:right="-108" w:righ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Cs w:val="24"/>
                <w:highlight w:val="none"/>
                <w:lang w:eastAsia="zh-CN"/>
              </w:rPr>
              <w:t>项目实施方案</w:t>
            </w:r>
          </w:p>
        </w:tc>
        <w:tc>
          <w:tcPr>
            <w:tcW w:w="992" w:type="dxa"/>
            <w:vAlign w:val="center"/>
          </w:tcPr>
          <w:p>
            <w:pPr>
              <w:spacing w:line="440" w:lineRule="exact"/>
              <w:ind w:left="-134" w:leftChars="-56" w:right="-108" w:rightChars="-45"/>
              <w:jc w:val="center"/>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分</w:t>
            </w:r>
          </w:p>
        </w:tc>
        <w:tc>
          <w:tcPr>
            <w:tcW w:w="7541" w:type="dxa"/>
            <w:vAlign w:val="center"/>
          </w:tcPr>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根据项目实际的业务需求制定项目实施方案，方案内容包括不限于：实施总体规划、实施步骤、交付计划、实施组织构成、项目管理制度、质量保证体制、风险预见与控制能力等内容。</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方案内容完整、全面、详细的计</w:t>
            </w:r>
            <w:r>
              <w:rPr>
                <w:rFonts w:hint="eastAsia" w:ascii="宋体" w:hAnsi="宋体" w:eastAsia="宋体" w:cs="宋体"/>
                <w:color w:val="auto"/>
                <w:sz w:val="24"/>
                <w:szCs w:val="24"/>
                <w:highlight w:val="none"/>
                <w:lang w:val="en-US" w:eastAsia="zh-CN"/>
              </w:rPr>
              <w:t>10.1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②方案内容有1到3项欠缺、薄弱的计</w:t>
            </w:r>
            <w:r>
              <w:rPr>
                <w:rFonts w:hint="eastAsia" w:ascii="宋体" w:hAnsi="宋体" w:eastAsia="宋体" w:cs="宋体"/>
                <w:color w:val="auto"/>
                <w:sz w:val="24"/>
                <w:szCs w:val="24"/>
                <w:highlight w:val="none"/>
                <w:lang w:val="zh-CN" w:eastAsia="zh-CN"/>
              </w:rPr>
              <w:t>5.1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③方案内容有3项以上严重欠缺、薄弱的计</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④未提供项目实施方案不计分。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92" w:type="dxa"/>
            <w:vAlign w:val="center"/>
          </w:tcPr>
          <w:p>
            <w:pPr>
              <w:spacing w:line="440" w:lineRule="exact"/>
              <w:ind w:right="-108" w:rightChars="-45"/>
              <w:jc w:val="center"/>
              <w:rPr>
                <w:rFonts w:hint="eastAsia" w:ascii="宋体" w:hAnsi="宋体" w:cs="宋体"/>
                <w:color w:val="auto"/>
                <w:szCs w:val="24"/>
                <w:highlight w:val="none"/>
                <w:lang w:eastAsia="zh-CN"/>
              </w:rPr>
            </w:pPr>
            <w:r>
              <w:rPr>
                <w:rFonts w:hint="eastAsia" w:ascii="宋体" w:hAnsi="宋体" w:cs="宋体"/>
                <w:color w:val="auto"/>
                <w:szCs w:val="24"/>
                <w:highlight w:val="none"/>
                <w:lang w:eastAsia="zh-CN"/>
              </w:rPr>
              <w:t>拟派项目组人员</w:t>
            </w:r>
          </w:p>
        </w:tc>
        <w:tc>
          <w:tcPr>
            <w:tcW w:w="992" w:type="dxa"/>
            <w:vAlign w:val="center"/>
          </w:tcPr>
          <w:p>
            <w:pPr>
              <w:spacing w:line="440" w:lineRule="exact"/>
              <w:ind w:left="-134" w:leftChars="-56" w:right="-108" w:rightChars="-45"/>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5分</w:t>
            </w:r>
          </w:p>
        </w:tc>
        <w:tc>
          <w:tcPr>
            <w:tcW w:w="7541" w:type="dxa"/>
            <w:vAlign w:val="center"/>
          </w:tcPr>
          <w:p>
            <w:pPr>
              <w:pStyle w:val="145"/>
              <w:numPr>
                <w:ilvl w:val="0"/>
                <w:numId w:val="2"/>
              </w:numPr>
              <w:spacing w:line="44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val="zh-CN"/>
              </w:rPr>
              <w:t>根据</w:t>
            </w:r>
            <w:r>
              <w:rPr>
                <w:rFonts w:hint="eastAsia" w:ascii="宋体" w:hAnsi="宋体" w:eastAsia="宋体" w:cs="宋体"/>
                <w:color w:val="auto"/>
                <w:sz w:val="24"/>
                <w:szCs w:val="24"/>
                <w:highlight w:val="none"/>
                <w:lang w:val="zh-CN"/>
              </w:rPr>
              <w:t>拟担任本项目经理</w:t>
            </w:r>
            <w:r>
              <w:rPr>
                <w:rFonts w:hint="eastAsia" w:ascii="宋体" w:hAnsi="宋体" w:cs="宋体"/>
                <w:color w:val="auto"/>
                <w:sz w:val="24"/>
                <w:szCs w:val="24"/>
                <w:highlight w:val="none"/>
                <w:lang w:val="zh-CN"/>
              </w:rPr>
              <w:t>或</w:t>
            </w:r>
            <w:r>
              <w:rPr>
                <w:rFonts w:hint="eastAsia" w:ascii="宋体" w:hAnsi="宋体" w:eastAsia="宋体" w:cs="宋体"/>
                <w:color w:val="auto"/>
                <w:sz w:val="24"/>
                <w:szCs w:val="24"/>
                <w:highlight w:val="none"/>
                <w:lang w:val="zh-CN"/>
              </w:rPr>
              <w:t>技术负责人的专业素质、技术能力、类似项目建设经验</w:t>
            </w:r>
            <w:r>
              <w:rPr>
                <w:rFonts w:hint="eastAsia" w:ascii="宋体" w:hAnsi="宋体" w:cs="宋体"/>
                <w:color w:val="auto"/>
                <w:sz w:val="24"/>
                <w:szCs w:val="24"/>
                <w:highlight w:val="none"/>
                <w:lang w:val="zh-CN"/>
              </w:rPr>
              <w:t>等情况计</w:t>
            </w:r>
            <w:r>
              <w:rPr>
                <w:rFonts w:hint="eastAsia" w:ascii="宋体" w:hAnsi="宋体" w:cs="宋体"/>
                <w:color w:val="auto"/>
                <w:sz w:val="24"/>
                <w:szCs w:val="24"/>
                <w:highlight w:val="none"/>
                <w:lang w:val="en-US" w:eastAsia="zh-CN"/>
              </w:rPr>
              <w:t>0-2分。</w:t>
            </w:r>
          </w:p>
          <w:p>
            <w:pPr>
              <w:pStyle w:val="145"/>
              <w:numPr>
                <w:ilvl w:val="0"/>
                <w:numId w:val="0"/>
              </w:numPr>
              <w:spacing w:line="440" w:lineRule="exac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2、</w:t>
            </w:r>
            <w:r>
              <w:rPr>
                <w:rFonts w:hint="eastAsia" w:ascii="宋体" w:hAnsi="宋体" w:cs="宋体"/>
                <w:color w:val="000000"/>
                <w:kern w:val="0"/>
                <w:sz w:val="24"/>
              </w:rPr>
              <w:t>项目组织管理机构设置及人员分工安排合理、职责划分明确，根据响应程度</w:t>
            </w:r>
            <w:r>
              <w:rPr>
                <w:rFonts w:hint="eastAsia" w:ascii="宋体" w:hAnsi="宋体" w:cs="宋体"/>
                <w:color w:val="000000"/>
                <w:kern w:val="0"/>
                <w:sz w:val="24"/>
                <w:lang w:eastAsia="zh-CN"/>
              </w:rPr>
              <w:t>计</w:t>
            </w:r>
            <w:r>
              <w:rPr>
                <w:rFonts w:hint="eastAsia" w:ascii="宋体" w:hAnsi="宋体" w:cs="宋体"/>
                <w:color w:val="000000"/>
                <w:kern w:val="0"/>
                <w:sz w:val="24"/>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92" w:type="dxa"/>
            <w:vAlign w:val="center"/>
          </w:tcPr>
          <w:p>
            <w:pPr>
              <w:spacing w:line="44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rPr>
              <w:t>售后服务方案及培训方案</w:t>
            </w:r>
          </w:p>
        </w:tc>
        <w:tc>
          <w:tcPr>
            <w:tcW w:w="992" w:type="dxa"/>
            <w:vAlign w:val="center"/>
          </w:tcPr>
          <w:p>
            <w:pPr>
              <w:spacing w:line="440" w:lineRule="exact"/>
              <w:jc w:val="center"/>
              <w:rPr>
                <w:rFonts w:ascii="宋体" w:hAnsi="宋体" w:cs="宋体"/>
                <w:color w:val="auto"/>
                <w:kern w:val="0"/>
                <w:szCs w:val="24"/>
                <w:highlight w:val="none"/>
              </w:rPr>
            </w:pPr>
            <w:r>
              <w:rPr>
                <w:rFonts w:hint="eastAsia" w:ascii="宋体" w:hAnsi="宋体" w:cs="宋体"/>
                <w:color w:val="auto"/>
                <w:kern w:val="0"/>
                <w:szCs w:val="24"/>
                <w:highlight w:val="none"/>
                <w:lang w:val="en-US" w:eastAsia="zh-CN"/>
              </w:rPr>
              <w:t>15</w:t>
            </w:r>
            <w:r>
              <w:rPr>
                <w:rFonts w:hint="eastAsia" w:ascii="宋体" w:hAnsi="宋体" w:cs="宋体"/>
                <w:color w:val="auto"/>
                <w:kern w:val="0"/>
                <w:szCs w:val="24"/>
                <w:highlight w:val="none"/>
              </w:rPr>
              <w:t>分</w:t>
            </w:r>
          </w:p>
        </w:tc>
        <w:tc>
          <w:tcPr>
            <w:tcW w:w="7541" w:type="dxa"/>
            <w:vAlign w:val="center"/>
          </w:tcPr>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根据项目要求提供培训及售后服务方案，方案内容包含但不限于培训体系介绍、培训内容、售后服务管理体系、应急预案等。</w:t>
            </w:r>
          </w:p>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①方案内容具体、完整、详细、全面的，计</w:t>
            </w:r>
            <w:r>
              <w:rPr>
                <w:rFonts w:hint="eastAsia" w:ascii="宋体" w:hAnsi="宋体" w:eastAsia="宋体" w:cs="宋体"/>
                <w:color w:val="auto"/>
                <w:sz w:val="24"/>
                <w:szCs w:val="24"/>
                <w:highlight w:val="none"/>
                <w:lang w:val="en-US" w:eastAsia="zh-CN"/>
              </w:rPr>
              <w:t>10.1-15</w:t>
            </w:r>
            <w:r>
              <w:rPr>
                <w:rFonts w:hint="eastAsia" w:ascii="宋体" w:hAnsi="宋体" w:eastAsia="宋体" w:cs="宋体"/>
                <w:color w:val="auto"/>
                <w:sz w:val="24"/>
                <w:szCs w:val="24"/>
                <w:highlight w:val="none"/>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②方案内容有1项欠缺、薄弱的计</w:t>
            </w:r>
            <w:r>
              <w:rPr>
                <w:rFonts w:hint="eastAsia" w:ascii="宋体" w:hAnsi="宋体" w:eastAsia="宋体" w:cs="宋体"/>
                <w:color w:val="auto"/>
                <w:sz w:val="24"/>
                <w:szCs w:val="24"/>
                <w:highlight w:val="none"/>
                <w:lang w:val="zh-CN" w:eastAsia="zh-CN"/>
              </w:rPr>
              <w:t>5.1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③方案内容有</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项及以上欠缺、薄弱的计</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zh-CN"/>
              </w:rPr>
              <w:t>分；</w:t>
            </w:r>
          </w:p>
          <w:p>
            <w:pPr>
              <w:pStyle w:val="145"/>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④未提供技术方案不计分。</w:t>
            </w:r>
          </w:p>
        </w:tc>
      </w:tr>
    </w:tbl>
    <w:p>
      <w:pPr>
        <w:spacing w:line="480" w:lineRule="exact"/>
        <w:rPr>
          <w:rFonts w:ascii="宋体" w:hAnsi="宋体" w:cs="宋体"/>
          <w:color w:val="auto"/>
          <w:szCs w:val="24"/>
          <w:highlight w:val="none"/>
        </w:rPr>
      </w:pPr>
      <w:r>
        <w:rPr>
          <w:rFonts w:hint="eastAsia" w:ascii="宋体" w:hAnsi="宋体" w:cs="宋体"/>
          <w:color w:val="auto"/>
          <w:szCs w:val="24"/>
          <w:highlight w:val="none"/>
        </w:rPr>
        <w:t>注：3.6.1评委打分超过得分界限或未按本方法赋分时，该评委的打分按废票处理。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 xml:space="preserve">3.6.2各种计算数字均保留两位小数，第三位“四舍五入”。 </w:t>
      </w:r>
    </w:p>
    <w:p>
      <w:pPr>
        <w:spacing w:line="480" w:lineRule="exact"/>
        <w:ind w:firstLine="482" w:firstLineChars="200"/>
        <w:rPr>
          <w:rFonts w:ascii="宋体" w:hAnsi="宋体" w:cs="宋体"/>
          <w:color w:val="auto"/>
          <w:szCs w:val="24"/>
          <w:highlight w:val="none"/>
        </w:rPr>
      </w:pPr>
      <w:r>
        <w:rPr>
          <w:rFonts w:hint="eastAsia" w:ascii="宋体" w:hAnsi="宋体" w:cs="宋体"/>
          <w:b/>
          <w:bCs/>
          <w:color w:val="auto"/>
          <w:szCs w:val="24"/>
          <w:highlight w:val="none"/>
        </w:rPr>
        <w:t>3.6.3特殊情况处理</w:t>
      </w:r>
      <w:r>
        <w:rPr>
          <w:rFonts w:hint="eastAsia" w:ascii="宋体" w:hAnsi="宋体" w:cs="宋体"/>
          <w:color w:val="auto"/>
          <w:szCs w:val="24"/>
          <w:highlight w:val="none"/>
        </w:rPr>
        <w:t>：</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3.6.3.1当投标人某评分项出现未报、漏报或零报价时，该分项得零分，并不参与投标报价分的计算。</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3.6.3.2相同品牌产品</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投标报价得分高者获得中标人推荐资格，若投标报价得分相同，技术指标和配置得分高者获得中标人推荐资格，若上述两项得分相同，则由全体评标委员会成员无记名投票，得票高者获得中标人推荐资格，其他同品牌投标人不作为中标候选人。</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非单一产品采购项目，多家投标人提供的</w:t>
      </w:r>
      <w:r>
        <w:rPr>
          <w:rFonts w:hint="eastAsia" w:ascii="宋体" w:hAnsi="宋体" w:cs="宋体"/>
          <w:b w:val="0"/>
          <w:bCs w:val="0"/>
          <w:color w:val="auto"/>
          <w:szCs w:val="24"/>
          <w:highlight w:val="none"/>
        </w:rPr>
        <w:t>核心产品（</w:t>
      </w:r>
      <w:r>
        <w:rPr>
          <w:rFonts w:hint="eastAsia" w:ascii="宋体" w:hAnsi="宋体" w:eastAsia="宋体" w:cs="宋体"/>
          <w:b w:val="0"/>
          <w:bCs w:val="0"/>
          <w:color w:val="000000" w:themeColor="text1"/>
          <w:sz w:val="24"/>
          <w:szCs w:val="24"/>
          <w14:textFill>
            <w14:solidFill>
              <w14:schemeClr w14:val="tx1"/>
            </w14:solidFill>
          </w14:textFill>
        </w:rPr>
        <w:t>医</w:t>
      </w:r>
      <w:r>
        <w:rPr>
          <w:rFonts w:hint="eastAsia" w:ascii="宋体" w:hAnsi="宋体" w:eastAsia="宋体" w:cs="宋体"/>
          <w:color w:val="000000" w:themeColor="text1"/>
          <w:sz w:val="24"/>
          <w:szCs w:val="24"/>
          <w14:textFill>
            <w14:solidFill>
              <w14:schemeClr w14:val="tx1"/>
            </w14:solidFill>
          </w14:textFill>
        </w:rPr>
        <w:t>保结算清单质量管理软件服务</w:t>
      </w:r>
      <w:r>
        <w:rPr>
          <w:rFonts w:hint="eastAsia" w:ascii="宋体" w:hAnsi="宋体" w:cs="宋体"/>
          <w:b/>
          <w:bCs/>
          <w:color w:val="auto"/>
          <w:szCs w:val="24"/>
          <w:highlight w:val="none"/>
        </w:rPr>
        <w:t>）</w:t>
      </w:r>
      <w:r>
        <w:rPr>
          <w:rFonts w:hint="eastAsia" w:ascii="宋体" w:hAnsi="宋体" w:cs="宋体"/>
          <w:color w:val="auto"/>
          <w:szCs w:val="24"/>
          <w:highlight w:val="none"/>
        </w:rPr>
        <w:t>品牌相同的，按照前款规定处理。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3.6.3.3若出现综合得分相同时，投标报价得分高者为第一中标候选人，若投标报价得分相同，技术指标和配置得分高者为第一中标候选人，若上述两项得分相同，则由全体评标委员会成员无记名投票，得票高者为第一中标候选人。</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3.6.3.4评标过程中，若出现本评标方法以外的特殊情况时，将暂停评标，待评委商榷后再进行复会。</w:t>
      </w:r>
    </w:p>
    <w:p>
      <w:pPr>
        <w:spacing w:line="480" w:lineRule="exact"/>
        <w:ind w:firstLine="482" w:firstLineChars="200"/>
        <w:rPr>
          <w:rFonts w:ascii="宋体" w:hAnsi="宋体" w:cs="宋体"/>
          <w:b/>
          <w:bCs/>
          <w:color w:val="auto"/>
          <w:szCs w:val="24"/>
          <w:highlight w:val="none"/>
        </w:rPr>
      </w:pPr>
      <w:r>
        <w:rPr>
          <w:rFonts w:hint="eastAsia" w:ascii="宋体" w:hAnsi="宋体" w:cs="宋体"/>
          <w:b/>
          <w:bCs/>
          <w:color w:val="auto"/>
          <w:szCs w:val="24"/>
          <w:highlight w:val="none"/>
        </w:rPr>
        <w:t>3.7政府采购政策评分标准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3.7.1小微企业的价格评分标准</w:t>
      </w:r>
    </w:p>
    <w:p>
      <w:pPr>
        <w:spacing w:line="500" w:lineRule="exact"/>
        <w:ind w:firstLine="480" w:firstLineChars="200"/>
        <w:rPr>
          <w:rFonts w:ascii="宋体" w:hAnsi="宋体" w:cs="宋体"/>
          <w:color w:val="auto"/>
          <w:highlight w:val="none"/>
        </w:rPr>
      </w:pPr>
      <w:r>
        <w:rPr>
          <w:rFonts w:hint="eastAsia" w:ascii="宋体" w:hAnsi="宋体" w:cs="宋体"/>
          <w:color w:val="auto"/>
          <w:highlight w:val="none"/>
        </w:rPr>
        <w:t>3.7.1.1</w:t>
      </w:r>
      <w:r>
        <w:rPr>
          <w:rFonts w:hint="eastAsia" w:ascii="宋体" w:hAnsi="宋体" w:eastAsia="宋体" w:cs="宋体"/>
          <w:sz w:val="24"/>
          <w:szCs w:val="24"/>
          <w:highlight w:val="none"/>
        </w:rPr>
        <w:t>根据《政府采购促进中小企业发展管理办法》（财库〔2020〕46号）</w:t>
      </w:r>
      <w:r>
        <w:rPr>
          <w:rFonts w:hint="eastAsia" w:ascii="宋体" w:hAnsi="宋体" w:eastAsia="宋体" w:cs="宋体"/>
          <w:sz w:val="24"/>
          <w:szCs w:val="24"/>
          <w:highlight w:val="none"/>
          <w:lang w:eastAsia="zh-CN"/>
        </w:rPr>
        <w:t>、《陕西省财政厅关于进一步加大政府采购支持中小企业力度的通知》（陕财办采</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文件规定</w:t>
      </w:r>
      <w:r>
        <w:rPr>
          <w:rFonts w:hint="eastAsia" w:ascii="宋体" w:hAnsi="宋体"/>
          <w:szCs w:val="24"/>
          <w:highlight w:val="none"/>
        </w:rPr>
        <w:t>，</w:t>
      </w:r>
      <w:r>
        <w:rPr>
          <w:rFonts w:hint="eastAsia"/>
          <w:color w:val="000000"/>
          <w:highlight w:val="none"/>
          <w:shd w:val="clear" w:color="auto" w:fill="FFFFFF"/>
        </w:rPr>
        <w:t>对于非专门面向中小企业的项目，</w:t>
      </w:r>
      <w:r>
        <w:rPr>
          <w:rFonts w:hint="eastAsia" w:ascii="宋体" w:hAnsi="宋体"/>
          <w:szCs w:val="24"/>
          <w:highlight w:val="none"/>
        </w:rPr>
        <w:t>对小型、微型企业的价格给予</w:t>
      </w:r>
      <w:r>
        <w:rPr>
          <w:rFonts w:hint="eastAsia" w:ascii="宋体" w:hAnsi="宋体"/>
          <w:szCs w:val="24"/>
          <w:highlight w:val="none"/>
          <w:lang w:val="en-US" w:eastAsia="zh-CN"/>
        </w:rPr>
        <w:t>10</w:t>
      </w:r>
      <w:r>
        <w:rPr>
          <w:rFonts w:hint="eastAsia" w:ascii="宋体" w:hAnsi="宋体"/>
          <w:szCs w:val="24"/>
          <w:highlight w:val="none"/>
        </w:rPr>
        <w:t>%的扣除，用扣除后的价格参与评审，其评标价=投标报价*（1-</w:t>
      </w:r>
      <w:r>
        <w:rPr>
          <w:rFonts w:hint="eastAsia" w:ascii="宋体" w:hAnsi="宋体"/>
          <w:szCs w:val="24"/>
          <w:highlight w:val="none"/>
          <w:lang w:val="en-US" w:eastAsia="zh-CN"/>
        </w:rPr>
        <w:t>10</w:t>
      </w:r>
      <w:r>
        <w:rPr>
          <w:rFonts w:hint="eastAsia" w:ascii="宋体" w:hAnsi="宋体"/>
          <w:szCs w:val="24"/>
          <w:highlight w:val="none"/>
        </w:rPr>
        <w:t>%）</w:t>
      </w:r>
      <w:r>
        <w:rPr>
          <w:rFonts w:hint="eastAsia" w:ascii="宋体" w:hAnsi="宋体"/>
          <w:sz w:val="24"/>
          <w:highlight w:val="none"/>
          <w:lang w:eastAsia="zh-CN"/>
        </w:rPr>
        <w:t>。</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3.7.1.2</w:t>
      </w:r>
      <w:r>
        <w:rPr>
          <w:rFonts w:hint="eastAsia" w:ascii="宋体" w:hAnsi="宋体" w:cs="宋体"/>
          <w:color w:val="auto"/>
          <w:highlight w:val="none"/>
        </w:rPr>
        <w:t>中小企业参加政府采购活动，须提供《中小企业声明函》</w:t>
      </w:r>
      <w:r>
        <w:rPr>
          <w:rFonts w:hint="eastAsia" w:ascii="宋体" w:hAnsi="宋体" w:cs="宋体"/>
          <w:color w:val="auto"/>
          <w:szCs w:val="24"/>
          <w:highlight w:val="none"/>
        </w:rPr>
        <w:t>（式样见投标文件格式），</w:t>
      </w:r>
      <w:r>
        <w:rPr>
          <w:rFonts w:hint="eastAsia" w:ascii="宋体" w:hAnsi="宋体" w:cs="宋体"/>
          <w:color w:val="auto"/>
          <w:highlight w:val="none"/>
        </w:rPr>
        <w:t>否则不得享受相关中小企业扶持政策</w:t>
      </w:r>
      <w:r>
        <w:rPr>
          <w:rFonts w:hint="eastAsia" w:ascii="宋体" w:hAnsi="宋体" w:cs="宋体"/>
          <w:color w:val="auto"/>
          <w:szCs w:val="24"/>
          <w:highlight w:val="none"/>
        </w:rPr>
        <w:t>。投标人须保证真实性，如有虚假，将依法承担相应责任。本项目提供的货物不包括使用大型企业注册商标的货物，小型、微型企业提供中型企业制造的货物的，视同为中型企业。</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3.7.1.3小微企业按《政府采购促进中小企业发展管理办法》（财库〔2020〕46号）和《工业和信息化部、国家统计局、国家发展和改革委员会、财政部关于印发&lt;中小企业划型标准规定&gt;的通知》（工信部联企业【2011】300号）文件规定标准确认。</w:t>
      </w:r>
    </w:p>
    <w:p>
      <w:pPr>
        <w:spacing w:line="480" w:lineRule="exact"/>
        <w:ind w:firstLine="480" w:firstLineChars="200"/>
        <w:rPr>
          <w:rFonts w:ascii="宋体" w:hAnsi="宋体" w:cs="宋体"/>
          <w:color w:val="auto"/>
          <w:szCs w:val="24"/>
          <w:highlight w:val="none"/>
        </w:rPr>
      </w:pPr>
      <w:r>
        <w:rPr>
          <w:rFonts w:hint="eastAsia" w:ascii="宋体" w:hAnsi="宋体" w:cs="宋体"/>
          <w:color w:val="auto"/>
          <w:highlight w:val="none"/>
        </w:rPr>
        <w:t>3.7.1.4在货物采购项目中，货物应当由中小企业制造，不对其中涉及的服务的承接商作出要求。</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3.7.2监狱企业的价格评分标准</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3.7.2.1在政府采购活动中，监狱企业视同小型、微型企业，享受预留份额、评审中价格扣除等政府采购促进中小企业发展的政府采购政策。</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3.7.2.2监狱企业</w:t>
      </w:r>
      <w:r>
        <w:rPr>
          <w:rFonts w:hint="eastAsia" w:ascii="宋体" w:hAnsi="宋体" w:cs="宋体"/>
          <w:color w:val="auto"/>
          <w:kern w:val="0"/>
          <w:szCs w:val="24"/>
          <w:highlight w:val="none"/>
        </w:rPr>
        <w:t xml:space="preserve">属于小型、微型企业的，不重复享受政策。 </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3.7.2.3监狱企业参加政府采购活动时，应当提供由省级以上监狱管理局、戒毒管理局（含新疆生产建设兵团）出具的属于监狱企业的证明文件。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3.7.2.4监狱企业按《财政部、司法部关于政府采购支持监狱企业发展有关问题的通知》（财库〔2014〕68号）文件规定标准执行。</w:t>
      </w:r>
    </w:p>
    <w:p>
      <w:pPr>
        <w:spacing w:line="48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3.7.3残疾人福利性单位的价格评分标准</w:t>
      </w:r>
    </w:p>
    <w:p>
      <w:pPr>
        <w:spacing w:line="48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3.7.3.1在政府采购活动中，残疾人福利性单位视同小型、微型企业，享受预留份额、评审中价格扣除等政府采购促进中小企业发展的政府采购政策。</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3.7.3.2</w:t>
      </w:r>
      <w:r>
        <w:rPr>
          <w:rFonts w:hint="eastAsia" w:ascii="宋体" w:hAnsi="宋体" w:cs="宋体"/>
          <w:color w:val="auto"/>
          <w:kern w:val="0"/>
          <w:szCs w:val="24"/>
          <w:highlight w:val="none"/>
        </w:rPr>
        <w:t>残疾人福利性单位属于小型、微型企业的，不重复享受政策。</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3.7.3.3</w:t>
      </w:r>
      <w:r>
        <w:rPr>
          <w:rFonts w:hint="eastAsia" w:ascii="宋体" w:hAnsi="宋体" w:cs="宋体"/>
          <w:color w:val="auto"/>
          <w:kern w:val="0"/>
          <w:szCs w:val="24"/>
          <w:highlight w:val="none"/>
        </w:rPr>
        <w:t>符合条件的残疾人福利性单位在参加政府采购活动时，应当提供本通知规定的《残疾人福利性单位声明函》</w:t>
      </w:r>
      <w:r>
        <w:rPr>
          <w:rFonts w:hint="eastAsia" w:ascii="宋体" w:hAnsi="宋体" w:cs="宋体"/>
          <w:color w:val="auto"/>
          <w:szCs w:val="24"/>
          <w:highlight w:val="none"/>
        </w:rPr>
        <w:t>（式样见投标文件格式）</w:t>
      </w:r>
      <w:r>
        <w:rPr>
          <w:rFonts w:hint="eastAsia" w:ascii="宋体" w:hAnsi="宋体" w:cs="宋体"/>
          <w:color w:val="auto"/>
          <w:kern w:val="0"/>
          <w:szCs w:val="24"/>
          <w:highlight w:val="none"/>
        </w:rPr>
        <w:t>，并对声明的真实性负责，</w:t>
      </w:r>
      <w:r>
        <w:rPr>
          <w:rFonts w:hint="eastAsia" w:ascii="宋体" w:hAnsi="宋体" w:cs="宋体"/>
          <w:color w:val="auto"/>
          <w:szCs w:val="24"/>
          <w:highlight w:val="none"/>
        </w:rPr>
        <w:t>未提供的不视为</w:t>
      </w:r>
      <w:r>
        <w:rPr>
          <w:rFonts w:hint="eastAsia" w:ascii="宋体" w:hAnsi="宋体" w:cs="宋体"/>
          <w:color w:val="auto"/>
          <w:kern w:val="0"/>
          <w:szCs w:val="24"/>
          <w:highlight w:val="none"/>
        </w:rPr>
        <w:t xml:space="preserve">残疾人福利性单位。 </w:t>
      </w:r>
    </w:p>
    <w:p>
      <w:pPr>
        <w:spacing w:line="480" w:lineRule="exact"/>
        <w:ind w:firstLine="597" w:firstLineChars="249"/>
        <w:rPr>
          <w:rFonts w:ascii="宋体" w:hAnsi="宋体" w:cs="宋体"/>
          <w:color w:val="auto"/>
          <w:szCs w:val="24"/>
          <w:highlight w:val="none"/>
        </w:rPr>
      </w:pPr>
      <w:r>
        <w:rPr>
          <w:rFonts w:hint="eastAsia" w:ascii="宋体" w:hAnsi="宋体" w:cs="宋体"/>
          <w:color w:val="auto"/>
          <w:szCs w:val="24"/>
          <w:highlight w:val="none"/>
        </w:rPr>
        <w:t>3.7.4节能产品、环境标志产品政策</w:t>
      </w:r>
    </w:p>
    <w:p>
      <w:pPr>
        <w:autoSpaceDE w:val="0"/>
        <w:autoSpaceDN w:val="0"/>
        <w:adjustRightInd w:val="0"/>
        <w:spacing w:line="480" w:lineRule="exact"/>
        <w:ind w:firstLine="480" w:firstLineChars="200"/>
        <w:rPr>
          <w:rFonts w:ascii="宋体" w:hAnsi="宋体" w:cs="宋体"/>
          <w:bCs/>
          <w:color w:val="auto"/>
          <w:highlight w:val="none"/>
        </w:rPr>
      </w:pPr>
      <w:r>
        <w:rPr>
          <w:rFonts w:hint="eastAsia" w:ascii="宋体" w:hAnsi="宋体" w:cs="宋体"/>
          <w:bCs/>
          <w:color w:val="auto"/>
          <w:highlight w:val="none"/>
        </w:rPr>
        <w:t>3.7.4.1节能产品、</w:t>
      </w:r>
      <w:r>
        <w:rPr>
          <w:rFonts w:hint="eastAsia" w:ascii="宋体" w:hAnsi="宋体" w:cs="宋体"/>
          <w:color w:val="auto"/>
          <w:szCs w:val="24"/>
          <w:highlight w:val="none"/>
        </w:rPr>
        <w:t>环境标志产品</w:t>
      </w:r>
      <w:r>
        <w:rPr>
          <w:rFonts w:hint="eastAsia" w:ascii="宋体" w:hAnsi="宋体" w:cs="宋体"/>
          <w:bCs/>
          <w:color w:val="auto"/>
          <w:highlight w:val="none"/>
        </w:rPr>
        <w:t>根据</w:t>
      </w:r>
      <w:r>
        <w:rPr>
          <w:rFonts w:hint="eastAsia" w:ascii="宋体" w:hAnsi="宋体" w:cs="宋体"/>
          <w:color w:val="auto"/>
          <w:szCs w:val="24"/>
          <w:highlight w:val="none"/>
        </w:rPr>
        <w:t>《财政部、国家发展和改革委员会关于印发&lt;节能产品政府采购实施意见&gt;的通知》（财库【2004】185号）、</w:t>
      </w:r>
      <w:r>
        <w:rPr>
          <w:rFonts w:hint="eastAsia" w:ascii="宋体" w:hAnsi="宋体" w:cs="宋体"/>
          <w:bCs/>
          <w:color w:val="auto"/>
          <w:highlight w:val="none"/>
        </w:rPr>
        <w:t>《国务院办公厅关于建立政府强制采购节能产品制度的通知》（</w:t>
      </w:r>
      <w:r>
        <w:rPr>
          <w:rFonts w:hint="eastAsia" w:ascii="宋体" w:hAnsi="宋体" w:cs="宋体"/>
          <w:color w:val="auto"/>
          <w:szCs w:val="24"/>
          <w:highlight w:val="none"/>
        </w:rPr>
        <w:t>国办发〔2007〕51号</w:t>
      </w:r>
      <w:r>
        <w:rPr>
          <w:rFonts w:hint="eastAsia" w:ascii="宋体" w:hAnsi="宋体" w:cs="宋体"/>
          <w:bCs/>
          <w:color w:val="auto"/>
          <w:highlight w:val="none"/>
        </w:rPr>
        <w:t>）、</w:t>
      </w:r>
      <w:r>
        <w:rPr>
          <w:rFonts w:hint="eastAsia" w:ascii="宋体" w:hAnsi="宋体" w:cs="宋体"/>
          <w:color w:val="auto"/>
          <w:szCs w:val="24"/>
          <w:highlight w:val="none"/>
        </w:rPr>
        <w:t>《财政部、国家环保总局联合印发&lt;关于环境标志产品政府采购实施的意见</w:t>
      </w:r>
      <w:r>
        <w:rPr>
          <w:rFonts w:hint="eastAsia" w:ascii="宋体" w:hAnsi="宋体" w:cs="宋体"/>
          <w:bCs/>
          <w:color w:val="auto"/>
          <w:highlight w:val="none"/>
        </w:rPr>
        <w:t>&gt;》（财库【2006】90号）、《财政部、发展改革委、生态环境部、市场监管总局关于调整优化节能产品、环境标志产品政府采购执行机制的通知》（</w:t>
      </w:r>
      <w:r>
        <w:rPr>
          <w:rFonts w:hint="eastAsia" w:ascii="宋体" w:hAnsi="宋体" w:cs="宋体"/>
          <w:color w:val="auto"/>
          <w:szCs w:val="24"/>
          <w:highlight w:val="none"/>
        </w:rPr>
        <w:t>财库〔2019〕9号）、《关于印发节能产品政府采购品目清单的通知》（财库〔2019〕19号）、《关于印发环境标志产品政府采购品目清单的通知》（财库〔2019〕18号）</w:t>
      </w:r>
      <w:r>
        <w:rPr>
          <w:rFonts w:hint="eastAsia" w:ascii="宋体" w:hAnsi="宋体" w:cs="宋体"/>
          <w:bCs/>
          <w:color w:val="auto"/>
          <w:highlight w:val="none"/>
        </w:rPr>
        <w:t>的</w:t>
      </w:r>
      <w:r>
        <w:rPr>
          <w:rFonts w:hint="eastAsia" w:ascii="宋体" w:hAnsi="宋体" w:cs="宋体"/>
          <w:color w:val="auto"/>
          <w:szCs w:val="24"/>
          <w:highlight w:val="none"/>
        </w:rPr>
        <w:t>有关规定执行</w:t>
      </w:r>
      <w:r>
        <w:rPr>
          <w:rFonts w:hint="eastAsia" w:ascii="宋体" w:hAnsi="宋体" w:cs="宋体"/>
          <w:bCs/>
          <w:color w:val="auto"/>
          <w:highlight w:val="none"/>
        </w:rPr>
        <w:t>。</w:t>
      </w:r>
    </w:p>
    <w:p>
      <w:pPr>
        <w:autoSpaceDE w:val="0"/>
        <w:autoSpaceDN w:val="0"/>
        <w:adjustRightInd w:val="0"/>
        <w:spacing w:line="480" w:lineRule="exact"/>
        <w:ind w:firstLine="480" w:firstLineChars="200"/>
        <w:rPr>
          <w:rFonts w:ascii="宋体" w:hAnsi="宋体" w:cs="宋体"/>
          <w:bCs/>
          <w:color w:val="auto"/>
          <w:highlight w:val="none"/>
        </w:rPr>
      </w:pPr>
      <w:r>
        <w:rPr>
          <w:rFonts w:hint="eastAsia" w:ascii="宋体" w:hAnsi="宋体" w:cs="宋体"/>
          <w:bCs/>
          <w:color w:val="auto"/>
          <w:highlight w:val="none"/>
        </w:rPr>
        <w:t>3.7.4.2投标人在投标文件中对所投标产品为节能、环境标志产品品目清单中的产品，在投标报价时必须对此类产品单独分项报价，并提供认证机构出具的、处于有效期之内的节能产品、环境标志产品认证证书，未提供认证证书的不给予计分。 </w:t>
      </w:r>
    </w:p>
    <w:p>
      <w:pPr>
        <w:autoSpaceDE w:val="0"/>
        <w:autoSpaceDN w:val="0"/>
        <w:adjustRightInd w:val="0"/>
        <w:spacing w:line="480" w:lineRule="exact"/>
        <w:ind w:firstLine="480" w:firstLineChars="200"/>
        <w:rPr>
          <w:rFonts w:ascii="宋体" w:hAnsi="宋体" w:cs="宋体"/>
          <w:bCs/>
          <w:color w:val="auto"/>
          <w:highlight w:val="none"/>
        </w:rPr>
      </w:pPr>
      <w:r>
        <w:rPr>
          <w:rFonts w:hint="eastAsia" w:ascii="宋体" w:hAnsi="宋体" w:cs="宋体"/>
          <w:bCs/>
          <w:color w:val="auto"/>
          <w:highlight w:val="none"/>
        </w:rPr>
        <w:t>3.7.4.3若节能、环境标志品目清单内的产品仅是构成投标产品的部件、组件或零件的，则该投标产品不享受鼓励优惠政策。</w:t>
      </w:r>
    </w:p>
    <w:p>
      <w:pPr>
        <w:autoSpaceDE w:val="0"/>
        <w:autoSpaceDN w:val="0"/>
        <w:adjustRightInd w:val="0"/>
        <w:spacing w:line="480" w:lineRule="exact"/>
        <w:ind w:firstLine="480" w:firstLineChars="200"/>
        <w:rPr>
          <w:rFonts w:ascii="宋体" w:hAnsi="宋体" w:cs="宋体"/>
          <w:bCs/>
          <w:color w:val="auto"/>
          <w:highlight w:val="none"/>
        </w:rPr>
      </w:pPr>
      <w:r>
        <w:rPr>
          <w:rFonts w:hint="eastAsia" w:ascii="宋体" w:hAnsi="宋体" w:cs="宋体"/>
          <w:bCs/>
          <w:color w:val="auto"/>
          <w:highlight w:val="none"/>
        </w:rPr>
        <w:t>3.7.4.4节能、环境标志产品部分计分只对属于品目清单内的非强制类产品进行计分，强制类产品不给予计分。 </w:t>
      </w:r>
    </w:p>
    <w:p>
      <w:pPr>
        <w:autoSpaceDE w:val="0"/>
        <w:autoSpaceDN w:val="0"/>
        <w:adjustRightInd w:val="0"/>
        <w:spacing w:line="480" w:lineRule="exact"/>
        <w:ind w:firstLine="480" w:firstLineChars="200"/>
        <w:rPr>
          <w:rFonts w:ascii="宋体" w:hAnsi="宋体" w:cs="宋体"/>
          <w:bCs/>
          <w:color w:val="auto"/>
          <w:highlight w:val="none"/>
        </w:rPr>
      </w:pPr>
      <w:r>
        <w:rPr>
          <w:rFonts w:hint="eastAsia" w:ascii="宋体" w:hAnsi="宋体" w:cs="宋体"/>
          <w:bCs/>
          <w:color w:val="auto"/>
          <w:highlight w:val="none"/>
        </w:rPr>
        <w:t>3.7.4.5对于同时列入环保品目清单和节能品目清单的产品，应当优先于只列入其中一个清单的产品。</w:t>
      </w:r>
    </w:p>
    <w:p>
      <w:pPr>
        <w:autoSpaceDE w:val="0"/>
        <w:autoSpaceDN w:val="0"/>
        <w:adjustRightInd w:val="0"/>
        <w:spacing w:line="500" w:lineRule="exact"/>
        <w:ind w:firstLine="480" w:firstLineChars="200"/>
        <w:rPr>
          <w:rFonts w:ascii="宋体" w:hAnsi="宋体" w:cs="宋体"/>
          <w:bCs/>
          <w:color w:val="auto"/>
          <w:spacing w:val="20"/>
          <w:highlight w:val="none"/>
        </w:rPr>
      </w:pPr>
      <w:r>
        <w:rPr>
          <w:rFonts w:hint="eastAsia" w:ascii="宋体" w:hAnsi="宋体" w:cs="宋体"/>
          <w:color w:val="auto"/>
          <w:highlight w:val="none"/>
        </w:rPr>
        <w:t>3.7.4.6获得上述认证的产品在开标时应提供有效证明材料。以上所有证明文件复印件须加盖投标人公章并注明“与原件一致”，否则不予计分。</w:t>
      </w:r>
    </w:p>
    <w:p>
      <w:pPr>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rPr>
        <w:t>4.</w:t>
      </w:r>
      <w:r>
        <w:rPr>
          <w:rFonts w:hint="eastAsia" w:ascii="宋体" w:hAnsi="宋体" w:cs="宋体"/>
          <w:b/>
          <w:bCs/>
          <w:color w:val="auto"/>
          <w:szCs w:val="24"/>
          <w:highlight w:val="none"/>
        </w:rPr>
        <w:t>定标</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4.1定标程序</w:t>
      </w:r>
    </w:p>
    <w:p>
      <w:pPr>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4.1.1评标委员会依据评标办法，经过符合性审查、澄清、比较与评价等程序后，在最大限度满足招标文件实质性要求前提下进行综合评审，以评标总得分最高到低的顺序推荐3名以上中标候选人，并编写</w:t>
      </w:r>
      <w:bookmarkStart w:id="33" w:name="OLE_LINK4"/>
      <w:r>
        <w:rPr>
          <w:rFonts w:hint="eastAsia" w:ascii="宋体" w:hAnsi="宋体" w:cs="宋体"/>
          <w:color w:val="auto"/>
          <w:szCs w:val="24"/>
          <w:highlight w:val="none"/>
        </w:rPr>
        <w:t>评标</w:t>
      </w:r>
      <w:bookmarkEnd w:id="33"/>
      <w:r>
        <w:rPr>
          <w:rFonts w:hint="eastAsia" w:ascii="宋体" w:hAnsi="宋体" w:cs="宋体"/>
          <w:color w:val="auto"/>
          <w:szCs w:val="24"/>
          <w:highlight w:val="none"/>
        </w:rPr>
        <w:t>报告。</w:t>
      </w:r>
      <w:r>
        <w:rPr>
          <w:rFonts w:hint="eastAsia" w:ascii="宋体" w:hAnsi="宋体" w:cs="宋体"/>
          <w:color w:val="auto"/>
          <w:kern w:val="0"/>
          <w:szCs w:val="24"/>
          <w:highlight w:val="none"/>
        </w:rPr>
        <w:t>　</w:t>
      </w:r>
    </w:p>
    <w:p>
      <w:pPr>
        <w:spacing w:line="480" w:lineRule="exact"/>
        <w:ind w:firstLine="480" w:firstLineChars="200"/>
        <w:rPr>
          <w:rFonts w:ascii="宋体" w:hAnsi="宋体" w:cs="宋体"/>
          <w:color w:val="auto"/>
          <w:szCs w:val="24"/>
          <w:highlight w:val="none"/>
        </w:rPr>
      </w:pPr>
      <w:bookmarkStart w:id="34" w:name="OLE_LINK18"/>
      <w:r>
        <w:rPr>
          <w:rFonts w:hint="eastAsia" w:ascii="宋体" w:hAnsi="宋体" w:cs="宋体"/>
          <w:color w:val="auto"/>
          <w:szCs w:val="24"/>
          <w:highlight w:val="none"/>
        </w:rPr>
        <w:t>4.1.2评标委员会成员应当在评标报告上签字，对自己的评审意见承担法律责任。</w:t>
      </w:r>
      <w:r>
        <w:rPr>
          <w:rFonts w:hint="eastAsia" w:ascii="宋体"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34"/>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4.1.3采购代理机构应当自评审结束之日起2个工作日内将评标报告送交采购人。采购人在收到评审报告5个工作日内，从评审报告推荐的中标候选人中，按顺序确定中标人。中标候选人并列的，投标报价得分高者成为中标人，若投标报价得分相同，技术指标和配置得分高者成为中标人。确定结果后，采购人向采购代理机构出具《定标复函》。采购人逾期未按评标报告推荐的中标候选人顺序确定中标人，又不能说明合法理由的，视同按评标报告推荐的顺序确定排名第一的中标候选人为中标人。</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4.1.4采购代理机构接到采购人的《定标复函》后，在2个工作日内，将中标结果在陕西省政府采购网上进行公告。公告发布1个工作日，其他投标人若有异议，按《</w:t>
      </w:r>
      <w:r>
        <w:rPr>
          <w:rFonts w:hint="eastAsia" w:ascii="宋体" w:hAnsi="宋体" w:cs="宋体"/>
          <w:color w:val="auto"/>
          <w:kern w:val="0"/>
          <w:highlight w:val="none"/>
        </w:rPr>
        <w:t>中华人民共和国政府采购法</w:t>
      </w:r>
      <w:r>
        <w:rPr>
          <w:rFonts w:hint="eastAsia" w:ascii="宋体" w:hAnsi="宋体" w:cs="宋体"/>
          <w:color w:val="auto"/>
          <w:szCs w:val="24"/>
          <w:highlight w:val="none"/>
        </w:rPr>
        <w:t>》第52条执行。</w:t>
      </w:r>
    </w:p>
    <w:p>
      <w:pPr>
        <w:spacing w:line="48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4.2中标人确定后，采购人和采购代理机构对未中标原因不作任何解释。</w:t>
      </w:r>
    </w:p>
    <w:p>
      <w:pPr>
        <w:adjustRightInd w:val="0"/>
        <w:snapToGrid w:val="0"/>
        <w:spacing w:line="480" w:lineRule="exact"/>
        <w:ind w:firstLine="482" w:firstLineChars="200"/>
        <w:rPr>
          <w:rFonts w:ascii="宋体" w:hAnsi="宋体" w:cs="宋体"/>
          <w:color w:val="auto"/>
          <w:szCs w:val="24"/>
          <w:highlight w:val="none"/>
        </w:rPr>
      </w:pPr>
      <w:bookmarkStart w:id="35" w:name="_Toc458617461"/>
      <w:bookmarkStart w:id="36" w:name="_Toc458617738"/>
      <w:r>
        <w:rPr>
          <w:rFonts w:hint="eastAsia" w:ascii="宋体" w:hAnsi="宋体" w:cs="宋体"/>
          <w:b/>
          <w:color w:val="auto"/>
          <w:szCs w:val="24"/>
          <w:highlight w:val="none"/>
        </w:rPr>
        <w:t>5.投标无效的情形：</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5.1投标文件未按招标文件要求签署、盖章的；</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5.2不具备招标文件中规定的资格要求的；</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5.3报价超过招标文件中规定的采购预算的；</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5.4投标文件含有采购人不能接受的附加条件的；</w:t>
      </w:r>
    </w:p>
    <w:p>
      <w:pPr>
        <w:adjustRightInd w:val="0"/>
        <w:snapToGrid w:val="0"/>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5.5</w:t>
      </w:r>
      <w:r>
        <w:rPr>
          <w:rFonts w:hint="eastAsia" w:ascii="宋体" w:hAnsi="宋体" w:cs="宋体"/>
          <w:color w:val="auto"/>
          <w:kern w:val="0"/>
          <w:szCs w:val="24"/>
          <w:highlight w:val="none"/>
        </w:rPr>
        <w:t>提供虚假材料谋取中标的；</w:t>
      </w:r>
    </w:p>
    <w:p>
      <w:pPr>
        <w:adjustRightInd w:val="0"/>
        <w:snapToGrid w:val="0"/>
        <w:spacing w:line="48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5.6采取不正当手段诋毁、排挤其他投标人的；</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kern w:val="0"/>
          <w:szCs w:val="24"/>
          <w:highlight w:val="none"/>
        </w:rPr>
        <w:t>5.7</w:t>
      </w:r>
      <w:r>
        <w:rPr>
          <w:rFonts w:hint="eastAsia" w:ascii="宋体" w:hAnsi="宋体" w:cs="宋体"/>
          <w:color w:val="auto"/>
          <w:szCs w:val="24"/>
          <w:highlight w:val="none"/>
        </w:rPr>
        <w:t>法律、法规和招标文件规定的其他无效情形。</w:t>
      </w:r>
    </w:p>
    <w:p>
      <w:pPr>
        <w:spacing w:line="480" w:lineRule="exact"/>
        <w:ind w:firstLine="472" w:firstLineChars="196"/>
        <w:rPr>
          <w:rFonts w:ascii="宋体" w:hAnsi="宋体" w:cs="宋体"/>
          <w:b/>
          <w:color w:val="auto"/>
          <w:szCs w:val="24"/>
          <w:highlight w:val="none"/>
        </w:rPr>
      </w:pPr>
      <w:r>
        <w:rPr>
          <w:rFonts w:hint="eastAsia" w:ascii="宋体" w:hAnsi="宋体" w:cs="宋体"/>
          <w:b/>
          <w:color w:val="auto"/>
          <w:szCs w:val="24"/>
          <w:highlight w:val="none"/>
        </w:rPr>
        <w:t>6.中标通知</w:t>
      </w:r>
      <w:bookmarkEnd w:id="35"/>
      <w:bookmarkEnd w:id="36"/>
      <w:r>
        <w:rPr>
          <w:rFonts w:hint="eastAsia" w:ascii="宋体" w:hAnsi="宋体" w:cs="宋体"/>
          <w:b/>
          <w:color w:val="auto"/>
          <w:szCs w:val="24"/>
          <w:highlight w:val="none"/>
        </w:rPr>
        <w:t>书及未中标通知书</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6.1中标通知书及未中标通知书将在中标公告发布的同时由采购代理机构发出。</w:t>
      </w:r>
    </w:p>
    <w:p>
      <w:pPr>
        <w:adjustRightInd w:val="0"/>
        <w:snapToGri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6.2中标人应在接到采购代理机构通知之日起七日内领取中标通知书。</w:t>
      </w:r>
      <w:bookmarkStart w:id="37" w:name="_Toc458617790"/>
      <w:bookmarkStart w:id="38" w:name="_Toc458617462"/>
      <w:bookmarkStart w:id="39" w:name="_Toc458617739"/>
    </w:p>
    <w:p>
      <w:pPr>
        <w:adjustRightInd w:val="0"/>
        <w:snapToGrid w:val="0"/>
        <w:spacing w:line="480" w:lineRule="exact"/>
        <w:ind w:firstLine="480" w:firstLineChars="200"/>
        <w:rPr>
          <w:rFonts w:ascii="宋体" w:hAnsi="宋体" w:cs="宋体"/>
          <w:color w:val="auto"/>
          <w:kern w:val="0"/>
          <w:szCs w:val="24"/>
          <w:highlight w:val="none"/>
        </w:rPr>
      </w:pPr>
      <w:r>
        <w:rPr>
          <w:rFonts w:hint="eastAsia" w:ascii="宋体" w:hAnsi="宋体" w:cs="宋体"/>
          <w:color w:val="auto"/>
          <w:szCs w:val="24"/>
          <w:highlight w:val="none"/>
        </w:rPr>
        <w:t>6.3</w:t>
      </w:r>
      <w:r>
        <w:rPr>
          <w:rFonts w:hint="eastAsia" w:ascii="宋体" w:hAnsi="宋体" w:cs="宋体"/>
          <w:color w:val="auto"/>
          <w:kern w:val="0"/>
          <w:szCs w:val="24"/>
          <w:highlight w:val="none"/>
        </w:rPr>
        <w:t>中标通知书发出后，采购人不得违法改变中标结果，中标人无正当理由不得放弃中标。</w:t>
      </w:r>
    </w:p>
    <w:p>
      <w:pPr>
        <w:pStyle w:val="4"/>
        <w:spacing w:before="0" w:after="0" w:line="480" w:lineRule="exact"/>
        <w:rPr>
          <w:rFonts w:ascii="宋体" w:hAnsi="宋体" w:eastAsia="宋体" w:cs="宋体"/>
          <w:color w:val="auto"/>
          <w:kern w:val="0"/>
          <w:sz w:val="28"/>
          <w:szCs w:val="28"/>
          <w:highlight w:val="none"/>
        </w:rPr>
      </w:pPr>
      <w:bookmarkStart w:id="40" w:name="_Toc6495"/>
      <w:r>
        <w:rPr>
          <w:rFonts w:hint="eastAsia" w:ascii="宋体" w:hAnsi="宋体" w:eastAsia="宋体" w:cs="宋体"/>
          <w:color w:val="auto"/>
          <w:kern w:val="0"/>
          <w:sz w:val="28"/>
          <w:szCs w:val="28"/>
          <w:highlight w:val="none"/>
        </w:rPr>
        <w:t>七、合同</w:t>
      </w:r>
      <w:bookmarkEnd w:id="37"/>
      <w:bookmarkEnd w:id="38"/>
      <w:bookmarkEnd w:id="39"/>
      <w:bookmarkEnd w:id="40"/>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1.中标人在收到中标通知书后二十五（25）个日历日内，执中标通知书与采购人签订合同。</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2.中标人因自身原因不按规定与采购人签订供货合同或者拒绝与采购人签订合同的，则采购人将废除授标，并依法承担相应法律责任。</w:t>
      </w:r>
      <w:r>
        <w:rPr>
          <w:rFonts w:hint="eastAsia" w:ascii="宋体" w:hAnsi="宋体" w:cs="宋体"/>
          <w:color w:val="auto"/>
          <w:highlight w:val="none"/>
        </w:rPr>
        <w:t>同时，采购人可以按照评审报告推荐的中标候选人名单排序，确定下一候选人为中标人，</w:t>
      </w:r>
      <w:r>
        <w:rPr>
          <w:rFonts w:hint="eastAsia" w:ascii="宋体" w:hAnsi="宋体" w:cs="宋体"/>
          <w:color w:val="auto"/>
          <w:szCs w:val="24"/>
          <w:highlight w:val="none"/>
        </w:rPr>
        <w:t>以此类推，</w:t>
      </w:r>
      <w:r>
        <w:rPr>
          <w:rFonts w:hint="eastAsia" w:ascii="宋体" w:hAnsi="宋体" w:cs="宋体"/>
          <w:color w:val="auto"/>
          <w:highlight w:val="none"/>
        </w:rPr>
        <w:t>也可以重新开展政府采购活动。</w:t>
      </w:r>
      <w:r>
        <w:rPr>
          <w:rFonts w:hint="eastAsia" w:ascii="宋体" w:hAnsi="宋体" w:cs="宋体"/>
          <w:color w:val="auto"/>
          <w:szCs w:val="24"/>
          <w:highlight w:val="none"/>
        </w:rPr>
        <w:t>因自身原因拒绝签订政府采购合同的或者未按合同约定进行履约的，中标人不得参加对该项目重新开展的招标活动。</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3.中标通知书将是合同的重要组成部分。招标文件、中标人的投标文件及评议过程中有关的澄清文件均作为合同附件。</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4.中标后，中标人应按照合同约定履行义务，完成招标项目的供货，不允许中标后另行转包或者分包履行。</w:t>
      </w:r>
    </w:p>
    <w:p>
      <w:pPr>
        <w:spacing w:line="480" w:lineRule="exact"/>
        <w:ind w:left="480" w:leftChars="200"/>
        <w:rPr>
          <w:rFonts w:ascii="宋体" w:hAnsi="宋体" w:cs="宋体"/>
          <w:color w:val="auto"/>
          <w:szCs w:val="24"/>
          <w:highlight w:val="none"/>
        </w:rPr>
      </w:pPr>
      <w:r>
        <w:rPr>
          <w:rFonts w:hint="eastAsia" w:ascii="宋体" w:hAnsi="宋体" w:cs="宋体"/>
          <w:color w:val="auto"/>
          <w:szCs w:val="24"/>
          <w:highlight w:val="none"/>
        </w:rPr>
        <w:t>5.所签订的合同不得对招标文件确定的事项和中标人投标文件作实质性修改。</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6.采购人需追加与合同标的相同的货物、工程或服务的，在不改变合同其他条款的前提下，可以与中标人协商签订补充合同，但所有补充合同的采购金额不得超过原合同采购金额的百分之十。</w:t>
      </w:r>
      <w:bookmarkStart w:id="41" w:name="_Toc458617740"/>
      <w:bookmarkStart w:id="42" w:name="_Toc458617463"/>
    </w:p>
    <w:p>
      <w:pPr>
        <w:pStyle w:val="4"/>
        <w:spacing w:before="0" w:after="0" w:line="480" w:lineRule="exact"/>
        <w:rPr>
          <w:rFonts w:ascii="宋体" w:hAnsi="宋体" w:eastAsia="宋体" w:cs="宋体"/>
          <w:color w:val="auto"/>
          <w:kern w:val="0"/>
          <w:sz w:val="28"/>
          <w:szCs w:val="28"/>
          <w:highlight w:val="none"/>
        </w:rPr>
      </w:pPr>
      <w:bookmarkStart w:id="43" w:name="_Toc1496"/>
      <w:r>
        <w:rPr>
          <w:rFonts w:hint="eastAsia" w:ascii="宋体" w:hAnsi="宋体" w:eastAsia="宋体" w:cs="宋体"/>
          <w:color w:val="auto"/>
          <w:kern w:val="0"/>
          <w:sz w:val="28"/>
          <w:szCs w:val="28"/>
          <w:highlight w:val="none"/>
        </w:rPr>
        <w:t>八、合同的履约验收</w:t>
      </w:r>
      <w:bookmarkEnd w:id="43"/>
    </w:p>
    <w:p>
      <w:pPr>
        <w:spacing w:line="480" w:lineRule="exact"/>
        <w:rPr>
          <w:rFonts w:ascii="宋体" w:hAnsi="宋体" w:cs="宋体"/>
          <w:color w:val="auto"/>
          <w:highlight w:val="none"/>
        </w:rPr>
      </w:pPr>
      <w:r>
        <w:rPr>
          <w:rFonts w:hint="eastAsia" w:ascii="宋体" w:hAnsi="宋体" w:cs="宋体"/>
          <w:color w:val="auto"/>
          <w:highlight w:val="none"/>
        </w:rPr>
        <w:t xml:space="preserve">     采购人应按照政府采购合同约定的技术、服务、安全标准组织对投标人每一项技术、服务、安全标准的履约情况进行验收，并出具验收书。</w:t>
      </w:r>
    </w:p>
    <w:p>
      <w:pPr>
        <w:pStyle w:val="4"/>
        <w:spacing w:before="0" w:after="0" w:line="460" w:lineRule="exact"/>
        <w:rPr>
          <w:rFonts w:ascii="宋体" w:hAnsi="宋体" w:eastAsia="宋体" w:cs="宋体"/>
          <w:color w:val="auto"/>
          <w:kern w:val="0"/>
          <w:sz w:val="28"/>
          <w:szCs w:val="28"/>
          <w:highlight w:val="none"/>
        </w:rPr>
      </w:pPr>
      <w:bookmarkStart w:id="44" w:name="_Toc13731"/>
      <w:r>
        <w:rPr>
          <w:rFonts w:hint="eastAsia" w:ascii="宋体" w:hAnsi="宋体" w:eastAsia="宋体" w:cs="宋体"/>
          <w:color w:val="auto"/>
          <w:kern w:val="0"/>
          <w:sz w:val="28"/>
          <w:szCs w:val="28"/>
          <w:highlight w:val="none"/>
        </w:rPr>
        <w:t>九、招标代理服务费</w:t>
      </w:r>
      <w:bookmarkEnd w:id="41"/>
      <w:bookmarkEnd w:id="42"/>
      <w:bookmarkEnd w:id="44"/>
    </w:p>
    <w:p>
      <w:pPr>
        <w:spacing w:line="460" w:lineRule="exact"/>
        <w:ind w:firstLine="480" w:firstLineChars="200"/>
        <w:rPr>
          <w:rFonts w:ascii="宋体" w:hAnsi="宋体" w:cs="宋体"/>
          <w:color w:val="auto"/>
          <w:highlight w:val="none"/>
        </w:rPr>
      </w:pPr>
      <w:bookmarkStart w:id="45" w:name="_Toc194663910"/>
      <w:bookmarkStart w:id="46" w:name="_Toc193126874"/>
      <w:bookmarkStart w:id="47" w:name="_Toc188808820"/>
      <w:bookmarkStart w:id="48" w:name="_Toc193187089"/>
      <w:r>
        <w:rPr>
          <w:rFonts w:hint="eastAsia" w:ascii="宋体" w:hAnsi="宋体" w:cs="宋体"/>
          <w:color w:val="auto"/>
          <w:highlight w:val="none"/>
        </w:rPr>
        <w:t>1.中标人在领取中标通知书时，向陕西上德招标有限公司交纳招标代理服务费。服务费收费标准参照原《国家计委关于印发&lt;招标代理服务收费管理暂行办法&gt;的通知》(计价格〔2002〕1980号)、《国家发展改革委关于降低部分建设项目收费标准规范收费行为等有关问题的通知》(发改价格〔2011〕534号)规定执行。</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2.招标代理服务费应采用转账、刷卡、现金形式缴纳。</w:t>
      </w:r>
    </w:p>
    <w:bookmarkEnd w:id="45"/>
    <w:bookmarkEnd w:id="46"/>
    <w:bookmarkEnd w:id="47"/>
    <w:bookmarkEnd w:id="48"/>
    <w:p>
      <w:pPr>
        <w:pStyle w:val="4"/>
        <w:spacing w:before="0" w:after="0" w:line="460" w:lineRule="exact"/>
        <w:rPr>
          <w:rFonts w:ascii="宋体" w:hAnsi="宋体" w:eastAsia="宋体" w:cs="宋体"/>
          <w:color w:val="auto"/>
          <w:kern w:val="0"/>
          <w:sz w:val="28"/>
          <w:szCs w:val="28"/>
          <w:highlight w:val="none"/>
        </w:rPr>
      </w:pPr>
      <w:bookmarkStart w:id="49" w:name="_Toc14543"/>
      <w:bookmarkStart w:id="50" w:name="_Toc506112136"/>
      <w:r>
        <w:rPr>
          <w:rFonts w:hint="eastAsia" w:ascii="宋体" w:hAnsi="宋体" w:eastAsia="宋体" w:cs="宋体"/>
          <w:color w:val="auto"/>
          <w:kern w:val="0"/>
          <w:sz w:val="28"/>
          <w:szCs w:val="28"/>
          <w:highlight w:val="none"/>
        </w:rPr>
        <w:t>十、重新组织采购活动</w:t>
      </w:r>
      <w:bookmarkEnd w:id="49"/>
      <w:bookmarkEnd w:id="50"/>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如果发生下列情况之一，采购人和采购代理机构将按《</w:t>
      </w:r>
      <w:r>
        <w:rPr>
          <w:rFonts w:hint="eastAsia" w:ascii="宋体" w:hAnsi="宋体" w:cs="宋体"/>
          <w:color w:val="auto"/>
          <w:kern w:val="0"/>
          <w:highlight w:val="none"/>
        </w:rPr>
        <w:t>中华人民共和国政府采购法</w:t>
      </w:r>
      <w:r>
        <w:rPr>
          <w:rFonts w:hint="eastAsia" w:ascii="宋体" w:hAnsi="宋体" w:cs="宋体"/>
          <w:color w:val="auto"/>
          <w:szCs w:val="24"/>
          <w:highlight w:val="none"/>
        </w:rPr>
        <w:t>》、《政府采购货物与服务招标投标管理办法》（财政部令第87号）重新组织采购活动：</w:t>
      </w:r>
    </w:p>
    <w:p>
      <w:pPr>
        <w:spacing w:line="460" w:lineRule="exact"/>
        <w:ind w:firstLine="480" w:firstLineChars="200"/>
        <w:rPr>
          <w:rFonts w:ascii="宋体" w:hAnsi="宋体" w:cs="宋体"/>
          <w:color w:val="auto"/>
          <w:szCs w:val="24"/>
          <w:highlight w:val="none"/>
        </w:rPr>
      </w:pPr>
      <w:r>
        <w:rPr>
          <w:rFonts w:hint="eastAsia" w:ascii="宋体" w:hAnsi="宋体" w:cs="宋体"/>
          <w:color w:val="auto"/>
          <w:kern w:val="96"/>
          <w:szCs w:val="24"/>
          <w:highlight w:val="none"/>
        </w:rPr>
        <w:t>1.</w:t>
      </w:r>
      <w:r>
        <w:rPr>
          <w:rFonts w:hint="eastAsia" w:ascii="宋体" w:hAnsi="宋体" w:cs="宋体"/>
          <w:color w:val="auto"/>
          <w:szCs w:val="24"/>
          <w:highlight w:val="none"/>
        </w:rPr>
        <w:t xml:space="preserve">投标截止后投标人不足3家或者通过资格审查或符合性审查的投标人不足3家的； </w:t>
      </w:r>
    </w:p>
    <w:p>
      <w:pPr>
        <w:spacing w:line="460" w:lineRule="exact"/>
        <w:ind w:firstLine="480" w:firstLineChars="200"/>
        <w:rPr>
          <w:rFonts w:ascii="宋体" w:hAnsi="宋体" w:cs="宋体"/>
          <w:color w:val="auto"/>
          <w:kern w:val="96"/>
          <w:szCs w:val="24"/>
          <w:highlight w:val="none"/>
        </w:rPr>
      </w:pPr>
      <w:r>
        <w:rPr>
          <w:rFonts w:hint="eastAsia" w:ascii="宋体" w:hAnsi="宋体" w:cs="宋体"/>
          <w:color w:val="auto"/>
          <w:szCs w:val="24"/>
          <w:highlight w:val="none"/>
        </w:rPr>
        <w:t>2.出现影响采购公正的违法、违规行为的；</w:t>
      </w:r>
      <w:r>
        <w:rPr>
          <w:rFonts w:hint="eastAsia" w:ascii="宋体" w:hAnsi="宋体" w:cs="宋体"/>
          <w:color w:val="auto"/>
          <w:kern w:val="96"/>
          <w:szCs w:val="24"/>
          <w:highlight w:val="none"/>
        </w:rPr>
        <w:t xml:space="preserve"> </w:t>
      </w:r>
    </w:p>
    <w:p>
      <w:pPr>
        <w:spacing w:line="460" w:lineRule="exact"/>
        <w:ind w:firstLine="480" w:firstLineChars="200"/>
        <w:rPr>
          <w:rFonts w:ascii="宋体" w:hAnsi="宋体" w:cs="宋体"/>
          <w:color w:val="auto"/>
          <w:kern w:val="96"/>
          <w:szCs w:val="24"/>
          <w:highlight w:val="none"/>
        </w:rPr>
      </w:pPr>
      <w:r>
        <w:rPr>
          <w:rFonts w:hint="eastAsia" w:ascii="宋体" w:hAnsi="宋体" w:cs="宋体"/>
          <w:color w:val="auto"/>
          <w:kern w:val="96"/>
          <w:szCs w:val="24"/>
          <w:highlight w:val="none"/>
        </w:rPr>
        <w:t>3.</w:t>
      </w:r>
      <w:r>
        <w:rPr>
          <w:rFonts w:hint="eastAsia" w:ascii="宋体" w:hAnsi="宋体" w:cs="宋体"/>
          <w:color w:val="auto"/>
          <w:szCs w:val="24"/>
          <w:highlight w:val="none"/>
        </w:rPr>
        <w:t>所有投标人的报价均超出采购预算，采购人不能支付的；</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4.</w:t>
      </w:r>
      <w:r>
        <w:rPr>
          <w:rFonts w:hint="eastAsia" w:ascii="宋体" w:hAnsi="宋体" w:cs="宋体"/>
          <w:color w:val="auto"/>
          <w:kern w:val="96"/>
          <w:szCs w:val="24"/>
          <w:highlight w:val="none"/>
        </w:rPr>
        <w:t>因重大变故，采购任务取消的。</w:t>
      </w:r>
    </w:p>
    <w:p>
      <w:pPr>
        <w:pStyle w:val="4"/>
        <w:spacing w:before="0" w:after="0" w:line="460" w:lineRule="exact"/>
        <w:rPr>
          <w:rFonts w:ascii="宋体" w:hAnsi="宋体" w:eastAsia="宋体" w:cs="宋体"/>
          <w:color w:val="auto"/>
          <w:kern w:val="0"/>
          <w:sz w:val="28"/>
          <w:szCs w:val="28"/>
          <w:highlight w:val="none"/>
        </w:rPr>
      </w:pPr>
      <w:bookmarkStart w:id="51" w:name="_Toc458617742"/>
      <w:bookmarkStart w:id="52" w:name="_Toc458617465"/>
      <w:bookmarkStart w:id="53" w:name="_Toc22148"/>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eastAsia="zh-CN"/>
        </w:rPr>
        <w:t>一</w:t>
      </w:r>
      <w:r>
        <w:rPr>
          <w:rFonts w:hint="eastAsia" w:ascii="宋体" w:hAnsi="宋体" w:eastAsia="宋体" w:cs="宋体"/>
          <w:color w:val="auto"/>
          <w:kern w:val="0"/>
          <w:sz w:val="28"/>
          <w:szCs w:val="28"/>
          <w:highlight w:val="none"/>
        </w:rPr>
        <w:t>、</w:t>
      </w:r>
      <w:bookmarkEnd w:id="51"/>
      <w:bookmarkEnd w:id="52"/>
      <w:bookmarkStart w:id="54" w:name="_Toc458617743"/>
      <w:bookmarkStart w:id="55" w:name="_Toc458617466"/>
      <w:r>
        <w:rPr>
          <w:rFonts w:hint="eastAsia" w:ascii="宋体" w:hAnsi="宋体" w:eastAsia="宋体" w:cs="宋体"/>
          <w:color w:val="auto"/>
          <w:kern w:val="0"/>
          <w:sz w:val="28"/>
          <w:szCs w:val="28"/>
          <w:highlight w:val="none"/>
        </w:rPr>
        <w:t>询问、质疑与投诉</w:t>
      </w:r>
      <w:bookmarkEnd w:id="53"/>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1.询问</w:t>
      </w:r>
    </w:p>
    <w:p>
      <w:pPr>
        <w:spacing w:line="46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投标人对政府采购活动事项有疑问的，可以向采购人、采购代理机构提出询问。</w:t>
      </w:r>
    </w:p>
    <w:p>
      <w:pPr>
        <w:spacing w:line="46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2.质疑</w:t>
      </w:r>
    </w:p>
    <w:p>
      <w:pPr>
        <w:spacing w:line="460" w:lineRule="exact"/>
        <w:ind w:firstLine="480" w:firstLineChars="200"/>
        <w:rPr>
          <w:rFonts w:ascii="宋体" w:hAnsi="宋体" w:cs="宋体"/>
          <w:color w:val="auto"/>
          <w:kern w:val="0"/>
          <w:szCs w:val="24"/>
          <w:highlight w:val="none"/>
        </w:rPr>
      </w:pPr>
      <w:r>
        <w:rPr>
          <w:rFonts w:hint="eastAsia" w:ascii="宋体" w:hAnsi="宋体" w:cs="宋体"/>
          <w:color w:val="auto"/>
          <w:highlight w:val="none"/>
        </w:rPr>
        <w:t>2.1</w:t>
      </w:r>
      <w:r>
        <w:rPr>
          <w:rFonts w:hint="eastAsia" w:ascii="宋体" w:hAnsi="宋体" w:cs="宋体"/>
          <w:color w:val="auto"/>
          <w:szCs w:val="24"/>
          <w:highlight w:val="none"/>
        </w:rPr>
        <w:t>投标人认为招标文</w:t>
      </w:r>
      <w:r>
        <w:rPr>
          <w:rFonts w:hint="eastAsia" w:ascii="宋体" w:hAnsi="宋体" w:cs="宋体"/>
          <w:color w:val="auto"/>
          <w:kern w:val="0"/>
          <w:szCs w:val="24"/>
          <w:highlight w:val="none"/>
        </w:rPr>
        <w:t>件、招标过程和中标结果使自己的权益受到损害的，可以在知道或者应知其权益受到损害之日起七个工作日内，以书面形式向采购人或采购代理机构提出质疑，逾期质疑无效。投标人应知其权益受到损害之日，是指：</w:t>
      </w:r>
    </w:p>
    <w:p>
      <w:pPr>
        <w:spacing w:line="46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2.1.1对采购文件提出质疑的，为收到采购文件之日或者采购文件公告期限届满之日；</w:t>
      </w:r>
    </w:p>
    <w:p>
      <w:pPr>
        <w:spacing w:line="46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2.1.2对采购过程提出质疑的，为各采购程序环节结束之日；</w:t>
      </w:r>
    </w:p>
    <w:p>
      <w:pPr>
        <w:spacing w:line="460" w:lineRule="exact"/>
        <w:ind w:left="480" w:leftChars="200"/>
        <w:rPr>
          <w:rFonts w:ascii="宋体" w:hAnsi="宋体" w:cs="宋体"/>
          <w:color w:val="auto"/>
          <w:highlight w:val="none"/>
        </w:rPr>
      </w:pPr>
      <w:r>
        <w:rPr>
          <w:rFonts w:hint="eastAsia" w:ascii="宋体" w:hAnsi="宋体" w:cs="宋体"/>
          <w:color w:val="auto"/>
          <w:kern w:val="0"/>
          <w:szCs w:val="24"/>
          <w:highlight w:val="none"/>
        </w:rPr>
        <w:t xml:space="preserve">2.1.3对中标结果提出质疑的，为中标结果公告期限届满之日。   </w:t>
      </w:r>
      <w:r>
        <w:rPr>
          <w:rFonts w:hint="eastAsia" w:ascii="宋体" w:hAnsi="宋体" w:cs="宋体"/>
          <w:color w:val="auto"/>
          <w:highlight w:val="none"/>
        </w:rPr>
        <w:t xml:space="preserve"> </w:t>
      </w:r>
    </w:p>
    <w:p>
      <w:pPr>
        <w:spacing w:line="460" w:lineRule="exact"/>
        <w:ind w:left="480" w:leftChars="200"/>
        <w:rPr>
          <w:rFonts w:ascii="宋体" w:hAnsi="宋体" w:cs="宋体"/>
          <w:color w:val="auto"/>
          <w:szCs w:val="24"/>
          <w:highlight w:val="none"/>
        </w:rPr>
      </w:pPr>
      <w:r>
        <w:rPr>
          <w:rFonts w:hint="eastAsia" w:ascii="宋体" w:hAnsi="宋体" w:cs="宋体"/>
          <w:color w:val="auto"/>
          <w:szCs w:val="24"/>
          <w:highlight w:val="none"/>
        </w:rPr>
        <w:t>2.2投标人须在法定质疑期内一次性提出针对同一采购程序环节的质疑。</w:t>
      </w:r>
    </w:p>
    <w:p>
      <w:pPr>
        <w:spacing w:line="460" w:lineRule="exact"/>
        <w:ind w:firstLine="480" w:firstLineChars="200"/>
        <w:rPr>
          <w:rFonts w:ascii="宋体" w:hAnsi="宋体" w:cs="宋体"/>
          <w:color w:val="auto"/>
          <w:highlight w:val="none"/>
        </w:rPr>
      </w:pPr>
      <w:r>
        <w:rPr>
          <w:rFonts w:hint="eastAsia" w:ascii="宋体" w:hAnsi="宋体" w:cs="宋体"/>
          <w:color w:val="auto"/>
          <w:highlight w:val="none"/>
        </w:rPr>
        <w:t>2.3投标人必须按照财政部发布的《政府采购投标人质疑函范本》及其制作说明提出质疑。</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2.4投标人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pPr>
        <w:spacing w:line="460" w:lineRule="exact"/>
        <w:ind w:firstLine="480" w:firstLineChars="200"/>
        <w:rPr>
          <w:rFonts w:ascii="宋体" w:hAnsi="宋体" w:cs="宋体"/>
          <w:color w:val="auto"/>
          <w:highlight w:val="none"/>
        </w:rPr>
      </w:pPr>
      <w:r>
        <w:rPr>
          <w:rFonts w:hint="eastAsia" w:ascii="宋体" w:hAnsi="宋体" w:cs="宋体"/>
          <w:color w:val="auto"/>
          <w:szCs w:val="24"/>
          <w:highlight w:val="none"/>
        </w:rPr>
        <w:t>2.5投标人可以委托代理人进行质疑，须提交授权委托书。其授权委托书应当载明代理人的姓名或者名称、代理事项、具体权限、期限和相关事项。投标人为自然人的，应当由本人签字；投标人为法人或者其他组织的，应当由法定代表人、主要负责人，或者其授权代表签字或盖章，并加盖公章（鲜章）。</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2.6投标人应在法定期限内以书面形式提出质疑，联系人：</w:t>
      </w:r>
      <w:r>
        <w:rPr>
          <w:rFonts w:hint="eastAsia" w:ascii="宋体" w:hAnsi="宋体" w:cs="宋体"/>
          <w:color w:val="auto"/>
          <w:szCs w:val="24"/>
          <w:highlight w:val="none"/>
          <w:lang w:eastAsia="zh-CN"/>
        </w:rPr>
        <w:t>何长青</w:t>
      </w:r>
      <w:r>
        <w:rPr>
          <w:rFonts w:hint="eastAsia" w:ascii="宋体" w:hAnsi="宋体" w:cs="宋体"/>
          <w:color w:val="auto"/>
          <w:szCs w:val="24"/>
          <w:highlight w:val="none"/>
        </w:rPr>
        <w:t>(</w:t>
      </w:r>
      <w:r>
        <w:rPr>
          <w:rFonts w:hint="eastAsia" w:ascii="宋体" w:hAnsi="宋体" w:cs="宋体"/>
          <w:color w:val="auto"/>
          <w:szCs w:val="24"/>
          <w:highlight w:val="none"/>
          <w:lang w:eastAsia="zh-CN"/>
        </w:rPr>
        <w:t>12号工位</w:t>
      </w:r>
      <w:r>
        <w:rPr>
          <w:rFonts w:hint="eastAsia" w:ascii="宋体" w:hAnsi="宋体" w:cs="宋体"/>
          <w:color w:val="auto"/>
          <w:szCs w:val="24"/>
          <w:highlight w:val="none"/>
        </w:rPr>
        <w:t>)，联系方式:029-86673953、029-86518381、029-89299829、029-89293231 转</w:t>
      </w:r>
      <w:r>
        <w:rPr>
          <w:rFonts w:hint="eastAsia" w:ascii="宋体" w:hAnsi="宋体" w:cs="宋体"/>
          <w:color w:val="auto"/>
          <w:szCs w:val="24"/>
          <w:highlight w:val="none"/>
          <w:lang w:eastAsia="zh-CN"/>
        </w:rPr>
        <w:t>8012</w:t>
      </w:r>
      <w:r>
        <w:rPr>
          <w:rFonts w:hint="eastAsia" w:ascii="宋体" w:hAnsi="宋体" w:cs="宋体"/>
          <w:color w:val="auto"/>
          <w:szCs w:val="24"/>
          <w:highlight w:val="none"/>
        </w:rPr>
        <w:t>,地址：陕西上德招标有限公司（西安市经开区凤城八路正尚国际金融广场A座7层703（张家堡转盘东南角））。</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3.投诉</w:t>
      </w:r>
    </w:p>
    <w:p>
      <w:pPr>
        <w:spacing w:line="460" w:lineRule="exact"/>
        <w:ind w:firstLine="480" w:firstLineChars="200"/>
        <w:rPr>
          <w:rFonts w:ascii="宋体" w:hAnsi="宋体" w:cs="宋体"/>
          <w:color w:val="auto"/>
          <w:szCs w:val="24"/>
          <w:highlight w:val="none"/>
        </w:rPr>
      </w:pPr>
      <w:r>
        <w:rPr>
          <w:rFonts w:hint="eastAsia" w:ascii="宋体" w:hAnsi="宋体" w:cs="宋体"/>
          <w:color w:val="auto"/>
          <w:kern w:val="0"/>
          <w:szCs w:val="24"/>
          <w:highlight w:val="none"/>
        </w:rPr>
        <w:t>质疑投标人对采购人、采购代理机构的答复不满意或者采购人、采购代理机构未在规定的时间内作出答复的，可按《</w:t>
      </w:r>
      <w:r>
        <w:rPr>
          <w:rFonts w:hint="eastAsia" w:ascii="宋体" w:hAnsi="宋体" w:cs="宋体"/>
          <w:color w:val="auto"/>
          <w:kern w:val="0"/>
          <w:highlight w:val="none"/>
        </w:rPr>
        <w:t>中华人民共和国政府采购法</w:t>
      </w:r>
      <w:r>
        <w:rPr>
          <w:rFonts w:hint="eastAsia" w:ascii="宋体" w:hAnsi="宋体" w:cs="宋体"/>
          <w:color w:val="auto"/>
          <w:kern w:val="0"/>
          <w:szCs w:val="24"/>
          <w:highlight w:val="none"/>
        </w:rPr>
        <w:t>》第55条和</w:t>
      </w:r>
      <w:r>
        <w:rPr>
          <w:rFonts w:hint="eastAsia" w:ascii="宋体" w:hAnsi="宋体" w:cs="宋体"/>
          <w:color w:val="auto"/>
          <w:szCs w:val="24"/>
          <w:highlight w:val="none"/>
        </w:rPr>
        <w:t>《政府采购质疑和投诉办法》（财政部令第94号）第17条</w:t>
      </w:r>
      <w:r>
        <w:rPr>
          <w:rFonts w:hint="eastAsia" w:ascii="宋体" w:hAnsi="宋体" w:cs="宋体"/>
          <w:color w:val="auto"/>
          <w:kern w:val="0"/>
          <w:szCs w:val="24"/>
          <w:highlight w:val="none"/>
        </w:rPr>
        <w:t>等有关规定执行。</w:t>
      </w:r>
    </w:p>
    <w:p>
      <w:pPr>
        <w:pStyle w:val="4"/>
        <w:spacing w:before="0" w:after="0" w:line="460" w:lineRule="exact"/>
        <w:rPr>
          <w:rFonts w:ascii="宋体" w:hAnsi="宋体" w:eastAsia="宋体" w:cs="宋体"/>
          <w:color w:val="auto"/>
          <w:kern w:val="0"/>
          <w:sz w:val="28"/>
          <w:szCs w:val="28"/>
          <w:highlight w:val="none"/>
        </w:rPr>
      </w:pPr>
      <w:bookmarkStart w:id="56" w:name="_Toc24663"/>
      <w:r>
        <w:rPr>
          <w:rFonts w:hint="eastAsia" w:ascii="宋体" w:hAnsi="宋体" w:eastAsia="宋体" w:cs="宋体"/>
          <w:color w:val="auto"/>
          <w:kern w:val="0"/>
          <w:sz w:val="28"/>
          <w:szCs w:val="28"/>
          <w:highlight w:val="none"/>
        </w:rPr>
        <w:t>十</w:t>
      </w:r>
      <w:r>
        <w:rPr>
          <w:rFonts w:hint="eastAsia" w:ascii="宋体" w:hAnsi="宋体" w:eastAsia="宋体" w:cs="宋体"/>
          <w:color w:val="auto"/>
          <w:kern w:val="0"/>
          <w:sz w:val="28"/>
          <w:szCs w:val="28"/>
          <w:highlight w:val="none"/>
          <w:lang w:eastAsia="zh-CN"/>
        </w:rPr>
        <w:t>二</w:t>
      </w:r>
      <w:r>
        <w:rPr>
          <w:rFonts w:hint="eastAsia" w:ascii="宋体" w:hAnsi="宋体" w:eastAsia="宋体" w:cs="宋体"/>
          <w:color w:val="auto"/>
          <w:kern w:val="0"/>
          <w:sz w:val="28"/>
          <w:szCs w:val="28"/>
          <w:highlight w:val="none"/>
        </w:rPr>
        <w:t>、拒绝商业贿赂</w:t>
      </w:r>
      <w:bookmarkEnd w:id="54"/>
      <w:bookmarkEnd w:id="55"/>
      <w:bookmarkEnd w:id="56"/>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1.遵照陕西省财政厅的规定，采购人、采购代理机构、投标人和评审专家在招投标活动中，都要签订相应的《拒绝政府采购领域商业贿赂承诺书》，并对违反承诺的行为承担全部责任。</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2.投标人必须填写《拒绝政府采购领域商业贿赂承诺书》（式样见投标文件格式）并附在投标文件中，同时应保证投标文件正、副本中一致。</w:t>
      </w:r>
    </w:p>
    <w:p>
      <w:pPr>
        <w:pStyle w:val="4"/>
        <w:spacing w:before="0" w:after="0" w:line="460" w:lineRule="exact"/>
        <w:rPr>
          <w:rFonts w:ascii="宋体" w:hAnsi="宋体" w:eastAsia="宋体" w:cs="宋体"/>
          <w:color w:val="auto"/>
          <w:sz w:val="28"/>
          <w:szCs w:val="28"/>
          <w:highlight w:val="none"/>
          <w:lang w:val="zh-CN"/>
        </w:rPr>
      </w:pPr>
      <w:bookmarkStart w:id="57" w:name="_Toc25744"/>
      <w:bookmarkStart w:id="58" w:name="_Toc9673"/>
      <w:bookmarkStart w:id="59" w:name="_Toc3461"/>
      <w:r>
        <w:rPr>
          <w:rFonts w:hint="eastAsia" w:ascii="宋体" w:hAnsi="宋体" w:eastAsia="宋体" w:cs="宋体"/>
          <w:color w:val="auto"/>
          <w:sz w:val="28"/>
          <w:szCs w:val="28"/>
          <w:highlight w:val="none"/>
        </w:rPr>
        <w:t>十</w:t>
      </w:r>
      <w:r>
        <w:rPr>
          <w:rFonts w:hint="eastAsia" w:ascii="宋体" w:hAnsi="宋体" w:eastAsia="宋体" w:cs="宋体"/>
          <w:color w:val="auto"/>
          <w:sz w:val="28"/>
          <w:szCs w:val="28"/>
          <w:highlight w:val="none"/>
          <w:lang w:eastAsia="zh-CN"/>
        </w:rPr>
        <w:t>三</w:t>
      </w:r>
      <w:r>
        <w:rPr>
          <w:rFonts w:hint="eastAsia" w:ascii="宋体" w:hAnsi="宋体" w:eastAsia="宋体" w:cs="宋体"/>
          <w:color w:val="auto"/>
          <w:sz w:val="28"/>
          <w:szCs w:val="28"/>
          <w:highlight w:val="none"/>
        </w:rPr>
        <w:t>、政府采购信用担保及信用融资政策</w:t>
      </w:r>
      <w:bookmarkEnd w:id="57"/>
      <w:bookmarkEnd w:id="58"/>
      <w:bookmarkEnd w:id="59"/>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投标人提供政府采购信用担保和融资服务，并按照程序确定了合作的担保机构和商业银行。</w:t>
      </w:r>
    </w:p>
    <w:p>
      <w:pPr>
        <w:spacing w:line="460" w:lineRule="exact"/>
        <w:ind w:firstLine="480" w:firstLineChars="200"/>
        <w:rPr>
          <w:rFonts w:ascii="宋体" w:hAnsi="宋体" w:cs="宋体"/>
          <w:color w:val="auto"/>
          <w:highlight w:val="none"/>
        </w:rPr>
      </w:pPr>
      <w:r>
        <w:rPr>
          <w:rFonts w:hint="eastAsia" w:ascii="宋体" w:hAnsi="宋体" w:cs="宋体"/>
          <w:color w:val="auto"/>
          <w:szCs w:val="24"/>
          <w:highlight w:val="none"/>
        </w:rPr>
        <w:t>中标人如果需要融资贷款服务需求的，可凭中标通知书、政府采购合同等相关资料，按照文件规定的相关政策、业务流程申请办理，具体规定可登陆陕西省政府采购信用融资平台（http://www.ccgp-shaanxi.gov.cn/zcdservice/zcd/shanxi/）查询了解</w:t>
      </w:r>
      <w:r>
        <w:rPr>
          <w:rFonts w:hint="eastAsia" w:ascii="宋体" w:hAnsi="宋体" w:cs="宋体"/>
          <w:color w:val="auto"/>
          <w:highlight w:val="none"/>
        </w:rPr>
        <w:t>。</w:t>
      </w:r>
    </w:p>
    <w:p>
      <w:pPr>
        <w:pStyle w:val="3"/>
        <w:numPr>
          <w:ilvl w:val="0"/>
          <w:numId w:val="3"/>
        </w:numPr>
        <w:spacing w:before="0" w:after="0" w:line="480" w:lineRule="auto"/>
        <w:jc w:val="center"/>
        <w:rPr>
          <w:rFonts w:hint="eastAsia" w:ascii="宋体" w:hAnsi="宋体" w:cs="宋体"/>
          <w:color w:val="auto"/>
          <w:kern w:val="0"/>
          <w:highlight w:val="none"/>
        </w:rPr>
      </w:pPr>
      <w:bookmarkStart w:id="60" w:name="_Toc2336"/>
      <w:bookmarkStart w:id="61" w:name="_Toc458617744"/>
      <w:bookmarkStart w:id="62" w:name="_Toc458617467"/>
      <w:r>
        <w:rPr>
          <w:rFonts w:hint="eastAsia" w:ascii="宋体" w:hAnsi="宋体" w:cs="宋体"/>
          <w:color w:val="auto"/>
          <w:kern w:val="0"/>
          <w:highlight w:val="none"/>
        </w:rPr>
        <w:br w:type="page"/>
      </w:r>
      <w:r>
        <w:rPr>
          <w:rFonts w:hint="eastAsia" w:ascii="宋体" w:hAnsi="宋体" w:cs="宋体"/>
          <w:color w:val="auto"/>
          <w:kern w:val="0"/>
          <w:highlight w:val="none"/>
        </w:rPr>
        <w:t xml:space="preserve"> 采购内容及技术要求</w:t>
      </w:r>
      <w:bookmarkEnd w:id="60"/>
      <w:bookmarkEnd w:id="61"/>
      <w:bookmarkEnd w:id="62"/>
    </w:p>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建设目标</w:t>
      </w:r>
    </w:p>
    <w:p>
      <w:pPr>
        <w:pStyle w:val="13"/>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落实国家、及省市医保支付方式改革要求，医院亟需按照《国家医疗保障按病种分值付费（DIP）技术规范》等相关标准，结合国家统一的支付方式管理子系统和DIP支付子系统、陕西省统一的支付方式管理子系统和DIP支付子系统来建设一套医院DIP管理平台以提升数据质量和运营分析等，以此助力医院精细化管理，实现医院的可持续性发展。</w:t>
      </w:r>
    </w:p>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总体要求</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1、应用软件在开发中要遵循实用性、高效性、可靠性、易操作性和安全性原则；</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系统必须根据医院管理模式采用科学化、信息化、规范化、标准化理论进行设计建立，以满足医院管理模式和管理流程的规范化和持续改进的需要，同时也应考虑到医院的实际情况进行人性化设计和智能化设计；</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3、系统应具有较好的实用性。它应该符合现行医院体系结构、管理模式和运作程序，能满足医院对信息的需求，提高医疗服务质量、工作效率和管理水平，为医院带来一定的经济效益和社会效益；</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4、系统必须保证与我国现行的有关法律、法规、规章制度相一致；</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5、系统满足与各级医疗机构和各级卫生行政部门交换信息的要求；</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6、系统必须保证各项信息统计指标，符合卫生行政管理部门颁布的信息统计指标规范，可根据卫生行政管理部门的要求及时对系统进行升级；</w:t>
      </w:r>
    </w:p>
    <w:p>
      <w:pPr>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7、满足及遵循《全国医院信息化建设标准与规范（试行）》最新标准及相关要求。</w:t>
      </w:r>
    </w:p>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采购内容</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24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5245"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医保结算清单质量管理软件服务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费用测算分析系统软件服务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医生端质控及预入组软件服务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5245" w:type="dxa"/>
          </w:tcPr>
          <w:p>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医院运营分析系统软件服务</w:t>
            </w:r>
          </w:p>
        </w:tc>
        <w:tc>
          <w:tcPr>
            <w:tcW w:w="1276" w:type="dxa"/>
            <w:vAlign w:val="center"/>
          </w:tcPr>
          <w:p>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1套</w:t>
            </w:r>
          </w:p>
        </w:tc>
      </w:tr>
    </w:tbl>
    <w:p>
      <w:pPr>
        <w:pStyle w:val="3"/>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技术参数要求</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4.1</w:t>
      </w:r>
      <w:r>
        <w:rPr>
          <w:rFonts w:hint="eastAsia" w:ascii="宋体" w:hAnsi="宋体" w:eastAsia="宋体" w:cs="宋体"/>
          <w:color w:val="000000" w:themeColor="text1"/>
          <w:sz w:val="24"/>
          <w:szCs w:val="24"/>
          <w14:textFill>
            <w14:solidFill>
              <w14:schemeClr w14:val="tx1"/>
            </w14:solidFill>
          </w14:textFill>
        </w:rPr>
        <w:t>医保结算清单质量管理软件服务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1医保结算清单管理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1）支持DIP、病种分值、特殊门诊及其他（单病种、生育住院...）业务类型的结算清单管理；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3）支持单个与批量抽取结算清单，同时，针对上传失败的结算清单可设置自动抽取；</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4）支持结算清单数据智能分组，未入组清单可提示未入组的原因；</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5）支持实时质控处理，方便用户实时查看质控提示及问题清单处理；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7）支持审核流程自定义配置，满足医院不同审批流程场景；</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8）针对质控通过结算清单，支持一键上传、自动上传配置，批量结算清单一键上传，提高工作效率；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9）直观提醒已结算天数，确保结算清单能及时上传至医保；</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10）支持智能转码，国家临床版诊断编码转医保版、国家临床版手术操作编码转医保版，同时也支持医保结算清单贯标码转换；</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11）支持导出上传失败、质控缺陷、无法入组等问题清单，方便用户自主分析问题原因，提升团队协同办公效率。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2质控结果统计分析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1）支持结算清单与病案首页的质控结果统计分析，同时，可根据医院实际开展情况，灵活配置显示结算清单与病案首页统计；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3）支持多个科室之间的质控指标比对；</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4）支持从科室、医生、病人维度的质控结果统计；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5）支持各科室质控指标及质控明细数据导出。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3质控违规多维分析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1）支持结算清单与病案首页的质控结果统计分析；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2）支持按结算时间、出院时间灵活选择查询结算清单，满足各科室不同角色数据诉求；</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3）支持从科室、医生、质控规则、病种多维度统计分析；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4）支持查看全部科室质控违规排名分析；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5）支持查看全院医生质控违规明细数据；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6）支持查看各违规类别的规则错误统计；</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7）支持按DIP病种维度统计违规病例数、违规次数。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4清单归档实时监测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1）支持查看全院、各科室的结算清单状态及数量情况；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2）支持查看已结算未归档、已结算已归档、质控通过、质控未通过、已上传、未上传各状态类型的结算清单查询；</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3）支持按各险种、结算时间、医生等组合查询结算清单。</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5清单入组统计分析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为病案室提供对医保结算清单分组结果统计、入组情况分析、全院入组排名等功能。</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1）支持按入组病例数、入组率进行科室排名；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2）支持查看各科室的结算清单入组列表，可快速查看各科室的总病例数、DIP组数、入组病例数、入组率病例数、未入组病例数；</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4.2</w:t>
      </w:r>
      <w:r>
        <w:rPr>
          <w:rFonts w:hint="eastAsia" w:ascii="宋体" w:hAnsi="宋体" w:eastAsia="宋体" w:cs="宋体"/>
          <w:color w:val="000000" w:themeColor="text1"/>
          <w:sz w:val="24"/>
          <w:szCs w:val="24"/>
          <w14:textFill>
            <w14:solidFill>
              <w14:schemeClr w14:val="tx1"/>
            </w14:solidFill>
          </w14:textFill>
        </w:rPr>
        <w:t>费用测算分析系统软件服务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1在院病例测算分析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1）支持按权限科室、病人医保身份等条件进行数据筛选，同时支持一键重置过滤条件；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2）支持查看在院病例总览情况包括在院病例总数、总费用、填写诊断病例数、未填写诊断病例数、已入组病例数、未入组病例数；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3）支持查看科室盈亏排名、医生盈亏排名；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4）支持查看在院病人费用预警播报；</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5）支持查看费用类型分析包括未入组病例、超长住院病例、低倍率病例等；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2出院病例测算分析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1）支持结算时间和出院时间、权限科室、患者医保身份、费用类型、结算类型、患者姓名等条件进行数据筛选；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2）支持查看出院病例指标总览情况包括总人数、平均盈亏额、总盈亏、DIP组数、总分值，可查看指标同比和环比数据；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3）支持查看出院病例盈亏明细、病例结算清单详情；</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4）支持查看费用类型分析柱状图、年度盈亏变化趋势图；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3科室结算盈亏分析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1）支持结算时间、权限科室、患者医保身份、费用类型、结算类型等条件进行数据筛选；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2）支持查看结算病例指标总览情况包括总盈亏、总费用、总分值、入组率、药占比、耗占比、总人次等；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3）支持查看科室结算病例详情列表、支持下钻到医生盈亏详情概览和列表、病人盈亏列表；</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4）支持查看科室盈亏排名、医生盈亏排名；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5）支持查看所选时间段内盈亏额趋势图包括盈亏额同比和环比；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6）所有列表支持自定义排序、数据导出；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4DIP病种盈亏分析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1）支持按结算时间、权限科室、病种名称、患者医保身份、费用类型、结算类型、盈亏类型等条件进行数据筛选；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2）支持查看DIP组指标总览包括：DIP组数、核心病种数、综合病种数、总盈亏、总分值等指标；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3）支持查看DIP病种盈亏明细；</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4）支持查看同DIP组不同科室指标对比、同DIP组不同医师指标对比；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5）支持下钻到病人明细列表、病人结算清单详情；</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7）支持按月度结算和年终清算两种政策类型进行盈亏测算。</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5病例结算类型分析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1）支持按结算时间、权限科室、患者医保身份等条件进行数据筛选；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2）支持查看病例结算类型指标总览包括：盈亏额、DIP支付费用、总费用、总人次等指标；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3）支持查看每个结算类型的盈亏额和人次柱状图；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4）支持查看病例结算类型明细列表包括：正常病例、未入组病例、低倍率病例、高倍率病例等类型；</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5）支持查看同结算类型不同病例对比、下钻到病人结算清单详情；</w:t>
      </w:r>
    </w:p>
    <w:p>
      <w:pPr>
        <w:spacing w:line="480" w:lineRule="exact"/>
        <w:rPr>
          <w:rFonts w:hint="eastAsia"/>
        </w:rPr>
      </w:pPr>
      <w:r>
        <w:rPr>
          <w:rFonts w:hint="eastAsia" w:ascii="宋体" w:hAnsi="宋体" w:cs="宋体"/>
          <w:b/>
          <w:bCs/>
          <w:color w:val="000000" w:themeColor="text1"/>
          <w:szCs w:val="24"/>
          <w:lang w:eastAsia="zh-CN"/>
          <w14:textFill>
            <w14:solidFill>
              <w14:schemeClr w14:val="tx1"/>
            </w14:solidFill>
          </w14:textFill>
        </w:rPr>
        <w:t>注：</w:t>
      </w:r>
      <w:r>
        <w:rPr>
          <w:rFonts w:hint="eastAsia" w:ascii="宋体" w:hAnsi="宋体" w:cs="宋体"/>
          <w:b/>
          <w:bCs/>
          <w:color w:val="000000" w:themeColor="text1"/>
          <w:szCs w:val="24"/>
          <w14:textFill>
            <w14:solidFill>
              <w14:schemeClr w14:val="tx1"/>
            </w14:solidFill>
          </w14:textFill>
        </w:rPr>
        <w:t>系统须实现与市医保平台及医院信息系统无缝对接，涉及接口费用由投标人自行承担。</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t>医生端质控及预入组软件服务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病案质量校验：</w:t>
      </w:r>
      <w:r>
        <w:rPr>
          <w:rFonts w:hint="eastAsia" w:ascii="宋体" w:hAnsi="宋体" w:eastAsia="宋体" w:cs="宋体"/>
          <w:color w:val="000000" w:themeColor="text1"/>
          <w:kern w:val="0"/>
          <w:sz w:val="24"/>
          <w:szCs w:val="24"/>
          <w14:textFill>
            <w14:solidFill>
              <w14:schemeClr w14:val="tx1"/>
            </w14:solidFill>
          </w14:textFill>
        </w:rPr>
        <w:t>在临床医生填写病案首页/病案室对病案首页进行编码时，通过接口调用病案首页书写规范知识库和病案首页编码知识库库对病案首页进行实时检查，对不符合数据质控规则的病案首页进行预警。</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预分组</w:t>
      </w:r>
      <w:r>
        <w:rPr>
          <w:rFonts w:hint="eastAsia" w:ascii="宋体" w:hAnsi="宋体" w:eastAsia="宋体" w:cs="宋体"/>
          <w:color w:val="000000" w:themeColor="text1"/>
          <w:kern w:val="0"/>
          <w:sz w:val="24"/>
          <w:szCs w:val="24"/>
          <w14:textFill>
            <w14:solidFill>
              <w14:schemeClr w14:val="tx1"/>
            </w14:solidFill>
          </w14:textFill>
        </w:rPr>
        <w:t>：提供诊断预入组弹窗插件，通过HIS接口服务，为医生端提供诊断预入组、费用盈亏偏差分析服务。根据患者基本信息、诊断信息、手术信息，测算预计能入的DIP组，展现DIP组权重、标杆费用等参考信息，辅助临床合理控制医保费用。同时为临床医师提供费用偏差预警功能，对比患者实际治疗费用与预测能入DIP组标杆费用差异，辅助临床医师调整治疗方案。</w:t>
      </w:r>
    </w:p>
    <w:p>
      <w:pPr>
        <w:pStyle w:val="4"/>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4.4</w:t>
      </w:r>
      <w:r>
        <w:rPr>
          <w:rFonts w:hint="eastAsia" w:ascii="宋体" w:hAnsi="宋体" w:eastAsia="宋体" w:cs="宋体"/>
          <w:color w:val="000000" w:themeColor="text1"/>
          <w:sz w:val="24"/>
          <w:szCs w:val="24"/>
          <w14:textFill>
            <w14:solidFill>
              <w14:schemeClr w14:val="tx1"/>
            </w14:solidFill>
          </w14:textFill>
        </w:rPr>
        <w:t>医院运营分析系统软件服务</w:t>
      </w:r>
    </w:p>
    <w:p>
      <w:pPr>
        <w:pageBreakBefore w:val="0"/>
        <w:widowControl/>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1能力管理分析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1）支持按年份/月份/日期、医保支付方式、病人医保身份等条件进行数据筛选；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2）DIP组详情：支持查看所选时间段内全院服务能力核心指标包含：总分值、总病例数、DIP组数等指标数据；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3）分值趋势分析：支持查看近一年总分值趋势图和列表明细以及同比分值和环比分值支持列表导出；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2效率管理分析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1）支持按年份/月份/日期、权限科室、医保支付方式、病人医保身份等条件进行数据筛选，同时支持一键重置过滤条件；</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2）概览：支持查看所选时间段内全院服务效率核心指标包含：费用消耗指数、时间消耗指数、药品消耗指数、耗材消耗指数、平均住院日、药品费用、耗材费用、药占比、耗占比等；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3）通过散点图、趋势图分析全院费用消耗指数、时间消耗指数、药品消耗指数、耗材消耗指数等指标运营情况；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4）支持从科室维度、DIP组维度查看核心效率指标情况。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3安全管理分析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1）支持按年份/月份/日期、医保支付方式、病人医保身份等条件进行数据筛选；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2）通过分析低风险组死亡率指标告知医院存在医疗风险，支持查看所选时间段内低分值组死亡率趋势图分析、低分值组死亡人数分布图，可查看同比环比趋势图；</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3）低分值组死亡人次列表：支持查看死亡病人所属医师、科室以及诊断入组信息。</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4科室对比分析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1）支持筛选DIP结算、非DIP结算、全院病例数据进行科室指标数据对比分析；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2）支持查看不同科室的结算人次、入组率、平均分值、次均费用、盈亏额、平均住院日等核心指标；</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查看不同科室的高、低倍率病例类型的病例数综合对比；盈亏额、次均费用等费用管控指标综合对比；总分值、平均分值等医疗服务能力指标综合对比；入组率等质控情况分析综合对比；药占比、耗材占比等费用结构指标综合对比；时间消耗指数、费用消耗指数等医疗服务效率指标综合对比；</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4）支持科室的入组情况对比主题分析，直观展示未入组病例、已入组病例、核心病种病例、综合病种病例、入组率等指标，分类统计显示入组率优秀、良好、一般的科室。</w:t>
      </w:r>
    </w:p>
    <w:p>
      <w:pPr>
        <w:pageBreakBefore w:val="0"/>
        <w:numPr>
          <w:ilvl w:val="0"/>
          <w:numId w:val="0"/>
        </w:numPr>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r>
        <w:rPr>
          <w:rFonts w:hint="eastAsia" w:ascii="宋体" w:hAnsi="宋体" w:eastAsia="宋体" w:cs="宋体"/>
          <w:color w:val="000000" w:themeColor="text1"/>
          <w:kern w:val="0"/>
          <w:sz w:val="24"/>
          <w:szCs w:val="24"/>
          <w14:textFill>
            <w14:solidFill>
              <w14:schemeClr w14:val="tx1"/>
            </w14:solidFill>
          </w14:textFill>
        </w:rPr>
        <w:t>5）支持科室的医疗服务效率情况对比分析，可根据科室例均分值与平均住院日二维坐标轴，将科室划分为低效科室与高效科室。</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5科室综合分析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1）支持按年份/月份/日期、权限科室、病例范围等条件进行数据筛选；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2）支持按主题分析包括：盈亏分析、入组分析、病种分析、费用结构分析、重点病例分析等；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3）盈亏分析：支持查看指标总览、病例类型分布图、病例类型列表、盈亏额/次均盈亏额/医疗总费用/DIP支付费用/等指标的趋势分析，可下钻到病例明细、支持关键字模糊筛选；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4）入组分析：支持查看入组率、已入组病例数、未入组病例数、核心病种病例数、综合病种病例数；</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5）病种分析：支持查看分值区间病种分布图、分值区间列表明细以及诊断手术组合列表明细、DIP组列表明细，可进行主诊断/主手术模糊查询、数据导出；</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费用结构分析：支持查看费用结构分布图、费用结构类型列表、总费用同比情况、病种费用结构分析，支持关键字模糊筛选、盈余病种和亏损病种快速筛选、诊断手术组合和DIP组快速筛选，支持查看DIP组费用结构分析和费用明细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6医疗组综合分析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1）支持按出院时间/结算时间、权限科室、病例范围、医疗组等条件进行数据筛选；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2）支持查看医疗组核心运营指标包括：病例数、高倍率病例数、低倍率病例数、入组率、总分值、平均住院日、盈亏额、各计费类别费用以及占比等；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4）支持快速筛选包括盈余病种、亏损病种等；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7医生综合分析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1）支持按出院时间/结算时间、权限科室、病例范围、医生等条件进行数据筛选；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2）支持查看医生核心运营指标包括：病例数、高倍率病例数、低倍率病例数、入组率、总分值、平均住院日、盈亏额、费用消耗指数、时间消耗指数、各计费类别费用以及占比等；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4）支持快速筛选包括盈余医生、亏损医生等；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5）支持根据平均分值与次均盈亏二维四象限图，将科室医生划分为优质医生、优势医生、劣势医生与问题医生4个部分，并可查看医生明细统计数据；</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6）支持直观展示未入组病例、入组率等指标，分类统计显示入组率优秀、良好、一般的医生。</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7）支持科室的医疗服务效率情况分析，可根据科室医生平均分值与平均住院日二维坐标轴，将医生划分为低效医生与高效医生。</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8病种综合分析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1）支持按出院时间/结算时间、权限科室、病例范围、医疗组等条件进行数据筛选；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2）支持查看病种核心运营指标包括：病例数、入组率、总分值、平均住院日、盈亏额、各计费类别费用以及占比等；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3）支持自定义列表展示字段、设置重点关注病种；</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4）支持快速筛选包括盈余病种、亏损病种、重点关注病种等；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b/>
          <w:bCs/>
          <w:color w:val="000000" w:themeColor="text1"/>
          <w:kern w:val="0"/>
          <w:sz w:val="24"/>
          <w:szCs w:val="24"/>
          <w14:textFill>
            <w14:solidFill>
              <w14:schemeClr w14:val="tx1"/>
            </w14:solidFill>
          </w14:textFill>
        </w:rPr>
        <w:t>9病例综合分析</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1）支持按出院时间/结算时间、权限科室、病例范围、医疗组、医生、盈亏区间、倍率区间等条件进行数据筛选；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2）支持查看病例运营分析列表包括：病人基本信息、结算状态、归档状态、主要诊断、主要手术、分值、倍率、住院日、药占比、耗占比等；</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4）支持快速筛选包括盈余病例、亏损</w:t>
      </w:r>
      <w:r>
        <w:rPr>
          <w:rFonts w:hint="eastAsia" w:ascii="宋体" w:hAnsi="宋体" w:eastAsia="宋体" w:cs="宋体"/>
          <w:color w:val="000000" w:themeColor="text1"/>
          <w:kern w:val="0"/>
          <w:sz w:val="21"/>
          <w:szCs w:val="21"/>
          <w14:textFill>
            <w14:solidFill>
              <w14:schemeClr w14:val="tx1"/>
            </w14:solidFill>
          </w14:textFill>
        </w:rPr>
        <w:t>病例、正常病例、高倍率病例、低倍率病例等；</w:t>
      </w:r>
      <w:r>
        <w:rPr>
          <w:rFonts w:hint="eastAsia" w:ascii="宋体" w:hAnsi="宋体" w:eastAsia="宋体" w:cs="宋体"/>
          <w:color w:val="000000" w:themeColor="text1"/>
          <w:kern w:val="0"/>
          <w:sz w:val="21"/>
          <w:szCs w:val="21"/>
          <w14:textFill>
            <w14:solidFill>
              <w14:schemeClr w14:val="tx1"/>
            </w14:solidFill>
          </w14:textFill>
        </w:rPr>
        <w:br w:type="textWrapping"/>
      </w:r>
      <w:r>
        <w:rPr>
          <w:rFonts w:hint="eastAsia" w:ascii="宋体" w:hAnsi="宋体" w:eastAsia="宋体" w:cs="宋体"/>
          <w:color w:val="000000" w:themeColor="text1"/>
          <w:kern w:val="0"/>
          <w:sz w:val="21"/>
          <w:szCs w:val="21"/>
          <w14:textFill>
            <w14:solidFill>
              <w14:schemeClr w14:val="tx1"/>
            </w14:solidFill>
          </w14:textFill>
        </w:rPr>
        <w:t>5）支持列表自定义排序、数据导出。</w:t>
      </w:r>
      <w:bookmarkStart w:id="63" w:name="_Toc458617468"/>
      <w:bookmarkStart w:id="64" w:name="_Toc28361"/>
      <w:bookmarkStart w:id="65" w:name="_Toc458617745"/>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Style w:val="56"/>
          <w:rFonts w:hint="eastAsia"/>
          <w:b/>
          <w:bCs/>
          <w:color w:val="auto"/>
          <w:highlight w:val="none"/>
        </w:rPr>
      </w:pPr>
      <w:r>
        <w:rPr>
          <w:rFonts w:hint="eastAsia" w:ascii="宋体" w:hAnsi="宋体"/>
          <w:b/>
          <w:color w:val="auto"/>
          <w:sz w:val="24"/>
          <w:highlight w:val="none"/>
        </w:rPr>
        <w:t>注：采购内容及技术要求为实质性要求，不得负偏离。</w:t>
      </w:r>
      <w:r>
        <w:rPr>
          <w:rStyle w:val="56"/>
          <w:rFonts w:hint="eastAsia"/>
          <w:b/>
          <w:bCs/>
          <w:color w:val="auto"/>
          <w:highlight w:val="none"/>
        </w:rPr>
        <w:br w:type="page"/>
      </w:r>
    </w:p>
    <w:p>
      <w:pPr>
        <w:pStyle w:val="3"/>
        <w:spacing w:line="240" w:lineRule="auto"/>
        <w:jc w:val="center"/>
        <w:rPr>
          <w:rStyle w:val="56"/>
          <w:b/>
          <w:bCs/>
          <w:color w:val="auto"/>
          <w:highlight w:val="none"/>
        </w:rPr>
      </w:pPr>
      <w:r>
        <w:rPr>
          <w:rStyle w:val="56"/>
          <w:rFonts w:hint="eastAsia"/>
          <w:b/>
          <w:bCs/>
          <w:color w:val="auto"/>
          <w:highlight w:val="none"/>
        </w:rPr>
        <w:t>第四章  商务要求</w:t>
      </w:r>
      <w:bookmarkEnd w:id="63"/>
      <w:bookmarkEnd w:id="64"/>
      <w:bookmarkEnd w:id="65"/>
    </w:p>
    <w:p>
      <w:pPr>
        <w:spacing w:line="480" w:lineRule="exact"/>
        <w:ind w:firstLine="482" w:firstLineChars="200"/>
        <w:rPr>
          <w:rFonts w:ascii="宋体" w:hAnsi="宋体" w:cs="宋体"/>
          <w:color w:val="auto"/>
          <w:szCs w:val="24"/>
          <w:highlight w:val="none"/>
        </w:rPr>
      </w:pPr>
      <w:r>
        <w:rPr>
          <w:rFonts w:hint="eastAsia" w:ascii="宋体" w:hAnsi="宋体" w:cs="宋体"/>
          <w:b/>
          <w:color w:val="auto"/>
          <w:szCs w:val="24"/>
          <w:highlight w:val="none"/>
        </w:rPr>
        <w:t>一、交货时间及地点：</w:t>
      </w:r>
    </w:p>
    <w:p>
      <w:pPr>
        <w:adjustRightInd w:val="0"/>
        <w:snapToGrid w:val="0"/>
        <w:spacing w:line="480" w:lineRule="exact"/>
        <w:ind w:firstLine="600" w:firstLineChars="250"/>
        <w:rPr>
          <w:rFonts w:ascii="宋体" w:hAnsi="宋体" w:cs="宋体"/>
          <w:color w:val="auto"/>
          <w:szCs w:val="24"/>
          <w:highlight w:val="none"/>
        </w:rPr>
      </w:pPr>
      <w:bookmarkStart w:id="66" w:name="_Toc167712839"/>
      <w:bookmarkStart w:id="67" w:name="_Toc167714037"/>
      <w:bookmarkStart w:id="68" w:name="_Toc167715234"/>
      <w:r>
        <w:rPr>
          <w:rFonts w:hint="eastAsia" w:ascii="宋体" w:hAnsi="宋体" w:cs="宋体"/>
          <w:color w:val="auto"/>
          <w:szCs w:val="24"/>
          <w:highlight w:val="none"/>
        </w:rPr>
        <w:t>1.交货时间：</w:t>
      </w:r>
      <w:bookmarkEnd w:id="66"/>
      <w:bookmarkEnd w:id="67"/>
      <w:bookmarkEnd w:id="68"/>
      <w:r>
        <w:rPr>
          <w:rFonts w:hint="eastAsia" w:ascii="宋体" w:hAnsi="宋体" w:cs="宋体"/>
          <w:color w:val="auto"/>
          <w:highlight w:val="none"/>
        </w:rPr>
        <w:t>自合同签订之日起</w:t>
      </w:r>
      <w:r>
        <w:rPr>
          <w:rFonts w:hint="eastAsia" w:ascii="宋体" w:hAnsi="宋体" w:cs="宋体"/>
          <w:color w:val="auto"/>
          <w:highlight w:val="none"/>
          <w:u w:val="none"/>
          <w:lang w:val="en-US" w:eastAsia="zh-CN"/>
        </w:rPr>
        <w:t>30</w:t>
      </w:r>
      <w:r>
        <w:rPr>
          <w:rFonts w:hint="eastAsia" w:ascii="宋体" w:hAnsi="宋体" w:cs="宋体"/>
          <w:color w:val="auto"/>
          <w:highlight w:val="none"/>
        </w:rPr>
        <w:t>个日历日</w:t>
      </w:r>
      <w:r>
        <w:rPr>
          <w:rFonts w:hint="eastAsia" w:ascii="宋体" w:hAnsi="宋体" w:cs="宋体"/>
          <w:color w:val="auto"/>
          <w:highlight w:val="none"/>
          <w:lang w:eastAsia="zh-CN"/>
        </w:rPr>
        <w:t>完成建设。</w:t>
      </w:r>
      <w:r>
        <w:rPr>
          <w:rFonts w:hint="eastAsia" w:ascii="宋体" w:hAnsi="宋体" w:cs="宋体"/>
          <w:color w:val="auto"/>
          <w:highlight w:val="none"/>
        </w:rPr>
        <w:t xml:space="preserve"> </w:t>
      </w:r>
    </w:p>
    <w:p>
      <w:pPr>
        <w:adjustRightInd w:val="0"/>
        <w:snapToGrid w:val="0"/>
        <w:spacing w:line="480" w:lineRule="exact"/>
        <w:ind w:firstLine="600" w:firstLineChars="250"/>
        <w:rPr>
          <w:rFonts w:ascii="宋体" w:hAnsi="宋体" w:cs="宋体"/>
          <w:color w:val="auto"/>
          <w:szCs w:val="24"/>
          <w:highlight w:val="none"/>
        </w:rPr>
      </w:pPr>
      <w:r>
        <w:rPr>
          <w:rFonts w:hint="eastAsia" w:ascii="宋体" w:hAnsi="宋体" w:cs="宋体"/>
          <w:color w:val="auto"/>
          <w:szCs w:val="24"/>
          <w:highlight w:val="none"/>
        </w:rPr>
        <w:t>2.交货地点：</w:t>
      </w:r>
      <w:r>
        <w:rPr>
          <w:rFonts w:hint="eastAsia" w:ascii="宋体" w:hAnsi="宋体" w:cs="宋体"/>
          <w:color w:val="auto"/>
          <w:highlight w:val="none"/>
          <w:lang w:eastAsia="zh-CN"/>
        </w:rPr>
        <w:t>黄龙县人民医院</w:t>
      </w:r>
      <w:r>
        <w:rPr>
          <w:rFonts w:hint="eastAsia" w:ascii="宋体" w:hAnsi="宋体" w:cs="宋体"/>
          <w:color w:val="auto"/>
          <w:szCs w:val="24"/>
          <w:highlight w:val="none"/>
        </w:rPr>
        <w:t>。</w:t>
      </w:r>
    </w:p>
    <w:p>
      <w:pPr>
        <w:adjustRightInd w:val="0"/>
        <w:snapToGrid w:val="0"/>
        <w:spacing w:line="480" w:lineRule="exact"/>
        <w:rPr>
          <w:rFonts w:ascii="宋体" w:hAnsi="宋体" w:cs="宋体"/>
          <w:b/>
          <w:color w:val="auto"/>
          <w:szCs w:val="24"/>
          <w:highlight w:val="none"/>
        </w:rPr>
      </w:pPr>
      <w:r>
        <w:rPr>
          <w:rFonts w:hint="eastAsia" w:ascii="宋体" w:hAnsi="宋体" w:cs="宋体"/>
          <w:b/>
          <w:color w:val="auto"/>
          <w:szCs w:val="24"/>
          <w:highlight w:val="none"/>
        </w:rPr>
        <w:t xml:space="preserve">    </w:t>
      </w:r>
      <w:r>
        <w:rPr>
          <w:rFonts w:hint="eastAsia" w:ascii="宋体" w:hAnsi="宋体" w:cs="宋体"/>
          <w:b/>
          <w:color w:val="auto"/>
          <w:szCs w:val="24"/>
          <w:highlight w:val="none"/>
          <w:lang w:eastAsia="zh-CN"/>
        </w:rPr>
        <w:t>二</w:t>
      </w:r>
      <w:r>
        <w:rPr>
          <w:rFonts w:hint="eastAsia" w:ascii="宋体" w:hAnsi="宋体" w:cs="宋体"/>
          <w:b/>
          <w:color w:val="auto"/>
          <w:szCs w:val="24"/>
          <w:highlight w:val="none"/>
        </w:rPr>
        <w:t>、付款方式：</w:t>
      </w:r>
    </w:p>
    <w:p>
      <w:pPr>
        <w:spacing w:line="480" w:lineRule="exact"/>
        <w:ind w:firstLine="480" w:firstLineChars="200"/>
        <w:rPr>
          <w:rFonts w:ascii="宋体" w:hAnsi="宋体" w:cs="宋体"/>
          <w:color w:val="auto"/>
          <w:highlight w:val="none"/>
        </w:rPr>
      </w:pPr>
      <w:bookmarkStart w:id="69" w:name="_Toc167715237"/>
      <w:bookmarkStart w:id="70" w:name="_Toc167714040"/>
      <w:bookmarkStart w:id="71" w:name="_Toc167712842"/>
      <w:r>
        <w:rPr>
          <w:rFonts w:hint="eastAsia" w:ascii="宋体" w:hAnsi="宋体" w:cs="宋体"/>
          <w:color w:val="auto"/>
          <w:highlight w:val="none"/>
        </w:rPr>
        <w:t>1.结算方式：</w:t>
      </w:r>
      <w:r>
        <w:rPr>
          <w:rFonts w:hint="eastAsia" w:ascii="宋体" w:hAnsi="宋体" w:cs="宋体"/>
          <w:color w:val="auto"/>
          <w:highlight w:val="none"/>
          <w:lang w:val="zh-CN"/>
        </w:rPr>
        <w:t>合同签订后1</w:t>
      </w:r>
      <w:r>
        <w:rPr>
          <w:rFonts w:hint="eastAsia" w:ascii="宋体" w:hAnsi="宋体" w:cs="宋体"/>
          <w:color w:val="auto"/>
          <w:highlight w:val="none"/>
          <w:lang w:val="en-US" w:eastAsia="zh-CN"/>
        </w:rPr>
        <w:t>5</w:t>
      </w:r>
      <w:r>
        <w:rPr>
          <w:rFonts w:hint="eastAsia" w:ascii="宋体" w:hAnsi="宋体" w:cs="宋体"/>
          <w:color w:val="auto"/>
          <w:highlight w:val="none"/>
          <w:lang w:val="zh-CN"/>
        </w:rPr>
        <w:t>日内甲方向乙方支付合同总额的</w:t>
      </w:r>
      <w:r>
        <w:rPr>
          <w:rFonts w:hint="eastAsia" w:ascii="宋体" w:hAnsi="宋体" w:cs="宋体"/>
          <w:color w:val="auto"/>
          <w:highlight w:val="none"/>
          <w:lang w:val="en-US" w:eastAsia="zh-CN"/>
        </w:rPr>
        <w:t>3</w:t>
      </w:r>
      <w:r>
        <w:rPr>
          <w:rFonts w:hint="eastAsia" w:ascii="宋体" w:hAnsi="宋体" w:cs="宋体"/>
          <w:color w:val="auto"/>
          <w:highlight w:val="none"/>
          <w:lang w:val="zh-CN"/>
        </w:rPr>
        <w:t>0%的预付款；终验合格后</w:t>
      </w:r>
      <w:r>
        <w:rPr>
          <w:rFonts w:hint="eastAsia" w:ascii="宋体" w:hAnsi="宋体" w:cs="宋体"/>
          <w:color w:val="auto"/>
          <w:highlight w:val="none"/>
          <w:lang w:val="en-US" w:eastAsia="zh-CN"/>
        </w:rPr>
        <w:t>10个工作日内</w:t>
      </w:r>
      <w:r>
        <w:rPr>
          <w:rFonts w:hint="eastAsia" w:ascii="宋体" w:hAnsi="宋体" w:cs="宋体"/>
          <w:color w:val="auto"/>
          <w:highlight w:val="none"/>
          <w:lang w:val="zh-CN"/>
        </w:rPr>
        <w:t>甲方向乙方支付合同总额的</w:t>
      </w:r>
      <w:r>
        <w:rPr>
          <w:rFonts w:hint="eastAsia" w:ascii="宋体" w:hAnsi="宋体" w:cs="宋体"/>
          <w:color w:val="auto"/>
          <w:highlight w:val="none"/>
          <w:lang w:val="en-US" w:eastAsia="zh-CN"/>
        </w:rPr>
        <w:t>4</w:t>
      </w:r>
      <w:r>
        <w:rPr>
          <w:rFonts w:hint="eastAsia" w:ascii="宋体" w:hAnsi="宋体" w:cs="宋体"/>
          <w:color w:val="auto"/>
          <w:highlight w:val="none"/>
          <w:lang w:val="zh-CN"/>
        </w:rPr>
        <w:t>0%货款；</w:t>
      </w:r>
      <w:r>
        <w:rPr>
          <w:rFonts w:hint="eastAsia" w:ascii="宋体" w:hAnsi="宋体" w:cs="宋体"/>
          <w:color w:val="auto"/>
          <w:highlight w:val="none"/>
          <w:lang w:val="en-US" w:eastAsia="zh-CN"/>
        </w:rPr>
        <w:t>终验合格一年后，甲方向乙方支付合同金额的30%货款</w:t>
      </w:r>
      <w:r>
        <w:rPr>
          <w:rFonts w:hint="eastAsia" w:ascii="宋体" w:hAnsi="宋体" w:cs="宋体"/>
          <w:color w:val="auto"/>
          <w:highlight w:val="none"/>
          <w:lang w:val="zh-CN"/>
        </w:rPr>
        <w:t>。</w:t>
      </w:r>
    </w:p>
    <w:p>
      <w:pPr>
        <w:spacing w:line="480" w:lineRule="exact"/>
        <w:ind w:firstLine="480" w:firstLineChars="200"/>
        <w:rPr>
          <w:rFonts w:ascii="宋体" w:hAnsi="宋体" w:cs="宋体"/>
          <w:b/>
          <w:color w:val="auto"/>
          <w:szCs w:val="24"/>
          <w:highlight w:val="none"/>
        </w:rPr>
      </w:pPr>
      <w:r>
        <w:rPr>
          <w:rFonts w:hint="eastAsia" w:ascii="宋体" w:hAnsi="宋体" w:cs="宋体"/>
          <w:color w:val="auto"/>
          <w:highlight w:val="none"/>
        </w:rPr>
        <w:t>2.支付方式：银行转账</w:t>
      </w:r>
    </w:p>
    <w:p>
      <w:pPr>
        <w:adjustRightInd w:val="0"/>
        <w:snapToGrid w:val="0"/>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lang w:eastAsia="zh-CN"/>
        </w:rPr>
        <w:t>三</w:t>
      </w:r>
      <w:r>
        <w:rPr>
          <w:rFonts w:hint="eastAsia" w:ascii="宋体" w:hAnsi="宋体" w:cs="宋体"/>
          <w:b/>
          <w:color w:val="auto"/>
          <w:szCs w:val="24"/>
          <w:highlight w:val="none"/>
        </w:rPr>
        <w:t>、验收</w:t>
      </w:r>
      <w:bookmarkEnd w:id="69"/>
      <w:bookmarkEnd w:id="70"/>
      <w:bookmarkEnd w:id="71"/>
      <w:bookmarkStart w:id="72" w:name="_Toc167712843"/>
      <w:bookmarkStart w:id="73" w:name="_Toc167715238"/>
      <w:bookmarkStart w:id="74" w:name="_Toc167714041"/>
      <w:r>
        <w:rPr>
          <w:rFonts w:hint="eastAsia" w:ascii="宋体" w:hAnsi="宋体" w:cs="宋体"/>
          <w:b/>
          <w:color w:val="auto"/>
          <w:szCs w:val="24"/>
          <w:highlight w:val="none"/>
        </w:rPr>
        <w:t>：</w:t>
      </w:r>
    </w:p>
    <w:bookmarkEnd w:id="72"/>
    <w:bookmarkEnd w:id="73"/>
    <w:bookmarkEnd w:id="74"/>
    <w:p>
      <w:pPr>
        <w:adjustRightInd w:val="0"/>
        <w:snapToGrid w:val="0"/>
        <w:spacing w:line="480" w:lineRule="exact"/>
        <w:ind w:firstLine="600" w:firstLineChars="250"/>
        <w:rPr>
          <w:rFonts w:hint="eastAsia" w:ascii="宋体" w:hAnsi="宋体" w:eastAsia="宋体" w:cs="宋体"/>
          <w:color w:val="auto"/>
          <w:highlight w:val="none"/>
          <w:lang w:val="zh-CN" w:eastAsia="zh-CN"/>
        </w:rPr>
      </w:pPr>
      <w:bookmarkStart w:id="75" w:name="_Toc167712857"/>
      <w:bookmarkStart w:id="76" w:name="_Toc167714055"/>
      <w:bookmarkStart w:id="77" w:name="_Toc167715252"/>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val="zh-CN" w:eastAsia="zh-CN"/>
        </w:rPr>
        <w:t>应提供项目相关软件、设备的有效验收文件，经用户认可后，作为验收标准。用户对项目验收合格后，双方共同签署验收合格证书并加盖公章。验收中发现软件、设备达不到验收标准或合同规定的性能指标，卖方必须修改相应内容，以满足用户需求。</w:t>
      </w:r>
    </w:p>
    <w:p>
      <w:pPr>
        <w:adjustRightInd w:val="0"/>
        <w:snapToGrid w:val="0"/>
        <w:spacing w:line="480" w:lineRule="exact"/>
        <w:ind w:firstLine="600" w:firstLineChars="25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自合同签订后，3个月内完成系统的初试，试运行正常一个月后，组织项目终验。</w:t>
      </w:r>
    </w:p>
    <w:p>
      <w:pPr>
        <w:adjustRightInd w:val="0"/>
        <w:snapToGrid w:val="0"/>
        <w:spacing w:line="480" w:lineRule="exact"/>
        <w:ind w:firstLine="600" w:firstLineChars="25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eastAsia="zh-CN"/>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验收费用由中标人负责，如项目验收医院需请第三方监理公司，则第三方监理公司的费用由医院自身承担。</w:t>
      </w:r>
    </w:p>
    <w:p>
      <w:pPr>
        <w:adjustRightInd w:val="0"/>
        <w:snapToGrid w:val="0"/>
        <w:spacing w:line="480" w:lineRule="exact"/>
        <w:ind w:firstLine="600" w:firstLineChars="250"/>
        <w:rPr>
          <w:rFonts w:hint="eastAsia" w:ascii="宋体" w:hAnsi="宋体" w:eastAsia="宋体" w:cs="宋体"/>
          <w:color w:val="auto"/>
          <w:highlight w:val="none"/>
          <w:lang w:eastAsia="zh-CN"/>
        </w:rPr>
      </w:pPr>
      <w:r>
        <w:rPr>
          <w:rFonts w:hint="eastAsia" w:ascii="宋体" w:hAnsi="宋体" w:eastAsia="宋体" w:cs="宋体"/>
          <w:color w:val="auto"/>
          <w:highlight w:val="none"/>
          <w:lang w:val="zh-CN" w:eastAsia="zh-CN"/>
        </w:rPr>
        <w:t>4</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val="zh-CN" w:eastAsia="zh-CN"/>
        </w:rPr>
        <w:t>因本项目用户实际新增或系统升级引起的软件功能与现有招标建设内容要求有所出入的，不作为不符合或不满足招标人要求的条件，应视为项目合格。</w:t>
      </w:r>
    </w:p>
    <w:bookmarkEnd w:id="75"/>
    <w:bookmarkEnd w:id="76"/>
    <w:bookmarkEnd w:id="77"/>
    <w:p>
      <w:pPr>
        <w:adjustRightInd w:val="0"/>
        <w:spacing w:line="480" w:lineRule="exact"/>
        <w:ind w:firstLine="482" w:firstLineChars="200"/>
        <w:rPr>
          <w:rFonts w:ascii="宋体" w:hAnsi="宋体" w:cs="宋体"/>
          <w:b/>
          <w:color w:val="auto"/>
          <w:szCs w:val="24"/>
          <w:highlight w:val="none"/>
        </w:rPr>
      </w:pPr>
      <w:bookmarkStart w:id="78" w:name="_Toc167714066"/>
      <w:bookmarkStart w:id="79" w:name="_Toc167712868"/>
      <w:bookmarkStart w:id="80" w:name="_Toc167715263"/>
      <w:r>
        <w:rPr>
          <w:rFonts w:hint="eastAsia" w:ascii="宋体" w:hAnsi="宋体" w:cs="宋体"/>
          <w:b/>
          <w:color w:val="auto"/>
          <w:szCs w:val="24"/>
          <w:highlight w:val="none"/>
          <w:lang w:eastAsia="zh-CN"/>
        </w:rPr>
        <w:t>四</w:t>
      </w:r>
      <w:r>
        <w:rPr>
          <w:rFonts w:hint="eastAsia" w:ascii="宋体" w:hAnsi="宋体" w:cs="宋体"/>
          <w:b/>
          <w:color w:val="auto"/>
          <w:szCs w:val="24"/>
          <w:highlight w:val="none"/>
        </w:rPr>
        <w:t>、合同实施</w:t>
      </w:r>
      <w:bookmarkEnd w:id="78"/>
      <w:bookmarkEnd w:id="79"/>
      <w:bookmarkEnd w:id="80"/>
      <w:bookmarkStart w:id="81" w:name="_Toc167715264"/>
      <w:bookmarkStart w:id="82" w:name="_Toc167712869"/>
      <w:bookmarkStart w:id="83" w:name="_Toc167714067"/>
    </w:p>
    <w:bookmarkEnd w:id="81"/>
    <w:bookmarkEnd w:id="82"/>
    <w:bookmarkEnd w:id="83"/>
    <w:p>
      <w:pPr>
        <w:adjustRightIn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1.中标人应在合同签订后7个日历日内安排人员（项目组成人员简历表所列）与使用单位就送货</w:t>
      </w:r>
      <w:r>
        <w:rPr>
          <w:rFonts w:hint="eastAsia" w:ascii="宋体" w:hAnsi="宋体" w:cs="宋体"/>
          <w:color w:val="auto"/>
          <w:szCs w:val="24"/>
          <w:highlight w:val="none"/>
          <w:lang w:eastAsia="zh-CN"/>
        </w:rPr>
        <w:t>、安装</w:t>
      </w:r>
      <w:r>
        <w:rPr>
          <w:rFonts w:hint="eastAsia" w:ascii="宋体" w:hAnsi="宋体" w:cs="宋体"/>
          <w:color w:val="auto"/>
          <w:szCs w:val="24"/>
          <w:highlight w:val="none"/>
        </w:rPr>
        <w:t>等工作进行安排、部署。</w:t>
      </w:r>
      <w:bookmarkStart w:id="84" w:name="_Toc167715265"/>
      <w:bookmarkStart w:id="85" w:name="_Toc167714068"/>
      <w:bookmarkStart w:id="86" w:name="_Toc167712870"/>
    </w:p>
    <w:bookmarkEnd w:id="84"/>
    <w:bookmarkEnd w:id="85"/>
    <w:bookmarkEnd w:id="86"/>
    <w:p>
      <w:pPr>
        <w:adjustRightIn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2.若未能在交货期内完成合同规定的义务，由此对采购人造成的延误和一切损失，由中标人承担和赔偿。</w:t>
      </w:r>
    </w:p>
    <w:p>
      <w:pPr>
        <w:adjustRightInd w:val="0"/>
        <w:spacing w:line="480" w:lineRule="exact"/>
        <w:ind w:firstLine="482" w:firstLineChars="200"/>
        <w:rPr>
          <w:rFonts w:ascii="宋体" w:hAnsi="宋体" w:cs="宋体"/>
          <w:b/>
          <w:szCs w:val="24"/>
          <w:highlight w:val="none"/>
        </w:rPr>
      </w:pPr>
      <w:r>
        <w:rPr>
          <w:rFonts w:hint="eastAsia" w:ascii="宋体" w:hAnsi="宋体" w:cs="宋体"/>
          <w:b/>
          <w:szCs w:val="24"/>
          <w:highlight w:val="none"/>
        </w:rPr>
        <w:t>五、质量</w:t>
      </w:r>
      <w:r>
        <w:rPr>
          <w:rFonts w:ascii="宋体" w:hAnsi="宋体" w:cs="宋体"/>
          <w:b/>
          <w:szCs w:val="24"/>
          <w:highlight w:val="none"/>
        </w:rPr>
        <w:t>保证</w:t>
      </w:r>
    </w:p>
    <w:p>
      <w:pPr>
        <w:adjustRightInd w:val="0"/>
        <w:spacing w:line="480" w:lineRule="exact"/>
        <w:ind w:firstLine="482" w:firstLineChars="200"/>
        <w:rPr>
          <w:rFonts w:hint="eastAsia" w:ascii="宋体" w:hAnsi="宋体" w:cs="宋体"/>
          <w:color w:val="auto"/>
          <w:szCs w:val="24"/>
          <w:highlight w:val="none"/>
        </w:rPr>
      </w:pPr>
      <w:r>
        <w:rPr>
          <w:rFonts w:hint="eastAsia" w:ascii="宋体" w:hAnsi="宋体" w:cs="宋体"/>
          <w:b/>
          <w:bCs/>
          <w:color w:val="auto"/>
          <w:szCs w:val="24"/>
          <w:highlight w:val="none"/>
        </w:rPr>
        <w:t>质保期为终验合格之日起12个月</w:t>
      </w:r>
      <w:r>
        <w:rPr>
          <w:rFonts w:hint="eastAsia" w:ascii="宋体" w:hAnsi="宋体" w:cs="宋体"/>
          <w:color w:val="auto"/>
          <w:szCs w:val="24"/>
          <w:highlight w:val="none"/>
        </w:rPr>
        <w:t>（参数中有具体要求的，按参数要求提供质保）。中标人承诺的质保时间超过招标文件要求的，按其承诺时间质保。</w:t>
      </w:r>
    </w:p>
    <w:p>
      <w:pPr>
        <w:adjustRightInd w:val="0"/>
        <w:spacing w:line="480" w:lineRule="exact"/>
        <w:ind w:firstLine="482" w:firstLineChars="200"/>
        <w:rPr>
          <w:rFonts w:ascii="宋体" w:hAnsi="宋体" w:cs="宋体"/>
          <w:b/>
          <w:color w:val="auto"/>
          <w:szCs w:val="24"/>
          <w:highlight w:val="none"/>
        </w:rPr>
      </w:pPr>
      <w:r>
        <w:rPr>
          <w:rFonts w:hint="eastAsia" w:ascii="宋体" w:hAnsi="宋体" w:cs="宋体"/>
          <w:b/>
          <w:color w:val="auto"/>
          <w:szCs w:val="24"/>
          <w:highlight w:val="none"/>
          <w:lang w:eastAsia="zh-CN"/>
        </w:rPr>
        <w:t>六</w:t>
      </w:r>
      <w:r>
        <w:rPr>
          <w:rFonts w:hint="eastAsia" w:ascii="宋体" w:hAnsi="宋体" w:cs="宋体"/>
          <w:b/>
          <w:color w:val="auto"/>
          <w:szCs w:val="24"/>
          <w:highlight w:val="none"/>
        </w:rPr>
        <w:t>、违约责任：</w:t>
      </w:r>
    </w:p>
    <w:p>
      <w:pPr>
        <w:adjustRightIn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1.按《中华人民共和国民法典》中的相关条款执行。</w:t>
      </w:r>
    </w:p>
    <w:p>
      <w:pPr>
        <w:adjustRightInd w:val="0"/>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2.未按合同要求提供产品或质量不能满足技术要求，采购人有权终止合同，并对供方违约行为进行追究，同时按《</w:t>
      </w:r>
      <w:r>
        <w:rPr>
          <w:rFonts w:hint="eastAsia" w:ascii="宋体" w:hAnsi="宋体" w:cs="宋体"/>
          <w:color w:val="auto"/>
          <w:kern w:val="0"/>
          <w:highlight w:val="none"/>
        </w:rPr>
        <w:t>中华人民共和国政府采购法</w:t>
      </w:r>
      <w:r>
        <w:rPr>
          <w:rFonts w:hint="eastAsia" w:ascii="宋体" w:hAnsi="宋体" w:cs="宋体"/>
          <w:color w:val="auto"/>
          <w:szCs w:val="24"/>
          <w:highlight w:val="none"/>
        </w:rPr>
        <w:t>》的有关规定进行处罚。</w:t>
      </w:r>
    </w:p>
    <w:p>
      <w:pPr>
        <w:adjustRightInd w:val="0"/>
        <w:spacing w:line="480" w:lineRule="exact"/>
        <w:ind w:firstLine="480" w:firstLineChars="200"/>
        <w:rPr>
          <w:rFonts w:ascii="宋体" w:hAnsi="宋体" w:cs="宋体"/>
          <w:color w:val="auto"/>
          <w:szCs w:val="24"/>
          <w:highlight w:val="none"/>
        </w:rPr>
      </w:pPr>
    </w:p>
    <w:p>
      <w:pPr>
        <w:tabs>
          <w:tab w:val="left" w:pos="3485"/>
        </w:tabs>
        <w:spacing w:line="520" w:lineRule="exact"/>
        <w:jc w:val="left"/>
        <w:rPr>
          <w:rFonts w:ascii="宋体" w:hAnsi="宋体" w:cs="宋体"/>
          <w:b/>
          <w:color w:val="auto"/>
          <w:sz w:val="44"/>
          <w:highlight w:val="none"/>
        </w:rPr>
      </w:pPr>
      <w:r>
        <w:rPr>
          <w:rFonts w:hint="eastAsia" w:ascii="宋体" w:hAnsi="宋体" w:cs="宋体"/>
          <w:b/>
          <w:color w:val="auto"/>
          <w:szCs w:val="24"/>
          <w:highlight w:val="none"/>
        </w:rPr>
        <w:t>注：商务要求为实质性要求，不得负偏离。</w:t>
      </w:r>
    </w:p>
    <w:p>
      <w:pPr>
        <w:spacing w:line="460" w:lineRule="exact"/>
        <w:jc w:val="center"/>
        <w:rPr>
          <w:rFonts w:ascii="宋体" w:hAnsi="宋体" w:cs="宋体"/>
          <w:b/>
          <w:color w:val="auto"/>
          <w:sz w:val="44"/>
          <w:szCs w:val="44"/>
          <w:highlight w:val="none"/>
        </w:rPr>
      </w:pPr>
    </w:p>
    <w:p>
      <w:pPr>
        <w:spacing w:line="460" w:lineRule="exact"/>
        <w:jc w:val="center"/>
        <w:rPr>
          <w:rFonts w:ascii="宋体" w:hAnsi="宋体" w:cs="宋体"/>
          <w:b/>
          <w:color w:val="auto"/>
          <w:sz w:val="44"/>
          <w:szCs w:val="44"/>
          <w:highlight w:val="none"/>
        </w:rPr>
      </w:pPr>
    </w:p>
    <w:p>
      <w:pPr>
        <w:spacing w:line="460" w:lineRule="exact"/>
        <w:jc w:val="center"/>
        <w:rPr>
          <w:rFonts w:ascii="宋体" w:hAnsi="宋体" w:cs="宋体"/>
          <w:b/>
          <w:color w:val="auto"/>
          <w:sz w:val="44"/>
          <w:szCs w:val="44"/>
          <w:highlight w:val="none"/>
        </w:rPr>
      </w:pPr>
    </w:p>
    <w:p>
      <w:pPr>
        <w:rPr>
          <w:color w:val="auto"/>
          <w:highlight w:val="none"/>
        </w:rPr>
      </w:pPr>
      <w:bookmarkStart w:id="87" w:name="_Toc458617746"/>
      <w:bookmarkStart w:id="88" w:name="_Toc458617469"/>
      <w:r>
        <w:rPr>
          <w:rFonts w:hint="eastAsia"/>
          <w:color w:val="auto"/>
          <w:highlight w:val="none"/>
        </w:rPr>
        <w:br w:type="page"/>
      </w:r>
      <w:bookmarkStart w:id="89" w:name="_Toc20144"/>
    </w:p>
    <w:p>
      <w:pPr>
        <w:pStyle w:val="2"/>
        <w:rPr>
          <w:color w:val="auto"/>
          <w:highlight w:val="none"/>
        </w:rPr>
      </w:pPr>
    </w:p>
    <w:p>
      <w:pPr>
        <w:rPr>
          <w:color w:val="auto"/>
          <w:highlight w:val="none"/>
        </w:rPr>
      </w:pPr>
    </w:p>
    <w:p>
      <w:pPr>
        <w:pStyle w:val="3"/>
        <w:spacing w:before="0" w:after="0" w:line="480" w:lineRule="auto"/>
        <w:jc w:val="center"/>
        <w:rPr>
          <w:rFonts w:ascii="宋体" w:hAnsi="宋体" w:cs="宋体"/>
          <w:b/>
          <w:bCs/>
          <w:color w:val="auto"/>
          <w:sz w:val="48"/>
          <w:szCs w:val="48"/>
          <w:highlight w:val="none"/>
        </w:rPr>
      </w:pPr>
      <w:r>
        <w:rPr>
          <w:rFonts w:hint="eastAsia" w:ascii="宋体" w:hAnsi="宋体" w:cs="宋体"/>
          <w:color w:val="auto"/>
          <w:highlight w:val="none"/>
        </w:rPr>
        <w:t>第五章  合同条款</w:t>
      </w:r>
      <w:bookmarkEnd w:id="87"/>
      <w:bookmarkEnd w:id="88"/>
      <w:bookmarkEnd w:id="89"/>
    </w:p>
    <w:p>
      <w:pPr>
        <w:spacing w:line="480" w:lineRule="exact"/>
        <w:rPr>
          <w:rFonts w:ascii="宋体" w:hAnsi="宋体"/>
          <w:szCs w:val="24"/>
        </w:rPr>
      </w:pPr>
      <w:r>
        <w:rPr>
          <w:rFonts w:ascii="宋体" w:hAnsi="宋体"/>
          <w:szCs w:val="24"/>
        </w:rPr>
        <w:t>一、合同格式</w:t>
      </w:r>
    </w:p>
    <w:p>
      <w:pPr>
        <w:widowControl/>
        <w:spacing w:line="480" w:lineRule="exact"/>
        <w:ind w:right="-226" w:rightChars="-94" w:firstLine="480" w:firstLineChars="200"/>
        <w:jc w:val="left"/>
        <w:rPr>
          <w:rFonts w:ascii="宋体" w:hAnsi="宋体"/>
          <w:kern w:val="0"/>
          <w:szCs w:val="24"/>
        </w:rPr>
      </w:pPr>
      <w:r>
        <w:rPr>
          <w:rFonts w:hint="eastAsia" w:ascii="宋体" w:hAnsi="宋体"/>
          <w:szCs w:val="24"/>
          <w:lang w:eastAsia="zh-CN"/>
        </w:rPr>
        <w:t>黄龙县人民医院信息化DIP、电子票据建设项目</w:t>
      </w:r>
      <w:r>
        <w:rPr>
          <w:rFonts w:ascii="宋体" w:hAnsi="宋体"/>
          <w:szCs w:val="24"/>
        </w:rPr>
        <w:t xml:space="preserve"> (项目编号：</w:t>
      </w:r>
      <w:r>
        <w:rPr>
          <w:rFonts w:hint="eastAsia" w:ascii="宋体" w:hAnsi="宋体"/>
          <w:szCs w:val="24"/>
          <w:lang w:eastAsia="zh-CN"/>
        </w:rPr>
        <w:t>SDZC2023-281</w:t>
      </w:r>
      <w:r>
        <w:rPr>
          <w:rFonts w:hint="eastAsia" w:ascii="宋体" w:hAnsi="宋体"/>
          <w:szCs w:val="24"/>
          <w:lang w:val="en-US" w:eastAsia="zh-CN"/>
        </w:rPr>
        <w:t>-01</w:t>
      </w:r>
      <w:r>
        <w:rPr>
          <w:rFonts w:ascii="宋体" w:hAnsi="宋体"/>
          <w:szCs w:val="24"/>
        </w:rPr>
        <w:t>)，在</w:t>
      </w:r>
      <w:r>
        <w:rPr>
          <w:rFonts w:hint="eastAsia" w:ascii="宋体" w:hAnsi="宋体"/>
          <w:szCs w:val="24"/>
          <w:lang w:eastAsia="zh-CN"/>
        </w:rPr>
        <w:t>黄龙</w:t>
      </w:r>
      <w:r>
        <w:rPr>
          <w:rFonts w:hint="eastAsia" w:ascii="宋体" w:hAnsi="宋体"/>
          <w:szCs w:val="24"/>
        </w:rPr>
        <w:t>县财政局</w:t>
      </w:r>
      <w:r>
        <w:rPr>
          <w:rFonts w:ascii="宋体" w:hAnsi="宋体"/>
          <w:szCs w:val="24"/>
        </w:rPr>
        <w:t>的监督管理</w:t>
      </w:r>
      <w:r>
        <w:rPr>
          <w:rFonts w:ascii="宋体" w:hAnsi="宋体"/>
          <w:kern w:val="0"/>
          <w:szCs w:val="24"/>
        </w:rPr>
        <w:t>下，由陕西上德招标有限公司组织公开招标。</w:t>
      </w:r>
      <w:r>
        <w:rPr>
          <w:rFonts w:hint="eastAsia" w:ascii="宋体" w:hAnsi="宋体" w:cs="仿宋_GB2312"/>
          <w:szCs w:val="24"/>
          <w:lang w:eastAsia="zh-CN"/>
        </w:rPr>
        <w:t>***</w:t>
      </w:r>
      <w:r>
        <w:rPr>
          <w:rFonts w:ascii="宋体" w:hAnsi="宋体"/>
          <w:kern w:val="0"/>
          <w:szCs w:val="24"/>
        </w:rPr>
        <w:t>(以下简称“买方”)确定 (中标单位名称) （以下简称“卖方”）为中标单位。</w:t>
      </w:r>
    </w:p>
    <w:p>
      <w:pPr>
        <w:spacing w:line="480" w:lineRule="exact"/>
        <w:ind w:right="240" w:rightChars="100" w:firstLine="480" w:firstLineChars="200"/>
        <w:rPr>
          <w:rFonts w:ascii="宋体" w:hAnsi="宋体"/>
          <w:kern w:val="0"/>
          <w:szCs w:val="24"/>
        </w:rPr>
      </w:pPr>
      <w:r>
        <w:rPr>
          <w:rFonts w:ascii="宋体" w:hAnsi="宋体"/>
          <w:kern w:val="0"/>
          <w:szCs w:val="24"/>
        </w:rPr>
        <w:t>依据《</w:t>
      </w:r>
      <w:r>
        <w:rPr>
          <w:rFonts w:hint="eastAsia" w:ascii="宋体" w:hAnsi="宋体"/>
          <w:kern w:val="0"/>
          <w:szCs w:val="24"/>
          <w:lang w:eastAsia="zh-CN"/>
        </w:rPr>
        <w:t>中华人民共和国民法典</w:t>
      </w:r>
      <w:r>
        <w:rPr>
          <w:rFonts w:ascii="宋体" w:hAnsi="宋体"/>
          <w:kern w:val="0"/>
          <w:szCs w:val="24"/>
        </w:rPr>
        <w:t>》</w:t>
      </w:r>
      <w:r>
        <w:rPr>
          <w:rFonts w:hint="eastAsia" w:ascii="宋体" w:hAnsi="宋体"/>
          <w:kern w:val="0"/>
          <w:szCs w:val="24"/>
        </w:rPr>
        <w:t>、</w:t>
      </w:r>
      <w:r>
        <w:rPr>
          <w:rFonts w:ascii="宋体" w:hAnsi="宋体"/>
          <w:kern w:val="0"/>
          <w:szCs w:val="24"/>
        </w:rPr>
        <w:t>《中华人民共和国政府采购法》</w:t>
      </w:r>
      <w:r>
        <w:rPr>
          <w:rFonts w:hint="eastAsia" w:ascii="宋体" w:hAnsi="宋体"/>
          <w:kern w:val="0"/>
          <w:szCs w:val="24"/>
        </w:rPr>
        <w:t>《中华人民共和国政府采购法实施条例》</w:t>
      </w:r>
      <w:r>
        <w:rPr>
          <w:rFonts w:ascii="宋体" w:hAnsi="宋体"/>
          <w:kern w:val="0"/>
          <w:szCs w:val="24"/>
        </w:rPr>
        <w:t>，买方通过公开招标采购</w:t>
      </w:r>
      <w:r>
        <w:rPr>
          <w:rFonts w:hint="eastAsia" w:ascii="宋体" w:hAnsi="宋体"/>
          <w:kern w:val="0"/>
          <w:szCs w:val="24"/>
          <w:u w:val="single"/>
          <w:lang w:val="en-US" w:eastAsia="zh-CN"/>
        </w:rPr>
        <w:t xml:space="preserve">      </w:t>
      </w:r>
      <w:r>
        <w:rPr>
          <w:rFonts w:ascii="宋体" w:hAnsi="宋体"/>
          <w:kern w:val="0"/>
          <w:szCs w:val="24"/>
          <w:u w:val="single"/>
        </w:rPr>
        <w:t xml:space="preserve"> </w:t>
      </w:r>
      <w:r>
        <w:rPr>
          <w:rFonts w:ascii="宋体" w:hAnsi="宋体"/>
          <w:kern w:val="0"/>
          <w:szCs w:val="24"/>
        </w:rPr>
        <w:t>，并接受了卖方以价格</w:t>
      </w:r>
      <w:r>
        <w:rPr>
          <w:rFonts w:ascii="宋体" w:hAnsi="宋体"/>
          <w:kern w:val="0"/>
          <w:szCs w:val="24"/>
          <w:u w:val="single"/>
        </w:rPr>
        <w:t>(中标金额大写)</w:t>
      </w:r>
      <w:r>
        <w:rPr>
          <w:rFonts w:ascii="宋体" w:hAnsi="宋体"/>
          <w:kern w:val="0"/>
          <w:szCs w:val="24"/>
        </w:rPr>
        <w:t>(以下简称“合同价”)提供的产品及服务。</w:t>
      </w:r>
    </w:p>
    <w:p>
      <w:pPr>
        <w:spacing w:line="480" w:lineRule="exact"/>
        <w:ind w:firstLine="480" w:firstLineChars="200"/>
        <w:rPr>
          <w:rFonts w:ascii="宋体" w:hAnsi="宋体"/>
          <w:szCs w:val="24"/>
        </w:rPr>
      </w:pPr>
      <w:bookmarkStart w:id="90" w:name="_Toc193126879"/>
      <w:bookmarkStart w:id="91" w:name="_Toc188808831"/>
      <w:bookmarkStart w:id="92" w:name="_Toc194663916"/>
      <w:bookmarkStart w:id="93" w:name="_Toc193187095"/>
      <w:r>
        <w:rPr>
          <w:rFonts w:ascii="宋体" w:hAnsi="宋体"/>
          <w:szCs w:val="24"/>
        </w:rPr>
        <w:t>本合同在此声明如下：</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w:t>
      </w:r>
      <w:r>
        <w:rPr>
          <w:rFonts w:ascii="宋体" w:hAnsi="宋体"/>
          <w:szCs w:val="24"/>
        </w:rPr>
        <w:t>本合同中的词语和术语的含义与合同条款中定义的相同。</w:t>
      </w:r>
    </w:p>
    <w:p>
      <w:pPr>
        <w:spacing w:line="480" w:lineRule="exact"/>
        <w:ind w:firstLine="480" w:firstLineChars="200"/>
        <w:rPr>
          <w:rFonts w:ascii="宋体" w:hAnsi="宋体"/>
          <w:szCs w:val="24"/>
        </w:rPr>
      </w:pPr>
      <w:r>
        <w:rPr>
          <w:rFonts w:ascii="宋体" w:hAnsi="宋体"/>
          <w:szCs w:val="24"/>
        </w:rPr>
        <w:t>2</w:t>
      </w:r>
      <w:r>
        <w:rPr>
          <w:rFonts w:hint="eastAsia" w:ascii="宋体" w:hAnsi="宋体"/>
          <w:szCs w:val="24"/>
          <w:lang w:val="en-US" w:eastAsia="zh-CN"/>
        </w:rPr>
        <w:t>.</w:t>
      </w:r>
      <w:r>
        <w:rPr>
          <w:rFonts w:ascii="宋体" w:hAnsi="宋体"/>
          <w:szCs w:val="24"/>
        </w:rPr>
        <w:t>下述文件是本合同的一部分，并与本合同一起阅读和解释：</w:t>
      </w:r>
    </w:p>
    <w:p>
      <w:pPr>
        <w:spacing w:line="480" w:lineRule="exact"/>
        <w:ind w:firstLine="480" w:firstLineChars="200"/>
        <w:rPr>
          <w:rFonts w:ascii="宋体" w:hAnsi="宋体"/>
          <w:szCs w:val="24"/>
        </w:rPr>
      </w:pPr>
      <w:r>
        <w:rPr>
          <w:rFonts w:hint="eastAsia" w:ascii="宋体" w:hAnsi="宋体"/>
          <w:szCs w:val="24"/>
          <w:lang w:val="en-US" w:eastAsia="zh-CN"/>
        </w:rPr>
        <w:t>2.1</w:t>
      </w:r>
      <w:r>
        <w:rPr>
          <w:rFonts w:ascii="宋体" w:hAnsi="宋体"/>
          <w:szCs w:val="24"/>
        </w:rPr>
        <w:t>合同条款</w:t>
      </w:r>
    </w:p>
    <w:p>
      <w:pPr>
        <w:spacing w:line="480" w:lineRule="exact"/>
        <w:ind w:firstLine="480" w:firstLineChars="200"/>
        <w:rPr>
          <w:rFonts w:ascii="宋体" w:hAnsi="宋体"/>
          <w:szCs w:val="24"/>
        </w:rPr>
      </w:pPr>
      <w:r>
        <w:rPr>
          <w:rFonts w:hint="eastAsia" w:ascii="宋体" w:hAnsi="宋体"/>
          <w:szCs w:val="24"/>
          <w:lang w:val="en-US" w:eastAsia="zh-CN"/>
        </w:rPr>
        <w:t>2.2</w:t>
      </w:r>
      <w:r>
        <w:rPr>
          <w:rFonts w:ascii="宋体" w:hAnsi="宋体"/>
          <w:szCs w:val="24"/>
        </w:rPr>
        <w:t>合同条款附件</w:t>
      </w:r>
    </w:p>
    <w:p>
      <w:pPr>
        <w:spacing w:line="480" w:lineRule="exact"/>
        <w:ind w:firstLine="480" w:firstLineChars="200"/>
        <w:rPr>
          <w:rFonts w:ascii="宋体" w:hAnsi="宋体"/>
          <w:szCs w:val="24"/>
        </w:rPr>
      </w:pPr>
      <w:r>
        <w:rPr>
          <w:rFonts w:hint="eastAsia" w:ascii="宋体" w:hAnsi="宋体"/>
          <w:szCs w:val="24"/>
          <w:lang w:val="en-US" w:eastAsia="zh-CN"/>
        </w:rPr>
        <w:t>2.3</w:t>
      </w:r>
      <w:r>
        <w:rPr>
          <w:rFonts w:ascii="宋体" w:hAnsi="宋体"/>
          <w:szCs w:val="24"/>
        </w:rPr>
        <w:t>中标通知书</w:t>
      </w:r>
    </w:p>
    <w:p>
      <w:pPr>
        <w:spacing w:line="480" w:lineRule="exact"/>
        <w:ind w:firstLine="480" w:firstLineChars="200"/>
        <w:rPr>
          <w:rFonts w:ascii="宋体" w:hAnsi="宋体"/>
          <w:szCs w:val="24"/>
        </w:rPr>
      </w:pPr>
      <w:r>
        <w:rPr>
          <w:rFonts w:hint="eastAsia" w:ascii="宋体" w:hAnsi="宋体"/>
          <w:szCs w:val="24"/>
          <w:lang w:val="en-US" w:eastAsia="zh-CN"/>
        </w:rPr>
        <w:t>2.4</w:t>
      </w:r>
      <w:r>
        <w:rPr>
          <w:rFonts w:ascii="宋体" w:hAnsi="宋体"/>
          <w:szCs w:val="24"/>
        </w:rPr>
        <w:t>招标文件</w:t>
      </w:r>
    </w:p>
    <w:p>
      <w:pPr>
        <w:spacing w:line="480" w:lineRule="exact"/>
        <w:ind w:firstLine="480" w:firstLineChars="200"/>
        <w:rPr>
          <w:rFonts w:ascii="宋体" w:hAnsi="宋体"/>
          <w:szCs w:val="24"/>
        </w:rPr>
      </w:pPr>
      <w:r>
        <w:rPr>
          <w:rFonts w:hint="eastAsia" w:ascii="宋体" w:hAnsi="宋体"/>
          <w:szCs w:val="24"/>
          <w:lang w:val="en-US" w:eastAsia="zh-CN"/>
        </w:rPr>
        <w:t>2.5</w:t>
      </w:r>
      <w:r>
        <w:rPr>
          <w:rFonts w:ascii="宋体" w:hAnsi="宋体"/>
          <w:szCs w:val="24"/>
        </w:rPr>
        <w:t>投标文件</w:t>
      </w:r>
    </w:p>
    <w:p>
      <w:pPr>
        <w:spacing w:line="480" w:lineRule="exact"/>
        <w:ind w:firstLine="480" w:firstLineChars="200"/>
        <w:rPr>
          <w:rFonts w:ascii="宋体" w:hAnsi="宋体"/>
          <w:szCs w:val="24"/>
        </w:rPr>
      </w:pPr>
      <w:r>
        <w:rPr>
          <w:rFonts w:ascii="宋体" w:hAnsi="宋体"/>
          <w:szCs w:val="24"/>
        </w:rPr>
        <w:t>3</w:t>
      </w:r>
      <w:r>
        <w:rPr>
          <w:rFonts w:hint="eastAsia" w:ascii="宋体" w:hAnsi="宋体"/>
          <w:szCs w:val="24"/>
          <w:lang w:val="en-US" w:eastAsia="zh-CN"/>
        </w:rPr>
        <w:t>.</w:t>
      </w:r>
      <w:r>
        <w:rPr>
          <w:rFonts w:ascii="宋体" w:hAnsi="宋体"/>
          <w:szCs w:val="24"/>
        </w:rPr>
        <w:t>考虑到买方将按照本合同向卖方支付款</w:t>
      </w:r>
      <w:r>
        <w:rPr>
          <w:rFonts w:hint="eastAsia" w:ascii="宋体" w:hAnsi="宋体"/>
          <w:szCs w:val="24"/>
          <w:lang w:eastAsia="zh-CN"/>
        </w:rPr>
        <w:t>项</w:t>
      </w:r>
      <w:r>
        <w:rPr>
          <w:rFonts w:ascii="宋体" w:hAnsi="宋体"/>
          <w:szCs w:val="24"/>
        </w:rPr>
        <w:t>，卖方在此保证全部按照合同的规定向买方提供货物和</w:t>
      </w:r>
      <w:r>
        <w:rPr>
          <w:rFonts w:hint="eastAsia" w:ascii="宋体" w:hAnsi="宋体"/>
          <w:szCs w:val="24"/>
        </w:rPr>
        <w:t>与货物有关的</w:t>
      </w:r>
      <w:r>
        <w:rPr>
          <w:rFonts w:ascii="宋体" w:hAnsi="宋体"/>
          <w:szCs w:val="24"/>
        </w:rPr>
        <w:t>服务，并修补缺陷。</w:t>
      </w:r>
    </w:p>
    <w:p>
      <w:pPr>
        <w:spacing w:line="480" w:lineRule="exact"/>
        <w:ind w:firstLine="480" w:firstLineChars="200"/>
        <w:rPr>
          <w:rFonts w:ascii="宋体" w:hAnsi="宋体"/>
          <w:szCs w:val="24"/>
        </w:rPr>
      </w:pPr>
      <w:r>
        <w:rPr>
          <w:rFonts w:ascii="宋体" w:hAnsi="宋体"/>
          <w:szCs w:val="24"/>
        </w:rPr>
        <w:t>4</w:t>
      </w:r>
      <w:r>
        <w:rPr>
          <w:rFonts w:hint="eastAsia" w:ascii="宋体" w:hAnsi="宋体"/>
          <w:szCs w:val="24"/>
          <w:lang w:val="en-US" w:eastAsia="zh-CN"/>
        </w:rPr>
        <w:t>.</w:t>
      </w:r>
      <w:r>
        <w:rPr>
          <w:rFonts w:ascii="宋体" w:hAnsi="宋体"/>
          <w:szCs w:val="24"/>
        </w:rPr>
        <w:t>考虑到卖方提供的货物和</w:t>
      </w:r>
      <w:r>
        <w:rPr>
          <w:rFonts w:hint="eastAsia" w:ascii="宋体" w:hAnsi="宋体"/>
          <w:szCs w:val="24"/>
        </w:rPr>
        <w:t>与货物有关的</w:t>
      </w:r>
      <w:r>
        <w:rPr>
          <w:rFonts w:ascii="宋体" w:hAnsi="宋体"/>
          <w:szCs w:val="24"/>
        </w:rPr>
        <w:t>服务并修补缺陷，买方在此保证按照合同规定的时间和方式向卖方支付合同价或其他按合同规定应支付的金额。</w:t>
      </w:r>
    </w:p>
    <w:p>
      <w:pPr>
        <w:spacing w:line="480" w:lineRule="exact"/>
        <w:ind w:firstLine="480" w:firstLineChars="200"/>
        <w:rPr>
          <w:rFonts w:hint="eastAsia" w:ascii="宋体" w:hAnsi="宋体"/>
          <w:szCs w:val="24"/>
        </w:rPr>
      </w:pPr>
      <w:r>
        <w:rPr>
          <w:rFonts w:ascii="宋体" w:hAnsi="宋体"/>
          <w:szCs w:val="24"/>
        </w:rPr>
        <w:t>5</w:t>
      </w:r>
      <w:r>
        <w:rPr>
          <w:rFonts w:hint="eastAsia" w:ascii="宋体" w:hAnsi="宋体"/>
          <w:szCs w:val="24"/>
          <w:lang w:val="en-US" w:eastAsia="zh-CN"/>
        </w:rPr>
        <w:t>.</w:t>
      </w:r>
      <w:r>
        <w:rPr>
          <w:rFonts w:ascii="宋体" w:hAnsi="宋体"/>
          <w:szCs w:val="24"/>
        </w:rPr>
        <w:t>付款方式：</w:t>
      </w:r>
      <w:r>
        <w:rPr>
          <w:rFonts w:hint="eastAsia" w:ascii="宋体" w:hAnsi="宋体" w:cs="宋体"/>
          <w:color w:val="auto"/>
          <w:highlight w:val="none"/>
          <w:lang w:val="zh-CN"/>
        </w:rPr>
        <w:t>合同签订后1</w:t>
      </w:r>
      <w:r>
        <w:rPr>
          <w:rFonts w:hint="eastAsia" w:ascii="宋体" w:hAnsi="宋体" w:cs="宋体"/>
          <w:color w:val="auto"/>
          <w:highlight w:val="none"/>
          <w:lang w:val="en-US" w:eastAsia="zh-CN"/>
        </w:rPr>
        <w:t>5</w:t>
      </w:r>
      <w:r>
        <w:rPr>
          <w:rFonts w:hint="eastAsia" w:ascii="宋体" w:hAnsi="宋体" w:cs="宋体"/>
          <w:color w:val="auto"/>
          <w:highlight w:val="none"/>
          <w:lang w:val="zh-CN"/>
        </w:rPr>
        <w:t>日内甲方向乙方支付合同总额的</w:t>
      </w:r>
      <w:r>
        <w:rPr>
          <w:rFonts w:hint="eastAsia" w:ascii="宋体" w:hAnsi="宋体" w:cs="宋体"/>
          <w:color w:val="auto"/>
          <w:highlight w:val="none"/>
          <w:lang w:val="en-US" w:eastAsia="zh-CN"/>
        </w:rPr>
        <w:t>3</w:t>
      </w:r>
      <w:r>
        <w:rPr>
          <w:rFonts w:hint="eastAsia" w:ascii="宋体" w:hAnsi="宋体" w:cs="宋体"/>
          <w:color w:val="auto"/>
          <w:highlight w:val="none"/>
          <w:lang w:val="zh-CN"/>
        </w:rPr>
        <w:t>0%的预付款；终验合格后</w:t>
      </w:r>
      <w:r>
        <w:rPr>
          <w:rFonts w:hint="eastAsia" w:ascii="宋体" w:hAnsi="宋体" w:cs="宋体"/>
          <w:color w:val="auto"/>
          <w:highlight w:val="none"/>
          <w:lang w:val="en-US" w:eastAsia="zh-CN"/>
        </w:rPr>
        <w:t>10个工作日内</w:t>
      </w:r>
      <w:r>
        <w:rPr>
          <w:rFonts w:hint="eastAsia" w:ascii="宋体" w:hAnsi="宋体" w:cs="宋体"/>
          <w:color w:val="auto"/>
          <w:highlight w:val="none"/>
          <w:lang w:val="zh-CN"/>
        </w:rPr>
        <w:t>甲方向乙方支付合同总额的</w:t>
      </w:r>
      <w:r>
        <w:rPr>
          <w:rFonts w:hint="eastAsia" w:ascii="宋体" w:hAnsi="宋体" w:cs="宋体"/>
          <w:color w:val="auto"/>
          <w:highlight w:val="none"/>
          <w:lang w:val="en-US" w:eastAsia="zh-CN"/>
        </w:rPr>
        <w:t>4</w:t>
      </w:r>
      <w:r>
        <w:rPr>
          <w:rFonts w:hint="eastAsia" w:ascii="宋体" w:hAnsi="宋体" w:cs="宋体"/>
          <w:color w:val="auto"/>
          <w:highlight w:val="none"/>
          <w:lang w:val="zh-CN"/>
        </w:rPr>
        <w:t>0%货款；</w:t>
      </w:r>
      <w:r>
        <w:rPr>
          <w:rFonts w:hint="eastAsia" w:ascii="宋体" w:hAnsi="宋体" w:cs="宋体"/>
          <w:color w:val="auto"/>
          <w:highlight w:val="none"/>
          <w:lang w:val="en-US" w:eastAsia="zh-CN"/>
        </w:rPr>
        <w:t>终验合格一年后，甲方向乙方支付合同金额的30%货款</w:t>
      </w:r>
      <w:r>
        <w:rPr>
          <w:rFonts w:hint="eastAsia" w:ascii="宋体" w:hAnsi="宋体" w:cs="宋体"/>
          <w:color w:val="auto"/>
          <w:highlight w:val="none"/>
          <w:lang w:val="zh-CN"/>
        </w:rPr>
        <w:t>。</w:t>
      </w:r>
      <w:bookmarkStart w:id="215" w:name="_GoBack"/>
      <w:bookmarkEnd w:id="215"/>
      <w:r>
        <w:rPr>
          <w:rFonts w:hint="eastAsia" w:ascii="宋体" w:hAnsi="宋体"/>
          <w:szCs w:val="24"/>
        </w:rPr>
        <w:tab/>
      </w:r>
    </w:p>
    <w:p>
      <w:pPr>
        <w:adjustRightInd w:val="0"/>
        <w:snapToGrid w:val="0"/>
        <w:spacing w:line="480" w:lineRule="exact"/>
        <w:ind w:firstLine="480" w:firstLineChars="200"/>
        <w:rPr>
          <w:rFonts w:hint="eastAsia" w:ascii="宋体" w:hAnsi="宋体"/>
          <w:color w:val="auto"/>
          <w:szCs w:val="24"/>
        </w:rPr>
      </w:pPr>
      <w:r>
        <w:rPr>
          <w:rFonts w:hint="eastAsia" w:ascii="宋体" w:hAnsi="宋体"/>
          <w:color w:val="auto"/>
          <w:szCs w:val="24"/>
        </w:rPr>
        <w:t>6</w:t>
      </w:r>
      <w:r>
        <w:rPr>
          <w:rFonts w:hint="eastAsia" w:ascii="宋体" w:hAnsi="宋体"/>
          <w:color w:val="auto"/>
          <w:szCs w:val="24"/>
          <w:lang w:val="en-US" w:eastAsia="zh-CN"/>
        </w:rPr>
        <w:t>.</w:t>
      </w:r>
      <w:r>
        <w:rPr>
          <w:rFonts w:hint="eastAsia" w:ascii="宋体" w:hAnsi="宋体"/>
          <w:color w:val="auto"/>
          <w:szCs w:val="24"/>
        </w:rPr>
        <w:t>交货期：自合同签订后</w:t>
      </w:r>
      <w:r>
        <w:rPr>
          <w:rFonts w:hint="eastAsia" w:ascii="宋体" w:hAnsi="宋体"/>
          <w:color w:val="auto"/>
          <w:szCs w:val="24"/>
          <w:u w:val="single"/>
        </w:rPr>
        <w:t xml:space="preserve">   </w:t>
      </w:r>
      <w:r>
        <w:rPr>
          <w:rFonts w:hint="eastAsia" w:ascii="宋体" w:hAnsi="宋体"/>
          <w:color w:val="auto"/>
          <w:szCs w:val="24"/>
        </w:rPr>
        <w:t>个日历日。</w:t>
      </w:r>
    </w:p>
    <w:p>
      <w:pPr>
        <w:adjustRightInd w:val="0"/>
        <w:snapToGrid w:val="0"/>
        <w:spacing w:line="480" w:lineRule="exact"/>
        <w:ind w:firstLine="480" w:firstLineChars="200"/>
        <w:rPr>
          <w:rFonts w:hint="eastAsia" w:ascii="宋体" w:hAnsi="宋体" w:eastAsia="宋体"/>
          <w:color w:val="auto"/>
          <w:szCs w:val="24"/>
          <w:lang w:eastAsia="zh-CN"/>
        </w:rPr>
      </w:pPr>
      <w:r>
        <w:rPr>
          <w:rFonts w:hint="eastAsia" w:ascii="宋体" w:hAnsi="宋体"/>
          <w:color w:val="auto"/>
          <w:szCs w:val="24"/>
        </w:rPr>
        <w:t xml:space="preserve">  交货地点：</w:t>
      </w:r>
      <w:r>
        <w:rPr>
          <w:rFonts w:hint="eastAsia" w:ascii="宋体" w:hAnsi="宋体"/>
          <w:color w:val="auto"/>
          <w:szCs w:val="24"/>
          <w:lang w:eastAsia="zh-CN"/>
        </w:rPr>
        <w:t>黄龙县人民医院</w:t>
      </w:r>
    </w:p>
    <w:p>
      <w:pPr>
        <w:spacing w:line="480" w:lineRule="exact"/>
        <w:ind w:firstLine="480" w:firstLineChars="200"/>
        <w:rPr>
          <w:rFonts w:ascii="宋体" w:hAnsi="宋体"/>
          <w:szCs w:val="24"/>
        </w:rPr>
      </w:pPr>
      <w:r>
        <w:rPr>
          <w:rFonts w:hint="eastAsia" w:ascii="宋体" w:hAnsi="宋体"/>
          <w:szCs w:val="24"/>
        </w:rPr>
        <w:t>7</w:t>
      </w:r>
      <w:r>
        <w:rPr>
          <w:rFonts w:hint="eastAsia" w:ascii="宋体" w:hAnsi="宋体"/>
          <w:szCs w:val="24"/>
          <w:lang w:val="en-US" w:eastAsia="zh-CN"/>
        </w:rPr>
        <w:t>.</w:t>
      </w:r>
      <w:r>
        <w:rPr>
          <w:rFonts w:hint="eastAsia" w:ascii="宋体" w:hAnsi="宋体"/>
          <w:szCs w:val="24"/>
        </w:rPr>
        <w:t>本合同一式</w:t>
      </w:r>
      <w:r>
        <w:rPr>
          <w:rFonts w:hint="eastAsia" w:ascii="宋体" w:hAnsi="宋体"/>
          <w:szCs w:val="24"/>
          <w:lang w:eastAsia="zh-CN"/>
        </w:rPr>
        <w:t>肆</w:t>
      </w:r>
      <w:r>
        <w:rPr>
          <w:rFonts w:hint="eastAsia" w:ascii="宋体" w:hAnsi="宋体"/>
          <w:szCs w:val="24"/>
        </w:rPr>
        <w:t>份，其中，买方贰份，卖方贰份。</w:t>
      </w:r>
    </w:p>
    <w:p>
      <w:pPr>
        <w:adjustRightInd w:val="0"/>
        <w:snapToGrid w:val="0"/>
        <w:spacing w:line="480" w:lineRule="exact"/>
        <w:ind w:firstLine="480" w:firstLineChars="200"/>
        <w:rPr>
          <w:rFonts w:hint="eastAsia" w:ascii="宋体" w:hAnsi="宋体"/>
          <w:kern w:val="0"/>
          <w:szCs w:val="24"/>
        </w:rPr>
      </w:pPr>
      <w:r>
        <w:rPr>
          <w:rFonts w:hint="eastAsia" w:ascii="宋体" w:hAnsi="宋体"/>
          <w:kern w:val="0"/>
          <w:szCs w:val="24"/>
        </w:rPr>
        <w:t>8</w:t>
      </w:r>
      <w:r>
        <w:rPr>
          <w:rFonts w:hint="eastAsia" w:ascii="宋体" w:hAnsi="宋体"/>
          <w:kern w:val="0"/>
          <w:szCs w:val="24"/>
          <w:lang w:val="en-US" w:eastAsia="zh-CN"/>
        </w:rPr>
        <w:t>.</w:t>
      </w:r>
      <w:r>
        <w:rPr>
          <w:rFonts w:hint="eastAsia" w:ascii="宋体" w:hAnsi="宋体"/>
          <w:kern w:val="0"/>
          <w:szCs w:val="24"/>
        </w:rPr>
        <w:t>本合同由买卖双方共同签字盖章，自最后一方签字盖章之日起生效。</w:t>
      </w:r>
    </w:p>
    <w:p>
      <w:pPr>
        <w:numPr>
          <w:ilvl w:val="0"/>
          <w:numId w:val="4"/>
        </w:numPr>
        <w:adjustRightInd w:val="0"/>
        <w:snapToGrid w:val="0"/>
        <w:spacing w:line="440" w:lineRule="exact"/>
        <w:ind w:firstLine="480" w:firstLineChars="200"/>
        <w:rPr>
          <w:rFonts w:hint="eastAsia" w:ascii="宋体" w:hAnsi="宋体" w:eastAsia="宋体" w:cs="Times New Roman"/>
          <w:kern w:val="0"/>
          <w:szCs w:val="24"/>
        </w:rPr>
      </w:pPr>
      <w:r>
        <w:rPr>
          <w:rFonts w:hint="eastAsia" w:ascii="宋体" w:hAnsi="宋体" w:eastAsia="宋体" w:cs="Times New Roman"/>
          <w:kern w:val="0"/>
          <w:szCs w:val="24"/>
        </w:rPr>
        <w:t>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投标人提供政府采购信用担保和融资服务，并按照程序确定了合作的担保机构和商业银行。</w:t>
      </w:r>
    </w:p>
    <w:p>
      <w:pPr>
        <w:numPr>
          <w:ilvl w:val="0"/>
          <w:numId w:val="0"/>
        </w:numPr>
        <w:adjustRightInd w:val="0"/>
        <w:snapToGrid w:val="0"/>
        <w:spacing w:line="440" w:lineRule="exact"/>
        <w:ind w:firstLine="480" w:firstLineChars="200"/>
        <w:rPr>
          <w:rFonts w:hint="eastAsia" w:ascii="宋体" w:hAnsi="宋体" w:eastAsia="宋体" w:cs="Times New Roman"/>
          <w:kern w:val="0"/>
          <w:szCs w:val="24"/>
        </w:rPr>
      </w:pPr>
      <w:r>
        <w:rPr>
          <w:rFonts w:hint="eastAsia" w:ascii="宋体" w:hAnsi="宋体" w:eastAsia="宋体" w:cs="Times New Roman"/>
          <w:kern w:val="0"/>
          <w:szCs w:val="24"/>
          <w:lang w:eastAsia="zh-CN"/>
        </w:rPr>
        <w:t>卖方</w:t>
      </w:r>
      <w:r>
        <w:rPr>
          <w:rFonts w:hint="eastAsia" w:ascii="宋体" w:hAnsi="宋体" w:eastAsia="宋体" w:cs="Times New Roman"/>
          <w:kern w:val="0"/>
          <w:szCs w:val="24"/>
        </w:rPr>
        <w:t>如果需要融资贷款服务需求的，可凭中标通知书、政府采购合同等相关资料，按照文件规定的相关政策、业务流程申请办理，具体规定可登陆陕西省政府采购信用融资平台（http://www.ccgp-shaanxi.gov.cn/zcdservice/zcd/shanxi/）查询了解。</w:t>
      </w:r>
    </w:p>
    <w:p>
      <w:pPr>
        <w:pStyle w:val="2"/>
        <w:numPr>
          <w:ilvl w:val="0"/>
          <w:numId w:val="0"/>
        </w:numPr>
        <w:rPr>
          <w:rFonts w:hint="eastAsia"/>
        </w:rPr>
      </w:pPr>
    </w:p>
    <w:p/>
    <w:tbl>
      <w:tblPr>
        <w:tblStyle w:val="38"/>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tblPrEx>
          <w:tblCellMar>
            <w:top w:w="0" w:type="dxa"/>
            <w:left w:w="108" w:type="dxa"/>
            <w:bottom w:w="0" w:type="dxa"/>
            <w:right w:w="108" w:type="dxa"/>
          </w:tblCellMar>
        </w:tblPrEx>
        <w:trPr>
          <w:trHeight w:val="3093" w:hRule="atLeast"/>
        </w:trPr>
        <w:tc>
          <w:tcPr>
            <w:tcW w:w="4425" w:type="dxa"/>
            <w:noWrap w:val="0"/>
            <w:tcMar>
              <w:top w:w="113" w:type="dxa"/>
              <w:left w:w="113" w:type="dxa"/>
              <w:bottom w:w="113" w:type="dxa"/>
              <w:right w:w="113" w:type="dxa"/>
            </w:tcMar>
            <w:vAlign w:val="top"/>
          </w:tcPr>
          <w:p>
            <w:pPr>
              <w:autoSpaceDE w:val="0"/>
              <w:autoSpaceDN w:val="0"/>
              <w:spacing w:line="440" w:lineRule="exact"/>
              <w:ind w:left="240" w:leftChars="100"/>
              <w:rPr>
                <w:rFonts w:hint="eastAsia" w:ascii="宋体" w:hAnsi="宋体" w:eastAsia="宋体"/>
                <w:szCs w:val="24"/>
                <w:lang w:eastAsia="zh-CN"/>
              </w:rPr>
            </w:pPr>
            <w:r>
              <w:rPr>
                <w:rFonts w:ascii="宋体" w:hAnsi="宋体"/>
                <w:szCs w:val="24"/>
              </w:rPr>
              <w:t xml:space="preserve">买方名称： </w:t>
            </w:r>
            <w:r>
              <w:rPr>
                <w:rFonts w:hint="eastAsia" w:ascii="宋体" w:hAnsi="宋体"/>
                <w:szCs w:val="24"/>
                <w:lang w:eastAsia="zh-CN"/>
              </w:rPr>
              <w:t>（盖章）</w:t>
            </w:r>
          </w:p>
          <w:p>
            <w:pPr>
              <w:autoSpaceDE w:val="0"/>
              <w:autoSpaceDN w:val="0"/>
              <w:spacing w:line="440" w:lineRule="exact"/>
              <w:ind w:left="240" w:leftChars="100"/>
              <w:rPr>
                <w:rFonts w:ascii="宋体" w:hAnsi="宋体"/>
                <w:szCs w:val="24"/>
              </w:rPr>
            </w:pPr>
            <w:r>
              <w:rPr>
                <w:rFonts w:ascii="宋体" w:hAnsi="宋体"/>
                <w:szCs w:val="24"/>
              </w:rPr>
              <w:t xml:space="preserve">地    址： </w:t>
            </w:r>
          </w:p>
          <w:p>
            <w:pPr>
              <w:autoSpaceDE w:val="0"/>
              <w:autoSpaceDN w:val="0"/>
              <w:spacing w:line="440" w:lineRule="exact"/>
              <w:ind w:left="240" w:leftChars="100"/>
              <w:rPr>
                <w:rFonts w:ascii="宋体" w:hAnsi="宋体"/>
                <w:szCs w:val="24"/>
              </w:rPr>
            </w:pPr>
            <w:r>
              <w:rPr>
                <w:rFonts w:ascii="宋体" w:hAnsi="宋体"/>
                <w:szCs w:val="24"/>
              </w:rPr>
              <w:t>邮    编：</w:t>
            </w:r>
          </w:p>
          <w:p>
            <w:pPr>
              <w:autoSpaceDE w:val="0"/>
              <w:autoSpaceDN w:val="0"/>
              <w:spacing w:line="440" w:lineRule="exact"/>
              <w:ind w:left="240" w:leftChars="100"/>
              <w:rPr>
                <w:rFonts w:ascii="宋体" w:hAnsi="宋体"/>
                <w:szCs w:val="24"/>
              </w:rPr>
            </w:pPr>
            <w:r>
              <w:rPr>
                <w:rFonts w:ascii="宋体" w:hAnsi="宋体"/>
                <w:szCs w:val="24"/>
              </w:rPr>
              <w:t>电    话：</w:t>
            </w:r>
          </w:p>
          <w:p>
            <w:pPr>
              <w:autoSpaceDE w:val="0"/>
              <w:autoSpaceDN w:val="0"/>
              <w:spacing w:line="440" w:lineRule="exact"/>
              <w:ind w:left="240" w:leftChars="100"/>
              <w:rPr>
                <w:rFonts w:ascii="宋体" w:hAnsi="宋体"/>
                <w:szCs w:val="24"/>
              </w:rPr>
            </w:pPr>
            <w:r>
              <w:rPr>
                <w:rFonts w:ascii="宋体" w:hAnsi="宋体"/>
                <w:szCs w:val="24"/>
              </w:rPr>
              <w:t>传    真：</w:t>
            </w:r>
          </w:p>
          <w:p>
            <w:pPr>
              <w:autoSpaceDE w:val="0"/>
              <w:autoSpaceDN w:val="0"/>
              <w:spacing w:line="440" w:lineRule="exact"/>
              <w:ind w:left="240" w:leftChars="100"/>
              <w:rPr>
                <w:rFonts w:ascii="宋体" w:hAnsi="宋体"/>
                <w:szCs w:val="24"/>
              </w:rPr>
            </w:pPr>
          </w:p>
          <w:p>
            <w:pPr>
              <w:autoSpaceDE w:val="0"/>
              <w:autoSpaceDN w:val="0"/>
              <w:spacing w:line="440" w:lineRule="exact"/>
              <w:ind w:left="240" w:leftChars="100"/>
              <w:rPr>
                <w:rFonts w:ascii="宋体" w:hAnsi="宋体"/>
                <w:szCs w:val="24"/>
              </w:rPr>
            </w:pPr>
          </w:p>
          <w:p>
            <w:pPr>
              <w:autoSpaceDE w:val="0"/>
              <w:autoSpaceDN w:val="0"/>
              <w:spacing w:line="440" w:lineRule="exact"/>
              <w:ind w:left="240" w:leftChars="100"/>
              <w:rPr>
                <w:rFonts w:ascii="宋体" w:hAnsi="宋体"/>
                <w:szCs w:val="24"/>
              </w:rPr>
            </w:pPr>
            <w:r>
              <w:rPr>
                <w:rFonts w:ascii="宋体" w:hAnsi="宋体"/>
                <w:szCs w:val="24"/>
              </w:rPr>
              <w:t>代表签字</w:t>
            </w:r>
            <w:r>
              <w:rPr>
                <w:rFonts w:hint="eastAsia" w:ascii="宋体" w:hAnsi="宋体"/>
                <w:szCs w:val="24"/>
                <w:lang w:eastAsia="zh-CN"/>
              </w:rPr>
              <w:t>或盖章</w:t>
            </w:r>
            <w:r>
              <w:rPr>
                <w:rFonts w:ascii="宋体" w:hAnsi="宋体"/>
                <w:szCs w:val="24"/>
              </w:rPr>
              <w:t>：</w:t>
            </w:r>
          </w:p>
          <w:p>
            <w:pPr>
              <w:autoSpaceDE w:val="0"/>
              <w:autoSpaceDN w:val="0"/>
              <w:spacing w:line="440" w:lineRule="exact"/>
              <w:rPr>
                <w:rFonts w:ascii="宋体" w:hAnsi="宋体"/>
                <w:szCs w:val="24"/>
              </w:rPr>
            </w:pPr>
            <w:r>
              <w:rPr>
                <w:rFonts w:ascii="宋体" w:hAnsi="宋体"/>
                <w:szCs w:val="24"/>
              </w:rPr>
              <w:t xml:space="preserve">                年  月  日     </w:t>
            </w:r>
          </w:p>
        </w:tc>
        <w:tc>
          <w:tcPr>
            <w:tcW w:w="3936" w:type="dxa"/>
            <w:noWrap w:val="0"/>
            <w:tcMar>
              <w:top w:w="113" w:type="dxa"/>
              <w:left w:w="113" w:type="dxa"/>
              <w:bottom w:w="113" w:type="dxa"/>
              <w:right w:w="113" w:type="dxa"/>
            </w:tcMar>
            <w:vAlign w:val="top"/>
          </w:tcPr>
          <w:p>
            <w:pPr>
              <w:autoSpaceDE w:val="0"/>
              <w:autoSpaceDN w:val="0"/>
              <w:spacing w:line="440" w:lineRule="exact"/>
              <w:ind w:left="240" w:leftChars="100"/>
              <w:rPr>
                <w:rFonts w:hint="eastAsia" w:ascii="宋体" w:hAnsi="宋体" w:eastAsia="宋体"/>
                <w:szCs w:val="24"/>
                <w:lang w:eastAsia="zh-CN"/>
              </w:rPr>
            </w:pPr>
            <w:r>
              <w:rPr>
                <w:rFonts w:ascii="宋体" w:hAnsi="宋体"/>
                <w:szCs w:val="24"/>
              </w:rPr>
              <w:t>卖方名称：</w:t>
            </w:r>
            <w:r>
              <w:rPr>
                <w:rFonts w:hint="eastAsia" w:ascii="宋体" w:hAnsi="宋体"/>
                <w:szCs w:val="24"/>
                <w:lang w:eastAsia="zh-CN"/>
              </w:rPr>
              <w:t>（盖章）</w:t>
            </w:r>
          </w:p>
          <w:p>
            <w:pPr>
              <w:autoSpaceDE w:val="0"/>
              <w:autoSpaceDN w:val="0"/>
              <w:spacing w:line="440" w:lineRule="exact"/>
              <w:ind w:left="240" w:leftChars="100"/>
              <w:rPr>
                <w:rFonts w:ascii="宋体" w:hAnsi="宋体"/>
                <w:szCs w:val="24"/>
              </w:rPr>
            </w:pPr>
            <w:r>
              <w:rPr>
                <w:rFonts w:ascii="宋体" w:hAnsi="宋体"/>
                <w:szCs w:val="24"/>
              </w:rPr>
              <w:t xml:space="preserve">地    址： </w:t>
            </w:r>
          </w:p>
          <w:p>
            <w:pPr>
              <w:autoSpaceDE w:val="0"/>
              <w:autoSpaceDN w:val="0"/>
              <w:spacing w:line="440" w:lineRule="exact"/>
              <w:ind w:left="240" w:leftChars="100"/>
              <w:rPr>
                <w:rFonts w:ascii="宋体" w:hAnsi="宋体"/>
                <w:szCs w:val="24"/>
              </w:rPr>
            </w:pPr>
            <w:r>
              <w:rPr>
                <w:rFonts w:ascii="宋体" w:hAnsi="宋体"/>
                <w:szCs w:val="24"/>
              </w:rPr>
              <w:t xml:space="preserve">邮    编： </w:t>
            </w:r>
          </w:p>
          <w:p>
            <w:pPr>
              <w:autoSpaceDE w:val="0"/>
              <w:autoSpaceDN w:val="0"/>
              <w:spacing w:line="440" w:lineRule="exact"/>
              <w:ind w:left="240" w:leftChars="100"/>
              <w:rPr>
                <w:rFonts w:ascii="宋体" w:hAnsi="宋体"/>
                <w:szCs w:val="24"/>
              </w:rPr>
            </w:pPr>
            <w:r>
              <w:rPr>
                <w:rFonts w:ascii="宋体" w:hAnsi="宋体"/>
                <w:szCs w:val="24"/>
              </w:rPr>
              <w:t xml:space="preserve">电    话： </w:t>
            </w:r>
          </w:p>
          <w:p>
            <w:pPr>
              <w:autoSpaceDE w:val="0"/>
              <w:autoSpaceDN w:val="0"/>
              <w:spacing w:line="440" w:lineRule="exact"/>
              <w:ind w:left="240" w:leftChars="100"/>
              <w:rPr>
                <w:rFonts w:ascii="宋体" w:hAnsi="宋体"/>
                <w:szCs w:val="24"/>
              </w:rPr>
            </w:pPr>
            <w:r>
              <w:rPr>
                <w:rFonts w:ascii="宋体" w:hAnsi="宋体"/>
                <w:szCs w:val="24"/>
              </w:rPr>
              <w:t xml:space="preserve">传    真：  </w:t>
            </w:r>
          </w:p>
          <w:p>
            <w:pPr>
              <w:autoSpaceDE w:val="0"/>
              <w:autoSpaceDN w:val="0"/>
              <w:spacing w:line="440" w:lineRule="exact"/>
              <w:ind w:left="240" w:leftChars="100"/>
              <w:rPr>
                <w:rFonts w:ascii="宋体" w:hAnsi="宋体"/>
                <w:szCs w:val="24"/>
              </w:rPr>
            </w:pPr>
            <w:r>
              <w:rPr>
                <w:rFonts w:ascii="宋体" w:hAnsi="宋体"/>
                <w:szCs w:val="24"/>
              </w:rPr>
              <w:t>开户银行：</w:t>
            </w:r>
          </w:p>
          <w:p>
            <w:pPr>
              <w:autoSpaceDE w:val="0"/>
              <w:autoSpaceDN w:val="0"/>
              <w:spacing w:line="440" w:lineRule="exact"/>
              <w:ind w:left="240" w:leftChars="100"/>
              <w:rPr>
                <w:rFonts w:ascii="宋体" w:hAnsi="宋体"/>
                <w:szCs w:val="24"/>
              </w:rPr>
            </w:pPr>
            <w:r>
              <w:rPr>
                <w:rFonts w:ascii="宋体" w:hAnsi="宋体"/>
                <w:szCs w:val="24"/>
              </w:rPr>
              <w:t>帐    号：</w:t>
            </w:r>
          </w:p>
          <w:p>
            <w:pPr>
              <w:autoSpaceDE w:val="0"/>
              <w:autoSpaceDN w:val="0"/>
              <w:spacing w:line="440" w:lineRule="exact"/>
              <w:ind w:left="240" w:leftChars="100"/>
              <w:rPr>
                <w:rFonts w:hint="eastAsia" w:ascii="宋体" w:hAnsi="宋体" w:eastAsia="宋体"/>
                <w:szCs w:val="24"/>
                <w:lang w:eastAsia="zh-CN"/>
              </w:rPr>
            </w:pPr>
            <w:r>
              <w:rPr>
                <w:rFonts w:ascii="宋体" w:hAnsi="宋体"/>
                <w:szCs w:val="24"/>
              </w:rPr>
              <w:t>代表签字</w:t>
            </w:r>
            <w:r>
              <w:rPr>
                <w:rFonts w:hint="eastAsia" w:ascii="宋体" w:hAnsi="宋体"/>
                <w:szCs w:val="24"/>
                <w:lang w:eastAsia="zh-CN"/>
              </w:rPr>
              <w:t>或盖章：</w:t>
            </w:r>
          </w:p>
          <w:p>
            <w:pPr>
              <w:spacing w:line="440" w:lineRule="exact"/>
              <w:ind w:left="240" w:leftChars="100"/>
              <w:rPr>
                <w:rFonts w:ascii="宋体" w:hAnsi="宋体"/>
                <w:szCs w:val="24"/>
              </w:rPr>
            </w:pPr>
            <w:r>
              <w:rPr>
                <w:rFonts w:ascii="宋体" w:hAnsi="宋体"/>
                <w:szCs w:val="24"/>
              </w:rPr>
              <w:t xml:space="preserve">             年  月  日</w:t>
            </w:r>
          </w:p>
        </w:tc>
      </w:tr>
    </w:tbl>
    <w:p>
      <w:pPr>
        <w:spacing w:line="440" w:lineRule="exact"/>
        <w:rPr>
          <w:rFonts w:ascii="宋体" w:hAnsi="宋体"/>
          <w:szCs w:val="24"/>
        </w:rPr>
      </w:pPr>
    </w:p>
    <w:p>
      <w:pPr>
        <w:autoSpaceDE w:val="0"/>
        <w:autoSpaceDN w:val="0"/>
        <w:spacing w:line="440" w:lineRule="exact"/>
        <w:rPr>
          <w:rFonts w:hint="eastAsia" w:ascii="宋体" w:hAnsi="宋体"/>
          <w:szCs w:val="24"/>
        </w:rPr>
      </w:pPr>
    </w:p>
    <w:bookmarkEnd w:id="90"/>
    <w:bookmarkEnd w:id="91"/>
    <w:bookmarkEnd w:id="92"/>
    <w:bookmarkEnd w:id="93"/>
    <w:p>
      <w:pPr>
        <w:spacing w:line="480" w:lineRule="exact"/>
        <w:rPr>
          <w:rFonts w:hint="eastAsia" w:ascii="宋体" w:hAnsi="宋体"/>
          <w:szCs w:val="24"/>
        </w:rPr>
      </w:pPr>
    </w:p>
    <w:p>
      <w:pPr>
        <w:spacing w:line="480" w:lineRule="exact"/>
        <w:rPr>
          <w:rFonts w:ascii="宋体" w:hAnsi="宋体"/>
          <w:szCs w:val="24"/>
        </w:rPr>
      </w:pPr>
      <w:r>
        <w:rPr>
          <w:rFonts w:hint="eastAsia" w:ascii="宋体" w:hAnsi="宋体"/>
          <w:szCs w:val="24"/>
        </w:rPr>
        <w:br w:type="page"/>
      </w:r>
      <w:r>
        <w:rPr>
          <w:rFonts w:hint="eastAsia" w:ascii="宋体" w:hAnsi="宋体"/>
          <w:szCs w:val="24"/>
        </w:rPr>
        <w:t>二、</w:t>
      </w:r>
      <w:r>
        <w:rPr>
          <w:rFonts w:ascii="宋体" w:hAnsi="宋体"/>
          <w:szCs w:val="24"/>
        </w:rPr>
        <w:t>合同条款</w:t>
      </w:r>
    </w:p>
    <w:p>
      <w:pPr>
        <w:spacing w:line="480" w:lineRule="exact"/>
        <w:ind w:firstLine="480" w:firstLineChars="200"/>
        <w:rPr>
          <w:rFonts w:ascii="宋体" w:hAnsi="宋体"/>
          <w:szCs w:val="24"/>
        </w:rPr>
      </w:pPr>
      <w:r>
        <w:rPr>
          <w:rFonts w:ascii="宋体" w:hAnsi="宋体"/>
          <w:kern w:val="0"/>
          <w:szCs w:val="24"/>
        </w:rPr>
        <w:t>1</w:t>
      </w:r>
      <w:r>
        <w:rPr>
          <w:rFonts w:hint="eastAsia" w:ascii="宋体" w:hAnsi="宋体"/>
          <w:kern w:val="0"/>
          <w:szCs w:val="24"/>
          <w:lang w:val="en-US" w:eastAsia="zh-CN"/>
        </w:rPr>
        <w:t>.</w:t>
      </w:r>
      <w:r>
        <w:rPr>
          <w:rFonts w:ascii="宋体" w:hAnsi="宋体"/>
          <w:kern w:val="0"/>
          <w:szCs w:val="24"/>
        </w:rPr>
        <w:t>定义</w:t>
      </w:r>
    </w:p>
    <w:p>
      <w:pPr>
        <w:spacing w:line="480" w:lineRule="exact"/>
        <w:ind w:firstLine="480" w:firstLineChars="200"/>
        <w:rPr>
          <w:rFonts w:ascii="宋体" w:hAnsi="宋体"/>
          <w:szCs w:val="24"/>
        </w:rPr>
      </w:pPr>
      <w:r>
        <w:rPr>
          <w:rFonts w:ascii="宋体" w:hAnsi="宋体"/>
          <w:kern w:val="0"/>
          <w:szCs w:val="24"/>
        </w:rPr>
        <w:t>本合同下列术语应解释为：</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.1</w:t>
      </w:r>
      <w:r>
        <w:rPr>
          <w:rFonts w:ascii="宋体" w:hAnsi="宋体"/>
          <w:szCs w:val="24"/>
        </w:rPr>
        <w:t>“合同”系指买卖双方签署的、合同格式中载明的买卖双方所达成的协议，包括所有的附件、附录和招标文件所提到的构成合同的所有文件。</w:t>
      </w:r>
    </w:p>
    <w:p>
      <w:pPr>
        <w:spacing w:line="480" w:lineRule="exact"/>
        <w:ind w:firstLine="480" w:firstLineChars="200"/>
        <w:rPr>
          <w:rFonts w:ascii="宋体" w:hAnsi="宋体"/>
          <w:szCs w:val="24"/>
        </w:rPr>
      </w:pPr>
      <w:r>
        <w:rPr>
          <w:rFonts w:hint="eastAsia" w:ascii="宋体" w:hAnsi="宋体"/>
          <w:szCs w:val="24"/>
          <w:lang w:val="en-US" w:eastAsia="zh-CN"/>
        </w:rPr>
        <w:t>1.2</w:t>
      </w:r>
      <w:r>
        <w:rPr>
          <w:rFonts w:ascii="宋体" w:hAnsi="宋体"/>
          <w:szCs w:val="24"/>
        </w:rPr>
        <w:t>“合同价”系指根据本合同规定卖方在正确地完全履行合同义务后买方应支付给卖方的价款。</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.3</w:t>
      </w:r>
      <w:r>
        <w:rPr>
          <w:rFonts w:ascii="宋体" w:hAnsi="宋体"/>
          <w:szCs w:val="24"/>
        </w:rPr>
        <w:t>“货物”系指卖方根据本合同规定须向买方提供的一切产品、部件或其它材料。</w:t>
      </w:r>
    </w:p>
    <w:p>
      <w:pPr>
        <w:spacing w:line="480" w:lineRule="exact"/>
        <w:ind w:firstLine="480" w:firstLineChars="200"/>
        <w:rPr>
          <w:rFonts w:ascii="宋体" w:hAnsi="宋体"/>
          <w:szCs w:val="24"/>
        </w:rPr>
      </w:pPr>
      <w:r>
        <w:rPr>
          <w:rFonts w:hint="eastAsia" w:ascii="宋体" w:hAnsi="宋体"/>
          <w:szCs w:val="24"/>
          <w:lang w:val="en-US" w:eastAsia="zh-CN"/>
        </w:rPr>
        <w:t>1.4</w:t>
      </w:r>
      <w:r>
        <w:rPr>
          <w:rFonts w:ascii="宋体" w:hAnsi="宋体"/>
          <w:szCs w:val="24"/>
        </w:rPr>
        <w:t>“服务”系指根据本合同规定卖方承担与供货有关的辅助服务如运输、保险以及其它的伴随服务，例如调试、提供技术援助、培训和合同中规定卖方应承担的其它义务。</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.5</w:t>
      </w:r>
      <w:r>
        <w:rPr>
          <w:rFonts w:ascii="宋体" w:hAnsi="宋体"/>
          <w:szCs w:val="24"/>
        </w:rPr>
        <w:t>“</w:t>
      </w:r>
      <w:r>
        <w:rPr>
          <w:rFonts w:ascii="宋体" w:hAnsi="宋体"/>
          <w:kern w:val="0"/>
          <w:szCs w:val="24"/>
        </w:rPr>
        <w:t>项目现场”系指本合同项下货物安装、运行的场地。</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.6</w:t>
      </w:r>
      <w:r>
        <w:rPr>
          <w:rFonts w:ascii="宋体" w:hAnsi="宋体"/>
          <w:szCs w:val="24"/>
        </w:rPr>
        <w:t>“合同条款”系指本合同条款。</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.7</w:t>
      </w:r>
      <w:r>
        <w:rPr>
          <w:rFonts w:ascii="宋体" w:hAnsi="宋体"/>
          <w:szCs w:val="24"/>
        </w:rPr>
        <w:t>“买方”是指购买货物的单位即</w:t>
      </w:r>
      <w:r>
        <w:rPr>
          <w:rFonts w:hint="eastAsia" w:ascii="宋体" w:hAnsi="宋体" w:cs="宋体"/>
          <w:color w:val="auto"/>
          <w:highlight w:val="none"/>
          <w:lang w:eastAsia="zh-CN"/>
        </w:rPr>
        <w:t>黄龙县人民医院（黄龙县120急救服务中心）</w:t>
      </w:r>
      <w:r>
        <w:rPr>
          <w:rFonts w:ascii="宋体" w:hAnsi="宋体"/>
          <w:szCs w:val="24"/>
        </w:rPr>
        <w:t>。</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.8</w:t>
      </w:r>
      <w:r>
        <w:rPr>
          <w:rFonts w:ascii="宋体" w:hAnsi="宋体"/>
          <w:szCs w:val="24"/>
        </w:rPr>
        <w:t>“卖方”是指提供本合同内的货物的</w:t>
      </w:r>
      <w:r>
        <w:rPr>
          <w:rFonts w:hint="eastAsia" w:ascii="宋体" w:hAnsi="宋体"/>
          <w:szCs w:val="24"/>
        </w:rPr>
        <w:t>法人或其他组织</w:t>
      </w:r>
      <w:r>
        <w:rPr>
          <w:rFonts w:ascii="宋体" w:hAnsi="宋体"/>
          <w:szCs w:val="24"/>
        </w:rPr>
        <w:t>即中标人。</w:t>
      </w:r>
    </w:p>
    <w:p>
      <w:pPr>
        <w:spacing w:line="480" w:lineRule="exact"/>
        <w:ind w:firstLine="480" w:firstLineChars="200"/>
        <w:rPr>
          <w:rFonts w:ascii="宋体" w:hAnsi="宋体"/>
          <w:szCs w:val="24"/>
        </w:rPr>
      </w:pPr>
      <w:r>
        <w:rPr>
          <w:rFonts w:ascii="宋体" w:hAnsi="宋体"/>
          <w:szCs w:val="24"/>
        </w:rPr>
        <w:t>1</w:t>
      </w:r>
      <w:r>
        <w:rPr>
          <w:rFonts w:hint="eastAsia" w:ascii="宋体" w:hAnsi="宋体"/>
          <w:szCs w:val="24"/>
          <w:lang w:val="en-US" w:eastAsia="zh-CN"/>
        </w:rPr>
        <w:t>.9</w:t>
      </w:r>
      <w:r>
        <w:rPr>
          <w:rFonts w:ascii="宋体" w:hAnsi="宋体"/>
          <w:szCs w:val="24"/>
        </w:rPr>
        <w:t>“天”指日历天数。</w:t>
      </w:r>
    </w:p>
    <w:p>
      <w:pPr>
        <w:spacing w:line="480" w:lineRule="exact"/>
        <w:ind w:firstLine="480" w:firstLineChars="200"/>
        <w:rPr>
          <w:rFonts w:ascii="宋体" w:hAnsi="宋体"/>
          <w:szCs w:val="24"/>
        </w:rPr>
      </w:pPr>
      <w:r>
        <w:rPr>
          <w:rFonts w:ascii="宋体" w:hAnsi="宋体"/>
          <w:szCs w:val="24"/>
        </w:rPr>
        <w:t>2</w:t>
      </w:r>
      <w:r>
        <w:rPr>
          <w:rFonts w:hint="eastAsia" w:ascii="宋体" w:hAnsi="宋体"/>
          <w:szCs w:val="24"/>
          <w:lang w:val="en-US" w:eastAsia="zh-CN"/>
        </w:rPr>
        <w:t>.</w:t>
      </w:r>
      <w:r>
        <w:rPr>
          <w:rFonts w:ascii="宋体" w:hAnsi="宋体"/>
          <w:szCs w:val="24"/>
        </w:rPr>
        <w:t>适用性</w:t>
      </w:r>
    </w:p>
    <w:p>
      <w:pPr>
        <w:spacing w:line="480" w:lineRule="exact"/>
        <w:ind w:firstLine="480" w:firstLineChars="200"/>
        <w:rPr>
          <w:rFonts w:ascii="宋体" w:hAnsi="宋体"/>
          <w:szCs w:val="24"/>
        </w:rPr>
      </w:pPr>
      <w:r>
        <w:rPr>
          <w:rFonts w:ascii="宋体" w:hAnsi="宋体"/>
          <w:szCs w:val="24"/>
        </w:rPr>
        <w:t>本合同条款适用于没有被本项目招标文件规定条款、卖方的投标文件承诺条款所取代的范围。</w:t>
      </w:r>
    </w:p>
    <w:p>
      <w:pPr>
        <w:spacing w:line="480" w:lineRule="exact"/>
        <w:ind w:firstLine="480" w:firstLineChars="200"/>
        <w:rPr>
          <w:rFonts w:ascii="宋体" w:hAnsi="宋体"/>
          <w:szCs w:val="24"/>
        </w:rPr>
      </w:pPr>
      <w:r>
        <w:rPr>
          <w:rFonts w:ascii="宋体" w:hAnsi="宋体"/>
          <w:kern w:val="0"/>
          <w:szCs w:val="24"/>
        </w:rPr>
        <w:t>3</w:t>
      </w:r>
      <w:r>
        <w:rPr>
          <w:rFonts w:hint="eastAsia" w:ascii="宋体" w:hAnsi="宋体"/>
          <w:kern w:val="0"/>
          <w:szCs w:val="24"/>
          <w:lang w:val="en-US" w:eastAsia="zh-CN"/>
        </w:rPr>
        <w:t>.</w:t>
      </w:r>
      <w:r>
        <w:rPr>
          <w:rFonts w:ascii="宋体" w:hAnsi="宋体"/>
          <w:szCs w:val="24"/>
        </w:rPr>
        <w:t>使用合同文件和资料</w:t>
      </w:r>
    </w:p>
    <w:p>
      <w:pPr>
        <w:spacing w:line="480" w:lineRule="exact"/>
        <w:ind w:firstLine="480" w:firstLineChars="200"/>
        <w:rPr>
          <w:rFonts w:ascii="宋体" w:hAnsi="宋体"/>
          <w:szCs w:val="24"/>
        </w:rPr>
      </w:pPr>
      <w:r>
        <w:rPr>
          <w:rFonts w:ascii="宋体" w:hAnsi="宋体"/>
          <w:szCs w:val="24"/>
        </w:rPr>
        <w:t>3</w:t>
      </w:r>
      <w:r>
        <w:rPr>
          <w:rFonts w:hint="eastAsia" w:ascii="宋体" w:hAnsi="宋体"/>
          <w:szCs w:val="24"/>
          <w:lang w:val="en-US" w:eastAsia="zh-CN"/>
        </w:rPr>
        <w:t>.1</w:t>
      </w:r>
      <w:r>
        <w:rPr>
          <w:rFonts w:ascii="宋体" w:hAnsi="宋体"/>
          <w:szCs w:val="24"/>
        </w:rPr>
        <w:t>没有买方事先书面同意，卖方不得将买方或代表买方提供的有关合同或任何合同条文、规格、计划、图纸、模型或资料提供给与履行本合同无关的任何其他人，即使向与履行本合同有关的人员提供，也应注意保密并限于履行合同必须的范围。</w:t>
      </w:r>
    </w:p>
    <w:p>
      <w:pPr>
        <w:spacing w:line="480" w:lineRule="exact"/>
        <w:ind w:firstLine="480" w:firstLineChars="200"/>
        <w:rPr>
          <w:rFonts w:ascii="宋体" w:hAnsi="宋体"/>
          <w:szCs w:val="24"/>
        </w:rPr>
      </w:pPr>
      <w:r>
        <w:rPr>
          <w:rFonts w:ascii="宋体" w:hAnsi="宋体"/>
          <w:szCs w:val="24"/>
        </w:rPr>
        <w:t>3</w:t>
      </w:r>
      <w:r>
        <w:rPr>
          <w:rFonts w:hint="eastAsia" w:ascii="宋体" w:hAnsi="宋体"/>
          <w:szCs w:val="24"/>
          <w:lang w:val="en-US" w:eastAsia="zh-CN"/>
        </w:rPr>
        <w:t>.2</w:t>
      </w:r>
      <w:r>
        <w:rPr>
          <w:rFonts w:ascii="宋体" w:hAnsi="宋体"/>
          <w:szCs w:val="24"/>
        </w:rPr>
        <w:t>没有买方事先书面同意，除了履行本合同之外，卖方不应使用合同条款第3-1条所列举的任何文件和资料。</w:t>
      </w:r>
    </w:p>
    <w:p>
      <w:pPr>
        <w:spacing w:line="480" w:lineRule="exact"/>
        <w:ind w:firstLine="480" w:firstLineChars="200"/>
        <w:rPr>
          <w:rFonts w:ascii="宋体" w:hAnsi="宋体"/>
          <w:szCs w:val="24"/>
        </w:rPr>
      </w:pPr>
      <w:r>
        <w:rPr>
          <w:rFonts w:ascii="宋体" w:hAnsi="宋体"/>
          <w:szCs w:val="24"/>
        </w:rPr>
        <w:t>3</w:t>
      </w:r>
      <w:r>
        <w:rPr>
          <w:rFonts w:hint="eastAsia" w:ascii="宋体" w:hAnsi="宋体"/>
          <w:szCs w:val="24"/>
          <w:lang w:val="en-US" w:eastAsia="zh-CN"/>
        </w:rPr>
        <w:t>.3</w:t>
      </w:r>
      <w:r>
        <w:rPr>
          <w:rFonts w:ascii="宋体" w:hAnsi="宋体"/>
          <w:szCs w:val="24"/>
        </w:rPr>
        <w:t>除了合同本身以外，合同条款第3</w:t>
      </w:r>
      <w:r>
        <w:rPr>
          <w:rFonts w:hint="eastAsia" w:ascii="宋体" w:hAnsi="宋体"/>
          <w:szCs w:val="24"/>
          <w:lang w:val="en-US" w:eastAsia="zh-CN"/>
        </w:rPr>
        <w:t>.1</w:t>
      </w:r>
      <w:r>
        <w:rPr>
          <w:rFonts w:ascii="宋体" w:hAnsi="宋体"/>
          <w:szCs w:val="24"/>
        </w:rPr>
        <w:t>条所列举的任何文件是买方的财产。如果买方有要求，卖方在完成合同后应将这些文件及全部复制件还给买方。</w:t>
      </w:r>
    </w:p>
    <w:p>
      <w:pPr>
        <w:spacing w:line="480" w:lineRule="exact"/>
        <w:ind w:firstLine="480" w:firstLineChars="200"/>
        <w:rPr>
          <w:rFonts w:ascii="宋体" w:hAnsi="宋体"/>
          <w:szCs w:val="24"/>
        </w:rPr>
      </w:pPr>
      <w:r>
        <w:rPr>
          <w:rFonts w:ascii="宋体" w:hAnsi="宋体"/>
          <w:szCs w:val="24"/>
        </w:rPr>
        <w:t>4</w:t>
      </w:r>
      <w:r>
        <w:rPr>
          <w:rFonts w:hint="eastAsia" w:ascii="宋体" w:hAnsi="宋体"/>
          <w:szCs w:val="24"/>
          <w:lang w:val="en-US" w:eastAsia="zh-CN"/>
        </w:rPr>
        <w:t>.</w:t>
      </w:r>
      <w:r>
        <w:rPr>
          <w:rFonts w:ascii="宋体" w:hAnsi="宋体"/>
          <w:szCs w:val="24"/>
        </w:rPr>
        <w:t>专利权</w:t>
      </w:r>
    </w:p>
    <w:p>
      <w:pPr>
        <w:spacing w:line="480" w:lineRule="exact"/>
        <w:ind w:firstLine="480" w:firstLineChars="200"/>
        <w:rPr>
          <w:rFonts w:ascii="宋体" w:hAnsi="宋体"/>
          <w:szCs w:val="24"/>
        </w:rPr>
      </w:pPr>
      <w:r>
        <w:rPr>
          <w:rFonts w:ascii="宋体" w:hAnsi="宋体"/>
          <w:szCs w:val="24"/>
        </w:rPr>
        <w:t>卖方应保证，买方在使用该产品或产品的任何一部分，免受第三方提出的侵犯（其专利权）、商标权、著作权或其它知识产权的起诉。</w:t>
      </w:r>
    </w:p>
    <w:p>
      <w:pPr>
        <w:spacing w:line="480" w:lineRule="exact"/>
        <w:ind w:firstLine="480" w:firstLineChars="200"/>
        <w:rPr>
          <w:rFonts w:ascii="宋体" w:hAnsi="宋体"/>
          <w:szCs w:val="24"/>
        </w:rPr>
      </w:pPr>
      <w:r>
        <w:rPr>
          <w:rFonts w:ascii="宋体" w:hAnsi="宋体"/>
          <w:szCs w:val="24"/>
        </w:rPr>
        <w:t>5</w:t>
      </w:r>
      <w:r>
        <w:rPr>
          <w:rFonts w:hint="eastAsia" w:ascii="宋体" w:hAnsi="宋体"/>
          <w:szCs w:val="24"/>
          <w:lang w:val="en-US" w:eastAsia="zh-CN"/>
        </w:rPr>
        <w:t>.</w:t>
      </w:r>
      <w:r>
        <w:rPr>
          <w:rFonts w:ascii="宋体" w:hAnsi="宋体"/>
          <w:szCs w:val="24"/>
        </w:rPr>
        <w:t>技术规格</w:t>
      </w:r>
    </w:p>
    <w:p>
      <w:pPr>
        <w:spacing w:line="480" w:lineRule="exact"/>
        <w:ind w:firstLine="480" w:firstLineChars="200"/>
        <w:rPr>
          <w:rFonts w:ascii="宋体" w:hAnsi="宋体"/>
          <w:szCs w:val="24"/>
        </w:rPr>
      </w:pPr>
      <w:r>
        <w:rPr>
          <w:rFonts w:ascii="宋体" w:hAnsi="宋体"/>
          <w:szCs w:val="24"/>
        </w:rPr>
        <w:t>本合同下交付的货物必须等同或优于本项目招标文件《技术规格与要求》所述的标准。若卖方在其投标文件中承诺的技术标准优于本项目招标文件《技术规格与要求》所述标准的，按投标文件的承诺执行。</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w:t>
      </w:r>
      <w:r>
        <w:rPr>
          <w:rFonts w:ascii="宋体" w:hAnsi="宋体"/>
          <w:szCs w:val="24"/>
        </w:rPr>
        <w:t>检验和测试</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.1</w:t>
      </w:r>
      <w:r>
        <w:rPr>
          <w:rFonts w:ascii="宋体" w:hAnsi="宋体"/>
          <w:szCs w:val="24"/>
        </w:rPr>
        <w:t>买方或其代表应有权检验和测试产品及其部件，以确认所供产品是否符合合同规格的要求，并且不承担额外的费用。买方要求进行的检验和测试，以及在何处进行这些检验和测试，以书面形式通知卖方。</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.2</w:t>
      </w:r>
      <w:r>
        <w:rPr>
          <w:rFonts w:ascii="宋体" w:hAnsi="宋体"/>
          <w:szCs w:val="24"/>
        </w:rPr>
        <w:t>检验和测试在买方指定的交货地点进行。</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.3</w:t>
      </w:r>
      <w:r>
        <w:rPr>
          <w:rFonts w:ascii="宋体" w:hAnsi="宋体"/>
          <w:szCs w:val="24"/>
        </w:rPr>
        <w:t>如果任何被检验或测试的产品或部件不能满足招标文件及合同的要求，买方可以拒绝接受该产品或部件，卖方应更换被拒绝的产品或部件，或者免费进行必要的修改以满足规格的要求。</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.4</w:t>
      </w:r>
      <w:r>
        <w:rPr>
          <w:rFonts w:ascii="宋体" w:hAnsi="宋体"/>
          <w:szCs w:val="24"/>
        </w:rPr>
        <w:t>在交货前，卖方应让制造商对产品及其部件的质量、规格、性能、数量和重量等进行详细而全面的检验，并出具一份证明符合合同规定的检验证书，检验证书是验收文件的一个组成部分，但不能作为有关质量、规格、性能、数量和重量的最终检验，制造商检验的结果和细节应附在质量检验证书后面。</w:t>
      </w:r>
    </w:p>
    <w:p>
      <w:pPr>
        <w:spacing w:line="480" w:lineRule="exact"/>
        <w:ind w:firstLine="480" w:firstLineChars="200"/>
        <w:rPr>
          <w:rFonts w:ascii="宋体" w:hAnsi="宋体"/>
          <w:szCs w:val="24"/>
        </w:rPr>
      </w:pPr>
      <w:r>
        <w:rPr>
          <w:rFonts w:ascii="宋体" w:hAnsi="宋体"/>
          <w:szCs w:val="24"/>
        </w:rPr>
        <w:t>6</w:t>
      </w:r>
      <w:r>
        <w:rPr>
          <w:rFonts w:hint="eastAsia" w:ascii="宋体" w:hAnsi="宋体"/>
          <w:szCs w:val="24"/>
          <w:lang w:val="en-US" w:eastAsia="zh-CN"/>
        </w:rPr>
        <w:t>.5</w:t>
      </w:r>
      <w:r>
        <w:rPr>
          <w:rFonts w:ascii="宋体" w:hAnsi="宋体"/>
          <w:szCs w:val="24"/>
        </w:rPr>
        <w:t>如果在产品使用寿命期内，根据检验结果，发现产品的质量或规格与合同要求不符，或被证实有缺陷，包含潜在的缺陷或使用不合适的材料，买方应向卖方提出索赔。</w:t>
      </w:r>
    </w:p>
    <w:p>
      <w:pPr>
        <w:spacing w:line="480" w:lineRule="exact"/>
        <w:ind w:firstLine="480" w:firstLineChars="200"/>
        <w:rPr>
          <w:rFonts w:ascii="宋体" w:hAnsi="宋体"/>
          <w:szCs w:val="24"/>
        </w:rPr>
      </w:pPr>
      <w:r>
        <w:rPr>
          <w:rFonts w:ascii="宋体" w:hAnsi="宋体"/>
          <w:szCs w:val="24"/>
        </w:rPr>
        <w:t>7</w:t>
      </w:r>
      <w:r>
        <w:rPr>
          <w:rFonts w:hint="eastAsia" w:ascii="宋体" w:hAnsi="宋体"/>
          <w:szCs w:val="24"/>
          <w:lang w:val="en-US" w:eastAsia="zh-CN"/>
        </w:rPr>
        <w:t>.</w:t>
      </w:r>
      <w:r>
        <w:rPr>
          <w:rFonts w:ascii="宋体" w:hAnsi="宋体"/>
          <w:szCs w:val="24"/>
        </w:rPr>
        <w:t>包装及运输</w:t>
      </w:r>
    </w:p>
    <w:p>
      <w:pPr>
        <w:spacing w:line="480" w:lineRule="exact"/>
        <w:ind w:firstLine="480" w:firstLineChars="200"/>
        <w:rPr>
          <w:rFonts w:ascii="宋体" w:hAnsi="宋体"/>
          <w:szCs w:val="24"/>
        </w:rPr>
      </w:pPr>
      <w:r>
        <w:rPr>
          <w:rFonts w:ascii="宋体" w:hAnsi="宋体"/>
          <w:szCs w:val="24"/>
        </w:rPr>
        <w:t>7</w:t>
      </w:r>
      <w:r>
        <w:rPr>
          <w:rFonts w:hint="eastAsia" w:ascii="宋体" w:hAnsi="宋体"/>
          <w:szCs w:val="24"/>
          <w:lang w:val="en-US" w:eastAsia="zh-CN"/>
        </w:rPr>
        <w:t>.1</w:t>
      </w:r>
      <w:r>
        <w:rPr>
          <w:rFonts w:ascii="宋体" w:hAnsi="宋体"/>
          <w:szCs w:val="24"/>
        </w:rPr>
        <w:t>卖方负责货物到达交货地点前的所有包装、运输、装卸及保险事项，相关费用应包括在合同总价中。</w:t>
      </w:r>
    </w:p>
    <w:p>
      <w:pPr>
        <w:spacing w:line="480" w:lineRule="exact"/>
        <w:ind w:firstLine="480" w:firstLineChars="200"/>
        <w:rPr>
          <w:rFonts w:ascii="宋体" w:hAnsi="宋体"/>
          <w:szCs w:val="24"/>
        </w:rPr>
      </w:pPr>
      <w:r>
        <w:rPr>
          <w:rFonts w:ascii="宋体" w:hAnsi="宋体"/>
          <w:szCs w:val="24"/>
        </w:rPr>
        <w:t>7</w:t>
      </w:r>
      <w:r>
        <w:rPr>
          <w:rFonts w:hint="eastAsia" w:ascii="宋体" w:hAnsi="宋体"/>
          <w:szCs w:val="24"/>
          <w:lang w:val="en-US" w:eastAsia="zh-CN"/>
        </w:rPr>
        <w:t>.2</w:t>
      </w:r>
      <w:r>
        <w:rPr>
          <w:rFonts w:ascii="宋体" w:hAnsi="宋体"/>
          <w:szCs w:val="24"/>
        </w:rPr>
        <w:t>卖方应提供货物运至合同规定的最终目的地所需要的包装，以防止货物在运转中损坏。这类包装应采取防漏、防晒、防腐蚀、防震动及防止其它损坏的必要保护措施。卖方应承担由于其包装或其防护措施不妥而引起货物锈蚀、损坏和丢失的任何损失责任和费用。</w:t>
      </w:r>
    </w:p>
    <w:p>
      <w:pPr>
        <w:spacing w:line="480" w:lineRule="exact"/>
        <w:ind w:firstLine="480" w:firstLineChars="200"/>
        <w:rPr>
          <w:rFonts w:ascii="宋体" w:hAnsi="宋体"/>
          <w:szCs w:val="24"/>
        </w:rPr>
      </w:pPr>
      <w:r>
        <w:rPr>
          <w:rFonts w:ascii="宋体" w:hAnsi="宋体"/>
          <w:szCs w:val="24"/>
        </w:rPr>
        <w:t>7</w:t>
      </w:r>
      <w:r>
        <w:rPr>
          <w:rFonts w:hint="eastAsia" w:ascii="宋体" w:hAnsi="宋体"/>
          <w:szCs w:val="24"/>
          <w:lang w:val="en-US" w:eastAsia="zh-CN"/>
        </w:rPr>
        <w:t>.3</w:t>
      </w:r>
      <w:r>
        <w:rPr>
          <w:rFonts w:ascii="宋体" w:hAnsi="宋体"/>
          <w:szCs w:val="24"/>
        </w:rPr>
        <w:t xml:space="preserve">货物的运输方式由卖方自行选择，但包装必须满足货物运输和装卸的要求，保证买方收到的是无任何损伤的货物。否则，因此造成的损失由卖方自行承担。 </w:t>
      </w:r>
    </w:p>
    <w:p>
      <w:pPr>
        <w:spacing w:line="480" w:lineRule="exact"/>
        <w:ind w:firstLine="480" w:firstLineChars="200"/>
        <w:rPr>
          <w:rFonts w:ascii="宋体" w:hAnsi="宋体"/>
          <w:szCs w:val="24"/>
        </w:rPr>
      </w:pPr>
      <w:r>
        <w:rPr>
          <w:rFonts w:ascii="宋体" w:hAnsi="宋体"/>
          <w:szCs w:val="24"/>
        </w:rPr>
        <w:t>8</w:t>
      </w:r>
      <w:r>
        <w:rPr>
          <w:rFonts w:hint="eastAsia" w:ascii="宋体" w:hAnsi="宋体"/>
          <w:szCs w:val="24"/>
          <w:lang w:val="en-US" w:eastAsia="zh-CN"/>
        </w:rPr>
        <w:t>.</w:t>
      </w:r>
      <w:r>
        <w:rPr>
          <w:rFonts w:ascii="宋体" w:hAnsi="宋体"/>
          <w:szCs w:val="24"/>
        </w:rPr>
        <w:t>伴随服务</w:t>
      </w:r>
    </w:p>
    <w:p>
      <w:pPr>
        <w:spacing w:line="480" w:lineRule="exact"/>
        <w:ind w:firstLine="480" w:firstLineChars="200"/>
        <w:rPr>
          <w:rFonts w:ascii="宋体" w:hAnsi="宋体"/>
          <w:szCs w:val="24"/>
        </w:rPr>
      </w:pPr>
      <w:r>
        <w:rPr>
          <w:rFonts w:ascii="宋体" w:hAnsi="宋体"/>
          <w:kern w:val="0"/>
          <w:szCs w:val="24"/>
        </w:rPr>
        <w:t>8</w:t>
      </w:r>
      <w:r>
        <w:rPr>
          <w:rFonts w:hint="eastAsia" w:ascii="宋体" w:hAnsi="宋体"/>
          <w:kern w:val="0"/>
          <w:szCs w:val="24"/>
          <w:lang w:val="en-US" w:eastAsia="zh-CN"/>
        </w:rPr>
        <w:t>.1</w:t>
      </w:r>
      <w:r>
        <w:rPr>
          <w:rFonts w:ascii="宋体" w:hAnsi="宋体"/>
          <w:kern w:val="0"/>
          <w:szCs w:val="24"/>
        </w:rPr>
        <w:t>卖方必须在合同生效后三十 (30)天内向买方提交所供货物的技术文件（中文技术文件），例如：产品说明、图纸、操作手册、使用说明、维护手册和／或服务指南等。</w:t>
      </w:r>
    </w:p>
    <w:p>
      <w:pPr>
        <w:spacing w:line="480" w:lineRule="exact"/>
        <w:ind w:firstLine="480" w:firstLineChars="200"/>
        <w:rPr>
          <w:rFonts w:ascii="宋体" w:hAnsi="宋体"/>
          <w:kern w:val="0"/>
          <w:szCs w:val="24"/>
        </w:rPr>
      </w:pPr>
      <w:r>
        <w:rPr>
          <w:rFonts w:ascii="宋体" w:hAnsi="宋体"/>
          <w:kern w:val="0"/>
          <w:szCs w:val="24"/>
        </w:rPr>
        <w:t>8</w:t>
      </w:r>
      <w:r>
        <w:rPr>
          <w:rFonts w:hint="eastAsia" w:ascii="宋体" w:hAnsi="宋体"/>
          <w:kern w:val="0"/>
          <w:szCs w:val="24"/>
          <w:lang w:val="en-US" w:eastAsia="zh-CN"/>
        </w:rPr>
        <w:t>.2</w:t>
      </w:r>
      <w:r>
        <w:rPr>
          <w:rFonts w:ascii="宋体" w:hAnsi="宋体"/>
          <w:kern w:val="0"/>
          <w:szCs w:val="24"/>
        </w:rPr>
        <w:t>卖方应向买方提供下列所有服务，包括本项目招标文件“商务条款”与“技术规格与要求”中规定的附加服务（如果有的话）：</w:t>
      </w:r>
    </w:p>
    <w:p>
      <w:pPr>
        <w:spacing w:line="480" w:lineRule="exact"/>
        <w:ind w:firstLine="480" w:firstLineChars="200"/>
        <w:rPr>
          <w:rFonts w:ascii="宋体" w:hAnsi="宋体"/>
          <w:szCs w:val="24"/>
        </w:rPr>
      </w:pPr>
      <w:r>
        <w:rPr>
          <w:rFonts w:hint="eastAsia" w:ascii="宋体" w:hAnsi="宋体"/>
          <w:kern w:val="0"/>
          <w:szCs w:val="24"/>
          <w:lang w:val="en-US" w:eastAsia="zh-CN"/>
        </w:rPr>
        <w:t>8.2.1</w:t>
      </w:r>
      <w:r>
        <w:rPr>
          <w:rFonts w:ascii="宋体" w:hAnsi="宋体"/>
          <w:kern w:val="0"/>
          <w:szCs w:val="24"/>
        </w:rPr>
        <w:t>实施或监督所供货物的现场组装 和/或试运行；</w:t>
      </w:r>
    </w:p>
    <w:p>
      <w:pPr>
        <w:spacing w:line="480" w:lineRule="exact"/>
        <w:ind w:firstLine="480" w:firstLineChars="200"/>
        <w:rPr>
          <w:rFonts w:ascii="宋体" w:hAnsi="宋体"/>
          <w:szCs w:val="24"/>
        </w:rPr>
      </w:pPr>
      <w:r>
        <w:rPr>
          <w:rFonts w:hint="eastAsia" w:ascii="宋体" w:hAnsi="宋体"/>
          <w:kern w:val="0"/>
          <w:szCs w:val="24"/>
          <w:lang w:val="en-US" w:eastAsia="zh-CN"/>
        </w:rPr>
        <w:t>8.2.2</w:t>
      </w:r>
      <w:r>
        <w:rPr>
          <w:rFonts w:ascii="宋体" w:hAnsi="宋体"/>
          <w:kern w:val="0"/>
          <w:szCs w:val="24"/>
        </w:rPr>
        <w:t>提供货物组装 和/或 维修所需的工具；</w:t>
      </w:r>
    </w:p>
    <w:p>
      <w:pPr>
        <w:spacing w:line="480" w:lineRule="exact"/>
        <w:ind w:firstLine="480" w:firstLineChars="200"/>
        <w:rPr>
          <w:rFonts w:ascii="宋体" w:hAnsi="宋体"/>
          <w:szCs w:val="24"/>
        </w:rPr>
      </w:pPr>
      <w:r>
        <w:rPr>
          <w:rFonts w:hint="eastAsia" w:ascii="宋体" w:hAnsi="宋体"/>
          <w:kern w:val="0"/>
          <w:szCs w:val="24"/>
          <w:lang w:val="en-US" w:eastAsia="zh-CN"/>
        </w:rPr>
        <w:t>8.2.3</w:t>
      </w:r>
      <w:r>
        <w:rPr>
          <w:rFonts w:ascii="宋体" w:hAnsi="宋体"/>
          <w:kern w:val="0"/>
          <w:szCs w:val="24"/>
        </w:rPr>
        <w:t>为所供货物的每一适当的单台设备提供详细的操作和维护手册；</w:t>
      </w:r>
    </w:p>
    <w:p>
      <w:pPr>
        <w:spacing w:line="480" w:lineRule="exact"/>
        <w:ind w:firstLine="480" w:firstLineChars="200"/>
        <w:rPr>
          <w:rFonts w:ascii="宋体" w:hAnsi="宋体"/>
          <w:szCs w:val="24"/>
        </w:rPr>
      </w:pPr>
      <w:r>
        <w:rPr>
          <w:rFonts w:hint="eastAsia" w:ascii="宋体" w:hAnsi="宋体"/>
          <w:kern w:val="0"/>
          <w:szCs w:val="24"/>
          <w:lang w:val="en-US" w:eastAsia="zh-CN"/>
        </w:rPr>
        <w:t>8.2.4</w:t>
      </w:r>
      <w:r>
        <w:rPr>
          <w:rFonts w:ascii="宋体" w:hAnsi="宋体"/>
          <w:kern w:val="0"/>
          <w:szCs w:val="24"/>
        </w:rPr>
        <w:t xml:space="preserve">在双方商定的一定期限内对所供货物实施运行或监督或维护或修理，但前提条件是该服务并不能免除卖方在合同保证期内所承担的义务；  </w:t>
      </w:r>
    </w:p>
    <w:p>
      <w:pPr>
        <w:spacing w:line="480" w:lineRule="exact"/>
        <w:ind w:firstLine="480" w:firstLineChars="200"/>
        <w:rPr>
          <w:rFonts w:ascii="宋体" w:hAnsi="宋体"/>
          <w:szCs w:val="24"/>
        </w:rPr>
      </w:pPr>
      <w:r>
        <w:rPr>
          <w:rFonts w:hint="eastAsia" w:ascii="宋体" w:hAnsi="宋体"/>
          <w:kern w:val="0"/>
          <w:szCs w:val="24"/>
          <w:lang w:val="en-US" w:eastAsia="zh-CN"/>
        </w:rPr>
        <w:t>8.2.5</w:t>
      </w:r>
      <w:r>
        <w:rPr>
          <w:rFonts w:ascii="宋体" w:hAnsi="宋体"/>
          <w:kern w:val="0"/>
          <w:szCs w:val="24"/>
        </w:rPr>
        <w:t>在卖方或制造厂和/或在项目现场就所供货物的组装、试运行、运行、维护和/或修理、软硬件升级对买方人员进行培训。</w:t>
      </w:r>
    </w:p>
    <w:p>
      <w:pPr>
        <w:spacing w:line="480" w:lineRule="exact"/>
        <w:ind w:firstLine="480" w:firstLineChars="200"/>
        <w:rPr>
          <w:rFonts w:ascii="宋体" w:hAnsi="宋体"/>
          <w:szCs w:val="24"/>
        </w:rPr>
      </w:pPr>
      <w:r>
        <w:rPr>
          <w:rFonts w:hint="eastAsia" w:ascii="宋体" w:hAnsi="宋体"/>
          <w:kern w:val="0"/>
          <w:szCs w:val="24"/>
          <w:lang w:val="en-US" w:eastAsia="zh-CN"/>
        </w:rPr>
        <w:t>8.3</w:t>
      </w:r>
      <w:r>
        <w:rPr>
          <w:rFonts w:ascii="宋体" w:hAnsi="宋体"/>
          <w:kern w:val="0"/>
          <w:szCs w:val="24"/>
        </w:rPr>
        <w:t>卖方应提供本项目招标文件“商务条款”和“技术规格与要求”中规定的所有服务。为履行要求的伴随服务的报价或双方商定的费用应包括在合同价中。</w:t>
      </w:r>
    </w:p>
    <w:p>
      <w:pPr>
        <w:spacing w:line="480" w:lineRule="exact"/>
        <w:ind w:firstLine="480" w:firstLineChars="200"/>
        <w:rPr>
          <w:rFonts w:ascii="宋体" w:hAnsi="宋体"/>
          <w:kern w:val="0"/>
          <w:szCs w:val="24"/>
        </w:rPr>
      </w:pPr>
      <w:r>
        <w:rPr>
          <w:rFonts w:ascii="宋体" w:hAnsi="宋体"/>
          <w:kern w:val="0"/>
          <w:szCs w:val="24"/>
        </w:rPr>
        <w:t>8</w:t>
      </w:r>
      <w:r>
        <w:rPr>
          <w:rFonts w:hint="eastAsia" w:ascii="宋体" w:hAnsi="宋体"/>
          <w:kern w:val="0"/>
          <w:szCs w:val="24"/>
          <w:lang w:val="en-US" w:eastAsia="zh-CN"/>
        </w:rPr>
        <w:t>.4</w:t>
      </w:r>
      <w:r>
        <w:rPr>
          <w:rFonts w:ascii="宋体" w:hAnsi="宋体"/>
          <w:kern w:val="0"/>
          <w:szCs w:val="24"/>
        </w:rPr>
        <w:t>如果卖方或制造厂提供的伴随服务的费用未含在货物的合同价中，双方应事先就其达成协议，但其费用单价不应超过卖方向其他人提供类似服务所收取的现行单价。</w:t>
      </w:r>
    </w:p>
    <w:p>
      <w:pPr>
        <w:spacing w:line="480" w:lineRule="exact"/>
        <w:ind w:firstLine="480" w:firstLineChars="200"/>
        <w:rPr>
          <w:rFonts w:ascii="宋体" w:hAnsi="宋体"/>
          <w:szCs w:val="24"/>
        </w:rPr>
      </w:pPr>
      <w:r>
        <w:rPr>
          <w:rFonts w:ascii="宋体" w:hAnsi="宋体"/>
          <w:kern w:val="0"/>
          <w:szCs w:val="24"/>
        </w:rPr>
        <w:t>9</w:t>
      </w:r>
      <w:r>
        <w:rPr>
          <w:rFonts w:hint="eastAsia" w:ascii="宋体" w:hAnsi="宋体"/>
          <w:kern w:val="0"/>
          <w:szCs w:val="24"/>
          <w:lang w:val="en-US" w:eastAsia="zh-CN"/>
        </w:rPr>
        <w:t>.</w:t>
      </w:r>
      <w:r>
        <w:rPr>
          <w:rFonts w:ascii="宋体" w:hAnsi="宋体"/>
          <w:kern w:val="0"/>
          <w:szCs w:val="24"/>
        </w:rPr>
        <w:t>备品备件</w:t>
      </w:r>
    </w:p>
    <w:p>
      <w:pPr>
        <w:spacing w:line="480" w:lineRule="exact"/>
        <w:ind w:firstLine="480" w:firstLineChars="200"/>
        <w:rPr>
          <w:rFonts w:ascii="宋体" w:hAnsi="宋体"/>
          <w:szCs w:val="24"/>
        </w:rPr>
      </w:pPr>
      <w:r>
        <w:rPr>
          <w:rFonts w:ascii="宋体" w:hAnsi="宋体"/>
          <w:kern w:val="0"/>
          <w:szCs w:val="24"/>
        </w:rPr>
        <w:t>9</w:t>
      </w:r>
      <w:r>
        <w:rPr>
          <w:rFonts w:hint="eastAsia" w:ascii="宋体" w:hAnsi="宋体"/>
          <w:kern w:val="0"/>
          <w:szCs w:val="24"/>
          <w:lang w:val="en-US" w:eastAsia="zh-CN"/>
        </w:rPr>
        <w:t>.1</w:t>
      </w:r>
      <w:r>
        <w:rPr>
          <w:rFonts w:ascii="宋体" w:hAnsi="宋体"/>
          <w:kern w:val="0"/>
          <w:szCs w:val="24"/>
        </w:rPr>
        <w:t>卖方可能被要求提供下列与备品备件有关的材料、通知和资料：</w:t>
      </w:r>
    </w:p>
    <w:p>
      <w:pPr>
        <w:spacing w:line="480" w:lineRule="exact"/>
        <w:ind w:firstLine="480" w:firstLineChars="200"/>
        <w:rPr>
          <w:rFonts w:ascii="宋体" w:hAnsi="宋体"/>
          <w:szCs w:val="24"/>
        </w:rPr>
      </w:pPr>
      <w:r>
        <w:rPr>
          <w:rFonts w:hint="eastAsia" w:ascii="宋体" w:hAnsi="宋体"/>
          <w:kern w:val="0"/>
          <w:szCs w:val="24"/>
          <w:lang w:val="en-US" w:eastAsia="zh-CN"/>
        </w:rPr>
        <w:t>9.1.1</w:t>
      </w:r>
      <w:r>
        <w:rPr>
          <w:rFonts w:ascii="宋体" w:hAnsi="宋体"/>
          <w:kern w:val="0"/>
          <w:szCs w:val="24"/>
        </w:rPr>
        <w:t>买方从卖方选购备品备件，但前提条件是该选择并不能免除卖方在合同保证期内所承担的义务；</w:t>
      </w:r>
    </w:p>
    <w:p>
      <w:pPr>
        <w:spacing w:line="480" w:lineRule="exact"/>
        <w:ind w:firstLine="480" w:firstLineChars="200"/>
        <w:rPr>
          <w:rFonts w:ascii="宋体" w:hAnsi="宋体"/>
          <w:szCs w:val="24"/>
        </w:rPr>
      </w:pPr>
      <w:r>
        <w:rPr>
          <w:rFonts w:hint="eastAsia" w:ascii="宋体" w:hAnsi="宋体"/>
          <w:kern w:val="0"/>
          <w:szCs w:val="24"/>
          <w:lang w:val="en-US" w:eastAsia="zh-CN"/>
        </w:rPr>
        <w:t>9.1.2</w:t>
      </w:r>
      <w:r>
        <w:rPr>
          <w:rFonts w:ascii="宋体" w:hAnsi="宋体"/>
          <w:kern w:val="0"/>
          <w:szCs w:val="24"/>
        </w:rPr>
        <w:t>在备品备件停止生产的情况下，卖方应事先将要停止生产的计划通知买方使买方有足够的时间采购所需的备品备件；</w:t>
      </w:r>
    </w:p>
    <w:p>
      <w:pPr>
        <w:spacing w:line="480" w:lineRule="exact"/>
        <w:ind w:firstLine="480" w:firstLineChars="200"/>
        <w:rPr>
          <w:rFonts w:ascii="宋体" w:hAnsi="宋体"/>
          <w:szCs w:val="24"/>
        </w:rPr>
      </w:pPr>
      <w:r>
        <w:rPr>
          <w:rFonts w:hint="eastAsia" w:ascii="宋体" w:hAnsi="宋体"/>
          <w:kern w:val="0"/>
          <w:szCs w:val="24"/>
          <w:lang w:val="en-US" w:eastAsia="zh-CN"/>
        </w:rPr>
        <w:t>9.1.3</w:t>
      </w:r>
      <w:r>
        <w:rPr>
          <w:rFonts w:ascii="宋体" w:hAnsi="宋体"/>
          <w:kern w:val="0"/>
          <w:szCs w:val="24"/>
        </w:rPr>
        <w:t>在备品备件停止生产后，如果买方要求，卖方应免费向买方提供备品备件的蓝图、图纸和规格。</w:t>
      </w:r>
    </w:p>
    <w:p>
      <w:pPr>
        <w:spacing w:line="480" w:lineRule="exact"/>
        <w:ind w:firstLine="480" w:firstLineChars="200"/>
        <w:rPr>
          <w:rFonts w:ascii="宋体" w:hAnsi="宋体"/>
          <w:szCs w:val="24"/>
        </w:rPr>
      </w:pPr>
      <w:r>
        <w:rPr>
          <w:rFonts w:ascii="宋体" w:hAnsi="宋体"/>
          <w:kern w:val="0"/>
          <w:szCs w:val="24"/>
        </w:rPr>
        <w:t>9</w:t>
      </w:r>
      <w:r>
        <w:rPr>
          <w:rFonts w:hint="eastAsia" w:ascii="宋体" w:hAnsi="宋体"/>
          <w:kern w:val="0"/>
          <w:szCs w:val="24"/>
          <w:lang w:val="en-US" w:eastAsia="zh-CN"/>
        </w:rPr>
        <w:t>.2</w:t>
      </w:r>
      <w:r>
        <w:rPr>
          <w:rFonts w:ascii="宋体" w:hAnsi="宋体"/>
          <w:kern w:val="0"/>
          <w:szCs w:val="24"/>
        </w:rPr>
        <w:t>卖方应按照本项目招标文件“商务条款”和“技术规格与要求”中的规定提供所需的备品备件。</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w:t>
      </w:r>
      <w:r>
        <w:rPr>
          <w:rFonts w:ascii="宋体" w:hAnsi="宋体"/>
          <w:kern w:val="0"/>
          <w:szCs w:val="24"/>
        </w:rPr>
        <w:t>质量保证</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.1</w:t>
      </w:r>
      <w:r>
        <w:rPr>
          <w:rFonts w:ascii="宋体" w:hAnsi="宋体"/>
          <w:kern w:val="0"/>
          <w:szCs w:val="24"/>
        </w:rPr>
        <w:t>质量保证期为终验合格之日起</w:t>
      </w:r>
      <w:r>
        <w:rPr>
          <w:rFonts w:ascii="宋体" w:hAnsi="宋体"/>
          <w:kern w:val="0"/>
          <w:szCs w:val="24"/>
          <w:u w:val="single"/>
        </w:rPr>
        <w:t xml:space="preserve">   </w:t>
      </w:r>
      <w:r>
        <w:rPr>
          <w:rFonts w:ascii="宋体" w:hAnsi="宋体"/>
          <w:kern w:val="0"/>
          <w:szCs w:val="24"/>
        </w:rPr>
        <w:t>个月。</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.2</w:t>
      </w:r>
      <w:r>
        <w:rPr>
          <w:rFonts w:ascii="宋体" w:hAnsi="宋体"/>
          <w:kern w:val="0"/>
          <w:szCs w:val="24"/>
        </w:rPr>
        <w:t>卖方应保证合同项下所供货物是合同规定厂家制造的、全新的、未使用过的，并完全符合合同规定的质量、规格和性能要求的合格产品。卖方应保证其货物在正确安装、正常使用和保养条件下，在其使用寿命期内应具有满意的性能。在货物的质量保证期内，卖方对由于设计、工艺或材料的缺陷而产生的故障负责。</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.3</w:t>
      </w:r>
      <w:r>
        <w:rPr>
          <w:rFonts w:ascii="宋体" w:hAnsi="宋体"/>
          <w:kern w:val="0"/>
          <w:szCs w:val="24"/>
        </w:rPr>
        <w:t>根据检验结果或者在质量保证期内，如果货物的数量、质量或规格与合同不符，或证实货物是有缺陷的，包括潜在的缺陷，买方应尽快以书面形式向卖方提出所发现的缺陷。</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.4</w:t>
      </w:r>
      <w:r>
        <w:rPr>
          <w:rFonts w:ascii="宋体" w:hAnsi="宋体"/>
          <w:kern w:val="0"/>
          <w:szCs w:val="24"/>
        </w:rPr>
        <w:t>卖方收到通知后应在招标文件规定的时间内以合理的速度免费维修或更换有缺陷的货物或部件。</w:t>
      </w:r>
    </w:p>
    <w:p>
      <w:pPr>
        <w:spacing w:line="480" w:lineRule="exact"/>
        <w:ind w:firstLine="480" w:firstLineChars="200"/>
        <w:rPr>
          <w:rFonts w:ascii="宋体" w:hAnsi="宋体"/>
          <w:szCs w:val="24"/>
        </w:rPr>
      </w:pPr>
      <w:r>
        <w:rPr>
          <w:rFonts w:ascii="宋体" w:hAnsi="宋体"/>
          <w:kern w:val="0"/>
          <w:szCs w:val="24"/>
        </w:rPr>
        <w:t>10</w:t>
      </w:r>
      <w:r>
        <w:rPr>
          <w:rFonts w:hint="eastAsia" w:ascii="宋体" w:hAnsi="宋体"/>
          <w:kern w:val="0"/>
          <w:szCs w:val="24"/>
          <w:lang w:val="en-US" w:eastAsia="zh-CN"/>
        </w:rPr>
        <w:t>.5</w:t>
      </w:r>
      <w:r>
        <w:rPr>
          <w:rFonts w:ascii="宋体" w:hAnsi="宋体"/>
          <w:kern w:val="0"/>
          <w:szCs w:val="24"/>
        </w:rPr>
        <w:t>如果卖方收到通知后在招标文件规定的时间内没有及时修补缺陷，买方可提出索赔，并可采取必要的补救措施，但其风险和费用将由卖方承担，买方根据合同规定对卖方行使的其他权力不受影响。</w:t>
      </w:r>
    </w:p>
    <w:p>
      <w:pPr>
        <w:autoSpaceDN w:val="0"/>
        <w:adjustRightInd w:val="0"/>
        <w:spacing w:line="480" w:lineRule="exact"/>
        <w:ind w:firstLine="480" w:firstLineChars="200"/>
        <w:rPr>
          <w:rFonts w:ascii="宋体" w:hAnsi="宋体"/>
          <w:kern w:val="0"/>
          <w:szCs w:val="24"/>
        </w:rPr>
      </w:pPr>
      <w:r>
        <w:rPr>
          <w:rFonts w:ascii="宋体" w:hAnsi="宋体"/>
          <w:kern w:val="0"/>
          <w:szCs w:val="24"/>
        </w:rPr>
        <w:t>11</w:t>
      </w:r>
      <w:r>
        <w:rPr>
          <w:rFonts w:hint="eastAsia" w:ascii="宋体" w:hAnsi="宋体"/>
          <w:kern w:val="0"/>
          <w:szCs w:val="24"/>
          <w:lang w:val="en-US" w:eastAsia="zh-CN"/>
        </w:rPr>
        <w:t>.</w:t>
      </w:r>
      <w:r>
        <w:rPr>
          <w:rFonts w:ascii="宋体" w:hAnsi="宋体"/>
          <w:kern w:val="0"/>
          <w:szCs w:val="24"/>
        </w:rPr>
        <w:t>索赔</w:t>
      </w:r>
    </w:p>
    <w:p>
      <w:pPr>
        <w:autoSpaceDN w:val="0"/>
        <w:adjustRightInd w:val="0"/>
        <w:spacing w:line="480" w:lineRule="exact"/>
        <w:ind w:firstLine="480" w:firstLineChars="200"/>
        <w:rPr>
          <w:rFonts w:ascii="宋体" w:hAnsi="宋体"/>
          <w:kern w:val="0"/>
          <w:szCs w:val="24"/>
        </w:rPr>
      </w:pPr>
      <w:r>
        <w:rPr>
          <w:rFonts w:ascii="宋体" w:hAnsi="宋体"/>
          <w:kern w:val="0"/>
          <w:szCs w:val="24"/>
        </w:rPr>
        <w:t>11</w:t>
      </w:r>
      <w:r>
        <w:rPr>
          <w:rFonts w:hint="eastAsia" w:ascii="宋体" w:hAnsi="宋体"/>
          <w:kern w:val="0"/>
          <w:szCs w:val="24"/>
          <w:lang w:val="en-US" w:eastAsia="zh-CN"/>
        </w:rPr>
        <w:t>.1</w:t>
      </w:r>
      <w:r>
        <w:rPr>
          <w:rFonts w:ascii="宋体" w:hAnsi="宋体"/>
          <w:kern w:val="0"/>
          <w:szCs w:val="24"/>
        </w:rPr>
        <w:t>如果卖方对偏差负有责任，而买方在安装、调试、验收和质量保证期内提出了索赔，卖方应按照买方同意的下列一种或几种方式结合起来解决索赔事宜：</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11.1.1</w:t>
      </w:r>
      <w:r>
        <w:rPr>
          <w:rFonts w:ascii="宋体" w:hAnsi="宋体"/>
          <w:kern w:val="0"/>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11.1.2</w:t>
      </w:r>
      <w:r>
        <w:rPr>
          <w:rFonts w:ascii="宋体" w:hAnsi="宋体"/>
          <w:kern w:val="0"/>
          <w:szCs w:val="24"/>
        </w:rPr>
        <w:t>根据货物的偏差情况、损坏程度、以及买方所遭受损失的金额，经买卖双方商定降低货物的价格。</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11.1.3</w:t>
      </w:r>
      <w:r>
        <w:rPr>
          <w:rFonts w:ascii="宋体" w:hAnsi="宋体"/>
          <w:kern w:val="0"/>
          <w:szCs w:val="24"/>
        </w:rPr>
        <w:t>用符合合同规定的规格、质量和性能要求的新零件、部件和/或设备来更换有缺陷的部分和/或修补缺陷部分，卖方应承担一切费用和风险并负担买方蒙受的全部直接损失费用。同时，卖方应按合同条款第10</w:t>
      </w:r>
      <w:r>
        <w:rPr>
          <w:rFonts w:hint="eastAsia" w:ascii="宋体" w:hAnsi="宋体"/>
          <w:kern w:val="0"/>
          <w:szCs w:val="24"/>
          <w:lang w:val="en-US" w:eastAsia="zh-CN"/>
        </w:rPr>
        <w:t>.1</w:t>
      </w:r>
      <w:r>
        <w:rPr>
          <w:rFonts w:ascii="宋体" w:hAnsi="宋体"/>
          <w:kern w:val="0"/>
          <w:szCs w:val="24"/>
        </w:rPr>
        <w:t>条规定，相应延长所更换货物的质量保证期。</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11.2</w:t>
      </w:r>
      <w:r>
        <w:rPr>
          <w:rFonts w:ascii="宋体" w:hAnsi="宋体"/>
          <w:kern w:val="0"/>
          <w:szCs w:val="24"/>
        </w:rPr>
        <w:t>如果在买方发出索赔通知后三十（30）天内，卖方未作答复，上述索赔应视为已被卖方接受。如卖方未能在买方发出索赔通知后三十（30）天内或买方同意的延长期限内，按照买方同意的上述规定的任何一种方法解决索赔事宜，买方将从未付货款或从卖方交纳的履约保证金中扣回索赔金额。若索赔金额超过未付货款或履约保证金的，卖方必须用已收货款进行弥补。</w:t>
      </w:r>
    </w:p>
    <w:p>
      <w:pPr>
        <w:autoSpaceDN w:val="0"/>
        <w:adjustRightInd w:val="0"/>
        <w:spacing w:line="480" w:lineRule="exact"/>
        <w:ind w:firstLine="480" w:firstLineChars="200"/>
        <w:rPr>
          <w:rFonts w:ascii="宋体" w:hAnsi="宋体"/>
          <w:kern w:val="0"/>
          <w:szCs w:val="24"/>
        </w:rPr>
      </w:pPr>
      <w:r>
        <w:rPr>
          <w:rFonts w:ascii="宋体" w:hAnsi="宋体"/>
          <w:kern w:val="0"/>
          <w:szCs w:val="24"/>
        </w:rPr>
        <w:t>12</w:t>
      </w:r>
      <w:r>
        <w:rPr>
          <w:rFonts w:hint="eastAsia" w:ascii="宋体" w:hAnsi="宋体"/>
          <w:kern w:val="0"/>
          <w:szCs w:val="24"/>
          <w:lang w:val="en-US" w:eastAsia="zh-CN"/>
        </w:rPr>
        <w:t>.</w:t>
      </w:r>
      <w:r>
        <w:rPr>
          <w:rFonts w:ascii="宋体" w:hAnsi="宋体"/>
          <w:kern w:val="0"/>
          <w:szCs w:val="24"/>
        </w:rPr>
        <w:t>变更指令</w:t>
      </w:r>
    </w:p>
    <w:p>
      <w:pPr>
        <w:autoSpaceDN w:val="0"/>
        <w:adjustRightInd w:val="0"/>
        <w:spacing w:line="480" w:lineRule="exact"/>
        <w:ind w:firstLine="480" w:firstLineChars="200"/>
        <w:rPr>
          <w:rFonts w:ascii="宋体" w:hAnsi="宋体"/>
          <w:kern w:val="0"/>
          <w:szCs w:val="24"/>
        </w:rPr>
      </w:pPr>
      <w:r>
        <w:rPr>
          <w:rFonts w:ascii="宋体" w:hAnsi="宋体"/>
          <w:kern w:val="0"/>
          <w:szCs w:val="24"/>
        </w:rPr>
        <w:t>12</w:t>
      </w:r>
      <w:r>
        <w:rPr>
          <w:rFonts w:hint="eastAsia" w:ascii="宋体" w:hAnsi="宋体"/>
          <w:kern w:val="0"/>
          <w:szCs w:val="24"/>
          <w:lang w:val="en-US" w:eastAsia="zh-CN"/>
        </w:rPr>
        <w:t>.1</w:t>
      </w:r>
      <w:r>
        <w:rPr>
          <w:rFonts w:ascii="宋体" w:hAnsi="宋体"/>
          <w:kern w:val="0"/>
          <w:szCs w:val="24"/>
        </w:rPr>
        <w:t>买方可以在任何时候书面向卖方发出指令，在本合同的一般范围内变更下述一项或几项：</w:t>
      </w:r>
    </w:p>
    <w:p>
      <w:pPr>
        <w:autoSpaceDN w:val="0"/>
        <w:adjustRightInd w:val="0"/>
        <w:spacing w:line="480" w:lineRule="exact"/>
        <w:ind w:firstLine="480" w:firstLineChars="200"/>
        <w:rPr>
          <w:rFonts w:ascii="宋体" w:hAnsi="宋体"/>
          <w:spacing w:val="-4"/>
          <w:kern w:val="0"/>
          <w:szCs w:val="24"/>
        </w:rPr>
      </w:pPr>
      <w:r>
        <w:rPr>
          <w:rFonts w:hint="eastAsia" w:ascii="宋体" w:hAnsi="宋体"/>
          <w:kern w:val="0"/>
          <w:szCs w:val="24"/>
          <w:lang w:val="en-US" w:eastAsia="zh-CN"/>
        </w:rPr>
        <w:t>12.1.1</w:t>
      </w:r>
      <w:r>
        <w:rPr>
          <w:rFonts w:ascii="宋体" w:hAnsi="宋体"/>
          <w:spacing w:val="-4"/>
          <w:kern w:val="0"/>
          <w:szCs w:val="24"/>
        </w:rPr>
        <w:t>本合同项下提供的货物是专为买方制造时，变更图纸、设计或规格；</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12.1.2</w:t>
      </w:r>
      <w:r>
        <w:rPr>
          <w:rFonts w:ascii="宋体" w:hAnsi="宋体"/>
          <w:kern w:val="0"/>
          <w:szCs w:val="24"/>
        </w:rPr>
        <w:t>运输或包装的方法；</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12.1.3</w:t>
      </w:r>
      <w:r>
        <w:rPr>
          <w:rFonts w:ascii="宋体" w:hAnsi="宋体"/>
          <w:kern w:val="0"/>
          <w:szCs w:val="24"/>
        </w:rPr>
        <w:t>交货地点；</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12.1.4</w:t>
      </w:r>
      <w:r>
        <w:rPr>
          <w:rFonts w:ascii="宋体" w:hAnsi="宋体"/>
          <w:kern w:val="0"/>
          <w:szCs w:val="24"/>
        </w:rPr>
        <w:t>卖方提供的服务。</w:t>
      </w:r>
    </w:p>
    <w:p>
      <w:pPr>
        <w:autoSpaceDN w:val="0"/>
        <w:adjustRightInd w:val="0"/>
        <w:spacing w:line="480" w:lineRule="exact"/>
        <w:ind w:firstLine="464" w:firstLineChars="200"/>
        <w:rPr>
          <w:rFonts w:ascii="宋体" w:hAnsi="宋体"/>
          <w:kern w:val="0"/>
          <w:szCs w:val="24"/>
        </w:rPr>
      </w:pPr>
      <w:r>
        <w:rPr>
          <w:rFonts w:ascii="宋体" w:hAnsi="宋体"/>
          <w:spacing w:val="-4"/>
          <w:kern w:val="0"/>
          <w:szCs w:val="24"/>
        </w:rPr>
        <w:t>12</w:t>
      </w:r>
      <w:r>
        <w:rPr>
          <w:rFonts w:hint="eastAsia" w:ascii="宋体" w:hAnsi="宋体"/>
          <w:spacing w:val="-4"/>
          <w:kern w:val="0"/>
          <w:szCs w:val="24"/>
          <w:lang w:val="en-US" w:eastAsia="zh-CN"/>
        </w:rPr>
        <w:t>.2</w:t>
      </w:r>
      <w:r>
        <w:rPr>
          <w:rFonts w:ascii="宋体" w:hAnsi="宋体"/>
          <w:kern w:val="0"/>
          <w:szCs w:val="24"/>
        </w:rPr>
        <w:t>如果上述变更使卖方履行合同义务的费用或时间增加或减少，将对合同价或交货时间或两者进行公平的调整，同时相应修改合同。卖方根据本条进行调整的要求必须在收到买方的变更指令后三十（30）天内提出。</w:t>
      </w:r>
    </w:p>
    <w:p>
      <w:pPr>
        <w:autoSpaceDN w:val="0"/>
        <w:adjustRightInd w:val="0"/>
        <w:spacing w:line="480" w:lineRule="exact"/>
        <w:ind w:firstLine="480" w:firstLineChars="200"/>
        <w:rPr>
          <w:rFonts w:ascii="宋体" w:hAnsi="宋体"/>
          <w:kern w:val="0"/>
          <w:szCs w:val="24"/>
        </w:rPr>
      </w:pPr>
      <w:r>
        <w:rPr>
          <w:rFonts w:ascii="宋体" w:hAnsi="宋体"/>
          <w:kern w:val="0"/>
          <w:szCs w:val="24"/>
        </w:rPr>
        <w:t>13</w:t>
      </w:r>
      <w:r>
        <w:rPr>
          <w:rFonts w:hint="eastAsia" w:ascii="宋体" w:hAnsi="宋体"/>
          <w:kern w:val="0"/>
          <w:szCs w:val="24"/>
          <w:lang w:val="en-US" w:eastAsia="zh-CN"/>
        </w:rPr>
        <w:t>.</w:t>
      </w:r>
      <w:r>
        <w:rPr>
          <w:rFonts w:ascii="宋体" w:hAnsi="宋体"/>
          <w:kern w:val="0"/>
          <w:szCs w:val="24"/>
        </w:rPr>
        <w:t>合同修改</w:t>
      </w:r>
    </w:p>
    <w:p>
      <w:pPr>
        <w:autoSpaceDN w:val="0"/>
        <w:adjustRightInd w:val="0"/>
        <w:spacing w:line="480" w:lineRule="exact"/>
        <w:ind w:firstLine="480" w:firstLineChars="200"/>
        <w:rPr>
          <w:rFonts w:ascii="宋体" w:hAnsi="宋体"/>
          <w:kern w:val="0"/>
          <w:szCs w:val="24"/>
        </w:rPr>
      </w:pPr>
      <w:r>
        <w:rPr>
          <w:rFonts w:ascii="宋体" w:hAnsi="宋体"/>
          <w:kern w:val="0"/>
          <w:szCs w:val="24"/>
        </w:rPr>
        <w:t>除了合同条款第12条的情况，不应对合同条款进行任何变更或修改，除非双方同意并签订书面的合同修改书。</w:t>
      </w:r>
    </w:p>
    <w:p>
      <w:pPr>
        <w:autoSpaceDN w:val="0"/>
        <w:adjustRightInd w:val="0"/>
        <w:spacing w:line="480" w:lineRule="exact"/>
        <w:ind w:firstLine="480" w:firstLineChars="200"/>
        <w:rPr>
          <w:rFonts w:ascii="宋体" w:hAnsi="宋体"/>
          <w:kern w:val="0"/>
          <w:szCs w:val="24"/>
        </w:rPr>
      </w:pPr>
      <w:r>
        <w:rPr>
          <w:rFonts w:ascii="宋体" w:hAnsi="宋体"/>
          <w:kern w:val="0"/>
          <w:szCs w:val="24"/>
        </w:rPr>
        <w:t>14</w:t>
      </w:r>
      <w:r>
        <w:rPr>
          <w:rFonts w:hint="eastAsia" w:ascii="宋体" w:hAnsi="宋体"/>
          <w:kern w:val="0"/>
          <w:szCs w:val="24"/>
          <w:lang w:val="en-US" w:eastAsia="zh-CN"/>
        </w:rPr>
        <w:t>.</w:t>
      </w:r>
      <w:r>
        <w:rPr>
          <w:rFonts w:ascii="宋体" w:hAnsi="宋体"/>
          <w:kern w:val="0"/>
          <w:szCs w:val="24"/>
        </w:rPr>
        <w:t>转让</w:t>
      </w:r>
    </w:p>
    <w:p>
      <w:pPr>
        <w:autoSpaceDN w:val="0"/>
        <w:adjustRightInd w:val="0"/>
        <w:spacing w:line="480" w:lineRule="exact"/>
        <w:ind w:firstLine="480" w:firstLineChars="200"/>
        <w:rPr>
          <w:rFonts w:ascii="宋体" w:hAnsi="宋体"/>
          <w:kern w:val="0"/>
          <w:szCs w:val="24"/>
        </w:rPr>
      </w:pPr>
      <w:r>
        <w:rPr>
          <w:rFonts w:ascii="宋体" w:hAnsi="宋体"/>
          <w:kern w:val="0"/>
          <w:szCs w:val="24"/>
        </w:rPr>
        <w:t>未经买方事先书面同意，卖方不得部分转让或全部转让其应履行的合同义务。</w:t>
      </w:r>
    </w:p>
    <w:p>
      <w:pPr>
        <w:autoSpaceDN w:val="0"/>
        <w:adjustRightInd w:val="0"/>
        <w:spacing w:line="480" w:lineRule="exact"/>
        <w:ind w:firstLine="480" w:firstLineChars="200"/>
        <w:rPr>
          <w:rFonts w:ascii="宋体" w:hAnsi="宋体"/>
          <w:kern w:val="0"/>
          <w:szCs w:val="24"/>
        </w:rPr>
      </w:pPr>
      <w:r>
        <w:rPr>
          <w:rFonts w:ascii="宋体" w:hAnsi="宋体"/>
          <w:kern w:val="0"/>
          <w:szCs w:val="24"/>
        </w:rPr>
        <w:t>15</w:t>
      </w:r>
      <w:r>
        <w:rPr>
          <w:rFonts w:hint="eastAsia" w:ascii="宋体" w:hAnsi="宋体"/>
          <w:kern w:val="0"/>
          <w:szCs w:val="24"/>
          <w:lang w:val="en-US" w:eastAsia="zh-CN"/>
        </w:rPr>
        <w:t>.</w:t>
      </w:r>
      <w:r>
        <w:rPr>
          <w:rFonts w:ascii="宋体" w:hAnsi="宋体"/>
          <w:kern w:val="0"/>
          <w:szCs w:val="24"/>
        </w:rPr>
        <w:t>卖方履约延误</w:t>
      </w:r>
    </w:p>
    <w:p>
      <w:pPr>
        <w:autoSpaceDN w:val="0"/>
        <w:adjustRightInd w:val="0"/>
        <w:spacing w:line="480" w:lineRule="exact"/>
        <w:ind w:firstLine="480" w:firstLineChars="200"/>
        <w:rPr>
          <w:rFonts w:ascii="宋体" w:hAnsi="宋体"/>
          <w:kern w:val="0"/>
          <w:szCs w:val="24"/>
        </w:rPr>
      </w:pPr>
      <w:r>
        <w:rPr>
          <w:rFonts w:ascii="宋体" w:hAnsi="宋体"/>
          <w:kern w:val="0"/>
          <w:szCs w:val="24"/>
        </w:rPr>
        <w:t>15</w:t>
      </w:r>
      <w:r>
        <w:rPr>
          <w:rFonts w:hint="eastAsia" w:ascii="宋体" w:hAnsi="宋体"/>
          <w:kern w:val="0"/>
          <w:szCs w:val="24"/>
          <w:lang w:val="en-US" w:eastAsia="zh-CN"/>
        </w:rPr>
        <w:t>.1</w:t>
      </w:r>
      <w:r>
        <w:rPr>
          <w:rFonts w:ascii="宋体" w:hAnsi="宋体"/>
          <w:kern w:val="0"/>
          <w:szCs w:val="24"/>
        </w:rPr>
        <w:t>卖方应按照本项目招标文件“商务条款”中规定的交货时间交货和提供服务。</w:t>
      </w:r>
    </w:p>
    <w:p>
      <w:pPr>
        <w:autoSpaceDN w:val="0"/>
        <w:adjustRightInd w:val="0"/>
        <w:spacing w:line="480" w:lineRule="exact"/>
        <w:ind w:firstLine="480" w:firstLineChars="200"/>
        <w:rPr>
          <w:rFonts w:ascii="宋体" w:hAnsi="宋体"/>
          <w:kern w:val="0"/>
          <w:szCs w:val="24"/>
        </w:rPr>
      </w:pPr>
      <w:r>
        <w:rPr>
          <w:rFonts w:ascii="宋体" w:hAnsi="宋体"/>
          <w:kern w:val="0"/>
          <w:szCs w:val="24"/>
        </w:rPr>
        <w:t>15</w:t>
      </w:r>
      <w:r>
        <w:rPr>
          <w:rFonts w:hint="eastAsia" w:ascii="宋体" w:hAnsi="宋体"/>
          <w:kern w:val="0"/>
          <w:szCs w:val="24"/>
          <w:lang w:val="en-US" w:eastAsia="zh-CN"/>
        </w:rPr>
        <w:t>.2</w:t>
      </w:r>
      <w:r>
        <w:rPr>
          <w:rFonts w:ascii="宋体" w:hAnsi="宋体"/>
          <w:kern w:val="0"/>
          <w:szCs w:val="24"/>
        </w:rPr>
        <w:t>在履行合同过程中，如果卖方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pPr>
        <w:autoSpaceDN w:val="0"/>
        <w:adjustRightInd w:val="0"/>
        <w:spacing w:line="480" w:lineRule="exact"/>
        <w:ind w:firstLine="480" w:firstLineChars="200"/>
        <w:rPr>
          <w:rFonts w:ascii="宋体" w:hAnsi="宋体"/>
          <w:kern w:val="0"/>
          <w:szCs w:val="24"/>
        </w:rPr>
      </w:pPr>
      <w:r>
        <w:rPr>
          <w:rFonts w:ascii="宋体" w:hAnsi="宋体"/>
          <w:kern w:val="0"/>
          <w:szCs w:val="24"/>
        </w:rPr>
        <w:t>15</w:t>
      </w:r>
      <w:r>
        <w:rPr>
          <w:rFonts w:hint="eastAsia" w:ascii="宋体" w:hAnsi="宋体"/>
          <w:kern w:val="0"/>
          <w:szCs w:val="24"/>
          <w:lang w:val="en-US" w:eastAsia="zh-CN"/>
        </w:rPr>
        <w:t>.3</w:t>
      </w:r>
      <w:r>
        <w:rPr>
          <w:rFonts w:ascii="宋体" w:hAnsi="宋体"/>
          <w:kern w:val="0"/>
          <w:szCs w:val="24"/>
        </w:rPr>
        <w:t>除合同条款第</w:t>
      </w:r>
      <w:r>
        <w:rPr>
          <w:rFonts w:hint="eastAsia" w:ascii="宋体" w:hAnsi="宋体"/>
          <w:kern w:val="0"/>
          <w:szCs w:val="24"/>
        </w:rPr>
        <w:t>20</w:t>
      </w:r>
      <w:r>
        <w:rPr>
          <w:rFonts w:ascii="宋体" w:hAnsi="宋体"/>
          <w:kern w:val="0"/>
          <w:szCs w:val="24"/>
        </w:rPr>
        <w:t>条规定的情况外,除非拖延是根据合同条款第15</w:t>
      </w:r>
      <w:r>
        <w:rPr>
          <w:rFonts w:hint="eastAsia" w:ascii="宋体" w:hAnsi="宋体"/>
          <w:kern w:val="0"/>
          <w:szCs w:val="24"/>
          <w:lang w:val="en-US" w:eastAsia="zh-CN"/>
        </w:rPr>
        <w:t>.2</w:t>
      </w:r>
      <w:r>
        <w:rPr>
          <w:rFonts w:ascii="宋体" w:hAnsi="宋体"/>
          <w:kern w:val="0"/>
          <w:szCs w:val="24"/>
        </w:rPr>
        <w:t>条的规定取得同意而不收取误期赔偿费之外，卖方延误交货，将按合同条款第1</w:t>
      </w:r>
      <w:r>
        <w:rPr>
          <w:rFonts w:hint="eastAsia" w:ascii="宋体" w:hAnsi="宋体"/>
          <w:kern w:val="0"/>
          <w:szCs w:val="24"/>
        </w:rPr>
        <w:t>7</w:t>
      </w:r>
      <w:r>
        <w:rPr>
          <w:rFonts w:ascii="宋体" w:hAnsi="宋体"/>
          <w:kern w:val="0"/>
          <w:szCs w:val="24"/>
        </w:rPr>
        <w:t>条的规定被收取误期赔偿费。</w:t>
      </w:r>
    </w:p>
    <w:p>
      <w:pPr>
        <w:autoSpaceDN w:val="0"/>
        <w:adjustRightInd w:val="0"/>
        <w:spacing w:line="480" w:lineRule="exact"/>
        <w:ind w:firstLine="480" w:firstLineChars="200"/>
        <w:rPr>
          <w:rFonts w:hint="eastAsia" w:ascii="宋体" w:hAnsi="宋体"/>
          <w:kern w:val="0"/>
          <w:szCs w:val="24"/>
        </w:rPr>
      </w:pPr>
      <w:r>
        <w:rPr>
          <w:rFonts w:ascii="宋体" w:hAnsi="宋体"/>
          <w:kern w:val="0"/>
          <w:szCs w:val="24"/>
        </w:rPr>
        <w:t>16</w:t>
      </w:r>
      <w:r>
        <w:rPr>
          <w:rFonts w:hint="eastAsia" w:ascii="宋体" w:hAnsi="宋体"/>
          <w:kern w:val="0"/>
          <w:szCs w:val="24"/>
          <w:lang w:val="en-US" w:eastAsia="zh-CN"/>
        </w:rPr>
        <w:t>.</w:t>
      </w:r>
      <w:r>
        <w:rPr>
          <w:rFonts w:hint="eastAsia" w:ascii="宋体" w:hAnsi="宋体"/>
          <w:kern w:val="0"/>
          <w:szCs w:val="24"/>
        </w:rPr>
        <w:t>验收</w:t>
      </w:r>
    </w:p>
    <w:p>
      <w:pPr>
        <w:adjustRightInd w:val="0"/>
        <w:snapToGrid w:val="0"/>
        <w:spacing w:line="480" w:lineRule="exact"/>
        <w:ind w:firstLine="600" w:firstLineChars="25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16.1</w:t>
      </w:r>
      <w:r>
        <w:rPr>
          <w:rFonts w:hint="eastAsia" w:ascii="宋体" w:hAnsi="宋体" w:eastAsia="宋体" w:cs="宋体"/>
          <w:color w:val="auto"/>
          <w:highlight w:val="none"/>
          <w:lang w:val="zh-CN" w:eastAsia="zh-CN"/>
        </w:rPr>
        <w:t>应提供项目相关软件、设备的有效验收文件，经用户认可后，作为验收标准。用户对项目验收合格后，双方共同签署验收合格证书并加盖公章。验收中发现软件、设备达不到验收标准或合同规定的性能指标，卖方必须修改相应内容，以满足用户需求。</w:t>
      </w:r>
    </w:p>
    <w:p>
      <w:pPr>
        <w:adjustRightInd w:val="0"/>
        <w:snapToGrid w:val="0"/>
        <w:spacing w:line="480" w:lineRule="exact"/>
        <w:ind w:firstLine="600" w:firstLineChars="25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val="zh-CN" w:eastAsia="zh-CN"/>
        </w:rPr>
        <w:t>2自合同签订后，3个月内完成系统的初试，试运行正常一个月后，组织项目终验。</w:t>
      </w:r>
    </w:p>
    <w:p>
      <w:pPr>
        <w:adjustRightInd w:val="0"/>
        <w:snapToGrid w:val="0"/>
        <w:spacing w:line="480" w:lineRule="exact"/>
        <w:ind w:firstLine="600" w:firstLineChars="25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val="zh-CN" w:eastAsia="zh-CN"/>
        </w:rPr>
        <w:t>3验收费用由中标人负责，如项目验收医院需请第三方监理公司，则第三方监理公司的费用由医院自身承担。</w:t>
      </w:r>
    </w:p>
    <w:p>
      <w:pPr>
        <w:adjustRightInd w:val="0"/>
        <w:snapToGrid w:val="0"/>
        <w:spacing w:line="460" w:lineRule="exact"/>
        <w:ind w:firstLine="470" w:firstLineChars="196"/>
        <w:rPr>
          <w:rFonts w:hint="eastAsia" w:ascii="宋体" w:hAnsi="宋体"/>
          <w:szCs w:val="24"/>
        </w:rPr>
      </w:pPr>
      <w:r>
        <w:rPr>
          <w:rFonts w:hint="eastAsia" w:ascii="宋体" w:hAnsi="宋体" w:eastAsia="宋体" w:cs="宋体"/>
          <w:color w:val="auto"/>
          <w:highlight w:val="none"/>
          <w:lang w:val="en-US" w:eastAsia="zh-CN"/>
        </w:rPr>
        <w:t>16.</w:t>
      </w:r>
      <w:r>
        <w:rPr>
          <w:rFonts w:hint="eastAsia" w:ascii="宋体" w:hAnsi="宋体" w:eastAsia="宋体" w:cs="宋体"/>
          <w:color w:val="auto"/>
          <w:highlight w:val="none"/>
          <w:lang w:val="zh-CN" w:eastAsia="zh-CN"/>
        </w:rPr>
        <w:t>4因本项目用户实际新增或系统升级引起的软件功能与现有招标建设内容要求有所出入的，不作为不符合或不满足招标人要求的条件，应视为项目合格。</w:t>
      </w:r>
      <w:r>
        <w:rPr>
          <w:rFonts w:hint="eastAsia" w:ascii="宋体" w:hAnsi="宋体"/>
          <w:szCs w:val="24"/>
        </w:rPr>
        <w:t>16</w:t>
      </w:r>
      <w:r>
        <w:rPr>
          <w:rFonts w:hint="eastAsia" w:ascii="宋体" w:hAnsi="宋体"/>
          <w:szCs w:val="24"/>
          <w:lang w:val="en-US" w:eastAsia="zh-CN"/>
        </w:rPr>
        <w:t>.1</w:t>
      </w:r>
      <w:r>
        <w:rPr>
          <w:rFonts w:ascii="宋体" w:hAnsi="宋体"/>
          <w:szCs w:val="24"/>
        </w:rPr>
        <w:t>项目验收分初验和终验:</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rPr>
        <w:t>17</w:t>
      </w:r>
      <w:r>
        <w:rPr>
          <w:rFonts w:hint="eastAsia" w:ascii="宋体" w:hAnsi="宋体"/>
          <w:kern w:val="0"/>
          <w:szCs w:val="24"/>
          <w:lang w:val="en-US" w:eastAsia="zh-CN"/>
        </w:rPr>
        <w:t>.</w:t>
      </w:r>
      <w:r>
        <w:rPr>
          <w:rFonts w:ascii="宋体" w:hAnsi="宋体"/>
          <w:kern w:val="0"/>
          <w:szCs w:val="24"/>
        </w:rPr>
        <w:t>误期赔偿费</w:t>
      </w:r>
    </w:p>
    <w:p>
      <w:pPr>
        <w:autoSpaceDN w:val="0"/>
        <w:adjustRightInd w:val="0"/>
        <w:spacing w:line="480" w:lineRule="exact"/>
        <w:ind w:firstLine="480" w:firstLineChars="200"/>
        <w:rPr>
          <w:rFonts w:ascii="宋体" w:hAnsi="宋体"/>
          <w:kern w:val="0"/>
          <w:szCs w:val="24"/>
        </w:rPr>
      </w:pPr>
      <w:r>
        <w:rPr>
          <w:rFonts w:ascii="宋体" w:hAnsi="宋体"/>
          <w:szCs w:val="24"/>
        </w:rPr>
        <w:t>除合同条款第1</w:t>
      </w:r>
      <w:r>
        <w:rPr>
          <w:rFonts w:hint="eastAsia" w:ascii="宋体" w:hAnsi="宋体"/>
          <w:szCs w:val="24"/>
        </w:rPr>
        <w:t>9</w:t>
      </w:r>
      <w:r>
        <w:rPr>
          <w:rFonts w:ascii="宋体" w:hAnsi="宋体"/>
          <w:szCs w:val="24"/>
        </w:rPr>
        <w:t>条规定的情况外，如果卖方没有按照合同规定的时间交货和提供服务，买方应在不影响</w:t>
      </w:r>
      <w:r>
        <w:rPr>
          <w:rFonts w:ascii="宋体" w:hAnsi="宋体"/>
          <w:kern w:val="0"/>
          <w:szCs w:val="24"/>
        </w:rPr>
        <w:t>合同项下的其他补救措施的情况下，从合同价中扣除误期赔偿费。每延误一周的赔偿费按合同价的0.5％计收，直至交货或提供服务为止。误期赔偿费的最高限额为合同价格的百分之五（5%）。一旦达到误期赔偿费的最高限额，买方可考虑根据合同条款1</w:t>
      </w:r>
      <w:r>
        <w:rPr>
          <w:rFonts w:hint="eastAsia" w:ascii="宋体" w:hAnsi="宋体"/>
          <w:kern w:val="0"/>
          <w:szCs w:val="24"/>
        </w:rPr>
        <w:t>8</w:t>
      </w:r>
      <w:r>
        <w:rPr>
          <w:rFonts w:ascii="宋体" w:hAnsi="宋体"/>
          <w:kern w:val="0"/>
          <w:szCs w:val="24"/>
        </w:rPr>
        <w:t>条的规定终止合同。</w:t>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8</w:t>
      </w:r>
      <w:r>
        <w:rPr>
          <w:rFonts w:hint="eastAsia" w:ascii="宋体" w:hAnsi="宋体"/>
          <w:kern w:val="0"/>
          <w:szCs w:val="24"/>
          <w:lang w:val="en-US" w:eastAsia="zh-CN"/>
        </w:rPr>
        <w:t>.</w:t>
      </w:r>
      <w:r>
        <w:rPr>
          <w:rFonts w:ascii="宋体" w:hAnsi="宋体"/>
          <w:kern w:val="0"/>
          <w:szCs w:val="24"/>
        </w:rPr>
        <w:t>违约终止合同</w:t>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8</w:t>
      </w:r>
      <w:r>
        <w:rPr>
          <w:rFonts w:hint="eastAsia" w:ascii="宋体" w:hAnsi="宋体"/>
          <w:kern w:val="0"/>
          <w:szCs w:val="24"/>
          <w:lang w:val="en-US" w:eastAsia="zh-CN"/>
        </w:rPr>
        <w:t>.1</w:t>
      </w:r>
      <w:r>
        <w:rPr>
          <w:rFonts w:ascii="宋体" w:hAnsi="宋体"/>
          <w:kern w:val="0"/>
          <w:szCs w:val="24"/>
        </w:rPr>
        <w:t>在买方对卖方违约而采取的任何补救措施不受影响的情况下，买方可向卖方发出书面违约通知书，提出终止部分或全部合同：</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18.2</w:t>
      </w:r>
      <w:r>
        <w:rPr>
          <w:rFonts w:ascii="宋体" w:hAnsi="宋体"/>
          <w:kern w:val="0"/>
          <w:szCs w:val="24"/>
        </w:rPr>
        <w:t>如果卖方未能在合同规定的期限内或买方根据合同条款第15.2条的规定同意延长的期限内提供部分或全部货物；或</w:t>
      </w:r>
      <w:r>
        <w:rPr>
          <w:rFonts w:ascii="宋体" w:hAnsi="宋体"/>
          <w:szCs w:val="24"/>
        </w:rPr>
        <w:t>误期赔偿费达到最高限额。</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18.3</w:t>
      </w:r>
      <w:r>
        <w:rPr>
          <w:rFonts w:ascii="宋体" w:hAnsi="宋体"/>
          <w:kern w:val="0"/>
          <w:szCs w:val="24"/>
        </w:rPr>
        <w:t>如果卖方未能履行合同规定的其它任何义务。</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18.4</w:t>
      </w:r>
      <w:r>
        <w:rPr>
          <w:rFonts w:ascii="宋体" w:hAnsi="宋体"/>
          <w:kern w:val="0"/>
          <w:szCs w:val="24"/>
        </w:rPr>
        <w:t>如果买方认为卖方在本合同的竞争和实施过程中有腐败和欺诈行为。为此目的，定义下述条件：</w:t>
      </w:r>
    </w:p>
    <w:p>
      <w:pPr>
        <w:autoSpaceDN w:val="0"/>
        <w:adjustRightInd w:val="0"/>
        <w:spacing w:line="480" w:lineRule="exact"/>
        <w:ind w:firstLine="480" w:firstLineChars="200"/>
        <w:rPr>
          <w:rFonts w:ascii="宋体" w:hAnsi="宋体"/>
          <w:kern w:val="0"/>
          <w:szCs w:val="24"/>
        </w:rPr>
      </w:pPr>
      <w:r>
        <w:rPr>
          <w:rFonts w:ascii="宋体" w:hAnsi="宋体"/>
          <w:kern w:val="0"/>
          <w:szCs w:val="24"/>
        </w:rPr>
        <w:t>“腐败行为”是指提供、给予、接受或索取任何有价值的物品来影响买方在采购过程或合同实施过程中的行为。</w:t>
      </w:r>
    </w:p>
    <w:p>
      <w:pPr>
        <w:autoSpaceDN w:val="0"/>
        <w:adjustRightInd w:val="0"/>
        <w:spacing w:line="480" w:lineRule="exact"/>
        <w:ind w:firstLine="480" w:firstLineChars="200"/>
        <w:rPr>
          <w:rFonts w:ascii="宋体" w:hAnsi="宋体"/>
          <w:kern w:val="0"/>
          <w:szCs w:val="24"/>
        </w:rPr>
      </w:pPr>
      <w:r>
        <w:rPr>
          <w:rFonts w:ascii="宋体" w:hAnsi="宋体"/>
          <w:kern w:val="0"/>
          <w:szCs w:val="24"/>
        </w:rPr>
        <w:t>“欺诈行为”是指为了影响采购过程或合同实施过程而谎报或隐瞒事实，损害买方利益的行为。</w:t>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8</w:t>
      </w:r>
      <w:r>
        <w:rPr>
          <w:rFonts w:hint="eastAsia" w:ascii="宋体" w:hAnsi="宋体"/>
          <w:kern w:val="0"/>
          <w:szCs w:val="24"/>
          <w:lang w:val="en-US" w:eastAsia="zh-CN"/>
        </w:rPr>
        <w:t>.5</w:t>
      </w:r>
      <w:r>
        <w:rPr>
          <w:rFonts w:ascii="宋体" w:hAnsi="宋体"/>
          <w:kern w:val="0"/>
          <w:szCs w:val="24"/>
        </w:rPr>
        <w:t>如果买方根据上述第1</w:t>
      </w:r>
      <w:r>
        <w:rPr>
          <w:rFonts w:hint="eastAsia" w:ascii="宋体" w:hAnsi="宋体"/>
          <w:kern w:val="0"/>
          <w:szCs w:val="24"/>
          <w:lang w:val="en-US" w:eastAsia="zh-CN"/>
        </w:rPr>
        <w:t>8.1</w:t>
      </w:r>
      <w:r>
        <w:rPr>
          <w:rFonts w:ascii="宋体" w:hAnsi="宋体"/>
          <w:kern w:val="0"/>
          <w:szCs w:val="24"/>
        </w:rPr>
        <w:t>条的规定，终止了全部或部分合同，买方可以依其认为适当的条件和方法购买与未交货物类似的货物或服务，卖方应承担买方因购买类似货物或服务而产生的额外支出。但是，卖方应继续执行合同中未终止的部分。</w:t>
      </w:r>
    </w:p>
    <w:p>
      <w:pPr>
        <w:tabs>
          <w:tab w:val="left" w:pos="5700"/>
        </w:tabs>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9</w:t>
      </w:r>
      <w:r>
        <w:rPr>
          <w:rFonts w:hint="eastAsia" w:ascii="宋体" w:hAnsi="宋体"/>
          <w:kern w:val="0"/>
          <w:szCs w:val="24"/>
          <w:lang w:val="en-US" w:eastAsia="zh-CN"/>
        </w:rPr>
        <w:t>.</w:t>
      </w:r>
      <w:r>
        <w:rPr>
          <w:rFonts w:ascii="宋体" w:hAnsi="宋体"/>
          <w:kern w:val="0"/>
          <w:szCs w:val="24"/>
        </w:rPr>
        <w:t>不可抗力</w:t>
      </w:r>
      <w:r>
        <w:rPr>
          <w:rFonts w:ascii="宋体" w:hAnsi="宋体"/>
          <w:kern w:val="0"/>
          <w:szCs w:val="24"/>
        </w:rPr>
        <w:tab/>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9</w:t>
      </w:r>
      <w:r>
        <w:rPr>
          <w:rFonts w:hint="eastAsia" w:ascii="宋体" w:hAnsi="宋体"/>
          <w:kern w:val="0"/>
          <w:szCs w:val="24"/>
          <w:lang w:val="en-US" w:eastAsia="zh-CN"/>
        </w:rPr>
        <w:t>.1</w:t>
      </w:r>
      <w:r>
        <w:rPr>
          <w:rFonts w:ascii="宋体" w:hAnsi="宋体"/>
          <w:kern w:val="0"/>
          <w:szCs w:val="24"/>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战争、严重火灾、洪水、台风、地震等。</w:t>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9</w:t>
      </w:r>
      <w:r>
        <w:rPr>
          <w:rFonts w:hint="eastAsia" w:ascii="宋体" w:hAnsi="宋体"/>
          <w:kern w:val="0"/>
          <w:szCs w:val="24"/>
          <w:lang w:val="en-US" w:eastAsia="zh-CN"/>
        </w:rPr>
        <w:t>.2</w:t>
      </w:r>
      <w:r>
        <w:rPr>
          <w:rFonts w:ascii="宋体" w:hAnsi="宋体"/>
          <w:kern w:val="0"/>
          <w:szCs w:val="24"/>
        </w:rPr>
        <w:t>受影响一方应在不可抗力事件发生后尽快用书面形式通知对方，并于不可抗力事件发生后十四（14）天内将有关当局出具的证明文件用特快专递或挂号信寄给对方审阅确认。一旦不可抗力事件的影响持续一百二十天（120）天以上，双方应通过友好协商在合理的时间内达成进一步履行合同的协议。</w:t>
      </w:r>
    </w:p>
    <w:p>
      <w:pPr>
        <w:autoSpaceDN w:val="0"/>
        <w:adjustRightInd w:val="0"/>
        <w:spacing w:line="480" w:lineRule="exact"/>
        <w:ind w:firstLine="480" w:firstLineChars="200"/>
        <w:rPr>
          <w:rFonts w:ascii="宋体" w:hAnsi="宋体"/>
          <w:kern w:val="0"/>
          <w:szCs w:val="24"/>
        </w:rPr>
      </w:pPr>
      <w:r>
        <w:rPr>
          <w:rFonts w:ascii="宋体" w:hAnsi="宋体"/>
          <w:kern w:val="0"/>
          <w:szCs w:val="24"/>
        </w:rPr>
        <w:t>1</w:t>
      </w:r>
      <w:r>
        <w:rPr>
          <w:rFonts w:hint="eastAsia" w:ascii="宋体" w:hAnsi="宋体"/>
          <w:kern w:val="0"/>
          <w:szCs w:val="24"/>
        </w:rPr>
        <w:t>9</w:t>
      </w:r>
      <w:r>
        <w:rPr>
          <w:rFonts w:hint="eastAsia" w:ascii="宋体" w:hAnsi="宋体"/>
          <w:kern w:val="0"/>
          <w:szCs w:val="24"/>
          <w:lang w:val="en-US" w:eastAsia="zh-CN"/>
        </w:rPr>
        <w:t>.3</w:t>
      </w:r>
      <w:r>
        <w:rPr>
          <w:rFonts w:ascii="宋体" w:hAnsi="宋体"/>
          <w:kern w:val="0"/>
          <w:szCs w:val="24"/>
        </w:rPr>
        <w:t>因合同一方迟延履行合同后发生不可抗力的，不能免除迟延履行方的相应责任。</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rPr>
        <w:t>20</w:t>
      </w:r>
      <w:r>
        <w:rPr>
          <w:rFonts w:hint="eastAsia" w:ascii="宋体" w:hAnsi="宋体"/>
          <w:kern w:val="0"/>
          <w:szCs w:val="24"/>
          <w:lang w:val="en-US" w:eastAsia="zh-CN"/>
        </w:rPr>
        <w:t>.</w:t>
      </w:r>
      <w:r>
        <w:rPr>
          <w:rFonts w:ascii="宋体" w:hAnsi="宋体"/>
          <w:kern w:val="0"/>
          <w:szCs w:val="24"/>
        </w:rPr>
        <w:t>因破产而终止合同</w:t>
      </w:r>
    </w:p>
    <w:p>
      <w:pPr>
        <w:autoSpaceDN w:val="0"/>
        <w:adjustRightInd w:val="0"/>
        <w:spacing w:line="480" w:lineRule="exact"/>
        <w:ind w:firstLine="480" w:firstLineChars="200"/>
        <w:rPr>
          <w:rFonts w:ascii="宋体" w:hAnsi="宋体"/>
          <w:kern w:val="0"/>
          <w:szCs w:val="24"/>
        </w:rPr>
      </w:pPr>
      <w:r>
        <w:rPr>
          <w:rFonts w:ascii="宋体" w:hAnsi="宋体"/>
          <w:kern w:val="0"/>
          <w:szCs w:val="24"/>
        </w:rPr>
        <w:t>如果卖方破产或无清偿能力，买方可在任何时候以书面形式通知卖方，提出终止合同而不给卖方补偿。该合同的终止将不损害或影响买方已经采取或将要采取的任何行动或补救措施的权力。</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1</w:t>
      </w:r>
      <w:r>
        <w:rPr>
          <w:rFonts w:hint="eastAsia" w:ascii="宋体" w:hAnsi="宋体"/>
          <w:kern w:val="0"/>
          <w:szCs w:val="24"/>
          <w:lang w:val="en-US" w:eastAsia="zh-CN"/>
        </w:rPr>
        <w:t>.</w:t>
      </w:r>
      <w:r>
        <w:rPr>
          <w:rFonts w:ascii="宋体" w:hAnsi="宋体"/>
          <w:kern w:val="0"/>
          <w:szCs w:val="24"/>
        </w:rPr>
        <w:t>因买方的便利而终止合同</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1</w:t>
      </w:r>
      <w:r>
        <w:rPr>
          <w:rFonts w:hint="eastAsia" w:ascii="宋体" w:hAnsi="宋体"/>
          <w:kern w:val="0"/>
          <w:szCs w:val="24"/>
          <w:lang w:val="en-US" w:eastAsia="zh-CN"/>
        </w:rPr>
        <w:t>.1</w:t>
      </w:r>
      <w:r>
        <w:rPr>
          <w:rFonts w:ascii="宋体" w:hAnsi="宋体"/>
          <w:kern w:val="0"/>
          <w:szCs w:val="24"/>
        </w:rPr>
        <w:t>买方可在任何时候出于自身的便利向卖方发出书面通知全部或部分终止合同，终止通知应明确该终止合同是出于买方的便利，并明确合同终止的程度，以及终止的生效日期。</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1</w:t>
      </w:r>
      <w:r>
        <w:rPr>
          <w:rFonts w:hint="eastAsia" w:ascii="宋体" w:hAnsi="宋体"/>
          <w:kern w:val="0"/>
          <w:szCs w:val="24"/>
          <w:lang w:val="en-US" w:eastAsia="zh-CN"/>
        </w:rPr>
        <w:t>.2</w:t>
      </w:r>
      <w:r>
        <w:rPr>
          <w:rFonts w:ascii="宋体" w:hAnsi="宋体"/>
          <w:kern w:val="0"/>
          <w:szCs w:val="24"/>
        </w:rPr>
        <w:t>对卖方收到终止通知后三十（30）天内已完成并准备装运的货物，买方应按原合同价格和条款予以接收，对于剩下的货物，买方可：</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21.2.1</w:t>
      </w:r>
      <w:r>
        <w:rPr>
          <w:rFonts w:ascii="宋体" w:hAnsi="宋体"/>
          <w:kern w:val="0"/>
          <w:szCs w:val="24"/>
        </w:rPr>
        <w:t>仅对部分货物按照原来的合同价格和条款予以接受；</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lang w:val="en-US" w:eastAsia="zh-CN"/>
        </w:rPr>
        <w:t>21.2.2</w:t>
      </w:r>
      <w:r>
        <w:rPr>
          <w:rFonts w:ascii="宋体" w:hAnsi="宋体"/>
          <w:kern w:val="0"/>
          <w:szCs w:val="24"/>
        </w:rPr>
        <w:t>取消对所剩货物的采购，并按双方商定的金额向卖方支付部分完成的货物和</w:t>
      </w:r>
      <w:r>
        <w:rPr>
          <w:rFonts w:hint="eastAsia" w:ascii="宋体" w:hAnsi="宋体"/>
          <w:kern w:val="0"/>
          <w:szCs w:val="24"/>
        </w:rPr>
        <w:t>与货物有关的</w:t>
      </w:r>
      <w:r>
        <w:rPr>
          <w:rFonts w:ascii="宋体" w:hAnsi="宋体"/>
          <w:kern w:val="0"/>
          <w:szCs w:val="24"/>
        </w:rPr>
        <w:t>服务以及卖方以前已采购的材料和部件的费用。</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2</w:t>
      </w:r>
      <w:r>
        <w:rPr>
          <w:rFonts w:hint="eastAsia" w:ascii="宋体" w:hAnsi="宋体"/>
          <w:kern w:val="0"/>
          <w:szCs w:val="24"/>
          <w:lang w:val="en-US" w:eastAsia="zh-CN"/>
        </w:rPr>
        <w:t>.</w:t>
      </w:r>
      <w:r>
        <w:rPr>
          <w:rFonts w:ascii="宋体" w:hAnsi="宋体"/>
          <w:kern w:val="0"/>
          <w:szCs w:val="24"/>
        </w:rPr>
        <w:t>争议的解决</w:t>
      </w:r>
    </w:p>
    <w:p>
      <w:pPr>
        <w:autoSpaceDN w:val="0"/>
        <w:adjustRightInd w:val="0"/>
        <w:spacing w:line="480" w:lineRule="exact"/>
        <w:ind w:firstLine="480" w:firstLineChars="200"/>
        <w:rPr>
          <w:rFonts w:ascii="宋体" w:hAnsi="宋体"/>
          <w:kern w:val="0"/>
          <w:szCs w:val="24"/>
        </w:rPr>
      </w:pPr>
      <w:r>
        <w:rPr>
          <w:rFonts w:ascii="宋体" w:hAnsi="宋体"/>
          <w:kern w:val="0"/>
          <w:szCs w:val="24"/>
        </w:rPr>
        <w:t>因执行本合同所发生的或与本合同有关的一切争议,双方应通过友好协商解决。如果协商开始后六十（60）天还不能解决，</w:t>
      </w:r>
      <w:r>
        <w:rPr>
          <w:rFonts w:hint="eastAsia" w:ascii="宋体" w:hAnsi="宋体"/>
          <w:kern w:val="0"/>
          <w:szCs w:val="24"/>
        </w:rPr>
        <w:t>双方可依以下一种方式解决：</w:t>
      </w:r>
    </w:p>
    <w:p>
      <w:pPr>
        <w:autoSpaceDN w:val="0"/>
        <w:adjustRightInd w:val="0"/>
        <w:spacing w:line="480" w:lineRule="exact"/>
        <w:ind w:firstLine="480" w:firstLineChars="200"/>
        <w:rPr>
          <w:rFonts w:hint="eastAsia" w:ascii="宋体" w:hAnsi="宋体"/>
          <w:kern w:val="0"/>
          <w:szCs w:val="24"/>
        </w:rPr>
      </w:pPr>
      <w:r>
        <w:rPr>
          <w:rFonts w:ascii="宋体" w:hAnsi="宋体"/>
          <w:kern w:val="0"/>
          <w:szCs w:val="24"/>
        </w:rPr>
        <w:t>2</w:t>
      </w:r>
      <w:r>
        <w:rPr>
          <w:rFonts w:hint="eastAsia" w:ascii="宋体" w:hAnsi="宋体"/>
          <w:kern w:val="0"/>
          <w:szCs w:val="24"/>
        </w:rPr>
        <w:t>2</w:t>
      </w:r>
      <w:r>
        <w:rPr>
          <w:rFonts w:hint="eastAsia" w:ascii="宋体" w:hAnsi="宋体"/>
          <w:kern w:val="0"/>
          <w:szCs w:val="24"/>
          <w:lang w:val="en-US" w:eastAsia="zh-CN"/>
        </w:rPr>
        <w:t>.1</w:t>
      </w:r>
      <w:r>
        <w:rPr>
          <w:rFonts w:ascii="宋体" w:hAnsi="宋体"/>
          <w:kern w:val="0"/>
          <w:szCs w:val="24"/>
        </w:rPr>
        <w:t>双方</w:t>
      </w:r>
      <w:r>
        <w:rPr>
          <w:rFonts w:hint="eastAsia" w:ascii="宋体" w:hAnsi="宋体"/>
          <w:kern w:val="0"/>
          <w:szCs w:val="24"/>
        </w:rPr>
        <w:t>达成仲裁协议，向约定的仲裁委员会申请仲裁</w:t>
      </w:r>
      <w:r>
        <w:rPr>
          <w:rFonts w:ascii="宋体" w:hAnsi="宋体"/>
          <w:kern w:val="0"/>
          <w:szCs w:val="24"/>
        </w:rPr>
        <w:t>。</w:t>
      </w:r>
    </w:p>
    <w:p>
      <w:pPr>
        <w:autoSpaceDN w:val="0"/>
        <w:adjustRightInd w:val="0"/>
        <w:spacing w:line="480" w:lineRule="exact"/>
        <w:ind w:firstLine="480" w:firstLineChars="200"/>
        <w:rPr>
          <w:rFonts w:ascii="宋体" w:hAnsi="宋体"/>
          <w:kern w:val="0"/>
          <w:szCs w:val="24"/>
        </w:rPr>
      </w:pPr>
      <w:r>
        <w:rPr>
          <w:rFonts w:hint="eastAsia" w:ascii="宋体" w:hAnsi="宋体"/>
          <w:kern w:val="0"/>
          <w:szCs w:val="24"/>
        </w:rPr>
        <w:t>22</w:t>
      </w:r>
      <w:r>
        <w:rPr>
          <w:rFonts w:hint="eastAsia" w:ascii="宋体" w:hAnsi="宋体"/>
          <w:kern w:val="0"/>
          <w:szCs w:val="24"/>
          <w:lang w:val="en-US" w:eastAsia="zh-CN"/>
        </w:rPr>
        <w:t>.2</w:t>
      </w:r>
      <w:r>
        <w:rPr>
          <w:rFonts w:hint="eastAsia" w:ascii="宋体" w:hAnsi="宋体"/>
          <w:kern w:val="0"/>
          <w:szCs w:val="24"/>
        </w:rPr>
        <w:t>向有管辖权的人民法院起诉。</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3</w:t>
      </w:r>
      <w:r>
        <w:rPr>
          <w:rFonts w:hint="eastAsia" w:ascii="宋体" w:hAnsi="宋体"/>
          <w:kern w:val="0"/>
          <w:szCs w:val="24"/>
          <w:lang w:val="en-US" w:eastAsia="zh-CN"/>
        </w:rPr>
        <w:t>.</w:t>
      </w:r>
      <w:r>
        <w:rPr>
          <w:rFonts w:ascii="宋体" w:hAnsi="宋体"/>
          <w:kern w:val="0"/>
          <w:szCs w:val="24"/>
        </w:rPr>
        <w:t>适用法律</w:t>
      </w:r>
    </w:p>
    <w:p>
      <w:pPr>
        <w:autoSpaceDN w:val="0"/>
        <w:adjustRightInd w:val="0"/>
        <w:spacing w:line="480" w:lineRule="exact"/>
        <w:ind w:firstLine="480" w:firstLineChars="200"/>
        <w:rPr>
          <w:rFonts w:ascii="宋体" w:hAnsi="宋体"/>
          <w:kern w:val="0"/>
          <w:szCs w:val="24"/>
        </w:rPr>
      </w:pPr>
      <w:r>
        <w:rPr>
          <w:rFonts w:ascii="宋体" w:hAnsi="宋体"/>
          <w:kern w:val="0"/>
          <w:szCs w:val="24"/>
        </w:rPr>
        <w:t>本合同应按照中华人民共和国的现行法律进行解释。</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4</w:t>
      </w:r>
      <w:r>
        <w:rPr>
          <w:rFonts w:hint="eastAsia" w:ascii="宋体" w:hAnsi="宋体"/>
          <w:kern w:val="0"/>
          <w:szCs w:val="24"/>
          <w:lang w:val="en-US" w:eastAsia="zh-CN"/>
        </w:rPr>
        <w:t>.</w:t>
      </w:r>
      <w:r>
        <w:rPr>
          <w:rFonts w:ascii="宋体" w:hAnsi="宋体"/>
          <w:kern w:val="0"/>
          <w:szCs w:val="24"/>
        </w:rPr>
        <w:t>通知</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4</w:t>
      </w:r>
      <w:r>
        <w:rPr>
          <w:rFonts w:hint="eastAsia" w:ascii="宋体" w:hAnsi="宋体"/>
          <w:kern w:val="0"/>
          <w:szCs w:val="24"/>
          <w:lang w:val="en-US" w:eastAsia="zh-CN"/>
        </w:rPr>
        <w:t>.1</w:t>
      </w:r>
      <w:r>
        <w:rPr>
          <w:rFonts w:ascii="宋体" w:hAnsi="宋体"/>
          <w:kern w:val="0"/>
          <w:szCs w:val="24"/>
        </w:rPr>
        <w:t>本合同一方给对方的通知应用书面形式送到合同专用条款中规定的对方的地址。传真要经书面确认。</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4</w:t>
      </w:r>
      <w:r>
        <w:rPr>
          <w:rFonts w:hint="eastAsia" w:ascii="宋体" w:hAnsi="宋体"/>
          <w:kern w:val="0"/>
          <w:szCs w:val="24"/>
          <w:lang w:val="en-US" w:eastAsia="zh-CN"/>
        </w:rPr>
        <w:t>.2</w:t>
      </w:r>
      <w:r>
        <w:rPr>
          <w:rFonts w:ascii="宋体" w:hAnsi="宋体"/>
          <w:kern w:val="0"/>
          <w:szCs w:val="24"/>
        </w:rPr>
        <w:t>通知以送到日期或通知书的生效日期为生效日期，两者中以晚的一个日期为准。</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5</w:t>
      </w:r>
      <w:r>
        <w:rPr>
          <w:rFonts w:hint="eastAsia" w:ascii="宋体" w:hAnsi="宋体"/>
          <w:kern w:val="0"/>
          <w:szCs w:val="24"/>
          <w:lang w:val="en-US" w:eastAsia="zh-CN"/>
        </w:rPr>
        <w:t>.</w:t>
      </w:r>
      <w:r>
        <w:rPr>
          <w:rFonts w:ascii="宋体" w:hAnsi="宋体"/>
          <w:kern w:val="0"/>
          <w:szCs w:val="24"/>
        </w:rPr>
        <w:t>税款</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5</w:t>
      </w:r>
      <w:r>
        <w:rPr>
          <w:rFonts w:hint="eastAsia" w:ascii="宋体" w:hAnsi="宋体"/>
          <w:kern w:val="0"/>
          <w:szCs w:val="24"/>
          <w:lang w:val="en-US" w:eastAsia="zh-CN"/>
        </w:rPr>
        <w:t>.1</w:t>
      </w:r>
      <w:r>
        <w:rPr>
          <w:rFonts w:ascii="宋体" w:hAnsi="宋体"/>
          <w:kern w:val="0"/>
          <w:szCs w:val="24"/>
        </w:rPr>
        <w:t>按照中华人民共和国税法和有关部门的规定，买方需交纳的与本合同有关的一切税费均应由买方负担。</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5</w:t>
      </w:r>
      <w:r>
        <w:rPr>
          <w:rFonts w:hint="eastAsia" w:ascii="宋体" w:hAnsi="宋体"/>
          <w:kern w:val="0"/>
          <w:szCs w:val="24"/>
          <w:lang w:val="en-US" w:eastAsia="zh-CN"/>
        </w:rPr>
        <w:t>.2</w:t>
      </w:r>
      <w:r>
        <w:rPr>
          <w:rFonts w:ascii="宋体" w:hAnsi="宋体"/>
          <w:kern w:val="0"/>
          <w:szCs w:val="24"/>
        </w:rPr>
        <w:t>按照中华人民共和国税法和有关部门的规定，卖方需交纳的与本合同有关的一切税费均应由卖方负担。</w:t>
      </w:r>
    </w:p>
    <w:p>
      <w:pPr>
        <w:autoSpaceDN w:val="0"/>
        <w:adjustRightInd w:val="0"/>
        <w:spacing w:line="480" w:lineRule="exact"/>
        <w:ind w:firstLine="480" w:firstLineChars="200"/>
        <w:rPr>
          <w:rFonts w:ascii="宋体" w:hAnsi="宋体"/>
          <w:kern w:val="0"/>
          <w:szCs w:val="24"/>
        </w:rPr>
      </w:pPr>
      <w:r>
        <w:rPr>
          <w:rFonts w:ascii="宋体" w:hAnsi="宋体"/>
          <w:kern w:val="0"/>
          <w:szCs w:val="24"/>
        </w:rPr>
        <w:t>2</w:t>
      </w:r>
      <w:r>
        <w:rPr>
          <w:rFonts w:hint="eastAsia" w:ascii="宋体" w:hAnsi="宋体"/>
          <w:kern w:val="0"/>
          <w:szCs w:val="24"/>
        </w:rPr>
        <w:t>6</w:t>
      </w:r>
      <w:r>
        <w:rPr>
          <w:rFonts w:hint="eastAsia" w:ascii="宋体" w:hAnsi="宋体"/>
          <w:kern w:val="0"/>
          <w:szCs w:val="24"/>
          <w:lang w:val="en-US" w:eastAsia="zh-CN"/>
        </w:rPr>
        <w:t>.</w:t>
      </w:r>
      <w:r>
        <w:rPr>
          <w:rFonts w:ascii="宋体" w:hAnsi="宋体"/>
          <w:kern w:val="0"/>
          <w:szCs w:val="24"/>
        </w:rPr>
        <w:t>合同生效</w:t>
      </w:r>
    </w:p>
    <w:p>
      <w:pPr>
        <w:adjustRightInd w:val="0"/>
        <w:snapToGrid w:val="0"/>
        <w:spacing w:line="480" w:lineRule="exact"/>
        <w:ind w:firstLine="480" w:firstLineChars="200"/>
        <w:rPr>
          <w:rFonts w:hint="eastAsia" w:ascii="宋体" w:hAnsi="宋体"/>
          <w:kern w:val="0"/>
          <w:szCs w:val="24"/>
        </w:rPr>
      </w:pPr>
      <w:r>
        <w:rPr>
          <w:rFonts w:hint="eastAsia" w:ascii="宋体" w:hAnsi="宋体"/>
          <w:kern w:val="0"/>
          <w:szCs w:val="24"/>
        </w:rPr>
        <w:t>本合同由买卖双方共同签字盖章，自最后一方签字盖章之日起生效。</w:t>
      </w:r>
    </w:p>
    <w:p>
      <w:pPr>
        <w:spacing w:line="480" w:lineRule="exact"/>
        <w:rPr>
          <w:rFonts w:ascii="宋体" w:hAnsi="宋体"/>
          <w:kern w:val="0"/>
          <w:szCs w:val="24"/>
        </w:rPr>
      </w:pPr>
    </w:p>
    <w:p>
      <w:pPr>
        <w:rPr>
          <w:rFonts w:ascii="宋体" w:hAnsi="宋体" w:cs="宋体"/>
          <w:color w:val="auto"/>
          <w:highlight w:val="none"/>
        </w:rPr>
      </w:pPr>
    </w:p>
    <w:p>
      <w:pPr>
        <w:rPr>
          <w:rFonts w:hint="eastAsia" w:ascii="宋体" w:hAnsi="宋体" w:cs="宋体"/>
          <w:color w:val="auto"/>
          <w:highlight w:val="none"/>
        </w:rPr>
      </w:pPr>
      <w:bookmarkStart w:id="94" w:name="_Toc31878"/>
      <w:bookmarkStart w:id="95" w:name="_Toc458617470"/>
      <w:bookmarkStart w:id="96" w:name="_Toc458617747"/>
      <w:r>
        <w:rPr>
          <w:rFonts w:hint="eastAsia" w:ascii="宋体" w:hAnsi="宋体" w:cs="宋体"/>
          <w:color w:val="auto"/>
          <w:highlight w:val="none"/>
        </w:rPr>
        <w:br w:type="page"/>
      </w:r>
    </w:p>
    <w:p>
      <w:pPr>
        <w:pStyle w:val="3"/>
        <w:spacing w:before="0" w:after="0" w:line="480" w:lineRule="auto"/>
        <w:jc w:val="center"/>
        <w:rPr>
          <w:rFonts w:ascii="宋体" w:hAnsi="宋体" w:cs="宋体"/>
          <w:color w:val="auto"/>
          <w:highlight w:val="none"/>
        </w:rPr>
      </w:pPr>
      <w:r>
        <w:rPr>
          <w:rFonts w:hint="eastAsia" w:ascii="宋体" w:hAnsi="宋体" w:cs="宋体"/>
          <w:color w:val="auto"/>
          <w:highlight w:val="none"/>
        </w:rPr>
        <w:t>第六章  投标文件格式</w:t>
      </w:r>
      <w:bookmarkEnd w:id="94"/>
      <w:bookmarkEnd w:id="95"/>
      <w:bookmarkEnd w:id="96"/>
    </w:p>
    <w:p>
      <w:pPr>
        <w:spacing w:line="480" w:lineRule="exact"/>
        <w:jc w:val="center"/>
        <w:rPr>
          <w:rFonts w:ascii="宋体" w:hAnsi="宋体" w:cs="宋体"/>
          <w:color w:val="auto"/>
          <w:szCs w:val="24"/>
          <w:highlight w:val="none"/>
        </w:rPr>
      </w:pPr>
      <w:r>
        <w:rPr>
          <w:rFonts w:hint="eastAsia" w:ascii="宋体" w:hAnsi="宋体" w:cs="宋体"/>
          <w:color w:val="auto"/>
          <w:szCs w:val="24"/>
          <w:highlight w:val="none"/>
        </w:rPr>
        <w:t>投标文件编制说明</w:t>
      </w:r>
    </w:p>
    <w:p>
      <w:pPr>
        <w:spacing w:line="48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1.投标文件</w:t>
      </w:r>
      <w:r>
        <w:rPr>
          <w:rFonts w:hint="eastAsia" w:ascii="宋体" w:hAnsi="宋体" w:cs="宋体"/>
          <w:color w:val="auto"/>
          <w:highlight w:val="none"/>
        </w:rPr>
        <w:t>应当按照招标文件给定的格式和要求编制，格式之外的可自行编写</w:t>
      </w:r>
      <w:r>
        <w:rPr>
          <w:rFonts w:hint="eastAsia" w:ascii="宋体" w:hAnsi="宋体" w:cs="宋体"/>
          <w:color w:val="auto"/>
          <w:szCs w:val="24"/>
          <w:highlight w:val="none"/>
        </w:rPr>
        <w:t>。</w:t>
      </w:r>
    </w:p>
    <w:p>
      <w:pPr>
        <w:spacing w:line="480" w:lineRule="exact"/>
        <w:ind w:firstLine="480" w:firstLineChars="200"/>
        <w:rPr>
          <w:rFonts w:ascii="宋体" w:hAnsi="宋体" w:cs="宋体"/>
          <w:color w:val="auto"/>
          <w:highlight w:val="none"/>
        </w:rPr>
      </w:pPr>
      <w:r>
        <w:rPr>
          <w:rFonts w:hint="eastAsia" w:ascii="宋体" w:hAnsi="宋体" w:cs="宋体"/>
          <w:color w:val="auto"/>
          <w:szCs w:val="24"/>
          <w:highlight w:val="none"/>
        </w:rPr>
        <w:t>2.投标人必须按照招标文件的规定和要求</w:t>
      </w:r>
      <w:r>
        <w:rPr>
          <w:rFonts w:hint="eastAsia" w:ascii="宋体" w:hAnsi="宋体" w:cs="宋体"/>
          <w:color w:val="auto"/>
          <w:highlight w:val="none"/>
        </w:rPr>
        <w:t>在投标文件中指定的页面落款处加盖公章（鲜章）并</w:t>
      </w:r>
      <w:r>
        <w:rPr>
          <w:rFonts w:hint="eastAsia" w:ascii="宋体" w:hAnsi="宋体" w:cs="宋体"/>
          <w:color w:val="auto"/>
          <w:szCs w:val="24"/>
          <w:highlight w:val="none"/>
        </w:rPr>
        <w:t>由法定代表人或被授权人签字（或盖章）。招标文件凡是要求法定代表人签字或盖章之处，非法人单位的负责人均参</w:t>
      </w:r>
      <w:r>
        <w:rPr>
          <w:rFonts w:hint="eastAsia" w:ascii="宋体" w:hAnsi="宋体" w:cs="宋体"/>
          <w:color w:val="auto"/>
          <w:highlight w:val="none"/>
        </w:rPr>
        <w:t>照执行。</w:t>
      </w: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ind w:firstLine="4003" w:firstLineChars="1246"/>
        <w:rPr>
          <w:rFonts w:ascii="宋体" w:hAnsi="宋体" w:cs="宋体"/>
          <w:b/>
          <w:color w:val="auto"/>
          <w:sz w:val="32"/>
          <w:szCs w:val="32"/>
          <w:highlight w:val="none"/>
        </w:rPr>
      </w:pPr>
    </w:p>
    <w:p>
      <w:pPr>
        <w:spacing w:line="480" w:lineRule="exact"/>
        <w:rPr>
          <w:rFonts w:ascii="宋体" w:hAnsi="宋体" w:cs="宋体"/>
          <w:b/>
          <w:color w:val="auto"/>
          <w:sz w:val="32"/>
          <w:szCs w:val="32"/>
          <w:highlight w:val="none"/>
        </w:rPr>
      </w:pPr>
    </w:p>
    <w:p>
      <w:pPr>
        <w:rPr>
          <w:rFonts w:ascii="宋体" w:hAnsi="宋体" w:cs="宋体"/>
          <w:b/>
          <w:color w:val="auto"/>
          <w:sz w:val="36"/>
          <w:szCs w:val="36"/>
          <w:highlight w:val="none"/>
        </w:rPr>
      </w:pPr>
    </w:p>
    <w:p>
      <w:pPr>
        <w:rPr>
          <w:rFonts w:ascii="宋体" w:hAnsi="宋体" w:cs="宋体"/>
          <w:b/>
          <w:color w:val="auto"/>
          <w:sz w:val="36"/>
          <w:szCs w:val="36"/>
          <w:highlight w:val="none"/>
        </w:rPr>
      </w:pPr>
    </w:p>
    <w:p>
      <w:pPr>
        <w:rPr>
          <w:rFonts w:ascii="宋体" w:hAnsi="宋体" w:cs="宋体"/>
          <w:b/>
          <w:color w:val="auto"/>
          <w:sz w:val="36"/>
          <w:szCs w:val="36"/>
          <w:highlight w:val="none"/>
        </w:rPr>
      </w:pPr>
    </w:p>
    <w:p>
      <w:pPr>
        <w:rPr>
          <w:rFonts w:ascii="宋体" w:hAnsi="宋体" w:cs="宋体"/>
          <w:b/>
          <w:color w:val="auto"/>
          <w:sz w:val="36"/>
          <w:szCs w:val="36"/>
          <w:highlight w:val="none"/>
        </w:rPr>
      </w:pPr>
    </w:p>
    <w:p>
      <w:pPr>
        <w:rPr>
          <w:rFonts w:ascii="宋体" w:hAnsi="宋体" w:cs="宋体"/>
          <w:b/>
          <w:color w:val="auto"/>
          <w:sz w:val="36"/>
          <w:szCs w:val="36"/>
          <w:highlight w:val="none"/>
        </w:rPr>
      </w:pPr>
    </w:p>
    <w:p>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pPr>
        <w:rPr>
          <w:rFonts w:hint="eastAsia" w:ascii="宋体" w:hAnsi="宋体" w:cs="宋体"/>
          <w:b/>
          <w:color w:val="auto"/>
          <w:sz w:val="32"/>
          <w:szCs w:val="32"/>
          <w:highlight w:val="none"/>
        </w:rPr>
      </w:pPr>
    </w:p>
    <w:p>
      <w:pPr>
        <w:rPr>
          <w:rFonts w:ascii="宋体" w:hAnsi="宋体" w:cs="宋体"/>
          <w:b/>
          <w:color w:val="auto"/>
          <w:sz w:val="36"/>
          <w:szCs w:val="36"/>
          <w:highlight w:val="none"/>
          <w:bdr w:val="single" w:color="auto" w:sz="4" w:space="0"/>
          <w:shd w:val="pct10" w:color="auto" w:fill="FFFFFF"/>
        </w:rPr>
      </w:pPr>
      <w:r>
        <w:rPr>
          <w:rFonts w:hint="eastAsia" w:ascii="宋体" w:hAnsi="宋体" w:cs="宋体"/>
          <w:b/>
          <w:color w:val="auto"/>
          <w:sz w:val="32"/>
          <w:szCs w:val="32"/>
          <w:highlight w:val="none"/>
        </w:rPr>
        <w:t xml:space="preserve">                           </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 xml:space="preserve">  </w:t>
      </w:r>
      <w:r>
        <w:rPr>
          <w:rFonts w:hint="eastAsia" w:ascii="宋体" w:hAnsi="宋体" w:cs="宋体"/>
          <w:b/>
          <w:color w:val="auto"/>
          <w:sz w:val="36"/>
          <w:szCs w:val="36"/>
          <w:highlight w:val="none"/>
        </w:rPr>
        <w:t xml:space="preserve"> </w:t>
      </w:r>
      <w:r>
        <w:rPr>
          <w:rFonts w:hint="eastAsia" w:ascii="宋体" w:hAnsi="宋体" w:cs="宋体"/>
          <w:b/>
          <w:color w:val="auto"/>
          <w:sz w:val="36"/>
          <w:szCs w:val="36"/>
          <w:highlight w:val="none"/>
          <w:bdr w:val="single" w:color="auto" w:sz="4" w:space="0"/>
          <w:shd w:val="pct10" w:color="auto" w:fill="FFFFFF"/>
        </w:rPr>
        <w:t>政府采购项目</w:t>
      </w:r>
    </w:p>
    <w:p>
      <w:pPr>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pPr>
        <w:rPr>
          <w:rFonts w:hint="eastAsia" w:ascii="宋体" w:hAnsi="宋体" w:cs="宋体"/>
          <w:b/>
          <w:color w:val="auto"/>
          <w:sz w:val="36"/>
          <w:szCs w:val="36"/>
          <w:highlight w:val="none"/>
        </w:rPr>
      </w:pPr>
    </w:p>
    <w:p>
      <w:pPr>
        <w:rPr>
          <w:rFonts w:hint="eastAsia" w:ascii="宋体" w:hAnsi="宋体" w:cs="宋体"/>
          <w:b/>
          <w:color w:val="auto"/>
          <w:sz w:val="36"/>
          <w:szCs w:val="36"/>
          <w:highlight w:val="none"/>
        </w:rPr>
      </w:pPr>
    </w:p>
    <w:p>
      <w:pP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 xml:space="preserve">项目编号: </w:t>
      </w:r>
      <w:r>
        <w:rPr>
          <w:rFonts w:hint="eastAsia" w:ascii="宋体" w:hAnsi="宋体" w:cs="宋体"/>
          <w:b/>
          <w:color w:val="auto"/>
          <w:sz w:val="36"/>
          <w:szCs w:val="36"/>
          <w:highlight w:val="none"/>
          <w:lang w:eastAsia="zh-CN"/>
        </w:rPr>
        <w:t>SDZC2023-281-01</w:t>
      </w:r>
    </w:p>
    <w:p>
      <w:pPr>
        <w:rPr>
          <w:rFonts w:ascii="宋体" w:hAnsi="宋体" w:cs="宋体"/>
          <w:b/>
          <w:color w:val="auto"/>
          <w:sz w:val="36"/>
          <w:szCs w:val="36"/>
          <w:highlight w:val="none"/>
        </w:rPr>
      </w:pPr>
    </w:p>
    <w:p>
      <w:pPr>
        <w:spacing w:before="120" w:beforeLines="50" w:line="800" w:lineRule="exact"/>
        <w:ind w:right="-998" w:rightChars="-416"/>
        <w:rPr>
          <w:rFonts w:ascii="宋体" w:hAnsi="宋体" w:cs="宋体"/>
          <w:b/>
          <w:bCs/>
          <w:color w:val="auto"/>
          <w:spacing w:val="52"/>
          <w:kern w:val="0"/>
          <w:sz w:val="15"/>
          <w:szCs w:val="15"/>
          <w:highlight w:val="none"/>
        </w:rPr>
      </w:pPr>
    </w:p>
    <w:p>
      <w:pPr>
        <w:spacing w:line="600" w:lineRule="exact"/>
        <w:jc w:val="center"/>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40"/>
          <w:szCs w:val="40"/>
          <w:highlight w:val="none"/>
          <w:lang w:eastAsia="zh-CN"/>
        </w:rPr>
        <w:t>黄龙县人民医院信息化DIP、电子票据建设项目</w:t>
      </w:r>
    </w:p>
    <w:p>
      <w:pPr>
        <w:spacing w:line="600" w:lineRule="exact"/>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40"/>
          <w:szCs w:val="40"/>
          <w:highlight w:val="none"/>
          <w:lang w:eastAsia="zh-CN"/>
        </w:rPr>
        <w:t>（第一标段：按病种分值付费（DIP）建设项目）</w:t>
      </w:r>
    </w:p>
    <w:p>
      <w:pPr>
        <w:spacing w:before="120" w:beforeLines="50" w:line="800" w:lineRule="exact"/>
        <w:ind w:right="-998" w:rightChars="-416"/>
        <w:jc w:val="center"/>
        <w:rPr>
          <w:rFonts w:ascii="宋体" w:hAnsi="宋体" w:cs="宋体"/>
          <w:b/>
          <w:bCs/>
          <w:color w:val="auto"/>
          <w:spacing w:val="20"/>
          <w:kern w:val="0"/>
          <w:sz w:val="84"/>
          <w:szCs w:val="84"/>
          <w:highlight w:val="none"/>
        </w:rPr>
      </w:pPr>
    </w:p>
    <w:p>
      <w:pPr>
        <w:spacing w:before="120" w:beforeLines="50" w:line="800" w:lineRule="exact"/>
        <w:ind w:right="-998" w:rightChars="-416" w:firstLine="2960" w:firstLineChars="388"/>
        <w:rPr>
          <w:rFonts w:ascii="宋体" w:hAnsi="宋体" w:cs="宋体"/>
          <w:b/>
          <w:bCs/>
          <w:color w:val="auto"/>
          <w:spacing w:val="20"/>
          <w:kern w:val="0"/>
          <w:sz w:val="72"/>
          <w:szCs w:val="72"/>
          <w:highlight w:val="none"/>
        </w:rPr>
      </w:pPr>
      <w:r>
        <w:rPr>
          <w:rFonts w:hint="eastAsia" w:ascii="宋体" w:hAnsi="宋体" w:cs="宋体"/>
          <w:b/>
          <w:bCs/>
          <w:color w:val="auto"/>
          <w:spacing w:val="20"/>
          <w:kern w:val="0"/>
          <w:sz w:val="72"/>
          <w:szCs w:val="72"/>
          <w:highlight w:val="none"/>
        </w:rPr>
        <w:t>投标文件</w:t>
      </w:r>
    </w:p>
    <w:p>
      <w:pPr>
        <w:spacing w:line="1400" w:lineRule="atLeast"/>
        <w:rPr>
          <w:rFonts w:ascii="宋体" w:hAnsi="宋体" w:cs="宋体"/>
          <w:color w:val="auto"/>
          <w:sz w:val="32"/>
          <w:highlight w:val="none"/>
        </w:rPr>
      </w:pPr>
    </w:p>
    <w:p>
      <w:pPr>
        <w:rPr>
          <w:rFonts w:ascii="宋体" w:hAnsi="宋体" w:cs="宋体"/>
          <w:color w:val="auto"/>
          <w:sz w:val="32"/>
          <w:highlight w:val="none"/>
        </w:rPr>
      </w:pPr>
    </w:p>
    <w:p>
      <w:pPr>
        <w:pStyle w:val="2"/>
        <w:rPr>
          <w:rFonts w:ascii="宋体" w:hAnsi="宋体" w:cs="宋体"/>
          <w:color w:val="auto"/>
          <w:sz w:val="32"/>
          <w:highlight w:val="none"/>
        </w:rPr>
      </w:pPr>
    </w:p>
    <w:p>
      <w:pPr>
        <w:rPr>
          <w:rFonts w:ascii="宋体" w:hAnsi="宋体" w:cs="宋体"/>
          <w:color w:val="auto"/>
          <w:sz w:val="32"/>
          <w:highlight w:val="none"/>
        </w:rPr>
      </w:pPr>
    </w:p>
    <w:p>
      <w:pPr>
        <w:pStyle w:val="2"/>
        <w:rPr>
          <w:rFonts w:ascii="宋体" w:hAnsi="宋体" w:cs="宋体"/>
          <w:color w:val="auto"/>
          <w:sz w:val="32"/>
          <w:highlight w:val="none"/>
        </w:rPr>
      </w:pPr>
    </w:p>
    <w:p>
      <w:pPr>
        <w:rPr>
          <w:color w:val="auto"/>
          <w:highlight w:val="none"/>
        </w:rPr>
      </w:pPr>
    </w:p>
    <w:p>
      <w:pPr>
        <w:rPr>
          <w:rFonts w:ascii="宋体" w:hAnsi="宋体" w:cs="宋体"/>
          <w:color w:val="auto"/>
          <w:sz w:val="32"/>
          <w:highlight w:val="none"/>
        </w:rPr>
      </w:pPr>
    </w:p>
    <w:p>
      <w:pPr>
        <w:spacing w:before="168" w:beforeLines="70"/>
        <w:ind w:firstLine="1634" w:firstLineChars="550"/>
        <w:rPr>
          <w:rFonts w:ascii="宋体" w:hAnsi="宋体" w:cs="宋体"/>
          <w:b/>
          <w:bCs/>
          <w:color w:val="auto"/>
          <w:spacing w:val="8"/>
          <w:sz w:val="28"/>
          <w:szCs w:val="28"/>
          <w:highlight w:val="none"/>
          <w:u w:val="single"/>
        </w:rPr>
      </w:pPr>
      <w:r>
        <w:rPr>
          <w:rFonts w:hint="eastAsia" w:ascii="宋体" w:hAnsi="宋体" w:cs="宋体"/>
          <w:b/>
          <w:color w:val="auto"/>
          <w:spacing w:val="8"/>
          <w:sz w:val="28"/>
          <w:szCs w:val="28"/>
          <w:highlight w:val="none"/>
        </w:rPr>
        <w:t>投 标 单 位：</w:t>
      </w:r>
      <w:r>
        <w:rPr>
          <w:rFonts w:hint="eastAsia" w:ascii="宋体" w:hAnsi="宋体" w:cs="宋体"/>
          <w:b/>
          <w:color w:val="auto"/>
          <w:spacing w:val="8"/>
          <w:sz w:val="28"/>
          <w:szCs w:val="28"/>
          <w:highlight w:val="none"/>
          <w:u w:val="single"/>
        </w:rPr>
        <w:t xml:space="preserve">                       </w:t>
      </w:r>
      <w:r>
        <w:rPr>
          <w:rFonts w:hint="eastAsia" w:ascii="宋体" w:hAnsi="宋体" w:cs="宋体"/>
          <w:b/>
          <w:color w:val="auto"/>
          <w:spacing w:val="8"/>
          <w:sz w:val="28"/>
          <w:szCs w:val="28"/>
          <w:highlight w:val="none"/>
        </w:rPr>
        <w:t xml:space="preserve">                       </w:t>
      </w:r>
    </w:p>
    <w:p>
      <w:pPr>
        <w:spacing w:before="168" w:beforeLines="70"/>
        <w:ind w:firstLine="1661" w:firstLineChars="591"/>
        <w:rPr>
          <w:rFonts w:ascii="宋体" w:hAnsi="宋体" w:cs="宋体"/>
          <w:b/>
          <w:bCs/>
          <w:color w:val="auto"/>
          <w:sz w:val="28"/>
          <w:szCs w:val="28"/>
          <w:highlight w:val="none"/>
          <w:u w:val="singl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w:t>
      </w:r>
    </w:p>
    <w:p>
      <w:pPr>
        <w:spacing w:line="480" w:lineRule="exact"/>
        <w:ind w:firstLine="1661" w:firstLineChars="591"/>
        <w:rPr>
          <w:rFonts w:ascii="宋体" w:hAnsi="宋体" w:cs="宋体"/>
          <w:b/>
          <w:color w:val="auto"/>
          <w:sz w:val="32"/>
          <w:szCs w:val="32"/>
          <w:highlight w:val="none"/>
        </w:rPr>
      </w:pPr>
      <w:r>
        <w:rPr>
          <w:rFonts w:hint="eastAsia" w:ascii="宋体" w:hAnsi="宋体" w:cs="宋体"/>
          <w:b/>
          <w:color w:val="auto"/>
          <w:sz w:val="28"/>
          <w:szCs w:val="28"/>
          <w:highlight w:val="none"/>
        </w:rPr>
        <w:t>时        间：</w:t>
      </w:r>
      <w:r>
        <w:rPr>
          <w:rFonts w:hint="eastAsia" w:ascii="宋体" w:hAnsi="宋体" w:cs="宋体"/>
          <w:b/>
          <w:color w:val="auto"/>
          <w:sz w:val="28"/>
          <w:szCs w:val="28"/>
          <w:highlight w:val="none"/>
          <w:u w:val="single"/>
        </w:rPr>
        <w:t xml:space="preserve">                          </w:t>
      </w:r>
      <w:bookmarkStart w:id="97" w:name="_Toc193126881"/>
      <w:bookmarkStart w:id="98" w:name="_Toc167591492"/>
      <w:bookmarkStart w:id="99" w:name="_Toc167590775"/>
      <w:bookmarkStart w:id="100" w:name="_Toc167591144"/>
      <w:bookmarkStart w:id="101" w:name="_Toc175033592"/>
      <w:bookmarkStart w:id="102" w:name="_Toc167591330"/>
      <w:bookmarkStart w:id="103" w:name="_Toc170980453"/>
      <w:bookmarkStart w:id="104" w:name="_Toc154482479"/>
      <w:bookmarkStart w:id="105" w:name="_Toc169846873"/>
      <w:bookmarkStart w:id="106" w:name="_Toc175032437"/>
      <w:bookmarkStart w:id="107" w:name="_Toc170980552"/>
      <w:bookmarkStart w:id="108" w:name="_Toc169838532"/>
      <w:bookmarkStart w:id="109" w:name="_Toc194663918"/>
      <w:bookmarkStart w:id="110" w:name="_Toc167849360"/>
      <w:bookmarkStart w:id="111" w:name="_Toc188808833"/>
      <w:bookmarkStart w:id="112" w:name="_Toc193187097"/>
      <w:bookmarkStart w:id="113" w:name="_Toc173549978"/>
      <w:bookmarkStart w:id="114" w:name="_Toc167591043"/>
      <w:bookmarkStart w:id="115" w:name="_Toc169846776"/>
    </w:p>
    <w:p>
      <w:pPr>
        <w:spacing w:line="480" w:lineRule="exact"/>
        <w:ind w:left="240" w:leftChars="100" w:firstLine="4003" w:firstLineChars="1246"/>
        <w:rPr>
          <w:rFonts w:ascii="宋体" w:hAnsi="宋体" w:cs="宋体"/>
          <w:b/>
          <w:color w:val="auto"/>
          <w:sz w:val="32"/>
          <w:szCs w:val="32"/>
          <w:highlight w:val="none"/>
        </w:rPr>
      </w:pPr>
    </w:p>
    <w:p>
      <w:pPr>
        <w:rPr>
          <w:rFonts w:ascii="宋体" w:hAnsi="宋体" w:cs="宋体"/>
          <w:b/>
          <w:color w:val="auto"/>
          <w:sz w:val="32"/>
          <w:szCs w:val="32"/>
          <w:highlight w:val="none"/>
        </w:rPr>
      </w:pPr>
    </w:p>
    <w:p>
      <w:pPr>
        <w:rPr>
          <w:rFonts w:ascii="宋体" w:hAnsi="宋体" w:cs="宋体"/>
          <w:color w:val="auto"/>
          <w:highlight w:val="none"/>
        </w:rPr>
      </w:pPr>
    </w:p>
    <w:p>
      <w:pPr>
        <w:spacing w:line="480" w:lineRule="exact"/>
        <w:jc w:val="center"/>
        <w:rPr>
          <w:rFonts w:ascii="宋体" w:hAnsi="宋体" w:cs="宋体"/>
          <w:b/>
          <w:color w:val="auto"/>
          <w:sz w:val="36"/>
          <w:szCs w:val="36"/>
          <w:highlight w:val="none"/>
        </w:rPr>
      </w:pPr>
      <w:r>
        <w:rPr>
          <w:rFonts w:hint="eastAsia" w:ascii="宋体" w:hAnsi="宋体" w:cs="宋体"/>
          <w:b/>
          <w:color w:val="auto"/>
          <w:sz w:val="36"/>
          <w:szCs w:val="36"/>
          <w:highlight w:val="none"/>
        </w:rPr>
        <w:t>目  录</w:t>
      </w:r>
    </w:p>
    <w:p>
      <w:pPr>
        <w:spacing w:line="480" w:lineRule="exact"/>
        <w:ind w:left="240" w:leftChars="100"/>
        <w:rPr>
          <w:rFonts w:ascii="宋体" w:hAnsi="宋体" w:cs="宋体"/>
          <w:color w:val="auto"/>
          <w:szCs w:val="24"/>
          <w:highlight w:val="none"/>
        </w:rPr>
      </w:pPr>
    </w:p>
    <w:p>
      <w:pPr>
        <w:spacing w:line="460" w:lineRule="exact"/>
        <w:ind w:firstLine="1200" w:firstLineChars="500"/>
        <w:rPr>
          <w:rFonts w:ascii="宋体" w:hAnsi="宋体" w:cs="宋体"/>
          <w:color w:val="auto"/>
          <w:szCs w:val="24"/>
          <w:highlight w:val="none"/>
        </w:rPr>
      </w:pPr>
      <w:r>
        <w:rPr>
          <w:rFonts w:hint="eastAsia" w:ascii="宋体" w:hAnsi="宋体" w:cs="宋体"/>
          <w:color w:val="auto"/>
          <w:szCs w:val="24"/>
          <w:highlight w:val="none"/>
        </w:rPr>
        <w:t>1．投标函</w:t>
      </w:r>
      <w:r>
        <w:rPr>
          <w:rFonts w:hint="eastAsia" w:ascii="宋体" w:hAnsi="宋体" w:cs="宋体"/>
          <w:color w:val="auto"/>
          <w:highlight w:val="none"/>
        </w:rPr>
        <w:t>（格式）</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2．开标一览表</w:t>
      </w:r>
      <w:r>
        <w:rPr>
          <w:rFonts w:hint="eastAsia" w:ascii="宋体" w:hAnsi="宋体" w:cs="宋体"/>
          <w:color w:val="auto"/>
          <w:highlight w:val="none"/>
        </w:rPr>
        <w:t>（格式）</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3．分项报价表</w:t>
      </w:r>
      <w:r>
        <w:rPr>
          <w:rFonts w:hint="eastAsia" w:ascii="宋体" w:hAnsi="宋体" w:cs="宋体"/>
          <w:color w:val="auto"/>
          <w:highlight w:val="none"/>
        </w:rPr>
        <w:t>（格式）</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4. 节能环保、环境标志产品明细表</w:t>
      </w:r>
      <w:r>
        <w:rPr>
          <w:rFonts w:hint="eastAsia" w:ascii="宋体" w:hAnsi="宋体" w:cs="宋体"/>
          <w:color w:val="auto"/>
          <w:highlight w:val="none"/>
        </w:rPr>
        <w:t>（格式，若有）</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5．技术规格响应偏离表</w:t>
      </w:r>
      <w:r>
        <w:rPr>
          <w:rFonts w:hint="eastAsia" w:ascii="宋体" w:hAnsi="宋体" w:cs="宋体"/>
          <w:color w:val="auto"/>
          <w:highlight w:val="none"/>
        </w:rPr>
        <w:t>（格式）</w:t>
      </w:r>
    </w:p>
    <w:p>
      <w:pPr>
        <w:spacing w:line="460" w:lineRule="exact"/>
        <w:ind w:left="240" w:leftChars="100" w:firstLine="960" w:firstLineChars="400"/>
        <w:rPr>
          <w:rFonts w:ascii="宋体" w:hAnsi="宋体" w:cs="宋体"/>
          <w:color w:val="auto"/>
          <w:highlight w:val="none"/>
        </w:rPr>
      </w:pPr>
      <w:r>
        <w:rPr>
          <w:rFonts w:hint="eastAsia" w:ascii="宋体" w:hAnsi="宋体" w:cs="宋体"/>
          <w:color w:val="auto"/>
          <w:szCs w:val="24"/>
          <w:highlight w:val="none"/>
        </w:rPr>
        <w:t>6．商务条款响应偏离表</w:t>
      </w:r>
      <w:r>
        <w:rPr>
          <w:rFonts w:hint="eastAsia" w:ascii="宋体" w:hAnsi="宋体" w:cs="宋体"/>
          <w:color w:val="auto"/>
          <w:highlight w:val="none"/>
        </w:rPr>
        <w:t>（格式）</w:t>
      </w:r>
    </w:p>
    <w:p>
      <w:pPr>
        <w:spacing w:line="460" w:lineRule="exact"/>
        <w:ind w:left="240" w:leftChars="100" w:firstLine="960" w:firstLineChars="400"/>
        <w:rPr>
          <w:rFonts w:ascii="宋体" w:hAnsi="宋体" w:cs="宋体"/>
          <w:color w:val="auto"/>
          <w:highlight w:val="none"/>
        </w:rPr>
      </w:pPr>
      <w:r>
        <w:rPr>
          <w:rFonts w:hint="eastAsia" w:ascii="宋体" w:hAnsi="宋体" w:cs="宋体"/>
          <w:color w:val="auto"/>
          <w:szCs w:val="24"/>
          <w:highlight w:val="none"/>
        </w:rPr>
        <w:t>7．法定代表人授权书</w:t>
      </w:r>
      <w:r>
        <w:rPr>
          <w:rFonts w:hint="eastAsia" w:ascii="宋体" w:hAnsi="宋体" w:cs="宋体"/>
          <w:color w:val="auto"/>
          <w:highlight w:val="none"/>
        </w:rPr>
        <w:t>（格式）</w:t>
      </w:r>
    </w:p>
    <w:p>
      <w:pPr>
        <w:spacing w:line="460" w:lineRule="exact"/>
        <w:ind w:left="1200" w:leftChars="500"/>
        <w:rPr>
          <w:rFonts w:ascii="宋体" w:hAnsi="宋体" w:cs="宋体"/>
          <w:color w:val="auto"/>
          <w:szCs w:val="24"/>
          <w:highlight w:val="none"/>
        </w:rPr>
      </w:pPr>
      <w:r>
        <w:rPr>
          <w:rFonts w:hint="eastAsia" w:ascii="宋体" w:hAnsi="宋体" w:cs="宋体"/>
          <w:color w:val="auto"/>
          <w:szCs w:val="24"/>
          <w:highlight w:val="none"/>
        </w:rPr>
        <w:t>8.资格证明文件</w:t>
      </w:r>
    </w:p>
    <w:p>
      <w:pPr>
        <w:spacing w:line="480" w:lineRule="exact"/>
        <w:ind w:firstLine="1200" w:firstLineChars="500"/>
        <w:rPr>
          <w:rFonts w:ascii="宋体" w:hAnsi="宋体" w:cs="宋体"/>
          <w:color w:val="auto"/>
          <w:kern w:val="0"/>
          <w:szCs w:val="24"/>
          <w:highlight w:val="none"/>
        </w:rPr>
      </w:pPr>
      <w:r>
        <w:rPr>
          <w:rFonts w:hint="eastAsia" w:ascii="宋体" w:hAnsi="宋体" w:cs="宋体"/>
          <w:color w:val="auto"/>
          <w:kern w:val="0"/>
          <w:szCs w:val="24"/>
          <w:highlight w:val="none"/>
        </w:rPr>
        <w:t>9.技术指标</w:t>
      </w:r>
      <w:r>
        <w:rPr>
          <w:rFonts w:hint="eastAsia" w:ascii="宋体" w:hAnsi="宋体" w:cs="宋体"/>
          <w:color w:val="auto"/>
          <w:kern w:val="0"/>
          <w:szCs w:val="24"/>
          <w:highlight w:val="none"/>
          <w:lang w:eastAsia="zh-CN"/>
        </w:rPr>
        <w:t>及</w:t>
      </w:r>
      <w:r>
        <w:rPr>
          <w:rFonts w:hint="eastAsia" w:ascii="宋体" w:hAnsi="宋体" w:cs="宋体"/>
          <w:color w:val="auto"/>
          <w:kern w:val="0"/>
          <w:szCs w:val="24"/>
          <w:highlight w:val="none"/>
        </w:rPr>
        <w:t>配置</w:t>
      </w:r>
    </w:p>
    <w:p>
      <w:pPr>
        <w:spacing w:line="480" w:lineRule="exact"/>
        <w:ind w:firstLine="1200" w:firstLineChars="500"/>
        <w:rPr>
          <w:rFonts w:hint="default" w:ascii="宋体" w:hAnsi="宋体" w:eastAsia="宋体" w:cs="宋体"/>
          <w:color w:val="auto"/>
          <w:kern w:val="0"/>
          <w:szCs w:val="24"/>
          <w:highlight w:val="none"/>
          <w:lang w:val="en-US" w:eastAsia="zh-CN"/>
        </w:rPr>
      </w:pPr>
      <w:r>
        <w:rPr>
          <w:rFonts w:hint="eastAsia" w:ascii="宋体" w:hAnsi="宋体" w:cs="宋体"/>
          <w:color w:val="auto"/>
          <w:kern w:val="0"/>
          <w:szCs w:val="24"/>
          <w:highlight w:val="none"/>
          <w:lang w:val="en-US" w:eastAsia="zh-CN"/>
        </w:rPr>
        <w:t>10.技术方案</w:t>
      </w:r>
    </w:p>
    <w:p>
      <w:pPr>
        <w:spacing w:line="480" w:lineRule="exact"/>
        <w:ind w:firstLine="1200" w:firstLineChars="500"/>
        <w:rPr>
          <w:rFonts w:hint="eastAsia" w:ascii="宋体" w:hAnsi="宋体" w:cs="宋体"/>
          <w:color w:val="auto"/>
          <w:kern w:val="0"/>
          <w:szCs w:val="24"/>
          <w:highlight w:val="none"/>
        </w:rPr>
      </w:pP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en-US" w:eastAsia="zh-CN"/>
        </w:rPr>
        <w:t>1</w:t>
      </w:r>
      <w:r>
        <w:rPr>
          <w:rFonts w:hint="eastAsia" w:ascii="宋体" w:hAnsi="宋体" w:cs="宋体"/>
          <w:color w:val="auto"/>
          <w:kern w:val="0"/>
          <w:szCs w:val="24"/>
          <w:highlight w:val="none"/>
        </w:rPr>
        <w:t>.项目实施方案</w:t>
      </w:r>
    </w:p>
    <w:p>
      <w:pPr>
        <w:spacing w:line="460" w:lineRule="exact"/>
        <w:ind w:left="1200" w:leftChars="5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lang w:eastAsia="zh-CN"/>
        </w:rPr>
        <w:t>拟派项目组人员</w:t>
      </w:r>
    </w:p>
    <w:p>
      <w:pPr>
        <w:spacing w:line="480" w:lineRule="exact"/>
        <w:ind w:firstLine="1200" w:firstLineChars="500"/>
        <w:rPr>
          <w:rFonts w:ascii="宋体" w:hAnsi="宋体" w:cs="宋体"/>
          <w:color w:val="auto"/>
          <w:kern w:val="0"/>
          <w:szCs w:val="24"/>
          <w:highlight w:val="none"/>
        </w:rPr>
      </w:pPr>
      <w:r>
        <w:rPr>
          <w:rFonts w:hint="eastAsia" w:ascii="宋体" w:hAnsi="宋体" w:cs="宋体"/>
          <w:color w:val="auto"/>
          <w:kern w:val="0"/>
          <w:szCs w:val="24"/>
          <w:highlight w:val="none"/>
        </w:rPr>
        <w:t>1</w:t>
      </w:r>
      <w:r>
        <w:rPr>
          <w:rFonts w:hint="eastAsia" w:ascii="宋体" w:hAnsi="宋体" w:cs="宋体"/>
          <w:color w:val="auto"/>
          <w:kern w:val="0"/>
          <w:szCs w:val="24"/>
          <w:highlight w:val="none"/>
          <w:lang w:val="en-US" w:eastAsia="zh-CN"/>
        </w:rPr>
        <w:t>3</w:t>
      </w:r>
      <w:r>
        <w:rPr>
          <w:rFonts w:hint="eastAsia" w:ascii="宋体" w:hAnsi="宋体" w:cs="宋体"/>
          <w:color w:val="auto"/>
          <w:kern w:val="0"/>
          <w:szCs w:val="24"/>
          <w:highlight w:val="none"/>
        </w:rPr>
        <w:t>.售后服务方案及培训方案</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 投标人认为有必要说明的事宜（若有）</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5</w:t>
      </w:r>
      <w:r>
        <w:rPr>
          <w:rFonts w:hint="eastAsia" w:ascii="宋体" w:hAnsi="宋体" w:cs="宋体"/>
          <w:color w:val="auto"/>
          <w:szCs w:val="24"/>
          <w:highlight w:val="none"/>
        </w:rPr>
        <w:t>.《投标人参与政府采购活动的承诺函》（格式）</w:t>
      </w:r>
    </w:p>
    <w:p>
      <w:pPr>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6</w:t>
      </w:r>
      <w:r>
        <w:rPr>
          <w:rFonts w:hint="eastAsia" w:ascii="宋体" w:hAnsi="宋体" w:cs="宋体"/>
          <w:color w:val="auto"/>
          <w:szCs w:val="24"/>
          <w:highlight w:val="none"/>
        </w:rPr>
        <w:t>. 拒绝政府采购领域商业贿赂承诺书</w:t>
      </w:r>
      <w:r>
        <w:rPr>
          <w:rFonts w:hint="eastAsia" w:ascii="宋体" w:hAnsi="宋体" w:cs="宋体"/>
          <w:color w:val="auto"/>
          <w:highlight w:val="none"/>
        </w:rPr>
        <w:t>（格式）</w:t>
      </w:r>
    </w:p>
    <w:p>
      <w:pPr>
        <w:autoSpaceDE w:val="0"/>
        <w:autoSpaceDN w:val="0"/>
        <w:spacing w:line="460" w:lineRule="exact"/>
        <w:ind w:left="240" w:leftChars="100" w:firstLine="960" w:firstLineChars="400"/>
        <w:rPr>
          <w:rFonts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lang w:val="en-US" w:eastAsia="zh-CN"/>
        </w:rPr>
        <w:t>7</w:t>
      </w:r>
      <w:r>
        <w:rPr>
          <w:rFonts w:hint="eastAsia" w:ascii="宋体" w:hAnsi="宋体" w:cs="宋体"/>
          <w:color w:val="auto"/>
          <w:szCs w:val="24"/>
          <w:highlight w:val="none"/>
        </w:rPr>
        <w:t>.《中小企业声明函》（非中小企业不提供）</w:t>
      </w:r>
    </w:p>
    <w:p>
      <w:pPr>
        <w:tabs>
          <w:tab w:val="right" w:pos="8998"/>
        </w:tabs>
        <w:autoSpaceDE w:val="0"/>
        <w:autoSpaceDN w:val="0"/>
        <w:spacing w:line="460" w:lineRule="exact"/>
        <w:ind w:left="240" w:leftChars="100" w:firstLine="960" w:firstLineChars="400"/>
        <w:rPr>
          <w:rFonts w:ascii="宋体" w:hAnsi="宋体" w:cs="宋体"/>
          <w:color w:val="auto"/>
          <w:highlight w:val="none"/>
        </w:rPr>
      </w:pPr>
      <w:r>
        <w:rPr>
          <w:rFonts w:hint="eastAsia" w:ascii="宋体" w:hAnsi="宋体" w:cs="宋体"/>
          <w:color w:val="auto"/>
          <w:kern w:val="0"/>
          <w:szCs w:val="24"/>
          <w:highlight w:val="none"/>
          <w:lang w:val="en-US" w:eastAsia="zh-CN"/>
        </w:rPr>
        <w:t>18</w:t>
      </w:r>
      <w:r>
        <w:rPr>
          <w:rFonts w:hint="eastAsia" w:ascii="宋体" w:hAnsi="宋体" w:cs="宋体"/>
          <w:color w:val="auto"/>
          <w:kern w:val="0"/>
          <w:szCs w:val="24"/>
          <w:highlight w:val="none"/>
        </w:rPr>
        <w:t>.《残疾人福利性单位声明函》</w:t>
      </w:r>
      <w:r>
        <w:rPr>
          <w:rFonts w:hint="eastAsia" w:ascii="宋体" w:hAnsi="宋体" w:cs="宋体"/>
          <w:color w:val="auto"/>
          <w:highlight w:val="none"/>
        </w:rPr>
        <w:t>（格式，若有）</w:t>
      </w:r>
      <w:r>
        <w:rPr>
          <w:rFonts w:hint="eastAsia" w:ascii="宋体" w:hAnsi="宋体" w:cs="宋体"/>
          <w:color w:val="auto"/>
          <w:highlight w:val="none"/>
        </w:rPr>
        <w:tab/>
      </w:r>
    </w:p>
    <w:p>
      <w:pPr>
        <w:autoSpaceDE w:val="0"/>
        <w:autoSpaceDN w:val="0"/>
        <w:spacing w:line="460" w:lineRule="exact"/>
        <w:ind w:left="240" w:leftChars="100" w:firstLine="960" w:firstLineChars="400"/>
        <w:rPr>
          <w:rFonts w:ascii="宋体" w:hAnsi="宋体" w:cs="宋体"/>
          <w:color w:val="auto"/>
          <w:highlight w:val="none"/>
        </w:rPr>
      </w:pPr>
      <w:r>
        <w:rPr>
          <w:rFonts w:hint="eastAsia" w:ascii="宋体" w:hAnsi="宋体" w:cs="宋体"/>
          <w:color w:val="auto"/>
          <w:highlight w:val="none"/>
          <w:lang w:val="en-US" w:eastAsia="zh-CN"/>
        </w:rPr>
        <w:t>19</w:t>
      </w:r>
      <w:r>
        <w:rPr>
          <w:rFonts w:hint="eastAsia" w:ascii="宋体" w:hAnsi="宋体" w:cs="宋体"/>
          <w:color w:val="auto"/>
          <w:highlight w:val="none"/>
        </w:rPr>
        <w:t>. 监狱企业证明文件（若有）</w:t>
      </w:r>
    </w:p>
    <w:p>
      <w:pPr>
        <w:spacing w:line="460" w:lineRule="exact"/>
        <w:rPr>
          <w:rFonts w:ascii="宋体" w:hAnsi="宋体" w:cs="宋体"/>
          <w:color w:val="auto"/>
          <w:szCs w:val="24"/>
          <w:highlight w:val="none"/>
        </w:rPr>
      </w:pPr>
    </w:p>
    <w:p>
      <w:pPr>
        <w:spacing w:line="460" w:lineRule="exact"/>
        <w:rPr>
          <w:rFonts w:ascii="宋体" w:hAnsi="宋体" w:cs="宋体"/>
          <w:color w:val="auto"/>
          <w:szCs w:val="24"/>
          <w:highlight w:val="none"/>
        </w:rPr>
      </w:pPr>
    </w:p>
    <w:p>
      <w:pPr>
        <w:spacing w:line="460" w:lineRule="exact"/>
        <w:rPr>
          <w:rFonts w:ascii="宋体" w:hAnsi="宋体" w:cs="宋体"/>
          <w:color w:val="auto"/>
          <w:szCs w:val="24"/>
          <w:highlight w:val="none"/>
        </w:rPr>
      </w:pPr>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Pr>
        <w:pStyle w:val="148"/>
        <w:ind w:firstLine="0" w:firstLineChars="0"/>
        <w:rPr>
          <w:rFonts w:ascii="宋体" w:hAnsi="宋体" w:cs="宋体"/>
          <w:b/>
          <w:color w:val="auto"/>
          <w:sz w:val="24"/>
          <w:szCs w:val="24"/>
          <w:highlight w:val="none"/>
        </w:rPr>
      </w:pPr>
      <w:bookmarkStart w:id="116" w:name="_Toc458617471"/>
      <w:bookmarkStart w:id="117" w:name="_Toc25120"/>
      <w:bookmarkStart w:id="118" w:name="_Toc1386"/>
      <w:bookmarkStart w:id="119" w:name="_Toc188808834"/>
      <w:bookmarkStart w:id="120" w:name="_Toc193126882"/>
      <w:bookmarkStart w:id="121" w:name="_Toc194663919"/>
      <w:bookmarkStart w:id="122" w:name="_Toc193187098"/>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1.投标函</w:t>
      </w:r>
      <w:bookmarkEnd w:id="116"/>
      <w:bookmarkEnd w:id="117"/>
      <w:bookmarkEnd w:id="118"/>
      <w:r>
        <w:rPr>
          <w:rFonts w:hint="eastAsia" w:ascii="宋体" w:hAnsi="宋体" w:cs="宋体"/>
          <w:color w:val="auto"/>
          <w:sz w:val="24"/>
          <w:szCs w:val="24"/>
          <w:highlight w:val="none"/>
        </w:rPr>
        <w:t>（格式）</w:t>
      </w:r>
    </w:p>
    <w:p>
      <w:pPr>
        <w:spacing w:line="240" w:lineRule="exact"/>
        <w:ind w:left="240" w:leftChars="100"/>
        <w:rPr>
          <w:rFonts w:ascii="宋体" w:hAnsi="宋体" w:cs="宋体"/>
          <w:color w:val="auto"/>
          <w:szCs w:val="21"/>
          <w:highlight w:val="none"/>
        </w:rPr>
      </w:pPr>
    </w:p>
    <w:p>
      <w:pPr>
        <w:spacing w:line="500" w:lineRule="exact"/>
        <w:rPr>
          <w:rFonts w:ascii="宋体" w:hAnsi="宋体" w:cs="宋体"/>
          <w:b/>
          <w:color w:val="auto"/>
          <w:szCs w:val="24"/>
          <w:highlight w:val="none"/>
        </w:rPr>
      </w:pPr>
      <w:r>
        <w:rPr>
          <w:rFonts w:hint="eastAsia" w:ascii="宋体" w:hAnsi="宋体" w:cs="宋体"/>
          <w:b/>
          <w:color w:val="auto"/>
          <w:szCs w:val="24"/>
          <w:highlight w:val="none"/>
        </w:rPr>
        <w:t>致：陕西上德招标有限公司</w:t>
      </w:r>
    </w:p>
    <w:p>
      <w:pPr>
        <w:spacing w:line="500" w:lineRule="exact"/>
        <w:ind w:firstLine="470" w:firstLineChars="196"/>
        <w:rPr>
          <w:rFonts w:ascii="宋体" w:hAnsi="宋体" w:cs="宋体"/>
          <w:b/>
          <w:color w:val="auto"/>
          <w:szCs w:val="24"/>
          <w:highlight w:val="none"/>
        </w:rPr>
      </w:pPr>
      <w:r>
        <w:rPr>
          <w:rFonts w:hint="eastAsia" w:ascii="宋体" w:hAnsi="宋体" w:cs="宋体"/>
          <w:color w:val="auto"/>
          <w:szCs w:val="24"/>
          <w:highlight w:val="none"/>
        </w:rPr>
        <w:t>根据贵单位</w:t>
      </w:r>
      <w:r>
        <w:rPr>
          <w:rFonts w:hint="eastAsia" w:ascii="宋体" w:hAnsi="宋体" w:cs="宋体"/>
          <w:color w:val="auto"/>
          <w:szCs w:val="24"/>
          <w:highlight w:val="none"/>
          <w:u w:val="single"/>
        </w:rPr>
        <w:t xml:space="preserve">         （招标项目名称）    </w:t>
      </w:r>
      <w:r>
        <w:rPr>
          <w:rFonts w:hint="eastAsia" w:ascii="宋体" w:hAnsi="宋体" w:cs="宋体"/>
          <w:color w:val="auto"/>
          <w:szCs w:val="24"/>
          <w:highlight w:val="none"/>
        </w:rPr>
        <w:t>项目</w:t>
      </w:r>
      <w:r>
        <w:rPr>
          <w:rFonts w:hint="eastAsia" w:ascii="宋体" w:hAnsi="宋体" w:cs="宋体"/>
          <w:color w:val="auto"/>
          <w:szCs w:val="24"/>
          <w:highlight w:val="none"/>
          <w:u w:val="single"/>
        </w:rPr>
        <w:t>（项目编号）</w:t>
      </w:r>
      <w:r>
        <w:rPr>
          <w:rFonts w:hint="eastAsia" w:ascii="宋体" w:hAnsi="宋体" w:cs="宋体"/>
          <w:color w:val="auto"/>
          <w:szCs w:val="24"/>
          <w:highlight w:val="none"/>
        </w:rPr>
        <w:t>的招标公告，我方代表</w:t>
      </w:r>
      <w:r>
        <w:rPr>
          <w:rFonts w:hint="eastAsia" w:ascii="宋体" w:hAnsi="宋体" w:cs="宋体"/>
          <w:color w:val="auto"/>
          <w:szCs w:val="24"/>
          <w:highlight w:val="none"/>
          <w:u w:val="single"/>
        </w:rPr>
        <w:t xml:space="preserve">   （姓名、职务）   </w:t>
      </w:r>
      <w:r>
        <w:rPr>
          <w:rFonts w:hint="eastAsia" w:ascii="宋体" w:hAnsi="宋体" w:cs="宋体"/>
          <w:color w:val="auto"/>
          <w:szCs w:val="24"/>
          <w:highlight w:val="none"/>
        </w:rPr>
        <w:t>经正式授权并代表</w:t>
      </w:r>
      <w:r>
        <w:rPr>
          <w:rFonts w:hint="eastAsia" w:ascii="宋体" w:hAnsi="宋体" w:cs="宋体"/>
          <w:color w:val="auto"/>
          <w:szCs w:val="24"/>
          <w:highlight w:val="none"/>
          <w:u w:val="single"/>
        </w:rPr>
        <w:t xml:space="preserve">     （投标人名称）     </w:t>
      </w:r>
      <w:r>
        <w:rPr>
          <w:rFonts w:hint="eastAsia" w:ascii="宋体" w:hAnsi="宋体" w:cs="宋体"/>
          <w:color w:val="auto"/>
          <w:szCs w:val="24"/>
          <w:highlight w:val="none"/>
        </w:rPr>
        <w:t>就该项目进行投标。</w:t>
      </w:r>
    </w:p>
    <w:p>
      <w:pPr>
        <w:spacing w:line="500" w:lineRule="exact"/>
        <w:ind w:firstLine="472" w:firstLineChars="196"/>
        <w:rPr>
          <w:rFonts w:ascii="宋体" w:hAnsi="宋体" w:cs="宋体"/>
          <w:color w:val="auto"/>
          <w:szCs w:val="24"/>
          <w:highlight w:val="none"/>
        </w:rPr>
      </w:pPr>
      <w:r>
        <w:rPr>
          <w:rFonts w:hint="eastAsia" w:ascii="宋体" w:hAnsi="宋体" w:cs="宋体"/>
          <w:b/>
          <w:color w:val="auto"/>
          <w:szCs w:val="24"/>
          <w:highlight w:val="none"/>
        </w:rPr>
        <w:t>在此，我方郑重承诺以下诸点，并负法律责任：</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1.我方具备本项目招标文件中规定的资格条件。</w:t>
      </w:r>
    </w:p>
    <w:p>
      <w:pPr>
        <w:spacing w:line="460" w:lineRule="exact"/>
        <w:ind w:firstLine="480" w:firstLineChars="200"/>
        <w:rPr>
          <w:rFonts w:ascii="宋体" w:hAnsi="宋体" w:cs="宋体"/>
          <w:color w:val="auto"/>
          <w:szCs w:val="24"/>
          <w:highlight w:val="none"/>
        </w:rPr>
      </w:pPr>
      <w:r>
        <w:rPr>
          <w:rFonts w:hint="eastAsia" w:ascii="宋体" w:hAnsi="宋体" w:cs="宋体"/>
          <w:color w:val="auto"/>
          <w:szCs w:val="24"/>
          <w:highlight w:val="none"/>
        </w:rPr>
        <w:t>2.我方已详细审阅全部投标文件，确认无误。</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3.我方所附投标报价表中应提交和交付的货物投标总价为人民币：</w:t>
      </w:r>
      <w:r>
        <w:rPr>
          <w:rFonts w:hint="eastAsia" w:ascii="宋体" w:hAnsi="宋体" w:cs="宋体"/>
          <w:color w:val="auto"/>
          <w:szCs w:val="24"/>
          <w:highlight w:val="none"/>
          <w:u w:val="single"/>
        </w:rPr>
        <w:t>（同时用汉字大写和数字表示的投标报价）</w:t>
      </w:r>
      <w:r>
        <w:rPr>
          <w:rFonts w:hint="eastAsia" w:ascii="宋体" w:hAnsi="宋体" w:cs="宋体"/>
          <w:color w:val="auto"/>
          <w:szCs w:val="24"/>
          <w:highlight w:val="none"/>
        </w:rPr>
        <w:t>。该报价一次报死，不受市场因素的影响。</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4.我方已详细审查全部招标文件（包括澄清函、补充通知等），完全理解投标人须知的所有条款。</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5.我方完全满足和响应招标文件中的各项商务和技术要求，若有偏差，已在投标文件中明确说明。</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6.我方接受招标文件中全部合同条款，且无任何异议；保证忠实地执行双方所签订的合同，并承担合同规定的责任和义务。</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7.我方完全理解并同意招标文件中有关要求拒绝投标的条款。</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8.我方同意按照要求提供投标有关的一切数据或资料等。</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9.我方完全理解最低报价不是中标的唯一条件，采购人有权选择质优价廉的货物。</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10.我方同意按招标文件规定，遵守招标文件中的各项规定和要求。</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 xml:space="preserve">11.我方对本次招标内容及与本项目有关的知识产权、技术资料、商业秘密及相关信息保密。 </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12.我方与采购人和采购代理机构无任何的隶属关系或者其他利害关系。</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13.若我方中标，我方保证按有关规定向采购代理机构支付招标代理服务费。</w:t>
      </w:r>
    </w:p>
    <w:p>
      <w:pPr>
        <w:spacing w:line="460" w:lineRule="exact"/>
        <w:ind w:firstLine="470" w:firstLineChars="196"/>
        <w:rPr>
          <w:rFonts w:ascii="宋体" w:hAnsi="宋体" w:cs="宋体"/>
          <w:color w:val="auto"/>
          <w:szCs w:val="24"/>
          <w:highlight w:val="none"/>
        </w:rPr>
      </w:pPr>
      <w:r>
        <w:rPr>
          <w:rFonts w:hint="eastAsia" w:ascii="宋体" w:hAnsi="宋体" w:cs="宋体"/>
          <w:color w:val="auto"/>
          <w:szCs w:val="24"/>
          <w:highlight w:val="none"/>
        </w:rPr>
        <w:t>14.投标有效期为自提交投标文件的截止之日起90个日历日。</w:t>
      </w:r>
    </w:p>
    <w:p>
      <w:pPr>
        <w:spacing w:line="460" w:lineRule="exact"/>
        <w:ind w:firstLine="470" w:firstLineChars="196"/>
        <w:rPr>
          <w:rFonts w:ascii="宋体" w:hAnsi="宋体" w:cs="宋体"/>
          <w:b/>
          <w:color w:val="auto"/>
          <w:szCs w:val="24"/>
          <w:highlight w:val="none"/>
        </w:rPr>
      </w:pPr>
      <w:r>
        <w:rPr>
          <w:rFonts w:hint="eastAsia" w:ascii="宋体" w:hAnsi="宋体" w:cs="宋体"/>
          <w:color w:val="auto"/>
          <w:szCs w:val="24"/>
          <w:highlight w:val="none"/>
        </w:rPr>
        <w:t>15.所有关于本项目的函电，请按下列地址联系：</w:t>
      </w:r>
    </w:p>
    <w:p>
      <w:pPr>
        <w:spacing w:line="460" w:lineRule="exact"/>
        <w:ind w:firstLine="480" w:firstLineChars="200"/>
        <w:rPr>
          <w:rFonts w:ascii="宋体" w:hAnsi="宋体" w:cs="宋体"/>
          <w:color w:val="auto"/>
          <w:szCs w:val="24"/>
          <w:highlight w:val="none"/>
        </w:rPr>
      </w:pPr>
    </w:p>
    <w:p>
      <w:pPr>
        <w:spacing w:line="480" w:lineRule="exact"/>
        <w:ind w:firstLine="480" w:firstLineChars="200"/>
        <w:rPr>
          <w:rFonts w:ascii="宋体" w:hAnsi="宋体" w:cs="宋体"/>
          <w:color w:val="auto"/>
          <w:szCs w:val="24"/>
          <w:highlight w:val="none"/>
        </w:rPr>
      </w:pPr>
    </w:p>
    <w:p>
      <w:pPr>
        <w:spacing w:line="480" w:lineRule="exact"/>
        <w:rPr>
          <w:rFonts w:ascii="宋体" w:hAnsi="宋体" w:cs="宋体"/>
          <w:color w:val="auto"/>
          <w:szCs w:val="24"/>
          <w:highlight w:val="none"/>
        </w:rPr>
      </w:pPr>
    </w:p>
    <w:p>
      <w:pPr>
        <w:spacing w:line="480" w:lineRule="exact"/>
        <w:ind w:firstLine="480" w:firstLineChars="200"/>
        <w:rPr>
          <w:rFonts w:ascii="宋体" w:hAnsi="宋体" w:cs="宋体"/>
          <w:color w:val="auto"/>
          <w:szCs w:val="24"/>
          <w:highlight w:val="none"/>
          <w:u w:val="single"/>
        </w:rPr>
      </w:pPr>
      <w:r>
        <w:rPr>
          <w:rFonts w:hint="eastAsia" w:ascii="宋体" w:hAnsi="宋体" w:cs="宋体"/>
          <w:color w:val="auto"/>
          <w:szCs w:val="24"/>
          <w:highlight w:val="none"/>
        </w:rPr>
        <w:t>投标人名称（公章）：</w:t>
      </w:r>
      <w:r>
        <w:rPr>
          <w:rFonts w:hint="eastAsia" w:ascii="宋体" w:hAnsi="宋体" w:cs="宋体"/>
          <w:color w:val="auto"/>
          <w:szCs w:val="24"/>
          <w:highlight w:val="none"/>
          <w:u w:val="single"/>
        </w:rPr>
        <w:t xml:space="preserve">                                </w:t>
      </w:r>
    </w:p>
    <w:p>
      <w:pPr>
        <w:spacing w:line="480" w:lineRule="exact"/>
        <w:ind w:firstLine="480" w:firstLineChars="200"/>
        <w:rPr>
          <w:rFonts w:ascii="宋体" w:hAnsi="宋体" w:cs="宋体"/>
          <w:color w:val="auto"/>
          <w:szCs w:val="24"/>
          <w:highlight w:val="none"/>
          <w:u w:val="single"/>
        </w:rPr>
      </w:pPr>
      <w:r>
        <w:rPr>
          <w:rFonts w:hint="eastAsia" w:ascii="宋体" w:hAnsi="宋体" w:cs="宋体"/>
          <w:color w:val="auto"/>
          <w:szCs w:val="24"/>
          <w:highlight w:val="none"/>
        </w:rPr>
        <w:t>详 细 地 址：</w:t>
      </w:r>
      <w:r>
        <w:rPr>
          <w:rFonts w:hint="eastAsia" w:ascii="宋体" w:hAnsi="宋体" w:cs="宋体"/>
          <w:color w:val="auto"/>
          <w:szCs w:val="24"/>
          <w:highlight w:val="none"/>
          <w:u w:val="single"/>
        </w:rPr>
        <w:t xml:space="preserve">                                      </w:t>
      </w:r>
    </w:p>
    <w:p>
      <w:pPr>
        <w:spacing w:line="480" w:lineRule="exact"/>
        <w:ind w:firstLine="480" w:firstLineChars="200"/>
        <w:rPr>
          <w:rFonts w:ascii="宋体" w:hAnsi="宋体" w:cs="宋体"/>
          <w:color w:val="auto"/>
          <w:szCs w:val="24"/>
          <w:highlight w:val="none"/>
          <w:u w:val="single"/>
        </w:rPr>
      </w:pPr>
      <w:r>
        <w:rPr>
          <w:rFonts w:hint="eastAsia" w:ascii="宋体" w:hAnsi="宋体" w:cs="宋体"/>
          <w:color w:val="auto"/>
          <w:szCs w:val="24"/>
          <w:highlight w:val="none"/>
          <w:lang w:val="zh-CN"/>
        </w:rPr>
        <w:t>开 户 银 行：</w:t>
      </w:r>
      <w:r>
        <w:rPr>
          <w:rFonts w:hint="eastAsia" w:ascii="宋体" w:hAnsi="宋体" w:cs="宋体"/>
          <w:color w:val="auto"/>
          <w:szCs w:val="24"/>
          <w:highlight w:val="none"/>
          <w:u w:val="single"/>
          <w:lang w:val="zh-CN"/>
        </w:rPr>
        <w:t xml:space="preserve">                   </w:t>
      </w:r>
    </w:p>
    <w:p>
      <w:pPr>
        <w:spacing w:line="480" w:lineRule="exact"/>
        <w:ind w:firstLine="480" w:firstLineChars="200"/>
        <w:rPr>
          <w:rFonts w:ascii="宋体" w:hAnsi="宋体" w:cs="宋体"/>
          <w:color w:val="auto"/>
          <w:szCs w:val="24"/>
          <w:highlight w:val="none"/>
          <w:u w:val="single"/>
        </w:rPr>
      </w:pPr>
      <w:r>
        <w:rPr>
          <w:rFonts w:hint="eastAsia" w:ascii="宋体" w:hAnsi="宋体" w:cs="宋体"/>
          <w:color w:val="auto"/>
          <w:szCs w:val="24"/>
          <w:highlight w:val="none"/>
          <w:lang w:val="zh-CN"/>
        </w:rPr>
        <w:t>帐       号：</w:t>
      </w:r>
      <w:r>
        <w:rPr>
          <w:rFonts w:hint="eastAsia" w:ascii="宋体" w:hAnsi="宋体" w:cs="宋体"/>
          <w:color w:val="auto"/>
          <w:szCs w:val="24"/>
          <w:highlight w:val="none"/>
          <w:u w:val="single"/>
          <w:lang w:val="zh-CN"/>
        </w:rPr>
        <w:t xml:space="preserve">                   </w:t>
      </w:r>
    </w:p>
    <w:p>
      <w:pPr>
        <w:autoSpaceDE w:val="0"/>
        <w:autoSpaceDN w:val="0"/>
        <w:adjustRightInd w:val="0"/>
        <w:spacing w:line="480" w:lineRule="exact"/>
        <w:ind w:left="840" w:leftChars="100" w:hanging="600"/>
        <w:rPr>
          <w:rFonts w:ascii="宋体" w:hAnsi="宋体" w:cs="宋体"/>
          <w:color w:val="auto"/>
          <w:szCs w:val="24"/>
          <w:highlight w:val="none"/>
          <w:lang w:val="zh-CN"/>
        </w:rPr>
      </w:pPr>
      <w:r>
        <w:rPr>
          <w:rFonts w:hint="eastAsia" w:ascii="宋体" w:hAnsi="宋体" w:cs="宋体"/>
          <w:color w:val="auto"/>
          <w:szCs w:val="24"/>
          <w:highlight w:val="none"/>
          <w:lang w:val="zh-CN"/>
        </w:rPr>
        <w:t xml:space="preserve">             </w:t>
      </w: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ind w:left="840" w:leftChars="100" w:hanging="600"/>
        <w:rPr>
          <w:rFonts w:ascii="宋体" w:hAnsi="宋体" w:cs="宋体"/>
          <w:color w:val="auto"/>
          <w:szCs w:val="24"/>
          <w:highlight w:val="none"/>
          <w:lang w:val="zh-CN"/>
        </w:rPr>
      </w:pPr>
    </w:p>
    <w:p>
      <w:pPr>
        <w:autoSpaceDE w:val="0"/>
        <w:autoSpaceDN w:val="0"/>
        <w:adjustRightInd w:val="0"/>
        <w:spacing w:line="480" w:lineRule="exact"/>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法定代表人或被授权人（签字或盖章）：</w:t>
      </w:r>
      <w:r>
        <w:rPr>
          <w:rFonts w:hint="eastAsia" w:ascii="宋体" w:hAnsi="宋体" w:cs="宋体"/>
          <w:color w:val="auto"/>
          <w:szCs w:val="24"/>
          <w:highlight w:val="none"/>
          <w:u w:val="single"/>
        </w:rPr>
        <w:t xml:space="preserve">               </w:t>
      </w:r>
    </w:p>
    <w:p>
      <w:pPr>
        <w:autoSpaceDE w:val="0"/>
        <w:autoSpaceDN w:val="0"/>
        <w:adjustRightInd w:val="0"/>
        <w:spacing w:line="480" w:lineRule="exact"/>
        <w:ind w:left="240" w:leftChars="100" w:firstLine="3960" w:firstLineChars="1650"/>
        <w:rPr>
          <w:rFonts w:ascii="宋体" w:hAnsi="宋体" w:cs="宋体"/>
          <w:color w:val="auto"/>
          <w:szCs w:val="24"/>
          <w:highlight w:val="none"/>
          <w:u w:val="single"/>
          <w:lang w:val="zh-CN"/>
        </w:rPr>
      </w:pPr>
      <w:r>
        <w:rPr>
          <w:rFonts w:hint="eastAsia" w:ascii="宋体" w:hAnsi="宋体" w:cs="宋体"/>
          <w:color w:val="auto"/>
          <w:szCs w:val="24"/>
          <w:highlight w:val="none"/>
          <w:lang w:val="zh-CN"/>
        </w:rPr>
        <w:t>联系电话/手机：</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rPr>
        <w:t xml:space="preserve">  </w:t>
      </w:r>
    </w:p>
    <w:p>
      <w:pPr>
        <w:spacing w:line="480" w:lineRule="exact"/>
        <w:ind w:left="240" w:leftChars="100"/>
        <w:jc w:val="center"/>
        <w:rPr>
          <w:rFonts w:ascii="宋体" w:hAnsi="宋体" w:cs="宋体"/>
          <w:color w:val="auto"/>
          <w:szCs w:val="24"/>
          <w:highlight w:val="none"/>
        </w:rPr>
        <w:sectPr>
          <w:headerReference r:id="rId3" w:type="default"/>
          <w:footerReference r:id="rId4" w:type="default"/>
          <w:pgSz w:w="11907" w:h="16840"/>
          <w:pgMar w:top="1418" w:right="1287" w:bottom="1712" w:left="1055" w:header="1134" w:footer="1247" w:gutter="567"/>
          <w:pgNumType w:start="1"/>
          <w:cols w:space="720" w:num="1"/>
          <w:titlePg/>
          <w:docGrid w:linePitch="312" w:charSpace="0"/>
        </w:sectPr>
      </w:pPr>
      <w:r>
        <w:rPr>
          <w:rFonts w:hint="eastAsia" w:ascii="宋体" w:hAnsi="宋体" w:cs="宋体"/>
          <w:color w:val="auto"/>
          <w:szCs w:val="24"/>
          <w:highlight w:val="none"/>
        </w:rPr>
        <w:t xml:space="preserve">                                                </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bookmarkEnd w:id="119"/>
    <w:bookmarkEnd w:id="120"/>
    <w:bookmarkEnd w:id="121"/>
    <w:bookmarkEnd w:id="122"/>
    <w:p>
      <w:pPr>
        <w:pStyle w:val="148"/>
        <w:ind w:firstLine="171" w:firstLineChars="71"/>
        <w:rPr>
          <w:rFonts w:ascii="宋体" w:hAnsi="宋体" w:cs="宋体"/>
          <w:b/>
          <w:color w:val="auto"/>
          <w:sz w:val="24"/>
          <w:szCs w:val="24"/>
          <w:highlight w:val="none"/>
        </w:rPr>
      </w:pPr>
      <w:bookmarkStart w:id="123" w:name="_Toc458617472"/>
      <w:bookmarkStart w:id="124" w:name="_Toc6986"/>
      <w:bookmarkStart w:id="125" w:name="_Toc5497"/>
      <w:bookmarkStart w:id="126" w:name="_Toc193126889"/>
      <w:bookmarkStart w:id="127" w:name="_Toc188808840"/>
      <w:bookmarkStart w:id="128" w:name="_Toc194663926"/>
      <w:bookmarkStart w:id="129" w:name="_Toc193187105"/>
      <w:r>
        <w:rPr>
          <w:rFonts w:hint="eastAsia" w:ascii="宋体" w:hAnsi="宋体" w:cs="宋体"/>
          <w:b/>
          <w:color w:val="auto"/>
          <w:sz w:val="24"/>
          <w:szCs w:val="24"/>
          <w:highlight w:val="none"/>
        </w:rPr>
        <w:t>2.开标一览表</w:t>
      </w:r>
      <w:bookmarkEnd w:id="123"/>
      <w:bookmarkEnd w:id="124"/>
      <w:bookmarkEnd w:id="125"/>
      <w:r>
        <w:rPr>
          <w:rFonts w:hint="eastAsia" w:ascii="宋体" w:hAnsi="宋体" w:cs="宋体"/>
          <w:color w:val="auto"/>
          <w:sz w:val="24"/>
          <w:szCs w:val="24"/>
          <w:highlight w:val="none"/>
        </w:rPr>
        <w:t>（格式）</w:t>
      </w:r>
    </w:p>
    <w:p>
      <w:pPr>
        <w:spacing w:line="480" w:lineRule="exact"/>
        <w:ind w:left="240" w:leftChars="100"/>
        <w:jc w:val="center"/>
        <w:rPr>
          <w:rFonts w:ascii="宋体" w:hAnsi="宋体" w:cs="宋体"/>
          <w:b/>
          <w:bCs/>
          <w:color w:val="auto"/>
          <w:sz w:val="36"/>
          <w:szCs w:val="21"/>
          <w:highlight w:val="none"/>
        </w:rPr>
      </w:pPr>
    </w:p>
    <w:p>
      <w:pPr>
        <w:spacing w:line="480" w:lineRule="exact"/>
        <w:ind w:left="240" w:leftChars="100"/>
        <w:jc w:val="center"/>
        <w:rPr>
          <w:rFonts w:ascii="宋体" w:hAnsi="宋体" w:cs="宋体"/>
          <w:b/>
          <w:bCs/>
          <w:color w:val="auto"/>
          <w:sz w:val="28"/>
          <w:szCs w:val="28"/>
          <w:highlight w:val="none"/>
        </w:rPr>
      </w:pPr>
    </w:p>
    <w:p>
      <w:pPr>
        <w:spacing w:line="480" w:lineRule="exact"/>
        <w:ind w:left="240" w:leftChars="100"/>
        <w:jc w:val="center"/>
        <w:rPr>
          <w:rFonts w:ascii="宋体" w:hAnsi="宋体" w:cs="宋体"/>
          <w:b/>
          <w:bCs/>
          <w:color w:val="auto"/>
          <w:sz w:val="36"/>
          <w:szCs w:val="21"/>
          <w:highlight w:val="none"/>
        </w:rPr>
      </w:pPr>
    </w:p>
    <w:p>
      <w:pPr>
        <w:spacing w:line="480" w:lineRule="exact"/>
        <w:ind w:firstLine="120" w:firstLineChars="50"/>
        <w:rPr>
          <w:rFonts w:ascii="宋体" w:hAnsi="宋体" w:cs="宋体"/>
          <w:bCs/>
          <w:color w:val="auto"/>
          <w:kern w:val="0"/>
          <w:szCs w:val="24"/>
          <w:highlight w:val="none"/>
          <w:u w:val="single"/>
        </w:rPr>
      </w:pPr>
      <w:r>
        <w:rPr>
          <w:rFonts w:hint="eastAsia" w:ascii="宋体" w:hAnsi="宋体" w:cs="宋体"/>
          <w:bCs/>
          <w:color w:val="auto"/>
          <w:kern w:val="0"/>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（投标人单位公章）</w:t>
      </w:r>
    </w:p>
    <w:tbl>
      <w:tblPr>
        <w:tblStyle w:val="38"/>
        <w:tblW w:w="1436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92"/>
        <w:gridCol w:w="4894"/>
        <w:gridCol w:w="3969"/>
        <w:gridCol w:w="34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2" w:type="dxa"/>
            <w:vAlign w:val="center"/>
          </w:tcPr>
          <w:p>
            <w:pPr>
              <w:spacing w:line="480" w:lineRule="exact"/>
              <w:ind w:right="163" w:rightChars="68" w:firstLine="118" w:firstLineChars="49"/>
              <w:jc w:val="center"/>
              <w:rPr>
                <w:rFonts w:ascii="宋体" w:hAnsi="宋体" w:cs="宋体"/>
                <w:b/>
                <w:color w:val="auto"/>
                <w:szCs w:val="24"/>
                <w:highlight w:val="none"/>
              </w:rPr>
            </w:pPr>
            <w:r>
              <w:rPr>
                <w:rFonts w:hint="eastAsia" w:ascii="宋体" w:hAnsi="宋体" w:cs="宋体"/>
                <w:b/>
                <w:color w:val="auto"/>
                <w:szCs w:val="24"/>
                <w:highlight w:val="none"/>
              </w:rPr>
              <w:t>项目编号</w:t>
            </w:r>
          </w:p>
        </w:tc>
        <w:tc>
          <w:tcPr>
            <w:tcW w:w="4894" w:type="dxa"/>
            <w:vAlign w:val="center"/>
          </w:tcPr>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投标报价</w:t>
            </w:r>
          </w:p>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（人民币:元）</w:t>
            </w:r>
          </w:p>
        </w:tc>
        <w:tc>
          <w:tcPr>
            <w:tcW w:w="3969" w:type="dxa"/>
            <w:tcMar>
              <w:top w:w="57" w:type="dxa"/>
              <w:left w:w="28" w:type="dxa"/>
              <w:bottom w:w="57" w:type="dxa"/>
              <w:right w:w="28" w:type="dxa"/>
            </w:tcMar>
            <w:vAlign w:val="center"/>
          </w:tcPr>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交货期</w:t>
            </w:r>
          </w:p>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（日历日）</w:t>
            </w:r>
          </w:p>
        </w:tc>
        <w:tc>
          <w:tcPr>
            <w:tcW w:w="3412" w:type="dxa"/>
            <w:tcMar>
              <w:top w:w="57" w:type="dxa"/>
              <w:left w:w="28" w:type="dxa"/>
              <w:bottom w:w="57" w:type="dxa"/>
              <w:right w:w="28" w:type="dxa"/>
            </w:tcMar>
            <w:vAlign w:val="center"/>
          </w:tcPr>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质保期</w:t>
            </w:r>
          </w:p>
          <w:p>
            <w:pPr>
              <w:spacing w:line="48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2" w:type="dxa"/>
            <w:vMerge w:val="restart"/>
            <w:vAlign w:val="center"/>
          </w:tcPr>
          <w:p>
            <w:pPr>
              <w:spacing w:line="480" w:lineRule="exact"/>
              <w:ind w:left="240" w:leftChars="100"/>
              <w:jc w:val="center"/>
              <w:rPr>
                <w:rFonts w:ascii="宋体" w:hAnsi="宋体" w:cs="宋体"/>
                <w:color w:val="auto"/>
                <w:szCs w:val="24"/>
                <w:highlight w:val="none"/>
              </w:rPr>
            </w:pPr>
          </w:p>
        </w:tc>
        <w:tc>
          <w:tcPr>
            <w:tcW w:w="4894" w:type="dxa"/>
            <w:vAlign w:val="center"/>
          </w:tcPr>
          <w:p>
            <w:pPr>
              <w:spacing w:line="480" w:lineRule="exact"/>
              <w:ind w:left="240" w:leftChars="100"/>
              <w:jc w:val="center"/>
              <w:rPr>
                <w:rFonts w:ascii="宋体" w:hAnsi="宋体" w:cs="宋体"/>
                <w:color w:val="auto"/>
                <w:szCs w:val="24"/>
                <w:highlight w:val="none"/>
              </w:rPr>
            </w:pPr>
          </w:p>
        </w:tc>
        <w:tc>
          <w:tcPr>
            <w:tcW w:w="3969" w:type="dxa"/>
            <w:tcMar>
              <w:top w:w="57" w:type="dxa"/>
              <w:left w:w="28" w:type="dxa"/>
              <w:bottom w:w="57" w:type="dxa"/>
              <w:right w:w="28" w:type="dxa"/>
            </w:tcMar>
            <w:vAlign w:val="center"/>
          </w:tcPr>
          <w:p>
            <w:pPr>
              <w:spacing w:line="480" w:lineRule="exact"/>
              <w:ind w:left="240" w:leftChars="100"/>
              <w:jc w:val="center"/>
              <w:rPr>
                <w:rFonts w:ascii="宋体" w:hAnsi="宋体" w:cs="宋体"/>
                <w:color w:val="auto"/>
                <w:szCs w:val="24"/>
                <w:highlight w:val="none"/>
              </w:rPr>
            </w:pPr>
          </w:p>
        </w:tc>
        <w:tc>
          <w:tcPr>
            <w:tcW w:w="3412" w:type="dxa"/>
            <w:tcMar>
              <w:top w:w="57" w:type="dxa"/>
              <w:left w:w="28" w:type="dxa"/>
              <w:bottom w:w="57" w:type="dxa"/>
              <w:right w:w="28" w:type="dxa"/>
            </w:tcMar>
            <w:vAlign w:val="center"/>
          </w:tcPr>
          <w:p>
            <w:pPr>
              <w:spacing w:line="480" w:lineRule="exact"/>
              <w:ind w:left="240" w:leftChars="100"/>
              <w:jc w:val="center"/>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92" w:type="dxa"/>
            <w:vMerge w:val="continue"/>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2275" w:type="dxa"/>
            <w:gridSpan w:val="3"/>
            <w:tcBorders>
              <w:top w:val="single" w:color="auto" w:sz="4" w:space="0"/>
            </w:tcBorders>
            <w:vAlign w:val="center"/>
          </w:tcPr>
          <w:p>
            <w:pPr>
              <w:spacing w:line="480" w:lineRule="exact"/>
              <w:ind w:left="240" w:leftChars="100"/>
              <w:rPr>
                <w:rFonts w:ascii="宋体" w:hAnsi="宋体" w:cs="宋体"/>
                <w:b/>
                <w:color w:val="auto"/>
                <w:szCs w:val="24"/>
                <w:highlight w:val="none"/>
              </w:rPr>
            </w:pPr>
            <w:r>
              <w:rPr>
                <w:rFonts w:hint="eastAsia" w:ascii="宋体" w:hAnsi="宋体" w:cs="宋体"/>
                <w:b/>
                <w:color w:val="auto"/>
                <w:szCs w:val="24"/>
                <w:highlight w:val="none"/>
              </w:rPr>
              <w:t xml:space="preserve">（大写）                                </w:t>
            </w:r>
          </w:p>
        </w:tc>
      </w:tr>
    </w:tbl>
    <w:p>
      <w:pPr>
        <w:spacing w:line="480" w:lineRule="exact"/>
        <w:rPr>
          <w:rFonts w:ascii="宋体" w:hAnsi="宋体" w:cs="宋体"/>
          <w:color w:val="auto"/>
          <w:szCs w:val="24"/>
          <w:highlight w:val="none"/>
        </w:rPr>
      </w:pPr>
      <w:r>
        <w:rPr>
          <w:rFonts w:hint="eastAsia" w:ascii="宋体" w:hAnsi="宋体" w:cs="宋体"/>
          <w:b/>
          <w:bCs/>
          <w:color w:val="auto"/>
          <w:szCs w:val="24"/>
          <w:highlight w:val="none"/>
        </w:rPr>
        <w:t xml:space="preserve"> </w:t>
      </w:r>
    </w:p>
    <w:p>
      <w:pPr>
        <w:spacing w:line="480" w:lineRule="exact"/>
        <w:rPr>
          <w:rFonts w:ascii="宋体" w:hAnsi="宋体" w:cs="宋体"/>
          <w:color w:val="auto"/>
          <w:szCs w:val="24"/>
          <w:highlight w:val="none"/>
        </w:rPr>
      </w:pPr>
    </w:p>
    <w:p>
      <w:pPr>
        <w:spacing w:line="480" w:lineRule="exact"/>
        <w:rPr>
          <w:rFonts w:ascii="宋体" w:hAnsi="宋体" w:cs="宋体"/>
          <w:color w:val="auto"/>
          <w:szCs w:val="24"/>
          <w:highlight w:val="none"/>
          <w:u w:val="singl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法定代表人或被授权人（签字或盖章）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日 期：</w:t>
      </w:r>
      <w:r>
        <w:rPr>
          <w:rFonts w:hint="eastAsia" w:ascii="宋体" w:hAnsi="宋体" w:cs="宋体"/>
          <w:color w:val="auto"/>
          <w:szCs w:val="24"/>
          <w:highlight w:val="none"/>
          <w:u w:val="single"/>
        </w:rPr>
        <w:t xml:space="preserve">            </w:t>
      </w:r>
    </w:p>
    <w:p>
      <w:pPr>
        <w:spacing w:line="480" w:lineRule="exact"/>
        <w:ind w:left="240" w:leftChars="100" w:firstLine="480" w:firstLineChars="200"/>
        <w:rPr>
          <w:rFonts w:ascii="宋体" w:hAnsi="宋体" w:cs="宋体"/>
          <w:i/>
          <w:iCs/>
          <w:color w:val="auto"/>
          <w:highlight w:val="none"/>
        </w:rPr>
      </w:pPr>
    </w:p>
    <w:p>
      <w:pPr>
        <w:spacing w:line="480" w:lineRule="exact"/>
        <w:ind w:left="240" w:leftChars="100"/>
        <w:outlineLvl w:val="1"/>
        <w:rPr>
          <w:rFonts w:ascii="宋体" w:hAnsi="宋体" w:cs="宋体"/>
          <w:i/>
          <w:iCs/>
          <w:color w:val="auto"/>
          <w:highlight w:val="none"/>
        </w:rPr>
        <w:sectPr>
          <w:headerReference r:id="rId6" w:type="first"/>
          <w:footerReference r:id="rId8" w:type="first"/>
          <w:headerReference r:id="rId5" w:type="default"/>
          <w:footerReference r:id="rId7" w:type="default"/>
          <w:pgSz w:w="16840" w:h="11907" w:orient="landscape"/>
          <w:pgMar w:top="1418" w:right="1418" w:bottom="1440" w:left="1418" w:header="907" w:footer="964" w:gutter="0"/>
          <w:cols w:space="720" w:num="1"/>
          <w:titlePg/>
          <w:docGrid w:linePitch="312" w:charSpace="0"/>
        </w:sectPr>
      </w:pPr>
      <w:bookmarkStart w:id="130" w:name="_Toc193187099"/>
      <w:bookmarkStart w:id="131" w:name="_Toc194663920"/>
      <w:bookmarkStart w:id="132" w:name="_Toc188808835"/>
      <w:bookmarkStart w:id="133" w:name="_Toc154482481"/>
      <w:bookmarkStart w:id="134" w:name="_Toc193126883"/>
    </w:p>
    <w:bookmarkEnd w:id="130"/>
    <w:bookmarkEnd w:id="131"/>
    <w:bookmarkEnd w:id="132"/>
    <w:bookmarkEnd w:id="133"/>
    <w:bookmarkEnd w:id="134"/>
    <w:p>
      <w:pPr>
        <w:pStyle w:val="148"/>
        <w:ind w:firstLine="171" w:firstLineChars="71"/>
        <w:rPr>
          <w:rFonts w:ascii="宋体" w:hAnsi="宋体" w:cs="宋体"/>
          <w:b/>
          <w:color w:val="auto"/>
          <w:sz w:val="24"/>
          <w:szCs w:val="24"/>
          <w:highlight w:val="none"/>
        </w:rPr>
      </w:pPr>
      <w:bookmarkStart w:id="135" w:name="_Toc9029"/>
      <w:bookmarkStart w:id="136" w:name="_Toc458617473"/>
      <w:bookmarkStart w:id="137" w:name="_Toc10249"/>
      <w:bookmarkStart w:id="138" w:name="_Toc167591334"/>
      <w:bookmarkStart w:id="139" w:name="_Toc175032441"/>
      <w:bookmarkStart w:id="140" w:name="_Toc167591148"/>
      <w:bookmarkStart w:id="141" w:name="_Toc193187101"/>
      <w:bookmarkStart w:id="142" w:name="_Toc173549982"/>
      <w:bookmarkStart w:id="143" w:name="_Toc169846877"/>
      <w:bookmarkStart w:id="144" w:name="_Toc167591047"/>
      <w:bookmarkStart w:id="145" w:name="_Toc194663922"/>
      <w:bookmarkStart w:id="146" w:name="_Toc167591496"/>
      <w:bookmarkStart w:id="147" w:name="_Toc154482483"/>
      <w:bookmarkStart w:id="148" w:name="_Toc170980457"/>
      <w:bookmarkStart w:id="149" w:name="_Toc169838536"/>
      <w:bookmarkStart w:id="150" w:name="_Toc175033596"/>
      <w:bookmarkStart w:id="151" w:name="_Toc167849364"/>
      <w:bookmarkStart w:id="152" w:name="_Toc188808836"/>
      <w:bookmarkStart w:id="153" w:name="_Toc167590779"/>
      <w:bookmarkStart w:id="154" w:name="_Toc193126885"/>
      <w:bookmarkStart w:id="155" w:name="_Toc169846780"/>
      <w:bookmarkStart w:id="156" w:name="_Toc170980556"/>
      <w:r>
        <w:rPr>
          <w:rFonts w:hint="eastAsia" w:ascii="宋体" w:hAnsi="宋体" w:cs="宋体"/>
          <w:b/>
          <w:color w:val="auto"/>
          <w:sz w:val="24"/>
          <w:szCs w:val="24"/>
          <w:highlight w:val="none"/>
        </w:rPr>
        <w:t>3.分项报价表</w:t>
      </w:r>
      <w:bookmarkEnd w:id="135"/>
      <w:bookmarkEnd w:id="136"/>
      <w:bookmarkEnd w:id="137"/>
      <w:r>
        <w:rPr>
          <w:rFonts w:hint="eastAsia" w:ascii="宋体" w:hAnsi="宋体" w:cs="宋体"/>
          <w:color w:val="auto"/>
          <w:sz w:val="24"/>
          <w:szCs w:val="24"/>
          <w:highlight w:val="none"/>
        </w:rPr>
        <w:t>（格式）</w:t>
      </w:r>
    </w:p>
    <w:p>
      <w:pPr>
        <w:spacing w:line="480" w:lineRule="exact"/>
        <w:ind w:left="240" w:leftChars="100"/>
        <w:jc w:val="center"/>
        <w:rPr>
          <w:rFonts w:ascii="宋体" w:hAnsi="宋体" w:cs="宋体"/>
          <w:b/>
          <w:bCs/>
          <w:color w:val="auto"/>
          <w:sz w:val="28"/>
          <w:szCs w:val="28"/>
          <w:highlight w:val="none"/>
        </w:rPr>
      </w:pPr>
    </w:p>
    <w:p>
      <w:pPr>
        <w:spacing w:line="300" w:lineRule="exact"/>
        <w:rPr>
          <w:rFonts w:ascii="宋体" w:hAnsi="宋体" w:cs="宋体"/>
          <w:color w:val="auto"/>
          <w:szCs w:val="24"/>
          <w:highlight w:val="none"/>
          <w:u w:val="singl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（投标人单位公章）                                    </w:t>
      </w:r>
      <w:r>
        <w:rPr>
          <w:rFonts w:hint="eastAsia" w:ascii="宋体" w:hAnsi="宋体" w:cs="宋体"/>
          <w:bCs/>
          <w:color w:val="auto"/>
          <w:kern w:val="0"/>
          <w:szCs w:val="24"/>
          <w:highlight w:val="none"/>
        </w:rPr>
        <w:t>项目编号</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p>
    <w:tbl>
      <w:tblPr>
        <w:tblStyle w:val="38"/>
        <w:tblW w:w="1469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319"/>
        <w:gridCol w:w="1713"/>
        <w:gridCol w:w="2101"/>
        <w:gridCol w:w="1595"/>
        <w:gridCol w:w="80"/>
        <w:gridCol w:w="1529"/>
        <w:gridCol w:w="1692"/>
        <w:gridCol w:w="1663"/>
        <w:gridCol w:w="123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pPr>
              <w:spacing w:line="300" w:lineRule="exact"/>
              <w:rPr>
                <w:rFonts w:ascii="宋体" w:hAnsi="宋体" w:cs="宋体"/>
                <w:b/>
                <w:color w:val="auto"/>
                <w:szCs w:val="24"/>
                <w:highlight w:val="none"/>
              </w:rPr>
            </w:pPr>
            <w:r>
              <w:rPr>
                <w:rFonts w:hint="eastAsia" w:ascii="宋体" w:hAnsi="宋体" w:cs="宋体"/>
                <w:b/>
                <w:color w:val="auto"/>
                <w:szCs w:val="24"/>
                <w:highlight w:val="none"/>
              </w:rPr>
              <w:t>序号</w:t>
            </w:r>
          </w:p>
        </w:tc>
        <w:tc>
          <w:tcPr>
            <w:tcW w:w="2319" w:type="dxa"/>
            <w:vAlign w:val="center"/>
          </w:tcPr>
          <w:p>
            <w:pPr>
              <w:spacing w:line="30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名    称</w:t>
            </w:r>
          </w:p>
        </w:tc>
        <w:tc>
          <w:tcPr>
            <w:tcW w:w="1713" w:type="dxa"/>
            <w:vAlign w:val="center"/>
          </w:tcPr>
          <w:p>
            <w:pPr>
              <w:spacing w:line="480" w:lineRule="exact"/>
              <w:jc w:val="center"/>
              <w:rPr>
                <w:rFonts w:ascii="宋体" w:hAnsi="宋体" w:cs="宋体"/>
                <w:b/>
                <w:color w:val="auto"/>
                <w:szCs w:val="24"/>
                <w:highlight w:val="none"/>
              </w:rPr>
            </w:pPr>
            <w:r>
              <w:rPr>
                <w:rFonts w:hint="eastAsia" w:ascii="宋体" w:hAnsi="宋体" w:cs="宋体"/>
                <w:b/>
                <w:color w:val="auto"/>
                <w:szCs w:val="24"/>
                <w:highlight w:val="none"/>
              </w:rPr>
              <w:t>品牌及型号</w:t>
            </w:r>
          </w:p>
        </w:tc>
        <w:tc>
          <w:tcPr>
            <w:tcW w:w="2101" w:type="dxa"/>
            <w:vAlign w:val="center"/>
          </w:tcPr>
          <w:p>
            <w:pPr>
              <w:spacing w:line="480" w:lineRule="exact"/>
              <w:jc w:val="center"/>
              <w:rPr>
                <w:rFonts w:ascii="宋体" w:hAnsi="宋体" w:cs="宋体"/>
                <w:b/>
                <w:color w:val="auto"/>
                <w:szCs w:val="24"/>
                <w:highlight w:val="none"/>
              </w:rPr>
            </w:pPr>
            <w:r>
              <w:rPr>
                <w:rFonts w:hint="eastAsia" w:ascii="宋体" w:hAnsi="宋体" w:cs="宋体"/>
                <w:b/>
                <w:color w:val="auto"/>
                <w:szCs w:val="24"/>
                <w:highlight w:val="none"/>
              </w:rPr>
              <w:t>制造厂家</w:t>
            </w:r>
          </w:p>
        </w:tc>
        <w:tc>
          <w:tcPr>
            <w:tcW w:w="1675" w:type="dxa"/>
            <w:gridSpan w:val="2"/>
            <w:vAlign w:val="center"/>
          </w:tcPr>
          <w:p>
            <w:pPr>
              <w:spacing w:line="480" w:lineRule="exact"/>
              <w:rPr>
                <w:rFonts w:ascii="宋体" w:hAnsi="宋体" w:cs="宋体"/>
                <w:b/>
                <w:color w:val="auto"/>
                <w:szCs w:val="24"/>
                <w:highlight w:val="none"/>
              </w:rPr>
            </w:pPr>
            <w:r>
              <w:rPr>
                <w:rFonts w:hint="eastAsia" w:ascii="宋体" w:hAnsi="宋体" w:cs="宋体"/>
                <w:b/>
                <w:color w:val="auto"/>
                <w:szCs w:val="24"/>
                <w:highlight w:val="none"/>
              </w:rPr>
              <w:t>规格和说明</w:t>
            </w:r>
          </w:p>
        </w:tc>
        <w:tc>
          <w:tcPr>
            <w:tcW w:w="1529" w:type="dxa"/>
            <w:tcBorders>
              <w:top w:val="single" w:color="auto" w:sz="4" w:space="0"/>
            </w:tcBorders>
            <w:vAlign w:val="center"/>
          </w:tcPr>
          <w:p>
            <w:pPr>
              <w:spacing w:line="300" w:lineRule="exact"/>
              <w:ind w:left="14" w:leftChars="6"/>
              <w:jc w:val="center"/>
              <w:rPr>
                <w:rFonts w:ascii="宋体" w:hAnsi="宋体" w:cs="宋体"/>
                <w:b/>
                <w:color w:val="auto"/>
                <w:szCs w:val="24"/>
                <w:highlight w:val="none"/>
              </w:rPr>
            </w:pPr>
            <w:r>
              <w:rPr>
                <w:rFonts w:hint="eastAsia" w:ascii="宋体" w:hAnsi="宋体" w:cs="宋体"/>
                <w:b/>
                <w:color w:val="auto"/>
                <w:szCs w:val="24"/>
                <w:highlight w:val="none"/>
              </w:rPr>
              <w:t>数量/单位</w:t>
            </w:r>
          </w:p>
        </w:tc>
        <w:tc>
          <w:tcPr>
            <w:tcW w:w="1692" w:type="dxa"/>
            <w:tcMar>
              <w:top w:w="28" w:type="dxa"/>
              <w:left w:w="57" w:type="dxa"/>
              <w:bottom w:w="28" w:type="dxa"/>
              <w:right w:w="57" w:type="dxa"/>
            </w:tcMar>
            <w:vAlign w:val="center"/>
          </w:tcPr>
          <w:p>
            <w:pPr>
              <w:spacing w:line="300" w:lineRule="exact"/>
              <w:jc w:val="center"/>
              <w:rPr>
                <w:rFonts w:ascii="宋体" w:hAnsi="宋体" w:cs="宋体"/>
                <w:b/>
                <w:color w:val="auto"/>
                <w:szCs w:val="24"/>
                <w:highlight w:val="none"/>
              </w:rPr>
            </w:pPr>
            <w:r>
              <w:rPr>
                <w:rFonts w:hint="eastAsia" w:ascii="宋体" w:hAnsi="宋体" w:cs="宋体"/>
                <w:b/>
                <w:color w:val="auto"/>
                <w:szCs w:val="24"/>
                <w:highlight w:val="none"/>
              </w:rPr>
              <w:t>单价</w:t>
            </w:r>
          </w:p>
          <w:p>
            <w:pPr>
              <w:spacing w:line="300" w:lineRule="exact"/>
              <w:ind w:left="53" w:leftChars="22"/>
              <w:jc w:val="center"/>
              <w:rPr>
                <w:rFonts w:ascii="宋体" w:hAnsi="宋体" w:cs="宋体"/>
                <w:b/>
                <w:color w:val="auto"/>
                <w:szCs w:val="24"/>
                <w:highlight w:val="none"/>
              </w:rPr>
            </w:pPr>
            <w:r>
              <w:rPr>
                <w:rFonts w:hint="eastAsia" w:ascii="宋体" w:hAnsi="宋体" w:cs="宋体"/>
                <w:b/>
                <w:color w:val="auto"/>
                <w:szCs w:val="24"/>
                <w:highlight w:val="none"/>
              </w:rPr>
              <w:t>（人民币元）</w:t>
            </w:r>
          </w:p>
        </w:tc>
        <w:tc>
          <w:tcPr>
            <w:tcW w:w="1663"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r>
              <w:rPr>
                <w:rFonts w:hint="eastAsia" w:ascii="宋体" w:hAnsi="宋体" w:cs="宋体"/>
                <w:b/>
                <w:color w:val="auto"/>
                <w:szCs w:val="24"/>
                <w:highlight w:val="none"/>
              </w:rPr>
              <w:t>总价</w:t>
            </w:r>
          </w:p>
          <w:p>
            <w:pPr>
              <w:spacing w:line="300" w:lineRule="exact"/>
              <w:ind w:left="53" w:leftChars="22"/>
              <w:jc w:val="center"/>
              <w:rPr>
                <w:rFonts w:ascii="宋体" w:hAnsi="宋体" w:cs="宋体"/>
                <w:b/>
                <w:color w:val="auto"/>
                <w:szCs w:val="24"/>
                <w:highlight w:val="none"/>
              </w:rPr>
            </w:pPr>
            <w:r>
              <w:rPr>
                <w:rFonts w:hint="eastAsia" w:ascii="宋体" w:hAnsi="宋体" w:cs="宋体"/>
                <w:b/>
                <w:color w:val="auto"/>
                <w:szCs w:val="24"/>
                <w:highlight w:val="none"/>
              </w:rPr>
              <w:t>（人民币元）</w:t>
            </w:r>
          </w:p>
        </w:tc>
        <w:tc>
          <w:tcPr>
            <w:tcW w:w="1230" w:type="dxa"/>
            <w:tcMar>
              <w:top w:w="28" w:type="dxa"/>
              <w:left w:w="57" w:type="dxa"/>
              <w:bottom w:w="28" w:type="dxa"/>
              <w:right w:w="57" w:type="dxa"/>
            </w:tcMar>
            <w:vAlign w:val="center"/>
          </w:tcPr>
          <w:p>
            <w:pPr>
              <w:spacing w:line="30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pPr>
              <w:spacing w:line="300" w:lineRule="exact"/>
              <w:rPr>
                <w:rFonts w:ascii="宋体" w:hAnsi="宋体" w:cs="宋体"/>
                <w:b/>
                <w:color w:val="auto"/>
                <w:szCs w:val="24"/>
                <w:highlight w:val="none"/>
              </w:rPr>
            </w:pPr>
          </w:p>
        </w:tc>
        <w:tc>
          <w:tcPr>
            <w:tcW w:w="2319" w:type="dxa"/>
            <w:vAlign w:val="center"/>
          </w:tcPr>
          <w:p>
            <w:pPr>
              <w:spacing w:line="300" w:lineRule="exact"/>
              <w:ind w:left="240" w:leftChars="100"/>
              <w:jc w:val="center"/>
              <w:rPr>
                <w:rFonts w:ascii="宋体" w:hAnsi="宋体" w:cs="宋体"/>
                <w:b/>
                <w:color w:val="auto"/>
                <w:szCs w:val="24"/>
                <w:highlight w:val="none"/>
              </w:rPr>
            </w:pPr>
          </w:p>
        </w:tc>
        <w:tc>
          <w:tcPr>
            <w:tcW w:w="1713" w:type="dxa"/>
            <w:vAlign w:val="center"/>
          </w:tcPr>
          <w:p>
            <w:pPr>
              <w:spacing w:line="480" w:lineRule="exact"/>
              <w:ind w:firstLine="482" w:firstLineChars="200"/>
              <w:rPr>
                <w:rFonts w:ascii="宋体" w:hAnsi="宋体" w:cs="宋体"/>
                <w:b/>
                <w:color w:val="auto"/>
                <w:szCs w:val="24"/>
                <w:highlight w:val="none"/>
              </w:rPr>
            </w:pPr>
          </w:p>
        </w:tc>
        <w:tc>
          <w:tcPr>
            <w:tcW w:w="2101" w:type="dxa"/>
            <w:vAlign w:val="center"/>
          </w:tcPr>
          <w:p>
            <w:pPr>
              <w:spacing w:line="480" w:lineRule="exact"/>
              <w:jc w:val="center"/>
              <w:rPr>
                <w:rFonts w:ascii="宋体" w:hAnsi="宋体" w:cs="宋体"/>
                <w:b/>
                <w:color w:val="auto"/>
                <w:szCs w:val="24"/>
                <w:highlight w:val="none"/>
              </w:rPr>
            </w:pPr>
          </w:p>
        </w:tc>
        <w:tc>
          <w:tcPr>
            <w:tcW w:w="1675" w:type="dxa"/>
            <w:gridSpan w:val="2"/>
            <w:vAlign w:val="center"/>
          </w:tcPr>
          <w:p>
            <w:pPr>
              <w:spacing w:line="480" w:lineRule="exact"/>
              <w:rPr>
                <w:rFonts w:ascii="宋体" w:hAnsi="宋体" w:cs="宋体"/>
                <w:b/>
                <w:color w:val="auto"/>
                <w:szCs w:val="24"/>
                <w:highlight w:val="none"/>
              </w:rPr>
            </w:pPr>
          </w:p>
        </w:tc>
        <w:tc>
          <w:tcPr>
            <w:tcW w:w="1529" w:type="dxa"/>
            <w:tcBorders>
              <w:top w:val="single" w:color="auto" w:sz="4" w:space="0"/>
            </w:tcBorders>
            <w:vAlign w:val="center"/>
          </w:tcPr>
          <w:p>
            <w:pPr>
              <w:spacing w:line="300" w:lineRule="exact"/>
              <w:ind w:left="14" w:leftChars="6"/>
              <w:jc w:val="center"/>
              <w:rPr>
                <w:rFonts w:ascii="宋体" w:hAnsi="宋体" w:cs="宋体"/>
                <w:b/>
                <w:color w:val="auto"/>
                <w:szCs w:val="24"/>
                <w:highlight w:val="none"/>
              </w:rPr>
            </w:pPr>
          </w:p>
        </w:tc>
        <w:tc>
          <w:tcPr>
            <w:tcW w:w="1692"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663"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230" w:type="dxa"/>
            <w:tcMar>
              <w:top w:w="28" w:type="dxa"/>
              <w:left w:w="57" w:type="dxa"/>
              <w:bottom w:w="28" w:type="dxa"/>
              <w:right w:w="57" w:type="dxa"/>
            </w:tcMar>
            <w:vAlign w:val="center"/>
          </w:tcPr>
          <w:p>
            <w:pPr>
              <w:spacing w:line="300" w:lineRule="exact"/>
              <w:ind w:left="240" w:leftChars="100"/>
              <w:jc w:val="center"/>
              <w:rPr>
                <w:rFonts w:ascii="宋体" w:hAnsi="宋体" w:cs="宋体"/>
                <w:b/>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pPr>
              <w:spacing w:line="300" w:lineRule="exact"/>
              <w:rPr>
                <w:rFonts w:ascii="宋体" w:hAnsi="宋体" w:cs="宋体"/>
                <w:b/>
                <w:color w:val="auto"/>
                <w:szCs w:val="24"/>
                <w:highlight w:val="none"/>
              </w:rPr>
            </w:pPr>
          </w:p>
        </w:tc>
        <w:tc>
          <w:tcPr>
            <w:tcW w:w="2319" w:type="dxa"/>
            <w:vAlign w:val="center"/>
          </w:tcPr>
          <w:p>
            <w:pPr>
              <w:spacing w:line="300" w:lineRule="exact"/>
              <w:ind w:left="240" w:leftChars="100"/>
              <w:jc w:val="center"/>
              <w:rPr>
                <w:rFonts w:ascii="宋体" w:hAnsi="宋体" w:cs="宋体"/>
                <w:b/>
                <w:color w:val="auto"/>
                <w:szCs w:val="24"/>
                <w:highlight w:val="none"/>
              </w:rPr>
            </w:pPr>
          </w:p>
        </w:tc>
        <w:tc>
          <w:tcPr>
            <w:tcW w:w="1713" w:type="dxa"/>
            <w:vAlign w:val="center"/>
          </w:tcPr>
          <w:p>
            <w:pPr>
              <w:spacing w:line="480" w:lineRule="exact"/>
              <w:ind w:firstLine="482" w:firstLineChars="200"/>
              <w:rPr>
                <w:rFonts w:ascii="宋体" w:hAnsi="宋体" w:cs="宋体"/>
                <w:b/>
                <w:color w:val="auto"/>
                <w:szCs w:val="24"/>
                <w:highlight w:val="none"/>
              </w:rPr>
            </w:pPr>
          </w:p>
        </w:tc>
        <w:tc>
          <w:tcPr>
            <w:tcW w:w="2101" w:type="dxa"/>
            <w:vAlign w:val="center"/>
          </w:tcPr>
          <w:p>
            <w:pPr>
              <w:spacing w:line="480" w:lineRule="exact"/>
              <w:jc w:val="center"/>
              <w:rPr>
                <w:rFonts w:ascii="宋体" w:hAnsi="宋体" w:cs="宋体"/>
                <w:b/>
                <w:color w:val="auto"/>
                <w:szCs w:val="24"/>
                <w:highlight w:val="none"/>
              </w:rPr>
            </w:pPr>
          </w:p>
        </w:tc>
        <w:tc>
          <w:tcPr>
            <w:tcW w:w="1675" w:type="dxa"/>
            <w:gridSpan w:val="2"/>
            <w:vAlign w:val="center"/>
          </w:tcPr>
          <w:p>
            <w:pPr>
              <w:spacing w:line="480" w:lineRule="exact"/>
              <w:rPr>
                <w:rFonts w:ascii="宋体" w:hAnsi="宋体" w:cs="宋体"/>
                <w:b/>
                <w:color w:val="auto"/>
                <w:szCs w:val="24"/>
                <w:highlight w:val="none"/>
              </w:rPr>
            </w:pPr>
          </w:p>
        </w:tc>
        <w:tc>
          <w:tcPr>
            <w:tcW w:w="1529" w:type="dxa"/>
            <w:tcBorders>
              <w:top w:val="single" w:color="auto" w:sz="4" w:space="0"/>
            </w:tcBorders>
            <w:vAlign w:val="center"/>
          </w:tcPr>
          <w:p>
            <w:pPr>
              <w:spacing w:line="300" w:lineRule="exact"/>
              <w:ind w:left="14" w:leftChars="6"/>
              <w:jc w:val="center"/>
              <w:rPr>
                <w:rFonts w:ascii="宋体" w:hAnsi="宋体" w:cs="宋体"/>
                <w:b/>
                <w:color w:val="auto"/>
                <w:szCs w:val="24"/>
                <w:highlight w:val="none"/>
              </w:rPr>
            </w:pPr>
          </w:p>
        </w:tc>
        <w:tc>
          <w:tcPr>
            <w:tcW w:w="1692"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663"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230" w:type="dxa"/>
            <w:tcMar>
              <w:top w:w="28" w:type="dxa"/>
              <w:left w:w="57" w:type="dxa"/>
              <w:bottom w:w="28" w:type="dxa"/>
              <w:right w:w="57" w:type="dxa"/>
            </w:tcMar>
            <w:vAlign w:val="center"/>
          </w:tcPr>
          <w:p>
            <w:pPr>
              <w:spacing w:line="300" w:lineRule="exact"/>
              <w:ind w:left="240" w:leftChars="100"/>
              <w:jc w:val="center"/>
              <w:rPr>
                <w:rFonts w:ascii="宋体" w:hAnsi="宋体" w:cs="宋体"/>
                <w:b/>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pPr>
              <w:spacing w:line="300" w:lineRule="exact"/>
              <w:rPr>
                <w:rFonts w:ascii="宋体" w:hAnsi="宋体" w:cs="宋体"/>
                <w:b/>
                <w:color w:val="auto"/>
                <w:szCs w:val="24"/>
                <w:highlight w:val="none"/>
              </w:rPr>
            </w:pPr>
          </w:p>
        </w:tc>
        <w:tc>
          <w:tcPr>
            <w:tcW w:w="2319" w:type="dxa"/>
            <w:vAlign w:val="center"/>
          </w:tcPr>
          <w:p>
            <w:pPr>
              <w:spacing w:line="300" w:lineRule="exact"/>
              <w:ind w:left="240" w:leftChars="100"/>
              <w:jc w:val="center"/>
              <w:rPr>
                <w:rFonts w:ascii="宋体" w:hAnsi="宋体" w:cs="宋体"/>
                <w:b/>
                <w:color w:val="auto"/>
                <w:szCs w:val="24"/>
                <w:highlight w:val="none"/>
              </w:rPr>
            </w:pPr>
          </w:p>
        </w:tc>
        <w:tc>
          <w:tcPr>
            <w:tcW w:w="1713" w:type="dxa"/>
            <w:vAlign w:val="center"/>
          </w:tcPr>
          <w:p>
            <w:pPr>
              <w:spacing w:line="480" w:lineRule="exact"/>
              <w:ind w:firstLine="482" w:firstLineChars="200"/>
              <w:rPr>
                <w:rFonts w:ascii="宋体" w:hAnsi="宋体" w:cs="宋体"/>
                <w:b/>
                <w:color w:val="auto"/>
                <w:szCs w:val="24"/>
                <w:highlight w:val="none"/>
              </w:rPr>
            </w:pPr>
          </w:p>
        </w:tc>
        <w:tc>
          <w:tcPr>
            <w:tcW w:w="2101" w:type="dxa"/>
            <w:vAlign w:val="center"/>
          </w:tcPr>
          <w:p>
            <w:pPr>
              <w:spacing w:line="480" w:lineRule="exact"/>
              <w:jc w:val="center"/>
              <w:rPr>
                <w:rFonts w:ascii="宋体" w:hAnsi="宋体" w:cs="宋体"/>
                <w:b/>
                <w:color w:val="auto"/>
                <w:szCs w:val="24"/>
                <w:highlight w:val="none"/>
              </w:rPr>
            </w:pPr>
          </w:p>
        </w:tc>
        <w:tc>
          <w:tcPr>
            <w:tcW w:w="1675" w:type="dxa"/>
            <w:gridSpan w:val="2"/>
            <w:vAlign w:val="center"/>
          </w:tcPr>
          <w:p>
            <w:pPr>
              <w:spacing w:line="480" w:lineRule="exact"/>
              <w:rPr>
                <w:rFonts w:ascii="宋体" w:hAnsi="宋体" w:cs="宋体"/>
                <w:b/>
                <w:color w:val="auto"/>
                <w:szCs w:val="24"/>
                <w:highlight w:val="none"/>
              </w:rPr>
            </w:pPr>
          </w:p>
        </w:tc>
        <w:tc>
          <w:tcPr>
            <w:tcW w:w="1529" w:type="dxa"/>
            <w:tcBorders>
              <w:top w:val="single" w:color="auto" w:sz="4" w:space="0"/>
            </w:tcBorders>
            <w:vAlign w:val="center"/>
          </w:tcPr>
          <w:p>
            <w:pPr>
              <w:spacing w:line="300" w:lineRule="exact"/>
              <w:ind w:left="14" w:leftChars="6"/>
              <w:jc w:val="center"/>
              <w:rPr>
                <w:rFonts w:ascii="宋体" w:hAnsi="宋体" w:cs="宋体"/>
                <w:b/>
                <w:color w:val="auto"/>
                <w:szCs w:val="24"/>
                <w:highlight w:val="none"/>
              </w:rPr>
            </w:pPr>
          </w:p>
        </w:tc>
        <w:tc>
          <w:tcPr>
            <w:tcW w:w="1692"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663"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230" w:type="dxa"/>
            <w:tcMar>
              <w:top w:w="28" w:type="dxa"/>
              <w:left w:w="57" w:type="dxa"/>
              <w:bottom w:w="28" w:type="dxa"/>
              <w:right w:w="57" w:type="dxa"/>
            </w:tcMar>
            <w:vAlign w:val="center"/>
          </w:tcPr>
          <w:p>
            <w:pPr>
              <w:spacing w:line="300" w:lineRule="exact"/>
              <w:ind w:left="240" w:leftChars="100"/>
              <w:jc w:val="center"/>
              <w:rPr>
                <w:rFonts w:ascii="宋体" w:hAnsi="宋体" w:cs="宋体"/>
                <w:b/>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1" w:type="dxa"/>
            <w:vAlign w:val="center"/>
          </w:tcPr>
          <w:p>
            <w:pPr>
              <w:spacing w:line="300" w:lineRule="exact"/>
              <w:rPr>
                <w:rFonts w:ascii="宋体" w:hAnsi="宋体" w:cs="宋体"/>
                <w:b/>
                <w:color w:val="auto"/>
                <w:szCs w:val="24"/>
                <w:highlight w:val="none"/>
              </w:rPr>
            </w:pPr>
          </w:p>
        </w:tc>
        <w:tc>
          <w:tcPr>
            <w:tcW w:w="2319" w:type="dxa"/>
            <w:vAlign w:val="center"/>
          </w:tcPr>
          <w:p>
            <w:pPr>
              <w:spacing w:line="300" w:lineRule="exact"/>
              <w:ind w:left="240" w:leftChars="100"/>
              <w:jc w:val="center"/>
              <w:rPr>
                <w:rFonts w:ascii="宋体" w:hAnsi="宋体" w:cs="宋体"/>
                <w:b/>
                <w:color w:val="auto"/>
                <w:szCs w:val="24"/>
                <w:highlight w:val="none"/>
              </w:rPr>
            </w:pPr>
          </w:p>
        </w:tc>
        <w:tc>
          <w:tcPr>
            <w:tcW w:w="1713" w:type="dxa"/>
            <w:vAlign w:val="center"/>
          </w:tcPr>
          <w:p>
            <w:pPr>
              <w:spacing w:line="480" w:lineRule="exact"/>
              <w:ind w:firstLine="482" w:firstLineChars="200"/>
              <w:rPr>
                <w:rFonts w:ascii="宋体" w:hAnsi="宋体" w:cs="宋体"/>
                <w:b/>
                <w:color w:val="auto"/>
                <w:szCs w:val="24"/>
                <w:highlight w:val="none"/>
              </w:rPr>
            </w:pPr>
          </w:p>
        </w:tc>
        <w:tc>
          <w:tcPr>
            <w:tcW w:w="2101" w:type="dxa"/>
            <w:vAlign w:val="center"/>
          </w:tcPr>
          <w:p>
            <w:pPr>
              <w:spacing w:line="480" w:lineRule="exact"/>
              <w:jc w:val="center"/>
              <w:rPr>
                <w:rFonts w:ascii="宋体" w:hAnsi="宋体" w:cs="宋体"/>
                <w:b/>
                <w:color w:val="auto"/>
                <w:szCs w:val="24"/>
                <w:highlight w:val="none"/>
              </w:rPr>
            </w:pPr>
          </w:p>
        </w:tc>
        <w:tc>
          <w:tcPr>
            <w:tcW w:w="1675" w:type="dxa"/>
            <w:gridSpan w:val="2"/>
            <w:vAlign w:val="center"/>
          </w:tcPr>
          <w:p>
            <w:pPr>
              <w:spacing w:line="480" w:lineRule="exact"/>
              <w:rPr>
                <w:rFonts w:ascii="宋体" w:hAnsi="宋体" w:cs="宋体"/>
                <w:b/>
                <w:color w:val="auto"/>
                <w:szCs w:val="24"/>
                <w:highlight w:val="none"/>
              </w:rPr>
            </w:pPr>
          </w:p>
        </w:tc>
        <w:tc>
          <w:tcPr>
            <w:tcW w:w="1529" w:type="dxa"/>
            <w:tcBorders>
              <w:top w:val="single" w:color="auto" w:sz="4" w:space="0"/>
            </w:tcBorders>
            <w:vAlign w:val="center"/>
          </w:tcPr>
          <w:p>
            <w:pPr>
              <w:spacing w:line="300" w:lineRule="exact"/>
              <w:ind w:left="14" w:leftChars="6"/>
              <w:jc w:val="center"/>
              <w:rPr>
                <w:rFonts w:ascii="宋体" w:hAnsi="宋体" w:cs="宋体"/>
                <w:b/>
                <w:color w:val="auto"/>
                <w:szCs w:val="24"/>
                <w:highlight w:val="none"/>
              </w:rPr>
            </w:pPr>
          </w:p>
        </w:tc>
        <w:tc>
          <w:tcPr>
            <w:tcW w:w="1692"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663" w:type="dxa"/>
            <w:tcMar>
              <w:top w:w="28" w:type="dxa"/>
              <w:left w:w="57" w:type="dxa"/>
              <w:bottom w:w="28" w:type="dxa"/>
              <w:right w:w="57" w:type="dxa"/>
            </w:tcMar>
            <w:vAlign w:val="center"/>
          </w:tcPr>
          <w:p>
            <w:pPr>
              <w:spacing w:line="300" w:lineRule="exact"/>
              <w:ind w:left="53" w:leftChars="22"/>
              <w:jc w:val="center"/>
              <w:rPr>
                <w:rFonts w:ascii="宋体" w:hAnsi="宋体" w:cs="宋体"/>
                <w:b/>
                <w:color w:val="auto"/>
                <w:szCs w:val="24"/>
                <w:highlight w:val="none"/>
              </w:rPr>
            </w:pPr>
          </w:p>
        </w:tc>
        <w:tc>
          <w:tcPr>
            <w:tcW w:w="1230" w:type="dxa"/>
            <w:tcMar>
              <w:top w:w="28" w:type="dxa"/>
              <w:left w:w="57" w:type="dxa"/>
              <w:bottom w:w="28" w:type="dxa"/>
              <w:right w:w="57" w:type="dxa"/>
            </w:tcMar>
            <w:vAlign w:val="center"/>
          </w:tcPr>
          <w:p>
            <w:pPr>
              <w:spacing w:line="300" w:lineRule="exact"/>
              <w:ind w:left="240" w:leftChars="100"/>
              <w:jc w:val="center"/>
              <w:rPr>
                <w:rFonts w:ascii="宋体" w:hAnsi="宋体" w:cs="宋体"/>
                <w:b/>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90" w:type="dxa"/>
            <w:gridSpan w:val="2"/>
            <w:tcMar>
              <w:left w:w="57" w:type="dxa"/>
              <w:right w:w="57" w:type="dxa"/>
            </w:tcMar>
            <w:vAlign w:val="center"/>
          </w:tcPr>
          <w:p>
            <w:pPr>
              <w:spacing w:line="300" w:lineRule="exact"/>
              <w:jc w:val="center"/>
              <w:rPr>
                <w:rFonts w:ascii="宋体" w:hAnsi="宋体" w:cs="宋体"/>
                <w:color w:val="auto"/>
                <w:szCs w:val="24"/>
                <w:highlight w:val="none"/>
              </w:rPr>
            </w:pPr>
            <w:r>
              <w:rPr>
                <w:rFonts w:hint="eastAsia" w:ascii="宋体" w:hAnsi="宋体" w:cs="宋体"/>
                <w:color w:val="auto"/>
                <w:szCs w:val="24"/>
                <w:highlight w:val="none"/>
              </w:rPr>
              <w:t>合计（人民币元）</w:t>
            </w:r>
          </w:p>
        </w:tc>
        <w:tc>
          <w:tcPr>
            <w:tcW w:w="8710" w:type="dxa"/>
            <w:gridSpan w:val="6"/>
            <w:tcMar>
              <w:left w:w="57" w:type="dxa"/>
              <w:right w:w="57" w:type="dxa"/>
            </w:tcMar>
            <w:vAlign w:val="center"/>
          </w:tcPr>
          <w:p>
            <w:pPr>
              <w:spacing w:line="300" w:lineRule="exact"/>
              <w:ind w:left="240" w:leftChars="100"/>
              <w:jc w:val="center"/>
              <w:rPr>
                <w:rFonts w:ascii="宋体" w:hAnsi="宋体" w:cs="宋体"/>
                <w:color w:val="auto"/>
                <w:szCs w:val="24"/>
                <w:highlight w:val="none"/>
              </w:rPr>
            </w:pPr>
          </w:p>
        </w:tc>
        <w:tc>
          <w:tcPr>
            <w:tcW w:w="2893" w:type="dxa"/>
            <w:gridSpan w:val="2"/>
            <w:tcMar>
              <w:left w:w="57" w:type="dxa"/>
              <w:right w:w="57" w:type="dxa"/>
            </w:tcMar>
            <w:vAlign w:val="center"/>
          </w:tcPr>
          <w:p>
            <w:pPr>
              <w:spacing w:line="300" w:lineRule="exact"/>
              <w:rPr>
                <w:rFonts w:ascii="宋体" w:hAnsi="宋体" w:cs="宋体"/>
                <w:color w:val="auto"/>
                <w:szCs w:val="24"/>
                <w:highlight w:val="none"/>
              </w:rPr>
            </w:pPr>
            <w:r>
              <w:rPr>
                <w:rFonts w:hint="eastAsia" w:ascii="宋体" w:hAnsi="宋体" w:cs="宋体"/>
                <w:color w:val="auto"/>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90" w:type="dxa"/>
            <w:gridSpan w:val="2"/>
            <w:tcMar>
              <w:left w:w="57" w:type="dxa"/>
              <w:right w:w="57" w:type="dxa"/>
            </w:tcMar>
            <w:vAlign w:val="center"/>
          </w:tcPr>
          <w:p>
            <w:pPr>
              <w:spacing w:line="300" w:lineRule="exact"/>
              <w:ind w:left="240" w:leftChars="100"/>
              <w:rPr>
                <w:rFonts w:ascii="宋体" w:hAnsi="宋体" w:cs="宋体"/>
                <w:color w:val="auto"/>
                <w:szCs w:val="24"/>
                <w:highlight w:val="none"/>
              </w:rPr>
            </w:pPr>
            <w:r>
              <w:rPr>
                <w:rFonts w:hint="eastAsia" w:ascii="宋体" w:hAnsi="宋体" w:cs="宋体"/>
                <w:color w:val="auto"/>
                <w:szCs w:val="24"/>
                <w:highlight w:val="none"/>
              </w:rPr>
              <w:t>售后服务费</w:t>
            </w:r>
          </w:p>
        </w:tc>
        <w:tc>
          <w:tcPr>
            <w:tcW w:w="5409" w:type="dxa"/>
            <w:gridSpan w:val="3"/>
            <w:tcMar>
              <w:left w:w="57" w:type="dxa"/>
              <w:right w:w="57" w:type="dxa"/>
            </w:tcMar>
            <w:vAlign w:val="center"/>
          </w:tcPr>
          <w:p>
            <w:pPr>
              <w:spacing w:line="300" w:lineRule="exact"/>
              <w:ind w:left="240" w:leftChars="100"/>
              <w:rPr>
                <w:rFonts w:ascii="宋体" w:hAnsi="宋体" w:cs="宋体"/>
                <w:color w:val="auto"/>
                <w:szCs w:val="24"/>
                <w:highlight w:val="none"/>
              </w:rPr>
            </w:pPr>
          </w:p>
        </w:tc>
        <w:tc>
          <w:tcPr>
            <w:tcW w:w="1609" w:type="dxa"/>
            <w:gridSpan w:val="2"/>
            <w:tcMar>
              <w:left w:w="57" w:type="dxa"/>
              <w:right w:w="57" w:type="dxa"/>
            </w:tcMar>
            <w:vAlign w:val="center"/>
          </w:tcPr>
          <w:p>
            <w:pPr>
              <w:spacing w:line="300" w:lineRule="exact"/>
              <w:rPr>
                <w:rFonts w:ascii="宋体" w:hAnsi="宋体" w:cs="宋体"/>
                <w:color w:val="auto"/>
                <w:szCs w:val="24"/>
                <w:highlight w:val="none"/>
              </w:rPr>
            </w:pPr>
            <w:r>
              <w:rPr>
                <w:rFonts w:hint="eastAsia" w:ascii="宋体" w:hAnsi="宋体" w:cs="宋体"/>
                <w:color w:val="auto"/>
                <w:szCs w:val="24"/>
                <w:highlight w:val="none"/>
              </w:rPr>
              <w:t>安装调试费</w:t>
            </w:r>
          </w:p>
        </w:tc>
        <w:tc>
          <w:tcPr>
            <w:tcW w:w="4585" w:type="dxa"/>
            <w:gridSpan w:val="3"/>
            <w:tcMar>
              <w:left w:w="57" w:type="dxa"/>
              <w:right w:w="57" w:type="dxa"/>
            </w:tcMar>
            <w:vAlign w:val="center"/>
          </w:tcPr>
          <w:p>
            <w:pPr>
              <w:spacing w:line="30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90" w:type="dxa"/>
            <w:gridSpan w:val="2"/>
            <w:tcMar>
              <w:left w:w="57" w:type="dxa"/>
              <w:right w:w="57" w:type="dxa"/>
            </w:tcMar>
            <w:vAlign w:val="center"/>
          </w:tcPr>
          <w:p>
            <w:pPr>
              <w:spacing w:line="300" w:lineRule="exact"/>
              <w:ind w:left="240" w:leftChars="100"/>
              <w:rPr>
                <w:rFonts w:ascii="宋体" w:hAnsi="宋体" w:cs="宋体"/>
                <w:color w:val="auto"/>
                <w:szCs w:val="24"/>
                <w:highlight w:val="none"/>
              </w:rPr>
            </w:pPr>
            <w:r>
              <w:rPr>
                <w:rFonts w:hint="eastAsia" w:ascii="宋体" w:hAnsi="宋体" w:cs="宋体"/>
                <w:color w:val="auto"/>
                <w:szCs w:val="24"/>
                <w:highlight w:val="none"/>
              </w:rPr>
              <w:t>伴随费用等</w:t>
            </w:r>
          </w:p>
        </w:tc>
        <w:tc>
          <w:tcPr>
            <w:tcW w:w="5409" w:type="dxa"/>
            <w:gridSpan w:val="3"/>
            <w:tcMar>
              <w:left w:w="57" w:type="dxa"/>
              <w:right w:w="57" w:type="dxa"/>
            </w:tcMar>
            <w:vAlign w:val="center"/>
          </w:tcPr>
          <w:p>
            <w:pPr>
              <w:spacing w:line="300" w:lineRule="exact"/>
              <w:ind w:left="240" w:leftChars="100"/>
              <w:jc w:val="center"/>
              <w:rPr>
                <w:rFonts w:ascii="宋体" w:hAnsi="宋体" w:cs="宋体"/>
                <w:color w:val="auto"/>
                <w:szCs w:val="24"/>
                <w:highlight w:val="none"/>
              </w:rPr>
            </w:pPr>
          </w:p>
        </w:tc>
        <w:tc>
          <w:tcPr>
            <w:tcW w:w="1609" w:type="dxa"/>
            <w:gridSpan w:val="2"/>
            <w:tcBorders>
              <w:top w:val="single" w:color="auto" w:sz="4" w:space="0"/>
            </w:tcBorders>
            <w:tcMar>
              <w:left w:w="57" w:type="dxa"/>
              <w:right w:w="57" w:type="dxa"/>
            </w:tcMar>
            <w:vAlign w:val="center"/>
          </w:tcPr>
          <w:p>
            <w:pPr>
              <w:spacing w:line="300" w:lineRule="exac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eastAsia="zh-CN"/>
              </w:rPr>
              <w:t>其他费用</w:t>
            </w:r>
          </w:p>
        </w:tc>
        <w:tc>
          <w:tcPr>
            <w:tcW w:w="4585" w:type="dxa"/>
            <w:gridSpan w:val="3"/>
            <w:tcMar>
              <w:left w:w="57" w:type="dxa"/>
              <w:right w:w="57" w:type="dxa"/>
            </w:tcMar>
          </w:tcPr>
          <w:p>
            <w:pPr>
              <w:spacing w:line="30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90" w:type="dxa"/>
            <w:gridSpan w:val="2"/>
            <w:tcMar>
              <w:left w:w="57" w:type="dxa"/>
              <w:right w:w="57" w:type="dxa"/>
            </w:tcMar>
            <w:vAlign w:val="center"/>
          </w:tcPr>
          <w:p>
            <w:pPr>
              <w:spacing w:line="300" w:lineRule="exact"/>
              <w:ind w:left="240" w:leftChars="100"/>
              <w:rPr>
                <w:rFonts w:ascii="宋体" w:hAnsi="宋体" w:cs="宋体"/>
                <w:color w:val="auto"/>
                <w:szCs w:val="24"/>
                <w:highlight w:val="none"/>
              </w:rPr>
            </w:pPr>
            <w:r>
              <w:rPr>
                <w:rFonts w:hint="eastAsia" w:ascii="宋体" w:hAnsi="宋体" w:cs="宋体"/>
                <w:color w:val="auto"/>
                <w:szCs w:val="24"/>
                <w:highlight w:val="none"/>
              </w:rPr>
              <w:t>税费</w:t>
            </w:r>
          </w:p>
        </w:tc>
        <w:tc>
          <w:tcPr>
            <w:tcW w:w="11603" w:type="dxa"/>
            <w:gridSpan w:val="8"/>
            <w:tcMar>
              <w:left w:w="57" w:type="dxa"/>
              <w:right w:w="57" w:type="dxa"/>
            </w:tcMar>
            <w:vAlign w:val="center"/>
          </w:tcPr>
          <w:p>
            <w:pPr>
              <w:spacing w:line="30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090" w:type="dxa"/>
            <w:gridSpan w:val="2"/>
            <w:tcMar>
              <w:left w:w="57" w:type="dxa"/>
              <w:right w:w="57" w:type="dxa"/>
            </w:tcMar>
            <w:vAlign w:val="center"/>
          </w:tcPr>
          <w:p>
            <w:pPr>
              <w:spacing w:line="300" w:lineRule="exact"/>
              <w:ind w:left="240" w:leftChars="100"/>
              <w:jc w:val="center"/>
              <w:rPr>
                <w:rFonts w:ascii="宋体" w:hAnsi="宋体" w:cs="宋体"/>
                <w:color w:val="auto"/>
                <w:szCs w:val="24"/>
                <w:highlight w:val="none"/>
              </w:rPr>
            </w:pPr>
            <w:r>
              <w:rPr>
                <w:rFonts w:hint="eastAsia" w:ascii="宋体" w:hAnsi="宋体" w:cs="宋体"/>
                <w:color w:val="auto"/>
                <w:szCs w:val="24"/>
                <w:highlight w:val="none"/>
              </w:rPr>
              <w:t>总 计（人民币元）</w:t>
            </w:r>
          </w:p>
        </w:tc>
        <w:tc>
          <w:tcPr>
            <w:tcW w:w="8710" w:type="dxa"/>
            <w:gridSpan w:val="6"/>
            <w:tcMar>
              <w:left w:w="57" w:type="dxa"/>
              <w:right w:w="57" w:type="dxa"/>
            </w:tcMar>
            <w:vAlign w:val="center"/>
          </w:tcPr>
          <w:p>
            <w:pPr>
              <w:spacing w:line="300" w:lineRule="exact"/>
              <w:ind w:left="240" w:leftChars="100"/>
              <w:jc w:val="center"/>
              <w:rPr>
                <w:rFonts w:ascii="宋体" w:hAnsi="宋体" w:cs="宋体"/>
                <w:color w:val="auto"/>
                <w:szCs w:val="24"/>
                <w:highlight w:val="none"/>
              </w:rPr>
            </w:pPr>
          </w:p>
        </w:tc>
        <w:tc>
          <w:tcPr>
            <w:tcW w:w="2893" w:type="dxa"/>
            <w:gridSpan w:val="2"/>
            <w:tcMar>
              <w:left w:w="57" w:type="dxa"/>
              <w:right w:w="57" w:type="dxa"/>
            </w:tcMar>
            <w:vAlign w:val="center"/>
          </w:tcPr>
          <w:p>
            <w:pPr>
              <w:spacing w:line="300" w:lineRule="exact"/>
              <w:rPr>
                <w:rFonts w:ascii="宋体" w:hAnsi="宋体" w:cs="宋体"/>
                <w:color w:val="auto"/>
                <w:szCs w:val="24"/>
                <w:highlight w:val="none"/>
              </w:rPr>
            </w:pPr>
            <w:r>
              <w:rPr>
                <w:rFonts w:hint="eastAsia" w:ascii="宋体" w:hAnsi="宋体" w:cs="宋体"/>
                <w:color w:val="auto"/>
                <w:szCs w:val="24"/>
                <w:highlight w:val="none"/>
              </w:rPr>
              <w:t>¥：</w:t>
            </w:r>
          </w:p>
        </w:tc>
      </w:tr>
    </w:tbl>
    <w:p>
      <w:pPr>
        <w:spacing w:line="400" w:lineRule="exact"/>
        <w:rPr>
          <w:rFonts w:ascii="宋体" w:hAnsi="宋体" w:cs="宋体"/>
          <w:color w:val="auto"/>
          <w:szCs w:val="24"/>
          <w:highlight w:val="none"/>
        </w:rPr>
      </w:pPr>
    </w:p>
    <w:p>
      <w:pPr>
        <w:spacing w:line="400" w:lineRule="exact"/>
        <w:rPr>
          <w:rFonts w:ascii="宋体" w:hAnsi="宋体" w:cs="宋体"/>
          <w:color w:val="auto"/>
          <w:szCs w:val="24"/>
          <w:highlight w:val="none"/>
        </w:rPr>
      </w:pPr>
    </w:p>
    <w:p>
      <w:pPr>
        <w:spacing w:line="400" w:lineRule="exact"/>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400" w:lineRule="exact"/>
        <w:ind w:left="240" w:leftChars="100"/>
        <w:rPr>
          <w:rFonts w:ascii="宋体" w:hAnsi="宋体" w:cs="宋体"/>
          <w:color w:val="auto"/>
          <w:szCs w:val="24"/>
          <w:highlight w:val="none"/>
          <w:u w:val="singl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法定代表人或被授权人（签字或盖章）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日 期：</w:t>
      </w:r>
      <w:r>
        <w:rPr>
          <w:rFonts w:hint="eastAsia" w:ascii="宋体" w:hAnsi="宋体" w:cs="宋体"/>
          <w:color w:val="auto"/>
          <w:szCs w:val="24"/>
          <w:highlight w:val="none"/>
          <w:u w:val="single"/>
        </w:rPr>
        <w:t xml:space="preserve">            </w:t>
      </w:r>
    </w:p>
    <w:p>
      <w:pPr>
        <w:spacing w:line="400" w:lineRule="exact"/>
        <w:ind w:left="240" w:leftChars="100"/>
        <w:rPr>
          <w:rFonts w:ascii="宋体" w:hAnsi="宋体" w:cs="宋体"/>
          <w:color w:val="auto"/>
          <w:szCs w:val="24"/>
          <w:highlight w:val="none"/>
          <w:u w:val="single"/>
        </w:rPr>
      </w:pPr>
    </w:p>
    <w:p>
      <w:pPr>
        <w:spacing w:line="400" w:lineRule="exact"/>
        <w:ind w:left="240" w:leftChars="100"/>
        <w:rPr>
          <w:rFonts w:ascii="宋体" w:hAnsi="宋体" w:cs="宋体"/>
          <w:color w:val="auto"/>
          <w:szCs w:val="24"/>
          <w:highlight w:val="none"/>
          <w:u w:val="single"/>
        </w:rPr>
      </w:pPr>
    </w:p>
    <w:p>
      <w:pPr>
        <w:spacing w:line="400" w:lineRule="exact"/>
        <w:ind w:left="240" w:leftChars="100"/>
        <w:rPr>
          <w:rFonts w:ascii="宋体" w:hAnsi="宋体" w:cs="宋体"/>
          <w:color w:val="auto"/>
          <w:szCs w:val="24"/>
          <w:highlight w:val="none"/>
          <w:u w:val="single"/>
        </w:rPr>
      </w:pPr>
    </w:p>
    <w:p>
      <w:pPr>
        <w:pStyle w:val="148"/>
        <w:ind w:firstLine="171" w:firstLineChars="71"/>
        <w:rPr>
          <w:rFonts w:ascii="宋体" w:hAnsi="宋体" w:cs="宋体"/>
          <w:b/>
          <w:color w:val="auto"/>
          <w:sz w:val="24"/>
          <w:szCs w:val="24"/>
          <w:highlight w:val="none"/>
        </w:rPr>
      </w:pPr>
    </w:p>
    <w:p>
      <w:pPr>
        <w:pStyle w:val="148"/>
        <w:ind w:firstLine="171" w:firstLineChars="71"/>
        <w:rPr>
          <w:rFonts w:ascii="宋体" w:hAnsi="宋体" w:cs="宋体"/>
          <w:b/>
          <w:color w:val="auto"/>
          <w:sz w:val="24"/>
          <w:szCs w:val="24"/>
          <w:highlight w:val="none"/>
        </w:rPr>
      </w:pPr>
      <w:r>
        <w:rPr>
          <w:rFonts w:hint="eastAsia" w:ascii="宋体" w:hAnsi="宋体" w:cs="宋体"/>
          <w:b/>
          <w:color w:val="auto"/>
          <w:sz w:val="24"/>
          <w:szCs w:val="24"/>
          <w:highlight w:val="none"/>
        </w:rPr>
        <w:t xml:space="preserve">4.节能环保、环境标志产品明细表 </w:t>
      </w:r>
      <w:r>
        <w:rPr>
          <w:rFonts w:hint="eastAsia" w:ascii="宋体" w:hAnsi="宋体" w:cs="宋体"/>
          <w:color w:val="auto"/>
          <w:sz w:val="24"/>
          <w:szCs w:val="24"/>
          <w:highlight w:val="none"/>
        </w:rPr>
        <w:t>（格式，若有）</w:t>
      </w:r>
    </w:p>
    <w:p>
      <w:pPr>
        <w:pStyle w:val="148"/>
        <w:ind w:firstLineChars="71"/>
        <w:rPr>
          <w:rFonts w:ascii="宋体" w:hAnsi="宋体" w:cs="宋体"/>
          <w:b/>
          <w:color w:val="auto"/>
          <w:highlight w:val="none"/>
        </w:rPr>
      </w:pPr>
    </w:p>
    <w:p>
      <w:pPr>
        <w:pStyle w:val="148"/>
        <w:ind w:firstLine="170" w:firstLineChars="71"/>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（投标人单位公章）                                 </w:t>
      </w:r>
      <w:r>
        <w:rPr>
          <w:rFonts w:hint="eastAsia" w:ascii="宋体" w:hAnsi="宋体" w:cs="宋体"/>
          <w:bCs/>
          <w:color w:val="auto"/>
          <w:sz w:val="24"/>
          <w:szCs w:val="24"/>
          <w:highlight w:val="none"/>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p>
    <w:tbl>
      <w:tblPr>
        <w:tblStyle w:val="38"/>
        <w:tblW w:w="14555" w:type="dxa"/>
        <w:jc w:val="center"/>
        <w:tblLayout w:type="fixed"/>
        <w:tblCellMar>
          <w:top w:w="0" w:type="dxa"/>
          <w:left w:w="108" w:type="dxa"/>
          <w:bottom w:w="0" w:type="dxa"/>
          <w:right w:w="108" w:type="dxa"/>
        </w:tblCellMar>
      </w:tblPr>
      <w:tblGrid>
        <w:gridCol w:w="712"/>
        <w:gridCol w:w="1941"/>
        <w:gridCol w:w="1698"/>
        <w:gridCol w:w="1578"/>
        <w:gridCol w:w="1214"/>
        <w:gridCol w:w="1901"/>
        <w:gridCol w:w="795"/>
        <w:gridCol w:w="2358"/>
        <w:gridCol w:w="2358"/>
      </w:tblGrid>
      <w:tr>
        <w:tblPrEx>
          <w:tblCellMar>
            <w:top w:w="0" w:type="dxa"/>
            <w:left w:w="108" w:type="dxa"/>
            <w:bottom w:w="0" w:type="dxa"/>
            <w:right w:w="108" w:type="dxa"/>
          </w:tblCellMar>
        </w:tblPrEx>
        <w:trPr>
          <w:trHeight w:val="753" w:hRule="atLeast"/>
          <w:jc w:val="center"/>
        </w:trPr>
        <w:tc>
          <w:tcPr>
            <w:tcW w:w="7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194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产品名称</w:t>
            </w:r>
          </w:p>
        </w:tc>
        <w:tc>
          <w:tcPr>
            <w:tcW w:w="1698"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制造厂家</w:t>
            </w:r>
          </w:p>
        </w:tc>
        <w:tc>
          <w:tcPr>
            <w:tcW w:w="1578"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规格型号</w:t>
            </w:r>
          </w:p>
        </w:tc>
        <w:tc>
          <w:tcPr>
            <w:tcW w:w="121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类别</w:t>
            </w:r>
          </w:p>
        </w:tc>
        <w:tc>
          <w:tcPr>
            <w:tcW w:w="190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认证证书编号</w:t>
            </w:r>
          </w:p>
        </w:tc>
        <w:tc>
          <w:tcPr>
            <w:tcW w:w="7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s="宋体"/>
                <w:b/>
                <w:color w:val="auto"/>
                <w:szCs w:val="24"/>
                <w:highlight w:val="none"/>
              </w:rPr>
            </w:pPr>
            <w:r>
              <w:rPr>
                <w:rFonts w:hint="eastAsia" w:ascii="宋体" w:hAnsi="宋体" w:cs="宋体"/>
                <w:b/>
                <w:color w:val="auto"/>
                <w:szCs w:val="24"/>
                <w:highlight w:val="none"/>
              </w:rPr>
              <w:t>数量</w:t>
            </w:r>
          </w:p>
        </w:tc>
        <w:tc>
          <w:tcPr>
            <w:tcW w:w="2358"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单价</w:t>
            </w:r>
          </w:p>
          <w:p>
            <w:pPr>
              <w:autoSpaceDE w:val="0"/>
              <w:autoSpaceDN w:val="0"/>
              <w:adjustRightInd w:val="0"/>
              <w:snapToGrid w:val="0"/>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（人民币元）</w:t>
            </w:r>
          </w:p>
        </w:tc>
        <w:tc>
          <w:tcPr>
            <w:tcW w:w="2358" w:type="dxa"/>
            <w:tcBorders>
              <w:top w:val="single" w:color="auto" w:sz="6" w:space="0"/>
              <w:left w:val="single" w:color="auto" w:sz="6" w:space="0"/>
              <w:bottom w:val="single" w:color="auto" w:sz="6" w:space="0"/>
              <w:right w:val="single" w:color="auto" w:sz="6" w:space="0"/>
            </w:tcBorders>
            <w:vAlign w:val="center"/>
          </w:tcPr>
          <w:p>
            <w:pPr>
              <w:spacing w:line="300" w:lineRule="exact"/>
              <w:ind w:left="53" w:leftChars="22"/>
              <w:jc w:val="center"/>
              <w:rPr>
                <w:rFonts w:ascii="宋体" w:hAnsi="宋体" w:cs="宋体"/>
                <w:b/>
                <w:color w:val="auto"/>
                <w:szCs w:val="24"/>
                <w:highlight w:val="none"/>
              </w:rPr>
            </w:pPr>
            <w:r>
              <w:rPr>
                <w:rFonts w:hint="eastAsia" w:ascii="宋体" w:hAnsi="宋体" w:cs="宋体"/>
                <w:b/>
                <w:color w:val="auto"/>
                <w:szCs w:val="24"/>
                <w:highlight w:val="none"/>
              </w:rPr>
              <w:t>总价</w:t>
            </w:r>
          </w:p>
          <w:p>
            <w:pPr>
              <w:autoSpaceDE w:val="0"/>
              <w:autoSpaceDN w:val="0"/>
              <w:adjustRightInd w:val="0"/>
              <w:snapToGrid w:val="0"/>
              <w:spacing w:line="400" w:lineRule="exact"/>
              <w:jc w:val="center"/>
              <w:rPr>
                <w:rFonts w:ascii="宋体" w:hAnsi="宋体" w:cs="宋体"/>
                <w:b/>
                <w:color w:val="auto"/>
                <w:szCs w:val="24"/>
                <w:highlight w:val="none"/>
              </w:rPr>
            </w:pPr>
            <w:r>
              <w:rPr>
                <w:rFonts w:hint="eastAsia" w:ascii="宋体" w:hAnsi="宋体" w:cs="宋体"/>
                <w:b/>
                <w:color w:val="auto"/>
                <w:szCs w:val="24"/>
                <w:highlight w:val="none"/>
              </w:rPr>
              <w:t>（人民币元）</w:t>
            </w: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45" w:hRule="atLeast"/>
          <w:jc w:val="center"/>
        </w:trPr>
        <w:tc>
          <w:tcPr>
            <w:tcW w:w="712"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4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698"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rPr>
                <w:rFonts w:ascii="宋体" w:hAnsi="宋体" w:cs="宋体"/>
                <w:color w:val="auto"/>
                <w:highlight w:val="none"/>
              </w:rPr>
            </w:pPr>
          </w:p>
        </w:tc>
        <w:tc>
          <w:tcPr>
            <w:tcW w:w="1578"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214"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1901"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795"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c>
          <w:tcPr>
            <w:tcW w:w="2358"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rPr>
                <w:rFonts w:ascii="宋体" w:hAnsi="宋体" w:cs="宋体"/>
                <w:color w:val="auto"/>
                <w:highlight w:val="none"/>
              </w:rPr>
            </w:pPr>
          </w:p>
        </w:tc>
      </w:tr>
      <w:tr>
        <w:tblPrEx>
          <w:tblCellMar>
            <w:top w:w="0" w:type="dxa"/>
            <w:left w:w="108" w:type="dxa"/>
            <w:bottom w:w="0" w:type="dxa"/>
            <w:right w:w="108" w:type="dxa"/>
          </w:tblCellMar>
        </w:tblPrEx>
        <w:trPr>
          <w:trHeight w:val="459" w:hRule="atLeast"/>
          <w:jc w:val="center"/>
        </w:trPr>
        <w:tc>
          <w:tcPr>
            <w:tcW w:w="7143" w:type="dxa"/>
            <w:gridSpan w:val="5"/>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合计（人民币</w:t>
            </w:r>
            <w:r>
              <w:rPr>
                <w:rFonts w:hint="eastAsia" w:ascii="宋体" w:hAnsi="宋体" w:cs="宋体"/>
                <w:color w:val="auto"/>
                <w:szCs w:val="24"/>
                <w:highlight w:val="none"/>
              </w:rPr>
              <w:t>元</w:t>
            </w:r>
            <w:r>
              <w:rPr>
                <w:rFonts w:hint="eastAsia" w:ascii="宋体" w:hAnsi="宋体" w:cs="宋体"/>
                <w:color w:val="auto"/>
                <w:highlight w:val="none"/>
              </w:rPr>
              <w:t>）</w:t>
            </w:r>
          </w:p>
        </w:tc>
        <w:tc>
          <w:tcPr>
            <w:tcW w:w="7412" w:type="dxa"/>
            <w:gridSpan w:val="4"/>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center"/>
              <w:rPr>
                <w:rFonts w:ascii="宋体" w:hAnsi="宋体" w:cs="宋体"/>
                <w:color w:val="auto"/>
                <w:highlight w:val="none"/>
              </w:rPr>
            </w:pPr>
          </w:p>
        </w:tc>
      </w:tr>
    </w:tbl>
    <w:p>
      <w:pPr>
        <w:autoSpaceDE w:val="0"/>
        <w:autoSpaceDN w:val="0"/>
        <w:adjustRightInd w:val="0"/>
        <w:snapToGrid w:val="0"/>
        <w:spacing w:line="360" w:lineRule="auto"/>
        <w:rPr>
          <w:rFonts w:ascii="宋体" w:hAnsi="宋体" w:cs="宋体"/>
          <w:b/>
          <w:color w:val="auto"/>
          <w:szCs w:val="21"/>
          <w:highlight w:val="none"/>
          <w:lang w:val="zh-CN"/>
        </w:rPr>
      </w:pPr>
      <w:r>
        <w:rPr>
          <w:rFonts w:hint="eastAsia" w:ascii="宋体" w:hAnsi="宋体" w:cs="宋体"/>
          <w:b/>
          <w:color w:val="auto"/>
          <w:highlight w:val="none"/>
        </w:rPr>
        <w:t>注：提供认证机构出具的、处于有效期之内的节能产品、环境标志产品认证证书，否则不予计分。</w:t>
      </w:r>
    </w:p>
    <w:p>
      <w:pPr>
        <w:autoSpaceDE w:val="0"/>
        <w:autoSpaceDN w:val="0"/>
        <w:adjustRightInd w:val="0"/>
        <w:snapToGrid w:val="0"/>
        <w:spacing w:line="360" w:lineRule="auto"/>
        <w:rPr>
          <w:rFonts w:ascii="宋体" w:hAnsi="宋体" w:cs="宋体"/>
          <w:color w:val="auto"/>
          <w:szCs w:val="21"/>
          <w:highlight w:val="none"/>
          <w:lang w:val="zh-CN"/>
        </w:rPr>
      </w:pPr>
    </w:p>
    <w:p>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4"/>
          <w:highlight w:val="none"/>
          <w:lang w:val="zh-CN"/>
        </w:rPr>
        <w:t>法定代表人或被授权人（签字或盖章）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日 期：</w:t>
      </w:r>
      <w:r>
        <w:rPr>
          <w:rFonts w:hint="eastAsia" w:ascii="宋体" w:hAnsi="宋体" w:cs="宋体"/>
          <w:color w:val="auto"/>
          <w:szCs w:val="24"/>
          <w:highlight w:val="none"/>
          <w:u w:val="single"/>
        </w:rPr>
        <w:t xml:space="preserve">     </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Pr>
        <w:spacing w:line="480" w:lineRule="exact"/>
        <w:rPr>
          <w:rFonts w:ascii="宋体" w:hAnsi="宋体" w:cs="宋体"/>
          <w:color w:val="auto"/>
          <w:highlight w:val="none"/>
          <w:u w:val="single"/>
        </w:rPr>
        <w:sectPr>
          <w:headerReference r:id="rId9" w:type="default"/>
          <w:footerReference r:id="rId10" w:type="default"/>
          <w:pgSz w:w="16840" w:h="11907" w:orient="landscape"/>
          <w:pgMar w:top="1418" w:right="1418" w:bottom="1440" w:left="1418" w:header="964" w:footer="964" w:gutter="0"/>
          <w:cols w:space="720" w:num="1"/>
          <w:titlePg/>
          <w:docGrid w:linePitch="312" w:charSpace="0"/>
        </w:sectPr>
      </w:pPr>
      <w:bookmarkStart w:id="157" w:name="_Toc194663923"/>
      <w:bookmarkStart w:id="158" w:name="_Toc193126886"/>
      <w:bookmarkStart w:id="159" w:name="_Toc193187102"/>
      <w:bookmarkStart w:id="160" w:name="_Toc188808837"/>
    </w:p>
    <w:bookmarkEnd w:id="157"/>
    <w:bookmarkEnd w:id="158"/>
    <w:bookmarkEnd w:id="159"/>
    <w:bookmarkEnd w:id="160"/>
    <w:p>
      <w:pPr>
        <w:pStyle w:val="148"/>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5.技术规格响应偏离表</w:t>
      </w:r>
      <w:r>
        <w:rPr>
          <w:rFonts w:hint="eastAsia" w:ascii="宋体" w:hAnsi="宋体" w:cs="宋体"/>
          <w:color w:val="auto"/>
          <w:sz w:val="24"/>
          <w:szCs w:val="24"/>
          <w:highlight w:val="none"/>
        </w:rPr>
        <w:t>（格式）</w:t>
      </w:r>
    </w:p>
    <w:p>
      <w:pPr>
        <w:pStyle w:val="148"/>
        <w:ind w:firstLineChars="71"/>
        <w:rPr>
          <w:rFonts w:ascii="宋体" w:hAnsi="宋体" w:cs="宋体"/>
          <w:b/>
          <w:color w:val="auto"/>
          <w:highlight w:val="none"/>
        </w:rPr>
      </w:pPr>
    </w:p>
    <w:p>
      <w:pPr>
        <w:spacing w:line="480" w:lineRule="exact"/>
        <w:jc w:val="left"/>
        <w:rPr>
          <w:rFonts w:ascii="宋体" w:hAnsi="宋体" w:cs="宋体"/>
          <w:color w:val="auto"/>
          <w:szCs w:val="24"/>
          <w:highlight w:val="none"/>
          <w:u w:val="single"/>
        </w:rPr>
      </w:pPr>
      <w:bookmarkStart w:id="161" w:name="_Toc2240"/>
      <w:bookmarkStart w:id="162" w:name="_Toc11969"/>
      <w:bookmarkStart w:id="163" w:name="_Toc194663924"/>
      <w:bookmarkStart w:id="164" w:name="_Toc193187103"/>
      <w:bookmarkStart w:id="165" w:name="_Toc193126887"/>
      <w:bookmarkStart w:id="166" w:name="_Toc188808838"/>
      <w:bookmarkStart w:id="167" w:name="_Toc458617476"/>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（投标人单位公章）    项目编号：</w:t>
      </w:r>
      <w:r>
        <w:rPr>
          <w:rFonts w:hint="eastAsia" w:ascii="宋体" w:hAnsi="宋体" w:cs="宋体"/>
          <w:color w:val="auto"/>
          <w:szCs w:val="24"/>
          <w:highlight w:val="none"/>
          <w:u w:val="single"/>
        </w:rPr>
        <w:t xml:space="preserve">               </w:t>
      </w:r>
    </w:p>
    <w:tbl>
      <w:tblPr>
        <w:tblStyle w:val="38"/>
        <w:tblpPr w:leftFromText="180" w:rightFromText="180" w:vertAnchor="text" w:horzAnchor="margin" w:tblpY="162"/>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794"/>
        <w:gridCol w:w="2659"/>
        <w:gridCol w:w="1426"/>
        <w:gridCol w:w="151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360" w:lineRule="exact"/>
              <w:ind w:left="46" w:leftChars="19"/>
              <w:jc w:val="center"/>
              <w:rPr>
                <w:rFonts w:ascii="宋体" w:hAnsi="宋体" w:cs="宋体"/>
                <w:b/>
                <w:color w:val="auto"/>
                <w:szCs w:val="24"/>
                <w:highlight w:val="none"/>
              </w:rPr>
            </w:pPr>
            <w:r>
              <w:rPr>
                <w:rFonts w:hint="eastAsia" w:ascii="宋体" w:hAnsi="宋体" w:cs="宋体"/>
                <w:b/>
                <w:color w:val="auto"/>
                <w:szCs w:val="24"/>
                <w:highlight w:val="none"/>
              </w:rPr>
              <w:t>序号</w:t>
            </w:r>
          </w:p>
        </w:tc>
        <w:tc>
          <w:tcPr>
            <w:tcW w:w="2794" w:type="dxa"/>
            <w:tcMar>
              <w:top w:w="57" w:type="dxa"/>
              <w:left w:w="28" w:type="dxa"/>
              <w:bottom w:w="57" w:type="dxa"/>
              <w:right w:w="28" w:type="dxa"/>
            </w:tcMar>
            <w:vAlign w:val="center"/>
          </w:tcPr>
          <w:p>
            <w:pPr>
              <w:spacing w:line="36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招标文件</w:t>
            </w:r>
            <w:r>
              <w:rPr>
                <w:rFonts w:hint="eastAsia" w:ascii="宋体" w:hAnsi="宋体" w:cs="宋体"/>
                <w:b/>
                <w:bCs/>
                <w:color w:val="auto"/>
                <w:highlight w:val="none"/>
              </w:rPr>
              <w:t>采购内容及技术要求</w:t>
            </w:r>
          </w:p>
        </w:tc>
        <w:tc>
          <w:tcPr>
            <w:tcW w:w="2659" w:type="dxa"/>
            <w:tcMar>
              <w:top w:w="57" w:type="dxa"/>
              <w:left w:w="28" w:type="dxa"/>
              <w:bottom w:w="57" w:type="dxa"/>
              <w:right w:w="28" w:type="dxa"/>
            </w:tcMar>
            <w:vAlign w:val="center"/>
          </w:tcPr>
          <w:p>
            <w:pPr>
              <w:spacing w:line="360" w:lineRule="exact"/>
              <w:jc w:val="center"/>
              <w:rPr>
                <w:rFonts w:ascii="宋体" w:hAnsi="宋体" w:cs="宋体"/>
                <w:b/>
                <w:color w:val="auto"/>
                <w:szCs w:val="24"/>
                <w:highlight w:val="none"/>
              </w:rPr>
            </w:pPr>
            <w:r>
              <w:rPr>
                <w:rFonts w:hint="eastAsia" w:ascii="宋体" w:hAnsi="宋体" w:cs="宋体"/>
                <w:b/>
                <w:color w:val="auto"/>
                <w:szCs w:val="24"/>
                <w:highlight w:val="none"/>
              </w:rPr>
              <w:t>投标文件技术响应</w:t>
            </w:r>
          </w:p>
        </w:tc>
        <w:tc>
          <w:tcPr>
            <w:tcW w:w="1426" w:type="dxa"/>
            <w:tcMar>
              <w:top w:w="57" w:type="dxa"/>
              <w:left w:w="28" w:type="dxa"/>
              <w:bottom w:w="57" w:type="dxa"/>
              <w:right w:w="28" w:type="dxa"/>
            </w:tcMar>
            <w:vAlign w:val="center"/>
          </w:tcPr>
          <w:p>
            <w:pPr>
              <w:spacing w:line="360" w:lineRule="exact"/>
              <w:jc w:val="center"/>
              <w:rPr>
                <w:rFonts w:ascii="宋体" w:hAnsi="宋体" w:cs="宋体"/>
                <w:b/>
                <w:color w:val="auto"/>
                <w:szCs w:val="24"/>
                <w:highlight w:val="none"/>
              </w:rPr>
            </w:pPr>
            <w:r>
              <w:rPr>
                <w:rFonts w:hint="eastAsia" w:ascii="宋体" w:hAnsi="宋体" w:cs="宋体"/>
                <w:b/>
                <w:color w:val="auto"/>
                <w:szCs w:val="24"/>
                <w:highlight w:val="none"/>
              </w:rPr>
              <w:t>响应情况</w:t>
            </w:r>
          </w:p>
        </w:tc>
        <w:tc>
          <w:tcPr>
            <w:tcW w:w="1512" w:type="dxa"/>
            <w:vAlign w:val="center"/>
          </w:tcPr>
          <w:p>
            <w:pPr>
              <w:spacing w:line="360" w:lineRule="exact"/>
              <w:jc w:val="center"/>
              <w:rPr>
                <w:rFonts w:ascii="宋体" w:hAnsi="宋体" w:cs="宋体"/>
                <w:b/>
                <w:color w:val="auto"/>
                <w:szCs w:val="24"/>
                <w:highlight w:val="none"/>
              </w:rPr>
            </w:pPr>
            <w:r>
              <w:rPr>
                <w:rFonts w:hint="eastAsia" w:ascii="宋体" w:hAnsi="宋体" w:cs="宋体"/>
                <w:b/>
                <w:color w:val="auto"/>
                <w:szCs w:val="24"/>
                <w:highlight w:val="none"/>
              </w:rPr>
              <w:t>响应说明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Borders>
              <w:bottom w:val="single" w:color="auto" w:sz="4" w:space="0"/>
            </w:tcBorders>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Borders>
              <w:bottom w:val="single" w:color="auto" w:sz="4" w:space="0"/>
            </w:tcBorders>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3"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Borders>
              <w:bottom w:val="single" w:color="auto" w:sz="4" w:space="0"/>
            </w:tcBorders>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Borders>
              <w:bottom w:val="single" w:color="auto" w:sz="4" w:space="0"/>
            </w:tcBorders>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93"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794"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59"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426" w:type="dxa"/>
            <w:tcMar>
              <w:top w:w="57" w:type="dxa"/>
              <w:left w:w="28" w:type="dxa"/>
              <w:bottom w:w="57" w:type="dxa"/>
              <w:right w:w="28" w:type="dxa"/>
            </w:tcMar>
            <w:vAlign w:val="center"/>
          </w:tcPr>
          <w:p>
            <w:pPr>
              <w:spacing w:line="480" w:lineRule="exact"/>
              <w:rPr>
                <w:rFonts w:ascii="宋体" w:hAnsi="宋体" w:cs="宋体"/>
                <w:color w:val="auto"/>
                <w:szCs w:val="24"/>
                <w:highlight w:val="none"/>
              </w:rPr>
            </w:pPr>
          </w:p>
        </w:tc>
        <w:tc>
          <w:tcPr>
            <w:tcW w:w="1512" w:type="dxa"/>
          </w:tcPr>
          <w:p>
            <w:pPr>
              <w:spacing w:line="480" w:lineRule="exact"/>
              <w:rPr>
                <w:rFonts w:ascii="宋体" w:hAnsi="宋体" w:cs="宋体"/>
                <w:color w:val="auto"/>
                <w:szCs w:val="24"/>
                <w:highlight w:val="none"/>
              </w:rPr>
            </w:pPr>
          </w:p>
        </w:tc>
      </w:tr>
    </w:tbl>
    <w:p>
      <w:pPr>
        <w:spacing w:line="320" w:lineRule="exact"/>
        <w:rPr>
          <w:rFonts w:ascii="宋体" w:hAnsi="宋体" w:cs="宋体"/>
          <w:b/>
          <w:color w:val="auto"/>
          <w:szCs w:val="24"/>
          <w:highlight w:val="none"/>
        </w:rPr>
      </w:pPr>
    </w:p>
    <w:p>
      <w:pPr>
        <w:spacing w:line="440" w:lineRule="exact"/>
        <w:rPr>
          <w:rFonts w:ascii="宋体" w:hAnsi="宋体" w:cs="宋体"/>
          <w:b/>
          <w:bCs/>
          <w:color w:val="auto"/>
          <w:highlight w:val="none"/>
        </w:rPr>
      </w:pPr>
      <w:r>
        <w:rPr>
          <w:rFonts w:hint="eastAsia" w:ascii="宋体" w:hAnsi="宋体" w:cs="宋体"/>
          <w:b/>
          <w:bCs/>
          <w:color w:val="auto"/>
          <w:highlight w:val="none"/>
        </w:rPr>
        <w:t>备注：1.对第三章中的采购内容及技术要求逐条做出响应。</w:t>
      </w:r>
    </w:p>
    <w:p>
      <w:pPr>
        <w:spacing w:line="440" w:lineRule="exact"/>
        <w:ind w:firstLine="723" w:firstLineChars="300"/>
        <w:rPr>
          <w:rFonts w:ascii="宋体" w:hAnsi="宋体" w:cs="宋体"/>
          <w:b/>
          <w:bCs/>
          <w:color w:val="auto"/>
          <w:highlight w:val="none"/>
        </w:rPr>
      </w:pPr>
      <w:r>
        <w:rPr>
          <w:rFonts w:hint="eastAsia" w:ascii="宋体" w:hAnsi="宋体" w:cs="宋体"/>
          <w:b/>
          <w:bCs/>
          <w:color w:val="auto"/>
          <w:highlight w:val="none"/>
        </w:rPr>
        <w:t>2.响应情况按实际响应情况填写“正偏离”、“无偏离”、“负偏离”。</w:t>
      </w:r>
    </w:p>
    <w:p>
      <w:pPr>
        <w:pStyle w:val="148"/>
        <w:ind w:firstLine="0" w:firstLineChars="0"/>
        <w:rPr>
          <w:rFonts w:ascii="宋体" w:hAnsi="宋体" w:cs="宋体"/>
          <w:color w:val="auto"/>
          <w:kern w:val="2"/>
          <w:sz w:val="24"/>
          <w:szCs w:val="24"/>
          <w:highlight w:val="none"/>
        </w:rPr>
      </w:pPr>
    </w:p>
    <w:p>
      <w:pPr>
        <w:pStyle w:val="148"/>
        <w:ind w:firstLine="0" w:firstLineChars="0"/>
        <w:rPr>
          <w:rFonts w:ascii="宋体" w:hAnsi="宋体" w:cs="宋体"/>
          <w:b/>
          <w:i/>
          <w:iCs/>
          <w:color w:val="auto"/>
          <w:highlight w:val="none"/>
          <w:u w:val="single"/>
        </w:rPr>
      </w:pPr>
      <w:r>
        <w:rPr>
          <w:rFonts w:hint="eastAsia" w:ascii="宋体" w:hAnsi="宋体" w:cs="宋体"/>
          <w:color w:val="auto"/>
          <w:sz w:val="24"/>
          <w:szCs w:val="24"/>
          <w:highlight w:val="none"/>
          <w:lang w:val="zh-CN"/>
        </w:rPr>
        <w:t>法定代表人或被授权人（签字或盖章）</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 期：</w:t>
      </w:r>
      <w:r>
        <w:rPr>
          <w:rFonts w:hint="eastAsia" w:ascii="宋体" w:hAnsi="宋体" w:cs="宋体"/>
          <w:i/>
          <w:iCs/>
          <w:color w:val="auto"/>
          <w:sz w:val="24"/>
          <w:szCs w:val="24"/>
          <w:highlight w:val="none"/>
          <w:u w:val="single"/>
        </w:rPr>
        <w:t xml:space="preserve">            </w:t>
      </w:r>
    </w:p>
    <w:p>
      <w:pPr>
        <w:pStyle w:val="148"/>
        <w:ind w:firstLine="171" w:firstLineChars="71"/>
        <w:rPr>
          <w:rFonts w:ascii="宋体" w:hAnsi="宋体" w:cs="宋体"/>
          <w:b/>
          <w:color w:val="auto"/>
          <w:sz w:val="24"/>
          <w:szCs w:val="24"/>
          <w:highlight w:val="none"/>
        </w:rPr>
      </w:pPr>
    </w:p>
    <w:p>
      <w:pPr>
        <w:pStyle w:val="148"/>
        <w:ind w:firstLine="171" w:firstLineChars="71"/>
        <w:rPr>
          <w:rFonts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6.</w:t>
      </w:r>
      <w:bookmarkEnd w:id="161"/>
      <w:bookmarkEnd w:id="162"/>
      <w:bookmarkEnd w:id="163"/>
      <w:bookmarkEnd w:id="164"/>
      <w:bookmarkEnd w:id="165"/>
      <w:bookmarkEnd w:id="166"/>
      <w:bookmarkEnd w:id="167"/>
      <w:r>
        <w:rPr>
          <w:rFonts w:hint="eastAsia" w:ascii="宋体" w:hAnsi="宋体" w:cs="宋体"/>
          <w:b/>
          <w:color w:val="auto"/>
          <w:sz w:val="24"/>
          <w:szCs w:val="24"/>
          <w:highlight w:val="none"/>
        </w:rPr>
        <w:t>商务条款响应偏离表</w:t>
      </w:r>
      <w:r>
        <w:rPr>
          <w:rFonts w:hint="eastAsia" w:ascii="宋体" w:hAnsi="宋体" w:cs="宋体"/>
          <w:color w:val="auto"/>
          <w:sz w:val="24"/>
          <w:szCs w:val="24"/>
          <w:highlight w:val="none"/>
        </w:rPr>
        <w:t>（格式）</w:t>
      </w:r>
    </w:p>
    <w:p>
      <w:pPr>
        <w:spacing w:line="240" w:lineRule="exact"/>
        <w:ind w:left="240" w:leftChars="100"/>
        <w:rPr>
          <w:rFonts w:ascii="宋体" w:hAnsi="宋体" w:cs="宋体"/>
          <w:b/>
          <w:bCs/>
          <w:color w:val="auto"/>
          <w:szCs w:val="32"/>
          <w:highlight w:val="none"/>
        </w:rPr>
      </w:pPr>
    </w:p>
    <w:p>
      <w:pPr>
        <w:spacing w:line="480" w:lineRule="exact"/>
        <w:rPr>
          <w:rFonts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（投标人单位公章）           项目编号：</w:t>
      </w:r>
      <w:r>
        <w:rPr>
          <w:rFonts w:hint="eastAsia" w:ascii="宋体" w:hAnsi="宋体" w:cs="宋体"/>
          <w:color w:val="auto"/>
          <w:szCs w:val="24"/>
          <w:highlight w:val="none"/>
          <w:u w:val="single"/>
        </w:rPr>
        <w:t xml:space="preserve">             </w:t>
      </w:r>
    </w:p>
    <w:tbl>
      <w:tblPr>
        <w:tblStyle w:val="38"/>
        <w:tblW w:w="96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3197"/>
        <w:gridCol w:w="2628"/>
        <w:gridCol w:w="1347"/>
        <w:gridCol w:w="134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68" w:type="dxa"/>
            <w:tcMar>
              <w:top w:w="57" w:type="dxa"/>
              <w:left w:w="28" w:type="dxa"/>
              <w:bottom w:w="57" w:type="dxa"/>
              <w:right w:w="28" w:type="dxa"/>
            </w:tcMar>
            <w:vAlign w:val="center"/>
          </w:tcPr>
          <w:p>
            <w:pPr>
              <w:spacing w:line="320" w:lineRule="exact"/>
              <w:jc w:val="center"/>
              <w:rPr>
                <w:rFonts w:ascii="宋体" w:hAnsi="宋体" w:cs="宋体"/>
                <w:b/>
                <w:color w:val="auto"/>
                <w:szCs w:val="24"/>
                <w:highlight w:val="none"/>
              </w:rPr>
            </w:pPr>
            <w:r>
              <w:rPr>
                <w:rFonts w:hint="eastAsia" w:ascii="宋体" w:hAnsi="宋体" w:cs="宋体"/>
                <w:b/>
                <w:color w:val="auto"/>
                <w:highlight w:val="none"/>
              </w:rPr>
              <w:t xml:space="preserve"> 序号</w:t>
            </w:r>
          </w:p>
        </w:tc>
        <w:tc>
          <w:tcPr>
            <w:tcW w:w="3197" w:type="dxa"/>
            <w:tcMar>
              <w:top w:w="57" w:type="dxa"/>
              <w:left w:w="28" w:type="dxa"/>
              <w:bottom w:w="57" w:type="dxa"/>
              <w:right w:w="28" w:type="dxa"/>
            </w:tcMar>
            <w:vAlign w:val="center"/>
          </w:tcPr>
          <w:p>
            <w:pPr>
              <w:spacing w:line="320" w:lineRule="exact"/>
              <w:ind w:left="240" w:leftChars="100"/>
              <w:jc w:val="center"/>
              <w:rPr>
                <w:rFonts w:ascii="宋体" w:hAnsi="宋体" w:cs="宋体"/>
                <w:b/>
                <w:color w:val="auto"/>
                <w:szCs w:val="24"/>
                <w:highlight w:val="none"/>
              </w:rPr>
            </w:pPr>
            <w:r>
              <w:rPr>
                <w:rFonts w:hint="eastAsia" w:ascii="宋体" w:hAnsi="宋体" w:cs="宋体"/>
                <w:b/>
                <w:color w:val="auto"/>
                <w:szCs w:val="24"/>
                <w:highlight w:val="none"/>
              </w:rPr>
              <w:t>招标文件</w:t>
            </w:r>
            <w:r>
              <w:rPr>
                <w:rFonts w:hint="eastAsia" w:ascii="宋体" w:hAnsi="宋体" w:cs="宋体"/>
                <w:b/>
                <w:color w:val="auto"/>
                <w:highlight w:val="none"/>
              </w:rPr>
              <w:t>商务要求</w:t>
            </w:r>
          </w:p>
        </w:tc>
        <w:tc>
          <w:tcPr>
            <w:tcW w:w="2628" w:type="dxa"/>
            <w:tcMar>
              <w:top w:w="57" w:type="dxa"/>
              <w:left w:w="28" w:type="dxa"/>
              <w:bottom w:w="57" w:type="dxa"/>
              <w:right w:w="28" w:type="dxa"/>
            </w:tcMar>
            <w:vAlign w:val="center"/>
          </w:tcPr>
          <w:p>
            <w:pPr>
              <w:spacing w:line="320" w:lineRule="exact"/>
              <w:ind w:left="240" w:leftChars="100"/>
              <w:jc w:val="center"/>
              <w:rPr>
                <w:rFonts w:ascii="宋体" w:hAnsi="宋体" w:cs="宋体"/>
                <w:b/>
                <w:color w:val="auto"/>
                <w:szCs w:val="24"/>
                <w:highlight w:val="none"/>
              </w:rPr>
            </w:pPr>
            <w:r>
              <w:rPr>
                <w:rFonts w:hint="eastAsia" w:ascii="宋体" w:hAnsi="宋体" w:cs="宋体"/>
                <w:b/>
                <w:color w:val="auto"/>
                <w:highlight w:val="none"/>
              </w:rPr>
              <w:t>响应索引或页码</w:t>
            </w:r>
          </w:p>
        </w:tc>
        <w:tc>
          <w:tcPr>
            <w:tcW w:w="1347" w:type="dxa"/>
            <w:tcMar>
              <w:top w:w="57" w:type="dxa"/>
              <w:left w:w="28" w:type="dxa"/>
              <w:bottom w:w="57" w:type="dxa"/>
              <w:right w:w="28" w:type="dxa"/>
            </w:tcMar>
            <w:vAlign w:val="center"/>
          </w:tcPr>
          <w:p>
            <w:pPr>
              <w:spacing w:line="320" w:lineRule="exact"/>
              <w:jc w:val="center"/>
              <w:rPr>
                <w:rFonts w:ascii="宋体" w:hAnsi="宋体" w:cs="宋体"/>
                <w:b/>
                <w:color w:val="auto"/>
                <w:highlight w:val="none"/>
              </w:rPr>
            </w:pPr>
            <w:r>
              <w:rPr>
                <w:rFonts w:hint="eastAsia" w:ascii="宋体" w:hAnsi="宋体" w:cs="宋体"/>
                <w:b/>
                <w:color w:val="auto"/>
                <w:highlight w:val="none"/>
              </w:rPr>
              <w:t>响应情况</w:t>
            </w:r>
          </w:p>
        </w:tc>
        <w:tc>
          <w:tcPr>
            <w:tcW w:w="1347" w:type="dxa"/>
            <w:tcMar>
              <w:top w:w="57" w:type="dxa"/>
              <w:left w:w="28" w:type="dxa"/>
              <w:bottom w:w="57" w:type="dxa"/>
              <w:right w:w="28" w:type="dxa"/>
            </w:tcMar>
            <w:vAlign w:val="center"/>
          </w:tcPr>
          <w:p>
            <w:pPr>
              <w:spacing w:line="320" w:lineRule="exact"/>
              <w:jc w:val="center"/>
              <w:rPr>
                <w:rFonts w:ascii="宋体" w:hAnsi="宋体" w:cs="宋体"/>
                <w:b/>
                <w:color w:val="auto"/>
                <w:szCs w:val="24"/>
                <w:highlight w:val="none"/>
              </w:rPr>
            </w:pPr>
            <w:r>
              <w:rPr>
                <w:rFonts w:hint="eastAsia" w:ascii="宋体" w:hAnsi="宋体" w:cs="宋体"/>
                <w:b/>
                <w:color w:val="auto"/>
                <w:highlight w:val="none"/>
              </w:rPr>
              <w:t>响应说明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Borders>
              <w:bottom w:val="single" w:color="auto" w:sz="4" w:space="0"/>
            </w:tcBorders>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16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319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2628"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c>
          <w:tcPr>
            <w:tcW w:w="1347" w:type="dxa"/>
            <w:tcMar>
              <w:top w:w="57" w:type="dxa"/>
              <w:left w:w="28" w:type="dxa"/>
              <w:bottom w:w="57" w:type="dxa"/>
              <w:right w:w="28" w:type="dxa"/>
            </w:tcMar>
            <w:vAlign w:val="center"/>
          </w:tcPr>
          <w:p>
            <w:pPr>
              <w:spacing w:line="480" w:lineRule="exact"/>
              <w:ind w:left="240" w:leftChars="100"/>
              <w:rPr>
                <w:rFonts w:ascii="宋体" w:hAnsi="宋体" w:cs="宋体"/>
                <w:color w:val="auto"/>
                <w:szCs w:val="24"/>
                <w:highlight w:val="none"/>
              </w:rPr>
            </w:pPr>
          </w:p>
        </w:tc>
      </w:tr>
    </w:tbl>
    <w:p>
      <w:pPr>
        <w:spacing w:line="240" w:lineRule="exact"/>
        <w:ind w:left="240" w:leftChars="100"/>
        <w:rPr>
          <w:rFonts w:ascii="宋体" w:hAnsi="宋体" w:cs="宋体"/>
          <w:color w:val="auto"/>
          <w:szCs w:val="24"/>
          <w:highlight w:val="none"/>
        </w:rPr>
      </w:pPr>
    </w:p>
    <w:p>
      <w:pPr>
        <w:spacing w:line="440" w:lineRule="exact"/>
        <w:rPr>
          <w:rFonts w:ascii="宋体" w:hAnsi="宋体" w:cs="宋体"/>
          <w:b/>
          <w:bCs/>
          <w:color w:val="auto"/>
          <w:highlight w:val="none"/>
        </w:rPr>
      </w:pPr>
      <w:r>
        <w:rPr>
          <w:rFonts w:hint="eastAsia" w:ascii="宋体" w:hAnsi="宋体" w:cs="宋体"/>
          <w:b/>
          <w:bCs/>
          <w:color w:val="auto"/>
          <w:highlight w:val="none"/>
        </w:rPr>
        <w:t>备注：1.对第四章中的商务要求做出响应。</w:t>
      </w:r>
    </w:p>
    <w:p>
      <w:pPr>
        <w:spacing w:line="440" w:lineRule="exact"/>
        <w:ind w:firstLine="723" w:firstLineChars="300"/>
        <w:rPr>
          <w:rFonts w:ascii="宋体" w:hAnsi="宋体" w:cs="宋体"/>
          <w:b/>
          <w:bCs/>
          <w:color w:val="auto"/>
          <w:highlight w:val="none"/>
        </w:rPr>
      </w:pPr>
      <w:r>
        <w:rPr>
          <w:rFonts w:hint="eastAsia" w:ascii="宋体" w:hAnsi="宋体" w:cs="宋体"/>
          <w:b/>
          <w:bCs/>
          <w:color w:val="auto"/>
          <w:highlight w:val="none"/>
        </w:rPr>
        <w:t>2.响应情况按实际响应情况填写“正偏离”、“无偏离”、“负偏离”。</w:t>
      </w:r>
    </w:p>
    <w:p>
      <w:pPr>
        <w:spacing w:line="440" w:lineRule="exact"/>
        <w:ind w:firstLine="723" w:firstLineChars="300"/>
        <w:rPr>
          <w:rFonts w:ascii="宋体" w:hAnsi="宋体" w:cs="宋体"/>
          <w:b/>
          <w:bCs/>
          <w:color w:val="auto"/>
          <w:highlight w:val="none"/>
        </w:rPr>
      </w:pPr>
      <w:r>
        <w:rPr>
          <w:rFonts w:hint="eastAsia" w:ascii="宋体" w:hAnsi="宋体" w:cs="宋体"/>
          <w:b/>
          <w:bCs/>
          <w:color w:val="auto"/>
          <w:highlight w:val="none"/>
        </w:rPr>
        <w:t>3.“响应索引或页码”单元格中注明引用位置，如“见商务响应方案1.1.1或P页码”。</w:t>
      </w:r>
    </w:p>
    <w:p>
      <w:pPr>
        <w:spacing w:line="480" w:lineRule="exact"/>
        <w:ind w:left="240" w:leftChars="100"/>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法定代表人或被授权人（签字或盖章）</w:t>
      </w:r>
      <w:r>
        <w:rPr>
          <w:rFonts w:hint="eastAsia" w:ascii="宋体" w:hAnsi="宋体" w:cs="宋体"/>
          <w:color w:val="auto"/>
          <w:szCs w:val="24"/>
          <w:highlight w:val="none"/>
        </w:rPr>
        <w:t>：</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日 期：</w:t>
      </w:r>
      <w:r>
        <w:rPr>
          <w:rFonts w:hint="eastAsia" w:ascii="宋体" w:hAnsi="宋体" w:cs="宋体"/>
          <w:color w:val="auto"/>
          <w:highlight w:val="none"/>
          <w:u w:val="single"/>
        </w:rPr>
        <w:t xml:space="preserve">            </w:t>
      </w:r>
    </w:p>
    <w:p>
      <w:pPr>
        <w:rPr>
          <w:rFonts w:ascii="宋体" w:hAnsi="宋体" w:cs="宋体"/>
          <w:color w:val="auto"/>
          <w:szCs w:val="21"/>
          <w:highlight w:val="none"/>
          <w:u w:val="single"/>
        </w:rPr>
      </w:pPr>
    </w:p>
    <w:p>
      <w:pPr>
        <w:rPr>
          <w:rFonts w:ascii="宋体" w:hAnsi="宋体" w:cs="宋体"/>
          <w:b/>
          <w:bCs/>
          <w:color w:val="auto"/>
          <w:highlight w:val="none"/>
        </w:rPr>
      </w:pPr>
      <w:r>
        <w:rPr>
          <w:rFonts w:hint="eastAsia" w:ascii="宋体" w:hAnsi="宋体" w:cs="宋体"/>
          <w:b/>
          <w:bCs/>
          <w:color w:val="auto"/>
          <w:highlight w:val="none"/>
        </w:rPr>
        <w:t>附：商务响应方案</w:t>
      </w:r>
    </w:p>
    <w:p>
      <w:pPr>
        <w:rPr>
          <w:rFonts w:ascii="宋体" w:hAnsi="宋体" w:cs="宋体"/>
          <w:b/>
          <w:bCs/>
          <w:color w:val="auto"/>
          <w:highlight w:val="none"/>
        </w:rPr>
      </w:pPr>
    </w:p>
    <w:p>
      <w:pPr>
        <w:rPr>
          <w:rFonts w:ascii="宋体" w:hAnsi="宋体" w:cs="宋体"/>
          <w:b/>
          <w:color w:val="auto"/>
          <w:kern w:val="0"/>
          <w:szCs w:val="24"/>
          <w:highlight w:val="none"/>
        </w:rPr>
      </w:pPr>
      <w:r>
        <w:rPr>
          <w:rFonts w:hint="eastAsia" w:ascii="宋体" w:hAnsi="宋体" w:cs="宋体"/>
          <w:color w:val="auto"/>
          <w:szCs w:val="21"/>
          <w:highlight w:val="none"/>
          <w:u w:val="single"/>
        </w:rPr>
        <w:br w:type="page"/>
      </w:r>
      <w:bookmarkStart w:id="168" w:name="_Toc47418938"/>
      <w:bookmarkStart w:id="169" w:name="_Toc47261690"/>
      <w:bookmarkStart w:id="170" w:name="_Toc47418255"/>
      <w:bookmarkStart w:id="171" w:name="_Toc47262069"/>
      <w:bookmarkStart w:id="172" w:name="_Toc49019497"/>
      <w:bookmarkStart w:id="173" w:name="_Toc49019236"/>
      <w:bookmarkStart w:id="174" w:name="_Toc458617477"/>
      <w:bookmarkStart w:id="175" w:name="_Toc48995851"/>
      <w:bookmarkStart w:id="176" w:name="_Toc47418731"/>
      <w:bookmarkStart w:id="177" w:name="_Toc48791235"/>
      <w:bookmarkStart w:id="178" w:name="_Toc188808839"/>
      <w:bookmarkStart w:id="179" w:name="_Toc47261885"/>
      <w:bookmarkStart w:id="180" w:name="_Toc194663925"/>
      <w:bookmarkStart w:id="181" w:name="_Toc193126888"/>
      <w:bookmarkStart w:id="182" w:name="_Toc193187104"/>
      <w:bookmarkStart w:id="183" w:name="_Toc13908"/>
      <w:bookmarkStart w:id="184" w:name="_Toc237"/>
      <w:r>
        <w:rPr>
          <w:rFonts w:hint="eastAsia" w:ascii="宋体" w:hAnsi="宋体" w:cs="宋体"/>
          <w:b/>
          <w:color w:val="auto"/>
          <w:szCs w:val="24"/>
          <w:highlight w:val="none"/>
        </w:rPr>
        <w:t>7.</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宋体" w:hAnsi="宋体" w:cs="宋体"/>
          <w:b/>
          <w:color w:val="auto"/>
          <w:kern w:val="0"/>
          <w:szCs w:val="24"/>
          <w:highlight w:val="none"/>
        </w:rPr>
        <w:t xml:space="preserve"> 法定代表人授权书</w:t>
      </w:r>
      <w:r>
        <w:rPr>
          <w:rFonts w:hint="eastAsia" w:ascii="宋体" w:hAnsi="宋体" w:cs="宋体"/>
          <w:color w:val="auto"/>
          <w:kern w:val="0"/>
          <w:szCs w:val="24"/>
          <w:highlight w:val="none"/>
        </w:rPr>
        <w:t>（格式）</w:t>
      </w:r>
    </w:p>
    <w:p>
      <w:pPr>
        <w:spacing w:line="480" w:lineRule="exact"/>
        <w:ind w:left="240" w:leftChars="100"/>
        <w:jc w:val="center"/>
        <w:rPr>
          <w:rFonts w:ascii="宋体" w:hAnsi="宋体" w:cs="宋体"/>
          <w:b/>
          <w:bCs/>
          <w:color w:val="auto"/>
          <w:szCs w:val="24"/>
          <w:highlight w:val="none"/>
        </w:rPr>
      </w:pPr>
      <w:bookmarkStart w:id="185" w:name="_Toc48791236"/>
      <w:bookmarkStart w:id="186" w:name="_Toc49019498"/>
      <w:bookmarkStart w:id="187" w:name="_Toc47261691"/>
      <w:bookmarkStart w:id="188" w:name="_Toc47418732"/>
      <w:bookmarkStart w:id="189" w:name="_Toc49019237"/>
      <w:bookmarkStart w:id="190" w:name="_Toc47418939"/>
      <w:bookmarkStart w:id="191" w:name="_Toc47418256"/>
      <w:bookmarkStart w:id="192" w:name="_Toc47262070"/>
      <w:bookmarkStart w:id="193" w:name="_Toc47261886"/>
      <w:bookmarkStart w:id="194" w:name="_Toc48995852"/>
      <w:r>
        <w:rPr>
          <w:rFonts w:hint="eastAsia" w:ascii="宋体" w:hAnsi="宋体" w:cs="宋体"/>
          <w:b/>
          <w:bCs/>
          <w:color w:val="auto"/>
          <w:szCs w:val="24"/>
          <w:highlight w:val="none"/>
        </w:rPr>
        <w:t>7.1法定代表人资格证明书</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致：陕西上德招标有限公司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项目名称</w:t>
            </w:r>
          </w:p>
        </w:tc>
        <w:tc>
          <w:tcPr>
            <w:tcW w:w="8538" w:type="dxa"/>
            <w:gridSpan w:val="4"/>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项目编号</w:t>
            </w:r>
          </w:p>
        </w:tc>
        <w:tc>
          <w:tcPr>
            <w:tcW w:w="8538" w:type="dxa"/>
            <w:gridSpan w:val="4"/>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权   限</w:t>
            </w:r>
          </w:p>
        </w:tc>
        <w:tc>
          <w:tcPr>
            <w:tcW w:w="8538" w:type="dxa"/>
            <w:gridSpan w:val="4"/>
            <w:vAlign w:val="center"/>
          </w:tcPr>
          <w:p>
            <w:pPr>
              <w:tabs>
                <w:tab w:val="right" w:leader="dot" w:pos="9022"/>
              </w:tabs>
              <w:autoSpaceDE w:val="0"/>
              <w:autoSpaceDN w:val="0"/>
              <w:adjustRightInd w:val="0"/>
              <w:spacing w:line="4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有效期</w:t>
            </w:r>
          </w:p>
        </w:tc>
        <w:tc>
          <w:tcPr>
            <w:tcW w:w="8538" w:type="dxa"/>
            <w:gridSpan w:val="4"/>
            <w:vAlign w:val="center"/>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ind w:firstLine="240" w:firstLineChars="100"/>
              <w:rPr>
                <w:rFonts w:ascii="宋体" w:hAnsi="宋体" w:cs="宋体"/>
                <w:bCs/>
                <w:caps/>
                <w:color w:val="auto"/>
                <w:szCs w:val="24"/>
                <w:highlight w:val="none"/>
              </w:rPr>
            </w:pPr>
            <w:r>
              <w:rPr>
                <w:rFonts w:hint="eastAsia" w:ascii="宋体" w:hAnsi="宋体" w:cs="宋体"/>
                <w:bCs/>
                <w:caps/>
                <w:color w:val="auto"/>
                <w:szCs w:val="24"/>
                <w:highlight w:val="none"/>
              </w:rPr>
              <w:t>企业</w:t>
            </w:r>
          </w:p>
          <w:p>
            <w:pPr>
              <w:tabs>
                <w:tab w:val="right" w:leader="dot" w:pos="9022"/>
              </w:tabs>
              <w:autoSpaceDE w:val="0"/>
              <w:autoSpaceDN w:val="0"/>
              <w:adjustRightInd w:val="0"/>
              <w:spacing w:line="500" w:lineRule="exact"/>
              <w:ind w:firstLine="240" w:firstLineChars="100"/>
              <w:rPr>
                <w:rFonts w:ascii="宋体" w:hAnsi="宋体" w:cs="宋体"/>
                <w:bCs/>
                <w:caps/>
                <w:color w:val="auto"/>
                <w:szCs w:val="24"/>
                <w:highlight w:val="none"/>
              </w:rPr>
            </w:pPr>
            <w:r>
              <w:rPr>
                <w:rFonts w:hint="eastAsia" w:ascii="宋体" w:hAnsi="宋体" w:cs="宋体"/>
                <w:bCs/>
                <w:caps/>
                <w:color w:val="auto"/>
                <w:szCs w:val="24"/>
                <w:highlight w:val="none"/>
              </w:rPr>
              <w:t>信息</w:t>
            </w:r>
          </w:p>
        </w:tc>
        <w:tc>
          <w:tcPr>
            <w:tcW w:w="2470"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 xml:space="preserve">企 业 名 称 </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法 定 地 址</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营业执照注册证号</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spacing w:line="500" w:lineRule="exact"/>
              <w:rPr>
                <w:rFonts w:ascii="宋体" w:hAnsi="宋体" w:cs="宋体"/>
                <w:bCs/>
                <w:caps/>
                <w:color w:val="auto"/>
                <w:szCs w:val="24"/>
                <w:highlight w:val="none"/>
              </w:rPr>
            </w:pPr>
            <w:r>
              <w:rPr>
                <w:rFonts w:hint="eastAsia" w:ascii="宋体" w:hAnsi="宋体" w:cs="宋体"/>
                <w:bCs/>
                <w:caps/>
                <w:color w:val="auto"/>
                <w:szCs w:val="24"/>
                <w:highlight w:val="none"/>
              </w:rPr>
              <w:t>工商登记机关</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spacing w:line="500" w:lineRule="exact"/>
              <w:rPr>
                <w:rFonts w:ascii="宋体" w:hAnsi="宋体" w:cs="宋体"/>
                <w:bCs/>
                <w:caps/>
                <w:color w:val="auto"/>
                <w:szCs w:val="24"/>
                <w:highlight w:val="none"/>
              </w:rPr>
            </w:pPr>
            <w:r>
              <w:rPr>
                <w:rFonts w:hint="eastAsia" w:ascii="宋体" w:hAnsi="宋体" w:cs="宋体"/>
                <w:bCs/>
                <w:caps/>
                <w:color w:val="auto"/>
                <w:highlight w:val="none"/>
              </w:rPr>
              <w:t>电 子 邮 箱</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法定代</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表人</w:t>
            </w:r>
          </w:p>
        </w:tc>
        <w:tc>
          <w:tcPr>
            <w:tcW w:w="2470" w:type="dxa"/>
          </w:tcPr>
          <w:p>
            <w:pPr>
              <w:tabs>
                <w:tab w:val="right" w:leader="dot" w:pos="9022"/>
              </w:tabs>
              <w:autoSpaceDE w:val="0"/>
              <w:autoSpaceDN w:val="0"/>
              <w:adjustRightInd w:val="0"/>
              <w:spacing w:line="500" w:lineRule="exact"/>
              <w:ind w:firstLine="240" w:firstLineChars="100"/>
              <w:jc w:val="left"/>
              <w:rPr>
                <w:rFonts w:ascii="宋体" w:hAnsi="宋体" w:cs="宋体"/>
                <w:bCs/>
                <w:caps/>
                <w:color w:val="auto"/>
                <w:szCs w:val="24"/>
                <w:highlight w:val="none"/>
              </w:rPr>
            </w:pPr>
            <w:r>
              <w:rPr>
                <w:rFonts w:hint="eastAsia" w:ascii="宋体" w:hAnsi="宋体" w:cs="宋体"/>
                <w:bCs/>
                <w:caps/>
                <w:color w:val="auto"/>
                <w:szCs w:val="24"/>
                <w:highlight w:val="none"/>
              </w:rPr>
              <w:t>姓    名</w:t>
            </w:r>
          </w:p>
        </w:tc>
        <w:tc>
          <w:tcPr>
            <w:tcW w:w="1965"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36"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性    别</w:t>
            </w:r>
          </w:p>
        </w:tc>
        <w:tc>
          <w:tcPr>
            <w:tcW w:w="2767"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ascii="宋体" w:hAnsi="宋体" w:cs="宋体"/>
                <w:bCs/>
                <w:caps/>
                <w:color w:val="auto"/>
                <w:szCs w:val="24"/>
                <w:highlight w:val="none"/>
              </w:rPr>
            </w:pPr>
            <w:r>
              <w:rPr>
                <w:rFonts w:hint="eastAsia" w:ascii="宋体" w:hAnsi="宋体" w:cs="宋体"/>
                <w:bCs/>
                <w:caps/>
                <w:color w:val="auto"/>
                <w:szCs w:val="24"/>
                <w:highlight w:val="none"/>
              </w:rPr>
              <w:t>职    务</w:t>
            </w:r>
          </w:p>
        </w:tc>
        <w:tc>
          <w:tcPr>
            <w:tcW w:w="1965"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36"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联系电话</w:t>
            </w:r>
          </w:p>
        </w:tc>
        <w:tc>
          <w:tcPr>
            <w:tcW w:w="2767"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ascii="宋体" w:hAnsi="宋体" w:cs="宋体"/>
                <w:bCs/>
                <w:caps/>
                <w:color w:val="auto"/>
                <w:szCs w:val="24"/>
                <w:highlight w:val="none"/>
              </w:rPr>
            </w:pPr>
            <w:r>
              <w:rPr>
                <w:rFonts w:hint="eastAsia" w:ascii="宋体" w:hAnsi="宋体" w:cs="宋体"/>
                <w:bCs/>
                <w:caps/>
                <w:color w:val="auto"/>
                <w:szCs w:val="24"/>
                <w:highlight w:val="none"/>
              </w:rPr>
              <w:t>传    真</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2470" w:type="dxa"/>
          </w:tcPr>
          <w:p>
            <w:pPr>
              <w:tabs>
                <w:tab w:val="right" w:leader="dot" w:pos="9022"/>
              </w:tabs>
              <w:autoSpaceDE w:val="0"/>
              <w:autoSpaceDN w:val="0"/>
              <w:adjustRightInd w:val="0"/>
              <w:spacing w:line="500" w:lineRule="exact"/>
              <w:ind w:firstLine="240" w:firstLineChars="100"/>
              <w:jc w:val="left"/>
              <w:rPr>
                <w:rFonts w:ascii="宋体" w:hAnsi="宋体" w:cs="宋体"/>
                <w:bCs/>
                <w:caps/>
                <w:color w:val="auto"/>
                <w:szCs w:val="24"/>
                <w:highlight w:val="none"/>
              </w:rPr>
            </w:pPr>
            <w:r>
              <w:rPr>
                <w:rFonts w:hint="eastAsia" w:ascii="宋体" w:hAnsi="宋体" w:cs="宋体"/>
                <w:bCs/>
                <w:caps/>
                <w:color w:val="auto"/>
                <w:szCs w:val="24"/>
                <w:highlight w:val="none"/>
              </w:rPr>
              <w:t>通讯地址</w:t>
            </w:r>
          </w:p>
        </w:tc>
        <w:tc>
          <w:tcPr>
            <w:tcW w:w="6068" w:type="dxa"/>
            <w:gridSpan w:val="3"/>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法定代表人身份证复印件</w:t>
            </w:r>
          </w:p>
          <w:p>
            <w:pPr>
              <w:tabs>
                <w:tab w:val="right" w:leader="dot" w:pos="9022"/>
              </w:tabs>
              <w:autoSpaceDE w:val="0"/>
              <w:autoSpaceDN w:val="0"/>
              <w:adjustRightInd w:val="0"/>
              <w:spacing w:line="500" w:lineRule="exact"/>
              <w:jc w:val="center"/>
              <w:rPr>
                <w:rFonts w:ascii="宋体" w:hAnsi="宋体" w:cs="宋体"/>
                <w:color w:val="auto"/>
                <w:spacing w:val="-4"/>
                <w:szCs w:val="24"/>
                <w:highlight w:val="none"/>
              </w:rPr>
            </w:pP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color w:val="auto"/>
                <w:spacing w:val="-4"/>
                <w:szCs w:val="24"/>
                <w:highlight w:val="none"/>
              </w:rPr>
              <w:t>二代身份证正、反两面都需复印</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（粘贴处）</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法定代表人签字或盖章：</w:t>
            </w:r>
          </w:p>
        </w:tc>
      </w:tr>
    </w:tbl>
    <w:p>
      <w:pPr>
        <w:spacing w:before="120" w:beforeLines="50" w:line="480" w:lineRule="exact"/>
        <w:rPr>
          <w:rFonts w:ascii="宋体" w:hAnsi="宋体" w:cs="宋体"/>
          <w:b/>
          <w:bCs/>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（投标人单位公章）   日 期：</w:t>
      </w:r>
    </w:p>
    <w:p>
      <w:pPr>
        <w:spacing w:before="120" w:beforeLines="50" w:line="480" w:lineRule="exact"/>
        <w:ind w:left="240" w:leftChars="100"/>
        <w:rPr>
          <w:rFonts w:ascii="宋体" w:hAnsi="宋体" w:cs="宋体"/>
          <w:b/>
          <w:bCs/>
          <w:color w:val="auto"/>
          <w:szCs w:val="24"/>
          <w:highlight w:val="none"/>
        </w:rPr>
      </w:pPr>
      <w:r>
        <w:rPr>
          <w:rFonts w:hint="eastAsia" w:ascii="宋体" w:hAnsi="宋体" w:cs="宋体"/>
          <w:b/>
          <w:bCs/>
          <w:color w:val="auto"/>
          <w:szCs w:val="24"/>
          <w:highlight w:val="none"/>
        </w:rPr>
        <w:t>注：法定代表人投标时提供</w:t>
      </w:r>
    </w:p>
    <w:p>
      <w:pPr>
        <w:spacing w:line="480" w:lineRule="exact"/>
        <w:ind w:left="240" w:leftChars="100"/>
        <w:jc w:val="center"/>
        <w:rPr>
          <w:rFonts w:ascii="宋体" w:hAnsi="宋体" w:cs="宋体"/>
          <w:b/>
          <w:bCs/>
          <w:color w:val="auto"/>
          <w:szCs w:val="24"/>
          <w:highlight w:val="none"/>
        </w:rPr>
      </w:pPr>
      <w:r>
        <w:rPr>
          <w:rFonts w:hint="eastAsia" w:ascii="宋体" w:hAnsi="宋体" w:cs="宋体"/>
          <w:b/>
          <w:bCs/>
          <w:color w:val="auto"/>
          <w:szCs w:val="24"/>
          <w:highlight w:val="none"/>
        </w:rPr>
        <w:t>7.2法定代表人授权委托书</w:t>
      </w:r>
    </w:p>
    <w:p>
      <w:pPr>
        <w:spacing w:line="480" w:lineRule="exact"/>
        <w:ind w:left="240" w:leftChars="100"/>
        <w:jc w:val="center"/>
        <w:rPr>
          <w:rFonts w:ascii="宋体" w:hAnsi="宋体" w:cs="宋体"/>
          <w:b/>
          <w:bCs/>
          <w:color w:val="auto"/>
          <w:szCs w:val="24"/>
          <w:highlight w:val="none"/>
        </w:rPr>
      </w:pPr>
    </w:p>
    <w:tbl>
      <w:tblPr>
        <w:tblStyle w:val="38"/>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致：陕西上德招标有限公司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被授</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权项</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目与</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内容</w:t>
            </w:r>
          </w:p>
        </w:tc>
        <w:tc>
          <w:tcPr>
            <w:tcW w:w="1355"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项目名称</w:t>
            </w:r>
          </w:p>
        </w:tc>
        <w:tc>
          <w:tcPr>
            <w:tcW w:w="7138" w:type="dxa"/>
            <w:gridSpan w:val="5"/>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项目编号</w:t>
            </w:r>
          </w:p>
        </w:tc>
        <w:tc>
          <w:tcPr>
            <w:tcW w:w="7138" w:type="dxa"/>
            <w:gridSpan w:val="5"/>
          </w:tcPr>
          <w:p>
            <w:pPr>
              <w:tabs>
                <w:tab w:val="right" w:leader="dot" w:pos="9022"/>
              </w:tabs>
              <w:autoSpaceDE w:val="0"/>
              <w:autoSpaceDN w:val="0"/>
              <w:adjustRightInd w:val="0"/>
              <w:spacing w:line="500" w:lineRule="exact"/>
              <w:ind w:firstLine="1200" w:firstLineChars="500"/>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授权范围</w:t>
            </w:r>
          </w:p>
        </w:tc>
        <w:tc>
          <w:tcPr>
            <w:tcW w:w="7138" w:type="dxa"/>
            <w:gridSpan w:val="5"/>
          </w:tcPr>
          <w:p>
            <w:pPr>
              <w:tabs>
                <w:tab w:val="right" w:leader="dot" w:pos="9022"/>
              </w:tabs>
              <w:autoSpaceDE w:val="0"/>
              <w:autoSpaceDN w:val="0"/>
              <w:adjustRightInd w:val="0"/>
              <w:spacing w:line="4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法律责任</w:t>
            </w:r>
          </w:p>
        </w:tc>
        <w:tc>
          <w:tcPr>
            <w:tcW w:w="7138" w:type="dxa"/>
            <w:gridSpan w:val="5"/>
          </w:tcPr>
          <w:p>
            <w:pPr>
              <w:tabs>
                <w:tab w:val="right" w:leader="dot" w:pos="9022"/>
              </w:tabs>
              <w:autoSpaceDE w:val="0"/>
              <w:autoSpaceDN w:val="0"/>
              <w:adjustRightInd w:val="0"/>
              <w:spacing w:line="4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vAlign w:val="center"/>
          </w:tcPr>
          <w:p>
            <w:pPr>
              <w:tabs>
                <w:tab w:val="right" w:leader="dot" w:pos="9022"/>
              </w:tabs>
              <w:autoSpaceDE w:val="0"/>
              <w:autoSpaceDN w:val="0"/>
              <w:adjustRightInd w:val="0"/>
              <w:spacing w:line="500" w:lineRule="exact"/>
              <w:rPr>
                <w:rFonts w:ascii="宋体" w:hAnsi="宋体" w:cs="宋体"/>
                <w:bCs/>
                <w:caps/>
                <w:color w:val="auto"/>
                <w:szCs w:val="24"/>
                <w:highlight w:val="none"/>
              </w:rPr>
            </w:pPr>
            <w:r>
              <w:rPr>
                <w:rFonts w:hint="eastAsia" w:ascii="宋体" w:hAnsi="宋体" w:cs="宋体"/>
                <w:bCs/>
                <w:caps/>
                <w:color w:val="auto"/>
                <w:szCs w:val="24"/>
                <w:highlight w:val="none"/>
              </w:rPr>
              <w:t>授权期限</w:t>
            </w:r>
          </w:p>
        </w:tc>
        <w:tc>
          <w:tcPr>
            <w:tcW w:w="7138" w:type="dxa"/>
            <w:gridSpan w:val="5"/>
            <w:vAlign w:val="center"/>
          </w:tcPr>
          <w:p>
            <w:pPr>
              <w:tabs>
                <w:tab w:val="right" w:leader="dot" w:pos="9022"/>
              </w:tabs>
              <w:autoSpaceDE w:val="0"/>
              <w:autoSpaceDN w:val="0"/>
              <w:adjustRightInd w:val="0"/>
              <w:spacing w:line="400" w:lineRule="exact"/>
              <w:rPr>
                <w:rFonts w:ascii="宋体" w:hAnsi="宋体" w:cs="宋体"/>
                <w:bCs/>
                <w:caps/>
                <w:color w:val="auto"/>
                <w:szCs w:val="24"/>
                <w:highlight w:val="none"/>
              </w:rPr>
            </w:pPr>
            <w:r>
              <w:rPr>
                <w:rFonts w:hint="eastAsia" w:ascii="宋体" w:hAnsi="宋体" w:cs="宋体"/>
                <w:bCs/>
                <w:caps/>
                <w:color w:val="auto"/>
                <w:szCs w:val="24"/>
                <w:highlight w:val="none"/>
              </w:rPr>
              <w:t>本授权书</w:t>
            </w:r>
            <w:r>
              <w:rPr>
                <w:rFonts w:hint="eastAsia" w:ascii="宋体" w:hAnsi="宋体" w:cs="宋体"/>
                <w:color w:val="auto"/>
                <w:szCs w:val="24"/>
                <w:highlight w:val="none"/>
              </w:rPr>
              <w:t>自提交投标文件的截止之日起90个日历日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企业信息</w:t>
            </w:r>
          </w:p>
        </w:tc>
        <w:tc>
          <w:tcPr>
            <w:tcW w:w="2489" w:type="dxa"/>
            <w:gridSpan w:val="2"/>
          </w:tcPr>
          <w:p>
            <w:pPr>
              <w:tabs>
                <w:tab w:val="right" w:leader="dot" w:pos="9022"/>
              </w:tabs>
              <w:autoSpaceDE w:val="0"/>
              <w:autoSpaceDN w:val="0"/>
              <w:adjustRightInd w:val="0"/>
              <w:spacing w:line="400" w:lineRule="exact"/>
              <w:rPr>
                <w:rFonts w:ascii="宋体" w:hAnsi="宋体" w:cs="宋体"/>
                <w:bCs/>
                <w:caps/>
                <w:color w:val="auto"/>
                <w:szCs w:val="24"/>
                <w:highlight w:val="none"/>
              </w:rPr>
            </w:pPr>
            <w:r>
              <w:rPr>
                <w:rFonts w:hint="eastAsia" w:ascii="宋体" w:hAnsi="宋体" w:cs="宋体"/>
                <w:bCs/>
                <w:caps/>
                <w:color w:val="auto"/>
                <w:szCs w:val="24"/>
                <w:highlight w:val="none"/>
              </w:rPr>
              <w:t xml:space="preserve">企 业 名 称 </w:t>
            </w:r>
          </w:p>
        </w:tc>
        <w:tc>
          <w:tcPr>
            <w:tcW w:w="6004" w:type="dxa"/>
            <w:gridSpan w:val="4"/>
            <w:vAlign w:val="center"/>
          </w:tcPr>
          <w:p>
            <w:pPr>
              <w:tabs>
                <w:tab w:val="right" w:leader="dot" w:pos="9022"/>
              </w:tabs>
              <w:autoSpaceDE w:val="0"/>
              <w:autoSpaceDN w:val="0"/>
              <w:adjustRightInd w:val="0"/>
              <w:spacing w:line="400" w:lineRule="exac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2489" w:type="dxa"/>
            <w:gridSpan w:val="2"/>
          </w:tcPr>
          <w:p>
            <w:pPr>
              <w:tabs>
                <w:tab w:val="right" w:leader="dot" w:pos="9022"/>
              </w:tabs>
              <w:autoSpaceDE w:val="0"/>
              <w:autoSpaceDN w:val="0"/>
              <w:adjustRightInd w:val="0"/>
              <w:spacing w:line="400" w:lineRule="exact"/>
              <w:rPr>
                <w:rFonts w:ascii="宋体" w:hAnsi="宋体" w:cs="宋体"/>
                <w:bCs/>
                <w:caps/>
                <w:color w:val="auto"/>
                <w:szCs w:val="24"/>
                <w:highlight w:val="none"/>
              </w:rPr>
            </w:pPr>
            <w:r>
              <w:rPr>
                <w:rFonts w:hint="eastAsia" w:ascii="宋体" w:hAnsi="宋体" w:cs="宋体"/>
                <w:bCs/>
                <w:caps/>
                <w:color w:val="auto"/>
                <w:szCs w:val="24"/>
                <w:highlight w:val="none"/>
              </w:rPr>
              <w:t>法 定 地 址</w:t>
            </w:r>
          </w:p>
        </w:tc>
        <w:tc>
          <w:tcPr>
            <w:tcW w:w="6004" w:type="dxa"/>
            <w:gridSpan w:val="4"/>
            <w:vAlign w:val="center"/>
          </w:tcPr>
          <w:p>
            <w:pPr>
              <w:tabs>
                <w:tab w:val="right" w:leader="dot" w:pos="9022"/>
              </w:tabs>
              <w:autoSpaceDE w:val="0"/>
              <w:autoSpaceDN w:val="0"/>
              <w:adjustRightInd w:val="0"/>
              <w:spacing w:line="400" w:lineRule="exac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2489" w:type="dxa"/>
            <w:gridSpan w:val="2"/>
          </w:tcPr>
          <w:p>
            <w:pPr>
              <w:tabs>
                <w:tab w:val="right" w:leader="dot" w:pos="9022"/>
              </w:tabs>
              <w:autoSpaceDE w:val="0"/>
              <w:autoSpaceDN w:val="0"/>
              <w:adjustRightInd w:val="0"/>
              <w:spacing w:line="400" w:lineRule="exact"/>
              <w:rPr>
                <w:rFonts w:ascii="宋体" w:hAnsi="宋体" w:cs="宋体"/>
                <w:bCs/>
                <w:caps/>
                <w:color w:val="auto"/>
                <w:szCs w:val="24"/>
                <w:highlight w:val="none"/>
              </w:rPr>
            </w:pPr>
            <w:r>
              <w:rPr>
                <w:rFonts w:hint="eastAsia" w:ascii="宋体" w:hAnsi="宋体" w:cs="宋体"/>
                <w:bCs/>
                <w:caps/>
                <w:color w:val="auto"/>
                <w:szCs w:val="24"/>
                <w:highlight w:val="none"/>
              </w:rPr>
              <w:t>营业执照注册证号</w:t>
            </w:r>
          </w:p>
        </w:tc>
        <w:tc>
          <w:tcPr>
            <w:tcW w:w="6004" w:type="dxa"/>
            <w:gridSpan w:val="4"/>
            <w:vAlign w:val="center"/>
          </w:tcPr>
          <w:p>
            <w:pPr>
              <w:tabs>
                <w:tab w:val="right" w:leader="dot" w:pos="9022"/>
              </w:tabs>
              <w:autoSpaceDE w:val="0"/>
              <w:autoSpaceDN w:val="0"/>
              <w:adjustRightInd w:val="0"/>
              <w:spacing w:line="400" w:lineRule="exac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rPr>
                <w:rFonts w:ascii="宋体" w:hAnsi="宋体" w:cs="宋体"/>
                <w:bCs/>
                <w:caps/>
                <w:color w:val="auto"/>
                <w:szCs w:val="24"/>
                <w:highlight w:val="none"/>
              </w:rPr>
            </w:pPr>
            <w:r>
              <w:rPr>
                <w:rFonts w:hint="eastAsia" w:ascii="宋体" w:hAnsi="宋体" w:cs="宋体"/>
                <w:bCs/>
                <w:caps/>
                <w:color w:val="auto"/>
                <w:szCs w:val="24"/>
                <w:highlight w:val="none"/>
              </w:rPr>
              <w:t>法定代表人</w:t>
            </w:r>
          </w:p>
        </w:tc>
        <w:tc>
          <w:tcPr>
            <w:tcW w:w="1355"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1559"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性    别</w:t>
            </w:r>
          </w:p>
        </w:tc>
        <w:tc>
          <w:tcPr>
            <w:tcW w:w="2886"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400" w:lineRule="exact"/>
              <w:jc w:val="center"/>
              <w:rPr>
                <w:rFonts w:ascii="宋体" w:hAnsi="宋体" w:cs="宋体"/>
                <w:bCs/>
                <w:caps/>
                <w:color w:val="auto"/>
                <w:szCs w:val="24"/>
                <w:highlight w:val="none"/>
              </w:rPr>
            </w:pPr>
          </w:p>
        </w:tc>
        <w:tc>
          <w:tcPr>
            <w:tcW w:w="1559" w:type="dxa"/>
            <w:vAlign w:val="center"/>
          </w:tcPr>
          <w:p>
            <w:pPr>
              <w:tabs>
                <w:tab w:val="right" w:leader="dot" w:pos="9022"/>
              </w:tabs>
              <w:autoSpaceDE w:val="0"/>
              <w:autoSpaceDN w:val="0"/>
              <w:adjustRightInd w:val="0"/>
              <w:spacing w:line="4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手机号码</w:t>
            </w:r>
          </w:p>
        </w:tc>
        <w:tc>
          <w:tcPr>
            <w:tcW w:w="2886" w:type="dxa"/>
            <w:vAlign w:val="center"/>
          </w:tcPr>
          <w:p>
            <w:pPr>
              <w:tabs>
                <w:tab w:val="right" w:leader="dot" w:pos="9022"/>
              </w:tabs>
              <w:autoSpaceDE w:val="0"/>
              <w:autoSpaceDN w:val="0"/>
              <w:adjustRightInd w:val="0"/>
              <w:spacing w:line="400" w:lineRule="exac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被授权人</w:t>
            </w:r>
          </w:p>
        </w:tc>
        <w:tc>
          <w:tcPr>
            <w:tcW w:w="1355"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姓名</w:t>
            </w:r>
          </w:p>
        </w:tc>
        <w:tc>
          <w:tcPr>
            <w:tcW w:w="2693" w:type="dxa"/>
            <w:gridSpan w:val="3"/>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c>
          <w:tcPr>
            <w:tcW w:w="1559"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性    别</w:t>
            </w:r>
          </w:p>
        </w:tc>
        <w:tc>
          <w:tcPr>
            <w:tcW w:w="2886"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355" w:type="dxa"/>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职务</w:t>
            </w:r>
          </w:p>
        </w:tc>
        <w:tc>
          <w:tcPr>
            <w:tcW w:w="2693" w:type="dxa"/>
            <w:gridSpan w:val="3"/>
            <w:vAlign w:val="center"/>
          </w:tcPr>
          <w:p>
            <w:pPr>
              <w:tabs>
                <w:tab w:val="right" w:leader="dot" w:pos="9022"/>
              </w:tabs>
              <w:autoSpaceDE w:val="0"/>
              <w:autoSpaceDN w:val="0"/>
              <w:adjustRightInd w:val="0"/>
              <w:spacing w:line="400" w:lineRule="exact"/>
              <w:jc w:val="center"/>
              <w:rPr>
                <w:rFonts w:ascii="宋体" w:hAnsi="宋体" w:cs="宋体"/>
                <w:bCs/>
                <w:caps/>
                <w:color w:val="auto"/>
                <w:szCs w:val="24"/>
                <w:highlight w:val="none"/>
              </w:rPr>
            </w:pPr>
          </w:p>
        </w:tc>
        <w:tc>
          <w:tcPr>
            <w:tcW w:w="1559" w:type="dxa"/>
            <w:vAlign w:val="center"/>
          </w:tcPr>
          <w:p>
            <w:pPr>
              <w:tabs>
                <w:tab w:val="right" w:leader="dot" w:pos="9022"/>
              </w:tabs>
              <w:autoSpaceDE w:val="0"/>
              <w:autoSpaceDN w:val="0"/>
              <w:adjustRightInd w:val="0"/>
              <w:spacing w:line="4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手机号码</w:t>
            </w:r>
          </w:p>
        </w:tc>
        <w:tc>
          <w:tcPr>
            <w:tcW w:w="2886" w:type="dxa"/>
          </w:tcPr>
          <w:p>
            <w:pPr>
              <w:tabs>
                <w:tab w:val="right" w:leader="dot" w:pos="9022"/>
              </w:tabs>
              <w:autoSpaceDE w:val="0"/>
              <w:autoSpaceDN w:val="0"/>
              <w:adjustRightInd w:val="0"/>
              <w:spacing w:line="400" w:lineRule="exac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通讯地址</w:t>
            </w:r>
          </w:p>
        </w:tc>
        <w:tc>
          <w:tcPr>
            <w:tcW w:w="4048" w:type="dxa"/>
            <w:gridSpan w:val="4"/>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1559" w:type="dxa"/>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电子邮箱</w:t>
            </w:r>
          </w:p>
        </w:tc>
        <w:tc>
          <w:tcPr>
            <w:tcW w:w="2886" w:type="dxa"/>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法定代表人身份证复印件</w:t>
            </w:r>
          </w:p>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二代身份证正、反两面都需复印</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（粘贴处）</w:t>
            </w:r>
          </w:p>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c>
          <w:tcPr>
            <w:tcW w:w="5296" w:type="dxa"/>
            <w:gridSpan w:val="3"/>
            <w:vAlign w:val="center"/>
          </w:tcPr>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被授权人身份证复印件</w:t>
            </w:r>
          </w:p>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二代身份证正、反两面都需复印</w:t>
            </w:r>
          </w:p>
          <w:p>
            <w:pPr>
              <w:tabs>
                <w:tab w:val="right" w:leader="dot" w:pos="9022"/>
              </w:tabs>
              <w:autoSpaceDE w:val="0"/>
              <w:autoSpaceDN w:val="0"/>
              <w:adjustRightInd w:val="0"/>
              <w:spacing w:line="500" w:lineRule="exact"/>
              <w:jc w:val="center"/>
              <w:rPr>
                <w:rFonts w:ascii="宋体" w:hAnsi="宋体" w:cs="宋体"/>
                <w:bCs/>
                <w:caps/>
                <w:color w:val="auto"/>
                <w:szCs w:val="24"/>
                <w:highlight w:val="none"/>
              </w:rPr>
            </w:pPr>
            <w:r>
              <w:rPr>
                <w:rFonts w:hint="eastAsia" w:ascii="宋体" w:hAnsi="宋体" w:cs="宋体"/>
                <w:bCs/>
                <w:caps/>
                <w:color w:val="auto"/>
                <w:szCs w:val="24"/>
                <w:highlight w:val="none"/>
              </w:rPr>
              <w:t>（粘贴处）</w:t>
            </w:r>
          </w:p>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pPr>
              <w:tabs>
                <w:tab w:val="right" w:leader="dot" w:pos="9022"/>
              </w:tabs>
              <w:autoSpaceDE w:val="0"/>
              <w:autoSpaceDN w:val="0"/>
              <w:adjustRightInd w:val="0"/>
              <w:spacing w:line="500" w:lineRule="exact"/>
              <w:jc w:val="left"/>
              <w:rPr>
                <w:rFonts w:ascii="宋体" w:hAnsi="宋体" w:cs="宋体"/>
                <w:bCs/>
                <w:caps/>
                <w:color w:val="auto"/>
                <w:szCs w:val="24"/>
                <w:highlight w:val="none"/>
              </w:rPr>
            </w:pPr>
            <w:r>
              <w:rPr>
                <w:rFonts w:hint="eastAsia" w:ascii="宋体" w:hAnsi="宋体" w:cs="宋体"/>
                <w:bCs/>
                <w:caps/>
                <w:color w:val="auto"/>
                <w:szCs w:val="24"/>
                <w:highlight w:val="none"/>
              </w:rPr>
              <w:t>法定代表人及被授权人签字或盖章：</w:t>
            </w:r>
          </w:p>
        </w:tc>
      </w:tr>
      <w:bookmarkEnd w:id="185"/>
      <w:bookmarkEnd w:id="186"/>
      <w:bookmarkEnd w:id="187"/>
      <w:bookmarkEnd w:id="188"/>
      <w:bookmarkEnd w:id="189"/>
      <w:bookmarkEnd w:id="190"/>
      <w:bookmarkEnd w:id="191"/>
      <w:bookmarkEnd w:id="192"/>
      <w:bookmarkEnd w:id="193"/>
      <w:bookmarkEnd w:id="194"/>
    </w:tbl>
    <w:p>
      <w:pPr>
        <w:autoSpaceDE w:val="0"/>
        <w:autoSpaceDN w:val="0"/>
        <w:adjustRightInd w:val="0"/>
        <w:snapToGrid w:val="0"/>
        <w:spacing w:before="120" w:beforeLines="50" w:line="480" w:lineRule="exact"/>
        <w:rPr>
          <w:rFonts w:ascii="宋体" w:hAnsi="宋体" w:cs="宋体"/>
          <w:bCs/>
          <w:caps/>
          <w:color w:val="auto"/>
          <w:szCs w:val="24"/>
          <w:highlight w:val="none"/>
          <w:u w:val="single"/>
        </w:rPr>
      </w:pPr>
      <w:r>
        <w:rPr>
          <w:rFonts w:hint="eastAsia" w:ascii="宋体" w:hAnsi="宋体" w:cs="宋体"/>
          <w:bCs/>
          <w:caps/>
          <w:color w:val="auto"/>
          <w:szCs w:val="24"/>
          <w:highlight w:val="none"/>
        </w:rPr>
        <w:t>投标人名称：</w:t>
      </w:r>
      <w:r>
        <w:rPr>
          <w:rFonts w:hint="eastAsia" w:ascii="宋体" w:hAnsi="宋体" w:cs="宋体"/>
          <w:bCs/>
          <w:caps/>
          <w:color w:val="auto"/>
          <w:szCs w:val="24"/>
          <w:highlight w:val="none"/>
          <w:u w:val="single"/>
        </w:rPr>
        <w:t xml:space="preserve">             </w:t>
      </w:r>
      <w:r>
        <w:rPr>
          <w:rFonts w:hint="eastAsia" w:ascii="宋体" w:hAnsi="宋体" w:cs="宋体"/>
          <w:bCs/>
          <w:caps/>
          <w:color w:val="auto"/>
          <w:szCs w:val="24"/>
          <w:highlight w:val="none"/>
        </w:rPr>
        <w:t>（投标人单位公章）     日 期：</w:t>
      </w:r>
      <w:r>
        <w:rPr>
          <w:rFonts w:hint="eastAsia" w:ascii="宋体" w:hAnsi="宋体" w:cs="宋体"/>
          <w:bCs/>
          <w:caps/>
          <w:color w:val="auto"/>
          <w:szCs w:val="24"/>
          <w:highlight w:val="none"/>
          <w:u w:val="single"/>
        </w:rPr>
        <w:t xml:space="preserve">                    </w:t>
      </w:r>
    </w:p>
    <w:p>
      <w:pPr>
        <w:pStyle w:val="148"/>
        <w:spacing w:before="120" w:beforeLines="50"/>
        <w:ind w:firstLine="171" w:firstLineChars="71"/>
        <w:rPr>
          <w:rFonts w:ascii="宋体" w:hAnsi="宋体" w:cs="宋体"/>
          <w:b/>
          <w:color w:val="auto"/>
          <w:sz w:val="24"/>
          <w:szCs w:val="24"/>
          <w:highlight w:val="none"/>
        </w:rPr>
      </w:pPr>
      <w:bookmarkStart w:id="195" w:name="_Toc28085"/>
      <w:bookmarkStart w:id="196" w:name="_Toc458617478"/>
      <w:bookmarkStart w:id="197" w:name="_Toc5659"/>
      <w:r>
        <w:rPr>
          <w:rFonts w:hint="eastAsia" w:ascii="宋体" w:hAnsi="宋体" w:cs="宋体"/>
          <w:b/>
          <w:color w:val="auto"/>
          <w:sz w:val="24"/>
          <w:szCs w:val="24"/>
          <w:highlight w:val="none"/>
        </w:rPr>
        <w:t>注：被</w:t>
      </w:r>
      <w:r>
        <w:rPr>
          <w:rFonts w:hint="eastAsia" w:ascii="宋体" w:hAnsi="宋体" w:cs="宋体"/>
          <w:b/>
          <w:bCs/>
          <w:color w:val="auto"/>
          <w:sz w:val="24"/>
          <w:szCs w:val="24"/>
          <w:highlight w:val="none"/>
        </w:rPr>
        <w:t>授权</w:t>
      </w:r>
      <w:r>
        <w:rPr>
          <w:rFonts w:hint="eastAsia" w:ascii="宋体" w:hAnsi="宋体" w:cs="宋体"/>
          <w:b/>
          <w:color w:val="auto"/>
          <w:sz w:val="24"/>
          <w:szCs w:val="24"/>
          <w:highlight w:val="none"/>
        </w:rPr>
        <w:t>人投标时提供</w:t>
      </w:r>
    </w:p>
    <w:p>
      <w:pPr>
        <w:pStyle w:val="148"/>
        <w:spacing w:line="360" w:lineRule="auto"/>
        <w:ind w:firstLine="0" w:firstLineChars="0"/>
        <w:rPr>
          <w:rFonts w:ascii="宋体" w:hAnsi="宋体" w:cs="宋体"/>
          <w:b/>
          <w:color w:val="auto"/>
          <w:sz w:val="24"/>
          <w:szCs w:val="24"/>
          <w:highlight w:val="none"/>
        </w:rPr>
      </w:pPr>
      <w:r>
        <w:rPr>
          <w:rFonts w:hint="eastAsia" w:ascii="宋体" w:hAnsi="宋体" w:cs="宋体"/>
          <w:b/>
          <w:color w:val="auto"/>
          <w:sz w:val="24"/>
          <w:szCs w:val="24"/>
          <w:highlight w:val="none"/>
        </w:rPr>
        <w:t>8.资格证明文件</w:t>
      </w:r>
      <w:bookmarkEnd w:id="126"/>
      <w:bookmarkEnd w:id="127"/>
      <w:bookmarkEnd w:id="128"/>
      <w:bookmarkEnd w:id="129"/>
      <w:bookmarkEnd w:id="195"/>
      <w:bookmarkEnd w:id="196"/>
      <w:bookmarkEnd w:id="197"/>
    </w:p>
    <w:p>
      <w:pPr>
        <w:pStyle w:val="148"/>
        <w:spacing w:line="360" w:lineRule="auto"/>
        <w:ind w:firstLine="590" w:firstLineChars="245"/>
        <w:rPr>
          <w:rFonts w:ascii="宋体" w:hAnsi="宋体" w:cs="宋体"/>
          <w:b/>
          <w:color w:val="auto"/>
          <w:sz w:val="24"/>
          <w:szCs w:val="24"/>
          <w:highlight w:val="none"/>
        </w:rPr>
      </w:pPr>
      <w:r>
        <w:rPr>
          <w:rFonts w:hint="eastAsia" w:ascii="宋体" w:hAnsi="宋体" w:cs="宋体"/>
          <w:b/>
          <w:color w:val="auto"/>
          <w:sz w:val="24"/>
          <w:szCs w:val="24"/>
          <w:highlight w:val="none"/>
        </w:rPr>
        <w:t>8.1基本资格条件证明文件</w:t>
      </w:r>
    </w:p>
    <w:p>
      <w:pPr>
        <w:pStyle w:val="148"/>
        <w:spacing w:line="360" w:lineRule="auto"/>
        <w:ind w:firstLine="590" w:firstLineChars="245"/>
        <w:rPr>
          <w:rFonts w:ascii="宋体" w:hAnsi="宋体" w:cs="宋体"/>
          <w:b/>
          <w:color w:val="auto"/>
          <w:sz w:val="24"/>
          <w:szCs w:val="24"/>
          <w:highlight w:val="none"/>
        </w:rPr>
      </w:pPr>
      <w:r>
        <w:rPr>
          <w:rFonts w:hint="eastAsia" w:ascii="宋体" w:hAnsi="宋体" w:cs="宋体"/>
          <w:b/>
          <w:color w:val="auto"/>
          <w:sz w:val="24"/>
          <w:szCs w:val="24"/>
          <w:highlight w:val="none"/>
        </w:rPr>
        <w:t>8.2特定资格条件证明文件</w:t>
      </w: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pStyle w:val="148"/>
        <w:spacing w:line="360" w:lineRule="auto"/>
        <w:ind w:firstLine="0" w:firstLineChars="0"/>
        <w:rPr>
          <w:rFonts w:ascii="宋体" w:hAnsi="宋体" w:cs="宋体"/>
          <w:b/>
          <w:color w:val="auto"/>
          <w:sz w:val="24"/>
          <w:szCs w:val="24"/>
          <w:highlight w:val="none"/>
        </w:rPr>
      </w:pPr>
    </w:p>
    <w:p>
      <w:pPr>
        <w:spacing w:line="480" w:lineRule="exact"/>
        <w:rPr>
          <w:rFonts w:ascii="宋体" w:hAnsi="宋体" w:cs="宋体"/>
          <w:b/>
          <w:color w:val="auto"/>
          <w:kern w:val="0"/>
          <w:szCs w:val="24"/>
          <w:highlight w:val="none"/>
        </w:rPr>
      </w:pPr>
      <w:bookmarkStart w:id="198" w:name="_Toc193126905"/>
      <w:bookmarkStart w:id="199" w:name="_Toc188808855"/>
      <w:bookmarkStart w:id="200" w:name="_Toc193187111"/>
      <w:bookmarkStart w:id="201" w:name="_Toc194663942"/>
      <w:bookmarkStart w:id="202" w:name="_Toc193126891"/>
      <w:bookmarkStart w:id="203" w:name="_Toc188808842"/>
      <w:r>
        <w:rPr>
          <w:rFonts w:hint="eastAsia" w:ascii="宋体" w:hAnsi="宋体" w:cs="宋体"/>
          <w:b/>
          <w:color w:val="auto"/>
          <w:kern w:val="0"/>
          <w:szCs w:val="24"/>
          <w:highlight w:val="none"/>
        </w:rPr>
        <w:t>9.技术指标</w:t>
      </w:r>
      <w:r>
        <w:rPr>
          <w:rFonts w:hint="eastAsia" w:ascii="宋体" w:hAnsi="宋体" w:cs="宋体"/>
          <w:b/>
          <w:color w:val="auto"/>
          <w:kern w:val="0"/>
          <w:szCs w:val="24"/>
          <w:highlight w:val="none"/>
          <w:lang w:eastAsia="zh-CN"/>
        </w:rPr>
        <w:t>及</w:t>
      </w:r>
      <w:r>
        <w:rPr>
          <w:rFonts w:hint="eastAsia" w:ascii="宋体" w:hAnsi="宋体" w:cs="宋体"/>
          <w:b/>
          <w:color w:val="auto"/>
          <w:kern w:val="0"/>
          <w:szCs w:val="24"/>
          <w:highlight w:val="none"/>
        </w:rPr>
        <w:t>配置</w:t>
      </w: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pStyle w:val="2"/>
        <w:rPr>
          <w:rFonts w:ascii="宋体" w:hAnsi="宋体" w:cs="宋体"/>
          <w:b/>
          <w:color w:val="auto"/>
          <w:kern w:val="0"/>
          <w:highlight w:val="none"/>
        </w:rPr>
      </w:pPr>
    </w:p>
    <w:p>
      <w:pPr>
        <w:rPr>
          <w:rFonts w:ascii="宋体" w:hAnsi="宋体" w:cs="宋体"/>
          <w:b/>
          <w:color w:val="auto"/>
          <w:kern w:val="0"/>
          <w:szCs w:val="24"/>
          <w:highlight w:val="none"/>
        </w:rPr>
      </w:pPr>
    </w:p>
    <w:p>
      <w:pPr>
        <w:pStyle w:val="2"/>
        <w:rPr>
          <w:rFonts w:ascii="宋体" w:hAnsi="宋体" w:cs="宋体"/>
          <w:color w:val="auto"/>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color w:val="auto"/>
          <w:kern w:val="0"/>
          <w:szCs w:val="24"/>
          <w:highlight w:val="none"/>
        </w:rPr>
      </w:pPr>
    </w:p>
    <w:p>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10.</w:t>
      </w:r>
      <w:r>
        <w:rPr>
          <w:rFonts w:hint="eastAsia" w:ascii="宋体" w:hAnsi="宋体" w:cs="宋体"/>
          <w:b/>
          <w:bCs/>
          <w:color w:val="auto"/>
          <w:kern w:val="0"/>
          <w:szCs w:val="24"/>
          <w:highlight w:val="none"/>
          <w:lang w:eastAsia="zh-CN"/>
        </w:rPr>
        <w:t>技术</w:t>
      </w:r>
      <w:r>
        <w:rPr>
          <w:rFonts w:hint="eastAsia" w:ascii="宋体" w:hAnsi="宋体" w:cs="宋体"/>
          <w:b/>
          <w:bCs/>
          <w:color w:val="auto"/>
          <w:kern w:val="0"/>
          <w:szCs w:val="24"/>
          <w:highlight w:val="none"/>
        </w:rPr>
        <w:t>方案</w:t>
      </w:r>
    </w:p>
    <w:p>
      <w:pPr>
        <w:spacing w:line="480" w:lineRule="exact"/>
        <w:ind w:firstLine="1200" w:firstLineChars="500"/>
        <w:rPr>
          <w:rFonts w:ascii="宋体" w:hAnsi="宋体" w:cs="宋体"/>
          <w:color w:val="auto"/>
          <w:kern w:val="0"/>
          <w:szCs w:val="24"/>
          <w:highlight w:val="none"/>
        </w:rPr>
      </w:pPr>
    </w:p>
    <w:p>
      <w:pPr>
        <w:spacing w:line="480" w:lineRule="exact"/>
        <w:ind w:firstLine="1200" w:firstLineChars="500"/>
        <w:rPr>
          <w:rFonts w:ascii="宋体" w:hAnsi="宋体" w:cs="宋体"/>
          <w:color w:val="auto"/>
          <w:kern w:val="0"/>
          <w:szCs w:val="24"/>
          <w:highlight w:val="none"/>
        </w:rPr>
      </w:pPr>
    </w:p>
    <w:p>
      <w:pPr>
        <w:spacing w:line="480" w:lineRule="exact"/>
        <w:ind w:firstLine="1200" w:firstLineChars="500"/>
        <w:rPr>
          <w:rFonts w:ascii="宋体" w:hAnsi="宋体" w:cs="宋体"/>
          <w:color w:val="auto"/>
          <w:kern w:val="0"/>
          <w:szCs w:val="24"/>
          <w:highlight w:val="none"/>
        </w:rPr>
      </w:pPr>
    </w:p>
    <w:p>
      <w:pPr>
        <w:spacing w:line="480" w:lineRule="exact"/>
        <w:ind w:firstLine="1200" w:firstLineChars="500"/>
        <w:rPr>
          <w:rFonts w:ascii="宋体" w:hAnsi="宋体" w:cs="宋体"/>
          <w:color w:val="auto"/>
          <w:kern w:val="0"/>
          <w:szCs w:val="24"/>
          <w:highlight w:val="none"/>
        </w:rPr>
      </w:pPr>
    </w:p>
    <w:p>
      <w:pPr>
        <w:spacing w:line="480" w:lineRule="exact"/>
        <w:ind w:firstLine="1200" w:firstLineChars="500"/>
        <w:rPr>
          <w:rFonts w:ascii="宋体" w:hAnsi="宋体" w:cs="宋体"/>
          <w:color w:val="auto"/>
          <w:kern w:val="0"/>
          <w:szCs w:val="24"/>
          <w:highlight w:val="none"/>
        </w:rPr>
      </w:pPr>
    </w:p>
    <w:p>
      <w:pPr>
        <w:spacing w:line="480" w:lineRule="exact"/>
        <w:rPr>
          <w:rFonts w:ascii="宋体" w:hAnsi="宋体" w:cs="宋体"/>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eastAsia="宋体" w:cs="宋体"/>
          <w:b/>
          <w:bCs/>
          <w:color w:val="auto"/>
          <w:kern w:val="0"/>
          <w:szCs w:val="24"/>
          <w:highlight w:val="none"/>
          <w:lang w:eastAsia="zh-CN"/>
        </w:rPr>
      </w:pPr>
      <w:r>
        <w:rPr>
          <w:rFonts w:hint="eastAsia" w:ascii="宋体" w:hAnsi="宋体" w:cs="宋体"/>
          <w:b/>
          <w:bCs/>
          <w:color w:val="auto"/>
          <w:kern w:val="0"/>
          <w:szCs w:val="24"/>
          <w:highlight w:val="none"/>
        </w:rPr>
        <w:t>11.</w:t>
      </w:r>
      <w:r>
        <w:rPr>
          <w:rFonts w:hint="eastAsia" w:ascii="宋体" w:hAnsi="宋体" w:cs="宋体"/>
          <w:b/>
          <w:bCs/>
          <w:color w:val="auto"/>
          <w:kern w:val="0"/>
          <w:szCs w:val="24"/>
          <w:highlight w:val="none"/>
          <w:lang w:eastAsia="zh-CN"/>
        </w:rPr>
        <w:t>项目实施方案</w:t>
      </w: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hint="eastAsia"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p>
    <w:p>
      <w:pPr>
        <w:spacing w:line="480" w:lineRule="exact"/>
        <w:rPr>
          <w:rFonts w:hint="eastAsia" w:ascii="宋体" w:hAnsi="宋体" w:eastAsia="宋体" w:cs="宋体"/>
          <w:b/>
          <w:bCs/>
          <w:color w:val="auto"/>
          <w:kern w:val="0"/>
          <w:szCs w:val="24"/>
          <w:highlight w:val="none"/>
        </w:rPr>
      </w:pPr>
      <w:r>
        <w:rPr>
          <w:rFonts w:hint="eastAsia" w:ascii="宋体" w:hAnsi="宋体" w:eastAsia="宋体" w:cs="宋体"/>
          <w:b/>
          <w:bCs/>
          <w:color w:val="auto"/>
          <w:kern w:val="0"/>
          <w:szCs w:val="24"/>
          <w:highlight w:val="none"/>
          <w:lang w:val="en-US" w:eastAsia="zh-CN"/>
        </w:rPr>
        <w:t>12.</w:t>
      </w:r>
      <w:r>
        <w:rPr>
          <w:rFonts w:hint="eastAsia" w:ascii="宋体" w:hAnsi="宋体" w:eastAsia="宋体" w:cs="宋体"/>
          <w:b/>
          <w:bCs/>
          <w:color w:val="auto"/>
          <w:kern w:val="0"/>
          <w:szCs w:val="24"/>
          <w:highlight w:val="none"/>
          <w:lang w:eastAsia="zh-CN"/>
        </w:rPr>
        <w:t>拟派项目组人员</w:t>
      </w:r>
    </w:p>
    <w:p>
      <w:pPr>
        <w:spacing w:line="480" w:lineRule="exact"/>
        <w:rPr>
          <w:rFonts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p>
    <w:p>
      <w:pPr>
        <w:spacing w:line="480" w:lineRule="exact"/>
        <w:rPr>
          <w:rFonts w:ascii="宋体" w:hAnsi="宋体" w:cs="宋体"/>
          <w:b/>
          <w:bCs/>
          <w:color w:val="auto"/>
          <w:kern w:val="0"/>
          <w:szCs w:val="24"/>
          <w:highlight w:val="none"/>
        </w:rPr>
      </w:pPr>
      <w:r>
        <w:rPr>
          <w:rFonts w:hint="eastAsia" w:ascii="宋体" w:hAnsi="宋体" w:cs="宋体"/>
          <w:b/>
          <w:bCs/>
          <w:color w:val="auto"/>
          <w:kern w:val="0"/>
          <w:szCs w:val="24"/>
          <w:highlight w:val="none"/>
        </w:rPr>
        <w:t>1</w:t>
      </w:r>
      <w:r>
        <w:rPr>
          <w:rFonts w:hint="eastAsia" w:ascii="宋体" w:hAnsi="宋体" w:cs="宋体"/>
          <w:b/>
          <w:bCs/>
          <w:color w:val="auto"/>
          <w:kern w:val="0"/>
          <w:szCs w:val="24"/>
          <w:highlight w:val="none"/>
          <w:lang w:val="en-US" w:eastAsia="zh-CN"/>
        </w:rPr>
        <w:t>3</w:t>
      </w:r>
      <w:r>
        <w:rPr>
          <w:rFonts w:hint="eastAsia" w:ascii="宋体" w:hAnsi="宋体" w:cs="宋体"/>
          <w:b/>
          <w:bCs/>
          <w:color w:val="auto"/>
          <w:kern w:val="0"/>
          <w:szCs w:val="24"/>
          <w:highlight w:val="none"/>
        </w:rPr>
        <w:t>.售后服务方案及培训方案</w:t>
      </w:r>
    </w:p>
    <w:p>
      <w:pPr>
        <w:spacing w:line="460" w:lineRule="exact"/>
        <w:rPr>
          <w:rFonts w:ascii="宋体" w:hAnsi="宋体" w:cs="宋体"/>
          <w:b/>
          <w:color w:val="auto"/>
          <w:kern w:val="0"/>
          <w:szCs w:val="24"/>
          <w:highlight w:val="none"/>
        </w:rPr>
      </w:pPr>
    </w:p>
    <w:p>
      <w:pPr>
        <w:pStyle w:val="148"/>
        <w:spacing w:line="360" w:lineRule="auto"/>
        <w:ind w:firstLine="0" w:firstLineChars="0"/>
        <w:rPr>
          <w:rFonts w:hint="eastAsia" w:ascii="宋体" w:hAnsi="宋体" w:cs="宋体"/>
          <w:b/>
          <w:color w:val="auto"/>
          <w:sz w:val="24"/>
          <w:szCs w:val="24"/>
          <w:highlight w:val="none"/>
        </w:rPr>
      </w:pPr>
      <w:bookmarkStart w:id="204" w:name="_Toc458617484"/>
      <w:bookmarkStart w:id="205" w:name="_Toc27682"/>
      <w:bookmarkStart w:id="206" w:name="_Toc6949"/>
    </w:p>
    <w:p>
      <w:pPr>
        <w:pStyle w:val="148"/>
        <w:spacing w:line="360" w:lineRule="auto"/>
        <w:ind w:firstLine="0" w:firstLineChars="0"/>
        <w:rPr>
          <w:rFonts w:hint="eastAsia" w:ascii="宋体" w:hAnsi="宋体" w:cs="宋体"/>
          <w:b/>
          <w:color w:val="auto"/>
          <w:sz w:val="24"/>
          <w:szCs w:val="24"/>
          <w:highlight w:val="none"/>
        </w:rPr>
      </w:pPr>
    </w:p>
    <w:p>
      <w:pPr>
        <w:pStyle w:val="148"/>
        <w:spacing w:line="360" w:lineRule="auto"/>
        <w:ind w:firstLine="0" w:firstLineChars="0"/>
        <w:rPr>
          <w:rFonts w:hint="eastAsia" w:ascii="宋体" w:hAnsi="宋体" w:cs="宋体"/>
          <w:b/>
          <w:color w:val="auto"/>
          <w:sz w:val="24"/>
          <w:szCs w:val="24"/>
          <w:highlight w:val="none"/>
        </w:rPr>
      </w:pPr>
    </w:p>
    <w:p>
      <w:pPr>
        <w:pStyle w:val="148"/>
        <w:spacing w:line="360" w:lineRule="auto"/>
        <w:ind w:firstLine="0" w:firstLineChars="0"/>
        <w:rPr>
          <w:rFonts w:hint="eastAsia" w:ascii="宋体" w:hAnsi="宋体" w:cs="宋体"/>
          <w:b/>
          <w:color w:val="auto"/>
          <w:sz w:val="24"/>
          <w:szCs w:val="24"/>
          <w:highlight w:val="none"/>
        </w:rPr>
      </w:pPr>
    </w:p>
    <w:p>
      <w:pPr>
        <w:pStyle w:val="148"/>
        <w:spacing w:line="360" w:lineRule="auto"/>
        <w:ind w:firstLine="0" w:firstLineChars="0"/>
        <w:rPr>
          <w:rFonts w:hint="eastAsia" w:ascii="宋体" w:hAnsi="宋体" w:cs="宋体"/>
          <w:b/>
          <w:color w:val="auto"/>
          <w:sz w:val="24"/>
          <w:szCs w:val="24"/>
          <w:highlight w:val="none"/>
        </w:rPr>
      </w:pPr>
    </w:p>
    <w:p>
      <w:pPr>
        <w:pStyle w:val="148"/>
        <w:spacing w:line="360" w:lineRule="auto"/>
        <w:ind w:firstLine="0" w:firstLineChars="0"/>
        <w:rPr>
          <w:rFonts w:ascii="宋体" w:hAnsi="宋体" w:cs="宋体"/>
          <w:b/>
          <w:bCs/>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rPr>
        <w:t>.投标人认为有必要补充说明的事宜</w:t>
      </w:r>
      <w:bookmarkEnd w:id="204"/>
      <w:bookmarkEnd w:id="205"/>
      <w:bookmarkEnd w:id="206"/>
      <w:r>
        <w:rPr>
          <w:rFonts w:hint="eastAsia" w:ascii="宋体" w:hAnsi="宋体" w:cs="宋体"/>
          <w:color w:val="auto"/>
          <w:sz w:val="24"/>
          <w:szCs w:val="24"/>
          <w:highlight w:val="none"/>
        </w:rPr>
        <w:t>（若有）</w:t>
      </w:r>
    </w:p>
    <w:p>
      <w:pPr>
        <w:pStyle w:val="26"/>
        <w:jc w:val="both"/>
        <w:rPr>
          <w:rFonts w:ascii="宋体" w:hAnsi="宋体" w:cs="宋体"/>
          <w:b/>
          <w:bCs/>
          <w:color w:val="auto"/>
          <w:sz w:val="24"/>
          <w:szCs w:val="24"/>
          <w:highlight w:val="none"/>
        </w:rPr>
      </w:pPr>
    </w:p>
    <w:p>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pPr>
        <w:pStyle w:val="26"/>
        <w:jc w:val="both"/>
        <w:rPr>
          <w:rFonts w:ascii="宋体" w:hAnsi="宋体" w:cs="宋体"/>
          <w:b/>
          <w:bCs/>
          <w:color w:val="auto"/>
          <w:sz w:val="32"/>
          <w:szCs w:val="32"/>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.《投标人参与政府采购活动的承诺函》（格式）</w:t>
      </w:r>
    </w:p>
    <w:p>
      <w:pPr>
        <w:pStyle w:val="26"/>
        <w:jc w:val="center"/>
        <w:rPr>
          <w:rFonts w:ascii="宋体" w:hAnsi="宋体" w:cs="宋体"/>
          <w:b/>
          <w:bCs/>
          <w:color w:val="auto"/>
          <w:sz w:val="32"/>
          <w:szCs w:val="32"/>
          <w:highlight w:val="none"/>
        </w:rPr>
      </w:pPr>
    </w:p>
    <w:p>
      <w:pPr>
        <w:pStyle w:val="26"/>
        <w:jc w:val="center"/>
        <w:rPr>
          <w:rFonts w:ascii="宋体" w:hAnsi="宋体" w:cs="宋体"/>
          <w:b/>
          <w:bCs/>
          <w:color w:val="auto"/>
          <w:sz w:val="32"/>
          <w:szCs w:val="32"/>
          <w:highlight w:val="none"/>
        </w:rPr>
      </w:pPr>
    </w:p>
    <w:p>
      <w:pPr>
        <w:pStyle w:val="26"/>
        <w:jc w:val="center"/>
        <w:rPr>
          <w:rFonts w:ascii="宋体" w:hAnsi="宋体" w:cs="宋体"/>
          <w:b/>
          <w:bCs/>
          <w:color w:val="auto"/>
          <w:sz w:val="24"/>
          <w:szCs w:val="24"/>
          <w:highlight w:val="none"/>
        </w:rPr>
      </w:pPr>
      <w:r>
        <w:rPr>
          <w:rFonts w:hint="eastAsia" w:ascii="宋体" w:hAnsi="宋体" w:cs="宋体"/>
          <w:b/>
          <w:bCs/>
          <w:color w:val="auto"/>
          <w:sz w:val="32"/>
          <w:szCs w:val="32"/>
          <w:highlight w:val="none"/>
        </w:rPr>
        <w:t>投标人参与政府采购活动的承诺函</w:t>
      </w:r>
    </w:p>
    <w:p>
      <w:pPr>
        <w:pStyle w:val="26"/>
        <w:jc w:val="both"/>
        <w:rPr>
          <w:rFonts w:ascii="宋体" w:hAnsi="宋体" w:cs="宋体"/>
          <w:b/>
          <w:bCs/>
          <w:color w:val="auto"/>
          <w:sz w:val="24"/>
          <w:szCs w:val="24"/>
          <w:highlight w:val="none"/>
        </w:rPr>
      </w:pPr>
    </w:p>
    <w:p>
      <w:pPr>
        <w:pStyle w:val="26"/>
        <w:spacing w:line="500" w:lineRule="exact"/>
        <w:jc w:val="both"/>
        <w:rPr>
          <w:rFonts w:ascii="宋体" w:hAnsi="宋体" w:cs="宋体"/>
          <w:b/>
          <w:bCs/>
          <w:color w:val="auto"/>
          <w:sz w:val="24"/>
          <w:szCs w:val="24"/>
          <w:highlight w:val="none"/>
          <w:u w:val="single"/>
        </w:rPr>
      </w:pPr>
      <w:r>
        <w:rPr>
          <w:rFonts w:hint="eastAsia" w:ascii="宋体" w:hAnsi="宋体" w:cs="宋体"/>
          <w:b/>
          <w:bCs/>
          <w:color w:val="auto"/>
          <w:sz w:val="24"/>
          <w:szCs w:val="24"/>
          <w:highlight w:val="none"/>
        </w:rPr>
        <w:t>致：</w:t>
      </w:r>
      <w:r>
        <w:rPr>
          <w:rFonts w:hint="eastAsia" w:ascii="宋体" w:hAnsi="宋体" w:cs="宋体"/>
          <w:b/>
          <w:bCs/>
          <w:color w:val="auto"/>
          <w:sz w:val="24"/>
          <w:szCs w:val="24"/>
          <w:highlight w:val="none"/>
          <w:u w:val="single"/>
        </w:rPr>
        <w:t xml:space="preserve"> （采购人名称）和（采购代理机构名称）  </w:t>
      </w:r>
    </w:p>
    <w:p>
      <w:pPr>
        <w:pStyle w:val="26"/>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 xml:space="preserve">我单位自愿参加 </w:t>
      </w:r>
      <w:r>
        <w:rPr>
          <w:rFonts w:hint="eastAsia" w:ascii="宋体" w:hAnsi="宋体" w:cs="宋体"/>
          <w:color w:val="auto"/>
          <w:sz w:val="24"/>
          <w:szCs w:val="24"/>
          <w:highlight w:val="none"/>
          <w:u w:val="single"/>
        </w:rPr>
        <w:t xml:space="preserve">  </w:t>
      </w:r>
      <w:r>
        <w:rPr>
          <w:rFonts w:hint="eastAsia" w:ascii="宋体" w:hAnsi="宋体" w:cs="宋体"/>
          <w:b/>
          <w:bCs/>
          <w:color w:val="auto"/>
          <w:sz w:val="24"/>
          <w:szCs w:val="24"/>
          <w:highlight w:val="none"/>
          <w:u w:val="single"/>
        </w:rPr>
        <w:t xml:space="preserve">（采购项目名称、项目编号）  </w:t>
      </w:r>
      <w:r>
        <w:rPr>
          <w:rFonts w:hint="eastAsia" w:ascii="宋体" w:hAnsi="宋体" w:cs="宋体"/>
          <w:color w:val="auto"/>
          <w:sz w:val="24"/>
          <w:szCs w:val="24"/>
          <w:highlight w:val="none"/>
        </w:rPr>
        <w:t>的招标采购活动，作为参加本次采购活动的投标人，根据招标文件的要求，现郑重承诺如下：</w:t>
      </w:r>
    </w:p>
    <w:p>
      <w:pPr>
        <w:pStyle w:val="26"/>
        <w:numPr>
          <w:ilvl w:val="0"/>
          <w:numId w:val="5"/>
        </w:numPr>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我单位完全接受和满足本项目招标文件中规定的实质性要求，不存在对招标文件有异议的同时又参加本项目的招标采购活动以求侥幸成为中标人或者为实现其他非法目的的行为。</w:t>
      </w:r>
    </w:p>
    <w:p>
      <w:pPr>
        <w:pStyle w:val="26"/>
        <w:numPr>
          <w:ilvl w:val="0"/>
          <w:numId w:val="5"/>
        </w:numPr>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我单位在此申明：保证本次投标文件中提供的所有内容、资料、陈述是正确的、真实的、有效的、合法的，并愿意承担相关法律责任。</w:t>
      </w:r>
    </w:p>
    <w:p>
      <w:pPr>
        <w:pStyle w:val="26"/>
        <w:numPr>
          <w:ilvl w:val="0"/>
          <w:numId w:val="5"/>
        </w:numPr>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我单位存在以下行为之一的，愿意接受相关部门的处理：</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1.我单位在招标文件规定的投标有效期内撤回投标文件的；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2.我单位在投标文件中提供虚假材料的；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3.我单位与采购人、其他投标人或者采购代理机构恶意串通的；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4.我单位自行放弃投标资格而未在开标前一天以书面形式告知采购代理机构的；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5.我单位自行放弃中标资格的；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6.我单位不在规定的时效内领取《中标通知书》的；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7.我单位不按规定支付招标代理服务费的；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8.我单位未按照招标文件确定的事项签订政府采购合同的；</w:t>
      </w:r>
    </w:p>
    <w:p>
      <w:pPr>
        <w:pStyle w:val="26"/>
        <w:spacing w:line="500" w:lineRule="exact"/>
        <w:ind w:left="630"/>
        <w:jc w:val="both"/>
        <w:rPr>
          <w:rFonts w:ascii="宋体" w:hAnsi="宋体" w:cs="宋体"/>
          <w:color w:val="auto"/>
          <w:sz w:val="24"/>
          <w:szCs w:val="24"/>
          <w:highlight w:val="none"/>
        </w:rPr>
      </w:pPr>
      <w:r>
        <w:rPr>
          <w:rFonts w:hint="eastAsia" w:ascii="宋体" w:hAnsi="宋体" w:cs="宋体"/>
          <w:color w:val="auto"/>
          <w:sz w:val="24"/>
          <w:szCs w:val="24"/>
          <w:highlight w:val="none"/>
        </w:rPr>
        <w:t>9.我单位在本项目政府采购活动中有违法、违规、违纪行为的。</w:t>
      </w:r>
    </w:p>
    <w:p>
      <w:pPr>
        <w:pStyle w:val="26"/>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我单位如果发生以上任意一条行为，将在行为发生的5个工作日内，向采购人或采购代理机构支付本招标文件公布的预算金额的2%作为赔偿金。</w:t>
      </w:r>
    </w:p>
    <w:p>
      <w:pPr>
        <w:pStyle w:val="26"/>
        <w:numPr>
          <w:ilvl w:val="0"/>
          <w:numId w:val="5"/>
        </w:numPr>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我单位知晓上述行为的法律后果，承认本承诺函作为采购人及采购代理机构要求我单位履行违约赔偿义务的依据作用。</w:t>
      </w:r>
    </w:p>
    <w:p>
      <w:pPr>
        <w:pStyle w:val="26"/>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由此发生的一切法律后果和责任由我单位承担。我单位声明放弃对此提出任何异议和追索的权利。</w:t>
      </w:r>
    </w:p>
    <w:p>
      <w:pPr>
        <w:pStyle w:val="26"/>
        <w:spacing w:line="500" w:lineRule="exact"/>
        <w:ind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我单位对上述承诺的内容事项真实性负责。如经查实上述承诺的内容事项存在虚假，我单位愿意接受以提供虚假材料谋取中标而被追究法律责任。</w:t>
      </w:r>
    </w:p>
    <w:p>
      <w:pPr>
        <w:pStyle w:val="26"/>
        <w:spacing w:line="360" w:lineRule="auto"/>
        <w:ind w:left="480" w:leftChars="200" w:firstLine="480" w:firstLineChars="200"/>
        <w:jc w:val="both"/>
        <w:rPr>
          <w:rFonts w:ascii="宋体" w:hAnsi="宋体" w:cs="宋体"/>
          <w:color w:val="auto"/>
          <w:sz w:val="24"/>
          <w:szCs w:val="24"/>
          <w:highlight w:val="none"/>
        </w:rPr>
      </w:pPr>
    </w:p>
    <w:p>
      <w:pPr>
        <w:pStyle w:val="26"/>
        <w:spacing w:line="360" w:lineRule="auto"/>
        <w:ind w:left="480" w:leftChars="200" w:firstLine="480" w:firstLineChars="200"/>
        <w:jc w:val="both"/>
        <w:rPr>
          <w:rFonts w:ascii="宋体" w:hAnsi="宋体" w:cs="宋体"/>
          <w:color w:val="auto"/>
          <w:sz w:val="24"/>
          <w:szCs w:val="24"/>
          <w:highlight w:val="none"/>
        </w:rPr>
      </w:pPr>
    </w:p>
    <w:p>
      <w:pPr>
        <w:pStyle w:val="26"/>
        <w:spacing w:line="360" w:lineRule="auto"/>
        <w:ind w:left="480" w:leftChars="200" w:firstLine="480" w:firstLineChars="200"/>
        <w:jc w:val="both"/>
        <w:rPr>
          <w:rFonts w:ascii="宋体" w:hAnsi="宋体" w:cs="宋体"/>
          <w:color w:val="auto"/>
          <w:sz w:val="24"/>
          <w:szCs w:val="24"/>
          <w:highlight w:val="none"/>
        </w:rPr>
      </w:pPr>
    </w:p>
    <w:p>
      <w:pPr>
        <w:pStyle w:val="26"/>
        <w:spacing w:line="360" w:lineRule="auto"/>
        <w:ind w:left="480" w:leftChars="200" w:firstLine="480" w:firstLineChars="200"/>
        <w:jc w:val="both"/>
        <w:rPr>
          <w:rFonts w:ascii="宋体" w:hAnsi="宋体" w:cs="宋体"/>
          <w:color w:val="auto"/>
          <w:sz w:val="24"/>
          <w:szCs w:val="24"/>
          <w:highlight w:val="none"/>
        </w:rPr>
      </w:pPr>
    </w:p>
    <w:p>
      <w:pPr>
        <w:pStyle w:val="26"/>
        <w:spacing w:line="360" w:lineRule="auto"/>
        <w:ind w:left="480" w:leftChars="200" w:firstLine="480" w:firstLineChars="200"/>
        <w:jc w:val="both"/>
        <w:rPr>
          <w:rFonts w:ascii="宋体" w:hAnsi="宋体" w:cs="宋体"/>
          <w:color w:val="auto"/>
          <w:sz w:val="24"/>
          <w:szCs w:val="24"/>
          <w:highlight w:val="none"/>
        </w:rPr>
      </w:pPr>
      <w:r>
        <w:rPr>
          <w:rFonts w:hint="eastAsia" w:ascii="宋体" w:hAnsi="宋体" w:cs="宋体"/>
          <w:color w:val="auto"/>
          <w:sz w:val="24"/>
          <w:szCs w:val="24"/>
          <w:highlight w:val="none"/>
        </w:rPr>
        <w:t xml:space="preserve">                        单位名称（公章）：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pPr>
        <w:pStyle w:val="26"/>
        <w:spacing w:line="360" w:lineRule="auto"/>
        <w:ind w:firstLine="1680" w:firstLineChars="700"/>
        <w:jc w:val="both"/>
        <w:rPr>
          <w:rFonts w:ascii="宋体" w:hAnsi="宋体" w:cs="宋体"/>
          <w:color w:val="auto"/>
          <w:sz w:val="24"/>
          <w:szCs w:val="24"/>
          <w:highlight w:val="none"/>
        </w:rPr>
      </w:pPr>
      <w:r>
        <w:rPr>
          <w:rFonts w:hint="eastAsia" w:ascii="宋体" w:hAnsi="宋体" w:cs="宋体"/>
          <w:color w:val="auto"/>
          <w:sz w:val="24"/>
          <w:szCs w:val="24"/>
          <w:highlight w:val="none"/>
        </w:rPr>
        <w:t xml:space="preserve">法定代表人或被授权人（签字或盖章）： </w:t>
      </w:r>
    </w:p>
    <w:p>
      <w:pPr>
        <w:pStyle w:val="148"/>
        <w:ind w:firstLine="0" w:firstLineChars="0"/>
        <w:rPr>
          <w:rFonts w:ascii="宋体" w:hAnsi="宋体" w:cs="宋体"/>
          <w:b/>
          <w:bCs/>
          <w:color w:val="auto"/>
          <w:sz w:val="24"/>
          <w:szCs w:val="24"/>
          <w:highlight w:val="none"/>
        </w:rPr>
        <w:sectPr>
          <w:headerReference r:id="rId12" w:type="first"/>
          <w:footerReference r:id="rId14" w:type="first"/>
          <w:headerReference r:id="rId11" w:type="default"/>
          <w:footerReference r:id="rId13" w:type="default"/>
          <w:pgSz w:w="11907" w:h="16840"/>
          <w:pgMar w:top="1418" w:right="1134" w:bottom="1418" w:left="1304" w:header="1134" w:footer="907" w:gutter="0"/>
          <w:cols w:space="720" w:num="1"/>
          <w:titlePg/>
          <w:docGrid w:linePitch="312" w:charSpace="0"/>
        </w:sectPr>
      </w:pPr>
      <w:r>
        <w:rPr>
          <w:rFonts w:hint="eastAsia" w:ascii="宋体" w:hAnsi="宋体" w:cs="宋体"/>
          <w:color w:val="auto"/>
          <w:sz w:val="24"/>
          <w:szCs w:val="24"/>
          <w:highlight w:val="none"/>
        </w:rPr>
        <w:t xml:space="preserve">                                           日期：</w:t>
      </w:r>
    </w:p>
    <w:p>
      <w:pPr>
        <w:pStyle w:val="148"/>
        <w:ind w:firstLine="0" w:firstLineChars="0"/>
        <w:rPr>
          <w:rFonts w:ascii="宋体" w:hAnsi="宋体" w:cs="宋体"/>
          <w:b/>
          <w:color w:val="auto"/>
          <w:sz w:val="24"/>
          <w:szCs w:val="24"/>
          <w:highlight w:val="none"/>
        </w:rPr>
      </w:pPr>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w:t>
      </w:r>
      <w:bookmarkStart w:id="207" w:name="_Toc31350"/>
      <w:bookmarkStart w:id="208" w:name="_Toc6831"/>
      <w:bookmarkStart w:id="209" w:name="_Toc458617499"/>
      <w:r>
        <w:rPr>
          <w:rFonts w:hint="eastAsia" w:ascii="宋体" w:hAnsi="宋体" w:cs="宋体"/>
          <w:b/>
          <w:bCs/>
          <w:color w:val="auto"/>
          <w:sz w:val="24"/>
          <w:szCs w:val="24"/>
          <w:highlight w:val="none"/>
        </w:rPr>
        <w:t>《拒绝政府采购领域商业贿赂承诺书》</w:t>
      </w:r>
      <w:bookmarkEnd w:id="198"/>
      <w:bookmarkEnd w:id="199"/>
      <w:bookmarkEnd w:id="200"/>
      <w:bookmarkEnd w:id="201"/>
      <w:bookmarkEnd w:id="207"/>
      <w:bookmarkEnd w:id="208"/>
      <w:bookmarkEnd w:id="209"/>
      <w:r>
        <w:rPr>
          <w:rFonts w:hint="eastAsia" w:ascii="宋体" w:hAnsi="宋体" w:cs="宋体"/>
          <w:color w:val="auto"/>
          <w:sz w:val="24"/>
          <w:szCs w:val="24"/>
          <w:highlight w:val="none"/>
        </w:rPr>
        <w:t>（格式）</w:t>
      </w:r>
    </w:p>
    <w:p>
      <w:pPr>
        <w:widowControl/>
        <w:spacing w:line="480" w:lineRule="exact"/>
        <w:rPr>
          <w:rFonts w:ascii="宋体" w:hAnsi="宋体" w:cs="宋体"/>
          <w:b/>
          <w:bCs/>
          <w:color w:val="auto"/>
          <w:kern w:val="0"/>
          <w:sz w:val="32"/>
          <w:szCs w:val="32"/>
          <w:highlight w:val="none"/>
        </w:rPr>
      </w:pPr>
    </w:p>
    <w:p>
      <w:pPr>
        <w:widowControl/>
        <w:spacing w:line="480" w:lineRule="exact"/>
        <w:rPr>
          <w:rFonts w:ascii="宋体" w:hAnsi="宋体" w:cs="宋体"/>
          <w:b/>
          <w:bCs/>
          <w:color w:val="auto"/>
          <w:kern w:val="0"/>
          <w:sz w:val="28"/>
          <w:szCs w:val="28"/>
          <w:highlight w:val="none"/>
        </w:rPr>
      </w:pPr>
      <w:r>
        <w:rPr>
          <w:rFonts w:hint="eastAsia" w:ascii="宋体" w:hAnsi="宋体" w:cs="宋体"/>
          <w:b/>
          <w:bCs/>
          <w:color w:val="auto"/>
          <w:kern w:val="0"/>
          <w:sz w:val="32"/>
          <w:szCs w:val="32"/>
          <w:highlight w:val="none"/>
        </w:rPr>
        <w:t xml:space="preserve">                   </w:t>
      </w:r>
      <w:r>
        <w:rPr>
          <w:rFonts w:hint="eastAsia" w:ascii="宋体" w:hAnsi="宋体" w:cs="宋体"/>
          <w:b/>
          <w:bCs/>
          <w:color w:val="auto"/>
          <w:kern w:val="0"/>
          <w:sz w:val="30"/>
          <w:szCs w:val="30"/>
          <w:highlight w:val="none"/>
        </w:rPr>
        <w:t xml:space="preserve"> </w:t>
      </w:r>
      <w:r>
        <w:rPr>
          <w:rFonts w:hint="eastAsia" w:ascii="宋体" w:hAnsi="宋体" w:cs="宋体"/>
          <w:b/>
          <w:bCs/>
          <w:color w:val="auto"/>
          <w:kern w:val="0"/>
          <w:sz w:val="28"/>
          <w:szCs w:val="28"/>
          <w:highlight w:val="none"/>
        </w:rPr>
        <w:t>陕西省政府采购投标人</w:t>
      </w:r>
    </w:p>
    <w:p>
      <w:pPr>
        <w:widowControl/>
        <w:spacing w:line="480" w:lineRule="exact"/>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拒绝政府采购领域商业贿赂承诺书</w:t>
      </w:r>
    </w:p>
    <w:p>
      <w:pPr>
        <w:widowControl/>
        <w:spacing w:line="240" w:lineRule="exact"/>
        <w:ind w:firstLine="480" w:firstLineChars="200"/>
        <w:jc w:val="left"/>
        <w:rPr>
          <w:rFonts w:ascii="宋体" w:hAnsi="宋体" w:cs="宋体"/>
          <w:color w:val="auto"/>
          <w:kern w:val="0"/>
          <w:highlight w:val="none"/>
        </w:rPr>
      </w:pP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为响应党中央、国务院关于治理政府采购领域商业贿赂行为的号召，</w:t>
      </w:r>
      <w:r>
        <w:rPr>
          <w:rFonts w:hint="eastAsia" w:ascii="宋体" w:hAnsi="宋体" w:cs="宋体"/>
          <w:color w:val="auto"/>
          <w:kern w:val="0"/>
          <w:highlight w:val="none"/>
        </w:rPr>
        <w:t xml:space="preserve">我单位作为     </w:t>
      </w:r>
      <w:r>
        <w:rPr>
          <w:rFonts w:hint="eastAsia" w:ascii="宋体" w:hAnsi="宋体" w:cs="宋体"/>
          <w:color w:val="auto"/>
          <w:kern w:val="0"/>
          <w:highlight w:val="none"/>
          <w:u w:val="single"/>
        </w:rPr>
        <w:t xml:space="preserve">（项目名称）         </w:t>
      </w:r>
      <w:r>
        <w:rPr>
          <w:rFonts w:hint="eastAsia" w:ascii="宋体" w:hAnsi="宋体" w:cs="宋体"/>
          <w:color w:val="auto"/>
          <w:kern w:val="0"/>
          <w:highlight w:val="none"/>
        </w:rPr>
        <w:t xml:space="preserve"> 的投标人，</w:t>
      </w:r>
      <w:r>
        <w:rPr>
          <w:rFonts w:hint="eastAsia" w:ascii="宋体" w:hAnsi="宋体" w:cs="宋体"/>
          <w:color w:val="auto"/>
          <w:kern w:val="0"/>
          <w:szCs w:val="24"/>
          <w:highlight w:val="none"/>
        </w:rPr>
        <w:t xml:space="preserve">在此庄严承诺：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1.在参与政府采购活动中遵纪守法、诚信经营、公平竞标。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2.不向采购人、采购代理机构和政府采购评审专家进行任何形式的商业贿赂以谋取交易机会。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3.不向政府采购采购代理机构和采购人提供虚假资质文件或采用虚假应标方式参与政府采购市场竞争并谋取中标。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4.不采取“围标、陪标”等商业欺诈手段获得政府采购定单。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5.不采取不正当手段诋毁、排挤其他投标人。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6.不在提供商品和服务时“偷梁换柱、以次充好”损害采购人的合法权益。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7.不与采购人、采购代理机构政府采购评审专家或其它投标人恶意串通，进行质疑和投诉，维护政府采购市场秩序。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8.尊重和接受政府采购监督管理部门的监督和政府采购代理机构招标要求，承担因违约行为给采购人造成的损失。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9.不发生其他有悖于政府采购公开、公平、公正和诚信原则的行为。 </w:t>
      </w:r>
    </w:p>
    <w:p>
      <w:pPr>
        <w:pStyle w:val="2"/>
        <w:rPr>
          <w:rFonts w:ascii="宋体" w:hAnsi="宋体" w:cs="宋体"/>
          <w:color w:val="auto"/>
          <w:highlight w:val="none"/>
        </w:rPr>
      </w:pP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承诺单位：</w:t>
      </w:r>
      <w:r>
        <w:rPr>
          <w:rFonts w:hint="eastAsia" w:ascii="宋体" w:hAnsi="宋体" w:cs="宋体"/>
          <w:color w:val="auto"/>
          <w:kern w:val="0"/>
          <w:szCs w:val="24"/>
          <w:highlight w:val="none"/>
          <w:u w:val="single"/>
        </w:rPr>
        <w:t>　　                 　</w:t>
      </w:r>
      <w:r>
        <w:rPr>
          <w:rFonts w:hint="eastAsia" w:ascii="宋体" w:hAnsi="宋体" w:cs="宋体"/>
          <w:color w:val="auto"/>
          <w:kern w:val="0"/>
          <w:szCs w:val="24"/>
          <w:highlight w:val="none"/>
        </w:rPr>
        <w:t xml:space="preserve">（盖章） </w:t>
      </w:r>
    </w:p>
    <w:p>
      <w:pPr>
        <w:widowControl/>
        <w:spacing w:line="440" w:lineRule="exact"/>
        <w:ind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 xml:space="preserve"> 全权代表：</w:t>
      </w:r>
      <w:r>
        <w:rPr>
          <w:rFonts w:hint="eastAsia" w:ascii="宋体" w:hAnsi="宋体" w:cs="宋体"/>
          <w:color w:val="auto"/>
          <w:kern w:val="0"/>
          <w:szCs w:val="24"/>
          <w:highlight w:val="none"/>
          <w:u w:val="single"/>
        </w:rPr>
        <w:t>　　　　　     　　　　</w:t>
      </w:r>
      <w:r>
        <w:rPr>
          <w:rFonts w:hint="eastAsia" w:ascii="宋体" w:hAnsi="宋体" w:cs="宋体"/>
          <w:color w:val="auto"/>
          <w:kern w:val="0"/>
          <w:szCs w:val="24"/>
          <w:highlight w:val="none"/>
        </w:rPr>
        <w:t xml:space="preserve">（签字） </w:t>
      </w:r>
    </w:p>
    <w:p>
      <w:pPr>
        <w:widowControl/>
        <w:spacing w:line="520" w:lineRule="exact"/>
        <w:ind w:firstLine="600" w:firstLineChars="250"/>
        <w:rPr>
          <w:rFonts w:ascii="宋体" w:hAnsi="宋体" w:cs="宋体"/>
          <w:color w:val="auto"/>
          <w:kern w:val="0"/>
          <w:szCs w:val="24"/>
          <w:highlight w:val="none"/>
          <w:u w:val="single"/>
        </w:rPr>
      </w:pPr>
      <w:r>
        <w:rPr>
          <w:rFonts w:hint="eastAsia" w:ascii="宋体" w:hAnsi="宋体" w:cs="宋体"/>
          <w:color w:val="auto"/>
          <w:kern w:val="0"/>
          <w:szCs w:val="24"/>
          <w:highlight w:val="none"/>
        </w:rPr>
        <w:t>地　　址：</w:t>
      </w:r>
      <w:r>
        <w:rPr>
          <w:rFonts w:hint="eastAsia" w:ascii="宋体" w:hAnsi="宋体" w:cs="宋体"/>
          <w:color w:val="auto"/>
          <w:kern w:val="0"/>
          <w:szCs w:val="24"/>
          <w:highlight w:val="none"/>
          <w:u w:val="single"/>
        </w:rPr>
        <w:t xml:space="preserve">  　　                  　　                             </w:t>
      </w:r>
    </w:p>
    <w:p>
      <w:pPr>
        <w:widowControl/>
        <w:spacing w:line="520" w:lineRule="exact"/>
        <w:ind w:left="120" w:leftChars="50" w:firstLine="480" w:firstLineChars="200"/>
        <w:rPr>
          <w:rFonts w:ascii="宋体" w:hAnsi="宋体" w:cs="宋体"/>
          <w:color w:val="auto"/>
          <w:kern w:val="0"/>
          <w:szCs w:val="24"/>
          <w:highlight w:val="none"/>
          <w:u w:val="single"/>
        </w:rPr>
      </w:pPr>
      <w:r>
        <w:rPr>
          <w:rFonts w:hint="eastAsia" w:ascii="宋体" w:hAnsi="宋体" w:cs="宋体"/>
          <w:color w:val="auto"/>
          <w:kern w:val="0"/>
          <w:szCs w:val="24"/>
          <w:highlight w:val="none"/>
        </w:rPr>
        <w:t>邮    编：</w:t>
      </w:r>
      <w:r>
        <w:rPr>
          <w:rFonts w:hint="eastAsia" w:ascii="宋体" w:hAnsi="宋体" w:cs="宋体"/>
          <w:color w:val="auto"/>
          <w:kern w:val="0"/>
          <w:szCs w:val="24"/>
          <w:highlight w:val="none"/>
          <w:u w:val="single"/>
        </w:rPr>
        <w:t xml:space="preserve">　　                    　　 </w:t>
      </w:r>
    </w:p>
    <w:p>
      <w:pPr>
        <w:widowControl/>
        <w:spacing w:line="520" w:lineRule="exact"/>
        <w:ind w:left="120" w:leftChars="50" w:firstLine="480" w:firstLineChars="200"/>
        <w:rPr>
          <w:rFonts w:ascii="宋体" w:hAnsi="宋体" w:cs="宋体"/>
          <w:color w:val="auto"/>
          <w:kern w:val="0"/>
          <w:szCs w:val="24"/>
          <w:highlight w:val="none"/>
        </w:rPr>
      </w:pPr>
      <w:r>
        <w:rPr>
          <w:rFonts w:hint="eastAsia" w:ascii="宋体" w:hAnsi="宋体" w:cs="宋体"/>
          <w:color w:val="auto"/>
          <w:kern w:val="0"/>
          <w:szCs w:val="24"/>
          <w:highlight w:val="none"/>
        </w:rPr>
        <w:t>电　　话：</w:t>
      </w:r>
      <w:r>
        <w:rPr>
          <w:rFonts w:hint="eastAsia" w:ascii="宋体" w:hAnsi="宋体" w:cs="宋体"/>
          <w:color w:val="auto"/>
          <w:kern w:val="0"/>
          <w:szCs w:val="24"/>
          <w:highlight w:val="none"/>
          <w:u w:val="single"/>
        </w:rPr>
        <w:t>　　　              　　　　</w:t>
      </w:r>
      <w:r>
        <w:rPr>
          <w:rFonts w:hint="eastAsia" w:ascii="宋体" w:hAnsi="宋体" w:cs="宋体"/>
          <w:color w:val="auto"/>
          <w:kern w:val="0"/>
          <w:szCs w:val="24"/>
          <w:highlight w:val="none"/>
        </w:rPr>
        <w:t xml:space="preserve">　　 </w:t>
      </w:r>
    </w:p>
    <w:p>
      <w:pPr>
        <w:widowControl/>
        <w:spacing w:line="440" w:lineRule="exact"/>
        <w:ind w:firstLine="480" w:firstLineChars="200"/>
        <w:rPr>
          <w:rFonts w:ascii="宋体" w:hAnsi="宋体" w:cs="宋体"/>
          <w:color w:val="auto"/>
          <w:kern w:val="0"/>
          <w:szCs w:val="24"/>
          <w:highlight w:val="none"/>
        </w:rPr>
      </w:pPr>
    </w:p>
    <w:p>
      <w:pPr>
        <w:spacing w:line="340" w:lineRule="exact"/>
        <w:ind w:firstLine="4920" w:firstLineChars="2050"/>
        <w:rPr>
          <w:rFonts w:ascii="宋体" w:hAnsi="宋体" w:cs="宋体"/>
          <w:color w:val="auto"/>
          <w:kern w:val="0"/>
          <w:szCs w:val="24"/>
          <w:highlight w:val="none"/>
        </w:rPr>
        <w:sectPr>
          <w:headerReference r:id="rId15" w:type="first"/>
          <w:footerReference r:id="rId16" w:type="first"/>
          <w:pgSz w:w="11907" w:h="16840"/>
          <w:pgMar w:top="1418" w:right="1134" w:bottom="1418" w:left="1304" w:header="1077" w:footer="964" w:gutter="0"/>
          <w:cols w:space="720" w:num="1"/>
          <w:titlePg/>
          <w:docGrid w:linePitch="312" w:charSpace="0"/>
        </w:sectPr>
      </w:pPr>
      <w:r>
        <w:rPr>
          <w:rFonts w:hint="eastAsia" w:ascii="宋体" w:hAnsi="宋体" w:cs="宋体"/>
          <w:color w:val="auto"/>
          <w:kern w:val="0"/>
          <w:szCs w:val="24"/>
          <w:highlight w:val="none"/>
        </w:rPr>
        <w:t>年　　月　　日</w:t>
      </w:r>
    </w:p>
    <w:bookmarkEnd w:id="202"/>
    <w:bookmarkEnd w:id="203"/>
    <w:p>
      <w:pPr>
        <w:pStyle w:val="148"/>
        <w:ind w:firstLine="149" w:firstLineChars="62"/>
        <w:rPr>
          <w:rFonts w:ascii="宋体" w:hAnsi="宋体" w:cs="宋体"/>
          <w:color w:val="auto"/>
          <w:sz w:val="24"/>
          <w:szCs w:val="24"/>
          <w:highlight w:val="none"/>
        </w:rPr>
      </w:pPr>
      <w:bookmarkStart w:id="210" w:name="_Toc458617748"/>
      <w:r>
        <w:rPr>
          <w:rFonts w:hint="eastAsia" w:ascii="宋体" w:hAnsi="宋体" w:cs="宋体"/>
          <w:b/>
          <w:bCs/>
          <w:color w:val="auto"/>
          <w:sz w:val="24"/>
          <w:szCs w:val="24"/>
          <w:highlight w:val="none"/>
        </w:rPr>
        <w:t>1</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.《中小企业声明函》</w:t>
      </w:r>
      <w:bookmarkEnd w:id="210"/>
      <w:r>
        <w:rPr>
          <w:rFonts w:hint="eastAsia" w:ascii="宋体" w:hAnsi="宋体" w:cs="宋体"/>
          <w:b/>
          <w:bCs/>
          <w:color w:val="auto"/>
          <w:sz w:val="24"/>
          <w:szCs w:val="24"/>
          <w:highlight w:val="none"/>
        </w:rPr>
        <w:t>（非中小企业不提供）</w:t>
      </w:r>
    </w:p>
    <w:p>
      <w:pPr>
        <w:jc w:val="center"/>
        <w:rPr>
          <w:rFonts w:ascii="宋体" w:hAnsi="宋体" w:cs="宋体"/>
          <w:b/>
          <w:bCs/>
          <w:color w:val="auto"/>
          <w:kern w:val="0"/>
          <w:sz w:val="28"/>
          <w:szCs w:val="28"/>
          <w:highlight w:val="none"/>
        </w:rPr>
      </w:pPr>
    </w:p>
    <w:p>
      <w:pPr>
        <w:jc w:val="center"/>
        <w:rPr>
          <w:rFonts w:ascii="宋体" w:hAnsi="宋体" w:cs="宋体"/>
          <w:b/>
          <w:bCs/>
          <w:color w:val="auto"/>
          <w:kern w:val="0"/>
          <w:sz w:val="28"/>
          <w:szCs w:val="28"/>
          <w:highlight w:val="none"/>
        </w:rPr>
      </w:pPr>
    </w:p>
    <w:p>
      <w:pPr>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中小企业声明函（货物）</w:t>
      </w:r>
    </w:p>
    <w:p>
      <w:pPr>
        <w:adjustRightInd w:val="0"/>
        <w:snapToGrid w:val="0"/>
        <w:ind w:left="480" w:hanging="480" w:hangingChars="200"/>
        <w:jc w:val="left"/>
        <w:rPr>
          <w:rFonts w:ascii="宋体" w:hAnsi="宋体" w:cs="宋体"/>
          <w:color w:val="auto"/>
          <w:szCs w:val="22"/>
          <w:highlight w:val="none"/>
        </w:rPr>
      </w:pP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本公司郑重声明，根据《政府采购促进中小企业发展管理办法》（财库﹝2020﹞46 号）的规定，本公司 参加</w:t>
      </w:r>
      <w:r>
        <w:rPr>
          <w:rFonts w:hint="eastAsia" w:ascii="宋体" w:hAnsi="宋体" w:cs="宋体"/>
          <w:i/>
          <w:color w:val="auto"/>
          <w:szCs w:val="22"/>
          <w:highlight w:val="none"/>
          <w:u w:val="single"/>
        </w:rPr>
        <w:t>（单位名称）</w:t>
      </w:r>
      <w:r>
        <w:rPr>
          <w:rFonts w:hint="eastAsia" w:ascii="宋体" w:hAnsi="宋体" w:cs="宋体"/>
          <w:color w:val="auto"/>
          <w:szCs w:val="22"/>
          <w:highlight w:val="none"/>
        </w:rPr>
        <w:t>的</w:t>
      </w:r>
      <w:r>
        <w:rPr>
          <w:rFonts w:hint="eastAsia" w:ascii="宋体" w:hAnsi="宋体" w:cs="宋体"/>
          <w:i/>
          <w:color w:val="auto"/>
          <w:szCs w:val="22"/>
          <w:highlight w:val="none"/>
          <w:u w:val="single"/>
        </w:rPr>
        <w:t>（项目名称）</w:t>
      </w:r>
      <w:r>
        <w:rPr>
          <w:rFonts w:hint="eastAsia" w:ascii="宋体" w:hAnsi="宋体" w:cs="宋体"/>
          <w:color w:val="auto"/>
          <w:szCs w:val="22"/>
          <w:highlight w:val="none"/>
        </w:rPr>
        <w:t>采购活动，提供的货物全部由符合政策要求的中小企业制造。相关企业的具体情况如下：</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1.</w:t>
      </w:r>
      <w:r>
        <w:rPr>
          <w:rFonts w:hint="eastAsia" w:ascii="宋体" w:hAnsi="宋体" w:cs="宋体"/>
          <w:color w:val="auto"/>
          <w:szCs w:val="22"/>
          <w:highlight w:val="none"/>
          <w:u w:val="single"/>
        </w:rPr>
        <w:t xml:space="preserve"> </w:t>
      </w:r>
      <w:r>
        <w:rPr>
          <w:rFonts w:hint="eastAsia" w:ascii="宋体" w:hAnsi="宋体" w:cs="宋体"/>
          <w:i/>
          <w:color w:val="auto"/>
          <w:szCs w:val="22"/>
          <w:highlight w:val="none"/>
          <w:u w:val="single"/>
        </w:rPr>
        <w:t xml:space="preserve">（标的名称） </w:t>
      </w:r>
      <w:r>
        <w:rPr>
          <w:rFonts w:hint="eastAsia" w:ascii="宋体" w:hAnsi="宋体" w:cs="宋体"/>
          <w:color w:val="auto"/>
          <w:szCs w:val="22"/>
          <w:highlight w:val="none"/>
        </w:rPr>
        <w:t>，属于</w:t>
      </w:r>
      <w:r>
        <w:rPr>
          <w:rFonts w:hint="eastAsia" w:ascii="宋体" w:hAnsi="宋体" w:cs="宋体"/>
          <w:i/>
          <w:color w:val="auto"/>
          <w:szCs w:val="22"/>
          <w:highlight w:val="none"/>
          <w:u w:val="single"/>
        </w:rPr>
        <w:t xml:space="preserve">        </w:t>
      </w:r>
      <w:r>
        <w:rPr>
          <w:rFonts w:hint="eastAsia" w:ascii="宋体" w:hAnsi="宋体" w:cs="宋体"/>
          <w:color w:val="auto"/>
          <w:szCs w:val="22"/>
          <w:highlight w:val="none"/>
        </w:rPr>
        <w:t>行业；制造商为</w:t>
      </w:r>
      <w:r>
        <w:rPr>
          <w:rFonts w:hint="eastAsia" w:ascii="宋体" w:hAnsi="宋体" w:cs="宋体"/>
          <w:i/>
          <w:color w:val="auto"/>
          <w:szCs w:val="22"/>
          <w:highlight w:val="none"/>
          <w:u w:val="single"/>
        </w:rPr>
        <w:t>（企业名称）</w:t>
      </w:r>
      <w:r>
        <w:rPr>
          <w:rFonts w:hint="eastAsia" w:ascii="宋体" w:hAnsi="宋体" w:cs="宋体"/>
          <w:color w:val="auto"/>
          <w:szCs w:val="22"/>
          <w:highlight w:val="none"/>
        </w:rPr>
        <w:t>，从业人员</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人，营业收入为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万元，资产总额为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万元</w:t>
      </w:r>
      <w:r>
        <w:rPr>
          <w:rFonts w:hint="eastAsia" w:ascii="宋体" w:hAnsi="宋体" w:cs="宋体"/>
          <w:color w:val="auto"/>
          <w:szCs w:val="22"/>
          <w:highlight w:val="none"/>
          <w:vertAlign w:val="superscript"/>
        </w:rPr>
        <w:t>1</w:t>
      </w:r>
      <w:r>
        <w:rPr>
          <w:rFonts w:hint="eastAsia" w:ascii="宋体" w:hAnsi="宋体" w:cs="宋体"/>
          <w:color w:val="auto"/>
          <w:szCs w:val="22"/>
          <w:highlight w:val="none"/>
        </w:rPr>
        <w:t>，属于</w:t>
      </w:r>
      <w:r>
        <w:rPr>
          <w:rFonts w:hint="eastAsia" w:ascii="宋体" w:hAnsi="宋体" w:cs="宋体"/>
          <w:i/>
          <w:color w:val="auto"/>
          <w:szCs w:val="22"/>
          <w:highlight w:val="none"/>
          <w:u w:val="single"/>
        </w:rPr>
        <w:t>（中型企业、小型企业、微型企业</w:t>
      </w:r>
      <w:r>
        <w:rPr>
          <w:rFonts w:hint="eastAsia" w:ascii="宋体" w:hAnsi="宋体" w:cs="宋体"/>
          <w:i/>
          <w:color w:val="auto"/>
          <w:szCs w:val="22"/>
          <w:highlight w:val="none"/>
        </w:rPr>
        <w:t>）</w:t>
      </w:r>
      <w:r>
        <w:rPr>
          <w:rFonts w:hint="eastAsia" w:ascii="宋体" w:hAnsi="宋体" w:cs="宋体"/>
          <w:color w:val="auto"/>
          <w:szCs w:val="22"/>
          <w:highlight w:val="none"/>
        </w:rPr>
        <w:t>；</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2.</w:t>
      </w:r>
      <w:r>
        <w:rPr>
          <w:rFonts w:hint="eastAsia" w:ascii="宋体" w:hAnsi="宋体" w:cs="宋体"/>
          <w:color w:val="auto"/>
          <w:szCs w:val="22"/>
          <w:highlight w:val="none"/>
          <w:u w:val="single"/>
        </w:rPr>
        <w:t xml:space="preserve"> </w:t>
      </w:r>
      <w:r>
        <w:rPr>
          <w:rFonts w:hint="eastAsia" w:ascii="宋体" w:hAnsi="宋体" w:cs="宋体"/>
          <w:i/>
          <w:color w:val="auto"/>
          <w:szCs w:val="22"/>
          <w:highlight w:val="none"/>
          <w:u w:val="single"/>
        </w:rPr>
        <w:t xml:space="preserve">（标的名称） </w:t>
      </w:r>
      <w:r>
        <w:rPr>
          <w:rFonts w:hint="eastAsia" w:ascii="宋体" w:hAnsi="宋体" w:cs="宋体"/>
          <w:color w:val="auto"/>
          <w:szCs w:val="22"/>
          <w:highlight w:val="none"/>
        </w:rPr>
        <w:t>，属于</w:t>
      </w:r>
      <w:r>
        <w:rPr>
          <w:rFonts w:hint="eastAsia" w:ascii="宋体" w:hAnsi="宋体" w:cs="宋体"/>
          <w:i/>
          <w:color w:val="auto"/>
          <w:szCs w:val="22"/>
          <w:highlight w:val="none"/>
          <w:u w:val="single"/>
        </w:rPr>
        <w:t xml:space="preserve">        </w:t>
      </w:r>
      <w:r>
        <w:rPr>
          <w:rFonts w:hint="eastAsia" w:ascii="宋体" w:hAnsi="宋体" w:cs="宋体"/>
          <w:color w:val="auto"/>
          <w:szCs w:val="22"/>
          <w:highlight w:val="none"/>
        </w:rPr>
        <w:t>行业；制造商为</w:t>
      </w:r>
      <w:r>
        <w:rPr>
          <w:rFonts w:hint="eastAsia" w:ascii="宋体" w:hAnsi="宋体" w:cs="宋体"/>
          <w:i/>
          <w:color w:val="auto"/>
          <w:szCs w:val="22"/>
          <w:highlight w:val="none"/>
          <w:u w:val="single"/>
        </w:rPr>
        <w:t>（企业名称）</w:t>
      </w:r>
      <w:r>
        <w:rPr>
          <w:rFonts w:hint="eastAsia" w:ascii="宋体" w:hAnsi="宋体" w:cs="宋体"/>
          <w:color w:val="auto"/>
          <w:szCs w:val="22"/>
          <w:highlight w:val="none"/>
        </w:rPr>
        <w:t>，从业人员</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人，营业收入为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万元，资产总额为</w:t>
      </w:r>
      <w:r>
        <w:rPr>
          <w:rFonts w:hint="eastAsia" w:ascii="宋体" w:hAnsi="宋体" w:cs="宋体"/>
          <w:color w:val="auto"/>
          <w:szCs w:val="22"/>
          <w:highlight w:val="none"/>
          <w:u w:val="single"/>
        </w:rPr>
        <w:t xml:space="preserve">    </w:t>
      </w:r>
      <w:r>
        <w:rPr>
          <w:rFonts w:hint="eastAsia" w:ascii="宋体" w:hAnsi="宋体" w:cs="宋体"/>
          <w:color w:val="auto"/>
          <w:szCs w:val="22"/>
          <w:highlight w:val="none"/>
        </w:rPr>
        <w:t>万元，属于</w:t>
      </w:r>
      <w:r>
        <w:rPr>
          <w:rFonts w:hint="eastAsia" w:ascii="宋体" w:hAnsi="宋体" w:cs="宋体"/>
          <w:i/>
          <w:color w:val="auto"/>
          <w:szCs w:val="22"/>
          <w:highlight w:val="none"/>
          <w:u w:val="single"/>
        </w:rPr>
        <w:t>（中型企业、小型企业、微型企业</w:t>
      </w:r>
      <w:r>
        <w:rPr>
          <w:rFonts w:hint="eastAsia" w:ascii="宋体" w:hAnsi="宋体" w:cs="宋体"/>
          <w:i/>
          <w:color w:val="auto"/>
          <w:szCs w:val="22"/>
          <w:highlight w:val="none"/>
        </w:rPr>
        <w:t>）</w:t>
      </w:r>
      <w:r>
        <w:rPr>
          <w:rFonts w:hint="eastAsia" w:ascii="宋体" w:hAnsi="宋体" w:cs="宋体"/>
          <w:color w:val="auto"/>
          <w:szCs w:val="22"/>
          <w:highlight w:val="none"/>
        </w:rPr>
        <w:t>；</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以上企业，不属于大企业的分支机构，不存在控股股东为大企业的情形，也不存在与大企业的负责人为同一人的情形。</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本企业对上述声明内容的真实性负责。如有虚假，将依法承担相应责任。</w:t>
      </w:r>
    </w:p>
    <w:p>
      <w:pPr>
        <w:adjustRightInd w:val="0"/>
        <w:snapToGrid w:val="0"/>
        <w:spacing w:line="360" w:lineRule="auto"/>
        <w:ind w:firstLine="484" w:firstLineChars="202"/>
        <w:jc w:val="left"/>
        <w:rPr>
          <w:rFonts w:ascii="宋体" w:hAnsi="宋体" w:cs="宋体"/>
          <w:color w:val="auto"/>
          <w:szCs w:val="22"/>
          <w:highlight w:val="none"/>
        </w:rPr>
      </w:pPr>
      <w:r>
        <w:rPr>
          <w:rFonts w:hint="eastAsia" w:ascii="宋体" w:hAnsi="宋体" w:cs="宋体"/>
          <w:color w:val="auto"/>
          <w:szCs w:val="22"/>
          <w:highlight w:val="none"/>
        </w:rPr>
        <w:t xml:space="preserve"> </w:t>
      </w:r>
    </w:p>
    <w:p>
      <w:pPr>
        <w:adjustRightInd w:val="0"/>
        <w:snapToGrid w:val="0"/>
        <w:spacing w:line="360" w:lineRule="auto"/>
        <w:ind w:firstLine="484" w:firstLineChars="202"/>
        <w:jc w:val="left"/>
        <w:rPr>
          <w:rFonts w:ascii="宋体" w:hAnsi="宋体" w:cs="宋体"/>
          <w:color w:val="auto"/>
          <w:szCs w:val="22"/>
          <w:highlight w:val="none"/>
        </w:rPr>
      </w:pPr>
    </w:p>
    <w:p>
      <w:pPr>
        <w:spacing w:line="360" w:lineRule="auto"/>
        <w:ind w:left="5280" w:leftChars="2200"/>
        <w:rPr>
          <w:rFonts w:ascii="宋体" w:hAnsi="宋体" w:cs="宋体"/>
          <w:color w:val="auto"/>
          <w:szCs w:val="22"/>
          <w:highlight w:val="none"/>
        </w:rPr>
      </w:pPr>
      <w:r>
        <w:rPr>
          <w:rFonts w:hint="eastAsia" w:ascii="宋体" w:hAnsi="宋体" w:cs="宋体"/>
          <w:color w:val="auto"/>
          <w:szCs w:val="22"/>
          <w:highlight w:val="none"/>
        </w:rPr>
        <w:t>企业名称（盖章）：</w:t>
      </w:r>
    </w:p>
    <w:p>
      <w:pPr>
        <w:spacing w:line="360" w:lineRule="auto"/>
        <w:ind w:left="5280" w:leftChars="2200"/>
        <w:rPr>
          <w:rFonts w:ascii="宋体" w:hAnsi="宋体" w:cs="宋体"/>
          <w:color w:val="auto"/>
          <w:szCs w:val="22"/>
          <w:highlight w:val="none"/>
        </w:rPr>
      </w:pPr>
      <w:r>
        <w:rPr>
          <w:rFonts w:hint="eastAsia" w:ascii="宋体" w:hAnsi="宋体" w:cs="宋体"/>
          <w:color w:val="auto"/>
          <w:szCs w:val="22"/>
          <w:highlight w:val="none"/>
        </w:rPr>
        <w:t>日期：</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备注：1.从业人员、营业收入、资产总额填报上一年度数据，无上一年度数据的新成立企业可不填报。</w:t>
      </w:r>
    </w:p>
    <w:p>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2.填写前请认真阅读《工业和信息化部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 号）相关规定。</w:t>
      </w:r>
    </w:p>
    <w:p>
      <w:pPr>
        <w:spacing w:line="360" w:lineRule="auto"/>
        <w:ind w:firstLine="252" w:firstLineChars="100"/>
        <w:rPr>
          <w:rFonts w:ascii="宋体" w:hAnsi="宋体" w:cs="宋体"/>
          <w:color w:val="auto"/>
          <w:spacing w:val="6"/>
          <w:szCs w:val="24"/>
          <w:highlight w:val="none"/>
        </w:rPr>
      </w:pPr>
      <w:r>
        <w:rPr>
          <w:rFonts w:hint="eastAsia" w:ascii="宋体" w:hAnsi="宋体" w:cs="宋体"/>
          <w:color w:val="auto"/>
          <w:spacing w:val="6"/>
          <w:szCs w:val="24"/>
          <w:highlight w:val="none"/>
        </w:rPr>
        <w:t>3.本项目采购标的对应的中小企业划分标准所属行业为</w:t>
      </w:r>
      <w:r>
        <w:rPr>
          <w:rFonts w:hint="eastAsia" w:ascii="宋体" w:hAnsi="宋体" w:cs="宋体"/>
          <w:color w:val="auto"/>
          <w:spacing w:val="6"/>
          <w:szCs w:val="24"/>
          <w:highlight w:val="none"/>
          <w:u w:val="single"/>
        </w:rPr>
        <w:t>（</w:t>
      </w:r>
      <w:r>
        <w:rPr>
          <w:rFonts w:hint="eastAsia" w:ascii="宋体" w:hAnsi="宋体" w:eastAsia="宋体" w:cs="宋体"/>
          <w:i w:val="0"/>
          <w:iCs w:val="0"/>
          <w:caps w:val="0"/>
          <w:color w:val="auto"/>
          <w:spacing w:val="0"/>
          <w:sz w:val="24"/>
          <w:szCs w:val="24"/>
          <w:u w:val="single"/>
          <w:shd w:val="clear" w:fill="FFFFFF"/>
        </w:rPr>
        <w:t>软件和信息技术服务业</w:t>
      </w:r>
      <w:r>
        <w:rPr>
          <w:rFonts w:hint="eastAsia" w:ascii="宋体" w:hAnsi="宋体" w:cs="宋体"/>
          <w:color w:val="auto"/>
          <w:spacing w:val="6"/>
          <w:szCs w:val="24"/>
          <w:highlight w:val="none"/>
          <w:u w:val="single"/>
        </w:rPr>
        <w:t>）</w:t>
      </w:r>
      <w:r>
        <w:rPr>
          <w:rFonts w:hint="eastAsia" w:ascii="宋体" w:hAnsi="宋体" w:cs="宋体"/>
          <w:color w:val="auto"/>
          <w:spacing w:val="6"/>
          <w:szCs w:val="24"/>
          <w:highlight w:val="none"/>
        </w:rPr>
        <w:t>。（所属行业类别投标人不得更改，否则，造成不利影响投标人自行承担）</w:t>
      </w:r>
    </w:p>
    <w:p>
      <w:pPr>
        <w:pStyle w:val="18"/>
        <w:rPr>
          <w:rFonts w:ascii="宋体" w:hAnsi="宋体" w:cs="宋体"/>
          <w:color w:val="auto"/>
          <w:highlight w:val="none"/>
        </w:rPr>
      </w:pPr>
    </w:p>
    <w:p>
      <w:pPr>
        <w:pStyle w:val="148"/>
        <w:ind w:firstLine="0" w:firstLineChars="0"/>
        <w:rPr>
          <w:rFonts w:ascii="宋体" w:hAnsi="宋体" w:cs="宋体"/>
          <w:color w:val="auto"/>
          <w:sz w:val="24"/>
          <w:szCs w:val="24"/>
          <w:highlight w:val="none"/>
        </w:rPr>
      </w:pP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rPr>
        <w:t>.《残疾人福利性单位声明函》</w:t>
      </w:r>
      <w:r>
        <w:rPr>
          <w:rFonts w:hint="eastAsia" w:ascii="宋体" w:hAnsi="宋体" w:cs="宋体"/>
          <w:color w:val="auto"/>
          <w:sz w:val="24"/>
          <w:szCs w:val="24"/>
          <w:highlight w:val="none"/>
        </w:rPr>
        <w:t>（格式，若有）</w:t>
      </w:r>
    </w:p>
    <w:p>
      <w:pPr>
        <w:pStyle w:val="148"/>
        <w:ind w:firstLine="504"/>
        <w:rPr>
          <w:rFonts w:ascii="宋体" w:hAnsi="宋体" w:cs="宋体"/>
          <w:color w:val="auto"/>
          <w:sz w:val="24"/>
          <w:highlight w:val="none"/>
        </w:rPr>
      </w:pPr>
      <w:r>
        <w:rPr>
          <w:rFonts w:hint="eastAsia" w:ascii="宋体" w:hAnsi="宋体" w:cs="宋体"/>
          <w:color w:val="auto"/>
          <w:spacing w:val="6"/>
          <w:sz w:val="24"/>
          <w:highlight w:val="none"/>
        </w:rPr>
        <w:t>根据《财政部、民政部、中国残疾人联合会关于促进残疾人就业政府采购政策的通知》（财库[2017]141号）的规定，由投标人自行申明，并对申明真实性负责。如有虚假，将依法承担相应责任。</w:t>
      </w:r>
    </w:p>
    <w:p>
      <w:pPr>
        <w:pStyle w:val="148"/>
        <w:ind w:firstLine="174" w:firstLineChars="62"/>
        <w:rPr>
          <w:rFonts w:ascii="宋体" w:hAnsi="宋体" w:cs="宋体"/>
          <w:b/>
          <w:bCs/>
          <w:color w:val="auto"/>
          <w:szCs w:val="28"/>
          <w:highlight w:val="none"/>
        </w:rPr>
      </w:pPr>
    </w:p>
    <w:p>
      <w:pPr>
        <w:spacing w:line="588" w:lineRule="exact"/>
        <w:jc w:val="center"/>
        <w:rPr>
          <w:rFonts w:ascii="宋体" w:hAnsi="宋体" w:cs="宋体"/>
          <w:b/>
          <w:color w:val="auto"/>
          <w:spacing w:val="6"/>
          <w:szCs w:val="24"/>
          <w:highlight w:val="none"/>
        </w:rPr>
      </w:pPr>
      <w:bookmarkStart w:id="211" w:name="OLE_LINK14"/>
      <w:r>
        <w:rPr>
          <w:rFonts w:hint="eastAsia" w:ascii="宋体" w:hAnsi="宋体" w:cs="宋体"/>
          <w:b/>
          <w:color w:val="auto"/>
          <w:spacing w:val="6"/>
          <w:szCs w:val="24"/>
          <w:highlight w:val="none"/>
        </w:rPr>
        <w:t>残疾人福利性单位声明函</w:t>
      </w:r>
    </w:p>
    <w:bookmarkEnd w:id="211"/>
    <w:p>
      <w:pPr>
        <w:spacing w:line="588" w:lineRule="exact"/>
        <w:rPr>
          <w:rFonts w:ascii="宋体" w:hAnsi="宋体" w:cs="宋体"/>
          <w:b/>
          <w:color w:val="auto"/>
          <w:spacing w:val="6"/>
          <w:szCs w:val="24"/>
          <w:highlight w:val="none"/>
        </w:rPr>
      </w:pPr>
    </w:p>
    <w:p>
      <w:pPr>
        <w:spacing w:line="588" w:lineRule="exact"/>
        <w:ind w:firstLine="504" w:firstLineChars="200"/>
        <w:rPr>
          <w:rFonts w:ascii="宋体" w:hAnsi="宋体" w:cs="宋体"/>
          <w:color w:val="auto"/>
          <w:spacing w:val="6"/>
          <w:szCs w:val="24"/>
          <w:highlight w:val="none"/>
        </w:rPr>
      </w:pPr>
      <w:r>
        <w:rPr>
          <w:rFonts w:hint="eastAsia" w:ascii="宋体" w:hAnsi="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cs="宋体"/>
          <w:color w:val="auto"/>
          <w:szCs w:val="24"/>
          <w:highlight w:val="none"/>
        </w:rPr>
        <w:t>〔2017〕 141</w:t>
      </w:r>
      <w:r>
        <w:rPr>
          <w:rFonts w:hint="eastAsia" w:ascii="宋体" w:hAnsi="宋体" w:cs="宋体"/>
          <w:color w:val="auto"/>
          <w:spacing w:val="6"/>
          <w:szCs w:val="24"/>
          <w:highlight w:val="none"/>
        </w:rPr>
        <w:t>号）的规定，本单位为符合条件的残疾人福利性单位，且本单位参加______单位的______项目</w:t>
      </w:r>
      <w:r>
        <w:rPr>
          <w:rFonts w:hint="eastAsia" w:ascii="宋体" w:hAnsi="宋体" w:cs="宋体"/>
          <w:color w:val="auto"/>
          <w:highlight w:val="none"/>
        </w:rPr>
        <w:t>第___标段</w:t>
      </w:r>
      <w:r>
        <w:rPr>
          <w:rFonts w:hint="eastAsia" w:ascii="宋体" w:hAnsi="宋体" w:cs="宋体"/>
          <w:color w:val="auto"/>
          <w:spacing w:val="6"/>
          <w:szCs w:val="24"/>
          <w:highlight w:val="none"/>
        </w:rPr>
        <w:t>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cs="宋体"/>
          <w:color w:val="auto"/>
          <w:spacing w:val="6"/>
          <w:szCs w:val="24"/>
          <w:highlight w:val="none"/>
        </w:rPr>
      </w:pPr>
      <w:r>
        <w:rPr>
          <w:rFonts w:hint="eastAsia" w:ascii="宋体" w:hAnsi="宋体" w:cs="宋体"/>
          <w:color w:val="auto"/>
          <w:spacing w:val="6"/>
          <w:szCs w:val="24"/>
          <w:highlight w:val="none"/>
        </w:rPr>
        <w:t>本单位对上述声明的真实性负责。如有虚假，将依法承担相应责任。</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496"/>
        <w:gridCol w:w="1440"/>
        <w:gridCol w:w="1317"/>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28"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序号</w:t>
            </w:r>
          </w:p>
        </w:tc>
        <w:tc>
          <w:tcPr>
            <w:tcW w:w="2824"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产品类型</w:t>
            </w:r>
          </w:p>
        </w:tc>
        <w:tc>
          <w:tcPr>
            <w:tcW w:w="1496"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产品名称</w:t>
            </w:r>
          </w:p>
        </w:tc>
        <w:tc>
          <w:tcPr>
            <w:tcW w:w="1440"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制造商</w:t>
            </w:r>
          </w:p>
        </w:tc>
        <w:tc>
          <w:tcPr>
            <w:tcW w:w="1317"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金额</w:t>
            </w:r>
          </w:p>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（万元）</w:t>
            </w:r>
          </w:p>
        </w:tc>
        <w:tc>
          <w:tcPr>
            <w:tcW w:w="1275"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所占比例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1</w:t>
            </w:r>
          </w:p>
        </w:tc>
        <w:tc>
          <w:tcPr>
            <w:tcW w:w="2824" w:type="dxa"/>
            <w:vAlign w:val="center"/>
          </w:tcPr>
          <w:p>
            <w:pPr>
              <w:spacing w:line="360" w:lineRule="auto"/>
              <w:rPr>
                <w:rFonts w:ascii="宋体" w:hAnsi="宋体" w:cs="宋体"/>
                <w:color w:val="auto"/>
                <w:spacing w:val="6"/>
                <w:szCs w:val="24"/>
                <w:highlight w:val="none"/>
              </w:rPr>
            </w:pPr>
            <w:r>
              <w:rPr>
                <w:rFonts w:hint="eastAsia" w:ascii="宋体" w:hAnsi="宋体" w:cs="宋体"/>
                <w:color w:val="auto"/>
                <w:spacing w:val="6"/>
                <w:szCs w:val="24"/>
                <w:highlight w:val="none"/>
              </w:rPr>
              <w:t>本企业制造的货物</w:t>
            </w:r>
          </w:p>
        </w:tc>
        <w:tc>
          <w:tcPr>
            <w:tcW w:w="1496" w:type="dxa"/>
            <w:vAlign w:val="center"/>
          </w:tcPr>
          <w:p>
            <w:pPr>
              <w:spacing w:line="360" w:lineRule="auto"/>
              <w:jc w:val="center"/>
              <w:rPr>
                <w:rFonts w:ascii="宋体" w:hAnsi="宋体" w:cs="宋体"/>
                <w:color w:val="auto"/>
                <w:spacing w:val="6"/>
                <w:szCs w:val="24"/>
                <w:highlight w:val="none"/>
              </w:rPr>
            </w:pPr>
          </w:p>
        </w:tc>
        <w:tc>
          <w:tcPr>
            <w:tcW w:w="1440" w:type="dxa"/>
            <w:vAlign w:val="center"/>
          </w:tcPr>
          <w:p>
            <w:pPr>
              <w:spacing w:line="360" w:lineRule="auto"/>
              <w:jc w:val="center"/>
              <w:rPr>
                <w:rFonts w:ascii="宋体" w:hAnsi="宋体" w:cs="宋体"/>
                <w:color w:val="auto"/>
                <w:spacing w:val="6"/>
                <w:szCs w:val="24"/>
                <w:highlight w:val="none"/>
              </w:rPr>
            </w:pPr>
          </w:p>
        </w:tc>
        <w:tc>
          <w:tcPr>
            <w:tcW w:w="1317" w:type="dxa"/>
            <w:vAlign w:val="center"/>
          </w:tcPr>
          <w:p>
            <w:pPr>
              <w:spacing w:line="360" w:lineRule="auto"/>
              <w:jc w:val="center"/>
              <w:rPr>
                <w:rFonts w:ascii="宋体" w:hAnsi="宋体" w:cs="宋体"/>
                <w:color w:val="auto"/>
                <w:spacing w:val="6"/>
                <w:szCs w:val="24"/>
                <w:highlight w:val="none"/>
              </w:rPr>
            </w:pPr>
          </w:p>
        </w:tc>
        <w:tc>
          <w:tcPr>
            <w:tcW w:w="1275" w:type="dxa"/>
            <w:vAlign w:val="center"/>
          </w:tcPr>
          <w:p>
            <w:pPr>
              <w:spacing w:line="360" w:lineRule="auto"/>
              <w:jc w:val="center"/>
              <w:rPr>
                <w:rFonts w:ascii="宋体" w:hAnsi="宋体" w:cs="宋体"/>
                <w:color w:val="auto"/>
                <w:spacing w:val="6"/>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8" w:type="dxa"/>
            <w:vAlign w:val="center"/>
          </w:tcPr>
          <w:p>
            <w:pPr>
              <w:spacing w:line="360" w:lineRule="auto"/>
              <w:jc w:val="center"/>
              <w:rPr>
                <w:rFonts w:ascii="宋体" w:hAnsi="宋体" w:cs="宋体"/>
                <w:color w:val="auto"/>
                <w:spacing w:val="6"/>
                <w:szCs w:val="24"/>
                <w:highlight w:val="none"/>
              </w:rPr>
            </w:pPr>
            <w:r>
              <w:rPr>
                <w:rFonts w:hint="eastAsia" w:ascii="宋体" w:hAnsi="宋体" w:cs="宋体"/>
                <w:color w:val="auto"/>
                <w:spacing w:val="6"/>
                <w:szCs w:val="24"/>
                <w:highlight w:val="none"/>
              </w:rPr>
              <w:t>2</w:t>
            </w:r>
          </w:p>
        </w:tc>
        <w:tc>
          <w:tcPr>
            <w:tcW w:w="2824" w:type="dxa"/>
            <w:vAlign w:val="center"/>
          </w:tcPr>
          <w:p>
            <w:pPr>
              <w:spacing w:line="360" w:lineRule="auto"/>
              <w:rPr>
                <w:rFonts w:ascii="宋体" w:hAnsi="宋体" w:cs="宋体"/>
                <w:color w:val="auto"/>
                <w:spacing w:val="6"/>
                <w:szCs w:val="24"/>
                <w:highlight w:val="none"/>
              </w:rPr>
            </w:pPr>
            <w:r>
              <w:rPr>
                <w:rFonts w:hint="eastAsia" w:ascii="宋体" w:hAnsi="宋体" w:cs="宋体"/>
                <w:color w:val="auto"/>
                <w:spacing w:val="6"/>
                <w:szCs w:val="24"/>
                <w:highlight w:val="none"/>
              </w:rPr>
              <w:t>其他残疾人福利性单位制造的货物</w:t>
            </w:r>
          </w:p>
        </w:tc>
        <w:tc>
          <w:tcPr>
            <w:tcW w:w="1496" w:type="dxa"/>
            <w:vAlign w:val="center"/>
          </w:tcPr>
          <w:p>
            <w:pPr>
              <w:spacing w:line="360" w:lineRule="auto"/>
              <w:jc w:val="center"/>
              <w:rPr>
                <w:rFonts w:ascii="宋体" w:hAnsi="宋体" w:cs="宋体"/>
                <w:color w:val="auto"/>
                <w:spacing w:val="6"/>
                <w:szCs w:val="24"/>
                <w:highlight w:val="none"/>
              </w:rPr>
            </w:pPr>
          </w:p>
        </w:tc>
        <w:tc>
          <w:tcPr>
            <w:tcW w:w="1440" w:type="dxa"/>
            <w:vAlign w:val="center"/>
          </w:tcPr>
          <w:p>
            <w:pPr>
              <w:spacing w:line="360" w:lineRule="auto"/>
              <w:jc w:val="center"/>
              <w:rPr>
                <w:rFonts w:ascii="宋体" w:hAnsi="宋体" w:cs="宋体"/>
                <w:color w:val="auto"/>
                <w:spacing w:val="6"/>
                <w:szCs w:val="24"/>
                <w:highlight w:val="none"/>
              </w:rPr>
            </w:pPr>
          </w:p>
        </w:tc>
        <w:tc>
          <w:tcPr>
            <w:tcW w:w="1317" w:type="dxa"/>
            <w:vAlign w:val="center"/>
          </w:tcPr>
          <w:p>
            <w:pPr>
              <w:spacing w:line="360" w:lineRule="auto"/>
              <w:jc w:val="center"/>
              <w:rPr>
                <w:rFonts w:ascii="宋体" w:hAnsi="宋体" w:cs="宋体"/>
                <w:color w:val="auto"/>
                <w:spacing w:val="6"/>
                <w:szCs w:val="24"/>
                <w:highlight w:val="none"/>
              </w:rPr>
            </w:pPr>
          </w:p>
        </w:tc>
        <w:tc>
          <w:tcPr>
            <w:tcW w:w="1275" w:type="dxa"/>
            <w:vAlign w:val="center"/>
          </w:tcPr>
          <w:p>
            <w:pPr>
              <w:spacing w:line="360" w:lineRule="auto"/>
              <w:jc w:val="center"/>
              <w:rPr>
                <w:rFonts w:ascii="宋体" w:hAnsi="宋体" w:cs="宋体"/>
                <w:color w:val="auto"/>
                <w:spacing w:val="6"/>
                <w:szCs w:val="24"/>
                <w:highlight w:val="none"/>
              </w:rPr>
            </w:pPr>
          </w:p>
        </w:tc>
      </w:tr>
    </w:tbl>
    <w:p>
      <w:pPr>
        <w:rPr>
          <w:rFonts w:ascii="宋体" w:hAnsi="宋体" w:cs="宋体"/>
          <w:color w:val="auto"/>
          <w:highlight w:val="none"/>
        </w:rPr>
      </w:pPr>
    </w:p>
    <w:p>
      <w:pPr>
        <w:tabs>
          <w:tab w:val="left" w:pos="4860"/>
        </w:tabs>
        <w:spacing w:line="360" w:lineRule="auto"/>
        <w:ind w:right="1560" w:firstLine="50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注：1.本声明函对残疾人福利性单位参与政府采购活动时适用。</w:t>
      </w:r>
    </w:p>
    <w:p>
      <w:pPr>
        <w:tabs>
          <w:tab w:val="left" w:pos="4860"/>
        </w:tabs>
        <w:spacing w:line="360" w:lineRule="auto"/>
        <w:ind w:firstLine="504" w:firstLineChars="200"/>
        <w:rPr>
          <w:rFonts w:ascii="宋体" w:hAnsi="宋体" w:cs="宋体"/>
          <w:color w:val="auto"/>
          <w:spacing w:val="6"/>
          <w:szCs w:val="24"/>
          <w:highlight w:val="none"/>
        </w:rPr>
      </w:pPr>
      <w:r>
        <w:rPr>
          <w:rFonts w:hint="eastAsia" w:ascii="宋体" w:hAnsi="宋体" w:cs="宋体"/>
          <w:color w:val="auto"/>
          <w:spacing w:val="6"/>
          <w:szCs w:val="21"/>
          <w:highlight w:val="none"/>
        </w:rPr>
        <w:t>2.如提供其他残疾人福利性单位的货物须按此格式附其他残疾人福利性单位的《残疾人福利性单位声明函》</w:t>
      </w:r>
    </w:p>
    <w:p>
      <w:pPr>
        <w:spacing w:line="588" w:lineRule="exact"/>
        <w:ind w:firstLine="504" w:firstLineChars="200"/>
        <w:rPr>
          <w:rFonts w:ascii="宋体" w:hAnsi="宋体" w:cs="宋体"/>
          <w:color w:val="auto"/>
          <w:spacing w:val="6"/>
          <w:szCs w:val="24"/>
          <w:highlight w:val="none"/>
        </w:rPr>
      </w:pPr>
    </w:p>
    <w:p>
      <w:pPr>
        <w:spacing w:line="588" w:lineRule="exact"/>
        <w:ind w:firstLine="504" w:firstLineChars="200"/>
        <w:rPr>
          <w:rFonts w:ascii="宋体" w:hAnsi="宋体" w:cs="宋体"/>
          <w:color w:val="auto"/>
          <w:spacing w:val="6"/>
          <w:szCs w:val="24"/>
          <w:highlight w:val="none"/>
        </w:rPr>
      </w:pPr>
    </w:p>
    <w:p>
      <w:pPr>
        <w:tabs>
          <w:tab w:val="left" w:pos="4860"/>
        </w:tabs>
        <w:spacing w:line="588" w:lineRule="exact"/>
        <w:ind w:right="1560" w:firstLine="504" w:firstLineChars="200"/>
        <w:jc w:val="center"/>
        <w:rPr>
          <w:rFonts w:ascii="宋体" w:hAnsi="宋体" w:cs="宋体"/>
          <w:color w:val="auto"/>
          <w:spacing w:val="6"/>
          <w:szCs w:val="24"/>
          <w:highlight w:val="none"/>
        </w:rPr>
      </w:pPr>
      <w:r>
        <w:rPr>
          <w:rFonts w:hint="eastAsia" w:ascii="宋体" w:hAnsi="宋体" w:cs="宋体"/>
          <w:color w:val="auto"/>
          <w:spacing w:val="6"/>
          <w:szCs w:val="24"/>
          <w:highlight w:val="none"/>
        </w:rPr>
        <w:t xml:space="preserve">                                  单位名称（盖章）：</w:t>
      </w:r>
    </w:p>
    <w:p>
      <w:pPr>
        <w:tabs>
          <w:tab w:val="left" w:pos="4860"/>
        </w:tabs>
        <w:spacing w:line="588" w:lineRule="exact"/>
        <w:ind w:right="1560" w:firstLine="504" w:firstLineChars="200"/>
        <w:jc w:val="center"/>
        <w:rPr>
          <w:rFonts w:ascii="宋体" w:hAnsi="宋体" w:cs="宋体"/>
          <w:color w:val="auto"/>
          <w:spacing w:val="6"/>
          <w:szCs w:val="24"/>
          <w:highlight w:val="none"/>
        </w:rPr>
      </w:pPr>
      <w:r>
        <w:rPr>
          <w:rFonts w:hint="eastAsia" w:ascii="宋体" w:hAnsi="宋体" w:cs="宋体"/>
          <w:color w:val="auto"/>
          <w:spacing w:val="6"/>
          <w:szCs w:val="24"/>
          <w:highlight w:val="none"/>
        </w:rPr>
        <w:t xml:space="preserve">                         日  期：</w:t>
      </w:r>
      <w:bookmarkStart w:id="212" w:name="_Toc15044"/>
      <w:bookmarkStart w:id="213" w:name="_Toc4324"/>
      <w:bookmarkStart w:id="214" w:name="_Toc15467"/>
    </w:p>
    <w:p>
      <w:pPr>
        <w:tabs>
          <w:tab w:val="left" w:pos="4860"/>
        </w:tabs>
        <w:spacing w:line="588" w:lineRule="exact"/>
        <w:ind w:right="1560"/>
        <w:rPr>
          <w:rFonts w:ascii="宋体" w:hAnsi="宋体" w:cs="宋体"/>
          <w:b/>
          <w:bCs/>
          <w:color w:val="auto"/>
          <w:kern w:val="0"/>
          <w:szCs w:val="24"/>
          <w:highlight w:val="none"/>
        </w:rPr>
      </w:pPr>
      <w:r>
        <w:rPr>
          <w:rFonts w:hint="eastAsia" w:ascii="宋体" w:hAnsi="宋体" w:cs="宋体"/>
          <w:b/>
          <w:bCs/>
          <w:color w:val="auto"/>
          <w:kern w:val="0"/>
          <w:szCs w:val="24"/>
          <w:highlight w:val="none"/>
        </w:rPr>
        <w:br w:type="page"/>
      </w:r>
      <w:r>
        <w:rPr>
          <w:rFonts w:hint="eastAsia" w:ascii="宋体" w:hAnsi="宋体" w:cs="宋体"/>
          <w:b/>
          <w:bCs/>
          <w:color w:val="auto"/>
          <w:kern w:val="0"/>
          <w:szCs w:val="24"/>
          <w:highlight w:val="none"/>
          <w:lang w:val="en-US" w:eastAsia="zh-CN"/>
        </w:rPr>
        <w:t>19</w:t>
      </w:r>
      <w:r>
        <w:rPr>
          <w:rFonts w:hint="eastAsia" w:ascii="宋体" w:hAnsi="宋体" w:cs="宋体"/>
          <w:b/>
          <w:bCs/>
          <w:color w:val="auto"/>
          <w:kern w:val="0"/>
          <w:szCs w:val="24"/>
          <w:highlight w:val="none"/>
        </w:rPr>
        <w:t>.监狱企业证明文件</w:t>
      </w:r>
      <w:bookmarkEnd w:id="212"/>
      <w:bookmarkEnd w:id="213"/>
      <w:bookmarkEnd w:id="214"/>
      <w:r>
        <w:rPr>
          <w:rFonts w:hint="eastAsia" w:ascii="宋体" w:hAnsi="宋体" w:cs="宋体"/>
          <w:color w:val="auto"/>
          <w:szCs w:val="24"/>
          <w:highlight w:val="none"/>
        </w:rPr>
        <w:t>（若有）</w:t>
      </w:r>
    </w:p>
    <w:p>
      <w:pPr>
        <w:snapToGrid w:val="0"/>
        <w:spacing w:line="360" w:lineRule="auto"/>
        <w:ind w:firstLine="504" w:firstLineChars="200"/>
        <w:rPr>
          <w:rFonts w:ascii="宋体" w:hAnsi="宋体" w:cs="宋体"/>
          <w:color w:val="auto"/>
          <w:highlight w:val="none"/>
        </w:rPr>
      </w:pPr>
      <w:r>
        <w:rPr>
          <w:rFonts w:hint="eastAsia" w:ascii="宋体" w:hAnsi="宋体" w:cs="宋体"/>
          <w:color w:val="auto"/>
          <w:spacing w:val="6"/>
          <w:highlight w:val="none"/>
        </w:rPr>
        <w:t xml:space="preserve"> 说明：根据</w:t>
      </w:r>
      <w:r>
        <w:rPr>
          <w:rFonts w:hint="eastAsia" w:ascii="宋体" w:hAnsi="宋体" w:cs="宋体"/>
          <w:color w:val="auto"/>
          <w:highlight w:val="none"/>
        </w:rPr>
        <w:t>《关于政府采购支持监狱企业发展有关问题的通知》（财库〔2014〕68号）的规定，监狱企业参加政府采购活动时，应当提供由省级以上监狱管理局、戒毒管理局（含新疆生产建设兵团）出具的属于监狱企业的证明文件。</w:t>
      </w:r>
    </w:p>
    <w:p>
      <w:pPr>
        <w:snapToGrid w:val="0"/>
        <w:spacing w:line="360" w:lineRule="auto"/>
        <w:rPr>
          <w:rFonts w:ascii="宋体" w:hAnsi="宋体" w:cs="宋体"/>
          <w:color w:val="auto"/>
          <w:highlight w:val="none"/>
        </w:rPr>
      </w:pPr>
    </w:p>
    <w:p>
      <w:pPr>
        <w:snapToGrid w:val="0"/>
        <w:spacing w:line="360" w:lineRule="auto"/>
        <w:rPr>
          <w:rFonts w:ascii="宋体" w:hAnsi="宋体" w:cs="宋体"/>
          <w:color w:val="auto"/>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rPr>
          <w:rFonts w:ascii="宋体" w:hAnsi="宋体" w:cs="宋体"/>
          <w:color w:val="auto"/>
          <w:szCs w:val="24"/>
          <w:highlight w:val="none"/>
        </w:rPr>
      </w:pPr>
    </w:p>
    <w:p>
      <w:pPr>
        <w:spacing w:line="640" w:lineRule="exact"/>
        <w:jc w:val="both"/>
        <w:rPr>
          <w:rFonts w:ascii="宋体" w:hAnsi="宋体" w:cs="宋体"/>
          <w:color w:val="auto"/>
          <w:sz w:val="28"/>
          <w:szCs w:val="28"/>
          <w:highlight w:val="none"/>
        </w:rPr>
      </w:pPr>
    </w:p>
    <w:sectPr>
      <w:headerReference r:id="rId18" w:type="first"/>
      <w:footerReference r:id="rId20" w:type="first"/>
      <w:headerReference r:id="rId17" w:type="default"/>
      <w:footerReference r:id="rId19" w:type="default"/>
      <w:pgSz w:w="11907" w:h="16840"/>
      <w:pgMar w:top="1418" w:right="1418" w:bottom="1418" w:left="1440" w:header="1134" w:footer="90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_x000B__x000C_">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32</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2"/>
      </w:rPr>
    </w:pPr>
  </w:p>
  <w:p>
    <w:pPr>
      <w:spacing w:line="240" w:lineRule="exact"/>
      <w:rPr>
        <w:rFonts w:ascii="仿宋" w:hAnsi="仿宋" w:eastAsia="仿宋"/>
        <w:b/>
        <w:sz w:val="21"/>
        <w:szCs w:val="21"/>
      </w:rPr>
    </w:pPr>
  </w:p>
  <w:p>
    <w:pPr>
      <w:spacing w:line="240" w:lineRule="exact"/>
      <w:rPr>
        <w:rFonts w:ascii="宋体" w:hAnsi="宋体"/>
        <w:b/>
        <w:sz w:val="18"/>
        <w:szCs w:val="18"/>
      </w:rPr>
    </w:pPr>
    <w:r>
      <w:rPr>
        <w:rFonts w:hint="eastAsia" w:ascii="宋体" w:hAnsi="宋体"/>
        <w:b/>
        <w:sz w:val="18"/>
        <w:szCs w:val="18"/>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sz w:val="18"/>
        <w:szCs w:val="18"/>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68</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66</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2"/>
      </w:rPr>
    </w:pPr>
  </w:p>
  <w:p>
    <w:pPr>
      <w:spacing w:line="240" w:lineRule="exact"/>
      <w:rPr>
        <w:rFonts w:ascii="宋体" w:hAnsi="宋体"/>
        <w:b/>
        <w:sz w:val="18"/>
        <w:szCs w:val="18"/>
      </w:rPr>
    </w:pPr>
    <w:r>
      <w:rPr>
        <w:rFonts w:hint="eastAsia" w:ascii="宋体" w:hAnsi="宋体"/>
        <w:b/>
        <w:sz w:val="18"/>
        <w:szCs w:val="18"/>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sz w:val="18"/>
        <w:szCs w:val="18"/>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68</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2"/>
      </w:rPr>
    </w:pPr>
  </w:p>
  <w:p>
    <w:pPr>
      <w:spacing w:line="240" w:lineRule="exact"/>
      <w:rPr>
        <w:rFonts w:ascii="宋体" w:hAnsi="宋体"/>
        <w:b/>
        <w:sz w:val="18"/>
        <w:szCs w:val="18"/>
      </w:rPr>
    </w:pPr>
    <w:r>
      <w:rPr>
        <w:rFonts w:hint="eastAsia" w:ascii="宋体" w:hAnsi="宋体"/>
        <w:b/>
        <w:sz w:val="18"/>
        <w:szCs w:val="18"/>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sz w:val="18"/>
        <w:szCs w:val="18"/>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70</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Style w:val="42"/>
        <w:rFonts w:ascii="宋体" w:hAnsi="宋体"/>
        <w:b/>
      </w:rPr>
    </w:pPr>
    <w:r>
      <w:rPr>
        <w:rFonts w:hint="eastAsia" w:ascii="宋体" w:hAnsi="宋体"/>
        <w:b/>
      </w:rPr>
      <w:t xml:space="preserve">第 </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69</w:t>
    </w:r>
    <w:r>
      <w:rPr>
        <w:rFonts w:ascii="宋体" w:hAnsi="宋体"/>
        <w:b/>
      </w:rPr>
      <w:fldChar w:fldCharType="end"/>
    </w:r>
    <w:r>
      <w:rPr>
        <w:rFonts w:hint="eastAsia" w:ascii="宋体" w:hAnsi="宋体"/>
        <w:b/>
      </w:rPr>
      <w:t xml:space="preserve"> 页共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Style w:val="42"/>
        <w:rFonts w:ascii="宋体" w:hAnsi="宋体"/>
        <w:b/>
      </w:rPr>
    </w:pPr>
    <w:r>
      <w:rPr>
        <w:rFonts w:hint="eastAsia" w:ascii="宋体" w:hAnsi="宋体"/>
        <w:b/>
      </w:rPr>
      <w:t xml:space="preserve">第 </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69</w:t>
    </w:r>
    <w:r>
      <w:rPr>
        <w:rFonts w:ascii="宋体" w:hAnsi="宋体"/>
        <w:b/>
      </w:rPr>
      <w:fldChar w:fldCharType="end"/>
    </w:r>
    <w:r>
      <w:rPr>
        <w:rFonts w:hint="eastAsia" w:ascii="宋体" w:hAnsi="宋体"/>
        <w:b/>
      </w:rPr>
      <w:t xml:space="preserve"> 页共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82</w:t>
    </w:r>
    <w:r>
      <w:rPr>
        <w:rFonts w:ascii="宋体" w:hAnsi="宋体"/>
        <w:b/>
      </w:rPr>
      <w:fldChar w:fldCharType="end"/>
    </w:r>
    <w:r>
      <w:rPr>
        <w:rFonts w:hint="eastAsia" w:ascii="宋体" w:hAnsi="宋体"/>
        <w:b/>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rPr>
        <w:rFonts w:ascii="宋体" w:hAnsi="宋体"/>
        <w:b/>
      </w:rPr>
    </w:pPr>
    <w:r>
      <w:rPr>
        <w:rFonts w:hint="eastAsia" w:ascii="宋体" w:hAnsi="宋体"/>
        <w:b/>
      </w:rPr>
      <w:t>陕西上德招标有限公司（</w:t>
    </w:r>
    <w:r>
      <w:fldChar w:fldCharType="begin"/>
    </w:r>
    <w:r>
      <w:instrText xml:space="preserve"> HYPERLINK "http://www.sxsdzb.com/" </w:instrText>
    </w:r>
    <w:r>
      <w:fldChar w:fldCharType="separate"/>
    </w:r>
    <w:r>
      <w:rPr>
        <w:rStyle w:val="49"/>
        <w:sz w:val="18"/>
        <w:szCs w:val="18"/>
      </w:rPr>
      <w:t>http://www.sxsdzb.com/</w:t>
    </w:r>
    <w:r>
      <w:rPr>
        <w:rStyle w:val="49"/>
        <w:sz w:val="18"/>
        <w:szCs w:val="18"/>
      </w:rPr>
      <w:fldChar w:fldCharType="end"/>
    </w:r>
    <w:r>
      <w:rPr>
        <w:rFonts w:hint="eastAsia" w:ascii="宋体" w:hAnsi="宋体"/>
        <w:b/>
      </w:rPr>
      <w:t>）        西安市经开区凤城八路正尚国际金融广场A座7层703</w:t>
    </w:r>
  </w:p>
  <w:p>
    <w:pPr>
      <w:pStyle w:val="26"/>
      <w:jc w:val="center"/>
      <w:rPr>
        <w:rStyle w:val="42"/>
        <w:rFonts w:ascii="宋体" w:hAnsi="宋体"/>
        <w:b/>
      </w:rPr>
    </w:pPr>
    <w:r>
      <w:rPr>
        <w:rFonts w:hint="eastAsia" w:ascii="宋体" w:hAnsi="宋体"/>
        <w:b/>
      </w:rPr>
      <w:t>第</w:t>
    </w:r>
    <w:r>
      <w:rPr>
        <w:rFonts w:ascii="宋体" w:hAnsi="宋体"/>
        <w:b/>
      </w:rPr>
      <w:fldChar w:fldCharType="begin"/>
    </w:r>
    <w:r>
      <w:rPr>
        <w:rFonts w:ascii="宋体" w:hAnsi="宋体"/>
        <w:b/>
      </w:rPr>
      <w:instrText xml:space="preserve"> </w:instrText>
    </w:r>
    <w:r>
      <w:rPr>
        <w:rFonts w:hint="eastAsia" w:ascii="宋体" w:hAnsi="宋体"/>
        <w:b/>
      </w:rPr>
      <w:instrText xml:space="preserve">PAGE  \* Arabic  \* MERGEFORMAT</w:instrText>
    </w:r>
    <w:r>
      <w:rPr>
        <w:rFonts w:ascii="宋体" w:hAnsi="宋体"/>
        <w:b/>
      </w:rPr>
      <w:instrText xml:space="preserve"> </w:instrText>
    </w:r>
    <w:r>
      <w:rPr>
        <w:rFonts w:ascii="宋体" w:hAnsi="宋体"/>
        <w:b/>
      </w:rPr>
      <w:fldChar w:fldCharType="separate"/>
    </w:r>
    <w:r>
      <w:rPr>
        <w:rFonts w:ascii="宋体" w:hAnsi="宋体"/>
        <w:b/>
      </w:rPr>
      <w:t>79</w:t>
    </w:r>
    <w:r>
      <w:rPr>
        <w:rFonts w:ascii="宋体" w:hAnsi="宋体"/>
        <w:b/>
      </w:rPr>
      <w:fldChar w:fldCharType="end"/>
    </w:r>
    <w:r>
      <w:rPr>
        <w:rFonts w:hint="eastAsia" w:ascii="宋体" w:hAnsi="宋体"/>
        <w:b/>
      </w:rPr>
      <w:t>页 共</w:t>
    </w:r>
    <w:r>
      <w:rPr>
        <w:rFonts w:ascii="宋体" w:hAnsi="宋体"/>
        <w:b/>
      </w:rPr>
      <w:fldChar w:fldCharType="begin"/>
    </w:r>
    <w:r>
      <w:rPr>
        <w:rFonts w:ascii="宋体" w:hAnsi="宋体"/>
        <w:b/>
      </w:rPr>
      <w:instrText xml:space="preserve"> </w:instrText>
    </w:r>
    <w:r>
      <w:rPr>
        <w:rFonts w:hint="eastAsia" w:ascii="宋体" w:hAnsi="宋体"/>
        <w:b/>
      </w:rPr>
      <w:instrText xml:space="preserve">NUMPAGES  \* Arabic  \* MERGEFORMAT</w:instrText>
    </w:r>
    <w:r>
      <w:rPr>
        <w:rFonts w:ascii="宋体" w:hAnsi="宋体"/>
        <w:b/>
      </w:rPr>
      <w:instrText xml:space="preserve"> </w:instrText>
    </w:r>
    <w:r>
      <w:rPr>
        <w:rFonts w:ascii="宋体" w:hAnsi="宋体"/>
        <w:b/>
      </w:rPr>
      <w:fldChar w:fldCharType="separate"/>
    </w:r>
    <w:r>
      <w:rPr>
        <w:rFonts w:ascii="宋体" w:hAnsi="宋体"/>
        <w:b/>
      </w:rPr>
      <w:t>81</w:t>
    </w:r>
    <w:r>
      <w:rPr>
        <w:rFonts w:ascii="宋体" w:hAnsi="宋体"/>
        <w:b/>
      </w:rPr>
      <w:fldChar w:fldCharType="end"/>
    </w:r>
    <w:r>
      <w:rPr>
        <w:rFonts w:hint="eastAsia" w:ascii="宋体" w:hAnsi="宋体"/>
        <w:b/>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rPr>
        <w:rFonts w:hint="eastAsia" w:ascii="宋体" w:hAnsi="宋体" w:eastAsia="宋体"/>
        <w:sz w:val="18"/>
        <w:szCs w:val="18"/>
        <w:lang w:eastAsia="zh-CN"/>
      </w:rPr>
    </w:pPr>
    <w:r>
      <w:rPr>
        <w:rFonts w:hint="eastAsia" w:ascii="宋体" w:hAnsi="宋体"/>
        <w:b/>
        <w:sz w:val="18"/>
        <w:szCs w:val="18"/>
        <w:u w:val="single"/>
        <w:lang w:eastAsia="zh-CN"/>
      </w:rPr>
      <w:t>黄龙县人民医院信息化DIP、电子票据建设项目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w:t>
    </w:r>
    <w:r>
      <w:rPr>
        <w:rFonts w:hint="eastAsia" w:ascii="宋体" w:hAnsi="宋体"/>
        <w:b/>
        <w:sz w:val="18"/>
        <w:szCs w:val="18"/>
        <w:u w:val="single"/>
        <w:lang w:eastAsia="zh-CN"/>
      </w:rPr>
      <w:t>SDZC2023-281-01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left"/>
      <w:rPr>
        <w:rFonts w:hint="eastAsia" w:eastAsia="宋体"/>
        <w:szCs w:val="21"/>
        <w:shd w:val="pct10" w:color="auto" w:fill="FFFFFF"/>
        <w:lang w:eastAsia="zh-CN"/>
      </w:rPr>
    </w:pPr>
    <w:r>
      <w:rPr>
        <w:rFonts w:hint="eastAsia" w:ascii="宋体" w:hAnsi="宋体"/>
        <w:b/>
        <w:sz w:val="21"/>
        <w:szCs w:val="21"/>
        <w:shd w:val="pct10" w:color="auto" w:fill="FFFFFF"/>
      </w:rPr>
      <w:t>***四维彩色超声诊断仪设备采购项目公开招标文件</w:t>
    </w:r>
    <w:r>
      <w:rPr>
        <w:rFonts w:hint="eastAsia"/>
        <w:b/>
        <w:sz w:val="21"/>
        <w:szCs w:val="21"/>
        <w:shd w:val="pct10" w:color="auto" w:fill="FFFFFF"/>
      </w:rPr>
      <w:t xml:space="preserve">                                                   项目编号:</w:t>
    </w:r>
    <w:r>
      <w:rPr>
        <w:rFonts w:hint="eastAsia"/>
        <w:b/>
        <w:sz w:val="21"/>
        <w:szCs w:val="21"/>
        <w:shd w:val="pct10" w:color="auto" w:fill="FFFFFF"/>
        <w:lang w:eastAsia="zh-CN"/>
      </w:rPr>
      <w:t>SDZC2023-281-01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eastAsia="宋体"/>
        <w:lang w:eastAsia="zh-CN"/>
      </w:rPr>
    </w:pPr>
    <w:r>
      <w:rPr>
        <w:rFonts w:hint="eastAsia" w:ascii="宋体" w:hAnsi="宋体"/>
        <w:b/>
        <w:sz w:val="18"/>
        <w:szCs w:val="18"/>
        <w:u w:val="single"/>
        <w:lang w:eastAsia="zh-CN"/>
      </w:rPr>
      <w:t>黄龙县人民医院信息化DIP、电子票据建设项目</w:t>
    </w:r>
    <w:r>
      <w:rPr>
        <w:rFonts w:hint="eastAsia" w:ascii="宋体" w:hAnsi="宋体"/>
        <w:b/>
        <w:sz w:val="18"/>
        <w:szCs w:val="18"/>
        <w:u w:val="single"/>
      </w:rPr>
      <w:t xml:space="preserve">                                                                    项目编号:</w:t>
    </w:r>
    <w:r>
      <w:rPr>
        <w:rFonts w:hint="eastAsia" w:ascii="宋体" w:hAnsi="宋体"/>
        <w:b/>
        <w:sz w:val="18"/>
        <w:szCs w:val="18"/>
        <w:u w:val="single"/>
        <w:lang w:eastAsia="zh-CN"/>
      </w:rPr>
      <w:t>SDZC2023-281-01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80" w:lineRule="exact"/>
      <w:rPr>
        <w:rFonts w:hint="eastAsia" w:eastAsia="宋体"/>
        <w:lang w:eastAsia="zh-CN"/>
      </w:rPr>
    </w:pPr>
    <w:r>
      <w:rPr>
        <w:rFonts w:hint="eastAsia" w:ascii="宋体" w:hAnsi="宋体"/>
        <w:b/>
        <w:sz w:val="18"/>
        <w:szCs w:val="18"/>
        <w:u w:val="single"/>
        <w:lang w:eastAsia="zh-CN"/>
      </w:rPr>
      <w:t>黄龙县人民医院信息化DIP、电子票据建设项目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w:t>
    </w:r>
    <w:r>
      <w:rPr>
        <w:rFonts w:hint="eastAsia" w:ascii="宋体" w:hAnsi="宋体"/>
        <w:b/>
        <w:sz w:val="18"/>
        <w:szCs w:val="18"/>
        <w:u w:val="single"/>
        <w:lang w:eastAsia="zh-CN"/>
      </w:rPr>
      <w:t>SDZC2023-281-01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eastAsia="宋体"/>
        <w:lang w:eastAsia="zh-CN"/>
      </w:rPr>
    </w:pPr>
    <w:r>
      <w:rPr>
        <w:rFonts w:hint="eastAsia" w:ascii="宋体" w:hAnsi="宋体"/>
        <w:b/>
        <w:lang w:eastAsia="zh-CN"/>
      </w:rPr>
      <w:t>黄龙县人民医院信息化DIP、电子票据建设项目</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项目编号:</w:t>
    </w:r>
    <w:r>
      <w:rPr>
        <w:rFonts w:hint="eastAsia" w:ascii="宋体" w:hAnsi="宋体"/>
        <w:b/>
        <w:lang w:eastAsia="zh-CN"/>
      </w:rPr>
      <w:t>SDZC2023-281-01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rPr>
        <w:rFonts w:ascii="宋体" w:hAnsi="宋体"/>
        <w:sz w:val="18"/>
        <w:szCs w:val="18"/>
      </w:rPr>
    </w:pPr>
    <w:r>
      <w:rPr>
        <w:rFonts w:hint="eastAsia" w:ascii="宋体" w:hAnsi="宋体"/>
        <w:b/>
        <w:sz w:val="18"/>
        <w:szCs w:val="18"/>
        <w:u w:val="single"/>
        <w:lang w:eastAsia="zh-CN"/>
      </w:rPr>
      <w:t>黄龙县人民医院信息化DIP、电子票据建设项目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w:t>
    </w:r>
    <w:r>
      <w:rPr>
        <w:rFonts w:hint="eastAsia" w:ascii="宋体" w:hAnsi="宋体"/>
        <w:b/>
        <w:sz w:val="18"/>
        <w:szCs w:val="18"/>
        <w:u w:val="single"/>
        <w:lang w:eastAsia="zh-CN"/>
      </w:rPr>
      <w:t>SDZC2023-281-01</w:t>
    </w:r>
    <w:r>
      <w:rPr>
        <w:rFonts w:hint="eastAsia" w:ascii="宋体" w:hAnsi="宋体"/>
        <w:b/>
        <w:sz w:val="18"/>
        <w:szCs w:val="18"/>
        <w:u w:val="single"/>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rPr>
        <w:rFonts w:ascii="宋体" w:hAnsi="宋体"/>
        <w:sz w:val="18"/>
        <w:szCs w:val="18"/>
      </w:rPr>
    </w:pPr>
    <w:r>
      <w:rPr>
        <w:rFonts w:hint="eastAsia" w:ascii="宋体" w:hAnsi="宋体"/>
        <w:b/>
        <w:sz w:val="18"/>
        <w:szCs w:val="18"/>
        <w:u w:val="single"/>
        <w:lang w:eastAsia="zh-CN"/>
      </w:rPr>
      <w:t>黄龙县人民医院信息化DIP、电子票据建设项目</w:t>
    </w:r>
    <w:r>
      <w:rPr>
        <w:rFonts w:hint="eastAsia" w:ascii="宋体" w:hAnsi="宋体"/>
        <w:b/>
        <w:sz w:val="18"/>
        <w:szCs w:val="18"/>
        <w:u w:val="single"/>
      </w:rPr>
      <w:t xml:space="preserve">          </w:t>
    </w:r>
    <w:r>
      <w:rPr>
        <w:rFonts w:hint="eastAsia" w:ascii="宋体" w:hAnsi="宋体"/>
        <w:b/>
        <w:sz w:val="18"/>
        <w:szCs w:val="18"/>
        <w:u w:val="single"/>
        <w:lang w:val="en-US" w:eastAsia="zh-CN"/>
      </w:rPr>
      <w:t xml:space="preserve">                    </w:t>
    </w:r>
    <w:r>
      <w:rPr>
        <w:rFonts w:hint="eastAsia" w:ascii="宋体" w:hAnsi="宋体"/>
        <w:b/>
        <w:sz w:val="18"/>
        <w:szCs w:val="18"/>
        <w:u w:val="single"/>
      </w:rPr>
      <w:t xml:space="preserve">        项目编号:</w:t>
    </w:r>
    <w:r>
      <w:rPr>
        <w:rFonts w:hint="eastAsia" w:ascii="宋体" w:hAnsi="宋体"/>
        <w:b/>
        <w:sz w:val="18"/>
        <w:szCs w:val="18"/>
        <w:u w:val="single"/>
        <w:lang w:eastAsia="zh-CN"/>
      </w:rPr>
      <w:t>SDZC2023-281-01</w:t>
    </w:r>
    <w:r>
      <w:rPr>
        <w:rFonts w:hint="eastAsia" w:ascii="宋体" w:hAnsi="宋体"/>
        <w:b/>
        <w:sz w:val="18"/>
        <w:szCs w:val="18"/>
        <w:u w:val="single"/>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eastAsia="宋体"/>
        <w:lang w:eastAsia="zh-CN"/>
      </w:rPr>
    </w:pPr>
    <w:r>
      <w:rPr>
        <w:rFonts w:hint="eastAsia" w:ascii="宋体" w:hAnsi="宋体"/>
        <w:b/>
        <w:lang w:eastAsia="zh-CN"/>
      </w:rPr>
      <w:t>黄龙县人民医院信息化DIP、电子票据建设项目</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项目编号:</w:t>
    </w:r>
    <w:r>
      <w:rPr>
        <w:rFonts w:hint="eastAsia" w:ascii="宋体" w:hAnsi="宋体"/>
        <w:b/>
        <w:lang w:eastAsia="zh-CN"/>
      </w:rPr>
      <w:t>SDZC2023-281-01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hint="eastAsia" w:eastAsia="宋体"/>
        <w:lang w:eastAsia="zh-CN"/>
      </w:rPr>
    </w:pPr>
    <w:r>
      <w:rPr>
        <w:rFonts w:hint="eastAsia" w:ascii="宋体" w:hAnsi="宋体"/>
        <w:b/>
        <w:lang w:eastAsia="zh-CN"/>
      </w:rPr>
      <w:t>黄龙县人民医院信息化DIP、电子票据建设项目</w:t>
    </w:r>
    <w:r>
      <w:rPr>
        <w:rFonts w:hint="eastAsia" w:ascii="宋体" w:hAnsi="宋体"/>
        <w:b/>
      </w:rPr>
      <w:t xml:space="preserve">        </w:t>
    </w:r>
    <w:r>
      <w:rPr>
        <w:rFonts w:hint="eastAsia" w:ascii="宋体" w:hAnsi="宋体"/>
        <w:b/>
        <w:lang w:val="en-US" w:eastAsia="zh-CN"/>
      </w:rPr>
      <w:t xml:space="preserve">                     </w:t>
    </w:r>
    <w:r>
      <w:rPr>
        <w:rFonts w:hint="eastAsia" w:ascii="宋体" w:hAnsi="宋体"/>
        <w:b/>
      </w:rPr>
      <w:t xml:space="preserve">     项目编号:</w:t>
    </w:r>
    <w:r>
      <w:rPr>
        <w:rFonts w:hint="eastAsia" w:ascii="宋体" w:hAnsi="宋体"/>
        <w:b/>
        <w:lang w:eastAsia="zh-CN"/>
      </w:rPr>
      <w:t>SDZC2023-281-01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985C03"/>
    <w:multiLevelType w:val="singleLevel"/>
    <w:tmpl w:val="DC985C03"/>
    <w:lvl w:ilvl="0" w:tentative="0">
      <w:start w:val="1"/>
      <w:numFmt w:val="decimal"/>
      <w:suff w:val="nothing"/>
      <w:lvlText w:val="%1、"/>
      <w:lvlJc w:val="left"/>
    </w:lvl>
  </w:abstractNum>
  <w:abstractNum w:abstractNumId="1">
    <w:nsid w:val="E07FDE52"/>
    <w:multiLevelType w:val="singleLevel"/>
    <w:tmpl w:val="E07FDE52"/>
    <w:lvl w:ilvl="0" w:tentative="0">
      <w:start w:val="3"/>
      <w:numFmt w:val="chineseCounting"/>
      <w:suff w:val="space"/>
      <w:lvlText w:val="第%1章"/>
      <w:lvlJc w:val="left"/>
      <w:rPr>
        <w:rFonts w:hint="eastAsia"/>
      </w:rPr>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4"/>
    <w:multiLevelType w:val="singleLevel"/>
    <w:tmpl w:val="00000004"/>
    <w:lvl w:ilvl="0" w:tentative="0">
      <w:start w:val="1"/>
      <w:numFmt w:val="chineseCounting"/>
      <w:suff w:val="nothing"/>
      <w:lvlText w:val="%1、"/>
      <w:lvlJc w:val="left"/>
      <w:rPr>
        <w:rFonts w:hint="eastAsia"/>
      </w:rPr>
    </w:lvl>
  </w:abstractNum>
  <w:abstractNum w:abstractNumId="4">
    <w:nsid w:val="596A7A67"/>
    <w:multiLevelType w:val="singleLevel"/>
    <w:tmpl w:val="596A7A67"/>
    <w:lvl w:ilvl="0" w:tentative="0">
      <w:start w:val="9"/>
      <w:numFmt w:val="decimal"/>
      <w:lvlText w:val="%1."/>
      <w:lvlJc w:val="left"/>
      <w:pPr>
        <w:tabs>
          <w:tab w:val="left" w:pos="312"/>
        </w:tabs>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3ZTFhY2FhYjEzYjU5YTZjMzdjM2U2N2VlNzg2NzcifQ=="/>
  </w:docVars>
  <w:rsids>
    <w:rsidRoot w:val="00172A27"/>
    <w:rsid w:val="00000BBF"/>
    <w:rsid w:val="00000DC4"/>
    <w:rsid w:val="00001B3C"/>
    <w:rsid w:val="00001EB0"/>
    <w:rsid w:val="00002CDE"/>
    <w:rsid w:val="0000348A"/>
    <w:rsid w:val="0000424F"/>
    <w:rsid w:val="000060B2"/>
    <w:rsid w:val="000074D2"/>
    <w:rsid w:val="00007C6B"/>
    <w:rsid w:val="000101C4"/>
    <w:rsid w:val="00010AEE"/>
    <w:rsid w:val="00010C87"/>
    <w:rsid w:val="0001186B"/>
    <w:rsid w:val="00012FD3"/>
    <w:rsid w:val="00013843"/>
    <w:rsid w:val="000139CE"/>
    <w:rsid w:val="00013B3C"/>
    <w:rsid w:val="00014BFA"/>
    <w:rsid w:val="00014FF0"/>
    <w:rsid w:val="00015124"/>
    <w:rsid w:val="00016F81"/>
    <w:rsid w:val="00017371"/>
    <w:rsid w:val="000175D3"/>
    <w:rsid w:val="000176D3"/>
    <w:rsid w:val="00017933"/>
    <w:rsid w:val="00017BF4"/>
    <w:rsid w:val="00017E32"/>
    <w:rsid w:val="00021256"/>
    <w:rsid w:val="00021582"/>
    <w:rsid w:val="000217A1"/>
    <w:rsid w:val="000236CE"/>
    <w:rsid w:val="000248D2"/>
    <w:rsid w:val="00024FAB"/>
    <w:rsid w:val="00025D4E"/>
    <w:rsid w:val="0002616A"/>
    <w:rsid w:val="000263BC"/>
    <w:rsid w:val="00026594"/>
    <w:rsid w:val="000265E0"/>
    <w:rsid w:val="000267FF"/>
    <w:rsid w:val="0002733C"/>
    <w:rsid w:val="0002778C"/>
    <w:rsid w:val="00030491"/>
    <w:rsid w:val="00030EC9"/>
    <w:rsid w:val="0003179B"/>
    <w:rsid w:val="0003217E"/>
    <w:rsid w:val="0003278B"/>
    <w:rsid w:val="00032B94"/>
    <w:rsid w:val="000334A0"/>
    <w:rsid w:val="00033CEE"/>
    <w:rsid w:val="00034218"/>
    <w:rsid w:val="0003528D"/>
    <w:rsid w:val="00035523"/>
    <w:rsid w:val="00035A06"/>
    <w:rsid w:val="00036082"/>
    <w:rsid w:val="000366D6"/>
    <w:rsid w:val="00036744"/>
    <w:rsid w:val="000378C1"/>
    <w:rsid w:val="0003794B"/>
    <w:rsid w:val="00037C43"/>
    <w:rsid w:val="0004037D"/>
    <w:rsid w:val="00040D01"/>
    <w:rsid w:val="00040EB3"/>
    <w:rsid w:val="00041688"/>
    <w:rsid w:val="00042B8C"/>
    <w:rsid w:val="00042CCB"/>
    <w:rsid w:val="000430C2"/>
    <w:rsid w:val="00043CFA"/>
    <w:rsid w:val="00043E31"/>
    <w:rsid w:val="00044354"/>
    <w:rsid w:val="00045194"/>
    <w:rsid w:val="0004549C"/>
    <w:rsid w:val="000458C8"/>
    <w:rsid w:val="000478CD"/>
    <w:rsid w:val="000514A2"/>
    <w:rsid w:val="00052236"/>
    <w:rsid w:val="00053555"/>
    <w:rsid w:val="00053909"/>
    <w:rsid w:val="00054AF4"/>
    <w:rsid w:val="000553B5"/>
    <w:rsid w:val="00055FC8"/>
    <w:rsid w:val="000560AC"/>
    <w:rsid w:val="000560EC"/>
    <w:rsid w:val="00056179"/>
    <w:rsid w:val="00056693"/>
    <w:rsid w:val="00060D1B"/>
    <w:rsid w:val="00061AFE"/>
    <w:rsid w:val="00062298"/>
    <w:rsid w:val="00062C1C"/>
    <w:rsid w:val="00062CA2"/>
    <w:rsid w:val="00062E48"/>
    <w:rsid w:val="000648A3"/>
    <w:rsid w:val="000648F0"/>
    <w:rsid w:val="00064C10"/>
    <w:rsid w:val="0006570F"/>
    <w:rsid w:val="0006588B"/>
    <w:rsid w:val="00066B74"/>
    <w:rsid w:val="00066CC2"/>
    <w:rsid w:val="0007104F"/>
    <w:rsid w:val="000712BC"/>
    <w:rsid w:val="00071EAF"/>
    <w:rsid w:val="00072E42"/>
    <w:rsid w:val="000748C0"/>
    <w:rsid w:val="00074D76"/>
    <w:rsid w:val="000752F8"/>
    <w:rsid w:val="00075BC7"/>
    <w:rsid w:val="00076197"/>
    <w:rsid w:val="000761FB"/>
    <w:rsid w:val="00076361"/>
    <w:rsid w:val="000764C9"/>
    <w:rsid w:val="0007661E"/>
    <w:rsid w:val="0007665D"/>
    <w:rsid w:val="000771AD"/>
    <w:rsid w:val="00077F63"/>
    <w:rsid w:val="00080120"/>
    <w:rsid w:val="0008023A"/>
    <w:rsid w:val="00082B37"/>
    <w:rsid w:val="00082C6C"/>
    <w:rsid w:val="00084DAC"/>
    <w:rsid w:val="00084E1B"/>
    <w:rsid w:val="000857D5"/>
    <w:rsid w:val="00090B9A"/>
    <w:rsid w:val="0009100C"/>
    <w:rsid w:val="00091CB0"/>
    <w:rsid w:val="00093BBB"/>
    <w:rsid w:val="000942B1"/>
    <w:rsid w:val="0009637D"/>
    <w:rsid w:val="00096581"/>
    <w:rsid w:val="00096D41"/>
    <w:rsid w:val="000A09AE"/>
    <w:rsid w:val="000A0C39"/>
    <w:rsid w:val="000A0DA0"/>
    <w:rsid w:val="000A16BE"/>
    <w:rsid w:val="000A16FA"/>
    <w:rsid w:val="000A185C"/>
    <w:rsid w:val="000A1F43"/>
    <w:rsid w:val="000A222F"/>
    <w:rsid w:val="000A2514"/>
    <w:rsid w:val="000A2BDA"/>
    <w:rsid w:val="000A3061"/>
    <w:rsid w:val="000A31FA"/>
    <w:rsid w:val="000A50BB"/>
    <w:rsid w:val="000A5151"/>
    <w:rsid w:val="000A6F5D"/>
    <w:rsid w:val="000A77B5"/>
    <w:rsid w:val="000B0709"/>
    <w:rsid w:val="000B1EFA"/>
    <w:rsid w:val="000B32F1"/>
    <w:rsid w:val="000B37CE"/>
    <w:rsid w:val="000B4B51"/>
    <w:rsid w:val="000B511F"/>
    <w:rsid w:val="000B6F2C"/>
    <w:rsid w:val="000B7753"/>
    <w:rsid w:val="000B7D56"/>
    <w:rsid w:val="000B7EFF"/>
    <w:rsid w:val="000C109E"/>
    <w:rsid w:val="000C1982"/>
    <w:rsid w:val="000C20D5"/>
    <w:rsid w:val="000C4651"/>
    <w:rsid w:val="000C4699"/>
    <w:rsid w:val="000C5D6C"/>
    <w:rsid w:val="000C6115"/>
    <w:rsid w:val="000C68DE"/>
    <w:rsid w:val="000D21B9"/>
    <w:rsid w:val="000D306A"/>
    <w:rsid w:val="000D37D3"/>
    <w:rsid w:val="000D5A2E"/>
    <w:rsid w:val="000D6286"/>
    <w:rsid w:val="000D6DF9"/>
    <w:rsid w:val="000D7E78"/>
    <w:rsid w:val="000D7F3D"/>
    <w:rsid w:val="000E0408"/>
    <w:rsid w:val="000E0DA2"/>
    <w:rsid w:val="000E0DA5"/>
    <w:rsid w:val="000E1231"/>
    <w:rsid w:val="000E1973"/>
    <w:rsid w:val="000E1E1C"/>
    <w:rsid w:val="000E26E3"/>
    <w:rsid w:val="000E281C"/>
    <w:rsid w:val="000E356A"/>
    <w:rsid w:val="000E38DD"/>
    <w:rsid w:val="000E3FC6"/>
    <w:rsid w:val="000E401D"/>
    <w:rsid w:val="000E4923"/>
    <w:rsid w:val="000E502F"/>
    <w:rsid w:val="000E60B2"/>
    <w:rsid w:val="000E6C30"/>
    <w:rsid w:val="000E6EFF"/>
    <w:rsid w:val="000E6F84"/>
    <w:rsid w:val="000E7C32"/>
    <w:rsid w:val="000E7D70"/>
    <w:rsid w:val="000E7E32"/>
    <w:rsid w:val="000F03BD"/>
    <w:rsid w:val="000F15A6"/>
    <w:rsid w:val="000F1E20"/>
    <w:rsid w:val="000F2F8A"/>
    <w:rsid w:val="000F3171"/>
    <w:rsid w:val="000F35F7"/>
    <w:rsid w:val="000F3FFB"/>
    <w:rsid w:val="000F44E8"/>
    <w:rsid w:val="000F47BE"/>
    <w:rsid w:val="000F4826"/>
    <w:rsid w:val="000F4D33"/>
    <w:rsid w:val="000F4D54"/>
    <w:rsid w:val="000F53EA"/>
    <w:rsid w:val="000F615A"/>
    <w:rsid w:val="000F6D5D"/>
    <w:rsid w:val="000F6DBF"/>
    <w:rsid w:val="001014AE"/>
    <w:rsid w:val="0010163F"/>
    <w:rsid w:val="00101711"/>
    <w:rsid w:val="001026B5"/>
    <w:rsid w:val="001027F4"/>
    <w:rsid w:val="00102932"/>
    <w:rsid w:val="00102BEA"/>
    <w:rsid w:val="0010331A"/>
    <w:rsid w:val="0010341F"/>
    <w:rsid w:val="001034BC"/>
    <w:rsid w:val="001036BA"/>
    <w:rsid w:val="0010476C"/>
    <w:rsid w:val="00104B6D"/>
    <w:rsid w:val="00105042"/>
    <w:rsid w:val="00105C15"/>
    <w:rsid w:val="00106B1D"/>
    <w:rsid w:val="00106E69"/>
    <w:rsid w:val="00107107"/>
    <w:rsid w:val="00107C3A"/>
    <w:rsid w:val="00110292"/>
    <w:rsid w:val="00110A9B"/>
    <w:rsid w:val="00111312"/>
    <w:rsid w:val="001116D8"/>
    <w:rsid w:val="0011384F"/>
    <w:rsid w:val="00113E6E"/>
    <w:rsid w:val="00113EA7"/>
    <w:rsid w:val="00114878"/>
    <w:rsid w:val="00115FAC"/>
    <w:rsid w:val="00116DC9"/>
    <w:rsid w:val="00120197"/>
    <w:rsid w:val="001201A4"/>
    <w:rsid w:val="0012085D"/>
    <w:rsid w:val="001217EA"/>
    <w:rsid w:val="0012192F"/>
    <w:rsid w:val="001219CA"/>
    <w:rsid w:val="00121E7F"/>
    <w:rsid w:val="00122215"/>
    <w:rsid w:val="00122492"/>
    <w:rsid w:val="001226FD"/>
    <w:rsid w:val="001228E7"/>
    <w:rsid w:val="00122E24"/>
    <w:rsid w:val="00123715"/>
    <w:rsid w:val="00123857"/>
    <w:rsid w:val="00123D18"/>
    <w:rsid w:val="0012463D"/>
    <w:rsid w:val="00125084"/>
    <w:rsid w:val="00125466"/>
    <w:rsid w:val="001257FD"/>
    <w:rsid w:val="00127F22"/>
    <w:rsid w:val="00127F8E"/>
    <w:rsid w:val="00130386"/>
    <w:rsid w:val="00130533"/>
    <w:rsid w:val="00130ED8"/>
    <w:rsid w:val="00131012"/>
    <w:rsid w:val="00131778"/>
    <w:rsid w:val="00131BE9"/>
    <w:rsid w:val="00133C74"/>
    <w:rsid w:val="00134461"/>
    <w:rsid w:val="00134610"/>
    <w:rsid w:val="001346D0"/>
    <w:rsid w:val="0013477D"/>
    <w:rsid w:val="00135358"/>
    <w:rsid w:val="001357A1"/>
    <w:rsid w:val="001364FA"/>
    <w:rsid w:val="001366D3"/>
    <w:rsid w:val="001374DA"/>
    <w:rsid w:val="001405EC"/>
    <w:rsid w:val="00140B00"/>
    <w:rsid w:val="00140F35"/>
    <w:rsid w:val="00141ECB"/>
    <w:rsid w:val="00142214"/>
    <w:rsid w:val="00142E83"/>
    <w:rsid w:val="001434B0"/>
    <w:rsid w:val="001435F1"/>
    <w:rsid w:val="00143D19"/>
    <w:rsid w:val="00143F70"/>
    <w:rsid w:val="001440BD"/>
    <w:rsid w:val="0014694A"/>
    <w:rsid w:val="001472C0"/>
    <w:rsid w:val="00147E7F"/>
    <w:rsid w:val="00150F66"/>
    <w:rsid w:val="001521A7"/>
    <w:rsid w:val="00153A9D"/>
    <w:rsid w:val="00154129"/>
    <w:rsid w:val="00154BEB"/>
    <w:rsid w:val="00154E12"/>
    <w:rsid w:val="00155BBF"/>
    <w:rsid w:val="00155D7A"/>
    <w:rsid w:val="001564A8"/>
    <w:rsid w:val="00156C1C"/>
    <w:rsid w:val="0015729C"/>
    <w:rsid w:val="00157ECD"/>
    <w:rsid w:val="00160831"/>
    <w:rsid w:val="00160A21"/>
    <w:rsid w:val="00160BDA"/>
    <w:rsid w:val="00160E71"/>
    <w:rsid w:val="0016152E"/>
    <w:rsid w:val="00161671"/>
    <w:rsid w:val="001624BD"/>
    <w:rsid w:val="00162975"/>
    <w:rsid w:val="00162AE5"/>
    <w:rsid w:val="0016384A"/>
    <w:rsid w:val="00163DD0"/>
    <w:rsid w:val="0016466A"/>
    <w:rsid w:val="0016491F"/>
    <w:rsid w:val="0016685F"/>
    <w:rsid w:val="00166CFC"/>
    <w:rsid w:val="00167F2F"/>
    <w:rsid w:val="00170370"/>
    <w:rsid w:val="00170DDB"/>
    <w:rsid w:val="00172A27"/>
    <w:rsid w:val="00173519"/>
    <w:rsid w:val="00173557"/>
    <w:rsid w:val="00173AD3"/>
    <w:rsid w:val="00173C44"/>
    <w:rsid w:val="00174899"/>
    <w:rsid w:val="00175241"/>
    <w:rsid w:val="001755E6"/>
    <w:rsid w:val="001758C2"/>
    <w:rsid w:val="00175A6B"/>
    <w:rsid w:val="001762D0"/>
    <w:rsid w:val="001764E4"/>
    <w:rsid w:val="00177548"/>
    <w:rsid w:val="001775BD"/>
    <w:rsid w:val="00177EFF"/>
    <w:rsid w:val="00180110"/>
    <w:rsid w:val="00180FB8"/>
    <w:rsid w:val="00181597"/>
    <w:rsid w:val="0018184C"/>
    <w:rsid w:val="0018205F"/>
    <w:rsid w:val="001830C4"/>
    <w:rsid w:val="0018349C"/>
    <w:rsid w:val="001836BB"/>
    <w:rsid w:val="001839A2"/>
    <w:rsid w:val="00184092"/>
    <w:rsid w:val="00184332"/>
    <w:rsid w:val="00185407"/>
    <w:rsid w:val="00185A7B"/>
    <w:rsid w:val="001860A1"/>
    <w:rsid w:val="0018661E"/>
    <w:rsid w:val="001869F4"/>
    <w:rsid w:val="00187F6A"/>
    <w:rsid w:val="001906AB"/>
    <w:rsid w:val="00191D3C"/>
    <w:rsid w:val="00191F83"/>
    <w:rsid w:val="00193AF8"/>
    <w:rsid w:val="00194082"/>
    <w:rsid w:val="00194D1F"/>
    <w:rsid w:val="00194E0C"/>
    <w:rsid w:val="001954CD"/>
    <w:rsid w:val="001961CA"/>
    <w:rsid w:val="0019695D"/>
    <w:rsid w:val="00196DAF"/>
    <w:rsid w:val="00197263"/>
    <w:rsid w:val="00197C89"/>
    <w:rsid w:val="001A0039"/>
    <w:rsid w:val="001A0B53"/>
    <w:rsid w:val="001A1B57"/>
    <w:rsid w:val="001A1E91"/>
    <w:rsid w:val="001A23DE"/>
    <w:rsid w:val="001A2F19"/>
    <w:rsid w:val="001A3C81"/>
    <w:rsid w:val="001A4608"/>
    <w:rsid w:val="001A4EEF"/>
    <w:rsid w:val="001A507E"/>
    <w:rsid w:val="001A513B"/>
    <w:rsid w:val="001A58FD"/>
    <w:rsid w:val="001A61A9"/>
    <w:rsid w:val="001A66F6"/>
    <w:rsid w:val="001A69F0"/>
    <w:rsid w:val="001A6A26"/>
    <w:rsid w:val="001A7B14"/>
    <w:rsid w:val="001B0650"/>
    <w:rsid w:val="001B0B8A"/>
    <w:rsid w:val="001B1348"/>
    <w:rsid w:val="001B15E7"/>
    <w:rsid w:val="001B18F7"/>
    <w:rsid w:val="001B1E78"/>
    <w:rsid w:val="001B291B"/>
    <w:rsid w:val="001B2CD5"/>
    <w:rsid w:val="001B2F5B"/>
    <w:rsid w:val="001B304E"/>
    <w:rsid w:val="001B3CB1"/>
    <w:rsid w:val="001B4291"/>
    <w:rsid w:val="001B440A"/>
    <w:rsid w:val="001B4F57"/>
    <w:rsid w:val="001B5BC1"/>
    <w:rsid w:val="001B5FE9"/>
    <w:rsid w:val="001B70BD"/>
    <w:rsid w:val="001B75F6"/>
    <w:rsid w:val="001C0DA1"/>
    <w:rsid w:val="001C1A08"/>
    <w:rsid w:val="001C201B"/>
    <w:rsid w:val="001C2A06"/>
    <w:rsid w:val="001C3318"/>
    <w:rsid w:val="001C3AA3"/>
    <w:rsid w:val="001C43C9"/>
    <w:rsid w:val="001C46A1"/>
    <w:rsid w:val="001C5720"/>
    <w:rsid w:val="001C60FD"/>
    <w:rsid w:val="001C6E09"/>
    <w:rsid w:val="001C773F"/>
    <w:rsid w:val="001D0773"/>
    <w:rsid w:val="001D0C2F"/>
    <w:rsid w:val="001D15A1"/>
    <w:rsid w:val="001D17B9"/>
    <w:rsid w:val="001D2723"/>
    <w:rsid w:val="001D2734"/>
    <w:rsid w:val="001D2ADF"/>
    <w:rsid w:val="001D4209"/>
    <w:rsid w:val="001D421B"/>
    <w:rsid w:val="001D439A"/>
    <w:rsid w:val="001D68F1"/>
    <w:rsid w:val="001D6D07"/>
    <w:rsid w:val="001D729F"/>
    <w:rsid w:val="001D7447"/>
    <w:rsid w:val="001D7A42"/>
    <w:rsid w:val="001D7B63"/>
    <w:rsid w:val="001D7F70"/>
    <w:rsid w:val="001E00DA"/>
    <w:rsid w:val="001E022D"/>
    <w:rsid w:val="001E0253"/>
    <w:rsid w:val="001E0B0A"/>
    <w:rsid w:val="001E17FB"/>
    <w:rsid w:val="001E1918"/>
    <w:rsid w:val="001E1E8D"/>
    <w:rsid w:val="001E24A7"/>
    <w:rsid w:val="001E2724"/>
    <w:rsid w:val="001E2A6F"/>
    <w:rsid w:val="001E3F09"/>
    <w:rsid w:val="001E42A0"/>
    <w:rsid w:val="001E43BC"/>
    <w:rsid w:val="001E5306"/>
    <w:rsid w:val="001E5A75"/>
    <w:rsid w:val="001E5D13"/>
    <w:rsid w:val="001E6C2A"/>
    <w:rsid w:val="001E6C9C"/>
    <w:rsid w:val="001E7A53"/>
    <w:rsid w:val="001E7B7F"/>
    <w:rsid w:val="001F02F0"/>
    <w:rsid w:val="001F0489"/>
    <w:rsid w:val="001F06CD"/>
    <w:rsid w:val="001F0816"/>
    <w:rsid w:val="001F0EA4"/>
    <w:rsid w:val="001F132C"/>
    <w:rsid w:val="001F274F"/>
    <w:rsid w:val="001F3EE5"/>
    <w:rsid w:val="001F47C6"/>
    <w:rsid w:val="001F4A59"/>
    <w:rsid w:val="001F51A2"/>
    <w:rsid w:val="001F64C6"/>
    <w:rsid w:val="00200442"/>
    <w:rsid w:val="00200AD1"/>
    <w:rsid w:val="002015B2"/>
    <w:rsid w:val="00201926"/>
    <w:rsid w:val="00202347"/>
    <w:rsid w:val="00202445"/>
    <w:rsid w:val="00202AF0"/>
    <w:rsid w:val="00203A29"/>
    <w:rsid w:val="00203A60"/>
    <w:rsid w:val="00203AE4"/>
    <w:rsid w:val="002041A2"/>
    <w:rsid w:val="002042C5"/>
    <w:rsid w:val="002053E4"/>
    <w:rsid w:val="00205425"/>
    <w:rsid w:val="00205BFA"/>
    <w:rsid w:val="00205CBA"/>
    <w:rsid w:val="00205F84"/>
    <w:rsid w:val="002065A9"/>
    <w:rsid w:val="0020730E"/>
    <w:rsid w:val="00207AE2"/>
    <w:rsid w:val="00207BB0"/>
    <w:rsid w:val="0021025C"/>
    <w:rsid w:val="00210CD9"/>
    <w:rsid w:val="00211297"/>
    <w:rsid w:val="00211B28"/>
    <w:rsid w:val="0021200F"/>
    <w:rsid w:val="0021247E"/>
    <w:rsid w:val="0021353E"/>
    <w:rsid w:val="0021412B"/>
    <w:rsid w:val="00214431"/>
    <w:rsid w:val="0021484D"/>
    <w:rsid w:val="00214F7F"/>
    <w:rsid w:val="00217638"/>
    <w:rsid w:val="00217C9D"/>
    <w:rsid w:val="002205C7"/>
    <w:rsid w:val="00220FF1"/>
    <w:rsid w:val="00221384"/>
    <w:rsid w:val="002214F3"/>
    <w:rsid w:val="00221723"/>
    <w:rsid w:val="00221BB4"/>
    <w:rsid w:val="00221F7A"/>
    <w:rsid w:val="002230B2"/>
    <w:rsid w:val="00223A77"/>
    <w:rsid w:val="0022454E"/>
    <w:rsid w:val="00224E9B"/>
    <w:rsid w:val="0022572C"/>
    <w:rsid w:val="00225B86"/>
    <w:rsid w:val="00225DED"/>
    <w:rsid w:val="00226124"/>
    <w:rsid w:val="00227352"/>
    <w:rsid w:val="002274A1"/>
    <w:rsid w:val="00227EB5"/>
    <w:rsid w:val="00230058"/>
    <w:rsid w:val="00230DE4"/>
    <w:rsid w:val="00230E74"/>
    <w:rsid w:val="002312AD"/>
    <w:rsid w:val="00231D4B"/>
    <w:rsid w:val="00232AFF"/>
    <w:rsid w:val="00232B62"/>
    <w:rsid w:val="0023363F"/>
    <w:rsid w:val="00233A1A"/>
    <w:rsid w:val="00233A74"/>
    <w:rsid w:val="00233EBC"/>
    <w:rsid w:val="00233F7A"/>
    <w:rsid w:val="00233F94"/>
    <w:rsid w:val="00234680"/>
    <w:rsid w:val="002349CF"/>
    <w:rsid w:val="00234FBD"/>
    <w:rsid w:val="00235029"/>
    <w:rsid w:val="002351D5"/>
    <w:rsid w:val="00235335"/>
    <w:rsid w:val="0023595F"/>
    <w:rsid w:val="00235F4A"/>
    <w:rsid w:val="0023693F"/>
    <w:rsid w:val="00236966"/>
    <w:rsid w:val="00237009"/>
    <w:rsid w:val="002371B4"/>
    <w:rsid w:val="002379DD"/>
    <w:rsid w:val="00237E55"/>
    <w:rsid w:val="002401D5"/>
    <w:rsid w:val="00241815"/>
    <w:rsid w:val="00241D46"/>
    <w:rsid w:val="00242B79"/>
    <w:rsid w:val="002433AF"/>
    <w:rsid w:val="002439D0"/>
    <w:rsid w:val="00244559"/>
    <w:rsid w:val="00244681"/>
    <w:rsid w:val="002447A5"/>
    <w:rsid w:val="00244E35"/>
    <w:rsid w:val="00244E71"/>
    <w:rsid w:val="00244F9D"/>
    <w:rsid w:val="002461DB"/>
    <w:rsid w:val="00246EC5"/>
    <w:rsid w:val="0024717B"/>
    <w:rsid w:val="002471F3"/>
    <w:rsid w:val="00247476"/>
    <w:rsid w:val="0025004D"/>
    <w:rsid w:val="00250F40"/>
    <w:rsid w:val="0025206A"/>
    <w:rsid w:val="00252373"/>
    <w:rsid w:val="00252CF8"/>
    <w:rsid w:val="00253009"/>
    <w:rsid w:val="00253E27"/>
    <w:rsid w:val="00254333"/>
    <w:rsid w:val="002560AB"/>
    <w:rsid w:val="00256A9A"/>
    <w:rsid w:val="0025750A"/>
    <w:rsid w:val="002579F9"/>
    <w:rsid w:val="002605DC"/>
    <w:rsid w:val="00260608"/>
    <w:rsid w:val="00260CAC"/>
    <w:rsid w:val="00260DAB"/>
    <w:rsid w:val="002613C6"/>
    <w:rsid w:val="00261653"/>
    <w:rsid w:val="00262407"/>
    <w:rsid w:val="0026247D"/>
    <w:rsid w:val="00262B0F"/>
    <w:rsid w:val="00263E5F"/>
    <w:rsid w:val="002642EA"/>
    <w:rsid w:val="00264F87"/>
    <w:rsid w:val="002657A3"/>
    <w:rsid w:val="00265821"/>
    <w:rsid w:val="00265B16"/>
    <w:rsid w:val="00265F9E"/>
    <w:rsid w:val="00266B3D"/>
    <w:rsid w:val="00267045"/>
    <w:rsid w:val="0026754E"/>
    <w:rsid w:val="00267A33"/>
    <w:rsid w:val="00267A4D"/>
    <w:rsid w:val="00267B93"/>
    <w:rsid w:val="002702BC"/>
    <w:rsid w:val="00270E0A"/>
    <w:rsid w:val="00271886"/>
    <w:rsid w:val="00271996"/>
    <w:rsid w:val="00271F0D"/>
    <w:rsid w:val="00273139"/>
    <w:rsid w:val="002737E9"/>
    <w:rsid w:val="00273E5A"/>
    <w:rsid w:val="00273FCD"/>
    <w:rsid w:val="002743B2"/>
    <w:rsid w:val="00275ACF"/>
    <w:rsid w:val="00275EA5"/>
    <w:rsid w:val="00276057"/>
    <w:rsid w:val="00276326"/>
    <w:rsid w:val="002766F2"/>
    <w:rsid w:val="0027679E"/>
    <w:rsid w:val="002778F8"/>
    <w:rsid w:val="00277F69"/>
    <w:rsid w:val="0028025E"/>
    <w:rsid w:val="0028092A"/>
    <w:rsid w:val="00281DE7"/>
    <w:rsid w:val="00282B4C"/>
    <w:rsid w:val="00282F79"/>
    <w:rsid w:val="00284401"/>
    <w:rsid w:val="00284E25"/>
    <w:rsid w:val="002857A8"/>
    <w:rsid w:val="00285ADE"/>
    <w:rsid w:val="00286D77"/>
    <w:rsid w:val="00286DA3"/>
    <w:rsid w:val="00287009"/>
    <w:rsid w:val="002875AC"/>
    <w:rsid w:val="00287817"/>
    <w:rsid w:val="002915C0"/>
    <w:rsid w:val="0029178A"/>
    <w:rsid w:val="002918EC"/>
    <w:rsid w:val="00291C57"/>
    <w:rsid w:val="00292D48"/>
    <w:rsid w:val="00294DEA"/>
    <w:rsid w:val="00294E2C"/>
    <w:rsid w:val="0029511C"/>
    <w:rsid w:val="00295202"/>
    <w:rsid w:val="00296229"/>
    <w:rsid w:val="0029640B"/>
    <w:rsid w:val="00296F61"/>
    <w:rsid w:val="00297507"/>
    <w:rsid w:val="002A19D8"/>
    <w:rsid w:val="002A29AF"/>
    <w:rsid w:val="002A2C0C"/>
    <w:rsid w:val="002A35E8"/>
    <w:rsid w:val="002A36F3"/>
    <w:rsid w:val="002A49EF"/>
    <w:rsid w:val="002A6043"/>
    <w:rsid w:val="002A6056"/>
    <w:rsid w:val="002A60A4"/>
    <w:rsid w:val="002A60AC"/>
    <w:rsid w:val="002A640F"/>
    <w:rsid w:val="002A6918"/>
    <w:rsid w:val="002A75AA"/>
    <w:rsid w:val="002A77AD"/>
    <w:rsid w:val="002B040C"/>
    <w:rsid w:val="002B0951"/>
    <w:rsid w:val="002B10AD"/>
    <w:rsid w:val="002B10C8"/>
    <w:rsid w:val="002B1260"/>
    <w:rsid w:val="002B3D94"/>
    <w:rsid w:val="002B4160"/>
    <w:rsid w:val="002B43A1"/>
    <w:rsid w:val="002B4A15"/>
    <w:rsid w:val="002B5877"/>
    <w:rsid w:val="002B615C"/>
    <w:rsid w:val="002B6E5D"/>
    <w:rsid w:val="002C0BB8"/>
    <w:rsid w:val="002C1879"/>
    <w:rsid w:val="002C1F5C"/>
    <w:rsid w:val="002C2A22"/>
    <w:rsid w:val="002C3185"/>
    <w:rsid w:val="002C3439"/>
    <w:rsid w:val="002C5186"/>
    <w:rsid w:val="002C5E8E"/>
    <w:rsid w:val="002C647D"/>
    <w:rsid w:val="002C6A2F"/>
    <w:rsid w:val="002C6D5E"/>
    <w:rsid w:val="002C70E9"/>
    <w:rsid w:val="002C7100"/>
    <w:rsid w:val="002C72B6"/>
    <w:rsid w:val="002C777C"/>
    <w:rsid w:val="002C7C81"/>
    <w:rsid w:val="002D03D6"/>
    <w:rsid w:val="002D16A3"/>
    <w:rsid w:val="002D23CD"/>
    <w:rsid w:val="002D23EA"/>
    <w:rsid w:val="002D283A"/>
    <w:rsid w:val="002D461F"/>
    <w:rsid w:val="002D5067"/>
    <w:rsid w:val="002D5174"/>
    <w:rsid w:val="002D5F93"/>
    <w:rsid w:val="002D69FC"/>
    <w:rsid w:val="002E1F26"/>
    <w:rsid w:val="002E3279"/>
    <w:rsid w:val="002E3AAA"/>
    <w:rsid w:val="002E3B63"/>
    <w:rsid w:val="002E4F81"/>
    <w:rsid w:val="002E5D2B"/>
    <w:rsid w:val="002E6589"/>
    <w:rsid w:val="002E7E9C"/>
    <w:rsid w:val="002F0F35"/>
    <w:rsid w:val="002F152B"/>
    <w:rsid w:val="002F2210"/>
    <w:rsid w:val="002F24DA"/>
    <w:rsid w:val="002F2F6B"/>
    <w:rsid w:val="002F37D9"/>
    <w:rsid w:val="002F3EF6"/>
    <w:rsid w:val="002F4486"/>
    <w:rsid w:val="002F5B5D"/>
    <w:rsid w:val="002F6B6B"/>
    <w:rsid w:val="002F75AD"/>
    <w:rsid w:val="002F7AB4"/>
    <w:rsid w:val="002F7CE4"/>
    <w:rsid w:val="002F7E63"/>
    <w:rsid w:val="00300236"/>
    <w:rsid w:val="00300920"/>
    <w:rsid w:val="00300B44"/>
    <w:rsid w:val="00301519"/>
    <w:rsid w:val="00301B9E"/>
    <w:rsid w:val="003022AB"/>
    <w:rsid w:val="00302EEC"/>
    <w:rsid w:val="00303396"/>
    <w:rsid w:val="0030389F"/>
    <w:rsid w:val="00303B8D"/>
    <w:rsid w:val="00304BBD"/>
    <w:rsid w:val="0030766E"/>
    <w:rsid w:val="003077A7"/>
    <w:rsid w:val="00307EE9"/>
    <w:rsid w:val="00310CC4"/>
    <w:rsid w:val="00312AA8"/>
    <w:rsid w:val="003131D5"/>
    <w:rsid w:val="003137F5"/>
    <w:rsid w:val="00314637"/>
    <w:rsid w:val="00315EB0"/>
    <w:rsid w:val="00316785"/>
    <w:rsid w:val="00316A1F"/>
    <w:rsid w:val="0031746C"/>
    <w:rsid w:val="003177DC"/>
    <w:rsid w:val="00320ABF"/>
    <w:rsid w:val="00320C44"/>
    <w:rsid w:val="00321106"/>
    <w:rsid w:val="0032194F"/>
    <w:rsid w:val="00321BBA"/>
    <w:rsid w:val="00321C8A"/>
    <w:rsid w:val="003221D9"/>
    <w:rsid w:val="003221F3"/>
    <w:rsid w:val="00323356"/>
    <w:rsid w:val="0032347C"/>
    <w:rsid w:val="00323525"/>
    <w:rsid w:val="00323815"/>
    <w:rsid w:val="00323BA3"/>
    <w:rsid w:val="00323E28"/>
    <w:rsid w:val="00323F9C"/>
    <w:rsid w:val="00324140"/>
    <w:rsid w:val="003241E4"/>
    <w:rsid w:val="00324A82"/>
    <w:rsid w:val="00324E0B"/>
    <w:rsid w:val="00325912"/>
    <w:rsid w:val="0032638C"/>
    <w:rsid w:val="0032706A"/>
    <w:rsid w:val="00327A41"/>
    <w:rsid w:val="00327E5D"/>
    <w:rsid w:val="003304E1"/>
    <w:rsid w:val="0033085D"/>
    <w:rsid w:val="00330935"/>
    <w:rsid w:val="0033137D"/>
    <w:rsid w:val="00331652"/>
    <w:rsid w:val="0033166C"/>
    <w:rsid w:val="00331D4E"/>
    <w:rsid w:val="00334C8E"/>
    <w:rsid w:val="00336B2D"/>
    <w:rsid w:val="00336B42"/>
    <w:rsid w:val="003377C2"/>
    <w:rsid w:val="00337871"/>
    <w:rsid w:val="00337E0C"/>
    <w:rsid w:val="00340DE4"/>
    <w:rsid w:val="00341FD5"/>
    <w:rsid w:val="00342AC4"/>
    <w:rsid w:val="00342D02"/>
    <w:rsid w:val="003433D8"/>
    <w:rsid w:val="00343BA2"/>
    <w:rsid w:val="003446BC"/>
    <w:rsid w:val="003469F5"/>
    <w:rsid w:val="00347679"/>
    <w:rsid w:val="00350B1B"/>
    <w:rsid w:val="0035172F"/>
    <w:rsid w:val="0035173B"/>
    <w:rsid w:val="0035227C"/>
    <w:rsid w:val="003524DC"/>
    <w:rsid w:val="003525D5"/>
    <w:rsid w:val="003529D8"/>
    <w:rsid w:val="00353365"/>
    <w:rsid w:val="00353601"/>
    <w:rsid w:val="003538AE"/>
    <w:rsid w:val="00353AD3"/>
    <w:rsid w:val="00353E39"/>
    <w:rsid w:val="0035537A"/>
    <w:rsid w:val="003554A2"/>
    <w:rsid w:val="00355DE0"/>
    <w:rsid w:val="00360017"/>
    <w:rsid w:val="00360506"/>
    <w:rsid w:val="0036075F"/>
    <w:rsid w:val="0036101C"/>
    <w:rsid w:val="0036121B"/>
    <w:rsid w:val="0036162C"/>
    <w:rsid w:val="00361B1E"/>
    <w:rsid w:val="00361F98"/>
    <w:rsid w:val="00363533"/>
    <w:rsid w:val="00364190"/>
    <w:rsid w:val="00365A68"/>
    <w:rsid w:val="003669AC"/>
    <w:rsid w:val="003669CB"/>
    <w:rsid w:val="00367903"/>
    <w:rsid w:val="00367A69"/>
    <w:rsid w:val="00367C54"/>
    <w:rsid w:val="003706DC"/>
    <w:rsid w:val="00370A55"/>
    <w:rsid w:val="00372A38"/>
    <w:rsid w:val="00372B0D"/>
    <w:rsid w:val="00373517"/>
    <w:rsid w:val="003745E6"/>
    <w:rsid w:val="003749F5"/>
    <w:rsid w:val="00375189"/>
    <w:rsid w:val="003759F5"/>
    <w:rsid w:val="00376A7C"/>
    <w:rsid w:val="00376E26"/>
    <w:rsid w:val="0037775A"/>
    <w:rsid w:val="00377868"/>
    <w:rsid w:val="00377D17"/>
    <w:rsid w:val="00377D76"/>
    <w:rsid w:val="00380005"/>
    <w:rsid w:val="003805A9"/>
    <w:rsid w:val="00380709"/>
    <w:rsid w:val="00380CED"/>
    <w:rsid w:val="003824B2"/>
    <w:rsid w:val="003846E3"/>
    <w:rsid w:val="00384FF9"/>
    <w:rsid w:val="003862F1"/>
    <w:rsid w:val="0038639F"/>
    <w:rsid w:val="00386EE0"/>
    <w:rsid w:val="00387248"/>
    <w:rsid w:val="00391213"/>
    <w:rsid w:val="00391472"/>
    <w:rsid w:val="00391EE2"/>
    <w:rsid w:val="0039233E"/>
    <w:rsid w:val="003931B4"/>
    <w:rsid w:val="0039438E"/>
    <w:rsid w:val="0039478F"/>
    <w:rsid w:val="00394FAD"/>
    <w:rsid w:val="003960D5"/>
    <w:rsid w:val="0039643D"/>
    <w:rsid w:val="0039654B"/>
    <w:rsid w:val="00396BE5"/>
    <w:rsid w:val="00397ECB"/>
    <w:rsid w:val="003A0AAD"/>
    <w:rsid w:val="003A0F67"/>
    <w:rsid w:val="003A1B65"/>
    <w:rsid w:val="003A35D5"/>
    <w:rsid w:val="003A473F"/>
    <w:rsid w:val="003A4E88"/>
    <w:rsid w:val="003A5C0F"/>
    <w:rsid w:val="003A5F53"/>
    <w:rsid w:val="003A6012"/>
    <w:rsid w:val="003A6B5E"/>
    <w:rsid w:val="003A7B13"/>
    <w:rsid w:val="003B0A56"/>
    <w:rsid w:val="003B0A77"/>
    <w:rsid w:val="003B0EFF"/>
    <w:rsid w:val="003B17BC"/>
    <w:rsid w:val="003B1E35"/>
    <w:rsid w:val="003B1FC4"/>
    <w:rsid w:val="003B273F"/>
    <w:rsid w:val="003B57F4"/>
    <w:rsid w:val="003B583F"/>
    <w:rsid w:val="003B5949"/>
    <w:rsid w:val="003B5EC1"/>
    <w:rsid w:val="003B6BBB"/>
    <w:rsid w:val="003C0247"/>
    <w:rsid w:val="003C113D"/>
    <w:rsid w:val="003C1476"/>
    <w:rsid w:val="003C21A4"/>
    <w:rsid w:val="003C2B2C"/>
    <w:rsid w:val="003C2E9F"/>
    <w:rsid w:val="003C346C"/>
    <w:rsid w:val="003C3A63"/>
    <w:rsid w:val="003C3AA3"/>
    <w:rsid w:val="003C4430"/>
    <w:rsid w:val="003C4A01"/>
    <w:rsid w:val="003C5A3C"/>
    <w:rsid w:val="003C5CA3"/>
    <w:rsid w:val="003C653F"/>
    <w:rsid w:val="003C74AD"/>
    <w:rsid w:val="003C78C2"/>
    <w:rsid w:val="003C7A17"/>
    <w:rsid w:val="003C7CC9"/>
    <w:rsid w:val="003D082C"/>
    <w:rsid w:val="003D09D7"/>
    <w:rsid w:val="003D18DD"/>
    <w:rsid w:val="003D21E7"/>
    <w:rsid w:val="003D2C4F"/>
    <w:rsid w:val="003D4962"/>
    <w:rsid w:val="003D568C"/>
    <w:rsid w:val="003D585D"/>
    <w:rsid w:val="003D5D08"/>
    <w:rsid w:val="003D60FA"/>
    <w:rsid w:val="003D62E6"/>
    <w:rsid w:val="003D669E"/>
    <w:rsid w:val="003D7145"/>
    <w:rsid w:val="003E0A10"/>
    <w:rsid w:val="003E1941"/>
    <w:rsid w:val="003E3792"/>
    <w:rsid w:val="003E384C"/>
    <w:rsid w:val="003E4621"/>
    <w:rsid w:val="003E46DE"/>
    <w:rsid w:val="003E5085"/>
    <w:rsid w:val="003E5C43"/>
    <w:rsid w:val="003E5E21"/>
    <w:rsid w:val="003E660D"/>
    <w:rsid w:val="003E78B8"/>
    <w:rsid w:val="003E7CA5"/>
    <w:rsid w:val="003E7DE4"/>
    <w:rsid w:val="003F0144"/>
    <w:rsid w:val="003F16C7"/>
    <w:rsid w:val="003F1948"/>
    <w:rsid w:val="003F35DD"/>
    <w:rsid w:val="003F3A9F"/>
    <w:rsid w:val="003F3E13"/>
    <w:rsid w:val="003F44A6"/>
    <w:rsid w:val="003F5203"/>
    <w:rsid w:val="003F5926"/>
    <w:rsid w:val="003F6281"/>
    <w:rsid w:val="003F65C5"/>
    <w:rsid w:val="003F7405"/>
    <w:rsid w:val="004003B6"/>
    <w:rsid w:val="004012DA"/>
    <w:rsid w:val="0040249A"/>
    <w:rsid w:val="00402525"/>
    <w:rsid w:val="00402BA4"/>
    <w:rsid w:val="00402DD2"/>
    <w:rsid w:val="0040311B"/>
    <w:rsid w:val="0040327C"/>
    <w:rsid w:val="004037DC"/>
    <w:rsid w:val="00403E03"/>
    <w:rsid w:val="0040416B"/>
    <w:rsid w:val="00404660"/>
    <w:rsid w:val="004047AB"/>
    <w:rsid w:val="00404859"/>
    <w:rsid w:val="00404941"/>
    <w:rsid w:val="004054D1"/>
    <w:rsid w:val="0040625E"/>
    <w:rsid w:val="004062A8"/>
    <w:rsid w:val="004063BB"/>
    <w:rsid w:val="00407480"/>
    <w:rsid w:val="00407FF9"/>
    <w:rsid w:val="00410617"/>
    <w:rsid w:val="00410A9F"/>
    <w:rsid w:val="004112B7"/>
    <w:rsid w:val="004119A3"/>
    <w:rsid w:val="0041247D"/>
    <w:rsid w:val="004147AD"/>
    <w:rsid w:val="004151DC"/>
    <w:rsid w:val="004162B3"/>
    <w:rsid w:val="00416A3E"/>
    <w:rsid w:val="00417105"/>
    <w:rsid w:val="00417765"/>
    <w:rsid w:val="00417AD3"/>
    <w:rsid w:val="004202F0"/>
    <w:rsid w:val="004213B6"/>
    <w:rsid w:val="0042164A"/>
    <w:rsid w:val="00421917"/>
    <w:rsid w:val="00421937"/>
    <w:rsid w:val="00421B60"/>
    <w:rsid w:val="00421D21"/>
    <w:rsid w:val="00422482"/>
    <w:rsid w:val="0042352B"/>
    <w:rsid w:val="00423B44"/>
    <w:rsid w:val="00424E4C"/>
    <w:rsid w:val="00425112"/>
    <w:rsid w:val="004251EE"/>
    <w:rsid w:val="004258C1"/>
    <w:rsid w:val="00426040"/>
    <w:rsid w:val="004261AC"/>
    <w:rsid w:val="004262F5"/>
    <w:rsid w:val="0042632E"/>
    <w:rsid w:val="0042672E"/>
    <w:rsid w:val="0042684E"/>
    <w:rsid w:val="00426A39"/>
    <w:rsid w:val="00426E3C"/>
    <w:rsid w:val="004301AD"/>
    <w:rsid w:val="004331B8"/>
    <w:rsid w:val="004332C5"/>
    <w:rsid w:val="004332CC"/>
    <w:rsid w:val="00433AF8"/>
    <w:rsid w:val="0043428C"/>
    <w:rsid w:val="004348AA"/>
    <w:rsid w:val="00434C19"/>
    <w:rsid w:val="00434E8F"/>
    <w:rsid w:val="004353E8"/>
    <w:rsid w:val="0043574E"/>
    <w:rsid w:val="00435C68"/>
    <w:rsid w:val="0043602D"/>
    <w:rsid w:val="00436507"/>
    <w:rsid w:val="00437A2A"/>
    <w:rsid w:val="00440B5D"/>
    <w:rsid w:val="00441531"/>
    <w:rsid w:val="00441AA7"/>
    <w:rsid w:val="00441AB1"/>
    <w:rsid w:val="00441BE5"/>
    <w:rsid w:val="004420B7"/>
    <w:rsid w:val="0044272A"/>
    <w:rsid w:val="00442AF0"/>
    <w:rsid w:val="00443346"/>
    <w:rsid w:val="00443349"/>
    <w:rsid w:val="00443A8A"/>
    <w:rsid w:val="00444254"/>
    <w:rsid w:val="004443B5"/>
    <w:rsid w:val="0044449A"/>
    <w:rsid w:val="004446A8"/>
    <w:rsid w:val="00445535"/>
    <w:rsid w:val="0044578F"/>
    <w:rsid w:val="00447A54"/>
    <w:rsid w:val="00447CB5"/>
    <w:rsid w:val="004500A0"/>
    <w:rsid w:val="00450185"/>
    <w:rsid w:val="0045070F"/>
    <w:rsid w:val="00450D90"/>
    <w:rsid w:val="00450F0E"/>
    <w:rsid w:val="0045134E"/>
    <w:rsid w:val="00453304"/>
    <w:rsid w:val="00453359"/>
    <w:rsid w:val="00453B86"/>
    <w:rsid w:val="00453C07"/>
    <w:rsid w:val="0045471F"/>
    <w:rsid w:val="004550E3"/>
    <w:rsid w:val="004554DF"/>
    <w:rsid w:val="004559C8"/>
    <w:rsid w:val="00460C0D"/>
    <w:rsid w:val="00460E7B"/>
    <w:rsid w:val="00461242"/>
    <w:rsid w:val="00461689"/>
    <w:rsid w:val="004624A9"/>
    <w:rsid w:val="00462CFC"/>
    <w:rsid w:val="0046484A"/>
    <w:rsid w:val="00465534"/>
    <w:rsid w:val="00465C14"/>
    <w:rsid w:val="00467FCB"/>
    <w:rsid w:val="004701A2"/>
    <w:rsid w:val="00470615"/>
    <w:rsid w:val="00472181"/>
    <w:rsid w:val="00472318"/>
    <w:rsid w:val="0047281E"/>
    <w:rsid w:val="00472DF2"/>
    <w:rsid w:val="00473A67"/>
    <w:rsid w:val="00475204"/>
    <w:rsid w:val="004756E3"/>
    <w:rsid w:val="00475D11"/>
    <w:rsid w:val="004763AC"/>
    <w:rsid w:val="00476730"/>
    <w:rsid w:val="004773CE"/>
    <w:rsid w:val="00477F50"/>
    <w:rsid w:val="004802B2"/>
    <w:rsid w:val="00481201"/>
    <w:rsid w:val="00481335"/>
    <w:rsid w:val="00481556"/>
    <w:rsid w:val="00481A84"/>
    <w:rsid w:val="00481AC0"/>
    <w:rsid w:val="00481D81"/>
    <w:rsid w:val="00482B63"/>
    <w:rsid w:val="00483AC0"/>
    <w:rsid w:val="00483DAA"/>
    <w:rsid w:val="00484AB4"/>
    <w:rsid w:val="004854D4"/>
    <w:rsid w:val="00485565"/>
    <w:rsid w:val="00485AD8"/>
    <w:rsid w:val="00485E02"/>
    <w:rsid w:val="004867FF"/>
    <w:rsid w:val="0048733B"/>
    <w:rsid w:val="00487C21"/>
    <w:rsid w:val="004900B3"/>
    <w:rsid w:val="0049020A"/>
    <w:rsid w:val="00490260"/>
    <w:rsid w:val="00491257"/>
    <w:rsid w:val="00491612"/>
    <w:rsid w:val="00491E6A"/>
    <w:rsid w:val="0049212B"/>
    <w:rsid w:val="00492B9C"/>
    <w:rsid w:val="00493AD7"/>
    <w:rsid w:val="00493B49"/>
    <w:rsid w:val="00493D6A"/>
    <w:rsid w:val="004942BA"/>
    <w:rsid w:val="00494327"/>
    <w:rsid w:val="004966FD"/>
    <w:rsid w:val="004970D3"/>
    <w:rsid w:val="004971AB"/>
    <w:rsid w:val="00497D28"/>
    <w:rsid w:val="004A03C2"/>
    <w:rsid w:val="004A1396"/>
    <w:rsid w:val="004A13D3"/>
    <w:rsid w:val="004A17AD"/>
    <w:rsid w:val="004A17B1"/>
    <w:rsid w:val="004A3902"/>
    <w:rsid w:val="004A4B48"/>
    <w:rsid w:val="004A4DF6"/>
    <w:rsid w:val="004A53AE"/>
    <w:rsid w:val="004A5AA8"/>
    <w:rsid w:val="004B004F"/>
    <w:rsid w:val="004B00E3"/>
    <w:rsid w:val="004B071F"/>
    <w:rsid w:val="004B0FFE"/>
    <w:rsid w:val="004B12D8"/>
    <w:rsid w:val="004B2625"/>
    <w:rsid w:val="004B3557"/>
    <w:rsid w:val="004B438F"/>
    <w:rsid w:val="004B4882"/>
    <w:rsid w:val="004B48D8"/>
    <w:rsid w:val="004B4C76"/>
    <w:rsid w:val="004B5C7A"/>
    <w:rsid w:val="004B6ACC"/>
    <w:rsid w:val="004B718B"/>
    <w:rsid w:val="004B7BC9"/>
    <w:rsid w:val="004C0666"/>
    <w:rsid w:val="004C0C61"/>
    <w:rsid w:val="004C17F1"/>
    <w:rsid w:val="004C2474"/>
    <w:rsid w:val="004C2E77"/>
    <w:rsid w:val="004C30B8"/>
    <w:rsid w:val="004C3B5A"/>
    <w:rsid w:val="004C4406"/>
    <w:rsid w:val="004C4490"/>
    <w:rsid w:val="004C44C0"/>
    <w:rsid w:val="004C49DC"/>
    <w:rsid w:val="004C5017"/>
    <w:rsid w:val="004C579E"/>
    <w:rsid w:val="004C585D"/>
    <w:rsid w:val="004C58D3"/>
    <w:rsid w:val="004C5B8F"/>
    <w:rsid w:val="004C5C01"/>
    <w:rsid w:val="004C5DA6"/>
    <w:rsid w:val="004C6809"/>
    <w:rsid w:val="004C6ECA"/>
    <w:rsid w:val="004C706C"/>
    <w:rsid w:val="004D018A"/>
    <w:rsid w:val="004D11DA"/>
    <w:rsid w:val="004D2ACA"/>
    <w:rsid w:val="004D2FCA"/>
    <w:rsid w:val="004D316C"/>
    <w:rsid w:val="004D3A44"/>
    <w:rsid w:val="004D45F0"/>
    <w:rsid w:val="004D480C"/>
    <w:rsid w:val="004D5D5F"/>
    <w:rsid w:val="004D61C9"/>
    <w:rsid w:val="004D7351"/>
    <w:rsid w:val="004D7E1A"/>
    <w:rsid w:val="004E0846"/>
    <w:rsid w:val="004E0909"/>
    <w:rsid w:val="004E1BB3"/>
    <w:rsid w:val="004E1FF0"/>
    <w:rsid w:val="004E26BC"/>
    <w:rsid w:val="004E284A"/>
    <w:rsid w:val="004E2B58"/>
    <w:rsid w:val="004E2C75"/>
    <w:rsid w:val="004E2E65"/>
    <w:rsid w:val="004E3296"/>
    <w:rsid w:val="004E3830"/>
    <w:rsid w:val="004E38C8"/>
    <w:rsid w:val="004E39E0"/>
    <w:rsid w:val="004E468B"/>
    <w:rsid w:val="004E496F"/>
    <w:rsid w:val="004E4CBA"/>
    <w:rsid w:val="004E56B4"/>
    <w:rsid w:val="004E6447"/>
    <w:rsid w:val="004E67E8"/>
    <w:rsid w:val="004E6A6B"/>
    <w:rsid w:val="004E7801"/>
    <w:rsid w:val="004E7D4F"/>
    <w:rsid w:val="004F035A"/>
    <w:rsid w:val="004F0D9E"/>
    <w:rsid w:val="004F1282"/>
    <w:rsid w:val="004F17B8"/>
    <w:rsid w:val="004F251D"/>
    <w:rsid w:val="004F31B1"/>
    <w:rsid w:val="004F355F"/>
    <w:rsid w:val="004F4F8B"/>
    <w:rsid w:val="004F50F2"/>
    <w:rsid w:val="004F6584"/>
    <w:rsid w:val="004F66F4"/>
    <w:rsid w:val="004F73DE"/>
    <w:rsid w:val="004F7630"/>
    <w:rsid w:val="00501B1B"/>
    <w:rsid w:val="0050234D"/>
    <w:rsid w:val="00502951"/>
    <w:rsid w:val="00503829"/>
    <w:rsid w:val="0050387F"/>
    <w:rsid w:val="00503DDB"/>
    <w:rsid w:val="005042FE"/>
    <w:rsid w:val="00504398"/>
    <w:rsid w:val="005044D8"/>
    <w:rsid w:val="00504A8D"/>
    <w:rsid w:val="0050576E"/>
    <w:rsid w:val="00505A8C"/>
    <w:rsid w:val="00505B05"/>
    <w:rsid w:val="00505CD1"/>
    <w:rsid w:val="00506489"/>
    <w:rsid w:val="00507DCF"/>
    <w:rsid w:val="00510D79"/>
    <w:rsid w:val="0051149E"/>
    <w:rsid w:val="00511721"/>
    <w:rsid w:val="0051245D"/>
    <w:rsid w:val="00513220"/>
    <w:rsid w:val="00513322"/>
    <w:rsid w:val="00513F90"/>
    <w:rsid w:val="00514B2C"/>
    <w:rsid w:val="00514FC6"/>
    <w:rsid w:val="005156D9"/>
    <w:rsid w:val="005157F7"/>
    <w:rsid w:val="0051600B"/>
    <w:rsid w:val="00516505"/>
    <w:rsid w:val="00516D5D"/>
    <w:rsid w:val="00520120"/>
    <w:rsid w:val="005206E2"/>
    <w:rsid w:val="00520C69"/>
    <w:rsid w:val="00520EAB"/>
    <w:rsid w:val="00520F77"/>
    <w:rsid w:val="00521DB3"/>
    <w:rsid w:val="00522596"/>
    <w:rsid w:val="00522A56"/>
    <w:rsid w:val="00522C08"/>
    <w:rsid w:val="005240EE"/>
    <w:rsid w:val="0052552B"/>
    <w:rsid w:val="00525BAF"/>
    <w:rsid w:val="00525EB1"/>
    <w:rsid w:val="005267CE"/>
    <w:rsid w:val="00526D0E"/>
    <w:rsid w:val="00526FDF"/>
    <w:rsid w:val="00527AB1"/>
    <w:rsid w:val="00527B0E"/>
    <w:rsid w:val="00530492"/>
    <w:rsid w:val="00530B95"/>
    <w:rsid w:val="00531112"/>
    <w:rsid w:val="00531197"/>
    <w:rsid w:val="005313F2"/>
    <w:rsid w:val="00531451"/>
    <w:rsid w:val="00531800"/>
    <w:rsid w:val="00531CFA"/>
    <w:rsid w:val="0053340B"/>
    <w:rsid w:val="00534905"/>
    <w:rsid w:val="00534FA0"/>
    <w:rsid w:val="005350DD"/>
    <w:rsid w:val="0053537D"/>
    <w:rsid w:val="00535438"/>
    <w:rsid w:val="00535A94"/>
    <w:rsid w:val="0053633F"/>
    <w:rsid w:val="0053671B"/>
    <w:rsid w:val="00536FE9"/>
    <w:rsid w:val="005370A4"/>
    <w:rsid w:val="005378E4"/>
    <w:rsid w:val="00540760"/>
    <w:rsid w:val="00540ED1"/>
    <w:rsid w:val="005418AD"/>
    <w:rsid w:val="005439B3"/>
    <w:rsid w:val="00544758"/>
    <w:rsid w:val="00544ECC"/>
    <w:rsid w:val="005457C6"/>
    <w:rsid w:val="00546DFD"/>
    <w:rsid w:val="005472B3"/>
    <w:rsid w:val="00547420"/>
    <w:rsid w:val="005475A5"/>
    <w:rsid w:val="00547D35"/>
    <w:rsid w:val="00547DD0"/>
    <w:rsid w:val="005509EA"/>
    <w:rsid w:val="005519F0"/>
    <w:rsid w:val="00551CD0"/>
    <w:rsid w:val="00552543"/>
    <w:rsid w:val="00553508"/>
    <w:rsid w:val="00553CC3"/>
    <w:rsid w:val="00554E07"/>
    <w:rsid w:val="00555434"/>
    <w:rsid w:val="00555589"/>
    <w:rsid w:val="00555F75"/>
    <w:rsid w:val="00556DEB"/>
    <w:rsid w:val="00560C5F"/>
    <w:rsid w:val="005637FE"/>
    <w:rsid w:val="00563DD5"/>
    <w:rsid w:val="00564782"/>
    <w:rsid w:val="00565294"/>
    <w:rsid w:val="00565F90"/>
    <w:rsid w:val="00566619"/>
    <w:rsid w:val="00566C2D"/>
    <w:rsid w:val="00566F75"/>
    <w:rsid w:val="00566F7C"/>
    <w:rsid w:val="00567899"/>
    <w:rsid w:val="00567EC2"/>
    <w:rsid w:val="00570319"/>
    <w:rsid w:val="00570D53"/>
    <w:rsid w:val="00572EFF"/>
    <w:rsid w:val="00573F5E"/>
    <w:rsid w:val="00574118"/>
    <w:rsid w:val="005741B3"/>
    <w:rsid w:val="0057463C"/>
    <w:rsid w:val="0057493C"/>
    <w:rsid w:val="00574F04"/>
    <w:rsid w:val="00575385"/>
    <w:rsid w:val="00575753"/>
    <w:rsid w:val="005777EC"/>
    <w:rsid w:val="0057789A"/>
    <w:rsid w:val="00581266"/>
    <w:rsid w:val="00581F35"/>
    <w:rsid w:val="00583276"/>
    <w:rsid w:val="005832DE"/>
    <w:rsid w:val="00583CE9"/>
    <w:rsid w:val="005845E1"/>
    <w:rsid w:val="005846C4"/>
    <w:rsid w:val="00586E6F"/>
    <w:rsid w:val="0058776B"/>
    <w:rsid w:val="00587A37"/>
    <w:rsid w:val="00587F5A"/>
    <w:rsid w:val="00587FB8"/>
    <w:rsid w:val="0059042E"/>
    <w:rsid w:val="00590755"/>
    <w:rsid w:val="00590775"/>
    <w:rsid w:val="00590E5A"/>
    <w:rsid w:val="005917EB"/>
    <w:rsid w:val="0059198C"/>
    <w:rsid w:val="005926E8"/>
    <w:rsid w:val="00592E1D"/>
    <w:rsid w:val="00593112"/>
    <w:rsid w:val="00593B79"/>
    <w:rsid w:val="00593BAA"/>
    <w:rsid w:val="00593FA5"/>
    <w:rsid w:val="005947BF"/>
    <w:rsid w:val="005958E8"/>
    <w:rsid w:val="005961A0"/>
    <w:rsid w:val="0059685A"/>
    <w:rsid w:val="00596D12"/>
    <w:rsid w:val="00597C92"/>
    <w:rsid w:val="005A03C9"/>
    <w:rsid w:val="005A05F0"/>
    <w:rsid w:val="005A0998"/>
    <w:rsid w:val="005A14F3"/>
    <w:rsid w:val="005A171E"/>
    <w:rsid w:val="005A2CD2"/>
    <w:rsid w:val="005A2FD2"/>
    <w:rsid w:val="005A308B"/>
    <w:rsid w:val="005A3B2B"/>
    <w:rsid w:val="005A3EBE"/>
    <w:rsid w:val="005A4CB1"/>
    <w:rsid w:val="005A4E66"/>
    <w:rsid w:val="005A5896"/>
    <w:rsid w:val="005A5DB6"/>
    <w:rsid w:val="005A6A6D"/>
    <w:rsid w:val="005A7892"/>
    <w:rsid w:val="005A7C92"/>
    <w:rsid w:val="005A7DDA"/>
    <w:rsid w:val="005B0431"/>
    <w:rsid w:val="005B063F"/>
    <w:rsid w:val="005B0AAF"/>
    <w:rsid w:val="005B0FAA"/>
    <w:rsid w:val="005B11D8"/>
    <w:rsid w:val="005B18FF"/>
    <w:rsid w:val="005B2076"/>
    <w:rsid w:val="005B273D"/>
    <w:rsid w:val="005B31F7"/>
    <w:rsid w:val="005B38C9"/>
    <w:rsid w:val="005B3FBE"/>
    <w:rsid w:val="005B450E"/>
    <w:rsid w:val="005B4A39"/>
    <w:rsid w:val="005B5234"/>
    <w:rsid w:val="005B5C61"/>
    <w:rsid w:val="005B6427"/>
    <w:rsid w:val="005B65C0"/>
    <w:rsid w:val="005B668A"/>
    <w:rsid w:val="005B6F82"/>
    <w:rsid w:val="005B7194"/>
    <w:rsid w:val="005B7B89"/>
    <w:rsid w:val="005C0B35"/>
    <w:rsid w:val="005C0C47"/>
    <w:rsid w:val="005C0CAE"/>
    <w:rsid w:val="005C1186"/>
    <w:rsid w:val="005C4441"/>
    <w:rsid w:val="005C45C1"/>
    <w:rsid w:val="005C5324"/>
    <w:rsid w:val="005C6749"/>
    <w:rsid w:val="005C7199"/>
    <w:rsid w:val="005C74B4"/>
    <w:rsid w:val="005C75AB"/>
    <w:rsid w:val="005C7B9E"/>
    <w:rsid w:val="005D0F94"/>
    <w:rsid w:val="005D1ECE"/>
    <w:rsid w:val="005D2461"/>
    <w:rsid w:val="005D2E81"/>
    <w:rsid w:val="005D4667"/>
    <w:rsid w:val="005D4BDC"/>
    <w:rsid w:val="005D5BBE"/>
    <w:rsid w:val="005D5BC3"/>
    <w:rsid w:val="005D5E16"/>
    <w:rsid w:val="005D68ED"/>
    <w:rsid w:val="005D6F6A"/>
    <w:rsid w:val="005E1975"/>
    <w:rsid w:val="005E1CF2"/>
    <w:rsid w:val="005E2A0F"/>
    <w:rsid w:val="005E367C"/>
    <w:rsid w:val="005E3CE1"/>
    <w:rsid w:val="005E3D43"/>
    <w:rsid w:val="005E3ECD"/>
    <w:rsid w:val="005E56F7"/>
    <w:rsid w:val="005E59F4"/>
    <w:rsid w:val="005E630E"/>
    <w:rsid w:val="005E642D"/>
    <w:rsid w:val="005E696E"/>
    <w:rsid w:val="005E6D29"/>
    <w:rsid w:val="005E720C"/>
    <w:rsid w:val="005E7387"/>
    <w:rsid w:val="005E7DC8"/>
    <w:rsid w:val="005F122A"/>
    <w:rsid w:val="005F1AAF"/>
    <w:rsid w:val="005F1CC5"/>
    <w:rsid w:val="005F2D0B"/>
    <w:rsid w:val="005F2FE4"/>
    <w:rsid w:val="005F3177"/>
    <w:rsid w:val="005F330E"/>
    <w:rsid w:val="005F33C6"/>
    <w:rsid w:val="005F3E04"/>
    <w:rsid w:val="005F49CB"/>
    <w:rsid w:val="005F4C2D"/>
    <w:rsid w:val="005F522D"/>
    <w:rsid w:val="005F5C8C"/>
    <w:rsid w:val="005F5E50"/>
    <w:rsid w:val="005F61F6"/>
    <w:rsid w:val="005F6204"/>
    <w:rsid w:val="005F6AED"/>
    <w:rsid w:val="005F6DA4"/>
    <w:rsid w:val="006004E8"/>
    <w:rsid w:val="006006C8"/>
    <w:rsid w:val="00601543"/>
    <w:rsid w:val="00602B0E"/>
    <w:rsid w:val="00602B73"/>
    <w:rsid w:val="0060379D"/>
    <w:rsid w:val="00603879"/>
    <w:rsid w:val="006038BF"/>
    <w:rsid w:val="00603B4F"/>
    <w:rsid w:val="00604386"/>
    <w:rsid w:val="00604DB3"/>
    <w:rsid w:val="0060502F"/>
    <w:rsid w:val="0060582D"/>
    <w:rsid w:val="006062D8"/>
    <w:rsid w:val="006068DA"/>
    <w:rsid w:val="00607AAD"/>
    <w:rsid w:val="00607E55"/>
    <w:rsid w:val="00610381"/>
    <w:rsid w:val="00610500"/>
    <w:rsid w:val="00610773"/>
    <w:rsid w:val="00610ECA"/>
    <w:rsid w:val="00610FF4"/>
    <w:rsid w:val="00611316"/>
    <w:rsid w:val="00612A71"/>
    <w:rsid w:val="0061320B"/>
    <w:rsid w:val="0061330F"/>
    <w:rsid w:val="00613461"/>
    <w:rsid w:val="0061350C"/>
    <w:rsid w:val="00613715"/>
    <w:rsid w:val="00613C26"/>
    <w:rsid w:val="00613D5D"/>
    <w:rsid w:val="006157F0"/>
    <w:rsid w:val="006158CE"/>
    <w:rsid w:val="00615F89"/>
    <w:rsid w:val="006169E3"/>
    <w:rsid w:val="00617A19"/>
    <w:rsid w:val="00617A28"/>
    <w:rsid w:val="00617B1A"/>
    <w:rsid w:val="00620216"/>
    <w:rsid w:val="00620271"/>
    <w:rsid w:val="006203F5"/>
    <w:rsid w:val="00620731"/>
    <w:rsid w:val="0062154B"/>
    <w:rsid w:val="00621AA8"/>
    <w:rsid w:val="00622323"/>
    <w:rsid w:val="006229FE"/>
    <w:rsid w:val="0062622E"/>
    <w:rsid w:val="00626599"/>
    <w:rsid w:val="00627058"/>
    <w:rsid w:val="0063060F"/>
    <w:rsid w:val="00631481"/>
    <w:rsid w:val="00631616"/>
    <w:rsid w:val="00631CFD"/>
    <w:rsid w:val="00631DB7"/>
    <w:rsid w:val="006323F5"/>
    <w:rsid w:val="00635829"/>
    <w:rsid w:val="00635BE6"/>
    <w:rsid w:val="006362ED"/>
    <w:rsid w:val="0063691A"/>
    <w:rsid w:val="00637301"/>
    <w:rsid w:val="006377C9"/>
    <w:rsid w:val="00637808"/>
    <w:rsid w:val="006408EC"/>
    <w:rsid w:val="00640EA1"/>
    <w:rsid w:val="0064149A"/>
    <w:rsid w:val="0064190D"/>
    <w:rsid w:val="00641ABE"/>
    <w:rsid w:val="00641B58"/>
    <w:rsid w:val="00641DC7"/>
    <w:rsid w:val="00641F91"/>
    <w:rsid w:val="00642BFB"/>
    <w:rsid w:val="00642D04"/>
    <w:rsid w:val="006431C5"/>
    <w:rsid w:val="0064328F"/>
    <w:rsid w:val="00643719"/>
    <w:rsid w:val="0064372F"/>
    <w:rsid w:val="00644471"/>
    <w:rsid w:val="00644806"/>
    <w:rsid w:val="00644AFF"/>
    <w:rsid w:val="00644B3A"/>
    <w:rsid w:val="00644E03"/>
    <w:rsid w:val="00646517"/>
    <w:rsid w:val="00646F86"/>
    <w:rsid w:val="006471C8"/>
    <w:rsid w:val="006478E8"/>
    <w:rsid w:val="00650629"/>
    <w:rsid w:val="00651E35"/>
    <w:rsid w:val="006521E4"/>
    <w:rsid w:val="00652E70"/>
    <w:rsid w:val="00653821"/>
    <w:rsid w:val="006541B9"/>
    <w:rsid w:val="006545BE"/>
    <w:rsid w:val="00655271"/>
    <w:rsid w:val="006559CA"/>
    <w:rsid w:val="00656B1D"/>
    <w:rsid w:val="00656CFC"/>
    <w:rsid w:val="006573F4"/>
    <w:rsid w:val="00657890"/>
    <w:rsid w:val="00657CCA"/>
    <w:rsid w:val="00657DAB"/>
    <w:rsid w:val="00661B19"/>
    <w:rsid w:val="00661ED1"/>
    <w:rsid w:val="006639C4"/>
    <w:rsid w:val="006640B5"/>
    <w:rsid w:val="00664158"/>
    <w:rsid w:val="00664233"/>
    <w:rsid w:val="0066454C"/>
    <w:rsid w:val="00664710"/>
    <w:rsid w:val="00664C08"/>
    <w:rsid w:val="00665336"/>
    <w:rsid w:val="006656C3"/>
    <w:rsid w:val="0066576A"/>
    <w:rsid w:val="006658CE"/>
    <w:rsid w:val="0066666B"/>
    <w:rsid w:val="00666DCF"/>
    <w:rsid w:val="00667155"/>
    <w:rsid w:val="00667327"/>
    <w:rsid w:val="00667CE9"/>
    <w:rsid w:val="0067078C"/>
    <w:rsid w:val="00672300"/>
    <w:rsid w:val="006731EE"/>
    <w:rsid w:val="006736A5"/>
    <w:rsid w:val="0067419B"/>
    <w:rsid w:val="0067440A"/>
    <w:rsid w:val="00674B06"/>
    <w:rsid w:val="00674E67"/>
    <w:rsid w:val="0067665B"/>
    <w:rsid w:val="00676791"/>
    <w:rsid w:val="00676958"/>
    <w:rsid w:val="006774F9"/>
    <w:rsid w:val="006778B1"/>
    <w:rsid w:val="00680826"/>
    <w:rsid w:val="00680F63"/>
    <w:rsid w:val="00683B0E"/>
    <w:rsid w:val="006840C3"/>
    <w:rsid w:val="006843A5"/>
    <w:rsid w:val="006844BD"/>
    <w:rsid w:val="00685357"/>
    <w:rsid w:val="0068543F"/>
    <w:rsid w:val="00685627"/>
    <w:rsid w:val="00686F1A"/>
    <w:rsid w:val="0068723B"/>
    <w:rsid w:val="006872B4"/>
    <w:rsid w:val="00687A26"/>
    <w:rsid w:val="00687E88"/>
    <w:rsid w:val="00690763"/>
    <w:rsid w:val="006908CF"/>
    <w:rsid w:val="00690A61"/>
    <w:rsid w:val="00690C53"/>
    <w:rsid w:val="00691358"/>
    <w:rsid w:val="00692CCC"/>
    <w:rsid w:val="006939C6"/>
    <w:rsid w:val="00693D71"/>
    <w:rsid w:val="00693E6A"/>
    <w:rsid w:val="00693F60"/>
    <w:rsid w:val="00694AEE"/>
    <w:rsid w:val="00694BF2"/>
    <w:rsid w:val="00695204"/>
    <w:rsid w:val="00695621"/>
    <w:rsid w:val="00696623"/>
    <w:rsid w:val="00696676"/>
    <w:rsid w:val="006A038E"/>
    <w:rsid w:val="006A07D6"/>
    <w:rsid w:val="006A1575"/>
    <w:rsid w:val="006A2121"/>
    <w:rsid w:val="006A2735"/>
    <w:rsid w:val="006A28E2"/>
    <w:rsid w:val="006A2F08"/>
    <w:rsid w:val="006A3D5E"/>
    <w:rsid w:val="006A4B94"/>
    <w:rsid w:val="006A5ED1"/>
    <w:rsid w:val="006A6589"/>
    <w:rsid w:val="006A7328"/>
    <w:rsid w:val="006B073E"/>
    <w:rsid w:val="006B0894"/>
    <w:rsid w:val="006B099A"/>
    <w:rsid w:val="006B0CD0"/>
    <w:rsid w:val="006B0CEA"/>
    <w:rsid w:val="006B1C22"/>
    <w:rsid w:val="006B1E50"/>
    <w:rsid w:val="006B3068"/>
    <w:rsid w:val="006B348E"/>
    <w:rsid w:val="006B37F2"/>
    <w:rsid w:val="006B38E6"/>
    <w:rsid w:val="006B4A2A"/>
    <w:rsid w:val="006B50DA"/>
    <w:rsid w:val="006B5BDD"/>
    <w:rsid w:val="006B5DCD"/>
    <w:rsid w:val="006B6A1A"/>
    <w:rsid w:val="006B6F75"/>
    <w:rsid w:val="006C00B4"/>
    <w:rsid w:val="006C04DB"/>
    <w:rsid w:val="006C2E39"/>
    <w:rsid w:val="006C3B78"/>
    <w:rsid w:val="006C466E"/>
    <w:rsid w:val="006C47F1"/>
    <w:rsid w:val="006C4FEC"/>
    <w:rsid w:val="006C5E0F"/>
    <w:rsid w:val="006C6586"/>
    <w:rsid w:val="006C69D6"/>
    <w:rsid w:val="006C6E7B"/>
    <w:rsid w:val="006C7DC2"/>
    <w:rsid w:val="006D0135"/>
    <w:rsid w:val="006D0A27"/>
    <w:rsid w:val="006D0AC1"/>
    <w:rsid w:val="006D138C"/>
    <w:rsid w:val="006D165C"/>
    <w:rsid w:val="006D1885"/>
    <w:rsid w:val="006D1959"/>
    <w:rsid w:val="006D2202"/>
    <w:rsid w:val="006D2684"/>
    <w:rsid w:val="006D27E0"/>
    <w:rsid w:val="006D2B31"/>
    <w:rsid w:val="006D440B"/>
    <w:rsid w:val="006D4F31"/>
    <w:rsid w:val="006D5F0B"/>
    <w:rsid w:val="006D654F"/>
    <w:rsid w:val="006D6F61"/>
    <w:rsid w:val="006D732E"/>
    <w:rsid w:val="006E06AB"/>
    <w:rsid w:val="006E0BD8"/>
    <w:rsid w:val="006E332E"/>
    <w:rsid w:val="006E3FBA"/>
    <w:rsid w:val="006E54A5"/>
    <w:rsid w:val="006E62EE"/>
    <w:rsid w:val="006E6665"/>
    <w:rsid w:val="006E794D"/>
    <w:rsid w:val="006F0AF1"/>
    <w:rsid w:val="006F25A7"/>
    <w:rsid w:val="006F25BE"/>
    <w:rsid w:val="006F3169"/>
    <w:rsid w:val="006F38B4"/>
    <w:rsid w:val="006F392E"/>
    <w:rsid w:val="006F3B84"/>
    <w:rsid w:val="006F3D22"/>
    <w:rsid w:val="006F434F"/>
    <w:rsid w:val="006F491A"/>
    <w:rsid w:val="006F4D4F"/>
    <w:rsid w:val="006F5B78"/>
    <w:rsid w:val="006F64C7"/>
    <w:rsid w:val="006F6651"/>
    <w:rsid w:val="006F7364"/>
    <w:rsid w:val="006F7A5C"/>
    <w:rsid w:val="006F7AD0"/>
    <w:rsid w:val="007000AF"/>
    <w:rsid w:val="007004EF"/>
    <w:rsid w:val="0070090E"/>
    <w:rsid w:val="00700C20"/>
    <w:rsid w:val="00701354"/>
    <w:rsid w:val="007013EB"/>
    <w:rsid w:val="0070216B"/>
    <w:rsid w:val="0070221B"/>
    <w:rsid w:val="007026DB"/>
    <w:rsid w:val="007028A5"/>
    <w:rsid w:val="007035D0"/>
    <w:rsid w:val="007064CD"/>
    <w:rsid w:val="0070677E"/>
    <w:rsid w:val="00706936"/>
    <w:rsid w:val="00706D10"/>
    <w:rsid w:val="00707C93"/>
    <w:rsid w:val="0071026A"/>
    <w:rsid w:val="00710662"/>
    <w:rsid w:val="007117C0"/>
    <w:rsid w:val="00711CC2"/>
    <w:rsid w:val="00712EE3"/>
    <w:rsid w:val="0071396E"/>
    <w:rsid w:val="00713C4E"/>
    <w:rsid w:val="00715244"/>
    <w:rsid w:val="00715B52"/>
    <w:rsid w:val="00716B90"/>
    <w:rsid w:val="0071788B"/>
    <w:rsid w:val="00720A6B"/>
    <w:rsid w:val="0072120A"/>
    <w:rsid w:val="00721752"/>
    <w:rsid w:val="00721A8B"/>
    <w:rsid w:val="00721AA3"/>
    <w:rsid w:val="007230A5"/>
    <w:rsid w:val="007231C6"/>
    <w:rsid w:val="007238E0"/>
    <w:rsid w:val="00723CB2"/>
    <w:rsid w:val="007243C6"/>
    <w:rsid w:val="00725F1F"/>
    <w:rsid w:val="007276A0"/>
    <w:rsid w:val="0073172E"/>
    <w:rsid w:val="00731898"/>
    <w:rsid w:val="00733763"/>
    <w:rsid w:val="00733B8B"/>
    <w:rsid w:val="00734123"/>
    <w:rsid w:val="0073549B"/>
    <w:rsid w:val="00735631"/>
    <w:rsid w:val="00736674"/>
    <w:rsid w:val="00737B20"/>
    <w:rsid w:val="00740273"/>
    <w:rsid w:val="007411B1"/>
    <w:rsid w:val="00741A22"/>
    <w:rsid w:val="007421DF"/>
    <w:rsid w:val="00743543"/>
    <w:rsid w:val="00743591"/>
    <w:rsid w:val="0074359D"/>
    <w:rsid w:val="007439BC"/>
    <w:rsid w:val="00743BFE"/>
    <w:rsid w:val="007442F0"/>
    <w:rsid w:val="00744A21"/>
    <w:rsid w:val="007470A4"/>
    <w:rsid w:val="007477F1"/>
    <w:rsid w:val="00747AFB"/>
    <w:rsid w:val="00750AE4"/>
    <w:rsid w:val="0075138C"/>
    <w:rsid w:val="0075202A"/>
    <w:rsid w:val="0075279E"/>
    <w:rsid w:val="00752A10"/>
    <w:rsid w:val="0075439E"/>
    <w:rsid w:val="00754522"/>
    <w:rsid w:val="0075461E"/>
    <w:rsid w:val="00754757"/>
    <w:rsid w:val="0075485B"/>
    <w:rsid w:val="0075491E"/>
    <w:rsid w:val="00754D05"/>
    <w:rsid w:val="00754DA9"/>
    <w:rsid w:val="00754F19"/>
    <w:rsid w:val="00756124"/>
    <w:rsid w:val="00760337"/>
    <w:rsid w:val="00760FD1"/>
    <w:rsid w:val="0076197A"/>
    <w:rsid w:val="00761ABC"/>
    <w:rsid w:val="0076241D"/>
    <w:rsid w:val="00762608"/>
    <w:rsid w:val="00762E4B"/>
    <w:rsid w:val="00763636"/>
    <w:rsid w:val="00764D2F"/>
    <w:rsid w:val="00764D7B"/>
    <w:rsid w:val="00765598"/>
    <w:rsid w:val="00765896"/>
    <w:rsid w:val="00765C0D"/>
    <w:rsid w:val="00765DF1"/>
    <w:rsid w:val="007660AD"/>
    <w:rsid w:val="00766534"/>
    <w:rsid w:val="007671E4"/>
    <w:rsid w:val="00767473"/>
    <w:rsid w:val="00767765"/>
    <w:rsid w:val="007679D5"/>
    <w:rsid w:val="00770282"/>
    <w:rsid w:val="007727FF"/>
    <w:rsid w:val="0077314D"/>
    <w:rsid w:val="00773ADA"/>
    <w:rsid w:val="00773B4A"/>
    <w:rsid w:val="00773B67"/>
    <w:rsid w:val="00774575"/>
    <w:rsid w:val="0077504B"/>
    <w:rsid w:val="00775AD8"/>
    <w:rsid w:val="00775E77"/>
    <w:rsid w:val="00776441"/>
    <w:rsid w:val="0077659B"/>
    <w:rsid w:val="00776A6C"/>
    <w:rsid w:val="00777519"/>
    <w:rsid w:val="00777875"/>
    <w:rsid w:val="0078020D"/>
    <w:rsid w:val="00780305"/>
    <w:rsid w:val="00781554"/>
    <w:rsid w:val="007819D8"/>
    <w:rsid w:val="00782D20"/>
    <w:rsid w:val="0078595F"/>
    <w:rsid w:val="00786192"/>
    <w:rsid w:val="00786C05"/>
    <w:rsid w:val="0078771E"/>
    <w:rsid w:val="007907B2"/>
    <w:rsid w:val="00790C1B"/>
    <w:rsid w:val="00790DA2"/>
    <w:rsid w:val="007916A8"/>
    <w:rsid w:val="007930D9"/>
    <w:rsid w:val="007942D5"/>
    <w:rsid w:val="00794701"/>
    <w:rsid w:val="00794D4A"/>
    <w:rsid w:val="0079588A"/>
    <w:rsid w:val="00795D10"/>
    <w:rsid w:val="007A08BC"/>
    <w:rsid w:val="007A0AD5"/>
    <w:rsid w:val="007A0B09"/>
    <w:rsid w:val="007A12D5"/>
    <w:rsid w:val="007A2A40"/>
    <w:rsid w:val="007A3A7F"/>
    <w:rsid w:val="007A3CC4"/>
    <w:rsid w:val="007A3E01"/>
    <w:rsid w:val="007A3E68"/>
    <w:rsid w:val="007A40D0"/>
    <w:rsid w:val="007A46A4"/>
    <w:rsid w:val="007A46E5"/>
    <w:rsid w:val="007A4C84"/>
    <w:rsid w:val="007A63EB"/>
    <w:rsid w:val="007A7050"/>
    <w:rsid w:val="007A73D8"/>
    <w:rsid w:val="007A7925"/>
    <w:rsid w:val="007A7DA9"/>
    <w:rsid w:val="007A7EEE"/>
    <w:rsid w:val="007B0933"/>
    <w:rsid w:val="007B111B"/>
    <w:rsid w:val="007B2179"/>
    <w:rsid w:val="007B285C"/>
    <w:rsid w:val="007B312F"/>
    <w:rsid w:val="007B3ED3"/>
    <w:rsid w:val="007B5128"/>
    <w:rsid w:val="007B56F0"/>
    <w:rsid w:val="007B5E49"/>
    <w:rsid w:val="007B6075"/>
    <w:rsid w:val="007B62D7"/>
    <w:rsid w:val="007B63D2"/>
    <w:rsid w:val="007B67B8"/>
    <w:rsid w:val="007B72D0"/>
    <w:rsid w:val="007B7500"/>
    <w:rsid w:val="007B75A5"/>
    <w:rsid w:val="007B7E5B"/>
    <w:rsid w:val="007B7FA6"/>
    <w:rsid w:val="007C038C"/>
    <w:rsid w:val="007C05F1"/>
    <w:rsid w:val="007C0AC1"/>
    <w:rsid w:val="007C0BAF"/>
    <w:rsid w:val="007C0D56"/>
    <w:rsid w:val="007C1596"/>
    <w:rsid w:val="007C322B"/>
    <w:rsid w:val="007C3C2A"/>
    <w:rsid w:val="007C3E1F"/>
    <w:rsid w:val="007C483F"/>
    <w:rsid w:val="007C4BF5"/>
    <w:rsid w:val="007C4C89"/>
    <w:rsid w:val="007C5839"/>
    <w:rsid w:val="007C6517"/>
    <w:rsid w:val="007C68D9"/>
    <w:rsid w:val="007C6E83"/>
    <w:rsid w:val="007C6F16"/>
    <w:rsid w:val="007C720C"/>
    <w:rsid w:val="007C7483"/>
    <w:rsid w:val="007D0096"/>
    <w:rsid w:val="007D03A3"/>
    <w:rsid w:val="007D0CD3"/>
    <w:rsid w:val="007D1AF2"/>
    <w:rsid w:val="007D23AD"/>
    <w:rsid w:val="007D2B56"/>
    <w:rsid w:val="007D2F54"/>
    <w:rsid w:val="007D3FAD"/>
    <w:rsid w:val="007D4174"/>
    <w:rsid w:val="007D4193"/>
    <w:rsid w:val="007D4DDC"/>
    <w:rsid w:val="007D5E8A"/>
    <w:rsid w:val="007D64BA"/>
    <w:rsid w:val="007D66ED"/>
    <w:rsid w:val="007D77C1"/>
    <w:rsid w:val="007E032C"/>
    <w:rsid w:val="007E1D8E"/>
    <w:rsid w:val="007E1FCB"/>
    <w:rsid w:val="007E2DE9"/>
    <w:rsid w:val="007E3263"/>
    <w:rsid w:val="007E33DB"/>
    <w:rsid w:val="007E397E"/>
    <w:rsid w:val="007E44B6"/>
    <w:rsid w:val="007E4902"/>
    <w:rsid w:val="007E5CB8"/>
    <w:rsid w:val="007E5DDE"/>
    <w:rsid w:val="007E6811"/>
    <w:rsid w:val="007E6B36"/>
    <w:rsid w:val="007E76D1"/>
    <w:rsid w:val="007E7D6D"/>
    <w:rsid w:val="007F0798"/>
    <w:rsid w:val="007F0A08"/>
    <w:rsid w:val="007F115E"/>
    <w:rsid w:val="007F28E2"/>
    <w:rsid w:val="007F2AB5"/>
    <w:rsid w:val="007F30A9"/>
    <w:rsid w:val="007F3567"/>
    <w:rsid w:val="007F4245"/>
    <w:rsid w:val="007F4907"/>
    <w:rsid w:val="007F4E35"/>
    <w:rsid w:val="007F55E7"/>
    <w:rsid w:val="007F5936"/>
    <w:rsid w:val="007F5B76"/>
    <w:rsid w:val="007F63EE"/>
    <w:rsid w:val="007F6910"/>
    <w:rsid w:val="007F7FA0"/>
    <w:rsid w:val="0080071C"/>
    <w:rsid w:val="0080075D"/>
    <w:rsid w:val="00800985"/>
    <w:rsid w:val="00800AF5"/>
    <w:rsid w:val="008014E5"/>
    <w:rsid w:val="00801A3C"/>
    <w:rsid w:val="008033E7"/>
    <w:rsid w:val="008034E4"/>
    <w:rsid w:val="00804845"/>
    <w:rsid w:val="008049DA"/>
    <w:rsid w:val="008049FF"/>
    <w:rsid w:val="00805037"/>
    <w:rsid w:val="008055F5"/>
    <w:rsid w:val="00805CAE"/>
    <w:rsid w:val="00805FEC"/>
    <w:rsid w:val="0080722D"/>
    <w:rsid w:val="00807399"/>
    <w:rsid w:val="00807F3A"/>
    <w:rsid w:val="0081086F"/>
    <w:rsid w:val="008109DB"/>
    <w:rsid w:val="00810E56"/>
    <w:rsid w:val="0081147A"/>
    <w:rsid w:val="00812021"/>
    <w:rsid w:val="00812F57"/>
    <w:rsid w:val="00813A8E"/>
    <w:rsid w:val="00813CF8"/>
    <w:rsid w:val="008143E2"/>
    <w:rsid w:val="00815569"/>
    <w:rsid w:val="00815B6F"/>
    <w:rsid w:val="00817A45"/>
    <w:rsid w:val="0082156C"/>
    <w:rsid w:val="00821EAC"/>
    <w:rsid w:val="008226BB"/>
    <w:rsid w:val="00822B13"/>
    <w:rsid w:val="0082376A"/>
    <w:rsid w:val="00824565"/>
    <w:rsid w:val="00824C67"/>
    <w:rsid w:val="0082549D"/>
    <w:rsid w:val="00825626"/>
    <w:rsid w:val="00826C68"/>
    <w:rsid w:val="00830AAE"/>
    <w:rsid w:val="00832A66"/>
    <w:rsid w:val="0083385B"/>
    <w:rsid w:val="0083399C"/>
    <w:rsid w:val="00833DF6"/>
    <w:rsid w:val="008341E0"/>
    <w:rsid w:val="008345D7"/>
    <w:rsid w:val="00834682"/>
    <w:rsid w:val="00834AE2"/>
    <w:rsid w:val="00835366"/>
    <w:rsid w:val="00836315"/>
    <w:rsid w:val="00836E0E"/>
    <w:rsid w:val="0084090A"/>
    <w:rsid w:val="00840ADF"/>
    <w:rsid w:val="00841779"/>
    <w:rsid w:val="008417E0"/>
    <w:rsid w:val="00841985"/>
    <w:rsid w:val="00842401"/>
    <w:rsid w:val="00842535"/>
    <w:rsid w:val="00843376"/>
    <w:rsid w:val="008435E9"/>
    <w:rsid w:val="00844247"/>
    <w:rsid w:val="008445F3"/>
    <w:rsid w:val="00844660"/>
    <w:rsid w:val="008446A5"/>
    <w:rsid w:val="00844C26"/>
    <w:rsid w:val="00845987"/>
    <w:rsid w:val="00846495"/>
    <w:rsid w:val="008468BB"/>
    <w:rsid w:val="00846A0F"/>
    <w:rsid w:val="00846F8B"/>
    <w:rsid w:val="00846FB7"/>
    <w:rsid w:val="00847C14"/>
    <w:rsid w:val="008512B6"/>
    <w:rsid w:val="00851835"/>
    <w:rsid w:val="0085188C"/>
    <w:rsid w:val="00851BB0"/>
    <w:rsid w:val="00852054"/>
    <w:rsid w:val="00852D58"/>
    <w:rsid w:val="00853272"/>
    <w:rsid w:val="0085378F"/>
    <w:rsid w:val="00854B11"/>
    <w:rsid w:val="00854D04"/>
    <w:rsid w:val="00855DD9"/>
    <w:rsid w:val="00855FFD"/>
    <w:rsid w:val="0085631F"/>
    <w:rsid w:val="00856750"/>
    <w:rsid w:val="0085706C"/>
    <w:rsid w:val="00857610"/>
    <w:rsid w:val="008602A4"/>
    <w:rsid w:val="008604AC"/>
    <w:rsid w:val="0086088E"/>
    <w:rsid w:val="00864861"/>
    <w:rsid w:val="00864908"/>
    <w:rsid w:val="0086596C"/>
    <w:rsid w:val="00865A86"/>
    <w:rsid w:val="00865C48"/>
    <w:rsid w:val="00866AD1"/>
    <w:rsid w:val="008675C2"/>
    <w:rsid w:val="00867DB2"/>
    <w:rsid w:val="008702D9"/>
    <w:rsid w:val="00870F67"/>
    <w:rsid w:val="0087119E"/>
    <w:rsid w:val="00871880"/>
    <w:rsid w:val="00871D2A"/>
    <w:rsid w:val="00871F1F"/>
    <w:rsid w:val="0087259C"/>
    <w:rsid w:val="008728B8"/>
    <w:rsid w:val="00872EB1"/>
    <w:rsid w:val="0087375A"/>
    <w:rsid w:val="008738FA"/>
    <w:rsid w:val="0087410F"/>
    <w:rsid w:val="00874AFB"/>
    <w:rsid w:val="00876232"/>
    <w:rsid w:val="0087705A"/>
    <w:rsid w:val="00877890"/>
    <w:rsid w:val="008803EE"/>
    <w:rsid w:val="00880C0C"/>
    <w:rsid w:val="0088108B"/>
    <w:rsid w:val="0088109A"/>
    <w:rsid w:val="00881A04"/>
    <w:rsid w:val="00881CF2"/>
    <w:rsid w:val="00882AE3"/>
    <w:rsid w:val="00883A5B"/>
    <w:rsid w:val="00884CD6"/>
    <w:rsid w:val="00885237"/>
    <w:rsid w:val="0088548F"/>
    <w:rsid w:val="00885E2C"/>
    <w:rsid w:val="008865C3"/>
    <w:rsid w:val="008868AA"/>
    <w:rsid w:val="008868EC"/>
    <w:rsid w:val="008877FB"/>
    <w:rsid w:val="00890352"/>
    <w:rsid w:val="00890AE5"/>
    <w:rsid w:val="00890C29"/>
    <w:rsid w:val="00891259"/>
    <w:rsid w:val="0089279E"/>
    <w:rsid w:val="00892BF5"/>
    <w:rsid w:val="00894E18"/>
    <w:rsid w:val="0089641F"/>
    <w:rsid w:val="00897A20"/>
    <w:rsid w:val="00897ADF"/>
    <w:rsid w:val="00897D3F"/>
    <w:rsid w:val="008A0714"/>
    <w:rsid w:val="008A095C"/>
    <w:rsid w:val="008A3068"/>
    <w:rsid w:val="008A372B"/>
    <w:rsid w:val="008A372D"/>
    <w:rsid w:val="008A3C9F"/>
    <w:rsid w:val="008A448A"/>
    <w:rsid w:val="008A4A21"/>
    <w:rsid w:val="008A4C34"/>
    <w:rsid w:val="008A6F1C"/>
    <w:rsid w:val="008A6F87"/>
    <w:rsid w:val="008A7757"/>
    <w:rsid w:val="008A77BD"/>
    <w:rsid w:val="008A78FA"/>
    <w:rsid w:val="008B034C"/>
    <w:rsid w:val="008B052E"/>
    <w:rsid w:val="008B114B"/>
    <w:rsid w:val="008B1495"/>
    <w:rsid w:val="008B1F56"/>
    <w:rsid w:val="008B2667"/>
    <w:rsid w:val="008B2D1A"/>
    <w:rsid w:val="008B31F6"/>
    <w:rsid w:val="008B39F8"/>
    <w:rsid w:val="008B47E8"/>
    <w:rsid w:val="008B4842"/>
    <w:rsid w:val="008B5787"/>
    <w:rsid w:val="008B5BF1"/>
    <w:rsid w:val="008B685D"/>
    <w:rsid w:val="008B7603"/>
    <w:rsid w:val="008C05E2"/>
    <w:rsid w:val="008C08C3"/>
    <w:rsid w:val="008C13B0"/>
    <w:rsid w:val="008C1489"/>
    <w:rsid w:val="008C30E4"/>
    <w:rsid w:val="008C32D2"/>
    <w:rsid w:val="008C4447"/>
    <w:rsid w:val="008C4A1E"/>
    <w:rsid w:val="008C546F"/>
    <w:rsid w:val="008C586F"/>
    <w:rsid w:val="008C5B27"/>
    <w:rsid w:val="008C6290"/>
    <w:rsid w:val="008C65BC"/>
    <w:rsid w:val="008C6645"/>
    <w:rsid w:val="008C6B7C"/>
    <w:rsid w:val="008C6F66"/>
    <w:rsid w:val="008C7004"/>
    <w:rsid w:val="008D0EA2"/>
    <w:rsid w:val="008D12C1"/>
    <w:rsid w:val="008D2FBF"/>
    <w:rsid w:val="008D48EC"/>
    <w:rsid w:val="008D4F80"/>
    <w:rsid w:val="008D609D"/>
    <w:rsid w:val="008D6581"/>
    <w:rsid w:val="008D6A8D"/>
    <w:rsid w:val="008D7E2E"/>
    <w:rsid w:val="008E0012"/>
    <w:rsid w:val="008E1241"/>
    <w:rsid w:val="008E14F7"/>
    <w:rsid w:val="008E36E6"/>
    <w:rsid w:val="008E43D1"/>
    <w:rsid w:val="008E60D5"/>
    <w:rsid w:val="008E6458"/>
    <w:rsid w:val="008E6D68"/>
    <w:rsid w:val="008E7CB3"/>
    <w:rsid w:val="008F0373"/>
    <w:rsid w:val="008F03BF"/>
    <w:rsid w:val="008F0F80"/>
    <w:rsid w:val="008F1319"/>
    <w:rsid w:val="008F1408"/>
    <w:rsid w:val="008F2936"/>
    <w:rsid w:val="008F2A6B"/>
    <w:rsid w:val="008F2C7F"/>
    <w:rsid w:val="008F358F"/>
    <w:rsid w:val="008F38F9"/>
    <w:rsid w:val="008F3986"/>
    <w:rsid w:val="008F3C06"/>
    <w:rsid w:val="008F3EAC"/>
    <w:rsid w:val="008F4016"/>
    <w:rsid w:val="008F5842"/>
    <w:rsid w:val="008F713D"/>
    <w:rsid w:val="008F7B00"/>
    <w:rsid w:val="008F7FF3"/>
    <w:rsid w:val="00900F2A"/>
    <w:rsid w:val="00901075"/>
    <w:rsid w:val="0090134D"/>
    <w:rsid w:val="00901CCF"/>
    <w:rsid w:val="00901E03"/>
    <w:rsid w:val="0090204D"/>
    <w:rsid w:val="00902BFC"/>
    <w:rsid w:val="0090317F"/>
    <w:rsid w:val="009032A1"/>
    <w:rsid w:val="00903EF0"/>
    <w:rsid w:val="00903F2F"/>
    <w:rsid w:val="0090456B"/>
    <w:rsid w:val="00904B55"/>
    <w:rsid w:val="00904E9A"/>
    <w:rsid w:val="00906A14"/>
    <w:rsid w:val="00906F0A"/>
    <w:rsid w:val="0090750B"/>
    <w:rsid w:val="009100E6"/>
    <w:rsid w:val="0091106A"/>
    <w:rsid w:val="009112E8"/>
    <w:rsid w:val="00911341"/>
    <w:rsid w:val="00911643"/>
    <w:rsid w:val="00911660"/>
    <w:rsid w:val="009120D2"/>
    <w:rsid w:val="00912865"/>
    <w:rsid w:val="00913625"/>
    <w:rsid w:val="00913EF8"/>
    <w:rsid w:val="0091434F"/>
    <w:rsid w:val="00915088"/>
    <w:rsid w:val="00915657"/>
    <w:rsid w:val="00915832"/>
    <w:rsid w:val="00916036"/>
    <w:rsid w:val="00916D48"/>
    <w:rsid w:val="00916DA6"/>
    <w:rsid w:val="00920C20"/>
    <w:rsid w:val="00921BAA"/>
    <w:rsid w:val="00922751"/>
    <w:rsid w:val="00922FD6"/>
    <w:rsid w:val="009237A7"/>
    <w:rsid w:val="00923DEE"/>
    <w:rsid w:val="00924D69"/>
    <w:rsid w:val="0092541E"/>
    <w:rsid w:val="009255BF"/>
    <w:rsid w:val="00926082"/>
    <w:rsid w:val="00926272"/>
    <w:rsid w:val="00926471"/>
    <w:rsid w:val="00926694"/>
    <w:rsid w:val="009267F3"/>
    <w:rsid w:val="00926846"/>
    <w:rsid w:val="0092697B"/>
    <w:rsid w:val="00927007"/>
    <w:rsid w:val="00927026"/>
    <w:rsid w:val="0092787F"/>
    <w:rsid w:val="00927B73"/>
    <w:rsid w:val="009315AB"/>
    <w:rsid w:val="00931C2D"/>
    <w:rsid w:val="00933521"/>
    <w:rsid w:val="009415E0"/>
    <w:rsid w:val="0094170F"/>
    <w:rsid w:val="0094209F"/>
    <w:rsid w:val="00942814"/>
    <w:rsid w:val="00943BA1"/>
    <w:rsid w:val="00944F97"/>
    <w:rsid w:val="00945CE8"/>
    <w:rsid w:val="00945D32"/>
    <w:rsid w:val="00946124"/>
    <w:rsid w:val="00946394"/>
    <w:rsid w:val="00946890"/>
    <w:rsid w:val="00946D7E"/>
    <w:rsid w:val="00946FEF"/>
    <w:rsid w:val="00951355"/>
    <w:rsid w:val="0095161A"/>
    <w:rsid w:val="00951732"/>
    <w:rsid w:val="00951927"/>
    <w:rsid w:val="00952439"/>
    <w:rsid w:val="00952567"/>
    <w:rsid w:val="009534B1"/>
    <w:rsid w:val="00953595"/>
    <w:rsid w:val="0095365D"/>
    <w:rsid w:val="00953705"/>
    <w:rsid w:val="009539E8"/>
    <w:rsid w:val="00954E86"/>
    <w:rsid w:val="009553AF"/>
    <w:rsid w:val="00955E6D"/>
    <w:rsid w:val="00956AD0"/>
    <w:rsid w:val="00957433"/>
    <w:rsid w:val="0095754E"/>
    <w:rsid w:val="00960701"/>
    <w:rsid w:val="009612AC"/>
    <w:rsid w:val="0096150A"/>
    <w:rsid w:val="00962DEF"/>
    <w:rsid w:val="00963D46"/>
    <w:rsid w:val="00964BB1"/>
    <w:rsid w:val="00965A25"/>
    <w:rsid w:val="009669E1"/>
    <w:rsid w:val="009679E5"/>
    <w:rsid w:val="00967ACB"/>
    <w:rsid w:val="00967E8E"/>
    <w:rsid w:val="009700BB"/>
    <w:rsid w:val="009703D6"/>
    <w:rsid w:val="009715B4"/>
    <w:rsid w:val="00971847"/>
    <w:rsid w:val="00971F66"/>
    <w:rsid w:val="00972D74"/>
    <w:rsid w:val="00972D7D"/>
    <w:rsid w:val="00972F1C"/>
    <w:rsid w:val="009745B8"/>
    <w:rsid w:val="00974616"/>
    <w:rsid w:val="00974C87"/>
    <w:rsid w:val="00975415"/>
    <w:rsid w:val="009754B7"/>
    <w:rsid w:val="00976BAB"/>
    <w:rsid w:val="00977B97"/>
    <w:rsid w:val="0098001E"/>
    <w:rsid w:val="00980609"/>
    <w:rsid w:val="009816B2"/>
    <w:rsid w:val="00981D3F"/>
    <w:rsid w:val="00982120"/>
    <w:rsid w:val="00982687"/>
    <w:rsid w:val="00983DF1"/>
    <w:rsid w:val="009842D9"/>
    <w:rsid w:val="0098524F"/>
    <w:rsid w:val="00985624"/>
    <w:rsid w:val="00985B36"/>
    <w:rsid w:val="00986696"/>
    <w:rsid w:val="009867E7"/>
    <w:rsid w:val="00986BB5"/>
    <w:rsid w:val="00987385"/>
    <w:rsid w:val="009875C8"/>
    <w:rsid w:val="00987E65"/>
    <w:rsid w:val="00990400"/>
    <w:rsid w:val="0099049F"/>
    <w:rsid w:val="0099066A"/>
    <w:rsid w:val="009915A7"/>
    <w:rsid w:val="00991AE0"/>
    <w:rsid w:val="00992D74"/>
    <w:rsid w:val="00992E52"/>
    <w:rsid w:val="009933A4"/>
    <w:rsid w:val="00993860"/>
    <w:rsid w:val="00993A90"/>
    <w:rsid w:val="00993CA5"/>
    <w:rsid w:val="00994A58"/>
    <w:rsid w:val="00995A59"/>
    <w:rsid w:val="00995A93"/>
    <w:rsid w:val="00995FC6"/>
    <w:rsid w:val="0099696D"/>
    <w:rsid w:val="00996E71"/>
    <w:rsid w:val="00997181"/>
    <w:rsid w:val="00997422"/>
    <w:rsid w:val="009974F2"/>
    <w:rsid w:val="009A0E6A"/>
    <w:rsid w:val="009A1594"/>
    <w:rsid w:val="009A1D3F"/>
    <w:rsid w:val="009A1DF2"/>
    <w:rsid w:val="009A2CD2"/>
    <w:rsid w:val="009A2ED1"/>
    <w:rsid w:val="009A32DE"/>
    <w:rsid w:val="009A3F72"/>
    <w:rsid w:val="009A47FD"/>
    <w:rsid w:val="009A48DA"/>
    <w:rsid w:val="009A4C26"/>
    <w:rsid w:val="009A5945"/>
    <w:rsid w:val="009A684B"/>
    <w:rsid w:val="009A7545"/>
    <w:rsid w:val="009A77BE"/>
    <w:rsid w:val="009B1248"/>
    <w:rsid w:val="009B1F0A"/>
    <w:rsid w:val="009B27CA"/>
    <w:rsid w:val="009B2944"/>
    <w:rsid w:val="009B2963"/>
    <w:rsid w:val="009B2F6A"/>
    <w:rsid w:val="009B3C8A"/>
    <w:rsid w:val="009B4287"/>
    <w:rsid w:val="009B4640"/>
    <w:rsid w:val="009B6620"/>
    <w:rsid w:val="009B70D6"/>
    <w:rsid w:val="009C0011"/>
    <w:rsid w:val="009C067D"/>
    <w:rsid w:val="009C082C"/>
    <w:rsid w:val="009C084D"/>
    <w:rsid w:val="009C08D8"/>
    <w:rsid w:val="009C1F37"/>
    <w:rsid w:val="009C3688"/>
    <w:rsid w:val="009C492A"/>
    <w:rsid w:val="009C4E51"/>
    <w:rsid w:val="009C509A"/>
    <w:rsid w:val="009C51FE"/>
    <w:rsid w:val="009C62FB"/>
    <w:rsid w:val="009C63D4"/>
    <w:rsid w:val="009C6A28"/>
    <w:rsid w:val="009C70AE"/>
    <w:rsid w:val="009C72B2"/>
    <w:rsid w:val="009C7C8F"/>
    <w:rsid w:val="009C7E64"/>
    <w:rsid w:val="009D0051"/>
    <w:rsid w:val="009D0AE1"/>
    <w:rsid w:val="009D0B66"/>
    <w:rsid w:val="009D1388"/>
    <w:rsid w:val="009D15EE"/>
    <w:rsid w:val="009D37B6"/>
    <w:rsid w:val="009D3D1D"/>
    <w:rsid w:val="009D4CD2"/>
    <w:rsid w:val="009D5AA1"/>
    <w:rsid w:val="009D5CE6"/>
    <w:rsid w:val="009D6919"/>
    <w:rsid w:val="009D6ACE"/>
    <w:rsid w:val="009D76CD"/>
    <w:rsid w:val="009D7734"/>
    <w:rsid w:val="009D7BEB"/>
    <w:rsid w:val="009E000D"/>
    <w:rsid w:val="009E0283"/>
    <w:rsid w:val="009E10DC"/>
    <w:rsid w:val="009E1AFD"/>
    <w:rsid w:val="009E1F14"/>
    <w:rsid w:val="009E2724"/>
    <w:rsid w:val="009E3BD1"/>
    <w:rsid w:val="009E4EE4"/>
    <w:rsid w:val="009E4EF3"/>
    <w:rsid w:val="009E56F8"/>
    <w:rsid w:val="009E5863"/>
    <w:rsid w:val="009E62F9"/>
    <w:rsid w:val="009E6C3D"/>
    <w:rsid w:val="009E734C"/>
    <w:rsid w:val="009E73D8"/>
    <w:rsid w:val="009E7533"/>
    <w:rsid w:val="009F0A90"/>
    <w:rsid w:val="009F1560"/>
    <w:rsid w:val="009F15B6"/>
    <w:rsid w:val="009F1D8A"/>
    <w:rsid w:val="009F1F13"/>
    <w:rsid w:val="009F1FEB"/>
    <w:rsid w:val="009F3086"/>
    <w:rsid w:val="009F36DC"/>
    <w:rsid w:val="009F3EF2"/>
    <w:rsid w:val="009F3F7A"/>
    <w:rsid w:val="009F473D"/>
    <w:rsid w:val="009F5672"/>
    <w:rsid w:val="009F7175"/>
    <w:rsid w:val="009F73F3"/>
    <w:rsid w:val="00A00019"/>
    <w:rsid w:val="00A0041E"/>
    <w:rsid w:val="00A0048B"/>
    <w:rsid w:val="00A00669"/>
    <w:rsid w:val="00A00EF2"/>
    <w:rsid w:val="00A00FAE"/>
    <w:rsid w:val="00A01221"/>
    <w:rsid w:val="00A01689"/>
    <w:rsid w:val="00A01701"/>
    <w:rsid w:val="00A0319A"/>
    <w:rsid w:val="00A03D3D"/>
    <w:rsid w:val="00A03F10"/>
    <w:rsid w:val="00A03F89"/>
    <w:rsid w:val="00A03FF5"/>
    <w:rsid w:val="00A04295"/>
    <w:rsid w:val="00A04919"/>
    <w:rsid w:val="00A05458"/>
    <w:rsid w:val="00A05DE7"/>
    <w:rsid w:val="00A06B2E"/>
    <w:rsid w:val="00A06D6E"/>
    <w:rsid w:val="00A071AB"/>
    <w:rsid w:val="00A10021"/>
    <w:rsid w:val="00A10032"/>
    <w:rsid w:val="00A11300"/>
    <w:rsid w:val="00A113FA"/>
    <w:rsid w:val="00A115BC"/>
    <w:rsid w:val="00A11C13"/>
    <w:rsid w:val="00A12263"/>
    <w:rsid w:val="00A13004"/>
    <w:rsid w:val="00A133F9"/>
    <w:rsid w:val="00A13A68"/>
    <w:rsid w:val="00A14301"/>
    <w:rsid w:val="00A146FC"/>
    <w:rsid w:val="00A15481"/>
    <w:rsid w:val="00A16029"/>
    <w:rsid w:val="00A16689"/>
    <w:rsid w:val="00A16A11"/>
    <w:rsid w:val="00A16A18"/>
    <w:rsid w:val="00A17997"/>
    <w:rsid w:val="00A2000B"/>
    <w:rsid w:val="00A20448"/>
    <w:rsid w:val="00A20F16"/>
    <w:rsid w:val="00A213DF"/>
    <w:rsid w:val="00A2164B"/>
    <w:rsid w:val="00A21AE1"/>
    <w:rsid w:val="00A21FBC"/>
    <w:rsid w:val="00A22C6C"/>
    <w:rsid w:val="00A23CE9"/>
    <w:rsid w:val="00A23F68"/>
    <w:rsid w:val="00A244A7"/>
    <w:rsid w:val="00A244C4"/>
    <w:rsid w:val="00A246F3"/>
    <w:rsid w:val="00A2477A"/>
    <w:rsid w:val="00A2505B"/>
    <w:rsid w:val="00A25558"/>
    <w:rsid w:val="00A26739"/>
    <w:rsid w:val="00A26A9E"/>
    <w:rsid w:val="00A26CEE"/>
    <w:rsid w:val="00A27BBB"/>
    <w:rsid w:val="00A27C1A"/>
    <w:rsid w:val="00A3102B"/>
    <w:rsid w:val="00A330B1"/>
    <w:rsid w:val="00A3411E"/>
    <w:rsid w:val="00A3459F"/>
    <w:rsid w:val="00A351C4"/>
    <w:rsid w:val="00A35D88"/>
    <w:rsid w:val="00A374BD"/>
    <w:rsid w:val="00A37C0A"/>
    <w:rsid w:val="00A37FB5"/>
    <w:rsid w:val="00A424EA"/>
    <w:rsid w:val="00A42B9A"/>
    <w:rsid w:val="00A42D4D"/>
    <w:rsid w:val="00A42FF3"/>
    <w:rsid w:val="00A4547D"/>
    <w:rsid w:val="00A45659"/>
    <w:rsid w:val="00A46670"/>
    <w:rsid w:val="00A46F6F"/>
    <w:rsid w:val="00A46FF5"/>
    <w:rsid w:val="00A470D2"/>
    <w:rsid w:val="00A479FD"/>
    <w:rsid w:val="00A47F03"/>
    <w:rsid w:val="00A50CC8"/>
    <w:rsid w:val="00A50D6B"/>
    <w:rsid w:val="00A51DAE"/>
    <w:rsid w:val="00A52D4D"/>
    <w:rsid w:val="00A53E9A"/>
    <w:rsid w:val="00A54046"/>
    <w:rsid w:val="00A543D8"/>
    <w:rsid w:val="00A54A3B"/>
    <w:rsid w:val="00A54FB4"/>
    <w:rsid w:val="00A56306"/>
    <w:rsid w:val="00A56D84"/>
    <w:rsid w:val="00A57383"/>
    <w:rsid w:val="00A60841"/>
    <w:rsid w:val="00A610C9"/>
    <w:rsid w:val="00A61332"/>
    <w:rsid w:val="00A617A1"/>
    <w:rsid w:val="00A62482"/>
    <w:rsid w:val="00A63075"/>
    <w:rsid w:val="00A6309F"/>
    <w:rsid w:val="00A63A5A"/>
    <w:rsid w:val="00A64262"/>
    <w:rsid w:val="00A645C8"/>
    <w:rsid w:val="00A650EF"/>
    <w:rsid w:val="00A6562D"/>
    <w:rsid w:val="00A65DDA"/>
    <w:rsid w:val="00A671C4"/>
    <w:rsid w:val="00A67616"/>
    <w:rsid w:val="00A70135"/>
    <w:rsid w:val="00A7028C"/>
    <w:rsid w:val="00A702DD"/>
    <w:rsid w:val="00A709A3"/>
    <w:rsid w:val="00A719B2"/>
    <w:rsid w:val="00A733CF"/>
    <w:rsid w:val="00A73FA4"/>
    <w:rsid w:val="00A7412B"/>
    <w:rsid w:val="00A74A51"/>
    <w:rsid w:val="00A74D8A"/>
    <w:rsid w:val="00A74E6F"/>
    <w:rsid w:val="00A75E2C"/>
    <w:rsid w:val="00A769E1"/>
    <w:rsid w:val="00A77137"/>
    <w:rsid w:val="00A7783B"/>
    <w:rsid w:val="00A77C48"/>
    <w:rsid w:val="00A802A2"/>
    <w:rsid w:val="00A80302"/>
    <w:rsid w:val="00A806D5"/>
    <w:rsid w:val="00A80DAB"/>
    <w:rsid w:val="00A812AE"/>
    <w:rsid w:val="00A823A0"/>
    <w:rsid w:val="00A82726"/>
    <w:rsid w:val="00A82FF3"/>
    <w:rsid w:val="00A84DF0"/>
    <w:rsid w:val="00A852C2"/>
    <w:rsid w:val="00A858D2"/>
    <w:rsid w:val="00A8658B"/>
    <w:rsid w:val="00A9003E"/>
    <w:rsid w:val="00A90B0F"/>
    <w:rsid w:val="00A90FDD"/>
    <w:rsid w:val="00A91CB6"/>
    <w:rsid w:val="00A92561"/>
    <w:rsid w:val="00A92A76"/>
    <w:rsid w:val="00A93371"/>
    <w:rsid w:val="00A935A0"/>
    <w:rsid w:val="00A93606"/>
    <w:rsid w:val="00A93947"/>
    <w:rsid w:val="00A94F96"/>
    <w:rsid w:val="00A9549C"/>
    <w:rsid w:val="00A95652"/>
    <w:rsid w:val="00A97357"/>
    <w:rsid w:val="00A9770A"/>
    <w:rsid w:val="00AA0096"/>
    <w:rsid w:val="00AA0465"/>
    <w:rsid w:val="00AA0694"/>
    <w:rsid w:val="00AA0D92"/>
    <w:rsid w:val="00AA0DCB"/>
    <w:rsid w:val="00AA1033"/>
    <w:rsid w:val="00AA13CD"/>
    <w:rsid w:val="00AA1FDC"/>
    <w:rsid w:val="00AA21FB"/>
    <w:rsid w:val="00AA2619"/>
    <w:rsid w:val="00AA2F5C"/>
    <w:rsid w:val="00AA38D6"/>
    <w:rsid w:val="00AA3CFD"/>
    <w:rsid w:val="00AA469E"/>
    <w:rsid w:val="00AA5CB2"/>
    <w:rsid w:val="00AA68A6"/>
    <w:rsid w:val="00AA6A34"/>
    <w:rsid w:val="00AA7087"/>
    <w:rsid w:val="00AA7352"/>
    <w:rsid w:val="00AA73F7"/>
    <w:rsid w:val="00AA7E33"/>
    <w:rsid w:val="00AA7EED"/>
    <w:rsid w:val="00AB0258"/>
    <w:rsid w:val="00AB1F59"/>
    <w:rsid w:val="00AB2AEC"/>
    <w:rsid w:val="00AB304E"/>
    <w:rsid w:val="00AB32FB"/>
    <w:rsid w:val="00AB3B1E"/>
    <w:rsid w:val="00AB48A0"/>
    <w:rsid w:val="00AB5090"/>
    <w:rsid w:val="00AB55D4"/>
    <w:rsid w:val="00AB6651"/>
    <w:rsid w:val="00AB6886"/>
    <w:rsid w:val="00AB6B01"/>
    <w:rsid w:val="00AB705C"/>
    <w:rsid w:val="00AB72DD"/>
    <w:rsid w:val="00AB7358"/>
    <w:rsid w:val="00AB7860"/>
    <w:rsid w:val="00AB7CAC"/>
    <w:rsid w:val="00AC10A4"/>
    <w:rsid w:val="00AC1A83"/>
    <w:rsid w:val="00AC25C7"/>
    <w:rsid w:val="00AC322C"/>
    <w:rsid w:val="00AC367A"/>
    <w:rsid w:val="00AC37B0"/>
    <w:rsid w:val="00AC3A5D"/>
    <w:rsid w:val="00AC3ABB"/>
    <w:rsid w:val="00AC3B53"/>
    <w:rsid w:val="00AC43E5"/>
    <w:rsid w:val="00AC452C"/>
    <w:rsid w:val="00AC520C"/>
    <w:rsid w:val="00AC52F0"/>
    <w:rsid w:val="00AC5D69"/>
    <w:rsid w:val="00AC629C"/>
    <w:rsid w:val="00AC6423"/>
    <w:rsid w:val="00AC6A4A"/>
    <w:rsid w:val="00AC7076"/>
    <w:rsid w:val="00AD0E1C"/>
    <w:rsid w:val="00AD1192"/>
    <w:rsid w:val="00AD3EE1"/>
    <w:rsid w:val="00AD43D2"/>
    <w:rsid w:val="00AD4A6F"/>
    <w:rsid w:val="00AD53B2"/>
    <w:rsid w:val="00AD53B6"/>
    <w:rsid w:val="00AD5E00"/>
    <w:rsid w:val="00AD6232"/>
    <w:rsid w:val="00AD6BF7"/>
    <w:rsid w:val="00AD6F90"/>
    <w:rsid w:val="00AD7435"/>
    <w:rsid w:val="00AD77C7"/>
    <w:rsid w:val="00AE00A7"/>
    <w:rsid w:val="00AE02B8"/>
    <w:rsid w:val="00AE275C"/>
    <w:rsid w:val="00AE337E"/>
    <w:rsid w:val="00AE4BB4"/>
    <w:rsid w:val="00AE551B"/>
    <w:rsid w:val="00AE5C18"/>
    <w:rsid w:val="00AE63FA"/>
    <w:rsid w:val="00AE640F"/>
    <w:rsid w:val="00AE6DC3"/>
    <w:rsid w:val="00AE716B"/>
    <w:rsid w:val="00AE7DE9"/>
    <w:rsid w:val="00AF0095"/>
    <w:rsid w:val="00AF01D5"/>
    <w:rsid w:val="00AF048A"/>
    <w:rsid w:val="00AF0F2C"/>
    <w:rsid w:val="00AF2122"/>
    <w:rsid w:val="00AF221A"/>
    <w:rsid w:val="00AF2BE6"/>
    <w:rsid w:val="00AF34DE"/>
    <w:rsid w:val="00AF3E8B"/>
    <w:rsid w:val="00AF5D70"/>
    <w:rsid w:val="00AF5F7F"/>
    <w:rsid w:val="00AF6A05"/>
    <w:rsid w:val="00B001E3"/>
    <w:rsid w:val="00B004F0"/>
    <w:rsid w:val="00B004F4"/>
    <w:rsid w:val="00B00C38"/>
    <w:rsid w:val="00B010F6"/>
    <w:rsid w:val="00B01232"/>
    <w:rsid w:val="00B017A2"/>
    <w:rsid w:val="00B01866"/>
    <w:rsid w:val="00B0197D"/>
    <w:rsid w:val="00B026B6"/>
    <w:rsid w:val="00B02BC5"/>
    <w:rsid w:val="00B03545"/>
    <w:rsid w:val="00B03EF3"/>
    <w:rsid w:val="00B0427C"/>
    <w:rsid w:val="00B0496B"/>
    <w:rsid w:val="00B054B2"/>
    <w:rsid w:val="00B0579A"/>
    <w:rsid w:val="00B05F1F"/>
    <w:rsid w:val="00B0601C"/>
    <w:rsid w:val="00B0617C"/>
    <w:rsid w:val="00B06702"/>
    <w:rsid w:val="00B06920"/>
    <w:rsid w:val="00B06E59"/>
    <w:rsid w:val="00B075D5"/>
    <w:rsid w:val="00B07AE8"/>
    <w:rsid w:val="00B07F46"/>
    <w:rsid w:val="00B07FE3"/>
    <w:rsid w:val="00B10E9E"/>
    <w:rsid w:val="00B11178"/>
    <w:rsid w:val="00B119CB"/>
    <w:rsid w:val="00B126D2"/>
    <w:rsid w:val="00B12B27"/>
    <w:rsid w:val="00B13053"/>
    <w:rsid w:val="00B13AA9"/>
    <w:rsid w:val="00B13D1F"/>
    <w:rsid w:val="00B13E3B"/>
    <w:rsid w:val="00B14041"/>
    <w:rsid w:val="00B14236"/>
    <w:rsid w:val="00B14AA7"/>
    <w:rsid w:val="00B14C57"/>
    <w:rsid w:val="00B14E72"/>
    <w:rsid w:val="00B15019"/>
    <w:rsid w:val="00B15091"/>
    <w:rsid w:val="00B150AA"/>
    <w:rsid w:val="00B158BD"/>
    <w:rsid w:val="00B158ED"/>
    <w:rsid w:val="00B15FE8"/>
    <w:rsid w:val="00B160EA"/>
    <w:rsid w:val="00B1671A"/>
    <w:rsid w:val="00B16DED"/>
    <w:rsid w:val="00B2063D"/>
    <w:rsid w:val="00B20AF3"/>
    <w:rsid w:val="00B20E99"/>
    <w:rsid w:val="00B2102C"/>
    <w:rsid w:val="00B21219"/>
    <w:rsid w:val="00B21439"/>
    <w:rsid w:val="00B21853"/>
    <w:rsid w:val="00B22164"/>
    <w:rsid w:val="00B22EC1"/>
    <w:rsid w:val="00B23558"/>
    <w:rsid w:val="00B23E8D"/>
    <w:rsid w:val="00B24474"/>
    <w:rsid w:val="00B251D0"/>
    <w:rsid w:val="00B25246"/>
    <w:rsid w:val="00B253B6"/>
    <w:rsid w:val="00B25A78"/>
    <w:rsid w:val="00B25D93"/>
    <w:rsid w:val="00B26E0B"/>
    <w:rsid w:val="00B27035"/>
    <w:rsid w:val="00B27466"/>
    <w:rsid w:val="00B276BE"/>
    <w:rsid w:val="00B308A3"/>
    <w:rsid w:val="00B31808"/>
    <w:rsid w:val="00B31C77"/>
    <w:rsid w:val="00B33226"/>
    <w:rsid w:val="00B335D3"/>
    <w:rsid w:val="00B3368A"/>
    <w:rsid w:val="00B33DAB"/>
    <w:rsid w:val="00B33E71"/>
    <w:rsid w:val="00B344C4"/>
    <w:rsid w:val="00B3468A"/>
    <w:rsid w:val="00B34C99"/>
    <w:rsid w:val="00B35FF4"/>
    <w:rsid w:val="00B3636F"/>
    <w:rsid w:val="00B36777"/>
    <w:rsid w:val="00B41E32"/>
    <w:rsid w:val="00B42899"/>
    <w:rsid w:val="00B4306C"/>
    <w:rsid w:val="00B43E20"/>
    <w:rsid w:val="00B43EC8"/>
    <w:rsid w:val="00B4516D"/>
    <w:rsid w:val="00B457AC"/>
    <w:rsid w:val="00B45907"/>
    <w:rsid w:val="00B45D3E"/>
    <w:rsid w:val="00B45E1F"/>
    <w:rsid w:val="00B46BCA"/>
    <w:rsid w:val="00B47438"/>
    <w:rsid w:val="00B50402"/>
    <w:rsid w:val="00B50635"/>
    <w:rsid w:val="00B5082A"/>
    <w:rsid w:val="00B50BBB"/>
    <w:rsid w:val="00B51044"/>
    <w:rsid w:val="00B526F7"/>
    <w:rsid w:val="00B539D4"/>
    <w:rsid w:val="00B53BA9"/>
    <w:rsid w:val="00B54C64"/>
    <w:rsid w:val="00B54E72"/>
    <w:rsid w:val="00B54F78"/>
    <w:rsid w:val="00B551E3"/>
    <w:rsid w:val="00B55667"/>
    <w:rsid w:val="00B55F37"/>
    <w:rsid w:val="00B57461"/>
    <w:rsid w:val="00B579CD"/>
    <w:rsid w:val="00B60F3D"/>
    <w:rsid w:val="00B60FEE"/>
    <w:rsid w:val="00B6369A"/>
    <w:rsid w:val="00B6389F"/>
    <w:rsid w:val="00B64560"/>
    <w:rsid w:val="00B65027"/>
    <w:rsid w:val="00B651CD"/>
    <w:rsid w:val="00B65F3D"/>
    <w:rsid w:val="00B669E2"/>
    <w:rsid w:val="00B673E6"/>
    <w:rsid w:val="00B675F6"/>
    <w:rsid w:val="00B67985"/>
    <w:rsid w:val="00B67E87"/>
    <w:rsid w:val="00B70084"/>
    <w:rsid w:val="00B71CE3"/>
    <w:rsid w:val="00B71F0A"/>
    <w:rsid w:val="00B720DF"/>
    <w:rsid w:val="00B720ED"/>
    <w:rsid w:val="00B7261A"/>
    <w:rsid w:val="00B72627"/>
    <w:rsid w:val="00B73FD1"/>
    <w:rsid w:val="00B74099"/>
    <w:rsid w:val="00B75630"/>
    <w:rsid w:val="00B7663F"/>
    <w:rsid w:val="00B7693A"/>
    <w:rsid w:val="00B76A86"/>
    <w:rsid w:val="00B76C04"/>
    <w:rsid w:val="00B76DE6"/>
    <w:rsid w:val="00B76F25"/>
    <w:rsid w:val="00B77823"/>
    <w:rsid w:val="00B77AF5"/>
    <w:rsid w:val="00B80A41"/>
    <w:rsid w:val="00B82087"/>
    <w:rsid w:val="00B828E9"/>
    <w:rsid w:val="00B82B6F"/>
    <w:rsid w:val="00B83A81"/>
    <w:rsid w:val="00B84562"/>
    <w:rsid w:val="00B85C4F"/>
    <w:rsid w:val="00B86683"/>
    <w:rsid w:val="00B87457"/>
    <w:rsid w:val="00B87987"/>
    <w:rsid w:val="00B90554"/>
    <w:rsid w:val="00B919C5"/>
    <w:rsid w:val="00B91B9C"/>
    <w:rsid w:val="00B91DD1"/>
    <w:rsid w:val="00B91E55"/>
    <w:rsid w:val="00B92017"/>
    <w:rsid w:val="00B9328E"/>
    <w:rsid w:val="00B93B2B"/>
    <w:rsid w:val="00B945C6"/>
    <w:rsid w:val="00B9495B"/>
    <w:rsid w:val="00B954A1"/>
    <w:rsid w:val="00B963E1"/>
    <w:rsid w:val="00B9641C"/>
    <w:rsid w:val="00B9653C"/>
    <w:rsid w:val="00B97628"/>
    <w:rsid w:val="00B97D56"/>
    <w:rsid w:val="00B97D5F"/>
    <w:rsid w:val="00BA0255"/>
    <w:rsid w:val="00BA0650"/>
    <w:rsid w:val="00BA0BA2"/>
    <w:rsid w:val="00BA0CD0"/>
    <w:rsid w:val="00BA1151"/>
    <w:rsid w:val="00BA1C5E"/>
    <w:rsid w:val="00BA1EA1"/>
    <w:rsid w:val="00BA1EF8"/>
    <w:rsid w:val="00BA27B2"/>
    <w:rsid w:val="00BA2E97"/>
    <w:rsid w:val="00BA364A"/>
    <w:rsid w:val="00BA369A"/>
    <w:rsid w:val="00BA38A2"/>
    <w:rsid w:val="00BA3C3C"/>
    <w:rsid w:val="00BA40E1"/>
    <w:rsid w:val="00BA43ED"/>
    <w:rsid w:val="00BA4699"/>
    <w:rsid w:val="00BA4C7E"/>
    <w:rsid w:val="00BA4F7F"/>
    <w:rsid w:val="00BA6AFF"/>
    <w:rsid w:val="00BA7042"/>
    <w:rsid w:val="00BB0888"/>
    <w:rsid w:val="00BB08B5"/>
    <w:rsid w:val="00BB0AB1"/>
    <w:rsid w:val="00BB14B7"/>
    <w:rsid w:val="00BB22DD"/>
    <w:rsid w:val="00BB2C04"/>
    <w:rsid w:val="00BB3326"/>
    <w:rsid w:val="00BB3F95"/>
    <w:rsid w:val="00BB48A6"/>
    <w:rsid w:val="00BB5544"/>
    <w:rsid w:val="00BB5FB4"/>
    <w:rsid w:val="00BB6016"/>
    <w:rsid w:val="00BB6B16"/>
    <w:rsid w:val="00BB733C"/>
    <w:rsid w:val="00BB7658"/>
    <w:rsid w:val="00BB7E41"/>
    <w:rsid w:val="00BC0C01"/>
    <w:rsid w:val="00BC1253"/>
    <w:rsid w:val="00BC1555"/>
    <w:rsid w:val="00BC2103"/>
    <w:rsid w:val="00BC2CA7"/>
    <w:rsid w:val="00BC2CB7"/>
    <w:rsid w:val="00BC31AE"/>
    <w:rsid w:val="00BC38C5"/>
    <w:rsid w:val="00BC3A02"/>
    <w:rsid w:val="00BC414D"/>
    <w:rsid w:val="00BC4AE5"/>
    <w:rsid w:val="00BC4B13"/>
    <w:rsid w:val="00BC4B3C"/>
    <w:rsid w:val="00BC4BA2"/>
    <w:rsid w:val="00BC501B"/>
    <w:rsid w:val="00BC56BB"/>
    <w:rsid w:val="00BC56D8"/>
    <w:rsid w:val="00BC5828"/>
    <w:rsid w:val="00BC5A57"/>
    <w:rsid w:val="00BC6AED"/>
    <w:rsid w:val="00BC70BF"/>
    <w:rsid w:val="00BC7B01"/>
    <w:rsid w:val="00BC7D97"/>
    <w:rsid w:val="00BD05E1"/>
    <w:rsid w:val="00BD26D6"/>
    <w:rsid w:val="00BD29C7"/>
    <w:rsid w:val="00BD2F17"/>
    <w:rsid w:val="00BD3887"/>
    <w:rsid w:val="00BD43E3"/>
    <w:rsid w:val="00BD47CC"/>
    <w:rsid w:val="00BD67F2"/>
    <w:rsid w:val="00BD6B25"/>
    <w:rsid w:val="00BD708C"/>
    <w:rsid w:val="00BE0179"/>
    <w:rsid w:val="00BE1C5A"/>
    <w:rsid w:val="00BE1CC0"/>
    <w:rsid w:val="00BE27E0"/>
    <w:rsid w:val="00BE2E99"/>
    <w:rsid w:val="00BE3BA4"/>
    <w:rsid w:val="00BE3DC5"/>
    <w:rsid w:val="00BE3EEE"/>
    <w:rsid w:val="00BE4784"/>
    <w:rsid w:val="00BE5993"/>
    <w:rsid w:val="00BE5EEC"/>
    <w:rsid w:val="00BE7403"/>
    <w:rsid w:val="00BE76F9"/>
    <w:rsid w:val="00BF05BC"/>
    <w:rsid w:val="00BF0A09"/>
    <w:rsid w:val="00BF10EF"/>
    <w:rsid w:val="00BF12DD"/>
    <w:rsid w:val="00BF2AEC"/>
    <w:rsid w:val="00BF357E"/>
    <w:rsid w:val="00BF35E2"/>
    <w:rsid w:val="00BF42ED"/>
    <w:rsid w:val="00BF4466"/>
    <w:rsid w:val="00BF467B"/>
    <w:rsid w:val="00BF493B"/>
    <w:rsid w:val="00BF7E45"/>
    <w:rsid w:val="00C00AF3"/>
    <w:rsid w:val="00C0291D"/>
    <w:rsid w:val="00C03328"/>
    <w:rsid w:val="00C0430B"/>
    <w:rsid w:val="00C046F1"/>
    <w:rsid w:val="00C04A12"/>
    <w:rsid w:val="00C04E84"/>
    <w:rsid w:val="00C04E91"/>
    <w:rsid w:val="00C05BB3"/>
    <w:rsid w:val="00C06A2D"/>
    <w:rsid w:val="00C06D23"/>
    <w:rsid w:val="00C06D3A"/>
    <w:rsid w:val="00C06D9D"/>
    <w:rsid w:val="00C07C4E"/>
    <w:rsid w:val="00C10A96"/>
    <w:rsid w:val="00C10C92"/>
    <w:rsid w:val="00C11DDC"/>
    <w:rsid w:val="00C13A3D"/>
    <w:rsid w:val="00C13DC4"/>
    <w:rsid w:val="00C171CF"/>
    <w:rsid w:val="00C174FD"/>
    <w:rsid w:val="00C202EC"/>
    <w:rsid w:val="00C20E32"/>
    <w:rsid w:val="00C21B66"/>
    <w:rsid w:val="00C21CC6"/>
    <w:rsid w:val="00C220AA"/>
    <w:rsid w:val="00C22724"/>
    <w:rsid w:val="00C22BDA"/>
    <w:rsid w:val="00C2322A"/>
    <w:rsid w:val="00C23CFF"/>
    <w:rsid w:val="00C257AF"/>
    <w:rsid w:val="00C26F0C"/>
    <w:rsid w:val="00C278B1"/>
    <w:rsid w:val="00C279D7"/>
    <w:rsid w:val="00C27A98"/>
    <w:rsid w:val="00C30C8B"/>
    <w:rsid w:val="00C317E3"/>
    <w:rsid w:val="00C32D58"/>
    <w:rsid w:val="00C35141"/>
    <w:rsid w:val="00C35CB2"/>
    <w:rsid w:val="00C35FF8"/>
    <w:rsid w:val="00C36E5B"/>
    <w:rsid w:val="00C402BE"/>
    <w:rsid w:val="00C40767"/>
    <w:rsid w:val="00C4151B"/>
    <w:rsid w:val="00C41AF3"/>
    <w:rsid w:val="00C41AFC"/>
    <w:rsid w:val="00C4206D"/>
    <w:rsid w:val="00C42B87"/>
    <w:rsid w:val="00C4322B"/>
    <w:rsid w:val="00C4461D"/>
    <w:rsid w:val="00C4464B"/>
    <w:rsid w:val="00C447CE"/>
    <w:rsid w:val="00C44B90"/>
    <w:rsid w:val="00C45924"/>
    <w:rsid w:val="00C45CB1"/>
    <w:rsid w:val="00C46448"/>
    <w:rsid w:val="00C46BD6"/>
    <w:rsid w:val="00C4717D"/>
    <w:rsid w:val="00C474A0"/>
    <w:rsid w:val="00C47574"/>
    <w:rsid w:val="00C47A32"/>
    <w:rsid w:val="00C47E63"/>
    <w:rsid w:val="00C47EEE"/>
    <w:rsid w:val="00C50165"/>
    <w:rsid w:val="00C50194"/>
    <w:rsid w:val="00C50442"/>
    <w:rsid w:val="00C50E9F"/>
    <w:rsid w:val="00C519E2"/>
    <w:rsid w:val="00C5245A"/>
    <w:rsid w:val="00C53132"/>
    <w:rsid w:val="00C53489"/>
    <w:rsid w:val="00C53557"/>
    <w:rsid w:val="00C535CA"/>
    <w:rsid w:val="00C53B5F"/>
    <w:rsid w:val="00C53BC0"/>
    <w:rsid w:val="00C5454D"/>
    <w:rsid w:val="00C548A7"/>
    <w:rsid w:val="00C556B9"/>
    <w:rsid w:val="00C56292"/>
    <w:rsid w:val="00C57D28"/>
    <w:rsid w:val="00C602CA"/>
    <w:rsid w:val="00C60308"/>
    <w:rsid w:val="00C60961"/>
    <w:rsid w:val="00C61694"/>
    <w:rsid w:val="00C622FB"/>
    <w:rsid w:val="00C62EED"/>
    <w:rsid w:val="00C62FE3"/>
    <w:rsid w:val="00C6381A"/>
    <w:rsid w:val="00C6391B"/>
    <w:rsid w:val="00C63D7A"/>
    <w:rsid w:val="00C64360"/>
    <w:rsid w:val="00C64D91"/>
    <w:rsid w:val="00C6521A"/>
    <w:rsid w:val="00C660B4"/>
    <w:rsid w:val="00C66A7B"/>
    <w:rsid w:val="00C67342"/>
    <w:rsid w:val="00C721E4"/>
    <w:rsid w:val="00C73062"/>
    <w:rsid w:val="00C73187"/>
    <w:rsid w:val="00C7361A"/>
    <w:rsid w:val="00C740FE"/>
    <w:rsid w:val="00C76445"/>
    <w:rsid w:val="00C76905"/>
    <w:rsid w:val="00C7758E"/>
    <w:rsid w:val="00C778F5"/>
    <w:rsid w:val="00C77BE5"/>
    <w:rsid w:val="00C811E0"/>
    <w:rsid w:val="00C817BF"/>
    <w:rsid w:val="00C81F3A"/>
    <w:rsid w:val="00C82FDB"/>
    <w:rsid w:val="00C82FFF"/>
    <w:rsid w:val="00C83321"/>
    <w:rsid w:val="00C838A7"/>
    <w:rsid w:val="00C84629"/>
    <w:rsid w:val="00C852DB"/>
    <w:rsid w:val="00C85855"/>
    <w:rsid w:val="00C85E39"/>
    <w:rsid w:val="00C86045"/>
    <w:rsid w:val="00C86AEA"/>
    <w:rsid w:val="00C874A3"/>
    <w:rsid w:val="00C87E90"/>
    <w:rsid w:val="00C929D2"/>
    <w:rsid w:val="00C94318"/>
    <w:rsid w:val="00C9590B"/>
    <w:rsid w:val="00C95BAE"/>
    <w:rsid w:val="00C96884"/>
    <w:rsid w:val="00C96CA7"/>
    <w:rsid w:val="00CA0E92"/>
    <w:rsid w:val="00CA1148"/>
    <w:rsid w:val="00CA13DC"/>
    <w:rsid w:val="00CA152D"/>
    <w:rsid w:val="00CA1F53"/>
    <w:rsid w:val="00CA25E9"/>
    <w:rsid w:val="00CA3050"/>
    <w:rsid w:val="00CA3A5A"/>
    <w:rsid w:val="00CA4072"/>
    <w:rsid w:val="00CA4D03"/>
    <w:rsid w:val="00CA4D39"/>
    <w:rsid w:val="00CA586A"/>
    <w:rsid w:val="00CA5F15"/>
    <w:rsid w:val="00CA67BC"/>
    <w:rsid w:val="00CA6837"/>
    <w:rsid w:val="00CB0039"/>
    <w:rsid w:val="00CB1000"/>
    <w:rsid w:val="00CB2659"/>
    <w:rsid w:val="00CB475C"/>
    <w:rsid w:val="00CB4EB0"/>
    <w:rsid w:val="00CB54AB"/>
    <w:rsid w:val="00CB5757"/>
    <w:rsid w:val="00CB5806"/>
    <w:rsid w:val="00CB5B0A"/>
    <w:rsid w:val="00CB5D78"/>
    <w:rsid w:val="00CB5DC8"/>
    <w:rsid w:val="00CB5E41"/>
    <w:rsid w:val="00CB6ECF"/>
    <w:rsid w:val="00CB702E"/>
    <w:rsid w:val="00CC02FF"/>
    <w:rsid w:val="00CC047E"/>
    <w:rsid w:val="00CC0543"/>
    <w:rsid w:val="00CC08A6"/>
    <w:rsid w:val="00CC1117"/>
    <w:rsid w:val="00CC1AB6"/>
    <w:rsid w:val="00CC226D"/>
    <w:rsid w:val="00CC2517"/>
    <w:rsid w:val="00CC2ADF"/>
    <w:rsid w:val="00CC2F0C"/>
    <w:rsid w:val="00CC2FC7"/>
    <w:rsid w:val="00CC37C0"/>
    <w:rsid w:val="00CC3C3C"/>
    <w:rsid w:val="00CC4137"/>
    <w:rsid w:val="00CC5292"/>
    <w:rsid w:val="00CC5E09"/>
    <w:rsid w:val="00CC62FC"/>
    <w:rsid w:val="00CC69B9"/>
    <w:rsid w:val="00CC7959"/>
    <w:rsid w:val="00CC7965"/>
    <w:rsid w:val="00CC7F1B"/>
    <w:rsid w:val="00CD0C86"/>
    <w:rsid w:val="00CD17FF"/>
    <w:rsid w:val="00CD1840"/>
    <w:rsid w:val="00CD1AC6"/>
    <w:rsid w:val="00CD34DA"/>
    <w:rsid w:val="00CD5850"/>
    <w:rsid w:val="00CD5898"/>
    <w:rsid w:val="00CD59FE"/>
    <w:rsid w:val="00CD5CC0"/>
    <w:rsid w:val="00CD5EC9"/>
    <w:rsid w:val="00CD65DE"/>
    <w:rsid w:val="00CD6B78"/>
    <w:rsid w:val="00CD7238"/>
    <w:rsid w:val="00CD739D"/>
    <w:rsid w:val="00CD78D2"/>
    <w:rsid w:val="00CE01DE"/>
    <w:rsid w:val="00CE053F"/>
    <w:rsid w:val="00CE2662"/>
    <w:rsid w:val="00CE2DBB"/>
    <w:rsid w:val="00CE3733"/>
    <w:rsid w:val="00CE3864"/>
    <w:rsid w:val="00CE3D6C"/>
    <w:rsid w:val="00CE42D2"/>
    <w:rsid w:val="00CE5589"/>
    <w:rsid w:val="00CE55FB"/>
    <w:rsid w:val="00CE59B1"/>
    <w:rsid w:val="00CE5E39"/>
    <w:rsid w:val="00CE5E51"/>
    <w:rsid w:val="00CE6611"/>
    <w:rsid w:val="00CE6959"/>
    <w:rsid w:val="00CE6A17"/>
    <w:rsid w:val="00CE6BCC"/>
    <w:rsid w:val="00CE6F7A"/>
    <w:rsid w:val="00CE75DC"/>
    <w:rsid w:val="00CF1D39"/>
    <w:rsid w:val="00CF1FF1"/>
    <w:rsid w:val="00CF23D6"/>
    <w:rsid w:val="00CF2C69"/>
    <w:rsid w:val="00CF3B37"/>
    <w:rsid w:val="00CF53CE"/>
    <w:rsid w:val="00CF5427"/>
    <w:rsid w:val="00CF584A"/>
    <w:rsid w:val="00CF6027"/>
    <w:rsid w:val="00CF61F0"/>
    <w:rsid w:val="00CF66B1"/>
    <w:rsid w:val="00CF722A"/>
    <w:rsid w:val="00D000B3"/>
    <w:rsid w:val="00D01D1B"/>
    <w:rsid w:val="00D02739"/>
    <w:rsid w:val="00D031BB"/>
    <w:rsid w:val="00D031C0"/>
    <w:rsid w:val="00D03582"/>
    <w:rsid w:val="00D03714"/>
    <w:rsid w:val="00D044F3"/>
    <w:rsid w:val="00D046EB"/>
    <w:rsid w:val="00D05065"/>
    <w:rsid w:val="00D051CE"/>
    <w:rsid w:val="00D0524B"/>
    <w:rsid w:val="00D05468"/>
    <w:rsid w:val="00D05964"/>
    <w:rsid w:val="00D05DBE"/>
    <w:rsid w:val="00D06069"/>
    <w:rsid w:val="00D06F8A"/>
    <w:rsid w:val="00D07630"/>
    <w:rsid w:val="00D108CB"/>
    <w:rsid w:val="00D1181B"/>
    <w:rsid w:val="00D12294"/>
    <w:rsid w:val="00D13FEF"/>
    <w:rsid w:val="00D148C9"/>
    <w:rsid w:val="00D1530B"/>
    <w:rsid w:val="00D1567B"/>
    <w:rsid w:val="00D157C9"/>
    <w:rsid w:val="00D15F7D"/>
    <w:rsid w:val="00D162B1"/>
    <w:rsid w:val="00D1654E"/>
    <w:rsid w:val="00D16D86"/>
    <w:rsid w:val="00D20645"/>
    <w:rsid w:val="00D20DA1"/>
    <w:rsid w:val="00D212C7"/>
    <w:rsid w:val="00D2131A"/>
    <w:rsid w:val="00D2170B"/>
    <w:rsid w:val="00D2386A"/>
    <w:rsid w:val="00D239C7"/>
    <w:rsid w:val="00D23E03"/>
    <w:rsid w:val="00D24235"/>
    <w:rsid w:val="00D24600"/>
    <w:rsid w:val="00D24FD8"/>
    <w:rsid w:val="00D25150"/>
    <w:rsid w:val="00D251B7"/>
    <w:rsid w:val="00D25D81"/>
    <w:rsid w:val="00D2763B"/>
    <w:rsid w:val="00D3048C"/>
    <w:rsid w:val="00D30B4C"/>
    <w:rsid w:val="00D3108F"/>
    <w:rsid w:val="00D317EF"/>
    <w:rsid w:val="00D31A84"/>
    <w:rsid w:val="00D320CE"/>
    <w:rsid w:val="00D32831"/>
    <w:rsid w:val="00D334D7"/>
    <w:rsid w:val="00D3372D"/>
    <w:rsid w:val="00D33F20"/>
    <w:rsid w:val="00D346C1"/>
    <w:rsid w:val="00D34D07"/>
    <w:rsid w:val="00D34EC4"/>
    <w:rsid w:val="00D353F9"/>
    <w:rsid w:val="00D3557E"/>
    <w:rsid w:val="00D3650E"/>
    <w:rsid w:val="00D3692B"/>
    <w:rsid w:val="00D373E0"/>
    <w:rsid w:val="00D37EB4"/>
    <w:rsid w:val="00D40EA8"/>
    <w:rsid w:val="00D40FED"/>
    <w:rsid w:val="00D41293"/>
    <w:rsid w:val="00D4202D"/>
    <w:rsid w:val="00D425FA"/>
    <w:rsid w:val="00D42CD5"/>
    <w:rsid w:val="00D42F50"/>
    <w:rsid w:val="00D4325C"/>
    <w:rsid w:val="00D4398B"/>
    <w:rsid w:val="00D43F3B"/>
    <w:rsid w:val="00D4514A"/>
    <w:rsid w:val="00D45F08"/>
    <w:rsid w:val="00D4671B"/>
    <w:rsid w:val="00D47C4D"/>
    <w:rsid w:val="00D505F1"/>
    <w:rsid w:val="00D50740"/>
    <w:rsid w:val="00D50E53"/>
    <w:rsid w:val="00D50F22"/>
    <w:rsid w:val="00D51341"/>
    <w:rsid w:val="00D51914"/>
    <w:rsid w:val="00D52873"/>
    <w:rsid w:val="00D534E9"/>
    <w:rsid w:val="00D537C8"/>
    <w:rsid w:val="00D53A1A"/>
    <w:rsid w:val="00D53C49"/>
    <w:rsid w:val="00D541B1"/>
    <w:rsid w:val="00D55050"/>
    <w:rsid w:val="00D552F5"/>
    <w:rsid w:val="00D5537A"/>
    <w:rsid w:val="00D5609B"/>
    <w:rsid w:val="00D565D0"/>
    <w:rsid w:val="00D56875"/>
    <w:rsid w:val="00D574D4"/>
    <w:rsid w:val="00D579AC"/>
    <w:rsid w:val="00D60BD2"/>
    <w:rsid w:val="00D60E1C"/>
    <w:rsid w:val="00D61551"/>
    <w:rsid w:val="00D62632"/>
    <w:rsid w:val="00D6338B"/>
    <w:rsid w:val="00D637C2"/>
    <w:rsid w:val="00D64EA1"/>
    <w:rsid w:val="00D650E7"/>
    <w:rsid w:val="00D65FF8"/>
    <w:rsid w:val="00D660C4"/>
    <w:rsid w:val="00D6643A"/>
    <w:rsid w:val="00D66D56"/>
    <w:rsid w:val="00D674E1"/>
    <w:rsid w:val="00D678C9"/>
    <w:rsid w:val="00D67DFC"/>
    <w:rsid w:val="00D7008C"/>
    <w:rsid w:val="00D712FB"/>
    <w:rsid w:val="00D7210E"/>
    <w:rsid w:val="00D72843"/>
    <w:rsid w:val="00D73843"/>
    <w:rsid w:val="00D73A53"/>
    <w:rsid w:val="00D7471F"/>
    <w:rsid w:val="00D74F73"/>
    <w:rsid w:val="00D757F2"/>
    <w:rsid w:val="00D75D4F"/>
    <w:rsid w:val="00D765FF"/>
    <w:rsid w:val="00D7742A"/>
    <w:rsid w:val="00D778A6"/>
    <w:rsid w:val="00D81671"/>
    <w:rsid w:val="00D81A0B"/>
    <w:rsid w:val="00D81D3E"/>
    <w:rsid w:val="00D82363"/>
    <w:rsid w:val="00D8432B"/>
    <w:rsid w:val="00D8471E"/>
    <w:rsid w:val="00D84927"/>
    <w:rsid w:val="00D85E35"/>
    <w:rsid w:val="00D85EC8"/>
    <w:rsid w:val="00D91F60"/>
    <w:rsid w:val="00D928EA"/>
    <w:rsid w:val="00D92C17"/>
    <w:rsid w:val="00D92E1E"/>
    <w:rsid w:val="00D92E66"/>
    <w:rsid w:val="00D93405"/>
    <w:rsid w:val="00D93410"/>
    <w:rsid w:val="00D936C2"/>
    <w:rsid w:val="00D93D86"/>
    <w:rsid w:val="00D94952"/>
    <w:rsid w:val="00D94F05"/>
    <w:rsid w:val="00D95919"/>
    <w:rsid w:val="00D96894"/>
    <w:rsid w:val="00D974E4"/>
    <w:rsid w:val="00D975A5"/>
    <w:rsid w:val="00D97B69"/>
    <w:rsid w:val="00D97F96"/>
    <w:rsid w:val="00DA0F17"/>
    <w:rsid w:val="00DA0F63"/>
    <w:rsid w:val="00DA1505"/>
    <w:rsid w:val="00DA15FA"/>
    <w:rsid w:val="00DA1719"/>
    <w:rsid w:val="00DA30F1"/>
    <w:rsid w:val="00DA40D5"/>
    <w:rsid w:val="00DA4836"/>
    <w:rsid w:val="00DA5280"/>
    <w:rsid w:val="00DA6E33"/>
    <w:rsid w:val="00DA7032"/>
    <w:rsid w:val="00DA75FE"/>
    <w:rsid w:val="00DA7C30"/>
    <w:rsid w:val="00DB00D4"/>
    <w:rsid w:val="00DB0AE6"/>
    <w:rsid w:val="00DB0B62"/>
    <w:rsid w:val="00DB1E5D"/>
    <w:rsid w:val="00DB2A79"/>
    <w:rsid w:val="00DB3485"/>
    <w:rsid w:val="00DB3611"/>
    <w:rsid w:val="00DB3661"/>
    <w:rsid w:val="00DB3EC6"/>
    <w:rsid w:val="00DB3F52"/>
    <w:rsid w:val="00DB494F"/>
    <w:rsid w:val="00DB4FCB"/>
    <w:rsid w:val="00DB50FC"/>
    <w:rsid w:val="00DB5E81"/>
    <w:rsid w:val="00DB6242"/>
    <w:rsid w:val="00DB6EDF"/>
    <w:rsid w:val="00DB70C8"/>
    <w:rsid w:val="00DB789C"/>
    <w:rsid w:val="00DC03B8"/>
    <w:rsid w:val="00DC0809"/>
    <w:rsid w:val="00DC1116"/>
    <w:rsid w:val="00DC15E5"/>
    <w:rsid w:val="00DC1796"/>
    <w:rsid w:val="00DC2EE5"/>
    <w:rsid w:val="00DC3AED"/>
    <w:rsid w:val="00DC440F"/>
    <w:rsid w:val="00DC441B"/>
    <w:rsid w:val="00DC482C"/>
    <w:rsid w:val="00DC519C"/>
    <w:rsid w:val="00DC65C2"/>
    <w:rsid w:val="00DC6707"/>
    <w:rsid w:val="00DC675D"/>
    <w:rsid w:val="00DC6CF3"/>
    <w:rsid w:val="00DC7207"/>
    <w:rsid w:val="00DC7539"/>
    <w:rsid w:val="00DD0004"/>
    <w:rsid w:val="00DD1036"/>
    <w:rsid w:val="00DD151F"/>
    <w:rsid w:val="00DD15EE"/>
    <w:rsid w:val="00DD1B75"/>
    <w:rsid w:val="00DD26DA"/>
    <w:rsid w:val="00DD2E91"/>
    <w:rsid w:val="00DD35AE"/>
    <w:rsid w:val="00DD38C3"/>
    <w:rsid w:val="00DD3916"/>
    <w:rsid w:val="00DD513C"/>
    <w:rsid w:val="00DD6248"/>
    <w:rsid w:val="00DD634B"/>
    <w:rsid w:val="00DE0A06"/>
    <w:rsid w:val="00DE11C5"/>
    <w:rsid w:val="00DE1617"/>
    <w:rsid w:val="00DE1823"/>
    <w:rsid w:val="00DE1E98"/>
    <w:rsid w:val="00DE2B7B"/>
    <w:rsid w:val="00DE2DDE"/>
    <w:rsid w:val="00DE3099"/>
    <w:rsid w:val="00DE473F"/>
    <w:rsid w:val="00DE4853"/>
    <w:rsid w:val="00DE4B80"/>
    <w:rsid w:val="00DE4CA4"/>
    <w:rsid w:val="00DE526D"/>
    <w:rsid w:val="00DE55CA"/>
    <w:rsid w:val="00DE64F8"/>
    <w:rsid w:val="00DE794E"/>
    <w:rsid w:val="00DE7D7C"/>
    <w:rsid w:val="00DF0542"/>
    <w:rsid w:val="00DF07E7"/>
    <w:rsid w:val="00DF0852"/>
    <w:rsid w:val="00DF0994"/>
    <w:rsid w:val="00DF0E69"/>
    <w:rsid w:val="00DF221A"/>
    <w:rsid w:val="00DF239C"/>
    <w:rsid w:val="00DF2483"/>
    <w:rsid w:val="00DF25A0"/>
    <w:rsid w:val="00DF3464"/>
    <w:rsid w:val="00DF3775"/>
    <w:rsid w:val="00DF3BD9"/>
    <w:rsid w:val="00DF4471"/>
    <w:rsid w:val="00DF4C8F"/>
    <w:rsid w:val="00DF500E"/>
    <w:rsid w:val="00DF50DC"/>
    <w:rsid w:val="00DF5948"/>
    <w:rsid w:val="00DF5B31"/>
    <w:rsid w:val="00DF71D1"/>
    <w:rsid w:val="00DF7304"/>
    <w:rsid w:val="00DF7C8A"/>
    <w:rsid w:val="00DF7FA2"/>
    <w:rsid w:val="00E00202"/>
    <w:rsid w:val="00E00BF4"/>
    <w:rsid w:val="00E0219D"/>
    <w:rsid w:val="00E02C48"/>
    <w:rsid w:val="00E03058"/>
    <w:rsid w:val="00E0356A"/>
    <w:rsid w:val="00E0365F"/>
    <w:rsid w:val="00E03B3A"/>
    <w:rsid w:val="00E03E6A"/>
    <w:rsid w:val="00E044A8"/>
    <w:rsid w:val="00E04A37"/>
    <w:rsid w:val="00E05D2F"/>
    <w:rsid w:val="00E06445"/>
    <w:rsid w:val="00E06916"/>
    <w:rsid w:val="00E06DE2"/>
    <w:rsid w:val="00E07B79"/>
    <w:rsid w:val="00E1019F"/>
    <w:rsid w:val="00E10780"/>
    <w:rsid w:val="00E11590"/>
    <w:rsid w:val="00E126E4"/>
    <w:rsid w:val="00E131E1"/>
    <w:rsid w:val="00E13369"/>
    <w:rsid w:val="00E13F90"/>
    <w:rsid w:val="00E150E5"/>
    <w:rsid w:val="00E152A2"/>
    <w:rsid w:val="00E15C36"/>
    <w:rsid w:val="00E1688E"/>
    <w:rsid w:val="00E16D94"/>
    <w:rsid w:val="00E16E2C"/>
    <w:rsid w:val="00E1795F"/>
    <w:rsid w:val="00E17CF5"/>
    <w:rsid w:val="00E2054B"/>
    <w:rsid w:val="00E22035"/>
    <w:rsid w:val="00E2302F"/>
    <w:rsid w:val="00E23F12"/>
    <w:rsid w:val="00E25505"/>
    <w:rsid w:val="00E2564C"/>
    <w:rsid w:val="00E25957"/>
    <w:rsid w:val="00E25D87"/>
    <w:rsid w:val="00E26384"/>
    <w:rsid w:val="00E26446"/>
    <w:rsid w:val="00E26FEE"/>
    <w:rsid w:val="00E2787E"/>
    <w:rsid w:val="00E30117"/>
    <w:rsid w:val="00E304B0"/>
    <w:rsid w:val="00E3075B"/>
    <w:rsid w:val="00E31D00"/>
    <w:rsid w:val="00E3211E"/>
    <w:rsid w:val="00E321F0"/>
    <w:rsid w:val="00E3274D"/>
    <w:rsid w:val="00E32896"/>
    <w:rsid w:val="00E333B1"/>
    <w:rsid w:val="00E337D9"/>
    <w:rsid w:val="00E338E1"/>
    <w:rsid w:val="00E34052"/>
    <w:rsid w:val="00E34604"/>
    <w:rsid w:val="00E359F4"/>
    <w:rsid w:val="00E35ECE"/>
    <w:rsid w:val="00E36216"/>
    <w:rsid w:val="00E3622C"/>
    <w:rsid w:val="00E36274"/>
    <w:rsid w:val="00E364DF"/>
    <w:rsid w:val="00E367DE"/>
    <w:rsid w:val="00E36CA7"/>
    <w:rsid w:val="00E36E24"/>
    <w:rsid w:val="00E37D03"/>
    <w:rsid w:val="00E402BD"/>
    <w:rsid w:val="00E4058F"/>
    <w:rsid w:val="00E414A0"/>
    <w:rsid w:val="00E4206E"/>
    <w:rsid w:val="00E42B5B"/>
    <w:rsid w:val="00E42D98"/>
    <w:rsid w:val="00E4383D"/>
    <w:rsid w:val="00E4450E"/>
    <w:rsid w:val="00E44A52"/>
    <w:rsid w:val="00E44C8A"/>
    <w:rsid w:val="00E44F8D"/>
    <w:rsid w:val="00E45498"/>
    <w:rsid w:val="00E45545"/>
    <w:rsid w:val="00E4645E"/>
    <w:rsid w:val="00E46CCB"/>
    <w:rsid w:val="00E50124"/>
    <w:rsid w:val="00E507EA"/>
    <w:rsid w:val="00E50D5F"/>
    <w:rsid w:val="00E52366"/>
    <w:rsid w:val="00E52BC0"/>
    <w:rsid w:val="00E53149"/>
    <w:rsid w:val="00E53D55"/>
    <w:rsid w:val="00E5460A"/>
    <w:rsid w:val="00E54E48"/>
    <w:rsid w:val="00E55101"/>
    <w:rsid w:val="00E5529E"/>
    <w:rsid w:val="00E56696"/>
    <w:rsid w:val="00E566A4"/>
    <w:rsid w:val="00E57624"/>
    <w:rsid w:val="00E576DF"/>
    <w:rsid w:val="00E57DFD"/>
    <w:rsid w:val="00E61262"/>
    <w:rsid w:val="00E6157C"/>
    <w:rsid w:val="00E6172D"/>
    <w:rsid w:val="00E62B79"/>
    <w:rsid w:val="00E630F2"/>
    <w:rsid w:val="00E633A3"/>
    <w:rsid w:val="00E633D4"/>
    <w:rsid w:val="00E63A42"/>
    <w:rsid w:val="00E63C89"/>
    <w:rsid w:val="00E63DCC"/>
    <w:rsid w:val="00E645A0"/>
    <w:rsid w:val="00E64AEA"/>
    <w:rsid w:val="00E6508C"/>
    <w:rsid w:val="00E65DE7"/>
    <w:rsid w:val="00E6764D"/>
    <w:rsid w:val="00E70029"/>
    <w:rsid w:val="00E7002D"/>
    <w:rsid w:val="00E70404"/>
    <w:rsid w:val="00E7292E"/>
    <w:rsid w:val="00E72A4C"/>
    <w:rsid w:val="00E7308F"/>
    <w:rsid w:val="00E74756"/>
    <w:rsid w:val="00E749FE"/>
    <w:rsid w:val="00E75FD9"/>
    <w:rsid w:val="00E7731E"/>
    <w:rsid w:val="00E778E2"/>
    <w:rsid w:val="00E80563"/>
    <w:rsid w:val="00E80D6C"/>
    <w:rsid w:val="00E81AD2"/>
    <w:rsid w:val="00E825E2"/>
    <w:rsid w:val="00E826A4"/>
    <w:rsid w:val="00E82CAF"/>
    <w:rsid w:val="00E83565"/>
    <w:rsid w:val="00E83EAD"/>
    <w:rsid w:val="00E85DEE"/>
    <w:rsid w:val="00E8629C"/>
    <w:rsid w:val="00E8631B"/>
    <w:rsid w:val="00E86EB4"/>
    <w:rsid w:val="00E877E6"/>
    <w:rsid w:val="00E90E2E"/>
    <w:rsid w:val="00E916C3"/>
    <w:rsid w:val="00E91E37"/>
    <w:rsid w:val="00E920F3"/>
    <w:rsid w:val="00E92179"/>
    <w:rsid w:val="00E94518"/>
    <w:rsid w:val="00E94654"/>
    <w:rsid w:val="00E954A0"/>
    <w:rsid w:val="00E95A72"/>
    <w:rsid w:val="00E95AC5"/>
    <w:rsid w:val="00E95B98"/>
    <w:rsid w:val="00E95E6A"/>
    <w:rsid w:val="00E96C3F"/>
    <w:rsid w:val="00E973EC"/>
    <w:rsid w:val="00E97947"/>
    <w:rsid w:val="00E97EEA"/>
    <w:rsid w:val="00EA081E"/>
    <w:rsid w:val="00EA1503"/>
    <w:rsid w:val="00EA2781"/>
    <w:rsid w:val="00EA4905"/>
    <w:rsid w:val="00EA499F"/>
    <w:rsid w:val="00EA518E"/>
    <w:rsid w:val="00EA547C"/>
    <w:rsid w:val="00EA65F1"/>
    <w:rsid w:val="00EA6906"/>
    <w:rsid w:val="00EA6D6B"/>
    <w:rsid w:val="00EA76F7"/>
    <w:rsid w:val="00EB0E65"/>
    <w:rsid w:val="00EB1268"/>
    <w:rsid w:val="00EB1868"/>
    <w:rsid w:val="00EB196C"/>
    <w:rsid w:val="00EB2883"/>
    <w:rsid w:val="00EB29DC"/>
    <w:rsid w:val="00EB2A8E"/>
    <w:rsid w:val="00EB2B4C"/>
    <w:rsid w:val="00EB3ED4"/>
    <w:rsid w:val="00EB3F8A"/>
    <w:rsid w:val="00EB47E4"/>
    <w:rsid w:val="00EB4899"/>
    <w:rsid w:val="00EB4DC2"/>
    <w:rsid w:val="00EB4F09"/>
    <w:rsid w:val="00EB50A6"/>
    <w:rsid w:val="00EB598E"/>
    <w:rsid w:val="00EB6B1C"/>
    <w:rsid w:val="00EB7D38"/>
    <w:rsid w:val="00EC136A"/>
    <w:rsid w:val="00EC2A13"/>
    <w:rsid w:val="00EC3028"/>
    <w:rsid w:val="00EC393A"/>
    <w:rsid w:val="00EC3F60"/>
    <w:rsid w:val="00EC4F21"/>
    <w:rsid w:val="00EC525A"/>
    <w:rsid w:val="00EC54A9"/>
    <w:rsid w:val="00EC647F"/>
    <w:rsid w:val="00EC7609"/>
    <w:rsid w:val="00EC7C50"/>
    <w:rsid w:val="00ED0577"/>
    <w:rsid w:val="00ED0C34"/>
    <w:rsid w:val="00ED1242"/>
    <w:rsid w:val="00ED1383"/>
    <w:rsid w:val="00ED14C4"/>
    <w:rsid w:val="00ED150B"/>
    <w:rsid w:val="00ED175A"/>
    <w:rsid w:val="00ED25B1"/>
    <w:rsid w:val="00ED26A3"/>
    <w:rsid w:val="00ED4057"/>
    <w:rsid w:val="00ED4489"/>
    <w:rsid w:val="00ED5294"/>
    <w:rsid w:val="00ED535D"/>
    <w:rsid w:val="00ED54E9"/>
    <w:rsid w:val="00EE00EA"/>
    <w:rsid w:val="00EE0228"/>
    <w:rsid w:val="00EE0426"/>
    <w:rsid w:val="00EE046F"/>
    <w:rsid w:val="00EE0F44"/>
    <w:rsid w:val="00EE2366"/>
    <w:rsid w:val="00EE3001"/>
    <w:rsid w:val="00EE3499"/>
    <w:rsid w:val="00EE4057"/>
    <w:rsid w:val="00EE4065"/>
    <w:rsid w:val="00EE450C"/>
    <w:rsid w:val="00EE4A66"/>
    <w:rsid w:val="00EE4BA0"/>
    <w:rsid w:val="00EE4D7B"/>
    <w:rsid w:val="00EE5091"/>
    <w:rsid w:val="00EE51B9"/>
    <w:rsid w:val="00EE5833"/>
    <w:rsid w:val="00EE64B5"/>
    <w:rsid w:val="00EE6D57"/>
    <w:rsid w:val="00EF098F"/>
    <w:rsid w:val="00EF0A30"/>
    <w:rsid w:val="00EF12D5"/>
    <w:rsid w:val="00EF144B"/>
    <w:rsid w:val="00EF1660"/>
    <w:rsid w:val="00EF19B7"/>
    <w:rsid w:val="00EF23FE"/>
    <w:rsid w:val="00EF2713"/>
    <w:rsid w:val="00EF2833"/>
    <w:rsid w:val="00EF2BD8"/>
    <w:rsid w:val="00EF310C"/>
    <w:rsid w:val="00EF34B3"/>
    <w:rsid w:val="00EF3695"/>
    <w:rsid w:val="00EF39CB"/>
    <w:rsid w:val="00EF3AE6"/>
    <w:rsid w:val="00EF3F78"/>
    <w:rsid w:val="00EF415B"/>
    <w:rsid w:val="00EF510A"/>
    <w:rsid w:val="00EF680F"/>
    <w:rsid w:val="00EF768C"/>
    <w:rsid w:val="00EF7F25"/>
    <w:rsid w:val="00F004AA"/>
    <w:rsid w:val="00F00556"/>
    <w:rsid w:val="00F008FC"/>
    <w:rsid w:val="00F010F7"/>
    <w:rsid w:val="00F011DA"/>
    <w:rsid w:val="00F0147A"/>
    <w:rsid w:val="00F031D1"/>
    <w:rsid w:val="00F04DF3"/>
    <w:rsid w:val="00F05C73"/>
    <w:rsid w:val="00F0689A"/>
    <w:rsid w:val="00F10481"/>
    <w:rsid w:val="00F1054F"/>
    <w:rsid w:val="00F105CB"/>
    <w:rsid w:val="00F110ED"/>
    <w:rsid w:val="00F1168B"/>
    <w:rsid w:val="00F11F6E"/>
    <w:rsid w:val="00F1288E"/>
    <w:rsid w:val="00F14439"/>
    <w:rsid w:val="00F145EA"/>
    <w:rsid w:val="00F1465F"/>
    <w:rsid w:val="00F149B1"/>
    <w:rsid w:val="00F15A88"/>
    <w:rsid w:val="00F15D10"/>
    <w:rsid w:val="00F174AC"/>
    <w:rsid w:val="00F178D1"/>
    <w:rsid w:val="00F17B17"/>
    <w:rsid w:val="00F17BBA"/>
    <w:rsid w:val="00F17C75"/>
    <w:rsid w:val="00F20309"/>
    <w:rsid w:val="00F209EC"/>
    <w:rsid w:val="00F21A80"/>
    <w:rsid w:val="00F21DC5"/>
    <w:rsid w:val="00F21F39"/>
    <w:rsid w:val="00F22DAE"/>
    <w:rsid w:val="00F22DE4"/>
    <w:rsid w:val="00F23E88"/>
    <w:rsid w:val="00F23EF2"/>
    <w:rsid w:val="00F23EFD"/>
    <w:rsid w:val="00F24039"/>
    <w:rsid w:val="00F24404"/>
    <w:rsid w:val="00F24963"/>
    <w:rsid w:val="00F24B00"/>
    <w:rsid w:val="00F25E2E"/>
    <w:rsid w:val="00F26028"/>
    <w:rsid w:val="00F2627D"/>
    <w:rsid w:val="00F26A4E"/>
    <w:rsid w:val="00F26DA5"/>
    <w:rsid w:val="00F26F5A"/>
    <w:rsid w:val="00F30778"/>
    <w:rsid w:val="00F31EB3"/>
    <w:rsid w:val="00F31FB5"/>
    <w:rsid w:val="00F31FD2"/>
    <w:rsid w:val="00F3202A"/>
    <w:rsid w:val="00F323DA"/>
    <w:rsid w:val="00F3258C"/>
    <w:rsid w:val="00F33071"/>
    <w:rsid w:val="00F3351B"/>
    <w:rsid w:val="00F335DA"/>
    <w:rsid w:val="00F33A81"/>
    <w:rsid w:val="00F343BE"/>
    <w:rsid w:val="00F34CA2"/>
    <w:rsid w:val="00F35BBC"/>
    <w:rsid w:val="00F3638F"/>
    <w:rsid w:val="00F36449"/>
    <w:rsid w:val="00F36583"/>
    <w:rsid w:val="00F366C7"/>
    <w:rsid w:val="00F36A54"/>
    <w:rsid w:val="00F36A84"/>
    <w:rsid w:val="00F40216"/>
    <w:rsid w:val="00F40458"/>
    <w:rsid w:val="00F40691"/>
    <w:rsid w:val="00F40E4A"/>
    <w:rsid w:val="00F412C0"/>
    <w:rsid w:val="00F41443"/>
    <w:rsid w:val="00F41686"/>
    <w:rsid w:val="00F41BF4"/>
    <w:rsid w:val="00F41C1D"/>
    <w:rsid w:val="00F42098"/>
    <w:rsid w:val="00F4272B"/>
    <w:rsid w:val="00F42966"/>
    <w:rsid w:val="00F43246"/>
    <w:rsid w:val="00F435ED"/>
    <w:rsid w:val="00F43BE6"/>
    <w:rsid w:val="00F45487"/>
    <w:rsid w:val="00F45575"/>
    <w:rsid w:val="00F45BD3"/>
    <w:rsid w:val="00F45DAB"/>
    <w:rsid w:val="00F46503"/>
    <w:rsid w:val="00F46797"/>
    <w:rsid w:val="00F46A07"/>
    <w:rsid w:val="00F46E92"/>
    <w:rsid w:val="00F47710"/>
    <w:rsid w:val="00F47830"/>
    <w:rsid w:val="00F50428"/>
    <w:rsid w:val="00F5053F"/>
    <w:rsid w:val="00F50B3C"/>
    <w:rsid w:val="00F51A75"/>
    <w:rsid w:val="00F51ABA"/>
    <w:rsid w:val="00F51B5A"/>
    <w:rsid w:val="00F51D33"/>
    <w:rsid w:val="00F522A1"/>
    <w:rsid w:val="00F529DB"/>
    <w:rsid w:val="00F52A79"/>
    <w:rsid w:val="00F538AA"/>
    <w:rsid w:val="00F53AA7"/>
    <w:rsid w:val="00F55108"/>
    <w:rsid w:val="00F55692"/>
    <w:rsid w:val="00F55FCE"/>
    <w:rsid w:val="00F5628B"/>
    <w:rsid w:val="00F56621"/>
    <w:rsid w:val="00F578DA"/>
    <w:rsid w:val="00F57F71"/>
    <w:rsid w:val="00F60F40"/>
    <w:rsid w:val="00F61AFB"/>
    <w:rsid w:val="00F62E0B"/>
    <w:rsid w:val="00F63334"/>
    <w:rsid w:val="00F634BB"/>
    <w:rsid w:val="00F64C27"/>
    <w:rsid w:val="00F6593E"/>
    <w:rsid w:val="00F65A70"/>
    <w:rsid w:val="00F66054"/>
    <w:rsid w:val="00F66109"/>
    <w:rsid w:val="00F671A5"/>
    <w:rsid w:val="00F67958"/>
    <w:rsid w:val="00F67BDB"/>
    <w:rsid w:val="00F67ED1"/>
    <w:rsid w:val="00F70339"/>
    <w:rsid w:val="00F70431"/>
    <w:rsid w:val="00F704D9"/>
    <w:rsid w:val="00F706A1"/>
    <w:rsid w:val="00F71A33"/>
    <w:rsid w:val="00F72A50"/>
    <w:rsid w:val="00F73126"/>
    <w:rsid w:val="00F734B9"/>
    <w:rsid w:val="00F7375A"/>
    <w:rsid w:val="00F73D2B"/>
    <w:rsid w:val="00F74215"/>
    <w:rsid w:val="00F75121"/>
    <w:rsid w:val="00F758E9"/>
    <w:rsid w:val="00F773BF"/>
    <w:rsid w:val="00F774D0"/>
    <w:rsid w:val="00F77AC1"/>
    <w:rsid w:val="00F77ADD"/>
    <w:rsid w:val="00F8000D"/>
    <w:rsid w:val="00F802EC"/>
    <w:rsid w:val="00F80AC4"/>
    <w:rsid w:val="00F80F0C"/>
    <w:rsid w:val="00F811DA"/>
    <w:rsid w:val="00F82039"/>
    <w:rsid w:val="00F82475"/>
    <w:rsid w:val="00F82C1B"/>
    <w:rsid w:val="00F830D9"/>
    <w:rsid w:val="00F8312D"/>
    <w:rsid w:val="00F83593"/>
    <w:rsid w:val="00F83770"/>
    <w:rsid w:val="00F84F19"/>
    <w:rsid w:val="00F859D8"/>
    <w:rsid w:val="00F86658"/>
    <w:rsid w:val="00F86773"/>
    <w:rsid w:val="00F8735B"/>
    <w:rsid w:val="00F9047B"/>
    <w:rsid w:val="00F90606"/>
    <w:rsid w:val="00F9091B"/>
    <w:rsid w:val="00F90D76"/>
    <w:rsid w:val="00F91186"/>
    <w:rsid w:val="00F912E2"/>
    <w:rsid w:val="00F920C1"/>
    <w:rsid w:val="00F925EF"/>
    <w:rsid w:val="00F92B75"/>
    <w:rsid w:val="00F9389B"/>
    <w:rsid w:val="00F94EA8"/>
    <w:rsid w:val="00F9652E"/>
    <w:rsid w:val="00F97956"/>
    <w:rsid w:val="00F97BEB"/>
    <w:rsid w:val="00F97E9B"/>
    <w:rsid w:val="00F97ED5"/>
    <w:rsid w:val="00FA0125"/>
    <w:rsid w:val="00FA015C"/>
    <w:rsid w:val="00FA0162"/>
    <w:rsid w:val="00FA02D7"/>
    <w:rsid w:val="00FA0FB7"/>
    <w:rsid w:val="00FA12BA"/>
    <w:rsid w:val="00FA1669"/>
    <w:rsid w:val="00FA1FC1"/>
    <w:rsid w:val="00FA25DD"/>
    <w:rsid w:val="00FA2C23"/>
    <w:rsid w:val="00FA30B5"/>
    <w:rsid w:val="00FA4E20"/>
    <w:rsid w:val="00FA6875"/>
    <w:rsid w:val="00FA6AD5"/>
    <w:rsid w:val="00FA70B7"/>
    <w:rsid w:val="00FA70BF"/>
    <w:rsid w:val="00FA70F8"/>
    <w:rsid w:val="00FA7399"/>
    <w:rsid w:val="00FA73DF"/>
    <w:rsid w:val="00FA7542"/>
    <w:rsid w:val="00FA7C22"/>
    <w:rsid w:val="00FA7F97"/>
    <w:rsid w:val="00FB0332"/>
    <w:rsid w:val="00FB0850"/>
    <w:rsid w:val="00FB12F6"/>
    <w:rsid w:val="00FB2558"/>
    <w:rsid w:val="00FB263A"/>
    <w:rsid w:val="00FB2E88"/>
    <w:rsid w:val="00FB2F26"/>
    <w:rsid w:val="00FB32D0"/>
    <w:rsid w:val="00FB4687"/>
    <w:rsid w:val="00FB4A3D"/>
    <w:rsid w:val="00FB4E08"/>
    <w:rsid w:val="00FB563B"/>
    <w:rsid w:val="00FB5A59"/>
    <w:rsid w:val="00FB678C"/>
    <w:rsid w:val="00FB736B"/>
    <w:rsid w:val="00FC07A8"/>
    <w:rsid w:val="00FC0AB6"/>
    <w:rsid w:val="00FC0B01"/>
    <w:rsid w:val="00FC1C5B"/>
    <w:rsid w:val="00FC247B"/>
    <w:rsid w:val="00FC346D"/>
    <w:rsid w:val="00FC3C7F"/>
    <w:rsid w:val="00FC3E20"/>
    <w:rsid w:val="00FC3E29"/>
    <w:rsid w:val="00FC4E04"/>
    <w:rsid w:val="00FC4E9F"/>
    <w:rsid w:val="00FC5564"/>
    <w:rsid w:val="00FC5B7E"/>
    <w:rsid w:val="00FC6A39"/>
    <w:rsid w:val="00FC6EC3"/>
    <w:rsid w:val="00FC7001"/>
    <w:rsid w:val="00FC7A13"/>
    <w:rsid w:val="00FC7C59"/>
    <w:rsid w:val="00FC7EB9"/>
    <w:rsid w:val="00FD028B"/>
    <w:rsid w:val="00FD3320"/>
    <w:rsid w:val="00FD426D"/>
    <w:rsid w:val="00FD475C"/>
    <w:rsid w:val="00FD4BFD"/>
    <w:rsid w:val="00FD4D29"/>
    <w:rsid w:val="00FD6736"/>
    <w:rsid w:val="00FD6FB9"/>
    <w:rsid w:val="00FD75C6"/>
    <w:rsid w:val="00FD7BF3"/>
    <w:rsid w:val="00FE02C1"/>
    <w:rsid w:val="00FE0AC9"/>
    <w:rsid w:val="00FE13BF"/>
    <w:rsid w:val="00FE1C0E"/>
    <w:rsid w:val="00FE1F84"/>
    <w:rsid w:val="00FE2D4F"/>
    <w:rsid w:val="00FE2E15"/>
    <w:rsid w:val="00FE3705"/>
    <w:rsid w:val="00FE4005"/>
    <w:rsid w:val="00FE430C"/>
    <w:rsid w:val="00FE4C5F"/>
    <w:rsid w:val="00FE4E2B"/>
    <w:rsid w:val="00FE549E"/>
    <w:rsid w:val="00FE563B"/>
    <w:rsid w:val="00FE59D8"/>
    <w:rsid w:val="00FE6ACB"/>
    <w:rsid w:val="00FE6BF8"/>
    <w:rsid w:val="00FE7787"/>
    <w:rsid w:val="00FE7AA2"/>
    <w:rsid w:val="00FF14E9"/>
    <w:rsid w:val="00FF163F"/>
    <w:rsid w:val="00FF1842"/>
    <w:rsid w:val="00FF2CC9"/>
    <w:rsid w:val="00FF300F"/>
    <w:rsid w:val="00FF3A28"/>
    <w:rsid w:val="00FF3C90"/>
    <w:rsid w:val="00FF4409"/>
    <w:rsid w:val="00FF5FDE"/>
    <w:rsid w:val="00FF72E6"/>
    <w:rsid w:val="00FF72F2"/>
    <w:rsid w:val="00FF73C4"/>
    <w:rsid w:val="01067695"/>
    <w:rsid w:val="0139222F"/>
    <w:rsid w:val="014510E6"/>
    <w:rsid w:val="01877B89"/>
    <w:rsid w:val="023D46EC"/>
    <w:rsid w:val="02596B09"/>
    <w:rsid w:val="02665B09"/>
    <w:rsid w:val="029D4055"/>
    <w:rsid w:val="02A24AD2"/>
    <w:rsid w:val="02B42A17"/>
    <w:rsid w:val="03DB0988"/>
    <w:rsid w:val="04344A37"/>
    <w:rsid w:val="04504951"/>
    <w:rsid w:val="04731B5B"/>
    <w:rsid w:val="04A96068"/>
    <w:rsid w:val="04C740BF"/>
    <w:rsid w:val="04CC4A18"/>
    <w:rsid w:val="04F7235A"/>
    <w:rsid w:val="051B78E9"/>
    <w:rsid w:val="05751EC8"/>
    <w:rsid w:val="05991825"/>
    <w:rsid w:val="05D254D4"/>
    <w:rsid w:val="06517BF4"/>
    <w:rsid w:val="06925ECB"/>
    <w:rsid w:val="06C80A00"/>
    <w:rsid w:val="06F001CD"/>
    <w:rsid w:val="07F303E4"/>
    <w:rsid w:val="0861544C"/>
    <w:rsid w:val="089A78DA"/>
    <w:rsid w:val="09055D01"/>
    <w:rsid w:val="097446B1"/>
    <w:rsid w:val="0A002BCE"/>
    <w:rsid w:val="0A3811A5"/>
    <w:rsid w:val="0A552616"/>
    <w:rsid w:val="0A825530"/>
    <w:rsid w:val="0A851326"/>
    <w:rsid w:val="0A946065"/>
    <w:rsid w:val="0A96678C"/>
    <w:rsid w:val="0A9C1F8D"/>
    <w:rsid w:val="0C1A05E9"/>
    <w:rsid w:val="0C645DF2"/>
    <w:rsid w:val="0C6F4DD3"/>
    <w:rsid w:val="0D071810"/>
    <w:rsid w:val="0D5413F8"/>
    <w:rsid w:val="0D9B0769"/>
    <w:rsid w:val="0DA34B27"/>
    <w:rsid w:val="0DB37F58"/>
    <w:rsid w:val="0E177968"/>
    <w:rsid w:val="0E302745"/>
    <w:rsid w:val="0E5E1F9D"/>
    <w:rsid w:val="0E906061"/>
    <w:rsid w:val="0E9D5CBB"/>
    <w:rsid w:val="0F0560F5"/>
    <w:rsid w:val="0F0A5027"/>
    <w:rsid w:val="0F392222"/>
    <w:rsid w:val="106A0DA2"/>
    <w:rsid w:val="106F0166"/>
    <w:rsid w:val="107B7E57"/>
    <w:rsid w:val="1083468A"/>
    <w:rsid w:val="121A4994"/>
    <w:rsid w:val="123F625E"/>
    <w:rsid w:val="1252785E"/>
    <w:rsid w:val="12C70D3C"/>
    <w:rsid w:val="12CD5213"/>
    <w:rsid w:val="13020803"/>
    <w:rsid w:val="133D77EF"/>
    <w:rsid w:val="134D4AFC"/>
    <w:rsid w:val="13AD0E0B"/>
    <w:rsid w:val="13B514BD"/>
    <w:rsid w:val="13E12CB6"/>
    <w:rsid w:val="13F93CCA"/>
    <w:rsid w:val="141D531D"/>
    <w:rsid w:val="1426671F"/>
    <w:rsid w:val="14344F6E"/>
    <w:rsid w:val="14590CAD"/>
    <w:rsid w:val="15116F3E"/>
    <w:rsid w:val="15536FB1"/>
    <w:rsid w:val="15C62DDC"/>
    <w:rsid w:val="162749B1"/>
    <w:rsid w:val="177F1919"/>
    <w:rsid w:val="17815478"/>
    <w:rsid w:val="179E7583"/>
    <w:rsid w:val="17A94807"/>
    <w:rsid w:val="180F11DD"/>
    <w:rsid w:val="188E603D"/>
    <w:rsid w:val="18B613D9"/>
    <w:rsid w:val="19707F5D"/>
    <w:rsid w:val="19E47AAB"/>
    <w:rsid w:val="19EF2554"/>
    <w:rsid w:val="19F94F44"/>
    <w:rsid w:val="1A1526A6"/>
    <w:rsid w:val="1A972B9C"/>
    <w:rsid w:val="1AE16AA7"/>
    <w:rsid w:val="1AEB2ADF"/>
    <w:rsid w:val="1B2970AE"/>
    <w:rsid w:val="1B6E4399"/>
    <w:rsid w:val="1BE13EF9"/>
    <w:rsid w:val="1C162BF2"/>
    <w:rsid w:val="1C386573"/>
    <w:rsid w:val="1C83376F"/>
    <w:rsid w:val="1C8E409A"/>
    <w:rsid w:val="1C972716"/>
    <w:rsid w:val="1CC32BBD"/>
    <w:rsid w:val="1D2C098E"/>
    <w:rsid w:val="1D4D4A4E"/>
    <w:rsid w:val="1D6656C0"/>
    <w:rsid w:val="1E05212B"/>
    <w:rsid w:val="1E2539DD"/>
    <w:rsid w:val="1E390D13"/>
    <w:rsid w:val="1E682698"/>
    <w:rsid w:val="1E9A5589"/>
    <w:rsid w:val="1F065A25"/>
    <w:rsid w:val="1FF02946"/>
    <w:rsid w:val="20254066"/>
    <w:rsid w:val="206F3C40"/>
    <w:rsid w:val="20AF0FB0"/>
    <w:rsid w:val="20E92704"/>
    <w:rsid w:val="20F40FA1"/>
    <w:rsid w:val="21942F78"/>
    <w:rsid w:val="21AD75B2"/>
    <w:rsid w:val="2226297A"/>
    <w:rsid w:val="22967FAA"/>
    <w:rsid w:val="22DC55BE"/>
    <w:rsid w:val="22FA7008"/>
    <w:rsid w:val="23190A27"/>
    <w:rsid w:val="23197621"/>
    <w:rsid w:val="23A05FF2"/>
    <w:rsid w:val="23DA1C5E"/>
    <w:rsid w:val="240836FD"/>
    <w:rsid w:val="24124F60"/>
    <w:rsid w:val="241579EF"/>
    <w:rsid w:val="247E57A4"/>
    <w:rsid w:val="24BF55D5"/>
    <w:rsid w:val="24D41B13"/>
    <w:rsid w:val="252A1552"/>
    <w:rsid w:val="2561670C"/>
    <w:rsid w:val="25F15DC2"/>
    <w:rsid w:val="264557D8"/>
    <w:rsid w:val="26503109"/>
    <w:rsid w:val="268C42C0"/>
    <w:rsid w:val="26E34FB2"/>
    <w:rsid w:val="27D711E9"/>
    <w:rsid w:val="27F55A73"/>
    <w:rsid w:val="27FC35A5"/>
    <w:rsid w:val="284A5CA4"/>
    <w:rsid w:val="28C16FDD"/>
    <w:rsid w:val="28CF505A"/>
    <w:rsid w:val="28F939F4"/>
    <w:rsid w:val="29681948"/>
    <w:rsid w:val="299A59D2"/>
    <w:rsid w:val="2A5D331D"/>
    <w:rsid w:val="2A68303C"/>
    <w:rsid w:val="2A691C96"/>
    <w:rsid w:val="2A7A2E97"/>
    <w:rsid w:val="2A9743F4"/>
    <w:rsid w:val="2AA31721"/>
    <w:rsid w:val="2AA31F16"/>
    <w:rsid w:val="2AD33AC8"/>
    <w:rsid w:val="2AEF1138"/>
    <w:rsid w:val="2BBE65D0"/>
    <w:rsid w:val="2BC33C10"/>
    <w:rsid w:val="2BFC7003"/>
    <w:rsid w:val="2C9E0B23"/>
    <w:rsid w:val="2C9E645A"/>
    <w:rsid w:val="2CA462DE"/>
    <w:rsid w:val="2CB8793C"/>
    <w:rsid w:val="2CC81245"/>
    <w:rsid w:val="2CD07D87"/>
    <w:rsid w:val="2CD9200C"/>
    <w:rsid w:val="2CF20762"/>
    <w:rsid w:val="2D0839C4"/>
    <w:rsid w:val="2D48070E"/>
    <w:rsid w:val="2DC36392"/>
    <w:rsid w:val="2DDB64FA"/>
    <w:rsid w:val="2DDD65CB"/>
    <w:rsid w:val="2E707CCD"/>
    <w:rsid w:val="2EB30B5B"/>
    <w:rsid w:val="2EBB2DE6"/>
    <w:rsid w:val="2EFF6A25"/>
    <w:rsid w:val="2F0E22AE"/>
    <w:rsid w:val="2F7132E3"/>
    <w:rsid w:val="3006055A"/>
    <w:rsid w:val="30194835"/>
    <w:rsid w:val="303404B9"/>
    <w:rsid w:val="30DD3E44"/>
    <w:rsid w:val="30FA566D"/>
    <w:rsid w:val="31987EC9"/>
    <w:rsid w:val="31A14996"/>
    <w:rsid w:val="32326DEE"/>
    <w:rsid w:val="32474365"/>
    <w:rsid w:val="32E36ED1"/>
    <w:rsid w:val="335E5805"/>
    <w:rsid w:val="338F39E0"/>
    <w:rsid w:val="33AA3DE9"/>
    <w:rsid w:val="33CB2DE8"/>
    <w:rsid w:val="341116CB"/>
    <w:rsid w:val="345B262C"/>
    <w:rsid w:val="34D10542"/>
    <w:rsid w:val="3560632B"/>
    <w:rsid w:val="358B0865"/>
    <w:rsid w:val="35CA5CBB"/>
    <w:rsid w:val="35F57B17"/>
    <w:rsid w:val="360B575D"/>
    <w:rsid w:val="36134BEA"/>
    <w:rsid w:val="36304640"/>
    <w:rsid w:val="36533673"/>
    <w:rsid w:val="369A368D"/>
    <w:rsid w:val="370304F0"/>
    <w:rsid w:val="377A15F9"/>
    <w:rsid w:val="37894734"/>
    <w:rsid w:val="378C567A"/>
    <w:rsid w:val="37B319DF"/>
    <w:rsid w:val="38242957"/>
    <w:rsid w:val="38820505"/>
    <w:rsid w:val="38D02351"/>
    <w:rsid w:val="38F52ED7"/>
    <w:rsid w:val="39070EA5"/>
    <w:rsid w:val="393E274D"/>
    <w:rsid w:val="39434684"/>
    <w:rsid w:val="398C4292"/>
    <w:rsid w:val="39D032AE"/>
    <w:rsid w:val="39FE07DB"/>
    <w:rsid w:val="3A0627F5"/>
    <w:rsid w:val="3A1859BB"/>
    <w:rsid w:val="3A250ADF"/>
    <w:rsid w:val="3A2F4FBB"/>
    <w:rsid w:val="3A8D72B7"/>
    <w:rsid w:val="3A8E0BF6"/>
    <w:rsid w:val="3AA41D74"/>
    <w:rsid w:val="3AC82A93"/>
    <w:rsid w:val="3B757871"/>
    <w:rsid w:val="3BB847EB"/>
    <w:rsid w:val="3BC16522"/>
    <w:rsid w:val="3BD60058"/>
    <w:rsid w:val="3BDF2176"/>
    <w:rsid w:val="3BE1224B"/>
    <w:rsid w:val="3BFA1DF4"/>
    <w:rsid w:val="3C3D151C"/>
    <w:rsid w:val="3C5E0F0B"/>
    <w:rsid w:val="3CA77FB9"/>
    <w:rsid w:val="3CCA4F2A"/>
    <w:rsid w:val="3D32336B"/>
    <w:rsid w:val="3D6A7450"/>
    <w:rsid w:val="3D8513CD"/>
    <w:rsid w:val="3D9B1B7C"/>
    <w:rsid w:val="3D9C38F6"/>
    <w:rsid w:val="3DC704C5"/>
    <w:rsid w:val="3DCE6282"/>
    <w:rsid w:val="3E0956D6"/>
    <w:rsid w:val="3E0C5590"/>
    <w:rsid w:val="3E9A0644"/>
    <w:rsid w:val="3ECB70A6"/>
    <w:rsid w:val="3EEF3DE5"/>
    <w:rsid w:val="3EFB0B82"/>
    <w:rsid w:val="3F3C12AC"/>
    <w:rsid w:val="3F4F0FDF"/>
    <w:rsid w:val="3F5E2682"/>
    <w:rsid w:val="3F8810CB"/>
    <w:rsid w:val="3FA9356A"/>
    <w:rsid w:val="3FC65BBE"/>
    <w:rsid w:val="3FE4014C"/>
    <w:rsid w:val="3FE852B7"/>
    <w:rsid w:val="4057639D"/>
    <w:rsid w:val="40583426"/>
    <w:rsid w:val="408F27F7"/>
    <w:rsid w:val="40C21D4C"/>
    <w:rsid w:val="40DA6B65"/>
    <w:rsid w:val="413770CF"/>
    <w:rsid w:val="414803DC"/>
    <w:rsid w:val="416A5CA6"/>
    <w:rsid w:val="41B00C1F"/>
    <w:rsid w:val="41BD271E"/>
    <w:rsid w:val="41EA29BE"/>
    <w:rsid w:val="429057C0"/>
    <w:rsid w:val="429878ED"/>
    <w:rsid w:val="42CF1BF2"/>
    <w:rsid w:val="42FC79E2"/>
    <w:rsid w:val="4308380C"/>
    <w:rsid w:val="431F702A"/>
    <w:rsid w:val="435B618D"/>
    <w:rsid w:val="43753BCB"/>
    <w:rsid w:val="43B764AC"/>
    <w:rsid w:val="43B928CE"/>
    <w:rsid w:val="442143F2"/>
    <w:rsid w:val="443D6410"/>
    <w:rsid w:val="44644BB5"/>
    <w:rsid w:val="44A90E6F"/>
    <w:rsid w:val="44DF08D0"/>
    <w:rsid w:val="45157513"/>
    <w:rsid w:val="4552510E"/>
    <w:rsid w:val="46060429"/>
    <w:rsid w:val="461F43E6"/>
    <w:rsid w:val="464B072D"/>
    <w:rsid w:val="46772BA7"/>
    <w:rsid w:val="46802F03"/>
    <w:rsid w:val="46936F46"/>
    <w:rsid w:val="46B839DC"/>
    <w:rsid w:val="47750288"/>
    <w:rsid w:val="47783A4F"/>
    <w:rsid w:val="4891230D"/>
    <w:rsid w:val="48945EC7"/>
    <w:rsid w:val="499F4F37"/>
    <w:rsid w:val="49AA1318"/>
    <w:rsid w:val="49BD73DD"/>
    <w:rsid w:val="49E30057"/>
    <w:rsid w:val="4A0530F7"/>
    <w:rsid w:val="4A1A7B06"/>
    <w:rsid w:val="4A1E431F"/>
    <w:rsid w:val="4A3414FD"/>
    <w:rsid w:val="4A506D9B"/>
    <w:rsid w:val="4AC92EC2"/>
    <w:rsid w:val="4AD978D9"/>
    <w:rsid w:val="4B5A4F93"/>
    <w:rsid w:val="4B5B64AC"/>
    <w:rsid w:val="4B630CEB"/>
    <w:rsid w:val="4B87570C"/>
    <w:rsid w:val="4BC35A96"/>
    <w:rsid w:val="4BD405F8"/>
    <w:rsid w:val="4C0736A8"/>
    <w:rsid w:val="4C553E86"/>
    <w:rsid w:val="4C5F67DB"/>
    <w:rsid w:val="4C6D5EC9"/>
    <w:rsid w:val="4C9C1A5B"/>
    <w:rsid w:val="4CD941BC"/>
    <w:rsid w:val="4CED77C7"/>
    <w:rsid w:val="4D7B06BD"/>
    <w:rsid w:val="4D9B60FD"/>
    <w:rsid w:val="4DCA32CB"/>
    <w:rsid w:val="4E465B46"/>
    <w:rsid w:val="4E732E8C"/>
    <w:rsid w:val="4F257108"/>
    <w:rsid w:val="4F2C10E6"/>
    <w:rsid w:val="4F317301"/>
    <w:rsid w:val="4F5148FF"/>
    <w:rsid w:val="4F61317B"/>
    <w:rsid w:val="4F791508"/>
    <w:rsid w:val="4F9C34C1"/>
    <w:rsid w:val="4FBB14B9"/>
    <w:rsid w:val="4FD85F6E"/>
    <w:rsid w:val="501B287E"/>
    <w:rsid w:val="502B23F5"/>
    <w:rsid w:val="5033633C"/>
    <w:rsid w:val="5086300E"/>
    <w:rsid w:val="509814FF"/>
    <w:rsid w:val="509E1DC6"/>
    <w:rsid w:val="50FC50C8"/>
    <w:rsid w:val="51960A99"/>
    <w:rsid w:val="51E01EBE"/>
    <w:rsid w:val="52D27E93"/>
    <w:rsid w:val="530E2D51"/>
    <w:rsid w:val="5373790B"/>
    <w:rsid w:val="537D115B"/>
    <w:rsid w:val="53830AA2"/>
    <w:rsid w:val="53CA4C80"/>
    <w:rsid w:val="54C976C0"/>
    <w:rsid w:val="54D740EC"/>
    <w:rsid w:val="550D64DB"/>
    <w:rsid w:val="55344AC1"/>
    <w:rsid w:val="5592198B"/>
    <w:rsid w:val="560272DD"/>
    <w:rsid w:val="56076018"/>
    <w:rsid w:val="5634676B"/>
    <w:rsid w:val="563C3733"/>
    <w:rsid w:val="563D7B26"/>
    <w:rsid w:val="564F4128"/>
    <w:rsid w:val="565B5C77"/>
    <w:rsid w:val="5662049B"/>
    <w:rsid w:val="56AA742D"/>
    <w:rsid w:val="575D2FC8"/>
    <w:rsid w:val="57774888"/>
    <w:rsid w:val="57D92987"/>
    <w:rsid w:val="57E26ABC"/>
    <w:rsid w:val="58203880"/>
    <w:rsid w:val="5821754D"/>
    <w:rsid w:val="58C4162B"/>
    <w:rsid w:val="591B2010"/>
    <w:rsid w:val="594775D5"/>
    <w:rsid w:val="596B3306"/>
    <w:rsid w:val="597643C8"/>
    <w:rsid w:val="599E78E7"/>
    <w:rsid w:val="59E62E93"/>
    <w:rsid w:val="59EB1808"/>
    <w:rsid w:val="5A233F1B"/>
    <w:rsid w:val="5A4B3A33"/>
    <w:rsid w:val="5AE73F4A"/>
    <w:rsid w:val="5B13515F"/>
    <w:rsid w:val="5B762B85"/>
    <w:rsid w:val="5BAD2EDB"/>
    <w:rsid w:val="5BCC19A5"/>
    <w:rsid w:val="5C020C1A"/>
    <w:rsid w:val="5C042965"/>
    <w:rsid w:val="5C291283"/>
    <w:rsid w:val="5C73366F"/>
    <w:rsid w:val="5D447851"/>
    <w:rsid w:val="5D6F1DF7"/>
    <w:rsid w:val="5DF054A2"/>
    <w:rsid w:val="5E147DD1"/>
    <w:rsid w:val="5E2C75D3"/>
    <w:rsid w:val="5E2D1110"/>
    <w:rsid w:val="5E437DEA"/>
    <w:rsid w:val="5E8216F1"/>
    <w:rsid w:val="5E941E66"/>
    <w:rsid w:val="5EFE6644"/>
    <w:rsid w:val="5F0F69A3"/>
    <w:rsid w:val="5F4B2783"/>
    <w:rsid w:val="5F826293"/>
    <w:rsid w:val="5F8C2226"/>
    <w:rsid w:val="5F952B50"/>
    <w:rsid w:val="5F9771F7"/>
    <w:rsid w:val="5FB3519C"/>
    <w:rsid w:val="5FD8127C"/>
    <w:rsid w:val="5FDE42FF"/>
    <w:rsid w:val="5FEC596B"/>
    <w:rsid w:val="605E2912"/>
    <w:rsid w:val="60936666"/>
    <w:rsid w:val="6131059A"/>
    <w:rsid w:val="615278F2"/>
    <w:rsid w:val="61631533"/>
    <w:rsid w:val="61C53991"/>
    <w:rsid w:val="61D373F6"/>
    <w:rsid w:val="61E77DCF"/>
    <w:rsid w:val="62A24B3B"/>
    <w:rsid w:val="62AB5010"/>
    <w:rsid w:val="630755A9"/>
    <w:rsid w:val="63077F83"/>
    <w:rsid w:val="63200DB3"/>
    <w:rsid w:val="63505433"/>
    <w:rsid w:val="63567BC3"/>
    <w:rsid w:val="63EA75BC"/>
    <w:rsid w:val="645F1B5D"/>
    <w:rsid w:val="64B2548C"/>
    <w:rsid w:val="64C151C1"/>
    <w:rsid w:val="6540259D"/>
    <w:rsid w:val="65465A4C"/>
    <w:rsid w:val="6584299C"/>
    <w:rsid w:val="65A876FE"/>
    <w:rsid w:val="65DB728A"/>
    <w:rsid w:val="65E16A90"/>
    <w:rsid w:val="65E8536A"/>
    <w:rsid w:val="65F94A3E"/>
    <w:rsid w:val="6631304F"/>
    <w:rsid w:val="66770EB8"/>
    <w:rsid w:val="66A43B27"/>
    <w:rsid w:val="66B87B07"/>
    <w:rsid w:val="67044BBF"/>
    <w:rsid w:val="676B1689"/>
    <w:rsid w:val="68470CD7"/>
    <w:rsid w:val="687B7E77"/>
    <w:rsid w:val="692474DF"/>
    <w:rsid w:val="693C3AD3"/>
    <w:rsid w:val="699010C4"/>
    <w:rsid w:val="69B138A5"/>
    <w:rsid w:val="69BE6773"/>
    <w:rsid w:val="69C37D0A"/>
    <w:rsid w:val="69D423AA"/>
    <w:rsid w:val="69F621A4"/>
    <w:rsid w:val="6A731776"/>
    <w:rsid w:val="6A7436FD"/>
    <w:rsid w:val="6AB9362D"/>
    <w:rsid w:val="6AED3A69"/>
    <w:rsid w:val="6B63235D"/>
    <w:rsid w:val="6B744D21"/>
    <w:rsid w:val="6BEE5E9A"/>
    <w:rsid w:val="6C021F3D"/>
    <w:rsid w:val="6C0C349D"/>
    <w:rsid w:val="6C197B7D"/>
    <w:rsid w:val="6C750D2C"/>
    <w:rsid w:val="6C8E1A7A"/>
    <w:rsid w:val="6CF56F26"/>
    <w:rsid w:val="6D5D1EC5"/>
    <w:rsid w:val="6D9E57B1"/>
    <w:rsid w:val="6DAB7A7A"/>
    <w:rsid w:val="6DC06017"/>
    <w:rsid w:val="6DE16FFB"/>
    <w:rsid w:val="6DFF5F4C"/>
    <w:rsid w:val="6E4C1C73"/>
    <w:rsid w:val="6EA43493"/>
    <w:rsid w:val="6EE63496"/>
    <w:rsid w:val="6F055C2D"/>
    <w:rsid w:val="6FFC748C"/>
    <w:rsid w:val="7000585A"/>
    <w:rsid w:val="70167A0E"/>
    <w:rsid w:val="703C2DB9"/>
    <w:rsid w:val="708459B2"/>
    <w:rsid w:val="71724148"/>
    <w:rsid w:val="71791E4A"/>
    <w:rsid w:val="71F314A7"/>
    <w:rsid w:val="72156387"/>
    <w:rsid w:val="727A06ED"/>
    <w:rsid w:val="7284346E"/>
    <w:rsid w:val="72BB5679"/>
    <w:rsid w:val="72E93AA3"/>
    <w:rsid w:val="734C2EB7"/>
    <w:rsid w:val="739447FE"/>
    <w:rsid w:val="746B09A8"/>
    <w:rsid w:val="74795BDB"/>
    <w:rsid w:val="74C12ABB"/>
    <w:rsid w:val="74D6302D"/>
    <w:rsid w:val="75E16D85"/>
    <w:rsid w:val="75F77A3E"/>
    <w:rsid w:val="76A40C68"/>
    <w:rsid w:val="76BA4E03"/>
    <w:rsid w:val="76FB1936"/>
    <w:rsid w:val="772B14F0"/>
    <w:rsid w:val="77382CC3"/>
    <w:rsid w:val="77932156"/>
    <w:rsid w:val="779D3867"/>
    <w:rsid w:val="77B47384"/>
    <w:rsid w:val="77DF669D"/>
    <w:rsid w:val="77EF59F9"/>
    <w:rsid w:val="787768D5"/>
    <w:rsid w:val="78D752E9"/>
    <w:rsid w:val="793613D6"/>
    <w:rsid w:val="796A27DB"/>
    <w:rsid w:val="799B3D27"/>
    <w:rsid w:val="79B93E57"/>
    <w:rsid w:val="79C83B7A"/>
    <w:rsid w:val="7A2E1C30"/>
    <w:rsid w:val="7A447B1D"/>
    <w:rsid w:val="7A5420CF"/>
    <w:rsid w:val="7AB117AE"/>
    <w:rsid w:val="7B9C4D29"/>
    <w:rsid w:val="7C01309A"/>
    <w:rsid w:val="7C1475EC"/>
    <w:rsid w:val="7C8058E9"/>
    <w:rsid w:val="7C8523BC"/>
    <w:rsid w:val="7CA07ED0"/>
    <w:rsid w:val="7CA45AD8"/>
    <w:rsid w:val="7CB03AA1"/>
    <w:rsid w:val="7D2E31EC"/>
    <w:rsid w:val="7D773E02"/>
    <w:rsid w:val="7DD41DA4"/>
    <w:rsid w:val="7DDE0201"/>
    <w:rsid w:val="7E471619"/>
    <w:rsid w:val="7E5E32BE"/>
    <w:rsid w:val="7E976A50"/>
    <w:rsid w:val="7EFF3B49"/>
    <w:rsid w:val="7F1067CD"/>
    <w:rsid w:val="7F6A6C1A"/>
    <w:rsid w:val="7FA63898"/>
    <w:rsid w:val="7FA9664E"/>
    <w:rsid w:val="D6DD9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56"/>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57"/>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58"/>
    <w:qFormat/>
    <w:uiPriority w:val="0"/>
    <w:pPr>
      <w:keepNext/>
      <w:keepLines/>
      <w:spacing w:before="260" w:after="260" w:line="413" w:lineRule="auto"/>
      <w:outlineLvl w:val="2"/>
    </w:pPr>
    <w:rPr>
      <w:b/>
      <w:bCs/>
      <w:sz w:val="32"/>
      <w:szCs w:val="32"/>
    </w:rPr>
  </w:style>
  <w:style w:type="paragraph" w:styleId="6">
    <w:name w:val="heading 4"/>
    <w:basedOn w:val="1"/>
    <w:next w:val="1"/>
    <w:link w:val="59"/>
    <w:qFormat/>
    <w:uiPriority w:val="0"/>
    <w:pPr>
      <w:keepNext/>
      <w:keepLines/>
      <w:adjustRightInd w:val="0"/>
      <w:spacing w:before="280" w:after="290" w:line="376" w:lineRule="atLeast"/>
      <w:textAlignment w:val="baseline"/>
      <w:outlineLvl w:val="3"/>
    </w:pPr>
    <w:rPr>
      <w:rFonts w:ascii="Arial" w:hAnsi="Arial"/>
      <w:b/>
      <w:spacing w:val="20"/>
      <w:sz w:val="28"/>
    </w:rPr>
  </w:style>
  <w:style w:type="paragraph" w:styleId="7">
    <w:name w:val="heading 5"/>
    <w:basedOn w:val="1"/>
    <w:next w:val="1"/>
    <w:link w:val="60"/>
    <w:qFormat/>
    <w:uiPriority w:val="0"/>
    <w:pPr>
      <w:keepNext/>
      <w:keepLines/>
      <w:adjustRightInd w:val="0"/>
      <w:spacing w:before="280" w:after="290" w:line="376" w:lineRule="atLeast"/>
      <w:textAlignment w:val="baseline"/>
      <w:outlineLvl w:val="4"/>
    </w:pPr>
    <w:rPr>
      <w:b/>
      <w:spacing w:val="20"/>
      <w:sz w:val="28"/>
    </w:rPr>
  </w:style>
  <w:style w:type="paragraph" w:styleId="8">
    <w:name w:val="heading 6"/>
    <w:basedOn w:val="1"/>
    <w:next w:val="1"/>
    <w:qFormat/>
    <w:uiPriority w:val="0"/>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rPr>
  </w:style>
  <w:style w:type="paragraph" w:styleId="9">
    <w:name w:val="heading 7"/>
    <w:basedOn w:val="1"/>
    <w:next w:val="1"/>
    <w:qFormat/>
    <w:uiPriority w:val="0"/>
    <w:pPr>
      <w:keepNext/>
      <w:keepLines/>
      <w:adjustRightInd w:val="0"/>
      <w:spacing w:before="240" w:after="64" w:line="320" w:lineRule="atLeast"/>
      <w:textAlignment w:val="baseline"/>
      <w:outlineLvl w:val="6"/>
    </w:pPr>
    <w:rPr>
      <w:b/>
      <w:spacing w:val="20"/>
      <w:kern w:val="0"/>
    </w:rPr>
  </w:style>
  <w:style w:type="paragraph" w:styleId="10">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spacing w:val="20"/>
      <w:kern w:val="0"/>
    </w:rPr>
  </w:style>
  <w:style w:type="paragraph" w:styleId="11">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spacing w:val="20"/>
      <w:kern w:val="0"/>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sz w:val="21"/>
      <w:szCs w:val="24"/>
    </w:rPr>
  </w:style>
  <w:style w:type="paragraph" w:styleId="12">
    <w:name w:val="List 3"/>
    <w:basedOn w:val="1"/>
    <w:qFormat/>
    <w:uiPriority w:val="0"/>
    <w:pPr>
      <w:ind w:left="100" w:leftChars="400" w:hanging="200" w:hangingChars="200"/>
    </w:pPr>
    <w:rPr>
      <w:sz w:val="21"/>
      <w:szCs w:val="24"/>
    </w:rPr>
  </w:style>
  <w:style w:type="paragraph" w:styleId="13">
    <w:name w:val="Normal Indent"/>
    <w:basedOn w:val="1"/>
    <w:next w:val="1"/>
    <w:qFormat/>
    <w:uiPriority w:val="0"/>
    <w:pPr>
      <w:ind w:firstLine="420"/>
    </w:pPr>
    <w:rPr>
      <w:sz w:val="21"/>
    </w:rPr>
  </w:style>
  <w:style w:type="paragraph" w:styleId="14">
    <w:name w:val="caption"/>
    <w:basedOn w:val="1"/>
    <w:next w:val="1"/>
    <w:qFormat/>
    <w:uiPriority w:val="0"/>
    <w:pPr>
      <w:spacing w:before="152" w:after="160"/>
    </w:pPr>
    <w:rPr>
      <w:rFonts w:ascii="Arial" w:hAnsi="Arial" w:eastAsia="黑体" w:cs="Arial"/>
      <w:sz w:val="20"/>
    </w:rPr>
  </w:style>
  <w:style w:type="paragraph" w:styleId="15">
    <w:name w:val="Document Map"/>
    <w:basedOn w:val="1"/>
    <w:link w:val="61"/>
    <w:qFormat/>
    <w:uiPriority w:val="0"/>
    <w:pPr>
      <w:shd w:val="clear" w:color="auto" w:fill="000080"/>
    </w:pPr>
    <w:rPr>
      <w:sz w:val="21"/>
      <w:szCs w:val="24"/>
    </w:rPr>
  </w:style>
  <w:style w:type="paragraph" w:styleId="16">
    <w:name w:val="annotation text"/>
    <w:basedOn w:val="1"/>
    <w:link w:val="62"/>
    <w:qFormat/>
    <w:uiPriority w:val="0"/>
    <w:pPr>
      <w:adjustRightInd w:val="0"/>
      <w:spacing w:line="360" w:lineRule="atLeast"/>
      <w:jc w:val="left"/>
      <w:textAlignment w:val="baseline"/>
    </w:pPr>
    <w:rPr>
      <w:kern w:val="0"/>
    </w:rPr>
  </w:style>
  <w:style w:type="paragraph" w:styleId="17">
    <w:name w:val="Body Text 3"/>
    <w:basedOn w:val="1"/>
    <w:qFormat/>
    <w:uiPriority w:val="0"/>
    <w:pPr>
      <w:spacing w:after="120"/>
    </w:pPr>
    <w:rPr>
      <w:sz w:val="16"/>
      <w:szCs w:val="16"/>
    </w:rPr>
  </w:style>
  <w:style w:type="paragraph" w:styleId="18">
    <w:name w:val="Body Text"/>
    <w:basedOn w:val="1"/>
    <w:next w:val="1"/>
    <w:link w:val="63"/>
    <w:qFormat/>
    <w:uiPriority w:val="0"/>
    <w:pPr>
      <w:spacing w:after="120"/>
    </w:pPr>
    <w:rPr>
      <w:sz w:val="21"/>
      <w:szCs w:val="24"/>
    </w:rPr>
  </w:style>
  <w:style w:type="paragraph" w:styleId="19">
    <w:name w:val="Body Text Indent"/>
    <w:basedOn w:val="1"/>
    <w:link w:val="64"/>
    <w:qFormat/>
    <w:uiPriority w:val="0"/>
    <w:pPr>
      <w:spacing w:after="156" w:afterLines="50" w:line="360" w:lineRule="exact"/>
      <w:ind w:firstLine="480" w:firstLineChars="200"/>
    </w:pPr>
    <w:rPr>
      <w:rFonts w:ascii="宋体" w:hAnsi="宋体"/>
      <w:szCs w:val="24"/>
    </w:rPr>
  </w:style>
  <w:style w:type="paragraph" w:styleId="20">
    <w:name w:val="List 2"/>
    <w:basedOn w:val="1"/>
    <w:qFormat/>
    <w:uiPriority w:val="0"/>
    <w:pPr>
      <w:ind w:left="100" w:leftChars="200" w:hanging="200" w:hangingChars="200"/>
    </w:pPr>
    <w:rPr>
      <w:sz w:val="21"/>
      <w:szCs w:val="24"/>
    </w:rPr>
  </w:style>
  <w:style w:type="paragraph" w:styleId="21">
    <w:name w:val="toc 3"/>
    <w:basedOn w:val="1"/>
    <w:next w:val="1"/>
    <w:qFormat/>
    <w:uiPriority w:val="0"/>
    <w:pPr>
      <w:ind w:left="840" w:leftChars="400"/>
    </w:pPr>
    <w:rPr>
      <w:sz w:val="21"/>
      <w:szCs w:val="24"/>
    </w:rPr>
  </w:style>
  <w:style w:type="paragraph" w:styleId="22">
    <w:name w:val="Plain Text"/>
    <w:basedOn w:val="1"/>
    <w:link w:val="65"/>
    <w:qFormat/>
    <w:uiPriority w:val="0"/>
    <w:rPr>
      <w:rFonts w:ascii="宋体" w:hAnsi="Courier New"/>
      <w:sz w:val="21"/>
      <w:szCs w:val="21"/>
    </w:rPr>
  </w:style>
  <w:style w:type="paragraph" w:styleId="23">
    <w:name w:val="Date"/>
    <w:basedOn w:val="1"/>
    <w:next w:val="1"/>
    <w:link w:val="66"/>
    <w:qFormat/>
    <w:uiPriority w:val="0"/>
    <w:pPr>
      <w:ind w:left="100" w:leftChars="2500"/>
    </w:pPr>
    <w:rPr>
      <w:rFonts w:ascii="宋体" w:hAnsi="宋体"/>
      <w:sz w:val="21"/>
      <w:szCs w:val="24"/>
    </w:rPr>
  </w:style>
  <w:style w:type="paragraph" w:styleId="24">
    <w:name w:val="Body Text Indent 2"/>
    <w:basedOn w:val="1"/>
    <w:link w:val="67"/>
    <w:qFormat/>
    <w:uiPriority w:val="0"/>
    <w:pPr>
      <w:spacing w:line="560" w:lineRule="exact"/>
      <w:ind w:firstLine="560"/>
    </w:pPr>
    <w:rPr>
      <w:rFonts w:ascii="仿宋_GB2312" w:hAnsi="宋体" w:eastAsia="仿宋_GB2312"/>
      <w:color w:val="000000"/>
      <w:sz w:val="28"/>
    </w:rPr>
  </w:style>
  <w:style w:type="paragraph" w:styleId="25">
    <w:name w:val="Balloon Text"/>
    <w:basedOn w:val="1"/>
    <w:link w:val="68"/>
    <w:qFormat/>
    <w:uiPriority w:val="0"/>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footnote text"/>
    <w:basedOn w:val="1"/>
    <w:link w:val="71"/>
    <w:qFormat/>
    <w:uiPriority w:val="0"/>
    <w:pPr>
      <w:keepNext/>
      <w:widowControl/>
      <w:snapToGrid w:val="0"/>
      <w:spacing w:line="600" w:lineRule="exact"/>
      <w:ind w:firstLine="640" w:firstLineChars="200"/>
      <w:jc w:val="left"/>
    </w:pPr>
    <w:rPr>
      <w:rFonts w:ascii="仿宋" w:hAnsi="仿宋" w:eastAsia="仿宋"/>
      <w:sz w:val="18"/>
      <w:szCs w:val="18"/>
    </w:rPr>
  </w:style>
  <w:style w:type="paragraph" w:styleId="29">
    <w:name w:val="Body Text Indent 3"/>
    <w:basedOn w:val="1"/>
    <w:link w:val="72"/>
    <w:qFormat/>
    <w:uiPriority w:val="0"/>
    <w:pPr>
      <w:spacing w:line="440" w:lineRule="exact"/>
      <w:ind w:firstLine="480" w:firstLineChars="200"/>
    </w:pPr>
    <w:rPr>
      <w:rFonts w:ascii="宋体" w:hAnsi="宋体"/>
      <w:color w:val="000000"/>
      <w:szCs w:val="24"/>
    </w:rPr>
  </w:style>
  <w:style w:type="paragraph" w:styleId="30">
    <w:name w:val="toc 2"/>
    <w:basedOn w:val="1"/>
    <w:next w:val="1"/>
    <w:qFormat/>
    <w:uiPriority w:val="0"/>
    <w:pPr>
      <w:ind w:left="420" w:leftChars="200"/>
    </w:pPr>
    <w:rPr>
      <w:sz w:val="21"/>
      <w:szCs w:val="24"/>
    </w:rPr>
  </w:style>
  <w:style w:type="paragraph" w:styleId="31">
    <w:name w:val="Body Text 2"/>
    <w:basedOn w:val="1"/>
    <w:qFormat/>
    <w:uiPriority w:val="0"/>
    <w:pPr>
      <w:spacing w:line="440" w:lineRule="exact"/>
    </w:pPr>
    <w:rPr>
      <w:szCs w:val="24"/>
    </w:rPr>
  </w:style>
  <w:style w:type="paragraph" w:styleId="32">
    <w:name w:val="HTML Preformatted"/>
    <w:basedOn w:val="1"/>
    <w:link w:val="7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33">
    <w:name w:val="Normal (Web)"/>
    <w:basedOn w:val="1"/>
    <w:qFormat/>
    <w:uiPriority w:val="0"/>
    <w:rPr>
      <w:szCs w:val="24"/>
    </w:rPr>
  </w:style>
  <w:style w:type="paragraph" w:styleId="34">
    <w:name w:val="index 1"/>
    <w:basedOn w:val="1"/>
    <w:next w:val="1"/>
    <w:qFormat/>
    <w:uiPriority w:val="0"/>
    <w:pPr>
      <w:adjustRightInd w:val="0"/>
      <w:spacing w:line="360" w:lineRule="exact"/>
      <w:ind w:right="240"/>
      <w:jc w:val="center"/>
    </w:pPr>
    <w:rPr>
      <w:rFonts w:ascii="Arial"/>
      <w:szCs w:val="24"/>
    </w:rPr>
  </w:style>
  <w:style w:type="paragraph" w:styleId="35">
    <w:name w:val="Title"/>
    <w:basedOn w:val="1"/>
    <w:link w:val="74"/>
    <w:qFormat/>
    <w:uiPriority w:val="0"/>
    <w:pPr>
      <w:jc w:val="center"/>
    </w:pPr>
    <w:rPr>
      <w:sz w:val="30"/>
      <w:szCs w:val="24"/>
    </w:rPr>
  </w:style>
  <w:style w:type="paragraph" w:styleId="36">
    <w:name w:val="annotation subject"/>
    <w:basedOn w:val="16"/>
    <w:next w:val="16"/>
    <w:link w:val="75"/>
    <w:qFormat/>
    <w:uiPriority w:val="0"/>
    <w:pPr>
      <w:adjustRightInd/>
      <w:spacing w:line="240" w:lineRule="auto"/>
      <w:textAlignment w:val="auto"/>
    </w:pPr>
    <w:rPr>
      <w:b/>
      <w:bCs/>
      <w:szCs w:val="24"/>
    </w:rPr>
  </w:style>
  <w:style w:type="paragraph" w:styleId="37">
    <w:name w:val="Body Text First Indent 2"/>
    <w:basedOn w:val="19"/>
    <w:next w:val="1"/>
    <w:qFormat/>
    <w:uiPriority w:val="0"/>
    <w:pPr>
      <w:ind w:firstLine="420"/>
    </w:pPr>
    <w:rPr>
      <w:rFonts w:ascii="Times New Roman" w:hAnsi="Times New Roman"/>
      <w:szCs w:val="20"/>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0"/>
    <w:rPr>
      <w:rFonts w:ascii="Times New Roman" w:hAnsi="Times New Roman" w:eastAsia="宋体" w:cs="Times New Roman"/>
      <w:b/>
      <w:bCs/>
    </w:rPr>
  </w:style>
  <w:style w:type="character" w:styleId="42">
    <w:name w:val="page number"/>
    <w:qFormat/>
    <w:uiPriority w:val="0"/>
    <w:rPr>
      <w:rFonts w:ascii="Times New Roman" w:hAnsi="Times New Roman" w:eastAsia="宋体" w:cs="Times New Roman"/>
    </w:rPr>
  </w:style>
  <w:style w:type="character" w:styleId="43">
    <w:name w:val="FollowedHyperlink"/>
    <w:qFormat/>
    <w:uiPriority w:val="0"/>
    <w:rPr>
      <w:rFonts w:ascii="宋体" w:hAnsi="宋体" w:eastAsia="宋体" w:cs="Times New Roman"/>
      <w:b/>
      <w:color w:val="800080"/>
      <w:kern w:val="2"/>
      <w:sz w:val="24"/>
      <w:szCs w:val="24"/>
      <w:u w:val="single"/>
      <w:lang w:val="en-US" w:eastAsia="zh-CN" w:bidi="ar-SA"/>
    </w:rPr>
  </w:style>
  <w:style w:type="character" w:styleId="44">
    <w:name w:val="Emphasis"/>
    <w:qFormat/>
    <w:uiPriority w:val="0"/>
    <w:rPr>
      <w:rFonts w:ascii="Times New Roman" w:hAnsi="Times New Roman" w:eastAsia="宋体" w:cs="Times New Roman"/>
      <w:color w:val="CC0033"/>
    </w:rPr>
  </w:style>
  <w:style w:type="character" w:styleId="45">
    <w:name w:val="HTML Definition"/>
    <w:basedOn w:val="40"/>
    <w:qFormat/>
    <w:uiPriority w:val="0"/>
  </w:style>
  <w:style w:type="character" w:styleId="46">
    <w:name w:val="HTML Typewriter"/>
    <w:qFormat/>
    <w:uiPriority w:val="0"/>
    <w:rPr>
      <w:rFonts w:ascii="黑体" w:hAnsi="Courier New" w:eastAsia="黑体" w:cs="Courier New"/>
      <w:spacing w:val="312"/>
      <w:sz w:val="14"/>
      <w:szCs w:val="14"/>
    </w:rPr>
  </w:style>
  <w:style w:type="character" w:styleId="47">
    <w:name w:val="HTML Acronym"/>
    <w:basedOn w:val="40"/>
    <w:qFormat/>
    <w:uiPriority w:val="0"/>
  </w:style>
  <w:style w:type="character" w:styleId="48">
    <w:name w:val="HTML Variable"/>
    <w:basedOn w:val="40"/>
    <w:qFormat/>
    <w:uiPriority w:val="0"/>
  </w:style>
  <w:style w:type="character" w:styleId="49">
    <w:name w:val="Hyperlink"/>
    <w:qFormat/>
    <w:uiPriority w:val="0"/>
    <w:rPr>
      <w:rFonts w:ascii="宋体" w:hAnsi="宋体" w:eastAsia="宋体" w:cs="Times New Roman"/>
      <w:b/>
      <w:color w:val="0000FF"/>
      <w:kern w:val="2"/>
      <w:sz w:val="24"/>
      <w:szCs w:val="24"/>
      <w:u w:val="single"/>
      <w:lang w:val="en-US" w:eastAsia="zh-CN" w:bidi="ar-SA"/>
    </w:rPr>
  </w:style>
  <w:style w:type="character" w:styleId="50">
    <w:name w:val="HTML Code"/>
    <w:basedOn w:val="40"/>
    <w:qFormat/>
    <w:uiPriority w:val="0"/>
    <w:rPr>
      <w:rFonts w:hint="default" w:ascii="monospace" w:hAnsi="monospace" w:eastAsia="monospace" w:cs="monospace"/>
      <w:sz w:val="20"/>
    </w:rPr>
  </w:style>
  <w:style w:type="character" w:styleId="51">
    <w:name w:val="annotation reference"/>
    <w:qFormat/>
    <w:uiPriority w:val="99"/>
    <w:rPr>
      <w:rFonts w:ascii="Times New Roman" w:hAnsi="Times New Roman" w:eastAsia="宋体" w:cs="Times New Roman"/>
      <w:sz w:val="21"/>
      <w:szCs w:val="21"/>
    </w:rPr>
  </w:style>
  <w:style w:type="character" w:styleId="52">
    <w:name w:val="HTML Cite"/>
    <w:basedOn w:val="40"/>
    <w:qFormat/>
    <w:uiPriority w:val="0"/>
  </w:style>
  <w:style w:type="character" w:styleId="53">
    <w:name w:val="footnote reference"/>
    <w:qFormat/>
    <w:uiPriority w:val="0"/>
    <w:rPr>
      <w:rFonts w:ascii="Times New Roman" w:hAnsi="Times New Roman" w:eastAsia="宋体" w:cs="Times New Roman"/>
      <w:vertAlign w:val="superscript"/>
    </w:rPr>
  </w:style>
  <w:style w:type="character" w:styleId="54">
    <w:name w:val="HTML Keyboard"/>
    <w:basedOn w:val="40"/>
    <w:qFormat/>
    <w:uiPriority w:val="0"/>
    <w:rPr>
      <w:rFonts w:ascii="monospace" w:hAnsi="monospace" w:eastAsia="monospace" w:cs="monospace"/>
      <w:sz w:val="20"/>
    </w:rPr>
  </w:style>
  <w:style w:type="character" w:styleId="55">
    <w:name w:val="HTML Sample"/>
    <w:basedOn w:val="40"/>
    <w:qFormat/>
    <w:uiPriority w:val="0"/>
    <w:rPr>
      <w:rFonts w:hint="default" w:ascii="monospace" w:hAnsi="monospace" w:eastAsia="monospace" w:cs="monospace"/>
    </w:rPr>
  </w:style>
  <w:style w:type="character" w:customStyle="1" w:styleId="56">
    <w:name w:val="标题 1 字符"/>
    <w:link w:val="3"/>
    <w:qFormat/>
    <w:uiPriority w:val="0"/>
    <w:rPr>
      <w:rFonts w:ascii="Times New Roman" w:hAnsi="Times New Roman" w:eastAsia="宋体" w:cs="Times New Roman"/>
      <w:b/>
      <w:bCs/>
      <w:kern w:val="44"/>
      <w:sz w:val="44"/>
      <w:szCs w:val="44"/>
      <w:lang w:val="en-US" w:eastAsia="zh-CN" w:bidi="ar-SA"/>
    </w:rPr>
  </w:style>
  <w:style w:type="character" w:customStyle="1" w:styleId="57">
    <w:name w:val="标题 2 字符"/>
    <w:link w:val="4"/>
    <w:qFormat/>
    <w:uiPriority w:val="0"/>
    <w:rPr>
      <w:rFonts w:ascii="Arial" w:hAnsi="Arial" w:eastAsia="黑体" w:cs="Times New Roman"/>
      <w:b/>
      <w:bCs/>
      <w:kern w:val="2"/>
      <w:sz w:val="32"/>
      <w:szCs w:val="32"/>
      <w:lang w:val="en-US" w:eastAsia="zh-CN" w:bidi="ar-SA"/>
    </w:rPr>
  </w:style>
  <w:style w:type="character" w:customStyle="1" w:styleId="58">
    <w:name w:val="标题 3 字符"/>
    <w:link w:val="5"/>
    <w:qFormat/>
    <w:uiPriority w:val="0"/>
    <w:rPr>
      <w:rFonts w:ascii="Times New Roman" w:hAnsi="Times New Roman" w:eastAsia="宋体" w:cs="Times New Roman"/>
      <w:b/>
      <w:bCs/>
      <w:kern w:val="2"/>
      <w:sz w:val="32"/>
      <w:szCs w:val="32"/>
      <w:lang w:val="en-US" w:eastAsia="zh-CN" w:bidi="ar-SA"/>
    </w:rPr>
  </w:style>
  <w:style w:type="character" w:customStyle="1" w:styleId="59">
    <w:name w:val="标题 4 字符"/>
    <w:link w:val="6"/>
    <w:qFormat/>
    <w:uiPriority w:val="0"/>
    <w:rPr>
      <w:rFonts w:ascii="Arial" w:hAnsi="Arial" w:eastAsia="宋体" w:cs="Times New Roman"/>
      <w:b/>
      <w:spacing w:val="20"/>
      <w:kern w:val="2"/>
      <w:sz w:val="28"/>
      <w:lang w:val="en-US" w:eastAsia="zh-CN" w:bidi="ar-SA"/>
    </w:rPr>
  </w:style>
  <w:style w:type="character" w:customStyle="1" w:styleId="60">
    <w:name w:val="标题 5 字符"/>
    <w:link w:val="7"/>
    <w:qFormat/>
    <w:uiPriority w:val="0"/>
    <w:rPr>
      <w:rFonts w:ascii="Times New Roman" w:hAnsi="Times New Roman" w:eastAsia="宋体" w:cs="Times New Roman"/>
      <w:b/>
      <w:spacing w:val="20"/>
      <w:kern w:val="2"/>
      <w:sz w:val="28"/>
      <w:lang w:val="en-US" w:eastAsia="zh-CN" w:bidi="ar-SA"/>
    </w:rPr>
  </w:style>
  <w:style w:type="character" w:customStyle="1" w:styleId="61">
    <w:name w:val="文档结构图 字符"/>
    <w:link w:val="15"/>
    <w:qFormat/>
    <w:uiPriority w:val="0"/>
    <w:rPr>
      <w:rFonts w:ascii="Times New Roman" w:hAnsi="Times New Roman" w:eastAsia="宋体" w:cs="Times New Roman"/>
      <w:kern w:val="2"/>
      <w:sz w:val="21"/>
      <w:szCs w:val="24"/>
      <w:lang w:val="en-US" w:eastAsia="zh-CN" w:bidi="ar-SA"/>
    </w:rPr>
  </w:style>
  <w:style w:type="character" w:customStyle="1" w:styleId="62">
    <w:name w:val="批注文字 字符"/>
    <w:link w:val="16"/>
    <w:qFormat/>
    <w:uiPriority w:val="0"/>
    <w:rPr>
      <w:rFonts w:ascii="Times New Roman" w:hAnsi="Times New Roman" w:eastAsia="宋体" w:cs="Times New Roman"/>
      <w:sz w:val="24"/>
    </w:rPr>
  </w:style>
  <w:style w:type="character" w:customStyle="1" w:styleId="63">
    <w:name w:val="正文文本 字符"/>
    <w:link w:val="18"/>
    <w:qFormat/>
    <w:uiPriority w:val="0"/>
    <w:rPr>
      <w:rFonts w:ascii="Times New Roman" w:hAnsi="Times New Roman" w:eastAsia="宋体" w:cs="Times New Roman"/>
      <w:kern w:val="2"/>
      <w:sz w:val="21"/>
      <w:szCs w:val="24"/>
      <w:lang w:val="en-US" w:eastAsia="zh-CN" w:bidi="ar-SA"/>
    </w:rPr>
  </w:style>
  <w:style w:type="character" w:customStyle="1" w:styleId="64">
    <w:name w:val="正文文本缩进 字符"/>
    <w:link w:val="19"/>
    <w:qFormat/>
    <w:uiPriority w:val="0"/>
    <w:rPr>
      <w:rFonts w:ascii="宋体" w:hAnsi="宋体" w:eastAsia="宋体" w:cs="Times New Roman"/>
      <w:kern w:val="2"/>
      <w:sz w:val="24"/>
      <w:szCs w:val="24"/>
      <w:lang w:val="en-US" w:eastAsia="zh-CN" w:bidi="ar-SA"/>
    </w:rPr>
  </w:style>
  <w:style w:type="character" w:customStyle="1" w:styleId="65">
    <w:name w:val="纯文本 字符"/>
    <w:link w:val="22"/>
    <w:qFormat/>
    <w:uiPriority w:val="0"/>
    <w:rPr>
      <w:rFonts w:ascii="宋体" w:hAnsi="Courier New" w:eastAsia="宋体" w:cs="Times New Roman"/>
      <w:kern w:val="2"/>
      <w:sz w:val="21"/>
      <w:szCs w:val="21"/>
      <w:lang w:val="en-US" w:eastAsia="zh-CN" w:bidi="ar-SA"/>
    </w:rPr>
  </w:style>
  <w:style w:type="character" w:customStyle="1" w:styleId="66">
    <w:name w:val="日期 字符"/>
    <w:link w:val="23"/>
    <w:qFormat/>
    <w:uiPriority w:val="0"/>
    <w:rPr>
      <w:rFonts w:ascii="宋体" w:hAnsi="宋体" w:eastAsia="宋体" w:cs="Times New Roman"/>
      <w:kern w:val="2"/>
      <w:sz w:val="21"/>
      <w:szCs w:val="24"/>
      <w:lang w:val="en-US" w:eastAsia="zh-CN" w:bidi="ar-SA"/>
    </w:rPr>
  </w:style>
  <w:style w:type="character" w:customStyle="1" w:styleId="67">
    <w:name w:val="正文文本缩进 2 字符"/>
    <w:link w:val="24"/>
    <w:qFormat/>
    <w:uiPriority w:val="0"/>
    <w:rPr>
      <w:rFonts w:ascii="仿宋_GB2312" w:hAnsi="宋体" w:eastAsia="仿宋_GB2312" w:cs="Times New Roman"/>
      <w:color w:val="000000"/>
      <w:kern w:val="2"/>
      <w:sz w:val="28"/>
      <w:lang w:val="en-US" w:eastAsia="zh-CN" w:bidi="ar-SA"/>
    </w:rPr>
  </w:style>
  <w:style w:type="character" w:customStyle="1" w:styleId="68">
    <w:name w:val="批注框文本 字符"/>
    <w:link w:val="25"/>
    <w:qFormat/>
    <w:uiPriority w:val="0"/>
    <w:rPr>
      <w:rFonts w:ascii="Times New Roman" w:hAnsi="Times New Roman" w:eastAsia="宋体" w:cs="Times New Roman"/>
      <w:kern w:val="2"/>
      <w:sz w:val="18"/>
      <w:szCs w:val="18"/>
    </w:rPr>
  </w:style>
  <w:style w:type="character" w:customStyle="1" w:styleId="69">
    <w:name w:val="页脚 字符"/>
    <w:link w:val="26"/>
    <w:qFormat/>
    <w:uiPriority w:val="0"/>
    <w:rPr>
      <w:rFonts w:ascii="Times New Roman" w:hAnsi="Times New Roman" w:eastAsia="宋体" w:cs="Times New Roman"/>
      <w:kern w:val="2"/>
      <w:sz w:val="18"/>
      <w:szCs w:val="18"/>
      <w:lang w:val="en-US" w:eastAsia="zh-CN" w:bidi="ar-SA"/>
    </w:rPr>
  </w:style>
  <w:style w:type="character" w:customStyle="1" w:styleId="70">
    <w:name w:val="页眉 字符"/>
    <w:link w:val="27"/>
    <w:qFormat/>
    <w:uiPriority w:val="0"/>
    <w:rPr>
      <w:rFonts w:ascii="Times New Roman" w:hAnsi="Times New Roman" w:eastAsia="宋体" w:cs="Times New Roman"/>
      <w:kern w:val="2"/>
      <w:sz w:val="18"/>
      <w:szCs w:val="18"/>
    </w:rPr>
  </w:style>
  <w:style w:type="character" w:customStyle="1" w:styleId="71">
    <w:name w:val="脚注文本 字符"/>
    <w:link w:val="28"/>
    <w:qFormat/>
    <w:uiPriority w:val="0"/>
    <w:rPr>
      <w:rFonts w:ascii="仿宋" w:hAnsi="仿宋" w:eastAsia="仿宋" w:cs="Times New Roman"/>
      <w:kern w:val="2"/>
      <w:sz w:val="18"/>
      <w:szCs w:val="18"/>
    </w:rPr>
  </w:style>
  <w:style w:type="character" w:customStyle="1" w:styleId="72">
    <w:name w:val="正文文本缩进 3 字符"/>
    <w:link w:val="29"/>
    <w:qFormat/>
    <w:uiPriority w:val="0"/>
    <w:rPr>
      <w:rFonts w:ascii="宋体" w:hAnsi="宋体" w:eastAsia="宋体" w:cs="Times New Roman"/>
      <w:color w:val="000000"/>
      <w:kern w:val="2"/>
      <w:sz w:val="24"/>
      <w:szCs w:val="24"/>
      <w:lang w:val="en-US" w:eastAsia="zh-CN" w:bidi="ar-SA"/>
    </w:rPr>
  </w:style>
  <w:style w:type="character" w:customStyle="1" w:styleId="73">
    <w:name w:val="HTML 预设格式 字符"/>
    <w:link w:val="32"/>
    <w:qFormat/>
    <w:uiPriority w:val="0"/>
    <w:rPr>
      <w:rFonts w:ascii="黑体" w:hAnsi="Courier New" w:eastAsia="黑体" w:cs="Courier New"/>
      <w:lang w:val="en-US" w:eastAsia="zh-CN" w:bidi="ar-SA"/>
    </w:rPr>
  </w:style>
  <w:style w:type="character" w:customStyle="1" w:styleId="74">
    <w:name w:val="标题 字符"/>
    <w:link w:val="35"/>
    <w:qFormat/>
    <w:uiPriority w:val="0"/>
    <w:rPr>
      <w:rFonts w:ascii="Times New Roman" w:hAnsi="Times New Roman" w:eastAsia="宋体" w:cs="Times New Roman"/>
      <w:kern w:val="2"/>
      <w:sz w:val="30"/>
      <w:szCs w:val="24"/>
      <w:lang w:val="en-US" w:eastAsia="zh-CN" w:bidi="ar-SA"/>
    </w:rPr>
  </w:style>
  <w:style w:type="character" w:customStyle="1" w:styleId="75">
    <w:name w:val="批注主题 字符"/>
    <w:link w:val="36"/>
    <w:qFormat/>
    <w:uiPriority w:val="0"/>
    <w:rPr>
      <w:rFonts w:ascii="Times New Roman" w:hAnsi="Times New Roman" w:eastAsia="宋体" w:cs="Times New Roman"/>
      <w:b/>
      <w:bCs/>
      <w:szCs w:val="24"/>
    </w:rPr>
  </w:style>
  <w:style w:type="character" w:customStyle="1" w:styleId="76">
    <w:name w:val="normal_hei1"/>
    <w:qFormat/>
    <w:uiPriority w:val="0"/>
    <w:rPr>
      <w:rFonts w:hint="default" w:ascii="Times New Roman" w:hAnsi="Times New Roman" w:eastAsia="宋体" w:cs="Times New Roman"/>
      <w:b/>
      <w:color w:val="000000"/>
      <w:spacing w:val="260"/>
      <w:kern w:val="2"/>
      <w:sz w:val="18"/>
      <w:szCs w:val="18"/>
      <w:lang w:val="en-US" w:eastAsia="zh-CN" w:bidi="ar-SA"/>
    </w:rPr>
  </w:style>
  <w:style w:type="character" w:customStyle="1" w:styleId="77">
    <w:name w:val="aboutus1"/>
    <w:qFormat/>
    <w:uiPriority w:val="0"/>
    <w:rPr>
      <w:rFonts w:hint="default" w:ascii="ˎ̥" w:hAnsi="ˎ̥" w:eastAsia="宋体" w:cs="Times New Roman"/>
      <w:b/>
      <w:color w:val="000000"/>
      <w:kern w:val="2"/>
      <w:sz w:val="18"/>
      <w:szCs w:val="18"/>
      <w:u w:val="none"/>
      <w:lang w:val="en-US" w:eastAsia="zh-CN" w:bidi="ar-SA"/>
    </w:rPr>
  </w:style>
  <w:style w:type="character" w:customStyle="1" w:styleId="78">
    <w:name w:val="样式2 Char"/>
    <w:link w:val="79"/>
    <w:qFormat/>
    <w:uiPriority w:val="0"/>
    <w:rPr>
      <w:rFonts w:ascii="宋体" w:hAnsi="宋体" w:eastAsia="宋体" w:cs="Times New Roman"/>
      <w:b/>
      <w:kern w:val="2"/>
      <w:sz w:val="21"/>
      <w:szCs w:val="21"/>
      <w:u w:val="single"/>
    </w:rPr>
  </w:style>
  <w:style w:type="paragraph" w:customStyle="1" w:styleId="79">
    <w:name w:val="样式2"/>
    <w:basedOn w:val="1"/>
    <w:link w:val="78"/>
    <w:qFormat/>
    <w:uiPriority w:val="0"/>
    <w:pPr>
      <w:spacing w:line="480" w:lineRule="exact"/>
    </w:pPr>
    <w:rPr>
      <w:rFonts w:ascii="宋体" w:hAnsi="宋体"/>
      <w:b/>
      <w:sz w:val="21"/>
      <w:szCs w:val="21"/>
      <w:u w:val="single"/>
      <w:shd w:val="pct10" w:color="auto" w:fill="FFFFFF"/>
    </w:rPr>
  </w:style>
  <w:style w:type="character" w:customStyle="1" w:styleId="80">
    <w:name w:val="UP标题3 Char Char"/>
    <w:link w:val="81"/>
    <w:qFormat/>
    <w:uiPriority w:val="0"/>
    <w:rPr>
      <w:rFonts w:ascii="黑体" w:hAnsi="Times New Roman" w:eastAsia="黑体" w:cs="宋体"/>
      <w:kern w:val="2"/>
      <w:sz w:val="28"/>
      <w:szCs w:val="28"/>
      <w:lang w:val="en-US" w:eastAsia="zh-CN" w:bidi="ar-SA"/>
    </w:rPr>
  </w:style>
  <w:style w:type="paragraph" w:customStyle="1" w:styleId="81">
    <w:name w:val="UP标题3"/>
    <w:basedOn w:val="1"/>
    <w:link w:val="80"/>
    <w:qFormat/>
    <w:uiPriority w:val="0"/>
    <w:pPr>
      <w:spacing w:line="360" w:lineRule="auto"/>
      <w:ind w:firstLine="149" w:firstLineChars="149"/>
    </w:pPr>
    <w:rPr>
      <w:rFonts w:ascii="黑体" w:eastAsia="黑体" w:cs="宋体"/>
      <w:sz w:val="28"/>
      <w:szCs w:val="28"/>
    </w:rPr>
  </w:style>
  <w:style w:type="character" w:customStyle="1" w:styleId="82">
    <w:name w:val="unnamed5"/>
    <w:qFormat/>
    <w:uiPriority w:val="0"/>
    <w:rPr>
      <w:rFonts w:ascii="Times New Roman" w:hAnsi="Times New Roman" w:eastAsia="宋体" w:cs="Times New Roman"/>
    </w:rPr>
  </w:style>
  <w:style w:type="character" w:customStyle="1" w:styleId="83">
    <w:name w:val="apple-converted-space"/>
    <w:qFormat/>
    <w:uiPriority w:val="0"/>
    <w:rPr>
      <w:rFonts w:ascii="Times New Roman" w:hAnsi="Times New Roman" w:eastAsia="宋体" w:cs="Times New Roman"/>
    </w:rPr>
  </w:style>
  <w:style w:type="character" w:customStyle="1" w:styleId="84">
    <w:name w:val="style19"/>
    <w:qFormat/>
    <w:uiPriority w:val="0"/>
    <w:rPr>
      <w:rFonts w:ascii="Times New Roman" w:hAnsi="Times New Roman" w:eastAsia="宋体" w:cs="Times New Roman"/>
    </w:rPr>
  </w:style>
  <w:style w:type="character" w:customStyle="1" w:styleId="85">
    <w:name w:val="ca-1"/>
    <w:qFormat/>
    <w:uiPriority w:val="0"/>
    <w:rPr>
      <w:rFonts w:ascii="Times New Roman" w:hAnsi="Times New Roman" w:eastAsia="宋体" w:cs="Times New Roman"/>
    </w:rPr>
  </w:style>
  <w:style w:type="character" w:customStyle="1" w:styleId="86">
    <w:name w:val="Char Char"/>
    <w:qFormat/>
    <w:uiPriority w:val="0"/>
    <w:rPr>
      <w:rFonts w:ascii="宋体" w:hAnsi="Courier New" w:eastAsia="宋体" w:cs="Courier New"/>
      <w:kern w:val="2"/>
      <w:sz w:val="21"/>
      <w:szCs w:val="21"/>
    </w:rPr>
  </w:style>
  <w:style w:type="character" w:customStyle="1" w:styleId="87">
    <w:name w:val="Char Char2"/>
    <w:qFormat/>
    <w:uiPriority w:val="0"/>
    <w:rPr>
      <w:rFonts w:ascii="Times New Roman" w:hAnsi="Times New Roman" w:eastAsia="宋体" w:cs="Times New Roman"/>
      <w:kern w:val="2"/>
      <w:sz w:val="21"/>
      <w:szCs w:val="24"/>
      <w:lang w:val="en-US" w:eastAsia="zh-CN" w:bidi="ar-SA"/>
    </w:rPr>
  </w:style>
  <w:style w:type="character" w:customStyle="1" w:styleId="88">
    <w:name w:val="Char Char Char Char Char"/>
    <w:link w:val="89"/>
    <w:qFormat/>
    <w:uiPriority w:val="0"/>
    <w:rPr>
      <w:rFonts w:ascii="Times New Roman" w:hAnsi="Times New Roman" w:eastAsia="宋体" w:cs="Times New Roman"/>
      <w:sz w:val="24"/>
      <w:lang w:val="en-US" w:eastAsia="zh-CN" w:bidi="ar-SA"/>
    </w:rPr>
  </w:style>
  <w:style w:type="paragraph" w:customStyle="1" w:styleId="89">
    <w:name w:val="Char"/>
    <w:basedOn w:val="1"/>
    <w:link w:val="88"/>
    <w:qFormat/>
    <w:uiPriority w:val="0"/>
    <w:pPr>
      <w:adjustRightInd w:val="0"/>
      <w:spacing w:line="360" w:lineRule="auto"/>
    </w:pPr>
  </w:style>
  <w:style w:type="character" w:customStyle="1" w:styleId="90">
    <w:name w:val="scayt-misspell"/>
    <w:qFormat/>
    <w:uiPriority w:val="0"/>
    <w:rPr>
      <w:rFonts w:hint="default" w:ascii="Verdana" w:hAnsi="Verdana" w:eastAsia="宋体" w:cs="Times New Roman"/>
    </w:rPr>
  </w:style>
  <w:style w:type="character" w:customStyle="1" w:styleId="91">
    <w:name w:val="style71"/>
    <w:qFormat/>
    <w:uiPriority w:val="0"/>
    <w:rPr>
      <w:rFonts w:ascii="Times New Roman" w:hAnsi="Times New Roman" w:eastAsia="宋体" w:cs="Times New Roman"/>
      <w:color w:val="000000"/>
    </w:rPr>
  </w:style>
  <w:style w:type="character" w:customStyle="1" w:styleId="92">
    <w:name w:val="style11"/>
    <w:qFormat/>
    <w:uiPriority w:val="0"/>
    <w:rPr>
      <w:rFonts w:ascii="Times New Roman" w:hAnsi="Times New Roman" w:eastAsia="宋体" w:cs="Times New Roman"/>
      <w:color w:val="666666"/>
    </w:rPr>
  </w:style>
  <w:style w:type="character" w:customStyle="1" w:styleId="93">
    <w:name w:val="bi1"/>
    <w:qFormat/>
    <w:uiPriority w:val="0"/>
    <w:rPr>
      <w:rFonts w:ascii="宋体" w:hAnsi="宋体" w:eastAsia="宋体" w:cs="Times New Roman"/>
      <w:b/>
      <w:color w:val="000000"/>
      <w:kern w:val="2"/>
      <w:sz w:val="22"/>
      <w:szCs w:val="22"/>
      <w:lang w:val="en-US" w:eastAsia="zh-CN" w:bidi="ar-SA"/>
    </w:rPr>
  </w:style>
  <w:style w:type="character" w:customStyle="1" w:styleId="94">
    <w:name w:val="normal1"/>
    <w:qFormat/>
    <w:uiPriority w:val="0"/>
    <w:rPr>
      <w:rFonts w:hint="default" w:ascii="Arial" w:hAnsi="Arial" w:eastAsia="宋体" w:cs="Arial"/>
      <w:color w:val="000000"/>
      <w:sz w:val="18"/>
      <w:szCs w:val="18"/>
    </w:rPr>
  </w:style>
  <w:style w:type="character" w:customStyle="1" w:styleId="95">
    <w:name w:val="批注主题 Char1"/>
    <w:qFormat/>
    <w:uiPriority w:val="0"/>
    <w:rPr>
      <w:rFonts w:ascii="Times New Roman" w:hAnsi="Times New Roman" w:eastAsia="宋体" w:cs="Times New Roman"/>
      <w:b/>
      <w:bCs/>
    </w:rPr>
  </w:style>
  <w:style w:type="character" w:customStyle="1" w:styleId="96">
    <w:name w:val="q"/>
    <w:qFormat/>
    <w:uiPriority w:val="0"/>
    <w:rPr>
      <w:rFonts w:ascii="Times New Roman" w:hAnsi="Times New Roman" w:eastAsia="宋体" w:cs="Times New Roman"/>
    </w:rPr>
  </w:style>
  <w:style w:type="character" w:customStyle="1" w:styleId="97">
    <w:name w:val="maintradecontent"/>
    <w:qFormat/>
    <w:uiPriority w:val="0"/>
    <w:rPr>
      <w:rFonts w:ascii="宋体" w:hAnsi="宋体" w:eastAsia="宋体" w:cs="Times New Roman"/>
      <w:b/>
      <w:color w:val="000000"/>
      <w:kern w:val="2"/>
      <w:sz w:val="24"/>
      <w:szCs w:val="24"/>
      <w:lang w:val="en-US" w:eastAsia="zh-CN" w:bidi="ar-SA"/>
    </w:rPr>
  </w:style>
  <w:style w:type="character" w:customStyle="1" w:styleId="98">
    <w:name w:val="style131"/>
    <w:qFormat/>
    <w:uiPriority w:val="0"/>
    <w:rPr>
      <w:rFonts w:ascii="宋体" w:hAnsi="宋体" w:eastAsia="宋体" w:cs="Times New Roman"/>
      <w:b/>
      <w:color w:val="000000"/>
      <w:kern w:val="2"/>
      <w:sz w:val="24"/>
      <w:szCs w:val="24"/>
      <w:lang w:val="en-US" w:eastAsia="zh-CN" w:bidi="ar-SA"/>
    </w:rPr>
  </w:style>
  <w:style w:type="character" w:customStyle="1" w:styleId="99">
    <w:name w:val="tx_black15_b1"/>
    <w:qFormat/>
    <w:uiPriority w:val="0"/>
    <w:rPr>
      <w:rFonts w:hint="default" w:ascii="Arial" w:hAnsi="Arial" w:eastAsia="宋体" w:cs="Arial"/>
      <w:b/>
      <w:bCs/>
      <w:color w:val="444444"/>
      <w:kern w:val="2"/>
      <w:sz w:val="23"/>
      <w:szCs w:val="23"/>
      <w:lang w:val="en-US" w:eastAsia="zh-CN" w:bidi="ar-SA"/>
    </w:rPr>
  </w:style>
  <w:style w:type="character" w:customStyle="1" w:styleId="100">
    <w:name w:val="producttitle1"/>
    <w:qFormat/>
    <w:uiPriority w:val="0"/>
    <w:rPr>
      <w:rFonts w:ascii="宋体" w:hAnsi="宋体" w:eastAsia="宋体" w:cs="Times New Roman"/>
      <w:b/>
      <w:bCs/>
      <w:color w:val="000000"/>
      <w:kern w:val="2"/>
      <w:sz w:val="24"/>
      <w:szCs w:val="24"/>
      <w:lang w:val="en-US" w:eastAsia="zh-CN" w:bidi="ar-SA"/>
    </w:rPr>
  </w:style>
  <w:style w:type="character" w:customStyle="1" w:styleId="101">
    <w:name w:val="Ò³Ã¼ Char Char"/>
    <w:qFormat/>
    <w:uiPriority w:val="0"/>
    <w:rPr>
      <w:rFonts w:ascii="Times New Roman" w:hAnsi="Times New Roman" w:eastAsia="宋体" w:cs="Times New Roman"/>
      <w:sz w:val="18"/>
      <w:szCs w:val="18"/>
    </w:rPr>
  </w:style>
  <w:style w:type="character" w:customStyle="1" w:styleId="102">
    <w:name w:val="x1"/>
    <w:qFormat/>
    <w:uiPriority w:val="0"/>
    <w:rPr>
      <w:rFonts w:hint="default" w:ascii="Verdana" w:hAnsi="Verdana" w:eastAsia="宋体" w:cs="Times New Roman"/>
      <w:b/>
      <w:bCs/>
      <w:kern w:val="2"/>
      <w:sz w:val="36"/>
      <w:szCs w:val="36"/>
      <w:lang w:val="en-US" w:eastAsia="zh-CN" w:bidi="ar-SA"/>
    </w:rPr>
  </w:style>
  <w:style w:type="paragraph" w:customStyle="1" w:styleId="103">
    <w:name w:val="Heading #4|1"/>
    <w:basedOn w:val="1"/>
    <w:qFormat/>
    <w:uiPriority w:val="0"/>
    <w:pPr>
      <w:spacing w:after="140" w:line="396" w:lineRule="exact"/>
      <w:ind w:firstLine="480"/>
      <w:outlineLvl w:val="3"/>
    </w:pPr>
    <w:rPr>
      <w:rFonts w:ascii="宋体" w:hAnsi="宋体" w:cs="宋体"/>
      <w:b/>
      <w:bCs/>
      <w:sz w:val="21"/>
      <w:szCs w:val="22"/>
      <w:lang w:val="zh-TW" w:eastAsia="zh-TW" w:bidi="zh-TW"/>
    </w:rPr>
  </w:style>
  <w:style w:type="paragraph" w:customStyle="1" w:styleId="104">
    <w:name w:val="首行缩进"/>
    <w:basedOn w:val="1"/>
    <w:qFormat/>
    <w:uiPriority w:val="0"/>
    <w:pPr>
      <w:spacing w:line="360" w:lineRule="auto"/>
      <w:ind w:firstLine="480" w:firstLineChars="200"/>
    </w:pPr>
    <w:rPr>
      <w:szCs w:val="22"/>
      <w:lang w:val="zh-CN"/>
    </w:rPr>
  </w:style>
  <w:style w:type="paragraph" w:customStyle="1" w:styleId="105">
    <w:name w:val="Char Char Char"/>
    <w:basedOn w:val="1"/>
    <w:qFormat/>
    <w:uiPriority w:val="0"/>
    <w:rPr>
      <w:rFonts w:ascii="Tahoma" w:hAnsi="Tahoma"/>
    </w:rPr>
  </w:style>
  <w:style w:type="paragraph" w:customStyle="1" w:styleId="106">
    <w:name w:val="列出段落1"/>
    <w:basedOn w:val="1"/>
    <w:qFormat/>
    <w:uiPriority w:val="0"/>
    <w:pPr>
      <w:keepNext/>
      <w:widowControl/>
      <w:spacing w:line="600" w:lineRule="exact"/>
      <w:ind w:firstLine="420" w:firstLineChars="200"/>
    </w:pPr>
    <w:rPr>
      <w:rFonts w:ascii="Calibri" w:hAnsi="Calibri" w:eastAsia="仿宋"/>
      <w:sz w:val="32"/>
      <w:szCs w:val="22"/>
    </w:rPr>
  </w:style>
  <w:style w:type="paragraph" w:customStyle="1" w:styleId="107">
    <w:name w:val="pa-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08">
    <w:name w:val="纯文本1"/>
    <w:basedOn w:val="1"/>
    <w:qFormat/>
    <w:uiPriority w:val="0"/>
    <w:pPr>
      <w:adjustRightInd w:val="0"/>
      <w:textAlignment w:val="baseline"/>
    </w:pPr>
    <w:rPr>
      <w:rFonts w:ascii="宋体" w:hAnsi="Courier New" w:eastAsia="楷体_GB2312"/>
      <w:sz w:val="28"/>
    </w:rPr>
  </w:style>
  <w:style w:type="paragraph" w:customStyle="1" w:styleId="109">
    <w:name w:val="标题 四 ＋ 宋体"/>
    <w:basedOn w:val="1"/>
    <w:qFormat/>
    <w:uiPriority w:val="0"/>
    <w:pPr>
      <w:tabs>
        <w:tab w:val="left" w:pos="1560"/>
      </w:tabs>
      <w:spacing w:line="360" w:lineRule="auto"/>
      <w:ind w:left="1560" w:hanging="720"/>
    </w:pPr>
    <w:rPr>
      <w:i/>
      <w:szCs w:val="24"/>
    </w:rPr>
  </w:style>
  <w:style w:type="paragraph" w:customStyle="1" w:styleId="110">
    <w:name w:val="tabletex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11">
    <w:name w:val="默认段落字体 Para Char Char Char Char Char Char Char Char Char1 Char Char Char Char Char Char Char"/>
    <w:basedOn w:val="15"/>
    <w:qFormat/>
    <w:uiPriority w:val="0"/>
    <w:rPr>
      <w:rFonts w:ascii="Tahoma" w:hAnsi="Tahoma"/>
      <w:sz w:val="24"/>
    </w:rPr>
  </w:style>
  <w:style w:type="paragraph" w:customStyle="1" w:styleId="112">
    <w:name w:val="本文正文"/>
    <w:basedOn w:val="1"/>
    <w:qFormat/>
    <w:uiPriority w:val="0"/>
    <w:pPr>
      <w:widowControl/>
      <w:spacing w:line="480" w:lineRule="exact"/>
      <w:ind w:firstLine="200" w:firstLineChars="200"/>
      <w:jc w:val="left"/>
    </w:pPr>
    <w:rPr>
      <w:rFonts w:ascii="宋体" w:hAnsi="宋体"/>
      <w:kern w:val="0"/>
      <w:szCs w:val="24"/>
    </w:rPr>
  </w:style>
  <w:style w:type="paragraph" w:customStyle="1" w:styleId="113">
    <w:name w:val="Char Char Char Char"/>
    <w:basedOn w:val="1"/>
    <w:qFormat/>
    <w:uiPriority w:val="0"/>
    <w:pPr>
      <w:widowControl/>
      <w:spacing w:after="160" w:line="240" w:lineRule="exact"/>
      <w:jc w:val="center"/>
    </w:pPr>
    <w:rPr>
      <w:rFonts w:ascii="宋体" w:hAnsi="宋体"/>
      <w:b/>
      <w:kern w:val="0"/>
      <w:sz w:val="28"/>
      <w:szCs w:val="28"/>
      <w:lang w:eastAsia="en-US"/>
    </w:rPr>
  </w:style>
  <w:style w:type="paragraph" w:customStyle="1" w:styleId="114">
    <w:name w:val="Char12"/>
    <w:basedOn w:val="1"/>
    <w:qFormat/>
    <w:uiPriority w:val="0"/>
    <w:rPr>
      <w:rFonts w:ascii="Tahoma" w:hAnsi="Tahoma"/>
    </w:rPr>
  </w:style>
  <w:style w:type="paragraph" w:customStyle="1" w:styleId="115">
    <w:name w:val="1 Char Char Char Char"/>
    <w:basedOn w:val="1"/>
    <w:qFormat/>
    <w:uiPriority w:val="0"/>
    <w:pPr>
      <w:spacing w:line="360" w:lineRule="auto"/>
      <w:jc w:val="center"/>
    </w:pPr>
    <w:rPr>
      <w:rFonts w:ascii="Tahoma" w:hAnsi="Tahoma"/>
    </w:rPr>
  </w:style>
  <w:style w:type="paragraph" w:customStyle="1" w:styleId="116">
    <w:name w:val="p0"/>
    <w:basedOn w:val="1"/>
    <w:qFormat/>
    <w:uiPriority w:val="0"/>
    <w:pPr>
      <w:widowControl/>
    </w:pPr>
    <w:rPr>
      <w:kern w:val="0"/>
      <w:sz w:val="21"/>
      <w:szCs w:val="21"/>
    </w:rPr>
  </w:style>
  <w:style w:type="paragraph" w:customStyle="1" w:styleId="117">
    <w:name w:val="样式3"/>
    <w:basedOn w:val="1"/>
    <w:qFormat/>
    <w:uiPriority w:val="0"/>
    <w:rPr>
      <w:sz w:val="21"/>
      <w:szCs w:val="24"/>
    </w:rPr>
  </w:style>
  <w:style w:type="paragraph" w:customStyle="1" w:styleId="118">
    <w:name w:val="Char Char Char Char Char Char Char Char Char"/>
    <w:basedOn w:val="1"/>
    <w:qFormat/>
    <w:uiPriority w:val="0"/>
    <w:pPr>
      <w:tabs>
        <w:tab w:val="left" w:pos="1200"/>
        <w:tab w:val="left" w:pos="1557"/>
      </w:tabs>
      <w:ind w:left="1200" w:hanging="360"/>
    </w:pPr>
    <w:rPr>
      <w:szCs w:val="24"/>
    </w:rPr>
  </w:style>
  <w:style w:type="paragraph" w:customStyle="1" w:styleId="119">
    <w:name w:val="reader-word-layer reader-word-s1-4"/>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20">
    <w:name w:val="Char2"/>
    <w:basedOn w:val="1"/>
    <w:qFormat/>
    <w:uiPriority w:val="0"/>
    <w:pPr>
      <w:tabs>
        <w:tab w:val="left" w:pos="709"/>
      </w:tabs>
      <w:ind w:left="709" w:hanging="709"/>
    </w:pPr>
    <w:rPr>
      <w:szCs w:val="24"/>
    </w:rPr>
  </w:style>
  <w:style w:type="paragraph" w:customStyle="1" w:styleId="121">
    <w:name w:val="reader-word-layer reader-word-s1-3"/>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22">
    <w:name w:val="Char2 Char Char Char"/>
    <w:basedOn w:val="1"/>
    <w:qFormat/>
    <w:uiPriority w:val="0"/>
    <w:rPr>
      <w:rFonts w:ascii="Tahoma" w:hAnsi="Tahoma"/>
    </w:rPr>
  </w:style>
  <w:style w:type="paragraph" w:customStyle="1" w:styleId="123">
    <w:name w:val="Char Char Char Char Char Char Char Char Char Char Char Char1 Char Char Char Char Char Char Char"/>
    <w:basedOn w:val="1"/>
    <w:qFormat/>
    <w:uiPriority w:val="0"/>
    <w:rPr>
      <w:sz w:val="21"/>
      <w:szCs w:val="24"/>
    </w:rPr>
  </w:style>
  <w:style w:type="paragraph" w:customStyle="1" w:styleId="124">
    <w:name w:val="Char Char Char Char Char Char Char Char Char Char Char Char Char"/>
    <w:basedOn w:val="15"/>
    <w:qFormat/>
    <w:uiPriority w:val="0"/>
    <w:rPr>
      <w:rFonts w:ascii="Tahoma" w:hAnsi="Tahoma"/>
      <w:sz w:val="24"/>
    </w:rPr>
  </w:style>
  <w:style w:type="paragraph" w:customStyle="1" w:styleId="125">
    <w:name w:val="样式1"/>
    <w:basedOn w:val="1"/>
    <w:qFormat/>
    <w:uiPriority w:val="0"/>
    <w:pPr>
      <w:tabs>
        <w:tab w:val="left" w:pos="709"/>
      </w:tabs>
      <w:adjustRightInd w:val="0"/>
      <w:ind w:left="709" w:hanging="709"/>
      <w:textAlignment w:val="baseline"/>
    </w:pPr>
    <w:rPr>
      <w:rFonts w:ascii="宋体" w:hAnsi="宋体"/>
      <w:kern w:val="0"/>
      <w:sz w:val="21"/>
    </w:rPr>
  </w:style>
  <w:style w:type="paragraph" w:customStyle="1" w:styleId="126">
    <w:name w:val="Char Char1 Char Char Char Char Char Char"/>
    <w:basedOn w:val="1"/>
    <w:qFormat/>
    <w:uiPriority w:val="0"/>
    <w:pPr>
      <w:widowControl/>
      <w:jc w:val="left"/>
    </w:pPr>
    <w:rPr>
      <w:rFonts w:ascii="Verdana" w:hAnsi="Verdana" w:eastAsia="仿宋_GB2312"/>
      <w:kern w:val="0"/>
      <w:sz w:val="28"/>
      <w:lang w:eastAsia="en-US"/>
    </w:rPr>
  </w:style>
  <w:style w:type="paragraph" w:customStyle="1" w:styleId="127">
    <w:name w:val="_Style 119"/>
    <w:qFormat/>
    <w:uiPriority w:val="0"/>
    <w:rPr>
      <w:rFonts w:ascii="Times New Roman" w:hAnsi="Times New Roman" w:eastAsia="宋体" w:cs="Times New Roman"/>
      <w:kern w:val="2"/>
      <w:sz w:val="24"/>
      <w:lang w:val="en-US" w:eastAsia="zh-CN" w:bidi="ar-SA"/>
    </w:rPr>
  </w:style>
  <w:style w:type="paragraph" w:customStyle="1" w:styleId="128">
    <w:name w:val="项目正文0"/>
    <w:basedOn w:val="1"/>
    <w:qFormat/>
    <w:uiPriority w:val="0"/>
    <w:pPr>
      <w:adjustRightInd w:val="0"/>
      <w:snapToGrid w:val="0"/>
      <w:spacing w:line="440" w:lineRule="exact"/>
      <w:ind w:firstLine="480" w:firstLineChars="200"/>
    </w:pPr>
    <w:rPr>
      <w:rFonts w:ascii="宋体" w:hAnsi="宋体"/>
      <w:color w:val="000000"/>
      <w:szCs w:val="24"/>
    </w:rPr>
  </w:style>
  <w:style w:type="paragraph" w:customStyle="1" w:styleId="129">
    <w:name w:val="简单回函地址"/>
    <w:basedOn w:val="1"/>
    <w:qFormat/>
    <w:uiPriority w:val="0"/>
    <w:rPr>
      <w:sz w:val="21"/>
      <w:szCs w:val="24"/>
    </w:rPr>
  </w:style>
  <w:style w:type="paragraph" w:customStyle="1" w:styleId="130">
    <w:name w:val="style70"/>
    <w:basedOn w:val="1"/>
    <w:qFormat/>
    <w:uiPriority w:val="0"/>
    <w:pPr>
      <w:widowControl/>
      <w:spacing w:before="100" w:beforeAutospacing="1" w:after="100" w:afterAutospacing="1"/>
      <w:jc w:val="left"/>
    </w:pPr>
    <w:rPr>
      <w:rFonts w:ascii="黑体" w:hAnsi="宋体" w:eastAsia="黑体" w:cs="宋体"/>
      <w:color w:val="000000"/>
      <w:kern w:val="0"/>
      <w:sz w:val="20"/>
    </w:rPr>
  </w:style>
  <w:style w:type="paragraph" w:customStyle="1" w:styleId="131">
    <w:name w:val="Char1 Char Char Char Char Char Char"/>
    <w:basedOn w:val="1"/>
    <w:qFormat/>
    <w:uiPriority w:val="0"/>
    <w:rPr>
      <w:rFonts w:ascii="Tahoma" w:hAnsi="Tahoma"/>
    </w:rPr>
  </w:style>
  <w:style w:type="paragraph" w:customStyle="1" w:styleId="132">
    <w:name w:val="Char Char1 Char Char Char Char Char Char1"/>
    <w:basedOn w:val="1"/>
    <w:qFormat/>
    <w:uiPriority w:val="0"/>
    <w:pPr>
      <w:widowControl/>
      <w:spacing w:after="160" w:line="240" w:lineRule="exact"/>
      <w:jc w:val="left"/>
    </w:pPr>
    <w:rPr>
      <w:rFonts w:ascii="Verdana" w:hAnsi="Verdana" w:eastAsia="仿宋_GB2312"/>
      <w:kern w:val="0"/>
      <w:lang w:eastAsia="en-US"/>
    </w:rPr>
  </w:style>
  <w:style w:type="paragraph" w:customStyle="1" w:styleId="133">
    <w:name w:val="Char11"/>
    <w:basedOn w:val="1"/>
    <w:qFormat/>
    <w:uiPriority w:val="0"/>
    <w:pPr>
      <w:tabs>
        <w:tab w:val="left" w:pos="840"/>
      </w:tabs>
      <w:ind w:left="840" w:hanging="420"/>
    </w:pPr>
    <w:rPr>
      <w:rFonts w:ascii="宋体" w:hAnsi="宋体"/>
      <w:b/>
      <w:sz w:val="28"/>
      <w:szCs w:val="28"/>
    </w:rPr>
  </w:style>
  <w:style w:type="paragraph" w:customStyle="1" w:styleId="134">
    <w:name w:val="Char1 Char Char Char Char Char Char1"/>
    <w:basedOn w:val="1"/>
    <w:qFormat/>
    <w:uiPriority w:val="0"/>
    <w:rPr>
      <w:rFonts w:ascii="Tahoma" w:hAnsi="Tahoma"/>
    </w:rPr>
  </w:style>
  <w:style w:type="paragraph" w:customStyle="1" w:styleId="135">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6">
    <w:name w:val="style1"/>
    <w:basedOn w:val="1"/>
    <w:qFormat/>
    <w:uiPriority w:val="0"/>
    <w:pPr>
      <w:widowControl/>
      <w:spacing w:before="100" w:beforeAutospacing="1" w:after="100" w:afterAutospacing="1"/>
      <w:jc w:val="left"/>
    </w:pPr>
    <w:rPr>
      <w:rFonts w:ascii="宋体" w:hAnsi="宋体"/>
      <w:kern w:val="0"/>
      <w:szCs w:val="24"/>
    </w:rPr>
  </w:style>
  <w:style w:type="paragraph" w:customStyle="1" w:styleId="137">
    <w:name w:val="Char1"/>
    <w:basedOn w:val="1"/>
    <w:qFormat/>
    <w:uiPriority w:val="0"/>
    <w:rPr>
      <w:rFonts w:ascii="仿宋_GB2312" w:eastAsia="仿宋_GB2312"/>
      <w:b/>
      <w:sz w:val="32"/>
      <w:szCs w:val="32"/>
    </w:rPr>
  </w:style>
  <w:style w:type="paragraph" w:customStyle="1" w:styleId="138">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39">
    <w:name w:val="标题1"/>
    <w:basedOn w:val="1"/>
    <w:qFormat/>
    <w:uiPriority w:val="0"/>
    <w:pPr>
      <w:spacing w:line="360" w:lineRule="auto"/>
    </w:pPr>
    <w:rPr>
      <w:sz w:val="21"/>
      <w:szCs w:val="24"/>
    </w:rPr>
  </w:style>
  <w:style w:type="paragraph" w:customStyle="1" w:styleId="140">
    <w:name w:val="默认段落字体 Para Char"/>
    <w:basedOn w:val="1"/>
    <w:qFormat/>
    <w:uiPriority w:val="0"/>
    <w:rPr>
      <w:sz w:val="21"/>
    </w:rPr>
  </w:style>
  <w:style w:type="paragraph" w:customStyle="1" w:styleId="141">
    <w:name w:val="Char Char Char Char Char Char Char"/>
    <w:basedOn w:val="1"/>
    <w:qFormat/>
    <w:uiPriority w:val="0"/>
    <w:rPr>
      <w:rFonts w:ascii="仿宋_GB2312" w:eastAsia="仿宋_GB2312"/>
      <w:b/>
      <w:sz w:val="32"/>
      <w:szCs w:val="32"/>
    </w:rPr>
  </w:style>
  <w:style w:type="paragraph" w:customStyle="1" w:styleId="142">
    <w:name w:val="RFI Heading 2nd Level Char"/>
    <w:next w:val="143"/>
    <w:qFormat/>
    <w:uiPriority w:val="0"/>
    <w:pPr>
      <w:spacing w:before="240" w:after="240"/>
      <w:ind w:left="1152" w:hanging="1152"/>
      <w:jc w:val="both"/>
      <w:outlineLvl w:val="1"/>
    </w:pPr>
    <w:rPr>
      <w:rFonts w:ascii="Arial (W1)" w:hAnsi="Times New Roman" w:eastAsia="Times New Roman" w:cs="Times New Roman"/>
      <w:b/>
      <w:color w:val="3366FF"/>
      <w:sz w:val="24"/>
      <w:lang w:val="en-US" w:eastAsia="zh-CN" w:bidi="ar-SA"/>
    </w:rPr>
  </w:style>
  <w:style w:type="paragraph" w:customStyle="1" w:styleId="143">
    <w:name w:val="Normal 0.51"/>
    <w:next w:val="1"/>
    <w:qFormat/>
    <w:uiPriority w:val="0"/>
    <w:pPr>
      <w:spacing w:before="180" w:after="120"/>
      <w:ind w:left="720"/>
      <w:jc w:val="both"/>
    </w:pPr>
    <w:rPr>
      <w:rFonts w:ascii="Times New Roman" w:hAnsi="Times New Roman" w:eastAsia="宋体" w:cs="Times New Roman"/>
      <w:sz w:val="24"/>
      <w:lang w:val="en-US" w:eastAsia="zh-CN" w:bidi="ar-SA"/>
    </w:rPr>
  </w:style>
  <w:style w:type="paragraph" w:customStyle="1" w:styleId="144">
    <w:name w:val="cn"/>
    <w:basedOn w:val="1"/>
    <w:qFormat/>
    <w:uiPriority w:val="0"/>
    <w:pPr>
      <w:widowControl/>
      <w:spacing w:before="100" w:beforeAutospacing="1" w:after="100" w:afterAutospacing="1"/>
      <w:jc w:val="left"/>
    </w:pPr>
    <w:rPr>
      <w:rFonts w:ascii="_x000B__x000C_" w:hAnsi="_x000B__x000C_"/>
      <w:kern w:val="0"/>
      <w:sz w:val="20"/>
    </w:rPr>
  </w:style>
  <w:style w:type="paragraph" w:customStyle="1" w:styleId="145">
    <w:name w:val="正文 New"/>
    <w:qFormat/>
    <w:uiPriority w:val="0"/>
    <w:pPr>
      <w:widowControl w:val="0"/>
      <w:jc w:val="both"/>
    </w:pPr>
    <w:rPr>
      <w:rFonts w:ascii="Times New Roman" w:hAnsi="Times New Roman" w:eastAsia="宋体" w:cs="Times New Roman"/>
      <w:lang w:val="en-US" w:eastAsia="zh-CN" w:bidi="ar-SA"/>
    </w:rPr>
  </w:style>
  <w:style w:type="paragraph" w:customStyle="1" w:styleId="146">
    <w:name w:val="p15"/>
    <w:basedOn w:val="1"/>
    <w:qFormat/>
    <w:uiPriority w:val="0"/>
    <w:pPr>
      <w:widowControl/>
    </w:pPr>
    <w:rPr>
      <w:kern w:val="0"/>
      <w:sz w:val="21"/>
      <w:szCs w:val="21"/>
    </w:rPr>
  </w:style>
  <w:style w:type="paragraph" w:customStyle="1" w:styleId="147">
    <w:name w:val="Heading #3|1"/>
    <w:basedOn w:val="1"/>
    <w:qFormat/>
    <w:uiPriority w:val="0"/>
    <w:pPr>
      <w:spacing w:after="140"/>
      <w:ind w:firstLine="500"/>
      <w:outlineLvl w:val="2"/>
    </w:pPr>
    <w:rPr>
      <w:rFonts w:ascii="宋体" w:hAnsi="宋体" w:cs="宋体"/>
      <w:sz w:val="32"/>
      <w:szCs w:val="32"/>
      <w:lang w:val="zh-TW" w:eastAsia="zh-TW" w:bidi="zh-TW"/>
    </w:rPr>
  </w:style>
  <w:style w:type="paragraph" w:customStyle="1" w:styleId="148">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149">
    <w:name w:val="title1"/>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5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1">
    <w:name w:val="默认段落字体 Para Char Char Char Char Char Char Char"/>
    <w:basedOn w:val="1"/>
    <w:qFormat/>
    <w:uiPriority w:val="0"/>
    <w:rPr>
      <w:sz w:val="21"/>
    </w:rPr>
  </w:style>
  <w:style w:type="paragraph" w:customStyle="1" w:styleId="152">
    <w:name w:val="Char Char Char Char Char Char Char Char Char1"/>
    <w:basedOn w:val="1"/>
    <w:qFormat/>
    <w:uiPriority w:val="0"/>
    <w:pPr>
      <w:spacing w:after="160" w:line="240" w:lineRule="exact"/>
    </w:pPr>
    <w:rPr>
      <w:rFonts w:ascii="Verdana" w:hAnsi="Verdana" w:cs="Verdana"/>
      <w:sz w:val="20"/>
      <w:lang w:eastAsia="en-US"/>
    </w:rPr>
  </w:style>
  <w:style w:type="paragraph" w:customStyle="1" w:styleId="153">
    <w:name w:val="reader-word-layer reader-word-s1-0"/>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54">
    <w:name w:val="Char Char Char Char1"/>
    <w:basedOn w:val="1"/>
    <w:qFormat/>
    <w:uiPriority w:val="0"/>
    <w:pPr>
      <w:tabs>
        <w:tab w:val="left" w:pos="360"/>
      </w:tabs>
      <w:ind w:firstLine="420" w:firstLineChars="150"/>
    </w:pPr>
    <w:rPr>
      <w:rFonts w:ascii="Arial" w:hAnsi="Arial" w:cs="Arial"/>
      <w:sz w:val="20"/>
    </w:rPr>
  </w:style>
  <w:style w:type="paragraph" w:customStyle="1" w:styleId="15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6">
    <w:name w:val="Paragraph3"/>
    <w:basedOn w:val="1"/>
    <w:qFormat/>
    <w:uiPriority w:val="0"/>
    <w:pPr>
      <w:tabs>
        <w:tab w:val="left" w:pos="360"/>
      </w:tabs>
      <w:overflowPunct w:val="0"/>
      <w:autoSpaceDE w:val="0"/>
      <w:autoSpaceDN w:val="0"/>
      <w:adjustRightInd w:val="0"/>
      <w:spacing w:before="20"/>
      <w:ind w:left="360" w:hanging="360"/>
      <w:textAlignment w:val="baseline"/>
    </w:pPr>
    <w:rPr>
      <w:rFonts w:ascii="Arial" w:hAnsi="Arial"/>
      <w:kern w:val="0"/>
    </w:rPr>
  </w:style>
  <w:style w:type="paragraph" w:customStyle="1" w:styleId="157">
    <w:name w:val="a2"/>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58">
    <w:name w:val="2册标题4"/>
    <w:basedOn w:val="1"/>
    <w:next w:val="1"/>
    <w:qFormat/>
    <w:uiPriority w:val="0"/>
    <w:pPr>
      <w:spacing w:before="156" w:beforeLines="50" w:after="156" w:afterLines="50" w:line="300" w:lineRule="auto"/>
      <w:ind w:left="420" w:leftChars="200"/>
      <w:outlineLvl w:val="3"/>
    </w:pPr>
    <w:rPr>
      <w:rFonts w:ascii="Arial" w:hAnsi="Arial" w:eastAsia="幼圆" w:cs="Arial"/>
      <w:b/>
      <w:szCs w:val="24"/>
    </w:rPr>
  </w:style>
  <w:style w:type="paragraph" w:styleId="159">
    <w:name w:val="List Paragraph"/>
    <w:basedOn w:val="1"/>
    <w:qFormat/>
    <w:uiPriority w:val="0"/>
    <w:pPr>
      <w:ind w:firstLine="420" w:firstLineChars="200"/>
    </w:pPr>
    <w:rPr>
      <w:sz w:val="21"/>
      <w:szCs w:val="24"/>
    </w:rPr>
  </w:style>
  <w:style w:type="paragraph" w:customStyle="1" w:styleId="160">
    <w:name w:val="_Style 15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62">
    <w:name w:val="标题 #4"/>
    <w:basedOn w:val="1"/>
    <w:qFormat/>
    <w:uiPriority w:val="0"/>
    <w:pPr>
      <w:spacing w:after="80" w:line="397" w:lineRule="exact"/>
      <w:ind w:left="460" w:firstLine="560"/>
      <w:outlineLvl w:val="3"/>
    </w:pPr>
    <w:rPr>
      <w:rFonts w:ascii="宋体" w:hAnsi="宋体" w:cs="宋体"/>
      <w:sz w:val="21"/>
      <w:szCs w:val="22"/>
      <w:lang w:val="zh-CN" w:bidi="zh-CN"/>
    </w:rPr>
  </w:style>
  <w:style w:type="paragraph" w:customStyle="1" w:styleId="163">
    <w:name w:val="Char Char Char Char Char Char1 Char1"/>
    <w:basedOn w:val="1"/>
    <w:qFormat/>
    <w:uiPriority w:val="0"/>
    <w:pPr>
      <w:widowControl/>
      <w:spacing w:after="160" w:line="240" w:lineRule="exact"/>
      <w:jc w:val="left"/>
    </w:pPr>
    <w:rPr>
      <w:rFonts w:ascii="Arial" w:hAnsi="Arial" w:eastAsia="楷体_GB2312" w:cs="Verdana"/>
      <w:b/>
      <w:kern w:val="0"/>
      <w:szCs w:val="24"/>
      <w:lang w:eastAsia="en-US"/>
    </w:rPr>
  </w:style>
  <w:style w:type="paragraph" w:customStyle="1" w:styleId="164">
    <w:name w:val="Char13"/>
    <w:basedOn w:val="1"/>
    <w:qFormat/>
    <w:uiPriority w:val="0"/>
    <w:rPr>
      <w:rFonts w:ascii="仿宋_GB2312" w:eastAsia="仿宋_GB2312"/>
      <w:b/>
      <w:sz w:val="32"/>
      <w:szCs w:val="32"/>
    </w:rPr>
  </w:style>
  <w:style w:type="paragraph" w:customStyle="1" w:styleId="165">
    <w:name w:val="标题 #2"/>
    <w:basedOn w:val="1"/>
    <w:qFormat/>
    <w:uiPriority w:val="0"/>
    <w:pPr>
      <w:spacing w:after="320"/>
      <w:ind w:firstLine="250"/>
      <w:outlineLvl w:val="1"/>
    </w:pPr>
    <w:rPr>
      <w:rFonts w:ascii="宋体" w:hAnsi="宋体" w:cs="宋体"/>
      <w:sz w:val="32"/>
      <w:szCs w:val="32"/>
      <w:lang w:val="zh-CN" w:bidi="zh-CN"/>
    </w:rPr>
  </w:style>
  <w:style w:type="character" w:customStyle="1" w:styleId="166">
    <w:name w:val="layui-layer-tabnow"/>
    <w:basedOn w:val="40"/>
    <w:qFormat/>
    <w:uiPriority w:val="0"/>
    <w:rPr>
      <w:bdr w:val="single" w:color="CCCCCC" w:sz="6" w:space="0"/>
      <w:shd w:val="clear" w:fill="FFFFFF"/>
    </w:rPr>
  </w:style>
  <w:style w:type="character" w:customStyle="1" w:styleId="167">
    <w:name w:val="first-child"/>
    <w:basedOn w:val="40"/>
    <w:qFormat/>
    <w:uiPriority w:val="0"/>
  </w:style>
  <w:style w:type="character" w:customStyle="1" w:styleId="168">
    <w:name w:val="font11"/>
    <w:basedOn w:val="40"/>
    <w:qFormat/>
    <w:uiPriority w:val="0"/>
    <w:rPr>
      <w:rFonts w:hint="eastAsia" w:ascii="仿宋" w:hAnsi="仿宋" w:eastAsia="仿宋" w:cs="仿宋"/>
      <w:b/>
      <w:bCs/>
      <w:color w:val="202020"/>
      <w:sz w:val="24"/>
      <w:szCs w:val="24"/>
      <w:u w:val="none"/>
    </w:rPr>
  </w:style>
  <w:style w:type="character" w:customStyle="1" w:styleId="169">
    <w:name w:val="font21"/>
    <w:basedOn w:val="40"/>
    <w:qFormat/>
    <w:uiPriority w:val="0"/>
    <w:rPr>
      <w:rFonts w:hint="eastAsia" w:ascii="仿宋" w:hAnsi="仿宋" w:eastAsia="仿宋" w:cs="仿宋"/>
      <w:color w:val="20202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29946</Words>
  <Characters>32322</Characters>
  <Lines>386</Lines>
  <Paragraphs>108</Paragraphs>
  <TotalTime>3</TotalTime>
  <ScaleCrop>false</ScaleCrop>
  <LinksUpToDate>false</LinksUpToDate>
  <CharactersWithSpaces>34097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2023-09-12T11:13:00Z</dcterms:created>
  <dc:creator>微软用户</dc:creator>
  <cp:lastModifiedBy>aaa</cp:lastModifiedBy>
  <cp:lastPrinted>2017-07-11T13:23:00Z</cp:lastPrinted>
  <dcterms:modified xsi:type="dcterms:W3CDTF">2023-10-25T09:07:44Z</dcterms:modified>
  <dc:title>文件编号：SDZB2007-027</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10E007137F7B429685A20B611FFA625F_13</vt:lpwstr>
  </property>
</Properties>
</file>