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1668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3.1.2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封山育林区调查区划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汉中市2023年秦岭中段（南麓）水源涵养与生物多样性保护恢复项目城固县封山育林</w:t>
      </w:r>
      <w:r>
        <w:rPr>
          <w:rFonts w:hint="eastAsia" w:ascii="仿宋_GB2312" w:hAnsi="仿宋_GB2312" w:eastAsia="仿宋_GB2312" w:cs="仿宋_GB2312"/>
          <w:sz w:val="32"/>
          <w:szCs w:val="32"/>
        </w:rPr>
        <w:t>区划为三级：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—林班（封育区）—小班。封育区设计面积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15674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亩，其中有效封育面积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5个封育区63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小班。最小小班面积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亩，最大小班面积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3.1.2封育区现状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封育区林地面积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15674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有效封育面积15000亩。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地处秦岭南麓中山区，最高海拔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1832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米，最低海拔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米，坡向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以东、南</w:t>
      </w:r>
      <w:r>
        <w:rPr>
          <w:rFonts w:hint="eastAsia" w:ascii="仿宋_GB2312" w:hAnsi="仿宋_GB2312" w:eastAsia="仿宋_GB2312" w:cs="仿宋_GB2312"/>
          <w:sz w:val="32"/>
          <w:szCs w:val="32"/>
        </w:rPr>
        <w:t>坡为主，坡度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～3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°，坡位为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坡，土壤为黄棕壤，土壤厚度2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～40cm。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封育区属于郁闭度小于0.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乔木</w:t>
      </w:r>
      <w:r>
        <w:rPr>
          <w:rFonts w:hint="eastAsia" w:ascii="仿宋_GB2312" w:hAnsi="仿宋_GB2312" w:eastAsia="仿宋_GB2312" w:cs="仿宋_GB2312"/>
          <w:sz w:val="32"/>
          <w:szCs w:val="32"/>
        </w:rPr>
        <w:t>林地，林相残败，树种结构简单。经调查，树种以栎类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和阔杂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为主，分布不均匀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现有母树平均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株/亩，平均高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m，平均胸径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cm，生长状况较差，分布不均匀，油松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、冷杉</w:t>
      </w:r>
      <w:r>
        <w:rPr>
          <w:rFonts w:hint="eastAsia" w:ascii="仿宋_GB2312" w:hAnsi="仿宋_GB2312" w:eastAsia="仿宋_GB2312" w:cs="仿宋_GB2312"/>
          <w:sz w:val="32"/>
          <w:szCs w:val="32"/>
        </w:rPr>
        <w:t>等为零星分布；现有幼苗、幼树平均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株/亩，平均高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180c</w:t>
      </w:r>
      <w:r>
        <w:rPr>
          <w:rFonts w:hint="eastAsia" w:ascii="仿宋_GB2312" w:hAnsi="仿宋_GB2312" w:eastAsia="仿宋_GB2312" w:cs="仿宋_GB2312"/>
          <w:sz w:val="32"/>
          <w:szCs w:val="32"/>
        </w:rPr>
        <w:t>m，分布零星，生长良好；灌木以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胡枝子、马桑、盐夫木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为主,覆盖度3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</w:t>
      </w:r>
      <w:bookmarkStart w:id="1" w:name="_Toc18306"/>
    </w:p>
    <w:bookmarkEnd w:id="1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3.2.1封育类型划分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依据《封山（沙）育林技术规程》，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封育区各小班立地条件和现有母树、幼树及灌木、草本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植物</w:t>
      </w:r>
      <w:r>
        <w:rPr>
          <w:rFonts w:hint="eastAsia" w:ascii="仿宋_GB2312" w:hAnsi="仿宋_GB2312" w:eastAsia="仿宋_GB2312" w:cs="仿宋_GB2312"/>
          <w:sz w:val="32"/>
          <w:szCs w:val="32"/>
        </w:rPr>
        <w:t>生长分布情况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天然更新状况，封育类型确定为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乔木型1</w:t>
      </w:r>
      <w:r>
        <w:rPr>
          <w:rFonts w:hint="eastAsia" w:ascii="仿宋_GB2312" w:hAnsi="仿宋_GB2312" w:eastAsia="仿宋_GB2312" w:cs="仿宋_GB2312"/>
          <w:sz w:val="32"/>
          <w:szCs w:val="32"/>
        </w:rPr>
        <w:t>个类型。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2" w:name="_Toc2762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3.2.2封育方式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根据封育区的自然条件和社会经济条件确定封育方式。封育区因具有一定的目的树种，生长良好，故封育方式确定为半封。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3.2.3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封育年限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《封山（沙）育林技术规程》规定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该封育区为有林地封育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，确定封育年限为5年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年开始封育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年结束。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3" w:name="_Toc2240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3.2.4封育目标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封育期满（202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年）后，乔木郁闭度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郁闭度比封育前增加0.2，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且分布均匀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达到有效涵养水源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控制水土流失，改善区域生态环境的目的。</w:t>
      </w:r>
      <w:bookmarkStart w:id="4" w:name="_Toc518139878"/>
      <w:bookmarkEnd w:id="4"/>
      <w:bookmarkStart w:id="5" w:name="_Toc518126774"/>
      <w:bookmarkEnd w:id="5"/>
      <w:bookmarkStart w:id="6" w:name="_Toc530533575"/>
      <w:bookmarkEnd w:id="6"/>
      <w:bookmarkStart w:id="7" w:name="_Toc146527871"/>
      <w:bookmarkEnd w:id="7"/>
      <w:bookmarkStart w:id="8" w:name="_Toc148070514"/>
      <w:bookmarkEnd w:id="8"/>
      <w:bookmarkStart w:id="9" w:name="_Toc529616724"/>
      <w:bookmarkEnd w:id="9"/>
      <w:bookmarkStart w:id="10" w:name="_Toc87779150"/>
      <w:bookmarkEnd w:id="10"/>
      <w:bookmarkStart w:id="11" w:name="_Toc530366141"/>
      <w:bookmarkEnd w:id="11"/>
      <w:bookmarkStart w:id="12" w:name="_Toc530368346"/>
      <w:bookmarkEnd w:id="12"/>
      <w:bookmarkStart w:id="13" w:name="_Toc518126944"/>
      <w:bookmarkEnd w:id="13"/>
      <w:bookmarkStart w:id="14" w:name="_Toc146960691"/>
      <w:bookmarkEnd w:id="14"/>
      <w:bookmarkStart w:id="15" w:name="_Toc18205239"/>
      <w:bookmarkEnd w:id="15"/>
      <w:bookmarkStart w:id="16" w:name="_Toc529702222"/>
      <w:bookmarkEnd w:id="16"/>
      <w:bookmarkStart w:id="17" w:name="_Toc529616845"/>
      <w:bookmarkEnd w:id="17"/>
      <w:bookmarkStart w:id="18" w:name="_Toc30885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3.2.5封禁措施</w:t>
      </w:r>
      <w:bookmarkEnd w:id="18"/>
      <w:bookmarkStart w:id="26" w:name="_GoBack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9" w:name="_Toc518139879"/>
      <w:bookmarkEnd w:id="19"/>
      <w:bookmarkStart w:id="20" w:name="_Toc518126945"/>
      <w:bookmarkEnd w:id="20"/>
      <w:bookmarkStart w:id="21" w:name="_Toc518126775"/>
      <w:bookmarkEnd w:id="21"/>
      <w:bookmarkStart w:id="22" w:name="_Toc1357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3.2.5.1管护房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及巡护人员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根据封育区面积和人为活动情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况，在各封育区附近设一管护点，落实管护人员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共需设置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名。定期对封育区进行全面巡护，杜绝一切破坏封育设施和毁林案件的发生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23" w:name="_Toc518126777"/>
      <w:bookmarkEnd w:id="23"/>
      <w:bookmarkStart w:id="24" w:name="_Toc518139881"/>
      <w:bookmarkEnd w:id="24"/>
      <w:bookmarkStart w:id="25" w:name="_Toc518126947"/>
      <w:bookmarkEnd w:id="2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3.2.6.1林中空地补植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封育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对封育区林中空地和乔木稀疏地段进行人工补植，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设计补植面积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2105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封育区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详见设计表2）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封育</w:t>
      </w:r>
      <w:r>
        <w:rPr>
          <w:rFonts w:hint="eastAsia" w:ascii="仿宋_GB2312" w:hAnsi="仿宋_GB2312" w:eastAsia="仿宋_GB2312" w:cs="仿宋_GB2312"/>
          <w:sz w:val="32"/>
          <w:szCs w:val="32"/>
        </w:rPr>
        <w:t>补植主要技术措施如下：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树种选择：根据封育区立地条件，按照适地适树的原则，选择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侧柏、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杉木、厚朴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作为补植树种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优先使用良种培育的播种苗、容器苗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整地方式：穴状整地，规格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cm×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cm×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cm，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株/亩，整地时间随整地随栽植。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造林时间：补植造林时间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开始到土壤封冻前结束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4、造林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补植苗木分别为第一作业区使用两年生侧柏容器苗，第二、第三作业区使用一年生厚朴裸根苗、第四封育区使用两年生杉木容器苗，第五作业区使用两年生侧柏容器苗和两年生杉木容器苗。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两年生侧柏容器苗地径≥0.60cm,苗高≥40cm的合格苗木；厚朴、杉木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苗木质量等级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Ⅱ级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以上（详见附表2）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opLinePunct/>
        <w:spacing w:line="360" w:lineRule="exact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topLinePunct/>
        <w:spacing w:line="36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topLinePunct/>
        <w:spacing w:line="36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苗木质量标准表</w:t>
      </w:r>
    </w:p>
    <w:tbl>
      <w:tblPr>
        <w:tblStyle w:val="5"/>
        <w:tblpPr w:leftFromText="180" w:rightFromText="180" w:vertAnchor="text" w:horzAnchor="page" w:tblpX="1350" w:tblpY="402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89"/>
        <w:gridCol w:w="680"/>
        <w:gridCol w:w="872"/>
        <w:gridCol w:w="1017"/>
        <w:gridCol w:w="762"/>
        <w:gridCol w:w="1339"/>
        <w:gridCol w:w="113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树种</w:t>
            </w:r>
          </w:p>
        </w:tc>
        <w:tc>
          <w:tcPr>
            <w:tcW w:w="889" w:type="dxa"/>
            <w:vMerge w:val="restart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苗木种类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Ⅰ级苗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Ⅱ级苗</w:t>
            </w:r>
          </w:p>
        </w:tc>
        <w:tc>
          <w:tcPr>
            <w:tcW w:w="1918" w:type="dxa"/>
            <w:vMerge w:val="restart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苗龄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地径(cm)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苗高(cm)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苗龄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地径(cm)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苗高(cm)</w:t>
            </w:r>
          </w:p>
        </w:tc>
        <w:tc>
          <w:tcPr>
            <w:tcW w:w="1918" w:type="dxa"/>
            <w:vMerge w:val="continue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杉木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容器苗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2-0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0.4-0.6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25-40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苗木充分木质化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704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厚朴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播种苗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1-0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0.6-0.8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40-50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topLinePunct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苗木充分木质化</w:t>
            </w:r>
          </w:p>
        </w:tc>
      </w:tr>
    </w:tbl>
    <w:p>
      <w:pPr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5、用</w:t>
      </w:r>
      <w:r>
        <w:rPr>
          <w:rFonts w:hint="eastAsia" w:ascii="仿宋_GB2312" w:hAnsi="仿宋_GB2312" w:eastAsia="仿宋_GB2312" w:cs="仿宋_GB2312"/>
          <w:sz w:val="32"/>
          <w:szCs w:val="32"/>
        </w:rPr>
        <w:t>苗量、用工量：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补植密度原则为3×4米，根据地形不规则补植，平均每亩补植60株，需用苗量126300株，其中侧柏32340株、厚朴53280株、杉木40680株，补植需</w:t>
      </w:r>
      <w:r>
        <w:rPr>
          <w:rFonts w:hint="eastAsia" w:ascii="仿宋_GB2312" w:hAnsi="仿宋_GB2312" w:eastAsia="仿宋_GB2312" w:cs="仿宋_GB2312"/>
          <w:sz w:val="32"/>
          <w:szCs w:val="32"/>
        </w:rPr>
        <w:t>用工量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4023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ZDU3OGY1Y2Q3NDA0MDBjNmU1ZjJkOWUxZDlkMTUifQ=="/>
  </w:docVars>
  <w:rsids>
    <w:rsidRoot w:val="00000000"/>
    <w:rsid w:val="5A1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  <w:bCs/>
      <w:sz w:val="30"/>
      <w:szCs w:val="30"/>
    </w:rPr>
  </w:style>
  <w:style w:type="paragraph" w:styleId="3">
    <w:name w:val="heading 3"/>
    <w:basedOn w:val="1"/>
    <w:next w:val="1"/>
    <w:uiPriority w:val="6"/>
    <w:pPr>
      <w:keepNext/>
      <w:keepLines/>
      <w:widowControl w:val="0"/>
      <w:spacing w:after="312" w:line="500" w:lineRule="exact"/>
      <w:jc w:val="both"/>
      <w:outlineLvl w:val="2"/>
    </w:pPr>
    <w:rPr>
      <w:rFonts w:ascii="宋体" w:hAnsi="宋体" w:cs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ind w:left="2" w:right="25" w:rightChars="12" w:hanging="2"/>
    </w:pPr>
    <w:rPr>
      <w:rFonts w:ascii="楷体_GB2312" w:hAnsi="宋体" w:eastAsia="楷体_GB2312" w:cs="Times New Roman"/>
    </w:rPr>
  </w:style>
  <w:style w:type="paragraph" w:customStyle="1" w:styleId="7">
    <w:name w:val="样式 宋体 小四 行距: 固定值 24 磅 首行缩进:  2 字符"/>
    <w:basedOn w:val="1"/>
    <w:qFormat/>
    <w:uiPriority w:val="0"/>
    <w:pPr>
      <w:adjustRightInd w:val="0"/>
      <w:snapToGrid w:val="0"/>
      <w:spacing w:line="560" w:lineRule="exact"/>
      <w:ind w:firstLine="560" w:firstLineChars="200"/>
    </w:pPr>
    <w:rPr>
      <w:rFonts w:ascii="仿宋_GB2312" w:hAnsi="宋体" w:eastAsia="仿宋_GB2312" w:cs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2023-10-09T00:42:51Z</dcterms:created>
  <dc:creator>Administrator</dc:creator>
  <cp:lastModifiedBy>WPS_1648726684</cp:lastModifiedBy>
  <dcterms:modified xsi:type="dcterms:W3CDTF">2023-10-09T00:47:57Z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0BE00C559AC34B369677285CB62AE071_12</vt:lpwstr>
  </property>
</Properties>
</file>