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840" w:lineRule="exact"/>
        <w:rPr>
          <w:rFonts w:ascii="宋体" w:hAnsi="宋体" w:cs="仿宋_GB2312"/>
          <w:sz w:val="32"/>
          <w:szCs w:val="32"/>
        </w:rPr>
      </w:pPr>
      <w:r>
        <w:rPr>
          <w:rFonts w:hint="eastAsia" w:ascii="宋体" w:hAnsi="宋体" w:cs="仿宋_GB2312"/>
          <w:sz w:val="52"/>
          <w:szCs w:val="52"/>
        </w:rPr>
        <w:t xml:space="preserve"> </w:t>
      </w:r>
      <w:r>
        <w:rPr>
          <w:rFonts w:hint="eastAsia" w:ascii="宋体" w:hAnsi="宋体" w:cs="仿宋_GB2312"/>
          <w:bCs/>
          <w:sz w:val="32"/>
          <w:szCs w:val="32"/>
        </w:rPr>
        <w:t>项目编号：YC23307026（CGO）</w:t>
      </w:r>
    </w:p>
    <w:p/>
    <w:p>
      <w:pPr>
        <w:spacing w:line="360" w:lineRule="auto"/>
        <w:jc w:val="center"/>
        <w:rPr>
          <w:rFonts w:ascii="宋体" w:hAnsi="宋体" w:cs="仿宋"/>
          <w:b/>
          <w:bCs/>
          <w:sz w:val="52"/>
          <w:szCs w:val="72"/>
        </w:rPr>
      </w:pPr>
    </w:p>
    <w:p>
      <w:pPr>
        <w:pStyle w:val="2"/>
        <w:spacing w:line="720" w:lineRule="auto"/>
        <w:jc w:val="center"/>
        <w:outlineLvl w:val="0"/>
        <w:rPr>
          <w:rFonts w:ascii="宋体" w:hAnsi="宋体" w:cs="仿宋"/>
          <w:b/>
          <w:bCs/>
          <w:sz w:val="44"/>
          <w:szCs w:val="52"/>
        </w:rPr>
      </w:pPr>
      <w:bookmarkStart w:id="0" w:name="_Toc24852"/>
      <w:bookmarkStart w:id="1" w:name="_Toc10254"/>
      <w:r>
        <w:rPr>
          <w:rFonts w:hint="eastAsia" w:ascii="宋体" w:hAnsi="宋体" w:cs="仿宋"/>
          <w:b/>
          <w:bCs/>
          <w:sz w:val="44"/>
          <w:szCs w:val="52"/>
        </w:rPr>
        <w:t>勉县公安局2023年中省政法转移支付</w:t>
      </w:r>
      <w:bookmarkEnd w:id="0"/>
      <w:bookmarkEnd w:id="1"/>
    </w:p>
    <w:p>
      <w:pPr>
        <w:pStyle w:val="2"/>
        <w:spacing w:line="720" w:lineRule="auto"/>
        <w:jc w:val="center"/>
        <w:outlineLvl w:val="0"/>
        <w:rPr>
          <w:rFonts w:ascii="宋体" w:hAnsi="宋体" w:cs="仿宋"/>
          <w:b/>
          <w:bCs/>
          <w:sz w:val="44"/>
          <w:szCs w:val="52"/>
        </w:rPr>
      </w:pPr>
      <w:bookmarkStart w:id="2" w:name="_Toc6276"/>
      <w:bookmarkStart w:id="3" w:name="_Toc10963"/>
      <w:r>
        <w:rPr>
          <w:rFonts w:hint="eastAsia" w:ascii="宋体" w:hAnsi="宋体" w:cs="仿宋"/>
          <w:b/>
          <w:bCs/>
          <w:sz w:val="44"/>
          <w:szCs w:val="52"/>
        </w:rPr>
        <w:t>自定装备（云桌面）项目</w:t>
      </w:r>
      <w:bookmarkEnd w:id="2"/>
      <w:bookmarkEnd w:id="3"/>
    </w:p>
    <w:p>
      <w:pPr>
        <w:rPr>
          <w:rFonts w:ascii="宋体" w:hAnsi="宋体" w:cs="仿宋"/>
          <w:b/>
          <w:bCs/>
          <w:sz w:val="52"/>
          <w:szCs w:val="72"/>
        </w:rPr>
      </w:pPr>
    </w:p>
    <w:p>
      <w:pPr>
        <w:pStyle w:val="2"/>
        <w:rPr>
          <w:rFonts w:ascii="宋体" w:hAnsi="宋体" w:cs="仿宋"/>
          <w:b/>
          <w:bCs/>
          <w:sz w:val="52"/>
          <w:szCs w:val="72"/>
        </w:rPr>
      </w:pPr>
    </w:p>
    <w:p/>
    <w:p>
      <w:pPr>
        <w:spacing w:line="360" w:lineRule="auto"/>
        <w:jc w:val="center"/>
        <w:rPr>
          <w:rFonts w:ascii="宋体" w:hAnsi="宋体" w:cs="仿宋"/>
          <w:b/>
          <w:bCs/>
          <w:spacing w:val="-20"/>
          <w:sz w:val="32"/>
          <w:szCs w:val="32"/>
        </w:rPr>
      </w:pPr>
    </w:p>
    <w:p>
      <w:pPr>
        <w:spacing w:line="360" w:lineRule="auto"/>
        <w:jc w:val="center"/>
        <w:rPr>
          <w:rFonts w:ascii="宋体" w:hAnsi="宋体" w:cs="仿宋_GB2312"/>
          <w:sz w:val="72"/>
          <w:szCs w:val="96"/>
        </w:rPr>
      </w:pPr>
      <w:r>
        <w:rPr>
          <w:rFonts w:hint="eastAsia" w:ascii="宋体" w:hAnsi="宋体" w:cs="仿宋_GB2312"/>
          <w:sz w:val="72"/>
          <w:szCs w:val="96"/>
        </w:rPr>
        <w:t>招 标 文 件</w:t>
      </w:r>
    </w:p>
    <w:p>
      <w:pPr>
        <w:pStyle w:val="2"/>
        <w:rPr>
          <w:rFonts w:ascii="宋体" w:hAnsi="宋体"/>
        </w:rPr>
      </w:pPr>
    </w:p>
    <w:p>
      <w:pPr>
        <w:jc w:val="center"/>
        <w:rPr>
          <w:rFonts w:ascii="宋体" w:hAnsi="宋体" w:cs="仿宋"/>
          <w:sz w:val="52"/>
          <w:szCs w:val="52"/>
        </w:rPr>
      </w:pPr>
    </w:p>
    <w:p>
      <w:pPr>
        <w:jc w:val="center"/>
        <w:rPr>
          <w:rFonts w:ascii="宋体" w:hAnsi="宋体" w:cs="仿宋"/>
        </w:rPr>
      </w:pPr>
    </w:p>
    <w:p>
      <w:pPr>
        <w:pStyle w:val="21"/>
        <w:rPr>
          <w:rFonts w:ascii="宋体" w:hAnsi="宋体" w:cs="仿宋"/>
        </w:rPr>
      </w:pPr>
    </w:p>
    <w:p>
      <w:pPr>
        <w:pStyle w:val="21"/>
        <w:rPr>
          <w:rFonts w:ascii="宋体" w:hAnsi="宋体" w:cs="仿宋"/>
        </w:rPr>
      </w:pPr>
    </w:p>
    <w:p>
      <w:pPr>
        <w:pStyle w:val="21"/>
        <w:rPr>
          <w:rFonts w:ascii="宋体" w:hAnsi="宋体" w:cs="仿宋"/>
        </w:rPr>
      </w:pPr>
    </w:p>
    <w:p>
      <w:pPr>
        <w:rPr>
          <w:rFonts w:ascii="宋体" w:hAnsi="宋体" w:cs="仿宋"/>
        </w:rPr>
      </w:pPr>
    </w:p>
    <w:p>
      <w:pPr>
        <w:jc w:val="center"/>
        <w:rPr>
          <w:rFonts w:ascii="宋体" w:hAnsi="宋体" w:cs="仿宋"/>
        </w:rPr>
      </w:pPr>
    </w:p>
    <w:p>
      <w:pPr>
        <w:jc w:val="center"/>
        <w:rPr>
          <w:rFonts w:ascii="宋体" w:hAnsi="宋体" w:cs="仿宋"/>
        </w:rPr>
      </w:pPr>
    </w:p>
    <w:p>
      <w:pPr>
        <w:spacing w:line="600" w:lineRule="auto"/>
        <w:ind w:firstLine="640" w:firstLineChars="200"/>
        <w:jc w:val="left"/>
        <w:rPr>
          <w:rFonts w:ascii="宋体" w:hAnsi="宋体"/>
          <w:sz w:val="32"/>
          <w:szCs w:val="32"/>
        </w:rPr>
      </w:pPr>
      <w:r>
        <w:rPr>
          <w:rFonts w:hint="eastAsia" w:ascii="宋体" w:hAnsi="宋体" w:cs="仿宋_GB2312"/>
          <w:sz w:val="32"/>
          <w:szCs w:val="32"/>
        </w:rPr>
        <w:t xml:space="preserve">    </w:t>
      </w:r>
      <w:r>
        <w:rPr>
          <w:rFonts w:hint="eastAsia" w:ascii="宋体" w:hAnsi="宋体" w:cs="仿宋_GB2312"/>
          <w:bCs/>
          <w:sz w:val="32"/>
          <w:szCs w:val="32"/>
        </w:rPr>
        <w:t>采   购   人：勉县公安局</w:t>
      </w:r>
    </w:p>
    <w:p>
      <w:pPr>
        <w:spacing w:line="600" w:lineRule="auto"/>
        <w:ind w:firstLine="640" w:firstLineChars="200"/>
        <w:rPr>
          <w:rFonts w:ascii="宋体" w:hAnsi="宋体"/>
          <w:b/>
          <w:spacing w:val="-20"/>
          <w:sz w:val="32"/>
          <w:szCs w:val="32"/>
          <w:u w:val="single"/>
        </w:rPr>
      </w:pPr>
      <w:r>
        <w:rPr>
          <w:rFonts w:hint="eastAsia" w:ascii="宋体" w:hAnsi="宋体" w:cs="仿宋_GB2312"/>
          <w:bCs/>
          <w:sz w:val="32"/>
          <w:szCs w:val="32"/>
        </w:rPr>
        <w:t xml:space="preserve">    采购代理机构：</w:t>
      </w:r>
      <w:r>
        <w:rPr>
          <w:rFonts w:hint="eastAsia" w:ascii="宋体" w:hAnsi="宋体"/>
          <w:spacing w:val="-20"/>
          <w:sz w:val="32"/>
          <w:szCs w:val="32"/>
        </w:rPr>
        <w:t xml:space="preserve">亿诚建设项目管理有限公司                      </w:t>
      </w:r>
    </w:p>
    <w:p>
      <w:pPr>
        <w:spacing w:line="600" w:lineRule="auto"/>
        <w:ind w:firstLine="1200" w:firstLineChars="400"/>
        <w:rPr>
          <w:rFonts w:ascii="宋体" w:hAnsi="宋体" w:cs="宋体"/>
          <w:bCs/>
          <w:sz w:val="30"/>
          <w:szCs w:val="30"/>
        </w:rPr>
      </w:pPr>
      <w:r>
        <w:rPr>
          <w:rFonts w:hint="eastAsia" w:ascii="宋体" w:hAnsi="宋体" w:cs="宋体"/>
          <w:bCs/>
          <w:sz w:val="30"/>
          <w:szCs w:val="30"/>
        </w:rPr>
        <w:t>日         期：二〇二三年十二月</w:t>
      </w:r>
    </w:p>
    <w:p>
      <w:pPr>
        <w:jc w:val="center"/>
        <w:rPr>
          <w:rFonts w:ascii="宋体" w:hAnsi="宋体" w:cs="宋体"/>
          <w:bCs/>
          <w:sz w:val="30"/>
          <w:szCs w:val="30"/>
        </w:rPr>
      </w:pPr>
      <w:r>
        <w:rPr>
          <w:rFonts w:hint="eastAsia" w:ascii="宋体" w:hAnsi="宋体" w:cs="宋体"/>
          <w:bCs/>
          <w:sz w:val="30"/>
          <w:szCs w:val="30"/>
        </w:rPr>
        <w:br w:type="page"/>
      </w:r>
      <w:bookmarkStart w:id="4" w:name="_Toc3367"/>
      <w:bookmarkStart w:id="5" w:name="_Toc21615"/>
      <w:bookmarkStart w:id="6" w:name="_Toc9854"/>
      <w:bookmarkStart w:id="7" w:name="_Toc868"/>
      <w:bookmarkStart w:id="8" w:name="_Toc24380"/>
    </w:p>
    <w:p>
      <w:pPr>
        <w:jc w:val="center"/>
      </w:pPr>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r>
        <w:rPr>
          <w:rFonts w:ascii="宋体" w:hAnsi="宋体"/>
          <w:b/>
          <w:bCs/>
          <w:sz w:val="28"/>
          <w:szCs w:val="28"/>
        </w:rPr>
        <w:fldChar w:fldCharType="begin"/>
      </w:r>
      <w:r>
        <w:rPr>
          <w:rFonts w:ascii="宋体" w:hAnsi="宋体"/>
          <w:b/>
          <w:bCs/>
          <w:sz w:val="28"/>
          <w:szCs w:val="28"/>
        </w:rPr>
        <w:instrText xml:space="preserve">TOC \o "1-1" \h \u </w:instrText>
      </w:r>
      <w:r>
        <w:rPr>
          <w:rFonts w:ascii="宋体" w:hAnsi="宋体"/>
          <w:b/>
          <w:bCs/>
          <w:sz w:val="28"/>
          <w:szCs w:val="28"/>
        </w:rPr>
        <w:fldChar w:fldCharType="separate"/>
      </w:r>
    </w:p>
    <w:p>
      <w:r>
        <w:rPr>
          <w:rFonts w:ascii="宋体" w:hAnsi="宋体"/>
          <w:b/>
          <w:bCs/>
          <w:szCs w:val="28"/>
        </w:rPr>
        <w:fldChar w:fldCharType="begin"/>
      </w:r>
      <w:r>
        <w:rPr>
          <w:rFonts w:ascii="宋体" w:hAnsi="宋体"/>
          <w:b/>
          <w:bCs/>
          <w:szCs w:val="28"/>
        </w:rPr>
        <w:instrText xml:space="preserve">TOC \o "1-1" \h \u </w:instrText>
      </w:r>
      <w:r>
        <w:rPr>
          <w:rFonts w:ascii="宋体" w:hAnsi="宋体"/>
          <w:b/>
          <w:bCs/>
          <w:szCs w:val="28"/>
        </w:rPr>
        <w:fldChar w:fldCharType="separate"/>
      </w:r>
      <w:r>
        <w:rPr>
          <w:rFonts w:ascii="宋体" w:hAnsi="宋体"/>
          <w:bCs/>
          <w:szCs w:val="28"/>
        </w:rPr>
        <w:fldChar w:fldCharType="begin"/>
      </w:r>
      <w:r>
        <w:rPr>
          <w:rFonts w:ascii="宋体" w:hAnsi="宋体"/>
          <w:bCs/>
          <w:szCs w:val="28"/>
        </w:rPr>
        <w:instrText xml:space="preserve">TOC \o "1-1" \h \u </w:instrText>
      </w:r>
      <w:r>
        <w:rPr>
          <w:rFonts w:ascii="宋体" w:hAnsi="宋体"/>
          <w:bCs/>
          <w:szCs w:val="28"/>
        </w:rPr>
        <w:fldChar w:fldCharType="separate"/>
      </w:r>
    </w:p>
    <w:p>
      <w:pPr>
        <w:pStyle w:val="92"/>
        <w:tabs>
          <w:tab w:val="right" w:leader="dot" w:pos="8968"/>
        </w:tabs>
        <w:spacing w:line="480" w:lineRule="auto"/>
        <w:rPr>
          <w:rFonts w:ascii="宋体" w:hAnsi="宋体" w:cs="宋体"/>
          <w:sz w:val="24"/>
          <w:szCs w:val="24"/>
        </w:rPr>
      </w:pPr>
      <w:r>
        <w:fldChar w:fldCharType="begin"/>
      </w:r>
      <w:r>
        <w:instrText xml:space="preserve"> HYPERLINK \l "_Toc10024" </w:instrText>
      </w:r>
      <w:r>
        <w:fldChar w:fldCharType="separate"/>
      </w:r>
      <w:r>
        <w:rPr>
          <w:rFonts w:hint="eastAsia" w:ascii="宋体" w:hAnsi="宋体" w:cs="宋体"/>
          <w:bCs/>
          <w:sz w:val="24"/>
          <w:szCs w:val="56"/>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_Toc10024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968"/>
        </w:tabs>
        <w:spacing w:line="480" w:lineRule="auto"/>
        <w:rPr>
          <w:rFonts w:ascii="宋体" w:hAnsi="宋体" w:cs="宋体"/>
          <w:sz w:val="24"/>
          <w:szCs w:val="24"/>
        </w:rPr>
      </w:pPr>
      <w:r>
        <w:fldChar w:fldCharType="begin"/>
      </w:r>
      <w:r>
        <w:instrText xml:space="preserve"> HYPERLINK \l "_Toc29395" </w:instrText>
      </w:r>
      <w:r>
        <w:fldChar w:fldCharType="separate"/>
      </w:r>
      <w:r>
        <w:rPr>
          <w:rFonts w:hint="eastAsia" w:ascii="宋体" w:hAnsi="宋体" w:cs="宋体"/>
          <w:bCs/>
          <w:sz w:val="24"/>
          <w:szCs w:val="56"/>
        </w:rPr>
        <w:t xml:space="preserve">第二章  </w:t>
      </w:r>
      <w:r>
        <w:rPr>
          <w:rFonts w:hint="eastAsia" w:ascii="宋体" w:hAnsi="宋体" w:cs="宋体"/>
          <w:bCs/>
          <w:sz w:val="24"/>
          <w:szCs w:val="56"/>
          <w:lang w:val="zh-TW"/>
        </w:rPr>
        <w:t>投标人</w:t>
      </w:r>
      <w:r>
        <w:rPr>
          <w:rFonts w:hint="eastAsia" w:ascii="宋体" w:hAnsi="宋体" w:cs="宋体"/>
          <w:bCs/>
          <w:sz w:val="24"/>
          <w:szCs w:val="56"/>
          <w:lang w:val="zh-TW" w:eastAsia="zh-TW"/>
        </w:rPr>
        <w:t>须知附表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_Toc29395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968"/>
        </w:tabs>
        <w:spacing w:line="480" w:lineRule="auto"/>
        <w:rPr>
          <w:rFonts w:ascii="宋体" w:hAnsi="宋体" w:cs="宋体"/>
          <w:sz w:val="24"/>
          <w:szCs w:val="24"/>
        </w:rPr>
      </w:pPr>
      <w:r>
        <w:fldChar w:fldCharType="begin"/>
      </w:r>
      <w:r>
        <w:instrText xml:space="preserve"> HYPERLINK \l "_Toc9661" </w:instrText>
      </w:r>
      <w:r>
        <w:fldChar w:fldCharType="separate"/>
      </w:r>
      <w:r>
        <w:rPr>
          <w:rFonts w:hint="eastAsia" w:ascii="宋体" w:hAnsi="宋体" w:cs="宋体"/>
          <w:bCs/>
          <w:sz w:val="24"/>
          <w:szCs w:val="56"/>
        </w:rPr>
        <w:t>第三章  投标须知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_Toc9661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968"/>
        </w:tabs>
        <w:spacing w:line="480" w:lineRule="auto"/>
        <w:rPr>
          <w:rFonts w:ascii="宋体" w:hAnsi="宋体" w:cs="宋体"/>
          <w:sz w:val="24"/>
          <w:szCs w:val="24"/>
        </w:rPr>
      </w:pPr>
      <w:r>
        <w:fldChar w:fldCharType="begin"/>
      </w:r>
      <w:r>
        <w:instrText xml:space="preserve"> HYPERLINK \l "_Toc5426" </w:instrText>
      </w:r>
      <w:r>
        <w:fldChar w:fldCharType="separate"/>
      </w:r>
      <w:r>
        <w:rPr>
          <w:rFonts w:hint="eastAsia" w:ascii="宋体" w:hAnsi="宋体" w:cs="宋体"/>
          <w:bCs/>
          <w:sz w:val="24"/>
          <w:szCs w:val="56"/>
        </w:rPr>
        <w:t>第四章  采购内容及具体要求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_Toc5426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968"/>
        </w:tabs>
        <w:spacing w:line="480" w:lineRule="auto"/>
        <w:rPr>
          <w:rFonts w:ascii="宋体" w:hAnsi="宋体" w:cs="宋体"/>
          <w:sz w:val="24"/>
          <w:szCs w:val="24"/>
        </w:rPr>
      </w:pPr>
      <w:r>
        <w:fldChar w:fldCharType="begin"/>
      </w:r>
      <w:r>
        <w:instrText xml:space="preserve"> HYPERLINK \l "_Toc4203" </w:instrText>
      </w:r>
      <w:r>
        <w:fldChar w:fldCharType="separate"/>
      </w:r>
      <w:r>
        <w:rPr>
          <w:rFonts w:hint="eastAsia" w:ascii="宋体" w:hAnsi="宋体" w:cs="宋体"/>
          <w:bCs/>
          <w:sz w:val="24"/>
          <w:szCs w:val="56"/>
        </w:rPr>
        <w:t>第五章  评分标准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_Toc4203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968"/>
        </w:tabs>
        <w:spacing w:line="480" w:lineRule="auto"/>
        <w:rPr>
          <w:rFonts w:ascii="宋体" w:hAnsi="宋体" w:cs="宋体"/>
          <w:sz w:val="24"/>
          <w:szCs w:val="24"/>
        </w:rPr>
      </w:pPr>
      <w:r>
        <w:fldChar w:fldCharType="begin"/>
      </w:r>
      <w:r>
        <w:instrText xml:space="preserve"> HYPERLINK \l "_Toc23401" </w:instrText>
      </w:r>
      <w:r>
        <w:fldChar w:fldCharType="separate"/>
      </w:r>
      <w:r>
        <w:rPr>
          <w:rFonts w:hint="eastAsia" w:ascii="宋体" w:hAnsi="宋体" w:cs="宋体"/>
          <w:bCs/>
          <w:sz w:val="24"/>
          <w:szCs w:val="56"/>
        </w:rPr>
        <w:t>第六章  合同范本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_Toc23401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968"/>
        </w:tabs>
        <w:spacing w:line="480" w:lineRule="auto"/>
        <w:rPr>
          <w:rFonts w:ascii="宋体" w:hAnsi="宋体" w:cs="宋体"/>
          <w:sz w:val="24"/>
          <w:szCs w:val="24"/>
        </w:rPr>
      </w:pPr>
      <w:r>
        <w:fldChar w:fldCharType="begin"/>
      </w:r>
      <w:r>
        <w:instrText xml:space="preserve"> HYPERLINK \l "_Toc14370" </w:instrText>
      </w:r>
      <w:r>
        <w:fldChar w:fldCharType="separate"/>
      </w:r>
      <w:r>
        <w:rPr>
          <w:rFonts w:hint="eastAsia" w:ascii="宋体" w:hAnsi="宋体" w:cs="宋体"/>
          <w:bCs/>
          <w:sz w:val="24"/>
          <w:szCs w:val="56"/>
        </w:rPr>
        <w:t>第七章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_Toc14370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pPr>
        <w:pStyle w:val="92"/>
        <w:tabs>
          <w:tab w:val="right" w:leader="dot" w:pos="8968"/>
        </w:tabs>
        <w:spacing w:line="480" w:lineRule="auto"/>
      </w:pPr>
    </w:p>
    <w:p>
      <w:pPr>
        <w:pStyle w:val="92"/>
        <w:tabs>
          <w:tab w:val="right" w:leader="dot" w:pos="8968"/>
        </w:tabs>
        <w:spacing w:line="600" w:lineRule="auto"/>
        <w:rPr>
          <w:rFonts w:ascii="宋体" w:hAnsi="宋体"/>
          <w:bCs/>
          <w:szCs w:val="28"/>
        </w:rPr>
      </w:pPr>
      <w:r>
        <w:rPr>
          <w:rFonts w:ascii="宋体" w:hAnsi="宋体"/>
          <w:bCs/>
          <w:szCs w:val="28"/>
        </w:rPr>
        <w:fldChar w:fldCharType="end"/>
      </w:r>
    </w:p>
    <w:p>
      <w:pPr>
        <w:pStyle w:val="92"/>
        <w:tabs>
          <w:tab w:val="right" w:leader="dot" w:pos="8968"/>
        </w:tabs>
      </w:pPr>
    </w:p>
    <w:p>
      <w:pPr>
        <w:pStyle w:val="92"/>
        <w:tabs>
          <w:tab w:val="right" w:leader="dot" w:pos="8968"/>
        </w:tabs>
        <w:rPr>
          <w:rFonts w:ascii="宋体" w:hAnsi="宋体"/>
          <w:bCs/>
          <w:szCs w:val="28"/>
        </w:rPr>
        <w:sectPr>
          <w:headerReference r:id="rId3" w:type="first"/>
          <w:footerReference r:id="rId6" w:type="first"/>
          <w:footerReference r:id="rId4" w:type="default"/>
          <w:footerReference r:id="rId5" w:type="even"/>
          <w:pgSz w:w="11906" w:h="16838"/>
          <w:pgMar w:top="1304" w:right="1469" w:bottom="1304" w:left="1469" w:header="851" w:footer="992" w:gutter="0"/>
          <w:pgNumType w:start="1"/>
          <w:cols w:space="720" w:num="1"/>
          <w:titlePg/>
          <w:docGrid w:type="lines" w:linePitch="312" w:charSpace="0"/>
        </w:sectPr>
      </w:pPr>
      <w:r>
        <w:rPr>
          <w:rFonts w:ascii="宋体" w:hAnsi="宋体"/>
          <w:bCs/>
          <w:szCs w:val="28"/>
        </w:rPr>
        <w:fldChar w:fldCharType="end"/>
      </w:r>
    </w:p>
    <w:p>
      <w:pPr>
        <w:pStyle w:val="21"/>
        <w:jc w:val="center"/>
        <w:rPr>
          <w:rFonts w:ascii="宋体" w:hAnsi="宋体" w:cs="宋体"/>
          <w:b/>
          <w:bCs/>
          <w:sz w:val="44"/>
          <w:szCs w:val="44"/>
        </w:rPr>
      </w:pPr>
      <w:r>
        <w:rPr>
          <w:rFonts w:ascii="宋体" w:hAnsi="宋体"/>
          <w:bCs/>
          <w:szCs w:val="28"/>
        </w:rPr>
        <w:fldChar w:fldCharType="end"/>
      </w:r>
      <w:bookmarkStart w:id="9" w:name="_Toc32336"/>
      <w:bookmarkStart w:id="10" w:name="_Toc17397"/>
      <w:r>
        <w:rPr>
          <w:rFonts w:hint="eastAsia" w:ascii="宋体" w:hAnsi="宋体" w:cs="宋体"/>
          <w:b/>
          <w:bCs/>
          <w:sz w:val="44"/>
          <w:szCs w:val="44"/>
        </w:rPr>
        <w:t xml:space="preserve">第一章 </w:t>
      </w:r>
      <w:bookmarkEnd w:id="4"/>
      <w:bookmarkStart w:id="11" w:name="_Toc14244"/>
      <w:bookmarkStart w:id="12" w:name="_Toc15344"/>
      <w:bookmarkStart w:id="13" w:name="_Toc8567"/>
      <w:bookmarkStart w:id="14" w:name="_Toc30072"/>
      <w:bookmarkStart w:id="15" w:name="_Toc10024"/>
      <w:bookmarkStart w:id="16" w:name="_Toc4359"/>
      <w:bookmarkStart w:id="17" w:name="_Toc24202"/>
      <w:bookmarkStart w:id="18" w:name="_Toc3471"/>
      <w:r>
        <w:rPr>
          <w:rFonts w:hint="eastAsia" w:ascii="宋体" w:hAnsi="宋体" w:cs="宋体"/>
          <w:b/>
          <w:bCs/>
          <w:sz w:val="44"/>
          <w:szCs w:val="44"/>
        </w:rPr>
        <w:t>招标公告</w:t>
      </w:r>
      <w:bookmarkEnd w:id="5"/>
      <w:bookmarkEnd w:id="6"/>
      <w:bookmarkEnd w:id="7"/>
      <w:bookmarkEnd w:id="8"/>
      <w:bookmarkEnd w:id="9"/>
      <w:bookmarkEnd w:id="10"/>
      <w:bookmarkEnd w:id="11"/>
      <w:bookmarkEnd w:id="12"/>
      <w:bookmarkEnd w:id="13"/>
      <w:bookmarkEnd w:id="14"/>
      <w:bookmarkEnd w:id="15"/>
      <w:bookmarkEnd w:id="16"/>
      <w:bookmarkEnd w:id="17"/>
      <w:bookmarkEnd w:id="18"/>
    </w:p>
    <w:p>
      <w:pPr>
        <w:pBdr>
          <w:top w:val="single" w:color="auto" w:sz="4" w:space="1"/>
          <w:left w:val="single" w:color="auto" w:sz="4" w:space="4"/>
          <w:bottom w:val="single" w:color="auto" w:sz="4" w:space="1"/>
          <w:right w:val="single" w:color="auto" w:sz="4" w:space="4"/>
        </w:pBdr>
        <w:spacing w:line="360" w:lineRule="exact"/>
        <w:rPr>
          <w:rFonts w:ascii="宋体" w:hAnsi="宋体" w:cs="宋体"/>
          <w:sz w:val="24"/>
          <w:szCs w:val="24"/>
        </w:rPr>
      </w:pPr>
      <w:bookmarkStart w:id="19" w:name="_Toc2474"/>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cs="宋体"/>
          <w:sz w:val="24"/>
          <w:szCs w:val="24"/>
        </w:rPr>
      </w:pPr>
      <w:bookmarkStart w:id="20" w:name="_Toc15129"/>
      <w:bookmarkStart w:id="21" w:name="_Toc35393621"/>
      <w:bookmarkStart w:id="22" w:name="_Toc28359002"/>
      <w:bookmarkStart w:id="23" w:name="_Toc35393790"/>
      <w:bookmarkStart w:id="24" w:name="_Toc28359079"/>
      <w:bookmarkStart w:id="25" w:name="_Toc6056"/>
      <w:bookmarkStart w:id="26" w:name="_Hlk24379207"/>
      <w:r>
        <w:rPr>
          <w:rFonts w:hint="eastAsia" w:ascii="宋体" w:hAnsi="宋体" w:cs="宋体"/>
          <w:sz w:val="24"/>
          <w:szCs w:val="24"/>
        </w:rPr>
        <w:t>勉县公安局2023年中省政法转移支付自定装备（云桌面）项目招标项目的潜在投标人应在汉中市汉台区西新街仁和春天11号楼二单元23层获取招标文件，并于</w:t>
      </w:r>
      <w:r>
        <w:rPr>
          <w:rFonts w:hint="eastAsia" w:ascii="宋体" w:hAnsi="宋体" w:cs="宋体"/>
          <w:bCs/>
          <w:sz w:val="24"/>
          <w:szCs w:val="24"/>
        </w:rPr>
        <w:t>2023年   12月26日09时30分（北京时间）前递交投标文件</w:t>
      </w:r>
      <w:r>
        <w:rPr>
          <w:rFonts w:hint="eastAsia" w:ascii="宋体" w:hAnsi="宋体" w:cs="宋体"/>
          <w:sz w:val="24"/>
          <w:szCs w:val="24"/>
        </w:rPr>
        <w:t>。</w:t>
      </w:r>
    </w:p>
    <w:p>
      <w:pPr>
        <w:pStyle w:val="5"/>
        <w:spacing w:line="360" w:lineRule="exact"/>
        <w:jc w:val="both"/>
        <w:rPr>
          <w:rFonts w:hAnsi="宋体" w:cs="宋体"/>
          <w:bCs w:val="0"/>
          <w:sz w:val="24"/>
          <w:szCs w:val="24"/>
        </w:rPr>
      </w:pPr>
      <w:r>
        <w:rPr>
          <w:rFonts w:hint="eastAsia" w:hAnsi="宋体" w:cs="宋体"/>
          <w:bCs w:val="0"/>
          <w:sz w:val="24"/>
          <w:szCs w:val="24"/>
        </w:rPr>
        <w:t>一、项目基本情况</w:t>
      </w:r>
      <w:bookmarkEnd w:id="20"/>
      <w:bookmarkEnd w:id="21"/>
      <w:bookmarkEnd w:id="22"/>
      <w:bookmarkEnd w:id="23"/>
      <w:bookmarkEnd w:id="24"/>
      <w:bookmarkEnd w:id="25"/>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项目编号： </w:t>
      </w:r>
    </w:p>
    <w:p>
      <w:pPr>
        <w:spacing w:line="360" w:lineRule="exact"/>
        <w:ind w:firstLine="480" w:firstLineChars="200"/>
        <w:rPr>
          <w:rFonts w:ascii="宋体" w:hAnsi="宋体" w:cs="宋体"/>
          <w:sz w:val="24"/>
          <w:szCs w:val="24"/>
        </w:rPr>
      </w:pPr>
      <w:r>
        <w:rPr>
          <w:rFonts w:hint="eastAsia" w:ascii="宋体" w:hAnsi="宋体" w:cs="宋体"/>
          <w:sz w:val="24"/>
          <w:szCs w:val="24"/>
        </w:rPr>
        <w:t>项目名称：勉县公安局2023年中省政法转移支付自定装备（云桌面）项目</w:t>
      </w:r>
    </w:p>
    <w:bookmarkEnd w:id="26"/>
    <w:p>
      <w:pPr>
        <w:spacing w:line="360" w:lineRule="exact"/>
        <w:ind w:firstLine="480" w:firstLineChars="200"/>
        <w:rPr>
          <w:rFonts w:ascii="宋体" w:hAnsi="宋体" w:cs="宋体"/>
          <w:sz w:val="24"/>
          <w:szCs w:val="24"/>
        </w:rPr>
      </w:pPr>
      <w:r>
        <w:rPr>
          <w:rFonts w:hint="eastAsia" w:ascii="宋体" w:hAnsi="宋体" w:cs="宋体"/>
          <w:sz w:val="24"/>
          <w:szCs w:val="24"/>
        </w:rPr>
        <w:t>预算金额：648900.00元</w:t>
      </w:r>
    </w:p>
    <w:p>
      <w:pPr>
        <w:spacing w:line="360" w:lineRule="exact"/>
        <w:ind w:firstLine="480" w:firstLineChars="200"/>
        <w:rPr>
          <w:rFonts w:ascii="宋体" w:hAnsi="宋体" w:cs="宋体"/>
          <w:sz w:val="24"/>
          <w:szCs w:val="24"/>
        </w:rPr>
      </w:pPr>
      <w:r>
        <w:rPr>
          <w:rFonts w:hint="eastAsia" w:ascii="宋体" w:hAnsi="宋体" w:cs="宋体"/>
          <w:sz w:val="24"/>
          <w:szCs w:val="24"/>
        </w:rPr>
        <w:t>最高限价：648900.00元</w:t>
      </w:r>
    </w:p>
    <w:p>
      <w:pPr>
        <w:spacing w:line="360" w:lineRule="exact"/>
        <w:ind w:firstLine="480" w:firstLineChars="200"/>
        <w:rPr>
          <w:rFonts w:ascii="宋体" w:hAnsi="宋体" w:cs="宋体"/>
          <w:sz w:val="24"/>
          <w:szCs w:val="24"/>
        </w:rPr>
      </w:pPr>
      <w:r>
        <w:rPr>
          <w:rFonts w:hint="eastAsia" w:ascii="宋体" w:hAnsi="宋体" w:cs="宋体"/>
          <w:sz w:val="24"/>
          <w:szCs w:val="24"/>
        </w:rPr>
        <w:t>采购需求：</w:t>
      </w:r>
    </w:p>
    <w:tbl>
      <w:tblPr>
        <w:tblStyle w:val="35"/>
        <w:tblpPr w:leftFromText="180" w:rightFromText="180" w:vertAnchor="text" w:horzAnchor="page" w:tblpXSpec="center" w:tblpY="29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485"/>
        <w:gridCol w:w="1748"/>
        <w:gridCol w:w="1150"/>
        <w:gridCol w:w="1397"/>
        <w:gridCol w:w="137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3" w:type="dxa"/>
            <w:vAlign w:val="center"/>
          </w:tcPr>
          <w:p>
            <w:pPr>
              <w:pStyle w:val="9"/>
              <w:ind w:firstLine="0"/>
              <w:jc w:val="center"/>
              <w:rPr>
                <w:rFonts w:ascii="宋体" w:hAnsi="宋体" w:cs="宋体"/>
                <w:sz w:val="18"/>
                <w:szCs w:val="18"/>
              </w:rPr>
            </w:pPr>
            <w:r>
              <w:rPr>
                <w:rFonts w:hint="eastAsia" w:ascii="宋体" w:hAnsi="宋体" w:cs="宋体"/>
                <w:sz w:val="18"/>
                <w:szCs w:val="18"/>
              </w:rPr>
              <w:t>品目号</w:t>
            </w:r>
          </w:p>
        </w:tc>
        <w:tc>
          <w:tcPr>
            <w:tcW w:w="1485" w:type="dxa"/>
            <w:vAlign w:val="center"/>
          </w:tcPr>
          <w:p>
            <w:pPr>
              <w:pStyle w:val="9"/>
              <w:ind w:firstLine="0"/>
              <w:jc w:val="center"/>
              <w:rPr>
                <w:rFonts w:ascii="宋体" w:hAnsi="宋体" w:cs="宋体"/>
                <w:sz w:val="18"/>
                <w:szCs w:val="18"/>
              </w:rPr>
            </w:pPr>
            <w:r>
              <w:rPr>
                <w:rFonts w:hint="eastAsia" w:ascii="宋体" w:hAnsi="宋体" w:cs="宋体"/>
                <w:sz w:val="18"/>
                <w:szCs w:val="18"/>
              </w:rPr>
              <w:t>品名</w:t>
            </w:r>
          </w:p>
        </w:tc>
        <w:tc>
          <w:tcPr>
            <w:tcW w:w="1748" w:type="dxa"/>
            <w:vAlign w:val="center"/>
          </w:tcPr>
          <w:p>
            <w:pPr>
              <w:pStyle w:val="9"/>
              <w:ind w:firstLine="0"/>
              <w:jc w:val="center"/>
              <w:rPr>
                <w:rFonts w:ascii="宋体" w:hAnsi="宋体" w:cs="宋体"/>
                <w:sz w:val="18"/>
                <w:szCs w:val="18"/>
              </w:rPr>
            </w:pPr>
            <w:r>
              <w:rPr>
                <w:rFonts w:hint="eastAsia" w:ascii="宋体" w:hAnsi="宋体" w:cs="宋体"/>
                <w:sz w:val="18"/>
                <w:szCs w:val="18"/>
              </w:rPr>
              <w:t>采购标的</w:t>
            </w:r>
          </w:p>
        </w:tc>
        <w:tc>
          <w:tcPr>
            <w:tcW w:w="1150" w:type="dxa"/>
            <w:vAlign w:val="center"/>
          </w:tcPr>
          <w:p>
            <w:pPr>
              <w:pStyle w:val="9"/>
              <w:ind w:firstLine="0"/>
              <w:jc w:val="center"/>
              <w:rPr>
                <w:rFonts w:ascii="宋体" w:hAnsi="宋体" w:cs="宋体"/>
                <w:sz w:val="18"/>
                <w:szCs w:val="18"/>
                <w:shd w:val="clear" w:color="auto" w:fill="FFFFFF"/>
              </w:rPr>
            </w:pPr>
            <w:r>
              <w:rPr>
                <w:rFonts w:hint="eastAsia" w:ascii="宋体" w:hAnsi="宋体" w:cs="宋体"/>
                <w:sz w:val="18"/>
                <w:szCs w:val="18"/>
                <w:shd w:val="clear" w:color="auto" w:fill="FFFFFF"/>
              </w:rPr>
              <w:t>数量</w:t>
            </w:r>
          </w:p>
          <w:p>
            <w:pPr>
              <w:pStyle w:val="9"/>
              <w:ind w:firstLine="0"/>
              <w:jc w:val="center"/>
              <w:rPr>
                <w:rFonts w:ascii="宋体" w:hAnsi="宋体" w:cs="宋体"/>
                <w:sz w:val="18"/>
                <w:szCs w:val="18"/>
              </w:rPr>
            </w:pPr>
            <w:r>
              <w:rPr>
                <w:rFonts w:hint="eastAsia" w:ascii="宋体" w:hAnsi="宋体" w:cs="宋体"/>
                <w:sz w:val="18"/>
                <w:szCs w:val="18"/>
                <w:shd w:val="clear" w:color="auto" w:fill="FFFFFF"/>
              </w:rPr>
              <w:t>（单位）</w:t>
            </w:r>
          </w:p>
        </w:tc>
        <w:tc>
          <w:tcPr>
            <w:tcW w:w="1397" w:type="dxa"/>
            <w:vAlign w:val="center"/>
          </w:tcPr>
          <w:p>
            <w:pPr>
              <w:pStyle w:val="9"/>
              <w:ind w:firstLine="0"/>
              <w:jc w:val="center"/>
              <w:rPr>
                <w:rFonts w:ascii="宋体" w:hAnsi="宋体" w:cs="宋体"/>
                <w:sz w:val="18"/>
                <w:szCs w:val="18"/>
              </w:rPr>
            </w:pPr>
            <w:r>
              <w:rPr>
                <w:rFonts w:hint="eastAsia" w:ascii="宋体" w:hAnsi="宋体" w:cs="宋体"/>
                <w:sz w:val="18"/>
                <w:szCs w:val="18"/>
              </w:rPr>
              <w:t>技术规格、参数要求</w:t>
            </w:r>
          </w:p>
        </w:tc>
        <w:tc>
          <w:tcPr>
            <w:tcW w:w="1378" w:type="dxa"/>
            <w:vAlign w:val="center"/>
          </w:tcPr>
          <w:p>
            <w:pPr>
              <w:pStyle w:val="9"/>
              <w:ind w:firstLine="0"/>
              <w:jc w:val="center"/>
              <w:rPr>
                <w:rFonts w:ascii="宋体" w:hAnsi="宋体" w:cs="宋体"/>
                <w:sz w:val="18"/>
                <w:szCs w:val="18"/>
              </w:rPr>
            </w:pPr>
            <w:r>
              <w:rPr>
                <w:rFonts w:hint="eastAsia" w:ascii="宋体" w:hAnsi="宋体" w:cs="宋体"/>
                <w:sz w:val="18"/>
                <w:szCs w:val="18"/>
              </w:rPr>
              <w:t>品目预算（元）</w:t>
            </w:r>
          </w:p>
        </w:tc>
        <w:tc>
          <w:tcPr>
            <w:tcW w:w="1255" w:type="dxa"/>
            <w:vAlign w:val="center"/>
          </w:tcPr>
          <w:p>
            <w:pPr>
              <w:pStyle w:val="9"/>
              <w:ind w:firstLine="0"/>
              <w:jc w:val="center"/>
              <w:rPr>
                <w:rFonts w:ascii="宋体" w:hAnsi="宋体" w:cs="宋体"/>
                <w:sz w:val="18"/>
                <w:szCs w:val="18"/>
              </w:rPr>
            </w:pPr>
            <w:r>
              <w:rPr>
                <w:rFonts w:hint="eastAsia" w:ascii="宋体" w:hAnsi="宋体" w:cs="宋体"/>
                <w:sz w:val="18"/>
                <w:szCs w:val="18"/>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3" w:type="dxa"/>
            <w:vAlign w:val="center"/>
          </w:tcPr>
          <w:p>
            <w:pPr>
              <w:pStyle w:val="9"/>
              <w:ind w:firstLine="0"/>
              <w:jc w:val="center"/>
              <w:rPr>
                <w:rFonts w:ascii="宋体" w:hAnsi="宋体" w:cs="宋体"/>
                <w:sz w:val="18"/>
                <w:szCs w:val="18"/>
              </w:rPr>
            </w:pPr>
            <w:r>
              <w:rPr>
                <w:rFonts w:hint="eastAsia" w:ascii="宋体" w:hAnsi="宋体" w:cs="宋体"/>
                <w:sz w:val="18"/>
                <w:szCs w:val="18"/>
              </w:rPr>
              <w:t>1-1</w:t>
            </w:r>
          </w:p>
        </w:tc>
        <w:tc>
          <w:tcPr>
            <w:tcW w:w="1485" w:type="dxa"/>
            <w:vAlign w:val="center"/>
          </w:tcPr>
          <w:p>
            <w:pPr>
              <w:pStyle w:val="9"/>
              <w:ind w:firstLine="0"/>
              <w:jc w:val="center"/>
              <w:rPr>
                <w:rFonts w:ascii="宋体" w:hAnsi="宋体" w:cs="宋体"/>
                <w:sz w:val="18"/>
                <w:szCs w:val="18"/>
              </w:rPr>
            </w:pPr>
            <w:r>
              <w:rPr>
                <w:rFonts w:hint="eastAsia" w:ascii="宋体" w:hAnsi="宋体" w:cs="宋体"/>
                <w:sz w:val="18"/>
                <w:szCs w:val="18"/>
                <w:shd w:val="clear" w:color="auto" w:fill="FFFFFF"/>
              </w:rPr>
              <w:t xml:space="preserve"> 其他终端设备</w:t>
            </w:r>
          </w:p>
        </w:tc>
        <w:tc>
          <w:tcPr>
            <w:tcW w:w="1748" w:type="dxa"/>
            <w:vAlign w:val="center"/>
          </w:tcPr>
          <w:p>
            <w:pPr>
              <w:pStyle w:val="9"/>
              <w:ind w:firstLine="0"/>
              <w:jc w:val="center"/>
              <w:rPr>
                <w:rFonts w:ascii="宋体" w:hAnsi="宋体" w:cs="宋体"/>
                <w:sz w:val="18"/>
                <w:szCs w:val="18"/>
              </w:rPr>
            </w:pPr>
            <w:r>
              <w:rPr>
                <w:rFonts w:hint="eastAsia" w:ascii="宋体" w:hAnsi="宋体" w:cs="宋体"/>
                <w:sz w:val="18"/>
                <w:szCs w:val="18"/>
              </w:rPr>
              <w:t>其他终端设备</w:t>
            </w:r>
          </w:p>
        </w:tc>
        <w:tc>
          <w:tcPr>
            <w:tcW w:w="1150" w:type="dxa"/>
            <w:vAlign w:val="center"/>
          </w:tcPr>
          <w:p>
            <w:pPr>
              <w:pStyle w:val="9"/>
              <w:ind w:firstLine="0"/>
              <w:jc w:val="center"/>
              <w:rPr>
                <w:rFonts w:ascii="宋体" w:hAnsi="宋体" w:cs="宋体"/>
                <w:sz w:val="18"/>
                <w:szCs w:val="18"/>
              </w:rPr>
            </w:pPr>
            <w:r>
              <w:rPr>
                <w:rFonts w:hint="eastAsia" w:ascii="宋体" w:hAnsi="宋体" w:cs="宋体"/>
                <w:sz w:val="18"/>
                <w:szCs w:val="18"/>
                <w:shd w:val="clear" w:color="auto" w:fill="FFFFFF"/>
              </w:rPr>
              <w:t>1(项)</w:t>
            </w:r>
          </w:p>
        </w:tc>
        <w:tc>
          <w:tcPr>
            <w:tcW w:w="1397" w:type="dxa"/>
            <w:vAlign w:val="center"/>
          </w:tcPr>
          <w:p>
            <w:pPr>
              <w:pStyle w:val="9"/>
              <w:ind w:firstLine="0"/>
              <w:jc w:val="center"/>
              <w:rPr>
                <w:rFonts w:ascii="宋体" w:hAnsi="宋体" w:cs="宋体"/>
                <w:sz w:val="18"/>
                <w:szCs w:val="18"/>
              </w:rPr>
            </w:pPr>
            <w:r>
              <w:rPr>
                <w:rFonts w:hint="eastAsia" w:ascii="宋体" w:hAnsi="宋体" w:cs="宋体"/>
                <w:sz w:val="18"/>
                <w:szCs w:val="18"/>
              </w:rPr>
              <w:t>详见招标文件</w:t>
            </w:r>
          </w:p>
        </w:tc>
        <w:tc>
          <w:tcPr>
            <w:tcW w:w="1378" w:type="dxa"/>
            <w:vAlign w:val="center"/>
          </w:tcPr>
          <w:p>
            <w:pPr>
              <w:pStyle w:val="9"/>
              <w:ind w:firstLine="0"/>
              <w:jc w:val="center"/>
              <w:rPr>
                <w:rFonts w:ascii="宋体" w:hAnsi="宋体" w:cs="宋体"/>
                <w:sz w:val="18"/>
                <w:szCs w:val="18"/>
              </w:rPr>
            </w:pPr>
            <w:r>
              <w:rPr>
                <w:rFonts w:hint="eastAsia" w:ascii="宋体" w:hAnsi="宋体" w:cs="宋体"/>
                <w:sz w:val="18"/>
                <w:szCs w:val="18"/>
              </w:rPr>
              <w:t>648900.00</w:t>
            </w:r>
          </w:p>
        </w:tc>
        <w:tc>
          <w:tcPr>
            <w:tcW w:w="1255" w:type="dxa"/>
            <w:vAlign w:val="center"/>
          </w:tcPr>
          <w:p>
            <w:pPr>
              <w:pStyle w:val="9"/>
              <w:ind w:firstLine="0"/>
              <w:jc w:val="center"/>
              <w:rPr>
                <w:rFonts w:ascii="宋体" w:hAnsi="宋体" w:cs="宋体"/>
                <w:sz w:val="18"/>
                <w:szCs w:val="18"/>
              </w:rPr>
            </w:pPr>
            <w:r>
              <w:rPr>
                <w:rFonts w:hint="eastAsia" w:ascii="宋体" w:hAnsi="宋体" w:cs="宋体"/>
                <w:sz w:val="18"/>
                <w:szCs w:val="18"/>
              </w:rPr>
              <w:t>648900.00</w:t>
            </w:r>
          </w:p>
        </w:tc>
      </w:tr>
    </w:tbl>
    <w:p>
      <w:pPr>
        <w:pStyle w:val="9"/>
        <w:spacing w:line="360" w:lineRule="exact"/>
        <w:rPr>
          <w:rFonts w:ascii="宋体" w:hAnsi="宋体" w:cs="宋体"/>
          <w:sz w:val="24"/>
          <w:szCs w:val="24"/>
        </w:rPr>
      </w:pPr>
    </w:p>
    <w:p>
      <w:pPr>
        <w:pStyle w:val="9"/>
        <w:spacing w:line="360" w:lineRule="exact"/>
        <w:rPr>
          <w:rFonts w:ascii="宋体" w:hAnsi="宋体" w:cs="宋体"/>
          <w:sz w:val="24"/>
          <w:szCs w:val="24"/>
        </w:rPr>
      </w:pPr>
      <w:r>
        <w:rPr>
          <w:rFonts w:hint="eastAsia" w:ascii="宋体" w:hAnsi="宋体" w:cs="宋体"/>
          <w:sz w:val="24"/>
          <w:szCs w:val="24"/>
        </w:rPr>
        <w:t>本项目不接受联合体投标。</w:t>
      </w:r>
    </w:p>
    <w:p>
      <w:pPr>
        <w:spacing w:line="360" w:lineRule="exact"/>
        <w:ind w:firstLine="480" w:firstLineChars="200"/>
        <w:rPr>
          <w:rFonts w:ascii="宋体" w:hAnsi="宋体" w:cs="宋体"/>
          <w:sz w:val="24"/>
          <w:szCs w:val="24"/>
        </w:rPr>
      </w:pPr>
      <w:r>
        <w:rPr>
          <w:rFonts w:hint="eastAsia" w:ascii="宋体" w:hAnsi="宋体" w:cs="宋体"/>
          <w:sz w:val="24"/>
          <w:szCs w:val="24"/>
        </w:rPr>
        <w:t>合同履行期限：合同签订后50日历天。</w:t>
      </w:r>
    </w:p>
    <w:p>
      <w:pPr>
        <w:pStyle w:val="5"/>
        <w:spacing w:line="360" w:lineRule="exact"/>
        <w:jc w:val="left"/>
        <w:rPr>
          <w:rFonts w:hAnsi="宋体" w:cs="宋体"/>
          <w:bCs w:val="0"/>
          <w:sz w:val="24"/>
          <w:szCs w:val="24"/>
        </w:rPr>
      </w:pPr>
      <w:bookmarkStart w:id="27" w:name="_Toc28359080"/>
      <w:bookmarkStart w:id="28" w:name="_Toc35393622"/>
      <w:bookmarkStart w:id="29" w:name="_Toc35393791"/>
      <w:bookmarkStart w:id="30" w:name="_Toc20262"/>
      <w:bookmarkStart w:id="31" w:name="_Toc28359003"/>
      <w:bookmarkStart w:id="32" w:name="_Toc7081"/>
      <w:r>
        <w:rPr>
          <w:rFonts w:hint="eastAsia" w:hAnsi="宋体" w:cs="宋体"/>
          <w:bCs w:val="0"/>
          <w:sz w:val="24"/>
          <w:szCs w:val="24"/>
        </w:rPr>
        <w:t>二、申请人的资格要求：</w:t>
      </w:r>
      <w:bookmarkEnd w:id="27"/>
      <w:bookmarkEnd w:id="28"/>
      <w:bookmarkEnd w:id="29"/>
      <w:bookmarkEnd w:id="30"/>
      <w:bookmarkEnd w:id="31"/>
      <w:bookmarkEnd w:id="32"/>
    </w:p>
    <w:p>
      <w:pPr>
        <w:spacing w:line="360" w:lineRule="exact"/>
        <w:ind w:firstLine="480" w:firstLineChars="200"/>
        <w:outlineLvl w:val="2"/>
        <w:rPr>
          <w:rFonts w:ascii="宋体" w:hAnsi="宋体" w:cs="宋体"/>
          <w:sz w:val="24"/>
          <w:szCs w:val="24"/>
        </w:rPr>
      </w:pPr>
      <w:r>
        <w:rPr>
          <w:rFonts w:hint="eastAsia" w:ascii="宋体" w:hAnsi="宋体" w:cs="宋体"/>
          <w:sz w:val="24"/>
          <w:szCs w:val="24"/>
        </w:rPr>
        <w:t>1.满足《中华人民共和国政府采购法》第二十二条规定；</w:t>
      </w:r>
    </w:p>
    <w:p>
      <w:pPr>
        <w:pStyle w:val="31"/>
        <w:spacing w:before="0" w:beforeAutospacing="0" w:after="0" w:afterAutospacing="0" w:line="360" w:lineRule="exact"/>
        <w:ind w:firstLine="480" w:firstLineChars="200"/>
        <w:textAlignment w:val="center"/>
      </w:pPr>
      <w:bookmarkStart w:id="33" w:name="_Toc28359004"/>
      <w:bookmarkStart w:id="34" w:name="_Toc28359081"/>
      <w:r>
        <w:rPr>
          <w:rFonts w:hint="eastAsia"/>
        </w:rPr>
        <w:t>2.落实政府采购政策需满足的资格要求：（1）《国务院办公厅关于建立政府强制采购节能产品制度的通知》（国办发〔2007〕51号）；（2）《财政部环保总局关于环境标志产品政府采购实施的意见》（财库〔2006〕90号）； （3）《政府采购促进中小企业发展管理办法》（财库〔2020〕46号）；（4）《财政部司法部关于政府采购支持监狱企业发展有关问题的通知》（财库〔2014〕68号）；（5）《三部门联合发布关于促进残疾人就业政府采购政策的通知》（财库〔2017〕141号）；（6）《节能产品政府采购实施意见》--财库[2004]185号；（7）《关于调整优化节能产品、环境标志产品政府采购执行机制的通知》（财库〔2019〕9号）；（8）陕西省财政厅关于印发《陕西省中小企业政府采购信用融资办法》（陕财办采〔2018〕23号）；（9）《关于运用政府采购政策支持乡村产业振兴的通知》财库〔2021〕19号；（10）《关于进一步加大政府采购支持中小企业力度的通知》（财库〔2022〕19号）；（11）《陕西省财政厅关于落实政府采购支持中小企业政策有关事项的通知》（陕财办采函〔2022〕10号）；（12）陕西省财政厅关于进一步落实政府采购支持中小企业相关政策的通知-陕财办采〔2023〕3号，陕西省财政厅关于进一步优化政府采购营商环境有关事项的通知-陕财办采〔2023〕4号；（13）本项目不面向中小企业。</w:t>
      </w:r>
    </w:p>
    <w:p>
      <w:pPr>
        <w:pStyle w:val="31"/>
        <w:spacing w:before="0" w:beforeAutospacing="0" w:after="0" w:afterAutospacing="0" w:line="360" w:lineRule="exact"/>
        <w:ind w:firstLine="420"/>
      </w:pPr>
      <w:r>
        <w:rPr>
          <w:rFonts w:hint="eastAsia"/>
        </w:rPr>
        <w:t>3.本项目的特定资格要求：（1）投标人具有独立承担民事责任能力的法人、其他组织或自然人，提供合法有效的统一社会信用代码营业执照或事业单位法人证书（自然人应提供身份证明）；（2）提交自2022年12月1日以来任意3个月完税凭证或税务机关开具的完税证明；依法免税的应提供相关文件证明；（3）提交自2022年12月1日以来任意3个月的社会保障资金缴存单据或社保机构开具的社会保险参保缴费情况证明；依法不需要缴纳社会保障资金的应提供相关文件证明；（4）提供履行合同所必须的设备所有权证明、和专业技术能力声明或承诺；（5）投标人须提供2022年度经审计的财务审计报告（成立时间至开标时间不足一年的可提供成立后任意时段的资产负债表）或开标前六个月内其基本账户银行出具的资信证明或政府采购信用担保机构出具的担保函；”；（6）出具参加政府采购活动前3年内在经营活动中没有重大违法纪录的书面声明；（7）投标人不得为“信用中国”网站中列入失信被执行人（www.creditchina.gov.cn）和重大税收违法案件当事人名单的投标人，不得为中国政府采购（www.ccgp.gov.cn）政府采购严重违法失信行为记录名单中被财政部门禁止参加政府采购活动的投标人；（8）本项目不面向中小企业；（9）本项目不接受联合体。</w:t>
      </w:r>
    </w:p>
    <w:p>
      <w:pPr>
        <w:pStyle w:val="5"/>
        <w:spacing w:line="360" w:lineRule="exact"/>
        <w:jc w:val="left"/>
        <w:rPr>
          <w:rFonts w:hAnsi="宋体" w:cs="宋体"/>
          <w:bCs w:val="0"/>
          <w:sz w:val="24"/>
          <w:szCs w:val="24"/>
        </w:rPr>
      </w:pPr>
      <w:bookmarkStart w:id="35" w:name="_Toc35393792"/>
      <w:bookmarkStart w:id="36" w:name="_Toc35393623"/>
      <w:bookmarkStart w:id="37" w:name="_Toc10822"/>
      <w:bookmarkStart w:id="38" w:name="_Toc28989"/>
      <w:r>
        <w:rPr>
          <w:rFonts w:hint="eastAsia" w:hAnsi="宋体" w:cs="宋体"/>
          <w:bCs w:val="0"/>
          <w:sz w:val="24"/>
          <w:szCs w:val="24"/>
        </w:rPr>
        <w:t>三、获取招标文件</w:t>
      </w:r>
      <w:bookmarkEnd w:id="33"/>
      <w:bookmarkEnd w:id="34"/>
      <w:bookmarkEnd w:id="35"/>
      <w:bookmarkEnd w:id="36"/>
      <w:bookmarkEnd w:id="37"/>
      <w:bookmarkEnd w:id="38"/>
    </w:p>
    <w:p>
      <w:pPr>
        <w:spacing w:line="360" w:lineRule="exact"/>
        <w:ind w:firstLine="540"/>
        <w:rPr>
          <w:rFonts w:ascii="宋体" w:hAnsi="宋体" w:cs="宋体"/>
          <w:sz w:val="24"/>
          <w:szCs w:val="24"/>
        </w:rPr>
      </w:pPr>
      <w:r>
        <w:rPr>
          <w:rFonts w:hint="eastAsia" w:ascii="宋体" w:hAnsi="宋体" w:cs="宋体"/>
          <w:sz w:val="24"/>
          <w:szCs w:val="24"/>
        </w:rPr>
        <w:t>时间：2023年12月04日至2023年12月08日，每天上午09:00至12:00，下午14:00至17:00（北京时间，法定节假日除外）</w:t>
      </w:r>
    </w:p>
    <w:p>
      <w:pPr>
        <w:spacing w:line="360" w:lineRule="exact"/>
        <w:ind w:firstLine="540"/>
        <w:rPr>
          <w:rFonts w:ascii="宋体" w:hAnsi="宋体" w:cs="宋体"/>
          <w:sz w:val="24"/>
          <w:szCs w:val="24"/>
        </w:rPr>
      </w:pPr>
      <w:r>
        <w:rPr>
          <w:rFonts w:hint="eastAsia" w:ascii="宋体" w:hAnsi="宋体" w:cs="宋体"/>
          <w:sz w:val="24"/>
          <w:szCs w:val="24"/>
        </w:rPr>
        <w:t>地点：汉中市汉台区西新街仁和春天11号楼二单元23层会议室</w:t>
      </w:r>
    </w:p>
    <w:p>
      <w:pPr>
        <w:spacing w:line="360" w:lineRule="exact"/>
        <w:ind w:firstLine="540"/>
        <w:rPr>
          <w:rFonts w:ascii="宋体" w:hAnsi="宋体" w:cs="宋体"/>
          <w:sz w:val="24"/>
          <w:szCs w:val="24"/>
        </w:rPr>
      </w:pPr>
      <w:r>
        <w:rPr>
          <w:rFonts w:hint="eastAsia" w:ascii="宋体" w:hAnsi="宋体" w:cs="宋体"/>
          <w:sz w:val="24"/>
          <w:szCs w:val="24"/>
        </w:rPr>
        <w:t xml:space="preserve">方式：现场购买,不接受邮寄     售价：每套500元（人民币），售后不退 </w:t>
      </w:r>
    </w:p>
    <w:p>
      <w:pPr>
        <w:pStyle w:val="5"/>
        <w:spacing w:line="360" w:lineRule="exact"/>
        <w:jc w:val="left"/>
        <w:rPr>
          <w:rFonts w:hAnsi="宋体" w:cs="宋体"/>
          <w:bCs w:val="0"/>
          <w:sz w:val="24"/>
          <w:szCs w:val="24"/>
        </w:rPr>
      </w:pPr>
      <w:bookmarkStart w:id="39" w:name="_Toc28359005"/>
      <w:bookmarkStart w:id="40" w:name="_Toc28359082"/>
      <w:bookmarkStart w:id="41" w:name="_Toc35393793"/>
      <w:bookmarkStart w:id="42" w:name="_Toc4976"/>
      <w:bookmarkStart w:id="43" w:name="_Toc35393624"/>
      <w:bookmarkStart w:id="44" w:name="_Toc888"/>
      <w:r>
        <w:rPr>
          <w:rFonts w:hint="eastAsia" w:hAnsi="宋体" w:cs="宋体"/>
          <w:bCs w:val="0"/>
          <w:sz w:val="24"/>
          <w:szCs w:val="24"/>
        </w:rPr>
        <w:t>四、提交投标文件</w:t>
      </w:r>
      <w:bookmarkEnd w:id="39"/>
      <w:bookmarkEnd w:id="40"/>
      <w:r>
        <w:rPr>
          <w:rFonts w:hint="eastAsia" w:hAnsi="宋体" w:cs="宋体"/>
          <w:bCs w:val="0"/>
          <w:sz w:val="24"/>
          <w:szCs w:val="24"/>
        </w:rPr>
        <w:t>截止时间、开标时间和地点</w:t>
      </w:r>
      <w:bookmarkEnd w:id="41"/>
      <w:bookmarkEnd w:id="42"/>
      <w:bookmarkEnd w:id="43"/>
      <w:bookmarkEnd w:id="44"/>
    </w:p>
    <w:p>
      <w:pPr>
        <w:spacing w:line="360" w:lineRule="exact"/>
        <w:ind w:firstLine="480" w:firstLineChars="200"/>
        <w:rPr>
          <w:rFonts w:ascii="宋体" w:hAnsi="宋体" w:cs="宋体"/>
          <w:bCs/>
          <w:sz w:val="24"/>
          <w:szCs w:val="24"/>
        </w:rPr>
      </w:pPr>
      <w:r>
        <w:rPr>
          <w:rFonts w:hint="eastAsia" w:ascii="宋体" w:hAnsi="宋体" w:cs="宋体"/>
          <w:bCs/>
          <w:sz w:val="24"/>
          <w:szCs w:val="24"/>
        </w:rPr>
        <w:t>截止时间：2023年12月26日09时30分（北京时间）</w:t>
      </w:r>
    </w:p>
    <w:p>
      <w:pPr>
        <w:spacing w:line="360" w:lineRule="exact"/>
        <w:ind w:firstLine="480" w:firstLineChars="200"/>
        <w:rPr>
          <w:rFonts w:ascii="宋体" w:hAnsi="宋体" w:cs="宋体"/>
          <w:bCs/>
          <w:sz w:val="24"/>
          <w:szCs w:val="24"/>
        </w:rPr>
      </w:pPr>
      <w:r>
        <w:rPr>
          <w:rFonts w:hint="eastAsia" w:ascii="宋体" w:hAnsi="宋体" w:cs="宋体"/>
          <w:sz w:val="24"/>
          <w:szCs w:val="24"/>
        </w:rPr>
        <w:t>地点：汉中市汉台区西新街仁和春天11号楼二单元23层会议室</w:t>
      </w:r>
    </w:p>
    <w:p>
      <w:pPr>
        <w:pStyle w:val="5"/>
        <w:spacing w:line="360" w:lineRule="exact"/>
        <w:jc w:val="left"/>
        <w:rPr>
          <w:rFonts w:hAnsi="宋体" w:cs="宋体"/>
          <w:bCs w:val="0"/>
          <w:sz w:val="24"/>
          <w:szCs w:val="24"/>
        </w:rPr>
      </w:pPr>
      <w:bookmarkStart w:id="45" w:name="_Toc11490"/>
      <w:bookmarkStart w:id="46" w:name="_Toc28359007"/>
      <w:bookmarkStart w:id="47" w:name="_Toc35393625"/>
      <w:bookmarkStart w:id="48" w:name="_Toc26356"/>
      <w:bookmarkStart w:id="49" w:name="_Toc35393794"/>
      <w:bookmarkStart w:id="50" w:name="_Toc28359084"/>
      <w:r>
        <w:rPr>
          <w:rFonts w:hint="eastAsia" w:hAnsi="宋体" w:cs="宋体"/>
          <w:bCs w:val="0"/>
          <w:sz w:val="24"/>
          <w:szCs w:val="24"/>
        </w:rPr>
        <w:t>五、公告期限</w:t>
      </w:r>
      <w:bookmarkEnd w:id="45"/>
      <w:bookmarkEnd w:id="46"/>
      <w:bookmarkEnd w:id="47"/>
      <w:bookmarkEnd w:id="48"/>
      <w:bookmarkEnd w:id="49"/>
      <w:bookmarkEnd w:id="50"/>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pStyle w:val="5"/>
        <w:spacing w:line="360" w:lineRule="exact"/>
        <w:jc w:val="left"/>
        <w:rPr>
          <w:rFonts w:hAnsi="宋体" w:cs="宋体"/>
          <w:bCs w:val="0"/>
          <w:sz w:val="24"/>
          <w:szCs w:val="24"/>
        </w:rPr>
      </w:pPr>
      <w:bookmarkStart w:id="51" w:name="_Toc21535"/>
      <w:bookmarkStart w:id="52" w:name="_Toc13495"/>
      <w:bookmarkStart w:id="53" w:name="_Toc35393626"/>
      <w:bookmarkStart w:id="54" w:name="_Toc35393795"/>
      <w:r>
        <w:rPr>
          <w:rFonts w:hint="eastAsia" w:hAnsi="宋体" w:cs="宋体"/>
          <w:bCs w:val="0"/>
          <w:sz w:val="24"/>
          <w:szCs w:val="24"/>
        </w:rPr>
        <w:t>六、其他补充事宜</w:t>
      </w:r>
      <w:bookmarkEnd w:id="51"/>
      <w:bookmarkEnd w:id="52"/>
      <w:bookmarkEnd w:id="53"/>
      <w:bookmarkEnd w:id="54"/>
    </w:p>
    <w:p>
      <w:pPr>
        <w:spacing w:line="360" w:lineRule="exact"/>
        <w:ind w:firstLine="480" w:firstLineChars="200"/>
        <w:rPr>
          <w:rFonts w:ascii="宋体" w:hAnsi="宋体" w:cs="宋体"/>
          <w:sz w:val="24"/>
          <w:szCs w:val="24"/>
        </w:rPr>
      </w:pPr>
      <w:bookmarkStart w:id="55" w:name="_Toc35393627"/>
      <w:bookmarkStart w:id="56" w:name="_Toc35393796"/>
      <w:bookmarkStart w:id="57" w:name="_Toc28359008"/>
      <w:bookmarkStart w:id="58" w:name="_Toc28359085"/>
      <w:r>
        <w:rPr>
          <w:rFonts w:hint="eastAsia" w:ascii="宋体" w:hAnsi="宋体" w:cs="宋体"/>
          <w:sz w:val="24"/>
          <w:szCs w:val="24"/>
        </w:rPr>
        <w:t>1、购买采购文件时需携带经办人单位介绍信、身份证原件及复印件加盖公章，招标文件售后不退；</w:t>
      </w:r>
    </w:p>
    <w:p>
      <w:pPr>
        <w:spacing w:line="360" w:lineRule="exact"/>
        <w:ind w:firstLine="480" w:firstLineChars="200"/>
        <w:rPr>
          <w:rFonts w:ascii="宋体" w:hAnsi="宋体" w:cs="宋体"/>
          <w:sz w:val="24"/>
          <w:szCs w:val="24"/>
        </w:rPr>
      </w:pPr>
      <w:r>
        <w:rPr>
          <w:rFonts w:hint="eastAsia" w:ascii="宋体" w:hAnsi="宋体" w:cs="宋体"/>
          <w:sz w:val="24"/>
          <w:szCs w:val="24"/>
        </w:rPr>
        <w:t>2、投标人按照陕西省财政厅关于政府采购投标人注册登记有关事项的通知中的要求，通过陕西省政府采购网注册登记入库。</w:t>
      </w:r>
    </w:p>
    <w:p>
      <w:pPr>
        <w:pStyle w:val="5"/>
        <w:spacing w:line="360" w:lineRule="exact"/>
        <w:jc w:val="left"/>
        <w:rPr>
          <w:rFonts w:hAnsi="宋体" w:cs="宋体"/>
          <w:bCs w:val="0"/>
          <w:sz w:val="24"/>
          <w:szCs w:val="24"/>
        </w:rPr>
      </w:pPr>
      <w:bookmarkStart w:id="59" w:name="_Toc21110"/>
      <w:bookmarkStart w:id="60" w:name="_Toc26779"/>
      <w:r>
        <w:rPr>
          <w:rFonts w:hint="eastAsia" w:hAnsi="宋体" w:cs="宋体"/>
          <w:bCs w:val="0"/>
          <w:sz w:val="24"/>
          <w:szCs w:val="24"/>
        </w:rPr>
        <w:t>七、对本次招标提出询问，请按以下方式联系。</w:t>
      </w:r>
      <w:bookmarkEnd w:id="55"/>
      <w:bookmarkEnd w:id="56"/>
      <w:bookmarkEnd w:id="57"/>
      <w:bookmarkEnd w:id="58"/>
      <w:bookmarkEnd w:id="59"/>
      <w:bookmarkEnd w:id="60"/>
    </w:p>
    <w:p>
      <w:pPr>
        <w:widowControl/>
        <w:spacing w:line="360" w:lineRule="exact"/>
        <w:jc w:val="left"/>
        <w:outlineLvl w:val="2"/>
        <w:rPr>
          <w:rFonts w:ascii="宋体" w:hAnsi="宋体" w:cs="宋体"/>
          <w:sz w:val="24"/>
          <w:szCs w:val="24"/>
        </w:rPr>
      </w:pPr>
      <w:r>
        <w:rPr>
          <w:rFonts w:hint="eastAsia" w:ascii="宋体" w:hAnsi="宋体" w:cs="宋体"/>
          <w:sz w:val="24"/>
          <w:szCs w:val="24"/>
        </w:rPr>
        <w:t>　　　1.采购人信息</w:t>
      </w:r>
    </w:p>
    <w:p>
      <w:pPr>
        <w:spacing w:line="360" w:lineRule="exact"/>
        <w:ind w:left="1079" w:leftChars="371" w:hanging="300" w:hangingChars="125"/>
        <w:jc w:val="left"/>
        <w:rPr>
          <w:rFonts w:ascii="宋体" w:hAnsi="宋体" w:cs="宋体"/>
          <w:sz w:val="24"/>
          <w:szCs w:val="24"/>
        </w:rPr>
      </w:pPr>
      <w:r>
        <w:rPr>
          <w:rFonts w:hint="eastAsia" w:ascii="宋体" w:hAnsi="宋体" w:cs="宋体"/>
          <w:sz w:val="24"/>
          <w:szCs w:val="24"/>
        </w:rPr>
        <w:t>名 称：勉县公安局</w:t>
      </w:r>
    </w:p>
    <w:p>
      <w:pPr>
        <w:spacing w:line="360" w:lineRule="exact"/>
        <w:ind w:left="1079" w:leftChars="371" w:hanging="300" w:hangingChars="125"/>
        <w:jc w:val="left"/>
        <w:rPr>
          <w:rFonts w:ascii="宋体" w:hAnsi="宋体" w:cs="宋体"/>
          <w:sz w:val="24"/>
          <w:szCs w:val="24"/>
        </w:rPr>
      </w:pPr>
      <w:r>
        <w:rPr>
          <w:rFonts w:hint="eastAsia" w:ascii="宋体" w:hAnsi="宋体" w:cs="宋体"/>
          <w:sz w:val="24"/>
          <w:szCs w:val="24"/>
        </w:rPr>
        <w:t>地址：汉中市勉县民主街103号</w:t>
      </w:r>
    </w:p>
    <w:p>
      <w:pPr>
        <w:spacing w:line="360" w:lineRule="exact"/>
        <w:ind w:left="1079" w:leftChars="371" w:hanging="300" w:hangingChars="125"/>
        <w:jc w:val="left"/>
        <w:rPr>
          <w:rFonts w:ascii="宋体" w:hAnsi="宋体" w:cs="宋体"/>
          <w:sz w:val="24"/>
          <w:szCs w:val="24"/>
          <w:u w:val="single"/>
        </w:rPr>
      </w:pPr>
      <w:r>
        <w:rPr>
          <w:rFonts w:hint="eastAsia" w:ascii="宋体" w:hAnsi="宋体" w:cs="宋体"/>
          <w:sz w:val="24"/>
          <w:szCs w:val="24"/>
        </w:rPr>
        <w:t>联系方式：</w:t>
      </w:r>
      <w:bookmarkStart w:id="61" w:name="_Toc28359086"/>
      <w:bookmarkStart w:id="62" w:name="_Toc28359009"/>
      <w:r>
        <w:rPr>
          <w:rFonts w:hint="eastAsia" w:ascii="宋体" w:hAnsi="宋体" w:cs="宋体"/>
          <w:sz w:val="24"/>
          <w:szCs w:val="24"/>
        </w:rPr>
        <w:t>19916162667</w:t>
      </w:r>
    </w:p>
    <w:p>
      <w:pPr>
        <w:spacing w:line="360" w:lineRule="exact"/>
        <w:ind w:left="1079" w:leftChars="371" w:hanging="300" w:hangingChars="125"/>
        <w:jc w:val="left"/>
        <w:outlineLvl w:val="2"/>
        <w:rPr>
          <w:rFonts w:ascii="宋体" w:hAnsi="宋体" w:cs="宋体"/>
          <w:sz w:val="24"/>
          <w:szCs w:val="24"/>
        </w:rPr>
      </w:pPr>
      <w:r>
        <w:rPr>
          <w:rFonts w:hint="eastAsia" w:ascii="宋体" w:hAnsi="宋体" w:cs="宋体"/>
          <w:sz w:val="24"/>
          <w:szCs w:val="24"/>
        </w:rPr>
        <w:t>2.采购代理机构信息</w:t>
      </w:r>
      <w:bookmarkEnd w:id="61"/>
      <w:bookmarkEnd w:id="62"/>
    </w:p>
    <w:p>
      <w:pPr>
        <w:spacing w:line="360" w:lineRule="exact"/>
        <w:ind w:firstLine="720" w:firstLineChars="300"/>
        <w:rPr>
          <w:rFonts w:ascii="宋体" w:hAnsi="宋体" w:cs="宋体"/>
          <w:sz w:val="24"/>
          <w:szCs w:val="24"/>
        </w:rPr>
      </w:pPr>
      <w:r>
        <w:rPr>
          <w:rFonts w:hint="eastAsia" w:ascii="宋体" w:hAnsi="宋体" w:cs="宋体"/>
          <w:sz w:val="24"/>
          <w:szCs w:val="24"/>
        </w:rPr>
        <w:t>名 称：亿诚建设项目管理有限公司</w:t>
      </w:r>
    </w:p>
    <w:p>
      <w:pPr>
        <w:spacing w:line="360" w:lineRule="exact"/>
        <w:ind w:firstLine="720" w:firstLineChars="300"/>
        <w:rPr>
          <w:rFonts w:ascii="宋体" w:hAnsi="宋体" w:cs="宋体"/>
          <w:sz w:val="24"/>
          <w:szCs w:val="24"/>
        </w:rPr>
      </w:pPr>
      <w:r>
        <w:rPr>
          <w:rFonts w:hint="eastAsia" w:ascii="宋体" w:hAnsi="宋体" w:cs="宋体"/>
          <w:sz w:val="24"/>
          <w:szCs w:val="24"/>
        </w:rPr>
        <w:t>地　址：汉中市汉台区西新街仁和春天11号楼二单元23层</w:t>
      </w:r>
    </w:p>
    <w:p>
      <w:pPr>
        <w:spacing w:line="360" w:lineRule="exact"/>
        <w:ind w:firstLine="720" w:firstLineChars="300"/>
        <w:rPr>
          <w:rFonts w:ascii="宋体" w:hAnsi="宋体" w:cs="宋体"/>
          <w:sz w:val="24"/>
          <w:szCs w:val="24"/>
          <w:u w:val="single"/>
        </w:rPr>
      </w:pPr>
      <w:r>
        <w:rPr>
          <w:rFonts w:hint="eastAsia" w:ascii="宋体" w:hAnsi="宋体" w:cs="宋体"/>
          <w:sz w:val="24"/>
          <w:szCs w:val="24"/>
        </w:rPr>
        <w:t>联系方式：</w:t>
      </w:r>
      <w:bookmarkStart w:id="63" w:name="_Toc28359010"/>
      <w:bookmarkStart w:id="64" w:name="_Toc28359087"/>
      <w:r>
        <w:rPr>
          <w:rFonts w:hint="eastAsia" w:ascii="宋体" w:hAnsi="宋体" w:cs="宋体"/>
          <w:sz w:val="24"/>
          <w:szCs w:val="24"/>
        </w:rPr>
        <w:t>0916-2968918</w:t>
      </w:r>
    </w:p>
    <w:p>
      <w:pPr>
        <w:spacing w:line="360" w:lineRule="exact"/>
        <w:ind w:firstLine="720" w:firstLineChars="300"/>
        <w:outlineLvl w:val="2"/>
        <w:rPr>
          <w:rFonts w:ascii="宋体" w:hAnsi="宋体" w:cs="宋体"/>
          <w:sz w:val="24"/>
          <w:szCs w:val="24"/>
          <w:u w:val="single"/>
        </w:rPr>
      </w:pPr>
      <w:r>
        <w:rPr>
          <w:rFonts w:hint="eastAsia" w:ascii="宋体" w:hAnsi="宋体" w:cs="宋体"/>
          <w:sz w:val="24"/>
          <w:szCs w:val="24"/>
        </w:rPr>
        <w:t>3.项目联系方式</w:t>
      </w:r>
      <w:bookmarkEnd w:id="63"/>
      <w:bookmarkEnd w:id="64"/>
    </w:p>
    <w:p>
      <w:pPr>
        <w:pStyle w:val="16"/>
        <w:spacing w:line="360" w:lineRule="exact"/>
        <w:ind w:firstLine="720" w:firstLineChars="300"/>
        <w:rPr>
          <w:rFonts w:hAnsi="宋体" w:cs="宋体"/>
          <w:sz w:val="24"/>
          <w:szCs w:val="24"/>
        </w:rPr>
      </w:pPr>
      <w:r>
        <w:rPr>
          <w:rFonts w:hint="eastAsia" w:hAnsi="宋体" w:cs="宋体"/>
          <w:sz w:val="24"/>
          <w:szCs w:val="24"/>
        </w:rPr>
        <w:t xml:space="preserve">项目联系人：折红      </w:t>
      </w:r>
    </w:p>
    <w:p>
      <w:pPr>
        <w:pStyle w:val="16"/>
        <w:spacing w:line="360" w:lineRule="exact"/>
        <w:ind w:firstLine="720" w:firstLineChars="300"/>
        <w:rPr>
          <w:rFonts w:hAnsi="宋体" w:cs="宋体"/>
          <w:sz w:val="24"/>
          <w:szCs w:val="24"/>
        </w:rPr>
      </w:pPr>
      <w:r>
        <w:rPr>
          <w:rFonts w:hint="eastAsia" w:hAnsi="宋体" w:cs="宋体"/>
          <w:sz w:val="24"/>
          <w:szCs w:val="24"/>
        </w:rPr>
        <w:t>电　话：0916-2968918</w:t>
      </w:r>
    </w:p>
    <w:p>
      <w:pPr>
        <w:pStyle w:val="17"/>
        <w:rPr>
          <w:color w:val="auto"/>
        </w:rPr>
      </w:pPr>
    </w:p>
    <w:p>
      <w:pPr>
        <w:jc w:val="center"/>
        <w:outlineLvl w:val="0"/>
        <w:rPr>
          <w:rFonts w:ascii="宋体" w:hAnsi="宋体" w:cs="宋体"/>
          <w:b/>
          <w:bCs/>
          <w:kern w:val="0"/>
          <w:sz w:val="44"/>
          <w:szCs w:val="44"/>
        </w:rPr>
      </w:pPr>
      <w:bookmarkStart w:id="65" w:name="_Toc14419"/>
      <w:bookmarkStart w:id="66" w:name="_Toc7616"/>
      <w:bookmarkStart w:id="67" w:name="_Toc2006"/>
      <w:bookmarkStart w:id="68" w:name="_Toc9411"/>
      <w:bookmarkStart w:id="69" w:name="_Toc20817"/>
      <w:bookmarkStart w:id="70" w:name="_Toc29634"/>
      <w:bookmarkStart w:id="71" w:name="_Toc26175"/>
      <w:bookmarkStart w:id="72" w:name="_Toc26043"/>
      <w:bookmarkStart w:id="73" w:name="_Toc2442"/>
      <w:bookmarkStart w:id="74" w:name="_Toc32003"/>
      <w:bookmarkStart w:id="75" w:name="_Toc21778"/>
      <w:bookmarkStart w:id="76" w:name="_Toc19103"/>
      <w:bookmarkStart w:id="77" w:name="_Toc29395"/>
      <w:bookmarkStart w:id="78" w:name="_Toc26837"/>
    </w:p>
    <w:p>
      <w:pPr>
        <w:jc w:val="center"/>
        <w:outlineLvl w:val="0"/>
        <w:rPr>
          <w:rFonts w:ascii="宋体" w:hAnsi="宋体" w:cs="宋体"/>
          <w:b/>
          <w:bCs/>
          <w:kern w:val="0"/>
          <w:szCs w:val="44"/>
          <w:lang w:val="zh-TW"/>
        </w:rPr>
      </w:pPr>
      <w:r>
        <w:rPr>
          <w:rFonts w:hint="eastAsia" w:ascii="宋体" w:hAnsi="宋体" w:cs="宋体"/>
          <w:b/>
          <w:bCs/>
          <w:kern w:val="0"/>
          <w:sz w:val="44"/>
          <w:szCs w:val="44"/>
        </w:rPr>
        <w:t xml:space="preserve">第二章  </w:t>
      </w:r>
      <w:r>
        <w:rPr>
          <w:rFonts w:hint="eastAsia" w:ascii="宋体" w:hAnsi="宋体" w:cs="宋体"/>
          <w:b/>
          <w:bCs/>
          <w:kern w:val="0"/>
          <w:sz w:val="44"/>
          <w:szCs w:val="44"/>
          <w:lang w:val="zh-TW"/>
        </w:rPr>
        <w:t>投标人</w:t>
      </w:r>
      <w:r>
        <w:rPr>
          <w:rFonts w:hint="eastAsia" w:ascii="宋体" w:hAnsi="宋体" w:cs="宋体"/>
          <w:b/>
          <w:bCs/>
          <w:kern w:val="0"/>
          <w:sz w:val="44"/>
          <w:szCs w:val="44"/>
          <w:lang w:val="zh-TW" w:eastAsia="zh-TW"/>
        </w:rPr>
        <w:t>须知附表</w:t>
      </w:r>
      <w:bookmarkEnd w:id="19"/>
      <w:bookmarkEnd w:id="65"/>
      <w:bookmarkEnd w:id="66"/>
      <w:bookmarkEnd w:id="67"/>
      <w:bookmarkEnd w:id="68"/>
      <w:bookmarkEnd w:id="69"/>
      <w:bookmarkEnd w:id="70"/>
      <w:bookmarkEnd w:id="71"/>
      <w:bookmarkEnd w:id="72"/>
      <w:bookmarkEnd w:id="73"/>
      <w:bookmarkEnd w:id="74"/>
      <w:bookmarkEnd w:id="75"/>
      <w:bookmarkEnd w:id="76"/>
      <w:bookmarkEnd w:id="77"/>
      <w:bookmarkEnd w:id="78"/>
    </w:p>
    <w:tbl>
      <w:tblPr>
        <w:tblStyle w:val="35"/>
        <w:tblW w:w="941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268"/>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00" w:type="dxa"/>
            <w:vAlign w:val="center"/>
          </w:tcPr>
          <w:p>
            <w:pPr>
              <w:spacing w:line="340" w:lineRule="exact"/>
              <w:jc w:val="center"/>
              <w:rPr>
                <w:rFonts w:ascii="宋体" w:hAnsi="宋体" w:cs="宋体"/>
              </w:rPr>
            </w:pPr>
            <w:r>
              <w:rPr>
                <w:rFonts w:hint="eastAsia" w:ascii="宋体" w:hAnsi="宋体" w:cs="宋体"/>
              </w:rPr>
              <w:t>序号</w:t>
            </w:r>
          </w:p>
        </w:tc>
        <w:tc>
          <w:tcPr>
            <w:tcW w:w="2268" w:type="dxa"/>
            <w:vAlign w:val="center"/>
          </w:tcPr>
          <w:p>
            <w:pPr>
              <w:spacing w:line="340" w:lineRule="exact"/>
              <w:jc w:val="center"/>
              <w:rPr>
                <w:rFonts w:ascii="宋体" w:hAnsi="宋体" w:cs="宋体"/>
              </w:rPr>
            </w:pPr>
            <w:r>
              <w:rPr>
                <w:rFonts w:hint="eastAsia" w:ascii="宋体" w:hAnsi="宋体" w:cs="宋体"/>
              </w:rPr>
              <w:t>内 容</w:t>
            </w:r>
          </w:p>
        </w:tc>
        <w:tc>
          <w:tcPr>
            <w:tcW w:w="6351" w:type="dxa"/>
            <w:vAlign w:val="center"/>
          </w:tcPr>
          <w:p>
            <w:pPr>
              <w:spacing w:line="340" w:lineRule="exact"/>
              <w:jc w:val="center"/>
              <w:rPr>
                <w:rFonts w:ascii="宋体" w:hAnsi="宋体" w:cs="宋体"/>
              </w:rPr>
            </w:pPr>
            <w:r>
              <w:rPr>
                <w:rFonts w:hint="eastAsia" w:ascii="宋体" w:hAnsi="宋体" w:cs="宋体"/>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00" w:type="dxa"/>
            <w:vAlign w:val="center"/>
          </w:tcPr>
          <w:p>
            <w:pPr>
              <w:spacing w:line="340" w:lineRule="exact"/>
              <w:jc w:val="center"/>
              <w:rPr>
                <w:rFonts w:ascii="宋体" w:hAnsi="宋体" w:cs="宋体"/>
              </w:rPr>
            </w:pPr>
            <w:r>
              <w:rPr>
                <w:rFonts w:hint="eastAsia" w:ascii="宋体" w:hAnsi="宋体" w:cs="宋体"/>
              </w:rPr>
              <w:t>1</w:t>
            </w:r>
          </w:p>
        </w:tc>
        <w:tc>
          <w:tcPr>
            <w:tcW w:w="2268" w:type="dxa"/>
            <w:vAlign w:val="center"/>
          </w:tcPr>
          <w:p>
            <w:pPr>
              <w:pStyle w:val="31"/>
              <w:spacing w:before="0" w:beforeAutospacing="0" w:after="0" w:afterAutospacing="0" w:line="340" w:lineRule="exact"/>
              <w:jc w:val="center"/>
              <w:rPr>
                <w:sz w:val="21"/>
                <w:szCs w:val="21"/>
              </w:rPr>
            </w:pPr>
            <w:r>
              <w:rPr>
                <w:rFonts w:hint="eastAsia"/>
                <w:sz w:val="21"/>
                <w:szCs w:val="21"/>
              </w:rPr>
              <w:t>采购人信息</w:t>
            </w:r>
          </w:p>
        </w:tc>
        <w:tc>
          <w:tcPr>
            <w:tcW w:w="6351" w:type="dxa"/>
            <w:vAlign w:val="center"/>
          </w:tcPr>
          <w:p>
            <w:pPr>
              <w:pStyle w:val="31"/>
              <w:spacing w:before="0" w:beforeAutospacing="0" w:after="0" w:afterAutospacing="0" w:line="340" w:lineRule="exact"/>
              <w:jc w:val="both"/>
              <w:rPr>
                <w:sz w:val="21"/>
                <w:szCs w:val="21"/>
              </w:rPr>
            </w:pPr>
            <w:r>
              <w:rPr>
                <w:rFonts w:hint="eastAsia"/>
                <w:sz w:val="21"/>
                <w:szCs w:val="21"/>
              </w:rPr>
              <w:t>采 购 人：勉县公安局</w:t>
            </w:r>
          </w:p>
          <w:p>
            <w:pPr>
              <w:pStyle w:val="31"/>
              <w:spacing w:before="0" w:beforeAutospacing="0" w:after="0" w:afterAutospacing="0" w:line="340" w:lineRule="exact"/>
              <w:jc w:val="both"/>
              <w:rPr>
                <w:sz w:val="21"/>
                <w:szCs w:val="21"/>
              </w:rPr>
            </w:pPr>
            <w:r>
              <w:rPr>
                <w:rFonts w:hint="eastAsia"/>
                <w:sz w:val="21"/>
                <w:szCs w:val="21"/>
              </w:rPr>
              <w:t xml:space="preserve">地    址：汉中市勉县民主街103号 </w:t>
            </w:r>
          </w:p>
          <w:p>
            <w:pPr>
              <w:spacing w:line="340" w:lineRule="exact"/>
            </w:pPr>
            <w:r>
              <w:rPr>
                <w:rFonts w:hint="eastAsia"/>
              </w:rPr>
              <w:t>联</w:t>
            </w:r>
            <w:r>
              <w:rPr>
                <w:rFonts w:hint="eastAsia" w:ascii="宋体" w:hAnsi="宋体" w:cs="宋体"/>
              </w:rPr>
              <w:t>系方式：19916162667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00" w:type="dxa"/>
            <w:vAlign w:val="center"/>
          </w:tcPr>
          <w:p>
            <w:pPr>
              <w:spacing w:line="340" w:lineRule="exact"/>
              <w:jc w:val="center"/>
              <w:rPr>
                <w:rFonts w:ascii="宋体" w:hAnsi="宋体" w:cs="宋体"/>
              </w:rPr>
            </w:pPr>
            <w:r>
              <w:rPr>
                <w:rFonts w:hint="eastAsia" w:ascii="宋体" w:hAnsi="宋体" w:cs="宋体"/>
              </w:rPr>
              <w:t>2</w:t>
            </w:r>
          </w:p>
        </w:tc>
        <w:tc>
          <w:tcPr>
            <w:tcW w:w="2268" w:type="dxa"/>
            <w:vAlign w:val="center"/>
          </w:tcPr>
          <w:p>
            <w:pPr>
              <w:spacing w:line="340" w:lineRule="exact"/>
              <w:jc w:val="center"/>
              <w:rPr>
                <w:rFonts w:ascii="宋体" w:hAnsi="宋体" w:cs="宋体"/>
              </w:rPr>
            </w:pPr>
            <w:r>
              <w:rPr>
                <w:rFonts w:hint="eastAsia" w:ascii="宋体" w:hAnsi="宋体" w:cs="宋体"/>
              </w:rPr>
              <w:t>采购代理机构信息</w:t>
            </w:r>
          </w:p>
        </w:tc>
        <w:tc>
          <w:tcPr>
            <w:tcW w:w="6351" w:type="dxa"/>
            <w:vAlign w:val="center"/>
          </w:tcPr>
          <w:p>
            <w:pPr>
              <w:spacing w:line="340" w:lineRule="exact"/>
              <w:rPr>
                <w:rFonts w:ascii="宋体" w:hAnsi="宋体" w:cs="宋体"/>
              </w:rPr>
            </w:pPr>
            <w:r>
              <w:rPr>
                <w:rFonts w:hint="eastAsia" w:ascii="宋体" w:hAnsi="宋体" w:cs="宋体"/>
              </w:rPr>
              <w:t xml:space="preserve">采购代理机构：亿诚建设项目管理有限公司 </w:t>
            </w:r>
          </w:p>
          <w:p>
            <w:pPr>
              <w:spacing w:line="340" w:lineRule="exact"/>
              <w:rPr>
                <w:rFonts w:ascii="宋体" w:hAnsi="宋体" w:cs="宋体"/>
              </w:rPr>
            </w:pPr>
            <w:r>
              <w:rPr>
                <w:rFonts w:hint="eastAsia" w:ascii="宋体" w:hAnsi="宋体" w:cs="宋体"/>
              </w:rPr>
              <w:t>联系方式：</w:t>
            </w:r>
            <w:r>
              <w:rPr>
                <w:rFonts w:hint="eastAsia" w:ascii="宋体" w:hAnsi="宋体" w:cs="宋体"/>
                <w:kern w:val="0"/>
              </w:rPr>
              <w:t>0916-2968918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00" w:type="dxa"/>
            <w:vAlign w:val="center"/>
          </w:tcPr>
          <w:p>
            <w:pPr>
              <w:spacing w:line="340" w:lineRule="exact"/>
              <w:jc w:val="center"/>
              <w:rPr>
                <w:rFonts w:ascii="宋体" w:hAnsi="宋体" w:cs="宋体"/>
              </w:rPr>
            </w:pPr>
            <w:r>
              <w:rPr>
                <w:rFonts w:hint="eastAsia" w:ascii="宋体" w:hAnsi="宋体" w:cs="宋体"/>
              </w:rPr>
              <w:t>3</w:t>
            </w:r>
          </w:p>
        </w:tc>
        <w:tc>
          <w:tcPr>
            <w:tcW w:w="2268" w:type="dxa"/>
            <w:vAlign w:val="center"/>
          </w:tcPr>
          <w:p>
            <w:pPr>
              <w:spacing w:line="340" w:lineRule="exact"/>
              <w:jc w:val="center"/>
              <w:rPr>
                <w:rFonts w:ascii="宋体" w:hAnsi="宋体" w:cs="宋体"/>
              </w:rPr>
            </w:pPr>
            <w:r>
              <w:rPr>
                <w:rFonts w:hint="eastAsia" w:ascii="宋体" w:hAnsi="宋体" w:cs="宋体"/>
              </w:rPr>
              <w:t>项目名称</w:t>
            </w:r>
          </w:p>
        </w:tc>
        <w:tc>
          <w:tcPr>
            <w:tcW w:w="6351" w:type="dxa"/>
            <w:vAlign w:val="center"/>
          </w:tcPr>
          <w:p>
            <w:pPr>
              <w:spacing w:line="340" w:lineRule="exact"/>
              <w:rPr>
                <w:rFonts w:ascii="宋体" w:hAnsi="宋体" w:cs="宋体"/>
              </w:rPr>
            </w:pPr>
            <w:r>
              <w:rPr>
                <w:rFonts w:hint="eastAsia" w:ascii="宋体" w:hAnsi="宋体" w:cs="宋体"/>
              </w:rPr>
              <w:t>勉县公安局2023年中省政法转移支付自定装备（云桌面）项目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0" w:type="dxa"/>
            <w:vAlign w:val="center"/>
          </w:tcPr>
          <w:p>
            <w:pPr>
              <w:spacing w:line="340" w:lineRule="exact"/>
              <w:jc w:val="center"/>
              <w:rPr>
                <w:rFonts w:ascii="宋体" w:hAnsi="宋体" w:cs="宋体"/>
              </w:rPr>
            </w:pPr>
            <w:r>
              <w:rPr>
                <w:rFonts w:hint="eastAsia" w:ascii="宋体" w:hAnsi="宋体" w:cs="宋体"/>
              </w:rPr>
              <w:t>4</w:t>
            </w:r>
          </w:p>
        </w:tc>
        <w:tc>
          <w:tcPr>
            <w:tcW w:w="2268" w:type="dxa"/>
            <w:vAlign w:val="center"/>
          </w:tcPr>
          <w:p>
            <w:pPr>
              <w:spacing w:line="340" w:lineRule="exact"/>
              <w:jc w:val="center"/>
              <w:rPr>
                <w:rFonts w:ascii="宋体" w:hAnsi="宋体" w:cs="宋体"/>
              </w:rPr>
            </w:pPr>
            <w:r>
              <w:rPr>
                <w:rFonts w:hint="eastAsia" w:ascii="宋体" w:hAnsi="宋体" w:cs="宋体"/>
              </w:rPr>
              <w:t>项目编号</w:t>
            </w:r>
          </w:p>
        </w:tc>
        <w:tc>
          <w:tcPr>
            <w:tcW w:w="6351" w:type="dxa"/>
            <w:vAlign w:val="center"/>
          </w:tcPr>
          <w:p>
            <w:pPr>
              <w:pStyle w:val="31"/>
              <w:spacing w:before="0" w:beforeAutospacing="0" w:after="0" w:afterAutospacing="0" w:line="340" w:lineRule="exact"/>
              <w:jc w:val="both"/>
              <w:rPr>
                <w:sz w:val="21"/>
                <w:szCs w:val="21"/>
              </w:rPr>
            </w:pPr>
            <w:r>
              <w:rPr>
                <w:rFonts w:hint="eastAsia"/>
                <w:sz w:val="21"/>
                <w:szCs w:val="21"/>
              </w:rPr>
              <w:t>YC23307026（CGO）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0" w:type="dxa"/>
            <w:vAlign w:val="center"/>
          </w:tcPr>
          <w:p>
            <w:pPr>
              <w:spacing w:line="340" w:lineRule="exact"/>
              <w:jc w:val="center"/>
              <w:rPr>
                <w:rFonts w:ascii="宋体" w:hAnsi="宋体" w:cs="宋体"/>
              </w:rPr>
            </w:pPr>
            <w:r>
              <w:rPr>
                <w:rFonts w:hint="eastAsia" w:ascii="宋体" w:hAnsi="宋体" w:cs="宋体"/>
              </w:rPr>
              <w:t>5</w:t>
            </w:r>
          </w:p>
        </w:tc>
        <w:tc>
          <w:tcPr>
            <w:tcW w:w="2268" w:type="dxa"/>
            <w:vAlign w:val="center"/>
          </w:tcPr>
          <w:p>
            <w:pPr>
              <w:spacing w:line="340" w:lineRule="exact"/>
              <w:jc w:val="center"/>
              <w:rPr>
                <w:rFonts w:ascii="宋体" w:hAnsi="宋体" w:cs="宋体"/>
              </w:rPr>
            </w:pPr>
            <w:r>
              <w:rPr>
                <w:rFonts w:hint="eastAsia" w:ascii="宋体" w:hAnsi="宋体" w:cs="宋体"/>
              </w:rPr>
              <w:t>投标保证金</w:t>
            </w:r>
          </w:p>
        </w:tc>
        <w:tc>
          <w:tcPr>
            <w:tcW w:w="6351" w:type="dxa"/>
            <w:vAlign w:val="center"/>
          </w:tcPr>
          <w:p>
            <w:pPr>
              <w:spacing w:line="340" w:lineRule="exact"/>
              <w:rPr>
                <w:rFonts w:ascii="宋体" w:hAnsi="宋体" w:cs="宋体"/>
              </w:rPr>
            </w:pPr>
            <w:r>
              <w:rPr>
                <w:rFonts w:hint="eastAsia" w:ascii="宋体" w:hAnsi="宋体" w:cs="宋体"/>
              </w:rPr>
              <w:t>保证金：人民币壹万元整（¥10000.00元）</w:t>
            </w:r>
          </w:p>
          <w:p>
            <w:pPr>
              <w:pStyle w:val="2"/>
              <w:spacing w:line="340" w:lineRule="exact"/>
              <w:jc w:val="both"/>
              <w:rPr>
                <w:rFonts w:ascii="宋体" w:hAnsi="宋体" w:cs="宋体"/>
                <w:sz w:val="21"/>
                <w:szCs w:val="21"/>
              </w:rPr>
            </w:pPr>
            <w:r>
              <w:rPr>
                <w:rFonts w:hint="eastAsia" w:ascii="宋体" w:hAnsi="宋体" w:cs="宋体"/>
                <w:sz w:val="21"/>
                <w:szCs w:val="21"/>
              </w:rPr>
              <w:t>保证金缴纳截止时间：2023年12月26日09时30分前（以到账之间为准）</w:t>
            </w:r>
          </w:p>
          <w:p>
            <w:pPr>
              <w:spacing w:line="340" w:lineRule="exact"/>
              <w:rPr>
                <w:rFonts w:ascii="宋体" w:hAnsi="宋体" w:cs="宋体"/>
              </w:rPr>
            </w:pPr>
            <w:r>
              <w:rPr>
                <w:rFonts w:hint="eastAsia" w:ascii="宋体" w:hAnsi="宋体" w:cs="宋体"/>
              </w:rPr>
              <w:t>保证金缴纳形式：以支票、汇票、本票（从企业基本账户转入指定账户）或保函等非现金形式缴纳或提交保证金</w:t>
            </w:r>
          </w:p>
          <w:p>
            <w:pPr>
              <w:spacing w:line="340" w:lineRule="exact"/>
              <w:rPr>
                <w:rFonts w:ascii="宋体" w:hAnsi="宋体" w:cs="宋体"/>
              </w:rPr>
            </w:pPr>
            <w:r>
              <w:rPr>
                <w:rFonts w:hint="eastAsia" w:ascii="宋体" w:hAnsi="宋体" w:cs="宋体"/>
              </w:rPr>
              <w:t>请各投标人严格按照招标文件规定的形式缴纳保证金，本项目不接受其他形式的保证金。</w:t>
            </w:r>
          </w:p>
          <w:p>
            <w:pPr>
              <w:spacing w:line="340" w:lineRule="exact"/>
              <w:rPr>
                <w:rFonts w:ascii="宋体" w:hAnsi="宋体" w:cs="宋体"/>
              </w:rPr>
            </w:pPr>
            <w:r>
              <w:rPr>
                <w:rFonts w:hint="eastAsia" w:ascii="宋体" w:hAnsi="宋体" w:cs="宋体"/>
              </w:rPr>
              <w:t>开户账户：亿诚建设项目管理有限公司</w:t>
            </w:r>
          </w:p>
          <w:p>
            <w:pPr>
              <w:spacing w:line="340" w:lineRule="exact"/>
              <w:rPr>
                <w:rFonts w:ascii="宋体" w:hAnsi="宋体" w:cs="宋体"/>
              </w:rPr>
            </w:pPr>
            <w:r>
              <w:rPr>
                <w:rFonts w:hint="eastAsia" w:ascii="宋体" w:hAnsi="宋体" w:cs="宋体"/>
              </w:rPr>
              <w:t>开户银行：平安银行西安含光路支行</w:t>
            </w:r>
          </w:p>
          <w:p>
            <w:pPr>
              <w:spacing w:line="340" w:lineRule="exact"/>
              <w:rPr>
                <w:rFonts w:ascii="宋体" w:hAnsi="宋体" w:cs="宋体"/>
              </w:rPr>
            </w:pPr>
            <w:r>
              <w:rPr>
                <w:rFonts w:hint="eastAsia" w:ascii="宋体" w:hAnsi="宋体" w:cs="宋体"/>
              </w:rPr>
              <w:t xml:space="preserve">帐    号：30205199004169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0" w:type="dxa"/>
            <w:vAlign w:val="center"/>
          </w:tcPr>
          <w:p>
            <w:pPr>
              <w:spacing w:line="340" w:lineRule="exact"/>
              <w:jc w:val="center"/>
              <w:rPr>
                <w:rFonts w:ascii="宋体" w:hAnsi="宋体" w:cs="宋体"/>
              </w:rPr>
            </w:pPr>
            <w:r>
              <w:rPr>
                <w:rFonts w:hint="eastAsia" w:ascii="宋体" w:hAnsi="宋体" w:cs="宋体"/>
              </w:rPr>
              <w:t>6</w:t>
            </w:r>
          </w:p>
        </w:tc>
        <w:tc>
          <w:tcPr>
            <w:tcW w:w="2268" w:type="dxa"/>
            <w:vAlign w:val="center"/>
          </w:tcPr>
          <w:p>
            <w:pPr>
              <w:spacing w:line="340" w:lineRule="exact"/>
              <w:jc w:val="center"/>
              <w:rPr>
                <w:rFonts w:ascii="宋体" w:hAnsi="宋体" w:cs="宋体"/>
              </w:rPr>
            </w:pPr>
            <w:r>
              <w:rPr>
                <w:rFonts w:hint="eastAsia" w:ascii="宋体" w:hAnsi="宋体" w:cs="宋体"/>
                <w:lang w:val="zh-CN"/>
              </w:rPr>
              <w:t>采购内容和要求</w:t>
            </w:r>
          </w:p>
        </w:tc>
        <w:tc>
          <w:tcPr>
            <w:tcW w:w="6351" w:type="dxa"/>
            <w:vAlign w:val="center"/>
          </w:tcPr>
          <w:p>
            <w:pPr>
              <w:spacing w:line="340" w:lineRule="exact"/>
              <w:rPr>
                <w:rFonts w:ascii="宋体" w:hAnsi="宋体" w:cs="宋体"/>
                <w:kern w:val="0"/>
                <w:lang w:val="zh-CN"/>
              </w:rPr>
            </w:pPr>
            <w:r>
              <w:rPr>
                <w:rFonts w:hint="eastAsia" w:ascii="宋体" w:hAnsi="宋体" w:cs="宋体"/>
              </w:rPr>
              <w:t>具体采购内容详见招标文件第四章采购内容。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0" w:type="dxa"/>
            <w:vAlign w:val="center"/>
          </w:tcPr>
          <w:p>
            <w:pPr>
              <w:spacing w:line="340" w:lineRule="exact"/>
              <w:jc w:val="center"/>
              <w:rPr>
                <w:rFonts w:ascii="宋体" w:hAnsi="宋体" w:cs="宋体"/>
              </w:rPr>
            </w:pPr>
            <w:r>
              <w:rPr>
                <w:rFonts w:hint="eastAsia" w:ascii="宋体" w:hAnsi="宋体" w:cs="宋体"/>
              </w:rPr>
              <w:t>7</w:t>
            </w:r>
          </w:p>
        </w:tc>
        <w:tc>
          <w:tcPr>
            <w:tcW w:w="2268" w:type="dxa"/>
            <w:vAlign w:val="center"/>
          </w:tcPr>
          <w:p>
            <w:pPr>
              <w:spacing w:line="340" w:lineRule="exact"/>
              <w:jc w:val="center"/>
              <w:rPr>
                <w:rFonts w:ascii="宋体" w:hAnsi="宋体" w:cs="宋体"/>
              </w:rPr>
            </w:pPr>
            <w:r>
              <w:rPr>
                <w:rFonts w:hint="eastAsia" w:ascii="宋体" w:hAnsi="宋体" w:cs="宋体"/>
              </w:rPr>
              <w:t>最高限价</w:t>
            </w:r>
          </w:p>
        </w:tc>
        <w:tc>
          <w:tcPr>
            <w:tcW w:w="6351" w:type="dxa"/>
            <w:vAlign w:val="center"/>
          </w:tcPr>
          <w:p>
            <w:pPr>
              <w:spacing w:line="340" w:lineRule="exact"/>
              <w:rPr>
                <w:rFonts w:ascii="宋体" w:hAnsi="宋体" w:cs="宋体"/>
                <w:kern w:val="0"/>
                <w:lang w:val="zh-CN"/>
              </w:rPr>
            </w:pPr>
            <w:r>
              <w:rPr>
                <w:rFonts w:hint="eastAsia" w:ascii="宋体" w:hAnsi="宋体" w:cs="宋体"/>
                <w:kern w:val="0"/>
                <w:lang w:val="zh-CN"/>
              </w:rPr>
              <w:t>人民币：</w:t>
            </w:r>
            <w:r>
              <w:rPr>
                <w:rFonts w:hint="eastAsia" w:ascii="宋体" w:hAnsi="宋体" w:cs="宋体"/>
                <w:kern w:val="0"/>
              </w:rPr>
              <w:t>陆拾肆万捌仟玖佰元整</w:t>
            </w:r>
            <w:r>
              <w:rPr>
                <w:rFonts w:hint="eastAsia" w:ascii="宋体" w:hAnsi="宋体" w:cs="宋体"/>
                <w:kern w:val="0"/>
                <w:lang w:val="zh-CN"/>
              </w:rPr>
              <w:t>（¥</w:t>
            </w:r>
            <w:r>
              <w:rPr>
                <w:rFonts w:hint="eastAsia" w:ascii="宋体" w:hAnsi="宋体" w:cs="宋体"/>
                <w:kern w:val="0"/>
              </w:rPr>
              <w:t>648900.00</w:t>
            </w:r>
            <w:r>
              <w:rPr>
                <w:rFonts w:hint="eastAsia" w:ascii="宋体" w:hAnsi="宋体" w:cs="宋体"/>
                <w:kern w:val="0"/>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Align w:val="center"/>
          </w:tcPr>
          <w:p>
            <w:pPr>
              <w:spacing w:line="340" w:lineRule="exact"/>
              <w:jc w:val="center"/>
              <w:rPr>
                <w:rFonts w:ascii="宋体" w:hAnsi="宋体" w:cs="宋体"/>
              </w:rPr>
            </w:pPr>
            <w:r>
              <w:rPr>
                <w:rFonts w:hint="eastAsia" w:ascii="宋体" w:hAnsi="宋体" w:cs="宋体"/>
              </w:rPr>
              <w:t>8</w:t>
            </w:r>
          </w:p>
        </w:tc>
        <w:tc>
          <w:tcPr>
            <w:tcW w:w="2268" w:type="dxa"/>
            <w:vAlign w:val="center"/>
          </w:tcPr>
          <w:p>
            <w:pPr>
              <w:spacing w:line="340" w:lineRule="exact"/>
              <w:jc w:val="center"/>
              <w:rPr>
                <w:rFonts w:ascii="宋体" w:hAnsi="宋体" w:cs="宋体"/>
              </w:rPr>
            </w:pPr>
            <w:r>
              <w:rPr>
                <w:rFonts w:hint="eastAsia" w:ascii="宋体" w:hAnsi="宋体" w:cs="宋体"/>
              </w:rPr>
              <w:t>发售招标文件</w:t>
            </w:r>
          </w:p>
        </w:tc>
        <w:tc>
          <w:tcPr>
            <w:tcW w:w="6351" w:type="dxa"/>
            <w:vAlign w:val="center"/>
          </w:tcPr>
          <w:p>
            <w:pPr>
              <w:spacing w:line="340" w:lineRule="exact"/>
              <w:ind w:right="-199" w:rightChars="-95"/>
              <w:rPr>
                <w:rFonts w:ascii="宋体" w:hAnsi="宋体" w:cs="Tahoma"/>
              </w:rPr>
            </w:pPr>
            <w:r>
              <w:rPr>
                <w:rFonts w:hint="eastAsia" w:ascii="宋体" w:hAnsi="宋体" w:cs="宋体"/>
              </w:rPr>
              <w:t>时间:2023年12月04日至2023年12月08日</w:t>
            </w:r>
          </w:p>
          <w:p>
            <w:pPr>
              <w:spacing w:line="340" w:lineRule="exact"/>
              <w:ind w:right="-199" w:rightChars="-95"/>
              <w:rPr>
                <w:rFonts w:ascii="宋体" w:hAnsi="宋体" w:cs="Tahoma"/>
              </w:rPr>
            </w:pPr>
            <w:r>
              <w:rPr>
                <w:rFonts w:hint="eastAsia" w:ascii="宋体" w:hAnsi="宋体" w:cs="宋体"/>
              </w:rPr>
              <w:t>上午：09:00-12:00，下午：14:00-17:00</w:t>
            </w:r>
            <w:r>
              <w:rPr>
                <w:rFonts w:hint="eastAsia" w:ascii="宋体" w:hAnsi="宋体" w:cs="Tahoma"/>
              </w:rPr>
              <w:t>（双休日及法定节假日除外）</w:t>
            </w:r>
          </w:p>
          <w:p>
            <w:pPr>
              <w:spacing w:line="340" w:lineRule="exact"/>
              <w:rPr>
                <w:rFonts w:ascii="宋体" w:hAnsi="宋体" w:cs="宋体"/>
              </w:rPr>
            </w:pPr>
            <w:r>
              <w:rPr>
                <w:rFonts w:hint="eastAsia" w:ascii="宋体" w:hAnsi="宋体" w:cs="宋体"/>
              </w:rPr>
              <w:t>地点：</w:t>
            </w:r>
            <w:r>
              <w:rPr>
                <w:rFonts w:hint="eastAsia" w:ascii="宋体" w:hAnsi="宋体" w:cs="宋体"/>
                <w:kern w:val="0"/>
              </w:rPr>
              <w:t>汉中市汉台区西新街仁和春天11号楼二单元23层</w:t>
            </w:r>
          </w:p>
          <w:p>
            <w:pPr>
              <w:spacing w:line="340" w:lineRule="exact"/>
              <w:rPr>
                <w:rFonts w:ascii="宋体" w:hAnsi="宋体" w:cs="宋体"/>
              </w:rPr>
            </w:pPr>
            <w:r>
              <w:rPr>
                <w:rFonts w:hint="eastAsia" w:ascii="宋体" w:hAnsi="宋体" w:cs="宋体"/>
              </w:rPr>
              <w:t>招标文件售价：500元/套，售后不退。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0" w:type="dxa"/>
            <w:vAlign w:val="center"/>
          </w:tcPr>
          <w:p>
            <w:pPr>
              <w:spacing w:line="340" w:lineRule="exact"/>
              <w:jc w:val="center"/>
              <w:rPr>
                <w:rFonts w:ascii="宋体" w:hAnsi="宋体" w:cs="宋体"/>
              </w:rPr>
            </w:pPr>
            <w:r>
              <w:rPr>
                <w:rFonts w:hint="eastAsia" w:ascii="宋体" w:hAnsi="宋体" w:cs="宋体"/>
              </w:rPr>
              <w:t>9</w:t>
            </w:r>
          </w:p>
        </w:tc>
        <w:tc>
          <w:tcPr>
            <w:tcW w:w="2268" w:type="dxa"/>
            <w:vAlign w:val="center"/>
          </w:tcPr>
          <w:p>
            <w:pPr>
              <w:spacing w:line="340" w:lineRule="exact"/>
              <w:jc w:val="center"/>
              <w:rPr>
                <w:rFonts w:ascii="宋体" w:hAnsi="宋体" w:cs="宋体"/>
              </w:rPr>
            </w:pPr>
            <w:r>
              <w:rPr>
                <w:rFonts w:hint="eastAsia" w:ascii="宋体" w:hAnsi="宋体" w:cs="宋体"/>
              </w:rPr>
              <w:t>投标文件递交截止时间及地点</w:t>
            </w:r>
          </w:p>
        </w:tc>
        <w:tc>
          <w:tcPr>
            <w:tcW w:w="6351" w:type="dxa"/>
            <w:vAlign w:val="center"/>
          </w:tcPr>
          <w:p>
            <w:pPr>
              <w:widowControl/>
              <w:spacing w:line="340" w:lineRule="exact"/>
              <w:rPr>
                <w:rFonts w:ascii="宋体" w:hAnsi="宋体" w:cs="宋体"/>
                <w:kern w:val="0"/>
              </w:rPr>
            </w:pPr>
            <w:r>
              <w:rPr>
                <w:rFonts w:hint="eastAsia" w:ascii="宋体" w:hAnsi="宋体" w:cs="宋体"/>
                <w:lang w:val="zh-TW"/>
              </w:rPr>
              <w:t>投标文件递交截止时间：</w:t>
            </w:r>
            <w:r>
              <w:rPr>
                <w:rFonts w:hint="eastAsia" w:ascii="宋体" w:hAnsi="宋体" w:cs="宋体"/>
                <w:bCs/>
              </w:rPr>
              <w:t xml:space="preserve">2023年12月26日09时30分前 </w:t>
            </w:r>
          </w:p>
          <w:p>
            <w:pPr>
              <w:widowControl/>
              <w:spacing w:line="340" w:lineRule="exact"/>
              <w:rPr>
                <w:rFonts w:ascii="宋体" w:hAnsi="宋体" w:cs="宋体"/>
                <w:kern w:val="0"/>
              </w:rPr>
            </w:pPr>
            <w:r>
              <w:rPr>
                <w:rFonts w:hint="eastAsia" w:ascii="宋体" w:hAnsi="宋体" w:cs="宋体"/>
                <w:lang w:val="zh-TW"/>
              </w:rPr>
              <w:t>开标时间：</w:t>
            </w:r>
            <w:r>
              <w:rPr>
                <w:rFonts w:hint="eastAsia" w:ascii="宋体" w:hAnsi="宋体" w:cs="宋体"/>
                <w:bCs/>
              </w:rPr>
              <w:t xml:space="preserve">2023年12月26日09时30分 </w:t>
            </w:r>
          </w:p>
          <w:p>
            <w:pPr>
              <w:spacing w:line="340" w:lineRule="exact"/>
              <w:rPr>
                <w:rFonts w:ascii="宋体" w:hAnsi="宋体" w:cs="宋体"/>
              </w:rPr>
            </w:pPr>
            <w:r>
              <w:rPr>
                <w:rFonts w:hint="eastAsia" w:ascii="宋体" w:hAnsi="宋体" w:cs="宋体"/>
                <w:lang w:val="zh-TW"/>
              </w:rPr>
              <w:t>开标地点</w:t>
            </w:r>
            <w:r>
              <w:rPr>
                <w:rFonts w:hint="eastAsia" w:ascii="宋体" w:hAnsi="宋体" w:cs="宋体"/>
                <w:kern w:val="0"/>
                <w:lang w:val="zh-TW"/>
              </w:rPr>
              <w:t>：</w:t>
            </w:r>
            <w:r>
              <w:rPr>
                <w:rFonts w:hint="eastAsia" w:ascii="宋体" w:hAnsi="宋体" w:cs="宋体"/>
                <w:kern w:val="0"/>
              </w:rPr>
              <w:t>汉中市汉台区西新街仁和春天11号楼二单元23层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00" w:type="dxa"/>
            <w:vAlign w:val="center"/>
          </w:tcPr>
          <w:p>
            <w:pPr>
              <w:spacing w:line="340" w:lineRule="exact"/>
              <w:jc w:val="center"/>
              <w:rPr>
                <w:rFonts w:ascii="宋体" w:hAnsi="宋体" w:cs="宋体"/>
              </w:rPr>
            </w:pPr>
            <w:r>
              <w:rPr>
                <w:rFonts w:hint="eastAsia" w:ascii="宋体" w:hAnsi="宋体" w:cs="宋体"/>
              </w:rPr>
              <w:t>10</w:t>
            </w:r>
          </w:p>
        </w:tc>
        <w:tc>
          <w:tcPr>
            <w:tcW w:w="2268" w:type="dxa"/>
            <w:vAlign w:val="center"/>
          </w:tcPr>
          <w:p>
            <w:pPr>
              <w:spacing w:line="340" w:lineRule="exact"/>
              <w:jc w:val="center"/>
              <w:rPr>
                <w:rFonts w:ascii="宋体" w:hAnsi="宋体" w:cs="宋体"/>
              </w:rPr>
            </w:pPr>
            <w:r>
              <w:rPr>
                <w:rFonts w:hint="eastAsia" w:ascii="宋体" w:hAnsi="宋体" w:cs="宋体"/>
              </w:rPr>
              <w:t>踏勘现场及</w:t>
            </w:r>
          </w:p>
          <w:p>
            <w:pPr>
              <w:spacing w:line="340" w:lineRule="exact"/>
              <w:jc w:val="center"/>
              <w:rPr>
                <w:rFonts w:ascii="宋体" w:hAnsi="宋体" w:cs="宋体"/>
              </w:rPr>
            </w:pPr>
            <w:r>
              <w:rPr>
                <w:rFonts w:hint="eastAsia" w:ascii="宋体" w:hAnsi="宋体" w:cs="宋体"/>
              </w:rPr>
              <w:t>答疑时间、地点</w:t>
            </w:r>
          </w:p>
        </w:tc>
        <w:tc>
          <w:tcPr>
            <w:tcW w:w="6351" w:type="dxa"/>
            <w:vAlign w:val="center"/>
          </w:tcPr>
          <w:p>
            <w:pPr>
              <w:widowControl/>
              <w:spacing w:line="340" w:lineRule="exact"/>
              <w:rPr>
                <w:rFonts w:ascii="宋体" w:hAnsi="宋体" w:cs="宋体"/>
                <w:lang w:val="zh-TW"/>
              </w:rPr>
            </w:pPr>
            <w:r>
              <w:rPr>
                <w:rFonts w:hint="eastAsia" w:ascii="宋体" w:hAnsi="宋体" w:cs="宋体"/>
                <w:szCs w:val="24"/>
              </w:rPr>
              <w:t>踏勘</w:t>
            </w:r>
            <w:r>
              <w:rPr>
                <w:rFonts w:hint="eastAsia" w:ascii="宋体" w:hAnsi="宋体" w:cs="宋体"/>
                <w:lang w:val="zh-TW"/>
              </w:rPr>
              <w:t>现场：投标人自行踏勘现场</w:t>
            </w:r>
          </w:p>
          <w:p>
            <w:pPr>
              <w:widowControl/>
              <w:spacing w:line="340" w:lineRule="exact"/>
              <w:rPr>
                <w:rFonts w:ascii="宋体" w:hAnsi="宋体" w:cs="宋体"/>
                <w:lang w:val="zh-TW"/>
              </w:rPr>
            </w:pPr>
            <w:r>
              <w:rPr>
                <w:rFonts w:hint="eastAsia" w:ascii="宋体" w:hAnsi="宋体" w:cs="宋体"/>
                <w:lang w:val="zh-TW"/>
              </w:rPr>
              <w:t>答疑时间：</w:t>
            </w:r>
            <w:r>
              <w:rPr>
                <w:rFonts w:hint="eastAsia" w:ascii="宋体" w:hAnsi="宋体" w:cs="宋体"/>
                <w:bCs/>
              </w:rPr>
              <w:t>2023年12月11日17时00分前</w:t>
            </w:r>
            <w:r>
              <w:rPr>
                <w:rFonts w:hint="eastAsia" w:ascii="宋体" w:hAnsi="宋体" w:cs="宋体"/>
                <w:lang w:val="zh-TW"/>
              </w:rPr>
              <w:t>（逾期不受理）</w:t>
            </w:r>
          </w:p>
          <w:p>
            <w:pPr>
              <w:widowControl/>
              <w:spacing w:line="340" w:lineRule="exact"/>
              <w:rPr>
                <w:rFonts w:ascii="宋体" w:hAnsi="宋体" w:cs="宋体"/>
                <w:lang w:val="zh-TW"/>
              </w:rPr>
            </w:pPr>
            <w:r>
              <w:rPr>
                <w:rFonts w:hint="eastAsia" w:ascii="宋体" w:hAnsi="宋体" w:cs="宋体"/>
                <w:lang w:val="zh-TW"/>
              </w:rPr>
              <w:t>答疑递交方式：书面原件或电子扫描原件</w:t>
            </w:r>
          </w:p>
          <w:p>
            <w:pPr>
              <w:widowControl/>
              <w:spacing w:line="340" w:lineRule="exact"/>
              <w:rPr>
                <w:rFonts w:ascii="宋体" w:hAnsi="宋体" w:cs="宋体"/>
              </w:rPr>
            </w:pPr>
            <w:r>
              <w:rPr>
                <w:rFonts w:hint="eastAsia" w:ascii="宋体" w:hAnsi="宋体" w:cs="宋体"/>
                <w:lang w:val="zh-TW"/>
              </w:rPr>
              <w:t>投标人应对采购内容及具体要求的完整性进行适当的复核，以便在答疑时澄清。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00" w:type="dxa"/>
            <w:vAlign w:val="center"/>
          </w:tcPr>
          <w:p>
            <w:pPr>
              <w:spacing w:line="340" w:lineRule="exact"/>
              <w:jc w:val="center"/>
              <w:rPr>
                <w:rFonts w:ascii="宋体" w:hAnsi="宋体" w:cs="宋体"/>
              </w:rPr>
            </w:pPr>
            <w:r>
              <w:rPr>
                <w:rFonts w:hint="eastAsia" w:ascii="宋体" w:hAnsi="宋体" w:cs="宋体"/>
              </w:rPr>
              <w:t>11</w:t>
            </w:r>
          </w:p>
        </w:tc>
        <w:tc>
          <w:tcPr>
            <w:tcW w:w="2268" w:type="dxa"/>
            <w:vAlign w:val="center"/>
          </w:tcPr>
          <w:p>
            <w:pPr>
              <w:spacing w:line="340" w:lineRule="exact"/>
              <w:jc w:val="center"/>
              <w:rPr>
                <w:rFonts w:ascii="宋体" w:hAnsi="宋体" w:cs="宋体"/>
              </w:rPr>
            </w:pPr>
            <w:r>
              <w:rPr>
                <w:rFonts w:hint="eastAsia" w:ascii="宋体" w:hAnsi="宋体" w:cs="宋体"/>
              </w:rPr>
              <w:t>招标有效期</w:t>
            </w:r>
          </w:p>
        </w:tc>
        <w:tc>
          <w:tcPr>
            <w:tcW w:w="6351" w:type="dxa"/>
            <w:vAlign w:val="center"/>
          </w:tcPr>
          <w:p>
            <w:pPr>
              <w:spacing w:line="340" w:lineRule="exact"/>
              <w:rPr>
                <w:rFonts w:ascii="宋体" w:hAnsi="宋体" w:cs="宋体"/>
              </w:rPr>
            </w:pPr>
            <w:r>
              <w:rPr>
                <w:rFonts w:hint="eastAsia" w:ascii="宋体" w:hAnsi="宋体" w:cs="宋体"/>
              </w:rPr>
              <w:t>自递交投标文件截止之日起90日历天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00" w:type="dxa"/>
            <w:vAlign w:val="center"/>
          </w:tcPr>
          <w:p>
            <w:pPr>
              <w:spacing w:line="340" w:lineRule="exact"/>
              <w:jc w:val="center"/>
              <w:rPr>
                <w:rFonts w:ascii="宋体" w:hAnsi="宋体" w:cs="宋体"/>
              </w:rPr>
            </w:pPr>
            <w:r>
              <w:rPr>
                <w:rFonts w:hint="eastAsia" w:ascii="宋体" w:hAnsi="宋体" w:cs="宋体"/>
              </w:rPr>
              <w:t>12</w:t>
            </w:r>
          </w:p>
        </w:tc>
        <w:tc>
          <w:tcPr>
            <w:tcW w:w="2268" w:type="dxa"/>
            <w:vAlign w:val="center"/>
          </w:tcPr>
          <w:p>
            <w:pPr>
              <w:spacing w:line="340" w:lineRule="exact"/>
              <w:jc w:val="center"/>
              <w:rPr>
                <w:rFonts w:ascii="宋体" w:hAnsi="宋体" w:cs="宋体"/>
              </w:rPr>
            </w:pPr>
            <w:r>
              <w:rPr>
                <w:rFonts w:hint="eastAsia" w:ascii="宋体" w:hAnsi="宋体" w:cs="宋体"/>
              </w:rPr>
              <w:t>供货安装周期及质量要求</w:t>
            </w:r>
          </w:p>
        </w:tc>
        <w:tc>
          <w:tcPr>
            <w:tcW w:w="6351" w:type="dxa"/>
            <w:vAlign w:val="center"/>
          </w:tcPr>
          <w:p>
            <w:pPr>
              <w:spacing w:line="340" w:lineRule="exact"/>
              <w:rPr>
                <w:rFonts w:ascii="宋体" w:hAnsi="宋体" w:cs="宋体"/>
              </w:rPr>
            </w:pPr>
            <w:r>
              <w:rPr>
                <w:rFonts w:hint="eastAsia" w:ascii="宋体" w:hAnsi="宋体" w:cs="宋体"/>
              </w:rPr>
              <w:t>供货安装周期：50日历天；质保期：三年   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0" w:type="dxa"/>
            <w:vAlign w:val="center"/>
          </w:tcPr>
          <w:p>
            <w:pPr>
              <w:spacing w:line="340" w:lineRule="exact"/>
              <w:jc w:val="center"/>
              <w:rPr>
                <w:rFonts w:ascii="宋体" w:hAnsi="宋体" w:cs="宋体"/>
              </w:rPr>
            </w:pPr>
            <w:r>
              <w:rPr>
                <w:rFonts w:hint="eastAsia" w:ascii="宋体" w:hAnsi="宋体" w:cs="宋体"/>
              </w:rPr>
              <w:t>13</w:t>
            </w:r>
          </w:p>
        </w:tc>
        <w:tc>
          <w:tcPr>
            <w:tcW w:w="2268" w:type="dxa"/>
            <w:vAlign w:val="center"/>
          </w:tcPr>
          <w:p>
            <w:pPr>
              <w:spacing w:line="340" w:lineRule="exact"/>
              <w:jc w:val="center"/>
              <w:rPr>
                <w:rFonts w:ascii="宋体" w:hAnsi="宋体" w:cs="宋体"/>
              </w:rPr>
            </w:pPr>
            <w:r>
              <w:rPr>
                <w:rFonts w:hint="eastAsia" w:ascii="宋体" w:hAnsi="宋体" w:cs="宋体"/>
              </w:rPr>
              <w:t>投标文件份数</w:t>
            </w:r>
          </w:p>
        </w:tc>
        <w:tc>
          <w:tcPr>
            <w:tcW w:w="6351" w:type="dxa"/>
            <w:vAlign w:val="center"/>
          </w:tcPr>
          <w:p>
            <w:pPr>
              <w:spacing w:line="340" w:lineRule="exact"/>
              <w:rPr>
                <w:rFonts w:ascii="宋体" w:hAnsi="宋体" w:cs="宋体"/>
              </w:rPr>
            </w:pPr>
            <w:r>
              <w:rPr>
                <w:rFonts w:hint="eastAsia" w:ascii="宋体" w:hAnsi="宋体" w:cs="宋体"/>
              </w:rPr>
              <w:t>投标文件包含正本1份、副本1份、开标报价一览表1份(含开标报价一览表原件一份以及投标文件电子版光盘或U盘1份）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00" w:type="dxa"/>
            <w:vAlign w:val="center"/>
          </w:tcPr>
          <w:p>
            <w:pPr>
              <w:spacing w:line="340" w:lineRule="exact"/>
              <w:jc w:val="center"/>
              <w:rPr>
                <w:rFonts w:ascii="宋体" w:hAnsi="宋体" w:cs="宋体"/>
              </w:rPr>
            </w:pPr>
            <w:r>
              <w:rPr>
                <w:rFonts w:hint="eastAsia" w:ascii="宋体" w:hAnsi="宋体" w:cs="宋体"/>
              </w:rPr>
              <w:t>14</w:t>
            </w:r>
          </w:p>
        </w:tc>
        <w:tc>
          <w:tcPr>
            <w:tcW w:w="2268" w:type="dxa"/>
            <w:vAlign w:val="center"/>
          </w:tcPr>
          <w:p>
            <w:pPr>
              <w:spacing w:line="340" w:lineRule="exact"/>
              <w:jc w:val="center"/>
              <w:rPr>
                <w:rFonts w:ascii="宋体" w:hAnsi="宋体" w:cs="宋体"/>
              </w:rPr>
            </w:pPr>
            <w:r>
              <w:rPr>
                <w:rFonts w:hint="eastAsia" w:ascii="宋体" w:hAnsi="宋体" w:cs="宋体"/>
              </w:rPr>
              <w:t>评审方法</w:t>
            </w:r>
          </w:p>
        </w:tc>
        <w:tc>
          <w:tcPr>
            <w:tcW w:w="6351" w:type="dxa"/>
            <w:vAlign w:val="center"/>
          </w:tcPr>
          <w:p>
            <w:pPr>
              <w:spacing w:line="340" w:lineRule="exact"/>
              <w:rPr>
                <w:rFonts w:ascii="宋体" w:hAnsi="宋体" w:cs="宋体"/>
              </w:rPr>
            </w:pPr>
            <w:r>
              <w:rPr>
                <w:rFonts w:hint="eastAsia" w:ascii="宋体" w:hAnsi="宋体" w:cs="宋体"/>
              </w:rPr>
              <w:t>综合评分法，具体</w:t>
            </w:r>
            <w:r>
              <w:rPr>
                <w:rFonts w:hint="eastAsia" w:ascii="宋体" w:hAnsi="宋体" w:cs="宋体"/>
                <w:lang w:val="zh-TW"/>
              </w:rPr>
              <w:t>详见评审办法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00" w:type="dxa"/>
            <w:vAlign w:val="center"/>
          </w:tcPr>
          <w:p>
            <w:pPr>
              <w:spacing w:line="340" w:lineRule="exact"/>
              <w:jc w:val="center"/>
              <w:rPr>
                <w:rFonts w:ascii="宋体" w:hAnsi="宋体" w:cs="宋体"/>
              </w:rPr>
            </w:pPr>
            <w:r>
              <w:rPr>
                <w:rFonts w:hint="eastAsia" w:ascii="宋体" w:hAnsi="宋体" w:cs="宋体"/>
              </w:rPr>
              <w:t>15</w:t>
            </w:r>
          </w:p>
        </w:tc>
        <w:tc>
          <w:tcPr>
            <w:tcW w:w="2268" w:type="dxa"/>
            <w:vAlign w:val="center"/>
          </w:tcPr>
          <w:p>
            <w:pPr>
              <w:spacing w:line="340" w:lineRule="exact"/>
              <w:jc w:val="center"/>
              <w:rPr>
                <w:rFonts w:ascii="宋体" w:hAnsi="宋体" w:cs="宋体"/>
              </w:rPr>
            </w:pPr>
            <w:r>
              <w:rPr>
                <w:rFonts w:hint="eastAsia" w:ascii="宋体" w:hAnsi="宋体" w:cs="宋体"/>
              </w:rPr>
              <w:t>资格要求</w:t>
            </w:r>
          </w:p>
        </w:tc>
        <w:tc>
          <w:tcPr>
            <w:tcW w:w="6351" w:type="dxa"/>
          </w:tcPr>
          <w:p>
            <w:pPr>
              <w:spacing w:line="340" w:lineRule="exact"/>
              <w:rPr>
                <w:rFonts w:ascii="宋体" w:hAnsi="宋体"/>
                <w:lang w:val="zh-TW"/>
              </w:rPr>
            </w:pPr>
            <w:r>
              <w:rPr>
                <w:rFonts w:hint="eastAsia" w:ascii="宋体" w:hAnsi="宋体"/>
              </w:rPr>
              <w:t>1、</w:t>
            </w:r>
            <w:r>
              <w:rPr>
                <w:rFonts w:hint="eastAsia" w:ascii="宋体" w:hAnsi="宋体"/>
                <w:lang w:val="zh-TW"/>
              </w:rPr>
              <w:t>基本资格条件：符合《中华人民共和国政府采购法》第二十二条的规定；</w:t>
            </w:r>
          </w:p>
          <w:p>
            <w:pPr>
              <w:widowControl/>
              <w:tabs>
                <w:tab w:val="left" w:pos="1620"/>
              </w:tabs>
              <w:wordWrap w:val="0"/>
              <w:spacing w:line="340" w:lineRule="exact"/>
              <w:ind w:right="-197" w:rightChars="-94"/>
              <w:jc w:val="left"/>
              <w:rPr>
                <w:rFonts w:ascii="宋体" w:hAnsi="宋体"/>
                <w:lang w:val="zh-TW" w:eastAsia="zh-TW"/>
              </w:rPr>
            </w:pPr>
            <w:r>
              <w:rPr>
                <w:rFonts w:hint="eastAsia" w:ascii="宋体" w:hAnsi="宋体"/>
                <w:lang w:eastAsia="zh-TW"/>
              </w:rPr>
              <w:t>2、</w:t>
            </w:r>
            <w:r>
              <w:rPr>
                <w:rFonts w:hint="eastAsia" w:ascii="宋体" w:hAnsi="宋体"/>
                <w:lang w:val="zh-TW" w:eastAsia="zh-TW"/>
              </w:rPr>
              <w:t>特定资格条件：</w:t>
            </w:r>
          </w:p>
          <w:p>
            <w:pPr>
              <w:pStyle w:val="2"/>
              <w:spacing w:line="340" w:lineRule="exact"/>
              <w:ind w:right="105" w:rightChars="50"/>
              <w:rPr>
                <w:rFonts w:ascii="宋体" w:hAnsi="宋体"/>
                <w:sz w:val="21"/>
                <w:szCs w:val="21"/>
                <w:lang w:eastAsia="zh-TW"/>
              </w:rPr>
            </w:pPr>
            <w:r>
              <w:rPr>
                <w:rFonts w:hint="eastAsia" w:ascii="宋体" w:hAnsi="宋体"/>
                <w:kern w:val="2"/>
                <w:sz w:val="21"/>
                <w:szCs w:val="21"/>
                <w:lang w:val="zh-TW" w:eastAsia="zh-TW"/>
              </w:rPr>
              <w:t>（1）投标人具有独立承担民事责任能力的法人、其他组织或自然人，提供合法有效的统一社会信用代码营业执照或事业单位法人证书（自然人应提供身份证明）；（2）提交自2022年</w:t>
            </w:r>
            <w:r>
              <w:rPr>
                <w:rFonts w:hint="eastAsia" w:ascii="宋体" w:hAnsi="宋体"/>
                <w:kern w:val="2"/>
                <w:sz w:val="21"/>
                <w:szCs w:val="21"/>
                <w:lang w:eastAsia="zh-TW"/>
              </w:rPr>
              <w:t>12</w:t>
            </w:r>
            <w:r>
              <w:rPr>
                <w:rFonts w:hint="eastAsia" w:ascii="宋体" w:hAnsi="宋体"/>
                <w:kern w:val="2"/>
                <w:sz w:val="21"/>
                <w:szCs w:val="21"/>
                <w:lang w:val="zh-TW" w:eastAsia="zh-TW"/>
              </w:rPr>
              <w:t>月1日以来任意3个月完税凭证或税务机关开具的完税证明；依法免税的应提供相关文件证明；（3）提交自2022年</w:t>
            </w:r>
            <w:r>
              <w:rPr>
                <w:rFonts w:hint="eastAsia" w:ascii="宋体" w:hAnsi="宋体"/>
                <w:kern w:val="2"/>
                <w:sz w:val="21"/>
                <w:szCs w:val="21"/>
                <w:lang w:eastAsia="zh-TW"/>
              </w:rPr>
              <w:t>12</w:t>
            </w:r>
            <w:r>
              <w:rPr>
                <w:rFonts w:hint="eastAsia" w:ascii="宋体" w:hAnsi="宋体"/>
                <w:kern w:val="2"/>
                <w:sz w:val="21"/>
                <w:szCs w:val="21"/>
                <w:lang w:val="zh-TW" w:eastAsia="zh-TW"/>
              </w:rPr>
              <w:t>月1日以来任意3个月的社会保障资金缴存单据或社保机构开具的社会保险参保缴费情况证明；依法不需要缴纳社会保障资金的应提供相关文件证明；（4）提供履行合同所必须的设备所有权证明、和专业技术能力声明或承诺；（5）投标人须提供供2022年度经审计的财务审计报告（成立时间至开标时间不足一年的可提供成立后任意时段的资产负债表）或开标前六个月内其基本账户银行出具的资信证明或政府采购信用担保机构出具的担保函；”；（6）出具参加政府采购活动前3年内在经营活动中没有重大违法纪录的书面声明；（7）投标人不得为“信用中国”网站中列入失信被执行人（www.creditchina.gov.cn）和重大税收违法案件当事人名单的投标人，不得为中国政府采购（www.ccgp.gov.cn）政府采购严重违法失信行为记录名单中被财政部门禁止参加政府采购活动的投标人；（8）本项目</w:t>
            </w:r>
            <w:r>
              <w:rPr>
                <w:rFonts w:hint="eastAsia" w:ascii="宋体" w:hAnsi="宋体"/>
                <w:kern w:val="2"/>
                <w:sz w:val="21"/>
                <w:szCs w:val="21"/>
                <w:lang w:eastAsia="zh-TW"/>
              </w:rPr>
              <w:t>不</w:t>
            </w:r>
            <w:r>
              <w:rPr>
                <w:rFonts w:hint="eastAsia" w:ascii="宋体" w:hAnsi="宋体"/>
                <w:kern w:val="2"/>
                <w:sz w:val="21"/>
                <w:szCs w:val="21"/>
                <w:lang w:val="zh-TW" w:eastAsia="zh-TW"/>
              </w:rPr>
              <w:t>面向中小企业；（9）本项目不接受联合体。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00" w:type="dxa"/>
            <w:vAlign w:val="center"/>
          </w:tcPr>
          <w:p>
            <w:pPr>
              <w:spacing w:line="340" w:lineRule="exact"/>
              <w:jc w:val="center"/>
              <w:rPr>
                <w:rFonts w:ascii="宋体" w:hAnsi="宋体" w:cs="宋体"/>
              </w:rPr>
            </w:pPr>
            <w:r>
              <w:rPr>
                <w:rFonts w:hint="eastAsia" w:ascii="宋体" w:hAnsi="宋体" w:cs="宋体"/>
              </w:rPr>
              <w:t>16</w:t>
            </w:r>
          </w:p>
        </w:tc>
        <w:tc>
          <w:tcPr>
            <w:tcW w:w="2268" w:type="dxa"/>
            <w:vAlign w:val="center"/>
          </w:tcPr>
          <w:p>
            <w:pPr>
              <w:spacing w:line="340" w:lineRule="exact"/>
              <w:jc w:val="center"/>
              <w:rPr>
                <w:rFonts w:ascii="宋体" w:hAnsi="宋体" w:cs="宋体"/>
              </w:rPr>
            </w:pPr>
            <w:r>
              <w:rPr>
                <w:rFonts w:hint="eastAsia" w:ascii="宋体" w:hAnsi="宋体" w:cs="宋体"/>
              </w:rPr>
              <w:t>采购标的所属行业</w:t>
            </w:r>
          </w:p>
        </w:tc>
        <w:tc>
          <w:tcPr>
            <w:tcW w:w="6351" w:type="dxa"/>
            <w:vAlign w:val="center"/>
          </w:tcPr>
          <w:p>
            <w:pPr>
              <w:pStyle w:val="2"/>
              <w:spacing w:line="340" w:lineRule="exact"/>
              <w:ind w:right="105" w:rightChars="50"/>
              <w:jc w:val="both"/>
              <w:rPr>
                <w:rFonts w:ascii="宋体" w:hAnsi="宋体"/>
                <w:kern w:val="2"/>
                <w:sz w:val="21"/>
                <w:szCs w:val="21"/>
              </w:rPr>
            </w:pPr>
            <w:r>
              <w:rPr>
                <w:rFonts w:ascii="宋体" w:hAnsi="宋体"/>
                <w:kern w:val="2"/>
                <w:sz w:val="21"/>
                <w:szCs w:val="21"/>
              </w:rPr>
              <w:t>信息传输业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800" w:type="dxa"/>
            <w:vAlign w:val="center"/>
          </w:tcPr>
          <w:p>
            <w:pPr>
              <w:spacing w:line="340" w:lineRule="exact"/>
              <w:jc w:val="center"/>
              <w:rPr>
                <w:rFonts w:ascii="宋体" w:hAnsi="宋体" w:cs="宋体"/>
              </w:rPr>
            </w:pPr>
            <w:r>
              <w:rPr>
                <w:rFonts w:hint="eastAsia" w:ascii="宋体" w:hAnsi="宋体" w:cs="宋体"/>
              </w:rPr>
              <w:t>17</w:t>
            </w:r>
          </w:p>
        </w:tc>
        <w:tc>
          <w:tcPr>
            <w:tcW w:w="2268" w:type="dxa"/>
            <w:vAlign w:val="center"/>
          </w:tcPr>
          <w:p>
            <w:pPr>
              <w:spacing w:line="340" w:lineRule="exact"/>
              <w:jc w:val="center"/>
              <w:rPr>
                <w:rFonts w:ascii="宋体" w:hAnsi="宋体" w:cs="宋体"/>
              </w:rPr>
            </w:pPr>
            <w:r>
              <w:rPr>
                <w:rFonts w:hint="eastAsia" w:ascii="宋体" w:hAnsi="宋体" w:cs="宋体"/>
              </w:rPr>
              <w:t>其他费用</w:t>
            </w:r>
          </w:p>
        </w:tc>
        <w:tc>
          <w:tcPr>
            <w:tcW w:w="6351" w:type="dxa"/>
          </w:tcPr>
          <w:p>
            <w:pPr>
              <w:pStyle w:val="2"/>
              <w:spacing w:line="340" w:lineRule="exact"/>
              <w:ind w:right="105" w:rightChars="50"/>
              <w:rPr>
                <w:rFonts w:ascii="宋体" w:hAnsi="宋体"/>
                <w:kern w:val="2"/>
                <w:sz w:val="21"/>
                <w:szCs w:val="21"/>
                <w:lang w:val="zh-TW" w:eastAsia="zh-TW"/>
              </w:rPr>
            </w:pPr>
            <w:r>
              <w:rPr>
                <w:rFonts w:hint="eastAsia" w:ascii="宋体" w:hAnsi="宋体"/>
                <w:kern w:val="2"/>
                <w:sz w:val="21"/>
                <w:szCs w:val="21"/>
                <w:lang w:val="zh-TW" w:eastAsia="zh-TW"/>
              </w:rPr>
              <w:t>本项目的招标代理费：采购代理机构参照国家计委关于印发《招标代理服务收费管理暂行办法》的通知（计价格〔2002〕1980号）、《国家发展和改革委员会办公厅关于招标代理服务收费有关问题的通知》（发改办价格〔2003〕857号）规定向中标</w:t>
            </w:r>
            <w:r>
              <w:rPr>
                <w:rFonts w:hint="eastAsia" w:ascii="宋体" w:hAnsi="宋体"/>
                <w:kern w:val="2"/>
                <w:sz w:val="21"/>
                <w:szCs w:val="21"/>
                <w:lang w:val="zh-TW"/>
              </w:rPr>
              <w:t>投标人</w:t>
            </w:r>
            <w:r>
              <w:rPr>
                <w:rFonts w:hint="eastAsia" w:ascii="宋体" w:hAnsi="宋体"/>
                <w:kern w:val="2"/>
                <w:sz w:val="21"/>
                <w:szCs w:val="21"/>
                <w:lang w:val="zh-TW" w:eastAsia="zh-TW"/>
              </w:rPr>
              <w:t>收取代理服务费。中标人在领取中标通知书前，向招标代理机构付清。</w:t>
            </w:r>
          </w:p>
        </w:tc>
      </w:tr>
    </w:tbl>
    <w:p>
      <w:pPr>
        <w:spacing w:line="500" w:lineRule="atLeast"/>
        <w:jc w:val="center"/>
        <w:outlineLvl w:val="0"/>
        <w:rPr>
          <w:rFonts w:ascii="宋体" w:hAnsi="宋体" w:cs="宋体"/>
          <w:b/>
          <w:bCs/>
          <w:sz w:val="40"/>
          <w:szCs w:val="44"/>
        </w:rPr>
      </w:pPr>
      <w:r>
        <w:rPr>
          <w:rFonts w:hint="eastAsia" w:ascii="宋体" w:hAnsi="宋体" w:cs="宋体"/>
          <w:b/>
          <w:bCs/>
          <w:sz w:val="40"/>
          <w:szCs w:val="44"/>
          <w:lang w:eastAsia="zh-TW"/>
        </w:rPr>
        <w:br w:type="page"/>
      </w:r>
      <w:bookmarkStart w:id="79" w:name="_Toc13047"/>
      <w:bookmarkStart w:id="80" w:name="_Toc3004"/>
      <w:bookmarkStart w:id="81" w:name="_Toc20966"/>
      <w:bookmarkStart w:id="82" w:name="_Toc9661"/>
      <w:bookmarkStart w:id="83" w:name="_Toc8061"/>
      <w:bookmarkStart w:id="84" w:name="_Toc11797"/>
      <w:bookmarkStart w:id="85" w:name="_Toc21721"/>
      <w:bookmarkStart w:id="86" w:name="_Toc27265"/>
      <w:bookmarkStart w:id="87" w:name="_Toc29214"/>
      <w:bookmarkStart w:id="88" w:name="_Toc22861"/>
      <w:bookmarkStart w:id="89" w:name="_Toc27910"/>
      <w:bookmarkStart w:id="90" w:name="_Toc13323"/>
      <w:bookmarkStart w:id="91" w:name="_Toc29158"/>
      <w:bookmarkStart w:id="92" w:name="_Toc20496"/>
      <w:bookmarkStart w:id="93" w:name="_Toc9954"/>
      <w:r>
        <w:rPr>
          <w:rFonts w:hint="eastAsia" w:ascii="宋体" w:hAnsi="宋体" w:cs="宋体"/>
          <w:b/>
          <w:bCs/>
          <w:kern w:val="0"/>
          <w:sz w:val="44"/>
          <w:szCs w:val="44"/>
        </w:rPr>
        <w:t>第三章  投标须知</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spacing w:line="500" w:lineRule="atLeast"/>
        <w:ind w:firstLine="482" w:firstLineChars="200"/>
        <w:outlineLvl w:val="1"/>
        <w:rPr>
          <w:rFonts w:ascii="宋体" w:hAnsi="宋体" w:cs="宋体"/>
          <w:b/>
          <w:bCs/>
          <w:sz w:val="24"/>
          <w:szCs w:val="28"/>
        </w:rPr>
      </w:pPr>
      <w:bookmarkStart w:id="94" w:name="_Toc7417"/>
      <w:bookmarkStart w:id="95" w:name="_Toc28685"/>
      <w:r>
        <w:rPr>
          <w:rFonts w:hint="eastAsia" w:ascii="宋体" w:hAnsi="宋体" w:cs="宋体"/>
          <w:b/>
          <w:bCs/>
          <w:sz w:val="24"/>
          <w:szCs w:val="28"/>
        </w:rPr>
        <w:t>一、名词解释</w:t>
      </w:r>
      <w:bookmarkEnd w:id="94"/>
      <w:bookmarkEnd w:id="95"/>
    </w:p>
    <w:p>
      <w:pPr>
        <w:pStyle w:val="31"/>
        <w:spacing w:before="0" w:beforeAutospacing="0" w:after="0" w:afterAutospacing="0" w:line="500" w:lineRule="exact"/>
        <w:ind w:firstLine="480"/>
      </w:pPr>
      <w:r>
        <w:rPr>
          <w:rFonts w:hint="eastAsia"/>
          <w:szCs w:val="28"/>
        </w:rPr>
        <w:t>1、采   购   人：</w:t>
      </w:r>
      <w:r>
        <w:rPr>
          <w:rFonts w:hint="eastAsia"/>
        </w:rPr>
        <w:t>勉县公安局</w:t>
      </w:r>
    </w:p>
    <w:p>
      <w:pPr>
        <w:adjustRightInd w:val="0"/>
        <w:snapToGrid w:val="0"/>
        <w:spacing w:line="500" w:lineRule="atLeast"/>
        <w:ind w:firstLine="480" w:firstLineChars="200"/>
        <w:rPr>
          <w:rFonts w:ascii="宋体" w:hAnsi="宋体" w:cs="宋体"/>
          <w:sz w:val="24"/>
          <w:szCs w:val="28"/>
        </w:rPr>
      </w:pPr>
      <w:r>
        <w:rPr>
          <w:rFonts w:hint="eastAsia" w:ascii="宋体" w:hAnsi="宋体" w:cs="宋体"/>
          <w:sz w:val="24"/>
          <w:szCs w:val="28"/>
        </w:rPr>
        <w:t>2、采购管理机构：勉县公安局纪检</w:t>
      </w:r>
    </w:p>
    <w:p>
      <w:pPr>
        <w:adjustRightInd w:val="0"/>
        <w:snapToGrid w:val="0"/>
        <w:spacing w:line="500" w:lineRule="atLeast"/>
        <w:ind w:firstLine="480" w:firstLineChars="200"/>
        <w:rPr>
          <w:rFonts w:ascii="宋体" w:hAnsi="宋体" w:cs="宋体"/>
          <w:sz w:val="24"/>
          <w:szCs w:val="28"/>
        </w:rPr>
      </w:pPr>
      <w:r>
        <w:rPr>
          <w:rFonts w:hint="eastAsia" w:ascii="宋体" w:hAnsi="宋体" w:cs="宋体"/>
          <w:sz w:val="24"/>
          <w:szCs w:val="28"/>
        </w:rPr>
        <w:t xml:space="preserve">3、采购代理机构：亿诚建设项目管理有限公司 </w:t>
      </w:r>
    </w:p>
    <w:p>
      <w:pPr>
        <w:adjustRightInd w:val="0"/>
        <w:snapToGrid w:val="0"/>
        <w:spacing w:line="500" w:lineRule="atLeast"/>
        <w:ind w:firstLine="480" w:firstLineChars="200"/>
        <w:rPr>
          <w:rFonts w:ascii="宋体" w:hAnsi="宋体" w:cs="宋体"/>
          <w:sz w:val="24"/>
          <w:szCs w:val="28"/>
        </w:rPr>
      </w:pPr>
      <w:r>
        <w:rPr>
          <w:rFonts w:hint="eastAsia" w:ascii="宋体" w:hAnsi="宋体" w:cs="宋体"/>
          <w:sz w:val="24"/>
          <w:szCs w:val="28"/>
        </w:rPr>
        <w:t>4、投   标   人：参加本次公开招标的潜在投标人</w:t>
      </w:r>
    </w:p>
    <w:p>
      <w:pPr>
        <w:adjustRightInd w:val="0"/>
        <w:snapToGrid w:val="0"/>
        <w:spacing w:line="500" w:lineRule="atLeast"/>
        <w:ind w:firstLine="482" w:firstLineChars="200"/>
        <w:outlineLvl w:val="1"/>
        <w:rPr>
          <w:rFonts w:ascii="宋体" w:hAnsi="宋体" w:cs="宋体"/>
          <w:b/>
          <w:bCs/>
          <w:sz w:val="24"/>
          <w:szCs w:val="28"/>
        </w:rPr>
      </w:pPr>
      <w:bookmarkStart w:id="96" w:name="_Toc12938"/>
      <w:bookmarkStart w:id="97" w:name="_Toc20177"/>
      <w:r>
        <w:rPr>
          <w:rFonts w:hint="eastAsia" w:ascii="宋体" w:hAnsi="宋体" w:cs="宋体"/>
          <w:b/>
          <w:bCs/>
          <w:sz w:val="24"/>
          <w:szCs w:val="28"/>
        </w:rPr>
        <w:t>二、招标文件</w:t>
      </w:r>
      <w:bookmarkEnd w:id="96"/>
      <w:bookmarkEnd w:id="97"/>
    </w:p>
    <w:p>
      <w:pPr>
        <w:spacing w:line="500" w:lineRule="exact"/>
        <w:ind w:firstLine="480" w:firstLineChars="200"/>
        <w:outlineLvl w:val="2"/>
        <w:rPr>
          <w:rFonts w:ascii="宋体" w:hAnsi="宋体" w:cs="宋体"/>
          <w:sz w:val="24"/>
          <w:szCs w:val="28"/>
        </w:rPr>
      </w:pPr>
      <w:r>
        <w:rPr>
          <w:rFonts w:hint="eastAsia" w:ascii="宋体" w:hAnsi="宋体" w:cs="宋体"/>
          <w:sz w:val="24"/>
          <w:szCs w:val="28"/>
        </w:rPr>
        <w:t>1、招标文件的构成</w:t>
      </w:r>
    </w:p>
    <w:p>
      <w:pPr>
        <w:spacing w:line="500" w:lineRule="exact"/>
        <w:ind w:firstLine="480" w:firstLineChars="200"/>
        <w:rPr>
          <w:rFonts w:ascii="宋体" w:hAnsi="宋体" w:cs="宋体"/>
          <w:sz w:val="24"/>
          <w:szCs w:val="28"/>
        </w:rPr>
      </w:pPr>
      <w:bookmarkStart w:id="98" w:name="OLE_LINK6"/>
      <w:r>
        <w:rPr>
          <w:rFonts w:hint="eastAsia" w:ascii="宋体" w:hAnsi="宋体" w:cs="宋体"/>
          <w:sz w:val="24"/>
          <w:szCs w:val="28"/>
        </w:rPr>
        <w:t>1.1</w:t>
      </w:r>
      <w:bookmarkEnd w:id="98"/>
      <w:r>
        <w:rPr>
          <w:rFonts w:hint="eastAsia" w:ascii="宋体" w:hAnsi="宋体" w:cs="宋体"/>
          <w:sz w:val="24"/>
          <w:szCs w:val="28"/>
        </w:rPr>
        <w:t xml:space="preserve"> 要求提供的货物及服务、招标过程和合同条款在招标文件中均有说明。招标文件各章名称见目录。</w:t>
      </w:r>
    </w:p>
    <w:p>
      <w:pPr>
        <w:spacing w:line="500" w:lineRule="exact"/>
        <w:ind w:firstLine="480" w:firstLineChars="200"/>
        <w:rPr>
          <w:rFonts w:ascii="宋体" w:hAnsi="宋体" w:cs="宋体"/>
          <w:sz w:val="24"/>
          <w:szCs w:val="28"/>
        </w:rPr>
      </w:pPr>
      <w:r>
        <w:rPr>
          <w:rFonts w:hint="eastAsia" w:ascii="宋体" w:hAnsi="宋体" w:cs="宋体"/>
          <w:sz w:val="24"/>
          <w:szCs w:val="28"/>
        </w:rPr>
        <w:t>1.2 投标人应认真阅读招标文件中所有的事项、格式、条款和技术规范等。投标人没有按照招标文件要求提交全部资料，或者投标文件没有对招标文件在各方面都做出实质性投标是投标人的风险，并可能导致其投标被拒绝。</w:t>
      </w:r>
    </w:p>
    <w:p>
      <w:pPr>
        <w:spacing w:line="500" w:lineRule="exact"/>
        <w:ind w:firstLine="480" w:firstLineChars="200"/>
        <w:outlineLvl w:val="2"/>
        <w:rPr>
          <w:rFonts w:ascii="宋体" w:hAnsi="宋体" w:cs="宋体"/>
          <w:sz w:val="24"/>
          <w:szCs w:val="28"/>
        </w:rPr>
      </w:pPr>
      <w:r>
        <w:rPr>
          <w:rFonts w:hint="eastAsia" w:ascii="宋体" w:hAnsi="宋体" w:cs="宋体"/>
          <w:sz w:val="24"/>
          <w:szCs w:val="28"/>
        </w:rPr>
        <w:t>2、招标文件的澄清</w:t>
      </w:r>
    </w:p>
    <w:p>
      <w:pPr>
        <w:spacing w:line="500" w:lineRule="exact"/>
        <w:ind w:firstLine="480" w:firstLineChars="200"/>
        <w:rPr>
          <w:rFonts w:ascii="宋体" w:hAnsi="宋体" w:cs="宋体"/>
          <w:sz w:val="24"/>
          <w:szCs w:val="28"/>
        </w:rPr>
      </w:pPr>
      <w:r>
        <w:rPr>
          <w:rFonts w:hint="eastAsia" w:ascii="宋体" w:hAnsi="宋体" w:cs="宋体"/>
          <w:sz w:val="24"/>
          <w:szCs w:val="28"/>
        </w:rPr>
        <w:t>任何要求对招标文件进行澄清的投标人，均应以书面形式通知采购代理机构，采购代理机构对在投标截止期十五（15）日以前收到的对招标文件的澄清要求均以书面形式予以答复，必要时在政府采购指定媒体进行公布，同时将书面答复发给每个购买招标文件的投标人（答复中不包括问题的来源）。</w:t>
      </w:r>
    </w:p>
    <w:p>
      <w:pPr>
        <w:spacing w:line="500" w:lineRule="exact"/>
        <w:ind w:firstLine="480" w:firstLineChars="200"/>
        <w:outlineLvl w:val="2"/>
        <w:rPr>
          <w:rFonts w:ascii="宋体" w:hAnsi="宋体" w:cs="宋体"/>
          <w:sz w:val="24"/>
          <w:szCs w:val="28"/>
        </w:rPr>
      </w:pPr>
      <w:bookmarkStart w:id="99" w:name="_Toc73427785"/>
      <w:r>
        <w:rPr>
          <w:rFonts w:hint="eastAsia" w:ascii="宋体" w:hAnsi="宋体" w:cs="宋体"/>
          <w:sz w:val="24"/>
          <w:szCs w:val="28"/>
        </w:rPr>
        <w:t>3、招标文件的修改</w:t>
      </w:r>
      <w:bookmarkEnd w:id="99"/>
    </w:p>
    <w:p>
      <w:pPr>
        <w:spacing w:line="500" w:lineRule="exact"/>
        <w:ind w:firstLine="480" w:firstLineChars="200"/>
        <w:rPr>
          <w:rFonts w:ascii="宋体" w:hAnsi="宋体" w:cs="宋体"/>
          <w:sz w:val="24"/>
          <w:szCs w:val="28"/>
        </w:rPr>
      </w:pPr>
      <w:bookmarkStart w:id="100" w:name="OLE_LINK7"/>
      <w:r>
        <w:rPr>
          <w:rFonts w:hint="eastAsia" w:ascii="宋体" w:hAnsi="宋体" w:cs="宋体"/>
          <w:sz w:val="24"/>
          <w:szCs w:val="28"/>
        </w:rPr>
        <w:t>3.1</w:t>
      </w:r>
      <w:bookmarkEnd w:id="100"/>
      <w:r>
        <w:rPr>
          <w:rFonts w:hint="eastAsia" w:ascii="宋体" w:hAnsi="宋体" w:cs="宋体"/>
          <w:sz w:val="24"/>
          <w:szCs w:val="28"/>
        </w:rPr>
        <w:t xml:space="preserve"> 在投标截止期前十五（15）日的任何时候，无论出于何种原因，采购人可主动地或在解答投标人提出的澄清问题时对招标文件进行修改。</w:t>
      </w:r>
    </w:p>
    <w:p>
      <w:pPr>
        <w:spacing w:line="500" w:lineRule="exact"/>
        <w:ind w:firstLine="480" w:firstLineChars="200"/>
        <w:rPr>
          <w:rFonts w:ascii="宋体" w:hAnsi="宋体" w:cs="宋体"/>
          <w:sz w:val="24"/>
          <w:szCs w:val="28"/>
        </w:rPr>
      </w:pPr>
      <w:r>
        <w:rPr>
          <w:rFonts w:hint="eastAsia" w:ascii="宋体" w:hAnsi="宋体" w:cs="宋体"/>
          <w:sz w:val="24"/>
          <w:szCs w:val="28"/>
        </w:rPr>
        <w:t>3.2 招标文件的修改将在政府采购指定媒体进行公布并以书面形式通知所有购买招标文件的投标人，并对其具有约束力。投标人在收到上述通知后，应立即向采购代理机构回函确认。</w:t>
      </w:r>
    </w:p>
    <w:p>
      <w:pPr>
        <w:spacing w:line="500" w:lineRule="exact"/>
        <w:ind w:firstLine="480" w:firstLineChars="200"/>
        <w:rPr>
          <w:rFonts w:ascii="宋体" w:hAnsi="宋体" w:cs="宋体"/>
          <w:sz w:val="24"/>
          <w:szCs w:val="28"/>
        </w:rPr>
      </w:pPr>
      <w:r>
        <w:rPr>
          <w:rFonts w:hint="eastAsia" w:ascii="宋体" w:hAnsi="宋体" w:cs="宋体"/>
          <w:sz w:val="24"/>
          <w:szCs w:val="28"/>
        </w:rPr>
        <w:t>3.3 为使投标人准备投标时有充分时间对招标文件的修改部分进行研究，采购人可根据项目情况决定是否延长投标截止期。</w:t>
      </w:r>
    </w:p>
    <w:p>
      <w:pPr>
        <w:numPr>
          <w:ilvl w:val="0"/>
          <w:numId w:val="1"/>
        </w:numPr>
        <w:spacing w:line="500" w:lineRule="exact"/>
        <w:ind w:firstLine="480" w:firstLineChars="200"/>
        <w:rPr>
          <w:rFonts w:ascii="宋体" w:hAnsi="宋体" w:cs="宋体"/>
          <w:sz w:val="24"/>
          <w:szCs w:val="28"/>
        </w:rPr>
      </w:pPr>
      <w:r>
        <w:rPr>
          <w:rFonts w:hint="eastAsia" w:ascii="宋体" w:hAnsi="宋体" w:cs="宋体"/>
          <w:sz w:val="24"/>
          <w:szCs w:val="28"/>
        </w:rPr>
        <w:t>招标文件的澄清或修改将以书面形式通知购买招标文件的投标人，并作为招标文件的补充，与其具有同等法律效力。</w:t>
      </w:r>
    </w:p>
    <w:p>
      <w:pPr>
        <w:numPr>
          <w:ilvl w:val="0"/>
          <w:numId w:val="1"/>
        </w:numPr>
        <w:spacing w:line="500" w:lineRule="exact"/>
        <w:ind w:firstLine="480" w:firstLineChars="200"/>
        <w:rPr>
          <w:rFonts w:ascii="宋体" w:hAnsi="宋体" w:cs="宋体"/>
          <w:sz w:val="24"/>
          <w:szCs w:val="28"/>
        </w:rPr>
      </w:pPr>
      <w:r>
        <w:rPr>
          <w:rFonts w:hint="eastAsia" w:ascii="宋体" w:hAnsi="宋体" w:cs="宋体"/>
          <w:sz w:val="24"/>
          <w:szCs w:val="28"/>
        </w:rPr>
        <w:t>各投标人必须从采购代理机构购买招标文件，投标人自行转让或复制文件视为无效。招标文件一经售出，一律不退。</w:t>
      </w:r>
    </w:p>
    <w:p>
      <w:pPr>
        <w:spacing w:line="500" w:lineRule="exact"/>
        <w:ind w:firstLine="480" w:firstLineChars="200"/>
        <w:outlineLvl w:val="2"/>
        <w:rPr>
          <w:rFonts w:ascii="宋体" w:hAnsi="宋体" w:cs="宋体"/>
          <w:sz w:val="24"/>
          <w:szCs w:val="28"/>
        </w:rPr>
      </w:pPr>
      <w:r>
        <w:rPr>
          <w:rFonts w:hint="eastAsia" w:ascii="宋体" w:hAnsi="宋体" w:cs="宋体"/>
          <w:sz w:val="24"/>
          <w:szCs w:val="28"/>
        </w:rPr>
        <w:t>6、本文件的解释权归采购人和采购代理机构。</w:t>
      </w:r>
    </w:p>
    <w:p>
      <w:pPr>
        <w:snapToGrid w:val="0"/>
        <w:spacing w:line="500" w:lineRule="exact"/>
        <w:outlineLvl w:val="1"/>
        <w:rPr>
          <w:rFonts w:ascii="宋体" w:hAnsi="宋体" w:cs="宋体"/>
          <w:sz w:val="24"/>
          <w:szCs w:val="28"/>
        </w:rPr>
      </w:pPr>
      <w:bookmarkStart w:id="101" w:name="_Toc28169"/>
      <w:bookmarkStart w:id="102" w:name="_Toc14560"/>
      <w:r>
        <w:rPr>
          <w:rFonts w:hint="eastAsia" w:ascii="宋体" w:hAnsi="宋体" w:cs="宋体"/>
          <w:b/>
          <w:bCs/>
          <w:sz w:val="24"/>
          <w:szCs w:val="28"/>
        </w:rPr>
        <w:t>三、投标文件的编制</w:t>
      </w:r>
      <w:bookmarkEnd w:id="101"/>
      <w:bookmarkEnd w:id="102"/>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3.1 投标文件必须根据招标文件要求的格式编写，做出实质性投标。具体内容包括：</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①、按照要求填写投标函格式。</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②、投标报价一览表。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③、投标人按要求出具的资格证明文件，证明参加投标的投标人是合格的，中标后有能力履行合同，且设备来源渠道合法，质量有保证等。</w:t>
      </w:r>
    </w:p>
    <w:p>
      <w:pPr>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3.2 投标报价：</w:t>
      </w:r>
    </w:p>
    <w:p>
      <w:pPr>
        <w:snapToGrid w:val="0"/>
        <w:spacing w:line="500" w:lineRule="exact"/>
        <w:ind w:left="420" w:leftChars="200"/>
        <w:rPr>
          <w:rFonts w:ascii="宋体" w:hAnsi="宋体" w:cs="宋体"/>
          <w:sz w:val="24"/>
          <w:szCs w:val="28"/>
        </w:rPr>
      </w:pPr>
      <w:r>
        <w:rPr>
          <w:rFonts w:hint="eastAsia" w:ascii="宋体" w:hAnsi="宋体" w:cs="宋体"/>
          <w:sz w:val="24"/>
          <w:szCs w:val="28"/>
        </w:rPr>
        <w:t>①、各投标人应在投标文件中的投标报价一览表上，标明投标总价、整个项目完成</w:t>
      </w:r>
    </w:p>
    <w:p>
      <w:pPr>
        <w:snapToGrid w:val="0"/>
        <w:spacing w:line="500" w:lineRule="exact"/>
        <w:rPr>
          <w:rFonts w:ascii="宋体" w:hAnsi="宋体" w:cs="宋体"/>
          <w:sz w:val="24"/>
          <w:szCs w:val="28"/>
        </w:rPr>
      </w:pPr>
      <w:r>
        <w:rPr>
          <w:rFonts w:hint="eastAsia" w:ascii="宋体" w:hAnsi="宋体" w:cs="宋体"/>
          <w:sz w:val="24"/>
          <w:szCs w:val="28"/>
        </w:rPr>
        <w:t>期限、质量标准等项，在分项报价表中须标明单价，任何有选择的报价采购代理机构不予接受。</w:t>
      </w:r>
    </w:p>
    <w:p>
      <w:pPr>
        <w:spacing w:line="500" w:lineRule="exact"/>
        <w:ind w:left="420" w:leftChars="200"/>
        <w:rPr>
          <w:rFonts w:ascii="宋体" w:hAnsi="宋体" w:cs="宋体"/>
          <w:sz w:val="24"/>
          <w:szCs w:val="28"/>
        </w:rPr>
      </w:pPr>
      <w:r>
        <w:rPr>
          <w:rFonts w:hint="eastAsia" w:ascii="宋体" w:hAnsi="宋体" w:cs="宋体"/>
          <w:sz w:val="24"/>
          <w:szCs w:val="28"/>
        </w:rPr>
        <w:t>②、投标总价为项目实施过程中的全部费用，包含：招标需求中的全部内容及安装、</w:t>
      </w:r>
    </w:p>
    <w:p>
      <w:pPr>
        <w:spacing w:line="500" w:lineRule="exact"/>
        <w:rPr>
          <w:rFonts w:ascii="宋体" w:hAnsi="宋体" w:cs="宋体"/>
          <w:sz w:val="24"/>
          <w:szCs w:val="28"/>
        </w:rPr>
      </w:pPr>
      <w:r>
        <w:rPr>
          <w:rFonts w:hint="eastAsia" w:ascii="宋体" w:hAnsi="宋体" w:cs="宋体"/>
          <w:sz w:val="24"/>
          <w:szCs w:val="28"/>
        </w:rPr>
        <w:t>调试、培训等。</w:t>
      </w:r>
    </w:p>
    <w:p>
      <w:pPr>
        <w:snapToGrid w:val="0"/>
        <w:spacing w:line="500" w:lineRule="exact"/>
        <w:ind w:left="420" w:leftChars="200"/>
        <w:rPr>
          <w:rFonts w:ascii="宋体" w:hAnsi="宋体" w:cs="宋体"/>
          <w:sz w:val="24"/>
          <w:szCs w:val="28"/>
        </w:rPr>
      </w:pPr>
      <w:r>
        <w:rPr>
          <w:rFonts w:hint="eastAsia" w:ascii="宋体" w:hAnsi="宋体" w:cs="宋体"/>
          <w:sz w:val="24"/>
          <w:szCs w:val="28"/>
        </w:rPr>
        <w:t>③、凡因投标人对招标文件阅读不深、理解不透、误解、疏漏、或因市场行情了解</w:t>
      </w:r>
    </w:p>
    <w:p>
      <w:pPr>
        <w:snapToGrid w:val="0"/>
        <w:spacing w:line="500" w:lineRule="exact"/>
        <w:rPr>
          <w:rFonts w:ascii="宋体" w:hAnsi="宋体" w:cs="宋体"/>
          <w:sz w:val="24"/>
          <w:szCs w:val="28"/>
        </w:rPr>
      </w:pPr>
      <w:r>
        <w:rPr>
          <w:rFonts w:hint="eastAsia" w:ascii="宋体" w:hAnsi="宋体" w:cs="宋体"/>
          <w:sz w:val="24"/>
          <w:szCs w:val="28"/>
        </w:rPr>
        <w:t>不清造成的后果和风险均由各投标人自负。</w:t>
      </w:r>
    </w:p>
    <w:p>
      <w:pPr>
        <w:snapToGrid w:val="0"/>
        <w:spacing w:line="500" w:lineRule="exact"/>
        <w:ind w:left="420" w:leftChars="200"/>
        <w:rPr>
          <w:rFonts w:ascii="宋体" w:hAnsi="宋体" w:cs="宋体"/>
          <w:sz w:val="24"/>
          <w:szCs w:val="28"/>
        </w:rPr>
      </w:pPr>
      <w:r>
        <w:rPr>
          <w:rFonts w:hint="eastAsia" w:ascii="宋体" w:hAnsi="宋体" w:cs="宋体"/>
          <w:sz w:val="24"/>
          <w:szCs w:val="28"/>
        </w:rPr>
        <w:t>④、最低报价不作为中标的唯一条件。</w:t>
      </w:r>
    </w:p>
    <w:p>
      <w:pPr>
        <w:spacing w:line="500" w:lineRule="exact"/>
        <w:ind w:firstLine="480" w:firstLineChars="200"/>
        <w:rPr>
          <w:rFonts w:ascii="宋体" w:hAnsi="宋体" w:cs="宋体"/>
          <w:sz w:val="24"/>
          <w:szCs w:val="28"/>
        </w:rPr>
      </w:pPr>
      <w:r>
        <w:rPr>
          <w:rFonts w:hint="eastAsia" w:ascii="宋体" w:hAnsi="宋体" w:cs="宋体"/>
          <w:sz w:val="24"/>
          <w:szCs w:val="28"/>
        </w:rPr>
        <w:t>3.3 报价货币：人民币  单位：元（精确到小数点后两位）。</w:t>
      </w:r>
    </w:p>
    <w:p>
      <w:pPr>
        <w:spacing w:line="500" w:lineRule="exact"/>
        <w:ind w:firstLine="480" w:firstLineChars="200"/>
        <w:rPr>
          <w:rFonts w:ascii="宋体" w:hAnsi="宋体" w:cs="宋体"/>
          <w:sz w:val="24"/>
          <w:szCs w:val="28"/>
          <w:u w:val="single"/>
        </w:rPr>
      </w:pPr>
      <w:r>
        <w:rPr>
          <w:rFonts w:hint="eastAsia" w:ascii="宋体" w:hAnsi="宋体" w:cs="宋体"/>
          <w:sz w:val="24"/>
          <w:szCs w:val="28"/>
        </w:rPr>
        <w:t>3.4 保证金：</w:t>
      </w:r>
      <w:r>
        <w:rPr>
          <w:rFonts w:hint="eastAsia" w:ascii="宋体" w:hAnsi="宋体" w:cs="宋体"/>
          <w:sz w:val="24"/>
          <w:szCs w:val="28"/>
          <w:u w:val="single"/>
        </w:rPr>
        <w:t>人民币壹万元整（¥10000.00元）</w:t>
      </w:r>
    </w:p>
    <w:p>
      <w:pPr>
        <w:spacing w:line="500" w:lineRule="exact"/>
        <w:ind w:firstLine="480" w:firstLineChars="200"/>
        <w:rPr>
          <w:rFonts w:ascii="宋体" w:hAnsi="宋体" w:cs="宋体"/>
          <w:sz w:val="24"/>
          <w:szCs w:val="28"/>
          <w:u w:val="single"/>
        </w:rPr>
      </w:pPr>
      <w:r>
        <w:rPr>
          <w:rFonts w:hint="eastAsia" w:ascii="宋体" w:hAnsi="宋体" w:cs="宋体"/>
          <w:sz w:val="24"/>
          <w:szCs w:val="28"/>
        </w:rPr>
        <w:t>①、投标人须按规定时间向采购代理机构交纳投标保证金。</w:t>
      </w:r>
    </w:p>
    <w:p>
      <w:pPr>
        <w:spacing w:line="500" w:lineRule="exact"/>
        <w:ind w:firstLine="480" w:firstLineChars="200"/>
        <w:rPr>
          <w:rFonts w:ascii="宋体" w:hAnsi="宋体" w:cs="宋体"/>
          <w:sz w:val="24"/>
          <w:szCs w:val="28"/>
        </w:rPr>
      </w:pPr>
      <w:r>
        <w:rPr>
          <w:rFonts w:hint="eastAsia" w:ascii="宋体" w:hAnsi="宋体" w:cs="宋体"/>
          <w:sz w:val="24"/>
          <w:szCs w:val="28"/>
        </w:rPr>
        <w:t>②、各投标人应按招标文件规定的金额递交保证金，并作为其投标文件的组成部分。</w:t>
      </w:r>
    </w:p>
    <w:p>
      <w:pPr>
        <w:spacing w:line="500" w:lineRule="exact"/>
        <w:ind w:firstLine="480" w:firstLineChars="200"/>
        <w:rPr>
          <w:rFonts w:ascii="宋体" w:hAnsi="宋体" w:cs="宋体"/>
          <w:sz w:val="24"/>
          <w:szCs w:val="28"/>
        </w:rPr>
      </w:pPr>
      <w:r>
        <w:rPr>
          <w:rFonts w:hint="eastAsia" w:ascii="宋体" w:hAnsi="宋体" w:cs="宋体"/>
          <w:sz w:val="24"/>
          <w:szCs w:val="28"/>
        </w:rPr>
        <w:t>③、保证金应为人民币，可采用下列任何一种形式支付：</w:t>
      </w:r>
    </w:p>
    <w:p>
      <w:pPr>
        <w:spacing w:line="500" w:lineRule="exact"/>
        <w:ind w:firstLine="580"/>
        <w:rPr>
          <w:rFonts w:ascii="宋体" w:hAnsi="宋体" w:cs="宋体"/>
          <w:sz w:val="24"/>
          <w:szCs w:val="28"/>
        </w:rPr>
      </w:pPr>
      <w:r>
        <w:rPr>
          <w:rFonts w:hint="eastAsia" w:ascii="宋体" w:hAnsi="宋体" w:cs="宋体"/>
          <w:sz w:val="24"/>
          <w:szCs w:val="28"/>
        </w:rPr>
        <w:t xml:space="preserve">   以支票、汇票、本票（从企业基本账户转入指定账户）或保函等非现金形式缴纳或提交保证金。</w:t>
      </w:r>
    </w:p>
    <w:p>
      <w:pPr>
        <w:spacing w:line="500" w:lineRule="exact"/>
        <w:ind w:firstLine="480" w:firstLineChars="200"/>
        <w:rPr>
          <w:rFonts w:ascii="宋体" w:hAnsi="宋体" w:cs="宋体"/>
          <w:sz w:val="24"/>
          <w:szCs w:val="28"/>
        </w:rPr>
      </w:pPr>
      <w:r>
        <w:rPr>
          <w:rFonts w:hint="eastAsia" w:ascii="宋体" w:hAnsi="宋体" w:cs="宋体"/>
          <w:sz w:val="24"/>
          <w:szCs w:val="28"/>
        </w:rPr>
        <w:t>④、凡未按招标文件要求缴纳投标保证金证的投标文件，其投标文件无效。</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⑤、未中标单位的保证金，在中标通知书发出后五个工作日内退还，中标单位保证金在合同签订后五个工作日内退还。</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因投标人自身原因导致未及时退还的，由投标人自行负责。</w:t>
      </w:r>
    </w:p>
    <w:p>
      <w:pPr>
        <w:spacing w:line="500" w:lineRule="exact"/>
        <w:ind w:firstLine="580"/>
        <w:outlineLvl w:val="2"/>
        <w:rPr>
          <w:rFonts w:ascii="宋体" w:hAnsi="宋体" w:cs="宋体"/>
          <w:sz w:val="24"/>
          <w:szCs w:val="28"/>
        </w:rPr>
      </w:pPr>
      <w:r>
        <w:rPr>
          <w:rFonts w:hint="eastAsia" w:ascii="宋体" w:hAnsi="宋体" w:cs="宋体"/>
          <w:sz w:val="24"/>
          <w:szCs w:val="28"/>
        </w:rPr>
        <w:t>3.5 下列情况发生（包括但不限于），保证金将不予退还：</w:t>
      </w:r>
    </w:p>
    <w:p>
      <w:pPr>
        <w:spacing w:line="500" w:lineRule="exact"/>
        <w:ind w:firstLine="480" w:firstLineChars="200"/>
        <w:rPr>
          <w:rFonts w:ascii="宋体" w:hAnsi="宋体" w:cs="宋体"/>
          <w:sz w:val="24"/>
          <w:szCs w:val="28"/>
        </w:rPr>
      </w:pPr>
      <w:r>
        <w:rPr>
          <w:rFonts w:hint="eastAsia" w:ascii="宋体" w:hAnsi="宋体" w:cs="宋体"/>
          <w:sz w:val="24"/>
          <w:szCs w:val="28"/>
        </w:rPr>
        <w:t>①、投标人提供虚假资质谋取中标的；</w:t>
      </w:r>
    </w:p>
    <w:p>
      <w:pPr>
        <w:spacing w:line="500" w:lineRule="exact"/>
        <w:ind w:firstLine="480" w:firstLineChars="200"/>
        <w:rPr>
          <w:rFonts w:ascii="宋体" w:hAnsi="宋体" w:cs="宋体"/>
          <w:sz w:val="24"/>
          <w:szCs w:val="28"/>
        </w:rPr>
      </w:pPr>
      <w:r>
        <w:rPr>
          <w:rFonts w:hint="eastAsia" w:ascii="宋体" w:hAnsi="宋体" w:cs="宋体"/>
          <w:sz w:val="24"/>
          <w:szCs w:val="28"/>
        </w:rPr>
        <w:t>②、有围标、串标现象，经查证属实的；</w:t>
      </w:r>
    </w:p>
    <w:p>
      <w:pPr>
        <w:spacing w:line="500" w:lineRule="exact"/>
        <w:ind w:firstLine="480" w:firstLineChars="200"/>
        <w:rPr>
          <w:rFonts w:ascii="宋体" w:hAnsi="宋体" w:cs="宋体"/>
          <w:sz w:val="24"/>
          <w:szCs w:val="28"/>
        </w:rPr>
      </w:pPr>
      <w:r>
        <w:rPr>
          <w:rFonts w:hint="eastAsia" w:ascii="宋体" w:hAnsi="宋体" w:cs="宋体"/>
          <w:sz w:val="24"/>
          <w:szCs w:val="28"/>
        </w:rPr>
        <w:t>③、投标人在该项目招投标期间擅自退出投标活动的；</w:t>
      </w:r>
    </w:p>
    <w:p>
      <w:pPr>
        <w:spacing w:line="500" w:lineRule="exact"/>
        <w:ind w:firstLine="480" w:firstLineChars="200"/>
        <w:rPr>
          <w:rFonts w:ascii="宋体" w:hAnsi="宋体" w:cs="宋体"/>
          <w:sz w:val="24"/>
          <w:szCs w:val="28"/>
        </w:rPr>
      </w:pPr>
      <w:r>
        <w:rPr>
          <w:rFonts w:hint="eastAsia" w:ascii="宋体" w:hAnsi="宋体" w:cs="宋体"/>
          <w:sz w:val="24"/>
          <w:szCs w:val="28"/>
        </w:rPr>
        <w:t>④、投标文件递交截止时间后投标人撤销投标文件的；</w:t>
      </w:r>
    </w:p>
    <w:p>
      <w:pPr>
        <w:spacing w:line="500" w:lineRule="exact"/>
        <w:ind w:firstLine="480" w:firstLineChars="200"/>
        <w:rPr>
          <w:rFonts w:ascii="宋体" w:hAnsi="宋体" w:cs="宋体"/>
          <w:sz w:val="24"/>
          <w:szCs w:val="28"/>
        </w:rPr>
      </w:pPr>
      <w:r>
        <w:rPr>
          <w:rFonts w:hint="eastAsia" w:ascii="宋体" w:hAnsi="宋体" w:cs="宋体"/>
          <w:sz w:val="24"/>
          <w:szCs w:val="28"/>
        </w:rPr>
        <w:t>⑤、中标投标人自行放弃中标资格的；</w:t>
      </w:r>
    </w:p>
    <w:p>
      <w:pPr>
        <w:spacing w:line="500" w:lineRule="exact"/>
        <w:ind w:firstLine="480" w:firstLineChars="200"/>
        <w:rPr>
          <w:rFonts w:ascii="宋体" w:hAnsi="宋体" w:cs="宋体"/>
          <w:sz w:val="24"/>
          <w:szCs w:val="28"/>
        </w:rPr>
      </w:pPr>
      <w:r>
        <w:rPr>
          <w:rFonts w:hint="eastAsia" w:ascii="宋体" w:hAnsi="宋体" w:cs="宋体"/>
          <w:sz w:val="24"/>
          <w:szCs w:val="28"/>
        </w:rPr>
        <w:t>⑥、中标投标人不在规定的时效内领取《中标通知书》的；</w:t>
      </w:r>
    </w:p>
    <w:p>
      <w:pPr>
        <w:spacing w:line="500" w:lineRule="exact"/>
        <w:ind w:firstLine="480" w:firstLineChars="200"/>
        <w:rPr>
          <w:rFonts w:ascii="宋体" w:hAnsi="宋体" w:cs="宋体"/>
          <w:sz w:val="24"/>
          <w:szCs w:val="28"/>
        </w:rPr>
      </w:pPr>
      <w:r>
        <w:rPr>
          <w:rFonts w:hint="eastAsia" w:ascii="宋体" w:hAnsi="宋体" w:cs="宋体"/>
          <w:sz w:val="24"/>
          <w:szCs w:val="28"/>
        </w:rPr>
        <w:t>⑦、中标投标人不按规定支付采购代理服务费的；</w:t>
      </w:r>
    </w:p>
    <w:p>
      <w:pPr>
        <w:spacing w:line="500" w:lineRule="exact"/>
        <w:ind w:firstLine="480" w:firstLineChars="200"/>
        <w:rPr>
          <w:rFonts w:ascii="宋体" w:hAnsi="宋体" w:cs="宋体"/>
          <w:sz w:val="24"/>
          <w:szCs w:val="28"/>
        </w:rPr>
      </w:pPr>
      <w:r>
        <w:rPr>
          <w:rFonts w:hint="eastAsia" w:ascii="宋体" w:hAnsi="宋体" w:cs="宋体"/>
          <w:sz w:val="24"/>
          <w:szCs w:val="28"/>
        </w:rPr>
        <w:t>⑧、中标投标人因自身原因未能在规定期限内与采购人签订合同的。</w:t>
      </w:r>
    </w:p>
    <w:p>
      <w:pPr>
        <w:spacing w:line="500" w:lineRule="exact"/>
        <w:ind w:firstLine="480" w:firstLineChars="200"/>
        <w:rPr>
          <w:rFonts w:ascii="宋体" w:hAnsi="宋体" w:cs="宋体"/>
          <w:sz w:val="24"/>
          <w:szCs w:val="28"/>
        </w:rPr>
      </w:pPr>
      <w:r>
        <w:rPr>
          <w:rFonts w:hint="eastAsia" w:ascii="宋体" w:hAnsi="宋体" w:cs="宋体"/>
          <w:sz w:val="24"/>
          <w:szCs w:val="28"/>
        </w:rPr>
        <w:t>3.6 投标文件有效期为投标文件提交截止之日起九十日历日，中标投标人的投标文件有效期延长至合同执行完毕。</w:t>
      </w:r>
    </w:p>
    <w:p>
      <w:pPr>
        <w:spacing w:line="500" w:lineRule="exact"/>
        <w:ind w:firstLine="482" w:firstLineChars="200"/>
        <w:outlineLvl w:val="1"/>
        <w:rPr>
          <w:rFonts w:ascii="宋体" w:hAnsi="宋体" w:cs="宋体"/>
          <w:b/>
          <w:bCs/>
          <w:sz w:val="24"/>
          <w:szCs w:val="28"/>
        </w:rPr>
      </w:pPr>
      <w:bookmarkStart w:id="103" w:name="_Toc8732"/>
      <w:bookmarkStart w:id="104" w:name="_Toc2083"/>
      <w:r>
        <w:rPr>
          <w:rFonts w:hint="eastAsia" w:ascii="宋体" w:hAnsi="宋体" w:cs="宋体"/>
          <w:b/>
          <w:bCs/>
          <w:sz w:val="24"/>
          <w:szCs w:val="28"/>
        </w:rPr>
        <w:t>四、投标文件的式样和签署</w:t>
      </w:r>
      <w:bookmarkEnd w:id="103"/>
      <w:bookmarkEnd w:id="104"/>
    </w:p>
    <w:p>
      <w:pPr>
        <w:spacing w:line="500" w:lineRule="exact"/>
        <w:ind w:firstLine="480" w:firstLineChars="200"/>
        <w:rPr>
          <w:rFonts w:ascii="宋体" w:hAnsi="宋体" w:cs="宋体"/>
          <w:sz w:val="24"/>
          <w:szCs w:val="28"/>
        </w:rPr>
      </w:pPr>
      <w:r>
        <w:rPr>
          <w:rFonts w:hint="eastAsia" w:ascii="宋体" w:hAnsi="宋体" w:cs="宋体"/>
          <w:sz w:val="24"/>
          <w:szCs w:val="28"/>
        </w:rPr>
        <w:t>1、各投标人应按照给定的格式，按序编制页码，投标文件正本一份、副本一份，并加盖骑缝章（公章和法人章），各自胶装成册，每套投标文件须清楚地标明“正本”“副本”。一旦正本和副本不符以正本为准，正、副本应逐页加盖单位公章。开标一览表一份，单独封装。电子文档一份，需包含投标文件所有内容。</w:t>
      </w:r>
    </w:p>
    <w:p>
      <w:pPr>
        <w:spacing w:line="500" w:lineRule="exact"/>
        <w:ind w:firstLine="480" w:firstLineChars="200"/>
        <w:rPr>
          <w:rFonts w:ascii="宋体" w:hAnsi="宋体" w:cs="宋体"/>
          <w:sz w:val="24"/>
          <w:szCs w:val="28"/>
        </w:rPr>
      </w:pPr>
      <w:r>
        <w:rPr>
          <w:rFonts w:hint="eastAsia" w:ascii="宋体" w:hAnsi="宋体" w:cs="宋体"/>
          <w:sz w:val="24"/>
          <w:szCs w:val="28"/>
        </w:rPr>
        <w:t>2、投标文件的正本和所有的副本均需打印或用不褪色蓝（黑）墨水（汁）书写，统一胶装。</w:t>
      </w:r>
    </w:p>
    <w:p>
      <w:pPr>
        <w:spacing w:line="500" w:lineRule="exact"/>
        <w:ind w:firstLine="480" w:firstLineChars="200"/>
        <w:rPr>
          <w:rFonts w:ascii="宋体" w:hAnsi="宋体" w:cs="宋体"/>
          <w:sz w:val="24"/>
          <w:szCs w:val="28"/>
        </w:rPr>
      </w:pPr>
      <w:r>
        <w:rPr>
          <w:rFonts w:hint="eastAsia" w:ascii="宋体" w:hAnsi="宋体" w:cs="宋体"/>
          <w:sz w:val="24"/>
          <w:szCs w:val="28"/>
        </w:rPr>
        <w:t>3、投标文件必须加盖单位公章及其法定代表人或被授权委托人签字或盖章。</w:t>
      </w:r>
    </w:p>
    <w:p>
      <w:pPr>
        <w:spacing w:line="500" w:lineRule="exact"/>
        <w:ind w:firstLine="480" w:firstLineChars="200"/>
        <w:rPr>
          <w:rFonts w:ascii="宋体" w:hAnsi="宋体" w:cs="宋体"/>
          <w:sz w:val="24"/>
          <w:szCs w:val="28"/>
        </w:rPr>
      </w:pPr>
      <w:r>
        <w:rPr>
          <w:rFonts w:hint="eastAsia" w:ascii="宋体" w:hAnsi="宋体" w:cs="宋体"/>
          <w:sz w:val="24"/>
          <w:szCs w:val="28"/>
        </w:rPr>
        <w:t>4、投标文件除各投标人对错处做必要修改外，不得行间插字、涂改和增删，如有修改错漏处，必须由投标人法定代表人或被授权委托人签字和盖章。</w:t>
      </w:r>
    </w:p>
    <w:p>
      <w:pPr>
        <w:spacing w:line="500" w:lineRule="exact"/>
        <w:ind w:firstLine="482" w:firstLineChars="200"/>
        <w:outlineLvl w:val="1"/>
        <w:rPr>
          <w:rFonts w:ascii="宋体" w:hAnsi="宋体" w:cs="宋体"/>
          <w:sz w:val="24"/>
          <w:szCs w:val="28"/>
        </w:rPr>
      </w:pPr>
      <w:bookmarkStart w:id="105" w:name="_Toc3449"/>
      <w:bookmarkStart w:id="106" w:name="_Toc17377"/>
      <w:r>
        <w:rPr>
          <w:rFonts w:hint="eastAsia" w:ascii="宋体" w:hAnsi="宋体" w:cs="宋体"/>
          <w:b/>
          <w:bCs/>
          <w:sz w:val="24"/>
          <w:szCs w:val="28"/>
        </w:rPr>
        <w:t>五、投标文件的密封及递交</w:t>
      </w:r>
      <w:bookmarkEnd w:id="105"/>
      <w:bookmarkEnd w:id="106"/>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1、投标人应提供投标文件正本1份、副本1份、开标一览表1份（内附开标报价一览表原件一份以及投标文件电子版光盘或U盘1份）。投标人应将投标文件的正本、副本、开标一览表分别单独密封，且在封面标明“正本”“副本”。一旦正本和副本不符，则以正本为准。</w:t>
      </w:r>
    </w:p>
    <w:p>
      <w:pPr>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2、投标文件的密封：</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2.1 加封条密封，在封线处加盖单位公章及法定代表人或被授权委托人签字或盖章。</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2.2 应标明项目编号、项目名称、投标人全称（并加盖公章）等内容。</w:t>
      </w:r>
    </w:p>
    <w:p>
      <w:pPr>
        <w:snapToGrid w:val="0"/>
        <w:spacing w:line="500" w:lineRule="exact"/>
        <w:ind w:firstLine="480" w:firstLineChars="200"/>
        <w:outlineLvl w:val="3"/>
        <w:rPr>
          <w:rFonts w:ascii="宋体" w:hAnsi="宋体" w:cs="宋体"/>
          <w:sz w:val="24"/>
          <w:szCs w:val="28"/>
        </w:rPr>
      </w:pPr>
      <w:r>
        <w:rPr>
          <w:rFonts w:hint="eastAsia" w:ascii="宋体" w:hAnsi="宋体" w:cs="宋体"/>
          <w:sz w:val="24"/>
          <w:szCs w:val="28"/>
        </w:rPr>
        <w:t>2.3 如果投标文件未按要求密封，采购代理机构将拒绝接收。</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3、在投标文件递交截止期后，采购代理机构拒绝接收投标人递交的任何资料和文件。</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4、投标文件递交后，在投标文件递交截止时间前，经采购代理机构同意后投标人可以修改或撤回其投标文件。修改或撤回的内容应按招标文件的规定编制、密封、标记和递交，并在投标文件的扉页上加注“修改”或“撤回”字样。</w:t>
      </w:r>
    </w:p>
    <w:p>
      <w:pPr>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5、投标文件递交截止后投标人不得对其投标文件做任何修改。</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6、在投标文件递交截止期后到投标规定的投标文件有效期满之间的这段时间内，投标人不得撤销其投标文件，否则将没收保证金，同时，还应按政府采购法的有关规定处罚。</w:t>
      </w:r>
    </w:p>
    <w:p>
      <w:pPr>
        <w:spacing w:line="500" w:lineRule="exact"/>
        <w:ind w:firstLine="482" w:firstLineChars="200"/>
        <w:outlineLvl w:val="1"/>
        <w:rPr>
          <w:rFonts w:ascii="宋体" w:hAnsi="宋体" w:cs="宋体"/>
          <w:b/>
          <w:bCs/>
          <w:sz w:val="24"/>
          <w:szCs w:val="28"/>
        </w:rPr>
      </w:pPr>
      <w:bookmarkStart w:id="107" w:name="_Toc4551"/>
      <w:bookmarkStart w:id="108" w:name="_Toc3976"/>
      <w:r>
        <w:rPr>
          <w:rFonts w:hint="eastAsia" w:ascii="宋体" w:hAnsi="宋体" w:cs="宋体"/>
          <w:b/>
          <w:bCs/>
          <w:sz w:val="24"/>
          <w:szCs w:val="28"/>
        </w:rPr>
        <w:t>六、采购代理机构及评标委员会职能</w:t>
      </w:r>
      <w:bookmarkEnd w:id="107"/>
      <w:bookmarkEnd w:id="108"/>
    </w:p>
    <w:p>
      <w:pPr>
        <w:spacing w:line="500" w:lineRule="exact"/>
        <w:ind w:firstLine="480" w:firstLineChars="200"/>
        <w:outlineLvl w:val="2"/>
        <w:rPr>
          <w:rFonts w:ascii="宋体" w:hAnsi="宋体" w:cs="宋体"/>
          <w:sz w:val="24"/>
          <w:szCs w:val="28"/>
        </w:rPr>
      </w:pPr>
      <w:r>
        <w:rPr>
          <w:rFonts w:hint="eastAsia" w:ascii="宋体" w:hAnsi="宋体" w:cs="宋体"/>
          <w:sz w:val="24"/>
          <w:szCs w:val="28"/>
        </w:rPr>
        <w:t>1、采购代理机构职能：</w:t>
      </w:r>
    </w:p>
    <w:p>
      <w:pPr>
        <w:spacing w:line="500" w:lineRule="exact"/>
        <w:ind w:firstLine="480" w:firstLineChars="200"/>
        <w:rPr>
          <w:rFonts w:ascii="宋体" w:hAnsi="宋体" w:cs="宋体"/>
          <w:b/>
          <w:bCs/>
          <w:sz w:val="24"/>
          <w:szCs w:val="28"/>
        </w:rPr>
      </w:pPr>
      <w:r>
        <w:rPr>
          <w:rFonts w:hint="eastAsia" w:ascii="宋体" w:hAnsi="宋体" w:cs="宋体"/>
          <w:sz w:val="24"/>
          <w:szCs w:val="28"/>
        </w:rPr>
        <w:t>1.1 采购代理机构组织开标、评审工作，开标整个过程接受采购管理机构的监督和管理，参加投标的投标人、评标委员会、监督机构及采购人须签名报到以证明出席。</w:t>
      </w:r>
    </w:p>
    <w:p>
      <w:pPr>
        <w:spacing w:line="500" w:lineRule="exact"/>
        <w:ind w:firstLine="480" w:firstLineChars="200"/>
        <w:rPr>
          <w:rFonts w:ascii="宋体" w:hAnsi="宋体" w:cs="宋体"/>
          <w:sz w:val="24"/>
          <w:szCs w:val="28"/>
        </w:rPr>
      </w:pPr>
      <w:r>
        <w:rPr>
          <w:rFonts w:hint="eastAsia" w:ascii="宋体" w:hAnsi="宋体" w:cs="宋体"/>
          <w:sz w:val="24"/>
          <w:szCs w:val="28"/>
        </w:rPr>
        <w:t>1.2 为确保招标工作公平、公正，根据《中华人民共和国政府采购法》的有关规定成立评标委员会。评标委员会由采购人及有关专家组成，评标委员会成员（有关专家）在政府采购专家库中随机抽取。</w:t>
      </w:r>
    </w:p>
    <w:p>
      <w:pPr>
        <w:spacing w:line="500" w:lineRule="exact"/>
        <w:ind w:firstLine="480" w:firstLineChars="200"/>
        <w:outlineLvl w:val="2"/>
        <w:rPr>
          <w:rFonts w:ascii="宋体" w:hAnsi="宋体" w:cs="宋体"/>
          <w:sz w:val="24"/>
          <w:szCs w:val="28"/>
        </w:rPr>
      </w:pPr>
      <w:r>
        <w:rPr>
          <w:rFonts w:hint="eastAsia" w:ascii="宋体" w:hAnsi="宋体" w:cs="宋体"/>
          <w:sz w:val="24"/>
          <w:szCs w:val="28"/>
        </w:rPr>
        <w:t>2、评标委员会的职能：</w:t>
      </w:r>
    </w:p>
    <w:p>
      <w:pPr>
        <w:spacing w:line="500" w:lineRule="exact"/>
        <w:ind w:firstLine="480" w:firstLineChars="200"/>
        <w:outlineLvl w:val="3"/>
        <w:rPr>
          <w:rFonts w:ascii="宋体" w:hAnsi="宋体" w:cs="宋体"/>
          <w:sz w:val="24"/>
          <w:szCs w:val="28"/>
        </w:rPr>
      </w:pPr>
      <w:r>
        <w:rPr>
          <w:rFonts w:hint="eastAsia" w:ascii="宋体" w:hAnsi="宋体" w:cs="宋体"/>
          <w:sz w:val="24"/>
          <w:szCs w:val="28"/>
        </w:rPr>
        <w:t>2.1 审查参加投标人的资质文件是否齐全、合法、有效。</w:t>
      </w:r>
    </w:p>
    <w:p>
      <w:pPr>
        <w:spacing w:line="500" w:lineRule="exact"/>
        <w:ind w:firstLine="480" w:firstLineChars="200"/>
        <w:rPr>
          <w:rFonts w:ascii="宋体" w:hAnsi="宋体" w:cs="宋体"/>
          <w:sz w:val="24"/>
          <w:szCs w:val="28"/>
        </w:rPr>
      </w:pPr>
      <w:r>
        <w:rPr>
          <w:rFonts w:hint="eastAsia" w:ascii="宋体" w:hAnsi="宋体" w:cs="宋体"/>
          <w:sz w:val="24"/>
          <w:szCs w:val="28"/>
        </w:rPr>
        <w:t>2.2 对各投标人就投标文件（含澄清、说明或补正的内容）中投标报价、整体效果、同类业绩、功能指标、设备配置、商务投标等进行评审。</w:t>
      </w:r>
    </w:p>
    <w:p>
      <w:pPr>
        <w:spacing w:line="500" w:lineRule="exact"/>
        <w:ind w:firstLine="480" w:firstLineChars="200"/>
        <w:rPr>
          <w:rFonts w:ascii="宋体" w:hAnsi="宋体" w:cs="宋体"/>
          <w:sz w:val="24"/>
          <w:szCs w:val="28"/>
        </w:rPr>
      </w:pPr>
      <w:r>
        <w:rPr>
          <w:rFonts w:hint="eastAsia" w:ascii="宋体" w:hAnsi="宋体" w:cs="宋体"/>
          <w:sz w:val="24"/>
          <w:szCs w:val="28"/>
        </w:rPr>
        <w:t>2.3 依据招标文件的要求和评审标准，确定进入最终评审的投标人。</w:t>
      </w:r>
    </w:p>
    <w:p>
      <w:pPr>
        <w:spacing w:line="500" w:lineRule="exact"/>
        <w:ind w:firstLine="480" w:firstLineChars="200"/>
        <w:rPr>
          <w:rFonts w:ascii="宋体" w:hAnsi="宋体" w:cs="宋体"/>
          <w:sz w:val="24"/>
          <w:szCs w:val="28"/>
        </w:rPr>
      </w:pPr>
      <w:r>
        <w:rPr>
          <w:rFonts w:hint="eastAsia" w:ascii="宋体" w:hAnsi="宋体" w:cs="宋体"/>
          <w:sz w:val="24"/>
          <w:szCs w:val="28"/>
        </w:rPr>
        <w:t>2.4 排序推荐中标候选投标人。</w:t>
      </w:r>
    </w:p>
    <w:p>
      <w:pPr>
        <w:spacing w:line="500" w:lineRule="exact"/>
        <w:ind w:firstLine="480" w:firstLineChars="200"/>
        <w:rPr>
          <w:rFonts w:ascii="宋体" w:hAnsi="宋体" w:cs="宋体"/>
          <w:sz w:val="24"/>
          <w:szCs w:val="28"/>
        </w:rPr>
      </w:pPr>
      <w:r>
        <w:rPr>
          <w:rFonts w:hint="eastAsia" w:ascii="宋体" w:hAnsi="宋体" w:cs="宋体"/>
          <w:sz w:val="24"/>
          <w:szCs w:val="28"/>
        </w:rPr>
        <w:t>2.5 协商处理开标过程中出现的其它相关问题。</w:t>
      </w:r>
    </w:p>
    <w:p>
      <w:pPr>
        <w:spacing w:line="500" w:lineRule="exact"/>
        <w:ind w:firstLine="480" w:firstLineChars="200"/>
        <w:outlineLvl w:val="2"/>
        <w:rPr>
          <w:rFonts w:ascii="宋体" w:hAnsi="宋体" w:cs="宋体"/>
          <w:sz w:val="24"/>
          <w:szCs w:val="28"/>
        </w:rPr>
      </w:pPr>
      <w:r>
        <w:rPr>
          <w:rFonts w:hint="eastAsia" w:ascii="宋体" w:hAnsi="宋体" w:cs="宋体"/>
          <w:sz w:val="24"/>
          <w:szCs w:val="28"/>
        </w:rPr>
        <w:t>3、评标委员会成员应当遵守并履行下列义务：</w:t>
      </w:r>
    </w:p>
    <w:p>
      <w:pPr>
        <w:spacing w:line="500" w:lineRule="exact"/>
        <w:ind w:firstLine="480" w:firstLineChars="200"/>
        <w:rPr>
          <w:rFonts w:ascii="宋体" w:hAnsi="宋体" w:cs="宋体"/>
          <w:sz w:val="24"/>
          <w:szCs w:val="28"/>
        </w:rPr>
      </w:pPr>
      <w:r>
        <w:rPr>
          <w:rFonts w:hint="eastAsia" w:ascii="宋体" w:hAnsi="宋体" w:cs="宋体"/>
          <w:sz w:val="24"/>
          <w:szCs w:val="28"/>
        </w:rPr>
        <w:t>3.1 遵纪守法，客观、公正、廉洁地履行职责，审查投标文件是否符合招标文件的要求，并做出评价。</w:t>
      </w:r>
    </w:p>
    <w:p>
      <w:pPr>
        <w:spacing w:line="500" w:lineRule="exact"/>
        <w:ind w:firstLine="480" w:firstLineChars="200"/>
        <w:outlineLvl w:val="3"/>
        <w:rPr>
          <w:rFonts w:ascii="宋体" w:hAnsi="宋体" w:cs="宋体"/>
          <w:sz w:val="24"/>
          <w:szCs w:val="28"/>
        </w:rPr>
      </w:pPr>
      <w:r>
        <w:rPr>
          <w:rFonts w:hint="eastAsia" w:ascii="宋体" w:hAnsi="宋体" w:cs="宋体"/>
          <w:sz w:val="24"/>
          <w:szCs w:val="28"/>
        </w:rPr>
        <w:t>3.2 要求投标人对投标文件有关事项作出解释或者澄清。</w:t>
      </w:r>
    </w:p>
    <w:p>
      <w:pPr>
        <w:spacing w:line="500" w:lineRule="exact"/>
        <w:ind w:firstLine="480" w:firstLineChars="200"/>
        <w:rPr>
          <w:rFonts w:ascii="宋体" w:hAnsi="宋体" w:cs="宋体"/>
          <w:sz w:val="24"/>
          <w:szCs w:val="28"/>
        </w:rPr>
      </w:pPr>
      <w:r>
        <w:rPr>
          <w:rFonts w:hint="eastAsia" w:ascii="宋体" w:hAnsi="宋体" w:cs="宋体"/>
          <w:sz w:val="24"/>
          <w:szCs w:val="28"/>
        </w:rPr>
        <w:t>3.3 按照招标文件的要求和评审办法进行评审，推荐中标候选投标人名单，对评审意见承担个人责任。</w:t>
      </w:r>
    </w:p>
    <w:p>
      <w:pPr>
        <w:spacing w:line="500" w:lineRule="exact"/>
        <w:ind w:firstLine="480" w:firstLineChars="200"/>
        <w:rPr>
          <w:rFonts w:ascii="宋体" w:hAnsi="宋体" w:cs="宋体"/>
          <w:sz w:val="24"/>
          <w:szCs w:val="28"/>
        </w:rPr>
      </w:pPr>
      <w:r>
        <w:rPr>
          <w:rFonts w:hint="eastAsia" w:ascii="宋体" w:hAnsi="宋体" w:cs="宋体"/>
          <w:sz w:val="24"/>
          <w:szCs w:val="28"/>
        </w:rPr>
        <w:t>3.4 对评审过程和结果以及投标人的商业秘密保密。</w:t>
      </w:r>
    </w:p>
    <w:p>
      <w:pPr>
        <w:spacing w:line="500" w:lineRule="exact"/>
        <w:ind w:firstLine="480" w:firstLineChars="200"/>
        <w:rPr>
          <w:rFonts w:ascii="宋体" w:hAnsi="宋体" w:cs="宋体"/>
          <w:sz w:val="24"/>
          <w:szCs w:val="28"/>
        </w:rPr>
      </w:pPr>
      <w:r>
        <w:rPr>
          <w:rFonts w:hint="eastAsia" w:ascii="宋体" w:hAnsi="宋体" w:cs="宋体"/>
          <w:sz w:val="24"/>
          <w:szCs w:val="28"/>
        </w:rPr>
        <w:t>3.5 参与评审报告的起草。</w:t>
      </w:r>
    </w:p>
    <w:p>
      <w:pPr>
        <w:spacing w:line="500" w:lineRule="exact"/>
        <w:ind w:firstLine="480" w:firstLineChars="200"/>
        <w:rPr>
          <w:rFonts w:ascii="宋体" w:hAnsi="宋体" w:cs="宋体"/>
          <w:sz w:val="24"/>
          <w:szCs w:val="28"/>
        </w:rPr>
      </w:pPr>
      <w:r>
        <w:rPr>
          <w:rFonts w:hint="eastAsia" w:ascii="宋体" w:hAnsi="宋体" w:cs="宋体"/>
          <w:sz w:val="24"/>
          <w:szCs w:val="28"/>
        </w:rPr>
        <w:t>3.6 配合采购代理机构答复投标人提出的质疑。</w:t>
      </w:r>
    </w:p>
    <w:p>
      <w:pPr>
        <w:spacing w:line="500" w:lineRule="exact"/>
        <w:ind w:firstLine="480" w:firstLineChars="200"/>
        <w:rPr>
          <w:rFonts w:ascii="宋体" w:hAnsi="宋体" w:cs="宋体"/>
          <w:sz w:val="24"/>
          <w:szCs w:val="28"/>
        </w:rPr>
      </w:pPr>
      <w:r>
        <w:rPr>
          <w:rFonts w:hint="eastAsia" w:ascii="宋体" w:hAnsi="宋体" w:cs="宋体"/>
          <w:sz w:val="24"/>
          <w:szCs w:val="28"/>
        </w:rPr>
        <w:t>3.7 配合财政部门的投诉处理工作。</w:t>
      </w:r>
    </w:p>
    <w:p>
      <w:pPr>
        <w:spacing w:line="500" w:lineRule="exact"/>
        <w:ind w:firstLine="480" w:firstLineChars="200"/>
        <w:rPr>
          <w:rFonts w:ascii="宋体" w:hAnsi="宋体" w:cs="宋体"/>
          <w:sz w:val="24"/>
          <w:szCs w:val="28"/>
        </w:rPr>
      </w:pPr>
      <w:r>
        <w:rPr>
          <w:rFonts w:hint="eastAsia" w:ascii="宋体" w:hAnsi="宋体" w:cs="宋体"/>
          <w:sz w:val="24"/>
          <w:szCs w:val="28"/>
        </w:rPr>
        <w:t>4、开标时，采购代理机构依据递交投标文件顺序的逆顺序，将各投标人的投标报价及有关内容进行公布。</w:t>
      </w:r>
    </w:p>
    <w:p>
      <w:pPr>
        <w:spacing w:line="500" w:lineRule="exact"/>
        <w:ind w:firstLine="480" w:firstLineChars="200"/>
        <w:rPr>
          <w:rFonts w:ascii="宋体" w:hAnsi="宋体" w:cs="宋体"/>
          <w:sz w:val="24"/>
          <w:szCs w:val="28"/>
        </w:rPr>
      </w:pPr>
      <w:r>
        <w:rPr>
          <w:rFonts w:hint="eastAsia" w:ascii="宋体" w:hAnsi="宋体" w:cs="宋体"/>
          <w:sz w:val="24"/>
          <w:szCs w:val="28"/>
        </w:rPr>
        <w:t>5、开标后，直到与中标投标人签定合同为止，凡与审查、澄清、评价和比较各投标人的有关资料及意见等内容，评标委员会均不得向投标人及与投标无关的其他人透露。</w:t>
      </w:r>
    </w:p>
    <w:p>
      <w:pPr>
        <w:spacing w:line="500" w:lineRule="exact"/>
        <w:ind w:firstLine="482" w:firstLineChars="200"/>
        <w:outlineLvl w:val="1"/>
        <w:rPr>
          <w:rFonts w:ascii="宋体" w:hAnsi="宋体" w:cs="宋体"/>
          <w:b/>
          <w:bCs/>
          <w:sz w:val="24"/>
          <w:szCs w:val="28"/>
        </w:rPr>
      </w:pPr>
      <w:bookmarkStart w:id="109" w:name="_Toc16092"/>
      <w:bookmarkStart w:id="110" w:name="_Toc6367"/>
      <w:r>
        <w:rPr>
          <w:rFonts w:hint="eastAsia" w:ascii="宋体" w:hAnsi="宋体" w:cs="宋体"/>
          <w:b/>
          <w:bCs/>
          <w:sz w:val="24"/>
          <w:szCs w:val="28"/>
        </w:rPr>
        <w:t>七、评审原则及程序</w:t>
      </w:r>
      <w:bookmarkEnd w:id="109"/>
      <w:bookmarkEnd w:id="110"/>
    </w:p>
    <w:p>
      <w:pPr>
        <w:spacing w:line="500" w:lineRule="exact"/>
        <w:ind w:firstLine="480" w:firstLineChars="200"/>
        <w:outlineLvl w:val="2"/>
        <w:rPr>
          <w:rFonts w:ascii="宋体" w:hAnsi="宋体" w:cs="宋体"/>
          <w:sz w:val="24"/>
          <w:szCs w:val="28"/>
        </w:rPr>
      </w:pPr>
      <w:r>
        <w:rPr>
          <w:rFonts w:hint="eastAsia" w:ascii="宋体" w:hAnsi="宋体" w:cs="宋体"/>
          <w:sz w:val="24"/>
          <w:szCs w:val="28"/>
        </w:rPr>
        <w:t>1、招标评审原则：</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1.1 评标委员会遵循“公平、公正、科学、择优”的原则。</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1.2 采用同一程序和标准对投标人进行评审。</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2、符合性和有效性审查：依据招标文件的要求，对各投标人的投标文件的符合性和有效性审查。投标文件出现下列情况（包括但不限于）之一者按无效处理：</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2.1 投标文件没有按招标文件要求提供必备资质，资质的合法性或有效性不符合规定。</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2.2投标文件没有加盖单位公章，无投标有效期或有效期达不到招标文件的要求。</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2.3未按要求交纳保证金的或未随附缴纳凭证及代理机构出据的收款收据的。</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2.4投标人针对同一货物递交两份或多份内容不同的投标文件，未书面声明哪一份是有效的；出现选择性报价的。</w:t>
      </w:r>
    </w:p>
    <w:p>
      <w:pPr>
        <w:adjustRightInd w:val="0"/>
        <w:snapToGrid w:val="0"/>
        <w:spacing w:line="500" w:lineRule="exact"/>
        <w:ind w:firstLine="480" w:firstLineChars="200"/>
        <w:rPr>
          <w:rFonts w:ascii="宋体" w:hAnsi="宋体" w:cs="宋体"/>
          <w:spacing w:val="-4"/>
          <w:sz w:val="24"/>
          <w:szCs w:val="28"/>
        </w:rPr>
      </w:pPr>
      <w:r>
        <w:rPr>
          <w:rFonts w:hint="eastAsia" w:ascii="宋体" w:hAnsi="宋体" w:cs="宋体"/>
          <w:sz w:val="24"/>
          <w:szCs w:val="28"/>
        </w:rPr>
        <w:t>2.5</w:t>
      </w:r>
      <w:r>
        <w:rPr>
          <w:rFonts w:hint="eastAsia" w:ascii="宋体" w:hAnsi="宋体" w:cs="宋体"/>
          <w:spacing w:val="-4"/>
          <w:sz w:val="24"/>
          <w:szCs w:val="28"/>
        </w:rPr>
        <w:t>投标人提交的产品技术参数、性能指标不能满足要求，出现重大偏差，招标后仍不能满足要求的。</w:t>
      </w:r>
    </w:p>
    <w:p>
      <w:pPr>
        <w:adjustRightInd w:val="0"/>
        <w:snapToGrid w:val="0"/>
        <w:spacing w:line="500" w:lineRule="exact"/>
        <w:ind w:firstLine="480" w:firstLineChars="200"/>
        <w:outlineLvl w:val="3"/>
        <w:rPr>
          <w:rFonts w:ascii="宋体" w:hAnsi="宋体" w:cs="宋体"/>
          <w:spacing w:val="-4"/>
          <w:sz w:val="24"/>
          <w:szCs w:val="28"/>
        </w:rPr>
      </w:pPr>
      <w:r>
        <w:rPr>
          <w:rFonts w:hint="eastAsia" w:ascii="宋体" w:hAnsi="宋体" w:cs="宋体"/>
          <w:sz w:val="24"/>
          <w:szCs w:val="28"/>
        </w:rPr>
        <w:t>2.6</w:t>
      </w:r>
      <w:r>
        <w:rPr>
          <w:rFonts w:hint="eastAsia" w:ascii="宋体" w:hAnsi="宋体" w:cs="宋体"/>
          <w:spacing w:val="-4"/>
          <w:sz w:val="24"/>
          <w:szCs w:val="28"/>
        </w:rPr>
        <w:t>违反《中华人民共和国政府采购法》有关规定和招标纪律的。</w:t>
      </w:r>
    </w:p>
    <w:p>
      <w:pPr>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3、 投标文件出现下列情况，修正原则为：</w:t>
      </w:r>
    </w:p>
    <w:p>
      <w:pPr>
        <w:adjustRightInd w:val="0"/>
        <w:snapToGrid w:val="0"/>
        <w:spacing w:line="500" w:lineRule="exact"/>
        <w:ind w:firstLine="464" w:firstLineChars="200"/>
        <w:outlineLvl w:val="3"/>
        <w:rPr>
          <w:rFonts w:ascii="宋体" w:hAnsi="宋体" w:cs="宋体"/>
          <w:spacing w:val="-4"/>
          <w:sz w:val="24"/>
          <w:szCs w:val="28"/>
        </w:rPr>
      </w:pPr>
      <w:r>
        <w:rPr>
          <w:rFonts w:hint="eastAsia" w:ascii="宋体" w:hAnsi="宋体" w:cs="宋体"/>
          <w:spacing w:val="-4"/>
          <w:sz w:val="24"/>
          <w:szCs w:val="28"/>
        </w:rPr>
        <w:t>3.1 文字与图表不符以文字为准；</w:t>
      </w:r>
    </w:p>
    <w:p>
      <w:pPr>
        <w:adjustRightInd w:val="0"/>
        <w:snapToGrid w:val="0"/>
        <w:spacing w:line="500" w:lineRule="exact"/>
        <w:ind w:firstLine="464" w:firstLineChars="200"/>
        <w:rPr>
          <w:rFonts w:ascii="宋体" w:hAnsi="宋体" w:cs="宋体"/>
          <w:spacing w:val="-4"/>
          <w:sz w:val="24"/>
          <w:szCs w:val="28"/>
        </w:rPr>
      </w:pPr>
      <w:r>
        <w:rPr>
          <w:rFonts w:hint="eastAsia" w:ascii="宋体" w:hAnsi="宋体" w:cs="宋体"/>
          <w:spacing w:val="-4"/>
          <w:sz w:val="24"/>
          <w:szCs w:val="28"/>
        </w:rPr>
        <w:t>3.2 单价与总价不符以单价为准，但单价金额小数点出现明显错误的，以总价金额为准修正单价；</w:t>
      </w:r>
    </w:p>
    <w:p>
      <w:pPr>
        <w:adjustRightInd w:val="0"/>
        <w:snapToGrid w:val="0"/>
        <w:spacing w:line="500" w:lineRule="exact"/>
        <w:ind w:firstLine="464" w:firstLineChars="200"/>
        <w:rPr>
          <w:rFonts w:ascii="宋体" w:hAnsi="宋体" w:cs="宋体"/>
          <w:spacing w:val="-4"/>
          <w:sz w:val="24"/>
          <w:szCs w:val="28"/>
        </w:rPr>
      </w:pPr>
      <w:r>
        <w:rPr>
          <w:rFonts w:hint="eastAsia" w:ascii="宋体" w:hAnsi="宋体" w:cs="宋体"/>
          <w:spacing w:val="-4"/>
          <w:sz w:val="24"/>
          <w:szCs w:val="28"/>
        </w:rPr>
        <w:t>3.3大写与小写不符以大写为准；</w:t>
      </w:r>
    </w:p>
    <w:p>
      <w:pPr>
        <w:adjustRightInd w:val="0"/>
        <w:snapToGrid w:val="0"/>
        <w:spacing w:line="500" w:lineRule="exact"/>
        <w:ind w:firstLine="464" w:firstLineChars="200"/>
        <w:rPr>
          <w:rFonts w:ascii="宋体" w:hAnsi="宋体" w:cs="宋体"/>
          <w:spacing w:val="-4"/>
          <w:sz w:val="24"/>
          <w:szCs w:val="28"/>
        </w:rPr>
      </w:pPr>
      <w:r>
        <w:rPr>
          <w:rFonts w:hint="eastAsia" w:ascii="宋体" w:hAnsi="宋体" w:cs="宋体"/>
          <w:spacing w:val="-4"/>
          <w:sz w:val="24"/>
          <w:szCs w:val="28"/>
        </w:rPr>
        <w:t>3.4正本与副本不符以正本为准。</w:t>
      </w:r>
    </w:p>
    <w:p>
      <w:pPr>
        <w:adjustRightInd w:val="0"/>
        <w:snapToGrid w:val="0"/>
        <w:spacing w:line="500" w:lineRule="exact"/>
        <w:ind w:firstLine="464" w:firstLineChars="200"/>
        <w:rPr>
          <w:rFonts w:ascii="宋体" w:hAnsi="宋体" w:cs="宋体"/>
          <w:spacing w:val="-4"/>
          <w:sz w:val="24"/>
          <w:szCs w:val="28"/>
        </w:rPr>
      </w:pPr>
      <w:bookmarkStart w:id="111" w:name="_Toc25814"/>
      <w:bookmarkStart w:id="112" w:name="_Toc31329"/>
      <w:r>
        <w:rPr>
          <w:rFonts w:hint="eastAsia" w:ascii="宋体" w:hAnsi="宋体" w:cs="宋体"/>
          <w:spacing w:val="-4"/>
          <w:sz w:val="24"/>
          <w:szCs w:val="28"/>
        </w:rPr>
        <w:t>4、开标程序：</w:t>
      </w:r>
    </w:p>
    <w:p>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4.1开标大会在递交投标文件截止时间的同一时间举行，出席和参加大会的须为投标人法定代表人或其法定授权委托代理人，由法定代表人出席开标会议的须持定代表人身份证明，由委托代理人出席开标会议的须持法人授权委托书（法定代表人对开标现场参会人员的授权委托书）和身份证等有效证件原件，投标人应在会议开始之前进行会议签到，未按招标文件要求时间到会签到的视为自动放弃。</w:t>
      </w:r>
    </w:p>
    <w:p>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4.2开标的全过程分为：投标人资格审查、投标文件密封检查、公布投标报价、评审过程、评审专家评审结论等阶段。</w:t>
      </w:r>
    </w:p>
    <w:p>
      <w:pPr>
        <w:adjustRightInd w:val="0"/>
        <w:snapToGrid w:val="0"/>
        <w:spacing w:line="500" w:lineRule="exact"/>
        <w:ind w:firstLine="480" w:firstLineChars="200"/>
        <w:rPr>
          <w:rFonts w:ascii="宋体" w:hAnsi="宋体" w:cs="宋体"/>
          <w:b/>
          <w:sz w:val="24"/>
        </w:rPr>
      </w:pPr>
      <w:r>
        <w:rPr>
          <w:rFonts w:hint="eastAsia" w:ascii="宋体" w:hAnsi="宋体" w:cs="宋体"/>
          <w:bCs/>
          <w:sz w:val="24"/>
        </w:rPr>
        <w:t>4.2.1资格审查：</w:t>
      </w:r>
      <w:r>
        <w:rPr>
          <w:rFonts w:hint="eastAsia" w:ascii="宋体" w:hAnsi="宋体" w:cs="宋体"/>
          <w:b/>
          <w:sz w:val="24"/>
        </w:rPr>
        <w:t>投标人须现场提交下列资格证明文件原件，投标文件内《资格审查证明文件》后附复印件：</w:t>
      </w:r>
    </w:p>
    <w:p>
      <w:pPr>
        <w:adjustRightInd w:val="0"/>
        <w:snapToGrid w:val="0"/>
        <w:spacing w:line="500" w:lineRule="exact"/>
        <w:ind w:firstLine="480" w:firstLineChars="200"/>
        <w:rPr>
          <w:rFonts w:ascii="宋体" w:hAnsi="宋体" w:cs="宋体"/>
          <w:bCs/>
          <w:sz w:val="24"/>
          <w:lang w:val="zh-TW" w:eastAsia="zh-TW"/>
        </w:rPr>
      </w:pPr>
      <w:r>
        <w:rPr>
          <w:rFonts w:hint="eastAsia" w:ascii="宋体" w:hAnsi="宋体" w:cs="宋体"/>
          <w:bCs/>
          <w:sz w:val="24"/>
          <w:lang w:val="zh-TW" w:eastAsia="zh-TW"/>
        </w:rPr>
        <w:t>（1）投标人具有独立承担民事责任能力的法人、其他组织或自然人，提供合法有效的统一社会信用代码营业执照或事业单位法人证书（自然人应提供身份证明）；（2）提交自2022年</w:t>
      </w:r>
      <w:r>
        <w:rPr>
          <w:rFonts w:hint="eastAsia" w:ascii="宋体" w:hAnsi="宋体" w:cs="宋体"/>
          <w:bCs/>
          <w:sz w:val="24"/>
        </w:rPr>
        <w:t>12</w:t>
      </w:r>
      <w:r>
        <w:rPr>
          <w:rFonts w:hint="eastAsia" w:ascii="宋体" w:hAnsi="宋体" w:cs="宋体"/>
          <w:bCs/>
          <w:sz w:val="24"/>
          <w:lang w:val="zh-TW" w:eastAsia="zh-TW"/>
        </w:rPr>
        <w:t>月1日以来任意3个月完税凭证或税务机关开具的完税证明；依法免税的应提供相关文件证明；（3）提交自2022年</w:t>
      </w:r>
      <w:r>
        <w:rPr>
          <w:rFonts w:hint="eastAsia" w:ascii="宋体" w:hAnsi="宋体" w:cs="宋体"/>
          <w:bCs/>
          <w:sz w:val="24"/>
        </w:rPr>
        <w:t>12</w:t>
      </w:r>
      <w:r>
        <w:rPr>
          <w:rFonts w:hint="eastAsia" w:ascii="宋体" w:hAnsi="宋体" w:cs="宋体"/>
          <w:bCs/>
          <w:sz w:val="24"/>
          <w:lang w:val="zh-TW" w:eastAsia="zh-TW"/>
        </w:rPr>
        <w:t>月1日以来任意3个月的社会保障资金缴存单据或社保机构开具的社会保险参保缴费情况证明；依法不需要缴纳社会保障资金的应提供相关文件证明；（4）提供履行合同所必须的设备所有权证明、和专业技术能力声明或承诺；（5）投标人须提供供2022年度经审计的财务审计报告（成立时间至开标时间不足一年的可提供成立后任意时段的资产负债表）或开标前六个月内其基本账户银行出具的资信证明或政府采购信用担保机构出具的担保函；”；（6）出具参加政府采购活动前3年内在经营活动中没有重大违法纪录的书面声明；（7）投标人不得为“信用中国”网站中列入失信被执行人（www.creditchina.gov.cn）和重大税收违法案件当事人名单的投标人，不得为中国政府采购（www.ccgp.gov.cn）政府采购严重违法失信行为记录名单中被财政部门禁止参加政府采购活动的投标人；（8）本项目</w:t>
      </w:r>
      <w:r>
        <w:rPr>
          <w:rFonts w:hint="eastAsia" w:ascii="宋体" w:hAnsi="宋体" w:cs="宋体"/>
          <w:bCs/>
          <w:sz w:val="24"/>
        </w:rPr>
        <w:t>不</w:t>
      </w:r>
      <w:r>
        <w:rPr>
          <w:rFonts w:hint="eastAsia" w:ascii="宋体" w:hAnsi="宋体" w:cs="宋体"/>
          <w:bCs/>
          <w:sz w:val="24"/>
          <w:lang w:val="zh-TW" w:eastAsia="zh-TW"/>
        </w:rPr>
        <w:t>专门面向中小企业；（9）本项目不接受联合体。</w:t>
      </w:r>
    </w:p>
    <w:p>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4.2.2投标文件密封检查：由参与开标会议的投标投标人及招标人代表共同查验各投标人所递交的投标文件密封是否完整并符合招标文件要求，并签字确认；</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4.2.3公布投标报价：将各参加投标人的投标文件中的报价、整个项目完成期限、质量等内容以公开宣读的形式予以公布。</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4.2.4评审过程：评标委员会在符合性评审的基础上对各投标人的投标文件认真阅读，并对采购内容、商务报价、产品性能等内容进行详细的评审。各投标人应评标委员会的要求对投标文件中的技术、商务价格、服务等内容按要求进行补充、完善、澄清、承诺，但补充完善的内容必须在其被授权范围内。评标委员会以补充、完善后的内容作为评审的依据。</w:t>
      </w:r>
    </w:p>
    <w:p>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4.2.5评审专家评审结论：评标委员会根据全体评标成员签字的原始评标记录和评标结果编写评标报告。</w:t>
      </w:r>
    </w:p>
    <w:p>
      <w:pPr>
        <w:spacing w:line="500" w:lineRule="exact"/>
        <w:ind w:firstLine="482" w:firstLineChars="200"/>
        <w:outlineLvl w:val="1"/>
        <w:rPr>
          <w:rFonts w:ascii="宋体" w:hAnsi="宋体" w:cs="宋体"/>
          <w:b/>
          <w:bCs/>
          <w:sz w:val="24"/>
          <w:szCs w:val="28"/>
        </w:rPr>
      </w:pPr>
      <w:r>
        <w:rPr>
          <w:rFonts w:hint="eastAsia" w:ascii="宋体" w:hAnsi="宋体" w:cs="宋体"/>
          <w:b/>
          <w:bCs/>
          <w:sz w:val="24"/>
          <w:szCs w:val="28"/>
        </w:rPr>
        <w:t>八、评审办法及内容</w:t>
      </w:r>
      <w:bookmarkEnd w:id="111"/>
      <w:bookmarkEnd w:id="112"/>
    </w:p>
    <w:p>
      <w:pPr>
        <w:spacing w:line="500" w:lineRule="exact"/>
        <w:ind w:firstLine="480" w:firstLineChars="200"/>
        <w:rPr>
          <w:rFonts w:ascii="宋体" w:hAnsi="宋体" w:cs="宋体"/>
          <w:sz w:val="24"/>
          <w:szCs w:val="28"/>
        </w:rPr>
      </w:pPr>
      <w:r>
        <w:rPr>
          <w:rFonts w:hint="eastAsia" w:ascii="宋体" w:hAnsi="宋体" w:cs="宋体"/>
          <w:sz w:val="24"/>
          <w:szCs w:val="28"/>
        </w:rPr>
        <w:t>坚持公平、公正、科学、择优、合理低价、禁止不正当竞争。</w:t>
      </w:r>
    </w:p>
    <w:p>
      <w:pPr>
        <w:numPr>
          <w:ilvl w:val="0"/>
          <w:numId w:val="2"/>
        </w:numPr>
        <w:spacing w:line="500" w:lineRule="exact"/>
        <w:ind w:firstLine="480" w:firstLineChars="200"/>
        <w:outlineLvl w:val="2"/>
        <w:rPr>
          <w:rFonts w:ascii="宋体" w:hAnsi="宋体" w:cs="宋体"/>
          <w:sz w:val="24"/>
          <w:szCs w:val="28"/>
        </w:rPr>
      </w:pPr>
      <w:r>
        <w:rPr>
          <w:rFonts w:hint="eastAsia" w:ascii="宋体" w:hAnsi="宋体" w:cs="宋体"/>
          <w:sz w:val="24"/>
          <w:szCs w:val="28"/>
        </w:rPr>
        <w:t>评审内容</w:t>
      </w:r>
    </w:p>
    <w:p>
      <w:pPr>
        <w:spacing w:line="500" w:lineRule="exact"/>
        <w:ind w:firstLine="480" w:firstLineChars="200"/>
        <w:rPr>
          <w:rFonts w:ascii="宋体" w:hAnsi="宋体" w:cs="宋体"/>
          <w:sz w:val="24"/>
          <w:szCs w:val="28"/>
        </w:rPr>
      </w:pPr>
      <w:r>
        <w:rPr>
          <w:rFonts w:hint="eastAsia" w:ascii="宋体" w:hAnsi="宋体" w:cs="宋体"/>
          <w:sz w:val="24"/>
          <w:szCs w:val="28"/>
        </w:rPr>
        <w:t>1.1 投标文件资格性评审：依据法律法规和招标文件的规定，对投标文件中的资格证明文件、保证金等进行审查，以确保投标人是否具备相应资格。凡未通过资格性评审的投标文件即作为无效文件，不得进入后续评审工作。</w:t>
      </w:r>
    </w:p>
    <w:p>
      <w:pPr>
        <w:spacing w:line="500" w:lineRule="exact"/>
        <w:ind w:firstLine="480" w:firstLineChars="200"/>
        <w:outlineLvl w:val="3"/>
        <w:rPr>
          <w:rFonts w:ascii="宋体" w:hAnsi="宋体" w:cs="宋体"/>
          <w:sz w:val="24"/>
          <w:szCs w:val="28"/>
        </w:rPr>
      </w:pPr>
      <w:r>
        <w:rPr>
          <w:rFonts w:hint="eastAsia" w:ascii="宋体" w:hAnsi="宋体" w:cs="宋体"/>
          <w:sz w:val="24"/>
          <w:szCs w:val="28"/>
        </w:rPr>
        <w:t>1.2 投标文件符合性评审：商务符合性审查。</w:t>
      </w:r>
    </w:p>
    <w:p>
      <w:pPr>
        <w:spacing w:line="500" w:lineRule="exact"/>
        <w:ind w:firstLine="480" w:firstLineChars="200"/>
        <w:rPr>
          <w:rFonts w:ascii="宋体" w:hAnsi="宋体" w:cs="宋体"/>
          <w:sz w:val="24"/>
          <w:szCs w:val="28"/>
        </w:rPr>
      </w:pPr>
      <w:r>
        <w:rPr>
          <w:rFonts w:hint="eastAsia" w:ascii="宋体" w:hAnsi="宋体" w:cs="宋体"/>
          <w:sz w:val="24"/>
          <w:szCs w:val="28"/>
        </w:rPr>
        <w:t>1.3 商务部分评审内容：包括投标报价完整、合理、有效、分析报价构成的合理性（分项报价表）、质量、整个项目完成期限、对招标文件的投标等商务评审内容。</w:t>
      </w:r>
    </w:p>
    <w:p>
      <w:pPr>
        <w:spacing w:line="500" w:lineRule="exact"/>
        <w:ind w:firstLine="480" w:firstLineChars="200"/>
        <w:outlineLvl w:val="2"/>
        <w:rPr>
          <w:rFonts w:ascii="宋体" w:hAnsi="宋体" w:cs="宋体"/>
          <w:sz w:val="24"/>
          <w:szCs w:val="28"/>
        </w:rPr>
      </w:pPr>
      <w:r>
        <w:rPr>
          <w:rFonts w:hint="eastAsia" w:ascii="宋体" w:hAnsi="宋体" w:cs="宋体"/>
          <w:sz w:val="24"/>
          <w:szCs w:val="28"/>
        </w:rPr>
        <w:t>2、评标须知</w:t>
      </w:r>
    </w:p>
    <w:p>
      <w:pPr>
        <w:spacing w:line="500" w:lineRule="exact"/>
        <w:ind w:firstLine="480" w:firstLineChars="200"/>
        <w:rPr>
          <w:rFonts w:ascii="宋体" w:hAnsi="宋体" w:cs="宋体"/>
          <w:sz w:val="24"/>
          <w:szCs w:val="28"/>
        </w:rPr>
      </w:pPr>
      <w:r>
        <w:rPr>
          <w:rFonts w:hint="eastAsia" w:ascii="宋体" w:hAnsi="宋体" w:cs="宋体"/>
          <w:sz w:val="24"/>
          <w:szCs w:val="28"/>
        </w:rPr>
        <w:t>1.1 凡未通过符合性评审的投标文件即作为无效文件，不得进入后续评审工作，内容如下：</w:t>
      </w:r>
    </w:p>
    <w:p>
      <w:pPr>
        <w:spacing w:line="500" w:lineRule="exact"/>
        <w:ind w:firstLine="480" w:firstLineChars="200"/>
        <w:rPr>
          <w:rFonts w:ascii="宋体" w:hAnsi="宋体" w:cs="宋体"/>
          <w:sz w:val="24"/>
          <w:szCs w:val="28"/>
        </w:rPr>
      </w:pPr>
      <w:r>
        <w:rPr>
          <w:rFonts w:hint="eastAsia" w:ascii="宋体" w:hAnsi="宋体" w:cs="宋体"/>
          <w:sz w:val="24"/>
          <w:szCs w:val="28"/>
        </w:rPr>
        <w:fldChar w:fldCharType="begin"/>
      </w:r>
      <w:r>
        <w:rPr>
          <w:rFonts w:hint="eastAsia" w:ascii="宋体" w:hAnsi="宋体" w:cs="宋体"/>
          <w:sz w:val="24"/>
          <w:szCs w:val="28"/>
        </w:rPr>
        <w:instrText xml:space="preserve"> = 1 \* GB3 </w:instrText>
      </w:r>
      <w:r>
        <w:rPr>
          <w:rFonts w:hint="eastAsia" w:ascii="宋体" w:hAnsi="宋体" w:cs="宋体"/>
          <w:sz w:val="24"/>
          <w:szCs w:val="28"/>
        </w:rPr>
        <w:fldChar w:fldCharType="separate"/>
      </w:r>
      <w:r>
        <w:rPr>
          <w:rFonts w:hint="eastAsia" w:ascii="宋体" w:hAnsi="宋体" w:cs="宋体"/>
          <w:sz w:val="24"/>
          <w:szCs w:val="28"/>
        </w:rPr>
        <w:t>①</w:t>
      </w:r>
      <w:r>
        <w:rPr>
          <w:rFonts w:hint="eastAsia" w:ascii="宋体" w:hAnsi="宋体" w:cs="宋体"/>
          <w:sz w:val="24"/>
          <w:szCs w:val="28"/>
        </w:rPr>
        <w:fldChar w:fldCharType="end"/>
      </w:r>
      <w:r>
        <w:rPr>
          <w:rFonts w:hint="eastAsia" w:ascii="宋体" w:hAnsi="宋体" w:cs="宋体"/>
          <w:sz w:val="24"/>
          <w:szCs w:val="28"/>
        </w:rPr>
        <w:t>、投标人未经过正常渠道购买招标文件的、投标人名称与登记领取招标文件的单位名称不一致的；</w:t>
      </w:r>
    </w:p>
    <w:p>
      <w:pPr>
        <w:spacing w:line="500" w:lineRule="exact"/>
        <w:ind w:firstLine="480" w:firstLineChars="200"/>
        <w:rPr>
          <w:rFonts w:ascii="宋体" w:hAnsi="宋体" w:cs="宋体"/>
          <w:sz w:val="24"/>
          <w:szCs w:val="28"/>
        </w:rPr>
      </w:pPr>
      <w:r>
        <w:rPr>
          <w:rFonts w:hint="eastAsia" w:ascii="宋体" w:hAnsi="宋体" w:cs="宋体"/>
          <w:sz w:val="24"/>
          <w:szCs w:val="28"/>
        </w:rPr>
        <w:fldChar w:fldCharType="begin"/>
      </w:r>
      <w:r>
        <w:rPr>
          <w:rFonts w:hint="eastAsia" w:ascii="宋体" w:hAnsi="宋体" w:cs="宋体"/>
          <w:sz w:val="24"/>
          <w:szCs w:val="28"/>
        </w:rPr>
        <w:instrText xml:space="preserve"> = 2 \* GB3 </w:instrText>
      </w:r>
      <w:r>
        <w:rPr>
          <w:rFonts w:hint="eastAsia" w:ascii="宋体" w:hAnsi="宋体" w:cs="宋体"/>
          <w:sz w:val="24"/>
          <w:szCs w:val="28"/>
        </w:rPr>
        <w:fldChar w:fldCharType="separate"/>
      </w:r>
      <w:r>
        <w:rPr>
          <w:rFonts w:hint="eastAsia" w:ascii="宋体" w:hAnsi="宋体" w:cs="宋体"/>
          <w:sz w:val="24"/>
          <w:szCs w:val="28"/>
        </w:rPr>
        <w:t>②</w:t>
      </w:r>
      <w:r>
        <w:rPr>
          <w:rFonts w:hint="eastAsia" w:ascii="宋体" w:hAnsi="宋体" w:cs="宋体"/>
          <w:sz w:val="24"/>
          <w:szCs w:val="28"/>
        </w:rPr>
        <w:fldChar w:fldCharType="end"/>
      </w:r>
      <w:r>
        <w:rPr>
          <w:rFonts w:hint="eastAsia" w:ascii="宋体" w:hAnsi="宋体" w:cs="宋体"/>
          <w:sz w:val="24"/>
          <w:szCs w:val="28"/>
        </w:rPr>
        <w:t>、投标文件、投标投标函未加盖投标人公章及未经法定代表人或被授权委托人签字或盖章的；</w:t>
      </w:r>
    </w:p>
    <w:p>
      <w:pPr>
        <w:spacing w:line="500" w:lineRule="exact"/>
        <w:ind w:firstLine="480" w:firstLineChars="200"/>
        <w:rPr>
          <w:rFonts w:ascii="宋体" w:hAnsi="宋体" w:cs="宋体"/>
          <w:sz w:val="24"/>
          <w:szCs w:val="28"/>
        </w:rPr>
      </w:pPr>
      <w:r>
        <w:rPr>
          <w:rFonts w:hint="eastAsia" w:ascii="宋体" w:hAnsi="宋体" w:cs="宋体"/>
          <w:sz w:val="24"/>
          <w:szCs w:val="28"/>
        </w:rPr>
        <w:fldChar w:fldCharType="begin"/>
      </w:r>
      <w:r>
        <w:rPr>
          <w:rFonts w:hint="eastAsia" w:ascii="宋体" w:hAnsi="宋体" w:cs="宋体"/>
          <w:sz w:val="24"/>
          <w:szCs w:val="28"/>
        </w:rPr>
        <w:instrText xml:space="preserve"> = 3 \* GB3 </w:instrText>
      </w:r>
      <w:r>
        <w:rPr>
          <w:rFonts w:hint="eastAsia" w:ascii="宋体" w:hAnsi="宋体" w:cs="宋体"/>
          <w:sz w:val="24"/>
          <w:szCs w:val="28"/>
        </w:rPr>
        <w:fldChar w:fldCharType="separate"/>
      </w:r>
      <w:r>
        <w:rPr>
          <w:rFonts w:hint="eastAsia" w:ascii="宋体" w:hAnsi="宋体" w:cs="宋体"/>
          <w:sz w:val="24"/>
          <w:szCs w:val="28"/>
        </w:rPr>
        <w:t>③</w:t>
      </w:r>
      <w:r>
        <w:rPr>
          <w:rFonts w:hint="eastAsia" w:ascii="宋体" w:hAnsi="宋体" w:cs="宋体"/>
          <w:sz w:val="24"/>
          <w:szCs w:val="28"/>
        </w:rPr>
        <w:fldChar w:fldCharType="end"/>
      </w:r>
      <w:r>
        <w:rPr>
          <w:rFonts w:hint="eastAsia" w:ascii="宋体" w:hAnsi="宋体" w:cs="宋体"/>
          <w:sz w:val="24"/>
          <w:szCs w:val="28"/>
        </w:rPr>
        <w:t xml:space="preserve">、投标人不满足招标文件必备资质要求的； </w:t>
      </w:r>
    </w:p>
    <w:p>
      <w:pPr>
        <w:spacing w:line="500" w:lineRule="exact"/>
        <w:ind w:firstLine="480" w:firstLineChars="200"/>
        <w:rPr>
          <w:rFonts w:ascii="宋体" w:hAnsi="宋体" w:cs="宋体"/>
          <w:sz w:val="24"/>
          <w:szCs w:val="28"/>
        </w:rPr>
      </w:pPr>
      <w:r>
        <w:rPr>
          <w:rFonts w:hint="eastAsia" w:ascii="宋体" w:hAnsi="宋体" w:cs="宋体"/>
          <w:sz w:val="24"/>
          <w:szCs w:val="28"/>
        </w:rPr>
        <w:fldChar w:fldCharType="begin"/>
      </w:r>
      <w:r>
        <w:rPr>
          <w:rFonts w:hint="eastAsia" w:ascii="宋体" w:hAnsi="宋体" w:cs="宋体"/>
          <w:sz w:val="24"/>
          <w:szCs w:val="28"/>
        </w:rPr>
        <w:instrText xml:space="preserve"> = 4 \* GB3 </w:instrText>
      </w:r>
      <w:r>
        <w:rPr>
          <w:rFonts w:hint="eastAsia" w:ascii="宋体" w:hAnsi="宋体" w:cs="宋体"/>
          <w:sz w:val="24"/>
          <w:szCs w:val="28"/>
        </w:rPr>
        <w:fldChar w:fldCharType="separate"/>
      </w:r>
      <w:r>
        <w:rPr>
          <w:rFonts w:hint="eastAsia" w:ascii="宋体" w:hAnsi="宋体" w:cs="宋体"/>
          <w:sz w:val="24"/>
          <w:szCs w:val="28"/>
        </w:rPr>
        <w:t>④</w:t>
      </w:r>
      <w:r>
        <w:rPr>
          <w:rFonts w:hint="eastAsia" w:ascii="宋体" w:hAnsi="宋体" w:cs="宋体"/>
          <w:sz w:val="24"/>
          <w:szCs w:val="28"/>
        </w:rPr>
        <w:fldChar w:fldCharType="end"/>
      </w:r>
      <w:r>
        <w:rPr>
          <w:rFonts w:hint="eastAsia" w:ascii="宋体" w:hAnsi="宋体" w:cs="宋体"/>
          <w:sz w:val="24"/>
          <w:szCs w:val="28"/>
        </w:rPr>
        <w:t>、未按招标文件的要求交纳保证金的；</w:t>
      </w:r>
    </w:p>
    <w:p>
      <w:pPr>
        <w:spacing w:line="500" w:lineRule="exact"/>
        <w:ind w:firstLine="480" w:firstLineChars="200"/>
        <w:rPr>
          <w:rFonts w:ascii="宋体" w:hAnsi="宋体" w:cs="宋体"/>
          <w:sz w:val="24"/>
          <w:szCs w:val="28"/>
        </w:rPr>
      </w:pPr>
      <w:r>
        <w:rPr>
          <w:rFonts w:hint="eastAsia" w:ascii="宋体" w:hAnsi="宋体" w:cs="宋体"/>
          <w:sz w:val="24"/>
          <w:szCs w:val="28"/>
        </w:rPr>
        <w:fldChar w:fldCharType="begin"/>
      </w:r>
      <w:r>
        <w:rPr>
          <w:rFonts w:hint="eastAsia" w:ascii="宋体" w:hAnsi="宋体" w:cs="宋体"/>
          <w:sz w:val="24"/>
          <w:szCs w:val="28"/>
        </w:rPr>
        <w:instrText xml:space="preserve"> = 5 \* GB3 </w:instrText>
      </w:r>
      <w:r>
        <w:rPr>
          <w:rFonts w:hint="eastAsia" w:ascii="宋体" w:hAnsi="宋体" w:cs="宋体"/>
          <w:sz w:val="24"/>
          <w:szCs w:val="28"/>
        </w:rPr>
        <w:fldChar w:fldCharType="separate"/>
      </w:r>
      <w:r>
        <w:rPr>
          <w:rFonts w:hint="eastAsia" w:ascii="宋体" w:hAnsi="宋体" w:cs="宋体"/>
          <w:sz w:val="24"/>
          <w:szCs w:val="28"/>
        </w:rPr>
        <w:t>⑤</w:t>
      </w:r>
      <w:r>
        <w:rPr>
          <w:rFonts w:hint="eastAsia" w:ascii="宋体" w:hAnsi="宋体" w:cs="宋体"/>
          <w:sz w:val="24"/>
          <w:szCs w:val="28"/>
        </w:rPr>
        <w:fldChar w:fldCharType="end"/>
      </w:r>
      <w:r>
        <w:rPr>
          <w:rFonts w:hint="eastAsia" w:ascii="宋体" w:hAnsi="宋体" w:cs="宋体"/>
          <w:sz w:val="24"/>
          <w:szCs w:val="28"/>
        </w:rPr>
        <w:t>、明显不符合商务、技术要求，存在重大负偏离的；</w:t>
      </w:r>
    </w:p>
    <w:p>
      <w:pPr>
        <w:spacing w:line="500" w:lineRule="exact"/>
        <w:ind w:firstLine="480" w:firstLineChars="200"/>
        <w:rPr>
          <w:rFonts w:ascii="宋体" w:hAnsi="宋体" w:cs="宋体"/>
          <w:sz w:val="24"/>
          <w:szCs w:val="28"/>
        </w:rPr>
      </w:pPr>
      <w:r>
        <w:rPr>
          <w:rFonts w:hint="eastAsia" w:ascii="宋体" w:hAnsi="宋体" w:cs="宋体"/>
          <w:sz w:val="24"/>
          <w:szCs w:val="28"/>
        </w:rPr>
        <w:fldChar w:fldCharType="begin"/>
      </w:r>
      <w:r>
        <w:rPr>
          <w:rFonts w:hint="eastAsia" w:ascii="宋体" w:hAnsi="宋体" w:cs="宋体"/>
          <w:sz w:val="24"/>
          <w:szCs w:val="28"/>
        </w:rPr>
        <w:instrText xml:space="preserve"> = 6 \* GB3 </w:instrText>
      </w:r>
      <w:r>
        <w:rPr>
          <w:rFonts w:hint="eastAsia" w:ascii="宋体" w:hAnsi="宋体" w:cs="宋体"/>
          <w:sz w:val="24"/>
          <w:szCs w:val="28"/>
        </w:rPr>
        <w:fldChar w:fldCharType="separate"/>
      </w:r>
      <w:r>
        <w:rPr>
          <w:rFonts w:hint="eastAsia" w:ascii="宋体" w:hAnsi="宋体" w:cs="宋体"/>
          <w:sz w:val="24"/>
          <w:szCs w:val="28"/>
        </w:rPr>
        <w:t>⑥</w:t>
      </w:r>
      <w:r>
        <w:rPr>
          <w:rFonts w:hint="eastAsia" w:ascii="宋体" w:hAnsi="宋体" w:cs="宋体"/>
          <w:sz w:val="24"/>
          <w:szCs w:val="28"/>
        </w:rPr>
        <w:fldChar w:fldCharType="end"/>
      </w:r>
      <w:r>
        <w:rPr>
          <w:rFonts w:hint="eastAsia" w:ascii="宋体" w:hAnsi="宋体" w:cs="宋体"/>
          <w:sz w:val="24"/>
          <w:szCs w:val="28"/>
        </w:rPr>
        <w:t>、投标文件附有采购人不能接受的条件的；</w:t>
      </w:r>
    </w:p>
    <w:p>
      <w:pPr>
        <w:spacing w:line="500" w:lineRule="exact"/>
        <w:ind w:firstLine="480" w:firstLineChars="200"/>
        <w:rPr>
          <w:rFonts w:ascii="宋体" w:hAnsi="宋体" w:cs="宋体"/>
          <w:sz w:val="24"/>
          <w:szCs w:val="28"/>
        </w:rPr>
      </w:pPr>
      <w:r>
        <w:rPr>
          <w:rFonts w:hint="eastAsia" w:ascii="宋体" w:hAnsi="宋体" w:cs="宋体"/>
          <w:sz w:val="24"/>
          <w:szCs w:val="28"/>
        </w:rPr>
        <w:fldChar w:fldCharType="begin"/>
      </w:r>
      <w:r>
        <w:rPr>
          <w:rFonts w:hint="eastAsia" w:ascii="宋体" w:hAnsi="宋体" w:cs="宋体"/>
          <w:sz w:val="24"/>
          <w:szCs w:val="28"/>
        </w:rPr>
        <w:instrText xml:space="preserve"> = 7 \* GB3 </w:instrText>
      </w:r>
      <w:r>
        <w:rPr>
          <w:rFonts w:hint="eastAsia" w:ascii="宋体" w:hAnsi="宋体" w:cs="宋体"/>
          <w:sz w:val="24"/>
          <w:szCs w:val="28"/>
        </w:rPr>
        <w:fldChar w:fldCharType="separate"/>
      </w:r>
      <w:r>
        <w:rPr>
          <w:rFonts w:hint="eastAsia" w:ascii="宋体" w:hAnsi="宋体" w:cs="宋体"/>
          <w:sz w:val="24"/>
          <w:szCs w:val="28"/>
        </w:rPr>
        <w:t>⑦</w:t>
      </w:r>
      <w:r>
        <w:rPr>
          <w:rFonts w:hint="eastAsia" w:ascii="宋体" w:hAnsi="宋体" w:cs="宋体"/>
          <w:sz w:val="24"/>
          <w:szCs w:val="28"/>
        </w:rPr>
        <w:fldChar w:fldCharType="end"/>
      </w:r>
      <w:r>
        <w:rPr>
          <w:rFonts w:hint="eastAsia" w:ascii="宋体" w:hAnsi="宋体" w:cs="宋体"/>
          <w:sz w:val="24"/>
          <w:szCs w:val="28"/>
        </w:rPr>
        <w:t>、不符合招标文件规定的其他实质性要求的。</w:t>
      </w:r>
    </w:p>
    <w:p>
      <w:pPr>
        <w:spacing w:line="500" w:lineRule="exact"/>
        <w:ind w:firstLine="480" w:firstLineChars="200"/>
        <w:rPr>
          <w:rFonts w:ascii="宋体" w:hAnsi="宋体" w:cs="宋体"/>
          <w:sz w:val="24"/>
          <w:szCs w:val="28"/>
        </w:rPr>
      </w:pPr>
      <w:r>
        <w:rPr>
          <w:rFonts w:hint="eastAsia" w:ascii="宋体" w:hAnsi="宋体" w:cs="宋体"/>
          <w:sz w:val="24"/>
          <w:szCs w:val="28"/>
        </w:rPr>
        <w:t>1.2 评标委员会对投标文件中的内容有疑问的部分，可以向投标人质询并要求该投标人做出书面澄清，但不得对投标文件做实质性修改，质询工作应当由全体评标委员会成员参加。对于实质性不符合招标文件的，评标委员会有权予以拒绝。质询工作应做书面记录，采购人代表、评标委员会成员及投标人应在记录上签字确认。</w:t>
      </w:r>
    </w:p>
    <w:p>
      <w:pPr>
        <w:spacing w:line="500" w:lineRule="exact"/>
        <w:ind w:firstLine="482" w:firstLineChars="200"/>
        <w:outlineLvl w:val="1"/>
        <w:rPr>
          <w:rFonts w:ascii="宋体" w:hAnsi="宋体"/>
          <w:b/>
          <w:bCs/>
          <w:sz w:val="24"/>
          <w:szCs w:val="28"/>
        </w:rPr>
      </w:pPr>
      <w:bookmarkStart w:id="113" w:name="_Toc6573"/>
      <w:bookmarkStart w:id="114" w:name="_Toc22009"/>
      <w:r>
        <w:rPr>
          <w:rFonts w:hint="eastAsia" w:ascii="宋体" w:hAnsi="宋体" w:cs="宋体"/>
          <w:b/>
          <w:bCs/>
          <w:sz w:val="24"/>
          <w:szCs w:val="28"/>
        </w:rPr>
        <w:t>九、中标、质疑</w:t>
      </w:r>
      <w:bookmarkEnd w:id="113"/>
      <w:bookmarkEnd w:id="114"/>
      <w:r>
        <w:rPr>
          <w:rFonts w:hint="eastAsia" w:ascii="宋体" w:hAnsi="宋体" w:cs="宋体"/>
          <w:b/>
          <w:bCs/>
          <w:sz w:val="24"/>
          <w:szCs w:val="28"/>
        </w:rPr>
        <w:t>及投诉</w:t>
      </w:r>
    </w:p>
    <w:p>
      <w:pPr>
        <w:spacing w:line="500" w:lineRule="exact"/>
        <w:ind w:firstLine="480" w:firstLineChars="200"/>
        <w:outlineLvl w:val="2"/>
        <w:rPr>
          <w:rFonts w:ascii="宋体" w:hAnsi="宋体"/>
          <w:sz w:val="24"/>
          <w:szCs w:val="28"/>
        </w:rPr>
      </w:pPr>
      <w:r>
        <w:rPr>
          <w:rFonts w:ascii="宋体" w:hAnsi="宋体" w:cs="宋体"/>
          <w:sz w:val="24"/>
          <w:szCs w:val="28"/>
        </w:rPr>
        <w:t>1</w:t>
      </w:r>
      <w:r>
        <w:rPr>
          <w:rFonts w:hint="eastAsia" w:ascii="宋体" w:hAnsi="宋体" w:cs="宋体"/>
          <w:sz w:val="24"/>
          <w:szCs w:val="28"/>
        </w:rPr>
        <w:t>、确定中标人</w:t>
      </w:r>
    </w:p>
    <w:p>
      <w:pPr>
        <w:spacing w:line="500" w:lineRule="exact"/>
        <w:ind w:firstLine="480" w:firstLineChars="200"/>
        <w:rPr>
          <w:rFonts w:ascii="宋体" w:hAnsi="宋体"/>
          <w:sz w:val="24"/>
          <w:szCs w:val="28"/>
        </w:rPr>
      </w:pPr>
      <w:r>
        <w:rPr>
          <w:rFonts w:hint="eastAsia" w:ascii="宋体" w:hAnsi="宋体" w:cs="宋体"/>
          <w:sz w:val="24"/>
          <w:szCs w:val="28"/>
        </w:rPr>
        <w:t>1.1 评标委员会向采购人提出书面评标报告并推荐合格的中标候选人。采购人根据评标委员会提交的评标报告和采购代理机构的《中标确认函》确定中标人。</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1.2 采购代理机构接到采购人的中标复函后，将中标结果在《陕西省政府采购网》上进行公告并向中标投标人发出《中标通知书》。</w:t>
      </w:r>
    </w:p>
    <w:p>
      <w:pPr>
        <w:tabs>
          <w:tab w:val="left" w:pos="1155"/>
        </w:tabs>
        <w:spacing w:line="440" w:lineRule="exact"/>
        <w:ind w:firstLine="480" w:firstLineChars="200"/>
        <w:rPr>
          <w:rFonts w:ascii="宋体" w:hAnsi="宋体" w:cs="宋体"/>
          <w:bCs/>
          <w:sz w:val="24"/>
        </w:rPr>
      </w:pPr>
      <w:r>
        <w:rPr>
          <w:rFonts w:hint="eastAsia" w:ascii="宋体" w:hAnsi="宋体" w:cs="宋体"/>
          <w:bCs/>
          <w:sz w:val="24"/>
        </w:rPr>
        <w:t>2、质疑与投诉</w:t>
      </w:r>
    </w:p>
    <w:p>
      <w:pPr>
        <w:tabs>
          <w:tab w:val="left" w:pos="1155"/>
        </w:tabs>
        <w:spacing w:line="440" w:lineRule="exact"/>
        <w:ind w:firstLine="480" w:firstLineChars="200"/>
        <w:rPr>
          <w:rFonts w:ascii="宋体" w:hAnsi="宋体" w:cs="宋体"/>
          <w:bCs/>
          <w:sz w:val="24"/>
        </w:rPr>
      </w:pPr>
      <w:r>
        <w:rPr>
          <w:rFonts w:hint="eastAsia" w:ascii="宋体" w:hAnsi="宋体" w:cs="宋体"/>
          <w:bCs/>
          <w:sz w:val="24"/>
        </w:rPr>
        <w:t>2.1 质疑与投诉事宜依据《中华人民共和国政府采购法》、《中华人民共和国政府采购法实施条例》（国务院第658号令）、《政府采购质疑和投诉办法》（中华人民共和国财政部令（第 94号））及《陕财办采资（2016）53号》规定执行。</w:t>
      </w:r>
    </w:p>
    <w:p>
      <w:pPr>
        <w:tabs>
          <w:tab w:val="left" w:pos="1155"/>
        </w:tabs>
        <w:spacing w:line="440" w:lineRule="exact"/>
        <w:ind w:firstLine="480" w:firstLineChars="200"/>
        <w:rPr>
          <w:rFonts w:ascii="宋体" w:hAnsi="宋体" w:cs="宋体"/>
          <w:bCs/>
          <w:sz w:val="24"/>
        </w:rPr>
      </w:pPr>
      <w:r>
        <w:rPr>
          <w:rFonts w:hint="eastAsia" w:ascii="宋体" w:hAnsi="宋体" w:cs="宋体"/>
          <w:bCs/>
          <w:sz w:val="24"/>
        </w:rPr>
        <w:t>2.2、出现投标人认为采购文件、采购过程和中标、成交结果使自己的权益受到损害的，可以在知道或者应知其权益受到损害之日起七个工作日内，以书面形式向采购人提出质疑。</w:t>
      </w:r>
    </w:p>
    <w:p>
      <w:pPr>
        <w:tabs>
          <w:tab w:val="left" w:pos="1155"/>
        </w:tabs>
        <w:spacing w:line="440" w:lineRule="exact"/>
        <w:ind w:firstLine="480" w:firstLineChars="200"/>
        <w:rPr>
          <w:rFonts w:ascii="宋体" w:hAnsi="宋体" w:cs="宋体"/>
          <w:bCs/>
          <w:sz w:val="24"/>
        </w:rPr>
      </w:pPr>
      <w:r>
        <w:rPr>
          <w:rFonts w:hint="eastAsia" w:ascii="宋体" w:hAnsi="宋体" w:cs="宋体"/>
          <w:bCs/>
          <w:sz w:val="24"/>
        </w:rPr>
        <w:t>2.3、采购人或者采购代理机构应当在3个工作日内对投标人依法提出的询问作出答复。投标人提出的询问或者质疑超出采购人对采购代理机构委托授权范围的，采购代理机构应当告知投标人向采购人提出。政府采购评审专家应当配合采购人或者采购代理机构答复投标人的询问和质疑。</w:t>
      </w:r>
    </w:p>
    <w:p>
      <w:pPr>
        <w:tabs>
          <w:tab w:val="left" w:pos="1155"/>
        </w:tabs>
        <w:spacing w:line="440" w:lineRule="exact"/>
        <w:ind w:firstLine="480" w:firstLineChars="200"/>
        <w:rPr>
          <w:rFonts w:ascii="宋体" w:hAnsi="宋体" w:cs="宋体"/>
          <w:bCs/>
          <w:sz w:val="24"/>
        </w:rPr>
      </w:pPr>
      <w:r>
        <w:rPr>
          <w:rFonts w:hint="eastAsia" w:ascii="宋体" w:hAnsi="宋体" w:cs="宋体"/>
          <w:bCs/>
          <w:sz w:val="24"/>
        </w:rPr>
        <w:t>2.4、出现投标人认为采购文件、采购过程、中标和成交结果使自己的合法权益受到损害的，应当首先依法向采购人、采购代理机构提出质疑。对采购人、采购代理机构的质疑答复不满意，或者采购人、采购代理机构未在规定期限内作出答复的，投标人可以在答复期满后15个工作日内向同级财政部门提起投诉。</w:t>
      </w:r>
    </w:p>
    <w:p>
      <w:pPr>
        <w:tabs>
          <w:tab w:val="left" w:pos="1155"/>
        </w:tabs>
        <w:spacing w:line="440" w:lineRule="exact"/>
        <w:ind w:firstLine="480" w:firstLineChars="200"/>
      </w:pPr>
      <w:r>
        <w:rPr>
          <w:rFonts w:hint="eastAsia" w:ascii="宋体" w:hAnsi="宋体" w:cs="宋体"/>
          <w:bCs/>
          <w:sz w:val="24"/>
        </w:rPr>
        <w:t>2.5、质疑</w:t>
      </w:r>
    </w:p>
    <w:p>
      <w:pPr>
        <w:spacing w:line="500" w:lineRule="exact"/>
        <w:ind w:firstLine="480" w:firstLineChars="200"/>
        <w:rPr>
          <w:rFonts w:ascii="宋体" w:hAnsi="宋体" w:cs="宋体"/>
          <w:sz w:val="24"/>
          <w:szCs w:val="28"/>
        </w:rPr>
      </w:pPr>
      <w:r>
        <w:rPr>
          <w:rFonts w:hint="eastAsia" w:ascii="宋体" w:hAnsi="宋体" w:cs="宋体"/>
          <w:bCs/>
          <w:sz w:val="24"/>
        </w:rPr>
        <w:t>2.5</w:t>
      </w:r>
      <w:r>
        <w:rPr>
          <w:rFonts w:hint="eastAsia" w:ascii="宋体" w:hAnsi="宋体" w:cs="宋体"/>
          <w:sz w:val="24"/>
          <w:szCs w:val="28"/>
        </w:rPr>
        <w:t>.1 投标人对采购文件、采购过程或成交结果使自身的合法权益受到损害，应当在法定期限内，按照质疑函范本格式要求以书面形式向采购代理机构或采购人提出质疑，并附必要的证明材料。</w:t>
      </w:r>
    </w:p>
    <w:p>
      <w:pPr>
        <w:spacing w:line="500" w:lineRule="exact"/>
        <w:ind w:firstLine="480" w:firstLineChars="200"/>
        <w:rPr>
          <w:rFonts w:ascii="宋体" w:hAnsi="宋体" w:cs="宋体"/>
          <w:sz w:val="24"/>
          <w:szCs w:val="28"/>
        </w:rPr>
      </w:pPr>
      <w:r>
        <w:rPr>
          <w:rFonts w:hint="eastAsia" w:ascii="宋体" w:hAnsi="宋体" w:cs="宋体"/>
          <w:sz w:val="24"/>
          <w:szCs w:val="28"/>
        </w:rPr>
        <w:t xml:space="preserve"> </w:t>
      </w:r>
      <w:r>
        <w:rPr>
          <w:rFonts w:hint="eastAsia" w:ascii="宋体" w:hAnsi="宋体" w:cs="宋体"/>
          <w:bCs/>
          <w:sz w:val="24"/>
        </w:rPr>
        <w:t>2.5</w:t>
      </w:r>
      <w:r>
        <w:rPr>
          <w:rFonts w:hint="eastAsia" w:ascii="宋体" w:hAnsi="宋体" w:cs="宋体"/>
          <w:sz w:val="24"/>
          <w:szCs w:val="28"/>
        </w:rPr>
        <w:t>.2 质疑函应当包括下列内容：</w:t>
      </w:r>
    </w:p>
    <w:p>
      <w:pPr>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投标人</w:t>
      </w:r>
      <w:r>
        <w:rPr>
          <w:rFonts w:ascii="宋体" w:hAnsi="宋体" w:cs="宋体"/>
          <w:sz w:val="24"/>
          <w:szCs w:val="24"/>
        </w:rPr>
        <w:t>的姓名或者名称、地址、邮编、联系人及联系电话；</w:t>
      </w:r>
    </w:p>
    <w:p>
      <w:pPr>
        <w:spacing w:line="500" w:lineRule="exact"/>
        <w:ind w:firstLine="480" w:firstLineChars="200"/>
        <w:rPr>
          <w:rFonts w:ascii="宋体" w:hAnsi="宋体" w:cs="宋体"/>
          <w:sz w:val="24"/>
          <w:szCs w:val="24"/>
        </w:rPr>
      </w:pPr>
      <w:r>
        <w:rPr>
          <w:rFonts w:ascii="宋体" w:hAnsi="宋体" w:cs="宋体"/>
          <w:sz w:val="24"/>
          <w:szCs w:val="24"/>
        </w:rPr>
        <w:t xml:space="preserve">（2）质疑项目的名称、编号； </w:t>
      </w:r>
    </w:p>
    <w:p>
      <w:pPr>
        <w:spacing w:line="500" w:lineRule="exact"/>
        <w:ind w:firstLine="480" w:firstLineChars="200"/>
        <w:rPr>
          <w:rFonts w:ascii="宋体" w:hAnsi="宋体" w:cs="宋体"/>
          <w:sz w:val="24"/>
          <w:szCs w:val="24"/>
        </w:rPr>
      </w:pPr>
      <w:r>
        <w:rPr>
          <w:rFonts w:ascii="宋体" w:hAnsi="宋体" w:cs="宋体"/>
          <w:sz w:val="24"/>
          <w:szCs w:val="24"/>
        </w:rPr>
        <w:t xml:space="preserve">（3）具体、明确的质疑事项和与质疑事项相关的请求； </w:t>
      </w:r>
    </w:p>
    <w:p>
      <w:pPr>
        <w:spacing w:line="500" w:lineRule="exact"/>
        <w:ind w:firstLine="480" w:firstLineChars="200"/>
        <w:rPr>
          <w:rFonts w:ascii="宋体" w:hAnsi="宋体" w:cs="宋体"/>
          <w:sz w:val="24"/>
          <w:szCs w:val="24"/>
        </w:rPr>
      </w:pPr>
      <w:r>
        <w:rPr>
          <w:rFonts w:ascii="宋体" w:hAnsi="宋体" w:cs="宋体"/>
          <w:sz w:val="24"/>
          <w:szCs w:val="24"/>
        </w:rPr>
        <w:t xml:space="preserve">（4）事实依据； </w:t>
      </w:r>
    </w:p>
    <w:p>
      <w:pPr>
        <w:spacing w:line="500" w:lineRule="exact"/>
        <w:ind w:firstLine="480" w:firstLineChars="200"/>
        <w:rPr>
          <w:rFonts w:ascii="宋体" w:hAnsi="宋体" w:cs="宋体"/>
          <w:sz w:val="24"/>
          <w:szCs w:val="24"/>
        </w:rPr>
      </w:pPr>
      <w:r>
        <w:rPr>
          <w:rFonts w:ascii="宋体" w:hAnsi="宋体" w:cs="宋体"/>
          <w:sz w:val="24"/>
          <w:szCs w:val="24"/>
        </w:rPr>
        <w:t xml:space="preserve">（5）必要的法律依据； </w:t>
      </w:r>
    </w:p>
    <w:p>
      <w:pPr>
        <w:spacing w:line="500" w:lineRule="exact"/>
        <w:ind w:firstLine="480" w:firstLineChars="200"/>
        <w:rPr>
          <w:rFonts w:ascii="宋体" w:hAnsi="宋体" w:cs="宋体"/>
          <w:sz w:val="24"/>
          <w:szCs w:val="24"/>
        </w:rPr>
      </w:pPr>
      <w:r>
        <w:rPr>
          <w:rFonts w:ascii="宋体" w:hAnsi="宋体" w:cs="宋体"/>
          <w:sz w:val="24"/>
          <w:szCs w:val="24"/>
        </w:rPr>
        <w:t xml:space="preserve">（6）提出质疑的日期。 </w:t>
      </w:r>
    </w:p>
    <w:p>
      <w:pPr>
        <w:spacing w:line="500" w:lineRule="exact"/>
        <w:ind w:firstLine="480" w:firstLineChars="200"/>
        <w:rPr>
          <w:rFonts w:ascii="宋体" w:hAnsi="宋体" w:cs="宋体"/>
          <w:sz w:val="24"/>
          <w:szCs w:val="24"/>
        </w:rPr>
      </w:pPr>
      <w:r>
        <w:rPr>
          <w:rFonts w:hint="eastAsia" w:ascii="宋体" w:hAnsi="宋体" w:cs="宋体"/>
          <w:sz w:val="24"/>
          <w:szCs w:val="24"/>
        </w:rPr>
        <w:t>投标人</w:t>
      </w:r>
      <w:r>
        <w:rPr>
          <w:rFonts w:ascii="宋体" w:hAnsi="宋体" w:cs="宋体"/>
          <w:sz w:val="24"/>
          <w:szCs w:val="24"/>
        </w:rPr>
        <w:t>为自然人的，应当由本人签字；</w:t>
      </w:r>
      <w:r>
        <w:rPr>
          <w:rFonts w:hint="eastAsia" w:ascii="宋体" w:hAnsi="宋体" w:cs="宋体"/>
          <w:sz w:val="24"/>
          <w:szCs w:val="24"/>
        </w:rPr>
        <w:t>投标人</w:t>
      </w:r>
      <w:r>
        <w:rPr>
          <w:rFonts w:ascii="宋体" w:hAnsi="宋体" w:cs="宋体"/>
          <w:sz w:val="24"/>
          <w:szCs w:val="24"/>
        </w:rPr>
        <w:t>为法人或者其他组织的，应当由法定代表人、主要负责人，或者其委托代理人签字或者盖章，并加盖单位章。</w:t>
      </w:r>
    </w:p>
    <w:p>
      <w:pPr>
        <w:spacing w:line="500" w:lineRule="exact"/>
        <w:ind w:firstLine="480" w:firstLineChars="200"/>
        <w:rPr>
          <w:rFonts w:ascii="宋体" w:hAnsi="宋体" w:cs="宋体"/>
          <w:sz w:val="24"/>
          <w:szCs w:val="28"/>
        </w:rPr>
      </w:pPr>
      <w:r>
        <w:rPr>
          <w:rFonts w:hint="eastAsia" w:ascii="宋体" w:hAnsi="宋体" w:cs="宋体"/>
          <w:sz w:val="24"/>
          <w:szCs w:val="28"/>
        </w:rPr>
        <w:t>2.6.3 质疑人可以委托代理人办理质疑事项，代理人办理质疑事项时，除提交质疑函外，还应当提交质疑人的授权委托书及代理人的有效身份证明，授权委托书应当载明委托代理的具体权限期限和相关事项。</w:t>
      </w:r>
    </w:p>
    <w:p>
      <w:pPr>
        <w:spacing w:line="500" w:lineRule="exact"/>
        <w:ind w:firstLine="480" w:firstLineChars="200"/>
        <w:rPr>
          <w:rFonts w:ascii="宋体" w:hAnsi="宋体" w:cs="宋体"/>
          <w:sz w:val="24"/>
          <w:szCs w:val="28"/>
        </w:rPr>
      </w:pPr>
      <w:r>
        <w:rPr>
          <w:rFonts w:hint="eastAsia" w:ascii="宋体" w:hAnsi="宋体" w:cs="宋体"/>
          <w:bCs/>
          <w:sz w:val="24"/>
        </w:rPr>
        <w:t>2.5</w:t>
      </w:r>
      <w:r>
        <w:rPr>
          <w:rFonts w:hint="eastAsia" w:ascii="宋体" w:hAnsi="宋体" w:cs="宋体"/>
          <w:sz w:val="24"/>
          <w:szCs w:val="28"/>
        </w:rPr>
        <w:t xml:space="preserve">.4 质疑函范本格式在中国政府采购网站（http://www.ccgp.gov.cn/）自行下载。 </w:t>
      </w:r>
    </w:p>
    <w:p>
      <w:pPr>
        <w:spacing w:line="500" w:lineRule="exact"/>
        <w:ind w:firstLine="480" w:firstLineChars="200"/>
        <w:rPr>
          <w:rFonts w:ascii="宋体" w:hAnsi="宋体" w:cs="宋体"/>
          <w:sz w:val="24"/>
          <w:szCs w:val="28"/>
        </w:rPr>
      </w:pPr>
      <w:r>
        <w:rPr>
          <w:rFonts w:hint="eastAsia" w:ascii="宋体" w:hAnsi="宋体" w:cs="宋体"/>
          <w:bCs/>
          <w:sz w:val="24"/>
        </w:rPr>
        <w:t>2.5</w:t>
      </w:r>
      <w:r>
        <w:rPr>
          <w:rFonts w:hint="eastAsia" w:ascii="宋体" w:hAnsi="宋体" w:cs="宋体"/>
          <w:sz w:val="24"/>
          <w:szCs w:val="28"/>
        </w:rPr>
        <w:t xml:space="preserve">.5接收质疑函的联系部门、联系电话和通讯地址同招标公告。 </w:t>
      </w:r>
    </w:p>
    <w:p>
      <w:pPr>
        <w:spacing w:line="500" w:lineRule="exact"/>
        <w:ind w:firstLine="480" w:firstLineChars="200"/>
        <w:rPr>
          <w:rFonts w:ascii="宋体" w:hAnsi="宋体" w:cs="宋体"/>
          <w:sz w:val="24"/>
          <w:szCs w:val="28"/>
        </w:rPr>
      </w:pPr>
      <w:r>
        <w:rPr>
          <w:rFonts w:hint="eastAsia" w:ascii="宋体" w:hAnsi="宋体" w:cs="宋体"/>
          <w:bCs/>
          <w:sz w:val="24"/>
        </w:rPr>
        <w:t>2.5</w:t>
      </w:r>
      <w:r>
        <w:rPr>
          <w:rFonts w:hint="eastAsia" w:ascii="宋体" w:hAnsi="宋体" w:cs="宋体"/>
          <w:sz w:val="24"/>
          <w:szCs w:val="28"/>
        </w:rPr>
        <w:t>.6有下列情形之一的，属于无效质疑，采购代理机构和采购人不予受理：</w:t>
      </w:r>
    </w:p>
    <w:p>
      <w:pPr>
        <w:numPr>
          <w:ilvl w:val="0"/>
          <w:numId w:val="3"/>
        </w:numPr>
        <w:spacing w:line="500" w:lineRule="exact"/>
        <w:rPr>
          <w:rFonts w:ascii="宋体" w:hAnsi="宋体" w:cs="宋体"/>
          <w:sz w:val="24"/>
          <w:szCs w:val="28"/>
        </w:rPr>
      </w:pPr>
      <w:r>
        <w:rPr>
          <w:rFonts w:hint="eastAsia" w:ascii="宋体" w:hAnsi="宋体" w:cs="宋体"/>
          <w:sz w:val="24"/>
          <w:szCs w:val="28"/>
        </w:rPr>
        <w:t xml:space="preserve">质疑人不是参与本次政府采购项目的投标人； </w:t>
      </w:r>
    </w:p>
    <w:p>
      <w:pPr>
        <w:numPr>
          <w:ilvl w:val="0"/>
          <w:numId w:val="3"/>
        </w:numPr>
        <w:spacing w:line="500" w:lineRule="exact"/>
        <w:rPr>
          <w:rFonts w:ascii="宋体" w:hAnsi="宋体" w:cs="宋体"/>
          <w:sz w:val="24"/>
          <w:szCs w:val="28"/>
        </w:rPr>
      </w:pPr>
      <w:r>
        <w:rPr>
          <w:rFonts w:hint="eastAsia" w:ascii="宋体" w:hAnsi="宋体" w:cs="宋体"/>
          <w:sz w:val="24"/>
          <w:szCs w:val="28"/>
        </w:rPr>
        <w:t xml:space="preserve">质疑人与质疑事项不存在利害关系的； </w:t>
      </w:r>
    </w:p>
    <w:p>
      <w:pPr>
        <w:numPr>
          <w:ilvl w:val="0"/>
          <w:numId w:val="3"/>
        </w:numPr>
        <w:spacing w:line="500" w:lineRule="exact"/>
        <w:rPr>
          <w:rFonts w:ascii="宋体" w:hAnsi="宋体" w:cs="宋体"/>
          <w:sz w:val="24"/>
          <w:szCs w:val="28"/>
        </w:rPr>
      </w:pPr>
      <w:r>
        <w:rPr>
          <w:rFonts w:hint="eastAsia" w:ascii="宋体" w:hAnsi="宋体" w:cs="宋体"/>
          <w:sz w:val="24"/>
          <w:szCs w:val="28"/>
        </w:rPr>
        <w:t xml:space="preserve">未在法定期限内提出质疑的； </w:t>
      </w:r>
    </w:p>
    <w:p>
      <w:pPr>
        <w:numPr>
          <w:ilvl w:val="0"/>
          <w:numId w:val="3"/>
        </w:numPr>
        <w:spacing w:line="500" w:lineRule="exact"/>
        <w:ind w:left="0" w:firstLine="420" w:firstLineChars="175"/>
        <w:rPr>
          <w:rFonts w:ascii="宋体" w:hAnsi="宋体" w:cs="宋体"/>
          <w:sz w:val="24"/>
          <w:szCs w:val="28"/>
        </w:rPr>
      </w:pPr>
      <w:r>
        <w:rPr>
          <w:rFonts w:hint="eastAsia" w:ascii="宋体" w:hAnsi="宋体" w:cs="宋体"/>
          <w:sz w:val="24"/>
          <w:szCs w:val="28"/>
        </w:rPr>
        <w:t xml:space="preserve">质疑未以书面形式提出，以传真、电子邮件、移动通信等形式即时收悉提交的质疑材料； </w:t>
      </w:r>
    </w:p>
    <w:p>
      <w:pPr>
        <w:numPr>
          <w:ilvl w:val="0"/>
          <w:numId w:val="3"/>
        </w:numPr>
        <w:spacing w:line="500" w:lineRule="exact"/>
        <w:rPr>
          <w:rFonts w:ascii="宋体" w:hAnsi="宋体" w:cs="宋体"/>
          <w:sz w:val="24"/>
          <w:szCs w:val="28"/>
        </w:rPr>
      </w:pPr>
      <w:r>
        <w:rPr>
          <w:rFonts w:hint="eastAsia" w:ascii="宋体" w:hAnsi="宋体" w:cs="宋体"/>
          <w:sz w:val="24"/>
          <w:szCs w:val="28"/>
        </w:rPr>
        <w:t xml:space="preserve">质疑未按质疑函范本格式提出的； </w:t>
      </w:r>
    </w:p>
    <w:p>
      <w:pPr>
        <w:numPr>
          <w:ilvl w:val="0"/>
          <w:numId w:val="3"/>
        </w:numPr>
        <w:spacing w:line="500" w:lineRule="exact"/>
        <w:rPr>
          <w:rFonts w:ascii="宋体" w:hAnsi="宋体" w:cs="宋体"/>
          <w:sz w:val="24"/>
          <w:szCs w:val="28"/>
        </w:rPr>
      </w:pPr>
      <w:r>
        <w:rPr>
          <w:rFonts w:hint="eastAsia" w:ascii="宋体" w:hAnsi="宋体" w:cs="宋体"/>
          <w:sz w:val="24"/>
          <w:szCs w:val="28"/>
        </w:rPr>
        <w:t xml:space="preserve">质疑书主要内容构成不完整的； </w:t>
      </w:r>
    </w:p>
    <w:p>
      <w:pPr>
        <w:numPr>
          <w:ilvl w:val="0"/>
          <w:numId w:val="3"/>
        </w:numPr>
        <w:spacing w:line="500" w:lineRule="exact"/>
        <w:ind w:left="0" w:firstLine="420" w:firstLineChars="175"/>
        <w:rPr>
          <w:rFonts w:ascii="宋体" w:hAnsi="宋体" w:cs="宋体"/>
          <w:sz w:val="24"/>
          <w:szCs w:val="28"/>
        </w:rPr>
      </w:pPr>
      <w:r>
        <w:rPr>
          <w:rFonts w:hint="eastAsia" w:ascii="宋体" w:hAnsi="宋体" w:cs="宋体"/>
          <w:sz w:val="24"/>
          <w:szCs w:val="28"/>
        </w:rPr>
        <w:t xml:space="preserve">质疑投标人是自然人，个体工商户未提交个体工商户营业执照和本人身份证明或非个体工商户未提供本人身份证明的； </w:t>
      </w:r>
    </w:p>
    <w:p>
      <w:pPr>
        <w:numPr>
          <w:ilvl w:val="0"/>
          <w:numId w:val="3"/>
        </w:numPr>
        <w:spacing w:line="500" w:lineRule="exact"/>
        <w:ind w:left="0" w:firstLine="420" w:firstLineChars="175"/>
        <w:rPr>
          <w:rFonts w:ascii="宋体" w:hAnsi="宋体" w:cs="宋体"/>
          <w:sz w:val="24"/>
          <w:szCs w:val="28"/>
        </w:rPr>
      </w:pPr>
      <w:r>
        <w:rPr>
          <w:rFonts w:hint="eastAsia" w:ascii="宋体" w:hAnsi="宋体" w:cs="宋体"/>
          <w:sz w:val="24"/>
          <w:szCs w:val="28"/>
        </w:rPr>
        <w:t xml:space="preserve">质疑投标人是法人，未提交法人营业执照或者事业法人证书和法定代表人身份证明的； </w:t>
      </w:r>
    </w:p>
    <w:p>
      <w:pPr>
        <w:numPr>
          <w:ilvl w:val="0"/>
          <w:numId w:val="3"/>
        </w:numPr>
        <w:spacing w:line="500" w:lineRule="exact"/>
        <w:ind w:left="0" w:firstLine="420" w:firstLineChars="175"/>
        <w:rPr>
          <w:rFonts w:ascii="宋体" w:hAnsi="宋体" w:cs="宋体"/>
          <w:sz w:val="24"/>
          <w:szCs w:val="28"/>
        </w:rPr>
      </w:pPr>
      <w:r>
        <w:rPr>
          <w:rFonts w:hint="eastAsia" w:ascii="宋体" w:hAnsi="宋体" w:cs="宋体"/>
          <w:sz w:val="24"/>
          <w:szCs w:val="28"/>
        </w:rPr>
        <w:t xml:space="preserve">质疑投标人是其他组织，未提交其他组织有效证明文件和主要负责人身份证明的； </w:t>
      </w:r>
    </w:p>
    <w:p>
      <w:pPr>
        <w:numPr>
          <w:ilvl w:val="0"/>
          <w:numId w:val="3"/>
        </w:numPr>
        <w:spacing w:line="500" w:lineRule="exact"/>
        <w:ind w:left="0" w:firstLine="420" w:firstLineChars="175"/>
        <w:rPr>
          <w:rFonts w:ascii="宋体" w:hAnsi="宋体" w:cs="宋体"/>
          <w:sz w:val="24"/>
          <w:szCs w:val="28"/>
        </w:rPr>
      </w:pPr>
      <w:r>
        <w:rPr>
          <w:rFonts w:hint="eastAsia" w:ascii="宋体" w:hAnsi="宋体" w:cs="宋体"/>
          <w:sz w:val="24"/>
          <w:szCs w:val="28"/>
        </w:rPr>
        <w:t xml:space="preserve">质疑投标人委托代理人进行质疑，未提交法定代表人授权委托书、授权代表身份证明的； </w:t>
      </w:r>
    </w:p>
    <w:p>
      <w:pPr>
        <w:numPr>
          <w:ilvl w:val="0"/>
          <w:numId w:val="3"/>
        </w:numPr>
        <w:tabs>
          <w:tab w:val="left" w:pos="420"/>
        </w:tabs>
        <w:spacing w:line="500" w:lineRule="exact"/>
        <w:ind w:left="221" w:firstLine="199"/>
        <w:rPr>
          <w:rFonts w:ascii="宋体" w:hAnsi="宋体" w:cs="宋体"/>
          <w:sz w:val="24"/>
          <w:szCs w:val="28"/>
        </w:rPr>
      </w:pPr>
      <w:r>
        <w:rPr>
          <w:rFonts w:hint="eastAsia" w:ascii="宋体" w:hAnsi="宋体" w:cs="宋体"/>
          <w:sz w:val="24"/>
          <w:szCs w:val="28"/>
        </w:rPr>
        <w:t xml:space="preserve">质疑函未签字或未加盖公章的； </w:t>
      </w:r>
    </w:p>
    <w:p>
      <w:pPr>
        <w:numPr>
          <w:ilvl w:val="0"/>
          <w:numId w:val="3"/>
        </w:numPr>
        <w:spacing w:line="500" w:lineRule="exact"/>
        <w:rPr>
          <w:rFonts w:ascii="宋体" w:hAnsi="宋体" w:cs="宋体"/>
          <w:sz w:val="24"/>
          <w:szCs w:val="28"/>
        </w:rPr>
      </w:pPr>
      <w:r>
        <w:rPr>
          <w:rFonts w:hint="eastAsia" w:ascii="宋体" w:hAnsi="宋体" w:cs="宋体"/>
          <w:sz w:val="24"/>
          <w:szCs w:val="28"/>
        </w:rPr>
        <w:t xml:space="preserve">以非法手段取得证据、材料的； </w:t>
      </w:r>
    </w:p>
    <w:p>
      <w:pPr>
        <w:numPr>
          <w:ilvl w:val="0"/>
          <w:numId w:val="3"/>
        </w:numPr>
        <w:spacing w:line="500" w:lineRule="exact"/>
        <w:rPr>
          <w:rFonts w:ascii="宋体" w:hAnsi="宋体" w:cs="宋体"/>
          <w:sz w:val="24"/>
          <w:szCs w:val="28"/>
        </w:rPr>
      </w:pPr>
      <w:r>
        <w:rPr>
          <w:rFonts w:hint="eastAsia" w:ascii="宋体" w:hAnsi="宋体" w:cs="宋体"/>
          <w:sz w:val="24"/>
          <w:szCs w:val="28"/>
        </w:rPr>
        <w:t xml:space="preserve">质疑答复后，同一质疑人就同一事项再次提出质疑的； </w:t>
      </w:r>
    </w:p>
    <w:p>
      <w:pPr>
        <w:numPr>
          <w:ilvl w:val="0"/>
          <w:numId w:val="3"/>
        </w:numPr>
        <w:spacing w:line="500" w:lineRule="exact"/>
        <w:rPr>
          <w:rFonts w:ascii="宋体" w:hAnsi="宋体" w:cs="宋体"/>
          <w:sz w:val="24"/>
          <w:szCs w:val="28"/>
        </w:rPr>
      </w:pPr>
      <w:r>
        <w:rPr>
          <w:rFonts w:hint="eastAsia" w:ascii="宋体" w:hAnsi="宋体" w:cs="宋体"/>
          <w:sz w:val="24"/>
          <w:szCs w:val="28"/>
        </w:rPr>
        <w:t>不符合法律、法规、规章和政府采购监管机构规定的其他条件的。</w:t>
      </w:r>
    </w:p>
    <w:p>
      <w:pPr>
        <w:spacing w:line="500" w:lineRule="exact"/>
        <w:ind w:firstLine="480" w:firstLineChars="200"/>
        <w:rPr>
          <w:rFonts w:ascii="宋体" w:hAnsi="宋体" w:cs="宋体"/>
          <w:sz w:val="24"/>
          <w:szCs w:val="28"/>
        </w:rPr>
      </w:pPr>
      <w:r>
        <w:rPr>
          <w:rFonts w:hint="eastAsia" w:ascii="宋体" w:hAnsi="宋体" w:cs="宋体"/>
          <w:bCs/>
          <w:sz w:val="24"/>
        </w:rPr>
        <w:t>2.5</w:t>
      </w:r>
      <w:r>
        <w:rPr>
          <w:rFonts w:hint="eastAsia" w:ascii="宋体" w:hAnsi="宋体" w:cs="宋体"/>
          <w:sz w:val="24"/>
          <w:szCs w:val="28"/>
        </w:rPr>
        <w:t>.7 采购代理机构或采购人将在收到书面质疑后7个工作日内做出答复，并以书面形式通知质疑人和其他有关投标人。</w:t>
      </w:r>
    </w:p>
    <w:p>
      <w:pPr>
        <w:spacing w:line="360" w:lineRule="auto"/>
        <w:ind w:firstLine="480" w:firstLineChars="200"/>
        <w:rPr>
          <w:rFonts w:ascii="宋体" w:hAnsi="宋体" w:cs="宋体"/>
          <w:sz w:val="24"/>
          <w:szCs w:val="24"/>
        </w:rPr>
      </w:pPr>
      <w:r>
        <w:rPr>
          <w:rFonts w:hint="eastAsia" w:ascii="宋体" w:hAnsi="宋体" w:cs="宋体"/>
          <w:sz w:val="24"/>
          <w:szCs w:val="24"/>
        </w:rPr>
        <w:t>2.6.投诉</w:t>
      </w:r>
    </w:p>
    <w:p>
      <w:pPr>
        <w:spacing w:line="360" w:lineRule="auto"/>
        <w:ind w:firstLine="480" w:firstLineChars="200"/>
        <w:rPr>
          <w:rFonts w:ascii="宋体" w:hAnsi="宋体" w:cs="宋体"/>
          <w:sz w:val="24"/>
          <w:szCs w:val="24"/>
        </w:rPr>
      </w:pPr>
      <w:r>
        <w:rPr>
          <w:rFonts w:hint="eastAsia" w:ascii="宋体" w:hAnsi="宋体" w:cs="宋体"/>
          <w:sz w:val="24"/>
          <w:szCs w:val="24"/>
        </w:rPr>
        <w:t>2.6.1质疑人对采购代理机构或采购人的答复不满意，或者采购人、采购代理机构未在规定时间内作出答复的，可以在答复期满后 15 个工作日内向汉台区财政局提起投诉。</w:t>
      </w:r>
    </w:p>
    <w:p>
      <w:pPr>
        <w:spacing w:line="360" w:lineRule="auto"/>
        <w:ind w:firstLine="480" w:firstLineChars="200"/>
        <w:rPr>
          <w:rFonts w:ascii="宋体" w:hAnsi="宋体" w:cs="宋体"/>
          <w:sz w:val="24"/>
          <w:szCs w:val="24"/>
        </w:rPr>
      </w:pPr>
      <w:r>
        <w:rPr>
          <w:rFonts w:hint="eastAsia" w:ascii="宋体" w:hAnsi="宋体" w:cs="宋体"/>
          <w:sz w:val="24"/>
          <w:szCs w:val="24"/>
        </w:rPr>
        <w:t>2.6.2投标人投诉时,应当提交投诉书和必要的证明材料，并按照被投诉采购人、采购代理机构（以下简称被投诉人）和与投诉事项有关的投标人数量提供投诉书的副本。投诉书应当包括下列内容：</w:t>
      </w:r>
    </w:p>
    <w:p>
      <w:pPr>
        <w:numPr>
          <w:ilvl w:val="0"/>
          <w:numId w:val="4"/>
        </w:numPr>
        <w:spacing w:line="360" w:lineRule="auto"/>
        <w:ind w:left="479" w:leftChars="228"/>
        <w:rPr>
          <w:rFonts w:ascii="宋体" w:hAnsi="宋体" w:cs="宋体"/>
          <w:sz w:val="24"/>
          <w:szCs w:val="24"/>
        </w:rPr>
      </w:pPr>
      <w:r>
        <w:rPr>
          <w:rFonts w:ascii="宋体" w:hAnsi="宋体" w:cs="宋体"/>
          <w:sz w:val="24"/>
          <w:szCs w:val="24"/>
        </w:rPr>
        <w:t xml:space="preserve">投诉人和被投诉人的姓名或者名称、通讯地址、邮编、联系人及联系电话； </w:t>
      </w:r>
    </w:p>
    <w:p>
      <w:pPr>
        <w:numPr>
          <w:ilvl w:val="0"/>
          <w:numId w:val="4"/>
        </w:numPr>
        <w:spacing w:line="360" w:lineRule="auto"/>
        <w:ind w:left="479" w:leftChars="228"/>
        <w:rPr>
          <w:rFonts w:ascii="宋体" w:hAnsi="宋体" w:cs="宋体"/>
          <w:sz w:val="24"/>
          <w:szCs w:val="24"/>
        </w:rPr>
      </w:pPr>
      <w:r>
        <w:rPr>
          <w:rFonts w:ascii="宋体" w:hAnsi="宋体" w:cs="宋体"/>
          <w:sz w:val="24"/>
          <w:szCs w:val="24"/>
        </w:rPr>
        <w:t xml:space="preserve">质疑和质疑答复情况说明及相关证明材料； </w:t>
      </w:r>
    </w:p>
    <w:p>
      <w:pPr>
        <w:spacing w:line="360" w:lineRule="auto"/>
        <w:ind w:left="479" w:leftChars="228"/>
        <w:rPr>
          <w:rFonts w:ascii="宋体" w:hAnsi="宋体" w:cs="宋体"/>
          <w:sz w:val="24"/>
          <w:szCs w:val="24"/>
        </w:rPr>
      </w:pPr>
      <w:r>
        <w:rPr>
          <w:rFonts w:ascii="宋体" w:hAnsi="宋体" w:cs="宋体"/>
          <w:sz w:val="24"/>
          <w:szCs w:val="24"/>
        </w:rPr>
        <w:t>（3）具体、明确的投诉事项和与投诉事项相关的投诉请求；</w:t>
      </w:r>
    </w:p>
    <w:p>
      <w:pPr>
        <w:spacing w:line="360" w:lineRule="auto"/>
        <w:ind w:left="479" w:leftChars="228"/>
        <w:rPr>
          <w:rFonts w:ascii="宋体" w:hAnsi="宋体" w:cs="宋体"/>
          <w:sz w:val="24"/>
          <w:szCs w:val="24"/>
        </w:rPr>
      </w:pPr>
      <w:r>
        <w:rPr>
          <w:rFonts w:ascii="宋体" w:hAnsi="宋体" w:cs="宋体"/>
          <w:sz w:val="24"/>
          <w:szCs w:val="24"/>
        </w:rPr>
        <w:t xml:space="preserve">（4）事实依据； </w:t>
      </w:r>
    </w:p>
    <w:p>
      <w:pPr>
        <w:spacing w:line="360" w:lineRule="auto"/>
        <w:ind w:left="479" w:leftChars="228"/>
        <w:rPr>
          <w:rFonts w:ascii="宋体" w:hAnsi="宋体" w:cs="宋体"/>
          <w:sz w:val="24"/>
          <w:szCs w:val="24"/>
        </w:rPr>
      </w:pPr>
      <w:r>
        <w:rPr>
          <w:rFonts w:ascii="宋体" w:hAnsi="宋体" w:cs="宋体"/>
          <w:sz w:val="24"/>
          <w:szCs w:val="24"/>
        </w:rPr>
        <w:t xml:space="preserve">（5）法律依据； </w:t>
      </w:r>
    </w:p>
    <w:p>
      <w:pPr>
        <w:spacing w:line="360" w:lineRule="auto"/>
        <w:ind w:left="479" w:leftChars="228"/>
        <w:rPr>
          <w:rFonts w:ascii="宋体" w:hAnsi="宋体" w:cs="宋体"/>
          <w:sz w:val="24"/>
          <w:szCs w:val="24"/>
        </w:rPr>
      </w:pPr>
      <w:r>
        <w:rPr>
          <w:rFonts w:ascii="宋体" w:hAnsi="宋体" w:cs="宋体"/>
          <w:sz w:val="24"/>
          <w:szCs w:val="24"/>
        </w:rPr>
        <w:t xml:space="preserve">（6）提起投诉的日期。 </w:t>
      </w:r>
      <w:r>
        <w:rPr>
          <w:rFonts w:hint="eastAsia" w:ascii="宋体" w:hAnsi="宋体" w:cs="宋体"/>
          <w:sz w:val="24"/>
          <w:szCs w:val="24"/>
        </w:rPr>
        <w:t xml:space="preserve">      </w:t>
      </w:r>
    </w:p>
    <w:p>
      <w:pPr>
        <w:spacing w:line="360" w:lineRule="auto"/>
        <w:ind w:left="479" w:leftChars="228"/>
        <w:rPr>
          <w:rFonts w:ascii="宋体" w:hAnsi="宋体" w:cs="宋体"/>
          <w:sz w:val="24"/>
          <w:szCs w:val="24"/>
        </w:rPr>
      </w:pPr>
      <w:r>
        <w:rPr>
          <w:rFonts w:ascii="宋体" w:hAnsi="宋体" w:cs="宋体"/>
          <w:sz w:val="24"/>
          <w:szCs w:val="24"/>
        </w:rPr>
        <w:t>投诉人为自然人的，应当由本人签字；投诉人为法人或者其他组织的，应当由法</w:t>
      </w:r>
    </w:p>
    <w:p>
      <w:pPr>
        <w:spacing w:line="360" w:lineRule="auto"/>
        <w:rPr>
          <w:rFonts w:ascii="宋体" w:hAnsi="宋体" w:cs="宋体"/>
          <w:sz w:val="24"/>
          <w:szCs w:val="24"/>
        </w:rPr>
      </w:pPr>
      <w:r>
        <w:rPr>
          <w:rFonts w:ascii="宋体" w:hAnsi="宋体" w:cs="宋体"/>
          <w:sz w:val="24"/>
          <w:szCs w:val="24"/>
        </w:rPr>
        <w:t>定代表人、主要负责人，或者其委托代理人签字或者盖章，并加盖单位章。</w:t>
      </w:r>
    </w:p>
    <w:p>
      <w:pPr>
        <w:pStyle w:val="21"/>
        <w:spacing w:line="360" w:lineRule="auto"/>
        <w:ind w:firstLine="480" w:firstLineChars="200"/>
        <w:rPr>
          <w:rFonts w:ascii="宋体" w:hAnsi="宋体" w:cs="宋体"/>
          <w:kern w:val="2"/>
          <w:sz w:val="24"/>
          <w:szCs w:val="24"/>
        </w:rPr>
      </w:pPr>
      <w:r>
        <w:rPr>
          <w:rFonts w:hint="eastAsia" w:ascii="宋体" w:hAnsi="宋体" w:cs="宋体"/>
          <w:sz w:val="24"/>
          <w:szCs w:val="24"/>
        </w:rPr>
        <w:t>2.6</w:t>
      </w:r>
      <w:r>
        <w:rPr>
          <w:rFonts w:hint="eastAsia" w:ascii="宋体" w:hAnsi="宋体" w:cs="宋体"/>
          <w:kern w:val="2"/>
          <w:sz w:val="24"/>
          <w:szCs w:val="24"/>
        </w:rPr>
        <w:t>.3</w:t>
      </w:r>
      <w:r>
        <w:rPr>
          <w:rFonts w:ascii="宋体" w:hAnsi="宋体" w:cs="宋体"/>
          <w:kern w:val="2"/>
          <w:sz w:val="24"/>
          <w:szCs w:val="24"/>
        </w:rPr>
        <w:t xml:space="preserve"> 投诉书范本格式在中国政府采购网站（http://www.ccgp.gov.cn/）自行下载。 </w:t>
      </w:r>
    </w:p>
    <w:p>
      <w:pPr>
        <w:pStyle w:val="21"/>
        <w:spacing w:line="360" w:lineRule="auto"/>
        <w:ind w:firstLine="480" w:firstLineChars="200"/>
        <w:rPr>
          <w:rFonts w:ascii="宋体" w:hAnsi="宋体" w:cs="宋体"/>
          <w:kern w:val="2"/>
          <w:sz w:val="24"/>
          <w:szCs w:val="24"/>
        </w:rPr>
      </w:pPr>
      <w:r>
        <w:rPr>
          <w:rFonts w:hint="eastAsia" w:ascii="宋体" w:hAnsi="宋体" w:cs="宋体"/>
          <w:sz w:val="24"/>
          <w:szCs w:val="24"/>
        </w:rPr>
        <w:t>2.6</w:t>
      </w:r>
      <w:r>
        <w:rPr>
          <w:rFonts w:hint="eastAsia" w:ascii="宋体" w:hAnsi="宋体" w:cs="宋体"/>
          <w:kern w:val="2"/>
          <w:sz w:val="24"/>
          <w:szCs w:val="24"/>
        </w:rPr>
        <w:t>.</w:t>
      </w:r>
      <w:r>
        <w:rPr>
          <w:rFonts w:ascii="宋体" w:hAnsi="宋体" w:cs="宋体"/>
          <w:kern w:val="2"/>
          <w:sz w:val="24"/>
          <w:szCs w:val="24"/>
        </w:rPr>
        <w:t>4 投诉人提起投诉应当符合下列条件：</w:t>
      </w:r>
    </w:p>
    <w:p>
      <w:pPr>
        <w:pStyle w:val="21"/>
        <w:spacing w:line="360" w:lineRule="auto"/>
        <w:ind w:firstLine="480" w:firstLineChars="200"/>
        <w:rPr>
          <w:rFonts w:ascii="宋体" w:hAnsi="宋体" w:cs="宋体"/>
          <w:kern w:val="2"/>
          <w:sz w:val="24"/>
          <w:szCs w:val="24"/>
        </w:rPr>
      </w:pPr>
      <w:r>
        <w:rPr>
          <w:rFonts w:ascii="宋体" w:hAnsi="宋体" w:cs="宋体"/>
          <w:kern w:val="2"/>
          <w:sz w:val="24"/>
          <w:szCs w:val="24"/>
        </w:rPr>
        <w:t xml:space="preserve">（1）提起投诉前已依法进行质疑； </w:t>
      </w:r>
    </w:p>
    <w:p>
      <w:pPr>
        <w:pStyle w:val="21"/>
        <w:spacing w:line="360" w:lineRule="auto"/>
        <w:ind w:firstLine="480" w:firstLineChars="200"/>
        <w:rPr>
          <w:rFonts w:ascii="宋体" w:hAnsi="宋体" w:cs="宋体"/>
          <w:kern w:val="2"/>
          <w:sz w:val="24"/>
          <w:szCs w:val="24"/>
        </w:rPr>
      </w:pPr>
      <w:r>
        <w:rPr>
          <w:rFonts w:ascii="宋体" w:hAnsi="宋体" w:cs="宋体"/>
          <w:kern w:val="2"/>
          <w:sz w:val="24"/>
          <w:szCs w:val="24"/>
        </w:rPr>
        <w:t xml:space="preserve">（2）投诉书内容符合财政部 94 号令的规定； </w:t>
      </w:r>
    </w:p>
    <w:p>
      <w:pPr>
        <w:pStyle w:val="21"/>
        <w:spacing w:line="360" w:lineRule="auto"/>
        <w:ind w:firstLine="480" w:firstLineChars="200"/>
        <w:rPr>
          <w:rFonts w:ascii="宋体" w:hAnsi="宋体" w:cs="宋体"/>
          <w:kern w:val="2"/>
          <w:sz w:val="24"/>
          <w:szCs w:val="24"/>
        </w:rPr>
      </w:pPr>
      <w:r>
        <w:rPr>
          <w:rFonts w:ascii="宋体" w:hAnsi="宋体" w:cs="宋体"/>
          <w:kern w:val="2"/>
          <w:sz w:val="24"/>
          <w:szCs w:val="24"/>
        </w:rPr>
        <w:t xml:space="preserve">（3）在投诉有效期限内提起投诉； </w:t>
      </w:r>
    </w:p>
    <w:p>
      <w:pPr>
        <w:pStyle w:val="21"/>
        <w:spacing w:line="360" w:lineRule="auto"/>
        <w:ind w:firstLine="480" w:firstLineChars="200"/>
        <w:rPr>
          <w:rFonts w:ascii="宋体" w:hAnsi="宋体" w:cs="宋体"/>
          <w:kern w:val="2"/>
          <w:sz w:val="24"/>
          <w:szCs w:val="24"/>
        </w:rPr>
      </w:pPr>
      <w:r>
        <w:rPr>
          <w:rFonts w:ascii="宋体" w:hAnsi="宋体" w:cs="宋体"/>
          <w:kern w:val="2"/>
          <w:sz w:val="24"/>
          <w:szCs w:val="24"/>
        </w:rPr>
        <w:t>（4）同一投诉事项未经财政部门投诉处理；</w:t>
      </w:r>
    </w:p>
    <w:p>
      <w:pPr>
        <w:pStyle w:val="21"/>
        <w:spacing w:line="360" w:lineRule="auto"/>
        <w:ind w:firstLine="480" w:firstLineChars="200"/>
        <w:rPr>
          <w:rFonts w:ascii="宋体" w:hAnsi="宋体" w:cs="宋体"/>
          <w:kern w:val="2"/>
          <w:sz w:val="24"/>
          <w:szCs w:val="24"/>
        </w:rPr>
      </w:pPr>
      <w:r>
        <w:rPr>
          <w:rFonts w:ascii="宋体" w:hAnsi="宋体" w:cs="宋体"/>
          <w:kern w:val="2"/>
          <w:sz w:val="24"/>
          <w:szCs w:val="24"/>
        </w:rPr>
        <w:t xml:space="preserve">（5）财政部规定的其他条件。 </w:t>
      </w:r>
    </w:p>
    <w:p>
      <w:pPr>
        <w:pStyle w:val="21"/>
        <w:spacing w:line="360" w:lineRule="auto"/>
        <w:ind w:firstLine="480" w:firstLineChars="200"/>
        <w:rPr>
          <w:rFonts w:ascii="宋体" w:hAnsi="宋体" w:cs="宋体"/>
          <w:kern w:val="2"/>
          <w:sz w:val="24"/>
          <w:szCs w:val="24"/>
        </w:rPr>
      </w:pPr>
      <w:r>
        <w:rPr>
          <w:rFonts w:hint="eastAsia" w:ascii="宋体" w:hAnsi="宋体" w:cs="宋体"/>
          <w:sz w:val="24"/>
          <w:szCs w:val="24"/>
        </w:rPr>
        <w:t>2.6</w:t>
      </w:r>
      <w:r>
        <w:rPr>
          <w:rFonts w:hint="eastAsia" w:ascii="宋体" w:hAnsi="宋体" w:cs="宋体"/>
          <w:kern w:val="2"/>
          <w:sz w:val="24"/>
          <w:szCs w:val="24"/>
        </w:rPr>
        <w:t>.5</w:t>
      </w:r>
      <w:r>
        <w:rPr>
          <w:rFonts w:ascii="宋体" w:hAnsi="宋体" w:cs="宋体"/>
          <w:kern w:val="2"/>
          <w:sz w:val="24"/>
          <w:szCs w:val="24"/>
        </w:rPr>
        <w:t xml:space="preserve"> 投诉人投诉的事项不得超出已质疑事项的范围，但基于质疑答复内容提出的投诉事项除外。</w:t>
      </w:r>
    </w:p>
    <w:p>
      <w:pPr>
        <w:pStyle w:val="21"/>
        <w:spacing w:line="360" w:lineRule="auto"/>
        <w:ind w:firstLine="480" w:firstLineChars="200"/>
        <w:rPr>
          <w:rFonts w:ascii="宋体" w:hAnsi="宋体" w:cs="宋体"/>
          <w:kern w:val="2"/>
          <w:sz w:val="24"/>
          <w:szCs w:val="24"/>
        </w:rPr>
      </w:pPr>
      <w:r>
        <w:rPr>
          <w:rFonts w:ascii="宋体" w:hAnsi="宋体" w:cs="宋体"/>
          <w:kern w:val="2"/>
          <w:sz w:val="24"/>
          <w:szCs w:val="24"/>
        </w:rPr>
        <w:t>3</w:t>
      </w:r>
      <w:r>
        <w:rPr>
          <w:rFonts w:hint="eastAsia" w:ascii="宋体" w:hAnsi="宋体" w:cs="宋体"/>
          <w:kern w:val="2"/>
          <w:sz w:val="24"/>
          <w:szCs w:val="24"/>
        </w:rPr>
        <w:t>、采购代理机构不做未中标原因的解释。</w:t>
      </w:r>
    </w:p>
    <w:p>
      <w:pPr>
        <w:spacing w:line="500" w:lineRule="exact"/>
        <w:ind w:firstLine="482" w:firstLineChars="200"/>
        <w:outlineLvl w:val="1"/>
        <w:rPr>
          <w:rFonts w:ascii="宋体" w:hAnsi="宋体" w:cs="宋体"/>
          <w:b/>
          <w:bCs/>
          <w:sz w:val="24"/>
          <w:szCs w:val="28"/>
        </w:rPr>
      </w:pPr>
      <w:bookmarkStart w:id="115" w:name="_Toc15240"/>
      <w:bookmarkStart w:id="116" w:name="_Toc6346"/>
      <w:r>
        <w:rPr>
          <w:rFonts w:hint="eastAsia" w:ascii="宋体" w:hAnsi="宋体" w:cs="宋体"/>
          <w:b/>
          <w:bCs/>
          <w:sz w:val="24"/>
          <w:szCs w:val="28"/>
        </w:rPr>
        <w:t>十、合同授予</w:t>
      </w:r>
      <w:bookmarkEnd w:id="115"/>
      <w:bookmarkEnd w:id="116"/>
    </w:p>
    <w:p>
      <w:pPr>
        <w:spacing w:line="500" w:lineRule="exact"/>
        <w:ind w:firstLine="480" w:firstLineChars="200"/>
        <w:outlineLvl w:val="2"/>
        <w:rPr>
          <w:rFonts w:ascii="宋体" w:hAnsi="宋体"/>
          <w:sz w:val="24"/>
          <w:szCs w:val="28"/>
        </w:rPr>
      </w:pPr>
      <w:r>
        <w:rPr>
          <w:rFonts w:ascii="宋体" w:hAnsi="宋体" w:cs="宋体"/>
          <w:sz w:val="24"/>
          <w:szCs w:val="28"/>
        </w:rPr>
        <w:t>1</w:t>
      </w:r>
      <w:r>
        <w:rPr>
          <w:rFonts w:hint="eastAsia" w:ascii="宋体" w:hAnsi="宋体" w:cs="宋体"/>
          <w:sz w:val="24"/>
          <w:szCs w:val="28"/>
        </w:rPr>
        <w:t>、中标通知书是合同的重要组成部分。</w:t>
      </w:r>
    </w:p>
    <w:p>
      <w:pPr>
        <w:spacing w:line="500" w:lineRule="exact"/>
        <w:ind w:firstLine="480" w:firstLineChars="200"/>
        <w:rPr>
          <w:rFonts w:ascii="宋体" w:hAnsi="宋体"/>
          <w:sz w:val="24"/>
          <w:szCs w:val="28"/>
        </w:rPr>
      </w:pPr>
      <w:r>
        <w:rPr>
          <w:rFonts w:ascii="宋体" w:hAnsi="宋体" w:cs="宋体"/>
          <w:sz w:val="24"/>
          <w:szCs w:val="28"/>
        </w:rPr>
        <w:t>2</w:t>
      </w:r>
      <w:r>
        <w:rPr>
          <w:rFonts w:hint="eastAsia" w:ascii="宋体" w:hAnsi="宋体" w:cs="宋体"/>
          <w:sz w:val="24"/>
          <w:szCs w:val="28"/>
        </w:rPr>
        <w:t>、招标文件、中标人的投标文件及评审过程中有关的澄清文件均作为合同附件。</w:t>
      </w:r>
    </w:p>
    <w:p>
      <w:pPr>
        <w:spacing w:line="500" w:lineRule="exact"/>
        <w:ind w:firstLine="480" w:firstLineChars="200"/>
        <w:outlineLvl w:val="2"/>
        <w:rPr>
          <w:rFonts w:ascii="宋体" w:hAnsi="宋体"/>
          <w:sz w:val="24"/>
          <w:szCs w:val="28"/>
        </w:rPr>
      </w:pPr>
      <w:r>
        <w:rPr>
          <w:rFonts w:ascii="宋体" w:hAnsi="宋体" w:cs="宋体"/>
          <w:sz w:val="24"/>
          <w:szCs w:val="28"/>
        </w:rPr>
        <w:t>3</w:t>
      </w:r>
      <w:r>
        <w:rPr>
          <w:rFonts w:hint="eastAsia" w:ascii="宋体" w:hAnsi="宋体" w:cs="宋体"/>
          <w:sz w:val="24"/>
          <w:szCs w:val="28"/>
        </w:rPr>
        <w:t>、授予合同时采购人有更改采购数量的权力。</w:t>
      </w:r>
    </w:p>
    <w:p>
      <w:pPr>
        <w:spacing w:line="500" w:lineRule="exact"/>
        <w:ind w:firstLine="480" w:firstLineChars="200"/>
        <w:rPr>
          <w:rFonts w:ascii="宋体" w:hAnsi="宋体"/>
          <w:sz w:val="24"/>
          <w:szCs w:val="28"/>
        </w:rPr>
      </w:pPr>
      <w:r>
        <w:rPr>
          <w:rFonts w:hint="eastAsia" w:ascii="宋体" w:hAnsi="宋体" w:cs="宋体"/>
          <w:sz w:val="24"/>
          <w:szCs w:val="28"/>
        </w:rPr>
        <w:t>采购人在授予合同时有权在±</w:t>
      </w:r>
      <w:r>
        <w:rPr>
          <w:rFonts w:ascii="宋体" w:hAnsi="宋体" w:cs="宋体"/>
          <w:sz w:val="24"/>
          <w:szCs w:val="28"/>
        </w:rPr>
        <w:t>10%</w:t>
      </w:r>
      <w:r>
        <w:rPr>
          <w:rFonts w:hint="eastAsia" w:ascii="宋体" w:hAnsi="宋体" w:cs="宋体"/>
          <w:sz w:val="24"/>
          <w:szCs w:val="28"/>
        </w:rPr>
        <w:t>的幅度内对招标文件规定的货物数量和服务予以增加或减少，但不得对单价或其它的条款和条件做任何改变。</w:t>
      </w:r>
    </w:p>
    <w:p>
      <w:pPr>
        <w:spacing w:line="500" w:lineRule="exact"/>
        <w:ind w:firstLine="480" w:firstLineChars="200"/>
        <w:outlineLvl w:val="2"/>
        <w:rPr>
          <w:rFonts w:ascii="宋体" w:hAnsi="宋体"/>
          <w:sz w:val="24"/>
          <w:szCs w:val="28"/>
        </w:rPr>
      </w:pPr>
      <w:r>
        <w:rPr>
          <w:rFonts w:ascii="宋体" w:hAnsi="宋体" w:cs="宋体"/>
          <w:sz w:val="24"/>
          <w:szCs w:val="28"/>
        </w:rPr>
        <w:t>4</w:t>
      </w:r>
      <w:r>
        <w:rPr>
          <w:rFonts w:hint="eastAsia" w:ascii="宋体" w:hAnsi="宋体" w:cs="宋体"/>
          <w:sz w:val="24"/>
          <w:szCs w:val="28"/>
        </w:rPr>
        <w:t>、签订合同</w:t>
      </w:r>
    </w:p>
    <w:p>
      <w:pPr>
        <w:spacing w:line="500" w:lineRule="exact"/>
        <w:ind w:firstLine="480" w:firstLineChars="200"/>
        <w:rPr>
          <w:rFonts w:ascii="宋体" w:hAnsi="宋体" w:cs="宋体"/>
          <w:sz w:val="24"/>
          <w:szCs w:val="28"/>
        </w:rPr>
      </w:pPr>
      <w:r>
        <w:rPr>
          <w:rFonts w:hint="eastAsia" w:ascii="宋体" w:hAnsi="宋体" w:cs="宋体"/>
          <w:sz w:val="24"/>
          <w:szCs w:val="28"/>
        </w:rPr>
        <w:t>中标人在收到中标通知书后25日内，按照采购文件确定的事项与中标(成交) 投标人签订采购合同。中标或者成交投标人拒绝与采购人签订合同的，采购人可以按照评审报告推荐的中标或者成交候选人名单排序，确定下一候选人为中标或者成交投标人，也可以重新开展政府采购活动。</w:t>
      </w:r>
    </w:p>
    <w:p>
      <w:pPr>
        <w:spacing w:line="440" w:lineRule="exact"/>
        <w:ind w:firstLine="600" w:firstLineChars="249"/>
        <w:textAlignment w:val="baseline"/>
        <w:outlineLvl w:val="1"/>
        <w:rPr>
          <w:rFonts w:ascii="宋体" w:hAnsi="宋体"/>
          <w:b/>
          <w:bCs/>
          <w:sz w:val="24"/>
          <w:szCs w:val="24"/>
        </w:rPr>
      </w:pPr>
      <w:bookmarkStart w:id="117" w:name="_Toc3513"/>
      <w:bookmarkStart w:id="118" w:name="_Toc14022"/>
      <w:r>
        <w:rPr>
          <w:rFonts w:hint="eastAsia" w:ascii="宋体" w:hAnsi="宋体" w:cs="宋体"/>
          <w:b/>
          <w:bCs/>
          <w:sz w:val="24"/>
          <w:szCs w:val="28"/>
        </w:rPr>
        <w:t>十一、</w:t>
      </w:r>
      <w:r>
        <w:rPr>
          <w:rFonts w:hint="eastAsia" w:ascii="宋体" w:hAnsi="宋体"/>
          <w:b/>
          <w:bCs/>
          <w:sz w:val="24"/>
          <w:szCs w:val="24"/>
        </w:rPr>
        <w:t>需要落实的政策：</w:t>
      </w:r>
      <w:bookmarkEnd w:id="117"/>
      <w:bookmarkEnd w:id="118"/>
    </w:p>
    <w:p>
      <w:pPr>
        <w:adjustRightInd w:val="0"/>
        <w:snapToGrid w:val="0"/>
        <w:spacing w:line="500" w:lineRule="exact"/>
        <w:ind w:firstLine="480" w:firstLineChars="200"/>
        <w:outlineLvl w:val="2"/>
        <w:rPr>
          <w:rFonts w:ascii="宋体" w:hAnsi="宋体" w:cs="宋体"/>
          <w:b/>
          <w:sz w:val="24"/>
          <w:szCs w:val="28"/>
        </w:rPr>
      </w:pPr>
      <w:r>
        <w:rPr>
          <w:rFonts w:hint="eastAsia" w:ascii="宋体" w:hAnsi="宋体" w:cs="宋体"/>
          <w:sz w:val="24"/>
          <w:szCs w:val="28"/>
        </w:rPr>
        <w:t>1、小微企业的政策</w:t>
      </w:r>
      <w:r>
        <w:rPr>
          <w:rFonts w:hint="eastAsia" w:ascii="宋体" w:hAnsi="宋体" w:cs="宋体"/>
          <w:b/>
          <w:sz w:val="24"/>
          <w:szCs w:val="24"/>
        </w:rPr>
        <w:t>（本项目为不面向中小企业采购项目，执行以下价格评审优惠的扶持政策）</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sz w:val="24"/>
          <w:szCs w:val="24"/>
        </w:rPr>
        <w:t>《政府采购促进中小企业发展管理办法》（财库〔2020〕46号）、</w:t>
      </w:r>
      <w:r>
        <w:rPr>
          <w:rFonts w:hint="eastAsia" w:ascii="宋体" w:hAnsi="宋体" w:cs="宋体"/>
          <w:sz w:val="24"/>
          <w:szCs w:val="28"/>
        </w:rPr>
        <w:t>《关于运用政府采购政策支持乡村产业振兴的通知》财库〔2021〕19号、</w:t>
      </w:r>
      <w:r>
        <w:rPr>
          <w:rFonts w:hint="eastAsia" w:ascii="宋体" w:hAnsi="宋体" w:cs="宋体"/>
          <w:sz w:val="24"/>
          <w:szCs w:val="24"/>
        </w:rPr>
        <w:t xml:space="preserve">《陕西省财政厅关于落实政府采购支持中小企业政策有关事项的通知》（陕财办采函〔2022〕10号）、《关于进一步加大政府采购支持中小企业力度的通知》（财库〔2022〕19号）、 </w:t>
      </w:r>
      <w:r>
        <w:rPr>
          <w:rFonts w:hint="eastAsia" w:ascii="宋体" w:hAnsi="宋体" w:cs="宋体"/>
          <w:sz w:val="24"/>
          <w:szCs w:val="28"/>
        </w:rPr>
        <w:t>陕西省财政厅关于进一步落实政府采购支持中小企业相关政策的通知-陕财办采〔2023〕3号、陕西省财政厅关于进一步优化政府采购营商环境有关事项的通知-陕财办采〔2023〕4号；</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（2）对小型、微型企业产品的价格给予10%的扣除，用扣除后的价格参与评审。</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3）参加本项目的小微企业须提供《小微企业声明函》（附件），本项目提供的货物不包括使用大型企业注册商标的货物，投标人须做成承诺，保证真实性，如有虚假，将依法承担相应责任。未提供的不视为小微企业。</w:t>
      </w:r>
    </w:p>
    <w:p>
      <w:pPr>
        <w:adjustRightInd w:val="0"/>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4）小微企业按《政府采购促进中小企业发展管理办法》（财库〔2020〕46号）和《工业和信息化部、国家统计局、国家发展和改革委员会、财政部关于印发&lt;中小企业划型标准规定&gt;的通知》（工信部联企业【2011】300号）文件规定标准确认。</w:t>
      </w:r>
    </w:p>
    <w:p>
      <w:pPr>
        <w:adjustRightInd w:val="0"/>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2、监狱企业的政策</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（1）对监狱企业产品的价格给予10%的扣除，用扣除后的价格参与评审。</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（2）监狱企业按《财政部司法部关于政府采购支持监狱企业发展有关问题的通知》（财库〔2014〕68号）文件规定标准执行。</w:t>
      </w:r>
    </w:p>
    <w:p>
      <w:pPr>
        <w:adjustRightInd w:val="0"/>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3、残疾人福利性单位的价格评分标准</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1）在政府采购活动中，残疾人福利性单位视同小型、微型企业，享受预留份额、评审中价格扣除等政府采购促进中小企业发展的政府采购政策。对残疾人福利性单位产品的价格给予10%的扣除，用扣除后的价格参与评审，其评审价=谈判报价*（1-10%）。</w:t>
      </w:r>
    </w:p>
    <w:p>
      <w:pPr>
        <w:adjustRightInd w:val="0"/>
        <w:snapToGrid w:val="0"/>
        <w:spacing w:line="500" w:lineRule="exact"/>
        <w:ind w:firstLine="480" w:firstLineChars="200"/>
        <w:outlineLvl w:val="3"/>
        <w:rPr>
          <w:rFonts w:ascii="宋体" w:hAnsi="宋体" w:cs="宋体"/>
          <w:sz w:val="24"/>
          <w:szCs w:val="28"/>
        </w:rPr>
      </w:pPr>
      <w:r>
        <w:rPr>
          <w:rFonts w:hint="eastAsia" w:ascii="宋体" w:hAnsi="宋体" w:cs="宋体"/>
          <w:sz w:val="24"/>
          <w:szCs w:val="28"/>
        </w:rPr>
        <w:t>（2）残疾人福利性单位属于小型、微型企业的，不重复享受政策。</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（3）符合条件的残疾人福利性单位在参加政府采购活动时，应当提供本通知规定的《残疾人福利性单位声明函》（见附件），并对声明的真实性负责，未提供的不视为残疾人福利性单位。</w:t>
      </w:r>
    </w:p>
    <w:p>
      <w:pPr>
        <w:adjustRightInd w:val="0"/>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4、产品政府采购政策：</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1）节能产品根据《财政部、国家发展和改革委员会关于印发&lt;节能产品政府采购实施意见&gt;的通知》（财库【2004】185号）、《国务院办公厅关于建立政府强制采购节能产品制度的通知》（国办发〔2007〕51号）的有关规定，以“中国政府采购网”（http://www.ccgp.gov.cn/）公布的最新一期节能产品政府采购清单为准。节能清单所列产品包括政府强制采购和优先采购的节能产品，标注“★”的品目为政府强制采购的节能产品，其他品目为政府优先采购的节能产品。投标响应的所有产品进入节能产品政府采购品目清单（有效期内）的，其评审价=投标报价*（1-3%）；（不是所有产品的不享受此项优惠）。</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（2）环境标志产品根据《财政部国家环保总局联合印发&lt;关于环境标志产品政府采购实施的意见&gt;》（财库【2006】90号）的规定，以“中国政府采购网”（http://www.</w:t>
      </w:r>
    </w:p>
    <w:p>
      <w:pPr>
        <w:adjustRightInd w:val="0"/>
        <w:snapToGrid w:val="0"/>
        <w:spacing w:line="500" w:lineRule="exact"/>
        <w:ind w:firstLine="480" w:firstLineChars="200"/>
        <w:rPr>
          <w:rFonts w:ascii="宋体" w:hAnsi="宋体" w:cs="宋体"/>
          <w:sz w:val="24"/>
          <w:szCs w:val="28"/>
        </w:rPr>
      </w:pPr>
      <w:r>
        <w:rPr>
          <w:rFonts w:hint="eastAsia" w:ascii="宋体" w:hAnsi="宋体" w:cs="宋体"/>
          <w:sz w:val="24"/>
          <w:szCs w:val="28"/>
        </w:rPr>
        <w:t>ccgp.gov.cn/）公布的最新一期环境标志产品政府采购清单为准。环保清单所列产品为政府优先采购产品。投标响应的所有产品进入环境标志产品政府采购品目清单（有效期内）的，其评审价=投标报价*（1-1%）；（不是所有产品的不享受此项优惠）。</w:t>
      </w:r>
    </w:p>
    <w:p>
      <w:pPr>
        <w:adjustRightInd w:val="0"/>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5、陕西省政府采购信用担保及信用融资政策</w:t>
      </w:r>
    </w:p>
    <w:p>
      <w:pPr>
        <w:adjustRightInd w:val="0"/>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投标人提供政府采购信用担保，并按照程序确定了合作的担保机构。投标投标人在缴纳投标保证金时可自愿选择通过担保机构保函的形式缴纳；中标投标投标人如果需要融资贷款服务的，可凭成交通知书、政府采购合同等相关资料，按照《陕西省财政厅关于印发&lt;陕西省中小企业政府采购信用融资办法&gt;的通知》（陕财办采〔2018〕23号）相关政策、业务流程、办理平台（http://www.ccgp-shaanxi.gov.cn/zcdservice/zcd/shanxi/）的程序办理。</w:t>
      </w:r>
    </w:p>
    <w:p>
      <w:pPr>
        <w:spacing w:line="500" w:lineRule="exact"/>
        <w:ind w:firstLine="482" w:firstLineChars="200"/>
        <w:outlineLvl w:val="1"/>
        <w:rPr>
          <w:rFonts w:ascii="宋体" w:hAnsi="宋体"/>
          <w:b/>
          <w:bCs/>
          <w:sz w:val="24"/>
          <w:szCs w:val="28"/>
        </w:rPr>
      </w:pPr>
      <w:bookmarkStart w:id="119" w:name="_Toc31945"/>
      <w:bookmarkStart w:id="120" w:name="_Toc31798"/>
      <w:r>
        <w:rPr>
          <w:rFonts w:hint="eastAsia" w:ascii="宋体" w:hAnsi="宋体" w:cs="宋体"/>
          <w:b/>
          <w:bCs/>
          <w:sz w:val="24"/>
          <w:szCs w:val="28"/>
        </w:rPr>
        <w:t>十二、代理服务费</w:t>
      </w:r>
      <w:bookmarkEnd w:id="119"/>
      <w:bookmarkEnd w:id="120"/>
    </w:p>
    <w:p>
      <w:pPr>
        <w:spacing w:line="500" w:lineRule="exact"/>
        <w:ind w:firstLine="480" w:firstLineChars="200"/>
        <w:rPr>
          <w:rFonts w:ascii="宋体" w:hAnsi="宋体" w:cs="宋体"/>
          <w:sz w:val="24"/>
          <w:szCs w:val="28"/>
        </w:rPr>
      </w:pPr>
      <w:bookmarkStart w:id="121" w:name="_Toc193126874"/>
      <w:bookmarkStart w:id="122" w:name="_Toc193187089"/>
      <w:bookmarkStart w:id="123" w:name="_Toc194663910"/>
      <w:bookmarkStart w:id="124" w:name="_Toc188808820"/>
      <w:r>
        <w:rPr>
          <w:rFonts w:hint="eastAsia" w:ascii="宋体" w:hAnsi="宋体" w:cs="宋体"/>
          <w:sz w:val="24"/>
          <w:szCs w:val="28"/>
          <w:lang w:bidi="ar"/>
        </w:rPr>
        <w:t>1、代理服务费：按国家发展和改革委员会文件发改价格[2011]534号《国家发展改革委关于降低部分建设项目收费标准规范收费行为等有关问题的通知》所规定的收费标准。</w:t>
      </w:r>
    </w:p>
    <w:p>
      <w:pPr>
        <w:spacing w:line="500" w:lineRule="exact"/>
        <w:ind w:firstLine="482" w:firstLineChars="200"/>
        <w:outlineLvl w:val="1"/>
        <w:rPr>
          <w:rFonts w:ascii="宋体" w:hAnsi="宋体"/>
          <w:b/>
          <w:bCs/>
          <w:sz w:val="24"/>
          <w:szCs w:val="28"/>
        </w:rPr>
      </w:pPr>
      <w:bookmarkStart w:id="125" w:name="_Toc30871"/>
      <w:bookmarkStart w:id="126" w:name="_Toc13560"/>
      <w:r>
        <w:rPr>
          <w:rFonts w:hint="eastAsia" w:ascii="宋体" w:hAnsi="宋体" w:cs="宋体"/>
          <w:b/>
          <w:bCs/>
          <w:sz w:val="24"/>
          <w:szCs w:val="28"/>
        </w:rPr>
        <w:t>十三、其他</w:t>
      </w:r>
      <w:bookmarkEnd w:id="121"/>
      <w:bookmarkEnd w:id="122"/>
      <w:bookmarkEnd w:id="123"/>
      <w:bookmarkEnd w:id="124"/>
      <w:bookmarkEnd w:id="125"/>
      <w:bookmarkEnd w:id="126"/>
    </w:p>
    <w:p>
      <w:pPr>
        <w:spacing w:line="500" w:lineRule="exact"/>
        <w:ind w:firstLine="480" w:firstLineChars="200"/>
        <w:rPr>
          <w:rFonts w:ascii="宋体" w:hAnsi="宋体"/>
          <w:sz w:val="24"/>
          <w:szCs w:val="28"/>
        </w:rPr>
      </w:pPr>
      <w:r>
        <w:rPr>
          <w:rFonts w:ascii="宋体" w:hAnsi="宋体" w:cs="宋体"/>
          <w:sz w:val="24"/>
          <w:szCs w:val="28"/>
        </w:rPr>
        <w:t>1</w:t>
      </w:r>
      <w:r>
        <w:rPr>
          <w:rFonts w:hint="eastAsia" w:ascii="宋体" w:hAnsi="宋体" w:cs="宋体"/>
          <w:sz w:val="24"/>
          <w:szCs w:val="28"/>
        </w:rPr>
        <w:t>、如果发生下列情况采购代理机构将报请监督管理机构批准变更招标方式或重新组织招标：</w:t>
      </w:r>
    </w:p>
    <w:p>
      <w:pPr>
        <w:spacing w:line="500" w:lineRule="exact"/>
        <w:ind w:firstLine="480" w:firstLineChars="200"/>
        <w:rPr>
          <w:rFonts w:ascii="宋体" w:hAnsi="宋体"/>
          <w:sz w:val="24"/>
          <w:szCs w:val="28"/>
        </w:rPr>
      </w:pPr>
      <w:r>
        <w:rPr>
          <w:rFonts w:hint="eastAsia" w:ascii="宋体" w:hAnsi="宋体" w:cs="宋体"/>
          <w:sz w:val="24"/>
          <w:szCs w:val="28"/>
        </w:rPr>
        <w:t>1.1有效投标人不足三家。</w:t>
      </w:r>
    </w:p>
    <w:p>
      <w:pPr>
        <w:spacing w:line="500" w:lineRule="exact"/>
        <w:ind w:firstLine="480" w:firstLineChars="200"/>
        <w:rPr>
          <w:rFonts w:ascii="宋体" w:hAnsi="宋体"/>
          <w:sz w:val="24"/>
          <w:szCs w:val="28"/>
        </w:rPr>
      </w:pPr>
      <w:r>
        <w:rPr>
          <w:rFonts w:hint="eastAsia" w:ascii="宋体" w:hAnsi="宋体" w:cs="宋体"/>
          <w:sz w:val="24"/>
          <w:szCs w:val="28"/>
        </w:rPr>
        <w:t>1.2所有投标人的报价均超出采购预算限额，采购人不能支付的。</w:t>
      </w:r>
    </w:p>
    <w:p>
      <w:pPr>
        <w:spacing w:line="500" w:lineRule="exact"/>
        <w:ind w:firstLine="480" w:firstLineChars="200"/>
        <w:rPr>
          <w:rFonts w:ascii="宋体" w:hAnsi="宋体"/>
          <w:sz w:val="24"/>
          <w:szCs w:val="28"/>
        </w:rPr>
      </w:pPr>
      <w:r>
        <w:rPr>
          <w:rFonts w:hint="eastAsia" w:ascii="宋体" w:hAnsi="宋体" w:cs="宋体"/>
          <w:sz w:val="24"/>
          <w:szCs w:val="28"/>
        </w:rPr>
        <w:t>1.3评标委员会三分之二以上评委认定所有投标报价存在价格不实的现象。</w:t>
      </w:r>
    </w:p>
    <w:p>
      <w:pPr>
        <w:spacing w:line="500" w:lineRule="exact"/>
        <w:ind w:firstLine="480" w:firstLineChars="200"/>
        <w:outlineLvl w:val="2"/>
        <w:rPr>
          <w:rFonts w:ascii="宋体" w:hAnsi="宋体"/>
          <w:sz w:val="24"/>
          <w:szCs w:val="28"/>
        </w:rPr>
      </w:pPr>
      <w:r>
        <w:rPr>
          <w:rFonts w:hint="eastAsia" w:ascii="宋体" w:hAnsi="宋体" w:cs="宋体"/>
          <w:sz w:val="24"/>
          <w:szCs w:val="28"/>
        </w:rPr>
        <w:t>1.4 有证据证明有围标现象的发生。</w:t>
      </w:r>
    </w:p>
    <w:p>
      <w:pPr>
        <w:spacing w:line="500" w:lineRule="exact"/>
        <w:ind w:firstLine="480" w:firstLineChars="200"/>
        <w:outlineLvl w:val="3"/>
        <w:rPr>
          <w:rFonts w:ascii="宋体" w:hAnsi="宋体"/>
          <w:sz w:val="24"/>
          <w:szCs w:val="28"/>
        </w:rPr>
      </w:pPr>
      <w:r>
        <w:rPr>
          <w:rFonts w:ascii="宋体" w:hAnsi="宋体" w:cs="宋体"/>
          <w:sz w:val="24"/>
          <w:szCs w:val="28"/>
        </w:rPr>
        <w:t>2</w:t>
      </w:r>
      <w:r>
        <w:rPr>
          <w:rFonts w:hint="eastAsia" w:ascii="宋体" w:hAnsi="宋体" w:cs="宋体"/>
          <w:sz w:val="24"/>
          <w:szCs w:val="28"/>
        </w:rPr>
        <w:t>、拒绝商业贿赂</w:t>
      </w:r>
    </w:p>
    <w:p>
      <w:pPr>
        <w:spacing w:line="500" w:lineRule="exact"/>
        <w:ind w:firstLine="480" w:firstLineChars="200"/>
        <w:rPr>
          <w:rFonts w:ascii="宋体" w:hAnsi="宋体"/>
          <w:sz w:val="24"/>
          <w:szCs w:val="28"/>
        </w:rPr>
      </w:pPr>
      <w:r>
        <w:rPr>
          <w:rFonts w:hint="eastAsia" w:ascii="宋体" w:hAnsi="宋体" w:cs="宋体"/>
          <w:sz w:val="24"/>
          <w:szCs w:val="28"/>
        </w:rPr>
        <w:t>2.1 遵照陕西省财政厅的规定，采购人、采购代理机构、投标人和评标委员会在招投标活动中，都要签订相应的《拒绝政府采购领域商业贿赂承诺书》，并对违反承诺的行为承担全部责任。</w:t>
      </w:r>
    </w:p>
    <w:p>
      <w:pPr>
        <w:spacing w:line="460" w:lineRule="exact"/>
        <w:ind w:firstLine="480" w:firstLineChars="200"/>
        <w:rPr>
          <w:rFonts w:ascii="宋体" w:hAnsi="宋体" w:cs="宋体"/>
          <w:sz w:val="24"/>
          <w:szCs w:val="28"/>
        </w:rPr>
      </w:pPr>
      <w:r>
        <w:rPr>
          <w:rFonts w:hint="eastAsia" w:ascii="宋体" w:hAnsi="宋体" w:cs="宋体"/>
          <w:sz w:val="24"/>
          <w:szCs w:val="28"/>
        </w:rPr>
        <w:t>2.2 投标人必须填写一份《拒绝政府采购领域商业贿赂承诺书》（附件），应保证投标文件正、副本中仍有且一致。</w:t>
      </w:r>
    </w:p>
    <w:p>
      <w:pPr>
        <w:spacing w:line="460" w:lineRule="exact"/>
        <w:ind w:firstLine="480" w:firstLineChars="200"/>
        <w:rPr>
          <w:rFonts w:ascii="宋体" w:hAnsi="宋体" w:cs="宋体"/>
          <w:sz w:val="24"/>
          <w:szCs w:val="28"/>
        </w:rPr>
      </w:pPr>
    </w:p>
    <w:p>
      <w:pPr>
        <w:spacing w:line="500" w:lineRule="atLeast"/>
        <w:jc w:val="center"/>
        <w:outlineLvl w:val="0"/>
        <w:rPr>
          <w:rFonts w:ascii="宋体" w:hAnsi="宋体" w:cs="宋体"/>
          <w:b/>
          <w:bCs/>
          <w:sz w:val="40"/>
          <w:szCs w:val="44"/>
        </w:rPr>
      </w:pPr>
      <w:r>
        <w:rPr>
          <w:rFonts w:hint="eastAsia" w:ascii="宋体" w:hAnsi="宋体" w:cs="宋体"/>
          <w:sz w:val="24"/>
          <w:szCs w:val="28"/>
        </w:rPr>
        <w:br w:type="page"/>
      </w:r>
      <w:bookmarkStart w:id="127" w:name="_Toc16833"/>
      <w:bookmarkStart w:id="128" w:name="_Toc23772"/>
      <w:bookmarkStart w:id="129" w:name="_Toc18841"/>
      <w:bookmarkStart w:id="130" w:name="_Toc6519"/>
      <w:bookmarkStart w:id="131" w:name="_Toc8852"/>
      <w:bookmarkStart w:id="132" w:name="_Toc22250"/>
      <w:bookmarkStart w:id="133" w:name="_Toc3131"/>
      <w:bookmarkStart w:id="134" w:name="_Toc11597"/>
      <w:bookmarkStart w:id="135" w:name="_Toc23184"/>
      <w:bookmarkStart w:id="136" w:name="_Toc1279"/>
      <w:bookmarkStart w:id="137" w:name="_Toc29420"/>
      <w:bookmarkStart w:id="138" w:name="_Toc5126"/>
      <w:bookmarkStart w:id="139" w:name="_Toc2272"/>
      <w:bookmarkStart w:id="140" w:name="_Toc5426"/>
      <w:bookmarkStart w:id="141" w:name="_Toc4465"/>
      <w:r>
        <w:rPr>
          <w:rFonts w:hint="eastAsia" w:ascii="宋体" w:hAnsi="宋体" w:cs="宋体"/>
          <w:b/>
          <w:bCs/>
          <w:kern w:val="0"/>
          <w:sz w:val="44"/>
          <w:szCs w:val="44"/>
        </w:rPr>
        <w:t>第四章  采购内容</w:t>
      </w:r>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ascii="宋体" w:hAnsi="宋体" w:cs="宋体"/>
          <w:b/>
          <w:bCs/>
          <w:kern w:val="0"/>
          <w:sz w:val="44"/>
          <w:szCs w:val="44"/>
        </w:rPr>
        <w:t>及具体要求</w:t>
      </w:r>
      <w:bookmarkEnd w:id="140"/>
      <w:bookmarkEnd w:id="141"/>
    </w:p>
    <w:tbl>
      <w:tblPr>
        <w:tblStyle w:val="35"/>
        <w:tblW w:w="10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80"/>
        <w:gridCol w:w="7640"/>
        <w:gridCol w:w="64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0" w:type="dxa"/>
            <w:shd w:val="clear" w:color="auto" w:fill="auto"/>
            <w:vAlign w:val="center"/>
          </w:tcPr>
          <w:p>
            <w:pPr>
              <w:widowControl/>
              <w:jc w:val="center"/>
              <w:rPr>
                <w:rFonts w:ascii="宋体" w:hAnsi="宋体" w:cs="宋体"/>
                <w:b/>
                <w:bCs/>
                <w:color w:val="000000"/>
                <w:kern w:val="0"/>
                <w:sz w:val="24"/>
                <w:szCs w:val="24"/>
              </w:rPr>
            </w:pPr>
            <w:bookmarkStart w:id="142" w:name="_Toc25402"/>
            <w:bookmarkStart w:id="143" w:name="_Toc12280"/>
            <w:bookmarkStart w:id="144" w:name="_Toc19087"/>
            <w:bookmarkStart w:id="145" w:name="_Toc1903"/>
            <w:bookmarkStart w:id="146" w:name="_Toc12845"/>
            <w:bookmarkStart w:id="147" w:name="_Toc458"/>
            <w:bookmarkStart w:id="148" w:name="_Toc26171"/>
            <w:bookmarkStart w:id="149" w:name="_Toc757"/>
            <w:bookmarkStart w:id="150" w:name="_Toc25584"/>
            <w:bookmarkStart w:id="151" w:name="_Toc277"/>
            <w:bookmarkStart w:id="152" w:name="_Toc29842"/>
            <w:r>
              <w:rPr>
                <w:rFonts w:hint="eastAsia" w:ascii="宋体" w:hAnsi="宋体" w:cs="宋体"/>
                <w:b/>
                <w:bCs/>
                <w:color w:val="000000"/>
                <w:kern w:val="0"/>
                <w:sz w:val="24"/>
                <w:szCs w:val="24"/>
              </w:rPr>
              <w:t>序号</w:t>
            </w:r>
          </w:p>
        </w:tc>
        <w:tc>
          <w:tcPr>
            <w:tcW w:w="880" w:type="dxa"/>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产品名称</w:t>
            </w:r>
          </w:p>
        </w:tc>
        <w:tc>
          <w:tcPr>
            <w:tcW w:w="7640" w:type="dxa"/>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招标文件技术需求</w:t>
            </w:r>
          </w:p>
        </w:tc>
        <w:tc>
          <w:tcPr>
            <w:tcW w:w="640" w:type="dxa"/>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640" w:type="dxa"/>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880" w:type="dxa"/>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云桌面一体机</w:t>
            </w:r>
          </w:p>
        </w:tc>
        <w:tc>
          <w:tcPr>
            <w:tcW w:w="7640" w:type="dxa"/>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1、机箱规格：2U；</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*2、处理器：≥2颗CPU，单颗CPU主频≥2.9GHz、核心数≥16C；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*3、内存：≥8根32GB DDR4；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*4、硬盘：≥2块2.5寸240GB SATA SSD，≥2块2.5寸960GB SATA SSD，≥24TB SATA HDD；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5、电源：冗余电源；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*6、网口：接口数量≥6千兆电口+≥2万兆光口；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*7、服务：包含三年质保及软件升级。</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880" w:type="dxa"/>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云桌面软件</w:t>
            </w:r>
          </w:p>
        </w:tc>
        <w:tc>
          <w:tcPr>
            <w:tcW w:w="7640" w:type="dxa"/>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1、因使用中存在很多业务应用，桌面云终端在多应用并行运行的情况下，管理员可针对当下使用频率较高的应用软件做进程加速从而保障核心应用的使用体验与高效运行。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2、本项目要求虚拟存储软件与桌面云终端同一品牌。投标时要求提供虚拟存储自主产权证书复印件，虚拟存储授权要求无容量限制，便于后续存储扩容。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为需要实现桌面云多集群、多站点的统一管理，管理员可通过集群管理界面单点登录的模式跳转至其他站点集群的管理平台，实现对各分支桌面云平台的集中统一监管，便于监管各分支桌面云平台的运行状态，提高运维效率，降低了管理复杂度；（提供相关功能截图并加盖厂商公章以证明功能有效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4、平台需要支持虚拟机防勒索功能，当检测到资产防护组件异常、疑似中勒索病毒时，平台能够自动触发快照，最大程度的保障办公数据的安全。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为了保障我单位桌面云的部署效率、简化桌面云运维难度，桌面云平台需支持链接克隆和完整复制虚拟机。链接克隆可以大幅提升桌面的上线效率，并简化桌面的升级运维工作量。完整复制虚拟机可以让虚拟机保持独立，不受模版单点故障影响。克隆时可指定虚拟机数量、运行位置等信息，并可以实现链接克隆虚拟机转为完整复制虚拟机，本项目要求100个虚拟机派生时间不超过5分钟；（提供链接克隆虚拟机转为完整复制虚拟机功能截图并加盖厂商公章以证明功能有效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为保障红头文件等关键数据文件的安全性，支持将剪切板、PC设备和USB设备外发文件的操作禁止，且禁止后，可通过统一的导出文件设计模块导入，所有通过导出审计系统的文件将会加密备份到数据中心，以备后续审计使用，可疑的导出行为会产生告警；（提供第三方检测报告并加盖厂商公章以证明功能有效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7、为了减少由于内存条老化带来的办公系统宕机的风险，平台需要支持内存ECC自动纠错机制，当扫描到物理主机的内存条出现ECC CE和UE错误时，能够将对应内存空间进行隔离并定位故障内存的槽位，减少硬件问题对业务的影响；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8、为了满足我单位办公业务的安全性需求，桌面云平台需满足内嵌桌面防火墙的功能，在管理平台可配置基于ip、虚拟机、用户的ACL策略访问控制，以解决网络隔离配置的复杂性以及实现虚拟机直接的隔离安全，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为了减少由于磁盘坏道过多带来的办公系统宕机以及数据丢失的风险，桌面云平台需要支持磁盘坏道扫描检测功能，通过设置扫描的时间段，定期对数据盘进行坏道检测，发现坏道后可自动从另外一个副本读取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为了实现桌面云的智能运维，桌面云平台需要实现软件资源占用统计以及业务软件的识别，针对软件资源占用进行统计分析，如果消耗较高要求提供告警，业务软件识别功能可以将特定软件标记为业务软件和非业务软件，便于管理员对用户的软件安装和使用情况做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为了实现本单位桌面云资源的高效利用，本单位采购的桌面云平台需要实现空闲虚拟机识别功能，能够识别一段时间内的空闲和僵尸虚拟机，并能导出统计报告，用于管理员做统计报表和分析，避免不必要的资源开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为保障红头文件等关键数据文件的安全性，桌面云平台需支持剪切板文件拷贝审计，在虚拟机与本地之间拷贝时，将发生拷贝的用户信息，虚拟机信息和拷贝的内容，上报到数据中心；支持审计管理员登录数据中心查看到拷贝的文件记录，对于用户拷贝的文件，支持在线预览，所有拷贝的内容均支持下载。当用户在非规定的时间内发生剪切时，数据中心将会记录告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为了快速满足用户对桌面资源的诉求，所投产品需支持用户自助申请虚拟机配置变更，管理员可以选择审批通过、修改申请配置以及驳回操作，审核通过资源自动加到用户虚拟机上，并且用户申请虚拟机配置变更可以直接指定给部门资产管理员审批，既符合规定又提高效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14、为了保障外设兼容性及稳定性，所投产品需支持USB映射，兼容主流使用外设，如高拍仪、扫描枪、扫描仪、摄像头、密码小键盘、指纹收集器、身份证读卡器、手写板、打印机、USB-key等不同外设。</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880" w:type="dxa"/>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云桌面用户授权</w:t>
            </w:r>
          </w:p>
        </w:tc>
        <w:tc>
          <w:tcPr>
            <w:tcW w:w="7640" w:type="dxa"/>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为了保障办公业务数据的安全性，桌面云平台需要支持虚拟机的集中备份与恢复，通过支持设置备份策略实现全自动化备份，可按需选择多个虚拟机或全部虚拟机备份至外置存储；（提供第三方检测报告证明可对虚拟机备份并恢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2、本单位存在内部的数据共享及存储需求，桌面云平台需提供平云盘存储方案，通过分配个人盘实现用户个人数据存储的需求及隐私保护需求，通过共用盘允许所有人访问，实现内部数据共享需求。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本单位内部网络条件参差不齐，为了保证不同的网络条件都能有良好的接入虚拟桌面的体验，桌面云平台需要支持UDP和TCP两种传输模式，根据网络条件在建立会话前自动选择传输模式，无需手动调整，并且平台可以实现压缩质量、帧率等网络优化技术，以达到良好的使用体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平台需要支持自助快照恢复，当使用人员误操作导致云桌面卡慢、蓝屏、死机或者中病毒的时候，可通过快照还原按钮自助进行系统盘快照还原操作，需要支持安卓瘦终端、PC客户端；（提供功能截图及第三方检测报告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5、桌面云平台需要提供桌面运维工具，可查看桌面运行状态、版本信息、虚拟机资源使用状态、操作系统版本、显示分辨率、连接状态等信息。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为了方便管理员更加高效的维护桌面与平台，桌面云平台需要支持办公桌面的互动协助，在不中断其桌面连接的情况下，用户可以申请管理员对其桌面进行在线远程协助，整个协助过程双向可见、可控，用户信息更加安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7、为了提高桌面使用体验，桌面云平台需支持视频重定向技术，视频文件不在服务器解码，直接重定向到终端本地解码，提升播放体验；（提供第三方检测报告证明）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为提高接入桌面的终端安全准入，减少终端的病毒携带风险，客户端准入时需要经过安全检测，检测内容至少包括：终端类型、操作系统版本、接入IP和时间、软件安装情况等条件设置接入访问策略，如客户端不满足安全检测要求则不允许接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9、为了提升敏感岗位的桌面的安全性，桌面云平台需要支持录屏审计功能，对敏感岗位进行责任认定和授权管理，便于出现关键信息泄露以后，进行溯源。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本单位有严格的应用管控要求，桌面云平台需要实现应用管控技术，通过设置黑白名单的方式实现，在黑名单中可以通过配置规则禁止指定应用或进程在云桌面中运行，在白名单中通过配置规则只允许规则中的应用或进程在云桌面中运行。</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880" w:type="dxa"/>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云桌面控制器</w:t>
            </w:r>
          </w:p>
        </w:tc>
        <w:tc>
          <w:tcPr>
            <w:tcW w:w="7640" w:type="dxa"/>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勒索病毒是我单位的重点防护对象，桌面云平台支持提供勒索病毒整体防护体系，直观展示最近七天勒索病毒防护效果，包括已处置的勒索病毒数量、已阻止的勒索病毒行为次数、已阻止的未知进程操作次数、已阻止的暴力破解攻击次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2、我单位有很多文件分发的场景，桌面云平台需要支持文件分发，可以将文件分发到特定的虚拟机，分发的文件可以直接下发到虚拟机的指定位置，无需在虚拟机中进行操作；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为了能让桌面云管理员更加直观的掌握桌面资源的整体情况，本单位采购的桌面云平台可依据当前的资源占用和调度情况，量化出每个虚拟机体验和风险的综合评分，可查看评分趋势变化图，评分越低，使用体验越差，风险越高，管理员便可以及时处理相关的问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为了简化管理员对于桌面云的运维难度，本单位采购的桌面云平台需要持续性检测并发现单个桌面虚拟机、物理主机以及整个集群相关的软硬件问题，检测出的问题按照严重程度做分级，可直接在平台上以图文形式直接展示问题分析说明以及问题处置建议，管理员根据处置建议可直接进行操作；（提供功能截图并加盖厂商公章以证明功能有效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5、为了方便本单位桌面云管理员的相关工作汇报，桌面云平台需要支持查询一段时间的并发用户会话、用户使用时长、服务器负载情况、存储利用率、存储性能情况等并支持报表导出；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为了提升桌面云平台的整体运维效率，简化运维工作量，桌面云平台需要通过运维平台监控到虚拟化服务器内部的进程总数、内存详情、虚拟机开机已接入和开机未接入的数量趋势图、CPU详情、磁盘详情、网卡详情等内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7、为了提升管理员在桌面云平台出现问题时的快速响应与处置能力，平台需具备全天候 7*24智能监控并分析桌面云平台使用情况，自动侦测并发现虚拟机卡慢问题，并提供优化解决方案。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为了最大化合理利用桌面云平台的资源，本单位采购的桌面云平台需要实现虚拟机扩容和减配识别，由于公安实际办公业务的复杂性，每个民警对虚拟机的性能需求有差异，需要更好地平衡体验和资源利用效率，桌面云平台需要智能识别虚拟机是否需要扩容以满足使用体验，还需要识别哪些虚拟机性能过剩，建议管理员做智能降配，以达到主机资源利用率最大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9、当终端意外中毒时，为了防止终端被黑客控制，桌面云平台需要支持具备扫描并禁止黑客工具启动的功能，包含：冰刃、xuetr、ProcessHacker、PCHunter、火绒剑、Mimikatz的自启动，防止黑客攻击。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我单位的数据至关重要，为了防止管理员误操作造成不必要的数据损失，平台需要支持虚拟机回收站功能，当虚拟机被误删除后，管理员可进入回收站，将被删除的虚拟机恢复到原位置，可设置回收站自动清理时长，可显示回收站实际占用空间及显示关联的用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为了保证桌面业务数据的高可靠，桌面云平台采用分布式存储架构，采用多副本模式，包含本地聚合、散列两种副本形式，桌面虚拟机优先运行在本地聚合副本所在物理服务器，实现桌面虚拟机读写的IO本地化，保证桌面虚拟机的高性能需求；（提供国家单位颁发的不对第三方侵权且不会引起法律纠纷的对应技术说明文档，并加盖厂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为便于管理员对数据流进行分析及桌面业务出现问题后的快速定位，平台应支持基于网络拓扑的形式创建虚拟机，虚拟交换、虚拟安全组件等各类资源，并可实现可视化展示（提供国家单位颁发的不对第三方侵权且不会引起法律纠纷的对应技术说明文档，并加盖厂商公章）</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880" w:type="dxa"/>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瘦终端</w:t>
            </w:r>
          </w:p>
        </w:tc>
        <w:tc>
          <w:tcPr>
            <w:tcW w:w="7640" w:type="dxa"/>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1、*CPU主频≥1.6GHz，内存≥1GB，硬盘容量≥4GB，接口数量≥1百兆电口+1*VGA，USB口数量≥6*USB 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2、为了保证平台的整体稳定性与可维护性，桌面云和瘦终端可通过一个管理平台管理桌面云和瘦终端；（提供功能截图并加盖厂商公章以证明功能有效性）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3、为了提升桌面云的使用便捷性，瘦终端需要支持联动关机，用户可以跟使用PC一样，打开操作系统“开始”菜单、点击“关机”按钮，云终端和操作系统将会一体化关闭，没有多余的操作步骤。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为了提升桌面云终端的使用安全性，瘦终端需要支持配置是否允许显示本地桌面和是否允许安装应用、支持开启“修改云终端配置和登录信息需要密码”功能、支持配置是否允许新的云终端接入或者接入需要密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为了提升桌面云终端的易用性，瘦终端需要支持配置自定义开机画面、支持云终端分组管理、支持配置云终端定时开关机计划、支持开启“云终端加电自启”功能、支持配置是否自动下载并安装更新、支持批量移动/删除/关闭云终端、支持配置是否允许自动登录和保存密码。</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880" w:type="dxa"/>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显示器</w:t>
            </w:r>
          </w:p>
        </w:tc>
        <w:tc>
          <w:tcPr>
            <w:tcW w:w="7640" w:type="dxa"/>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电源输入12V=2A；额定功率24W Max.；屏幕尺寸≥23英寸；显示比例16:9；推荐刷新率60Hz；最大刷新率75Hz；刷新率60Hz；分辨率≥1920x1080；显示器接口与终端匹配。</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880" w:type="dxa"/>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有线键鼠</w:t>
            </w:r>
          </w:p>
        </w:tc>
        <w:tc>
          <w:tcPr>
            <w:tcW w:w="7640" w:type="dxa"/>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USB接口；线材长度约1.5m；标准键盘。</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40"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w:t>
            </w:r>
          </w:p>
        </w:tc>
      </w:tr>
    </w:tbl>
    <w:p>
      <w:pPr>
        <w:spacing w:line="500" w:lineRule="atLeast"/>
        <w:jc w:val="center"/>
        <w:rPr>
          <w:rFonts w:ascii="宋体" w:hAnsi="宋体" w:cs="宋体"/>
          <w:b/>
          <w:bCs/>
          <w:kern w:val="0"/>
          <w:sz w:val="44"/>
          <w:szCs w:val="44"/>
        </w:rPr>
      </w:pPr>
    </w:p>
    <w:p>
      <w:pPr>
        <w:spacing w:line="500" w:lineRule="atLeast"/>
        <w:jc w:val="center"/>
        <w:rPr>
          <w:rFonts w:ascii="宋体" w:hAnsi="宋体" w:cs="宋体"/>
          <w:b/>
          <w:bCs/>
          <w:kern w:val="0"/>
          <w:sz w:val="44"/>
          <w:szCs w:val="44"/>
        </w:rPr>
      </w:pPr>
    </w:p>
    <w:p>
      <w:pPr>
        <w:spacing w:line="500" w:lineRule="atLeast"/>
        <w:jc w:val="center"/>
        <w:rPr>
          <w:rFonts w:ascii="宋体" w:hAnsi="宋体" w:cs="宋体"/>
          <w:b/>
          <w:bCs/>
          <w:kern w:val="0"/>
          <w:sz w:val="44"/>
          <w:szCs w:val="44"/>
        </w:rPr>
      </w:pPr>
    </w:p>
    <w:p>
      <w:pPr>
        <w:spacing w:line="500" w:lineRule="atLeast"/>
        <w:jc w:val="center"/>
        <w:rPr>
          <w:rFonts w:ascii="宋体" w:hAnsi="宋体" w:cs="宋体"/>
          <w:b/>
          <w:bCs/>
          <w:kern w:val="0"/>
          <w:sz w:val="44"/>
          <w:szCs w:val="44"/>
        </w:rPr>
      </w:pPr>
    </w:p>
    <w:p>
      <w:pPr>
        <w:spacing w:line="500" w:lineRule="atLeast"/>
        <w:jc w:val="center"/>
        <w:rPr>
          <w:rFonts w:ascii="宋体" w:hAnsi="宋体" w:cs="宋体"/>
          <w:b/>
          <w:bCs/>
          <w:kern w:val="0"/>
          <w:sz w:val="44"/>
          <w:szCs w:val="44"/>
        </w:rPr>
      </w:pPr>
    </w:p>
    <w:p>
      <w:pPr>
        <w:spacing w:line="500" w:lineRule="atLeast"/>
        <w:jc w:val="center"/>
        <w:outlineLvl w:val="0"/>
        <w:rPr>
          <w:rFonts w:hint="eastAsia" w:ascii="宋体" w:hAnsi="宋体" w:cs="宋体"/>
          <w:b/>
          <w:bCs/>
          <w:kern w:val="0"/>
          <w:sz w:val="44"/>
          <w:szCs w:val="44"/>
        </w:rPr>
      </w:pPr>
      <w:bookmarkStart w:id="153" w:name="_Toc4249"/>
      <w:bookmarkStart w:id="154" w:name="_Toc4203"/>
    </w:p>
    <w:p>
      <w:pPr>
        <w:spacing w:line="500" w:lineRule="atLeast"/>
        <w:jc w:val="center"/>
        <w:outlineLvl w:val="0"/>
        <w:rPr>
          <w:rFonts w:hint="eastAsia" w:ascii="宋体" w:hAnsi="宋体" w:cs="宋体"/>
          <w:b/>
          <w:bCs/>
          <w:kern w:val="0"/>
          <w:sz w:val="44"/>
          <w:szCs w:val="44"/>
        </w:rPr>
      </w:pPr>
    </w:p>
    <w:p>
      <w:pPr>
        <w:spacing w:line="500" w:lineRule="atLeast"/>
        <w:jc w:val="center"/>
        <w:outlineLvl w:val="0"/>
        <w:rPr>
          <w:rFonts w:hint="eastAsia" w:ascii="宋体" w:hAnsi="宋体" w:cs="宋体"/>
          <w:b/>
          <w:bCs/>
          <w:kern w:val="0"/>
          <w:sz w:val="44"/>
          <w:szCs w:val="44"/>
        </w:rPr>
      </w:pPr>
    </w:p>
    <w:p>
      <w:pPr>
        <w:spacing w:line="500" w:lineRule="atLeast"/>
        <w:jc w:val="center"/>
        <w:outlineLvl w:val="0"/>
        <w:rPr>
          <w:rFonts w:hint="eastAsia" w:ascii="宋体" w:hAnsi="宋体" w:cs="宋体"/>
          <w:b/>
          <w:bCs/>
          <w:kern w:val="0"/>
          <w:sz w:val="44"/>
          <w:szCs w:val="44"/>
        </w:rPr>
      </w:pPr>
    </w:p>
    <w:p>
      <w:pPr>
        <w:spacing w:line="500" w:lineRule="atLeast"/>
        <w:jc w:val="center"/>
        <w:outlineLvl w:val="0"/>
        <w:rPr>
          <w:rFonts w:hint="eastAsia" w:ascii="宋体" w:hAnsi="宋体" w:cs="宋体"/>
          <w:b/>
          <w:bCs/>
          <w:kern w:val="0"/>
          <w:sz w:val="44"/>
          <w:szCs w:val="44"/>
        </w:rPr>
      </w:pPr>
    </w:p>
    <w:p>
      <w:pPr>
        <w:spacing w:line="500" w:lineRule="atLeast"/>
        <w:jc w:val="center"/>
        <w:outlineLvl w:val="0"/>
        <w:rPr>
          <w:rFonts w:hint="eastAsia" w:ascii="宋体" w:hAnsi="宋体" w:cs="宋体"/>
          <w:b/>
          <w:bCs/>
          <w:kern w:val="0"/>
          <w:sz w:val="44"/>
          <w:szCs w:val="44"/>
        </w:rPr>
      </w:pPr>
    </w:p>
    <w:p>
      <w:pPr>
        <w:spacing w:line="500" w:lineRule="atLeast"/>
        <w:jc w:val="center"/>
        <w:outlineLvl w:val="0"/>
        <w:rPr>
          <w:rFonts w:hint="eastAsia" w:ascii="宋体" w:hAnsi="宋体" w:cs="宋体"/>
          <w:b/>
          <w:bCs/>
          <w:kern w:val="0"/>
          <w:sz w:val="44"/>
          <w:szCs w:val="44"/>
        </w:rPr>
      </w:pPr>
    </w:p>
    <w:p>
      <w:pPr>
        <w:spacing w:line="500" w:lineRule="atLeast"/>
        <w:jc w:val="center"/>
        <w:outlineLvl w:val="0"/>
        <w:rPr>
          <w:rFonts w:hint="eastAsia" w:ascii="宋体" w:hAnsi="宋体" w:cs="宋体"/>
          <w:b/>
          <w:bCs/>
          <w:kern w:val="0"/>
          <w:sz w:val="44"/>
          <w:szCs w:val="44"/>
        </w:rPr>
      </w:pPr>
    </w:p>
    <w:p>
      <w:pPr>
        <w:spacing w:line="500" w:lineRule="atLeast"/>
        <w:jc w:val="center"/>
        <w:outlineLvl w:val="0"/>
        <w:rPr>
          <w:rFonts w:ascii="宋体" w:hAnsi="宋体" w:cs="宋体"/>
          <w:b/>
          <w:bCs/>
          <w:sz w:val="40"/>
          <w:szCs w:val="44"/>
        </w:rPr>
      </w:pPr>
      <w:bookmarkStart w:id="381" w:name="_GoBack"/>
      <w:bookmarkEnd w:id="381"/>
      <w:r>
        <w:rPr>
          <w:rFonts w:hint="eastAsia" w:ascii="宋体" w:hAnsi="宋体" w:cs="宋体"/>
          <w:b/>
          <w:bCs/>
          <w:kern w:val="0"/>
          <w:sz w:val="44"/>
          <w:szCs w:val="44"/>
        </w:rPr>
        <w:t>第五章  评分标准</w:t>
      </w:r>
      <w:bookmarkEnd w:id="142"/>
      <w:bookmarkEnd w:id="143"/>
      <w:bookmarkEnd w:id="144"/>
      <w:bookmarkEnd w:id="145"/>
      <w:bookmarkEnd w:id="146"/>
      <w:bookmarkEnd w:id="147"/>
      <w:bookmarkEnd w:id="148"/>
      <w:bookmarkEnd w:id="149"/>
      <w:bookmarkEnd w:id="150"/>
      <w:bookmarkEnd w:id="151"/>
      <w:bookmarkEnd w:id="152"/>
      <w:bookmarkEnd w:id="153"/>
      <w:bookmarkEnd w:id="154"/>
    </w:p>
    <w:p>
      <w:pPr>
        <w:outlineLvl w:val="1"/>
        <w:rPr>
          <w:rFonts w:ascii="宋体" w:hAnsi="宋体" w:cs="宋体"/>
          <w:b/>
          <w:bCs/>
          <w:sz w:val="24"/>
        </w:rPr>
      </w:pPr>
      <w:bookmarkStart w:id="155" w:name="_Toc4240"/>
      <w:r>
        <w:rPr>
          <w:rFonts w:hint="eastAsia" w:ascii="宋体" w:hAnsi="宋体" w:cs="宋体"/>
          <w:b/>
          <w:bCs/>
          <w:sz w:val="24"/>
        </w:rPr>
        <w:t>1. 总则</w:t>
      </w:r>
      <w:bookmarkEnd w:id="155"/>
    </w:p>
    <w:p>
      <w:pPr>
        <w:spacing w:line="360" w:lineRule="auto"/>
        <w:ind w:firstLine="482" w:firstLineChars="200"/>
        <w:rPr>
          <w:rFonts w:ascii="宋体" w:hAnsi="宋体" w:cs="宋体"/>
          <w:sz w:val="24"/>
        </w:rPr>
      </w:pPr>
      <w:r>
        <w:rPr>
          <w:rFonts w:hint="eastAsia" w:ascii="宋体" w:hAnsi="宋体" w:cs="宋体"/>
          <w:b/>
          <w:bCs/>
          <w:sz w:val="24"/>
        </w:rPr>
        <w:t>1.1</w:t>
      </w:r>
      <w:r>
        <w:rPr>
          <w:rFonts w:hint="eastAsia" w:ascii="宋体" w:hAnsi="宋体" w:cs="宋体"/>
          <w:sz w:val="24"/>
        </w:rPr>
        <w:t xml:space="preserve"> 根据《中华人民共和国政府采购法》、《中华人民共和国政府采购法实施条例》、《政府采购货物和服务招标投标管理办法》（财政部87号令）等法律法规，结合采购项目特点制定本评标办法。</w:t>
      </w:r>
    </w:p>
    <w:p>
      <w:pPr>
        <w:spacing w:line="360" w:lineRule="auto"/>
        <w:ind w:firstLine="482" w:firstLineChars="200"/>
        <w:outlineLvl w:val="2"/>
        <w:rPr>
          <w:rFonts w:ascii="宋体" w:hAnsi="宋体" w:cs="宋体"/>
          <w:b/>
          <w:sz w:val="24"/>
        </w:rPr>
      </w:pPr>
      <w:r>
        <w:rPr>
          <w:rFonts w:hint="eastAsia" w:ascii="宋体" w:hAnsi="宋体" w:cs="宋体"/>
          <w:b/>
          <w:bCs/>
          <w:sz w:val="24"/>
        </w:rPr>
        <w:t xml:space="preserve">1.2 </w:t>
      </w:r>
      <w:r>
        <w:rPr>
          <w:rFonts w:hint="eastAsia" w:ascii="宋体" w:hAnsi="宋体" w:cs="宋体"/>
          <w:bCs/>
          <w:sz w:val="24"/>
        </w:rPr>
        <w:t>采购代理机构负责组织评标工作，并履行下列职责：</w:t>
      </w:r>
    </w:p>
    <w:p>
      <w:pPr>
        <w:spacing w:line="360" w:lineRule="auto"/>
        <w:ind w:firstLine="482" w:firstLineChars="200"/>
        <w:rPr>
          <w:rFonts w:ascii="宋体" w:hAnsi="宋体" w:cs="宋体"/>
          <w:bCs/>
          <w:sz w:val="24"/>
        </w:rPr>
      </w:pPr>
      <w:r>
        <w:rPr>
          <w:rFonts w:hint="eastAsia" w:ascii="宋体" w:hAnsi="宋体" w:cs="宋体"/>
          <w:b/>
          <w:sz w:val="24"/>
        </w:rPr>
        <w:t>（1）</w:t>
      </w:r>
      <w:r>
        <w:rPr>
          <w:rFonts w:hint="eastAsia" w:ascii="宋体" w:hAnsi="宋体" w:cs="宋体"/>
          <w:bCs/>
          <w:sz w:val="24"/>
        </w:rPr>
        <w:t>核对评审专家身份和采购人代表授权函，对评审专家在政府采购活动中的职责履行情况予以记录，并及时将有关违法违规行为向财政部门报告；</w:t>
      </w:r>
    </w:p>
    <w:p>
      <w:pPr>
        <w:spacing w:line="360" w:lineRule="auto"/>
        <w:ind w:firstLine="482" w:firstLineChars="200"/>
        <w:rPr>
          <w:rFonts w:ascii="宋体" w:hAnsi="宋体" w:cs="宋体"/>
          <w:bCs/>
          <w:sz w:val="24"/>
        </w:rPr>
      </w:pPr>
      <w:r>
        <w:rPr>
          <w:rFonts w:hint="eastAsia" w:ascii="宋体" w:hAnsi="宋体" w:cs="宋体"/>
          <w:b/>
          <w:sz w:val="24"/>
        </w:rPr>
        <w:t>（2）</w:t>
      </w:r>
      <w:r>
        <w:rPr>
          <w:rFonts w:hint="eastAsia" w:ascii="宋体" w:hAnsi="宋体" w:cs="宋体"/>
          <w:bCs/>
          <w:sz w:val="24"/>
        </w:rPr>
        <w:t>宣布评标纪律；</w:t>
      </w:r>
    </w:p>
    <w:p>
      <w:pPr>
        <w:spacing w:line="360" w:lineRule="auto"/>
        <w:ind w:firstLine="482" w:firstLineChars="200"/>
        <w:rPr>
          <w:rFonts w:ascii="宋体" w:hAnsi="宋体" w:cs="宋体"/>
          <w:bCs/>
          <w:sz w:val="24"/>
        </w:rPr>
      </w:pPr>
      <w:r>
        <w:rPr>
          <w:rFonts w:hint="eastAsia" w:ascii="宋体" w:hAnsi="宋体" w:cs="宋体"/>
          <w:b/>
          <w:sz w:val="24"/>
        </w:rPr>
        <w:t>（3）</w:t>
      </w:r>
      <w:r>
        <w:rPr>
          <w:rFonts w:hint="eastAsia" w:ascii="宋体" w:hAnsi="宋体" w:cs="宋体"/>
          <w:bCs/>
          <w:sz w:val="24"/>
        </w:rPr>
        <w:t>公布投标人名单，告知评审专家应当回避的情形；</w:t>
      </w:r>
    </w:p>
    <w:p>
      <w:pPr>
        <w:spacing w:line="360" w:lineRule="auto"/>
        <w:ind w:firstLine="482" w:firstLineChars="200"/>
        <w:rPr>
          <w:rFonts w:ascii="宋体" w:hAnsi="宋体" w:cs="宋体"/>
          <w:bCs/>
          <w:sz w:val="24"/>
        </w:rPr>
      </w:pPr>
      <w:r>
        <w:rPr>
          <w:rFonts w:hint="eastAsia" w:ascii="宋体" w:hAnsi="宋体" w:cs="宋体"/>
          <w:b/>
          <w:sz w:val="24"/>
        </w:rPr>
        <w:t>（4）</w:t>
      </w:r>
      <w:r>
        <w:rPr>
          <w:rFonts w:hint="eastAsia" w:ascii="宋体" w:hAnsi="宋体" w:cs="宋体"/>
          <w:bCs/>
          <w:sz w:val="24"/>
        </w:rPr>
        <w:t>组织评标委员会推选评标组长，采购人代表不得担任组长；</w:t>
      </w:r>
    </w:p>
    <w:p>
      <w:pPr>
        <w:spacing w:line="360" w:lineRule="auto"/>
        <w:ind w:firstLine="482" w:firstLineChars="200"/>
        <w:rPr>
          <w:rFonts w:ascii="宋体" w:hAnsi="宋体" w:cs="宋体"/>
          <w:bCs/>
          <w:sz w:val="24"/>
        </w:rPr>
      </w:pPr>
      <w:r>
        <w:rPr>
          <w:rFonts w:hint="eastAsia" w:ascii="宋体" w:hAnsi="宋体" w:cs="宋体"/>
          <w:b/>
          <w:sz w:val="24"/>
        </w:rPr>
        <w:t>（5）</w:t>
      </w:r>
      <w:r>
        <w:rPr>
          <w:rFonts w:hint="eastAsia" w:ascii="宋体" w:hAnsi="宋体" w:cs="宋体"/>
          <w:bCs/>
          <w:sz w:val="24"/>
        </w:rPr>
        <w:t>在评标期间采取必要的通讯管理措施，保证评标活动不受外界干扰；</w:t>
      </w:r>
    </w:p>
    <w:p>
      <w:pPr>
        <w:spacing w:line="360" w:lineRule="auto"/>
        <w:ind w:firstLine="482" w:firstLineChars="200"/>
        <w:rPr>
          <w:rFonts w:ascii="宋体" w:hAnsi="宋体" w:cs="宋体"/>
          <w:bCs/>
          <w:sz w:val="24"/>
        </w:rPr>
      </w:pPr>
      <w:r>
        <w:rPr>
          <w:rFonts w:hint="eastAsia" w:ascii="宋体" w:hAnsi="宋体" w:cs="宋体"/>
          <w:b/>
          <w:sz w:val="24"/>
        </w:rPr>
        <w:t>（6）</w:t>
      </w:r>
      <w:r>
        <w:rPr>
          <w:rFonts w:hint="eastAsia" w:ascii="宋体" w:hAnsi="宋体" w:cs="宋体"/>
          <w:bCs/>
          <w:sz w:val="24"/>
        </w:rPr>
        <w:t>根据评标委员会的要求介绍政府采购相关政策法规、招标文件；</w:t>
      </w:r>
    </w:p>
    <w:p>
      <w:pPr>
        <w:spacing w:line="360" w:lineRule="auto"/>
        <w:ind w:firstLine="482" w:firstLineChars="200"/>
        <w:rPr>
          <w:rFonts w:ascii="宋体" w:hAnsi="宋体" w:cs="宋体"/>
          <w:bCs/>
          <w:sz w:val="24"/>
        </w:rPr>
      </w:pPr>
      <w:r>
        <w:rPr>
          <w:rFonts w:hint="eastAsia" w:ascii="宋体" w:hAnsi="宋体" w:cs="宋体"/>
          <w:b/>
          <w:sz w:val="24"/>
        </w:rPr>
        <w:t>（7）</w:t>
      </w:r>
      <w:r>
        <w:rPr>
          <w:rFonts w:hint="eastAsia" w:ascii="宋体" w:hAnsi="宋体" w:cs="宋体"/>
          <w:bCs/>
          <w:sz w:val="24"/>
        </w:rPr>
        <w:t>维护评标秩序，监督评标委员会依照招标文件规定的评标程序、方法和标准进行独立评审，及时制止和纠正采购人代表、评审专家的倾向性言论或者违法违规行为；</w:t>
      </w:r>
    </w:p>
    <w:p>
      <w:pPr>
        <w:spacing w:line="360" w:lineRule="auto"/>
        <w:ind w:firstLine="482" w:firstLineChars="200"/>
        <w:rPr>
          <w:rFonts w:ascii="宋体" w:hAnsi="宋体" w:cs="宋体"/>
          <w:bCs/>
          <w:sz w:val="24"/>
        </w:rPr>
      </w:pPr>
      <w:r>
        <w:rPr>
          <w:rFonts w:hint="eastAsia" w:ascii="宋体" w:hAnsi="宋体" w:cs="宋体"/>
          <w:b/>
          <w:sz w:val="24"/>
        </w:rPr>
        <w:t>（8）</w:t>
      </w:r>
      <w:r>
        <w:rPr>
          <w:rFonts w:hint="eastAsia" w:ascii="宋体" w:hAnsi="宋体" w:cs="宋体"/>
          <w:bCs/>
          <w:sz w:val="24"/>
        </w:rPr>
        <w:t>核对评标结果，有《政府采购货物和服务招标投标管理办法》第六十四条规定情形的，要求评标委员会复核或者书面说明理由，评标委员会拒绝的，应予记录并向本级财政部门报告；</w:t>
      </w:r>
    </w:p>
    <w:p>
      <w:pPr>
        <w:spacing w:line="360" w:lineRule="auto"/>
        <w:ind w:firstLine="482" w:firstLineChars="200"/>
        <w:rPr>
          <w:rFonts w:ascii="宋体" w:hAnsi="宋体" w:cs="宋体"/>
          <w:bCs/>
          <w:sz w:val="24"/>
        </w:rPr>
      </w:pPr>
      <w:r>
        <w:rPr>
          <w:rFonts w:hint="eastAsia" w:ascii="宋体" w:hAnsi="宋体" w:cs="宋体"/>
          <w:b/>
          <w:sz w:val="24"/>
        </w:rPr>
        <w:t>（9）</w:t>
      </w:r>
      <w:r>
        <w:rPr>
          <w:rFonts w:hint="eastAsia" w:ascii="宋体" w:hAnsi="宋体" w:cs="宋体"/>
          <w:bCs/>
          <w:sz w:val="24"/>
        </w:rPr>
        <w:t>评审工作完成后，按照规定向评审专家支付劳务报酬和异地评审差旅费，不得向评审专家以外的其他人员支付评审劳务报酬；</w:t>
      </w:r>
    </w:p>
    <w:p>
      <w:pPr>
        <w:spacing w:line="360" w:lineRule="auto"/>
        <w:ind w:firstLine="482" w:firstLineChars="200"/>
        <w:outlineLvl w:val="3"/>
        <w:rPr>
          <w:rFonts w:ascii="宋体" w:hAnsi="宋体" w:cs="宋体"/>
          <w:bCs/>
          <w:sz w:val="24"/>
        </w:rPr>
      </w:pPr>
      <w:r>
        <w:rPr>
          <w:rFonts w:hint="eastAsia" w:ascii="宋体" w:hAnsi="宋体" w:cs="宋体"/>
          <w:b/>
          <w:sz w:val="24"/>
        </w:rPr>
        <w:t>（10）</w:t>
      </w:r>
      <w:r>
        <w:rPr>
          <w:rFonts w:hint="eastAsia" w:ascii="宋体" w:hAnsi="宋体" w:cs="宋体"/>
          <w:bCs/>
          <w:sz w:val="24"/>
        </w:rPr>
        <w:t>处理与评标有关的其他事项。</w:t>
      </w:r>
    </w:p>
    <w:p>
      <w:pPr>
        <w:spacing w:line="360" w:lineRule="auto"/>
        <w:ind w:firstLine="480" w:firstLineChars="200"/>
        <w:rPr>
          <w:rFonts w:ascii="宋体" w:hAnsi="宋体" w:cs="宋体"/>
          <w:bCs/>
          <w:sz w:val="24"/>
        </w:rPr>
      </w:pPr>
      <w:r>
        <w:rPr>
          <w:rFonts w:hint="eastAsia" w:ascii="宋体" w:hAnsi="宋体" w:cs="宋体"/>
          <w:bCs/>
          <w:sz w:val="24"/>
        </w:rPr>
        <w:t>采购人可以在评标前说明项目背景和采购需求，说明内容不得含有歧视性、倾向性意见，不得超出招标文件所述范围。说明应当提交书面材料，并随采购文件一并存档。</w:t>
      </w:r>
    </w:p>
    <w:p>
      <w:pPr>
        <w:spacing w:line="360" w:lineRule="auto"/>
        <w:ind w:firstLine="482" w:firstLineChars="200"/>
        <w:rPr>
          <w:rFonts w:ascii="宋体" w:hAnsi="宋体" w:cs="宋体"/>
          <w:sz w:val="24"/>
        </w:rPr>
      </w:pPr>
      <w:r>
        <w:rPr>
          <w:rFonts w:hint="eastAsia" w:ascii="宋体" w:hAnsi="宋体" w:cs="宋体"/>
          <w:b/>
          <w:sz w:val="24"/>
        </w:rPr>
        <w:t xml:space="preserve">1.3 </w:t>
      </w:r>
      <w:r>
        <w:rPr>
          <w:rFonts w:hint="eastAsia" w:ascii="宋体" w:hAnsi="宋体" w:cs="宋体"/>
          <w:bCs/>
          <w:sz w:val="24"/>
        </w:rPr>
        <w:t>具体评标事务由采购代理机构依法组建的评标委员会负责。评标委员会由采购人代表和有关技术、经济、法律等方面的专家组成。</w:t>
      </w:r>
    </w:p>
    <w:p>
      <w:pPr>
        <w:spacing w:line="360" w:lineRule="auto"/>
        <w:ind w:firstLine="482" w:firstLineChars="200"/>
        <w:rPr>
          <w:rFonts w:ascii="宋体" w:hAnsi="宋体" w:cs="宋体"/>
          <w:sz w:val="24"/>
        </w:rPr>
      </w:pPr>
      <w:r>
        <w:rPr>
          <w:rFonts w:hint="eastAsia" w:ascii="宋体" w:hAnsi="宋体" w:cs="宋体"/>
          <w:b/>
          <w:bCs/>
          <w:sz w:val="24"/>
        </w:rPr>
        <w:t xml:space="preserve">1.4 </w:t>
      </w:r>
      <w:r>
        <w:rPr>
          <w:rFonts w:hint="eastAsia" w:ascii="宋体" w:hAnsi="宋体" w:cs="宋体"/>
          <w:sz w:val="24"/>
        </w:rPr>
        <w:t>评标工作应遵循公平、公正、科学及择优的原则，并以相同的评标程序和标准对待所有的投标人。</w:t>
      </w:r>
    </w:p>
    <w:p>
      <w:pPr>
        <w:spacing w:line="360" w:lineRule="auto"/>
        <w:ind w:firstLine="482" w:firstLineChars="200"/>
        <w:outlineLvl w:val="2"/>
        <w:rPr>
          <w:rFonts w:ascii="宋体" w:hAnsi="宋体" w:cs="宋体"/>
          <w:sz w:val="24"/>
        </w:rPr>
      </w:pPr>
      <w:r>
        <w:rPr>
          <w:rFonts w:hint="eastAsia" w:ascii="宋体" w:hAnsi="宋体" w:cs="宋体"/>
          <w:b/>
          <w:bCs/>
          <w:sz w:val="24"/>
        </w:rPr>
        <w:t>1.5</w:t>
      </w:r>
      <w:r>
        <w:rPr>
          <w:rFonts w:hint="eastAsia" w:ascii="宋体" w:hAnsi="宋体" w:cs="宋体"/>
          <w:sz w:val="24"/>
        </w:rPr>
        <w:t>评标委员会负责具体评标事务，并独立履行下列职责：</w:t>
      </w:r>
    </w:p>
    <w:p>
      <w:pPr>
        <w:spacing w:line="360" w:lineRule="auto"/>
        <w:ind w:firstLine="482" w:firstLineChars="200"/>
        <w:rPr>
          <w:rFonts w:ascii="宋体" w:hAnsi="宋体" w:cs="宋体"/>
          <w:sz w:val="24"/>
        </w:rPr>
      </w:pPr>
      <w:r>
        <w:rPr>
          <w:rFonts w:hint="eastAsia" w:ascii="宋体" w:hAnsi="宋体" w:cs="宋体"/>
          <w:b/>
          <w:bCs/>
          <w:sz w:val="24"/>
        </w:rPr>
        <w:t>（1）</w:t>
      </w:r>
      <w:r>
        <w:rPr>
          <w:rFonts w:hint="eastAsia" w:ascii="宋体" w:hAnsi="宋体" w:cs="宋体"/>
          <w:sz w:val="24"/>
        </w:rPr>
        <w:t>审查、评价投标文件是否符合招标文件的商务、技术等实质性要求；</w:t>
      </w:r>
    </w:p>
    <w:p>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sz w:val="24"/>
        </w:rPr>
        <w:t>要求投标人对投标文件有关事项作出澄清或者说明；</w:t>
      </w:r>
    </w:p>
    <w:p>
      <w:pPr>
        <w:spacing w:line="360" w:lineRule="auto"/>
        <w:ind w:firstLine="482" w:firstLineChars="200"/>
        <w:rPr>
          <w:rFonts w:ascii="宋体" w:hAnsi="宋体" w:cs="宋体"/>
          <w:sz w:val="24"/>
        </w:rPr>
      </w:pPr>
      <w:r>
        <w:rPr>
          <w:rFonts w:hint="eastAsia" w:ascii="宋体" w:hAnsi="宋体" w:cs="宋体"/>
          <w:b/>
          <w:bCs/>
          <w:sz w:val="24"/>
        </w:rPr>
        <w:t>（3）</w:t>
      </w:r>
      <w:r>
        <w:rPr>
          <w:rFonts w:hint="eastAsia" w:ascii="宋体" w:hAnsi="宋体" w:cs="宋体"/>
          <w:sz w:val="24"/>
        </w:rPr>
        <w:t>对投标文件进行比较和评价；</w:t>
      </w:r>
    </w:p>
    <w:p>
      <w:pPr>
        <w:spacing w:line="360" w:lineRule="auto"/>
        <w:ind w:firstLine="482" w:firstLineChars="200"/>
        <w:rPr>
          <w:rFonts w:ascii="宋体" w:hAnsi="宋体" w:cs="宋体"/>
          <w:sz w:val="24"/>
        </w:rPr>
      </w:pPr>
      <w:r>
        <w:rPr>
          <w:rFonts w:hint="eastAsia" w:ascii="宋体" w:hAnsi="宋体" w:cs="宋体"/>
          <w:b/>
          <w:bCs/>
          <w:sz w:val="24"/>
        </w:rPr>
        <w:t>（4）</w:t>
      </w:r>
      <w:r>
        <w:rPr>
          <w:rFonts w:hint="eastAsia" w:ascii="宋体" w:hAnsi="宋体" w:cs="宋体"/>
          <w:sz w:val="24"/>
        </w:rPr>
        <w:t>确定中标候选人名单，以及根据采购人委托直接确定中标人；</w:t>
      </w:r>
    </w:p>
    <w:p>
      <w:pPr>
        <w:spacing w:line="360" w:lineRule="auto"/>
        <w:ind w:firstLine="482" w:firstLineChars="200"/>
        <w:rPr>
          <w:rFonts w:ascii="宋体" w:hAnsi="宋体" w:cs="宋体"/>
          <w:sz w:val="24"/>
        </w:rPr>
      </w:pPr>
      <w:r>
        <w:rPr>
          <w:rFonts w:hint="eastAsia" w:ascii="宋体" w:hAnsi="宋体" w:cs="宋体"/>
          <w:b/>
          <w:bCs/>
          <w:sz w:val="24"/>
        </w:rPr>
        <w:t>（5）</w:t>
      </w:r>
      <w:r>
        <w:rPr>
          <w:rFonts w:hint="eastAsia" w:ascii="宋体" w:hAnsi="宋体" w:cs="宋体"/>
          <w:sz w:val="24"/>
        </w:rPr>
        <w:t>向采购人、采购代理机构或者有关部门报告评标中发现的违法行为。</w:t>
      </w:r>
      <w:bookmarkStart w:id="156" w:name="_Toc217446098"/>
    </w:p>
    <w:p>
      <w:pPr>
        <w:spacing w:line="360" w:lineRule="auto"/>
        <w:ind w:firstLine="482" w:firstLineChars="200"/>
        <w:rPr>
          <w:rFonts w:ascii="宋体" w:hAnsi="宋体" w:cs="宋体"/>
          <w:sz w:val="24"/>
        </w:rPr>
      </w:pPr>
      <w:r>
        <w:rPr>
          <w:rFonts w:hint="eastAsia" w:ascii="宋体" w:hAnsi="宋体" w:cs="宋体"/>
          <w:b/>
          <w:bCs/>
          <w:sz w:val="24"/>
        </w:rPr>
        <w:t xml:space="preserve">1.6 </w:t>
      </w:r>
      <w:r>
        <w:rPr>
          <w:rFonts w:hint="eastAsia" w:ascii="宋体" w:hAnsi="宋体" w:cs="宋体"/>
          <w:sz w:val="24"/>
        </w:rPr>
        <w:t>评标过程独立、保密。投标人非法干预评标过程的行为将导致其投标文件作为无效处理。</w:t>
      </w:r>
    </w:p>
    <w:p>
      <w:pPr>
        <w:spacing w:line="360" w:lineRule="auto"/>
        <w:ind w:firstLine="482" w:firstLineChars="200"/>
        <w:rPr>
          <w:rFonts w:ascii="宋体" w:hAnsi="宋体" w:cs="宋体"/>
          <w:sz w:val="24"/>
        </w:rPr>
      </w:pPr>
      <w:r>
        <w:rPr>
          <w:rFonts w:hint="eastAsia" w:ascii="宋体" w:hAnsi="宋体" w:cs="宋体"/>
          <w:b/>
          <w:bCs/>
          <w:sz w:val="24"/>
        </w:rPr>
        <w:t>1.7</w:t>
      </w:r>
      <w:r>
        <w:rPr>
          <w:rFonts w:hint="eastAsia" w:ascii="宋体" w:hAnsi="宋体" w:cs="宋体"/>
          <w:sz w:val="24"/>
        </w:rPr>
        <w:t>评标委员会评价投标文件的响应性，对于投标人而言，除评标委员会要求其澄清、说明或者更正而提供的资料外，仅依据投标文件本身的内容，不寻求其他外部证据。</w:t>
      </w:r>
    </w:p>
    <w:p>
      <w:pPr>
        <w:spacing w:line="360" w:lineRule="auto"/>
        <w:ind w:firstLine="482" w:firstLineChars="200"/>
        <w:outlineLvl w:val="1"/>
        <w:rPr>
          <w:rFonts w:ascii="宋体" w:hAnsi="宋体" w:cs="宋体"/>
          <w:b/>
          <w:sz w:val="24"/>
        </w:rPr>
      </w:pPr>
      <w:bookmarkStart w:id="157" w:name="_Toc12658"/>
      <w:r>
        <w:rPr>
          <w:rFonts w:hint="eastAsia" w:ascii="宋体" w:hAnsi="宋体" w:cs="宋体"/>
          <w:b/>
          <w:sz w:val="24"/>
        </w:rPr>
        <w:t>2、</w:t>
      </w:r>
      <w:r>
        <w:rPr>
          <w:rFonts w:hint="eastAsia" w:ascii="宋体" w:hAnsi="宋体" w:cs="宋体"/>
          <w:bCs/>
          <w:sz w:val="24"/>
        </w:rPr>
        <w:t>评标方法</w:t>
      </w:r>
      <w:bookmarkEnd w:id="157"/>
    </w:p>
    <w:p>
      <w:pPr>
        <w:spacing w:line="360" w:lineRule="auto"/>
        <w:ind w:firstLine="480" w:firstLineChars="200"/>
        <w:rPr>
          <w:rFonts w:ascii="宋体" w:hAnsi="宋体" w:cs="宋体"/>
          <w:sz w:val="24"/>
        </w:rPr>
      </w:pPr>
      <w:r>
        <w:rPr>
          <w:rFonts w:hint="eastAsia" w:ascii="宋体" w:hAnsi="宋体" w:cs="宋体"/>
          <w:sz w:val="24"/>
        </w:rPr>
        <w:t>本项目评标方法为：综合评分法</w:t>
      </w:r>
    </w:p>
    <w:p>
      <w:pPr>
        <w:spacing w:line="360" w:lineRule="auto"/>
        <w:ind w:firstLine="482" w:firstLineChars="200"/>
        <w:outlineLvl w:val="1"/>
        <w:rPr>
          <w:rFonts w:ascii="宋体" w:hAnsi="宋体" w:cs="宋体"/>
          <w:sz w:val="24"/>
        </w:rPr>
      </w:pPr>
      <w:bookmarkStart w:id="158" w:name="_Toc14811"/>
      <w:r>
        <w:rPr>
          <w:rFonts w:hint="eastAsia" w:ascii="宋体" w:hAnsi="宋体" w:cs="宋体"/>
          <w:b/>
          <w:bCs/>
          <w:sz w:val="24"/>
        </w:rPr>
        <w:t xml:space="preserve">3、 </w:t>
      </w:r>
      <w:r>
        <w:rPr>
          <w:rFonts w:hint="eastAsia" w:ascii="宋体" w:hAnsi="宋体" w:cs="宋体"/>
          <w:sz w:val="24"/>
        </w:rPr>
        <w:t>评标程序</w:t>
      </w:r>
      <w:bookmarkEnd w:id="156"/>
      <w:bookmarkEnd w:id="158"/>
    </w:p>
    <w:p>
      <w:pPr>
        <w:spacing w:line="360" w:lineRule="auto"/>
        <w:ind w:firstLine="482" w:firstLineChars="200"/>
        <w:outlineLvl w:val="2"/>
        <w:rPr>
          <w:rFonts w:ascii="宋体" w:hAnsi="宋体" w:cs="宋体"/>
          <w:sz w:val="24"/>
        </w:rPr>
      </w:pPr>
      <w:bookmarkStart w:id="159" w:name="_Toc217446103"/>
      <w:bookmarkStart w:id="160" w:name="_Toc217446099"/>
      <w:r>
        <w:rPr>
          <w:rFonts w:hint="eastAsia" w:ascii="宋体" w:hAnsi="宋体" w:cs="宋体"/>
          <w:b/>
          <w:bCs/>
          <w:sz w:val="24"/>
        </w:rPr>
        <w:t>3.1</w:t>
      </w:r>
      <w:r>
        <w:rPr>
          <w:rFonts w:hint="eastAsia" w:ascii="宋体" w:hAnsi="宋体" w:cs="宋体"/>
          <w:sz w:val="24"/>
        </w:rPr>
        <w:t>熟悉和理解招标文件和停止评标。</w:t>
      </w:r>
    </w:p>
    <w:p>
      <w:pPr>
        <w:spacing w:line="360" w:lineRule="auto"/>
        <w:ind w:firstLine="482" w:firstLineChars="200"/>
        <w:rPr>
          <w:rFonts w:ascii="宋体" w:hAnsi="宋体" w:cs="宋体"/>
          <w:sz w:val="24"/>
        </w:rPr>
      </w:pPr>
      <w:r>
        <w:rPr>
          <w:rFonts w:hint="eastAsia" w:ascii="宋体" w:hAnsi="宋体" w:cs="宋体"/>
          <w:b/>
          <w:bCs/>
          <w:sz w:val="24"/>
        </w:rPr>
        <w:t>3.1.1</w:t>
      </w:r>
      <w:r>
        <w:rPr>
          <w:rFonts w:hint="eastAsia" w:ascii="宋体" w:hAnsi="宋体" w:cs="宋体"/>
          <w:sz w:val="24"/>
        </w:rPr>
        <w:t>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2" w:firstLineChars="200"/>
        <w:rPr>
          <w:rFonts w:ascii="宋体" w:hAnsi="宋体" w:cs="宋体"/>
          <w:sz w:val="24"/>
        </w:rPr>
      </w:pPr>
      <w:r>
        <w:rPr>
          <w:rFonts w:hint="eastAsia" w:ascii="宋体" w:hAnsi="宋体" w:cs="宋体"/>
          <w:b/>
          <w:bCs/>
          <w:sz w:val="24"/>
        </w:rPr>
        <w:t>3.1.2</w:t>
      </w:r>
      <w:r>
        <w:rPr>
          <w:rFonts w:hint="eastAsia" w:ascii="宋体" w:hAnsi="宋体" w:cs="宋体"/>
          <w:sz w:val="24"/>
        </w:rPr>
        <w:t>评标委员会熟悉和理解招标文件以及评标过程中，发现本招标文件有下列情形之一的，评标委员会应当停止评标：</w:t>
      </w:r>
    </w:p>
    <w:p>
      <w:pPr>
        <w:spacing w:line="360" w:lineRule="auto"/>
        <w:ind w:firstLine="482" w:firstLineChars="200"/>
        <w:rPr>
          <w:rFonts w:ascii="宋体" w:hAnsi="宋体" w:cs="宋体"/>
          <w:sz w:val="24"/>
        </w:rPr>
      </w:pPr>
      <w:r>
        <w:rPr>
          <w:rFonts w:hint="eastAsia" w:ascii="宋体" w:hAnsi="宋体" w:cs="宋体"/>
          <w:b/>
          <w:bCs/>
          <w:sz w:val="24"/>
        </w:rPr>
        <w:t>（1）</w:t>
      </w:r>
      <w:r>
        <w:rPr>
          <w:rFonts w:hint="eastAsia" w:ascii="宋体" w:hAnsi="宋体" w:cs="宋体"/>
          <w:sz w:val="24"/>
        </w:rPr>
        <w:t>招标文件的规定存在歧义、重大缺陷导致评审工作无法进行的；</w:t>
      </w:r>
    </w:p>
    <w:p>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sz w:val="24"/>
        </w:rPr>
        <w:t>招标文件明显以不合理条件对投标人实行差别待遇或者歧视待遇的；</w:t>
      </w:r>
    </w:p>
    <w:p>
      <w:pPr>
        <w:spacing w:line="360" w:lineRule="auto"/>
        <w:ind w:firstLine="482" w:firstLineChars="200"/>
        <w:rPr>
          <w:rFonts w:ascii="宋体" w:hAnsi="宋体" w:cs="宋体"/>
          <w:sz w:val="24"/>
        </w:rPr>
      </w:pPr>
      <w:r>
        <w:rPr>
          <w:rFonts w:hint="eastAsia" w:ascii="宋体" w:hAnsi="宋体" w:cs="宋体"/>
          <w:b/>
          <w:bCs/>
          <w:sz w:val="24"/>
        </w:rPr>
        <w:t>（3）</w:t>
      </w:r>
      <w:r>
        <w:rPr>
          <w:rFonts w:hint="eastAsia" w:ascii="宋体" w:hAnsi="宋体" w:cs="宋体"/>
          <w:sz w:val="24"/>
        </w:rPr>
        <w:t>采购项目属于国家规定的优先、强制采购范围，但是招标文件未依法体现优先、强制采购相关规定的；</w:t>
      </w:r>
    </w:p>
    <w:p>
      <w:pPr>
        <w:spacing w:line="360" w:lineRule="auto"/>
        <w:ind w:firstLine="482" w:firstLineChars="200"/>
        <w:rPr>
          <w:rFonts w:ascii="宋体" w:hAnsi="宋体" w:cs="宋体"/>
          <w:sz w:val="24"/>
        </w:rPr>
      </w:pPr>
      <w:r>
        <w:rPr>
          <w:rFonts w:hint="eastAsia" w:ascii="宋体" w:hAnsi="宋体" w:cs="宋体"/>
          <w:b/>
          <w:bCs/>
          <w:sz w:val="24"/>
        </w:rPr>
        <w:t>（4）</w:t>
      </w:r>
      <w:r>
        <w:rPr>
          <w:rFonts w:hint="eastAsia" w:ascii="宋体" w:hAnsi="宋体" w:cs="宋体"/>
          <w:sz w:val="24"/>
        </w:rPr>
        <w:t>采购项目属于政府采购促进中小企业发展的范围，但是招标文件未依法体现促进中小企业发展相关规定的；</w:t>
      </w:r>
    </w:p>
    <w:p>
      <w:pPr>
        <w:spacing w:line="360" w:lineRule="auto"/>
        <w:ind w:firstLine="482" w:firstLineChars="200"/>
        <w:rPr>
          <w:rFonts w:ascii="宋体" w:hAnsi="宋体" w:cs="宋体"/>
          <w:sz w:val="24"/>
        </w:rPr>
      </w:pPr>
      <w:r>
        <w:rPr>
          <w:rFonts w:hint="eastAsia" w:ascii="宋体" w:hAnsi="宋体" w:cs="宋体"/>
          <w:b/>
          <w:bCs/>
          <w:sz w:val="24"/>
        </w:rPr>
        <w:t>（5）</w:t>
      </w:r>
      <w:r>
        <w:rPr>
          <w:rFonts w:hint="eastAsia" w:ascii="宋体" w:hAnsi="宋体" w:cs="宋体"/>
          <w:sz w:val="24"/>
        </w:rPr>
        <w:t>招标文件规定的评标方法是综合评分法、最低评标价法之外的评标方法，或者虽然名称为综合评分法、最低评标价法，但实际上不符合国家规定；</w:t>
      </w:r>
    </w:p>
    <w:p>
      <w:pPr>
        <w:spacing w:line="360" w:lineRule="auto"/>
        <w:ind w:firstLine="482" w:firstLineChars="200"/>
        <w:rPr>
          <w:rFonts w:ascii="宋体" w:hAnsi="宋体" w:cs="宋体"/>
          <w:sz w:val="24"/>
        </w:rPr>
      </w:pPr>
      <w:r>
        <w:rPr>
          <w:rFonts w:hint="eastAsia" w:ascii="宋体" w:hAnsi="宋体" w:cs="宋体"/>
          <w:b/>
          <w:bCs/>
          <w:sz w:val="24"/>
        </w:rPr>
        <w:t>（6）</w:t>
      </w:r>
      <w:r>
        <w:rPr>
          <w:rFonts w:hint="eastAsia" w:ascii="宋体" w:hAnsi="宋体" w:cs="宋体"/>
          <w:sz w:val="24"/>
        </w:rPr>
        <w:t>招标文件将投标人的资格条件列为评分因素的；</w:t>
      </w:r>
    </w:p>
    <w:p>
      <w:pPr>
        <w:spacing w:line="360" w:lineRule="auto"/>
        <w:ind w:firstLine="482" w:firstLineChars="200"/>
        <w:rPr>
          <w:rFonts w:ascii="宋体" w:hAnsi="宋体" w:cs="宋体"/>
          <w:sz w:val="24"/>
        </w:rPr>
      </w:pPr>
      <w:r>
        <w:rPr>
          <w:rFonts w:hint="eastAsia" w:ascii="宋体" w:hAnsi="宋体" w:cs="宋体"/>
          <w:b/>
          <w:bCs/>
          <w:sz w:val="24"/>
        </w:rPr>
        <w:t>（7）</w:t>
      </w:r>
      <w:r>
        <w:rPr>
          <w:rFonts w:hint="eastAsia" w:ascii="宋体" w:hAnsi="宋体" w:cs="宋体"/>
          <w:sz w:val="24"/>
        </w:rPr>
        <w:t>招标文件有违反国家其他有关强制性规定的情形。</w:t>
      </w:r>
    </w:p>
    <w:p>
      <w:pPr>
        <w:spacing w:line="360" w:lineRule="auto"/>
        <w:ind w:firstLine="482" w:firstLineChars="200"/>
        <w:rPr>
          <w:rFonts w:ascii="宋体" w:hAnsi="宋体" w:cs="宋体"/>
          <w:sz w:val="24"/>
        </w:rPr>
      </w:pPr>
      <w:r>
        <w:rPr>
          <w:rFonts w:hint="eastAsia" w:ascii="宋体" w:hAnsi="宋体" w:cs="宋体"/>
          <w:b/>
          <w:bCs/>
          <w:sz w:val="24"/>
        </w:rPr>
        <w:t xml:space="preserve">3.1.3 </w:t>
      </w:r>
      <w:r>
        <w:rPr>
          <w:rFonts w:hint="eastAsia" w:ascii="宋体" w:hAnsi="宋体" w:cs="宋体"/>
          <w:sz w:val="24"/>
        </w:rPr>
        <w:t>评标委员会发现招标文件存在歧义、重大缺陷导致评标工作无法进行，或者招标文件内容违反国家有关强制性规定的，应当停止评标工作，与采购人或者采购代理机构沟通并作书面记录。除本条规定和评标中因评标委员会成员缺席、回避或者健康等特殊原因导致评标委员会组成不符合规定且无法及时补足的情形外，评标委员会成员不得以任何方式和理由停止评标。</w:t>
      </w:r>
    </w:p>
    <w:p>
      <w:pPr>
        <w:spacing w:line="360" w:lineRule="auto"/>
        <w:ind w:firstLine="482" w:firstLineChars="200"/>
        <w:outlineLvl w:val="2"/>
        <w:rPr>
          <w:rFonts w:ascii="宋体" w:hAnsi="宋体" w:cs="宋体"/>
          <w:sz w:val="24"/>
        </w:rPr>
      </w:pPr>
      <w:r>
        <w:rPr>
          <w:rFonts w:hint="eastAsia" w:ascii="宋体" w:hAnsi="宋体" w:cs="宋体"/>
          <w:b/>
          <w:bCs/>
          <w:sz w:val="24"/>
        </w:rPr>
        <w:t>3.2</w:t>
      </w:r>
      <w:r>
        <w:rPr>
          <w:rFonts w:hint="eastAsia" w:ascii="宋体" w:hAnsi="宋体" w:cs="宋体"/>
          <w:sz w:val="24"/>
        </w:rPr>
        <w:t>资格性审查。</w:t>
      </w:r>
    </w:p>
    <w:p>
      <w:pPr>
        <w:spacing w:line="360" w:lineRule="auto"/>
        <w:ind w:firstLine="482" w:firstLineChars="200"/>
        <w:rPr>
          <w:rFonts w:ascii="宋体" w:hAnsi="宋体" w:cs="宋体"/>
          <w:sz w:val="24"/>
        </w:rPr>
      </w:pPr>
      <w:r>
        <w:rPr>
          <w:rFonts w:hint="eastAsia" w:ascii="宋体" w:hAnsi="宋体" w:cs="宋体"/>
          <w:b/>
          <w:bCs/>
          <w:sz w:val="24"/>
        </w:rPr>
        <w:t>3.2.1</w:t>
      </w:r>
      <w:r>
        <w:rPr>
          <w:rFonts w:hint="eastAsia" w:ascii="宋体" w:hAnsi="宋体" w:cs="宋体"/>
          <w:sz w:val="24"/>
        </w:rPr>
        <w:t>开标结束后，采购人应依据法律法规和本招标文件的规定，对投标文件是否按照规定要求提供资格性证明材料、是否按照规定交纳投标保证金、是否属于禁止参加投标的投标人等进行审查，以确定投标人是否具备投标资格。（资格性审核内容为招标文件第三章内容）</w:t>
      </w:r>
    </w:p>
    <w:p>
      <w:pPr>
        <w:spacing w:line="360" w:lineRule="auto"/>
        <w:ind w:firstLine="482" w:firstLineChars="200"/>
        <w:rPr>
          <w:rFonts w:ascii="宋体" w:hAnsi="宋体" w:cs="宋体"/>
          <w:sz w:val="24"/>
        </w:rPr>
      </w:pPr>
      <w:r>
        <w:rPr>
          <w:rFonts w:hint="eastAsia" w:ascii="宋体" w:hAnsi="宋体" w:cs="宋体"/>
          <w:b/>
          <w:bCs/>
          <w:sz w:val="24"/>
        </w:rPr>
        <w:t xml:space="preserve">3.2.2 </w:t>
      </w:r>
      <w:r>
        <w:rPr>
          <w:rFonts w:hint="eastAsia" w:ascii="宋体" w:hAnsi="宋体" w:cs="宋体"/>
          <w:sz w:val="24"/>
        </w:rPr>
        <w:t>资格审查结束后，采购人应及时对资格性审查结果进行复核，对资格性审查错误进行及时纠正并记录。</w:t>
      </w:r>
    </w:p>
    <w:p>
      <w:pPr>
        <w:spacing w:line="360" w:lineRule="auto"/>
        <w:ind w:firstLine="482" w:firstLineChars="200"/>
        <w:outlineLvl w:val="2"/>
        <w:rPr>
          <w:rFonts w:ascii="宋体" w:hAnsi="宋体" w:cs="宋体"/>
          <w:sz w:val="24"/>
        </w:rPr>
      </w:pPr>
      <w:r>
        <w:rPr>
          <w:rFonts w:hint="eastAsia" w:ascii="宋体" w:hAnsi="宋体" w:cs="宋体"/>
          <w:b/>
          <w:bCs/>
          <w:sz w:val="24"/>
        </w:rPr>
        <w:t>3.3</w:t>
      </w:r>
      <w:r>
        <w:rPr>
          <w:rFonts w:hint="eastAsia" w:ascii="宋体" w:hAnsi="宋体" w:cs="宋体"/>
          <w:sz w:val="24"/>
        </w:rPr>
        <w:t>符合性检查。</w:t>
      </w:r>
    </w:p>
    <w:p>
      <w:pPr>
        <w:spacing w:line="360" w:lineRule="auto"/>
        <w:ind w:firstLine="482" w:firstLineChars="200"/>
        <w:rPr>
          <w:rFonts w:ascii="宋体" w:hAnsi="宋体" w:cs="宋体"/>
          <w:sz w:val="24"/>
        </w:rPr>
      </w:pPr>
      <w:r>
        <w:rPr>
          <w:rFonts w:hint="eastAsia" w:ascii="宋体" w:hAnsi="宋体" w:cs="宋体"/>
          <w:b/>
          <w:bCs/>
          <w:sz w:val="24"/>
        </w:rPr>
        <w:t>3.3.1</w:t>
      </w:r>
      <w:r>
        <w:rPr>
          <w:rFonts w:hint="eastAsia" w:ascii="宋体" w:hAnsi="宋体" w:cs="宋体"/>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2" w:firstLineChars="200"/>
        <w:rPr>
          <w:rFonts w:ascii="宋体" w:hAnsi="宋体" w:cs="宋体"/>
          <w:sz w:val="24"/>
        </w:rPr>
      </w:pPr>
      <w:r>
        <w:rPr>
          <w:rFonts w:hint="eastAsia" w:ascii="宋体" w:hAnsi="宋体" w:cs="宋体"/>
          <w:b/>
          <w:bCs/>
          <w:sz w:val="24"/>
        </w:rPr>
        <w:t>3.3.2</w:t>
      </w:r>
      <w:r>
        <w:rPr>
          <w:rFonts w:hint="eastAsia" w:ascii="宋体" w:hAnsi="宋体" w:cs="宋体"/>
          <w:sz w:val="24"/>
        </w:rPr>
        <w:t>投标文件有下列情形的，本项目不作为实质性要求进行规定，即不作为符合性审查事项，不得作为无效投标处理：</w:t>
      </w:r>
    </w:p>
    <w:p>
      <w:pPr>
        <w:spacing w:line="360" w:lineRule="auto"/>
        <w:ind w:firstLine="482" w:firstLineChars="200"/>
        <w:rPr>
          <w:rFonts w:ascii="宋体" w:hAnsi="宋体" w:cs="宋体"/>
          <w:sz w:val="24"/>
        </w:rPr>
      </w:pPr>
      <w:r>
        <w:rPr>
          <w:rFonts w:hint="eastAsia" w:ascii="宋体" w:hAnsi="宋体" w:cs="宋体"/>
          <w:b/>
          <w:bCs/>
          <w:sz w:val="24"/>
        </w:rPr>
        <w:t>（1）</w:t>
      </w:r>
      <w:r>
        <w:rPr>
          <w:rFonts w:hint="eastAsia" w:ascii="宋体" w:hAnsi="宋体" w:cs="宋体"/>
          <w:sz w:val="24"/>
        </w:rPr>
        <w:t>正副本数量齐全、密封完好，只是未按照招标文件要求进行分装或者统装的；</w:t>
      </w:r>
    </w:p>
    <w:p>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sz w:val="24"/>
        </w:rPr>
        <w:t>存在个别地方（不超过2个）没有法定代表人签字，但有法定代表人的私人印章或者有效授权代理人签字的；</w:t>
      </w:r>
    </w:p>
    <w:p>
      <w:pPr>
        <w:spacing w:line="360" w:lineRule="auto"/>
        <w:ind w:firstLine="482" w:firstLineChars="200"/>
        <w:rPr>
          <w:rFonts w:ascii="宋体" w:hAnsi="宋体" w:cs="宋体"/>
          <w:sz w:val="24"/>
        </w:rPr>
      </w:pPr>
      <w:r>
        <w:rPr>
          <w:rFonts w:hint="eastAsia" w:ascii="宋体" w:hAnsi="宋体" w:cs="宋体"/>
          <w:b/>
          <w:bCs/>
          <w:sz w:val="24"/>
        </w:rPr>
        <w:t>（3）</w:t>
      </w:r>
      <w:r>
        <w:rPr>
          <w:rFonts w:hint="eastAsia" w:ascii="宋体" w:hAnsi="宋体" w:cs="宋体"/>
          <w:sz w:val="24"/>
        </w:rPr>
        <w:t>除招标文件明确要求加盖单位(法人)公章的以外，其他地方以相关专用章加盖的；</w:t>
      </w:r>
    </w:p>
    <w:p>
      <w:pPr>
        <w:spacing w:line="360" w:lineRule="auto"/>
        <w:ind w:firstLine="482" w:firstLineChars="200"/>
        <w:outlineLvl w:val="3"/>
        <w:rPr>
          <w:rFonts w:ascii="宋体" w:hAnsi="宋体" w:cs="宋体"/>
          <w:sz w:val="24"/>
        </w:rPr>
      </w:pPr>
      <w:r>
        <w:rPr>
          <w:rFonts w:hint="eastAsia" w:ascii="宋体" w:hAnsi="宋体" w:cs="宋体"/>
          <w:b/>
          <w:bCs/>
          <w:sz w:val="24"/>
        </w:rPr>
        <w:t>（4）</w:t>
      </w:r>
      <w:r>
        <w:rPr>
          <w:rFonts w:hint="eastAsia" w:ascii="宋体" w:hAnsi="宋体" w:cs="宋体"/>
          <w:sz w:val="24"/>
        </w:rPr>
        <w:t>其他不影响采购项目实质性要求的情形。</w:t>
      </w:r>
    </w:p>
    <w:p>
      <w:pPr>
        <w:spacing w:line="360" w:lineRule="auto"/>
        <w:ind w:firstLine="482" w:firstLineChars="200"/>
        <w:rPr>
          <w:rFonts w:ascii="宋体" w:hAnsi="宋体" w:cs="宋体"/>
          <w:sz w:val="24"/>
        </w:rPr>
      </w:pPr>
      <w:r>
        <w:rPr>
          <w:rFonts w:hint="eastAsia" w:ascii="宋体" w:hAnsi="宋体" w:cs="宋体"/>
          <w:b/>
          <w:bCs/>
          <w:sz w:val="24"/>
        </w:rPr>
        <w:t>3.3.3</w:t>
      </w:r>
      <w:r>
        <w:rPr>
          <w:rFonts w:hint="eastAsia" w:ascii="宋体" w:hAnsi="宋体" w:cs="宋体"/>
          <w:sz w:val="24"/>
        </w:rPr>
        <w:t>除政府采购法律制度规定的情形外，本项目投标人或者其投标文件有下列情形之一的，作为无效投标处理：</w:t>
      </w:r>
    </w:p>
    <w:p>
      <w:pPr>
        <w:spacing w:line="360" w:lineRule="auto"/>
        <w:ind w:firstLine="482" w:firstLineChars="200"/>
        <w:outlineLvl w:val="3"/>
        <w:rPr>
          <w:rFonts w:ascii="宋体" w:hAnsi="宋体" w:cs="宋体"/>
          <w:sz w:val="24"/>
        </w:rPr>
      </w:pPr>
      <w:r>
        <w:rPr>
          <w:rFonts w:hint="eastAsia" w:ascii="宋体" w:hAnsi="宋体" w:cs="宋体"/>
          <w:b/>
          <w:bCs/>
          <w:sz w:val="24"/>
        </w:rPr>
        <w:t>（1）</w:t>
      </w:r>
      <w:r>
        <w:rPr>
          <w:rFonts w:hint="eastAsia" w:ascii="宋体" w:hAnsi="宋体" w:cs="宋体"/>
          <w:sz w:val="24"/>
        </w:rPr>
        <w:t>资格性审查阶段</w:t>
      </w:r>
    </w:p>
    <w:p>
      <w:pPr>
        <w:spacing w:line="360" w:lineRule="auto"/>
        <w:ind w:firstLine="482" w:firstLineChars="200"/>
        <w:rPr>
          <w:rFonts w:ascii="宋体" w:hAnsi="宋体" w:cs="宋体"/>
          <w:sz w:val="24"/>
        </w:rPr>
      </w:pPr>
      <w:r>
        <w:rPr>
          <w:rFonts w:hint="eastAsia" w:ascii="宋体" w:hAnsi="宋体" w:cs="宋体"/>
          <w:b/>
          <w:bCs/>
          <w:sz w:val="24"/>
        </w:rPr>
        <w:fldChar w:fldCharType="begin"/>
      </w:r>
      <w:r>
        <w:rPr>
          <w:rFonts w:hint="eastAsia" w:ascii="宋体" w:hAnsi="宋体" w:cs="宋体"/>
          <w:b/>
          <w:bCs/>
          <w:sz w:val="24"/>
        </w:rPr>
        <w:instrText xml:space="preserve"> = 1 \* GB3 </w:instrText>
      </w:r>
      <w:r>
        <w:rPr>
          <w:rFonts w:hint="eastAsia" w:ascii="宋体" w:hAnsi="宋体" w:cs="宋体"/>
          <w:b/>
          <w:bCs/>
          <w:sz w:val="24"/>
        </w:rPr>
        <w:fldChar w:fldCharType="separate"/>
      </w:r>
      <w:r>
        <w:rPr>
          <w:rFonts w:hint="eastAsia" w:ascii="宋体" w:hAnsi="宋体" w:cs="宋体"/>
          <w:b/>
          <w:bCs/>
          <w:sz w:val="24"/>
        </w:rPr>
        <w:t>①</w:t>
      </w:r>
      <w:r>
        <w:rPr>
          <w:rFonts w:hint="eastAsia" w:ascii="宋体" w:hAnsi="宋体" w:cs="宋体"/>
          <w:b/>
          <w:bCs/>
          <w:sz w:val="24"/>
        </w:rPr>
        <w:fldChar w:fldCharType="end"/>
      </w:r>
      <w:r>
        <w:rPr>
          <w:rFonts w:hint="eastAsia" w:ascii="宋体" w:hAnsi="宋体" w:cs="宋体"/>
          <w:sz w:val="24"/>
        </w:rPr>
        <w:t>未按照招标文件的规定提交投标保证金的；</w:t>
      </w:r>
    </w:p>
    <w:p>
      <w:pPr>
        <w:spacing w:line="360" w:lineRule="auto"/>
        <w:ind w:firstLine="482" w:firstLineChars="200"/>
        <w:rPr>
          <w:rFonts w:ascii="宋体" w:hAnsi="宋体" w:cs="宋体"/>
          <w:sz w:val="24"/>
        </w:rPr>
      </w:pPr>
      <w:r>
        <w:rPr>
          <w:rFonts w:hint="eastAsia" w:ascii="宋体" w:hAnsi="宋体" w:cs="宋体"/>
          <w:b/>
          <w:bCs/>
          <w:sz w:val="24"/>
        </w:rPr>
        <w:fldChar w:fldCharType="begin"/>
      </w:r>
      <w:r>
        <w:rPr>
          <w:rFonts w:hint="eastAsia" w:ascii="宋体" w:hAnsi="宋体" w:cs="宋体"/>
          <w:b/>
          <w:bCs/>
          <w:sz w:val="24"/>
        </w:rPr>
        <w:instrText xml:space="preserve"> = 2 \* GB3 </w:instrText>
      </w:r>
      <w:r>
        <w:rPr>
          <w:rFonts w:hint="eastAsia" w:ascii="宋体" w:hAnsi="宋体" w:cs="宋体"/>
          <w:b/>
          <w:bCs/>
          <w:sz w:val="24"/>
        </w:rPr>
        <w:fldChar w:fldCharType="separate"/>
      </w:r>
      <w:r>
        <w:rPr>
          <w:rFonts w:hint="eastAsia" w:ascii="宋体" w:hAnsi="宋体" w:cs="宋体"/>
          <w:b/>
          <w:bCs/>
          <w:sz w:val="24"/>
        </w:rPr>
        <w:t>②</w:t>
      </w:r>
      <w:r>
        <w:rPr>
          <w:rFonts w:hint="eastAsia" w:ascii="宋体" w:hAnsi="宋体" w:cs="宋体"/>
          <w:b/>
          <w:bCs/>
          <w:sz w:val="24"/>
        </w:rPr>
        <w:fldChar w:fldCharType="end"/>
      </w:r>
      <w:r>
        <w:rPr>
          <w:rFonts w:hint="eastAsia" w:ascii="宋体" w:hAnsi="宋体" w:cs="宋体"/>
          <w:sz w:val="24"/>
        </w:rPr>
        <w:t>不具备招标文件中规定的资格要求的；</w:t>
      </w:r>
    </w:p>
    <w:p>
      <w:pPr>
        <w:spacing w:line="360" w:lineRule="auto"/>
        <w:ind w:firstLine="482" w:firstLineChars="200"/>
        <w:rPr>
          <w:rFonts w:ascii="宋体" w:hAnsi="宋体" w:cs="宋体"/>
          <w:sz w:val="24"/>
        </w:rPr>
      </w:pPr>
      <w:r>
        <w:rPr>
          <w:rFonts w:hint="eastAsia" w:ascii="宋体" w:hAnsi="宋体" w:cs="宋体"/>
          <w:b/>
          <w:bCs/>
          <w:sz w:val="24"/>
        </w:rPr>
        <w:fldChar w:fldCharType="begin"/>
      </w:r>
      <w:r>
        <w:rPr>
          <w:rFonts w:hint="eastAsia" w:ascii="宋体" w:hAnsi="宋体" w:cs="宋体"/>
          <w:b/>
          <w:bCs/>
          <w:sz w:val="24"/>
        </w:rPr>
        <w:instrText xml:space="preserve"> = 3 \* GB3 </w:instrText>
      </w:r>
      <w:r>
        <w:rPr>
          <w:rFonts w:hint="eastAsia" w:ascii="宋体" w:hAnsi="宋体" w:cs="宋体"/>
          <w:b/>
          <w:bCs/>
          <w:sz w:val="24"/>
        </w:rPr>
        <w:fldChar w:fldCharType="separate"/>
      </w:r>
      <w:r>
        <w:rPr>
          <w:rFonts w:hint="eastAsia" w:ascii="宋体" w:hAnsi="宋体" w:cs="宋体"/>
          <w:b/>
          <w:bCs/>
          <w:sz w:val="24"/>
        </w:rPr>
        <w:t>③</w:t>
      </w:r>
      <w:r>
        <w:rPr>
          <w:rFonts w:hint="eastAsia" w:ascii="宋体" w:hAnsi="宋体" w:cs="宋体"/>
          <w:b/>
          <w:bCs/>
          <w:sz w:val="24"/>
        </w:rPr>
        <w:fldChar w:fldCharType="end"/>
      </w:r>
      <w:r>
        <w:rPr>
          <w:rFonts w:hint="eastAsia" w:ascii="宋体" w:hAnsi="宋体" w:cs="宋体"/>
          <w:sz w:val="24"/>
        </w:rPr>
        <w:t>投标人、投标产品的资格资质条件及提供的证明材料等未满足招标文件要求的；</w:t>
      </w:r>
    </w:p>
    <w:p>
      <w:pPr>
        <w:spacing w:line="360" w:lineRule="auto"/>
        <w:ind w:firstLine="482" w:firstLineChars="200"/>
        <w:rPr>
          <w:rFonts w:ascii="宋体" w:hAnsi="宋体" w:cs="宋体"/>
          <w:sz w:val="24"/>
        </w:rPr>
      </w:pPr>
      <w:r>
        <w:rPr>
          <w:rFonts w:hint="eastAsia" w:ascii="宋体" w:hAnsi="宋体" w:cs="宋体"/>
          <w:b/>
          <w:bCs/>
          <w:sz w:val="24"/>
        </w:rPr>
        <w:fldChar w:fldCharType="begin"/>
      </w:r>
      <w:r>
        <w:rPr>
          <w:rFonts w:hint="eastAsia" w:ascii="宋体" w:hAnsi="宋体" w:cs="宋体"/>
          <w:b/>
          <w:bCs/>
          <w:sz w:val="24"/>
        </w:rPr>
        <w:instrText xml:space="preserve"> = 4 \* GB3 </w:instrText>
      </w:r>
      <w:r>
        <w:rPr>
          <w:rFonts w:hint="eastAsia" w:ascii="宋体" w:hAnsi="宋体" w:cs="宋体"/>
          <w:b/>
          <w:bCs/>
          <w:sz w:val="24"/>
        </w:rPr>
        <w:fldChar w:fldCharType="separate"/>
      </w:r>
      <w:r>
        <w:rPr>
          <w:rFonts w:hint="eastAsia" w:ascii="宋体" w:hAnsi="宋体" w:cs="宋体"/>
          <w:b/>
          <w:bCs/>
          <w:sz w:val="24"/>
        </w:rPr>
        <w:t>④</w:t>
      </w:r>
      <w:r>
        <w:rPr>
          <w:rFonts w:hint="eastAsia" w:ascii="宋体" w:hAnsi="宋体" w:cs="宋体"/>
          <w:b/>
          <w:bCs/>
          <w:sz w:val="24"/>
        </w:rPr>
        <w:fldChar w:fldCharType="end"/>
      </w:r>
      <w:r>
        <w:rPr>
          <w:rFonts w:hint="eastAsia" w:ascii="宋体" w:hAnsi="宋体" w:cs="宋体"/>
          <w:sz w:val="24"/>
        </w:rPr>
        <w:t>联合体投标不符合要求的：a组成联合体投标的，投标文件中未按规定提交联合体各方共同投标协议的；b参加联合体的各成员再以自己的名义单独投标的，或同时参加两个（含两个）以上的联合体投标的；c组成联合体投标的，其负责投标事务的一方与联合体协议中明确为负责投标的全权代表方不一致的；</w:t>
      </w:r>
    </w:p>
    <w:p>
      <w:pPr>
        <w:spacing w:line="360" w:lineRule="auto"/>
        <w:ind w:firstLine="482" w:firstLineChars="200"/>
        <w:rPr>
          <w:rFonts w:ascii="宋体" w:hAnsi="宋体" w:cs="宋体"/>
          <w:sz w:val="24"/>
        </w:rPr>
      </w:pPr>
      <w:r>
        <w:rPr>
          <w:rFonts w:hint="eastAsia" w:ascii="宋体" w:hAnsi="宋体" w:cs="宋体"/>
          <w:b/>
          <w:bCs/>
          <w:sz w:val="24"/>
        </w:rPr>
        <w:fldChar w:fldCharType="begin"/>
      </w:r>
      <w:r>
        <w:rPr>
          <w:rFonts w:hint="eastAsia" w:ascii="宋体" w:hAnsi="宋体" w:cs="宋体"/>
          <w:b/>
          <w:bCs/>
          <w:sz w:val="24"/>
        </w:rPr>
        <w:instrText xml:space="preserve"> = 5 \* GB3 </w:instrText>
      </w:r>
      <w:r>
        <w:rPr>
          <w:rFonts w:hint="eastAsia" w:ascii="宋体" w:hAnsi="宋体" w:cs="宋体"/>
          <w:b/>
          <w:bCs/>
          <w:sz w:val="24"/>
        </w:rPr>
        <w:fldChar w:fldCharType="separate"/>
      </w:r>
      <w:r>
        <w:rPr>
          <w:rFonts w:hint="eastAsia" w:ascii="宋体" w:hAnsi="宋体" w:cs="宋体"/>
          <w:b/>
          <w:bCs/>
          <w:sz w:val="24"/>
        </w:rPr>
        <w:t>⑤</w:t>
      </w:r>
      <w:r>
        <w:rPr>
          <w:rFonts w:hint="eastAsia" w:ascii="宋体" w:hAnsi="宋体" w:cs="宋体"/>
          <w:b/>
          <w:bCs/>
          <w:sz w:val="24"/>
        </w:rPr>
        <w:fldChar w:fldCharType="end"/>
      </w:r>
      <w:r>
        <w:rPr>
          <w:rFonts w:hint="eastAsia" w:ascii="宋体" w:hAnsi="宋体" w:cs="宋体"/>
          <w:sz w:val="24"/>
        </w:rPr>
        <w:t>不符合法律、法规、规章规定的资格性要求的。</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符合性审查阶段</w:t>
      </w:r>
    </w:p>
    <w:tbl>
      <w:tblPr>
        <w:tblStyle w:val="35"/>
        <w:tblW w:w="93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865"/>
        <w:gridCol w:w="5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3" w:type="dxa"/>
            <w:vAlign w:val="center"/>
          </w:tcPr>
          <w:p>
            <w:pPr>
              <w:pStyle w:val="33"/>
              <w:autoSpaceDE w:val="0"/>
              <w:autoSpaceDN w:val="0"/>
              <w:ind w:firstLine="0" w:firstLineChars="0"/>
              <w:jc w:val="center"/>
              <w:rPr>
                <w:rFonts w:ascii="宋体" w:hAnsi="宋体" w:cs="宋体"/>
                <w:sz w:val="22"/>
                <w:szCs w:val="22"/>
              </w:rPr>
            </w:pPr>
            <w:r>
              <w:rPr>
                <w:rFonts w:hint="eastAsia" w:ascii="宋体" w:hAnsi="宋体" w:cs="宋体"/>
                <w:sz w:val="22"/>
                <w:szCs w:val="22"/>
              </w:rPr>
              <w:t>序号</w:t>
            </w:r>
          </w:p>
        </w:tc>
        <w:tc>
          <w:tcPr>
            <w:tcW w:w="2865" w:type="dxa"/>
            <w:vAlign w:val="center"/>
          </w:tcPr>
          <w:p>
            <w:pPr>
              <w:pStyle w:val="33"/>
              <w:autoSpaceDE w:val="0"/>
              <w:autoSpaceDN w:val="0"/>
              <w:ind w:firstLine="220"/>
              <w:jc w:val="center"/>
              <w:rPr>
                <w:rFonts w:ascii="宋体" w:hAnsi="宋体" w:cs="宋体"/>
                <w:sz w:val="22"/>
                <w:szCs w:val="22"/>
              </w:rPr>
            </w:pPr>
            <w:r>
              <w:rPr>
                <w:rFonts w:hint="eastAsia" w:ascii="宋体" w:hAnsi="宋体" w:cs="宋体"/>
                <w:sz w:val="22"/>
                <w:szCs w:val="22"/>
              </w:rPr>
              <w:t>评审因素</w:t>
            </w:r>
          </w:p>
        </w:tc>
        <w:tc>
          <w:tcPr>
            <w:tcW w:w="5710" w:type="dxa"/>
            <w:vAlign w:val="center"/>
          </w:tcPr>
          <w:p>
            <w:pPr>
              <w:pStyle w:val="33"/>
              <w:autoSpaceDE w:val="0"/>
              <w:autoSpaceDN w:val="0"/>
              <w:ind w:firstLine="220"/>
              <w:jc w:val="center"/>
              <w:rPr>
                <w:rFonts w:ascii="宋体" w:hAnsi="宋体" w:cs="宋体"/>
                <w:sz w:val="22"/>
                <w:szCs w:val="22"/>
              </w:rPr>
            </w:pPr>
            <w:r>
              <w:rPr>
                <w:rFonts w:hint="eastAsia" w:ascii="宋体" w:hAnsi="宋体" w:cs="宋体"/>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3" w:type="dxa"/>
            <w:vAlign w:val="center"/>
          </w:tcPr>
          <w:p>
            <w:pPr>
              <w:pStyle w:val="33"/>
              <w:autoSpaceDE w:val="0"/>
              <w:autoSpaceDN w:val="0"/>
              <w:ind w:firstLine="0" w:firstLineChars="0"/>
              <w:jc w:val="center"/>
              <w:rPr>
                <w:rFonts w:ascii="宋体" w:hAnsi="宋体" w:cs="宋体"/>
                <w:sz w:val="22"/>
                <w:szCs w:val="22"/>
              </w:rPr>
            </w:pPr>
            <w:r>
              <w:rPr>
                <w:rFonts w:hint="eastAsia" w:ascii="宋体" w:hAnsi="宋体" w:cs="宋体"/>
                <w:sz w:val="22"/>
                <w:szCs w:val="22"/>
              </w:rPr>
              <w:t>1</w:t>
            </w:r>
          </w:p>
        </w:tc>
        <w:tc>
          <w:tcPr>
            <w:tcW w:w="2865" w:type="dxa"/>
            <w:vAlign w:val="center"/>
          </w:tcPr>
          <w:p>
            <w:pPr>
              <w:tabs>
                <w:tab w:val="left" w:pos="1260"/>
                <w:tab w:val="left" w:pos="1620"/>
              </w:tabs>
              <w:adjustRightInd w:val="0"/>
              <w:snapToGrid w:val="0"/>
              <w:jc w:val="center"/>
              <w:textAlignment w:val="baseline"/>
              <w:rPr>
                <w:rFonts w:ascii="宋体" w:hAnsi="宋体" w:cs="宋体"/>
                <w:sz w:val="22"/>
              </w:rPr>
            </w:pPr>
            <w:r>
              <w:rPr>
                <w:rFonts w:hint="eastAsia" w:ascii="宋体" w:hAnsi="宋体" w:cs="宋体"/>
                <w:sz w:val="22"/>
              </w:rPr>
              <w:t>投标文件签署及盖章</w:t>
            </w:r>
          </w:p>
        </w:tc>
        <w:tc>
          <w:tcPr>
            <w:tcW w:w="5710" w:type="dxa"/>
            <w:vAlign w:val="center"/>
          </w:tcPr>
          <w:p>
            <w:pPr>
              <w:tabs>
                <w:tab w:val="left" w:pos="1260"/>
                <w:tab w:val="left" w:pos="1620"/>
              </w:tabs>
              <w:adjustRightInd w:val="0"/>
              <w:snapToGrid w:val="0"/>
              <w:jc w:val="left"/>
              <w:textAlignment w:val="baseline"/>
              <w:rPr>
                <w:rFonts w:ascii="宋体" w:hAnsi="宋体" w:cs="宋体"/>
                <w:sz w:val="22"/>
              </w:rPr>
            </w:pPr>
            <w:r>
              <w:rPr>
                <w:rFonts w:hint="eastAsia" w:ascii="宋体" w:hAnsi="宋体" w:cs="宋体"/>
                <w:sz w:val="22"/>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83" w:type="dxa"/>
            <w:vAlign w:val="center"/>
          </w:tcPr>
          <w:p>
            <w:pPr>
              <w:pStyle w:val="33"/>
              <w:autoSpaceDE w:val="0"/>
              <w:autoSpaceDN w:val="0"/>
              <w:ind w:firstLine="0" w:firstLineChars="0"/>
              <w:jc w:val="center"/>
              <w:rPr>
                <w:rFonts w:ascii="宋体" w:hAnsi="宋体" w:cs="宋体"/>
                <w:sz w:val="22"/>
                <w:szCs w:val="22"/>
              </w:rPr>
            </w:pPr>
            <w:r>
              <w:rPr>
                <w:rFonts w:hint="eastAsia" w:ascii="宋体" w:hAnsi="宋体" w:cs="宋体"/>
                <w:sz w:val="22"/>
                <w:szCs w:val="22"/>
              </w:rPr>
              <w:t>2</w:t>
            </w:r>
          </w:p>
        </w:tc>
        <w:tc>
          <w:tcPr>
            <w:tcW w:w="2865" w:type="dxa"/>
            <w:vAlign w:val="center"/>
          </w:tcPr>
          <w:p>
            <w:pPr>
              <w:tabs>
                <w:tab w:val="left" w:pos="1260"/>
                <w:tab w:val="left" w:pos="1620"/>
              </w:tabs>
              <w:adjustRightInd w:val="0"/>
              <w:snapToGrid w:val="0"/>
              <w:jc w:val="center"/>
              <w:textAlignment w:val="baseline"/>
              <w:rPr>
                <w:rFonts w:ascii="宋体" w:hAnsi="宋体" w:cs="宋体"/>
                <w:sz w:val="22"/>
              </w:rPr>
            </w:pPr>
            <w:r>
              <w:rPr>
                <w:rFonts w:hint="eastAsia" w:ascii="宋体" w:hAnsi="宋体" w:cs="宋体"/>
                <w:sz w:val="22"/>
              </w:rPr>
              <w:t>投标报价</w:t>
            </w:r>
          </w:p>
        </w:tc>
        <w:tc>
          <w:tcPr>
            <w:tcW w:w="5710" w:type="dxa"/>
            <w:vAlign w:val="center"/>
          </w:tcPr>
          <w:p>
            <w:pPr>
              <w:tabs>
                <w:tab w:val="left" w:pos="1260"/>
                <w:tab w:val="left" w:pos="1620"/>
              </w:tabs>
              <w:adjustRightInd w:val="0"/>
              <w:snapToGrid w:val="0"/>
              <w:jc w:val="left"/>
              <w:textAlignment w:val="baseline"/>
              <w:rPr>
                <w:rFonts w:ascii="宋体" w:hAnsi="宋体" w:cs="宋体"/>
                <w:sz w:val="22"/>
              </w:rPr>
            </w:pPr>
            <w:r>
              <w:rPr>
                <w:rFonts w:hint="eastAsia" w:ascii="宋体" w:hAnsi="宋体" w:cs="宋体"/>
                <w:sz w:val="22"/>
              </w:rPr>
              <w:t>只能有一个有效报价，不得提交选择性报价，且报价不超过采购预算金额；</w:t>
            </w:r>
          </w:p>
          <w:p>
            <w:pPr>
              <w:tabs>
                <w:tab w:val="left" w:pos="1260"/>
                <w:tab w:val="left" w:pos="1620"/>
              </w:tabs>
              <w:adjustRightInd w:val="0"/>
              <w:snapToGrid w:val="0"/>
              <w:jc w:val="left"/>
              <w:textAlignment w:val="baseline"/>
              <w:rPr>
                <w:rFonts w:ascii="宋体" w:hAnsi="宋体" w:cs="宋体"/>
                <w:sz w:val="22"/>
              </w:rPr>
            </w:pPr>
            <w:r>
              <w:rPr>
                <w:rFonts w:hint="eastAsia" w:ascii="宋体" w:hAnsi="宋体" w:cs="宋体"/>
                <w:sz w:val="22"/>
              </w:rPr>
              <w:t>低价投标须有书面说明且证明其报价合理性的；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3" w:type="dxa"/>
            <w:vAlign w:val="center"/>
          </w:tcPr>
          <w:p>
            <w:pPr>
              <w:pStyle w:val="33"/>
              <w:autoSpaceDE w:val="0"/>
              <w:autoSpaceDN w:val="0"/>
              <w:ind w:firstLine="0" w:firstLineChars="0"/>
              <w:jc w:val="center"/>
              <w:rPr>
                <w:rFonts w:ascii="宋体" w:hAnsi="宋体" w:cs="宋体"/>
                <w:sz w:val="22"/>
                <w:szCs w:val="22"/>
              </w:rPr>
            </w:pPr>
            <w:r>
              <w:rPr>
                <w:rFonts w:hint="eastAsia" w:ascii="宋体" w:hAnsi="宋体" w:cs="宋体"/>
                <w:sz w:val="22"/>
                <w:szCs w:val="22"/>
              </w:rPr>
              <w:t>3</w:t>
            </w:r>
          </w:p>
        </w:tc>
        <w:tc>
          <w:tcPr>
            <w:tcW w:w="2865" w:type="dxa"/>
            <w:vAlign w:val="center"/>
          </w:tcPr>
          <w:p>
            <w:pPr>
              <w:tabs>
                <w:tab w:val="left" w:pos="1260"/>
                <w:tab w:val="left" w:pos="1620"/>
              </w:tabs>
              <w:adjustRightInd w:val="0"/>
              <w:snapToGrid w:val="0"/>
              <w:jc w:val="center"/>
              <w:textAlignment w:val="baseline"/>
              <w:rPr>
                <w:rFonts w:ascii="宋体" w:hAnsi="宋体" w:cs="宋体"/>
                <w:sz w:val="22"/>
              </w:rPr>
            </w:pPr>
            <w:r>
              <w:rPr>
                <w:rFonts w:hint="eastAsia" w:ascii="宋体" w:hAnsi="宋体" w:cs="宋体"/>
                <w:sz w:val="22"/>
              </w:rPr>
              <w:t>投标有效期</w:t>
            </w:r>
          </w:p>
        </w:tc>
        <w:tc>
          <w:tcPr>
            <w:tcW w:w="5710" w:type="dxa"/>
            <w:vAlign w:val="center"/>
          </w:tcPr>
          <w:p>
            <w:pPr>
              <w:tabs>
                <w:tab w:val="left" w:pos="1260"/>
                <w:tab w:val="left" w:pos="1620"/>
              </w:tabs>
              <w:adjustRightInd w:val="0"/>
              <w:snapToGrid w:val="0"/>
              <w:jc w:val="left"/>
              <w:textAlignment w:val="baseline"/>
              <w:rPr>
                <w:rFonts w:ascii="宋体" w:hAnsi="宋体" w:cs="宋体"/>
                <w:sz w:val="22"/>
              </w:rPr>
            </w:pPr>
            <w:r>
              <w:rPr>
                <w:rFonts w:hint="eastAsia" w:ascii="宋体" w:hAnsi="宋体" w:cs="宋体"/>
                <w:sz w:val="22"/>
              </w:rPr>
              <w:t>投标有效期满足招标文件要求的；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3" w:type="dxa"/>
            <w:vAlign w:val="center"/>
          </w:tcPr>
          <w:p>
            <w:pPr>
              <w:pStyle w:val="33"/>
              <w:autoSpaceDE w:val="0"/>
              <w:autoSpaceDN w:val="0"/>
              <w:ind w:firstLine="0" w:firstLineChars="0"/>
              <w:jc w:val="center"/>
              <w:rPr>
                <w:rFonts w:ascii="宋体" w:hAnsi="宋体" w:cs="宋体"/>
                <w:sz w:val="22"/>
                <w:szCs w:val="22"/>
              </w:rPr>
            </w:pPr>
            <w:r>
              <w:rPr>
                <w:rFonts w:hint="eastAsia" w:ascii="宋体" w:hAnsi="宋体" w:cs="宋体"/>
                <w:sz w:val="22"/>
                <w:szCs w:val="22"/>
              </w:rPr>
              <w:t>4</w:t>
            </w:r>
          </w:p>
        </w:tc>
        <w:tc>
          <w:tcPr>
            <w:tcW w:w="2865" w:type="dxa"/>
            <w:vAlign w:val="center"/>
          </w:tcPr>
          <w:p>
            <w:pPr>
              <w:tabs>
                <w:tab w:val="left" w:pos="1260"/>
                <w:tab w:val="left" w:pos="1620"/>
              </w:tabs>
              <w:adjustRightInd w:val="0"/>
              <w:snapToGrid w:val="0"/>
              <w:jc w:val="center"/>
              <w:textAlignment w:val="baseline"/>
              <w:rPr>
                <w:rFonts w:ascii="宋体" w:hAnsi="宋体" w:cs="宋体"/>
                <w:sz w:val="22"/>
              </w:rPr>
            </w:pPr>
            <w:r>
              <w:rPr>
                <w:rFonts w:hint="eastAsia" w:ascii="宋体" w:hAnsi="宋体" w:cs="宋体"/>
                <w:sz w:val="22"/>
              </w:rPr>
              <w:t>投标文件份数、装订方式</w:t>
            </w:r>
          </w:p>
        </w:tc>
        <w:tc>
          <w:tcPr>
            <w:tcW w:w="5710" w:type="dxa"/>
            <w:vAlign w:val="center"/>
          </w:tcPr>
          <w:p>
            <w:pPr>
              <w:tabs>
                <w:tab w:val="left" w:pos="1260"/>
                <w:tab w:val="left" w:pos="1620"/>
              </w:tabs>
              <w:adjustRightInd w:val="0"/>
              <w:snapToGrid w:val="0"/>
              <w:jc w:val="left"/>
              <w:textAlignment w:val="baseline"/>
              <w:rPr>
                <w:rFonts w:ascii="宋体" w:hAnsi="宋体" w:cs="宋体"/>
                <w:sz w:val="22"/>
              </w:rPr>
            </w:pPr>
            <w:r>
              <w:rPr>
                <w:rFonts w:hint="eastAsia" w:ascii="宋体" w:hAnsi="宋体" w:cs="宋体"/>
                <w:sz w:val="22"/>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3" w:type="dxa"/>
            <w:vAlign w:val="center"/>
          </w:tcPr>
          <w:p>
            <w:pPr>
              <w:pStyle w:val="33"/>
              <w:autoSpaceDE w:val="0"/>
              <w:autoSpaceDN w:val="0"/>
              <w:ind w:firstLine="0" w:firstLineChars="0"/>
              <w:jc w:val="center"/>
              <w:rPr>
                <w:rFonts w:ascii="宋体" w:hAnsi="宋体" w:cs="宋体"/>
                <w:sz w:val="22"/>
                <w:szCs w:val="22"/>
              </w:rPr>
            </w:pPr>
            <w:r>
              <w:rPr>
                <w:rFonts w:hint="eastAsia" w:ascii="宋体" w:hAnsi="宋体" w:cs="宋体"/>
                <w:sz w:val="22"/>
                <w:szCs w:val="22"/>
              </w:rPr>
              <w:t>5</w:t>
            </w:r>
          </w:p>
        </w:tc>
        <w:tc>
          <w:tcPr>
            <w:tcW w:w="2865" w:type="dxa"/>
            <w:vAlign w:val="center"/>
          </w:tcPr>
          <w:p>
            <w:pPr>
              <w:tabs>
                <w:tab w:val="left" w:pos="1260"/>
                <w:tab w:val="left" w:pos="1620"/>
              </w:tabs>
              <w:adjustRightInd w:val="0"/>
              <w:snapToGrid w:val="0"/>
              <w:jc w:val="center"/>
              <w:textAlignment w:val="baseline"/>
              <w:rPr>
                <w:rFonts w:ascii="宋体" w:hAnsi="宋体" w:cs="宋体"/>
                <w:sz w:val="22"/>
              </w:rPr>
            </w:pPr>
            <w:r>
              <w:rPr>
                <w:rFonts w:hint="eastAsia" w:ascii="宋体" w:hAnsi="宋体" w:cs="宋体"/>
                <w:sz w:val="22"/>
              </w:rPr>
              <w:t>服务期</w:t>
            </w:r>
          </w:p>
        </w:tc>
        <w:tc>
          <w:tcPr>
            <w:tcW w:w="5710" w:type="dxa"/>
            <w:vAlign w:val="center"/>
          </w:tcPr>
          <w:p>
            <w:pPr>
              <w:tabs>
                <w:tab w:val="left" w:pos="1260"/>
                <w:tab w:val="left" w:pos="1620"/>
              </w:tabs>
              <w:adjustRightInd w:val="0"/>
              <w:snapToGrid w:val="0"/>
              <w:jc w:val="left"/>
              <w:textAlignment w:val="baseline"/>
              <w:rPr>
                <w:rFonts w:ascii="宋体" w:hAnsi="宋体" w:cs="宋体"/>
                <w:sz w:val="22"/>
              </w:rPr>
            </w:pPr>
            <w:r>
              <w:rPr>
                <w:rFonts w:hint="eastAsia" w:ascii="宋体" w:hAnsi="宋体" w:cs="宋体"/>
                <w:sz w:val="22"/>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3" w:type="dxa"/>
            <w:vAlign w:val="center"/>
          </w:tcPr>
          <w:p>
            <w:pPr>
              <w:pStyle w:val="33"/>
              <w:autoSpaceDE w:val="0"/>
              <w:autoSpaceDN w:val="0"/>
              <w:ind w:firstLine="0" w:firstLineChars="0"/>
              <w:jc w:val="center"/>
              <w:rPr>
                <w:rFonts w:ascii="宋体" w:hAnsi="宋体" w:cs="宋体"/>
                <w:sz w:val="22"/>
                <w:szCs w:val="22"/>
              </w:rPr>
            </w:pPr>
            <w:r>
              <w:rPr>
                <w:rFonts w:hint="eastAsia" w:ascii="宋体" w:hAnsi="宋体" w:cs="宋体"/>
                <w:sz w:val="22"/>
                <w:szCs w:val="22"/>
              </w:rPr>
              <w:t>6</w:t>
            </w:r>
          </w:p>
        </w:tc>
        <w:tc>
          <w:tcPr>
            <w:tcW w:w="2865" w:type="dxa"/>
            <w:vAlign w:val="center"/>
          </w:tcPr>
          <w:p>
            <w:pPr>
              <w:tabs>
                <w:tab w:val="left" w:pos="1260"/>
                <w:tab w:val="left" w:pos="1620"/>
              </w:tabs>
              <w:adjustRightInd w:val="0"/>
              <w:snapToGrid w:val="0"/>
              <w:jc w:val="center"/>
              <w:textAlignment w:val="baseline"/>
              <w:rPr>
                <w:rFonts w:ascii="宋体" w:hAnsi="宋体" w:cs="宋体"/>
                <w:sz w:val="22"/>
              </w:rPr>
            </w:pPr>
            <w:r>
              <w:rPr>
                <w:rFonts w:hint="eastAsia" w:ascii="宋体" w:hAnsi="宋体" w:cs="宋体"/>
                <w:sz w:val="22"/>
              </w:rPr>
              <w:t>质量要求</w:t>
            </w:r>
          </w:p>
        </w:tc>
        <w:tc>
          <w:tcPr>
            <w:tcW w:w="5710" w:type="dxa"/>
            <w:vAlign w:val="center"/>
          </w:tcPr>
          <w:p>
            <w:pPr>
              <w:tabs>
                <w:tab w:val="left" w:pos="1260"/>
                <w:tab w:val="left" w:pos="1620"/>
              </w:tabs>
              <w:adjustRightInd w:val="0"/>
              <w:snapToGrid w:val="0"/>
              <w:jc w:val="left"/>
              <w:textAlignment w:val="baseline"/>
              <w:rPr>
                <w:rFonts w:ascii="宋体" w:hAnsi="宋体" w:cs="宋体"/>
                <w:sz w:val="22"/>
              </w:rPr>
            </w:pPr>
            <w:r>
              <w:rPr>
                <w:rFonts w:hint="eastAsia" w:ascii="宋体" w:hAnsi="宋体" w:cs="宋体"/>
                <w:sz w:val="22"/>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83" w:type="dxa"/>
            <w:vAlign w:val="center"/>
          </w:tcPr>
          <w:p>
            <w:pPr>
              <w:tabs>
                <w:tab w:val="left" w:pos="1260"/>
                <w:tab w:val="left" w:pos="1620"/>
              </w:tabs>
              <w:adjustRightInd w:val="0"/>
              <w:snapToGrid w:val="0"/>
              <w:jc w:val="center"/>
              <w:textAlignment w:val="baseline"/>
              <w:rPr>
                <w:rFonts w:ascii="宋体" w:hAnsi="宋体" w:cs="宋体"/>
                <w:sz w:val="22"/>
              </w:rPr>
            </w:pPr>
            <w:r>
              <w:rPr>
                <w:rFonts w:hint="eastAsia" w:ascii="宋体" w:hAnsi="宋体" w:cs="宋体"/>
                <w:sz w:val="22"/>
              </w:rPr>
              <w:t>7</w:t>
            </w:r>
          </w:p>
        </w:tc>
        <w:tc>
          <w:tcPr>
            <w:tcW w:w="2865" w:type="dxa"/>
            <w:vAlign w:val="center"/>
          </w:tcPr>
          <w:p>
            <w:pPr>
              <w:tabs>
                <w:tab w:val="left" w:pos="1260"/>
                <w:tab w:val="left" w:pos="1620"/>
              </w:tabs>
              <w:adjustRightInd w:val="0"/>
              <w:snapToGrid w:val="0"/>
              <w:jc w:val="center"/>
              <w:textAlignment w:val="baseline"/>
              <w:rPr>
                <w:rFonts w:ascii="宋体" w:hAnsi="宋体" w:cs="宋体"/>
                <w:sz w:val="22"/>
              </w:rPr>
            </w:pPr>
            <w:r>
              <w:rPr>
                <w:rFonts w:hint="eastAsia" w:ascii="宋体" w:hAnsi="宋体" w:cs="宋体"/>
                <w:sz w:val="22"/>
              </w:rPr>
              <w:t>技术、服务应答内容</w:t>
            </w:r>
          </w:p>
        </w:tc>
        <w:tc>
          <w:tcPr>
            <w:tcW w:w="5710" w:type="dxa"/>
            <w:vAlign w:val="center"/>
          </w:tcPr>
          <w:p>
            <w:pPr>
              <w:tabs>
                <w:tab w:val="left" w:pos="1260"/>
                <w:tab w:val="left" w:pos="1620"/>
              </w:tabs>
              <w:adjustRightInd w:val="0"/>
              <w:snapToGrid w:val="0"/>
              <w:jc w:val="left"/>
              <w:textAlignment w:val="baseline"/>
              <w:rPr>
                <w:rFonts w:ascii="宋体" w:hAnsi="宋体" w:cs="宋体"/>
                <w:sz w:val="22"/>
              </w:rPr>
            </w:pPr>
            <w:r>
              <w:rPr>
                <w:rFonts w:hint="eastAsia" w:ascii="宋体" w:hAnsi="宋体" w:cs="宋体"/>
                <w:sz w:val="22"/>
              </w:rPr>
              <w:t>满足招标文件中不允许偏离的实质性要求和条件（包括采购人要求产品（如涉及）在强制节能清单中而不采用强制节能产品投标的）；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8" w:type="dxa"/>
            <w:gridSpan w:val="3"/>
            <w:vAlign w:val="center"/>
          </w:tcPr>
          <w:p>
            <w:pPr>
              <w:tabs>
                <w:tab w:val="left" w:pos="1260"/>
                <w:tab w:val="left" w:pos="1620"/>
              </w:tabs>
              <w:adjustRightInd w:val="0"/>
              <w:snapToGrid w:val="0"/>
              <w:jc w:val="center"/>
              <w:textAlignment w:val="baseline"/>
              <w:rPr>
                <w:rFonts w:ascii="宋体" w:hAnsi="宋体" w:cs="宋体"/>
                <w:sz w:val="22"/>
              </w:rPr>
            </w:pPr>
            <w:r>
              <w:rPr>
                <w:rFonts w:hint="eastAsia" w:ascii="宋体" w:hAnsi="宋体" w:cs="宋体"/>
                <w:sz w:val="22"/>
              </w:rPr>
              <w:t>备注：以上各项有1项不合格，评审不予通过，作为未实质性响应招标文件。</w:t>
            </w:r>
          </w:p>
        </w:tc>
      </w:tr>
    </w:tbl>
    <w:p>
      <w:pPr>
        <w:pStyle w:val="86"/>
        <w:ind w:firstLine="0" w:firstLineChars="0"/>
      </w:pPr>
    </w:p>
    <w:p>
      <w:pPr>
        <w:spacing w:line="360" w:lineRule="auto"/>
        <w:ind w:firstLine="482" w:firstLineChars="200"/>
        <w:rPr>
          <w:rFonts w:ascii="宋体" w:hAnsi="宋体" w:cs="宋体"/>
          <w:sz w:val="24"/>
        </w:rPr>
      </w:pPr>
      <w:r>
        <w:rPr>
          <w:rFonts w:hint="eastAsia" w:ascii="宋体" w:hAnsi="宋体" w:cs="宋体"/>
          <w:b/>
          <w:bCs/>
          <w:sz w:val="24"/>
        </w:rPr>
        <w:t>（3）</w:t>
      </w:r>
      <w:r>
        <w:rPr>
          <w:rFonts w:hint="eastAsia" w:ascii="宋体" w:hAnsi="宋体" w:cs="宋体"/>
          <w:sz w:val="24"/>
        </w:rPr>
        <w:t>其他情形</w:t>
      </w:r>
    </w:p>
    <w:p>
      <w:pPr>
        <w:spacing w:line="360" w:lineRule="auto"/>
        <w:ind w:firstLine="482" w:firstLineChars="200"/>
        <w:rPr>
          <w:rFonts w:ascii="宋体" w:hAnsi="宋体" w:cs="宋体"/>
          <w:sz w:val="24"/>
        </w:rPr>
      </w:pPr>
      <w:r>
        <w:rPr>
          <w:rFonts w:hint="eastAsia" w:ascii="宋体" w:hAnsi="宋体" w:cs="宋体"/>
          <w:b/>
          <w:bCs/>
          <w:sz w:val="24"/>
        </w:rPr>
        <w:fldChar w:fldCharType="begin"/>
      </w:r>
      <w:r>
        <w:rPr>
          <w:rFonts w:hint="eastAsia" w:ascii="宋体" w:hAnsi="宋体" w:cs="宋体"/>
          <w:b/>
          <w:bCs/>
          <w:sz w:val="24"/>
        </w:rPr>
        <w:instrText xml:space="preserve"> = 1 \* GB3 </w:instrText>
      </w:r>
      <w:r>
        <w:rPr>
          <w:rFonts w:hint="eastAsia" w:ascii="宋体" w:hAnsi="宋体" w:cs="宋体"/>
          <w:b/>
          <w:bCs/>
          <w:sz w:val="24"/>
        </w:rPr>
        <w:fldChar w:fldCharType="separate"/>
      </w:r>
      <w:r>
        <w:rPr>
          <w:rFonts w:hint="eastAsia" w:ascii="宋体" w:hAnsi="宋体" w:cs="宋体"/>
          <w:b/>
          <w:bCs/>
          <w:sz w:val="24"/>
        </w:rPr>
        <w:t>①</w:t>
      </w:r>
      <w:r>
        <w:rPr>
          <w:rFonts w:hint="eastAsia" w:ascii="宋体" w:hAnsi="宋体" w:cs="宋体"/>
          <w:b/>
          <w:bCs/>
          <w:sz w:val="24"/>
        </w:rPr>
        <w:fldChar w:fldCharType="end"/>
      </w:r>
      <w:r>
        <w:rPr>
          <w:rFonts w:hint="eastAsia" w:ascii="宋体" w:hAnsi="宋体" w:cs="宋体"/>
          <w:sz w:val="24"/>
        </w:rPr>
        <w:t>投标人以他人的名义投标或出现弄虚作假投标情形；</w:t>
      </w:r>
    </w:p>
    <w:p>
      <w:pPr>
        <w:spacing w:line="360" w:lineRule="auto"/>
        <w:ind w:firstLine="482" w:firstLineChars="200"/>
        <w:rPr>
          <w:rFonts w:ascii="宋体" w:hAnsi="宋体" w:cs="宋体"/>
          <w:sz w:val="24"/>
        </w:rPr>
      </w:pPr>
      <w:r>
        <w:rPr>
          <w:rFonts w:hint="eastAsia" w:ascii="宋体" w:hAnsi="宋体" w:cs="宋体"/>
          <w:b/>
          <w:bCs/>
          <w:sz w:val="24"/>
        </w:rPr>
        <w:fldChar w:fldCharType="begin"/>
      </w:r>
      <w:r>
        <w:rPr>
          <w:rFonts w:hint="eastAsia" w:ascii="宋体" w:hAnsi="宋体" w:cs="宋体"/>
          <w:b/>
          <w:bCs/>
          <w:sz w:val="24"/>
        </w:rPr>
        <w:instrText xml:space="preserve"> = 2 \* GB3 </w:instrText>
      </w:r>
      <w:r>
        <w:rPr>
          <w:rFonts w:hint="eastAsia" w:ascii="宋体" w:hAnsi="宋体" w:cs="宋体"/>
          <w:b/>
          <w:bCs/>
          <w:sz w:val="24"/>
        </w:rPr>
        <w:fldChar w:fldCharType="separate"/>
      </w:r>
      <w:r>
        <w:rPr>
          <w:rFonts w:hint="eastAsia" w:ascii="宋体" w:hAnsi="宋体" w:cs="宋体"/>
          <w:b/>
          <w:bCs/>
          <w:sz w:val="24"/>
        </w:rPr>
        <w:t>②</w:t>
      </w:r>
      <w:r>
        <w:rPr>
          <w:rFonts w:hint="eastAsia" w:ascii="宋体" w:hAnsi="宋体" w:cs="宋体"/>
          <w:b/>
          <w:bCs/>
          <w:sz w:val="24"/>
        </w:rPr>
        <w:fldChar w:fldCharType="end"/>
      </w:r>
      <w:r>
        <w:rPr>
          <w:rFonts w:hint="eastAsia" w:ascii="宋体" w:hAnsi="宋体" w:cs="宋体"/>
          <w:sz w:val="24"/>
        </w:rPr>
        <w:t>法律、法规规定的其他情形。</w:t>
      </w:r>
    </w:p>
    <w:p>
      <w:pPr>
        <w:spacing w:line="360" w:lineRule="auto"/>
        <w:ind w:firstLine="482" w:firstLineChars="200"/>
        <w:rPr>
          <w:rFonts w:ascii="宋体" w:hAnsi="宋体" w:cs="宋体"/>
          <w:sz w:val="24"/>
        </w:rPr>
      </w:pPr>
      <w:r>
        <w:rPr>
          <w:rFonts w:hint="eastAsia" w:ascii="宋体" w:hAnsi="宋体" w:cs="宋体"/>
          <w:b/>
          <w:bCs/>
          <w:sz w:val="24"/>
        </w:rPr>
        <w:t>3.4</w:t>
      </w:r>
      <w:r>
        <w:rPr>
          <w:rFonts w:hint="eastAsia" w:ascii="宋体" w:hAnsi="宋体" w:cs="宋体"/>
          <w:sz w:val="24"/>
        </w:rPr>
        <w:t>比较与评价。按招标文件中规定的评标方法和标准，对未作无效投标处理的投标文件进行技术、服务、商务等方面评估，综合比较与评价。</w:t>
      </w:r>
    </w:p>
    <w:p>
      <w:pPr>
        <w:spacing w:line="360" w:lineRule="auto"/>
        <w:ind w:firstLine="482" w:firstLineChars="200"/>
        <w:rPr>
          <w:rFonts w:ascii="宋体" w:hAnsi="宋体" w:cs="宋体"/>
          <w:sz w:val="24"/>
        </w:rPr>
      </w:pPr>
      <w:r>
        <w:rPr>
          <w:rFonts w:hint="eastAsia" w:ascii="宋体" w:hAnsi="宋体" w:cs="宋体"/>
          <w:b/>
          <w:bCs/>
          <w:sz w:val="24"/>
        </w:rPr>
        <w:t>3.5</w:t>
      </w:r>
      <w:r>
        <w:rPr>
          <w:rFonts w:hint="eastAsia" w:ascii="宋体" w:hAnsi="宋体" w:cs="宋体"/>
          <w:sz w:val="24"/>
        </w:rPr>
        <w:t>复核。评分汇总结束后，评标委员会应当进行复核，特别要对拟推荐为中标候选投标人的、报价最低的、投标文件被认定为无效的进行重点复核。</w:t>
      </w:r>
    </w:p>
    <w:p>
      <w:pPr>
        <w:spacing w:line="360" w:lineRule="auto"/>
        <w:ind w:firstLine="482" w:firstLineChars="200"/>
        <w:rPr>
          <w:rFonts w:ascii="宋体" w:hAnsi="宋体" w:cs="宋体"/>
          <w:sz w:val="24"/>
        </w:rPr>
      </w:pPr>
      <w:r>
        <w:rPr>
          <w:rFonts w:hint="eastAsia" w:ascii="宋体" w:hAnsi="宋体" w:cs="宋体"/>
          <w:b/>
          <w:bCs/>
          <w:sz w:val="24"/>
        </w:rPr>
        <w:t>3.6</w:t>
      </w:r>
      <w:r>
        <w:rPr>
          <w:rFonts w:hint="eastAsia" w:ascii="宋体" w:hAnsi="宋体" w:cs="宋体"/>
          <w:sz w:val="24"/>
        </w:rPr>
        <w:t>推荐中标候选投标人。中标候选投标人应当排序。采用最低评标价法的，评标结果按投标报价由低到高顺序排列；投标报价相同的并列，投标文件满足招标文件全部实质性要求且投标报价最低的投标人为中标候选投标人；报价相同且满足招标文件全部实质性要求的并列，由采购人自主采取公平、择优的方式选择中标投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投标人；报价相同且满足招标文件全部实质性要求且按照评审因素的量化指标评审得分也相同的并列，由采购人自主采取公平、择优的方式选择中标投标人。</w:t>
      </w:r>
    </w:p>
    <w:p>
      <w:pPr>
        <w:spacing w:line="360" w:lineRule="auto"/>
        <w:ind w:firstLine="480" w:firstLineChars="200"/>
        <w:rPr>
          <w:rFonts w:ascii="宋体" w:hAnsi="宋体" w:cs="宋体"/>
          <w:sz w:val="24"/>
        </w:rPr>
      </w:pPr>
      <w:r>
        <w:rPr>
          <w:rFonts w:hint="eastAsia" w:ascii="宋体" w:hAnsi="宋体" w:cs="宋体"/>
          <w:sz w:val="24"/>
        </w:rPr>
        <w:t>评标委员会可推荐的中标候选投标人数量不能满足招标文件规定的数量的，只有在获得采购人书面同意后，可以根据实际情况推荐中标候选投标人。未获得采购人的书面同意,评标委员会不得在招标文件规定之外推荐中标候选投标人，否则，采购人可以不予认可。</w:t>
      </w:r>
    </w:p>
    <w:p>
      <w:pPr>
        <w:spacing w:line="360" w:lineRule="auto"/>
        <w:ind w:firstLine="482" w:firstLineChars="200"/>
        <w:rPr>
          <w:rFonts w:ascii="宋体" w:hAnsi="宋体" w:cs="宋体"/>
          <w:sz w:val="24"/>
        </w:rPr>
      </w:pPr>
      <w:r>
        <w:rPr>
          <w:rFonts w:hint="eastAsia" w:ascii="宋体" w:hAnsi="宋体" w:cs="宋体"/>
          <w:b/>
          <w:bCs/>
          <w:sz w:val="24"/>
        </w:rPr>
        <w:t>3.7</w:t>
      </w:r>
      <w:r>
        <w:rPr>
          <w:rFonts w:hint="eastAsia" w:ascii="宋体" w:hAnsi="宋体" w:cs="宋体"/>
          <w:sz w:val="24"/>
        </w:rPr>
        <w:t>出具评标报告。评标委员会根据全体评标成员签字的原始评标记录和评标结果编写评标报告。评标报告应当包括以下内容：</w:t>
      </w:r>
    </w:p>
    <w:p>
      <w:pPr>
        <w:spacing w:line="360" w:lineRule="auto"/>
        <w:ind w:firstLine="482" w:firstLineChars="200"/>
        <w:rPr>
          <w:rFonts w:ascii="宋体" w:hAnsi="宋体" w:cs="宋体"/>
          <w:sz w:val="24"/>
        </w:rPr>
      </w:pPr>
      <w:r>
        <w:rPr>
          <w:rFonts w:hint="eastAsia" w:ascii="宋体" w:hAnsi="宋体" w:cs="宋体"/>
          <w:b/>
          <w:bCs/>
          <w:sz w:val="24"/>
        </w:rPr>
        <w:t>（1）</w:t>
      </w:r>
      <w:r>
        <w:rPr>
          <w:rFonts w:hint="eastAsia" w:ascii="宋体" w:hAnsi="宋体" w:cs="宋体"/>
          <w:sz w:val="24"/>
        </w:rPr>
        <w:t>招标公告刊登的媒体名称、开标日期和地点；</w:t>
      </w:r>
    </w:p>
    <w:p>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sz w:val="24"/>
        </w:rPr>
        <w:t>投标人名单和评标委员会成员名单；</w:t>
      </w:r>
    </w:p>
    <w:p>
      <w:pPr>
        <w:spacing w:line="360" w:lineRule="auto"/>
        <w:ind w:firstLine="482" w:firstLineChars="200"/>
        <w:rPr>
          <w:rFonts w:ascii="宋体" w:hAnsi="宋体" w:cs="宋体"/>
          <w:sz w:val="24"/>
        </w:rPr>
      </w:pPr>
      <w:r>
        <w:rPr>
          <w:rFonts w:hint="eastAsia" w:ascii="宋体" w:hAnsi="宋体" w:cs="宋体"/>
          <w:b/>
          <w:bCs/>
          <w:sz w:val="24"/>
        </w:rPr>
        <w:t>（3）</w:t>
      </w:r>
      <w:r>
        <w:rPr>
          <w:rFonts w:hint="eastAsia" w:ascii="宋体" w:hAnsi="宋体" w:cs="宋体"/>
          <w:sz w:val="24"/>
        </w:rPr>
        <w:t>评标方法和标准；</w:t>
      </w:r>
    </w:p>
    <w:p>
      <w:pPr>
        <w:spacing w:line="360" w:lineRule="auto"/>
        <w:ind w:firstLine="482" w:firstLineChars="200"/>
        <w:rPr>
          <w:rFonts w:ascii="宋体" w:hAnsi="宋体" w:cs="宋体"/>
          <w:sz w:val="24"/>
        </w:rPr>
      </w:pPr>
      <w:r>
        <w:rPr>
          <w:rFonts w:hint="eastAsia" w:ascii="宋体" w:hAnsi="宋体" w:cs="宋体"/>
          <w:b/>
          <w:bCs/>
          <w:sz w:val="24"/>
        </w:rPr>
        <w:t>（4）</w:t>
      </w:r>
      <w:r>
        <w:rPr>
          <w:rFonts w:hint="eastAsia" w:ascii="宋体" w:hAnsi="宋体" w:cs="宋体"/>
          <w:sz w:val="24"/>
        </w:rPr>
        <w:t>开标记录和评标情况及说明，包括无效投标人名单及原因；</w:t>
      </w:r>
    </w:p>
    <w:p>
      <w:pPr>
        <w:spacing w:line="360" w:lineRule="auto"/>
        <w:ind w:firstLine="482" w:firstLineChars="200"/>
        <w:rPr>
          <w:rFonts w:ascii="宋体" w:hAnsi="宋体" w:cs="宋体"/>
          <w:sz w:val="24"/>
        </w:rPr>
      </w:pPr>
      <w:r>
        <w:rPr>
          <w:rFonts w:hint="eastAsia" w:ascii="宋体" w:hAnsi="宋体" w:cs="宋体"/>
          <w:b/>
          <w:bCs/>
          <w:sz w:val="24"/>
        </w:rPr>
        <w:t>（5）</w:t>
      </w:r>
      <w:r>
        <w:rPr>
          <w:rFonts w:hint="eastAsia" w:ascii="宋体" w:hAnsi="宋体" w:cs="宋体"/>
          <w:sz w:val="24"/>
        </w:rPr>
        <w:t>评标结果，确定的中标候选人名单或者经采购人委托直接确定的中标人；</w:t>
      </w:r>
    </w:p>
    <w:p>
      <w:pPr>
        <w:spacing w:line="360" w:lineRule="auto"/>
        <w:ind w:firstLine="482" w:firstLineChars="200"/>
        <w:rPr>
          <w:rFonts w:ascii="宋体" w:hAnsi="宋体" w:cs="宋体"/>
          <w:sz w:val="24"/>
        </w:rPr>
      </w:pPr>
      <w:r>
        <w:rPr>
          <w:rFonts w:hint="eastAsia" w:ascii="宋体" w:hAnsi="宋体" w:cs="宋体"/>
          <w:b/>
          <w:bCs/>
          <w:sz w:val="24"/>
        </w:rPr>
        <w:t>（6）</w:t>
      </w:r>
      <w:r>
        <w:rPr>
          <w:rFonts w:hint="eastAsia" w:ascii="宋体" w:hAnsi="宋体" w:cs="宋体"/>
          <w:sz w:val="24"/>
        </w:rPr>
        <w:t>其他需要说明的情况，包括评标过程中投标人根据评标委员会要求进行的澄清、说明或者补正，评标委员会成员的更换等；</w:t>
      </w:r>
    </w:p>
    <w:p>
      <w:pPr>
        <w:spacing w:line="360" w:lineRule="auto"/>
        <w:ind w:firstLine="482" w:firstLineChars="200"/>
        <w:rPr>
          <w:rFonts w:ascii="宋体" w:hAnsi="宋体" w:cs="宋体"/>
          <w:sz w:val="24"/>
        </w:rPr>
      </w:pPr>
      <w:r>
        <w:rPr>
          <w:rFonts w:hint="eastAsia" w:ascii="宋体" w:hAnsi="宋体" w:cs="宋体"/>
          <w:b/>
          <w:bCs/>
          <w:sz w:val="24"/>
        </w:rPr>
        <w:t>（7）</w:t>
      </w:r>
      <w:r>
        <w:rPr>
          <w:rFonts w:hint="eastAsia" w:ascii="宋体" w:hAnsi="宋体" w:cs="宋体"/>
          <w:sz w:val="24"/>
        </w:rPr>
        <w:t>报价最高的投标人为中标候选人的，评标委员会应当对其报价的合理性予以特别说明。</w:t>
      </w:r>
    </w:p>
    <w:p>
      <w:pPr>
        <w:spacing w:line="360" w:lineRule="auto"/>
        <w:ind w:firstLine="480" w:firstLineChars="200"/>
        <w:rPr>
          <w:rFonts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2" w:firstLineChars="200"/>
        <w:rPr>
          <w:rFonts w:ascii="宋体" w:hAnsi="宋体" w:cs="宋体"/>
          <w:sz w:val="24"/>
        </w:rPr>
      </w:pPr>
      <w:r>
        <w:rPr>
          <w:rFonts w:hint="eastAsia" w:ascii="宋体" w:hAnsi="宋体" w:cs="宋体"/>
          <w:b/>
          <w:bCs/>
          <w:sz w:val="24"/>
        </w:rPr>
        <w:t>3.8</w:t>
      </w:r>
      <w:r>
        <w:rPr>
          <w:rFonts w:hint="eastAsia" w:ascii="宋体" w:hAnsi="宋体" w:cs="宋体"/>
          <w:sz w:val="24"/>
        </w:rPr>
        <w:t>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2" w:firstLineChars="200"/>
        <w:outlineLvl w:val="2"/>
        <w:rPr>
          <w:rFonts w:ascii="宋体" w:hAnsi="宋体" w:cs="宋体"/>
          <w:sz w:val="24"/>
        </w:rPr>
      </w:pPr>
      <w:r>
        <w:rPr>
          <w:rFonts w:hint="eastAsia" w:ascii="宋体" w:hAnsi="宋体" w:cs="宋体"/>
          <w:b/>
          <w:bCs/>
          <w:sz w:val="24"/>
        </w:rPr>
        <w:t>3.9</w:t>
      </w:r>
      <w:r>
        <w:rPr>
          <w:rFonts w:hint="eastAsia" w:ascii="宋体" w:hAnsi="宋体" w:cs="宋体"/>
          <w:sz w:val="24"/>
        </w:rPr>
        <w:t>投标人应当书面澄清、说明或者更正。</w:t>
      </w:r>
    </w:p>
    <w:p>
      <w:pPr>
        <w:spacing w:line="360" w:lineRule="auto"/>
        <w:ind w:firstLine="482" w:firstLineChars="200"/>
        <w:rPr>
          <w:rFonts w:ascii="宋体" w:hAnsi="宋体" w:cs="宋体"/>
          <w:sz w:val="24"/>
        </w:rPr>
      </w:pPr>
      <w:r>
        <w:rPr>
          <w:rFonts w:hint="eastAsia" w:ascii="宋体" w:hAnsi="宋体" w:cs="宋体"/>
          <w:b/>
          <w:bCs/>
          <w:sz w:val="24"/>
        </w:rPr>
        <w:t>3.9.1</w:t>
      </w:r>
      <w:r>
        <w:rPr>
          <w:rFonts w:hint="eastAsia" w:ascii="宋体" w:hAnsi="宋体" w:cs="宋体"/>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pacing w:line="360" w:lineRule="auto"/>
        <w:ind w:firstLine="482" w:firstLineChars="200"/>
        <w:rPr>
          <w:rFonts w:ascii="宋体" w:hAnsi="宋体" w:cs="宋体"/>
          <w:sz w:val="24"/>
        </w:rPr>
      </w:pPr>
      <w:r>
        <w:rPr>
          <w:rFonts w:hint="eastAsia" w:ascii="宋体" w:hAnsi="宋体" w:cs="宋体"/>
          <w:b/>
          <w:bCs/>
          <w:sz w:val="24"/>
        </w:rPr>
        <w:t>3.9.2</w:t>
      </w:r>
      <w:r>
        <w:rPr>
          <w:rFonts w:hint="eastAsia" w:ascii="宋体" w:hAnsi="宋体" w:cs="宋体"/>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spacing w:line="360" w:lineRule="auto"/>
        <w:ind w:firstLine="482" w:firstLineChars="200"/>
        <w:rPr>
          <w:rFonts w:ascii="宋体" w:hAnsi="宋体" w:cs="宋体"/>
          <w:sz w:val="24"/>
        </w:rPr>
      </w:pPr>
      <w:r>
        <w:rPr>
          <w:rFonts w:hint="eastAsia" w:ascii="宋体" w:hAnsi="宋体" w:cs="宋体"/>
          <w:b/>
          <w:bCs/>
          <w:sz w:val="24"/>
        </w:rPr>
        <w:t>3.9.3</w:t>
      </w:r>
      <w:r>
        <w:rPr>
          <w:rFonts w:hint="eastAsia" w:ascii="宋体" w:hAnsi="宋体" w:cs="宋体"/>
          <w:sz w:val="24"/>
        </w:rPr>
        <w:t>评标委员会要求投标人澄清、说明或者更正，不得超出招标文件的范围，不得以此让投标人实质改变投标文件的内容，不得影响投标人公平竞争。本项目下列内容不得澄清：</w:t>
      </w:r>
    </w:p>
    <w:p>
      <w:pPr>
        <w:spacing w:line="360" w:lineRule="auto"/>
        <w:ind w:firstLine="482" w:firstLineChars="200"/>
        <w:rPr>
          <w:rFonts w:ascii="宋体" w:hAnsi="宋体" w:cs="宋体"/>
          <w:sz w:val="24"/>
        </w:rPr>
      </w:pPr>
      <w:r>
        <w:rPr>
          <w:rFonts w:hint="eastAsia" w:ascii="宋体" w:hAnsi="宋体" w:cs="宋体"/>
          <w:b/>
          <w:bCs/>
          <w:sz w:val="24"/>
        </w:rPr>
        <w:t>（1）</w:t>
      </w:r>
      <w:r>
        <w:rPr>
          <w:rFonts w:hint="eastAsia" w:ascii="宋体" w:hAnsi="宋体" w:cs="宋体"/>
          <w:sz w:val="24"/>
        </w:rPr>
        <w:t>按财政部规定应当在评标时不予承认的投标文件内容事项；</w:t>
      </w:r>
    </w:p>
    <w:p>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sz w:val="24"/>
        </w:rPr>
        <w:t>投标文件中已经明确的内容事项；</w:t>
      </w:r>
    </w:p>
    <w:p>
      <w:pPr>
        <w:spacing w:line="360" w:lineRule="auto"/>
        <w:ind w:firstLine="482" w:firstLineChars="200"/>
        <w:rPr>
          <w:rFonts w:ascii="宋体" w:hAnsi="宋体" w:cs="宋体"/>
          <w:sz w:val="24"/>
        </w:rPr>
      </w:pPr>
      <w:r>
        <w:rPr>
          <w:rFonts w:hint="eastAsia" w:ascii="宋体" w:hAnsi="宋体" w:cs="宋体"/>
          <w:b/>
          <w:bCs/>
          <w:sz w:val="24"/>
        </w:rPr>
        <w:t>（3）</w:t>
      </w:r>
      <w:r>
        <w:rPr>
          <w:rFonts w:hint="eastAsia" w:ascii="宋体" w:hAnsi="宋体" w:cs="宋体"/>
          <w:sz w:val="24"/>
        </w:rPr>
        <w:t>投标文件未提供的材料。</w:t>
      </w:r>
    </w:p>
    <w:p>
      <w:pPr>
        <w:spacing w:line="360" w:lineRule="auto"/>
        <w:ind w:firstLine="482" w:firstLineChars="200"/>
        <w:rPr>
          <w:rFonts w:ascii="宋体" w:hAnsi="宋体" w:cs="宋体"/>
          <w:sz w:val="24"/>
        </w:rPr>
      </w:pPr>
      <w:r>
        <w:rPr>
          <w:rFonts w:hint="eastAsia" w:ascii="宋体" w:hAnsi="宋体" w:cs="宋体"/>
          <w:b/>
          <w:bCs/>
          <w:sz w:val="24"/>
        </w:rPr>
        <w:t xml:space="preserve">3.9.4 </w:t>
      </w:r>
      <w:r>
        <w:rPr>
          <w:rFonts w:hint="eastAsia" w:ascii="宋体" w:hAnsi="宋体" w:cs="宋体"/>
          <w:sz w:val="24"/>
        </w:rPr>
        <w:t>本项目采购过程中，投标文件出现下列情况的，不需要投标人澄清、说明或者更正，按照以下原则处理：</w:t>
      </w:r>
    </w:p>
    <w:p>
      <w:pPr>
        <w:spacing w:line="360" w:lineRule="auto"/>
        <w:ind w:firstLine="482" w:firstLineChars="200"/>
        <w:rPr>
          <w:rFonts w:ascii="宋体" w:hAnsi="宋体" w:cs="宋体"/>
          <w:sz w:val="24"/>
        </w:rPr>
      </w:pPr>
      <w:r>
        <w:rPr>
          <w:rFonts w:hint="eastAsia" w:ascii="宋体" w:hAnsi="宋体" w:cs="宋体"/>
          <w:b/>
          <w:bCs/>
          <w:sz w:val="24"/>
        </w:rPr>
        <w:t>（1）</w:t>
      </w:r>
      <w:r>
        <w:rPr>
          <w:rFonts w:hint="eastAsia" w:ascii="宋体" w:hAnsi="宋体" w:cs="宋体"/>
          <w:sz w:val="24"/>
        </w:rPr>
        <w:t>投标文件中开标一览表（报价表）内容与投标文件中相应内容不一致的，以开标一览表（报价表）为准；</w:t>
      </w:r>
    </w:p>
    <w:p>
      <w:pPr>
        <w:spacing w:line="360" w:lineRule="auto"/>
        <w:ind w:firstLine="482" w:firstLineChars="200"/>
        <w:outlineLvl w:val="3"/>
        <w:rPr>
          <w:rFonts w:ascii="宋体" w:hAnsi="宋体" w:cs="宋体"/>
          <w:sz w:val="24"/>
        </w:rPr>
      </w:pPr>
      <w:r>
        <w:rPr>
          <w:rFonts w:hint="eastAsia" w:ascii="宋体" w:hAnsi="宋体" w:cs="宋体"/>
          <w:b/>
          <w:bCs/>
          <w:sz w:val="24"/>
        </w:rPr>
        <w:t>（2）</w:t>
      </w:r>
      <w:r>
        <w:rPr>
          <w:rFonts w:hint="eastAsia" w:ascii="宋体" w:hAnsi="宋体" w:cs="宋体"/>
          <w:sz w:val="24"/>
        </w:rPr>
        <w:t>大写金额和小写金额不一致的，以大写金额为准；</w:t>
      </w:r>
    </w:p>
    <w:p>
      <w:pPr>
        <w:spacing w:line="360" w:lineRule="auto"/>
        <w:ind w:firstLine="482" w:firstLineChars="200"/>
        <w:rPr>
          <w:rFonts w:ascii="宋体" w:hAnsi="宋体" w:cs="宋体"/>
          <w:sz w:val="24"/>
        </w:rPr>
      </w:pPr>
      <w:r>
        <w:rPr>
          <w:rFonts w:hint="eastAsia" w:ascii="宋体" w:hAnsi="宋体" w:cs="宋体"/>
          <w:b/>
          <w:bCs/>
          <w:sz w:val="24"/>
        </w:rPr>
        <w:t>（3）</w:t>
      </w:r>
      <w:r>
        <w:rPr>
          <w:rFonts w:hint="eastAsia" w:ascii="宋体" w:hAnsi="宋体" w:cs="宋体"/>
          <w:sz w:val="24"/>
        </w:rPr>
        <w:t>单价金额小数点或者百分比有明显错位的，以开标一览表的总价为准，并修改单价；</w:t>
      </w:r>
    </w:p>
    <w:p>
      <w:pPr>
        <w:spacing w:line="360" w:lineRule="auto"/>
        <w:ind w:firstLine="482" w:firstLineChars="200"/>
        <w:rPr>
          <w:rFonts w:ascii="宋体" w:hAnsi="宋体" w:cs="宋体"/>
          <w:sz w:val="24"/>
        </w:rPr>
      </w:pPr>
      <w:r>
        <w:rPr>
          <w:rFonts w:hint="eastAsia" w:ascii="宋体" w:hAnsi="宋体" w:cs="宋体"/>
          <w:b/>
          <w:bCs/>
          <w:sz w:val="24"/>
        </w:rPr>
        <w:t>（4）</w:t>
      </w:r>
      <w:r>
        <w:rPr>
          <w:rFonts w:hint="eastAsia" w:ascii="宋体" w:hAnsi="宋体" w:cs="宋体"/>
          <w:sz w:val="24"/>
        </w:rPr>
        <w:t>总价金额与按单价汇总金额不一致的，以单价金额计算结果为准。</w:t>
      </w:r>
    </w:p>
    <w:p>
      <w:pPr>
        <w:spacing w:line="360" w:lineRule="auto"/>
        <w:ind w:firstLine="482" w:firstLineChars="200"/>
        <w:rPr>
          <w:rFonts w:ascii="宋体" w:hAnsi="宋体" w:cs="宋体"/>
          <w:sz w:val="24"/>
        </w:rPr>
      </w:pPr>
      <w:r>
        <w:rPr>
          <w:rFonts w:hint="eastAsia" w:ascii="宋体" w:hAnsi="宋体" w:cs="宋体"/>
          <w:b/>
          <w:bCs/>
          <w:sz w:val="24"/>
        </w:rPr>
        <w:t>（5）</w:t>
      </w:r>
      <w:r>
        <w:rPr>
          <w:rFonts w:hint="eastAsia" w:ascii="宋体" w:hAnsi="宋体" w:cs="宋体"/>
          <w:sz w:val="24"/>
        </w:rPr>
        <w:t>对不同语言文本投标文件的解释发生异议的，以中文文本为准。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1）-（4）同时出现两种以上不一致的，按照前款规定的顺序修正。修正后的报价采用书面形式由投标人确认，并加盖公章，或者由法定代表人或其授权的代表签字后产生约束力，投标人不确认或修正后的价格超过采购预算或者项目最高限价的，其投标无效。</w:t>
      </w:r>
    </w:p>
    <w:p>
      <w:pPr>
        <w:spacing w:line="360" w:lineRule="auto"/>
        <w:ind w:firstLine="480" w:firstLineChars="200"/>
        <w:rPr>
          <w:rFonts w:ascii="宋体" w:hAnsi="宋体" w:cs="宋体"/>
          <w:bCs/>
          <w:sz w:val="24"/>
        </w:rPr>
      </w:pPr>
      <w:r>
        <w:rPr>
          <w:rFonts w:hint="eastAsia" w:ascii="宋体" w:hAnsi="宋体" w:cs="宋体"/>
          <w:bCs/>
          <w:sz w:val="24"/>
        </w:rPr>
        <w:t>注：评标委员会当积极履行澄清、说明或者更正的职责，不得滥用权力。投标人的投标文件可以要求澄清、说明或者更正的，不得未经澄清、说明或者更正而直接作无效投标处理。</w:t>
      </w:r>
    </w:p>
    <w:p>
      <w:pPr>
        <w:pStyle w:val="98"/>
        <w:tabs>
          <w:tab w:val="left" w:pos="700"/>
        </w:tabs>
        <w:spacing w:line="360" w:lineRule="auto"/>
        <w:ind w:firstLine="482" w:firstLineChars="200"/>
        <w:jc w:val="both"/>
      </w:pPr>
      <w:r>
        <w:rPr>
          <w:rFonts w:hint="eastAsia"/>
          <w:b/>
          <w:bCs/>
        </w:rPr>
        <w:t xml:space="preserve">3.10 </w:t>
      </w:r>
      <w:r>
        <w:rPr>
          <w:rFonts w:hint="eastAsia"/>
        </w:rPr>
        <w:t>低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98"/>
        <w:tabs>
          <w:tab w:val="left" w:pos="700"/>
        </w:tabs>
        <w:spacing w:line="360" w:lineRule="auto"/>
        <w:ind w:firstLine="482" w:firstLineChars="200"/>
        <w:jc w:val="both"/>
        <w:outlineLvl w:val="2"/>
      </w:pPr>
      <w:r>
        <w:rPr>
          <w:rFonts w:hint="eastAsia"/>
          <w:b/>
          <w:bCs/>
        </w:rPr>
        <w:t>3.11</w:t>
      </w:r>
      <w:r>
        <w:rPr>
          <w:rFonts w:hint="eastAsia"/>
        </w:rPr>
        <w:t>招标采购单位现场复核。</w:t>
      </w:r>
    </w:p>
    <w:p>
      <w:pPr>
        <w:spacing w:line="360" w:lineRule="auto"/>
        <w:ind w:firstLine="482" w:firstLineChars="200"/>
        <w:rPr>
          <w:rFonts w:ascii="宋体" w:hAnsi="宋体" w:cs="宋体"/>
          <w:kern w:val="0"/>
          <w:sz w:val="24"/>
        </w:rPr>
      </w:pPr>
      <w:r>
        <w:rPr>
          <w:rFonts w:hint="eastAsia" w:ascii="宋体" w:hAnsi="宋体" w:cs="宋体"/>
          <w:b/>
          <w:bCs/>
          <w:kern w:val="0"/>
          <w:sz w:val="24"/>
        </w:rPr>
        <w:t>3.11.1</w:t>
      </w:r>
      <w:r>
        <w:rPr>
          <w:rFonts w:hint="eastAsia" w:ascii="宋体" w:hAnsi="宋体" w:cs="宋体"/>
          <w:kern w:val="0"/>
          <w:sz w:val="24"/>
        </w:rPr>
        <w:t>评标结果汇总完成后，评标委员会拟出具评标报告前，招标采购单位应当组织2名以上的本单位工作人员，在采购现场监督人员的监督之下，依据有关的法律制度和采购文件对评标结果进行复核，出具复核报告。</w:t>
      </w:r>
    </w:p>
    <w:p>
      <w:pPr>
        <w:spacing w:line="360" w:lineRule="auto"/>
        <w:ind w:firstLine="482" w:firstLineChars="200"/>
        <w:outlineLvl w:val="3"/>
        <w:rPr>
          <w:rFonts w:ascii="宋体" w:hAnsi="宋体" w:cs="宋体"/>
          <w:kern w:val="0"/>
          <w:sz w:val="24"/>
        </w:rPr>
      </w:pPr>
      <w:r>
        <w:rPr>
          <w:rFonts w:hint="eastAsia" w:ascii="宋体" w:hAnsi="宋体" w:cs="宋体"/>
          <w:b/>
          <w:bCs/>
          <w:kern w:val="0"/>
          <w:sz w:val="24"/>
        </w:rPr>
        <w:t>3.11.2</w:t>
      </w:r>
      <w:r>
        <w:rPr>
          <w:rFonts w:hint="eastAsia" w:ascii="宋体" w:hAnsi="宋体" w:cs="宋体"/>
          <w:kern w:val="0"/>
          <w:sz w:val="24"/>
        </w:rPr>
        <w:t>除下列情形外，任何人不得修改评标结果：</w:t>
      </w:r>
    </w:p>
    <w:p>
      <w:pPr>
        <w:spacing w:line="360" w:lineRule="auto"/>
        <w:ind w:firstLine="482" w:firstLineChars="200"/>
        <w:rPr>
          <w:rFonts w:ascii="宋体" w:hAnsi="宋体" w:cs="宋体"/>
          <w:kern w:val="0"/>
          <w:sz w:val="24"/>
        </w:rPr>
      </w:pPr>
      <w:r>
        <w:rPr>
          <w:rFonts w:hint="eastAsia" w:ascii="宋体" w:hAnsi="宋体" w:cs="宋体"/>
          <w:b/>
          <w:bCs/>
          <w:kern w:val="0"/>
          <w:sz w:val="24"/>
        </w:rPr>
        <w:t>（1）</w:t>
      </w:r>
      <w:r>
        <w:rPr>
          <w:rFonts w:hint="eastAsia" w:ascii="宋体" w:hAnsi="宋体" w:cs="宋体"/>
          <w:kern w:val="0"/>
          <w:sz w:val="24"/>
        </w:rPr>
        <w:t>分值汇总计算错误的；</w:t>
      </w:r>
    </w:p>
    <w:p>
      <w:pPr>
        <w:spacing w:line="360" w:lineRule="auto"/>
        <w:ind w:firstLine="482" w:firstLineChars="200"/>
        <w:rPr>
          <w:rFonts w:ascii="宋体" w:hAnsi="宋体" w:cs="宋体"/>
          <w:kern w:val="0"/>
          <w:sz w:val="24"/>
        </w:rPr>
      </w:pPr>
      <w:r>
        <w:rPr>
          <w:rFonts w:hint="eastAsia" w:ascii="宋体" w:hAnsi="宋体" w:cs="宋体"/>
          <w:b/>
          <w:bCs/>
          <w:kern w:val="0"/>
          <w:sz w:val="24"/>
        </w:rPr>
        <w:t>（2）</w:t>
      </w:r>
      <w:r>
        <w:rPr>
          <w:rFonts w:hint="eastAsia" w:ascii="宋体" w:hAnsi="宋体" w:cs="宋体"/>
          <w:kern w:val="0"/>
          <w:sz w:val="24"/>
        </w:rPr>
        <w:t>分项评分超出评分标准范围的；</w:t>
      </w:r>
    </w:p>
    <w:p>
      <w:pPr>
        <w:spacing w:line="360" w:lineRule="auto"/>
        <w:ind w:firstLine="482" w:firstLineChars="200"/>
        <w:rPr>
          <w:rFonts w:ascii="宋体" w:hAnsi="宋体" w:cs="宋体"/>
          <w:kern w:val="0"/>
          <w:sz w:val="24"/>
        </w:rPr>
      </w:pPr>
      <w:r>
        <w:rPr>
          <w:rFonts w:hint="eastAsia" w:ascii="宋体" w:hAnsi="宋体" w:cs="宋体"/>
          <w:b/>
          <w:bCs/>
          <w:kern w:val="0"/>
          <w:sz w:val="24"/>
        </w:rPr>
        <w:t>（3）</w:t>
      </w:r>
      <w:r>
        <w:rPr>
          <w:rFonts w:hint="eastAsia" w:ascii="宋体" w:hAnsi="宋体" w:cs="宋体"/>
          <w:kern w:val="0"/>
          <w:sz w:val="24"/>
        </w:rPr>
        <w:t>评标委员会成员对客观评审因素评分不一致的；</w:t>
      </w:r>
    </w:p>
    <w:p>
      <w:pPr>
        <w:spacing w:line="360" w:lineRule="auto"/>
        <w:ind w:firstLine="482" w:firstLineChars="200"/>
        <w:rPr>
          <w:rFonts w:ascii="宋体" w:hAnsi="宋体" w:cs="宋体"/>
          <w:kern w:val="0"/>
          <w:sz w:val="24"/>
        </w:rPr>
      </w:pPr>
      <w:r>
        <w:rPr>
          <w:rFonts w:hint="eastAsia" w:ascii="宋体" w:hAnsi="宋体" w:cs="宋体"/>
          <w:b/>
          <w:bCs/>
          <w:kern w:val="0"/>
          <w:sz w:val="24"/>
        </w:rPr>
        <w:t>（4）</w:t>
      </w:r>
      <w:r>
        <w:rPr>
          <w:rFonts w:hint="eastAsia" w:ascii="宋体" w:hAnsi="宋体" w:cs="宋体"/>
          <w:kern w:val="0"/>
          <w:sz w:val="24"/>
        </w:rPr>
        <w:t>经评标委员会认定评分畸高、畸低的。</w:t>
      </w:r>
    </w:p>
    <w:p>
      <w:pPr>
        <w:spacing w:line="360" w:lineRule="auto"/>
        <w:ind w:firstLine="480" w:firstLineChars="200"/>
        <w:rPr>
          <w:rFonts w:ascii="宋体" w:hAnsi="宋体" w:cs="宋体"/>
          <w:kern w:val="0"/>
          <w:sz w:val="24"/>
        </w:rPr>
      </w:pPr>
      <w:r>
        <w:rPr>
          <w:rFonts w:hint="eastAsia" w:ascii="宋体" w:hAnsi="宋体" w:cs="宋体"/>
          <w:kern w:val="0"/>
          <w:sz w:val="24"/>
        </w:rPr>
        <w:t>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2" w:firstLineChars="200"/>
        <w:outlineLvl w:val="1"/>
        <w:rPr>
          <w:rFonts w:ascii="宋体" w:hAnsi="宋体" w:cs="宋体"/>
          <w:sz w:val="24"/>
        </w:rPr>
      </w:pPr>
      <w:bookmarkStart w:id="161" w:name="_Toc10077"/>
      <w:r>
        <w:rPr>
          <w:rFonts w:hint="eastAsia" w:ascii="宋体" w:hAnsi="宋体" w:cs="宋体"/>
          <w:b/>
          <w:bCs/>
          <w:sz w:val="24"/>
        </w:rPr>
        <w:t xml:space="preserve">4. </w:t>
      </w:r>
      <w:r>
        <w:rPr>
          <w:rFonts w:hint="eastAsia" w:ascii="宋体" w:hAnsi="宋体" w:cs="宋体"/>
          <w:sz w:val="24"/>
        </w:rPr>
        <w:t>评标细则及标准</w:t>
      </w:r>
      <w:bookmarkEnd w:id="159"/>
      <w:bookmarkEnd w:id="161"/>
    </w:p>
    <w:p>
      <w:pPr>
        <w:spacing w:line="360" w:lineRule="auto"/>
        <w:ind w:firstLine="482" w:firstLineChars="200"/>
        <w:outlineLvl w:val="2"/>
        <w:rPr>
          <w:rFonts w:ascii="宋体" w:hAnsi="宋体" w:cs="宋体"/>
          <w:sz w:val="24"/>
        </w:rPr>
      </w:pPr>
      <w:r>
        <w:rPr>
          <w:rFonts w:hint="eastAsia" w:ascii="宋体" w:hAnsi="宋体" w:cs="宋体"/>
          <w:b/>
          <w:bCs/>
          <w:sz w:val="24"/>
        </w:rPr>
        <w:t>4.1</w:t>
      </w:r>
      <w:r>
        <w:rPr>
          <w:rFonts w:hint="eastAsia" w:ascii="宋体" w:hAnsi="宋体" w:cs="宋体"/>
          <w:sz w:val="24"/>
        </w:rPr>
        <w:t>本次综合评分的因素见综合评分明细表。</w:t>
      </w:r>
    </w:p>
    <w:p>
      <w:pPr>
        <w:pStyle w:val="98"/>
        <w:tabs>
          <w:tab w:val="left" w:pos="700"/>
        </w:tabs>
        <w:spacing w:line="360" w:lineRule="auto"/>
        <w:ind w:firstLine="482" w:firstLineChars="200"/>
        <w:jc w:val="both"/>
      </w:pPr>
      <w:r>
        <w:rPr>
          <w:rFonts w:hint="eastAsia"/>
          <w:b/>
          <w:bCs/>
        </w:rPr>
        <w:t xml:space="preserve">4.2 </w:t>
      </w:r>
      <w:r>
        <w:rPr>
          <w:rFonts w:hint="eastAsia"/>
        </w:rPr>
        <w:t>评标委员会成员应当对每个有效投标人的投标文件进行独立评分，加权汇总每项评分因素的得分，得出每个有效投标人的总分。</w:t>
      </w:r>
    </w:p>
    <w:p>
      <w:pPr>
        <w:pStyle w:val="13"/>
        <w:tabs>
          <w:tab w:val="left" w:pos="600"/>
        </w:tabs>
        <w:spacing w:line="360" w:lineRule="auto"/>
        <w:ind w:firstLine="482" w:firstLineChars="200"/>
        <w:outlineLvl w:val="2"/>
        <w:rPr>
          <w:rFonts w:ascii="宋体" w:hAnsi="宋体" w:eastAsia="宋体" w:cs="宋体"/>
          <w:sz w:val="24"/>
        </w:rPr>
      </w:pPr>
      <w:r>
        <w:rPr>
          <w:rFonts w:hint="eastAsia" w:ascii="宋体" w:hAnsi="宋体" w:eastAsia="宋体" w:cs="宋体"/>
          <w:b/>
          <w:bCs/>
          <w:sz w:val="24"/>
        </w:rPr>
        <w:t>4.3</w:t>
      </w:r>
      <w:r>
        <w:rPr>
          <w:rFonts w:hint="eastAsia" w:ascii="宋体" w:hAnsi="宋体" w:eastAsia="宋体" w:cs="宋体"/>
          <w:sz w:val="24"/>
        </w:rPr>
        <w:t>综合评分明细表</w:t>
      </w:r>
    </w:p>
    <w:p>
      <w:pPr>
        <w:pStyle w:val="13"/>
        <w:tabs>
          <w:tab w:val="left" w:pos="600"/>
        </w:tabs>
        <w:spacing w:line="360" w:lineRule="auto"/>
        <w:ind w:firstLine="482" w:firstLineChars="200"/>
        <w:rPr>
          <w:rFonts w:ascii="宋体" w:hAnsi="宋体" w:eastAsia="宋体" w:cs="宋体"/>
          <w:sz w:val="24"/>
        </w:rPr>
      </w:pPr>
      <w:r>
        <w:rPr>
          <w:rFonts w:hint="eastAsia" w:ascii="宋体" w:hAnsi="宋体" w:eastAsia="宋体" w:cs="宋体"/>
          <w:b/>
          <w:bCs/>
          <w:sz w:val="24"/>
        </w:rPr>
        <w:t>4.3.1</w:t>
      </w:r>
      <w:r>
        <w:rPr>
          <w:rFonts w:hint="eastAsia" w:ascii="宋体" w:hAnsi="宋体" w:eastAsia="宋体" w:cs="宋体"/>
          <w:sz w:val="24"/>
        </w:rPr>
        <w:t>综合评分明细表的制定以科学合理、降低评委会自由裁量权为原则。</w:t>
      </w:r>
    </w:p>
    <w:p>
      <w:pPr>
        <w:pStyle w:val="13"/>
        <w:tabs>
          <w:tab w:val="left" w:pos="600"/>
        </w:tabs>
        <w:spacing w:line="360" w:lineRule="auto"/>
        <w:ind w:firstLine="482" w:firstLineChars="200"/>
        <w:outlineLvl w:val="3"/>
        <w:rPr>
          <w:rFonts w:ascii="宋体" w:hAnsi="宋体" w:eastAsia="宋体" w:cs="宋体"/>
          <w:sz w:val="24"/>
        </w:rPr>
      </w:pPr>
      <w:r>
        <w:rPr>
          <w:rFonts w:hint="eastAsia" w:ascii="宋体" w:hAnsi="宋体" w:eastAsia="宋体" w:cs="宋体"/>
          <w:b/>
          <w:bCs/>
          <w:sz w:val="24"/>
        </w:rPr>
        <w:t>4.3.2</w:t>
      </w:r>
      <w:r>
        <w:rPr>
          <w:rFonts w:hint="eastAsia" w:ascii="宋体" w:hAnsi="宋体" w:eastAsia="宋体" w:cs="宋体"/>
          <w:sz w:val="24"/>
        </w:rPr>
        <w:t>综合评分明细表</w:t>
      </w:r>
      <w:bookmarkEnd w:id="160"/>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p>
      <w:pPr>
        <w:pStyle w:val="13"/>
        <w:tabs>
          <w:tab w:val="left" w:pos="600"/>
        </w:tabs>
        <w:spacing w:line="360" w:lineRule="auto"/>
        <w:ind w:firstLine="480" w:firstLineChars="200"/>
        <w:rPr>
          <w:rFonts w:ascii="宋体" w:hAnsi="宋体" w:eastAsia="宋体" w:cs="宋体"/>
          <w:sz w:val="24"/>
        </w:rPr>
      </w:pPr>
    </w:p>
    <w:tbl>
      <w:tblPr>
        <w:tblStyle w:val="35"/>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64"/>
        <w:gridCol w:w="665"/>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30" w:type="dxa"/>
            <w:vMerge w:val="restart"/>
            <w:vAlign w:val="center"/>
          </w:tcPr>
          <w:p>
            <w:pPr>
              <w:spacing w:line="280" w:lineRule="exact"/>
              <w:jc w:val="center"/>
              <w:rPr>
                <w:rFonts w:ascii="宋体" w:hAnsi="宋体" w:cs="宋体"/>
                <w:b/>
                <w:sz w:val="20"/>
                <w:szCs w:val="20"/>
              </w:rPr>
            </w:pPr>
            <w:r>
              <w:rPr>
                <w:rFonts w:hint="eastAsia" w:ascii="宋体" w:hAnsi="宋体" w:cs="宋体"/>
                <w:b/>
                <w:sz w:val="20"/>
                <w:szCs w:val="20"/>
              </w:rPr>
              <w:t>评标因素</w:t>
            </w:r>
          </w:p>
        </w:tc>
        <w:tc>
          <w:tcPr>
            <w:tcW w:w="1329" w:type="dxa"/>
            <w:gridSpan w:val="2"/>
            <w:vAlign w:val="center"/>
          </w:tcPr>
          <w:p>
            <w:pPr>
              <w:adjustRightInd w:val="0"/>
              <w:snapToGrid w:val="0"/>
              <w:spacing w:line="280" w:lineRule="exact"/>
              <w:jc w:val="center"/>
              <w:rPr>
                <w:rFonts w:ascii="宋体" w:hAnsi="宋体" w:cs="宋体"/>
                <w:b/>
                <w:sz w:val="20"/>
                <w:szCs w:val="20"/>
              </w:rPr>
            </w:pPr>
            <w:r>
              <w:rPr>
                <w:rFonts w:hint="eastAsia" w:ascii="宋体" w:hAnsi="宋体" w:cs="宋体"/>
                <w:b/>
                <w:sz w:val="20"/>
                <w:szCs w:val="20"/>
              </w:rPr>
              <w:t>分值</w:t>
            </w:r>
          </w:p>
        </w:tc>
        <w:tc>
          <w:tcPr>
            <w:tcW w:w="7852" w:type="dxa"/>
            <w:vMerge w:val="restart"/>
            <w:vAlign w:val="center"/>
          </w:tcPr>
          <w:p>
            <w:pPr>
              <w:adjustRightInd w:val="0"/>
              <w:snapToGrid w:val="0"/>
              <w:spacing w:line="280" w:lineRule="exact"/>
              <w:jc w:val="center"/>
              <w:rPr>
                <w:rFonts w:ascii="宋体" w:hAnsi="宋体" w:cs="宋体"/>
                <w:b/>
                <w:sz w:val="20"/>
                <w:szCs w:val="20"/>
              </w:rPr>
            </w:pPr>
            <w:r>
              <w:rPr>
                <w:rFonts w:hint="eastAsia" w:ascii="宋体" w:hAnsi="宋体" w:cs="宋体"/>
                <w:b/>
                <w:sz w:val="20"/>
                <w:szCs w:val="20"/>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0" w:type="dxa"/>
            <w:vMerge w:val="continue"/>
            <w:vAlign w:val="center"/>
          </w:tcPr>
          <w:p>
            <w:pPr>
              <w:adjustRightInd w:val="0"/>
              <w:snapToGrid w:val="0"/>
              <w:spacing w:line="280" w:lineRule="exact"/>
              <w:jc w:val="center"/>
              <w:rPr>
                <w:rFonts w:ascii="宋体" w:hAnsi="宋体" w:cs="宋体"/>
                <w:sz w:val="20"/>
                <w:szCs w:val="20"/>
              </w:rPr>
            </w:pPr>
          </w:p>
        </w:tc>
        <w:tc>
          <w:tcPr>
            <w:tcW w:w="664"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b/>
                <w:sz w:val="20"/>
                <w:szCs w:val="20"/>
              </w:rPr>
              <w:t>具体指标</w:t>
            </w:r>
          </w:p>
        </w:tc>
        <w:tc>
          <w:tcPr>
            <w:tcW w:w="665" w:type="dxa"/>
            <w:vAlign w:val="center"/>
          </w:tcPr>
          <w:p>
            <w:pPr>
              <w:adjustRightInd w:val="0"/>
              <w:snapToGrid w:val="0"/>
              <w:spacing w:line="280" w:lineRule="exact"/>
              <w:jc w:val="center"/>
              <w:rPr>
                <w:rFonts w:ascii="宋体" w:hAnsi="宋体" w:cs="宋体"/>
                <w:b/>
                <w:sz w:val="20"/>
                <w:szCs w:val="20"/>
              </w:rPr>
            </w:pPr>
            <w:r>
              <w:rPr>
                <w:rFonts w:hint="eastAsia" w:ascii="宋体" w:hAnsi="宋体" w:cs="宋体"/>
                <w:b/>
                <w:sz w:val="20"/>
                <w:szCs w:val="20"/>
              </w:rPr>
              <w:t>分项</w:t>
            </w:r>
          </w:p>
          <w:p>
            <w:pPr>
              <w:adjustRightInd w:val="0"/>
              <w:snapToGrid w:val="0"/>
              <w:spacing w:line="280" w:lineRule="exact"/>
              <w:jc w:val="center"/>
              <w:rPr>
                <w:rFonts w:ascii="宋体" w:hAnsi="宋体" w:cs="宋体"/>
                <w:b/>
                <w:sz w:val="20"/>
                <w:szCs w:val="20"/>
              </w:rPr>
            </w:pPr>
            <w:r>
              <w:rPr>
                <w:rFonts w:hint="eastAsia" w:ascii="宋体" w:hAnsi="宋体" w:cs="宋体"/>
                <w:b/>
                <w:sz w:val="20"/>
                <w:szCs w:val="20"/>
              </w:rPr>
              <w:t>分值</w:t>
            </w:r>
          </w:p>
        </w:tc>
        <w:tc>
          <w:tcPr>
            <w:tcW w:w="7852" w:type="dxa"/>
            <w:vMerge w:val="continue"/>
            <w:vAlign w:val="center"/>
          </w:tcPr>
          <w:p>
            <w:pPr>
              <w:adjustRightInd w:val="0"/>
              <w:snapToGrid w:val="0"/>
              <w:spacing w:line="280" w:lineRule="exact"/>
              <w:jc w:val="center"/>
              <w:rPr>
                <w:rFonts w:ascii="宋体" w:hAnsi="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30"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lang w:val="zh-CN"/>
              </w:rPr>
              <w:t>价格</w:t>
            </w:r>
            <w:r>
              <w:rPr>
                <w:rFonts w:hint="eastAsia" w:ascii="宋体" w:hAnsi="宋体" w:cs="宋体"/>
                <w:sz w:val="20"/>
                <w:szCs w:val="20"/>
              </w:rPr>
              <w:t>部分（30分）</w:t>
            </w:r>
          </w:p>
        </w:tc>
        <w:tc>
          <w:tcPr>
            <w:tcW w:w="664"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rPr>
              <w:t>报价</w:t>
            </w:r>
          </w:p>
        </w:tc>
        <w:tc>
          <w:tcPr>
            <w:tcW w:w="665"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rPr>
              <w:t>30</w:t>
            </w:r>
          </w:p>
        </w:tc>
        <w:tc>
          <w:tcPr>
            <w:tcW w:w="7852" w:type="dxa"/>
            <w:vAlign w:val="center"/>
          </w:tcPr>
          <w:p>
            <w:pPr>
              <w:adjustRightInd w:val="0"/>
              <w:snapToGrid w:val="0"/>
              <w:spacing w:line="280" w:lineRule="exact"/>
              <w:rPr>
                <w:rFonts w:ascii="宋体" w:hAnsi="宋体" w:cs="宋体"/>
                <w:sz w:val="20"/>
                <w:szCs w:val="20"/>
                <w:lang w:val="zh-CN"/>
              </w:rPr>
            </w:pPr>
            <w:r>
              <w:rPr>
                <w:rFonts w:hint="eastAsia" w:ascii="宋体" w:hAnsi="宋体" w:cs="宋体"/>
                <w:sz w:val="20"/>
                <w:szCs w:val="20"/>
              </w:rPr>
              <w:t>1、</w:t>
            </w:r>
            <w:r>
              <w:rPr>
                <w:rFonts w:hint="eastAsia" w:ascii="宋体" w:hAnsi="宋体" w:cs="宋体"/>
                <w:sz w:val="20"/>
                <w:szCs w:val="20"/>
                <w:lang w:val="zh-CN"/>
              </w:rPr>
              <w:t>满足招标文件要求且投标价格最低的投标报价为评标基准价，其价格分为满分。其他投标人的价格分统一按照下列公式计算：投标报价得分=（评标基准价/投标报价）×30</w:t>
            </w:r>
          </w:p>
          <w:p>
            <w:pPr>
              <w:adjustRightInd w:val="0"/>
              <w:snapToGrid w:val="0"/>
              <w:spacing w:line="280" w:lineRule="exact"/>
              <w:rPr>
                <w:rFonts w:ascii="宋体" w:hAnsi="宋体" w:cs="宋体"/>
                <w:sz w:val="20"/>
                <w:szCs w:val="20"/>
                <w:lang w:val="en"/>
              </w:rPr>
            </w:pPr>
            <w:r>
              <w:rPr>
                <w:rFonts w:hint="eastAsia" w:ascii="宋体" w:hAnsi="宋体" w:cs="宋体"/>
                <w:sz w:val="20"/>
                <w:szCs w:val="20"/>
                <w:lang w:val="zh-CN"/>
              </w:rPr>
              <w:t>2、对符合规定的小型、微型企业产品的价格给予10%的扣除，用扣除后的价格参与评审，其评标价=投标报价*（1-10%）。监狱企业、残疾人福利性单位视同小型、微型企业；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30" w:type="dxa"/>
            <w:vMerge w:val="restart"/>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rPr>
              <w:t>技术部分（60分）</w:t>
            </w:r>
          </w:p>
        </w:tc>
        <w:tc>
          <w:tcPr>
            <w:tcW w:w="664"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rPr>
              <w:t>技术响应</w:t>
            </w:r>
          </w:p>
        </w:tc>
        <w:tc>
          <w:tcPr>
            <w:tcW w:w="665"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lang w:val="zh-CN"/>
              </w:rPr>
              <w:t>20分</w:t>
            </w:r>
          </w:p>
        </w:tc>
        <w:tc>
          <w:tcPr>
            <w:tcW w:w="7852" w:type="dxa"/>
          </w:tcPr>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设备选型原则为主流、成熟且稳定的产品，投标人须参照技术参数项在技术偏离表中逐项应答，根据响应情况赋分。（20 分）</w:t>
            </w:r>
          </w:p>
          <w:p>
            <w:pPr>
              <w:adjustRightInd w:val="0"/>
              <w:snapToGrid w:val="0"/>
              <w:spacing w:line="280" w:lineRule="exact"/>
              <w:rPr>
                <w:rFonts w:ascii="宋体" w:hAnsi="宋体" w:cs="宋体"/>
                <w:sz w:val="20"/>
                <w:szCs w:val="20"/>
              </w:rPr>
            </w:pPr>
            <w:r>
              <w:rPr>
                <w:rFonts w:hint="eastAsia" w:ascii="宋体" w:hAnsi="宋体" w:cs="宋体"/>
                <w:sz w:val="20"/>
                <w:szCs w:val="20"/>
                <w:lang w:val="zh-CN"/>
              </w:rPr>
              <w:t>产品技术参数清楚、明确，规格、功能一致，根据响应情况进行综合评比，完全符合、响应磋商文件要求的计</w:t>
            </w:r>
            <w:r>
              <w:rPr>
                <w:rFonts w:hint="eastAsia" w:ascii="宋体" w:hAnsi="宋体" w:cs="宋体"/>
                <w:sz w:val="20"/>
                <w:szCs w:val="20"/>
              </w:rPr>
              <w:t>2</w:t>
            </w:r>
            <w:r>
              <w:rPr>
                <w:rFonts w:hint="eastAsia" w:ascii="宋体" w:hAnsi="宋体" w:cs="宋体"/>
                <w:sz w:val="20"/>
                <w:szCs w:val="20"/>
                <w:lang w:val="zh-CN"/>
              </w:rPr>
              <w:t>0分，每负偏离一项扣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30" w:type="dxa"/>
            <w:vMerge w:val="continue"/>
            <w:vAlign w:val="center"/>
          </w:tcPr>
          <w:p>
            <w:pPr>
              <w:adjustRightInd w:val="0"/>
              <w:snapToGrid w:val="0"/>
              <w:spacing w:line="280" w:lineRule="exact"/>
              <w:jc w:val="center"/>
              <w:rPr>
                <w:rFonts w:ascii="宋体" w:hAnsi="宋体" w:cs="宋体"/>
                <w:sz w:val="20"/>
                <w:szCs w:val="20"/>
              </w:rPr>
            </w:pPr>
          </w:p>
        </w:tc>
        <w:tc>
          <w:tcPr>
            <w:tcW w:w="664"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rPr>
              <w:t>质量保障</w:t>
            </w:r>
          </w:p>
        </w:tc>
        <w:tc>
          <w:tcPr>
            <w:tcW w:w="665"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lang w:val="zh-CN"/>
              </w:rPr>
              <w:t>13分</w:t>
            </w:r>
          </w:p>
        </w:tc>
        <w:tc>
          <w:tcPr>
            <w:tcW w:w="7852" w:type="dxa"/>
            <w:vAlign w:val="center"/>
          </w:tcPr>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1、本次云桌面平台承载了本单位重要的业务数据，为了保障平台本身的安全性与健壮性，供应商或云桌面厂家具备云安全能力成熟度模型5级资质的计3分, 云安全能力成熟度模型3级及以上资质的计2分，云安全能力成熟度模型3级以下的计1分，不提供的不计分。满分3分。</w:t>
            </w:r>
          </w:p>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2、为了保证云桌面平台的稳定性与公安业务的可适用性，提供加盖厂商公章的类似现场环境测试报告（包括但不限于一机两用软件、数字驱动证书、文档安全集中存储与管理系统、执法监督系统、户籍警窗口多种外设兼容性等），视测试报告的内容、结果及技术展现情况计分，证明材料详尽、完整，充分满足得4分，证明材料存在缺漏的计1-3分，未提供不计分。</w:t>
            </w:r>
          </w:p>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3、本单位的办公业务关乎民生，为保证云桌面产品的稳定可靠性以及桌面办公的安全性，云桌面产品需要满足安全监管要求以及相关标准规范，云桌面原厂商应属于中华人民共和国国家标准《GB∕T37950-2019 信息安全技术云桌面安全技术要求》以及《GA/T1348-2017信息安全技术云桌面系统安全技术要求》标准起草单位之一，两个标准都满足标准起草单位的得4分，只满足一项标准得2分，两项都不是标准起草单位的不得分。</w:t>
            </w:r>
          </w:p>
          <w:p>
            <w:pPr>
              <w:adjustRightInd w:val="0"/>
              <w:snapToGrid w:val="0"/>
              <w:spacing w:line="280" w:lineRule="exact"/>
              <w:rPr>
                <w:rFonts w:ascii="宋体" w:hAnsi="宋体" w:cs="宋体"/>
                <w:sz w:val="20"/>
                <w:szCs w:val="20"/>
              </w:rPr>
            </w:pPr>
            <w:r>
              <w:rPr>
                <w:rFonts w:hint="eastAsia" w:ascii="宋体" w:hAnsi="宋体" w:cs="宋体"/>
                <w:sz w:val="20"/>
                <w:szCs w:val="20"/>
                <w:lang w:val="zh-CN"/>
              </w:rPr>
              <w:t>4、为满足单位信息建设等级保护安全能力要求，厂商需具备中国信息安全测评中心（国测）颁发的安全服务资质网络安全风险评估服务能力评定证书，并加盖厂商公章，提供得2分，不提供不得分。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30" w:type="dxa"/>
            <w:vMerge w:val="continue"/>
            <w:vAlign w:val="center"/>
          </w:tcPr>
          <w:p>
            <w:pPr>
              <w:adjustRightInd w:val="0"/>
              <w:snapToGrid w:val="0"/>
              <w:spacing w:line="280" w:lineRule="exact"/>
              <w:jc w:val="center"/>
              <w:rPr>
                <w:rFonts w:ascii="宋体" w:hAnsi="宋体" w:cs="宋体"/>
                <w:sz w:val="20"/>
                <w:szCs w:val="20"/>
              </w:rPr>
            </w:pPr>
          </w:p>
        </w:tc>
        <w:tc>
          <w:tcPr>
            <w:tcW w:w="664"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rPr>
              <w:t>人员配置</w:t>
            </w:r>
          </w:p>
        </w:tc>
        <w:tc>
          <w:tcPr>
            <w:tcW w:w="665"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lang w:val="zh-CN"/>
              </w:rPr>
              <w:t>13分</w:t>
            </w:r>
          </w:p>
        </w:tc>
        <w:tc>
          <w:tcPr>
            <w:tcW w:w="7852" w:type="dxa"/>
            <w:vAlign w:val="center"/>
          </w:tcPr>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1、针对本项目提供服务人员方案，人员组织安排计划，服务人员方案详细，人员组织安排计划合理可行，计3～4分；服务人员及服务设备配置方案较详细，人员组织安排计划较合理，计1～2分。</w:t>
            </w:r>
          </w:p>
          <w:p>
            <w:pPr>
              <w:adjustRightInd w:val="0"/>
              <w:snapToGrid w:val="0"/>
              <w:spacing w:line="280" w:lineRule="exact"/>
              <w:rPr>
                <w:rFonts w:ascii="宋体" w:hAnsi="宋体" w:cs="宋体"/>
                <w:sz w:val="20"/>
                <w:szCs w:val="20"/>
                <w:lang w:val="zh-CN"/>
              </w:rPr>
            </w:pPr>
            <w:r>
              <w:rPr>
                <w:rFonts w:hint="eastAsia" w:ascii="宋体" w:hAnsi="宋体" w:cs="宋体"/>
                <w:sz w:val="20"/>
                <w:szCs w:val="20"/>
              </w:rPr>
              <w:t>2、</w:t>
            </w:r>
            <w:r>
              <w:rPr>
                <w:rFonts w:hint="eastAsia" w:ascii="宋体" w:hAnsi="宋体" w:cs="宋体"/>
                <w:sz w:val="20"/>
                <w:szCs w:val="20"/>
                <w:lang w:val="zh-CN"/>
              </w:rPr>
              <w:t>项目经理1名，要求具备机电专业建造师证</w:t>
            </w:r>
            <w:r>
              <w:rPr>
                <w:rFonts w:hint="eastAsia" w:ascii="宋体" w:hAnsi="宋体" w:cs="宋体"/>
                <w:sz w:val="20"/>
                <w:szCs w:val="20"/>
              </w:rPr>
              <w:t>二</w:t>
            </w:r>
            <w:r>
              <w:rPr>
                <w:rFonts w:hint="eastAsia" w:ascii="宋体" w:hAnsi="宋体" w:cs="宋体"/>
                <w:sz w:val="20"/>
                <w:szCs w:val="20"/>
                <w:lang w:val="zh-CN"/>
              </w:rPr>
              <w:t>级及以上</w:t>
            </w:r>
            <w:r>
              <w:rPr>
                <w:rFonts w:hint="eastAsia" w:ascii="宋体" w:hAnsi="宋体" w:cs="宋体"/>
                <w:sz w:val="20"/>
                <w:szCs w:val="20"/>
              </w:rPr>
              <w:t>资格</w:t>
            </w:r>
            <w:r>
              <w:rPr>
                <w:rFonts w:hint="eastAsia" w:ascii="宋体" w:hAnsi="宋体" w:cs="宋体"/>
                <w:sz w:val="20"/>
                <w:szCs w:val="20"/>
                <w:lang w:val="zh-CN"/>
              </w:rPr>
              <w:t>，</w:t>
            </w:r>
            <w:r>
              <w:rPr>
                <w:rFonts w:hint="eastAsia" w:ascii="宋体" w:hAnsi="宋体" w:cs="宋体"/>
                <w:sz w:val="20"/>
                <w:szCs w:val="20"/>
              </w:rPr>
              <w:t>一</w:t>
            </w:r>
            <w:r>
              <w:rPr>
                <w:rFonts w:hint="eastAsia" w:ascii="宋体" w:hAnsi="宋体" w:cs="宋体"/>
                <w:sz w:val="20"/>
                <w:szCs w:val="20"/>
                <w:lang w:val="zh-CN"/>
              </w:rPr>
              <w:t>级得3分，</w:t>
            </w:r>
            <w:r>
              <w:rPr>
                <w:rFonts w:hint="eastAsia" w:ascii="宋体" w:hAnsi="宋体" w:cs="宋体"/>
                <w:sz w:val="20"/>
                <w:szCs w:val="20"/>
              </w:rPr>
              <w:t>二</w:t>
            </w:r>
            <w:r>
              <w:rPr>
                <w:rFonts w:hint="eastAsia" w:ascii="宋体" w:hAnsi="宋体" w:cs="宋体"/>
                <w:sz w:val="20"/>
                <w:szCs w:val="20"/>
                <w:lang w:val="zh-CN"/>
              </w:rPr>
              <w:t>级得2分，需同时提供投标截止日之前3个月社保缴纳证明。</w:t>
            </w:r>
          </w:p>
          <w:p>
            <w:pPr>
              <w:adjustRightInd w:val="0"/>
              <w:snapToGrid w:val="0"/>
              <w:spacing w:line="280" w:lineRule="exact"/>
              <w:rPr>
                <w:rFonts w:ascii="宋体" w:hAnsi="宋体" w:cs="宋体"/>
                <w:sz w:val="20"/>
                <w:szCs w:val="20"/>
                <w:lang w:val="zh-CN"/>
              </w:rPr>
            </w:pPr>
            <w:r>
              <w:rPr>
                <w:rFonts w:hint="eastAsia" w:ascii="宋体" w:hAnsi="宋体" w:cs="宋体"/>
                <w:sz w:val="20"/>
                <w:szCs w:val="20"/>
              </w:rPr>
              <w:t>3、</w:t>
            </w:r>
            <w:r>
              <w:rPr>
                <w:rFonts w:hint="eastAsia" w:ascii="宋体" w:hAnsi="宋体" w:cs="宋体"/>
                <w:sz w:val="20"/>
                <w:szCs w:val="20"/>
                <w:lang w:val="zh-CN"/>
              </w:rPr>
              <w:t>技术负责人1名，要求具备计算机技术与软技术资格证书，高级得3分，中级得2分，需同时提供投标截止日之前3个月社保缴纳证明。</w:t>
            </w:r>
          </w:p>
          <w:p>
            <w:pPr>
              <w:adjustRightInd w:val="0"/>
              <w:snapToGrid w:val="0"/>
              <w:spacing w:line="280" w:lineRule="exact"/>
              <w:rPr>
                <w:rFonts w:ascii="宋体" w:hAnsi="宋体" w:cs="宋体"/>
                <w:sz w:val="20"/>
                <w:szCs w:val="20"/>
              </w:rPr>
            </w:pPr>
            <w:r>
              <w:rPr>
                <w:rFonts w:hint="eastAsia" w:ascii="宋体" w:hAnsi="宋体" w:cs="宋体"/>
                <w:sz w:val="20"/>
                <w:szCs w:val="20"/>
              </w:rPr>
              <w:t>4、</w:t>
            </w:r>
            <w:r>
              <w:rPr>
                <w:rFonts w:hint="eastAsia" w:ascii="宋体" w:hAnsi="宋体" w:cs="宋体"/>
                <w:sz w:val="20"/>
                <w:szCs w:val="20"/>
                <w:lang w:val="zh-CN"/>
              </w:rPr>
              <w:t>服务人员团队具有HCIE、H3CIE、H3CSE、HCIP数通方向的厂商认证证书，提供一个证书得1分，满分3分。不提供不得分。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30" w:type="dxa"/>
            <w:vMerge w:val="continue"/>
            <w:vAlign w:val="center"/>
          </w:tcPr>
          <w:p>
            <w:pPr>
              <w:adjustRightInd w:val="0"/>
              <w:snapToGrid w:val="0"/>
              <w:spacing w:line="280" w:lineRule="exact"/>
              <w:jc w:val="center"/>
              <w:rPr>
                <w:rFonts w:ascii="宋体" w:hAnsi="宋体" w:cs="宋体"/>
                <w:sz w:val="20"/>
                <w:szCs w:val="20"/>
              </w:rPr>
            </w:pPr>
          </w:p>
        </w:tc>
        <w:tc>
          <w:tcPr>
            <w:tcW w:w="664"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rPr>
              <w:t>售后保障方案</w:t>
            </w:r>
          </w:p>
        </w:tc>
        <w:tc>
          <w:tcPr>
            <w:tcW w:w="665"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lang w:val="zh-CN"/>
              </w:rPr>
              <w:t>9分</w:t>
            </w:r>
          </w:p>
        </w:tc>
        <w:tc>
          <w:tcPr>
            <w:tcW w:w="7852" w:type="dxa"/>
            <w:vAlign w:val="center"/>
          </w:tcPr>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1、项目实施方案：项目组织实施计划完整可行，保障措施可靠，能够保证按期供货，具有明确的项目组织机构及实施方案，评标委员会从备货供货进度及保证措施、拟投入本项目的人员安排合理及责任制度、产品安装检测调试等方面进行综合评比，优计2-3分，一般或较差计0-1分。</w:t>
            </w:r>
          </w:p>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2、售后服务方案详细、具体、可行（包括投标人售后服务网点的设定、拟投入售后服务人员配置情况、项目交付用户后出现故障响应时间等），售后服务承诺及保证措施详细、具体，备品备件及耗材情况明确，提供原厂售后服务承诺函，根据响应情况进行综合评比，优计2-3分，一般或较差计0-1分。</w:t>
            </w:r>
          </w:p>
          <w:p>
            <w:pPr>
              <w:adjustRightInd w:val="0"/>
              <w:snapToGrid w:val="0"/>
              <w:spacing w:line="280" w:lineRule="exact"/>
              <w:rPr>
                <w:rFonts w:ascii="宋体" w:hAnsi="宋体" w:cs="宋体"/>
                <w:sz w:val="20"/>
                <w:szCs w:val="20"/>
              </w:rPr>
            </w:pPr>
            <w:r>
              <w:rPr>
                <w:rFonts w:hint="eastAsia" w:ascii="宋体" w:hAnsi="宋体" w:cs="宋体"/>
                <w:sz w:val="20"/>
                <w:szCs w:val="20"/>
                <w:lang w:val="zh-CN"/>
              </w:rPr>
              <w:t>3、提供详尽的培训方案及培训计划，并列出培训的具体内容及方式，确保使用单位能熟练操作维护和正常使用，并进行简单故障排查处理（包括：培训人数、培训时间、培训内容等），根据响应情况进行综合评比，优计2-3分，一般或较差计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30" w:type="dxa"/>
            <w:vMerge w:val="continue"/>
            <w:vAlign w:val="center"/>
          </w:tcPr>
          <w:p>
            <w:pPr>
              <w:adjustRightInd w:val="0"/>
              <w:snapToGrid w:val="0"/>
              <w:spacing w:line="280" w:lineRule="exact"/>
              <w:jc w:val="center"/>
              <w:rPr>
                <w:rFonts w:ascii="宋体" w:hAnsi="宋体" w:cs="宋体"/>
                <w:sz w:val="20"/>
                <w:szCs w:val="20"/>
              </w:rPr>
            </w:pPr>
          </w:p>
        </w:tc>
        <w:tc>
          <w:tcPr>
            <w:tcW w:w="664" w:type="dxa"/>
            <w:vAlign w:val="center"/>
          </w:tcPr>
          <w:p>
            <w:pPr>
              <w:adjustRightInd w:val="0"/>
              <w:snapToGrid w:val="0"/>
              <w:spacing w:line="280" w:lineRule="exact"/>
              <w:jc w:val="center"/>
              <w:rPr>
                <w:rFonts w:ascii="宋体" w:hAnsi="宋体" w:cs="宋体"/>
                <w:sz w:val="20"/>
                <w:szCs w:val="20"/>
                <w:lang w:val="zh-CN"/>
              </w:rPr>
            </w:pPr>
            <w:r>
              <w:rPr>
                <w:rFonts w:hint="eastAsia" w:ascii="宋体" w:hAnsi="宋体" w:cs="宋体"/>
                <w:sz w:val="20"/>
                <w:szCs w:val="20"/>
                <w:lang w:val="zh-CN"/>
              </w:rPr>
              <w:t>核心功能演示</w:t>
            </w:r>
          </w:p>
        </w:tc>
        <w:tc>
          <w:tcPr>
            <w:tcW w:w="665"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lang w:val="zh-CN"/>
              </w:rPr>
              <w:t>5分</w:t>
            </w:r>
          </w:p>
        </w:tc>
        <w:tc>
          <w:tcPr>
            <w:tcW w:w="7852" w:type="dxa"/>
            <w:vAlign w:val="center"/>
          </w:tcPr>
          <w:p>
            <w:pPr>
              <w:adjustRightInd w:val="0"/>
              <w:snapToGrid w:val="0"/>
              <w:spacing w:line="280" w:lineRule="exact"/>
              <w:rPr>
                <w:rFonts w:ascii="宋体" w:hAnsi="宋体" w:cs="宋体"/>
                <w:sz w:val="20"/>
                <w:szCs w:val="20"/>
                <w:lang w:val="zh-CN"/>
              </w:rPr>
            </w:pPr>
            <w:r>
              <w:rPr>
                <w:rFonts w:hint="eastAsia" w:ascii="宋体" w:hAnsi="宋体" w:cs="宋体"/>
                <w:sz w:val="20"/>
                <w:szCs w:val="20"/>
              </w:rPr>
              <w:t>1、</w:t>
            </w:r>
            <w:r>
              <w:rPr>
                <w:rFonts w:hint="eastAsia" w:ascii="宋体" w:hAnsi="宋体" w:cs="宋体"/>
                <w:sz w:val="20"/>
                <w:szCs w:val="20"/>
                <w:lang w:val="zh-CN"/>
              </w:rPr>
              <w:t>为了实现云桌面的智能运维，本单位采购的云桌面平台需要实现软件资源占用统计以及业务软件的识别，针对软件资源占用进行统计分析，如果消耗较高要求提供告警，业务软件识别功能可以将特定软件标记为业务软件和非业务软件，便于管理员对用户的软件安装和使用情况做分析。成功演示得1分。</w:t>
            </w:r>
          </w:p>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2、为了实现本单位云桌面资源的高效利用，本单位采购的云桌面平台需要实现空闲虚拟机识别功能，能够识别一段时间内的空闲和僵尸虚拟机，并能导出统计报告，用于管理员做统计报表和分析，避免不必要的资源开销。成功演示得1分。</w:t>
            </w:r>
          </w:p>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3、为了能让云桌面管理员更加直观的掌握桌面资源的整体情况，本单位采购的云桌面平台可依据当前的资源占用和调度情况，量化出每个虚拟机体验和风险的综合评分，可查看评分趋势变化图，评分越低，使用体验越差，风险越高，管理员便可以及时处理相关的问题。成功演示得1分。</w:t>
            </w:r>
          </w:p>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4、为了简化管理员对于云桌面的运维难度，本单位采购的云桌面平台需要持续性检测并发现单个桌面虚拟机、物理主机以及整个集群相关的软硬件问题，检测出的问题按照严重程度做分级，可直接在平台上以图文形式直接展示问题分析说明以及问题处置建议，管理员根据处置建议可直接进行操作。成功演示得1分。</w:t>
            </w:r>
          </w:p>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5、为了最大化合理利用云桌面平台的资源，本单位采购的云桌面平台需要实现虚拟机扩容和减配识别，由于公安实际办公业务的复杂性，每个民警对虚拟机的性能需求有差异，需要更好地平衡体验和资源利用效率，云桌面平台需要智能识别虚拟机是否需要扩容以满足使用体验，还需要识别哪些虚拟机性能过剩，建议管理员做智能降配，以达到主机资源利用率最大化，成功演示得1分。</w:t>
            </w:r>
          </w:p>
          <w:p>
            <w:pPr>
              <w:adjustRightInd w:val="0"/>
              <w:snapToGrid w:val="0"/>
              <w:spacing w:line="280" w:lineRule="exact"/>
              <w:rPr>
                <w:rFonts w:ascii="宋体" w:hAnsi="宋体" w:cs="宋体"/>
                <w:sz w:val="20"/>
                <w:szCs w:val="20"/>
              </w:rPr>
            </w:pPr>
            <w:r>
              <w:rPr>
                <w:rFonts w:hint="eastAsia" w:ascii="宋体" w:hAnsi="宋体" w:cs="宋体"/>
                <w:b/>
                <w:bCs/>
                <w:sz w:val="20"/>
                <w:szCs w:val="20"/>
              </w:rPr>
              <w:t>注：以上演示总体控制在5分钟以内。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30" w:type="dxa"/>
            <w:vMerge w:val="restart"/>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rPr>
              <w:t>商务部分   （10分）</w:t>
            </w:r>
          </w:p>
        </w:tc>
        <w:tc>
          <w:tcPr>
            <w:tcW w:w="664" w:type="dxa"/>
            <w:vMerge w:val="restart"/>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rPr>
              <w:t>业绩与认证</w:t>
            </w:r>
          </w:p>
        </w:tc>
        <w:tc>
          <w:tcPr>
            <w:tcW w:w="665"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lang w:val="zh-CN"/>
              </w:rPr>
              <w:t>3分</w:t>
            </w:r>
          </w:p>
        </w:tc>
        <w:tc>
          <w:tcPr>
            <w:tcW w:w="7852" w:type="dxa"/>
            <w:vAlign w:val="center"/>
          </w:tcPr>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供应商提供近三年同类项目业绩（以合同为准,复印件加盖公章）每份计1.5分，计满3分为止。不提供不得分。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30" w:type="dxa"/>
            <w:vMerge w:val="continue"/>
            <w:vAlign w:val="center"/>
          </w:tcPr>
          <w:p>
            <w:pPr>
              <w:adjustRightInd w:val="0"/>
              <w:snapToGrid w:val="0"/>
              <w:spacing w:line="280" w:lineRule="exact"/>
              <w:jc w:val="center"/>
              <w:rPr>
                <w:rFonts w:ascii="宋体" w:hAnsi="宋体" w:cs="宋体"/>
                <w:sz w:val="20"/>
                <w:szCs w:val="20"/>
              </w:rPr>
            </w:pPr>
          </w:p>
        </w:tc>
        <w:tc>
          <w:tcPr>
            <w:tcW w:w="664" w:type="dxa"/>
            <w:vMerge w:val="continue"/>
            <w:vAlign w:val="center"/>
          </w:tcPr>
          <w:p>
            <w:pPr>
              <w:adjustRightInd w:val="0"/>
              <w:snapToGrid w:val="0"/>
              <w:spacing w:line="280" w:lineRule="exact"/>
              <w:rPr>
                <w:rFonts w:ascii="宋体" w:hAnsi="宋体" w:cs="宋体"/>
                <w:sz w:val="20"/>
                <w:szCs w:val="20"/>
              </w:rPr>
            </w:pPr>
          </w:p>
        </w:tc>
        <w:tc>
          <w:tcPr>
            <w:tcW w:w="665" w:type="dxa"/>
            <w:vAlign w:val="center"/>
          </w:tcPr>
          <w:p>
            <w:pPr>
              <w:adjustRightInd w:val="0"/>
              <w:snapToGrid w:val="0"/>
              <w:spacing w:line="280" w:lineRule="exact"/>
              <w:jc w:val="center"/>
              <w:rPr>
                <w:rFonts w:ascii="宋体" w:hAnsi="宋体" w:cs="宋体"/>
                <w:sz w:val="20"/>
                <w:szCs w:val="20"/>
              </w:rPr>
            </w:pPr>
            <w:r>
              <w:rPr>
                <w:rFonts w:hint="eastAsia" w:ascii="宋体" w:hAnsi="宋体" w:cs="宋体"/>
                <w:sz w:val="20"/>
                <w:szCs w:val="20"/>
                <w:lang w:val="zh-CN"/>
              </w:rPr>
              <w:t>7分</w:t>
            </w:r>
          </w:p>
        </w:tc>
        <w:tc>
          <w:tcPr>
            <w:tcW w:w="7852" w:type="dxa"/>
            <w:vAlign w:val="center"/>
          </w:tcPr>
          <w:p>
            <w:pPr>
              <w:adjustRightInd w:val="0"/>
              <w:snapToGrid w:val="0"/>
              <w:spacing w:line="280" w:lineRule="exact"/>
              <w:rPr>
                <w:rFonts w:ascii="宋体" w:hAnsi="宋体" w:cs="宋体"/>
                <w:sz w:val="20"/>
                <w:szCs w:val="20"/>
                <w:lang w:val="zh-CN"/>
              </w:rPr>
            </w:pPr>
            <w:r>
              <w:rPr>
                <w:rFonts w:hint="eastAsia" w:ascii="宋体" w:hAnsi="宋体" w:cs="宋体"/>
                <w:sz w:val="20"/>
                <w:szCs w:val="20"/>
                <w:lang w:val="zh-CN"/>
              </w:rPr>
              <w:t>1、供应商提供质量管理体系证书ISO9001、环境管理体系认证证书ISO14001、职业健康安全管理体系认证证书ISO45001、信息安全管理体系认证证书ISO27001和信息技术服务管理体系认证证书ISO20000，提供一个的1分，满分5分。不提供不得分。</w:t>
            </w:r>
          </w:p>
          <w:p>
            <w:pPr>
              <w:adjustRightInd w:val="0"/>
              <w:snapToGrid w:val="0"/>
              <w:spacing w:line="280" w:lineRule="exact"/>
              <w:rPr>
                <w:rFonts w:ascii="宋体" w:hAnsi="宋体" w:cs="宋体"/>
                <w:sz w:val="20"/>
                <w:szCs w:val="20"/>
              </w:rPr>
            </w:pPr>
            <w:r>
              <w:rPr>
                <w:rFonts w:hint="eastAsia" w:ascii="宋体" w:hAnsi="宋体" w:cs="宋体"/>
                <w:sz w:val="20"/>
                <w:szCs w:val="20"/>
                <w:lang w:val="zh-CN"/>
              </w:rPr>
              <w:t>2、供应商具备涉密信息系统集成资质证书，得2分，不提供不得分。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10211" w:type="dxa"/>
            <w:gridSpan w:val="4"/>
            <w:vAlign w:val="center"/>
          </w:tcPr>
          <w:p>
            <w:pPr>
              <w:autoSpaceDE w:val="0"/>
              <w:autoSpaceDN w:val="0"/>
              <w:adjustRightInd w:val="0"/>
              <w:spacing w:line="280" w:lineRule="exact"/>
              <w:rPr>
                <w:rFonts w:ascii="宋体" w:hAnsi="宋体" w:cs="宋体"/>
                <w:sz w:val="20"/>
                <w:szCs w:val="20"/>
                <w:lang w:val="zh-CN"/>
              </w:rPr>
            </w:pPr>
            <w:r>
              <w:rPr>
                <w:rFonts w:hint="eastAsia" w:ascii="宋体" w:hAnsi="宋体" w:cs="宋体"/>
                <w:sz w:val="20"/>
                <w:szCs w:val="20"/>
                <w:lang w:val="zh-CN"/>
              </w:rPr>
              <w:t>1、本一览表各种计算数字“四舍五入”保留小数点后</w:t>
            </w:r>
            <w:r>
              <w:rPr>
                <w:rFonts w:hint="eastAsia" w:ascii="宋体" w:hAnsi="宋体" w:cs="宋体"/>
                <w:sz w:val="20"/>
                <w:szCs w:val="20"/>
              </w:rPr>
              <w:t>两</w:t>
            </w:r>
            <w:r>
              <w:rPr>
                <w:rFonts w:hint="eastAsia" w:ascii="宋体" w:hAnsi="宋体" w:cs="宋体"/>
                <w:sz w:val="20"/>
                <w:szCs w:val="20"/>
                <w:lang w:val="zh-CN"/>
              </w:rPr>
              <w:t>位，第三位四舍五入。</w:t>
            </w:r>
          </w:p>
          <w:p>
            <w:pPr>
              <w:autoSpaceDE w:val="0"/>
              <w:autoSpaceDN w:val="0"/>
              <w:adjustRightInd w:val="0"/>
              <w:spacing w:line="280" w:lineRule="exact"/>
              <w:rPr>
                <w:rFonts w:ascii="宋体" w:hAnsi="宋体" w:cs="宋体"/>
                <w:sz w:val="20"/>
                <w:szCs w:val="20"/>
                <w:lang w:val="zh-CN"/>
              </w:rPr>
            </w:pPr>
            <w:r>
              <w:rPr>
                <w:rFonts w:hint="eastAsia" w:ascii="宋体" w:hAnsi="宋体" w:cs="宋体"/>
                <w:sz w:val="20"/>
                <w:szCs w:val="20"/>
                <w:lang w:val="zh-CN"/>
              </w:rPr>
              <w:t>2、评标委员会成员的赋分超过分值界限或未按本表规定赋分的，则该成员的打分作废，不计入汇总分。技术标不得赋满分，同时项目技术标响应没有偏差的，评标委员会成员的赋分应在该项分值总分的60%及以上进行赋分，如得分低于60%的属重大偏差，评标专家应作详细说明。 </w:t>
            </w:r>
          </w:p>
          <w:p>
            <w:pPr>
              <w:autoSpaceDE w:val="0"/>
              <w:autoSpaceDN w:val="0"/>
              <w:adjustRightInd w:val="0"/>
              <w:spacing w:line="280" w:lineRule="exact"/>
              <w:rPr>
                <w:rFonts w:ascii="宋体" w:hAnsi="宋体" w:cs="宋体"/>
                <w:sz w:val="20"/>
                <w:szCs w:val="20"/>
                <w:lang w:val="zh-CN"/>
              </w:rPr>
            </w:pPr>
            <w:r>
              <w:rPr>
                <w:rFonts w:hint="eastAsia" w:ascii="宋体" w:hAnsi="宋体" w:cs="宋体"/>
                <w:sz w:val="20"/>
                <w:szCs w:val="20"/>
                <w:lang w:val="zh-CN"/>
              </w:rPr>
              <w:t>3、各评标委员会成员必须按照本评审要素据实打分。凡打分不符合本评审要素要求者，均按无效打分对待。</w:t>
            </w:r>
          </w:p>
          <w:p>
            <w:pPr>
              <w:autoSpaceDE w:val="0"/>
              <w:autoSpaceDN w:val="0"/>
              <w:adjustRightInd w:val="0"/>
              <w:spacing w:line="280" w:lineRule="exact"/>
              <w:rPr>
                <w:rFonts w:ascii="宋体" w:hAnsi="宋体" w:cs="宋体"/>
                <w:sz w:val="20"/>
                <w:szCs w:val="20"/>
                <w:lang w:val="zh-CN"/>
              </w:rPr>
            </w:pPr>
            <w:r>
              <w:rPr>
                <w:rFonts w:hint="eastAsia" w:ascii="宋体" w:hAnsi="宋体" w:cs="宋体"/>
                <w:sz w:val="20"/>
                <w:szCs w:val="20"/>
                <w:lang w:val="zh-CN"/>
              </w:rPr>
              <w:t>4、若出现综合得分并列第一时,比较投标报价,此分项得分高者为第一中标候选人,若投标报价得分相同，依次比较其它分项。</w:t>
            </w:r>
          </w:p>
          <w:p>
            <w:pPr>
              <w:autoSpaceDE w:val="0"/>
              <w:autoSpaceDN w:val="0"/>
              <w:adjustRightInd w:val="0"/>
              <w:spacing w:line="280" w:lineRule="exact"/>
              <w:rPr>
                <w:rFonts w:ascii="宋体" w:hAnsi="宋体" w:cs="宋体"/>
                <w:sz w:val="20"/>
                <w:szCs w:val="20"/>
                <w:lang w:val="zh-CN"/>
              </w:rPr>
            </w:pPr>
            <w:r>
              <w:rPr>
                <w:rFonts w:hint="eastAsia" w:ascii="宋体" w:hAnsi="宋体" w:cs="宋体"/>
                <w:sz w:val="20"/>
                <w:szCs w:val="20"/>
                <w:lang w:val="zh-CN"/>
              </w:rPr>
              <w:t>5、评标委员会根据以上内容，确定符合要求的投标人，进行综合比较打分，按得分由高至低排序，并推荐一个以上三个以下中标候选的投标人。</w:t>
            </w:r>
          </w:p>
          <w:p>
            <w:pPr>
              <w:autoSpaceDE w:val="0"/>
              <w:autoSpaceDN w:val="0"/>
              <w:adjustRightInd w:val="0"/>
              <w:spacing w:line="280" w:lineRule="exact"/>
              <w:rPr>
                <w:rFonts w:ascii="宋体" w:hAnsi="宋体" w:cs="宋体"/>
                <w:sz w:val="20"/>
                <w:szCs w:val="20"/>
                <w:lang w:val="zh-CN"/>
              </w:rPr>
            </w:pPr>
            <w:r>
              <w:rPr>
                <w:rFonts w:hint="eastAsia" w:ascii="宋体" w:hAnsi="宋体" w:cs="宋体"/>
                <w:sz w:val="20"/>
                <w:szCs w:val="20"/>
                <w:lang w:val="zh-CN"/>
              </w:rPr>
              <w:t>6、评标委员会成员对评审报告有异议的，应当在评审报告上签署不同意见，并说明理由，否则视为同意。对拒绝说明理由的，须报政府采购监管部门处理，并将其评审情况如实计入考核表。</w:t>
            </w:r>
          </w:p>
        </w:tc>
      </w:tr>
    </w:tbl>
    <w:p>
      <w:pPr>
        <w:pStyle w:val="13"/>
        <w:tabs>
          <w:tab w:val="left" w:pos="600"/>
        </w:tabs>
        <w:spacing w:line="360" w:lineRule="auto"/>
        <w:ind w:firstLine="480" w:firstLineChars="200"/>
        <w:rPr>
          <w:rFonts w:ascii="宋体" w:hAnsi="宋体" w:eastAsia="宋体" w:cs="宋体"/>
          <w:sz w:val="24"/>
        </w:rPr>
      </w:pPr>
    </w:p>
    <w:p>
      <w:pPr>
        <w:tabs>
          <w:tab w:val="left" w:pos="1080"/>
          <w:tab w:val="left" w:pos="1155"/>
        </w:tabs>
        <w:spacing w:line="360" w:lineRule="auto"/>
        <w:ind w:firstLine="480" w:firstLineChars="200"/>
        <w:rPr>
          <w:rFonts w:ascii="宋体" w:hAnsi="宋体" w:cs="宋体"/>
          <w:sz w:val="24"/>
          <w:szCs w:val="28"/>
        </w:rPr>
      </w:pPr>
      <w:r>
        <w:rPr>
          <w:rFonts w:hint="eastAsia" w:ascii="宋体" w:hAnsi="宋体" w:cs="宋体"/>
          <w:sz w:val="24"/>
          <w:szCs w:val="28"/>
        </w:rPr>
        <w:t>说明：本项目落实的政府采购政策：</w:t>
      </w:r>
    </w:p>
    <w:p>
      <w:pPr>
        <w:tabs>
          <w:tab w:val="left" w:pos="1080"/>
          <w:tab w:val="left" w:pos="1155"/>
        </w:tabs>
        <w:spacing w:line="360" w:lineRule="auto"/>
        <w:ind w:firstLine="480" w:firstLineChars="200"/>
        <w:rPr>
          <w:rFonts w:ascii="宋体" w:hAnsi="宋体" w:cs="宋体"/>
          <w:sz w:val="24"/>
          <w:szCs w:val="28"/>
        </w:rPr>
      </w:pPr>
      <w:bookmarkStart w:id="162" w:name="_Toc13012"/>
      <w:r>
        <w:rPr>
          <w:rFonts w:hint="eastAsia" w:ascii="宋体" w:hAnsi="宋体" w:cs="宋体"/>
          <w:sz w:val="24"/>
          <w:szCs w:val="28"/>
        </w:rPr>
        <w:t>1 、小微企业的价格评分标准</w:t>
      </w:r>
      <w:bookmarkEnd w:id="162"/>
      <w:r>
        <w:rPr>
          <w:rFonts w:hint="eastAsia" w:ascii="宋体" w:hAnsi="宋体" w:cs="宋体"/>
          <w:sz w:val="24"/>
          <w:szCs w:val="28"/>
        </w:rPr>
        <w:t>（本项目不面向中小企业，故投标人不享受本条政策）</w:t>
      </w:r>
    </w:p>
    <w:p>
      <w:pPr>
        <w:tabs>
          <w:tab w:val="left" w:pos="1080"/>
          <w:tab w:val="left" w:pos="1155"/>
        </w:tabs>
        <w:spacing w:line="360" w:lineRule="auto"/>
        <w:ind w:firstLine="480" w:firstLineChars="200"/>
        <w:rPr>
          <w:rFonts w:ascii="宋体" w:hAnsi="宋体" w:cs="宋体"/>
          <w:bCs/>
          <w:sz w:val="24"/>
          <w:szCs w:val="24"/>
        </w:rPr>
      </w:pPr>
      <w:bookmarkStart w:id="163" w:name="_Toc7148"/>
      <w:r>
        <w:rPr>
          <w:rFonts w:hint="eastAsia" w:ascii="宋体" w:hAnsi="宋体" w:cs="宋体"/>
          <w:bCs/>
          <w:sz w:val="24"/>
          <w:szCs w:val="24"/>
        </w:rPr>
        <w:t>（1）</w:t>
      </w:r>
      <w:r>
        <w:rPr>
          <w:rFonts w:hint="eastAsia" w:ascii="宋体" w:hAnsi="宋体" w:cs="宋体"/>
          <w:sz w:val="24"/>
          <w:szCs w:val="24"/>
        </w:rPr>
        <w:t>《政府采购促进中小企业发展管理办法》（财库〔2020〕46号）、</w:t>
      </w:r>
      <w:r>
        <w:rPr>
          <w:rFonts w:hint="eastAsia" w:ascii="宋体" w:hAnsi="宋体" w:cs="宋体"/>
          <w:sz w:val="24"/>
          <w:szCs w:val="28"/>
        </w:rPr>
        <w:t>《关于运用政府采购政策支持乡村产业振兴的通知》财库〔2021〕19号、</w:t>
      </w:r>
      <w:r>
        <w:rPr>
          <w:rFonts w:hint="eastAsia" w:ascii="宋体" w:hAnsi="宋体" w:cs="宋体"/>
          <w:sz w:val="24"/>
          <w:szCs w:val="24"/>
        </w:rPr>
        <w:t xml:space="preserve">《陕西省财政厅关于落实政府采购支持中小企业政策有关事项的通知》（陕财办采函〔2022〕10号）、《关于进一步加大政府采购支持中小企业力度的通知》（财库〔2022〕19号）、 </w:t>
      </w:r>
      <w:r>
        <w:rPr>
          <w:rFonts w:hint="eastAsia" w:ascii="宋体" w:hAnsi="宋体" w:cs="宋体"/>
          <w:sz w:val="24"/>
          <w:szCs w:val="28"/>
        </w:rPr>
        <w:t>陕西省财政厅关于进一步落实政府采购支持中小企业相关政策的通知-陕财办采〔2023〕3号、陕西省财政厅关于进一步优化政府采购营商环境有关事项的通知-陕财办采〔2023〕4号</w:t>
      </w:r>
      <w:r>
        <w:rPr>
          <w:rFonts w:hint="eastAsia" w:ascii="宋体" w:hAnsi="宋体" w:cs="宋体"/>
          <w:bCs/>
          <w:sz w:val="24"/>
          <w:szCs w:val="24"/>
        </w:rPr>
        <w:t xml:space="preserve">； </w:t>
      </w:r>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（2）对小型、微型企业产品的价格给予10%的扣除，用扣除后的价格参与评审，其评标价=投标报价*（1-10%）。</w:t>
      </w:r>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（3）参加本项目的小微企业须提供《中小企业声明函》，未提供的不视为小微企业。投标人须做出承诺，保证真实性，如有虚假，将依法承担相应责任。</w:t>
      </w:r>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4）小微企业按《政府采购促进中小企业发展管理办法》（财库【2020】46号）和《工业和信息化部、国家统计局、国家发展和改革委员会、财政部关于印发&lt;中小企业划型标准规定&gt;的通知》（工信部联企业【2011】300号）文件规定标准确认。</w:t>
      </w:r>
    </w:p>
    <w:p>
      <w:pPr>
        <w:tabs>
          <w:tab w:val="left" w:pos="1080"/>
          <w:tab w:val="left" w:pos="1155"/>
        </w:tabs>
        <w:spacing w:line="360" w:lineRule="auto"/>
        <w:ind w:firstLine="480" w:firstLineChars="200"/>
        <w:outlineLvl w:val="1"/>
        <w:rPr>
          <w:rFonts w:ascii="宋体" w:hAnsi="宋体" w:cs="宋体"/>
          <w:bCs/>
          <w:sz w:val="24"/>
          <w:szCs w:val="24"/>
        </w:rPr>
      </w:pPr>
      <w:r>
        <w:rPr>
          <w:rFonts w:hint="eastAsia" w:ascii="宋体" w:hAnsi="宋体" w:cs="宋体"/>
          <w:bCs/>
          <w:sz w:val="24"/>
          <w:szCs w:val="24"/>
        </w:rPr>
        <w:t>2、 监狱企业的价格评分标准</w:t>
      </w:r>
      <w:bookmarkEnd w:id="163"/>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1）在政府采购活动中，监狱企业视同小型、微型企业，享受预留份额、评审中价格扣除等政府采购促进中小企业发展的政府采购政策。对监狱企业产品的价格给予10%的扣除，用扣除后的价格参与评审，其评标价=投标报价*（1-10%）。</w:t>
      </w:r>
    </w:p>
    <w:p>
      <w:pPr>
        <w:tabs>
          <w:tab w:val="left" w:pos="1080"/>
          <w:tab w:val="left" w:pos="1155"/>
        </w:tabs>
        <w:spacing w:line="360" w:lineRule="auto"/>
        <w:ind w:firstLine="480" w:firstLineChars="200"/>
        <w:outlineLvl w:val="2"/>
        <w:rPr>
          <w:rFonts w:ascii="宋体" w:hAnsi="宋体" w:cs="宋体"/>
          <w:bCs/>
          <w:sz w:val="24"/>
          <w:szCs w:val="24"/>
        </w:rPr>
      </w:pPr>
      <w:r>
        <w:rPr>
          <w:rFonts w:hint="eastAsia" w:ascii="宋体" w:hAnsi="宋体" w:cs="宋体"/>
          <w:bCs/>
          <w:sz w:val="24"/>
          <w:szCs w:val="24"/>
        </w:rPr>
        <w:t xml:space="preserve">（2）监狱企业属于小型、微型企业的，不重复享受政策。 </w:t>
      </w:r>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（3）监狱企业参加政府采购活动时，应当提供由省级以上监狱管理局、戒毒管理局（含新疆生产建设兵团）出具的属于监狱企业的证明文件。</w:t>
      </w:r>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 xml:space="preserve"> （4）监狱企业按《财政部司法部关于政府采购支持监狱企业发展有关问题的通知》（财库〔2014〕68号）文件规定标准执行。</w:t>
      </w:r>
    </w:p>
    <w:p>
      <w:pPr>
        <w:tabs>
          <w:tab w:val="left" w:pos="1080"/>
          <w:tab w:val="left" w:pos="1155"/>
        </w:tabs>
        <w:spacing w:line="360" w:lineRule="auto"/>
        <w:ind w:firstLine="480" w:firstLineChars="200"/>
        <w:rPr>
          <w:rFonts w:ascii="宋体" w:hAnsi="宋体" w:cs="宋体"/>
          <w:bCs/>
          <w:sz w:val="24"/>
          <w:szCs w:val="24"/>
        </w:rPr>
      </w:pPr>
      <w:bookmarkStart w:id="164" w:name="_Toc26584"/>
      <w:r>
        <w:rPr>
          <w:rFonts w:hint="eastAsia" w:ascii="宋体" w:hAnsi="宋体" w:cs="宋体"/>
          <w:bCs/>
          <w:sz w:val="24"/>
          <w:szCs w:val="24"/>
        </w:rPr>
        <w:t>对符合规定的小型、微型企业产品的价格给予10%的扣除，用扣除后的价格参与评审，其评标价=投标报价*（1-10%）。监狱企业、残疾人福利性单位视同小型、微型企业；监狱企业、残疾人福利性单位属于小型、微型企业的，不重复享受政策。</w:t>
      </w:r>
    </w:p>
    <w:p>
      <w:pPr>
        <w:tabs>
          <w:tab w:val="left" w:pos="1080"/>
          <w:tab w:val="left" w:pos="1155"/>
        </w:tabs>
        <w:spacing w:line="360" w:lineRule="auto"/>
        <w:ind w:firstLine="480" w:firstLineChars="200"/>
        <w:outlineLvl w:val="1"/>
        <w:rPr>
          <w:rFonts w:ascii="宋体" w:hAnsi="宋体" w:cs="宋体"/>
          <w:bCs/>
          <w:sz w:val="24"/>
          <w:szCs w:val="24"/>
        </w:rPr>
      </w:pPr>
      <w:r>
        <w:rPr>
          <w:rFonts w:hint="eastAsia" w:ascii="宋体" w:hAnsi="宋体" w:cs="宋体"/>
          <w:bCs/>
          <w:sz w:val="24"/>
          <w:szCs w:val="24"/>
        </w:rPr>
        <w:t>3、 残疾人福利性单位的价格评分标准</w:t>
      </w:r>
      <w:bookmarkEnd w:id="164"/>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pPr>
        <w:tabs>
          <w:tab w:val="left" w:pos="1080"/>
          <w:tab w:val="left" w:pos="1155"/>
        </w:tabs>
        <w:spacing w:line="360" w:lineRule="auto"/>
        <w:ind w:firstLine="480" w:firstLineChars="200"/>
        <w:outlineLvl w:val="2"/>
        <w:rPr>
          <w:rFonts w:ascii="宋体" w:hAnsi="宋体" w:cs="宋体"/>
          <w:bCs/>
          <w:sz w:val="24"/>
          <w:szCs w:val="24"/>
        </w:rPr>
      </w:pPr>
      <w:r>
        <w:rPr>
          <w:rFonts w:hint="eastAsia" w:ascii="宋体" w:hAnsi="宋体" w:cs="宋体"/>
          <w:bCs/>
          <w:sz w:val="24"/>
          <w:szCs w:val="24"/>
        </w:rPr>
        <w:t>（2）残疾人福利性单位属于小型、微型企业的，不重复享受政策。</w:t>
      </w:r>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（3）符合条件的残疾人福利性单位在参加政府采购活动时，应当提供本通知规定的《残疾人福利性单位声明函》，并对声明的真实性负责，未提供的不视为残疾人福利性单位。</w:t>
      </w:r>
    </w:p>
    <w:p>
      <w:pPr>
        <w:tabs>
          <w:tab w:val="left" w:pos="1080"/>
          <w:tab w:val="left" w:pos="1155"/>
        </w:tabs>
        <w:spacing w:line="360" w:lineRule="auto"/>
        <w:ind w:firstLine="480" w:firstLineChars="200"/>
        <w:outlineLvl w:val="1"/>
        <w:rPr>
          <w:rFonts w:ascii="宋体" w:hAnsi="宋体" w:cs="宋体"/>
          <w:bCs/>
          <w:sz w:val="24"/>
          <w:szCs w:val="24"/>
        </w:rPr>
      </w:pPr>
      <w:bookmarkStart w:id="165" w:name="_Toc12648"/>
      <w:r>
        <w:rPr>
          <w:rFonts w:hint="eastAsia" w:ascii="宋体" w:hAnsi="宋体" w:cs="宋体"/>
          <w:bCs/>
          <w:sz w:val="24"/>
          <w:szCs w:val="24"/>
        </w:rPr>
        <w:t>4、节能产品、环境标志产品政策</w:t>
      </w:r>
      <w:bookmarkEnd w:id="165"/>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1）节能产品根据《财政部、国家发展和改革委员会关于印发&lt;节能产品政府采购实施意见&gt;的通知》（财库【2004】185号）、《国务院办公厅关于建立政府强制采购节能产品制度的通知》（国办发〔2007〕51号）的有关规定，以“中国政府采购网”（http://www.ccgp.gov.cn/）公布的最新一期节能产品政府采购清单为准。节能清单所列产品包括政府强制采购和优先采购的节能产品，标注“★”的品目为政府强制采购的节能产品，其他品目为政府优先采购的节能产品。投标响应的所有产品进入节能产品政府采购品目清单（有效期内）的，其评审价=投标报价*（1-3%）；（不是所有产品的不享受此项优惠）。</w:t>
      </w:r>
    </w:p>
    <w:p>
      <w:pPr>
        <w:tabs>
          <w:tab w:val="left" w:pos="1080"/>
          <w:tab w:val="left" w:pos="1155"/>
        </w:tabs>
        <w:spacing w:line="360" w:lineRule="auto"/>
        <w:ind w:firstLine="480" w:firstLineChars="200"/>
        <w:rPr>
          <w:rFonts w:ascii="宋体" w:hAnsi="宋体" w:cs="宋体"/>
          <w:bCs/>
          <w:sz w:val="24"/>
          <w:szCs w:val="24"/>
        </w:rPr>
      </w:pPr>
      <w:r>
        <w:rPr>
          <w:rFonts w:hint="eastAsia" w:ascii="宋体" w:hAnsi="宋体" w:cs="宋体"/>
          <w:bCs/>
          <w:sz w:val="24"/>
          <w:szCs w:val="24"/>
        </w:rPr>
        <w:t>（2）环境标志产品根据《财政部国家环保总局联合印发&lt;关于环境标志产品政府采购实施的意见&gt;》（财库【2006】90号）的规定，以“中国政府采购网”（http://www.</w:t>
      </w:r>
    </w:p>
    <w:p>
      <w:pPr>
        <w:tabs>
          <w:tab w:val="left" w:pos="1080"/>
          <w:tab w:val="left" w:pos="1155"/>
        </w:tabs>
        <w:spacing w:line="360" w:lineRule="auto"/>
        <w:ind w:firstLine="240" w:firstLineChars="100"/>
        <w:rPr>
          <w:rFonts w:ascii="宋体" w:hAnsi="宋体" w:cs="宋体"/>
          <w:bCs/>
          <w:sz w:val="24"/>
          <w:szCs w:val="24"/>
        </w:rPr>
      </w:pPr>
      <w:r>
        <w:rPr>
          <w:rFonts w:hint="eastAsia" w:ascii="宋体" w:hAnsi="宋体" w:cs="宋体"/>
          <w:bCs/>
          <w:sz w:val="24"/>
          <w:szCs w:val="24"/>
        </w:rPr>
        <w:t>ccgp.gov.cn/）公布的最新一期环境标志产品政府采购清单为准。环保清单所列产品为政府优先采购产品。投标响应的所有产品进入环境标志产品政府采购品目清单（有效期内）的，其评审价=投标报价*（1-1%）；（不是所有产品的不享受此项优惠）。</w:t>
      </w:r>
    </w:p>
    <w:p>
      <w:pPr>
        <w:pStyle w:val="5"/>
        <w:spacing w:line="360" w:lineRule="auto"/>
        <w:ind w:firstLine="480" w:firstLineChars="200"/>
        <w:jc w:val="both"/>
        <w:rPr>
          <w:b w:val="0"/>
          <w:bCs w:val="0"/>
          <w:sz w:val="24"/>
          <w:szCs w:val="24"/>
        </w:rPr>
      </w:pPr>
      <w:bookmarkStart w:id="166" w:name="_Toc12169"/>
      <w:bookmarkStart w:id="167" w:name="_Toc17390"/>
      <w:r>
        <w:rPr>
          <w:rFonts w:hint="eastAsia" w:hAnsi="宋体" w:cs="宋体"/>
          <w:b w:val="0"/>
          <w:bCs w:val="0"/>
          <w:sz w:val="24"/>
          <w:szCs w:val="24"/>
        </w:rPr>
        <w:t>5、对于不享受以上政策性优惠价格调整的，其评审价=报价报价</w:t>
      </w:r>
      <w:bookmarkEnd w:id="166"/>
      <w:bookmarkEnd w:id="167"/>
    </w:p>
    <w:p>
      <w:pPr>
        <w:spacing w:line="360" w:lineRule="auto"/>
        <w:ind w:firstLine="480" w:firstLineChars="200"/>
        <w:rPr>
          <w:rFonts w:ascii="宋体" w:hAnsi="宋体" w:cs="宋体"/>
          <w:sz w:val="24"/>
          <w:szCs w:val="24"/>
        </w:rPr>
      </w:pPr>
      <w:r>
        <w:rPr>
          <w:rFonts w:hint="eastAsia" w:ascii="宋体" w:hAnsi="宋体" w:cs="宋体"/>
          <w:sz w:val="24"/>
          <w:szCs w:val="24"/>
        </w:rPr>
        <w:t>评标委员会依据评审结果写出评审报告，送采购人审定。</w:t>
      </w:r>
    </w:p>
    <w:p>
      <w:pPr>
        <w:spacing w:line="360" w:lineRule="auto"/>
        <w:ind w:firstLine="480" w:firstLineChars="200"/>
        <w:rPr>
          <w:rFonts w:ascii="宋体" w:hAnsi="宋体" w:cs="宋体"/>
          <w:sz w:val="24"/>
          <w:szCs w:val="24"/>
        </w:rPr>
      </w:pPr>
      <w:r>
        <w:rPr>
          <w:rFonts w:hint="eastAsia" w:ascii="宋体" w:hAnsi="宋体" w:cs="宋体"/>
          <w:sz w:val="24"/>
          <w:szCs w:val="24"/>
        </w:rPr>
        <w:t>采购代理机构在整个评标工作结束后，将把售标、开标、评标及推荐中标全过程的情况以书面形式（评标报告）报送采购人审核，同时报监督管理机构审核备案。</w:t>
      </w:r>
    </w:p>
    <w:p>
      <w:pPr>
        <w:spacing w:line="360" w:lineRule="auto"/>
        <w:ind w:firstLine="480" w:firstLineChars="200"/>
        <w:outlineLvl w:val="2"/>
        <w:rPr>
          <w:rFonts w:ascii="宋体" w:hAnsi="宋体" w:cs="宋体"/>
          <w:sz w:val="24"/>
          <w:szCs w:val="24"/>
        </w:rPr>
      </w:pPr>
      <w:r>
        <w:rPr>
          <w:rFonts w:hint="eastAsia" w:ascii="宋体" w:hAnsi="宋体" w:cs="宋体"/>
          <w:sz w:val="24"/>
          <w:szCs w:val="24"/>
        </w:rPr>
        <w:t>九、特殊情况处理</w:t>
      </w:r>
    </w:p>
    <w:p>
      <w:pPr>
        <w:spacing w:line="360" w:lineRule="auto"/>
        <w:ind w:firstLine="480" w:firstLineChars="200"/>
        <w:jc w:val="left"/>
        <w:rPr>
          <w:rFonts w:ascii="宋体" w:hAnsi="宋体"/>
          <w:sz w:val="24"/>
          <w:szCs w:val="24"/>
        </w:rPr>
      </w:pPr>
      <w:r>
        <w:rPr>
          <w:rFonts w:hint="eastAsia" w:ascii="宋体" w:hAnsi="宋体" w:cs="宋体"/>
          <w:sz w:val="24"/>
          <w:szCs w:val="24"/>
        </w:rPr>
        <w:t>1、若出现得分并列时，投标报价得分高者为第一中标候选人，若投标报价和技术得分两项得分相同，则由全体评标委员会成员无记名投票，得票高者为第一中标候选人。</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、评标过程中，若出现合格投标人少于三家时，将依法报请监督管理机构批准变更招标方式或重新组织招标。</w:t>
      </w:r>
      <w:bookmarkStart w:id="168" w:name="_Toc26954"/>
      <w:bookmarkStart w:id="169" w:name="_Toc14472"/>
      <w:bookmarkStart w:id="170" w:name="_Toc25193"/>
      <w:bookmarkStart w:id="171" w:name="_Toc27498"/>
    </w:p>
    <w:p>
      <w:pPr>
        <w:spacing w:line="360" w:lineRule="auto"/>
        <w:ind w:firstLine="480" w:firstLineChars="200"/>
        <w:jc w:val="center"/>
        <w:rPr>
          <w:rFonts w:ascii="宋体" w:hAnsi="宋体" w:cs="宋体"/>
          <w:sz w:val="24"/>
          <w:szCs w:val="28"/>
        </w:rPr>
      </w:pPr>
      <w:r>
        <w:rPr>
          <w:rFonts w:hint="eastAsia" w:ascii="宋体" w:hAnsi="宋体" w:cs="宋体"/>
          <w:sz w:val="24"/>
          <w:szCs w:val="28"/>
        </w:rPr>
        <w:br w:type="page"/>
      </w:r>
    </w:p>
    <w:p>
      <w:pPr>
        <w:spacing w:line="500" w:lineRule="atLeast"/>
        <w:jc w:val="center"/>
        <w:outlineLvl w:val="0"/>
        <w:rPr>
          <w:rFonts w:ascii="宋体" w:hAnsi="宋体" w:cs="宋体"/>
          <w:b/>
          <w:bCs/>
          <w:kern w:val="0"/>
          <w:sz w:val="44"/>
          <w:szCs w:val="44"/>
        </w:rPr>
      </w:pPr>
      <w:bookmarkStart w:id="172" w:name="_Toc23401"/>
      <w:bookmarkStart w:id="173" w:name="_Toc13981"/>
      <w:bookmarkStart w:id="174" w:name="_Toc7268"/>
      <w:bookmarkStart w:id="175" w:name="_Toc6447"/>
      <w:bookmarkStart w:id="176" w:name="_Toc18366"/>
      <w:bookmarkStart w:id="177" w:name="_Toc32659"/>
      <w:bookmarkStart w:id="178" w:name="_Toc18969"/>
      <w:bookmarkStart w:id="179" w:name="_Toc14003"/>
      <w:r>
        <w:rPr>
          <w:rFonts w:hint="eastAsia" w:ascii="宋体" w:hAnsi="宋体" w:cs="宋体"/>
          <w:b/>
          <w:bCs/>
          <w:kern w:val="0"/>
          <w:sz w:val="44"/>
          <w:szCs w:val="44"/>
        </w:rPr>
        <w:t>第六章  合同范本</w:t>
      </w:r>
      <w:bookmarkEnd w:id="168"/>
      <w:bookmarkEnd w:id="169"/>
      <w:bookmarkEnd w:id="170"/>
      <w:bookmarkEnd w:id="171"/>
      <w:bookmarkEnd w:id="172"/>
      <w:bookmarkEnd w:id="173"/>
      <w:bookmarkEnd w:id="174"/>
      <w:bookmarkEnd w:id="175"/>
      <w:bookmarkEnd w:id="176"/>
      <w:bookmarkEnd w:id="177"/>
      <w:bookmarkEnd w:id="178"/>
      <w:bookmarkEnd w:id="179"/>
    </w:p>
    <w:p>
      <w:pPr>
        <w:jc w:val="center"/>
        <w:rPr>
          <w:rFonts w:ascii="宋体" w:hAnsi="宋体"/>
          <w:b/>
          <w:bCs/>
          <w:sz w:val="32"/>
          <w:szCs w:val="32"/>
        </w:rPr>
      </w:pPr>
      <w:bookmarkStart w:id="180" w:name="_Toc9069"/>
      <w:bookmarkStart w:id="181" w:name="_Toc12912"/>
      <w:bookmarkStart w:id="182" w:name="_Toc8896"/>
    </w:p>
    <w:p>
      <w:pPr>
        <w:jc w:val="center"/>
        <w:outlineLvl w:val="1"/>
        <w:rPr>
          <w:rFonts w:ascii="宋体" w:hAnsi="宋体"/>
          <w:b/>
          <w:bCs/>
          <w:sz w:val="32"/>
          <w:szCs w:val="32"/>
        </w:rPr>
      </w:pPr>
      <w:bookmarkStart w:id="183" w:name="_Toc9119"/>
      <w:bookmarkStart w:id="184" w:name="_Toc22529"/>
      <w:r>
        <w:rPr>
          <w:rFonts w:hint="eastAsia" w:ascii="宋体" w:hAnsi="宋体"/>
          <w:b/>
          <w:bCs/>
          <w:sz w:val="32"/>
          <w:szCs w:val="32"/>
        </w:rPr>
        <w:t>（仅供参考）</w:t>
      </w:r>
      <w:bookmarkEnd w:id="180"/>
      <w:bookmarkEnd w:id="181"/>
      <w:bookmarkEnd w:id="182"/>
      <w:bookmarkEnd w:id="183"/>
      <w:bookmarkEnd w:id="184"/>
    </w:p>
    <w:p>
      <w:pPr>
        <w:spacing w:line="552" w:lineRule="auto"/>
        <w:ind w:left="3076" w:leftChars="174" w:right="-31" w:rightChars="-15" w:hanging="2711" w:hangingChars="750"/>
        <w:rPr>
          <w:b/>
          <w:bCs/>
          <w:sz w:val="36"/>
        </w:rPr>
      </w:pPr>
    </w:p>
    <w:p>
      <w:pPr>
        <w:pStyle w:val="2"/>
        <w:rPr>
          <w:b/>
          <w:bCs/>
          <w:sz w:val="36"/>
        </w:rPr>
      </w:pPr>
    </w:p>
    <w:p>
      <w:pPr>
        <w:rPr>
          <w:b/>
          <w:bCs/>
          <w:sz w:val="36"/>
        </w:rPr>
      </w:pPr>
    </w:p>
    <w:p>
      <w:pPr>
        <w:pStyle w:val="2"/>
      </w:pPr>
    </w:p>
    <w:p>
      <w:pPr>
        <w:spacing w:line="552" w:lineRule="auto"/>
        <w:ind w:left="3076" w:leftChars="174" w:right="-31" w:rightChars="-15" w:hanging="2711" w:hangingChars="750"/>
        <w:rPr>
          <w:b/>
          <w:bCs/>
          <w:sz w:val="36"/>
        </w:rPr>
      </w:pPr>
    </w:p>
    <w:p>
      <w:pPr>
        <w:spacing w:line="552" w:lineRule="auto"/>
        <w:ind w:left="3076" w:leftChars="174" w:right="-31" w:rightChars="-15" w:hanging="2711" w:hangingChars="750"/>
        <w:rPr>
          <w:b/>
          <w:bCs/>
          <w:sz w:val="36"/>
        </w:rPr>
      </w:pPr>
    </w:p>
    <w:p>
      <w:pPr>
        <w:rPr>
          <w:b/>
          <w:bCs/>
          <w:sz w:val="36"/>
        </w:rPr>
      </w:pPr>
    </w:p>
    <w:p>
      <w:pPr>
        <w:pStyle w:val="2"/>
        <w:rPr>
          <w:b/>
          <w:bCs/>
          <w:sz w:val="36"/>
        </w:rPr>
      </w:pPr>
    </w:p>
    <w:p>
      <w:pPr>
        <w:rPr>
          <w:b/>
          <w:bCs/>
          <w:sz w:val="36"/>
        </w:rPr>
      </w:pPr>
    </w:p>
    <w:p>
      <w:pPr>
        <w:pStyle w:val="2"/>
      </w:pPr>
    </w:p>
    <w:p/>
    <w:p>
      <w:pPr>
        <w:spacing w:line="552" w:lineRule="auto"/>
        <w:ind w:right="-31" w:rightChars="-15" w:firstLine="964" w:firstLineChars="300"/>
        <w:rPr>
          <w:rFonts w:eastAsia="楷体_GB2312"/>
          <w:sz w:val="32"/>
          <w:szCs w:val="32"/>
          <w:u w:val="single"/>
        </w:rPr>
      </w:pPr>
      <w:r>
        <w:rPr>
          <w:rFonts w:hint="eastAsia"/>
          <w:b/>
          <w:bCs/>
          <w:sz w:val="32"/>
          <w:szCs w:val="32"/>
        </w:rPr>
        <w:t>委托方（甲方）</w:t>
      </w:r>
      <w:r>
        <w:rPr>
          <w:rFonts w:hint="eastAsia" w:eastAsia="楷体_GB2312"/>
          <w:b/>
          <w:bCs/>
          <w:sz w:val="32"/>
          <w:szCs w:val="32"/>
        </w:rPr>
        <w:t>：</w:t>
      </w:r>
      <w:r>
        <w:rPr>
          <w:rFonts w:hint="eastAsia" w:eastAsia="楷体_GB2312"/>
          <w:sz w:val="32"/>
          <w:szCs w:val="32"/>
          <w:u w:val="single"/>
        </w:rPr>
        <w:t xml:space="preserve"> </w:t>
      </w:r>
      <w:r>
        <w:rPr>
          <w:rFonts w:eastAsia="楷体_GB2312"/>
          <w:sz w:val="32"/>
          <w:szCs w:val="32"/>
          <w:u w:val="single"/>
        </w:rPr>
        <w:t xml:space="preserve">                     </w:t>
      </w:r>
      <w:r>
        <w:rPr>
          <w:rFonts w:hint="eastAsia" w:eastAsia="楷体_GB2312"/>
          <w:sz w:val="32"/>
          <w:szCs w:val="32"/>
          <w:u w:val="single"/>
        </w:rPr>
        <w:t xml:space="preserve">  </w:t>
      </w:r>
      <w:r>
        <w:rPr>
          <w:rFonts w:eastAsia="楷体_GB2312"/>
          <w:sz w:val="32"/>
          <w:szCs w:val="32"/>
          <w:u w:val="single"/>
        </w:rPr>
        <w:t xml:space="preserve"> </w:t>
      </w:r>
    </w:p>
    <w:p>
      <w:pPr>
        <w:spacing w:line="552" w:lineRule="auto"/>
        <w:ind w:right="-15" w:firstLine="964" w:firstLineChars="300"/>
        <w:rPr>
          <w:rFonts w:eastAsia="楷体_GB2312"/>
          <w:sz w:val="32"/>
          <w:szCs w:val="32"/>
          <w:u w:val="single"/>
        </w:rPr>
      </w:pPr>
      <w:r>
        <w:rPr>
          <w:rFonts w:hint="eastAsia"/>
          <w:b/>
          <w:bCs/>
          <w:sz w:val="32"/>
          <w:szCs w:val="32"/>
        </w:rPr>
        <w:t>受托方（乙方）</w:t>
      </w:r>
      <w:r>
        <w:rPr>
          <w:rFonts w:hint="eastAsia" w:eastAsia="楷体_GB2312"/>
          <w:b/>
          <w:bCs/>
          <w:sz w:val="32"/>
          <w:szCs w:val="32"/>
        </w:rPr>
        <w:t>：</w:t>
      </w:r>
      <w:r>
        <w:rPr>
          <w:rFonts w:hint="eastAsia" w:eastAsia="楷体_GB2312"/>
          <w:sz w:val="32"/>
          <w:szCs w:val="32"/>
          <w:u w:val="single"/>
        </w:rPr>
        <w:t xml:space="preserve"> </w:t>
      </w:r>
      <w:r>
        <w:rPr>
          <w:rFonts w:eastAsia="楷体_GB2312"/>
          <w:sz w:val="32"/>
          <w:szCs w:val="32"/>
          <w:u w:val="single"/>
        </w:rPr>
        <w:t xml:space="preserve">                      </w:t>
      </w:r>
      <w:r>
        <w:rPr>
          <w:rFonts w:hint="eastAsia" w:eastAsia="楷体_GB2312"/>
          <w:sz w:val="32"/>
          <w:szCs w:val="32"/>
          <w:u w:val="single"/>
        </w:rPr>
        <w:t xml:space="preserve">  </w:t>
      </w:r>
    </w:p>
    <w:p>
      <w:pPr>
        <w:spacing w:line="552" w:lineRule="auto"/>
        <w:ind w:left="-181" w:leftChars="-86" w:right="-15" w:firstLine="1121" w:firstLineChars="349"/>
        <w:rPr>
          <w:sz w:val="32"/>
          <w:szCs w:val="32"/>
          <w:u w:val="single"/>
        </w:rPr>
      </w:pPr>
      <w:r>
        <w:rPr>
          <w:rFonts w:hint="eastAsia"/>
          <w:b/>
          <w:bCs/>
          <w:sz w:val="32"/>
          <w:szCs w:val="32"/>
        </w:rPr>
        <w:t>签订时间：</w:t>
      </w:r>
      <w:r>
        <w:rPr>
          <w:rFonts w:hint="eastAsia" w:eastAsia="楷体_GB2312"/>
          <w:sz w:val="32"/>
          <w:szCs w:val="32"/>
          <w:u w:val="single"/>
        </w:rPr>
        <w:t xml:space="preserve"> </w:t>
      </w:r>
      <w:r>
        <w:rPr>
          <w:rFonts w:eastAsia="楷体_GB2312"/>
          <w:sz w:val="32"/>
          <w:szCs w:val="32"/>
          <w:u w:val="single"/>
        </w:rPr>
        <w:t xml:space="preserve">                             </w:t>
      </w:r>
    </w:p>
    <w:p>
      <w:pPr>
        <w:spacing w:line="552" w:lineRule="auto"/>
        <w:ind w:right="-15" w:firstLine="964" w:firstLineChars="300"/>
        <w:rPr>
          <w:rFonts w:eastAsia="楷体_GB2312"/>
          <w:sz w:val="32"/>
          <w:szCs w:val="32"/>
          <w:u w:val="single"/>
        </w:rPr>
      </w:pPr>
      <w:r>
        <w:rPr>
          <w:rFonts w:hint="eastAsia"/>
          <w:b/>
          <w:bCs/>
          <w:sz w:val="32"/>
          <w:szCs w:val="32"/>
        </w:rPr>
        <w:t>签订地点</w:t>
      </w:r>
      <w:r>
        <w:rPr>
          <w:rFonts w:hint="eastAsia" w:eastAsia="楷体_GB2312"/>
          <w:b/>
          <w:bCs/>
          <w:sz w:val="32"/>
          <w:szCs w:val="32"/>
        </w:rPr>
        <w:t>：</w:t>
      </w:r>
      <w:r>
        <w:rPr>
          <w:rFonts w:hint="eastAsia" w:eastAsia="楷体_GB2312"/>
          <w:sz w:val="32"/>
          <w:szCs w:val="32"/>
          <w:u w:val="single"/>
        </w:rPr>
        <w:t xml:space="preserve"> </w:t>
      </w:r>
      <w:r>
        <w:rPr>
          <w:rFonts w:eastAsia="楷体_GB2312"/>
          <w:sz w:val="32"/>
          <w:szCs w:val="32"/>
          <w:u w:val="single"/>
        </w:rPr>
        <w:t xml:space="preserve">                             </w:t>
      </w:r>
    </w:p>
    <w:p>
      <w:pPr>
        <w:rPr>
          <w:rFonts w:eastAsia="黑体"/>
          <w:sz w:val="32"/>
          <w:szCs w:val="32"/>
        </w:rPr>
        <w:sectPr>
          <w:pgSz w:w="11906" w:h="16838"/>
          <w:pgMar w:top="1247" w:right="1197" w:bottom="1247" w:left="1469" w:header="851" w:footer="992" w:gutter="0"/>
          <w:cols w:space="720" w:num="1"/>
          <w:titlePg/>
          <w:docGrid w:type="lines" w:linePitch="312" w:charSpace="0"/>
        </w:sectPr>
      </w:pPr>
    </w:p>
    <w:p>
      <w:pPr>
        <w:pStyle w:val="6"/>
        <w:keepLines w:val="0"/>
        <w:numPr>
          <w:ilvl w:val="2"/>
          <w:numId w:val="0"/>
        </w:numPr>
        <w:spacing w:line="500" w:lineRule="exact"/>
        <w:jc w:val="center"/>
        <w:rPr>
          <w:rFonts w:ascii="宋体" w:hAnsi="宋体" w:cs="宋体"/>
          <w:sz w:val="36"/>
          <w:szCs w:val="36"/>
        </w:rPr>
      </w:pPr>
      <w:r>
        <w:rPr>
          <w:rFonts w:hint="eastAsia" w:ascii="宋体" w:hAnsi="宋体" w:cs="宋体"/>
          <w:sz w:val="36"/>
          <w:szCs w:val="36"/>
        </w:rPr>
        <w:t>合同条件及格式（参考）</w:t>
      </w:r>
    </w:p>
    <w:p>
      <w:pPr>
        <w:kinsoku w:val="0"/>
        <w:spacing w:line="360" w:lineRule="auto"/>
        <w:jc w:val="center"/>
        <w:rPr>
          <w:rFonts w:ascii="宋体" w:hAnsi="宋体" w:cs="宋体"/>
          <w:b/>
          <w:sz w:val="24"/>
          <w:szCs w:val="24"/>
        </w:rPr>
      </w:pPr>
      <w:r>
        <w:rPr>
          <w:rFonts w:hint="eastAsia" w:ascii="宋体" w:hAnsi="宋体" w:cs="宋体"/>
          <w:b/>
          <w:sz w:val="24"/>
          <w:szCs w:val="24"/>
        </w:rPr>
        <w:t>（中标后由采购人与中标人具体商定）</w:t>
      </w:r>
    </w:p>
    <w:p>
      <w:pPr>
        <w:pStyle w:val="4"/>
        <w:spacing w:line="520" w:lineRule="exact"/>
        <w:ind w:firstLine="562" w:firstLineChars="200"/>
        <w:textAlignment w:val="baseline"/>
        <w:rPr>
          <w:rFonts w:ascii="宋体" w:hAnsi="宋体"/>
          <w:b/>
          <w:sz w:val="28"/>
          <w:szCs w:val="28"/>
        </w:rPr>
      </w:pPr>
    </w:p>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1、合同内容及金额：即成交人的投标具体内容及其中标总金额。其金额不受市场和工作量变化的影响。</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2、货物技术规格、数量：即交付的货物技术规格、型号、数量与投标文件所指明的，或者与本合同所指明的货物技术规格及型号相一致。</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3、知识产权：即成交人应保证采购人在使用中标货物（服务）时，不承担任何涉及知识产权法律诉讼的责任。</w:t>
      </w:r>
    </w:p>
    <w:p>
      <w:pPr>
        <w:tabs>
          <w:tab w:val="left" w:pos="1155"/>
          <w:tab w:val="left" w:pos="7251"/>
        </w:tabs>
        <w:spacing w:line="440" w:lineRule="exact"/>
        <w:ind w:right="-199"/>
        <w:textAlignment w:val="baseline"/>
        <w:rPr>
          <w:rFonts w:ascii="宋体" w:hAnsi="宋体" w:cs="宋体"/>
          <w:bCs/>
          <w:sz w:val="24"/>
        </w:rPr>
      </w:pPr>
      <w:r>
        <w:rPr>
          <w:rFonts w:hint="eastAsia" w:ascii="宋体" w:hAnsi="宋体" w:cs="宋体"/>
          <w:bCs/>
          <w:sz w:val="24"/>
        </w:rPr>
        <w:t xml:space="preserve">    4、交货（完工）期：                      </w:t>
      </w:r>
      <w:r>
        <w:rPr>
          <w:rFonts w:hint="eastAsia" w:ascii="宋体" w:hAnsi="宋体" w:cs="宋体"/>
          <w:bCs/>
          <w:sz w:val="24"/>
        </w:rPr>
        <w:tab/>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成交人未征得采购人同意和谅解而单方面延迟交货，将按违约终止合同。</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成交人遇到可能妨碍按时交货和提供服务的情况，应当及时以书面形式通知采购人，说明原由、拖延的期限等；采购人、招标组织机构在收到通知后，尽快进行情况评估并确定是否通过修改合同，酌情延长交货时间或者通过协商加收误期赔偿金。</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5、项目（交货）地点：                      </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6、包装：包装必须适应货物特性和交通运输要求，以及国家有关标准或企业标准或合同要求。中标人应承担由于包装、防护措施不妥引起的所有损失的责任和费用。</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7、运输：成交人可根据交货期、运输条件自行选择运输方式（另有规定的除外），承担一切运输费用。</w:t>
      </w:r>
    </w:p>
    <w:p>
      <w:pPr>
        <w:tabs>
          <w:tab w:val="left" w:pos="1155"/>
        </w:tabs>
        <w:spacing w:line="440" w:lineRule="exact"/>
        <w:ind w:right="-199"/>
        <w:textAlignment w:val="baseline"/>
        <w:outlineLvl w:val="1"/>
        <w:rPr>
          <w:rFonts w:ascii="宋体" w:hAnsi="宋体" w:cs="宋体"/>
          <w:bCs/>
          <w:sz w:val="24"/>
        </w:rPr>
      </w:pPr>
      <w:r>
        <w:rPr>
          <w:rFonts w:hint="eastAsia" w:ascii="宋体" w:hAnsi="宋体" w:cs="宋体"/>
          <w:bCs/>
          <w:sz w:val="24"/>
        </w:rPr>
        <w:t xml:space="preserve">    </w:t>
      </w:r>
      <w:bookmarkStart w:id="185" w:name="_Toc5032"/>
      <w:r>
        <w:rPr>
          <w:rFonts w:hint="eastAsia" w:ascii="宋体" w:hAnsi="宋体" w:cs="宋体"/>
          <w:bCs/>
          <w:sz w:val="24"/>
        </w:rPr>
        <w:t>8、结算：成交人持相关手续向采购人申请付款。</w:t>
      </w:r>
      <w:bookmarkEnd w:id="185"/>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付款方式： 供货到位，安装、调试、验收合格后</w:t>
      </w:r>
      <w:r>
        <w:rPr>
          <w:rFonts w:hint="eastAsia" w:ascii="宋体" w:hAnsi="宋体" w:cs="宋体"/>
          <w:bCs/>
          <w:sz w:val="24"/>
          <w:u w:val="single" w:color="0000FF"/>
        </w:rPr>
        <w:t xml:space="preserve">    </w:t>
      </w:r>
      <w:r>
        <w:rPr>
          <w:rFonts w:hint="eastAsia" w:ascii="宋体" w:hAnsi="宋体" w:cs="宋体"/>
          <w:bCs/>
          <w:sz w:val="24"/>
        </w:rPr>
        <w:t>个工作日内支付合同总价款</w:t>
      </w:r>
      <w:r>
        <w:rPr>
          <w:rFonts w:hint="eastAsia" w:ascii="宋体" w:hAnsi="宋体" w:cs="宋体"/>
          <w:bCs/>
          <w:sz w:val="24"/>
          <w:u w:val="single" w:color="0000FF"/>
        </w:rPr>
        <w:t xml:space="preserve">   </w:t>
      </w:r>
      <w:r>
        <w:rPr>
          <w:rFonts w:hint="eastAsia" w:ascii="宋体" w:hAnsi="宋体" w:cs="宋体"/>
          <w:bCs/>
          <w:sz w:val="24"/>
        </w:rPr>
        <w:t>%的货款。</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9、技术保障：成交人应随同货物单位提供相应的中文技术文件（包括产品合格证、装箱清单、操作手册、使用说明、检测报告、维护手册、服务指南等资料），现场安装、调试、试运行技术保障服务和环保检测责任。</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10、考察与人员技术培训：培训方式/培训人数/培训地点/费用/等</w:t>
      </w:r>
    </w:p>
    <w:p>
      <w:pPr>
        <w:tabs>
          <w:tab w:val="left" w:pos="1155"/>
        </w:tabs>
        <w:spacing w:line="440" w:lineRule="exact"/>
        <w:ind w:right="-199"/>
        <w:textAlignment w:val="baseline"/>
        <w:outlineLvl w:val="1"/>
        <w:rPr>
          <w:rFonts w:ascii="宋体" w:hAnsi="宋体" w:cs="宋体"/>
          <w:bCs/>
          <w:sz w:val="24"/>
        </w:rPr>
      </w:pPr>
      <w:r>
        <w:rPr>
          <w:rFonts w:hint="eastAsia" w:ascii="宋体" w:hAnsi="宋体" w:cs="宋体"/>
          <w:bCs/>
          <w:sz w:val="24"/>
        </w:rPr>
        <w:t xml:space="preserve">    </w:t>
      </w:r>
      <w:bookmarkStart w:id="186" w:name="_Toc19380"/>
      <w:r>
        <w:rPr>
          <w:rFonts w:hint="eastAsia" w:ascii="宋体" w:hAnsi="宋体" w:cs="宋体"/>
          <w:bCs/>
          <w:sz w:val="24"/>
        </w:rPr>
        <w:t>11、质量保证</w:t>
      </w:r>
      <w:bookmarkEnd w:id="186"/>
    </w:p>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11.1成交人在合同签订前将成交金额的</w:t>
      </w:r>
      <w:r>
        <w:rPr>
          <w:rFonts w:hint="eastAsia" w:ascii="宋体" w:hAnsi="宋体" w:cs="宋体"/>
          <w:bCs/>
          <w:sz w:val="24"/>
          <w:u w:val="single" w:color="0000FF"/>
        </w:rPr>
        <w:t xml:space="preserve">   </w:t>
      </w:r>
      <w:r>
        <w:rPr>
          <w:rFonts w:hint="eastAsia" w:ascii="宋体" w:hAnsi="宋体" w:cs="宋体"/>
          <w:bCs/>
          <w:sz w:val="24"/>
        </w:rPr>
        <w:t>％作为质保金交到采购人帐户，质保期1</w:t>
      </w:r>
      <w:r>
        <w:rPr>
          <w:rFonts w:hint="eastAsia" w:ascii="宋体" w:hAnsi="宋体" w:cs="宋体"/>
          <w:bCs/>
          <w:sz w:val="24"/>
          <w:u w:val="single" w:color="0000FF"/>
        </w:rPr>
        <w:t xml:space="preserve"> </w:t>
      </w:r>
      <w:r>
        <w:rPr>
          <w:rFonts w:hint="eastAsia" w:ascii="宋体" w:hAnsi="宋体" w:cs="宋体"/>
          <w:bCs/>
          <w:sz w:val="24"/>
        </w:rPr>
        <w:t>年。</w:t>
      </w:r>
    </w:p>
    <w:p>
      <w:pPr>
        <w:tabs>
          <w:tab w:val="left" w:pos="1155"/>
        </w:tabs>
        <w:spacing w:line="440" w:lineRule="exact"/>
        <w:ind w:right="-199" w:firstLine="480"/>
        <w:textAlignment w:val="baseline"/>
        <w:rPr>
          <w:rFonts w:ascii="宋体" w:hAnsi="宋体" w:cs="宋体"/>
          <w:bCs/>
          <w:sz w:val="24"/>
        </w:rPr>
      </w:pPr>
      <w:r>
        <w:rPr>
          <w:rFonts w:hint="eastAsia" w:ascii="宋体" w:hAnsi="宋体" w:cs="宋体"/>
          <w:bCs/>
          <w:sz w:val="24"/>
        </w:rPr>
        <w:t>11.2成交人使用的原材料应提供清单，并在到货24小时内通知采购人代表检验核实（具体方式在合同中明确）。</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成交人应当保证所供货物的来源渠道正常，产品是全新的、未使用过的，且完全符合合同规定的质量、规格、技术指标等要求，并在质保期内、外应对由于产品设计、工艺或材料的缺陷而产生的质量问题负责。</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在质保期内，如果发现货物的质量、规格、技术指标等存在与合同有任何一项不符，采购人应在最短时间内，以书面形式向成交人提出索赔。同时通告招标组织机构。</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成交人应当明确售后服务公约，承诺免费维修服务条件。</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12、采购项目执行内容需要调整时，经采购人同意后，可以对相应的原材料进行调整，并协商确定价格差额计算方法和负担办法。</w:t>
      </w:r>
    </w:p>
    <w:p>
      <w:pPr>
        <w:tabs>
          <w:tab w:val="left" w:pos="1155"/>
        </w:tabs>
        <w:spacing w:line="440" w:lineRule="exact"/>
        <w:ind w:right="-199"/>
        <w:textAlignment w:val="baseline"/>
        <w:outlineLvl w:val="1"/>
        <w:rPr>
          <w:rFonts w:ascii="宋体" w:hAnsi="宋体" w:cs="宋体"/>
          <w:bCs/>
          <w:sz w:val="24"/>
        </w:rPr>
      </w:pPr>
      <w:r>
        <w:rPr>
          <w:rFonts w:hint="eastAsia" w:ascii="宋体" w:hAnsi="宋体" w:cs="宋体"/>
          <w:bCs/>
          <w:sz w:val="24"/>
        </w:rPr>
        <w:t xml:space="preserve">    </w:t>
      </w:r>
      <w:bookmarkStart w:id="187" w:name="_Toc10373"/>
      <w:r>
        <w:rPr>
          <w:rFonts w:hint="eastAsia" w:ascii="宋体" w:hAnsi="宋体" w:cs="宋体"/>
          <w:bCs/>
          <w:sz w:val="24"/>
        </w:rPr>
        <w:t>13、产品设计变更</w:t>
      </w:r>
      <w:bookmarkEnd w:id="187"/>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成交后，生产加工产品的设计、数量需要变更、调整时，应办理相应的变更、调整审批手续，并协商确定设计变更、数量调整后的产品价款计算方法和工期顺延等事宜。</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14、检验：在交货前，制造商应当对货物的质量、规格、数量等进行准确而全面的检验，出具合格证并封装；货物送达指定地点后，成交人、采购人须在约定的时间和地点共同开箱检验。</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15、验收：通过检验的货物方可进行安装、调试，达到使用条件时由采购人负责组织验收，或者邀请有关专家、质检机构、招标组织机构共同进行验收；验收合格须交接项目实施的全部资料，并填写政府采购项目验收报告单。验收须以合同、国家相应的标准、规范等为依据。</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16、合同争议的解决：合同执行中发生争议的，当事人双方应协商解决，协商达不成一致时，可向当地行政仲裁机关申请仲裁或者向人民法院提请诉讼。</w:t>
      </w:r>
    </w:p>
    <w:p>
      <w:pPr>
        <w:tabs>
          <w:tab w:val="left" w:pos="1155"/>
        </w:tabs>
        <w:spacing w:line="440" w:lineRule="exact"/>
        <w:ind w:right="-199"/>
        <w:textAlignment w:val="baseline"/>
        <w:outlineLvl w:val="1"/>
        <w:rPr>
          <w:rFonts w:ascii="宋体" w:hAnsi="宋体" w:cs="宋体"/>
          <w:bCs/>
          <w:sz w:val="24"/>
        </w:rPr>
      </w:pPr>
      <w:r>
        <w:rPr>
          <w:rFonts w:hint="eastAsia" w:ascii="宋体" w:hAnsi="宋体" w:cs="宋体"/>
          <w:bCs/>
          <w:sz w:val="24"/>
        </w:rPr>
        <w:t xml:space="preserve">    </w:t>
      </w:r>
      <w:bookmarkStart w:id="188" w:name="_Toc27361"/>
      <w:r>
        <w:rPr>
          <w:rFonts w:hint="eastAsia" w:ascii="宋体" w:hAnsi="宋体" w:cs="宋体"/>
          <w:bCs/>
          <w:sz w:val="24"/>
        </w:rPr>
        <w:t>17、不可抗力。</w:t>
      </w:r>
      <w:bookmarkEnd w:id="188"/>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17.1合同任一方由于受诸如洪水、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17.2遭受不可抗力一方应在不可抗力事故发生后尽快以书面形式通知对方，并于事故发生后14天内将有关部门出具的证明文件、详细情况报告以及不可抗力对履行合同影响程度的说明通知对方。</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17.3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spacing w:line="440" w:lineRule="exact"/>
        <w:ind w:right="-199"/>
        <w:textAlignment w:val="baseline"/>
        <w:rPr>
          <w:rFonts w:ascii="宋体" w:hAnsi="宋体" w:cs="宋体"/>
          <w:bCs/>
          <w:sz w:val="24"/>
        </w:rPr>
      </w:pPr>
      <w:r>
        <w:rPr>
          <w:rFonts w:hint="eastAsia" w:ascii="宋体" w:hAnsi="宋体" w:cs="宋体"/>
          <w:bCs/>
          <w:sz w:val="24"/>
        </w:rPr>
        <w:t xml:space="preserve">    17.4一旦不可抗力事故的影响持续120天以上，甲乙双方通过友好协商，在合理的时间内达成进一步履行合同或终止合同的协议。</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18、合同一经签订，不得擅自变更、中止或者终止合同。对确需变更、调整或者中止、终止合同的，应按规定履行相应的手续。</w:t>
      </w:r>
    </w:p>
    <w:p>
      <w:pPr>
        <w:tabs>
          <w:tab w:val="left" w:pos="1155"/>
        </w:tabs>
        <w:spacing w:line="440" w:lineRule="exact"/>
        <w:ind w:right="-199"/>
        <w:textAlignment w:val="baseline"/>
        <w:rPr>
          <w:rFonts w:ascii="宋体" w:hAnsi="宋体" w:cs="宋体"/>
          <w:bCs/>
          <w:sz w:val="24"/>
        </w:rPr>
      </w:pPr>
      <w:r>
        <w:rPr>
          <w:rFonts w:hint="eastAsia" w:ascii="宋体" w:hAnsi="宋体" w:cs="宋体"/>
          <w:bCs/>
          <w:sz w:val="24"/>
        </w:rPr>
        <w:t xml:space="preserve">    19、违约责任：依据《中华人民共和国合同法》、《中华人民共和国政府采购法》的相关条款规定和本合同约定，成交人未全面履行合同义务或者发生违约，采购人会同招标组织机构有权终止合同，依法向成交人进行经济索赔，并报请政府采购监督管理机关依法进行相应的行政处罚。采购人违约的，应当赔偿给成交人造成的经济损失。</w:t>
      </w:r>
    </w:p>
    <w:p>
      <w:pPr>
        <w:tabs>
          <w:tab w:val="left" w:pos="1155"/>
        </w:tabs>
        <w:spacing w:line="440" w:lineRule="exact"/>
        <w:ind w:right="-199" w:firstLine="480" w:firstLineChars="200"/>
        <w:textAlignment w:val="baseline"/>
        <w:outlineLvl w:val="1"/>
        <w:rPr>
          <w:rFonts w:ascii="宋体" w:hAnsi="宋体" w:cs="宋体"/>
          <w:bCs/>
          <w:sz w:val="24"/>
        </w:rPr>
      </w:pPr>
      <w:bookmarkStart w:id="189" w:name="_Toc8788"/>
      <w:r>
        <w:rPr>
          <w:rFonts w:hint="eastAsia" w:ascii="宋体" w:hAnsi="宋体" w:cs="宋体"/>
          <w:bCs/>
          <w:sz w:val="24"/>
        </w:rPr>
        <w:t>20、其他（在合同中具体明确）</w:t>
      </w:r>
      <w:bookmarkEnd w:id="189"/>
    </w:p>
    <w:p>
      <w:pPr>
        <w:tabs>
          <w:tab w:val="left" w:pos="1155"/>
        </w:tabs>
        <w:spacing w:line="440" w:lineRule="exact"/>
        <w:ind w:right="-199"/>
        <w:textAlignment w:val="baseline"/>
        <w:rPr>
          <w:rFonts w:ascii="宋体" w:hAnsi="宋体" w:cs="宋体"/>
          <w:bCs/>
          <w:sz w:val="24"/>
        </w:rPr>
      </w:pPr>
    </w:p>
    <w:tbl>
      <w:tblPr>
        <w:tblStyle w:val="3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甲  方</w:t>
            </w: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350" w:type="dxa"/>
            <w:vAlign w:val="center"/>
          </w:tcPr>
          <w:p>
            <w:pPr>
              <w:tabs>
                <w:tab w:val="left" w:pos="1155"/>
              </w:tabs>
              <w:spacing w:line="440" w:lineRule="exact"/>
              <w:ind w:right="-199" w:firstLine="480" w:firstLineChars="200"/>
              <w:textAlignment w:val="baseline"/>
              <w:rPr>
                <w:rFonts w:ascii="宋体" w:hAnsi="宋体" w:cs="宋体"/>
                <w:bCs/>
                <w:sz w:val="24"/>
              </w:rPr>
            </w:pPr>
          </w:p>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（盖章）</w:t>
            </w:r>
          </w:p>
        </w:tc>
        <w:tc>
          <w:tcPr>
            <w:tcW w:w="4350" w:type="dxa"/>
            <w:vAlign w:val="center"/>
          </w:tcPr>
          <w:p>
            <w:pPr>
              <w:tabs>
                <w:tab w:val="left" w:pos="1155"/>
              </w:tabs>
              <w:spacing w:line="440" w:lineRule="exact"/>
              <w:ind w:right="-199" w:firstLine="480" w:firstLineChars="200"/>
              <w:textAlignment w:val="baseline"/>
              <w:rPr>
                <w:rFonts w:ascii="宋体" w:hAnsi="宋体" w:cs="宋体"/>
                <w:bCs/>
                <w:sz w:val="24"/>
              </w:rPr>
            </w:pPr>
          </w:p>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 xml:space="preserve">地址： </w:t>
            </w: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邮编：</w:t>
            </w: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 xml:space="preserve">法定代表人： </w:t>
            </w: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被授权代表：（签字）</w:t>
            </w: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电话：</w:t>
            </w: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传真：</w:t>
            </w: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日期：    年   月   日</w:t>
            </w:r>
          </w:p>
        </w:tc>
        <w:tc>
          <w:tcPr>
            <w:tcW w:w="4350" w:type="dxa"/>
          </w:tcPr>
          <w:p>
            <w:pPr>
              <w:tabs>
                <w:tab w:val="left" w:pos="1155"/>
              </w:tabs>
              <w:spacing w:line="440" w:lineRule="exact"/>
              <w:ind w:right="-199" w:firstLine="480" w:firstLineChars="200"/>
              <w:textAlignment w:val="baseline"/>
              <w:rPr>
                <w:rFonts w:ascii="宋体" w:hAnsi="宋体" w:cs="宋体"/>
                <w:bCs/>
                <w:sz w:val="24"/>
              </w:rPr>
            </w:pPr>
            <w:r>
              <w:rPr>
                <w:rFonts w:hint="eastAsia" w:ascii="宋体" w:hAnsi="宋体" w:cs="宋体"/>
                <w:bCs/>
                <w:sz w:val="24"/>
              </w:rPr>
              <w:t>日期：    年   月   日</w:t>
            </w:r>
          </w:p>
        </w:tc>
      </w:tr>
    </w:tbl>
    <w:p>
      <w:pPr>
        <w:snapToGrid w:val="0"/>
        <w:spacing w:line="360" w:lineRule="auto"/>
        <w:rPr>
          <w:rFonts w:ascii="宋体" w:hAnsi="宋体"/>
          <w:sz w:val="24"/>
        </w:rPr>
      </w:pPr>
    </w:p>
    <w:p>
      <w:pPr>
        <w:widowControl/>
        <w:spacing w:line="360" w:lineRule="auto"/>
        <w:jc w:val="right"/>
        <w:rPr>
          <w:rFonts w:ascii="宋体" w:hAnsi="宋体"/>
        </w:rPr>
      </w:pPr>
    </w:p>
    <w:p>
      <w:pPr>
        <w:pStyle w:val="4"/>
        <w:rPr>
          <w:rFonts w:ascii="宋体" w:hAnsi="宋体" w:eastAsia="宋体" w:cs="宋体"/>
          <w:b/>
          <w:bCs/>
          <w:sz w:val="44"/>
          <w:szCs w:val="44"/>
        </w:rPr>
      </w:pPr>
      <w:bookmarkStart w:id="190" w:name="_Toc8661"/>
      <w:bookmarkStart w:id="191" w:name="_Toc9619"/>
      <w:bookmarkStart w:id="192" w:name="_Toc25317"/>
      <w:bookmarkStart w:id="193" w:name="_Toc14370"/>
      <w:bookmarkStart w:id="194" w:name="_Toc20206"/>
      <w:bookmarkStart w:id="195" w:name="_Toc18859"/>
      <w:bookmarkStart w:id="196" w:name="_Toc20866"/>
      <w:bookmarkStart w:id="197" w:name="_Toc19160"/>
      <w:bookmarkStart w:id="198" w:name="_Toc8919"/>
      <w:bookmarkStart w:id="199" w:name="_Toc9245"/>
      <w:bookmarkStart w:id="200" w:name="_Toc32720"/>
      <w:bookmarkStart w:id="201" w:name="_Toc27381"/>
      <w:bookmarkStart w:id="202" w:name="_Toc6329"/>
      <w:bookmarkStart w:id="203" w:name="_Toc30649"/>
      <w:bookmarkStart w:id="204" w:name="_Toc11568"/>
    </w:p>
    <w:p>
      <w:pPr>
        <w:pStyle w:val="4"/>
        <w:rPr>
          <w:rFonts w:ascii="宋体" w:hAnsi="宋体" w:eastAsia="宋体" w:cs="宋体"/>
          <w:b/>
          <w:bCs/>
          <w:sz w:val="32"/>
          <w:szCs w:val="32"/>
        </w:rPr>
      </w:pPr>
      <w:r>
        <w:rPr>
          <w:rFonts w:hint="eastAsia" w:ascii="宋体" w:hAnsi="宋体" w:eastAsia="宋体" w:cs="宋体"/>
          <w:b/>
          <w:bCs/>
          <w:sz w:val="44"/>
          <w:szCs w:val="44"/>
        </w:rPr>
        <w:t>第七章  投标文件格式</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360" w:lineRule="auto"/>
        <w:jc w:val="center"/>
        <w:rPr>
          <w:rFonts w:ascii="宋体" w:hAnsi="宋体" w:cs="宋体"/>
          <w:b/>
          <w:bCs/>
          <w:sz w:val="40"/>
          <w:szCs w:val="44"/>
        </w:rPr>
      </w:pPr>
    </w:p>
    <w:p>
      <w:pPr>
        <w:spacing w:line="360" w:lineRule="auto"/>
        <w:ind w:firstLine="562" w:firstLineChars="200"/>
        <w:outlineLvl w:val="1"/>
        <w:rPr>
          <w:rFonts w:ascii="宋体" w:hAnsi="宋体"/>
          <w:b/>
          <w:bCs/>
          <w:sz w:val="28"/>
        </w:rPr>
      </w:pPr>
      <w:bookmarkStart w:id="205" w:name="_Toc3632"/>
      <w:bookmarkStart w:id="206" w:name="_Toc28539"/>
      <w:bookmarkStart w:id="207" w:name="_Toc13207"/>
      <w:bookmarkStart w:id="208" w:name="_Toc10979"/>
      <w:bookmarkStart w:id="209" w:name="_Toc12163"/>
      <w:r>
        <w:rPr>
          <w:rFonts w:hint="eastAsia" w:ascii="宋体" w:hAnsi="宋体"/>
          <w:b/>
          <w:bCs/>
          <w:sz w:val="28"/>
        </w:rPr>
        <w:t>项目编号：</w:t>
      </w:r>
      <w:bookmarkEnd w:id="205"/>
      <w:bookmarkEnd w:id="206"/>
      <w:bookmarkEnd w:id="207"/>
      <w:bookmarkEnd w:id="208"/>
      <w:bookmarkEnd w:id="209"/>
      <w:r>
        <w:rPr>
          <w:rFonts w:hint="eastAsia" w:ascii="宋体" w:hAnsi="宋体" w:cs="Arial"/>
          <w:b/>
          <w:bCs/>
          <w:kern w:val="0"/>
          <w:sz w:val="28"/>
        </w:rPr>
        <w:t xml:space="preserve"> </w:t>
      </w:r>
    </w:p>
    <w:p>
      <w:pPr>
        <w:spacing w:line="360" w:lineRule="atLeast"/>
        <w:outlineLvl w:val="0"/>
        <w:rPr>
          <w:rFonts w:ascii="宋体" w:hAnsi="宋体"/>
          <w:b/>
          <w:sz w:val="28"/>
        </w:rPr>
      </w:pPr>
      <w:r>
        <w:rPr>
          <w:rFonts w:hint="eastAsia" w:ascii="宋体" w:hAnsi="宋体"/>
          <w:sz w:val="28"/>
        </w:rPr>
        <w:t xml:space="preserve">                                                </w:t>
      </w:r>
      <w:bookmarkStart w:id="210" w:name="_Toc25993"/>
      <w:bookmarkStart w:id="211" w:name="_Toc20745"/>
      <w:bookmarkStart w:id="212" w:name="_Toc10052"/>
      <w:bookmarkStart w:id="213" w:name="_Toc20514"/>
      <w:bookmarkStart w:id="214" w:name="_Toc20730"/>
      <w:bookmarkStart w:id="215" w:name="_Toc19914"/>
      <w:bookmarkStart w:id="216" w:name="_Toc18696"/>
      <w:bookmarkStart w:id="217" w:name="_Toc30279"/>
      <w:r>
        <w:rPr>
          <w:rFonts w:hint="eastAsia" w:ascii="宋体" w:hAnsi="宋体"/>
          <w:b/>
          <w:sz w:val="28"/>
        </w:rPr>
        <w:t>（正本或副本）</w:t>
      </w:r>
      <w:bookmarkEnd w:id="210"/>
      <w:bookmarkEnd w:id="211"/>
      <w:bookmarkEnd w:id="212"/>
      <w:bookmarkEnd w:id="213"/>
      <w:bookmarkEnd w:id="214"/>
      <w:bookmarkEnd w:id="215"/>
      <w:bookmarkEnd w:id="216"/>
      <w:bookmarkEnd w:id="217"/>
    </w:p>
    <w:p>
      <w:pPr>
        <w:spacing w:line="360" w:lineRule="atLeast"/>
        <w:rPr>
          <w:rFonts w:ascii="宋体" w:hAnsi="宋体"/>
          <w:sz w:val="24"/>
        </w:rPr>
      </w:pPr>
    </w:p>
    <w:p>
      <w:pPr>
        <w:spacing w:line="360" w:lineRule="atLeast"/>
        <w:rPr>
          <w:rFonts w:ascii="宋体" w:hAnsi="宋体"/>
        </w:rPr>
      </w:pPr>
    </w:p>
    <w:p>
      <w:pPr>
        <w:pStyle w:val="21"/>
        <w:rPr>
          <w:rFonts w:ascii="宋体" w:hAnsi="宋体"/>
        </w:rPr>
      </w:pPr>
    </w:p>
    <w:p>
      <w:pPr>
        <w:jc w:val="center"/>
        <w:rPr>
          <w:rFonts w:ascii="宋体" w:hAnsi="宋体"/>
          <w:b/>
          <w:bCs/>
          <w:sz w:val="36"/>
          <w:szCs w:val="36"/>
        </w:rPr>
      </w:pPr>
    </w:p>
    <w:p>
      <w:pPr>
        <w:spacing w:line="360" w:lineRule="auto"/>
        <w:jc w:val="center"/>
        <w:outlineLvl w:val="1"/>
        <w:rPr>
          <w:b/>
          <w:sz w:val="48"/>
          <w:szCs w:val="48"/>
        </w:rPr>
      </w:pPr>
      <w:r>
        <w:rPr>
          <w:rFonts w:hint="eastAsia"/>
          <w:b/>
          <w:sz w:val="48"/>
          <w:szCs w:val="48"/>
        </w:rPr>
        <w:t>勉县公安局2023年中省政法转移支付</w:t>
      </w:r>
    </w:p>
    <w:p>
      <w:pPr>
        <w:spacing w:line="360" w:lineRule="auto"/>
        <w:jc w:val="center"/>
        <w:outlineLvl w:val="1"/>
        <w:rPr>
          <w:b/>
          <w:sz w:val="48"/>
          <w:szCs w:val="48"/>
        </w:rPr>
      </w:pPr>
      <w:r>
        <w:rPr>
          <w:rFonts w:hint="eastAsia"/>
          <w:b/>
          <w:sz w:val="48"/>
          <w:szCs w:val="48"/>
        </w:rPr>
        <w:t>自定装备（云桌面）项目</w:t>
      </w:r>
    </w:p>
    <w:p>
      <w:pPr>
        <w:jc w:val="center"/>
        <w:rPr>
          <w:rFonts w:ascii="宋体" w:hAnsi="宋体"/>
          <w:b/>
          <w:bCs/>
          <w:sz w:val="36"/>
          <w:szCs w:val="36"/>
        </w:rPr>
      </w:pPr>
    </w:p>
    <w:p>
      <w:pPr>
        <w:jc w:val="center"/>
        <w:rPr>
          <w:rFonts w:ascii="宋体" w:hAnsi="宋体"/>
          <w:b/>
          <w:bCs/>
          <w:sz w:val="36"/>
          <w:szCs w:val="36"/>
        </w:rPr>
      </w:pPr>
    </w:p>
    <w:p>
      <w:pPr>
        <w:pStyle w:val="21"/>
        <w:rPr>
          <w:rFonts w:ascii="宋体" w:hAnsi="宋体"/>
          <w:b/>
          <w:bCs/>
          <w:sz w:val="36"/>
          <w:szCs w:val="36"/>
        </w:rPr>
      </w:pPr>
    </w:p>
    <w:p>
      <w:pPr>
        <w:pStyle w:val="21"/>
        <w:rPr>
          <w:rFonts w:ascii="宋体" w:hAnsi="宋体"/>
          <w:b/>
          <w:bCs/>
          <w:sz w:val="36"/>
          <w:szCs w:val="36"/>
        </w:rPr>
      </w:pPr>
    </w:p>
    <w:p>
      <w:pPr>
        <w:jc w:val="center"/>
        <w:rPr>
          <w:b/>
          <w:sz w:val="48"/>
          <w:szCs w:val="48"/>
        </w:rPr>
      </w:pPr>
      <w:bookmarkStart w:id="218" w:name="_Toc20635"/>
      <w:bookmarkStart w:id="219" w:name="_Toc25668"/>
      <w:bookmarkStart w:id="220" w:name="_Toc3634"/>
      <w:bookmarkStart w:id="221" w:name="_Toc15439"/>
      <w:bookmarkStart w:id="222" w:name="_Toc5674"/>
      <w:r>
        <w:rPr>
          <w:rFonts w:hint="eastAsia"/>
          <w:b/>
          <w:sz w:val="48"/>
          <w:szCs w:val="48"/>
        </w:rPr>
        <w:t>投标文件</w:t>
      </w:r>
      <w:bookmarkEnd w:id="218"/>
      <w:bookmarkEnd w:id="219"/>
      <w:bookmarkEnd w:id="220"/>
      <w:bookmarkEnd w:id="221"/>
      <w:bookmarkEnd w:id="222"/>
    </w:p>
    <w:p>
      <w:pPr>
        <w:rPr>
          <w:rFonts w:ascii="宋体" w:hAnsi="宋体"/>
          <w:b/>
          <w:bCs/>
          <w:sz w:val="36"/>
          <w:szCs w:val="36"/>
        </w:rPr>
      </w:pPr>
    </w:p>
    <w:p>
      <w:pPr>
        <w:pStyle w:val="2"/>
        <w:rPr>
          <w:rFonts w:ascii="宋体" w:hAnsi="宋体"/>
          <w:b/>
          <w:bCs/>
          <w:sz w:val="36"/>
          <w:szCs w:val="36"/>
        </w:rPr>
      </w:pPr>
    </w:p>
    <w:p/>
    <w:p>
      <w:pPr>
        <w:rPr>
          <w:rFonts w:ascii="宋体" w:hAnsi="宋体"/>
          <w:b/>
          <w:bCs/>
          <w:sz w:val="36"/>
          <w:szCs w:val="36"/>
        </w:rPr>
      </w:pPr>
    </w:p>
    <w:p>
      <w:pPr>
        <w:pStyle w:val="2"/>
        <w:rPr>
          <w:rFonts w:ascii="宋体" w:hAnsi="宋体"/>
        </w:rPr>
      </w:pPr>
    </w:p>
    <w:p>
      <w:pPr>
        <w:jc w:val="center"/>
        <w:rPr>
          <w:rFonts w:ascii="宋体" w:hAnsi="宋体"/>
          <w:b/>
          <w:bCs/>
          <w:sz w:val="36"/>
          <w:szCs w:val="36"/>
        </w:rPr>
      </w:pPr>
    </w:p>
    <w:p>
      <w:pPr>
        <w:spacing w:line="360" w:lineRule="auto"/>
        <w:ind w:left="2096" w:leftChars="704" w:hanging="618" w:hangingChars="221"/>
        <w:jc w:val="left"/>
        <w:rPr>
          <w:sz w:val="28"/>
          <w:szCs w:val="28"/>
          <w:u w:val="single"/>
        </w:rPr>
      </w:pPr>
      <w:r>
        <w:rPr>
          <w:rFonts w:hint="eastAsia"/>
          <w:sz w:val="28"/>
          <w:szCs w:val="28"/>
        </w:rPr>
        <w:t>项目名称：</w:t>
      </w:r>
      <w:bookmarkStart w:id="223" w:name="_Toc20605"/>
      <w:bookmarkStart w:id="224" w:name="_Toc15690"/>
      <w:bookmarkStart w:id="225" w:name="_Toc3921"/>
      <w:bookmarkStart w:id="226" w:name="_Toc16541"/>
      <w:bookmarkStart w:id="227" w:name="_Toc13746"/>
      <w:r>
        <w:rPr>
          <w:rFonts w:hint="eastAsia"/>
          <w:sz w:val="28"/>
          <w:szCs w:val="28"/>
          <w:u w:val="single"/>
        </w:rPr>
        <w:t xml:space="preserve">                         </w:t>
      </w:r>
    </w:p>
    <w:p>
      <w:pPr>
        <w:spacing w:line="360" w:lineRule="auto"/>
        <w:ind w:left="2096" w:leftChars="704" w:hanging="618" w:hangingChars="221"/>
        <w:jc w:val="left"/>
        <w:rPr>
          <w:sz w:val="28"/>
          <w:szCs w:val="28"/>
        </w:rPr>
      </w:pPr>
      <w:r>
        <w:rPr>
          <w:rFonts w:hint="eastAsia"/>
          <w:sz w:val="28"/>
          <w:szCs w:val="28"/>
        </w:rPr>
        <w:t>投 标 人：</w:t>
      </w:r>
      <w:r>
        <w:rPr>
          <w:rFonts w:hint="eastAsia"/>
          <w:sz w:val="28"/>
          <w:szCs w:val="28"/>
          <w:u w:val="single"/>
        </w:rPr>
        <w:t xml:space="preserve">                         </w:t>
      </w:r>
      <w:r>
        <w:rPr>
          <w:rFonts w:hint="eastAsia"/>
          <w:sz w:val="28"/>
          <w:szCs w:val="28"/>
        </w:rPr>
        <w:t>（盖单位章）</w:t>
      </w:r>
      <w:bookmarkEnd w:id="223"/>
      <w:bookmarkEnd w:id="224"/>
      <w:bookmarkEnd w:id="225"/>
      <w:bookmarkEnd w:id="226"/>
      <w:bookmarkEnd w:id="227"/>
    </w:p>
    <w:p>
      <w:pPr>
        <w:spacing w:line="360" w:lineRule="auto"/>
        <w:ind w:left="2096" w:leftChars="704" w:hanging="618" w:hangingChars="221"/>
        <w:rPr>
          <w:sz w:val="28"/>
          <w:szCs w:val="28"/>
        </w:rPr>
      </w:pPr>
      <w:bookmarkStart w:id="228" w:name="_Toc29528"/>
      <w:bookmarkStart w:id="229" w:name="_Toc3091"/>
      <w:bookmarkStart w:id="230" w:name="_Toc10643"/>
      <w:bookmarkStart w:id="231" w:name="_Toc23239"/>
      <w:bookmarkStart w:id="232" w:name="_Toc23203"/>
      <w:r>
        <w:rPr>
          <w:rFonts w:hint="eastAsia"/>
          <w:sz w:val="28"/>
          <w:szCs w:val="28"/>
        </w:rPr>
        <w:t>法定代表人或其委托代理人：</w:t>
      </w:r>
      <w:r>
        <w:rPr>
          <w:rFonts w:hint="eastAsia"/>
          <w:sz w:val="28"/>
          <w:szCs w:val="28"/>
          <w:u w:val="single"/>
        </w:rPr>
        <w:t xml:space="preserve">         </w:t>
      </w:r>
      <w:r>
        <w:rPr>
          <w:rFonts w:hint="eastAsia"/>
          <w:sz w:val="28"/>
          <w:szCs w:val="28"/>
        </w:rPr>
        <w:t>（签字或盖章）</w:t>
      </w:r>
      <w:bookmarkEnd w:id="228"/>
      <w:bookmarkEnd w:id="229"/>
      <w:bookmarkEnd w:id="230"/>
      <w:bookmarkEnd w:id="231"/>
      <w:bookmarkEnd w:id="232"/>
    </w:p>
    <w:p>
      <w:pPr>
        <w:spacing w:line="360" w:lineRule="auto"/>
        <w:ind w:left="2096" w:leftChars="704" w:hanging="618" w:hangingChars="221"/>
        <w:rPr>
          <w:sz w:val="28"/>
          <w:szCs w:val="28"/>
        </w:rPr>
      </w:pPr>
      <w:bookmarkStart w:id="233" w:name="_Toc19510"/>
      <w:bookmarkStart w:id="234" w:name="_Toc23806"/>
      <w:bookmarkStart w:id="235" w:name="_Toc15378"/>
      <w:bookmarkStart w:id="236" w:name="_Toc17035"/>
      <w:bookmarkStart w:id="237" w:name="_Toc29833"/>
      <w:r>
        <w:rPr>
          <w:rFonts w:hint="eastAsia"/>
          <w:sz w:val="28"/>
          <w:szCs w:val="28"/>
        </w:rPr>
        <w:t>时    间：</w:t>
      </w:r>
      <w:bookmarkEnd w:id="233"/>
      <w:bookmarkEnd w:id="234"/>
      <w:bookmarkEnd w:id="235"/>
      <w:bookmarkEnd w:id="236"/>
      <w:bookmarkEnd w:id="237"/>
      <w:r>
        <w:rPr>
          <w:rFonts w:hint="eastAsia"/>
          <w:sz w:val="28"/>
          <w:szCs w:val="28"/>
          <w:u w:val="single"/>
        </w:rPr>
        <w:t xml:space="preserve">                         </w:t>
      </w:r>
    </w:p>
    <w:p>
      <w:pPr>
        <w:jc w:val="center"/>
        <w:rPr>
          <w:rFonts w:ascii="宋体" w:hAnsi="宋体"/>
        </w:rPr>
      </w:pPr>
      <w:r>
        <w:rPr>
          <w:rFonts w:ascii="宋体" w:hAnsi="宋体"/>
          <w:b/>
          <w:bCs/>
          <w:sz w:val="36"/>
          <w:szCs w:val="36"/>
        </w:rPr>
        <w:br w:type="page"/>
      </w:r>
    </w:p>
    <w:p>
      <w:pPr>
        <w:jc w:val="center"/>
        <w:outlineLvl w:val="1"/>
        <w:rPr>
          <w:b/>
          <w:sz w:val="36"/>
          <w:szCs w:val="36"/>
        </w:rPr>
      </w:pPr>
      <w:bookmarkStart w:id="238" w:name="_Toc13023"/>
      <w:bookmarkStart w:id="239" w:name="_Toc11973"/>
    </w:p>
    <w:p>
      <w:pPr>
        <w:jc w:val="center"/>
        <w:outlineLvl w:val="1"/>
        <w:rPr>
          <w:b/>
          <w:sz w:val="36"/>
          <w:szCs w:val="36"/>
        </w:rPr>
      </w:pPr>
      <w:r>
        <w:rPr>
          <w:rFonts w:hint="eastAsia"/>
          <w:b/>
          <w:sz w:val="36"/>
          <w:szCs w:val="36"/>
        </w:rPr>
        <w:t>目    录</w:t>
      </w:r>
      <w:bookmarkEnd w:id="238"/>
      <w:bookmarkEnd w:id="239"/>
    </w:p>
    <w:p/>
    <w:p>
      <w:pPr>
        <w:spacing w:line="480" w:lineRule="auto"/>
        <w:ind w:left="1050" w:leftChars="500"/>
        <w:outlineLvl w:val="1"/>
        <w:rPr>
          <w:sz w:val="28"/>
          <w:szCs w:val="28"/>
        </w:rPr>
      </w:pPr>
      <w:bookmarkStart w:id="240" w:name="_Toc29412"/>
      <w:bookmarkStart w:id="241" w:name="_Toc21419"/>
      <w:r>
        <w:rPr>
          <w:rFonts w:hint="eastAsia"/>
          <w:sz w:val="28"/>
          <w:szCs w:val="28"/>
        </w:rPr>
        <w:t>一、投标函</w:t>
      </w:r>
      <w:bookmarkEnd w:id="240"/>
      <w:bookmarkEnd w:id="241"/>
    </w:p>
    <w:p>
      <w:pPr>
        <w:spacing w:line="480" w:lineRule="auto"/>
        <w:ind w:left="1050" w:leftChars="500"/>
        <w:outlineLvl w:val="1"/>
        <w:rPr>
          <w:sz w:val="28"/>
          <w:szCs w:val="28"/>
        </w:rPr>
      </w:pPr>
      <w:bookmarkStart w:id="242" w:name="_Toc19545"/>
      <w:bookmarkStart w:id="243" w:name="_Toc19114"/>
      <w:r>
        <w:rPr>
          <w:rFonts w:hint="eastAsia"/>
          <w:sz w:val="28"/>
          <w:szCs w:val="28"/>
        </w:rPr>
        <w:t>二、开标一览表</w:t>
      </w:r>
      <w:bookmarkEnd w:id="242"/>
      <w:bookmarkEnd w:id="243"/>
    </w:p>
    <w:p>
      <w:pPr>
        <w:spacing w:line="480" w:lineRule="auto"/>
        <w:ind w:left="1050" w:leftChars="500"/>
        <w:outlineLvl w:val="1"/>
        <w:rPr>
          <w:sz w:val="28"/>
          <w:szCs w:val="28"/>
        </w:rPr>
      </w:pPr>
      <w:bookmarkStart w:id="244" w:name="_Toc2756"/>
      <w:bookmarkStart w:id="245" w:name="_Toc30047"/>
      <w:r>
        <w:rPr>
          <w:rFonts w:hint="eastAsia"/>
          <w:sz w:val="28"/>
          <w:szCs w:val="28"/>
        </w:rPr>
        <w:t>三、法定代表人证明书/法定代表人授权书</w:t>
      </w:r>
      <w:bookmarkEnd w:id="244"/>
      <w:bookmarkEnd w:id="245"/>
    </w:p>
    <w:p>
      <w:pPr>
        <w:spacing w:line="480" w:lineRule="auto"/>
        <w:ind w:left="1050" w:leftChars="500"/>
        <w:outlineLvl w:val="1"/>
        <w:rPr>
          <w:sz w:val="28"/>
          <w:szCs w:val="28"/>
        </w:rPr>
      </w:pPr>
      <w:bookmarkStart w:id="246" w:name="_Toc9617"/>
      <w:bookmarkStart w:id="247" w:name="_Toc1894"/>
      <w:r>
        <w:rPr>
          <w:rFonts w:hint="eastAsia"/>
          <w:sz w:val="28"/>
          <w:szCs w:val="28"/>
        </w:rPr>
        <w:t>四、</w:t>
      </w:r>
      <w:bookmarkEnd w:id="246"/>
      <w:bookmarkEnd w:id="247"/>
      <w:r>
        <w:rPr>
          <w:rFonts w:hint="eastAsia"/>
          <w:sz w:val="28"/>
          <w:szCs w:val="28"/>
        </w:rPr>
        <w:t>商务标</w:t>
      </w:r>
    </w:p>
    <w:p>
      <w:pPr>
        <w:spacing w:line="480" w:lineRule="auto"/>
        <w:ind w:left="1050" w:leftChars="500"/>
        <w:outlineLvl w:val="1"/>
        <w:rPr>
          <w:sz w:val="28"/>
          <w:szCs w:val="28"/>
        </w:rPr>
      </w:pPr>
      <w:bookmarkStart w:id="248" w:name="_Toc24865"/>
      <w:bookmarkStart w:id="249" w:name="_Toc9692"/>
      <w:r>
        <w:rPr>
          <w:rFonts w:hint="eastAsia"/>
          <w:sz w:val="28"/>
          <w:szCs w:val="28"/>
        </w:rPr>
        <w:t>五、</w:t>
      </w:r>
      <w:bookmarkEnd w:id="248"/>
      <w:bookmarkEnd w:id="249"/>
      <w:r>
        <w:rPr>
          <w:rFonts w:hint="eastAsia"/>
          <w:sz w:val="28"/>
          <w:szCs w:val="28"/>
        </w:rPr>
        <w:t>技术标</w:t>
      </w:r>
    </w:p>
    <w:p>
      <w:pPr>
        <w:spacing w:line="480" w:lineRule="auto"/>
        <w:ind w:left="1050" w:leftChars="500"/>
        <w:outlineLvl w:val="1"/>
        <w:rPr>
          <w:sz w:val="28"/>
          <w:szCs w:val="28"/>
        </w:rPr>
      </w:pPr>
      <w:bookmarkStart w:id="250" w:name="_Toc31302"/>
      <w:bookmarkStart w:id="251" w:name="_Toc4534"/>
      <w:r>
        <w:rPr>
          <w:rFonts w:hint="eastAsia"/>
          <w:sz w:val="28"/>
          <w:szCs w:val="28"/>
        </w:rPr>
        <w:t>六、资格证明文件</w:t>
      </w:r>
    </w:p>
    <w:bookmarkEnd w:id="250"/>
    <w:bookmarkEnd w:id="251"/>
    <w:p>
      <w:pPr>
        <w:spacing w:line="480" w:lineRule="auto"/>
        <w:ind w:left="1050" w:leftChars="500"/>
        <w:outlineLvl w:val="1"/>
        <w:rPr>
          <w:sz w:val="28"/>
          <w:szCs w:val="28"/>
        </w:rPr>
      </w:pPr>
      <w:bookmarkStart w:id="252" w:name="_Toc150"/>
      <w:bookmarkStart w:id="253" w:name="_Toc9555"/>
      <w:r>
        <w:rPr>
          <w:rFonts w:hint="eastAsia"/>
          <w:sz w:val="28"/>
          <w:szCs w:val="28"/>
        </w:rPr>
        <w:t>七、</w:t>
      </w:r>
      <w:bookmarkEnd w:id="252"/>
      <w:bookmarkEnd w:id="253"/>
      <w:r>
        <w:rPr>
          <w:rFonts w:hint="eastAsia"/>
          <w:sz w:val="28"/>
          <w:szCs w:val="28"/>
        </w:rPr>
        <w:t>投标保证金提交相关证明材料</w:t>
      </w:r>
    </w:p>
    <w:p>
      <w:pPr>
        <w:spacing w:line="480" w:lineRule="auto"/>
        <w:ind w:left="1050" w:leftChars="500"/>
        <w:outlineLvl w:val="1"/>
        <w:rPr>
          <w:sz w:val="28"/>
          <w:szCs w:val="28"/>
        </w:rPr>
      </w:pPr>
      <w:bookmarkStart w:id="254" w:name="_Toc17483"/>
      <w:bookmarkStart w:id="255" w:name="_Toc29371"/>
      <w:r>
        <w:rPr>
          <w:rFonts w:hint="eastAsia"/>
          <w:sz w:val="28"/>
          <w:szCs w:val="28"/>
        </w:rPr>
        <w:t>八、</w:t>
      </w:r>
      <w:bookmarkEnd w:id="254"/>
      <w:bookmarkEnd w:id="255"/>
      <w:r>
        <w:rPr>
          <w:rFonts w:hint="eastAsia" w:hAnsi="宋体"/>
          <w:sz w:val="28"/>
          <w:szCs w:val="28"/>
        </w:rPr>
        <w:t>承诺书</w:t>
      </w:r>
    </w:p>
    <w:p>
      <w:pPr>
        <w:spacing w:line="480" w:lineRule="auto"/>
        <w:ind w:left="1050" w:leftChars="500"/>
        <w:outlineLvl w:val="1"/>
        <w:rPr>
          <w:sz w:val="28"/>
          <w:szCs w:val="28"/>
        </w:rPr>
      </w:pPr>
      <w:bookmarkStart w:id="256" w:name="_Toc20896"/>
      <w:bookmarkStart w:id="257" w:name="_Toc2185"/>
      <w:r>
        <w:rPr>
          <w:rFonts w:hint="eastAsia"/>
          <w:sz w:val="28"/>
          <w:szCs w:val="28"/>
        </w:rPr>
        <w:t>九、</w:t>
      </w:r>
      <w:bookmarkEnd w:id="256"/>
      <w:bookmarkEnd w:id="257"/>
      <w:bookmarkStart w:id="258" w:name="_Toc20483"/>
      <w:bookmarkStart w:id="259" w:name="_Toc17394"/>
      <w:r>
        <w:rPr>
          <w:rFonts w:hint="eastAsia"/>
          <w:sz w:val="28"/>
          <w:szCs w:val="28"/>
        </w:rPr>
        <w:t>其他资料</w:t>
      </w:r>
      <w:bookmarkEnd w:id="258"/>
      <w:bookmarkEnd w:id="259"/>
    </w:p>
    <w:p>
      <w:pPr>
        <w:pStyle w:val="95"/>
        <w:spacing w:line="480" w:lineRule="auto"/>
        <w:rPr>
          <w:rFonts w:ascii="宋体" w:hAnsi="宋体"/>
        </w:rPr>
      </w:pPr>
    </w:p>
    <w:p>
      <w:pPr>
        <w:pStyle w:val="95"/>
        <w:spacing w:line="480" w:lineRule="auto"/>
        <w:rPr>
          <w:rFonts w:ascii="宋体" w:hAnsi="宋体"/>
        </w:rPr>
      </w:pPr>
    </w:p>
    <w:p>
      <w:pPr>
        <w:pStyle w:val="95"/>
        <w:spacing w:line="480" w:lineRule="auto"/>
        <w:rPr>
          <w:rFonts w:ascii="宋体" w:hAnsi="宋体"/>
        </w:rPr>
      </w:pPr>
    </w:p>
    <w:p>
      <w:pPr>
        <w:pStyle w:val="95"/>
        <w:spacing w:line="480" w:lineRule="auto"/>
        <w:rPr>
          <w:rFonts w:ascii="宋体" w:hAnsi="宋体"/>
        </w:rPr>
      </w:pPr>
    </w:p>
    <w:p>
      <w:pPr>
        <w:pStyle w:val="95"/>
        <w:spacing w:line="480" w:lineRule="auto"/>
        <w:rPr>
          <w:rFonts w:ascii="宋体" w:hAnsi="宋体"/>
        </w:rPr>
      </w:pPr>
    </w:p>
    <w:p>
      <w:pPr>
        <w:pStyle w:val="5"/>
        <w:rPr>
          <w:rFonts w:hAnsi="宋体"/>
          <w:sz w:val="28"/>
          <w:szCs w:val="28"/>
        </w:rPr>
      </w:pPr>
      <w:bookmarkStart w:id="260" w:name="_Toc31634"/>
      <w:bookmarkStart w:id="261" w:name="_Toc25134"/>
      <w:bookmarkStart w:id="262" w:name="_Toc18459"/>
      <w:bookmarkStart w:id="263" w:name="_Toc4797"/>
      <w:bookmarkStart w:id="264" w:name="_Toc1666"/>
      <w:r>
        <w:rPr>
          <w:rFonts w:hint="eastAsia" w:hAnsi="宋体"/>
          <w:sz w:val="28"/>
          <w:szCs w:val="28"/>
        </w:rPr>
        <w:br w:type="page"/>
      </w:r>
      <w:bookmarkStart w:id="265" w:name="_Toc31574"/>
      <w:bookmarkStart w:id="266" w:name="_Toc5394"/>
      <w:bookmarkStart w:id="267" w:name="_Toc2237"/>
      <w:bookmarkStart w:id="268" w:name="_Toc15826"/>
      <w:r>
        <w:rPr>
          <w:rFonts w:hint="eastAsia" w:hAnsi="宋体"/>
          <w:sz w:val="28"/>
          <w:szCs w:val="28"/>
        </w:rPr>
        <w:t>一.投标函</w:t>
      </w:r>
      <w:bookmarkEnd w:id="260"/>
      <w:bookmarkEnd w:id="261"/>
      <w:bookmarkEnd w:id="262"/>
      <w:bookmarkEnd w:id="263"/>
      <w:bookmarkEnd w:id="264"/>
      <w:bookmarkEnd w:id="265"/>
      <w:bookmarkEnd w:id="266"/>
      <w:bookmarkEnd w:id="267"/>
      <w:bookmarkEnd w:id="268"/>
    </w:p>
    <w:p>
      <w:pPr>
        <w:tabs>
          <w:tab w:val="left" w:pos="210"/>
        </w:tabs>
        <w:spacing w:line="320" w:lineRule="exact"/>
        <w:jc w:val="center"/>
        <w:rPr>
          <w:rFonts w:ascii="宋体" w:hAnsi="宋体" w:cs="Arial"/>
          <w:b/>
          <w:kern w:val="0"/>
          <w:sz w:val="24"/>
        </w:rPr>
      </w:pPr>
    </w:p>
    <w:p>
      <w:pPr>
        <w:kinsoku w:val="0"/>
        <w:spacing w:line="500" w:lineRule="exact"/>
        <w:rPr>
          <w:rFonts w:ascii="宋体" w:hAnsi="宋体"/>
          <w:sz w:val="24"/>
        </w:rPr>
      </w:pPr>
      <w:r>
        <w:rPr>
          <w:rFonts w:hint="eastAsia" w:ascii="宋体" w:hAnsi="宋体"/>
          <w:sz w:val="24"/>
        </w:rPr>
        <w:t>亿诚建设项目管理有限公司：</w:t>
      </w:r>
    </w:p>
    <w:p>
      <w:pPr>
        <w:kinsoku w:val="0"/>
        <w:spacing w:line="500" w:lineRule="exact"/>
        <w:ind w:firstLine="480" w:firstLineChars="200"/>
        <w:rPr>
          <w:rFonts w:ascii="宋体" w:hAnsi="宋体"/>
          <w:sz w:val="24"/>
        </w:rPr>
      </w:pPr>
      <w:r>
        <w:rPr>
          <w:rFonts w:hint="eastAsia" w:ascii="宋体" w:hAnsi="宋体"/>
          <w:sz w:val="24"/>
        </w:rPr>
        <w:t>我方已仔细研究了</w:t>
      </w:r>
      <w:r>
        <w:rPr>
          <w:rFonts w:hint="eastAsia" w:ascii="宋体" w:hAnsi="宋体"/>
          <w:sz w:val="24"/>
          <w:u w:val="single"/>
        </w:rPr>
        <w:t xml:space="preserve">               （项目名称）</w:t>
      </w:r>
      <w:r>
        <w:rPr>
          <w:rFonts w:hint="eastAsia" w:ascii="宋体" w:hAnsi="宋体"/>
          <w:sz w:val="24"/>
        </w:rPr>
        <w:t>采购文件的全部内容，愿意以人民币（大写）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）的投标总报价投标。供货安装周期</w:t>
      </w:r>
      <w:r>
        <w:rPr>
          <w:rFonts w:hint="eastAsia" w:ascii="宋体" w:hAnsi="宋体"/>
          <w:sz w:val="24"/>
          <w:u w:val="single"/>
        </w:rPr>
        <w:t xml:space="preserve">        </w:t>
      </w:r>
      <w:r>
        <w:rPr>
          <w:rFonts w:hint="eastAsia" w:ascii="宋体" w:hAnsi="宋体"/>
          <w:sz w:val="24"/>
        </w:rPr>
        <w:t>。我方郑重承诺以下内容：</w:t>
      </w:r>
    </w:p>
    <w:p>
      <w:pPr>
        <w:kinsoku w:val="0"/>
        <w:spacing w:line="500" w:lineRule="exact"/>
        <w:ind w:firstLine="480" w:firstLineChars="200"/>
        <w:rPr>
          <w:rFonts w:ascii="宋体" w:hAnsi="宋体"/>
          <w:sz w:val="24"/>
        </w:rPr>
      </w:pPr>
      <w:r>
        <w:rPr>
          <w:rFonts w:hint="eastAsia" w:ascii="宋体" w:hAnsi="宋体"/>
          <w:sz w:val="24"/>
        </w:rPr>
        <w:t>1、按照采购文件中的一切要求，提供后期完全满足采购需求的合格服务和全面技术、售后服务保障。</w:t>
      </w:r>
    </w:p>
    <w:p>
      <w:pPr>
        <w:kinsoku w:val="0"/>
        <w:spacing w:line="500" w:lineRule="exact"/>
        <w:ind w:firstLine="480" w:firstLineChars="200"/>
        <w:rPr>
          <w:rFonts w:ascii="宋体" w:hAnsi="宋体"/>
          <w:sz w:val="24"/>
        </w:rPr>
      </w:pPr>
      <w:r>
        <w:rPr>
          <w:rFonts w:hint="eastAsia" w:ascii="宋体" w:hAnsi="宋体"/>
          <w:sz w:val="24"/>
        </w:rPr>
        <w:t>2、如若中标，将根据采购文件的要求、投标文件及服务承诺，全面服务于本项目指定地点。</w:t>
      </w:r>
    </w:p>
    <w:p>
      <w:pPr>
        <w:spacing w:line="500" w:lineRule="exact"/>
        <w:ind w:firstLine="480" w:firstLineChars="200"/>
        <w:rPr>
          <w:rFonts w:ascii="宋体" w:hAnsi="宋体"/>
          <w:sz w:val="24"/>
        </w:rPr>
      </w:pPr>
      <w:r>
        <w:rPr>
          <w:rFonts w:hint="eastAsia" w:ascii="宋体" w:hAnsi="宋体"/>
          <w:sz w:val="24"/>
        </w:rPr>
        <w:t>3、我方提交的投标文件共</w:t>
      </w:r>
      <w:r>
        <w:rPr>
          <w:rFonts w:hint="eastAsia" w:ascii="宋体" w:hAnsi="宋体"/>
          <w:sz w:val="24"/>
          <w:u w:val="single"/>
        </w:rPr>
        <w:t xml:space="preserve">  </w:t>
      </w:r>
      <w:r>
        <w:rPr>
          <w:rFonts w:hint="eastAsia" w:ascii="宋体" w:hAnsi="宋体"/>
          <w:sz w:val="24"/>
        </w:rPr>
        <w:t>份，其中正本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份及</w:t>
      </w:r>
      <w:r>
        <w:rPr>
          <w:rFonts w:ascii="宋体" w:hAnsi="宋体" w:cs="Arial"/>
          <w:sz w:val="24"/>
        </w:rPr>
        <w:t>电子版</w:t>
      </w:r>
      <w:r>
        <w:rPr>
          <w:rFonts w:hint="eastAsia" w:ascii="宋体" w:hAnsi="宋体" w:cs="Arial"/>
          <w:sz w:val="24"/>
        </w:rPr>
        <w:t>投</w:t>
      </w:r>
      <w:r>
        <w:rPr>
          <w:rFonts w:ascii="宋体" w:hAnsi="宋体" w:cs="Arial"/>
          <w:sz w:val="24"/>
        </w:rPr>
        <w:t>标文件（U盘）壹份</w:t>
      </w:r>
      <w:r>
        <w:rPr>
          <w:rFonts w:hint="eastAsia" w:ascii="宋体" w:hAnsi="宋体"/>
          <w:sz w:val="24"/>
        </w:rPr>
        <w:t>。</w:t>
      </w:r>
    </w:p>
    <w:p>
      <w:pPr>
        <w:kinsoku w:val="0"/>
        <w:spacing w:line="500" w:lineRule="exact"/>
        <w:ind w:firstLine="480" w:firstLineChars="200"/>
        <w:outlineLvl w:val="2"/>
        <w:rPr>
          <w:rFonts w:ascii="宋体" w:hAnsi="宋体"/>
          <w:sz w:val="24"/>
        </w:rPr>
      </w:pPr>
      <w:r>
        <w:rPr>
          <w:rFonts w:hint="eastAsia" w:ascii="宋体" w:hAnsi="宋体"/>
          <w:sz w:val="24"/>
        </w:rPr>
        <w:t>4、我方按采购文件要求缴纳投标保证金为</w:t>
      </w:r>
      <w:r>
        <w:rPr>
          <w:rFonts w:hint="eastAsia" w:ascii="宋体" w:hAnsi="宋体"/>
          <w:sz w:val="24"/>
          <w:u w:val="single"/>
        </w:rPr>
        <w:t>：    万元</w:t>
      </w:r>
      <w:r>
        <w:rPr>
          <w:rFonts w:hint="eastAsia" w:ascii="宋体" w:hAnsi="宋体"/>
          <w:sz w:val="24"/>
        </w:rPr>
        <w:t>。</w:t>
      </w:r>
    </w:p>
    <w:p>
      <w:pPr>
        <w:kinsoku w:val="0"/>
        <w:spacing w:line="500" w:lineRule="exact"/>
        <w:ind w:firstLine="480" w:firstLineChars="200"/>
        <w:rPr>
          <w:rFonts w:ascii="宋体" w:hAnsi="宋体"/>
          <w:sz w:val="24"/>
        </w:rPr>
      </w:pPr>
      <w:r>
        <w:rPr>
          <w:rFonts w:hint="eastAsia" w:ascii="宋体" w:hAnsi="宋体"/>
          <w:sz w:val="24"/>
        </w:rPr>
        <w:t>5、我方已详细阅读和核实全部采购文件内容，完全理解并同意放弃提出含糊不清和误解问题的权力。</w:t>
      </w:r>
    </w:p>
    <w:p>
      <w:pPr>
        <w:kinsoku w:val="0"/>
        <w:spacing w:line="500" w:lineRule="exact"/>
        <w:ind w:firstLine="480" w:firstLineChars="200"/>
        <w:rPr>
          <w:rFonts w:ascii="宋体" w:hAnsi="宋体"/>
          <w:sz w:val="24"/>
        </w:rPr>
      </w:pPr>
      <w:r>
        <w:rPr>
          <w:rFonts w:hint="eastAsia" w:ascii="宋体" w:hAnsi="宋体"/>
          <w:sz w:val="24"/>
        </w:rPr>
        <w:t>6、同意提供贵方要求的与本次招标有关的任何证明资料。</w:t>
      </w:r>
    </w:p>
    <w:p>
      <w:pPr>
        <w:kinsoku w:val="0"/>
        <w:spacing w:line="500" w:lineRule="exact"/>
        <w:ind w:firstLine="480" w:firstLineChars="200"/>
        <w:rPr>
          <w:rFonts w:ascii="宋体" w:hAnsi="宋体"/>
          <w:sz w:val="24"/>
        </w:rPr>
      </w:pPr>
      <w:r>
        <w:rPr>
          <w:rFonts w:hint="eastAsia" w:ascii="宋体" w:hAnsi="宋体"/>
          <w:sz w:val="24"/>
        </w:rPr>
        <w:t>7、我方的投标文件有效期为自开标之日起</w:t>
      </w:r>
      <w:r>
        <w:rPr>
          <w:rFonts w:ascii="宋体" w:hAnsi="宋体"/>
          <w:sz w:val="24"/>
          <w:u w:val="single"/>
        </w:rPr>
        <w:t xml:space="preserve">    </w:t>
      </w:r>
      <w:r>
        <w:rPr>
          <w:rFonts w:hint="eastAsia" w:ascii="宋体" w:hAnsi="宋体"/>
          <w:sz w:val="24"/>
        </w:rPr>
        <w:t>天。</w:t>
      </w:r>
    </w:p>
    <w:p>
      <w:pPr>
        <w:kinsoku w:val="0"/>
        <w:spacing w:line="500" w:lineRule="exact"/>
        <w:ind w:firstLine="480" w:firstLineChars="200"/>
        <w:rPr>
          <w:rFonts w:ascii="宋体" w:hAnsi="宋体"/>
          <w:sz w:val="24"/>
        </w:rPr>
      </w:pPr>
      <w:r>
        <w:rPr>
          <w:rFonts w:hint="eastAsia" w:ascii="宋体" w:hAnsi="宋体"/>
          <w:sz w:val="24"/>
        </w:rPr>
        <w:t>8、所有关于本次投标的函电，请按下列地址、方式联系：</w:t>
      </w:r>
    </w:p>
    <w:p>
      <w:pPr>
        <w:kinsoku w:val="0"/>
        <w:spacing w:line="500" w:lineRule="exact"/>
        <w:ind w:firstLine="840"/>
        <w:rPr>
          <w:rFonts w:ascii="宋体" w:hAnsi="宋体"/>
          <w:sz w:val="24"/>
        </w:rPr>
      </w:pPr>
    </w:p>
    <w:p>
      <w:pPr>
        <w:kinsoku w:val="0"/>
        <w:spacing w:line="500" w:lineRule="exact"/>
        <w:ind w:firstLine="840"/>
        <w:rPr>
          <w:rFonts w:ascii="宋体" w:hAnsi="宋体"/>
          <w:sz w:val="24"/>
        </w:rPr>
      </w:pPr>
    </w:p>
    <w:p>
      <w:pPr>
        <w:kinsoku w:val="0"/>
        <w:spacing w:line="500" w:lineRule="exact"/>
        <w:ind w:firstLine="840"/>
        <w:rPr>
          <w:rFonts w:ascii="宋体" w:hAnsi="宋体"/>
          <w:sz w:val="24"/>
        </w:rPr>
      </w:pPr>
      <w:r>
        <w:rPr>
          <w:rFonts w:hint="eastAsia" w:ascii="宋体" w:hAnsi="宋体"/>
          <w:sz w:val="24"/>
        </w:rPr>
        <w:t>地    址：</w:t>
      </w:r>
      <w:r>
        <w:rPr>
          <w:rFonts w:hint="eastAsia" w:ascii="宋体" w:hAnsi="宋体"/>
          <w:sz w:val="24"/>
          <w:u w:val="single"/>
        </w:rPr>
        <w:t xml:space="preserve">                                                     </w:t>
      </w:r>
    </w:p>
    <w:p>
      <w:pPr>
        <w:kinsoku w:val="0"/>
        <w:spacing w:line="500" w:lineRule="exact"/>
        <w:ind w:firstLine="840"/>
        <w:rPr>
          <w:rFonts w:ascii="宋体" w:hAnsi="宋体"/>
          <w:sz w:val="24"/>
          <w:u w:val="single"/>
        </w:rPr>
      </w:pPr>
      <w:r>
        <w:rPr>
          <w:rFonts w:hint="eastAsia" w:ascii="宋体" w:hAnsi="宋体"/>
          <w:sz w:val="24"/>
        </w:rPr>
        <w:t>电    话：</w:t>
      </w:r>
      <w:r>
        <w:rPr>
          <w:rFonts w:hint="eastAsia" w:ascii="宋体" w:hAnsi="宋体"/>
          <w:sz w:val="24"/>
          <w:u w:val="single"/>
        </w:rPr>
        <w:t xml:space="preserve">                                                     </w:t>
      </w:r>
    </w:p>
    <w:p>
      <w:pPr>
        <w:kinsoku w:val="0"/>
        <w:spacing w:line="500" w:lineRule="exact"/>
        <w:ind w:firstLine="840"/>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kinsoku w:val="0"/>
        <w:spacing w:line="500" w:lineRule="exact"/>
        <w:ind w:firstLine="840"/>
        <w:rPr>
          <w:rFonts w:ascii="宋体" w:hAnsi="宋体"/>
          <w:sz w:val="24"/>
          <w:u w:val="single"/>
        </w:rPr>
      </w:pPr>
      <w:r>
        <w:rPr>
          <w:rFonts w:hint="eastAsia" w:ascii="宋体" w:hAnsi="宋体"/>
          <w:sz w:val="24"/>
        </w:rPr>
        <w:t>邮    编：</w:t>
      </w:r>
      <w:r>
        <w:rPr>
          <w:rFonts w:hint="eastAsia" w:ascii="宋体" w:hAnsi="宋体"/>
          <w:sz w:val="24"/>
          <w:u w:val="single"/>
        </w:rPr>
        <w:t xml:space="preserve">                                                     </w:t>
      </w:r>
    </w:p>
    <w:p>
      <w:pPr>
        <w:kinsoku w:val="0"/>
        <w:spacing w:line="500" w:lineRule="exact"/>
        <w:ind w:firstLine="808" w:firstLineChars="337"/>
        <w:rPr>
          <w:rFonts w:ascii="宋体" w:hAnsi="宋体"/>
          <w:sz w:val="24"/>
        </w:rPr>
      </w:pPr>
      <w:r>
        <w:rPr>
          <w:rFonts w:hint="eastAsia" w:ascii="宋体" w:hAnsi="宋体"/>
          <w:sz w:val="24"/>
        </w:rPr>
        <w:t>投标人：全称（公章）</w:t>
      </w:r>
      <w:r>
        <w:rPr>
          <w:rFonts w:hint="eastAsia" w:ascii="宋体" w:hAnsi="宋体"/>
          <w:sz w:val="24"/>
          <w:u w:val="single"/>
        </w:rPr>
        <w:t xml:space="preserve">                                           </w:t>
      </w:r>
    </w:p>
    <w:p>
      <w:pPr>
        <w:kinsoku w:val="0"/>
        <w:spacing w:line="500" w:lineRule="exact"/>
        <w:ind w:firstLine="808" w:firstLineChars="337"/>
        <w:rPr>
          <w:rFonts w:ascii="宋体" w:hAnsi="宋体"/>
          <w:sz w:val="24"/>
          <w:u w:val="single"/>
        </w:rPr>
      </w:pPr>
      <w:r>
        <w:rPr>
          <w:rFonts w:hint="eastAsia" w:ascii="宋体" w:hAnsi="宋体"/>
          <w:sz w:val="24"/>
        </w:rPr>
        <w:t>法定代表人（签字并盖章）：</w:t>
      </w:r>
      <w:r>
        <w:rPr>
          <w:rFonts w:hint="eastAsia" w:ascii="宋体" w:hAnsi="宋体"/>
          <w:sz w:val="24"/>
          <w:u w:val="single"/>
        </w:rPr>
        <w:t xml:space="preserve">                                     </w:t>
      </w:r>
    </w:p>
    <w:p>
      <w:pPr>
        <w:kinsoku w:val="0"/>
        <w:spacing w:line="500" w:lineRule="exact"/>
        <w:ind w:firstLine="808" w:firstLineChars="337"/>
        <w:rPr>
          <w:rFonts w:ascii="宋体" w:hAnsi="宋体"/>
          <w:sz w:val="24"/>
          <w:u w:val="single"/>
        </w:rPr>
      </w:pPr>
      <w:r>
        <w:rPr>
          <w:rFonts w:hint="eastAsia" w:ascii="宋体" w:hAnsi="宋体"/>
          <w:sz w:val="24"/>
        </w:rPr>
        <w:t>被授权人（签字或盖章）：</w:t>
      </w:r>
      <w:r>
        <w:rPr>
          <w:rFonts w:hint="eastAsia" w:ascii="宋体" w:hAnsi="宋体"/>
          <w:sz w:val="24"/>
          <w:u w:val="single"/>
        </w:rPr>
        <w:t xml:space="preserve">                                       </w:t>
      </w:r>
    </w:p>
    <w:p>
      <w:pPr>
        <w:kinsoku w:val="0"/>
        <w:spacing w:line="500" w:lineRule="exact"/>
        <w:rPr>
          <w:rFonts w:ascii="宋体" w:hAnsi="宋体"/>
          <w:sz w:val="24"/>
          <w:u w:val="single"/>
        </w:rPr>
      </w:pPr>
    </w:p>
    <w:p>
      <w:pPr>
        <w:pStyle w:val="5"/>
        <w:rPr>
          <w:rFonts w:hAnsi="宋体"/>
          <w:sz w:val="28"/>
          <w:szCs w:val="28"/>
        </w:rPr>
      </w:pPr>
      <w:bookmarkStart w:id="269" w:name="_Toc21201"/>
      <w:bookmarkStart w:id="270" w:name="_Toc27672"/>
      <w:bookmarkStart w:id="271" w:name="_Toc20441"/>
      <w:bookmarkStart w:id="272" w:name="_Toc15033"/>
      <w:bookmarkStart w:id="273" w:name="_Toc1735"/>
      <w:bookmarkStart w:id="274" w:name="_Toc12665"/>
      <w:bookmarkStart w:id="275" w:name="_Toc20364"/>
      <w:bookmarkStart w:id="276" w:name="_Toc18682"/>
      <w:bookmarkStart w:id="277" w:name="_Toc7587"/>
      <w:r>
        <w:rPr>
          <w:rFonts w:hint="eastAsia" w:hAnsi="宋体"/>
          <w:sz w:val="28"/>
          <w:szCs w:val="28"/>
        </w:rPr>
        <w:t>二.开标一览表</w:t>
      </w:r>
      <w:bookmarkEnd w:id="269"/>
      <w:bookmarkEnd w:id="270"/>
      <w:bookmarkEnd w:id="271"/>
      <w:bookmarkEnd w:id="272"/>
      <w:bookmarkEnd w:id="273"/>
      <w:bookmarkEnd w:id="274"/>
      <w:bookmarkEnd w:id="275"/>
      <w:bookmarkEnd w:id="276"/>
      <w:bookmarkEnd w:id="277"/>
    </w:p>
    <w:p>
      <w:pPr>
        <w:spacing w:line="480" w:lineRule="exact"/>
        <w:ind w:firstLine="560" w:firstLineChars="200"/>
        <w:rPr>
          <w:rFonts w:ascii="宋体" w:hAnsi="宋体"/>
          <w:sz w:val="28"/>
          <w:szCs w:val="28"/>
        </w:rPr>
      </w:pPr>
      <w:r>
        <w:rPr>
          <w:rFonts w:hint="eastAsia" w:ascii="宋体" w:hAnsi="宋体"/>
          <w:sz w:val="28"/>
          <w:szCs w:val="28"/>
        </w:rPr>
        <w:t xml:space="preserve">                      1、开标一览表                               </w:t>
      </w:r>
    </w:p>
    <w:tbl>
      <w:tblPr>
        <w:tblStyle w:val="35"/>
        <w:tblW w:w="7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37" w:type="dxa"/>
            <w:vAlign w:val="center"/>
          </w:tcPr>
          <w:p>
            <w:pPr>
              <w:jc w:val="center"/>
              <w:rPr>
                <w:rFonts w:ascii="宋体" w:hAnsi="宋体"/>
                <w:sz w:val="24"/>
              </w:rPr>
            </w:pPr>
            <w:r>
              <w:rPr>
                <w:rFonts w:hint="eastAsia" w:ascii="宋体" w:hAnsi="宋体"/>
                <w:sz w:val="24"/>
              </w:rPr>
              <w:t>采购项目</w:t>
            </w:r>
            <w:r>
              <w:rPr>
                <w:rFonts w:hint="eastAsia" w:ascii="宋体" w:hAnsi="宋体" w:cs="宋体"/>
                <w:sz w:val="24"/>
              </w:rPr>
              <w:t>名称</w:t>
            </w:r>
          </w:p>
        </w:tc>
        <w:tc>
          <w:tcPr>
            <w:tcW w:w="588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37" w:type="dxa"/>
            <w:vAlign w:val="center"/>
          </w:tcPr>
          <w:p>
            <w:pPr>
              <w:jc w:val="center"/>
              <w:rPr>
                <w:rFonts w:ascii="宋体" w:hAnsi="宋体"/>
                <w:sz w:val="24"/>
              </w:rPr>
            </w:pPr>
            <w:r>
              <w:rPr>
                <w:rFonts w:hint="eastAsia" w:ascii="宋体" w:hAnsi="宋体"/>
                <w:sz w:val="24"/>
              </w:rPr>
              <w:t>采购项目编号</w:t>
            </w:r>
          </w:p>
        </w:tc>
        <w:tc>
          <w:tcPr>
            <w:tcW w:w="5882"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37" w:type="dxa"/>
            <w:vAlign w:val="center"/>
          </w:tcPr>
          <w:p>
            <w:pPr>
              <w:jc w:val="center"/>
              <w:rPr>
                <w:rFonts w:ascii="宋体" w:hAnsi="宋体"/>
                <w:sz w:val="24"/>
              </w:rPr>
            </w:pPr>
            <w:r>
              <w:rPr>
                <w:rFonts w:hint="eastAsia" w:ascii="宋体" w:hAnsi="宋体"/>
                <w:sz w:val="24"/>
              </w:rPr>
              <w:t>投标人名称</w:t>
            </w:r>
          </w:p>
        </w:tc>
        <w:tc>
          <w:tcPr>
            <w:tcW w:w="588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837" w:type="dxa"/>
            <w:vMerge w:val="restart"/>
            <w:vAlign w:val="center"/>
          </w:tcPr>
          <w:p>
            <w:pPr>
              <w:jc w:val="center"/>
              <w:rPr>
                <w:rFonts w:ascii="宋体" w:hAnsi="宋体"/>
                <w:sz w:val="24"/>
              </w:rPr>
            </w:pPr>
            <w:r>
              <w:rPr>
                <w:rFonts w:hint="eastAsia" w:ascii="宋体" w:hAnsi="宋体"/>
                <w:sz w:val="24"/>
              </w:rPr>
              <w:t>投标总报价</w:t>
            </w:r>
          </w:p>
        </w:tc>
        <w:tc>
          <w:tcPr>
            <w:tcW w:w="5882" w:type="dxa"/>
            <w:vAlign w:val="center"/>
          </w:tcPr>
          <w:p>
            <w:pPr>
              <w:rPr>
                <w:rFonts w:ascii="宋体" w:hAnsi="宋体"/>
                <w:sz w:val="24"/>
              </w:rPr>
            </w:pPr>
            <w:r>
              <w:rPr>
                <w:rFonts w:hint="eastAsia" w:ascii="宋体"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37" w:type="dxa"/>
            <w:vMerge w:val="continue"/>
            <w:vAlign w:val="center"/>
          </w:tcPr>
          <w:p>
            <w:pPr>
              <w:jc w:val="center"/>
              <w:rPr>
                <w:rFonts w:ascii="宋体" w:hAnsi="宋体"/>
                <w:sz w:val="24"/>
              </w:rPr>
            </w:pPr>
          </w:p>
        </w:tc>
        <w:tc>
          <w:tcPr>
            <w:tcW w:w="5882" w:type="dxa"/>
            <w:vAlign w:val="center"/>
          </w:tcPr>
          <w:p>
            <w:pPr>
              <w:rPr>
                <w:rFonts w:ascii="宋体" w:hAnsi="宋体"/>
                <w:sz w:val="24"/>
              </w:rPr>
            </w:pPr>
            <w:r>
              <w:rPr>
                <w:rFonts w:hint="eastAsia" w:ascii="宋体" w:hAnsi="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7" w:type="dxa"/>
            <w:vAlign w:val="center"/>
          </w:tcPr>
          <w:p>
            <w:pPr>
              <w:jc w:val="center"/>
              <w:rPr>
                <w:rFonts w:ascii="宋体" w:hAnsi="宋体"/>
                <w:sz w:val="24"/>
              </w:rPr>
            </w:pPr>
            <w:r>
              <w:rPr>
                <w:rFonts w:hint="eastAsia" w:ascii="宋体" w:hAnsi="宋体"/>
                <w:sz w:val="24"/>
              </w:rPr>
              <w:t>供货安装周期（日历天）</w:t>
            </w:r>
          </w:p>
        </w:tc>
        <w:tc>
          <w:tcPr>
            <w:tcW w:w="588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7" w:type="dxa"/>
            <w:vAlign w:val="center"/>
          </w:tcPr>
          <w:p>
            <w:pPr>
              <w:jc w:val="center"/>
              <w:rPr>
                <w:rFonts w:ascii="宋体" w:hAnsi="宋体"/>
                <w:sz w:val="24"/>
              </w:rPr>
            </w:pPr>
            <w:r>
              <w:rPr>
                <w:rFonts w:hint="eastAsia" w:ascii="宋体" w:hAnsi="宋体"/>
                <w:sz w:val="24"/>
              </w:rPr>
              <w:t>质保期（年）</w:t>
            </w:r>
          </w:p>
        </w:tc>
        <w:tc>
          <w:tcPr>
            <w:tcW w:w="588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37" w:type="dxa"/>
            <w:vAlign w:val="center"/>
          </w:tcPr>
          <w:p>
            <w:pPr>
              <w:jc w:val="center"/>
              <w:rPr>
                <w:rFonts w:ascii="宋体" w:hAnsi="宋体"/>
                <w:sz w:val="24"/>
              </w:rPr>
            </w:pPr>
            <w:r>
              <w:rPr>
                <w:rFonts w:hint="eastAsia" w:ascii="宋体" w:hAnsi="宋体"/>
                <w:sz w:val="24"/>
              </w:rPr>
              <w:t>质量</w:t>
            </w:r>
          </w:p>
        </w:tc>
        <w:tc>
          <w:tcPr>
            <w:tcW w:w="588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837" w:type="dxa"/>
            <w:vAlign w:val="center"/>
          </w:tcPr>
          <w:p>
            <w:pPr>
              <w:jc w:val="center"/>
              <w:rPr>
                <w:rFonts w:ascii="宋体" w:hAnsi="宋体"/>
                <w:sz w:val="24"/>
              </w:rPr>
            </w:pPr>
            <w:r>
              <w:rPr>
                <w:rFonts w:hint="eastAsia" w:ascii="宋体" w:hAnsi="宋体"/>
                <w:sz w:val="24"/>
              </w:rPr>
              <w:t>说  明</w:t>
            </w:r>
          </w:p>
        </w:tc>
        <w:tc>
          <w:tcPr>
            <w:tcW w:w="5882" w:type="dxa"/>
          </w:tcPr>
          <w:p>
            <w:pPr>
              <w:rPr>
                <w:rFonts w:ascii="宋体" w:hAnsi="宋体"/>
                <w:sz w:val="24"/>
              </w:rPr>
            </w:pPr>
          </w:p>
        </w:tc>
      </w:tr>
    </w:tbl>
    <w:p>
      <w:pPr>
        <w:spacing w:line="440" w:lineRule="exact"/>
        <w:rPr>
          <w:rFonts w:ascii="宋体" w:hAnsi="宋体"/>
          <w:sz w:val="24"/>
        </w:rPr>
      </w:pPr>
      <w:r>
        <w:rPr>
          <w:rFonts w:hint="eastAsia" w:ascii="宋体" w:hAnsi="宋体"/>
          <w:sz w:val="24"/>
        </w:rPr>
        <w:t>注：1、本表价格应按投标总价填写，同时应保证投标文件的正、副本中仍有此表且一致。</w:t>
      </w:r>
    </w:p>
    <w:p>
      <w:pPr>
        <w:spacing w:line="440" w:lineRule="exact"/>
        <w:ind w:firstLine="360" w:firstLineChars="150"/>
        <w:rPr>
          <w:rFonts w:ascii="宋体" w:hAnsi="宋体"/>
          <w:sz w:val="24"/>
        </w:rPr>
      </w:pPr>
      <w:r>
        <w:rPr>
          <w:rFonts w:hint="eastAsia" w:ascii="宋体" w:hAnsi="宋体"/>
          <w:sz w:val="24"/>
        </w:rPr>
        <w:t xml:space="preserve"> 2、此表中任何信息与投标文件其他处不一致时以此表为准。</w:t>
      </w:r>
    </w:p>
    <w:p>
      <w:pPr>
        <w:spacing w:line="440" w:lineRule="exact"/>
        <w:ind w:firstLine="360" w:firstLineChars="150"/>
        <w:rPr>
          <w:rFonts w:ascii="宋体" w:hAnsi="宋体"/>
          <w:sz w:val="24"/>
        </w:rPr>
      </w:pPr>
      <w:r>
        <w:rPr>
          <w:rFonts w:hint="eastAsia" w:ascii="宋体" w:hAnsi="宋体"/>
          <w:sz w:val="24"/>
        </w:rPr>
        <w:t xml:space="preserve"> 3、报价保留小数点后两位。</w:t>
      </w:r>
    </w:p>
    <w:p>
      <w:pPr>
        <w:spacing w:line="440" w:lineRule="exact"/>
        <w:rPr>
          <w:rFonts w:ascii="宋体" w:hAnsi="宋体"/>
          <w:sz w:val="24"/>
        </w:rPr>
      </w:pPr>
    </w:p>
    <w:p>
      <w:pPr>
        <w:spacing w:line="440" w:lineRule="exact"/>
        <w:rPr>
          <w:rFonts w:ascii="宋体" w:hAnsi="宋体"/>
          <w:sz w:val="24"/>
        </w:rPr>
      </w:pPr>
    </w:p>
    <w:p>
      <w:pPr>
        <w:spacing w:line="360" w:lineRule="auto"/>
        <w:ind w:firstLine="1478" w:firstLineChars="616"/>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60" w:lineRule="auto"/>
        <w:ind w:firstLine="1478" w:firstLineChars="616"/>
        <w:contextualSpacing/>
        <w:rPr>
          <w:rFonts w:ascii="宋体" w:hAnsi="宋体"/>
          <w:sz w:val="24"/>
        </w:rPr>
      </w:pPr>
      <w:r>
        <w:rPr>
          <w:rFonts w:hint="eastAsia" w:ascii="宋体" w:hAnsi="宋体"/>
          <w:sz w:val="24"/>
        </w:rPr>
        <w:t>法定代表人或授权委托人：</w:t>
      </w:r>
      <w:r>
        <w:rPr>
          <w:rFonts w:hint="eastAsia" w:ascii="宋体" w:hAnsi="宋体"/>
          <w:sz w:val="24"/>
          <w:u w:val="single"/>
        </w:rPr>
        <w:t xml:space="preserve">                  </w:t>
      </w:r>
      <w:r>
        <w:rPr>
          <w:rFonts w:hint="eastAsia" w:ascii="宋体" w:hAnsi="宋体"/>
          <w:sz w:val="24"/>
        </w:rPr>
        <w:t xml:space="preserve">（签字或盖章）  </w:t>
      </w:r>
    </w:p>
    <w:p>
      <w:pPr>
        <w:spacing w:line="360" w:lineRule="auto"/>
        <w:ind w:firstLine="1478" w:firstLineChars="616"/>
        <w:rPr>
          <w:rFonts w:ascii="宋体" w:hAnsi="宋体"/>
          <w:sz w:val="24"/>
        </w:rPr>
      </w:pPr>
      <w:r>
        <w:rPr>
          <w:rFonts w:hint="eastAsia" w:ascii="宋体" w:hAnsi="宋体"/>
          <w:sz w:val="24"/>
        </w:rPr>
        <w:t>日  期：</w:t>
      </w:r>
      <w:r>
        <w:rPr>
          <w:rFonts w:hint="eastAsia" w:ascii="宋体" w:hAnsi="宋体"/>
          <w:sz w:val="24"/>
          <w:u w:val="single"/>
        </w:rPr>
        <w:t xml:space="preserve">                                  </w:t>
      </w:r>
    </w:p>
    <w:p>
      <w:pPr>
        <w:tabs>
          <w:tab w:val="left" w:pos="210"/>
        </w:tabs>
        <w:spacing w:line="320" w:lineRule="exact"/>
        <w:jc w:val="center"/>
        <w:rPr>
          <w:rFonts w:ascii="宋体" w:hAnsi="宋体" w:cs="Arial"/>
          <w:b/>
          <w:kern w:val="0"/>
          <w:sz w:val="24"/>
        </w:rPr>
      </w:pPr>
    </w:p>
    <w:p>
      <w:pPr>
        <w:tabs>
          <w:tab w:val="left" w:pos="210"/>
        </w:tabs>
        <w:spacing w:line="320" w:lineRule="exact"/>
        <w:jc w:val="center"/>
        <w:rPr>
          <w:rFonts w:ascii="宋体" w:hAnsi="宋体" w:cs="Arial"/>
          <w:b/>
          <w:kern w:val="0"/>
          <w:sz w:val="24"/>
        </w:rPr>
      </w:pPr>
    </w:p>
    <w:p>
      <w:pPr>
        <w:jc w:val="center"/>
        <w:rPr>
          <w:rFonts w:ascii="宋体" w:hAnsi="宋体"/>
          <w:b/>
          <w:bCs/>
          <w:sz w:val="32"/>
          <w:szCs w:val="32"/>
        </w:rPr>
      </w:pPr>
    </w:p>
    <w:p>
      <w:pPr>
        <w:jc w:val="center"/>
        <w:rPr>
          <w:rFonts w:ascii="宋体" w:hAnsi="宋体"/>
          <w:b/>
          <w:bCs/>
          <w:sz w:val="32"/>
          <w:szCs w:val="32"/>
        </w:rPr>
      </w:pPr>
    </w:p>
    <w:p>
      <w:pPr>
        <w:numPr>
          <w:ilvl w:val="0"/>
          <w:numId w:val="6"/>
        </w:numPr>
        <w:ind w:firstLine="643" w:firstLineChars="200"/>
        <w:jc w:val="center"/>
        <w:outlineLvl w:val="2"/>
        <w:rPr>
          <w:rFonts w:ascii="宋体" w:hAnsi="宋体"/>
          <w:b/>
          <w:bCs/>
          <w:sz w:val="32"/>
          <w:szCs w:val="32"/>
        </w:rPr>
      </w:pPr>
      <w:r>
        <w:rPr>
          <w:rFonts w:hint="eastAsia" w:ascii="宋体" w:hAnsi="宋体"/>
          <w:b/>
          <w:bCs/>
          <w:sz w:val="32"/>
          <w:szCs w:val="32"/>
        </w:rPr>
        <w:t>投标报价明细表</w:t>
      </w:r>
    </w:p>
    <w:p>
      <w:pPr>
        <w:pStyle w:val="33"/>
        <w:ind w:left="420" w:leftChars="200" w:firstLine="0" w:firstLineChars="0"/>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38"/>
        <w:gridCol w:w="1530"/>
        <w:gridCol w:w="1140"/>
        <w:gridCol w:w="1110"/>
        <w:gridCol w:w="147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485" w:type="dxa"/>
            <w:vAlign w:val="center"/>
          </w:tcPr>
          <w:p>
            <w:pPr>
              <w:spacing w:line="520" w:lineRule="exact"/>
              <w:ind w:firstLine="2"/>
              <w:jc w:val="center"/>
              <w:rPr>
                <w:rFonts w:ascii="宋体" w:hAnsi="宋体" w:cs="宋体"/>
              </w:rPr>
            </w:pPr>
            <w:r>
              <w:rPr>
                <w:rFonts w:hint="eastAsia" w:ascii="宋体" w:hAnsi="宋体" w:cs="宋体"/>
              </w:rPr>
              <w:t>1</w:t>
            </w:r>
          </w:p>
        </w:tc>
        <w:tc>
          <w:tcPr>
            <w:tcW w:w="1138" w:type="dxa"/>
            <w:vAlign w:val="center"/>
          </w:tcPr>
          <w:p>
            <w:pPr>
              <w:widowControl/>
              <w:topLinePunct/>
              <w:spacing w:line="440" w:lineRule="exact"/>
              <w:jc w:val="center"/>
              <w:rPr>
                <w:rFonts w:ascii="宋体" w:hAnsi="宋体" w:cs="宋体"/>
                <w:szCs w:val="32"/>
              </w:rPr>
            </w:pPr>
            <w:r>
              <w:rPr>
                <w:rFonts w:hint="eastAsia" w:ascii="宋体" w:hAnsi="宋体" w:cs="宋体"/>
                <w:szCs w:val="32"/>
              </w:rPr>
              <w:t>2</w:t>
            </w:r>
          </w:p>
        </w:tc>
        <w:tc>
          <w:tcPr>
            <w:tcW w:w="1530" w:type="dxa"/>
            <w:vAlign w:val="center"/>
          </w:tcPr>
          <w:p>
            <w:pPr>
              <w:spacing w:line="400" w:lineRule="exact"/>
              <w:ind w:left="-15" w:leftChars="-37" w:hanging="63" w:hangingChars="21"/>
              <w:jc w:val="center"/>
              <w:rPr>
                <w:rFonts w:ascii="宋体" w:hAnsi="宋体" w:cs="宋体"/>
                <w:sz w:val="30"/>
                <w:szCs w:val="30"/>
              </w:rPr>
            </w:pPr>
            <w:r>
              <w:rPr>
                <w:rFonts w:hint="eastAsia" w:ascii="宋体" w:hAnsi="宋体" w:cs="宋体"/>
                <w:sz w:val="30"/>
                <w:szCs w:val="30"/>
              </w:rPr>
              <w:t>3</w:t>
            </w:r>
          </w:p>
        </w:tc>
        <w:tc>
          <w:tcPr>
            <w:tcW w:w="1140" w:type="dxa"/>
            <w:vAlign w:val="center"/>
          </w:tcPr>
          <w:p>
            <w:pPr>
              <w:spacing w:line="360" w:lineRule="exact"/>
              <w:jc w:val="center"/>
              <w:rPr>
                <w:rFonts w:ascii="宋体" w:hAnsi="宋体" w:cs="宋体"/>
                <w:szCs w:val="30"/>
              </w:rPr>
            </w:pPr>
            <w:r>
              <w:rPr>
                <w:rFonts w:hint="eastAsia" w:ascii="宋体" w:hAnsi="宋体" w:cs="宋体"/>
                <w:szCs w:val="30"/>
              </w:rPr>
              <w:t>4</w:t>
            </w:r>
          </w:p>
        </w:tc>
        <w:tc>
          <w:tcPr>
            <w:tcW w:w="1110" w:type="dxa"/>
            <w:vAlign w:val="center"/>
          </w:tcPr>
          <w:p>
            <w:pPr>
              <w:spacing w:line="360" w:lineRule="exact"/>
              <w:jc w:val="center"/>
              <w:rPr>
                <w:rFonts w:ascii="宋体" w:hAnsi="宋体" w:cs="宋体"/>
                <w:szCs w:val="30"/>
              </w:rPr>
            </w:pPr>
            <w:r>
              <w:rPr>
                <w:rFonts w:hint="eastAsia" w:ascii="宋体" w:hAnsi="宋体" w:cs="宋体"/>
                <w:szCs w:val="30"/>
              </w:rPr>
              <w:t>5</w:t>
            </w:r>
          </w:p>
        </w:tc>
        <w:tc>
          <w:tcPr>
            <w:tcW w:w="1477" w:type="dxa"/>
            <w:vAlign w:val="center"/>
          </w:tcPr>
          <w:p>
            <w:pPr>
              <w:spacing w:line="360" w:lineRule="exact"/>
              <w:jc w:val="center"/>
              <w:rPr>
                <w:rFonts w:ascii="宋体" w:hAnsi="宋体" w:cs="宋体"/>
                <w:szCs w:val="30"/>
              </w:rPr>
            </w:pPr>
            <w:r>
              <w:rPr>
                <w:rFonts w:hint="eastAsia" w:ascii="宋体" w:hAnsi="宋体" w:cs="宋体"/>
                <w:szCs w:val="30"/>
              </w:rPr>
              <w:t>6</w:t>
            </w:r>
          </w:p>
        </w:tc>
        <w:tc>
          <w:tcPr>
            <w:tcW w:w="1217" w:type="dxa"/>
            <w:vAlign w:val="center"/>
          </w:tcPr>
          <w:p>
            <w:pPr>
              <w:spacing w:line="360" w:lineRule="exact"/>
              <w:jc w:val="center"/>
              <w:rPr>
                <w:rFonts w:ascii="宋体" w:hAnsi="宋体" w:cs="宋体"/>
                <w:szCs w:val="36"/>
              </w:rPr>
            </w:pPr>
            <w:r>
              <w:rPr>
                <w:rFonts w:hint="eastAsia" w:ascii="宋体" w:hAnsi="宋体" w:cs="宋体"/>
                <w:szCs w:val="3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85" w:type="dxa"/>
            <w:vAlign w:val="center"/>
          </w:tcPr>
          <w:p>
            <w:pPr>
              <w:spacing w:line="360" w:lineRule="exact"/>
              <w:jc w:val="center"/>
              <w:rPr>
                <w:rFonts w:ascii="宋体" w:hAnsi="宋体" w:cs="宋体"/>
                <w:sz w:val="24"/>
                <w:szCs w:val="24"/>
              </w:rPr>
            </w:pPr>
            <w:r>
              <w:rPr>
                <w:rFonts w:hint="eastAsia" w:ascii="宋体" w:hAnsi="宋体" w:cs="宋体"/>
                <w:sz w:val="24"/>
                <w:szCs w:val="24"/>
              </w:rPr>
              <w:t>采购</w:t>
            </w:r>
          </w:p>
          <w:p>
            <w:pPr>
              <w:spacing w:line="360" w:lineRule="exact"/>
              <w:jc w:val="center"/>
              <w:rPr>
                <w:rFonts w:ascii="宋体" w:hAnsi="宋体" w:cs="宋体"/>
                <w:sz w:val="24"/>
                <w:szCs w:val="24"/>
              </w:rPr>
            </w:pPr>
            <w:r>
              <w:rPr>
                <w:rFonts w:hint="eastAsia" w:ascii="宋体" w:hAnsi="宋体" w:cs="宋体"/>
                <w:sz w:val="24"/>
                <w:szCs w:val="24"/>
              </w:rPr>
              <w:t>内容</w:t>
            </w:r>
          </w:p>
        </w:tc>
        <w:tc>
          <w:tcPr>
            <w:tcW w:w="1138" w:type="dxa"/>
            <w:vAlign w:val="center"/>
          </w:tcPr>
          <w:p>
            <w:pPr>
              <w:spacing w:line="280" w:lineRule="exact"/>
              <w:ind w:left="-28" w:leftChars="-37" w:hanging="50" w:hangingChars="21"/>
              <w:jc w:val="center"/>
              <w:rPr>
                <w:rFonts w:ascii="宋体" w:hAnsi="宋体" w:cs="宋体"/>
                <w:sz w:val="24"/>
                <w:szCs w:val="24"/>
              </w:rPr>
            </w:pPr>
            <w:r>
              <w:rPr>
                <w:rFonts w:hint="eastAsia" w:ascii="宋体" w:hAnsi="宋体" w:cs="宋体"/>
                <w:sz w:val="24"/>
                <w:szCs w:val="24"/>
              </w:rPr>
              <w:t>数量</w:t>
            </w:r>
          </w:p>
        </w:tc>
        <w:tc>
          <w:tcPr>
            <w:tcW w:w="1530" w:type="dxa"/>
            <w:vAlign w:val="center"/>
          </w:tcPr>
          <w:p>
            <w:pPr>
              <w:spacing w:line="360" w:lineRule="exact"/>
              <w:jc w:val="center"/>
              <w:rPr>
                <w:rFonts w:ascii="宋体" w:hAnsi="宋体" w:cs="宋体"/>
                <w:sz w:val="24"/>
                <w:szCs w:val="24"/>
              </w:rPr>
            </w:pPr>
            <w:r>
              <w:rPr>
                <w:rFonts w:hint="eastAsia" w:ascii="宋体" w:hAnsi="宋体" w:cs="宋体"/>
                <w:sz w:val="24"/>
                <w:szCs w:val="24"/>
              </w:rPr>
              <w:t>单位</w:t>
            </w:r>
          </w:p>
        </w:tc>
        <w:tc>
          <w:tcPr>
            <w:tcW w:w="1140" w:type="dxa"/>
            <w:vAlign w:val="center"/>
          </w:tcPr>
          <w:p>
            <w:pPr>
              <w:spacing w:line="360" w:lineRule="exact"/>
              <w:jc w:val="center"/>
              <w:rPr>
                <w:rFonts w:ascii="宋体" w:hAnsi="宋体" w:cs="宋体"/>
                <w:sz w:val="24"/>
                <w:szCs w:val="24"/>
              </w:rPr>
            </w:pPr>
            <w:r>
              <w:rPr>
                <w:rFonts w:hint="eastAsia" w:ascii="宋体" w:hAnsi="宋体" w:cs="宋体"/>
                <w:sz w:val="24"/>
                <w:szCs w:val="24"/>
              </w:rPr>
              <w:t>单价</w:t>
            </w:r>
          </w:p>
        </w:tc>
        <w:tc>
          <w:tcPr>
            <w:tcW w:w="1110" w:type="dxa"/>
            <w:vAlign w:val="center"/>
          </w:tcPr>
          <w:p>
            <w:pPr>
              <w:spacing w:line="360" w:lineRule="exact"/>
              <w:jc w:val="center"/>
              <w:rPr>
                <w:rFonts w:ascii="宋体" w:hAnsi="宋体" w:cs="宋体"/>
                <w:sz w:val="24"/>
                <w:szCs w:val="24"/>
              </w:rPr>
            </w:pPr>
            <w:r>
              <w:rPr>
                <w:rFonts w:hint="eastAsia" w:ascii="宋体" w:hAnsi="宋体" w:cs="宋体"/>
                <w:sz w:val="24"/>
                <w:szCs w:val="24"/>
              </w:rPr>
              <w:t>小计</w:t>
            </w:r>
          </w:p>
        </w:tc>
        <w:tc>
          <w:tcPr>
            <w:tcW w:w="1477" w:type="dxa"/>
            <w:vAlign w:val="center"/>
          </w:tcPr>
          <w:p>
            <w:pPr>
              <w:spacing w:line="360" w:lineRule="exact"/>
              <w:jc w:val="center"/>
              <w:rPr>
                <w:rFonts w:ascii="宋体" w:hAnsi="宋体" w:cs="宋体"/>
                <w:sz w:val="24"/>
                <w:szCs w:val="24"/>
              </w:rPr>
            </w:pPr>
            <w:r>
              <w:rPr>
                <w:rFonts w:hint="eastAsia" w:ascii="宋体" w:hAnsi="宋体" w:cs="宋体"/>
                <w:sz w:val="24"/>
                <w:szCs w:val="24"/>
              </w:rPr>
              <w:t>免费质保期</w:t>
            </w:r>
          </w:p>
        </w:tc>
        <w:tc>
          <w:tcPr>
            <w:tcW w:w="1217" w:type="dxa"/>
            <w:vAlign w:val="center"/>
          </w:tcPr>
          <w:p>
            <w:pPr>
              <w:spacing w:line="360" w:lineRule="exact"/>
              <w:jc w:val="center"/>
              <w:rPr>
                <w:rFonts w:ascii="宋体" w:hAnsi="宋体" w:cs="宋体"/>
                <w:sz w:val="24"/>
                <w:szCs w:val="24"/>
              </w:rPr>
            </w:pPr>
            <w:r>
              <w:rPr>
                <w:rFonts w:hint="eastAsia" w:ascii="宋体" w:hAnsi="宋体" w:cs="宋体"/>
                <w:sz w:val="24"/>
                <w:szCs w:val="24"/>
              </w:rPr>
              <w:t>是否小微企业产品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rPr>
                <w:rFonts w:ascii="宋体" w:hAnsi="宋体" w:cs="宋体"/>
                <w:sz w:val="24"/>
              </w:rPr>
            </w:pPr>
          </w:p>
        </w:tc>
        <w:tc>
          <w:tcPr>
            <w:tcW w:w="1138" w:type="dxa"/>
            <w:vAlign w:val="center"/>
          </w:tcPr>
          <w:p>
            <w:pPr>
              <w:rPr>
                <w:rFonts w:ascii="宋体" w:hAnsi="宋体" w:cs="宋体"/>
                <w:sz w:val="24"/>
              </w:rPr>
            </w:pPr>
          </w:p>
        </w:tc>
        <w:tc>
          <w:tcPr>
            <w:tcW w:w="1530" w:type="dxa"/>
            <w:vAlign w:val="center"/>
          </w:tcPr>
          <w:p>
            <w:pPr>
              <w:rPr>
                <w:rFonts w:ascii="宋体" w:hAnsi="宋体" w:cs="宋体"/>
                <w:sz w:val="24"/>
              </w:rPr>
            </w:pPr>
          </w:p>
        </w:tc>
        <w:tc>
          <w:tcPr>
            <w:tcW w:w="1140" w:type="dxa"/>
            <w:vAlign w:val="center"/>
          </w:tcPr>
          <w:p>
            <w:pPr>
              <w:rPr>
                <w:rFonts w:ascii="宋体" w:hAnsi="宋体" w:cs="宋体"/>
                <w:sz w:val="24"/>
              </w:rPr>
            </w:pPr>
          </w:p>
        </w:tc>
        <w:tc>
          <w:tcPr>
            <w:tcW w:w="1110" w:type="dxa"/>
            <w:vAlign w:val="center"/>
          </w:tcPr>
          <w:p>
            <w:pPr>
              <w:rPr>
                <w:rFonts w:ascii="宋体" w:hAnsi="宋体" w:cs="宋体"/>
                <w:sz w:val="24"/>
              </w:rPr>
            </w:pPr>
          </w:p>
        </w:tc>
        <w:tc>
          <w:tcPr>
            <w:tcW w:w="1477" w:type="dxa"/>
            <w:vAlign w:val="center"/>
          </w:tcPr>
          <w:p>
            <w:pPr>
              <w:rPr>
                <w:rFonts w:ascii="宋体" w:hAnsi="宋体" w:cs="宋体"/>
                <w:sz w:val="24"/>
              </w:rPr>
            </w:pPr>
          </w:p>
        </w:tc>
        <w:tc>
          <w:tcPr>
            <w:tcW w:w="1217"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5" w:type="dxa"/>
            <w:vAlign w:val="center"/>
          </w:tcPr>
          <w:p>
            <w:pPr>
              <w:spacing w:line="520" w:lineRule="exact"/>
              <w:ind w:firstLine="2"/>
              <w:jc w:val="center"/>
              <w:rPr>
                <w:rFonts w:ascii="宋体" w:hAnsi="宋体" w:cs="宋体"/>
              </w:rPr>
            </w:pPr>
          </w:p>
        </w:tc>
        <w:tc>
          <w:tcPr>
            <w:tcW w:w="1138" w:type="dxa"/>
            <w:vAlign w:val="center"/>
          </w:tcPr>
          <w:p>
            <w:pPr>
              <w:widowControl/>
              <w:topLinePunct/>
              <w:spacing w:line="440" w:lineRule="exact"/>
              <w:jc w:val="center"/>
              <w:rPr>
                <w:rFonts w:ascii="宋体" w:hAnsi="宋体" w:cs="宋体"/>
                <w:szCs w:val="32"/>
              </w:rPr>
            </w:pPr>
          </w:p>
        </w:tc>
        <w:tc>
          <w:tcPr>
            <w:tcW w:w="1530" w:type="dxa"/>
            <w:vAlign w:val="center"/>
          </w:tcPr>
          <w:p>
            <w:pPr>
              <w:spacing w:line="400" w:lineRule="exact"/>
              <w:ind w:left="-15" w:leftChars="-37" w:hanging="63" w:hangingChars="21"/>
              <w:jc w:val="center"/>
              <w:rPr>
                <w:rFonts w:ascii="宋体" w:hAnsi="宋体" w:cs="宋体"/>
                <w:sz w:val="30"/>
                <w:szCs w:val="30"/>
              </w:rPr>
            </w:pPr>
          </w:p>
        </w:tc>
        <w:tc>
          <w:tcPr>
            <w:tcW w:w="1140" w:type="dxa"/>
            <w:vAlign w:val="center"/>
          </w:tcPr>
          <w:p>
            <w:pPr>
              <w:spacing w:line="360" w:lineRule="exact"/>
              <w:jc w:val="center"/>
              <w:rPr>
                <w:rFonts w:ascii="宋体" w:hAnsi="宋体" w:cs="宋体"/>
                <w:szCs w:val="30"/>
              </w:rPr>
            </w:pPr>
          </w:p>
        </w:tc>
        <w:tc>
          <w:tcPr>
            <w:tcW w:w="1110" w:type="dxa"/>
            <w:vAlign w:val="center"/>
          </w:tcPr>
          <w:p>
            <w:pPr>
              <w:spacing w:line="360" w:lineRule="exact"/>
              <w:jc w:val="center"/>
              <w:rPr>
                <w:rFonts w:ascii="宋体" w:hAnsi="宋体" w:cs="宋体"/>
                <w:szCs w:val="30"/>
              </w:rPr>
            </w:pPr>
          </w:p>
        </w:tc>
        <w:tc>
          <w:tcPr>
            <w:tcW w:w="1477" w:type="dxa"/>
            <w:vAlign w:val="center"/>
          </w:tcPr>
          <w:p>
            <w:pPr>
              <w:spacing w:line="360" w:lineRule="exact"/>
              <w:jc w:val="center"/>
              <w:rPr>
                <w:rFonts w:ascii="宋体" w:hAnsi="宋体" w:cs="宋体"/>
                <w:szCs w:val="30"/>
              </w:rPr>
            </w:pPr>
          </w:p>
        </w:tc>
        <w:tc>
          <w:tcPr>
            <w:tcW w:w="1217" w:type="dxa"/>
            <w:vAlign w:val="center"/>
          </w:tcPr>
          <w:p>
            <w:pPr>
              <w:spacing w:line="360" w:lineRule="exact"/>
              <w:jc w:val="center"/>
              <w:rPr>
                <w:rFonts w:ascii="宋体" w:hAnsi="宋体" w:cs="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spacing w:line="360" w:lineRule="exact"/>
              <w:jc w:val="center"/>
              <w:rPr>
                <w:rFonts w:ascii="宋体" w:hAnsi="宋体" w:cs="宋体"/>
                <w:sz w:val="24"/>
              </w:rPr>
            </w:pPr>
          </w:p>
        </w:tc>
        <w:tc>
          <w:tcPr>
            <w:tcW w:w="1138" w:type="dxa"/>
            <w:vAlign w:val="center"/>
          </w:tcPr>
          <w:p>
            <w:pPr>
              <w:widowControl/>
              <w:topLinePunct/>
              <w:spacing w:line="280" w:lineRule="exact"/>
              <w:jc w:val="center"/>
              <w:rPr>
                <w:rFonts w:ascii="宋体" w:hAnsi="宋体" w:cs="宋体"/>
                <w:sz w:val="24"/>
              </w:rPr>
            </w:pPr>
          </w:p>
        </w:tc>
        <w:tc>
          <w:tcPr>
            <w:tcW w:w="1530" w:type="dxa"/>
            <w:vAlign w:val="center"/>
          </w:tcPr>
          <w:p>
            <w:pPr>
              <w:spacing w:line="360" w:lineRule="exact"/>
              <w:ind w:left="-28" w:leftChars="-37" w:hanging="50" w:hangingChars="21"/>
              <w:jc w:val="center"/>
              <w:rPr>
                <w:rFonts w:ascii="宋体" w:hAnsi="宋体" w:cs="宋体"/>
                <w:sz w:val="24"/>
                <w:szCs w:val="30"/>
              </w:rPr>
            </w:pPr>
          </w:p>
        </w:tc>
        <w:tc>
          <w:tcPr>
            <w:tcW w:w="1140" w:type="dxa"/>
            <w:vAlign w:val="center"/>
          </w:tcPr>
          <w:p>
            <w:pPr>
              <w:spacing w:line="280" w:lineRule="exact"/>
              <w:ind w:left="-28" w:leftChars="-37" w:hanging="50" w:hangingChars="21"/>
              <w:jc w:val="center"/>
              <w:rPr>
                <w:rFonts w:ascii="宋体" w:hAnsi="宋体" w:cs="宋体"/>
                <w:sz w:val="24"/>
              </w:rPr>
            </w:pPr>
          </w:p>
        </w:tc>
        <w:tc>
          <w:tcPr>
            <w:tcW w:w="1110" w:type="dxa"/>
            <w:vAlign w:val="center"/>
          </w:tcPr>
          <w:p>
            <w:pPr>
              <w:spacing w:line="360" w:lineRule="exact"/>
              <w:jc w:val="center"/>
              <w:rPr>
                <w:rFonts w:ascii="宋体" w:hAnsi="宋体" w:cs="宋体"/>
                <w:sz w:val="24"/>
              </w:rPr>
            </w:pPr>
          </w:p>
        </w:tc>
        <w:tc>
          <w:tcPr>
            <w:tcW w:w="1477" w:type="dxa"/>
            <w:vAlign w:val="center"/>
          </w:tcPr>
          <w:p>
            <w:pPr>
              <w:spacing w:line="360" w:lineRule="exact"/>
              <w:jc w:val="center"/>
              <w:rPr>
                <w:rFonts w:ascii="宋体" w:hAnsi="宋体" w:cs="宋体"/>
                <w:sz w:val="24"/>
              </w:rPr>
            </w:pPr>
          </w:p>
        </w:tc>
        <w:tc>
          <w:tcPr>
            <w:tcW w:w="1217" w:type="dxa"/>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rPr>
                <w:rFonts w:ascii="宋体" w:hAnsi="宋体" w:cs="宋体"/>
                <w:sz w:val="24"/>
              </w:rPr>
            </w:pPr>
          </w:p>
        </w:tc>
        <w:tc>
          <w:tcPr>
            <w:tcW w:w="1138" w:type="dxa"/>
            <w:vAlign w:val="center"/>
          </w:tcPr>
          <w:p>
            <w:pPr>
              <w:rPr>
                <w:rFonts w:ascii="宋体" w:hAnsi="宋体" w:cs="宋体"/>
                <w:sz w:val="24"/>
              </w:rPr>
            </w:pPr>
          </w:p>
        </w:tc>
        <w:tc>
          <w:tcPr>
            <w:tcW w:w="1530" w:type="dxa"/>
            <w:vAlign w:val="center"/>
          </w:tcPr>
          <w:p>
            <w:pPr>
              <w:spacing w:line="400" w:lineRule="exact"/>
              <w:ind w:left="-34" w:leftChars="-37" w:hanging="44" w:hangingChars="21"/>
              <w:jc w:val="center"/>
              <w:rPr>
                <w:rFonts w:ascii="宋体" w:hAnsi="宋体" w:cs="宋体"/>
                <w:szCs w:val="30"/>
              </w:rPr>
            </w:pPr>
          </w:p>
        </w:tc>
        <w:tc>
          <w:tcPr>
            <w:tcW w:w="1140" w:type="dxa"/>
            <w:vAlign w:val="center"/>
          </w:tcPr>
          <w:p>
            <w:pPr>
              <w:spacing w:line="360" w:lineRule="exact"/>
              <w:jc w:val="center"/>
              <w:rPr>
                <w:rFonts w:ascii="宋体" w:hAnsi="宋体" w:cs="宋体"/>
                <w:szCs w:val="30"/>
              </w:rPr>
            </w:pPr>
          </w:p>
        </w:tc>
        <w:tc>
          <w:tcPr>
            <w:tcW w:w="1110" w:type="dxa"/>
            <w:vAlign w:val="center"/>
          </w:tcPr>
          <w:p>
            <w:pPr>
              <w:spacing w:line="360" w:lineRule="exact"/>
              <w:jc w:val="center"/>
              <w:rPr>
                <w:rFonts w:ascii="宋体" w:hAnsi="宋体" w:cs="宋体"/>
                <w:szCs w:val="30"/>
              </w:rPr>
            </w:pPr>
          </w:p>
        </w:tc>
        <w:tc>
          <w:tcPr>
            <w:tcW w:w="1477" w:type="dxa"/>
            <w:vAlign w:val="center"/>
          </w:tcPr>
          <w:p>
            <w:pPr>
              <w:spacing w:line="360" w:lineRule="exact"/>
              <w:jc w:val="center"/>
              <w:rPr>
                <w:rFonts w:ascii="宋体" w:hAnsi="宋体" w:cs="宋体"/>
                <w:szCs w:val="30"/>
              </w:rPr>
            </w:pPr>
          </w:p>
        </w:tc>
        <w:tc>
          <w:tcPr>
            <w:tcW w:w="1217" w:type="dxa"/>
            <w:vAlign w:val="center"/>
          </w:tcPr>
          <w:p>
            <w:pPr>
              <w:spacing w:line="360" w:lineRule="exact"/>
              <w:jc w:val="center"/>
              <w:rPr>
                <w:rFonts w:ascii="宋体" w:hAnsi="宋体" w:cs="宋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rPr>
                <w:rFonts w:ascii="宋体" w:hAnsi="宋体" w:cs="宋体"/>
                <w:sz w:val="24"/>
              </w:rPr>
            </w:pPr>
          </w:p>
        </w:tc>
        <w:tc>
          <w:tcPr>
            <w:tcW w:w="1138" w:type="dxa"/>
            <w:vAlign w:val="center"/>
          </w:tcPr>
          <w:p>
            <w:pPr>
              <w:rPr>
                <w:rFonts w:ascii="宋体" w:hAnsi="宋体" w:cs="宋体"/>
                <w:sz w:val="24"/>
              </w:rPr>
            </w:pPr>
          </w:p>
        </w:tc>
        <w:tc>
          <w:tcPr>
            <w:tcW w:w="1530" w:type="dxa"/>
            <w:vAlign w:val="center"/>
          </w:tcPr>
          <w:p>
            <w:pPr>
              <w:spacing w:line="280" w:lineRule="exact"/>
              <w:ind w:left="-28" w:leftChars="-37" w:hanging="50" w:hangingChars="21"/>
              <w:jc w:val="center"/>
              <w:rPr>
                <w:rFonts w:ascii="宋体" w:hAnsi="宋体" w:cs="宋体"/>
                <w:sz w:val="24"/>
              </w:rPr>
            </w:pPr>
          </w:p>
        </w:tc>
        <w:tc>
          <w:tcPr>
            <w:tcW w:w="1140" w:type="dxa"/>
            <w:vAlign w:val="center"/>
          </w:tcPr>
          <w:p>
            <w:pPr>
              <w:spacing w:line="360" w:lineRule="exact"/>
              <w:jc w:val="center"/>
              <w:rPr>
                <w:rFonts w:ascii="宋体" w:hAnsi="宋体" w:cs="宋体"/>
                <w:sz w:val="24"/>
              </w:rPr>
            </w:pPr>
          </w:p>
        </w:tc>
        <w:tc>
          <w:tcPr>
            <w:tcW w:w="1110" w:type="dxa"/>
            <w:vAlign w:val="center"/>
          </w:tcPr>
          <w:p>
            <w:pPr>
              <w:spacing w:line="360" w:lineRule="exact"/>
              <w:jc w:val="center"/>
              <w:rPr>
                <w:rFonts w:ascii="宋体" w:hAnsi="宋体" w:cs="宋体"/>
                <w:sz w:val="24"/>
              </w:rPr>
            </w:pPr>
          </w:p>
        </w:tc>
        <w:tc>
          <w:tcPr>
            <w:tcW w:w="1477" w:type="dxa"/>
            <w:vAlign w:val="center"/>
          </w:tcPr>
          <w:p>
            <w:pPr>
              <w:spacing w:line="360" w:lineRule="exact"/>
              <w:jc w:val="center"/>
              <w:rPr>
                <w:rFonts w:ascii="宋体" w:hAnsi="宋体" w:cs="宋体"/>
                <w:sz w:val="24"/>
              </w:rPr>
            </w:pPr>
          </w:p>
        </w:tc>
        <w:tc>
          <w:tcPr>
            <w:tcW w:w="1217" w:type="dxa"/>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rPr>
                <w:rFonts w:ascii="宋体" w:hAnsi="宋体" w:cs="宋体"/>
                <w:sz w:val="24"/>
              </w:rPr>
            </w:pPr>
          </w:p>
        </w:tc>
        <w:tc>
          <w:tcPr>
            <w:tcW w:w="1138" w:type="dxa"/>
            <w:vAlign w:val="center"/>
          </w:tcPr>
          <w:p>
            <w:pPr>
              <w:rPr>
                <w:rFonts w:ascii="宋体" w:hAnsi="宋体" w:cs="宋体"/>
                <w:sz w:val="24"/>
              </w:rPr>
            </w:pPr>
          </w:p>
        </w:tc>
        <w:tc>
          <w:tcPr>
            <w:tcW w:w="1530" w:type="dxa"/>
            <w:vAlign w:val="center"/>
          </w:tcPr>
          <w:p>
            <w:pPr>
              <w:rPr>
                <w:rFonts w:ascii="宋体" w:hAnsi="宋体" w:cs="宋体"/>
                <w:sz w:val="24"/>
              </w:rPr>
            </w:pPr>
          </w:p>
        </w:tc>
        <w:tc>
          <w:tcPr>
            <w:tcW w:w="1140" w:type="dxa"/>
            <w:vAlign w:val="center"/>
          </w:tcPr>
          <w:p>
            <w:pPr>
              <w:rPr>
                <w:rFonts w:ascii="宋体" w:hAnsi="宋体" w:cs="宋体"/>
                <w:sz w:val="24"/>
              </w:rPr>
            </w:pPr>
          </w:p>
        </w:tc>
        <w:tc>
          <w:tcPr>
            <w:tcW w:w="1110" w:type="dxa"/>
            <w:vAlign w:val="center"/>
          </w:tcPr>
          <w:p>
            <w:pPr>
              <w:rPr>
                <w:rFonts w:ascii="宋体" w:hAnsi="宋体" w:cs="宋体"/>
                <w:sz w:val="24"/>
              </w:rPr>
            </w:pPr>
          </w:p>
        </w:tc>
        <w:tc>
          <w:tcPr>
            <w:tcW w:w="1477" w:type="dxa"/>
            <w:vAlign w:val="center"/>
          </w:tcPr>
          <w:p>
            <w:pPr>
              <w:rPr>
                <w:rFonts w:ascii="宋体" w:hAnsi="宋体" w:cs="宋体"/>
                <w:sz w:val="24"/>
              </w:rPr>
            </w:pPr>
          </w:p>
        </w:tc>
        <w:tc>
          <w:tcPr>
            <w:tcW w:w="1217"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rPr>
                <w:rFonts w:ascii="宋体" w:hAnsi="宋体" w:cs="宋体"/>
                <w:sz w:val="24"/>
              </w:rPr>
            </w:pPr>
          </w:p>
        </w:tc>
        <w:tc>
          <w:tcPr>
            <w:tcW w:w="1138" w:type="dxa"/>
            <w:vAlign w:val="center"/>
          </w:tcPr>
          <w:p>
            <w:pPr>
              <w:rPr>
                <w:rFonts w:ascii="宋体" w:hAnsi="宋体" w:cs="宋体"/>
                <w:sz w:val="24"/>
              </w:rPr>
            </w:pPr>
          </w:p>
        </w:tc>
        <w:tc>
          <w:tcPr>
            <w:tcW w:w="1530" w:type="dxa"/>
            <w:vAlign w:val="center"/>
          </w:tcPr>
          <w:p>
            <w:pPr>
              <w:rPr>
                <w:rFonts w:ascii="宋体" w:hAnsi="宋体" w:cs="宋体"/>
                <w:sz w:val="24"/>
              </w:rPr>
            </w:pPr>
          </w:p>
        </w:tc>
        <w:tc>
          <w:tcPr>
            <w:tcW w:w="1140" w:type="dxa"/>
            <w:vAlign w:val="center"/>
          </w:tcPr>
          <w:p>
            <w:pPr>
              <w:rPr>
                <w:rFonts w:ascii="宋体" w:hAnsi="宋体" w:cs="宋体"/>
                <w:sz w:val="24"/>
              </w:rPr>
            </w:pPr>
          </w:p>
        </w:tc>
        <w:tc>
          <w:tcPr>
            <w:tcW w:w="1110" w:type="dxa"/>
            <w:vAlign w:val="center"/>
          </w:tcPr>
          <w:p>
            <w:pPr>
              <w:rPr>
                <w:rFonts w:ascii="宋体" w:hAnsi="宋体" w:cs="宋体"/>
                <w:sz w:val="24"/>
              </w:rPr>
            </w:pPr>
          </w:p>
        </w:tc>
        <w:tc>
          <w:tcPr>
            <w:tcW w:w="1477" w:type="dxa"/>
            <w:vAlign w:val="center"/>
          </w:tcPr>
          <w:p>
            <w:pPr>
              <w:rPr>
                <w:rFonts w:ascii="宋体" w:hAnsi="宋体" w:cs="宋体"/>
                <w:sz w:val="24"/>
              </w:rPr>
            </w:pPr>
          </w:p>
        </w:tc>
        <w:tc>
          <w:tcPr>
            <w:tcW w:w="1217"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rPr>
                <w:rFonts w:ascii="宋体" w:hAnsi="宋体" w:cs="宋体"/>
                <w:sz w:val="24"/>
              </w:rPr>
            </w:pPr>
          </w:p>
        </w:tc>
        <w:tc>
          <w:tcPr>
            <w:tcW w:w="1138" w:type="dxa"/>
            <w:vAlign w:val="center"/>
          </w:tcPr>
          <w:p>
            <w:pPr>
              <w:rPr>
                <w:rFonts w:ascii="宋体" w:hAnsi="宋体" w:cs="宋体"/>
                <w:sz w:val="24"/>
              </w:rPr>
            </w:pPr>
          </w:p>
        </w:tc>
        <w:tc>
          <w:tcPr>
            <w:tcW w:w="1530" w:type="dxa"/>
            <w:vAlign w:val="center"/>
          </w:tcPr>
          <w:p>
            <w:pPr>
              <w:rPr>
                <w:rFonts w:ascii="宋体" w:hAnsi="宋体" w:cs="宋体"/>
                <w:sz w:val="24"/>
              </w:rPr>
            </w:pPr>
          </w:p>
        </w:tc>
        <w:tc>
          <w:tcPr>
            <w:tcW w:w="1140" w:type="dxa"/>
            <w:vAlign w:val="center"/>
          </w:tcPr>
          <w:p>
            <w:pPr>
              <w:rPr>
                <w:rFonts w:ascii="宋体" w:hAnsi="宋体" w:cs="宋体"/>
                <w:sz w:val="24"/>
              </w:rPr>
            </w:pPr>
          </w:p>
        </w:tc>
        <w:tc>
          <w:tcPr>
            <w:tcW w:w="1110" w:type="dxa"/>
            <w:vAlign w:val="center"/>
          </w:tcPr>
          <w:p>
            <w:pPr>
              <w:rPr>
                <w:rFonts w:ascii="宋体" w:hAnsi="宋体" w:cs="宋体"/>
                <w:sz w:val="24"/>
              </w:rPr>
            </w:pPr>
          </w:p>
        </w:tc>
        <w:tc>
          <w:tcPr>
            <w:tcW w:w="1477" w:type="dxa"/>
            <w:vAlign w:val="center"/>
          </w:tcPr>
          <w:p>
            <w:pPr>
              <w:rPr>
                <w:rFonts w:ascii="宋体" w:hAnsi="宋体" w:cs="宋体"/>
                <w:sz w:val="24"/>
              </w:rPr>
            </w:pPr>
          </w:p>
        </w:tc>
        <w:tc>
          <w:tcPr>
            <w:tcW w:w="1217"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rPr>
                <w:rFonts w:ascii="宋体" w:hAnsi="宋体" w:cs="宋体"/>
                <w:sz w:val="24"/>
              </w:rPr>
            </w:pPr>
          </w:p>
        </w:tc>
        <w:tc>
          <w:tcPr>
            <w:tcW w:w="1138" w:type="dxa"/>
            <w:vAlign w:val="center"/>
          </w:tcPr>
          <w:p>
            <w:pPr>
              <w:rPr>
                <w:rFonts w:ascii="宋体" w:hAnsi="宋体" w:cs="宋体"/>
                <w:sz w:val="24"/>
              </w:rPr>
            </w:pPr>
          </w:p>
        </w:tc>
        <w:tc>
          <w:tcPr>
            <w:tcW w:w="1530" w:type="dxa"/>
            <w:vAlign w:val="center"/>
          </w:tcPr>
          <w:p>
            <w:pPr>
              <w:rPr>
                <w:rFonts w:ascii="宋体" w:hAnsi="宋体" w:cs="宋体"/>
                <w:sz w:val="24"/>
              </w:rPr>
            </w:pPr>
          </w:p>
        </w:tc>
        <w:tc>
          <w:tcPr>
            <w:tcW w:w="1140" w:type="dxa"/>
            <w:vAlign w:val="center"/>
          </w:tcPr>
          <w:p>
            <w:pPr>
              <w:rPr>
                <w:rFonts w:ascii="宋体" w:hAnsi="宋体" w:cs="宋体"/>
                <w:sz w:val="24"/>
              </w:rPr>
            </w:pPr>
          </w:p>
        </w:tc>
        <w:tc>
          <w:tcPr>
            <w:tcW w:w="1110" w:type="dxa"/>
            <w:vAlign w:val="center"/>
          </w:tcPr>
          <w:p>
            <w:pPr>
              <w:rPr>
                <w:rFonts w:ascii="宋体" w:hAnsi="宋体" w:cs="宋体"/>
                <w:sz w:val="24"/>
              </w:rPr>
            </w:pPr>
          </w:p>
        </w:tc>
        <w:tc>
          <w:tcPr>
            <w:tcW w:w="1477" w:type="dxa"/>
            <w:vAlign w:val="center"/>
          </w:tcPr>
          <w:p>
            <w:pPr>
              <w:rPr>
                <w:rFonts w:ascii="宋体" w:hAnsi="宋体" w:cs="宋体"/>
                <w:sz w:val="24"/>
              </w:rPr>
            </w:pPr>
          </w:p>
        </w:tc>
        <w:tc>
          <w:tcPr>
            <w:tcW w:w="1217"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rPr>
                <w:rFonts w:ascii="宋体" w:hAnsi="宋体" w:cs="宋体"/>
                <w:sz w:val="24"/>
              </w:rPr>
            </w:pPr>
          </w:p>
        </w:tc>
        <w:tc>
          <w:tcPr>
            <w:tcW w:w="1138" w:type="dxa"/>
            <w:vAlign w:val="center"/>
          </w:tcPr>
          <w:p>
            <w:pPr>
              <w:rPr>
                <w:rFonts w:ascii="宋体" w:hAnsi="宋体" w:cs="宋体"/>
                <w:sz w:val="24"/>
              </w:rPr>
            </w:pPr>
          </w:p>
        </w:tc>
        <w:tc>
          <w:tcPr>
            <w:tcW w:w="1530" w:type="dxa"/>
            <w:vAlign w:val="center"/>
          </w:tcPr>
          <w:p>
            <w:pPr>
              <w:rPr>
                <w:rFonts w:ascii="宋体" w:hAnsi="宋体" w:cs="宋体"/>
                <w:sz w:val="24"/>
              </w:rPr>
            </w:pPr>
          </w:p>
        </w:tc>
        <w:tc>
          <w:tcPr>
            <w:tcW w:w="1140" w:type="dxa"/>
            <w:vAlign w:val="center"/>
          </w:tcPr>
          <w:p>
            <w:pPr>
              <w:rPr>
                <w:rFonts w:ascii="宋体" w:hAnsi="宋体" w:cs="宋体"/>
                <w:sz w:val="24"/>
              </w:rPr>
            </w:pPr>
          </w:p>
        </w:tc>
        <w:tc>
          <w:tcPr>
            <w:tcW w:w="1110" w:type="dxa"/>
            <w:vAlign w:val="center"/>
          </w:tcPr>
          <w:p>
            <w:pPr>
              <w:rPr>
                <w:rFonts w:ascii="宋体" w:hAnsi="宋体" w:cs="宋体"/>
                <w:sz w:val="24"/>
              </w:rPr>
            </w:pPr>
          </w:p>
        </w:tc>
        <w:tc>
          <w:tcPr>
            <w:tcW w:w="1477" w:type="dxa"/>
            <w:vAlign w:val="center"/>
          </w:tcPr>
          <w:p>
            <w:pPr>
              <w:rPr>
                <w:rFonts w:ascii="宋体" w:hAnsi="宋体" w:cs="宋体"/>
                <w:sz w:val="24"/>
              </w:rPr>
            </w:pPr>
          </w:p>
        </w:tc>
        <w:tc>
          <w:tcPr>
            <w:tcW w:w="1217"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vAlign w:val="center"/>
          </w:tcPr>
          <w:p>
            <w:pPr>
              <w:rPr>
                <w:rFonts w:ascii="宋体" w:hAnsi="宋体" w:cs="宋体"/>
                <w:sz w:val="24"/>
              </w:rPr>
            </w:pPr>
          </w:p>
        </w:tc>
        <w:tc>
          <w:tcPr>
            <w:tcW w:w="1138" w:type="dxa"/>
            <w:vAlign w:val="center"/>
          </w:tcPr>
          <w:p>
            <w:pPr>
              <w:rPr>
                <w:rFonts w:ascii="宋体" w:hAnsi="宋体" w:cs="宋体"/>
                <w:sz w:val="24"/>
              </w:rPr>
            </w:pPr>
          </w:p>
        </w:tc>
        <w:tc>
          <w:tcPr>
            <w:tcW w:w="1530" w:type="dxa"/>
            <w:vAlign w:val="center"/>
          </w:tcPr>
          <w:p>
            <w:pPr>
              <w:rPr>
                <w:rFonts w:ascii="宋体" w:hAnsi="宋体" w:cs="宋体"/>
                <w:sz w:val="24"/>
              </w:rPr>
            </w:pPr>
          </w:p>
        </w:tc>
        <w:tc>
          <w:tcPr>
            <w:tcW w:w="1140" w:type="dxa"/>
            <w:vAlign w:val="center"/>
          </w:tcPr>
          <w:p>
            <w:pPr>
              <w:rPr>
                <w:rFonts w:ascii="宋体" w:hAnsi="宋体" w:cs="宋体"/>
                <w:sz w:val="24"/>
              </w:rPr>
            </w:pPr>
          </w:p>
        </w:tc>
        <w:tc>
          <w:tcPr>
            <w:tcW w:w="1110" w:type="dxa"/>
            <w:vAlign w:val="center"/>
          </w:tcPr>
          <w:p>
            <w:pPr>
              <w:rPr>
                <w:rFonts w:ascii="宋体" w:hAnsi="宋体" w:cs="宋体"/>
                <w:sz w:val="24"/>
              </w:rPr>
            </w:pPr>
          </w:p>
        </w:tc>
        <w:tc>
          <w:tcPr>
            <w:tcW w:w="1477" w:type="dxa"/>
            <w:vAlign w:val="center"/>
          </w:tcPr>
          <w:p>
            <w:pPr>
              <w:rPr>
                <w:rFonts w:ascii="宋体" w:hAnsi="宋体" w:cs="宋体"/>
                <w:sz w:val="24"/>
              </w:rPr>
            </w:pPr>
          </w:p>
        </w:tc>
        <w:tc>
          <w:tcPr>
            <w:tcW w:w="1217"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6403" w:type="dxa"/>
            <w:gridSpan w:val="5"/>
            <w:vAlign w:val="center"/>
          </w:tcPr>
          <w:p>
            <w:pPr>
              <w:spacing w:line="280" w:lineRule="exact"/>
              <w:ind w:left="-28" w:leftChars="-37" w:hanging="50" w:hangingChars="21"/>
              <w:jc w:val="center"/>
              <w:rPr>
                <w:rFonts w:ascii="宋体" w:hAnsi="宋体" w:cs="宋体"/>
              </w:rPr>
            </w:pPr>
            <w:r>
              <w:rPr>
                <w:rFonts w:hint="eastAsia" w:ascii="宋体" w:hAnsi="宋体" w:cs="宋体"/>
                <w:sz w:val="24"/>
                <w:szCs w:val="24"/>
              </w:rPr>
              <w:t>总价</w:t>
            </w:r>
          </w:p>
        </w:tc>
        <w:tc>
          <w:tcPr>
            <w:tcW w:w="2694" w:type="dxa"/>
            <w:gridSpan w:val="2"/>
            <w:vAlign w:val="center"/>
          </w:tcPr>
          <w:p>
            <w:pPr>
              <w:spacing w:line="280" w:lineRule="exact"/>
              <w:ind w:left="-28" w:leftChars="-37" w:hanging="50" w:hangingChars="21"/>
              <w:jc w:val="center"/>
              <w:rPr>
                <w:rFonts w:ascii="宋体" w:hAnsi="宋体" w:cs="宋体"/>
                <w:sz w:val="24"/>
                <w:szCs w:val="24"/>
              </w:rPr>
            </w:pPr>
          </w:p>
        </w:tc>
      </w:tr>
    </w:tbl>
    <w:p>
      <w:pPr>
        <w:ind w:firstLine="420"/>
        <w:rPr>
          <w:rFonts w:ascii="宋体" w:hAnsi="宋体"/>
        </w:rPr>
      </w:pPr>
      <w:r>
        <w:rPr>
          <w:rFonts w:hint="eastAsia" w:ascii="宋体" w:hAnsi="宋体"/>
        </w:rPr>
        <w:t xml:space="preserve">                  </w:t>
      </w:r>
    </w:p>
    <w:p>
      <w:pPr>
        <w:spacing w:line="300" w:lineRule="exact"/>
        <w:rPr>
          <w:rFonts w:ascii="宋体" w:hAnsi="宋体"/>
          <w:sz w:val="24"/>
          <w:u w:val="single"/>
        </w:rPr>
      </w:pPr>
    </w:p>
    <w:p>
      <w:pPr>
        <w:spacing w:line="276" w:lineRule="auto"/>
        <w:ind w:firstLine="360" w:firstLineChars="150"/>
        <w:contextualSpacing/>
        <w:rPr>
          <w:rFonts w:ascii="宋体" w:hAnsi="宋体"/>
          <w:sz w:val="24"/>
        </w:rPr>
      </w:pPr>
    </w:p>
    <w:p>
      <w:pPr>
        <w:pStyle w:val="2"/>
        <w:rPr>
          <w:rFonts w:ascii="宋体" w:hAnsi="宋体"/>
        </w:rPr>
      </w:pPr>
    </w:p>
    <w:p>
      <w:pPr>
        <w:rPr>
          <w:rFonts w:ascii="宋体" w:hAnsi="宋体"/>
        </w:rPr>
      </w:pPr>
    </w:p>
    <w:p>
      <w:pPr>
        <w:pStyle w:val="2"/>
        <w:rPr>
          <w:rFonts w:ascii="宋体" w:hAnsi="宋体"/>
        </w:rPr>
      </w:pPr>
    </w:p>
    <w:p>
      <w:pPr>
        <w:spacing w:line="276" w:lineRule="auto"/>
        <w:contextualSpacing/>
        <w:rPr>
          <w:rFonts w:ascii="宋体" w:hAnsi="宋体"/>
          <w:sz w:val="24"/>
        </w:rPr>
      </w:pPr>
    </w:p>
    <w:p>
      <w:pPr>
        <w:spacing w:line="360" w:lineRule="auto"/>
        <w:ind w:firstLine="1478" w:firstLineChars="616"/>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60" w:lineRule="auto"/>
        <w:ind w:firstLine="1478" w:firstLineChars="616"/>
        <w:contextualSpacing/>
        <w:rPr>
          <w:rFonts w:ascii="宋体" w:hAnsi="宋体"/>
          <w:sz w:val="24"/>
        </w:rPr>
      </w:pPr>
      <w:r>
        <w:rPr>
          <w:rFonts w:hint="eastAsia" w:ascii="宋体" w:hAnsi="宋体"/>
          <w:sz w:val="24"/>
        </w:rPr>
        <w:t>法定代表人或授权委托人：</w:t>
      </w:r>
      <w:r>
        <w:rPr>
          <w:rFonts w:hint="eastAsia" w:ascii="宋体" w:hAnsi="宋体"/>
          <w:sz w:val="24"/>
          <w:u w:val="single"/>
        </w:rPr>
        <w:t xml:space="preserve">                  </w:t>
      </w:r>
      <w:r>
        <w:rPr>
          <w:rFonts w:hint="eastAsia" w:ascii="宋体" w:hAnsi="宋体"/>
          <w:sz w:val="24"/>
        </w:rPr>
        <w:t xml:space="preserve">（签字或盖章）  </w:t>
      </w:r>
    </w:p>
    <w:p>
      <w:pPr>
        <w:spacing w:line="360" w:lineRule="auto"/>
        <w:ind w:firstLine="1478" w:firstLineChars="616"/>
        <w:rPr>
          <w:rFonts w:ascii="宋体" w:hAnsi="宋体"/>
          <w:sz w:val="24"/>
        </w:rPr>
      </w:pPr>
      <w:r>
        <w:rPr>
          <w:rFonts w:hint="eastAsia" w:ascii="宋体" w:hAnsi="宋体"/>
          <w:sz w:val="24"/>
        </w:rPr>
        <w:t>日  期：</w:t>
      </w:r>
      <w:r>
        <w:rPr>
          <w:rFonts w:hint="eastAsia" w:ascii="宋体" w:hAnsi="宋体"/>
          <w:sz w:val="24"/>
          <w:u w:val="single"/>
        </w:rPr>
        <w:t xml:space="preserve">                                  </w:t>
      </w:r>
    </w:p>
    <w:p>
      <w:pPr>
        <w:pStyle w:val="2"/>
        <w:rPr>
          <w:rFonts w:ascii="宋体" w:hAnsi="宋体" w:cs="Arial"/>
          <w:b/>
          <w:sz w:val="32"/>
          <w:szCs w:val="32"/>
        </w:rPr>
      </w:pPr>
      <w:r>
        <w:rPr>
          <w:rFonts w:ascii="宋体" w:hAnsi="宋体"/>
        </w:rPr>
        <w:br w:type="page"/>
      </w:r>
    </w:p>
    <w:p>
      <w:pPr>
        <w:pStyle w:val="5"/>
        <w:rPr>
          <w:rFonts w:hAnsi="宋体"/>
          <w:sz w:val="28"/>
          <w:szCs w:val="28"/>
        </w:rPr>
      </w:pPr>
      <w:bookmarkStart w:id="278" w:name="_Toc23764"/>
      <w:bookmarkStart w:id="279" w:name="_Toc12244"/>
      <w:bookmarkStart w:id="280" w:name="_Toc550"/>
      <w:bookmarkStart w:id="281" w:name="_Toc5889"/>
      <w:bookmarkStart w:id="282" w:name="_Toc20776"/>
      <w:bookmarkStart w:id="283" w:name="_Toc4620"/>
      <w:bookmarkStart w:id="284" w:name="_Toc31868"/>
      <w:bookmarkStart w:id="285" w:name="_Toc23483"/>
      <w:bookmarkStart w:id="286" w:name="_Toc23175"/>
      <w:r>
        <w:rPr>
          <w:rFonts w:hint="eastAsia" w:hAnsi="宋体"/>
          <w:sz w:val="28"/>
          <w:szCs w:val="28"/>
        </w:rPr>
        <w:t>三、法定代表人证明书</w:t>
      </w:r>
      <w:bookmarkEnd w:id="278"/>
      <w:bookmarkEnd w:id="279"/>
      <w:bookmarkEnd w:id="280"/>
      <w:bookmarkEnd w:id="281"/>
      <w:bookmarkEnd w:id="282"/>
      <w:bookmarkEnd w:id="283"/>
      <w:bookmarkEnd w:id="284"/>
      <w:bookmarkEnd w:id="285"/>
      <w:bookmarkEnd w:id="286"/>
      <w:r>
        <w:rPr>
          <w:rFonts w:hint="eastAsia" w:hAnsi="宋体"/>
          <w:sz w:val="28"/>
          <w:szCs w:val="28"/>
        </w:rPr>
        <w:t>及法定代表人授权书</w:t>
      </w:r>
    </w:p>
    <w:p>
      <w:pPr>
        <w:tabs>
          <w:tab w:val="left" w:pos="210"/>
        </w:tabs>
        <w:spacing w:line="320" w:lineRule="exact"/>
        <w:ind w:left="720"/>
        <w:rPr>
          <w:rFonts w:ascii="宋体" w:hAnsi="宋体" w:cs="Arial"/>
          <w:b/>
          <w:kern w:val="0"/>
          <w:sz w:val="32"/>
          <w:szCs w:val="32"/>
        </w:rPr>
      </w:pPr>
    </w:p>
    <w:p>
      <w:pPr>
        <w:tabs>
          <w:tab w:val="left" w:pos="210"/>
        </w:tabs>
        <w:ind w:left="720"/>
        <w:jc w:val="center"/>
        <w:rPr>
          <w:rFonts w:ascii="宋体" w:hAnsi="宋体" w:cs="Arial"/>
          <w:bCs/>
          <w:kern w:val="0"/>
          <w:sz w:val="32"/>
          <w:szCs w:val="32"/>
        </w:rPr>
      </w:pPr>
      <w:r>
        <w:rPr>
          <w:rFonts w:hint="eastAsia" w:ascii="宋体" w:hAnsi="宋体" w:cs="Arial"/>
          <w:bCs/>
          <w:kern w:val="0"/>
          <w:sz w:val="32"/>
          <w:szCs w:val="32"/>
        </w:rPr>
        <w:t>1、法定代表人证明书</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025"/>
        <w:gridCol w:w="1722"/>
        <w:gridCol w:w="2056"/>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03" w:type="dxa"/>
            <w:gridSpan w:val="5"/>
          </w:tcPr>
          <w:p>
            <w:pPr>
              <w:tabs>
                <w:tab w:val="left" w:pos="1260"/>
              </w:tabs>
              <w:spacing w:line="440" w:lineRule="exact"/>
              <w:rPr>
                <w:rFonts w:ascii="宋体" w:hAnsi="宋体" w:cs="宋体"/>
                <w:szCs w:val="32"/>
              </w:rPr>
            </w:pPr>
            <w:r>
              <w:rPr>
                <w:rFonts w:hint="eastAsia" w:ascii="宋体" w:hAnsi="宋体" w:cs="宋体"/>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8" w:type="dxa"/>
            <w:vMerge w:val="restart"/>
            <w:vAlign w:val="center"/>
          </w:tcPr>
          <w:p>
            <w:pPr>
              <w:tabs>
                <w:tab w:val="left" w:pos="1260"/>
              </w:tabs>
              <w:spacing w:line="440" w:lineRule="exact"/>
              <w:jc w:val="center"/>
              <w:rPr>
                <w:rFonts w:ascii="宋体" w:hAnsi="宋体" w:cs="宋体"/>
              </w:rPr>
            </w:pPr>
            <w:r>
              <w:rPr>
                <w:rFonts w:hint="eastAsia" w:ascii="宋体" w:hAnsi="宋体" w:cs="宋体"/>
              </w:rPr>
              <w:t>企</w:t>
            </w:r>
          </w:p>
          <w:p>
            <w:pPr>
              <w:tabs>
                <w:tab w:val="left" w:pos="1260"/>
              </w:tabs>
              <w:spacing w:line="440" w:lineRule="exact"/>
              <w:jc w:val="center"/>
              <w:rPr>
                <w:rFonts w:ascii="宋体" w:hAnsi="宋体" w:cs="宋体"/>
              </w:rPr>
            </w:pPr>
            <w:r>
              <w:rPr>
                <w:rFonts w:hint="eastAsia" w:ascii="宋体" w:hAnsi="宋体" w:cs="宋体"/>
              </w:rPr>
              <w:t>业</w:t>
            </w:r>
          </w:p>
          <w:p>
            <w:pPr>
              <w:tabs>
                <w:tab w:val="left" w:pos="1260"/>
              </w:tabs>
              <w:spacing w:line="440" w:lineRule="exact"/>
              <w:jc w:val="center"/>
              <w:rPr>
                <w:rFonts w:ascii="宋体" w:hAnsi="宋体" w:cs="宋体"/>
              </w:rPr>
            </w:pPr>
            <w:r>
              <w:rPr>
                <w:rFonts w:hint="eastAsia" w:ascii="宋体" w:hAnsi="宋体" w:cs="宋体"/>
              </w:rPr>
              <w:t>法</w:t>
            </w:r>
          </w:p>
          <w:p>
            <w:pPr>
              <w:tabs>
                <w:tab w:val="left" w:pos="1260"/>
              </w:tabs>
              <w:spacing w:line="440" w:lineRule="exact"/>
              <w:jc w:val="center"/>
              <w:rPr>
                <w:rFonts w:ascii="宋体" w:hAnsi="宋体" w:cs="宋体"/>
                <w:b/>
                <w:bCs/>
                <w:sz w:val="36"/>
                <w:szCs w:val="44"/>
              </w:rPr>
            </w:pPr>
            <w:r>
              <w:rPr>
                <w:rFonts w:hint="eastAsia" w:ascii="宋体" w:hAnsi="宋体" w:cs="宋体"/>
              </w:rPr>
              <w:t>人</w:t>
            </w:r>
          </w:p>
        </w:tc>
        <w:tc>
          <w:tcPr>
            <w:tcW w:w="2025" w:type="dxa"/>
            <w:vAlign w:val="center"/>
          </w:tcPr>
          <w:p>
            <w:pPr>
              <w:tabs>
                <w:tab w:val="left" w:pos="1260"/>
              </w:tabs>
              <w:spacing w:line="440" w:lineRule="exact"/>
              <w:jc w:val="center"/>
              <w:rPr>
                <w:rFonts w:ascii="宋体" w:hAnsi="宋体" w:cs="宋体"/>
              </w:rPr>
            </w:pPr>
            <w:r>
              <w:rPr>
                <w:rFonts w:hint="eastAsia" w:ascii="宋体" w:hAnsi="宋体" w:cs="宋体"/>
              </w:rPr>
              <w:t>企业名称</w:t>
            </w:r>
          </w:p>
        </w:tc>
        <w:tc>
          <w:tcPr>
            <w:tcW w:w="5820" w:type="dxa"/>
            <w:gridSpan w:val="3"/>
          </w:tcPr>
          <w:p>
            <w:pPr>
              <w:tabs>
                <w:tab w:val="left" w:pos="1260"/>
              </w:tabs>
              <w:spacing w:line="440" w:lineRule="exact"/>
              <w:rPr>
                <w:rFonts w:ascii="宋体" w:hAnsi="宋体" w:cs="宋体"/>
                <w:b/>
                <w:bCs/>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8" w:type="dxa"/>
            <w:vMerge w:val="continue"/>
          </w:tcPr>
          <w:p>
            <w:pPr>
              <w:tabs>
                <w:tab w:val="left" w:pos="1260"/>
              </w:tabs>
              <w:spacing w:line="440" w:lineRule="exact"/>
              <w:rPr>
                <w:rFonts w:ascii="宋体" w:hAnsi="宋体" w:cs="宋体"/>
                <w:b/>
                <w:bCs/>
                <w:sz w:val="36"/>
                <w:szCs w:val="44"/>
              </w:rPr>
            </w:pPr>
          </w:p>
        </w:tc>
        <w:tc>
          <w:tcPr>
            <w:tcW w:w="2025" w:type="dxa"/>
            <w:vAlign w:val="center"/>
          </w:tcPr>
          <w:p>
            <w:pPr>
              <w:tabs>
                <w:tab w:val="left" w:pos="1260"/>
              </w:tabs>
              <w:spacing w:line="440" w:lineRule="exact"/>
              <w:jc w:val="center"/>
              <w:rPr>
                <w:rFonts w:ascii="宋体" w:hAnsi="宋体" w:cs="宋体"/>
              </w:rPr>
            </w:pPr>
            <w:r>
              <w:rPr>
                <w:rFonts w:hint="eastAsia" w:ascii="宋体" w:hAnsi="宋体" w:cs="宋体"/>
              </w:rPr>
              <w:t>法定地址</w:t>
            </w:r>
          </w:p>
        </w:tc>
        <w:tc>
          <w:tcPr>
            <w:tcW w:w="5820" w:type="dxa"/>
            <w:gridSpan w:val="3"/>
          </w:tcPr>
          <w:p>
            <w:pPr>
              <w:tabs>
                <w:tab w:val="left" w:pos="1260"/>
              </w:tabs>
              <w:spacing w:line="440" w:lineRule="exact"/>
              <w:rPr>
                <w:rFonts w:ascii="宋体" w:hAnsi="宋体" w:cs="宋体"/>
                <w:b/>
                <w:bCs/>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8" w:type="dxa"/>
            <w:vMerge w:val="continue"/>
          </w:tcPr>
          <w:p>
            <w:pPr>
              <w:tabs>
                <w:tab w:val="left" w:pos="1260"/>
              </w:tabs>
              <w:spacing w:line="440" w:lineRule="exact"/>
              <w:rPr>
                <w:rFonts w:ascii="宋体" w:hAnsi="宋体" w:cs="宋体"/>
                <w:b/>
                <w:bCs/>
                <w:sz w:val="36"/>
                <w:szCs w:val="44"/>
              </w:rPr>
            </w:pPr>
          </w:p>
        </w:tc>
        <w:tc>
          <w:tcPr>
            <w:tcW w:w="2025" w:type="dxa"/>
            <w:vAlign w:val="center"/>
          </w:tcPr>
          <w:p>
            <w:pPr>
              <w:tabs>
                <w:tab w:val="left" w:pos="1260"/>
              </w:tabs>
              <w:spacing w:line="440" w:lineRule="exact"/>
              <w:jc w:val="center"/>
              <w:rPr>
                <w:rFonts w:ascii="宋体" w:hAnsi="宋体" w:cs="宋体"/>
              </w:rPr>
            </w:pPr>
            <w:r>
              <w:rPr>
                <w:rFonts w:hint="eastAsia" w:ascii="宋体" w:hAnsi="宋体" w:cs="宋体"/>
              </w:rPr>
              <w:t>邮政编码</w:t>
            </w:r>
          </w:p>
        </w:tc>
        <w:tc>
          <w:tcPr>
            <w:tcW w:w="5820" w:type="dxa"/>
            <w:gridSpan w:val="3"/>
          </w:tcPr>
          <w:p>
            <w:pPr>
              <w:tabs>
                <w:tab w:val="left" w:pos="1260"/>
              </w:tabs>
              <w:spacing w:line="440" w:lineRule="exact"/>
              <w:rPr>
                <w:rFonts w:ascii="宋体" w:hAnsi="宋体" w:cs="宋体"/>
                <w:b/>
                <w:bCs/>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8" w:type="dxa"/>
            <w:vMerge w:val="continue"/>
          </w:tcPr>
          <w:p>
            <w:pPr>
              <w:tabs>
                <w:tab w:val="left" w:pos="1260"/>
              </w:tabs>
              <w:spacing w:line="440" w:lineRule="exact"/>
              <w:rPr>
                <w:rFonts w:ascii="宋体" w:hAnsi="宋体" w:cs="宋体"/>
                <w:b/>
                <w:bCs/>
                <w:sz w:val="36"/>
                <w:szCs w:val="44"/>
              </w:rPr>
            </w:pPr>
          </w:p>
        </w:tc>
        <w:tc>
          <w:tcPr>
            <w:tcW w:w="2025" w:type="dxa"/>
            <w:vAlign w:val="center"/>
          </w:tcPr>
          <w:p>
            <w:pPr>
              <w:tabs>
                <w:tab w:val="left" w:pos="1260"/>
              </w:tabs>
              <w:spacing w:line="440" w:lineRule="exact"/>
              <w:jc w:val="center"/>
              <w:rPr>
                <w:rFonts w:ascii="宋体" w:hAnsi="宋体" w:cs="宋体"/>
              </w:rPr>
            </w:pPr>
            <w:r>
              <w:rPr>
                <w:rFonts w:hint="eastAsia" w:ascii="宋体" w:hAnsi="宋体" w:cs="宋体"/>
              </w:rPr>
              <w:t>网    址</w:t>
            </w:r>
          </w:p>
        </w:tc>
        <w:tc>
          <w:tcPr>
            <w:tcW w:w="5820" w:type="dxa"/>
            <w:gridSpan w:val="3"/>
          </w:tcPr>
          <w:p>
            <w:pPr>
              <w:tabs>
                <w:tab w:val="left" w:pos="1260"/>
              </w:tabs>
              <w:spacing w:line="440" w:lineRule="exact"/>
              <w:rPr>
                <w:rFonts w:ascii="宋体" w:hAnsi="宋体" w:cs="宋体"/>
                <w:b/>
                <w:bCs/>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8" w:type="dxa"/>
            <w:vMerge w:val="continue"/>
          </w:tcPr>
          <w:p>
            <w:pPr>
              <w:tabs>
                <w:tab w:val="left" w:pos="1260"/>
              </w:tabs>
              <w:spacing w:line="440" w:lineRule="exact"/>
              <w:rPr>
                <w:rFonts w:ascii="宋体" w:hAnsi="宋体" w:cs="宋体"/>
                <w:b/>
                <w:bCs/>
                <w:sz w:val="36"/>
                <w:szCs w:val="44"/>
              </w:rPr>
            </w:pPr>
          </w:p>
        </w:tc>
        <w:tc>
          <w:tcPr>
            <w:tcW w:w="2025" w:type="dxa"/>
          </w:tcPr>
          <w:p>
            <w:pPr>
              <w:tabs>
                <w:tab w:val="left" w:pos="1260"/>
              </w:tabs>
              <w:spacing w:line="440" w:lineRule="exact"/>
              <w:rPr>
                <w:rFonts w:ascii="宋体" w:hAnsi="宋体" w:cs="宋体"/>
                <w:b/>
                <w:bCs/>
                <w:sz w:val="36"/>
                <w:szCs w:val="44"/>
              </w:rPr>
            </w:pPr>
            <w:r>
              <w:rPr>
                <w:rFonts w:hint="eastAsia" w:ascii="宋体" w:hAnsi="宋体" w:cs="宋体"/>
              </w:rPr>
              <w:t>工商登记机关</w:t>
            </w:r>
          </w:p>
        </w:tc>
        <w:tc>
          <w:tcPr>
            <w:tcW w:w="5820" w:type="dxa"/>
            <w:gridSpan w:val="3"/>
          </w:tcPr>
          <w:p>
            <w:pPr>
              <w:tabs>
                <w:tab w:val="left" w:pos="1260"/>
              </w:tabs>
              <w:spacing w:line="440" w:lineRule="exact"/>
              <w:rPr>
                <w:rFonts w:ascii="宋体" w:hAnsi="宋体" w:cs="宋体"/>
                <w:b/>
                <w:bCs/>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8" w:type="dxa"/>
            <w:vMerge w:val="continue"/>
          </w:tcPr>
          <w:p>
            <w:pPr>
              <w:tabs>
                <w:tab w:val="left" w:pos="1260"/>
              </w:tabs>
              <w:spacing w:line="440" w:lineRule="exact"/>
              <w:rPr>
                <w:rFonts w:ascii="宋体" w:hAnsi="宋体" w:cs="宋体"/>
                <w:b/>
                <w:bCs/>
                <w:sz w:val="36"/>
                <w:szCs w:val="44"/>
              </w:rPr>
            </w:pPr>
          </w:p>
        </w:tc>
        <w:tc>
          <w:tcPr>
            <w:tcW w:w="2025" w:type="dxa"/>
          </w:tcPr>
          <w:p>
            <w:pPr>
              <w:tabs>
                <w:tab w:val="left" w:pos="1260"/>
              </w:tabs>
              <w:spacing w:line="440" w:lineRule="exact"/>
              <w:rPr>
                <w:rFonts w:ascii="宋体" w:hAnsi="宋体" w:cs="宋体"/>
              </w:rPr>
            </w:pPr>
            <w:r>
              <w:rPr>
                <w:rFonts w:hint="eastAsia" w:ascii="宋体" w:hAnsi="宋体" w:cs="宋体"/>
              </w:rPr>
              <w:t>统一社会信用代码</w:t>
            </w:r>
          </w:p>
        </w:tc>
        <w:tc>
          <w:tcPr>
            <w:tcW w:w="5820" w:type="dxa"/>
            <w:gridSpan w:val="3"/>
          </w:tcPr>
          <w:p>
            <w:pPr>
              <w:tabs>
                <w:tab w:val="left" w:pos="1260"/>
              </w:tabs>
              <w:spacing w:line="440" w:lineRule="exact"/>
              <w:rPr>
                <w:rFonts w:ascii="宋体" w:hAnsi="宋体" w:cs="宋体"/>
                <w:b/>
                <w:bCs/>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58" w:type="dxa"/>
            <w:vMerge w:val="restart"/>
          </w:tcPr>
          <w:p>
            <w:pPr>
              <w:tabs>
                <w:tab w:val="left" w:pos="1260"/>
              </w:tabs>
              <w:spacing w:line="440" w:lineRule="exact"/>
              <w:jc w:val="center"/>
              <w:rPr>
                <w:rFonts w:ascii="宋体" w:hAnsi="宋体" w:cs="宋体"/>
              </w:rPr>
            </w:pPr>
            <w:r>
              <w:rPr>
                <w:rFonts w:hint="eastAsia" w:ascii="宋体" w:hAnsi="宋体" w:cs="宋体"/>
              </w:rPr>
              <w:t>法</w:t>
            </w:r>
          </w:p>
          <w:p>
            <w:pPr>
              <w:tabs>
                <w:tab w:val="left" w:pos="1260"/>
              </w:tabs>
              <w:spacing w:line="440" w:lineRule="exact"/>
              <w:jc w:val="center"/>
              <w:rPr>
                <w:rFonts w:ascii="宋体" w:hAnsi="宋体" w:cs="宋体"/>
              </w:rPr>
            </w:pPr>
            <w:r>
              <w:rPr>
                <w:rFonts w:hint="eastAsia" w:ascii="宋体" w:hAnsi="宋体" w:cs="宋体"/>
              </w:rPr>
              <w:t>定</w:t>
            </w:r>
          </w:p>
          <w:p>
            <w:pPr>
              <w:tabs>
                <w:tab w:val="left" w:pos="1260"/>
              </w:tabs>
              <w:spacing w:line="440" w:lineRule="exact"/>
              <w:jc w:val="center"/>
              <w:rPr>
                <w:rFonts w:ascii="宋体" w:hAnsi="宋体" w:cs="宋体"/>
              </w:rPr>
            </w:pPr>
            <w:r>
              <w:rPr>
                <w:rFonts w:hint="eastAsia" w:ascii="宋体" w:hAnsi="宋体" w:cs="宋体"/>
              </w:rPr>
              <w:t>代</w:t>
            </w:r>
          </w:p>
          <w:p>
            <w:pPr>
              <w:tabs>
                <w:tab w:val="left" w:pos="1260"/>
              </w:tabs>
              <w:spacing w:line="440" w:lineRule="exact"/>
              <w:jc w:val="center"/>
              <w:rPr>
                <w:rFonts w:ascii="宋体" w:hAnsi="宋体" w:cs="宋体"/>
              </w:rPr>
            </w:pPr>
            <w:r>
              <w:rPr>
                <w:rFonts w:hint="eastAsia" w:ascii="宋体" w:hAnsi="宋体" w:cs="宋体"/>
              </w:rPr>
              <w:t>表</w:t>
            </w:r>
          </w:p>
          <w:p>
            <w:pPr>
              <w:tabs>
                <w:tab w:val="left" w:pos="1260"/>
              </w:tabs>
              <w:spacing w:line="440" w:lineRule="exact"/>
              <w:jc w:val="center"/>
              <w:rPr>
                <w:rFonts w:ascii="宋体" w:hAnsi="宋体" w:cs="宋体"/>
                <w:b/>
                <w:bCs/>
                <w:sz w:val="36"/>
                <w:szCs w:val="44"/>
              </w:rPr>
            </w:pPr>
            <w:r>
              <w:rPr>
                <w:rFonts w:hint="eastAsia" w:ascii="宋体" w:hAnsi="宋体" w:cs="宋体"/>
              </w:rPr>
              <w:t>人</w:t>
            </w:r>
          </w:p>
        </w:tc>
        <w:tc>
          <w:tcPr>
            <w:tcW w:w="2025" w:type="dxa"/>
            <w:vAlign w:val="center"/>
          </w:tcPr>
          <w:p>
            <w:pPr>
              <w:tabs>
                <w:tab w:val="left" w:pos="1260"/>
              </w:tabs>
              <w:spacing w:line="440" w:lineRule="exact"/>
              <w:jc w:val="center"/>
              <w:rPr>
                <w:rFonts w:ascii="宋体" w:hAnsi="宋体" w:cs="宋体"/>
              </w:rPr>
            </w:pPr>
            <w:r>
              <w:rPr>
                <w:rFonts w:hint="eastAsia" w:ascii="宋体" w:hAnsi="宋体" w:cs="宋体"/>
              </w:rPr>
              <w:t>姓    名</w:t>
            </w:r>
          </w:p>
        </w:tc>
        <w:tc>
          <w:tcPr>
            <w:tcW w:w="1722" w:type="dxa"/>
          </w:tcPr>
          <w:p>
            <w:pPr>
              <w:tabs>
                <w:tab w:val="left" w:pos="1260"/>
              </w:tabs>
              <w:spacing w:line="440" w:lineRule="exact"/>
              <w:rPr>
                <w:rFonts w:ascii="宋体" w:hAnsi="宋体" w:cs="宋体"/>
              </w:rPr>
            </w:pPr>
            <w:r>
              <w:rPr>
                <w:rFonts w:hint="eastAsia" w:ascii="宋体" w:hAnsi="宋体" w:cs="宋体"/>
              </w:rPr>
              <w:t>（签名）</w:t>
            </w:r>
          </w:p>
        </w:tc>
        <w:tc>
          <w:tcPr>
            <w:tcW w:w="2056" w:type="dxa"/>
            <w:vAlign w:val="center"/>
          </w:tcPr>
          <w:p>
            <w:pPr>
              <w:tabs>
                <w:tab w:val="left" w:pos="1260"/>
              </w:tabs>
              <w:spacing w:line="440" w:lineRule="exact"/>
              <w:jc w:val="center"/>
              <w:rPr>
                <w:rFonts w:ascii="宋体" w:hAnsi="宋体" w:cs="宋体"/>
              </w:rPr>
            </w:pPr>
            <w:r>
              <w:rPr>
                <w:rFonts w:hint="eastAsia" w:ascii="宋体" w:hAnsi="宋体" w:cs="宋体"/>
              </w:rPr>
              <w:t>性    别</w:t>
            </w:r>
          </w:p>
        </w:tc>
        <w:tc>
          <w:tcPr>
            <w:tcW w:w="2042" w:type="dxa"/>
          </w:tcPr>
          <w:p>
            <w:pPr>
              <w:tabs>
                <w:tab w:val="left" w:pos="1260"/>
              </w:tabs>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58" w:type="dxa"/>
            <w:vMerge w:val="continue"/>
          </w:tcPr>
          <w:p>
            <w:pPr>
              <w:tabs>
                <w:tab w:val="left" w:pos="1260"/>
              </w:tabs>
              <w:spacing w:line="440" w:lineRule="exact"/>
              <w:rPr>
                <w:rFonts w:ascii="宋体" w:hAnsi="宋体" w:cs="宋体"/>
                <w:b/>
                <w:bCs/>
                <w:sz w:val="36"/>
                <w:szCs w:val="44"/>
              </w:rPr>
            </w:pPr>
          </w:p>
        </w:tc>
        <w:tc>
          <w:tcPr>
            <w:tcW w:w="2025" w:type="dxa"/>
            <w:vAlign w:val="center"/>
          </w:tcPr>
          <w:p>
            <w:pPr>
              <w:tabs>
                <w:tab w:val="left" w:pos="1260"/>
              </w:tabs>
              <w:spacing w:line="440" w:lineRule="exact"/>
              <w:jc w:val="center"/>
              <w:rPr>
                <w:rFonts w:ascii="宋体" w:hAnsi="宋体" w:cs="宋体"/>
              </w:rPr>
            </w:pPr>
            <w:r>
              <w:rPr>
                <w:rFonts w:hint="eastAsia" w:ascii="宋体" w:hAnsi="宋体" w:cs="宋体"/>
              </w:rPr>
              <w:t>职    务</w:t>
            </w:r>
          </w:p>
        </w:tc>
        <w:tc>
          <w:tcPr>
            <w:tcW w:w="1722" w:type="dxa"/>
          </w:tcPr>
          <w:p>
            <w:pPr>
              <w:tabs>
                <w:tab w:val="left" w:pos="1260"/>
              </w:tabs>
              <w:spacing w:line="440" w:lineRule="exact"/>
              <w:rPr>
                <w:rFonts w:ascii="宋体" w:hAnsi="宋体" w:cs="宋体"/>
              </w:rPr>
            </w:pPr>
          </w:p>
        </w:tc>
        <w:tc>
          <w:tcPr>
            <w:tcW w:w="2056" w:type="dxa"/>
            <w:vAlign w:val="center"/>
          </w:tcPr>
          <w:p>
            <w:pPr>
              <w:tabs>
                <w:tab w:val="left" w:pos="1260"/>
              </w:tabs>
              <w:spacing w:line="440" w:lineRule="exact"/>
              <w:jc w:val="center"/>
              <w:rPr>
                <w:rFonts w:ascii="宋体" w:hAnsi="宋体" w:cs="宋体"/>
              </w:rPr>
            </w:pPr>
            <w:r>
              <w:rPr>
                <w:rFonts w:hint="eastAsia" w:ascii="宋体" w:hAnsi="宋体" w:cs="宋体"/>
              </w:rPr>
              <w:t>联系电话</w:t>
            </w:r>
          </w:p>
        </w:tc>
        <w:tc>
          <w:tcPr>
            <w:tcW w:w="2042" w:type="dxa"/>
          </w:tcPr>
          <w:p>
            <w:pPr>
              <w:tabs>
                <w:tab w:val="left" w:pos="1260"/>
              </w:tabs>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8" w:type="dxa"/>
            <w:vMerge w:val="continue"/>
          </w:tcPr>
          <w:p>
            <w:pPr>
              <w:tabs>
                <w:tab w:val="left" w:pos="1260"/>
              </w:tabs>
              <w:spacing w:line="440" w:lineRule="exact"/>
              <w:rPr>
                <w:rFonts w:ascii="宋体" w:hAnsi="宋体" w:cs="宋体"/>
                <w:b/>
                <w:bCs/>
                <w:sz w:val="36"/>
                <w:szCs w:val="44"/>
              </w:rPr>
            </w:pPr>
          </w:p>
        </w:tc>
        <w:tc>
          <w:tcPr>
            <w:tcW w:w="2025" w:type="dxa"/>
            <w:vAlign w:val="center"/>
          </w:tcPr>
          <w:p>
            <w:pPr>
              <w:tabs>
                <w:tab w:val="left" w:pos="1260"/>
              </w:tabs>
              <w:spacing w:line="440" w:lineRule="exact"/>
              <w:jc w:val="center"/>
              <w:rPr>
                <w:rFonts w:ascii="宋体" w:hAnsi="宋体" w:cs="宋体"/>
              </w:rPr>
            </w:pPr>
            <w:r>
              <w:rPr>
                <w:rFonts w:hint="eastAsia" w:ascii="宋体" w:hAnsi="宋体" w:cs="宋体"/>
              </w:rPr>
              <w:t>传    真</w:t>
            </w:r>
          </w:p>
        </w:tc>
        <w:tc>
          <w:tcPr>
            <w:tcW w:w="5820" w:type="dxa"/>
            <w:gridSpan w:val="3"/>
          </w:tcPr>
          <w:p>
            <w:pPr>
              <w:tabs>
                <w:tab w:val="left" w:pos="1260"/>
              </w:tabs>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458" w:type="dxa"/>
            <w:vMerge w:val="restart"/>
            <w:vAlign w:val="center"/>
          </w:tcPr>
          <w:p>
            <w:pPr>
              <w:tabs>
                <w:tab w:val="left" w:pos="1260"/>
              </w:tabs>
              <w:spacing w:line="440" w:lineRule="exact"/>
              <w:jc w:val="center"/>
              <w:rPr>
                <w:rFonts w:ascii="宋体" w:hAnsi="宋体" w:cs="宋体"/>
              </w:rPr>
            </w:pPr>
            <w:r>
              <w:rPr>
                <w:rFonts w:hint="eastAsia" w:ascii="宋体" w:hAnsi="宋体" w:cs="宋体"/>
              </w:rPr>
              <w:t>法定代表人身份证复印件</w:t>
            </w:r>
          </w:p>
        </w:tc>
        <w:tc>
          <w:tcPr>
            <w:tcW w:w="3747" w:type="dxa"/>
            <w:gridSpan w:val="2"/>
            <w:vMerge w:val="restart"/>
            <w:vAlign w:val="center"/>
          </w:tcPr>
          <w:p>
            <w:pPr>
              <w:tabs>
                <w:tab w:val="left" w:pos="1260"/>
              </w:tabs>
              <w:jc w:val="center"/>
              <w:rPr>
                <w:rFonts w:ascii="宋体" w:hAnsi="宋体" w:cs="宋体"/>
                <w:b/>
                <w:bCs/>
                <w:sz w:val="36"/>
                <w:szCs w:val="44"/>
              </w:rPr>
            </w:pPr>
            <w:r>
              <w:rPr>
                <w:rFonts w:hint="eastAsia" w:ascii="宋体" w:hAnsi="宋体" w:cs="宋体"/>
              </w:rPr>
              <w:t>（粘贴处）</w:t>
            </w:r>
          </w:p>
        </w:tc>
        <w:tc>
          <w:tcPr>
            <w:tcW w:w="4098" w:type="dxa"/>
            <w:gridSpan w:val="2"/>
            <w:vAlign w:val="center"/>
          </w:tcPr>
          <w:p>
            <w:pPr>
              <w:tabs>
                <w:tab w:val="left" w:pos="1260"/>
              </w:tabs>
              <w:spacing w:line="440" w:lineRule="exact"/>
              <w:jc w:val="center"/>
              <w:rPr>
                <w:rFonts w:ascii="宋体" w:hAnsi="宋体" w:cs="宋体"/>
              </w:rPr>
            </w:pPr>
            <w:r>
              <w:rPr>
                <w:rFonts w:hint="eastAsia" w:ascii="宋体" w:hAnsi="宋体" w:cs="宋体"/>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Merge w:val="continue"/>
          </w:tcPr>
          <w:p>
            <w:pPr>
              <w:tabs>
                <w:tab w:val="left" w:pos="1260"/>
              </w:tabs>
              <w:spacing w:line="440" w:lineRule="exact"/>
              <w:rPr>
                <w:rFonts w:ascii="宋体" w:hAnsi="宋体" w:cs="宋体"/>
                <w:b/>
                <w:bCs/>
                <w:sz w:val="36"/>
                <w:szCs w:val="44"/>
              </w:rPr>
            </w:pPr>
          </w:p>
        </w:tc>
        <w:tc>
          <w:tcPr>
            <w:tcW w:w="3747" w:type="dxa"/>
            <w:gridSpan w:val="2"/>
            <w:vMerge w:val="continue"/>
          </w:tcPr>
          <w:p>
            <w:pPr>
              <w:tabs>
                <w:tab w:val="left" w:pos="1260"/>
              </w:tabs>
              <w:spacing w:line="440" w:lineRule="exact"/>
              <w:rPr>
                <w:rFonts w:ascii="宋体" w:hAnsi="宋体" w:cs="宋体"/>
                <w:b/>
                <w:bCs/>
                <w:sz w:val="36"/>
                <w:szCs w:val="44"/>
              </w:rPr>
            </w:pPr>
          </w:p>
        </w:tc>
        <w:tc>
          <w:tcPr>
            <w:tcW w:w="4098" w:type="dxa"/>
            <w:gridSpan w:val="2"/>
            <w:vAlign w:val="center"/>
          </w:tcPr>
          <w:p>
            <w:pPr>
              <w:tabs>
                <w:tab w:val="left" w:pos="1260"/>
              </w:tabs>
              <w:spacing w:line="440" w:lineRule="exact"/>
              <w:rPr>
                <w:rFonts w:ascii="宋体" w:hAnsi="宋体" w:cs="宋体"/>
                <w:szCs w:val="32"/>
              </w:rPr>
            </w:pPr>
          </w:p>
          <w:p>
            <w:pPr>
              <w:tabs>
                <w:tab w:val="left" w:pos="1260"/>
              </w:tabs>
              <w:spacing w:line="440" w:lineRule="exact"/>
              <w:jc w:val="center"/>
              <w:rPr>
                <w:rFonts w:ascii="宋体" w:hAnsi="宋体" w:cs="宋体"/>
                <w:szCs w:val="32"/>
              </w:rPr>
            </w:pPr>
            <w:r>
              <w:rPr>
                <w:rFonts w:hint="eastAsia" w:ascii="宋体" w:hAnsi="宋体" w:cs="宋体"/>
                <w:szCs w:val="32"/>
              </w:rPr>
              <w:t>（公章）</w:t>
            </w:r>
          </w:p>
          <w:p>
            <w:pPr>
              <w:tabs>
                <w:tab w:val="left" w:pos="1260"/>
              </w:tabs>
              <w:spacing w:line="440" w:lineRule="exact"/>
              <w:ind w:firstLine="459"/>
              <w:jc w:val="center"/>
              <w:rPr>
                <w:rFonts w:ascii="宋体" w:hAnsi="宋体" w:cs="宋体"/>
                <w:szCs w:val="32"/>
              </w:rPr>
            </w:pPr>
          </w:p>
          <w:p>
            <w:pPr>
              <w:tabs>
                <w:tab w:val="left" w:pos="1260"/>
              </w:tabs>
              <w:spacing w:line="440" w:lineRule="exact"/>
              <w:ind w:right="280" w:firstLine="459"/>
              <w:jc w:val="right"/>
              <w:rPr>
                <w:rFonts w:ascii="宋体" w:hAnsi="宋体" w:cs="宋体"/>
              </w:rPr>
            </w:pPr>
            <w:r>
              <w:rPr>
                <w:rFonts w:hint="eastAsia" w:ascii="宋体" w:hAnsi="宋体" w:cs="宋体"/>
                <w:szCs w:val="32"/>
              </w:rPr>
              <w:t>年   月   日</w:t>
            </w:r>
          </w:p>
        </w:tc>
      </w:tr>
    </w:tbl>
    <w:p>
      <w:pPr>
        <w:tabs>
          <w:tab w:val="left" w:pos="210"/>
        </w:tabs>
        <w:spacing w:line="320" w:lineRule="exact"/>
        <w:ind w:left="720"/>
        <w:rPr>
          <w:rFonts w:ascii="宋体" w:hAnsi="宋体" w:cs="Arial"/>
          <w:b/>
          <w:kern w:val="0"/>
          <w:sz w:val="32"/>
          <w:szCs w:val="32"/>
        </w:rPr>
      </w:pPr>
    </w:p>
    <w:p>
      <w:pPr>
        <w:tabs>
          <w:tab w:val="left" w:pos="210"/>
        </w:tabs>
        <w:spacing w:line="320" w:lineRule="exact"/>
        <w:ind w:left="720"/>
        <w:rPr>
          <w:rFonts w:ascii="宋体" w:hAnsi="宋体" w:cs="Arial"/>
          <w:b/>
          <w:kern w:val="0"/>
          <w:sz w:val="32"/>
          <w:szCs w:val="32"/>
        </w:rPr>
      </w:pPr>
    </w:p>
    <w:p>
      <w:pPr>
        <w:tabs>
          <w:tab w:val="left" w:pos="210"/>
        </w:tabs>
        <w:spacing w:line="320" w:lineRule="exact"/>
        <w:ind w:left="720"/>
        <w:rPr>
          <w:rFonts w:ascii="宋体" w:hAnsi="宋体" w:cs="Arial"/>
          <w:b/>
          <w:kern w:val="0"/>
          <w:sz w:val="32"/>
          <w:szCs w:val="32"/>
        </w:rPr>
      </w:pPr>
    </w:p>
    <w:p>
      <w:pPr>
        <w:tabs>
          <w:tab w:val="left" w:pos="210"/>
        </w:tabs>
        <w:spacing w:line="320" w:lineRule="exact"/>
        <w:ind w:left="720"/>
        <w:rPr>
          <w:rFonts w:ascii="宋体" w:hAnsi="宋体" w:cs="Arial"/>
          <w:b/>
          <w:kern w:val="0"/>
          <w:sz w:val="32"/>
          <w:szCs w:val="32"/>
        </w:rPr>
      </w:pPr>
    </w:p>
    <w:p>
      <w:pPr>
        <w:tabs>
          <w:tab w:val="left" w:pos="210"/>
        </w:tabs>
        <w:spacing w:line="320" w:lineRule="exact"/>
        <w:ind w:left="720"/>
        <w:rPr>
          <w:rFonts w:ascii="宋体" w:hAnsi="宋体" w:cs="Arial"/>
          <w:b/>
          <w:kern w:val="0"/>
          <w:sz w:val="32"/>
          <w:szCs w:val="32"/>
        </w:rPr>
      </w:pPr>
    </w:p>
    <w:p>
      <w:pPr>
        <w:tabs>
          <w:tab w:val="left" w:pos="210"/>
        </w:tabs>
        <w:spacing w:line="320" w:lineRule="exact"/>
        <w:ind w:left="720"/>
        <w:rPr>
          <w:rFonts w:ascii="宋体" w:hAnsi="宋体" w:cs="Arial"/>
          <w:b/>
          <w:kern w:val="0"/>
          <w:sz w:val="32"/>
          <w:szCs w:val="32"/>
        </w:rPr>
      </w:pPr>
    </w:p>
    <w:p>
      <w:pPr>
        <w:tabs>
          <w:tab w:val="left" w:pos="210"/>
        </w:tabs>
        <w:spacing w:line="320" w:lineRule="exact"/>
        <w:ind w:left="720"/>
        <w:rPr>
          <w:rFonts w:ascii="宋体" w:hAnsi="宋体" w:cs="Arial"/>
          <w:b/>
          <w:kern w:val="0"/>
          <w:sz w:val="32"/>
          <w:szCs w:val="32"/>
        </w:rPr>
      </w:pPr>
    </w:p>
    <w:p>
      <w:pPr>
        <w:tabs>
          <w:tab w:val="left" w:pos="210"/>
        </w:tabs>
        <w:ind w:left="720"/>
        <w:jc w:val="center"/>
        <w:rPr>
          <w:b/>
          <w:sz w:val="32"/>
          <w:szCs w:val="32"/>
        </w:rPr>
      </w:pPr>
      <w:r>
        <w:rPr>
          <w:rFonts w:ascii="宋体" w:hAnsi="宋体" w:cs="Arial"/>
          <w:b/>
          <w:kern w:val="0"/>
          <w:sz w:val="32"/>
          <w:szCs w:val="32"/>
        </w:rPr>
        <w:br w:type="page"/>
      </w:r>
      <w:r>
        <w:rPr>
          <w:rFonts w:hint="eastAsia" w:ascii="宋体" w:hAnsi="宋体" w:cs="Arial"/>
          <w:b/>
          <w:kern w:val="0"/>
          <w:sz w:val="28"/>
          <w:szCs w:val="28"/>
        </w:rPr>
        <w:t>2、</w:t>
      </w:r>
      <w:r>
        <w:rPr>
          <w:rFonts w:hint="eastAsia"/>
          <w:b/>
          <w:sz w:val="28"/>
          <w:szCs w:val="28"/>
        </w:rPr>
        <w:t>法定代表人授权书</w:t>
      </w:r>
    </w:p>
    <w:p>
      <w:pPr>
        <w:spacing w:line="480" w:lineRule="exact"/>
        <w:rPr>
          <w:rFonts w:ascii="宋体" w:hAnsi="宋体" w:cs="宋体"/>
          <w:b/>
          <w:szCs w:val="32"/>
        </w:rPr>
      </w:pPr>
    </w:p>
    <w:tbl>
      <w:tblPr>
        <w:tblStyle w:val="35"/>
        <w:tblpPr w:leftFromText="180" w:rightFromText="180" w:vertAnchor="text" w:horzAnchor="page" w:tblpX="1869"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47"/>
        <w:gridCol w:w="1565"/>
        <w:gridCol w:w="295"/>
        <w:gridCol w:w="2046"/>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980" w:type="dxa"/>
            <w:gridSpan w:val="6"/>
            <w:vAlign w:val="center"/>
          </w:tcPr>
          <w:p>
            <w:pPr>
              <w:tabs>
                <w:tab w:val="left" w:pos="1260"/>
              </w:tabs>
              <w:spacing w:line="440" w:lineRule="exact"/>
              <w:ind w:firstLine="117" w:firstLineChars="56"/>
              <w:rPr>
                <w:rFonts w:ascii="宋体" w:hAnsi="宋体" w:cs="宋体"/>
                <w:szCs w:val="32"/>
              </w:rPr>
            </w:pPr>
            <w:r>
              <w:rPr>
                <w:rFonts w:hint="eastAsia" w:ascii="宋体" w:hAnsi="宋体" w:cs="宋体"/>
              </w:rPr>
              <w:t xml:space="preserve">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77" w:type="dxa"/>
            <w:vMerge w:val="restart"/>
            <w:vAlign w:val="center"/>
          </w:tcPr>
          <w:p>
            <w:pPr>
              <w:tabs>
                <w:tab w:val="left" w:pos="1260"/>
              </w:tabs>
              <w:spacing w:line="360" w:lineRule="exact"/>
              <w:jc w:val="center"/>
              <w:rPr>
                <w:rFonts w:ascii="宋体" w:hAnsi="宋体" w:cs="宋体"/>
              </w:rPr>
            </w:pPr>
            <w:r>
              <w:rPr>
                <w:rFonts w:hint="eastAsia" w:ascii="宋体" w:hAnsi="宋体" w:cs="宋体"/>
              </w:rPr>
              <w:t>被授权人</w:t>
            </w: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姓    名</w:t>
            </w:r>
          </w:p>
        </w:tc>
        <w:tc>
          <w:tcPr>
            <w:tcW w:w="1860" w:type="dxa"/>
            <w:gridSpan w:val="2"/>
          </w:tcPr>
          <w:p>
            <w:pPr>
              <w:tabs>
                <w:tab w:val="left" w:pos="1260"/>
              </w:tabs>
              <w:spacing w:line="440" w:lineRule="exact"/>
              <w:rPr>
                <w:rFonts w:ascii="宋体" w:hAnsi="宋体" w:cs="宋体"/>
              </w:rPr>
            </w:pPr>
          </w:p>
        </w:tc>
        <w:tc>
          <w:tcPr>
            <w:tcW w:w="2046" w:type="dxa"/>
          </w:tcPr>
          <w:p>
            <w:pPr>
              <w:tabs>
                <w:tab w:val="left" w:pos="1260"/>
              </w:tabs>
              <w:spacing w:line="440" w:lineRule="exact"/>
              <w:jc w:val="center"/>
              <w:rPr>
                <w:rFonts w:ascii="宋体" w:hAnsi="宋体" w:cs="宋体"/>
              </w:rPr>
            </w:pPr>
            <w:r>
              <w:rPr>
                <w:rFonts w:hint="eastAsia" w:ascii="宋体" w:hAnsi="宋体" w:cs="宋体"/>
              </w:rPr>
              <w:t>性    别</w:t>
            </w:r>
          </w:p>
        </w:tc>
        <w:tc>
          <w:tcPr>
            <w:tcW w:w="2250" w:type="dxa"/>
          </w:tcPr>
          <w:p>
            <w:pPr>
              <w:tabs>
                <w:tab w:val="left" w:pos="1260"/>
              </w:tabs>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77" w:type="dxa"/>
            <w:vMerge w:val="continue"/>
            <w:vAlign w:val="center"/>
          </w:tcPr>
          <w:p>
            <w:pPr>
              <w:tabs>
                <w:tab w:val="left" w:pos="1260"/>
              </w:tabs>
              <w:spacing w:line="360" w:lineRule="exact"/>
              <w:jc w:val="center"/>
              <w:rPr>
                <w:rFonts w:ascii="宋体" w:hAnsi="宋体" w:cs="宋体"/>
              </w:rPr>
            </w:pP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职    务</w:t>
            </w:r>
          </w:p>
        </w:tc>
        <w:tc>
          <w:tcPr>
            <w:tcW w:w="1860" w:type="dxa"/>
            <w:gridSpan w:val="2"/>
          </w:tcPr>
          <w:p>
            <w:pPr>
              <w:tabs>
                <w:tab w:val="left" w:pos="1260"/>
              </w:tabs>
              <w:spacing w:line="440" w:lineRule="exact"/>
              <w:rPr>
                <w:rFonts w:ascii="宋体" w:hAnsi="宋体" w:cs="宋体"/>
              </w:rPr>
            </w:pPr>
          </w:p>
        </w:tc>
        <w:tc>
          <w:tcPr>
            <w:tcW w:w="2046" w:type="dxa"/>
          </w:tcPr>
          <w:p>
            <w:pPr>
              <w:tabs>
                <w:tab w:val="left" w:pos="1260"/>
              </w:tabs>
              <w:spacing w:line="440" w:lineRule="exact"/>
              <w:jc w:val="center"/>
              <w:rPr>
                <w:rFonts w:ascii="宋体" w:hAnsi="宋体" w:cs="宋体"/>
              </w:rPr>
            </w:pPr>
            <w:r>
              <w:rPr>
                <w:rFonts w:hint="eastAsia" w:ascii="宋体" w:hAnsi="宋体" w:cs="宋体"/>
              </w:rPr>
              <w:t>手机号码</w:t>
            </w:r>
          </w:p>
        </w:tc>
        <w:tc>
          <w:tcPr>
            <w:tcW w:w="2250" w:type="dxa"/>
          </w:tcPr>
          <w:p>
            <w:pPr>
              <w:tabs>
                <w:tab w:val="left" w:pos="1260"/>
              </w:tabs>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77" w:type="dxa"/>
            <w:vMerge w:val="continue"/>
            <w:vAlign w:val="center"/>
          </w:tcPr>
          <w:p>
            <w:pPr>
              <w:tabs>
                <w:tab w:val="left" w:pos="1260"/>
              </w:tabs>
              <w:spacing w:line="360" w:lineRule="exact"/>
              <w:jc w:val="center"/>
              <w:rPr>
                <w:rFonts w:ascii="宋体" w:hAnsi="宋体" w:cs="宋体"/>
              </w:rPr>
            </w:pP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联系电话</w:t>
            </w:r>
          </w:p>
        </w:tc>
        <w:tc>
          <w:tcPr>
            <w:tcW w:w="1860" w:type="dxa"/>
            <w:gridSpan w:val="2"/>
          </w:tcPr>
          <w:p>
            <w:pPr>
              <w:tabs>
                <w:tab w:val="left" w:pos="1260"/>
              </w:tabs>
              <w:spacing w:line="440" w:lineRule="exact"/>
              <w:rPr>
                <w:rFonts w:ascii="宋体" w:hAnsi="宋体" w:cs="宋体"/>
              </w:rPr>
            </w:pPr>
          </w:p>
        </w:tc>
        <w:tc>
          <w:tcPr>
            <w:tcW w:w="2046" w:type="dxa"/>
          </w:tcPr>
          <w:p>
            <w:pPr>
              <w:tabs>
                <w:tab w:val="left" w:pos="1260"/>
              </w:tabs>
              <w:spacing w:line="440" w:lineRule="exact"/>
              <w:jc w:val="center"/>
              <w:rPr>
                <w:rFonts w:ascii="宋体" w:hAnsi="宋体" w:cs="宋体"/>
              </w:rPr>
            </w:pPr>
            <w:r>
              <w:rPr>
                <w:rFonts w:hint="eastAsia" w:ascii="宋体" w:hAnsi="宋体" w:cs="宋体"/>
              </w:rPr>
              <w:t>图文传真</w:t>
            </w:r>
          </w:p>
        </w:tc>
        <w:tc>
          <w:tcPr>
            <w:tcW w:w="2250" w:type="dxa"/>
          </w:tcPr>
          <w:p>
            <w:pPr>
              <w:tabs>
                <w:tab w:val="left" w:pos="1260"/>
              </w:tabs>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77" w:type="dxa"/>
            <w:vMerge w:val="continue"/>
            <w:vAlign w:val="center"/>
          </w:tcPr>
          <w:p>
            <w:pPr>
              <w:tabs>
                <w:tab w:val="left" w:pos="1260"/>
              </w:tabs>
              <w:spacing w:line="360" w:lineRule="exact"/>
              <w:jc w:val="center"/>
              <w:rPr>
                <w:rFonts w:ascii="宋体" w:hAnsi="宋体" w:cs="宋体"/>
              </w:rPr>
            </w:pP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通讯地址</w:t>
            </w:r>
          </w:p>
        </w:tc>
        <w:tc>
          <w:tcPr>
            <w:tcW w:w="6156" w:type="dxa"/>
            <w:gridSpan w:val="4"/>
          </w:tcPr>
          <w:p>
            <w:pPr>
              <w:tabs>
                <w:tab w:val="left" w:pos="1260"/>
              </w:tabs>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77" w:type="dxa"/>
            <w:vMerge w:val="continue"/>
            <w:vAlign w:val="center"/>
          </w:tcPr>
          <w:p>
            <w:pPr>
              <w:tabs>
                <w:tab w:val="left" w:pos="1260"/>
              </w:tabs>
              <w:spacing w:line="360" w:lineRule="exact"/>
              <w:jc w:val="center"/>
              <w:rPr>
                <w:rFonts w:ascii="宋体" w:hAnsi="宋体" w:cs="宋体"/>
              </w:rPr>
            </w:pP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网    址</w:t>
            </w:r>
          </w:p>
        </w:tc>
        <w:tc>
          <w:tcPr>
            <w:tcW w:w="6156" w:type="dxa"/>
            <w:gridSpan w:val="4"/>
          </w:tcPr>
          <w:p>
            <w:pPr>
              <w:tabs>
                <w:tab w:val="left" w:pos="1260"/>
              </w:tabs>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77" w:type="dxa"/>
            <w:vMerge w:val="restart"/>
            <w:vAlign w:val="center"/>
          </w:tcPr>
          <w:p>
            <w:pPr>
              <w:tabs>
                <w:tab w:val="left" w:pos="1260"/>
              </w:tabs>
              <w:spacing w:line="320" w:lineRule="exact"/>
              <w:jc w:val="center"/>
              <w:rPr>
                <w:rFonts w:ascii="宋体" w:hAnsi="宋体" w:cs="宋体"/>
              </w:rPr>
            </w:pPr>
            <w:r>
              <w:rPr>
                <w:rFonts w:hint="eastAsia" w:ascii="宋体" w:hAnsi="宋体" w:cs="宋体"/>
              </w:rPr>
              <w:t>被授权项目与内容</w:t>
            </w: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项目名称</w:t>
            </w:r>
          </w:p>
        </w:tc>
        <w:tc>
          <w:tcPr>
            <w:tcW w:w="6156" w:type="dxa"/>
            <w:gridSpan w:val="4"/>
          </w:tcPr>
          <w:p>
            <w:pPr>
              <w:tabs>
                <w:tab w:val="left" w:pos="1260"/>
              </w:tabs>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77" w:type="dxa"/>
            <w:vMerge w:val="continue"/>
            <w:vAlign w:val="center"/>
          </w:tcPr>
          <w:p>
            <w:pPr>
              <w:tabs>
                <w:tab w:val="left" w:pos="1260"/>
              </w:tabs>
              <w:spacing w:line="440" w:lineRule="exact"/>
              <w:jc w:val="center"/>
              <w:rPr>
                <w:rFonts w:ascii="宋体" w:hAnsi="宋体" w:cs="宋体"/>
              </w:rPr>
            </w:pP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文件编号</w:t>
            </w:r>
          </w:p>
        </w:tc>
        <w:tc>
          <w:tcPr>
            <w:tcW w:w="6156" w:type="dxa"/>
            <w:gridSpan w:val="4"/>
          </w:tcPr>
          <w:p>
            <w:pPr>
              <w:tabs>
                <w:tab w:val="left" w:pos="1260"/>
              </w:tabs>
              <w:spacing w:line="440" w:lineRule="exact"/>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77" w:type="dxa"/>
            <w:vMerge w:val="continue"/>
            <w:vAlign w:val="center"/>
          </w:tcPr>
          <w:p>
            <w:pPr>
              <w:tabs>
                <w:tab w:val="left" w:pos="1260"/>
              </w:tabs>
              <w:spacing w:line="440" w:lineRule="exact"/>
              <w:jc w:val="center"/>
              <w:rPr>
                <w:rFonts w:ascii="宋体" w:hAnsi="宋体" w:cs="宋体"/>
              </w:rPr>
            </w:pP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授权范围</w:t>
            </w:r>
          </w:p>
        </w:tc>
        <w:tc>
          <w:tcPr>
            <w:tcW w:w="6156" w:type="dxa"/>
            <w:gridSpan w:val="4"/>
            <w:vAlign w:val="center"/>
          </w:tcPr>
          <w:p>
            <w:pPr>
              <w:tabs>
                <w:tab w:val="left" w:pos="1260"/>
              </w:tabs>
              <w:spacing w:line="360" w:lineRule="exact"/>
              <w:ind w:firstLine="210" w:firstLineChars="100"/>
              <w:rPr>
                <w:rFonts w:ascii="宋体" w:hAnsi="宋体" w:cs="宋体"/>
              </w:rPr>
            </w:pPr>
            <w:r>
              <w:rPr>
                <w:rFonts w:hint="eastAsia" w:ascii="宋体" w:hAnsi="宋体" w:cs="宋体"/>
              </w:rPr>
              <w:t>全权办理本招标采购项目的投标、联系、洽谈、签约、执行等具体事务，签署全部有关的文件、文书、协议及合同。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77" w:type="dxa"/>
            <w:vMerge w:val="continue"/>
            <w:vAlign w:val="center"/>
          </w:tcPr>
          <w:p>
            <w:pPr>
              <w:tabs>
                <w:tab w:val="left" w:pos="1260"/>
              </w:tabs>
              <w:spacing w:line="440" w:lineRule="exact"/>
              <w:jc w:val="center"/>
              <w:rPr>
                <w:rFonts w:ascii="宋体" w:hAnsi="宋体" w:cs="宋体"/>
              </w:rPr>
            </w:pP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法律责任</w:t>
            </w:r>
          </w:p>
        </w:tc>
        <w:tc>
          <w:tcPr>
            <w:tcW w:w="6156" w:type="dxa"/>
            <w:gridSpan w:val="4"/>
            <w:vAlign w:val="center"/>
          </w:tcPr>
          <w:p>
            <w:pPr>
              <w:tabs>
                <w:tab w:val="left" w:pos="1260"/>
              </w:tabs>
              <w:spacing w:line="360" w:lineRule="exact"/>
              <w:ind w:firstLine="210" w:firstLineChars="100"/>
              <w:rPr>
                <w:rFonts w:ascii="宋体" w:hAnsi="宋体" w:cs="宋体"/>
              </w:rPr>
            </w:pPr>
            <w:r>
              <w:rPr>
                <w:rFonts w:hint="eastAsia" w:ascii="宋体" w:hAnsi="宋体" w:cs="宋体"/>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77" w:type="dxa"/>
            <w:vMerge w:val="continue"/>
            <w:vAlign w:val="center"/>
          </w:tcPr>
          <w:p>
            <w:pPr>
              <w:tabs>
                <w:tab w:val="left" w:pos="1260"/>
              </w:tabs>
              <w:spacing w:line="440" w:lineRule="exact"/>
              <w:jc w:val="center"/>
              <w:rPr>
                <w:rFonts w:ascii="宋体" w:hAnsi="宋体" w:cs="宋体"/>
              </w:rPr>
            </w:pPr>
          </w:p>
        </w:tc>
        <w:tc>
          <w:tcPr>
            <w:tcW w:w="2047" w:type="dxa"/>
            <w:vAlign w:val="center"/>
          </w:tcPr>
          <w:p>
            <w:pPr>
              <w:tabs>
                <w:tab w:val="left" w:pos="1260"/>
              </w:tabs>
              <w:spacing w:line="440" w:lineRule="exact"/>
              <w:jc w:val="center"/>
              <w:rPr>
                <w:rFonts w:ascii="宋体" w:hAnsi="宋体" w:cs="宋体"/>
              </w:rPr>
            </w:pPr>
            <w:r>
              <w:rPr>
                <w:rFonts w:hint="eastAsia" w:ascii="宋体" w:hAnsi="宋体" w:cs="宋体"/>
              </w:rPr>
              <w:t>授权期限</w:t>
            </w:r>
          </w:p>
        </w:tc>
        <w:tc>
          <w:tcPr>
            <w:tcW w:w="6156" w:type="dxa"/>
            <w:gridSpan w:val="4"/>
            <w:vAlign w:val="center"/>
          </w:tcPr>
          <w:p>
            <w:pPr>
              <w:tabs>
                <w:tab w:val="left" w:pos="1260"/>
              </w:tabs>
              <w:spacing w:line="360" w:lineRule="exact"/>
              <w:ind w:firstLine="207" w:firstLineChars="98"/>
              <w:rPr>
                <w:rFonts w:ascii="宋体" w:hAnsi="宋体" w:cs="宋体"/>
                <w:b/>
              </w:rPr>
            </w:pPr>
            <w:r>
              <w:rPr>
                <w:rFonts w:hint="eastAsia" w:ascii="宋体" w:hAnsi="宋体" w:cs="宋体"/>
                <w:b/>
              </w:rPr>
              <w:t>本授权书自开标大会之日计算有效期为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89" w:type="dxa"/>
            <w:gridSpan w:val="3"/>
            <w:vAlign w:val="center"/>
          </w:tcPr>
          <w:p>
            <w:pPr>
              <w:tabs>
                <w:tab w:val="left" w:pos="1260"/>
              </w:tabs>
              <w:spacing w:line="440" w:lineRule="exact"/>
              <w:jc w:val="center"/>
              <w:rPr>
                <w:rFonts w:ascii="宋体" w:hAnsi="宋体" w:cs="宋体"/>
              </w:rPr>
            </w:pPr>
            <w:r>
              <w:rPr>
                <w:rFonts w:hint="eastAsia" w:ascii="宋体" w:hAnsi="宋体" w:cs="宋体"/>
              </w:rPr>
              <w:t>被授权人身份证复印件</w:t>
            </w:r>
          </w:p>
        </w:tc>
        <w:tc>
          <w:tcPr>
            <w:tcW w:w="4591" w:type="dxa"/>
            <w:gridSpan w:val="3"/>
            <w:vAlign w:val="center"/>
          </w:tcPr>
          <w:p>
            <w:pPr>
              <w:tabs>
                <w:tab w:val="left" w:pos="1260"/>
              </w:tabs>
              <w:spacing w:line="440" w:lineRule="exact"/>
              <w:jc w:val="center"/>
              <w:rPr>
                <w:rFonts w:ascii="宋体" w:hAnsi="宋体" w:cs="宋体"/>
              </w:rPr>
            </w:pPr>
            <w:r>
              <w:rPr>
                <w:rFonts w:hint="eastAsia" w:ascii="宋体" w:hAnsi="宋体" w:cs="宋体"/>
                <w:szCs w:val="32"/>
              </w:rPr>
              <w:t>法定代表人</w:t>
            </w:r>
            <w:r>
              <w:rPr>
                <w:rFonts w:hint="eastAsia" w:ascii="宋体" w:hAnsi="宋体" w:cs="宋体"/>
              </w:rPr>
              <w:t>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trPr>
        <w:tc>
          <w:tcPr>
            <w:tcW w:w="4389" w:type="dxa"/>
            <w:gridSpan w:val="3"/>
            <w:vMerge w:val="restart"/>
            <w:vAlign w:val="center"/>
          </w:tcPr>
          <w:p>
            <w:pPr>
              <w:tabs>
                <w:tab w:val="left" w:pos="1260"/>
              </w:tabs>
              <w:spacing w:line="440" w:lineRule="exact"/>
              <w:jc w:val="center"/>
              <w:rPr>
                <w:rFonts w:ascii="宋体" w:hAnsi="宋体" w:cs="宋体"/>
                <w:szCs w:val="32"/>
              </w:rPr>
            </w:pPr>
            <w:r>
              <w:rPr>
                <w:rFonts w:hint="eastAsia" w:ascii="宋体" w:hAnsi="宋体" w:cs="宋体"/>
                <w:szCs w:val="32"/>
              </w:rPr>
              <w:t>（粘贴处）</w:t>
            </w:r>
          </w:p>
        </w:tc>
        <w:tc>
          <w:tcPr>
            <w:tcW w:w="4591" w:type="dxa"/>
            <w:gridSpan w:val="3"/>
            <w:vAlign w:val="center"/>
          </w:tcPr>
          <w:p>
            <w:pPr>
              <w:tabs>
                <w:tab w:val="left" w:pos="1260"/>
              </w:tabs>
              <w:spacing w:line="440" w:lineRule="exact"/>
              <w:jc w:val="center"/>
              <w:rPr>
                <w:rFonts w:ascii="宋体" w:hAnsi="宋体" w:cs="宋体"/>
              </w:rPr>
            </w:pPr>
            <w:r>
              <w:rPr>
                <w:rFonts w:hint="eastAsia" w:ascii="宋体" w:hAnsi="宋体" w:cs="宋体"/>
                <w:szCs w:val="3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trPr>
        <w:tc>
          <w:tcPr>
            <w:tcW w:w="4389" w:type="dxa"/>
            <w:gridSpan w:val="3"/>
            <w:vMerge w:val="continue"/>
            <w:vAlign w:val="center"/>
          </w:tcPr>
          <w:p>
            <w:pPr>
              <w:tabs>
                <w:tab w:val="left" w:pos="1260"/>
              </w:tabs>
              <w:spacing w:line="440" w:lineRule="exact"/>
              <w:rPr>
                <w:rFonts w:ascii="宋体" w:hAnsi="宋体" w:cs="宋体"/>
                <w:szCs w:val="32"/>
              </w:rPr>
            </w:pPr>
          </w:p>
        </w:tc>
        <w:tc>
          <w:tcPr>
            <w:tcW w:w="4591" w:type="dxa"/>
            <w:gridSpan w:val="3"/>
            <w:vAlign w:val="center"/>
          </w:tcPr>
          <w:p>
            <w:pPr>
              <w:tabs>
                <w:tab w:val="left" w:pos="1260"/>
              </w:tabs>
              <w:spacing w:line="440" w:lineRule="exact"/>
              <w:jc w:val="center"/>
              <w:rPr>
                <w:rFonts w:ascii="宋体" w:hAnsi="宋体" w:cs="宋体"/>
                <w:szCs w:val="32"/>
              </w:rPr>
            </w:pPr>
            <w:r>
              <w:rPr>
                <w:rFonts w:hint="eastAsia" w:ascii="宋体" w:hAnsi="宋体" w:cs="宋体"/>
                <w:szCs w:val="32"/>
              </w:rPr>
              <w:t>（签字或盖章）</w:t>
            </w:r>
          </w:p>
          <w:p>
            <w:pPr>
              <w:tabs>
                <w:tab w:val="left" w:pos="1260"/>
              </w:tabs>
              <w:spacing w:line="220" w:lineRule="exact"/>
              <w:jc w:val="center"/>
              <w:rPr>
                <w:rFonts w:ascii="宋体" w:hAnsi="宋体" w:cs="宋体"/>
                <w:szCs w:val="32"/>
              </w:rPr>
            </w:pPr>
          </w:p>
          <w:p>
            <w:pPr>
              <w:tabs>
                <w:tab w:val="left" w:pos="1260"/>
              </w:tabs>
              <w:spacing w:line="440" w:lineRule="exact"/>
              <w:jc w:val="right"/>
              <w:rPr>
                <w:rFonts w:ascii="宋体" w:hAnsi="宋体" w:cs="宋体"/>
                <w:szCs w:val="32"/>
              </w:rPr>
            </w:pPr>
            <w:r>
              <w:rPr>
                <w:rFonts w:hint="eastAsia" w:ascii="宋体" w:hAnsi="宋体" w:cs="宋体"/>
                <w:szCs w:val="32"/>
              </w:rPr>
              <w:t>年   月   日</w:t>
            </w:r>
          </w:p>
        </w:tc>
      </w:tr>
    </w:tbl>
    <w:p>
      <w:pPr>
        <w:spacing w:line="480" w:lineRule="exact"/>
        <w:ind w:firstLine="422" w:firstLineChars="200"/>
        <w:rPr>
          <w:rFonts w:ascii="宋体" w:hAnsi="宋体" w:cs="宋体"/>
          <w:b/>
          <w:szCs w:val="32"/>
        </w:rPr>
      </w:pPr>
      <w:r>
        <w:rPr>
          <w:rFonts w:hint="eastAsia" w:ascii="宋体" w:hAnsi="宋体" w:cs="宋体"/>
          <w:b/>
          <w:szCs w:val="32"/>
        </w:rPr>
        <w:t>重要提示：</w:t>
      </w:r>
    </w:p>
    <w:p>
      <w:pPr>
        <w:tabs>
          <w:tab w:val="left" w:pos="360"/>
        </w:tabs>
        <w:autoSpaceDE w:val="0"/>
        <w:autoSpaceDN w:val="0"/>
        <w:adjustRightInd w:val="0"/>
        <w:spacing w:line="400" w:lineRule="exact"/>
        <w:ind w:left="269" w:leftChars="128" w:firstLine="420" w:firstLineChars="200"/>
        <w:rPr>
          <w:rFonts w:ascii="宋体" w:hAnsi="宋体" w:cs="宋体"/>
        </w:rPr>
      </w:pPr>
      <w:r>
        <w:rPr>
          <w:rFonts w:hint="eastAsia" w:ascii="宋体" w:hAnsi="宋体" w:cs="宋体"/>
        </w:rPr>
        <w:t>1、 非法定代表人投标的须有法定代表人授权，并要求磋商投标文件</w:t>
      </w:r>
      <w:r>
        <w:rPr>
          <w:rFonts w:hint="eastAsia" w:ascii="宋体" w:hAnsi="宋体" w:cs="宋体"/>
          <w:bCs/>
        </w:rPr>
        <w:t>正本内装订授权书原件</w:t>
      </w:r>
      <w:r>
        <w:rPr>
          <w:rFonts w:hint="eastAsia" w:ascii="宋体" w:hAnsi="宋体" w:cs="宋体"/>
        </w:rPr>
        <w:t>，</w:t>
      </w:r>
      <w:r>
        <w:rPr>
          <w:rFonts w:hint="eastAsia" w:ascii="宋体" w:hAnsi="宋体" w:cs="宋体"/>
          <w:bCs/>
        </w:rPr>
        <w:t xml:space="preserve">否则作为符合性审查不合格处理，投标文件自动失效。 </w:t>
      </w:r>
    </w:p>
    <w:p>
      <w:pPr>
        <w:tabs>
          <w:tab w:val="left" w:pos="360"/>
        </w:tabs>
        <w:autoSpaceDE w:val="0"/>
        <w:autoSpaceDN w:val="0"/>
        <w:adjustRightInd w:val="0"/>
        <w:spacing w:line="400" w:lineRule="exact"/>
        <w:ind w:left="269" w:leftChars="128" w:firstLine="420" w:firstLineChars="200"/>
        <w:outlineLvl w:val="2"/>
        <w:rPr>
          <w:rFonts w:ascii="宋体" w:hAnsi="宋体" w:cs="宋体"/>
        </w:rPr>
      </w:pPr>
      <w:r>
        <w:rPr>
          <w:rFonts w:hint="eastAsia" w:ascii="宋体" w:hAnsi="宋体" w:cs="宋体"/>
        </w:rPr>
        <w:t>2、本授权书有效期应自磋商会议之日计算不得少于九十天。</w:t>
      </w:r>
    </w:p>
    <w:p/>
    <w:p>
      <w:pPr>
        <w:numPr>
          <w:ilvl w:val="0"/>
          <w:numId w:val="7"/>
        </w:numPr>
        <w:spacing w:line="500" w:lineRule="exact"/>
        <w:ind w:right="-218" w:rightChars="-104"/>
        <w:jc w:val="center"/>
        <w:outlineLvl w:val="1"/>
        <w:rPr>
          <w:rFonts w:ascii="宋体" w:hAnsi="宋体" w:cs="宋体"/>
          <w:b/>
          <w:sz w:val="32"/>
          <w:szCs w:val="32"/>
        </w:rPr>
      </w:pPr>
      <w:bookmarkStart w:id="287" w:name="_Toc17354"/>
      <w:bookmarkStart w:id="288" w:name="_Toc24053"/>
      <w:bookmarkStart w:id="289" w:name="_Toc14823"/>
      <w:bookmarkStart w:id="290" w:name="_Toc29063"/>
      <w:bookmarkStart w:id="291" w:name="_Toc27069"/>
      <w:r>
        <w:rPr>
          <w:rFonts w:hint="eastAsia" w:ascii="宋体" w:hAnsi="宋体" w:cs="宋体"/>
          <w:b/>
          <w:sz w:val="32"/>
          <w:szCs w:val="32"/>
        </w:rPr>
        <w:t>商务部分</w:t>
      </w:r>
      <w:bookmarkEnd w:id="287"/>
      <w:bookmarkEnd w:id="288"/>
      <w:bookmarkEnd w:id="289"/>
      <w:bookmarkEnd w:id="290"/>
      <w:bookmarkEnd w:id="291"/>
    </w:p>
    <w:p>
      <w:pPr>
        <w:pStyle w:val="2"/>
      </w:pPr>
    </w:p>
    <w:p>
      <w:pPr>
        <w:autoSpaceDE w:val="0"/>
        <w:autoSpaceDN w:val="0"/>
        <w:adjustRightInd w:val="0"/>
        <w:ind w:left="-17" w:leftChars="-8" w:right="-60" w:firstLine="17"/>
        <w:jc w:val="center"/>
        <w:rPr>
          <w:rFonts w:ascii="宋体" w:hAnsi="宋体" w:cs="宋体"/>
          <w:b/>
          <w:sz w:val="32"/>
          <w:szCs w:val="32"/>
        </w:rPr>
      </w:pPr>
      <w:r>
        <w:rPr>
          <w:rFonts w:hint="eastAsia" w:ascii="宋体" w:hAnsi="宋体" w:cs="宋体"/>
          <w:b/>
          <w:sz w:val="28"/>
          <w:szCs w:val="28"/>
        </w:rPr>
        <w:t>依据《评审办法》评审要素一览表中商务标的要求进行响应</w:t>
      </w:r>
    </w:p>
    <w:p>
      <w:pPr>
        <w:autoSpaceDE w:val="0"/>
        <w:autoSpaceDN w:val="0"/>
        <w:adjustRightInd w:val="0"/>
        <w:ind w:left="-17" w:leftChars="-8" w:right="-60" w:firstLine="17"/>
        <w:jc w:val="center"/>
        <w:rPr>
          <w:rFonts w:ascii="宋体" w:hAnsi="宋体" w:cs="宋体"/>
          <w:b/>
          <w:sz w:val="32"/>
          <w:szCs w:val="32"/>
        </w:rPr>
      </w:pPr>
    </w:p>
    <w:p>
      <w:pPr>
        <w:ind w:right="-60"/>
        <w:rPr>
          <w:rFonts w:ascii="宋体" w:hAnsi="宋体" w:cs="宋体"/>
          <w:sz w:val="32"/>
          <w:szCs w:val="40"/>
        </w:rPr>
      </w:pPr>
      <w:bookmarkStart w:id="292" w:name="_Toc24812_WPSOffice_Level1"/>
      <w:bookmarkStart w:id="293" w:name="_Toc16683_WPSOffice_Level1"/>
      <w:bookmarkStart w:id="294" w:name="_Toc23053_WPSOffice_Level2"/>
      <w:bookmarkStart w:id="295" w:name="_Toc31810_WPSOffice_Level2"/>
      <w:bookmarkStart w:id="296" w:name="_Toc2505_WPSOffice_Level2"/>
      <w:bookmarkStart w:id="297" w:name="_Toc23264_WPSOffice_Level2"/>
      <w:bookmarkStart w:id="298" w:name="_Toc12971_WPSOffice_Level2"/>
      <w:bookmarkStart w:id="299" w:name="_Toc78_WPSOffice_Level2"/>
      <w:r>
        <w:rPr>
          <w:rFonts w:hint="eastAsia" w:ascii="宋体" w:hAnsi="宋体" w:cs="宋体"/>
          <w:sz w:val="32"/>
          <w:szCs w:val="40"/>
        </w:rPr>
        <w:t>附表</w:t>
      </w:r>
      <w:bookmarkEnd w:id="292"/>
      <w:bookmarkEnd w:id="293"/>
      <w:r>
        <w:rPr>
          <w:rFonts w:hint="eastAsia" w:ascii="宋体" w:hAnsi="宋体" w:cs="宋体"/>
          <w:sz w:val="32"/>
          <w:szCs w:val="40"/>
        </w:rPr>
        <w:t xml:space="preserve">           </w:t>
      </w:r>
    </w:p>
    <w:p>
      <w:pPr>
        <w:ind w:right="-60"/>
        <w:jc w:val="center"/>
        <w:rPr>
          <w:rFonts w:ascii="宋体" w:hAnsi="宋体" w:cs="宋体"/>
          <w:b/>
          <w:bCs/>
          <w:sz w:val="36"/>
          <w:szCs w:val="44"/>
        </w:rPr>
      </w:pPr>
      <w:bookmarkStart w:id="300" w:name="_Toc30858_WPSOffice_Level1"/>
      <w:r>
        <w:rPr>
          <w:rFonts w:hint="eastAsia" w:ascii="宋体" w:hAnsi="宋体" w:cs="宋体"/>
          <w:b/>
          <w:bCs/>
          <w:sz w:val="36"/>
          <w:szCs w:val="44"/>
        </w:rPr>
        <w:t>2020年以来完成的同类项目业绩</w:t>
      </w:r>
      <w:bookmarkEnd w:id="294"/>
      <w:bookmarkEnd w:id="295"/>
      <w:bookmarkEnd w:id="296"/>
      <w:bookmarkEnd w:id="297"/>
      <w:bookmarkEnd w:id="298"/>
      <w:bookmarkEnd w:id="299"/>
      <w:bookmarkEnd w:id="300"/>
    </w:p>
    <w:tbl>
      <w:tblPr>
        <w:tblStyle w:val="35"/>
        <w:tblpPr w:leftFromText="180" w:rightFromText="180" w:vertAnchor="text" w:horzAnchor="page" w:tblpX="1807" w:tblpY="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45"/>
        <w:gridCol w:w="2754"/>
        <w:gridCol w:w="1798"/>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line="400" w:lineRule="exact"/>
              <w:jc w:val="center"/>
              <w:rPr>
                <w:rFonts w:ascii="宋体" w:hAnsi="宋体" w:cs="宋体"/>
                <w:b/>
                <w:bCs/>
                <w:sz w:val="28"/>
                <w:szCs w:val="28"/>
              </w:rPr>
            </w:pPr>
            <w:r>
              <w:rPr>
                <w:rFonts w:hint="eastAsia" w:ascii="宋体" w:hAnsi="宋体" w:cs="宋体"/>
                <w:b/>
                <w:bCs/>
                <w:sz w:val="28"/>
                <w:szCs w:val="28"/>
              </w:rPr>
              <w:t>序号</w:t>
            </w:r>
          </w:p>
        </w:tc>
        <w:tc>
          <w:tcPr>
            <w:tcW w:w="1745" w:type="dxa"/>
          </w:tcPr>
          <w:p>
            <w:pPr>
              <w:spacing w:line="400" w:lineRule="exact"/>
              <w:jc w:val="center"/>
              <w:rPr>
                <w:rFonts w:ascii="宋体" w:hAnsi="宋体" w:cs="宋体"/>
                <w:b/>
                <w:bCs/>
                <w:sz w:val="28"/>
                <w:szCs w:val="28"/>
              </w:rPr>
            </w:pPr>
            <w:r>
              <w:rPr>
                <w:rFonts w:hint="eastAsia" w:ascii="宋体" w:hAnsi="宋体" w:cs="宋体"/>
                <w:b/>
                <w:bCs/>
                <w:sz w:val="28"/>
                <w:szCs w:val="28"/>
              </w:rPr>
              <w:t>采购人名称</w:t>
            </w:r>
          </w:p>
        </w:tc>
        <w:tc>
          <w:tcPr>
            <w:tcW w:w="2754" w:type="dxa"/>
          </w:tcPr>
          <w:p>
            <w:pPr>
              <w:spacing w:line="400" w:lineRule="exact"/>
              <w:jc w:val="center"/>
              <w:rPr>
                <w:rFonts w:ascii="宋体" w:hAnsi="宋体" w:cs="宋体"/>
                <w:b/>
                <w:bCs/>
                <w:sz w:val="28"/>
                <w:szCs w:val="28"/>
              </w:rPr>
            </w:pPr>
            <w:r>
              <w:rPr>
                <w:rFonts w:hint="eastAsia" w:ascii="宋体" w:hAnsi="宋体" w:cs="宋体"/>
                <w:b/>
                <w:bCs/>
                <w:sz w:val="28"/>
                <w:szCs w:val="28"/>
              </w:rPr>
              <w:t>项目名称及合同</w:t>
            </w:r>
          </w:p>
          <w:p>
            <w:pPr>
              <w:spacing w:line="400" w:lineRule="exact"/>
              <w:jc w:val="center"/>
              <w:rPr>
                <w:rFonts w:ascii="宋体" w:hAnsi="宋体" w:cs="宋体"/>
                <w:b/>
                <w:bCs/>
                <w:sz w:val="28"/>
                <w:szCs w:val="28"/>
              </w:rPr>
            </w:pPr>
            <w:r>
              <w:rPr>
                <w:rFonts w:hint="eastAsia" w:ascii="宋体" w:hAnsi="宋体" w:cs="宋体"/>
                <w:b/>
                <w:bCs/>
                <w:sz w:val="28"/>
                <w:szCs w:val="28"/>
              </w:rPr>
              <w:t>金额（万元）</w:t>
            </w:r>
          </w:p>
        </w:tc>
        <w:tc>
          <w:tcPr>
            <w:tcW w:w="1798" w:type="dxa"/>
          </w:tcPr>
          <w:p>
            <w:pPr>
              <w:spacing w:line="400" w:lineRule="exact"/>
              <w:jc w:val="center"/>
              <w:rPr>
                <w:rFonts w:ascii="宋体" w:hAnsi="宋体" w:cs="宋体"/>
                <w:b/>
                <w:bCs/>
                <w:sz w:val="28"/>
                <w:szCs w:val="28"/>
              </w:rPr>
            </w:pPr>
            <w:r>
              <w:rPr>
                <w:rFonts w:hint="eastAsia" w:ascii="宋体" w:hAnsi="宋体" w:cs="宋体"/>
                <w:b/>
                <w:bCs/>
                <w:sz w:val="28"/>
                <w:szCs w:val="28"/>
              </w:rPr>
              <w:t>完成时间</w:t>
            </w:r>
          </w:p>
        </w:tc>
        <w:tc>
          <w:tcPr>
            <w:tcW w:w="2045" w:type="dxa"/>
          </w:tcPr>
          <w:p>
            <w:pPr>
              <w:spacing w:line="400" w:lineRule="exact"/>
              <w:jc w:val="center"/>
              <w:rPr>
                <w:rFonts w:ascii="宋体" w:hAnsi="宋体" w:cs="宋体"/>
                <w:b/>
                <w:bCs/>
                <w:sz w:val="28"/>
                <w:szCs w:val="28"/>
              </w:rPr>
            </w:pPr>
            <w:r>
              <w:rPr>
                <w:rFonts w:hint="eastAsia" w:ascii="宋体" w:hAnsi="宋体" w:cs="宋体"/>
                <w:b/>
                <w:bCs/>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autoSpaceDE w:val="0"/>
              <w:autoSpaceDN w:val="0"/>
              <w:adjustRightInd w:val="0"/>
              <w:spacing w:line="580" w:lineRule="exact"/>
              <w:rPr>
                <w:rFonts w:ascii="宋体" w:hAnsi="宋体" w:cs="宋体"/>
                <w:b/>
                <w:bCs/>
                <w:sz w:val="28"/>
                <w:szCs w:val="28"/>
              </w:rPr>
            </w:pPr>
          </w:p>
        </w:tc>
        <w:tc>
          <w:tcPr>
            <w:tcW w:w="1745" w:type="dxa"/>
          </w:tcPr>
          <w:p>
            <w:pPr>
              <w:autoSpaceDE w:val="0"/>
              <w:autoSpaceDN w:val="0"/>
              <w:adjustRightInd w:val="0"/>
              <w:spacing w:line="580" w:lineRule="exact"/>
              <w:jc w:val="center"/>
              <w:rPr>
                <w:rFonts w:ascii="宋体" w:hAnsi="宋体" w:cs="宋体"/>
                <w:b/>
                <w:bCs/>
                <w:sz w:val="28"/>
                <w:szCs w:val="28"/>
              </w:rPr>
            </w:pPr>
          </w:p>
        </w:tc>
        <w:tc>
          <w:tcPr>
            <w:tcW w:w="2754" w:type="dxa"/>
          </w:tcPr>
          <w:p>
            <w:pPr>
              <w:autoSpaceDE w:val="0"/>
              <w:autoSpaceDN w:val="0"/>
              <w:adjustRightInd w:val="0"/>
              <w:spacing w:line="580" w:lineRule="exact"/>
              <w:jc w:val="center"/>
              <w:rPr>
                <w:rFonts w:ascii="宋体" w:hAnsi="宋体" w:cs="宋体"/>
                <w:b/>
                <w:bCs/>
                <w:sz w:val="28"/>
                <w:szCs w:val="28"/>
              </w:rPr>
            </w:pPr>
          </w:p>
        </w:tc>
        <w:tc>
          <w:tcPr>
            <w:tcW w:w="1798" w:type="dxa"/>
          </w:tcPr>
          <w:p>
            <w:pPr>
              <w:autoSpaceDE w:val="0"/>
              <w:autoSpaceDN w:val="0"/>
              <w:adjustRightInd w:val="0"/>
              <w:spacing w:line="580" w:lineRule="exact"/>
              <w:jc w:val="center"/>
              <w:rPr>
                <w:rFonts w:ascii="宋体" w:hAnsi="宋体" w:cs="宋体"/>
                <w:b/>
                <w:bCs/>
                <w:sz w:val="28"/>
                <w:szCs w:val="28"/>
              </w:rPr>
            </w:pPr>
          </w:p>
        </w:tc>
        <w:tc>
          <w:tcPr>
            <w:tcW w:w="2045" w:type="dxa"/>
          </w:tcPr>
          <w:p>
            <w:pPr>
              <w:autoSpaceDE w:val="0"/>
              <w:autoSpaceDN w:val="0"/>
              <w:adjustRightInd w:val="0"/>
              <w:spacing w:line="580" w:lineRule="exact"/>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autoSpaceDE w:val="0"/>
              <w:autoSpaceDN w:val="0"/>
              <w:adjustRightInd w:val="0"/>
              <w:spacing w:line="580" w:lineRule="exact"/>
              <w:jc w:val="center"/>
              <w:rPr>
                <w:rFonts w:ascii="宋体" w:hAnsi="宋体" w:cs="宋体"/>
                <w:b/>
                <w:bCs/>
                <w:sz w:val="28"/>
                <w:szCs w:val="28"/>
              </w:rPr>
            </w:pPr>
          </w:p>
        </w:tc>
        <w:tc>
          <w:tcPr>
            <w:tcW w:w="1745" w:type="dxa"/>
          </w:tcPr>
          <w:p>
            <w:pPr>
              <w:autoSpaceDE w:val="0"/>
              <w:autoSpaceDN w:val="0"/>
              <w:adjustRightInd w:val="0"/>
              <w:spacing w:line="580" w:lineRule="exact"/>
              <w:jc w:val="center"/>
              <w:rPr>
                <w:rFonts w:ascii="宋体" w:hAnsi="宋体" w:cs="宋体"/>
                <w:b/>
                <w:bCs/>
                <w:sz w:val="28"/>
                <w:szCs w:val="28"/>
              </w:rPr>
            </w:pPr>
          </w:p>
        </w:tc>
        <w:tc>
          <w:tcPr>
            <w:tcW w:w="2754" w:type="dxa"/>
          </w:tcPr>
          <w:p>
            <w:pPr>
              <w:autoSpaceDE w:val="0"/>
              <w:autoSpaceDN w:val="0"/>
              <w:adjustRightInd w:val="0"/>
              <w:spacing w:line="580" w:lineRule="exact"/>
              <w:jc w:val="center"/>
              <w:rPr>
                <w:rFonts w:ascii="宋体" w:hAnsi="宋体" w:cs="宋体"/>
                <w:b/>
                <w:bCs/>
                <w:sz w:val="28"/>
                <w:szCs w:val="28"/>
              </w:rPr>
            </w:pPr>
          </w:p>
        </w:tc>
        <w:tc>
          <w:tcPr>
            <w:tcW w:w="1798" w:type="dxa"/>
          </w:tcPr>
          <w:p>
            <w:pPr>
              <w:autoSpaceDE w:val="0"/>
              <w:autoSpaceDN w:val="0"/>
              <w:adjustRightInd w:val="0"/>
              <w:spacing w:line="580" w:lineRule="exact"/>
              <w:jc w:val="center"/>
              <w:rPr>
                <w:rFonts w:ascii="宋体" w:hAnsi="宋体" w:cs="宋体"/>
                <w:b/>
                <w:bCs/>
                <w:sz w:val="28"/>
                <w:szCs w:val="28"/>
              </w:rPr>
            </w:pPr>
          </w:p>
        </w:tc>
        <w:tc>
          <w:tcPr>
            <w:tcW w:w="2045" w:type="dxa"/>
          </w:tcPr>
          <w:p>
            <w:pPr>
              <w:autoSpaceDE w:val="0"/>
              <w:autoSpaceDN w:val="0"/>
              <w:adjustRightInd w:val="0"/>
              <w:spacing w:line="580" w:lineRule="exact"/>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autoSpaceDE w:val="0"/>
              <w:autoSpaceDN w:val="0"/>
              <w:adjustRightInd w:val="0"/>
              <w:spacing w:line="580" w:lineRule="exact"/>
              <w:jc w:val="center"/>
              <w:rPr>
                <w:rFonts w:ascii="宋体" w:hAnsi="宋体" w:cs="宋体"/>
                <w:b/>
                <w:bCs/>
                <w:sz w:val="28"/>
                <w:szCs w:val="28"/>
              </w:rPr>
            </w:pPr>
          </w:p>
        </w:tc>
        <w:tc>
          <w:tcPr>
            <w:tcW w:w="1745" w:type="dxa"/>
          </w:tcPr>
          <w:p>
            <w:pPr>
              <w:autoSpaceDE w:val="0"/>
              <w:autoSpaceDN w:val="0"/>
              <w:adjustRightInd w:val="0"/>
              <w:spacing w:line="580" w:lineRule="exact"/>
              <w:jc w:val="center"/>
              <w:rPr>
                <w:rFonts w:ascii="宋体" w:hAnsi="宋体" w:cs="宋体"/>
                <w:b/>
                <w:bCs/>
                <w:sz w:val="28"/>
                <w:szCs w:val="28"/>
              </w:rPr>
            </w:pPr>
          </w:p>
        </w:tc>
        <w:tc>
          <w:tcPr>
            <w:tcW w:w="2754" w:type="dxa"/>
          </w:tcPr>
          <w:p>
            <w:pPr>
              <w:autoSpaceDE w:val="0"/>
              <w:autoSpaceDN w:val="0"/>
              <w:adjustRightInd w:val="0"/>
              <w:spacing w:line="580" w:lineRule="exact"/>
              <w:jc w:val="center"/>
              <w:rPr>
                <w:rFonts w:ascii="宋体" w:hAnsi="宋体" w:cs="宋体"/>
                <w:b/>
                <w:bCs/>
                <w:sz w:val="28"/>
                <w:szCs w:val="28"/>
              </w:rPr>
            </w:pPr>
          </w:p>
        </w:tc>
        <w:tc>
          <w:tcPr>
            <w:tcW w:w="1798" w:type="dxa"/>
          </w:tcPr>
          <w:p>
            <w:pPr>
              <w:autoSpaceDE w:val="0"/>
              <w:autoSpaceDN w:val="0"/>
              <w:adjustRightInd w:val="0"/>
              <w:spacing w:line="580" w:lineRule="exact"/>
              <w:jc w:val="center"/>
              <w:rPr>
                <w:rFonts w:ascii="宋体" w:hAnsi="宋体" w:cs="宋体"/>
                <w:b/>
                <w:bCs/>
                <w:sz w:val="28"/>
                <w:szCs w:val="28"/>
              </w:rPr>
            </w:pPr>
          </w:p>
        </w:tc>
        <w:tc>
          <w:tcPr>
            <w:tcW w:w="2045" w:type="dxa"/>
          </w:tcPr>
          <w:p>
            <w:pPr>
              <w:autoSpaceDE w:val="0"/>
              <w:autoSpaceDN w:val="0"/>
              <w:adjustRightInd w:val="0"/>
              <w:spacing w:line="580" w:lineRule="exact"/>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autoSpaceDE w:val="0"/>
              <w:autoSpaceDN w:val="0"/>
              <w:adjustRightInd w:val="0"/>
              <w:spacing w:line="580" w:lineRule="exact"/>
              <w:jc w:val="center"/>
              <w:rPr>
                <w:rFonts w:ascii="宋体" w:hAnsi="宋体" w:cs="宋体"/>
                <w:b/>
                <w:bCs/>
                <w:sz w:val="28"/>
                <w:szCs w:val="28"/>
              </w:rPr>
            </w:pPr>
          </w:p>
        </w:tc>
        <w:tc>
          <w:tcPr>
            <w:tcW w:w="1745" w:type="dxa"/>
          </w:tcPr>
          <w:p>
            <w:pPr>
              <w:autoSpaceDE w:val="0"/>
              <w:autoSpaceDN w:val="0"/>
              <w:adjustRightInd w:val="0"/>
              <w:spacing w:line="580" w:lineRule="exact"/>
              <w:jc w:val="center"/>
              <w:rPr>
                <w:rFonts w:ascii="宋体" w:hAnsi="宋体" w:cs="宋体"/>
                <w:b/>
                <w:bCs/>
                <w:sz w:val="28"/>
                <w:szCs w:val="28"/>
              </w:rPr>
            </w:pPr>
          </w:p>
        </w:tc>
        <w:tc>
          <w:tcPr>
            <w:tcW w:w="2754" w:type="dxa"/>
          </w:tcPr>
          <w:p>
            <w:pPr>
              <w:autoSpaceDE w:val="0"/>
              <w:autoSpaceDN w:val="0"/>
              <w:adjustRightInd w:val="0"/>
              <w:spacing w:line="580" w:lineRule="exact"/>
              <w:jc w:val="center"/>
              <w:rPr>
                <w:rFonts w:ascii="宋体" w:hAnsi="宋体" w:cs="宋体"/>
                <w:b/>
                <w:bCs/>
                <w:sz w:val="28"/>
                <w:szCs w:val="28"/>
              </w:rPr>
            </w:pPr>
          </w:p>
        </w:tc>
        <w:tc>
          <w:tcPr>
            <w:tcW w:w="1798" w:type="dxa"/>
          </w:tcPr>
          <w:p>
            <w:pPr>
              <w:autoSpaceDE w:val="0"/>
              <w:autoSpaceDN w:val="0"/>
              <w:adjustRightInd w:val="0"/>
              <w:spacing w:line="580" w:lineRule="exact"/>
              <w:jc w:val="center"/>
              <w:rPr>
                <w:rFonts w:ascii="宋体" w:hAnsi="宋体" w:cs="宋体"/>
                <w:b/>
                <w:bCs/>
                <w:sz w:val="28"/>
                <w:szCs w:val="28"/>
              </w:rPr>
            </w:pPr>
          </w:p>
        </w:tc>
        <w:tc>
          <w:tcPr>
            <w:tcW w:w="2045" w:type="dxa"/>
          </w:tcPr>
          <w:p>
            <w:pPr>
              <w:autoSpaceDE w:val="0"/>
              <w:autoSpaceDN w:val="0"/>
              <w:adjustRightInd w:val="0"/>
              <w:spacing w:line="580" w:lineRule="exact"/>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autoSpaceDE w:val="0"/>
              <w:autoSpaceDN w:val="0"/>
              <w:adjustRightInd w:val="0"/>
              <w:spacing w:line="580" w:lineRule="exact"/>
              <w:jc w:val="center"/>
              <w:rPr>
                <w:rFonts w:ascii="宋体" w:hAnsi="宋体" w:cs="宋体"/>
                <w:b/>
                <w:bCs/>
                <w:sz w:val="28"/>
                <w:szCs w:val="28"/>
              </w:rPr>
            </w:pPr>
          </w:p>
        </w:tc>
        <w:tc>
          <w:tcPr>
            <w:tcW w:w="1745" w:type="dxa"/>
          </w:tcPr>
          <w:p>
            <w:pPr>
              <w:autoSpaceDE w:val="0"/>
              <w:autoSpaceDN w:val="0"/>
              <w:adjustRightInd w:val="0"/>
              <w:spacing w:line="580" w:lineRule="exact"/>
              <w:jc w:val="center"/>
              <w:rPr>
                <w:rFonts w:ascii="宋体" w:hAnsi="宋体" w:cs="宋体"/>
                <w:b/>
                <w:bCs/>
                <w:sz w:val="28"/>
                <w:szCs w:val="28"/>
              </w:rPr>
            </w:pPr>
          </w:p>
        </w:tc>
        <w:tc>
          <w:tcPr>
            <w:tcW w:w="2754" w:type="dxa"/>
          </w:tcPr>
          <w:p>
            <w:pPr>
              <w:autoSpaceDE w:val="0"/>
              <w:autoSpaceDN w:val="0"/>
              <w:adjustRightInd w:val="0"/>
              <w:spacing w:line="580" w:lineRule="exact"/>
              <w:jc w:val="center"/>
              <w:rPr>
                <w:rFonts w:ascii="宋体" w:hAnsi="宋体" w:cs="宋体"/>
                <w:b/>
                <w:bCs/>
                <w:sz w:val="28"/>
                <w:szCs w:val="28"/>
              </w:rPr>
            </w:pPr>
          </w:p>
        </w:tc>
        <w:tc>
          <w:tcPr>
            <w:tcW w:w="1798" w:type="dxa"/>
          </w:tcPr>
          <w:p>
            <w:pPr>
              <w:autoSpaceDE w:val="0"/>
              <w:autoSpaceDN w:val="0"/>
              <w:adjustRightInd w:val="0"/>
              <w:spacing w:line="580" w:lineRule="exact"/>
              <w:jc w:val="center"/>
              <w:rPr>
                <w:rFonts w:ascii="宋体" w:hAnsi="宋体" w:cs="宋体"/>
                <w:b/>
                <w:bCs/>
                <w:sz w:val="28"/>
                <w:szCs w:val="28"/>
              </w:rPr>
            </w:pPr>
          </w:p>
        </w:tc>
        <w:tc>
          <w:tcPr>
            <w:tcW w:w="2045" w:type="dxa"/>
          </w:tcPr>
          <w:p>
            <w:pPr>
              <w:autoSpaceDE w:val="0"/>
              <w:autoSpaceDN w:val="0"/>
              <w:adjustRightInd w:val="0"/>
              <w:spacing w:line="580" w:lineRule="exact"/>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autoSpaceDE w:val="0"/>
              <w:autoSpaceDN w:val="0"/>
              <w:adjustRightInd w:val="0"/>
              <w:spacing w:line="580" w:lineRule="exact"/>
              <w:jc w:val="center"/>
              <w:rPr>
                <w:rFonts w:ascii="宋体" w:hAnsi="宋体" w:cs="宋体"/>
                <w:b/>
                <w:bCs/>
                <w:sz w:val="28"/>
                <w:szCs w:val="28"/>
              </w:rPr>
            </w:pPr>
          </w:p>
        </w:tc>
        <w:tc>
          <w:tcPr>
            <w:tcW w:w="1745" w:type="dxa"/>
          </w:tcPr>
          <w:p>
            <w:pPr>
              <w:autoSpaceDE w:val="0"/>
              <w:autoSpaceDN w:val="0"/>
              <w:adjustRightInd w:val="0"/>
              <w:spacing w:line="580" w:lineRule="exact"/>
              <w:jc w:val="center"/>
              <w:rPr>
                <w:rFonts w:ascii="宋体" w:hAnsi="宋体" w:cs="宋体"/>
                <w:b/>
                <w:bCs/>
                <w:sz w:val="28"/>
                <w:szCs w:val="28"/>
              </w:rPr>
            </w:pPr>
          </w:p>
        </w:tc>
        <w:tc>
          <w:tcPr>
            <w:tcW w:w="2754" w:type="dxa"/>
          </w:tcPr>
          <w:p>
            <w:pPr>
              <w:autoSpaceDE w:val="0"/>
              <w:autoSpaceDN w:val="0"/>
              <w:adjustRightInd w:val="0"/>
              <w:spacing w:line="580" w:lineRule="exact"/>
              <w:jc w:val="center"/>
              <w:rPr>
                <w:rFonts w:ascii="宋体" w:hAnsi="宋体" w:cs="宋体"/>
                <w:b/>
                <w:bCs/>
                <w:sz w:val="28"/>
                <w:szCs w:val="28"/>
              </w:rPr>
            </w:pPr>
          </w:p>
        </w:tc>
        <w:tc>
          <w:tcPr>
            <w:tcW w:w="1798" w:type="dxa"/>
          </w:tcPr>
          <w:p>
            <w:pPr>
              <w:autoSpaceDE w:val="0"/>
              <w:autoSpaceDN w:val="0"/>
              <w:adjustRightInd w:val="0"/>
              <w:spacing w:line="580" w:lineRule="exact"/>
              <w:jc w:val="center"/>
              <w:rPr>
                <w:rFonts w:ascii="宋体" w:hAnsi="宋体" w:cs="宋体"/>
                <w:b/>
                <w:bCs/>
                <w:sz w:val="28"/>
                <w:szCs w:val="28"/>
              </w:rPr>
            </w:pPr>
          </w:p>
        </w:tc>
        <w:tc>
          <w:tcPr>
            <w:tcW w:w="2045" w:type="dxa"/>
          </w:tcPr>
          <w:p>
            <w:pPr>
              <w:autoSpaceDE w:val="0"/>
              <w:autoSpaceDN w:val="0"/>
              <w:adjustRightInd w:val="0"/>
              <w:spacing w:line="580" w:lineRule="exact"/>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autoSpaceDE w:val="0"/>
              <w:autoSpaceDN w:val="0"/>
              <w:adjustRightInd w:val="0"/>
              <w:spacing w:line="580" w:lineRule="exact"/>
              <w:jc w:val="center"/>
              <w:rPr>
                <w:rFonts w:ascii="宋体" w:hAnsi="宋体" w:cs="宋体"/>
                <w:b/>
                <w:bCs/>
                <w:sz w:val="28"/>
                <w:szCs w:val="28"/>
              </w:rPr>
            </w:pPr>
          </w:p>
        </w:tc>
        <w:tc>
          <w:tcPr>
            <w:tcW w:w="1745" w:type="dxa"/>
          </w:tcPr>
          <w:p>
            <w:pPr>
              <w:autoSpaceDE w:val="0"/>
              <w:autoSpaceDN w:val="0"/>
              <w:adjustRightInd w:val="0"/>
              <w:spacing w:line="580" w:lineRule="exact"/>
              <w:jc w:val="center"/>
              <w:rPr>
                <w:rFonts w:ascii="宋体" w:hAnsi="宋体" w:cs="宋体"/>
                <w:b/>
                <w:bCs/>
                <w:sz w:val="28"/>
                <w:szCs w:val="28"/>
              </w:rPr>
            </w:pPr>
          </w:p>
        </w:tc>
        <w:tc>
          <w:tcPr>
            <w:tcW w:w="2754" w:type="dxa"/>
          </w:tcPr>
          <w:p>
            <w:pPr>
              <w:autoSpaceDE w:val="0"/>
              <w:autoSpaceDN w:val="0"/>
              <w:adjustRightInd w:val="0"/>
              <w:spacing w:line="580" w:lineRule="exact"/>
              <w:jc w:val="center"/>
              <w:rPr>
                <w:rFonts w:ascii="宋体" w:hAnsi="宋体" w:cs="宋体"/>
                <w:b/>
                <w:bCs/>
                <w:sz w:val="28"/>
                <w:szCs w:val="28"/>
              </w:rPr>
            </w:pPr>
          </w:p>
        </w:tc>
        <w:tc>
          <w:tcPr>
            <w:tcW w:w="1798" w:type="dxa"/>
          </w:tcPr>
          <w:p>
            <w:pPr>
              <w:autoSpaceDE w:val="0"/>
              <w:autoSpaceDN w:val="0"/>
              <w:adjustRightInd w:val="0"/>
              <w:spacing w:line="580" w:lineRule="exact"/>
              <w:jc w:val="center"/>
              <w:rPr>
                <w:rFonts w:ascii="宋体" w:hAnsi="宋体" w:cs="宋体"/>
                <w:b/>
                <w:bCs/>
                <w:sz w:val="28"/>
                <w:szCs w:val="28"/>
              </w:rPr>
            </w:pPr>
          </w:p>
        </w:tc>
        <w:tc>
          <w:tcPr>
            <w:tcW w:w="2045" w:type="dxa"/>
          </w:tcPr>
          <w:p>
            <w:pPr>
              <w:autoSpaceDE w:val="0"/>
              <w:autoSpaceDN w:val="0"/>
              <w:adjustRightInd w:val="0"/>
              <w:spacing w:line="580" w:lineRule="exact"/>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autoSpaceDE w:val="0"/>
              <w:autoSpaceDN w:val="0"/>
              <w:adjustRightInd w:val="0"/>
              <w:spacing w:line="580" w:lineRule="exact"/>
              <w:jc w:val="center"/>
              <w:rPr>
                <w:rFonts w:ascii="宋体" w:hAnsi="宋体" w:cs="宋体"/>
                <w:b/>
                <w:bCs/>
                <w:sz w:val="28"/>
                <w:szCs w:val="28"/>
              </w:rPr>
            </w:pPr>
          </w:p>
        </w:tc>
        <w:tc>
          <w:tcPr>
            <w:tcW w:w="1745" w:type="dxa"/>
          </w:tcPr>
          <w:p>
            <w:pPr>
              <w:autoSpaceDE w:val="0"/>
              <w:autoSpaceDN w:val="0"/>
              <w:adjustRightInd w:val="0"/>
              <w:spacing w:line="580" w:lineRule="exact"/>
              <w:jc w:val="center"/>
              <w:rPr>
                <w:rFonts w:ascii="宋体" w:hAnsi="宋体" w:cs="宋体"/>
                <w:b/>
                <w:bCs/>
                <w:sz w:val="28"/>
                <w:szCs w:val="28"/>
              </w:rPr>
            </w:pPr>
          </w:p>
        </w:tc>
        <w:tc>
          <w:tcPr>
            <w:tcW w:w="2754" w:type="dxa"/>
          </w:tcPr>
          <w:p>
            <w:pPr>
              <w:autoSpaceDE w:val="0"/>
              <w:autoSpaceDN w:val="0"/>
              <w:adjustRightInd w:val="0"/>
              <w:spacing w:line="580" w:lineRule="exact"/>
              <w:jc w:val="center"/>
              <w:rPr>
                <w:rFonts w:ascii="宋体" w:hAnsi="宋体" w:cs="宋体"/>
                <w:b/>
                <w:bCs/>
                <w:sz w:val="28"/>
                <w:szCs w:val="28"/>
              </w:rPr>
            </w:pPr>
          </w:p>
        </w:tc>
        <w:tc>
          <w:tcPr>
            <w:tcW w:w="1798" w:type="dxa"/>
          </w:tcPr>
          <w:p>
            <w:pPr>
              <w:autoSpaceDE w:val="0"/>
              <w:autoSpaceDN w:val="0"/>
              <w:adjustRightInd w:val="0"/>
              <w:spacing w:line="580" w:lineRule="exact"/>
              <w:jc w:val="center"/>
              <w:rPr>
                <w:rFonts w:ascii="宋体" w:hAnsi="宋体" w:cs="宋体"/>
                <w:b/>
                <w:bCs/>
                <w:sz w:val="28"/>
                <w:szCs w:val="28"/>
              </w:rPr>
            </w:pPr>
          </w:p>
        </w:tc>
        <w:tc>
          <w:tcPr>
            <w:tcW w:w="2045" w:type="dxa"/>
          </w:tcPr>
          <w:p>
            <w:pPr>
              <w:autoSpaceDE w:val="0"/>
              <w:autoSpaceDN w:val="0"/>
              <w:adjustRightInd w:val="0"/>
              <w:spacing w:line="580" w:lineRule="exact"/>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autoSpaceDE w:val="0"/>
              <w:autoSpaceDN w:val="0"/>
              <w:adjustRightInd w:val="0"/>
              <w:spacing w:line="580" w:lineRule="exact"/>
              <w:jc w:val="center"/>
              <w:rPr>
                <w:rFonts w:ascii="宋体" w:hAnsi="宋体" w:cs="宋体"/>
                <w:b/>
                <w:bCs/>
                <w:sz w:val="28"/>
                <w:szCs w:val="28"/>
              </w:rPr>
            </w:pPr>
          </w:p>
        </w:tc>
        <w:tc>
          <w:tcPr>
            <w:tcW w:w="1745" w:type="dxa"/>
          </w:tcPr>
          <w:p>
            <w:pPr>
              <w:autoSpaceDE w:val="0"/>
              <w:autoSpaceDN w:val="0"/>
              <w:adjustRightInd w:val="0"/>
              <w:spacing w:line="580" w:lineRule="exact"/>
              <w:jc w:val="center"/>
              <w:rPr>
                <w:rFonts w:ascii="宋体" w:hAnsi="宋体" w:cs="宋体"/>
                <w:b/>
                <w:bCs/>
                <w:sz w:val="28"/>
                <w:szCs w:val="28"/>
              </w:rPr>
            </w:pPr>
          </w:p>
        </w:tc>
        <w:tc>
          <w:tcPr>
            <w:tcW w:w="2754" w:type="dxa"/>
          </w:tcPr>
          <w:p>
            <w:pPr>
              <w:autoSpaceDE w:val="0"/>
              <w:autoSpaceDN w:val="0"/>
              <w:adjustRightInd w:val="0"/>
              <w:spacing w:line="580" w:lineRule="exact"/>
              <w:jc w:val="center"/>
              <w:rPr>
                <w:rFonts w:ascii="宋体" w:hAnsi="宋体" w:cs="宋体"/>
                <w:b/>
                <w:bCs/>
                <w:sz w:val="28"/>
                <w:szCs w:val="28"/>
              </w:rPr>
            </w:pPr>
          </w:p>
        </w:tc>
        <w:tc>
          <w:tcPr>
            <w:tcW w:w="1798" w:type="dxa"/>
          </w:tcPr>
          <w:p>
            <w:pPr>
              <w:autoSpaceDE w:val="0"/>
              <w:autoSpaceDN w:val="0"/>
              <w:adjustRightInd w:val="0"/>
              <w:spacing w:line="580" w:lineRule="exact"/>
              <w:jc w:val="center"/>
              <w:rPr>
                <w:rFonts w:ascii="宋体" w:hAnsi="宋体" w:cs="宋体"/>
                <w:b/>
                <w:bCs/>
                <w:sz w:val="28"/>
                <w:szCs w:val="28"/>
              </w:rPr>
            </w:pPr>
          </w:p>
        </w:tc>
        <w:tc>
          <w:tcPr>
            <w:tcW w:w="2045" w:type="dxa"/>
          </w:tcPr>
          <w:p>
            <w:pPr>
              <w:autoSpaceDE w:val="0"/>
              <w:autoSpaceDN w:val="0"/>
              <w:adjustRightInd w:val="0"/>
              <w:spacing w:line="580" w:lineRule="exact"/>
              <w:jc w:val="center"/>
              <w:rPr>
                <w:rFonts w:ascii="宋体" w:hAnsi="宋体" w:cs="宋体"/>
                <w:b/>
                <w:bCs/>
                <w:sz w:val="28"/>
                <w:szCs w:val="28"/>
              </w:rPr>
            </w:pPr>
          </w:p>
        </w:tc>
      </w:tr>
    </w:tbl>
    <w:p>
      <w:pPr>
        <w:spacing w:line="360" w:lineRule="exact"/>
        <w:rPr>
          <w:rFonts w:ascii="宋体" w:hAnsi="宋体" w:cs="宋体"/>
          <w:sz w:val="24"/>
        </w:rPr>
      </w:pPr>
    </w:p>
    <w:p>
      <w:pPr>
        <w:spacing w:line="360" w:lineRule="exact"/>
        <w:rPr>
          <w:rFonts w:ascii="宋体" w:hAnsi="宋体" w:cs="宋体"/>
          <w:sz w:val="24"/>
        </w:rPr>
      </w:pPr>
    </w:p>
    <w:p>
      <w:pPr>
        <w:pStyle w:val="2"/>
        <w:rPr>
          <w:rFonts w:ascii="宋体" w:hAnsi="宋体" w:cs="宋体"/>
          <w:sz w:val="24"/>
        </w:rPr>
      </w:pPr>
    </w:p>
    <w:p>
      <w:pPr>
        <w:pStyle w:val="3"/>
      </w:pPr>
    </w:p>
    <w:p>
      <w:pPr>
        <w:spacing w:line="360" w:lineRule="auto"/>
        <w:ind w:firstLine="1478" w:firstLineChars="616"/>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60" w:lineRule="auto"/>
        <w:ind w:firstLine="1478" w:firstLineChars="616"/>
        <w:contextualSpacing/>
        <w:rPr>
          <w:rFonts w:ascii="宋体" w:hAnsi="宋体"/>
          <w:sz w:val="24"/>
        </w:rPr>
      </w:pPr>
      <w:r>
        <w:rPr>
          <w:rFonts w:hint="eastAsia" w:ascii="宋体" w:hAnsi="宋体"/>
          <w:sz w:val="24"/>
        </w:rPr>
        <w:t>法定代表人或授权委托人：</w:t>
      </w:r>
      <w:r>
        <w:rPr>
          <w:rFonts w:hint="eastAsia" w:ascii="宋体" w:hAnsi="宋体"/>
          <w:sz w:val="24"/>
          <w:u w:val="single"/>
        </w:rPr>
        <w:t xml:space="preserve">                  </w:t>
      </w:r>
      <w:r>
        <w:rPr>
          <w:rFonts w:hint="eastAsia" w:ascii="宋体" w:hAnsi="宋体"/>
          <w:sz w:val="24"/>
        </w:rPr>
        <w:t xml:space="preserve">（签字或盖章）  </w:t>
      </w:r>
    </w:p>
    <w:p>
      <w:pPr>
        <w:autoSpaceDE w:val="0"/>
        <w:autoSpaceDN w:val="0"/>
        <w:adjustRightInd w:val="0"/>
        <w:ind w:left="-17" w:leftChars="-8" w:right="-60" w:firstLine="1452" w:firstLineChars="605"/>
        <w:rPr>
          <w:rFonts w:ascii="宋体" w:hAnsi="宋体" w:cs="宋体"/>
          <w:b/>
          <w:sz w:val="32"/>
          <w:szCs w:val="32"/>
        </w:rPr>
      </w:pPr>
      <w:r>
        <w:rPr>
          <w:rFonts w:hint="eastAsia" w:ascii="宋体" w:hAnsi="宋体"/>
          <w:sz w:val="24"/>
        </w:rPr>
        <w:t>日  期：</w:t>
      </w:r>
      <w:r>
        <w:rPr>
          <w:rFonts w:hint="eastAsia" w:ascii="宋体" w:hAnsi="宋体"/>
          <w:sz w:val="24"/>
          <w:u w:val="single"/>
        </w:rPr>
        <w:t xml:space="preserve">                                  </w:t>
      </w:r>
    </w:p>
    <w:p>
      <w:pPr>
        <w:autoSpaceDE w:val="0"/>
        <w:autoSpaceDN w:val="0"/>
        <w:adjustRightInd w:val="0"/>
        <w:ind w:left="-17" w:leftChars="-8" w:right="-60" w:firstLine="17"/>
        <w:jc w:val="center"/>
        <w:rPr>
          <w:rFonts w:ascii="宋体" w:hAnsi="宋体" w:cs="宋体"/>
          <w:b/>
          <w:sz w:val="32"/>
          <w:szCs w:val="32"/>
        </w:rPr>
      </w:pPr>
    </w:p>
    <w:p>
      <w:pPr>
        <w:autoSpaceDE w:val="0"/>
        <w:autoSpaceDN w:val="0"/>
        <w:adjustRightInd w:val="0"/>
        <w:ind w:left="-17" w:leftChars="-8" w:right="-60" w:firstLine="17"/>
        <w:jc w:val="center"/>
        <w:rPr>
          <w:rFonts w:ascii="宋体" w:hAnsi="宋体" w:cs="宋体"/>
          <w:b/>
          <w:sz w:val="32"/>
          <w:szCs w:val="32"/>
        </w:rPr>
      </w:pPr>
    </w:p>
    <w:p>
      <w:pPr>
        <w:autoSpaceDE w:val="0"/>
        <w:autoSpaceDN w:val="0"/>
        <w:adjustRightInd w:val="0"/>
        <w:ind w:left="-17" w:leftChars="-8" w:right="-60" w:firstLine="17"/>
        <w:jc w:val="center"/>
        <w:rPr>
          <w:rFonts w:ascii="宋体" w:hAnsi="宋体" w:cs="宋体"/>
          <w:b/>
          <w:sz w:val="32"/>
          <w:szCs w:val="32"/>
        </w:rPr>
      </w:pPr>
    </w:p>
    <w:p>
      <w:pPr>
        <w:autoSpaceDE w:val="0"/>
        <w:autoSpaceDN w:val="0"/>
        <w:adjustRightInd w:val="0"/>
        <w:ind w:left="-17" w:leftChars="-8" w:right="-60" w:firstLine="17"/>
        <w:jc w:val="center"/>
        <w:rPr>
          <w:rFonts w:ascii="宋体" w:hAnsi="宋体" w:cs="宋体"/>
          <w:b/>
          <w:sz w:val="32"/>
          <w:szCs w:val="32"/>
        </w:rPr>
      </w:pPr>
    </w:p>
    <w:p>
      <w:pPr>
        <w:autoSpaceDE w:val="0"/>
        <w:autoSpaceDN w:val="0"/>
        <w:adjustRightInd w:val="0"/>
        <w:ind w:left="-17" w:leftChars="-8" w:right="-60" w:firstLine="17"/>
        <w:jc w:val="center"/>
        <w:rPr>
          <w:rFonts w:ascii="宋体" w:hAnsi="宋体" w:cs="宋体"/>
          <w:b/>
          <w:sz w:val="32"/>
          <w:szCs w:val="32"/>
        </w:rPr>
      </w:pPr>
    </w:p>
    <w:p>
      <w:pPr>
        <w:autoSpaceDE w:val="0"/>
        <w:autoSpaceDN w:val="0"/>
        <w:adjustRightInd w:val="0"/>
        <w:ind w:left="-17" w:leftChars="-8" w:right="-60" w:firstLine="17"/>
        <w:jc w:val="center"/>
        <w:rPr>
          <w:rFonts w:ascii="宋体" w:hAnsi="宋体" w:cs="宋体"/>
          <w:b/>
          <w:sz w:val="32"/>
          <w:szCs w:val="32"/>
        </w:rPr>
      </w:pPr>
    </w:p>
    <w:p>
      <w:pPr>
        <w:spacing w:line="480" w:lineRule="exact"/>
        <w:jc w:val="center"/>
        <w:outlineLvl w:val="1"/>
        <w:rPr>
          <w:rFonts w:ascii="宋体" w:hAnsi="宋体" w:cs="宋体"/>
          <w:b/>
          <w:bCs/>
          <w:sz w:val="32"/>
          <w:szCs w:val="44"/>
        </w:rPr>
      </w:pPr>
      <w:bookmarkStart w:id="301" w:name="_Toc27974"/>
      <w:bookmarkStart w:id="302" w:name="_Toc31633"/>
      <w:bookmarkStart w:id="303" w:name="_Toc759"/>
      <w:bookmarkStart w:id="304" w:name="_Toc6602"/>
      <w:bookmarkStart w:id="305" w:name="_Toc13244"/>
      <w:r>
        <w:rPr>
          <w:rFonts w:hint="eastAsia" w:ascii="宋体" w:hAnsi="宋体" w:cs="宋体"/>
          <w:b/>
          <w:bCs/>
          <w:sz w:val="32"/>
          <w:szCs w:val="44"/>
        </w:rPr>
        <w:t>五、技术部分</w:t>
      </w:r>
      <w:bookmarkEnd w:id="301"/>
      <w:bookmarkEnd w:id="302"/>
      <w:bookmarkEnd w:id="303"/>
      <w:bookmarkEnd w:id="304"/>
      <w:bookmarkEnd w:id="305"/>
    </w:p>
    <w:p>
      <w:pPr>
        <w:ind w:right="-218" w:rightChars="-104"/>
        <w:rPr>
          <w:rFonts w:ascii="宋体" w:hAnsi="宋体" w:cs="宋体"/>
          <w:sz w:val="24"/>
        </w:rPr>
      </w:pPr>
    </w:p>
    <w:p>
      <w:pPr>
        <w:spacing w:line="500" w:lineRule="exact"/>
        <w:jc w:val="center"/>
        <w:rPr>
          <w:rFonts w:ascii="宋体" w:hAnsi="宋体"/>
          <w:b/>
          <w:sz w:val="24"/>
          <w:szCs w:val="24"/>
        </w:rPr>
      </w:pPr>
      <w:r>
        <w:rPr>
          <w:rFonts w:hint="eastAsia" w:ascii="宋体" w:hAnsi="宋体" w:cs="宋体"/>
          <w:b/>
          <w:bCs/>
          <w:sz w:val="24"/>
          <w:szCs w:val="32"/>
        </w:rPr>
        <w:t>依据《评审办法》评审要素一览表中技术标的要求进行响应</w:t>
      </w:r>
    </w:p>
    <w:p>
      <w:pPr>
        <w:spacing w:line="500" w:lineRule="exact"/>
        <w:rPr>
          <w:rFonts w:ascii="宋体" w:hAnsi="宋体"/>
          <w:b/>
          <w:sz w:val="32"/>
          <w:szCs w:val="32"/>
        </w:rPr>
      </w:pPr>
      <w:r>
        <w:rPr>
          <w:rFonts w:hint="eastAsia" w:ascii="宋体" w:hAnsi="宋体"/>
          <w:b/>
          <w:sz w:val="32"/>
          <w:szCs w:val="32"/>
        </w:rPr>
        <w:t>附件</w:t>
      </w:r>
    </w:p>
    <w:p>
      <w:pPr>
        <w:spacing w:line="500" w:lineRule="exact"/>
        <w:ind w:left="210" w:leftChars="100"/>
        <w:jc w:val="center"/>
        <w:rPr>
          <w:rFonts w:ascii="仿宋" w:hAnsi="仿宋" w:eastAsia="仿宋" w:cs="仿宋"/>
          <w:sz w:val="36"/>
          <w:szCs w:val="36"/>
        </w:rPr>
      </w:pPr>
      <w:r>
        <w:rPr>
          <w:rFonts w:hint="eastAsia" w:ascii="仿宋" w:hAnsi="仿宋" w:eastAsia="仿宋" w:cs="仿宋"/>
          <w:b/>
          <w:bCs/>
          <w:sz w:val="36"/>
          <w:szCs w:val="36"/>
        </w:rPr>
        <w:t>技术偏离表</w:t>
      </w:r>
    </w:p>
    <w:tbl>
      <w:tblPr>
        <w:tblStyle w:val="35"/>
        <w:tblpPr w:leftFromText="180" w:rightFromText="180" w:vertAnchor="text" w:horzAnchor="margin" w:tblpY="504"/>
        <w:tblOverlap w:val="never"/>
        <w:tblW w:w="86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26"/>
        <w:gridCol w:w="2271"/>
        <w:gridCol w:w="1689"/>
        <w:gridCol w:w="17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pPr>
              <w:spacing w:line="360" w:lineRule="exact"/>
              <w:ind w:left="40" w:leftChars="19"/>
              <w:jc w:val="center"/>
              <w:rPr>
                <w:rFonts w:ascii="仿宋" w:hAnsi="仿宋" w:eastAsia="仿宋" w:cs="仿宋"/>
                <w:b/>
                <w:sz w:val="28"/>
                <w:szCs w:val="28"/>
              </w:rPr>
            </w:pPr>
            <w:r>
              <w:rPr>
                <w:rFonts w:hint="eastAsia" w:ascii="仿宋" w:hAnsi="仿宋" w:eastAsia="仿宋" w:cs="仿宋"/>
                <w:b/>
                <w:sz w:val="28"/>
                <w:szCs w:val="28"/>
              </w:rPr>
              <w:t>序号</w:t>
            </w:r>
          </w:p>
        </w:tc>
        <w:tc>
          <w:tcPr>
            <w:tcW w:w="2126" w:type="dxa"/>
            <w:tcMar>
              <w:top w:w="57" w:type="dxa"/>
              <w:left w:w="28" w:type="dxa"/>
              <w:bottom w:w="57" w:type="dxa"/>
              <w:right w:w="28" w:type="dxa"/>
            </w:tcMar>
            <w:vAlign w:val="center"/>
          </w:tcPr>
          <w:p>
            <w:pPr>
              <w:spacing w:line="360" w:lineRule="exact"/>
              <w:ind w:left="210" w:leftChars="100"/>
              <w:jc w:val="center"/>
              <w:rPr>
                <w:rFonts w:ascii="仿宋" w:hAnsi="仿宋" w:eastAsia="仿宋" w:cs="仿宋"/>
                <w:b/>
                <w:sz w:val="28"/>
                <w:szCs w:val="28"/>
              </w:rPr>
            </w:pPr>
            <w:r>
              <w:rPr>
                <w:rFonts w:hint="eastAsia" w:ascii="仿宋" w:hAnsi="仿宋" w:eastAsia="仿宋" w:cs="仿宋"/>
                <w:b/>
                <w:sz w:val="28"/>
                <w:szCs w:val="28"/>
              </w:rPr>
              <w:t>招标文件</w:t>
            </w:r>
          </w:p>
          <w:p>
            <w:pPr>
              <w:spacing w:line="360" w:lineRule="exact"/>
              <w:ind w:left="210" w:leftChars="100"/>
              <w:jc w:val="center"/>
              <w:rPr>
                <w:rFonts w:ascii="仿宋" w:hAnsi="仿宋" w:eastAsia="仿宋" w:cs="仿宋"/>
                <w:b/>
                <w:sz w:val="28"/>
                <w:szCs w:val="28"/>
              </w:rPr>
            </w:pPr>
            <w:r>
              <w:rPr>
                <w:rFonts w:hint="eastAsia" w:ascii="仿宋" w:hAnsi="仿宋" w:eastAsia="仿宋" w:cs="仿宋"/>
                <w:b/>
                <w:sz w:val="28"/>
                <w:szCs w:val="28"/>
              </w:rPr>
              <w:t>技术需求</w:t>
            </w:r>
          </w:p>
        </w:tc>
        <w:tc>
          <w:tcPr>
            <w:tcW w:w="2271" w:type="dxa"/>
            <w:tcMar>
              <w:top w:w="57" w:type="dxa"/>
              <w:left w:w="28" w:type="dxa"/>
              <w:bottom w:w="57" w:type="dxa"/>
              <w:right w:w="28" w:type="dxa"/>
            </w:tcMar>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投标文件规格及主要技术参数</w:t>
            </w:r>
          </w:p>
        </w:tc>
        <w:tc>
          <w:tcPr>
            <w:tcW w:w="1689" w:type="dxa"/>
            <w:tcMar>
              <w:top w:w="57" w:type="dxa"/>
              <w:left w:w="28" w:type="dxa"/>
              <w:bottom w:w="57" w:type="dxa"/>
              <w:right w:w="28" w:type="dxa"/>
            </w:tcMar>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偏离情况</w:t>
            </w:r>
          </w:p>
        </w:tc>
        <w:tc>
          <w:tcPr>
            <w:tcW w:w="1788" w:type="dxa"/>
            <w:tcMar>
              <w:top w:w="57" w:type="dxa"/>
              <w:left w:w="28" w:type="dxa"/>
              <w:bottom w:w="57" w:type="dxa"/>
              <w:right w:w="28" w:type="dxa"/>
            </w:tcMar>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说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7"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12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2271"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pPr>
              <w:spacing w:line="480" w:lineRule="exact"/>
              <w:rPr>
                <w:rFonts w:ascii="仿宋" w:hAnsi="仿宋" w:eastAsia="仿宋" w:cs="仿宋"/>
                <w:sz w:val="28"/>
                <w:szCs w:val="28"/>
              </w:rPr>
            </w:pPr>
          </w:p>
        </w:tc>
        <w:tc>
          <w:tcPr>
            <w:tcW w:w="1788"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仿宋" w:hAnsi="仿宋" w:eastAsia="仿宋" w:cs="仿宋"/>
                <w:sz w:val="28"/>
                <w:szCs w:val="28"/>
              </w:rPr>
            </w:pPr>
          </w:p>
        </w:tc>
      </w:tr>
    </w:tbl>
    <w:p>
      <w:pPr>
        <w:spacing w:line="480" w:lineRule="exact"/>
        <w:rPr>
          <w:rFonts w:ascii="仿宋" w:hAnsi="仿宋" w:eastAsia="仿宋" w:cs="仿宋"/>
          <w:szCs w:val="24"/>
        </w:rPr>
      </w:pPr>
      <w:r>
        <w:rPr>
          <w:rFonts w:hint="eastAsia" w:ascii="仿宋" w:hAnsi="仿宋" w:eastAsia="仿宋" w:cs="仿宋"/>
          <w:szCs w:val="24"/>
        </w:rPr>
        <w:t xml:space="preserve">      </w:t>
      </w:r>
    </w:p>
    <w:p>
      <w:pPr>
        <w:spacing w:line="500" w:lineRule="exact"/>
        <w:rPr>
          <w:rFonts w:ascii="宋体" w:hAnsi="宋体" w:eastAsia="仿宋"/>
          <w:b/>
          <w:sz w:val="32"/>
          <w:szCs w:val="32"/>
        </w:rPr>
      </w:pPr>
      <w:r>
        <w:rPr>
          <w:rFonts w:hint="eastAsia" w:ascii="仿宋" w:hAnsi="仿宋" w:eastAsia="仿宋" w:cs="仿宋"/>
          <w:szCs w:val="24"/>
        </w:rPr>
        <w:t>注：如有漏报、瞒报招标文件所要求的性能指标等将视为没有实质性响应招标文件。</w:t>
      </w:r>
    </w:p>
    <w:p>
      <w:pPr>
        <w:pStyle w:val="2"/>
        <w:rPr>
          <w:rFonts w:ascii="宋体" w:hAnsi="宋体"/>
          <w:b/>
          <w:sz w:val="32"/>
          <w:szCs w:val="32"/>
        </w:rPr>
      </w:pPr>
    </w:p>
    <w:p/>
    <w:p>
      <w:pPr>
        <w:spacing w:line="360" w:lineRule="auto"/>
        <w:ind w:firstLine="1478" w:firstLineChars="616"/>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60" w:lineRule="auto"/>
        <w:ind w:firstLine="1478" w:firstLineChars="616"/>
        <w:contextualSpacing/>
        <w:rPr>
          <w:rFonts w:ascii="宋体" w:hAnsi="宋体"/>
          <w:sz w:val="24"/>
        </w:rPr>
      </w:pPr>
      <w:r>
        <w:rPr>
          <w:rFonts w:hint="eastAsia" w:ascii="宋体" w:hAnsi="宋体"/>
          <w:sz w:val="24"/>
        </w:rPr>
        <w:t>法定代表人或授权委托人：</w:t>
      </w:r>
      <w:r>
        <w:rPr>
          <w:rFonts w:hint="eastAsia" w:ascii="宋体" w:hAnsi="宋体"/>
          <w:sz w:val="24"/>
          <w:u w:val="single"/>
        </w:rPr>
        <w:t xml:space="preserve">                  </w:t>
      </w:r>
      <w:r>
        <w:rPr>
          <w:rFonts w:hint="eastAsia" w:ascii="宋体" w:hAnsi="宋体"/>
          <w:sz w:val="24"/>
        </w:rPr>
        <w:t xml:space="preserve">（签字或盖章）  </w:t>
      </w:r>
    </w:p>
    <w:p>
      <w:pPr>
        <w:autoSpaceDE w:val="0"/>
        <w:autoSpaceDN w:val="0"/>
        <w:adjustRightInd w:val="0"/>
        <w:ind w:left="-17" w:leftChars="-8" w:right="-60" w:firstLine="1452" w:firstLineChars="605"/>
        <w:rPr>
          <w:rFonts w:ascii="宋体" w:hAnsi="宋体" w:cs="宋体"/>
          <w:b/>
          <w:sz w:val="32"/>
          <w:szCs w:val="32"/>
        </w:rPr>
      </w:pPr>
      <w:r>
        <w:rPr>
          <w:rFonts w:hint="eastAsia" w:ascii="宋体" w:hAnsi="宋体"/>
          <w:sz w:val="24"/>
        </w:rPr>
        <w:t>日  期：</w:t>
      </w:r>
      <w:r>
        <w:rPr>
          <w:rFonts w:hint="eastAsia" w:ascii="宋体" w:hAnsi="宋体"/>
          <w:sz w:val="24"/>
          <w:u w:val="single"/>
        </w:rPr>
        <w:t xml:space="preserve">                                  </w:t>
      </w:r>
    </w:p>
    <w:p>
      <w:pPr>
        <w:spacing w:line="500" w:lineRule="exact"/>
        <w:ind w:firstLine="1606" w:firstLineChars="500"/>
        <w:rPr>
          <w:rFonts w:ascii="宋体" w:hAnsi="宋体"/>
          <w:b/>
          <w:sz w:val="32"/>
          <w:szCs w:val="32"/>
        </w:rPr>
      </w:pPr>
    </w:p>
    <w:p>
      <w:pPr>
        <w:pStyle w:val="5"/>
        <w:rPr>
          <w:rFonts w:hAnsi="宋体"/>
          <w:sz w:val="28"/>
          <w:szCs w:val="28"/>
        </w:rPr>
      </w:pPr>
      <w:bookmarkStart w:id="306" w:name="_Toc13891"/>
      <w:bookmarkStart w:id="307" w:name="_Toc7570"/>
      <w:bookmarkStart w:id="308" w:name="_Toc16821"/>
      <w:bookmarkStart w:id="309" w:name="_Toc1113"/>
      <w:bookmarkStart w:id="310" w:name="_Toc23754"/>
      <w:bookmarkStart w:id="311" w:name="_Toc12015"/>
      <w:bookmarkStart w:id="312" w:name="_Toc21859"/>
      <w:bookmarkStart w:id="313" w:name="_Toc19337"/>
      <w:bookmarkStart w:id="314" w:name="_Toc20020"/>
      <w:r>
        <w:rPr>
          <w:rFonts w:hint="eastAsia" w:hAnsi="宋体"/>
          <w:sz w:val="28"/>
          <w:szCs w:val="28"/>
        </w:rPr>
        <w:t>六、资格证明文件</w:t>
      </w:r>
      <w:bookmarkEnd w:id="306"/>
      <w:bookmarkEnd w:id="307"/>
      <w:bookmarkEnd w:id="308"/>
      <w:bookmarkEnd w:id="309"/>
    </w:p>
    <w:p/>
    <w:p>
      <w:pPr>
        <w:pStyle w:val="2"/>
        <w:spacing w:line="360" w:lineRule="auto"/>
        <w:ind w:firstLine="480" w:firstLineChars="200"/>
        <w:rPr>
          <w:rFonts w:ascii="宋体" w:hAnsi="宋体" w:cs="宋体"/>
          <w:kern w:val="2"/>
          <w:sz w:val="24"/>
          <w:szCs w:val="24"/>
        </w:rPr>
      </w:pPr>
      <w:r>
        <w:rPr>
          <w:rFonts w:hint="eastAsia" w:ascii="宋体" w:hAnsi="宋体" w:cs="宋体"/>
          <w:kern w:val="2"/>
          <w:sz w:val="24"/>
          <w:szCs w:val="24"/>
        </w:rPr>
        <w:t>（1）投标人具有独立承担民事责任能力的法人、其他组织或自然人，提供合法有效的统一社会信用代码营业执照或事业单位法人证书（自然人应提供身份证明）；</w:t>
      </w:r>
    </w:p>
    <w:p>
      <w:pPr>
        <w:pStyle w:val="2"/>
        <w:spacing w:line="360" w:lineRule="auto"/>
        <w:ind w:firstLine="480" w:firstLineChars="200"/>
        <w:rPr>
          <w:rFonts w:ascii="宋体" w:hAnsi="宋体" w:cs="宋体"/>
          <w:kern w:val="2"/>
          <w:sz w:val="24"/>
          <w:szCs w:val="24"/>
        </w:rPr>
      </w:pPr>
      <w:r>
        <w:rPr>
          <w:rFonts w:hint="eastAsia" w:ascii="宋体" w:hAnsi="宋体" w:cs="宋体"/>
          <w:kern w:val="2"/>
          <w:sz w:val="24"/>
          <w:szCs w:val="24"/>
        </w:rPr>
        <w:t>（2）提交自2022年12月1日以来任意3个月完税凭证或税务机关开具的完税证明；依法免税的应提供相关文件证明；</w:t>
      </w:r>
    </w:p>
    <w:p>
      <w:pPr>
        <w:pStyle w:val="2"/>
        <w:spacing w:line="360" w:lineRule="auto"/>
        <w:ind w:firstLine="480" w:firstLineChars="200"/>
        <w:rPr>
          <w:rFonts w:ascii="宋体" w:hAnsi="宋体" w:cs="宋体"/>
          <w:kern w:val="2"/>
          <w:sz w:val="24"/>
          <w:szCs w:val="24"/>
        </w:rPr>
      </w:pPr>
      <w:r>
        <w:rPr>
          <w:rFonts w:hint="eastAsia" w:ascii="宋体" w:hAnsi="宋体" w:cs="宋体"/>
          <w:kern w:val="2"/>
          <w:sz w:val="24"/>
          <w:szCs w:val="24"/>
        </w:rPr>
        <w:t>（3）提交自2022年12月1日以来任意3个月的社会保障资金缴存单据或社保机构开具的社会保险参保缴费情况证明；依法不需要缴纳社会保障资金的应提供相关文件证明；</w:t>
      </w:r>
    </w:p>
    <w:p>
      <w:pPr>
        <w:pStyle w:val="2"/>
        <w:spacing w:line="360" w:lineRule="auto"/>
        <w:ind w:firstLine="480" w:firstLineChars="200"/>
        <w:rPr>
          <w:rFonts w:ascii="宋体" w:hAnsi="宋体" w:cs="宋体"/>
          <w:kern w:val="2"/>
          <w:sz w:val="24"/>
          <w:szCs w:val="24"/>
        </w:rPr>
      </w:pPr>
      <w:r>
        <w:rPr>
          <w:rFonts w:hint="eastAsia" w:ascii="宋体" w:hAnsi="宋体" w:cs="宋体"/>
          <w:kern w:val="2"/>
          <w:sz w:val="24"/>
          <w:szCs w:val="24"/>
        </w:rPr>
        <w:t>（4）提供履行合同所必须的设备所有权证明、和专业技术能力声明或承诺；</w:t>
      </w:r>
    </w:p>
    <w:p>
      <w:pPr>
        <w:pStyle w:val="2"/>
        <w:spacing w:line="360" w:lineRule="auto"/>
        <w:ind w:firstLine="480" w:firstLineChars="200"/>
        <w:rPr>
          <w:rFonts w:ascii="宋体" w:hAnsi="宋体" w:cs="宋体"/>
          <w:kern w:val="2"/>
          <w:sz w:val="24"/>
          <w:szCs w:val="24"/>
        </w:rPr>
      </w:pPr>
      <w:r>
        <w:rPr>
          <w:rFonts w:hint="eastAsia" w:ascii="宋体" w:hAnsi="宋体" w:cs="宋体"/>
          <w:kern w:val="2"/>
          <w:sz w:val="24"/>
          <w:szCs w:val="24"/>
        </w:rPr>
        <w:t>（5）投标人须提供供2022年度经审计的财务审计报告（成立时间至开标时间不足一年的可提供成立后任意时段的资产负债表）或开标前六个月内其基本账户银行出具的资信证明或政府采购信用担保机构出具的担保函；”</w:t>
      </w:r>
    </w:p>
    <w:p>
      <w:pPr>
        <w:pStyle w:val="2"/>
        <w:spacing w:line="360" w:lineRule="auto"/>
        <w:ind w:firstLine="480" w:firstLineChars="200"/>
        <w:rPr>
          <w:rFonts w:ascii="宋体" w:hAnsi="宋体" w:cs="宋体"/>
          <w:kern w:val="2"/>
          <w:sz w:val="24"/>
          <w:szCs w:val="24"/>
        </w:rPr>
      </w:pPr>
      <w:r>
        <w:rPr>
          <w:rFonts w:hint="eastAsia" w:ascii="宋体" w:hAnsi="宋体" w:cs="宋体"/>
          <w:kern w:val="2"/>
          <w:sz w:val="24"/>
          <w:szCs w:val="24"/>
        </w:rPr>
        <w:t>（6）出具参加政府采购活动前3年内在经营活动中没有重大违法纪录的书面声明；</w:t>
      </w:r>
    </w:p>
    <w:p>
      <w:pPr>
        <w:pStyle w:val="2"/>
        <w:spacing w:line="360" w:lineRule="auto"/>
        <w:ind w:firstLine="480" w:firstLineChars="200"/>
        <w:rPr>
          <w:rFonts w:ascii="宋体" w:hAnsi="宋体" w:cs="宋体"/>
          <w:kern w:val="2"/>
          <w:sz w:val="24"/>
          <w:szCs w:val="24"/>
        </w:rPr>
      </w:pPr>
      <w:r>
        <w:rPr>
          <w:rFonts w:hint="eastAsia" w:ascii="宋体" w:hAnsi="宋体" w:cs="宋体"/>
          <w:kern w:val="2"/>
          <w:sz w:val="24"/>
          <w:szCs w:val="24"/>
        </w:rPr>
        <w:t>（7）投标人不得为“信用中国”网站中列入失信被执行人（www.creditchina.gov.cn）和重大税收违法案件当事人名单的投标人，不得为中国政府采购（www.ccgp.gov.cn）政府采购严重违法失信行为记录名单中被财政部门禁止参加政府采购活动的投标人；</w:t>
      </w:r>
    </w:p>
    <w:p>
      <w:pPr>
        <w:pStyle w:val="2"/>
        <w:spacing w:line="360" w:lineRule="auto"/>
        <w:ind w:firstLine="480" w:firstLineChars="200"/>
        <w:rPr>
          <w:rFonts w:ascii="宋体" w:hAnsi="宋体" w:cs="宋体"/>
          <w:kern w:val="2"/>
          <w:sz w:val="24"/>
          <w:szCs w:val="24"/>
        </w:rPr>
      </w:pPr>
      <w:r>
        <w:rPr>
          <w:rFonts w:hint="eastAsia" w:ascii="宋体" w:hAnsi="宋体" w:cs="宋体"/>
          <w:kern w:val="2"/>
          <w:sz w:val="24"/>
          <w:szCs w:val="24"/>
        </w:rPr>
        <w:t>（8）本项目不面向中小企业；</w:t>
      </w:r>
    </w:p>
    <w:p>
      <w:pPr>
        <w:pStyle w:val="2"/>
        <w:spacing w:line="360" w:lineRule="auto"/>
        <w:ind w:firstLine="480" w:firstLineChars="200"/>
        <w:rPr>
          <w:rFonts w:ascii="宋体" w:hAnsi="宋体" w:cs="宋体"/>
          <w:kern w:val="2"/>
          <w:sz w:val="24"/>
          <w:szCs w:val="24"/>
        </w:rPr>
      </w:pPr>
      <w:r>
        <w:rPr>
          <w:rFonts w:hint="eastAsia" w:ascii="宋体" w:hAnsi="宋体" w:cs="宋体"/>
          <w:kern w:val="2"/>
          <w:sz w:val="24"/>
          <w:szCs w:val="24"/>
        </w:rPr>
        <w:t>（8）本项目不接受联合体。</w:t>
      </w:r>
    </w:p>
    <w:p/>
    <w:p>
      <w:pPr>
        <w:pStyle w:val="2"/>
        <w:spacing w:line="360" w:lineRule="auto"/>
        <w:ind w:firstLine="482" w:firstLineChars="200"/>
        <w:rPr>
          <w:rFonts w:ascii="宋体" w:hAnsi="宋体" w:cs="宋体"/>
          <w:b/>
          <w:bCs/>
          <w:kern w:val="2"/>
          <w:sz w:val="24"/>
          <w:szCs w:val="24"/>
        </w:rPr>
      </w:pPr>
      <w:r>
        <w:rPr>
          <w:rFonts w:hint="eastAsia" w:ascii="宋体" w:hAnsi="宋体" w:cs="宋体"/>
          <w:b/>
          <w:bCs/>
          <w:kern w:val="2"/>
          <w:sz w:val="24"/>
          <w:szCs w:val="24"/>
        </w:rPr>
        <w:t>注：以上须提交相关证明文件的复印件并加盖鲜章。</w:t>
      </w:r>
    </w:p>
    <w:p/>
    <w:p>
      <w:pPr>
        <w:pStyle w:val="2"/>
      </w:pPr>
    </w:p>
    <w:p/>
    <w:p>
      <w:pPr>
        <w:pStyle w:val="2"/>
      </w:pPr>
    </w:p>
    <w:p/>
    <w:p>
      <w:pPr>
        <w:pStyle w:val="2"/>
      </w:pPr>
    </w:p>
    <w:p/>
    <w:p>
      <w:pPr>
        <w:pStyle w:val="2"/>
      </w:pPr>
    </w:p>
    <w:p/>
    <w:p/>
    <w:p/>
    <w:p/>
    <w:p/>
    <w:p>
      <w:pPr>
        <w:pStyle w:val="2"/>
        <w:rPr>
          <w:sz w:val="28"/>
          <w:szCs w:val="28"/>
        </w:rPr>
      </w:pPr>
    </w:p>
    <w:p>
      <w:pPr>
        <w:pStyle w:val="2"/>
        <w:rPr>
          <w:sz w:val="28"/>
          <w:szCs w:val="28"/>
        </w:rPr>
      </w:pPr>
      <w:r>
        <w:rPr>
          <w:rFonts w:hint="eastAsia"/>
          <w:sz w:val="28"/>
          <w:szCs w:val="28"/>
        </w:rPr>
        <w:t>附件</w:t>
      </w:r>
      <w:r>
        <w:rPr>
          <w:rFonts w:hint="eastAsia" w:ascii="宋体" w:hAnsi="宋体" w:cs="宋体"/>
          <w:sz w:val="28"/>
          <w:szCs w:val="28"/>
        </w:rPr>
        <w:t>1</w:t>
      </w:r>
    </w:p>
    <w:p>
      <w:pPr>
        <w:pStyle w:val="107"/>
        <w:spacing w:before="0" w:after="0" w:line="600" w:lineRule="auto"/>
        <w:jc w:val="center"/>
        <w:rPr>
          <w:rFonts w:ascii="宋体" w:hAnsi="宋体" w:cs="宋体"/>
          <w:b/>
          <w:bCs/>
          <w:sz w:val="24"/>
          <w:lang w:eastAsia="zh-CN"/>
        </w:rPr>
      </w:pPr>
    </w:p>
    <w:p>
      <w:pPr>
        <w:pStyle w:val="107"/>
        <w:spacing w:before="0" w:after="0" w:line="600" w:lineRule="auto"/>
        <w:jc w:val="center"/>
        <w:rPr>
          <w:rFonts w:ascii="宋体" w:hAnsi="宋体" w:cs="宋体"/>
          <w:b/>
          <w:bCs/>
          <w:sz w:val="24"/>
          <w:szCs w:val="24"/>
          <w:lang w:eastAsia="zh-CN"/>
        </w:rPr>
      </w:pPr>
      <w:r>
        <w:rPr>
          <w:rFonts w:hint="eastAsia" w:ascii="宋体" w:hAnsi="宋体" w:cs="宋体"/>
          <w:b/>
          <w:bCs/>
          <w:sz w:val="24"/>
          <w:lang w:eastAsia="zh-CN"/>
        </w:rPr>
        <w:t>履行合同所需设备和专业技术能力的证明材料或承诺书（格式）</w:t>
      </w:r>
    </w:p>
    <w:p>
      <w:pPr>
        <w:rPr>
          <w:rFonts w:ascii="宋体" w:hAnsi="宋体" w:cs="宋体"/>
        </w:rPr>
      </w:pPr>
    </w:p>
    <w:p>
      <w:pPr>
        <w:spacing w:line="480" w:lineRule="auto"/>
        <w:rPr>
          <w:rFonts w:ascii="宋体" w:hAnsi="宋体" w:cs="宋体"/>
          <w:sz w:val="24"/>
          <w:szCs w:val="24"/>
        </w:rPr>
      </w:pPr>
    </w:p>
    <w:p>
      <w:pPr>
        <w:spacing w:line="480" w:lineRule="auto"/>
        <w:rPr>
          <w:rFonts w:ascii="宋体" w:hAnsi="宋体" w:cs="宋体"/>
          <w:spacing w:val="4"/>
          <w:sz w:val="24"/>
          <w:szCs w:val="24"/>
          <w:u w:val="single"/>
        </w:rPr>
      </w:pPr>
      <w:r>
        <w:rPr>
          <w:rFonts w:hint="eastAsia" w:ascii="宋体" w:hAnsi="宋体" w:cs="宋体"/>
          <w:kern w:val="0"/>
          <w:sz w:val="24"/>
          <w:szCs w:val="24"/>
        </w:rPr>
        <w:t xml:space="preserve"> </w:t>
      </w:r>
      <w:r>
        <w:rPr>
          <w:rFonts w:hint="eastAsia" w:ascii="宋体" w:hAnsi="宋体" w:cs="宋体"/>
          <w:spacing w:val="4"/>
          <w:sz w:val="24"/>
          <w:szCs w:val="24"/>
          <w:u w:val="single"/>
        </w:rPr>
        <w:t xml:space="preserve">     （采购人名称）    ：</w:t>
      </w:r>
    </w:p>
    <w:p>
      <w:pPr>
        <w:pStyle w:val="16"/>
        <w:adjustRightInd w:val="0"/>
        <w:snapToGrid w:val="0"/>
        <w:spacing w:line="480" w:lineRule="auto"/>
        <w:rPr>
          <w:rFonts w:hAnsi="宋体" w:cs="宋体"/>
          <w:spacing w:val="4"/>
          <w:sz w:val="24"/>
          <w:szCs w:val="24"/>
        </w:rPr>
      </w:pPr>
      <w:r>
        <w:rPr>
          <w:rFonts w:hint="eastAsia" w:hAnsi="宋体" w:cs="宋体"/>
          <w:spacing w:val="4"/>
          <w:sz w:val="24"/>
          <w:szCs w:val="24"/>
        </w:rPr>
        <w:t xml:space="preserve">     </w:t>
      </w:r>
      <w:r>
        <w:rPr>
          <w:rFonts w:hint="eastAsia" w:hAnsi="宋体" w:cs="宋体"/>
          <w:spacing w:val="4"/>
          <w:sz w:val="24"/>
          <w:szCs w:val="24"/>
          <w:u w:val="single"/>
        </w:rPr>
        <w:t xml:space="preserve">      （投标人名称）    </w:t>
      </w:r>
      <w:r>
        <w:rPr>
          <w:rFonts w:hint="eastAsia" w:hAnsi="宋体" w:cs="宋体"/>
          <w:spacing w:val="4"/>
          <w:sz w:val="24"/>
          <w:szCs w:val="24"/>
        </w:rPr>
        <w:t xml:space="preserve"> 于</w:t>
      </w:r>
      <w:r>
        <w:rPr>
          <w:rFonts w:hint="eastAsia" w:hAnsi="宋体" w:cs="宋体"/>
          <w:spacing w:val="4"/>
          <w:sz w:val="24"/>
          <w:szCs w:val="24"/>
          <w:u w:val="single"/>
        </w:rPr>
        <w:t xml:space="preserve">     </w:t>
      </w:r>
      <w:r>
        <w:rPr>
          <w:rFonts w:hint="eastAsia" w:hAnsi="宋体" w:cs="宋体"/>
          <w:spacing w:val="4"/>
          <w:sz w:val="24"/>
          <w:szCs w:val="24"/>
        </w:rPr>
        <w:t>年</w:t>
      </w:r>
      <w:r>
        <w:rPr>
          <w:rFonts w:hint="eastAsia" w:hAnsi="宋体" w:cs="宋体"/>
          <w:spacing w:val="4"/>
          <w:sz w:val="24"/>
          <w:szCs w:val="24"/>
          <w:u w:val="single"/>
        </w:rPr>
        <w:t xml:space="preserve">    </w:t>
      </w:r>
      <w:r>
        <w:rPr>
          <w:rFonts w:hint="eastAsia" w:hAnsi="宋体" w:cs="宋体"/>
          <w:spacing w:val="4"/>
          <w:sz w:val="24"/>
          <w:szCs w:val="24"/>
        </w:rPr>
        <w:t>月</w:t>
      </w:r>
      <w:r>
        <w:rPr>
          <w:rFonts w:hint="eastAsia" w:hAnsi="宋体" w:cs="宋体"/>
          <w:spacing w:val="4"/>
          <w:sz w:val="24"/>
          <w:szCs w:val="24"/>
          <w:u w:val="single"/>
        </w:rPr>
        <w:t xml:space="preserve">   </w:t>
      </w:r>
      <w:r>
        <w:rPr>
          <w:rFonts w:hint="eastAsia" w:hAnsi="宋体" w:cs="宋体"/>
          <w:spacing w:val="4"/>
          <w:sz w:val="24"/>
          <w:szCs w:val="24"/>
        </w:rPr>
        <w:t>日在中华人民共和国境内</w:t>
      </w:r>
      <w:r>
        <w:rPr>
          <w:rFonts w:hint="eastAsia" w:hAnsi="宋体" w:cs="宋体"/>
          <w:spacing w:val="4"/>
          <w:sz w:val="24"/>
          <w:szCs w:val="24"/>
          <w:u w:val="single"/>
        </w:rPr>
        <w:t xml:space="preserve">               （注册地址）     </w:t>
      </w:r>
      <w:r>
        <w:rPr>
          <w:rFonts w:hint="eastAsia" w:hAnsi="宋体" w:cs="宋体"/>
          <w:spacing w:val="4"/>
          <w:sz w:val="24"/>
          <w:szCs w:val="24"/>
        </w:rPr>
        <w:t>合法注册并经营，公司主营业务为</w:t>
      </w:r>
      <w:r>
        <w:rPr>
          <w:rFonts w:hint="eastAsia" w:hAnsi="宋体" w:cs="宋体"/>
          <w:spacing w:val="4"/>
          <w:sz w:val="24"/>
          <w:szCs w:val="24"/>
          <w:u w:val="single"/>
        </w:rPr>
        <w:t xml:space="preserve">                          </w:t>
      </w:r>
      <w:r>
        <w:rPr>
          <w:rFonts w:hint="eastAsia" w:hAnsi="宋体" w:cs="宋体"/>
          <w:spacing w:val="4"/>
          <w:sz w:val="24"/>
          <w:szCs w:val="24"/>
        </w:rPr>
        <w:t>，营业（生产经营）面积为</w:t>
      </w:r>
      <w:r>
        <w:rPr>
          <w:rFonts w:hint="eastAsia" w:hAnsi="宋体" w:cs="宋体"/>
          <w:spacing w:val="4"/>
          <w:sz w:val="24"/>
          <w:szCs w:val="24"/>
          <w:u w:val="single"/>
        </w:rPr>
        <w:t xml:space="preserve">             </w:t>
      </w:r>
      <w:r>
        <w:rPr>
          <w:rFonts w:hint="eastAsia" w:hAnsi="宋体" w:cs="宋体"/>
          <w:spacing w:val="4"/>
          <w:sz w:val="24"/>
          <w:szCs w:val="24"/>
        </w:rPr>
        <w:t xml:space="preserve"> ，现有员工数量为</w:t>
      </w:r>
      <w:r>
        <w:rPr>
          <w:rFonts w:hint="eastAsia" w:hAnsi="宋体" w:cs="宋体"/>
          <w:spacing w:val="4"/>
          <w:sz w:val="24"/>
          <w:szCs w:val="24"/>
          <w:u w:val="single"/>
        </w:rPr>
        <w:t xml:space="preserve">         </w:t>
      </w:r>
      <w:r>
        <w:rPr>
          <w:rFonts w:hint="eastAsia" w:hAnsi="宋体" w:cs="宋体"/>
          <w:spacing w:val="4"/>
          <w:sz w:val="24"/>
          <w:szCs w:val="24"/>
        </w:rPr>
        <w:t>，本公司郑重承诺，具有履行本合同所必需的设备和专业技术能力。</w:t>
      </w:r>
    </w:p>
    <w:p>
      <w:pPr>
        <w:pStyle w:val="16"/>
        <w:adjustRightInd w:val="0"/>
        <w:snapToGrid w:val="0"/>
        <w:spacing w:line="480" w:lineRule="auto"/>
        <w:rPr>
          <w:rFonts w:hAnsi="宋体" w:cs="宋体"/>
          <w:spacing w:val="4"/>
          <w:sz w:val="24"/>
          <w:szCs w:val="24"/>
        </w:rPr>
      </w:pPr>
    </w:p>
    <w:p>
      <w:pPr>
        <w:pStyle w:val="17"/>
        <w:rPr>
          <w:rFonts w:hAnsi="宋体" w:cs="宋体"/>
          <w:color w:val="auto"/>
          <w:spacing w:val="4"/>
        </w:rPr>
      </w:pPr>
    </w:p>
    <w:p>
      <w:pPr>
        <w:pStyle w:val="17"/>
        <w:rPr>
          <w:rFonts w:hAnsi="宋体" w:cs="宋体"/>
          <w:color w:val="auto"/>
          <w:spacing w:val="4"/>
        </w:rPr>
      </w:pPr>
    </w:p>
    <w:p>
      <w:pPr>
        <w:pStyle w:val="17"/>
        <w:rPr>
          <w:rFonts w:hAnsi="宋体" w:cs="宋体"/>
          <w:color w:val="auto"/>
          <w:spacing w:val="4"/>
        </w:rPr>
      </w:pPr>
    </w:p>
    <w:p>
      <w:pPr>
        <w:pStyle w:val="17"/>
        <w:rPr>
          <w:rFonts w:hAnsi="宋体" w:cs="宋体"/>
          <w:color w:val="auto"/>
          <w:spacing w:val="4"/>
        </w:rPr>
      </w:pPr>
    </w:p>
    <w:p>
      <w:pPr>
        <w:spacing w:line="480" w:lineRule="auto"/>
        <w:ind w:firstLine="1478" w:firstLineChars="616"/>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480" w:lineRule="auto"/>
        <w:ind w:firstLine="1478" w:firstLineChars="616"/>
        <w:contextualSpacing/>
        <w:rPr>
          <w:rFonts w:ascii="宋体" w:hAnsi="宋体"/>
          <w:sz w:val="24"/>
        </w:rPr>
      </w:pPr>
      <w:r>
        <w:rPr>
          <w:rFonts w:hint="eastAsia" w:ascii="宋体" w:hAnsi="宋体"/>
          <w:sz w:val="24"/>
        </w:rPr>
        <w:t>法定代表人或授权委托人：</w:t>
      </w:r>
      <w:r>
        <w:rPr>
          <w:rFonts w:hint="eastAsia" w:ascii="宋体" w:hAnsi="宋体"/>
          <w:sz w:val="24"/>
          <w:u w:val="single"/>
        </w:rPr>
        <w:t xml:space="preserve">                  </w:t>
      </w:r>
      <w:r>
        <w:rPr>
          <w:rFonts w:hint="eastAsia" w:ascii="宋体" w:hAnsi="宋体"/>
          <w:sz w:val="24"/>
        </w:rPr>
        <w:t xml:space="preserve">（签字或盖章）  </w:t>
      </w:r>
    </w:p>
    <w:p>
      <w:pPr>
        <w:autoSpaceDE w:val="0"/>
        <w:autoSpaceDN w:val="0"/>
        <w:adjustRightInd w:val="0"/>
        <w:spacing w:line="480" w:lineRule="auto"/>
        <w:ind w:left="-17" w:leftChars="-8" w:right="-60" w:firstLine="1452" w:firstLineChars="605"/>
        <w:rPr>
          <w:rFonts w:ascii="宋体" w:hAnsi="宋体" w:cs="宋体"/>
          <w:b/>
          <w:sz w:val="32"/>
          <w:szCs w:val="32"/>
        </w:rPr>
      </w:pPr>
      <w:r>
        <w:rPr>
          <w:rFonts w:hint="eastAsia" w:ascii="宋体" w:hAnsi="宋体"/>
          <w:sz w:val="24"/>
        </w:rPr>
        <w:t>日  期：</w:t>
      </w:r>
      <w:r>
        <w:rPr>
          <w:rFonts w:hint="eastAsia" w:ascii="宋体" w:hAnsi="宋体"/>
          <w:sz w:val="24"/>
          <w:u w:val="single"/>
        </w:rPr>
        <w:t xml:space="preserve">                                  </w:t>
      </w:r>
    </w:p>
    <w:p>
      <w:pPr>
        <w:pStyle w:val="2"/>
        <w:rPr>
          <w:sz w:val="28"/>
          <w:szCs w:val="28"/>
        </w:rPr>
      </w:pPr>
    </w:p>
    <w:p>
      <w:pPr>
        <w:pStyle w:val="28"/>
        <w:rPr>
          <w:sz w:val="28"/>
          <w:szCs w:val="28"/>
        </w:rPr>
      </w:pPr>
    </w:p>
    <w:p>
      <w:pPr>
        <w:rPr>
          <w:sz w:val="28"/>
          <w:szCs w:val="28"/>
        </w:rPr>
      </w:pPr>
    </w:p>
    <w:p>
      <w:pPr>
        <w:pStyle w:val="33"/>
        <w:ind w:firstLine="280"/>
        <w:rPr>
          <w:sz w:val="28"/>
          <w:szCs w:val="28"/>
        </w:rPr>
      </w:pPr>
    </w:p>
    <w:p>
      <w:pPr>
        <w:pStyle w:val="33"/>
        <w:ind w:firstLine="280"/>
        <w:rPr>
          <w:sz w:val="28"/>
          <w:szCs w:val="28"/>
        </w:rPr>
      </w:pPr>
    </w:p>
    <w:p>
      <w:pPr>
        <w:pStyle w:val="33"/>
        <w:ind w:firstLine="280"/>
        <w:rPr>
          <w:rFonts w:ascii="宋体" w:hAnsi="宋体" w:cs="宋体"/>
          <w:sz w:val="28"/>
          <w:szCs w:val="28"/>
        </w:rPr>
      </w:pPr>
    </w:p>
    <w:p>
      <w:pPr>
        <w:pStyle w:val="33"/>
        <w:ind w:firstLine="280"/>
        <w:rPr>
          <w:rFonts w:ascii="宋体" w:hAnsi="宋体" w:cs="宋体"/>
          <w:sz w:val="28"/>
          <w:szCs w:val="28"/>
        </w:rPr>
      </w:pPr>
      <w:r>
        <w:rPr>
          <w:rFonts w:hint="eastAsia" w:ascii="宋体" w:hAnsi="宋体" w:cs="宋体"/>
          <w:sz w:val="28"/>
          <w:szCs w:val="28"/>
        </w:rPr>
        <w:t>附件2</w:t>
      </w:r>
    </w:p>
    <w:p>
      <w:pPr>
        <w:spacing w:line="480" w:lineRule="auto"/>
        <w:ind w:right="-218" w:rightChars="-104"/>
        <w:jc w:val="center"/>
        <w:rPr>
          <w:rFonts w:ascii="宋体" w:hAnsi="宋体" w:cs="宋体"/>
          <w:b/>
          <w:sz w:val="28"/>
          <w:szCs w:val="32"/>
        </w:rPr>
      </w:pPr>
      <w:r>
        <w:rPr>
          <w:rFonts w:hint="eastAsia" w:ascii="宋体" w:hAnsi="宋体" w:cs="宋体"/>
          <w:b/>
          <w:sz w:val="28"/>
          <w:szCs w:val="32"/>
        </w:rPr>
        <w:t>近三年内无重大违法纪录的书面声明（格式）</w:t>
      </w:r>
    </w:p>
    <w:p>
      <w:pPr>
        <w:spacing w:line="480" w:lineRule="auto"/>
        <w:ind w:right="-218" w:rightChars="-104"/>
        <w:jc w:val="center"/>
        <w:rPr>
          <w:rFonts w:ascii="宋体" w:hAnsi="宋体" w:cs="宋体"/>
          <w:sz w:val="24"/>
        </w:rPr>
      </w:pPr>
    </w:p>
    <w:tbl>
      <w:tblPr>
        <w:tblStyle w:val="35"/>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2903"/>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709"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ind w:right="-218" w:rightChars="-104"/>
              <w:jc w:val="left"/>
              <w:rPr>
                <w:rFonts w:ascii="宋体" w:hAnsi="宋体" w:cs="宋体"/>
                <w:sz w:val="24"/>
              </w:rPr>
            </w:pPr>
            <w:r>
              <w:rPr>
                <w:rFonts w:hint="eastAsia" w:ascii="宋体" w:hAnsi="宋体" w:cs="宋体"/>
                <w:sz w:val="24"/>
              </w:rPr>
              <w:t xml:space="preserve">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709"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ind w:right="-218" w:rightChars="-104" w:firstLine="480" w:firstLineChars="200"/>
              <w:jc w:val="left"/>
              <w:rPr>
                <w:rFonts w:ascii="宋体" w:hAnsi="宋体" w:cs="宋体"/>
                <w:sz w:val="24"/>
              </w:rPr>
            </w:pPr>
            <w:r>
              <w:rPr>
                <w:rFonts w:hint="eastAsia" w:ascii="宋体" w:hAnsi="宋体" w:cs="宋体"/>
                <w:sz w:val="24"/>
              </w:rPr>
              <w:t>本企业（公司）在参加本项目投标（投标、询价）活动之前3年内，经营活动中不存在《中华人民共和国政府采购法实施条例》第十九条所列的重大违法记录（是指投标人因违法经营受到刑事处罚或者责令停产停业、吊销许可证或者执照、较大数额罚款等行政处罚），如有隐瞒实情，愿承担一切责任和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903" w:type="dxa"/>
            <w:tcBorders>
              <w:top w:val="single" w:color="auto" w:sz="4" w:space="0"/>
              <w:left w:val="single" w:color="auto" w:sz="4" w:space="0"/>
              <w:bottom w:val="single" w:color="auto" w:sz="4" w:space="0"/>
              <w:right w:val="single" w:color="auto" w:sz="4" w:space="0"/>
            </w:tcBorders>
            <w:vAlign w:val="center"/>
          </w:tcPr>
          <w:p>
            <w:pPr>
              <w:spacing w:line="480" w:lineRule="auto"/>
              <w:ind w:right="-218" w:rightChars="-104"/>
              <w:jc w:val="center"/>
              <w:rPr>
                <w:rFonts w:ascii="宋体" w:hAnsi="宋体" w:cs="宋体"/>
                <w:sz w:val="24"/>
              </w:rPr>
            </w:pPr>
            <w:r>
              <w:rPr>
                <w:rFonts w:hint="eastAsia" w:ascii="宋体" w:hAnsi="宋体" w:cs="宋体"/>
                <w:sz w:val="24"/>
              </w:rPr>
              <w:t>声明人</w:t>
            </w:r>
          </w:p>
        </w:tc>
        <w:tc>
          <w:tcPr>
            <w:tcW w:w="2903" w:type="dxa"/>
            <w:tcBorders>
              <w:top w:val="single" w:color="auto" w:sz="4" w:space="0"/>
              <w:left w:val="single" w:color="auto" w:sz="4" w:space="0"/>
              <w:bottom w:val="single" w:color="auto" w:sz="4" w:space="0"/>
              <w:right w:val="single" w:color="auto" w:sz="4" w:space="0"/>
            </w:tcBorders>
            <w:vAlign w:val="center"/>
          </w:tcPr>
          <w:p>
            <w:pPr>
              <w:spacing w:line="480" w:lineRule="auto"/>
              <w:ind w:right="-218" w:rightChars="-104"/>
              <w:jc w:val="center"/>
              <w:rPr>
                <w:rFonts w:ascii="宋体" w:hAnsi="宋体" w:cs="宋体"/>
                <w:sz w:val="24"/>
              </w:rPr>
            </w:pPr>
            <w:r>
              <w:rPr>
                <w:rFonts w:hint="eastAsia" w:ascii="宋体" w:hAnsi="宋体" w:cs="宋体"/>
                <w:sz w:val="24"/>
              </w:rPr>
              <w:t>法定代表人</w:t>
            </w:r>
          </w:p>
        </w:tc>
        <w:tc>
          <w:tcPr>
            <w:tcW w:w="2903" w:type="dxa"/>
            <w:tcBorders>
              <w:top w:val="single" w:color="auto" w:sz="4" w:space="0"/>
              <w:left w:val="single" w:color="auto" w:sz="4" w:space="0"/>
              <w:bottom w:val="single" w:color="auto" w:sz="4" w:space="0"/>
              <w:right w:val="single" w:color="auto" w:sz="4" w:space="0"/>
            </w:tcBorders>
            <w:vAlign w:val="center"/>
          </w:tcPr>
          <w:p>
            <w:pPr>
              <w:spacing w:line="480" w:lineRule="auto"/>
              <w:ind w:right="-218" w:rightChars="-104"/>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2903" w:type="dxa"/>
            <w:tcBorders>
              <w:top w:val="single" w:color="auto" w:sz="4" w:space="0"/>
              <w:left w:val="single" w:color="auto" w:sz="4" w:space="0"/>
              <w:bottom w:val="single" w:color="auto" w:sz="4" w:space="0"/>
              <w:right w:val="single" w:color="auto" w:sz="4" w:space="0"/>
            </w:tcBorders>
            <w:vAlign w:val="center"/>
          </w:tcPr>
          <w:p>
            <w:pPr>
              <w:spacing w:line="480" w:lineRule="auto"/>
              <w:ind w:right="-218" w:rightChars="-104"/>
              <w:jc w:val="center"/>
              <w:rPr>
                <w:rFonts w:ascii="宋体" w:hAnsi="宋体" w:cs="宋体"/>
                <w:sz w:val="24"/>
              </w:rPr>
            </w:pPr>
            <w:r>
              <w:rPr>
                <w:rFonts w:hint="eastAsia" w:ascii="宋体" w:hAnsi="宋体" w:cs="宋体"/>
                <w:sz w:val="24"/>
              </w:rPr>
              <w:t>（公章）</w:t>
            </w:r>
          </w:p>
        </w:tc>
        <w:tc>
          <w:tcPr>
            <w:tcW w:w="2903" w:type="dxa"/>
            <w:tcBorders>
              <w:top w:val="single" w:color="auto" w:sz="4" w:space="0"/>
              <w:left w:val="single" w:color="auto" w:sz="4" w:space="0"/>
              <w:bottom w:val="single" w:color="auto" w:sz="4" w:space="0"/>
              <w:right w:val="single" w:color="auto" w:sz="4" w:space="0"/>
            </w:tcBorders>
            <w:vAlign w:val="center"/>
          </w:tcPr>
          <w:p>
            <w:pPr>
              <w:spacing w:line="480" w:lineRule="auto"/>
              <w:ind w:right="-218" w:rightChars="-104"/>
              <w:jc w:val="center"/>
              <w:rPr>
                <w:rFonts w:ascii="宋体" w:hAnsi="宋体" w:cs="宋体"/>
                <w:sz w:val="24"/>
              </w:rPr>
            </w:pPr>
            <w:r>
              <w:rPr>
                <w:rFonts w:hint="eastAsia" w:ascii="宋体" w:hAnsi="宋体" w:cs="宋体"/>
                <w:sz w:val="24"/>
              </w:rPr>
              <w:t>（签字或盖章）</w:t>
            </w:r>
          </w:p>
        </w:tc>
        <w:tc>
          <w:tcPr>
            <w:tcW w:w="2903" w:type="dxa"/>
            <w:tcBorders>
              <w:top w:val="single" w:color="auto" w:sz="4" w:space="0"/>
              <w:left w:val="single" w:color="auto" w:sz="4" w:space="0"/>
              <w:bottom w:val="single" w:color="auto" w:sz="4" w:space="0"/>
              <w:right w:val="single" w:color="auto" w:sz="4" w:space="0"/>
            </w:tcBorders>
            <w:vAlign w:val="center"/>
          </w:tcPr>
          <w:p>
            <w:pPr>
              <w:spacing w:line="480" w:lineRule="auto"/>
              <w:ind w:right="-218" w:rightChars="-104"/>
              <w:jc w:val="center"/>
              <w:rPr>
                <w:rFonts w:ascii="宋体" w:hAnsi="宋体" w:cs="宋体"/>
                <w:sz w:val="24"/>
              </w:rPr>
            </w:pPr>
            <w:r>
              <w:rPr>
                <w:rFonts w:hint="eastAsia" w:ascii="宋体" w:hAnsi="宋体" w:cs="宋体"/>
                <w:sz w:val="24"/>
              </w:rPr>
              <w:t>年    月    日</w:t>
            </w:r>
          </w:p>
        </w:tc>
      </w:tr>
    </w:tbl>
    <w:p>
      <w:pPr>
        <w:pStyle w:val="103"/>
        <w:ind w:firstLine="480"/>
        <w:rPr>
          <w:rFonts w:ascii="宋体" w:hAnsi="宋体" w:cs="宋体"/>
          <w:sz w:val="24"/>
        </w:rPr>
      </w:pPr>
    </w:p>
    <w:p>
      <w:pPr>
        <w:ind w:right="-218" w:rightChars="-104"/>
        <w:rPr>
          <w:rFonts w:ascii="宋体" w:hAnsi="宋体" w:cs="宋体"/>
          <w:b/>
          <w:sz w:val="32"/>
          <w:szCs w:val="32"/>
        </w:rPr>
      </w:pPr>
    </w:p>
    <w:p>
      <w:pPr>
        <w:rPr>
          <w:rFonts w:ascii="宋体" w:hAnsi="宋体" w:cs="宋体"/>
          <w:b/>
          <w:bCs/>
          <w:sz w:val="24"/>
        </w:rPr>
      </w:pPr>
      <w:r>
        <w:rPr>
          <w:rFonts w:hint="eastAsia" w:ascii="宋体" w:hAnsi="宋体" w:cs="宋体"/>
          <w:b/>
          <w:bCs/>
          <w:sz w:val="24"/>
        </w:rPr>
        <w:br w:type="page"/>
      </w:r>
    </w:p>
    <w:p>
      <w:pPr>
        <w:rPr>
          <w:rFonts w:ascii="宋体" w:hAnsi="宋体"/>
          <w:sz w:val="24"/>
        </w:rPr>
      </w:pPr>
      <w:r>
        <w:rPr>
          <w:rFonts w:hint="eastAsia" w:ascii="宋体" w:hAnsi="宋体" w:cs="宋体"/>
          <w:sz w:val="28"/>
          <w:szCs w:val="28"/>
        </w:rPr>
        <w:t>附件3</w:t>
      </w:r>
    </w:p>
    <w:p>
      <w:pPr>
        <w:spacing w:line="360" w:lineRule="atLeast"/>
        <w:jc w:val="center"/>
        <w:rPr>
          <w:rFonts w:ascii="宋体" w:hAnsi="宋体" w:cs="宋体"/>
          <w:b/>
          <w:sz w:val="32"/>
          <w:szCs w:val="32"/>
        </w:rPr>
      </w:pPr>
      <w:bookmarkStart w:id="315" w:name="_Toc28390"/>
      <w:bookmarkStart w:id="316" w:name="_Toc17669"/>
      <w:bookmarkStart w:id="317" w:name="_Toc27076"/>
      <w:bookmarkStart w:id="318" w:name="_Toc15305"/>
      <w:bookmarkStart w:id="319" w:name="_Toc30972"/>
      <w:bookmarkStart w:id="320" w:name="_Toc30168"/>
    </w:p>
    <w:p>
      <w:pPr>
        <w:spacing w:line="360" w:lineRule="atLeast"/>
        <w:jc w:val="center"/>
        <w:outlineLvl w:val="0"/>
        <w:rPr>
          <w:rFonts w:ascii="宋体" w:hAnsi="宋体" w:cs="宋体"/>
          <w:b/>
          <w:sz w:val="32"/>
          <w:szCs w:val="32"/>
        </w:rPr>
      </w:pPr>
      <w:bookmarkStart w:id="321" w:name="_Toc6794"/>
      <w:bookmarkStart w:id="322" w:name="_Toc20984"/>
      <w:r>
        <w:rPr>
          <w:rFonts w:hint="eastAsia" w:ascii="宋体" w:hAnsi="宋体" w:cs="宋体"/>
          <w:b/>
          <w:sz w:val="32"/>
          <w:szCs w:val="32"/>
        </w:rPr>
        <w:t>承诺书</w:t>
      </w:r>
      <w:bookmarkEnd w:id="315"/>
      <w:bookmarkEnd w:id="316"/>
      <w:bookmarkEnd w:id="317"/>
      <w:bookmarkEnd w:id="318"/>
      <w:bookmarkEnd w:id="319"/>
      <w:bookmarkEnd w:id="320"/>
      <w:r>
        <w:rPr>
          <w:rFonts w:hint="eastAsia" w:ascii="宋体" w:hAnsi="宋体" w:cs="宋体"/>
          <w:b/>
          <w:sz w:val="32"/>
          <w:szCs w:val="32"/>
        </w:rPr>
        <w:t>Ⅰ</w:t>
      </w:r>
      <w:bookmarkEnd w:id="321"/>
      <w:bookmarkEnd w:id="322"/>
    </w:p>
    <w:p>
      <w:pPr>
        <w:spacing w:line="360" w:lineRule="atLeast"/>
        <w:jc w:val="center"/>
        <w:rPr>
          <w:rFonts w:ascii="宋体" w:hAnsi="宋体" w:cs="宋体"/>
          <w:b/>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vAlign w:val="center"/>
          </w:tcPr>
          <w:p>
            <w:pPr>
              <w:spacing w:line="360" w:lineRule="atLeast"/>
              <w:rPr>
                <w:rFonts w:ascii="宋体" w:hAnsi="宋体" w:cs="宋体"/>
                <w:sz w:val="24"/>
              </w:rPr>
            </w:pPr>
            <w:r>
              <w:rPr>
                <w:rFonts w:hint="eastAsia" w:ascii="宋体" w:hAnsi="宋体" w:cs="宋体"/>
                <w:sz w:val="24"/>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作为参加贵公司组织的招标采购项目的投标人，本公司承诺：在参加本项目投标之前不存在被依法禁止经营行为、财产被接管或冻结的情况，如有隐瞒实情，愿承担一切责任及后果。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614" w:type="dxa"/>
            <w:vAlign w:val="center"/>
          </w:tcPr>
          <w:p>
            <w:pPr>
              <w:spacing w:line="360" w:lineRule="atLeast"/>
              <w:jc w:val="center"/>
              <w:rPr>
                <w:rFonts w:ascii="宋体" w:hAnsi="宋体" w:cs="宋体"/>
                <w:sz w:val="24"/>
              </w:rPr>
            </w:pPr>
            <w:r>
              <w:rPr>
                <w:rFonts w:hint="eastAsia" w:ascii="宋体" w:hAnsi="宋体" w:cs="宋体"/>
                <w:sz w:val="24"/>
              </w:rPr>
              <w:t>法定代表人</w:t>
            </w:r>
          </w:p>
        </w:tc>
        <w:tc>
          <w:tcPr>
            <w:tcW w:w="289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3023"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614"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890" w:type="dxa"/>
            <w:vAlign w:val="center"/>
          </w:tcPr>
          <w:p>
            <w:pPr>
              <w:spacing w:line="360" w:lineRule="atLeast"/>
              <w:jc w:val="center"/>
              <w:rPr>
                <w:rFonts w:ascii="宋体" w:hAnsi="宋体" w:cs="宋体"/>
                <w:sz w:val="24"/>
              </w:rPr>
            </w:pPr>
            <w:r>
              <w:rPr>
                <w:rFonts w:hint="eastAsia" w:ascii="宋体" w:hAnsi="宋体" w:cs="宋体"/>
                <w:sz w:val="24"/>
              </w:rPr>
              <w:t>年  月  日</w:t>
            </w:r>
          </w:p>
        </w:tc>
      </w:tr>
    </w:tbl>
    <w:p>
      <w:pPr>
        <w:pStyle w:val="2"/>
      </w:pPr>
    </w:p>
    <w:p>
      <w:pPr>
        <w:spacing w:line="360" w:lineRule="atLeast"/>
        <w:jc w:val="center"/>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pStyle w:val="33"/>
        <w:ind w:firstLine="321"/>
        <w:rPr>
          <w:rFonts w:ascii="宋体" w:hAnsi="宋体" w:cs="宋体"/>
          <w:b/>
          <w:sz w:val="32"/>
          <w:szCs w:val="32"/>
        </w:rPr>
      </w:pPr>
    </w:p>
    <w:p>
      <w:pPr>
        <w:spacing w:line="360" w:lineRule="atLeast"/>
        <w:jc w:val="center"/>
        <w:outlineLvl w:val="0"/>
        <w:rPr>
          <w:rFonts w:ascii="宋体" w:hAnsi="宋体" w:cs="宋体"/>
          <w:b/>
          <w:sz w:val="32"/>
          <w:szCs w:val="32"/>
        </w:rPr>
      </w:pPr>
      <w:bookmarkStart w:id="323" w:name="_Toc27074"/>
      <w:bookmarkStart w:id="324" w:name="_Toc13278"/>
      <w:bookmarkStart w:id="325" w:name="_Toc23411"/>
      <w:bookmarkStart w:id="326" w:name="_Toc26946"/>
      <w:bookmarkStart w:id="327" w:name="_Toc31860"/>
      <w:bookmarkStart w:id="328" w:name="_Toc4740"/>
      <w:bookmarkStart w:id="329" w:name="_Toc6032"/>
      <w:bookmarkStart w:id="330" w:name="_Toc12887"/>
      <w:r>
        <w:rPr>
          <w:rFonts w:hint="eastAsia" w:ascii="宋体" w:hAnsi="宋体" w:cs="宋体"/>
          <w:b/>
          <w:sz w:val="32"/>
          <w:szCs w:val="32"/>
        </w:rPr>
        <w:t>承诺书</w:t>
      </w:r>
      <w:bookmarkEnd w:id="323"/>
      <w:bookmarkEnd w:id="324"/>
      <w:bookmarkEnd w:id="325"/>
      <w:bookmarkEnd w:id="326"/>
      <w:bookmarkEnd w:id="327"/>
      <w:bookmarkEnd w:id="328"/>
      <w:r>
        <w:rPr>
          <w:rFonts w:hint="eastAsia" w:ascii="宋体" w:hAnsi="宋体" w:cs="宋体"/>
          <w:b/>
          <w:sz w:val="32"/>
          <w:szCs w:val="32"/>
        </w:rPr>
        <w:t>Ⅱ</w:t>
      </w:r>
      <w:bookmarkEnd w:id="329"/>
      <w:bookmarkEnd w:id="330"/>
    </w:p>
    <w:p>
      <w:pPr>
        <w:spacing w:line="360" w:lineRule="atLeast"/>
        <w:jc w:val="center"/>
        <w:rPr>
          <w:rFonts w:ascii="宋体" w:hAnsi="宋体" w:cs="宋体"/>
          <w:b/>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9" w:type="dxa"/>
            <w:gridSpan w:val="3"/>
            <w:vAlign w:val="center"/>
          </w:tcPr>
          <w:p>
            <w:pPr>
              <w:spacing w:line="360" w:lineRule="atLeast"/>
              <w:rPr>
                <w:rFonts w:ascii="宋体" w:hAnsi="宋体" w:cs="宋体"/>
                <w:sz w:val="24"/>
              </w:rPr>
            </w:pPr>
            <w:r>
              <w:rPr>
                <w:rFonts w:hint="eastAsia" w:ascii="宋体" w:hAnsi="宋体" w:cs="宋体"/>
                <w:sz w:val="24"/>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作为参加贵公司组织的招标采购项目的投标人，本公司郑重申告并承诺：近三年受到有关行政主管部门的行政处理、不良行为记录为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801" w:type="dxa"/>
            <w:vAlign w:val="center"/>
          </w:tcPr>
          <w:p>
            <w:pPr>
              <w:spacing w:line="360" w:lineRule="atLeast"/>
              <w:jc w:val="center"/>
              <w:rPr>
                <w:rFonts w:ascii="宋体" w:hAnsi="宋体" w:cs="宋体"/>
                <w:sz w:val="24"/>
              </w:rPr>
            </w:pPr>
            <w:r>
              <w:rPr>
                <w:rFonts w:hint="eastAsia" w:ascii="宋体" w:hAnsi="宋体" w:cs="宋体"/>
                <w:sz w:val="24"/>
              </w:rPr>
              <w:t>法定代表人</w:t>
            </w:r>
          </w:p>
        </w:tc>
        <w:tc>
          <w:tcPr>
            <w:tcW w:w="2600"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3158"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801"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600" w:type="dxa"/>
            <w:vAlign w:val="center"/>
          </w:tcPr>
          <w:p>
            <w:pPr>
              <w:spacing w:line="360" w:lineRule="atLeast"/>
              <w:jc w:val="center"/>
              <w:rPr>
                <w:rFonts w:ascii="宋体" w:hAnsi="宋体" w:cs="宋体"/>
                <w:sz w:val="24"/>
              </w:rPr>
            </w:pPr>
            <w:r>
              <w:rPr>
                <w:rFonts w:hint="eastAsia" w:ascii="宋体" w:hAnsi="宋体" w:cs="宋体"/>
                <w:sz w:val="24"/>
              </w:rPr>
              <w:t>年  月  日</w:t>
            </w:r>
          </w:p>
        </w:tc>
      </w:tr>
    </w:tbl>
    <w:p>
      <w:pPr>
        <w:spacing w:line="360" w:lineRule="atLeast"/>
        <w:jc w:val="center"/>
        <w:rPr>
          <w:rFonts w:ascii="宋体" w:hAnsi="宋体" w:cs="宋体"/>
          <w:b/>
          <w:sz w:val="32"/>
          <w:szCs w:val="32"/>
        </w:rPr>
      </w:pPr>
      <w:bookmarkStart w:id="331" w:name="_Toc7843"/>
      <w:bookmarkStart w:id="332" w:name="_Toc13086"/>
      <w:bookmarkStart w:id="333" w:name="_Toc13990"/>
      <w:bookmarkStart w:id="334" w:name="_Toc6273"/>
      <w:bookmarkStart w:id="335" w:name="_Toc25082"/>
      <w:bookmarkStart w:id="336" w:name="_Toc7092"/>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rPr>
          <w:rFonts w:ascii="宋体" w:hAnsi="宋体" w:cs="宋体"/>
          <w:b/>
          <w:sz w:val="32"/>
          <w:szCs w:val="32"/>
        </w:rPr>
      </w:pPr>
    </w:p>
    <w:p>
      <w:pPr>
        <w:spacing w:line="360" w:lineRule="atLeast"/>
        <w:jc w:val="center"/>
        <w:outlineLvl w:val="0"/>
        <w:rPr>
          <w:rFonts w:ascii="宋体" w:hAnsi="宋体" w:cs="宋体"/>
          <w:b/>
          <w:sz w:val="32"/>
          <w:szCs w:val="32"/>
        </w:rPr>
      </w:pPr>
      <w:bookmarkStart w:id="337" w:name="_Toc4442"/>
      <w:bookmarkStart w:id="338" w:name="_Toc22517"/>
      <w:r>
        <w:rPr>
          <w:rFonts w:hint="eastAsia" w:ascii="宋体" w:hAnsi="宋体" w:cs="宋体"/>
          <w:b/>
          <w:sz w:val="32"/>
          <w:szCs w:val="32"/>
        </w:rPr>
        <w:t>承诺书</w:t>
      </w:r>
      <w:bookmarkEnd w:id="331"/>
      <w:bookmarkEnd w:id="332"/>
      <w:bookmarkEnd w:id="333"/>
      <w:bookmarkEnd w:id="334"/>
      <w:bookmarkEnd w:id="335"/>
      <w:bookmarkEnd w:id="336"/>
      <w:r>
        <w:rPr>
          <w:rFonts w:hint="eastAsia" w:ascii="宋体" w:hAnsi="宋体" w:cs="宋体"/>
          <w:b/>
          <w:sz w:val="32"/>
          <w:szCs w:val="32"/>
        </w:rPr>
        <w:t>Ⅲ</w:t>
      </w:r>
      <w:bookmarkEnd w:id="337"/>
      <w:bookmarkEnd w:id="338"/>
    </w:p>
    <w:p>
      <w:pPr>
        <w:spacing w:line="360" w:lineRule="atLeast"/>
        <w:jc w:val="center"/>
        <w:rPr>
          <w:rFonts w:ascii="宋体" w:hAnsi="宋体" w:cs="宋体"/>
          <w:b/>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vAlign w:val="center"/>
          </w:tcPr>
          <w:p>
            <w:pPr>
              <w:spacing w:line="360" w:lineRule="atLeast"/>
              <w:rPr>
                <w:rFonts w:ascii="宋体" w:hAnsi="宋体" w:cs="宋体"/>
                <w:sz w:val="24"/>
              </w:rPr>
            </w:pPr>
            <w:r>
              <w:rPr>
                <w:rFonts w:hint="eastAsia" w:ascii="宋体" w:hAnsi="宋体" w:cs="宋体"/>
                <w:sz w:val="24"/>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vAlign w:val="center"/>
          </w:tcPr>
          <w:p>
            <w:pPr>
              <w:spacing w:line="360" w:lineRule="atLeast"/>
              <w:ind w:firstLine="480" w:firstLineChars="200"/>
              <w:rPr>
                <w:rFonts w:ascii="宋体" w:hAnsi="宋体" w:cs="宋体"/>
                <w:sz w:val="24"/>
              </w:rPr>
            </w:pPr>
            <w:r>
              <w:rPr>
                <w:rFonts w:hint="eastAsia" w:ascii="宋体" w:hAnsi="宋体" w:cs="宋体"/>
                <w:sz w:val="24"/>
              </w:rPr>
              <w:t>作为参加贵公司组织的招标采购项目的投标人，本公司承诺：参加本次投标提交的所有资质证明文件及业绩证明文件是真实的、有效的，如有隐瞒实情，愿承担一切责任及后果。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vAlign w:val="center"/>
          </w:tcPr>
          <w:p>
            <w:pPr>
              <w:spacing w:line="360" w:lineRule="atLeast"/>
              <w:jc w:val="center"/>
              <w:rPr>
                <w:rFonts w:ascii="宋体" w:hAnsi="宋体" w:cs="宋体"/>
                <w:sz w:val="24"/>
              </w:rPr>
            </w:pPr>
            <w:r>
              <w:rPr>
                <w:rFonts w:hint="eastAsia" w:ascii="宋体" w:hAnsi="宋体" w:cs="宋体"/>
                <w:sz w:val="24"/>
              </w:rPr>
              <w:t>投标人</w:t>
            </w:r>
          </w:p>
        </w:tc>
        <w:tc>
          <w:tcPr>
            <w:tcW w:w="3725" w:type="dxa"/>
            <w:vAlign w:val="center"/>
          </w:tcPr>
          <w:p>
            <w:pPr>
              <w:spacing w:line="360" w:lineRule="atLeast"/>
              <w:jc w:val="center"/>
              <w:rPr>
                <w:rFonts w:ascii="宋体" w:hAnsi="宋体" w:cs="宋体"/>
                <w:sz w:val="24"/>
              </w:rPr>
            </w:pPr>
            <w:r>
              <w:rPr>
                <w:rFonts w:hint="eastAsia" w:ascii="宋体" w:hAnsi="宋体" w:cs="宋体"/>
                <w:sz w:val="24"/>
              </w:rPr>
              <w:t>法定代表人</w:t>
            </w:r>
          </w:p>
        </w:tc>
        <w:tc>
          <w:tcPr>
            <w:tcW w:w="2635" w:type="dxa"/>
            <w:vAlign w:val="center"/>
          </w:tcPr>
          <w:p>
            <w:pPr>
              <w:spacing w:line="360" w:lineRule="atLeast"/>
              <w:jc w:val="center"/>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vAlign w:val="center"/>
          </w:tcPr>
          <w:p>
            <w:pPr>
              <w:spacing w:line="360" w:lineRule="atLeast"/>
              <w:jc w:val="center"/>
              <w:rPr>
                <w:rFonts w:ascii="宋体" w:hAnsi="宋体" w:cs="宋体"/>
                <w:sz w:val="24"/>
              </w:rPr>
            </w:pPr>
            <w:r>
              <w:rPr>
                <w:rFonts w:hint="eastAsia" w:ascii="宋体" w:hAnsi="宋体" w:cs="宋体"/>
                <w:sz w:val="24"/>
              </w:rPr>
              <w:t>（公章）</w:t>
            </w:r>
          </w:p>
        </w:tc>
        <w:tc>
          <w:tcPr>
            <w:tcW w:w="3725" w:type="dxa"/>
            <w:vAlign w:val="center"/>
          </w:tcPr>
          <w:p>
            <w:pPr>
              <w:spacing w:line="360" w:lineRule="atLeast"/>
              <w:jc w:val="center"/>
              <w:rPr>
                <w:rFonts w:ascii="宋体" w:hAnsi="宋体" w:cs="宋体"/>
                <w:sz w:val="24"/>
              </w:rPr>
            </w:pPr>
            <w:r>
              <w:rPr>
                <w:rFonts w:hint="eastAsia" w:ascii="宋体" w:hAnsi="宋体" w:cs="宋体"/>
                <w:sz w:val="24"/>
              </w:rPr>
              <w:t>（签字或盖章）</w:t>
            </w:r>
          </w:p>
        </w:tc>
        <w:tc>
          <w:tcPr>
            <w:tcW w:w="2635" w:type="dxa"/>
            <w:vAlign w:val="center"/>
          </w:tcPr>
          <w:p>
            <w:pPr>
              <w:spacing w:line="360" w:lineRule="atLeast"/>
              <w:jc w:val="center"/>
              <w:rPr>
                <w:rFonts w:ascii="宋体" w:hAnsi="宋体" w:cs="宋体"/>
                <w:sz w:val="24"/>
              </w:rPr>
            </w:pPr>
            <w:r>
              <w:rPr>
                <w:rFonts w:hint="eastAsia" w:ascii="宋体" w:hAnsi="宋体" w:cs="宋体"/>
                <w:sz w:val="24"/>
              </w:rPr>
              <w:t>年  月  日</w:t>
            </w:r>
          </w:p>
        </w:tc>
      </w:tr>
    </w:tbl>
    <w:p/>
    <w:p>
      <w:pPr>
        <w:spacing w:line="480" w:lineRule="auto"/>
        <w:ind w:firstLine="480" w:firstLineChars="200"/>
        <w:jc w:val="left"/>
        <w:rPr>
          <w:rFonts w:ascii="宋体" w:hAnsi="宋体"/>
          <w:sz w:val="24"/>
        </w:rPr>
      </w:pPr>
    </w:p>
    <w:p>
      <w:pPr>
        <w:spacing w:line="480" w:lineRule="auto"/>
        <w:ind w:firstLine="480" w:firstLineChars="200"/>
        <w:jc w:val="left"/>
        <w:rPr>
          <w:rFonts w:ascii="宋体" w:hAnsi="宋体"/>
          <w:sz w:val="24"/>
        </w:rPr>
      </w:pPr>
    </w:p>
    <w:p>
      <w:pPr>
        <w:spacing w:line="480" w:lineRule="auto"/>
        <w:ind w:firstLine="480" w:firstLineChars="200"/>
        <w:jc w:val="left"/>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
      <w:pPr>
        <w:spacing w:line="480" w:lineRule="auto"/>
        <w:ind w:firstLine="480" w:firstLineChars="200"/>
        <w:jc w:val="left"/>
        <w:rPr>
          <w:rFonts w:ascii="宋体" w:hAnsi="宋体"/>
          <w:sz w:val="24"/>
        </w:rPr>
      </w:pPr>
    </w:p>
    <w:p>
      <w:pPr>
        <w:spacing w:line="480" w:lineRule="auto"/>
        <w:ind w:firstLine="480" w:firstLineChars="200"/>
        <w:jc w:val="left"/>
        <w:rPr>
          <w:rFonts w:ascii="宋体" w:hAnsi="宋体"/>
          <w:sz w:val="24"/>
        </w:rPr>
      </w:pPr>
    </w:p>
    <w:p>
      <w:pPr>
        <w:pStyle w:val="9"/>
        <w:rPr>
          <w:rFonts w:ascii="宋体" w:hAnsi="宋体"/>
          <w:sz w:val="24"/>
        </w:rPr>
      </w:pPr>
    </w:p>
    <w:p>
      <w:pPr>
        <w:pStyle w:val="9"/>
        <w:rPr>
          <w:rFonts w:ascii="宋体" w:hAnsi="宋体"/>
          <w:sz w:val="24"/>
        </w:rPr>
      </w:pPr>
    </w:p>
    <w:p>
      <w:pPr>
        <w:spacing w:line="480" w:lineRule="auto"/>
        <w:ind w:firstLine="480" w:firstLineChars="200"/>
        <w:jc w:val="left"/>
        <w:rPr>
          <w:rFonts w:ascii="宋体" w:hAnsi="宋体"/>
          <w:sz w:val="24"/>
        </w:rPr>
      </w:pPr>
    </w:p>
    <w:p>
      <w:pPr>
        <w:spacing w:line="480" w:lineRule="auto"/>
        <w:ind w:firstLine="480" w:firstLineChars="200"/>
        <w:jc w:val="left"/>
        <w:rPr>
          <w:rFonts w:ascii="宋体" w:hAnsi="宋体"/>
          <w:sz w:val="24"/>
        </w:rPr>
      </w:pPr>
    </w:p>
    <w:p>
      <w:pPr>
        <w:pStyle w:val="2"/>
        <w:rPr>
          <w:rFonts w:ascii="宋体" w:hAnsi="宋体"/>
        </w:rPr>
      </w:pPr>
    </w:p>
    <w:p>
      <w:pPr>
        <w:spacing w:line="480" w:lineRule="auto"/>
        <w:ind w:firstLine="480" w:firstLineChars="200"/>
        <w:jc w:val="left"/>
        <w:rPr>
          <w:rFonts w:ascii="宋体" w:hAnsi="宋体"/>
          <w:sz w:val="24"/>
        </w:rPr>
      </w:pPr>
    </w:p>
    <w:p>
      <w:pPr>
        <w:pStyle w:val="5"/>
        <w:rPr>
          <w:rFonts w:hAnsi="宋体"/>
          <w:sz w:val="28"/>
          <w:szCs w:val="28"/>
        </w:rPr>
      </w:pPr>
      <w:r>
        <w:rPr>
          <w:rFonts w:hint="eastAsia" w:hAnsi="宋体"/>
          <w:sz w:val="28"/>
          <w:szCs w:val="28"/>
        </w:rPr>
        <w:t>七、投标保证金提交相关证明材料</w:t>
      </w:r>
    </w:p>
    <w:p>
      <w:pPr>
        <w:pStyle w:val="95"/>
        <w:spacing w:line="324" w:lineRule="auto"/>
        <w:jc w:val="center"/>
        <w:rPr>
          <w:rFonts w:ascii="宋体" w:hAnsi="宋体"/>
        </w:rPr>
      </w:pPr>
    </w:p>
    <w:p>
      <w:pPr>
        <w:spacing w:line="360" w:lineRule="auto"/>
        <w:ind w:firstLine="480" w:firstLineChars="200"/>
        <w:rPr>
          <w:rFonts w:ascii="宋体" w:hAnsi="宋体"/>
          <w:sz w:val="24"/>
          <w:szCs w:val="28"/>
        </w:rPr>
      </w:pPr>
      <w:r>
        <w:rPr>
          <w:rFonts w:hint="eastAsia" w:ascii="宋体" w:hAnsi="宋体"/>
          <w:sz w:val="24"/>
          <w:szCs w:val="28"/>
        </w:rPr>
        <w:t>1、以支票、汇票、本票（从企业基本账户转入指定账户）缴纳需提供缴纳凭证及开户银行许可证；</w:t>
      </w:r>
    </w:p>
    <w:p>
      <w:pPr>
        <w:spacing w:line="360" w:lineRule="auto"/>
        <w:ind w:firstLine="480" w:firstLineChars="200"/>
        <w:rPr>
          <w:rFonts w:ascii="宋体" w:hAnsi="宋体"/>
          <w:sz w:val="24"/>
          <w:szCs w:val="28"/>
        </w:rPr>
      </w:pPr>
      <w:r>
        <w:rPr>
          <w:rFonts w:hint="eastAsia" w:ascii="宋体" w:hAnsi="宋体"/>
          <w:sz w:val="24"/>
          <w:szCs w:val="28"/>
        </w:rPr>
        <w:t>2、以</w:t>
      </w:r>
      <w:r>
        <w:rPr>
          <w:rFonts w:ascii="宋体" w:hAnsi="宋体"/>
          <w:sz w:val="24"/>
          <w:szCs w:val="28"/>
        </w:rPr>
        <w:t>保函等非现金形式提交</w:t>
      </w:r>
      <w:r>
        <w:rPr>
          <w:rFonts w:hint="eastAsia" w:ascii="宋体" w:hAnsi="宋体"/>
          <w:sz w:val="24"/>
          <w:szCs w:val="28"/>
        </w:rPr>
        <w:t>需提供由基本账户银行或政府采购信用担保机构出具的担保函。</w:t>
      </w: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pStyle w:val="95"/>
        <w:spacing w:line="324" w:lineRule="auto"/>
        <w:ind w:firstLine="643"/>
        <w:jc w:val="center"/>
        <w:rPr>
          <w:rFonts w:ascii="宋体" w:hAnsi="宋体"/>
          <w:b/>
          <w:sz w:val="32"/>
          <w:szCs w:val="32"/>
        </w:rPr>
      </w:pPr>
    </w:p>
    <w:p>
      <w:pPr>
        <w:spacing w:line="360" w:lineRule="atLeast"/>
        <w:jc w:val="center"/>
        <w:rPr>
          <w:rFonts w:ascii="宋体" w:hAnsi="宋体"/>
          <w:b/>
          <w:sz w:val="32"/>
          <w:szCs w:val="32"/>
        </w:rPr>
      </w:pPr>
    </w:p>
    <w:p>
      <w:pPr>
        <w:pStyle w:val="5"/>
        <w:rPr>
          <w:rFonts w:hAnsi="宋体"/>
          <w:sz w:val="28"/>
          <w:szCs w:val="28"/>
        </w:rPr>
      </w:pPr>
      <w:bookmarkStart w:id="339" w:name="_Toc24905"/>
      <w:bookmarkStart w:id="340" w:name="_Toc8011"/>
      <w:bookmarkStart w:id="341" w:name="_Toc28910"/>
      <w:bookmarkStart w:id="342" w:name="_Toc9383"/>
      <w:r>
        <w:rPr>
          <w:rFonts w:hint="eastAsia" w:hAnsi="宋体"/>
          <w:sz w:val="28"/>
          <w:szCs w:val="28"/>
        </w:rPr>
        <w:t>八</w:t>
      </w:r>
      <w:bookmarkEnd w:id="310"/>
      <w:bookmarkEnd w:id="311"/>
      <w:bookmarkEnd w:id="312"/>
      <w:bookmarkEnd w:id="313"/>
      <w:bookmarkEnd w:id="314"/>
      <w:r>
        <w:rPr>
          <w:rFonts w:hint="eastAsia" w:hAnsi="宋体"/>
          <w:sz w:val="28"/>
          <w:szCs w:val="28"/>
        </w:rPr>
        <w:t>、承诺书</w:t>
      </w:r>
      <w:bookmarkEnd w:id="339"/>
      <w:bookmarkEnd w:id="340"/>
      <w:bookmarkEnd w:id="341"/>
      <w:bookmarkEnd w:id="342"/>
    </w:p>
    <w:p>
      <w:pPr>
        <w:jc w:val="center"/>
        <w:rPr>
          <w:b/>
          <w:sz w:val="28"/>
          <w:szCs w:val="28"/>
        </w:rPr>
      </w:pPr>
    </w:p>
    <w:p>
      <w:pPr>
        <w:jc w:val="center"/>
        <w:outlineLvl w:val="2"/>
        <w:rPr>
          <w:b/>
          <w:sz w:val="28"/>
          <w:szCs w:val="28"/>
        </w:rPr>
      </w:pPr>
      <w:r>
        <w:rPr>
          <w:rFonts w:hint="eastAsia"/>
          <w:b/>
          <w:sz w:val="28"/>
          <w:szCs w:val="28"/>
        </w:rPr>
        <w:t>陕西省政府采购投标人拒绝政府采购领域商业贿赂承诺书</w:t>
      </w:r>
    </w:p>
    <w:p>
      <w:pPr>
        <w:rPr>
          <w:rFonts w:ascii="宋体" w:hAnsi="宋体"/>
        </w:rPr>
      </w:pPr>
    </w:p>
    <w:p>
      <w:pPr>
        <w:spacing w:line="360" w:lineRule="auto"/>
        <w:ind w:firstLine="360" w:firstLineChars="150"/>
        <w:rPr>
          <w:rFonts w:ascii="宋体" w:hAnsi="宋体"/>
          <w:sz w:val="24"/>
          <w:szCs w:val="28"/>
        </w:rPr>
      </w:pPr>
      <w:r>
        <w:rPr>
          <w:rFonts w:hint="eastAsia" w:ascii="宋体" w:hAnsi="宋体"/>
          <w:sz w:val="24"/>
          <w:szCs w:val="28"/>
        </w:rPr>
        <w:t xml:space="preserve"> 为响应党中央、国务院关于治理政府采购领域商业贿赂行为的号召，我公司在此庄严承诺：</w:t>
      </w:r>
    </w:p>
    <w:p>
      <w:pPr>
        <w:spacing w:line="360" w:lineRule="auto"/>
        <w:ind w:firstLine="480" w:firstLineChars="200"/>
        <w:outlineLvl w:val="2"/>
        <w:rPr>
          <w:rFonts w:ascii="宋体" w:hAnsi="宋体"/>
          <w:sz w:val="24"/>
          <w:szCs w:val="28"/>
        </w:rPr>
      </w:pPr>
      <w:r>
        <w:rPr>
          <w:rFonts w:hint="eastAsia" w:ascii="宋体" w:hAnsi="宋体"/>
          <w:sz w:val="24"/>
          <w:szCs w:val="28"/>
        </w:rPr>
        <w:t>1、在参与政府采购活动中遵纪守法、诚信经营、公平竞标。</w:t>
      </w:r>
    </w:p>
    <w:p>
      <w:pPr>
        <w:spacing w:line="360" w:lineRule="auto"/>
        <w:ind w:firstLine="480" w:firstLineChars="200"/>
        <w:rPr>
          <w:rFonts w:ascii="宋体" w:hAnsi="宋体"/>
          <w:sz w:val="24"/>
          <w:szCs w:val="28"/>
        </w:rPr>
      </w:pPr>
      <w:r>
        <w:rPr>
          <w:rFonts w:hint="eastAsia" w:ascii="宋体" w:hAnsi="宋体"/>
          <w:sz w:val="24"/>
          <w:szCs w:val="28"/>
        </w:rPr>
        <w:t>2、不向政府采购人、采购代理机构和政府采购评审专家进行任何形式的商业贿赂以谋取交易机会。</w:t>
      </w:r>
    </w:p>
    <w:p>
      <w:pPr>
        <w:spacing w:line="360" w:lineRule="auto"/>
        <w:ind w:firstLine="480" w:firstLineChars="200"/>
        <w:rPr>
          <w:rFonts w:ascii="宋体" w:hAnsi="宋体"/>
          <w:sz w:val="24"/>
          <w:szCs w:val="28"/>
        </w:rPr>
      </w:pPr>
      <w:r>
        <w:rPr>
          <w:rFonts w:hint="eastAsia" w:ascii="宋体" w:hAnsi="宋体"/>
          <w:sz w:val="24"/>
          <w:szCs w:val="28"/>
        </w:rPr>
        <w:t>3、不向政府采购代理机构和采购人提供虚假资质文件或采用虚假应标方式参与政府采购市场竞争并谋取中标。</w:t>
      </w:r>
    </w:p>
    <w:p>
      <w:pPr>
        <w:spacing w:line="360" w:lineRule="auto"/>
        <w:ind w:firstLine="480" w:firstLineChars="200"/>
        <w:rPr>
          <w:rFonts w:ascii="宋体" w:hAnsi="宋体"/>
          <w:sz w:val="24"/>
          <w:szCs w:val="28"/>
        </w:rPr>
      </w:pPr>
      <w:r>
        <w:rPr>
          <w:rFonts w:hint="eastAsia" w:ascii="宋体" w:hAnsi="宋体"/>
          <w:sz w:val="24"/>
          <w:szCs w:val="28"/>
        </w:rPr>
        <w:t>4、不采取“围标、陪标”等商业欺诈手段获得政府采购订单。</w:t>
      </w:r>
    </w:p>
    <w:p>
      <w:pPr>
        <w:spacing w:line="360" w:lineRule="auto"/>
        <w:ind w:firstLine="480" w:firstLineChars="200"/>
        <w:rPr>
          <w:rFonts w:ascii="宋体" w:hAnsi="宋体"/>
          <w:sz w:val="24"/>
          <w:szCs w:val="28"/>
        </w:rPr>
      </w:pPr>
      <w:r>
        <w:rPr>
          <w:rFonts w:hint="eastAsia" w:ascii="宋体" w:hAnsi="宋体"/>
          <w:sz w:val="24"/>
          <w:szCs w:val="28"/>
        </w:rPr>
        <w:t>5、不采取不正当手段诋毁、排挤其他投标人。</w:t>
      </w:r>
    </w:p>
    <w:p>
      <w:pPr>
        <w:spacing w:line="360" w:lineRule="auto"/>
        <w:ind w:firstLine="480" w:firstLineChars="200"/>
        <w:rPr>
          <w:rFonts w:ascii="宋体" w:hAnsi="宋体"/>
          <w:sz w:val="24"/>
          <w:szCs w:val="28"/>
        </w:rPr>
      </w:pPr>
      <w:r>
        <w:rPr>
          <w:rFonts w:hint="eastAsia" w:ascii="宋体" w:hAnsi="宋体"/>
          <w:sz w:val="24"/>
          <w:szCs w:val="28"/>
        </w:rPr>
        <w:t>6、不在提供商品和服务时“偷梁换柱、以次充好”损害采购人的合法权益。</w:t>
      </w:r>
    </w:p>
    <w:p>
      <w:pPr>
        <w:spacing w:line="360" w:lineRule="auto"/>
        <w:ind w:firstLine="480" w:firstLineChars="200"/>
        <w:rPr>
          <w:rFonts w:ascii="宋体" w:hAnsi="宋体"/>
          <w:sz w:val="24"/>
          <w:szCs w:val="28"/>
        </w:rPr>
      </w:pPr>
      <w:r>
        <w:rPr>
          <w:rFonts w:hint="eastAsia" w:ascii="宋体" w:hAnsi="宋体"/>
          <w:sz w:val="24"/>
          <w:szCs w:val="28"/>
        </w:rPr>
        <w:t>7、不与采购人、采购代理机构政府采购评审专家或其它投标人恶意串通，进行质疑和投诉，维护政府采购市场秩序。</w:t>
      </w:r>
    </w:p>
    <w:p>
      <w:pPr>
        <w:spacing w:line="360" w:lineRule="auto"/>
        <w:ind w:firstLine="480" w:firstLineChars="200"/>
        <w:rPr>
          <w:rFonts w:ascii="宋体" w:hAnsi="宋体"/>
          <w:sz w:val="24"/>
          <w:szCs w:val="28"/>
        </w:rPr>
      </w:pPr>
      <w:r>
        <w:rPr>
          <w:rFonts w:hint="eastAsia" w:ascii="宋体" w:hAnsi="宋体"/>
          <w:sz w:val="24"/>
          <w:szCs w:val="28"/>
        </w:rPr>
        <w:t>8、尊重和接受政府采购监督管理部门的监督和政府采购代理机构招标采购要求，承担因违约行为给采购人造成的损失。</w:t>
      </w:r>
    </w:p>
    <w:p>
      <w:pPr>
        <w:spacing w:line="360" w:lineRule="auto"/>
        <w:ind w:firstLine="480" w:firstLineChars="200"/>
        <w:rPr>
          <w:rFonts w:ascii="宋体" w:hAnsi="宋体"/>
          <w:sz w:val="24"/>
          <w:szCs w:val="28"/>
        </w:rPr>
      </w:pPr>
      <w:r>
        <w:rPr>
          <w:rFonts w:hint="eastAsia" w:ascii="宋体" w:hAnsi="宋体"/>
          <w:sz w:val="24"/>
          <w:szCs w:val="28"/>
        </w:rPr>
        <w:t>9、不发生其他有悖于政府采购公开、公平、公正和诚信原则的行为。</w:t>
      </w:r>
    </w:p>
    <w:p>
      <w:pPr>
        <w:spacing w:line="360" w:lineRule="auto"/>
        <w:ind w:left="3360" w:leftChars="1600" w:firstLine="480" w:firstLineChars="200"/>
        <w:rPr>
          <w:rFonts w:ascii="宋体" w:hAnsi="宋体"/>
          <w:sz w:val="24"/>
          <w:szCs w:val="28"/>
        </w:rPr>
      </w:pPr>
    </w:p>
    <w:p>
      <w:pPr>
        <w:spacing w:line="360" w:lineRule="auto"/>
        <w:ind w:left="3360" w:leftChars="1600" w:firstLine="480" w:firstLineChars="200"/>
        <w:rPr>
          <w:rFonts w:ascii="宋体" w:hAnsi="宋体"/>
          <w:sz w:val="24"/>
          <w:szCs w:val="28"/>
        </w:rPr>
      </w:pPr>
    </w:p>
    <w:p>
      <w:pPr>
        <w:spacing w:line="360" w:lineRule="auto"/>
        <w:ind w:left="3360" w:leftChars="1600" w:firstLine="480" w:firstLineChars="200"/>
        <w:rPr>
          <w:rFonts w:ascii="宋体" w:hAnsi="宋体"/>
          <w:sz w:val="24"/>
          <w:szCs w:val="28"/>
        </w:rPr>
      </w:pPr>
      <w:r>
        <w:rPr>
          <w:rFonts w:hint="eastAsia" w:ascii="宋体" w:hAnsi="宋体"/>
          <w:sz w:val="24"/>
          <w:szCs w:val="28"/>
        </w:rPr>
        <w:t>承诺单位：（盖章）</w:t>
      </w:r>
    </w:p>
    <w:p>
      <w:pPr>
        <w:spacing w:line="360" w:lineRule="auto"/>
        <w:ind w:left="3360" w:leftChars="1600" w:firstLine="480" w:firstLineChars="200"/>
        <w:rPr>
          <w:rFonts w:ascii="宋体" w:hAnsi="宋体"/>
          <w:sz w:val="24"/>
          <w:szCs w:val="28"/>
        </w:rPr>
      </w:pPr>
      <w:r>
        <w:rPr>
          <w:rFonts w:hint="eastAsia" w:ascii="宋体" w:hAnsi="宋体"/>
          <w:sz w:val="24"/>
          <w:szCs w:val="28"/>
        </w:rPr>
        <w:t>全权代表：（签字）</w:t>
      </w:r>
    </w:p>
    <w:p>
      <w:pPr>
        <w:ind w:left="3421" w:leftChars="1629" w:firstLine="420"/>
        <w:rPr>
          <w:rFonts w:ascii="宋体" w:hAnsi="宋体"/>
          <w:sz w:val="24"/>
          <w:szCs w:val="28"/>
        </w:rPr>
      </w:pPr>
      <w:r>
        <w:rPr>
          <w:rFonts w:hint="eastAsia" w:ascii="宋体" w:hAnsi="宋体"/>
          <w:sz w:val="24"/>
          <w:szCs w:val="28"/>
        </w:rPr>
        <w:t>日期：    年  月  日</w:t>
      </w:r>
    </w:p>
    <w:p>
      <w:pPr>
        <w:spacing w:line="500" w:lineRule="exact"/>
        <w:jc w:val="center"/>
        <w:rPr>
          <w:rFonts w:ascii="宋体" w:hAnsi="宋体"/>
          <w:b/>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p>
    <w:p>
      <w:pPr>
        <w:pStyle w:val="5"/>
        <w:rPr>
          <w:rFonts w:hAnsi="宋体"/>
          <w:sz w:val="28"/>
          <w:szCs w:val="28"/>
        </w:rPr>
      </w:pPr>
      <w:bookmarkStart w:id="343" w:name="_Toc29627"/>
      <w:bookmarkStart w:id="344" w:name="_Toc30276"/>
      <w:bookmarkStart w:id="345" w:name="_Toc20655"/>
      <w:bookmarkStart w:id="346" w:name="_Toc3712"/>
      <w:bookmarkStart w:id="347" w:name="_Toc24073"/>
      <w:bookmarkStart w:id="348" w:name="_Toc27794"/>
      <w:bookmarkStart w:id="349" w:name="_Toc24418"/>
      <w:bookmarkStart w:id="350" w:name="_Toc17130"/>
      <w:bookmarkStart w:id="351" w:name="_Toc13201"/>
      <w:r>
        <w:rPr>
          <w:rFonts w:hint="eastAsia" w:hAnsi="宋体"/>
          <w:sz w:val="28"/>
          <w:szCs w:val="28"/>
        </w:rPr>
        <w:t>九</w:t>
      </w:r>
      <w:bookmarkEnd w:id="343"/>
      <w:bookmarkEnd w:id="344"/>
      <w:bookmarkEnd w:id="345"/>
      <w:bookmarkEnd w:id="346"/>
      <w:bookmarkEnd w:id="347"/>
      <w:r>
        <w:rPr>
          <w:rFonts w:hint="eastAsia" w:hAnsi="宋体"/>
          <w:sz w:val="28"/>
          <w:szCs w:val="28"/>
        </w:rPr>
        <w:t>、其他资料</w:t>
      </w:r>
      <w:bookmarkEnd w:id="348"/>
      <w:bookmarkEnd w:id="349"/>
      <w:bookmarkEnd w:id="350"/>
      <w:bookmarkEnd w:id="351"/>
    </w:p>
    <w:p>
      <w:pPr>
        <w:spacing w:line="500" w:lineRule="exact"/>
        <w:ind w:firstLine="562" w:firstLineChars="200"/>
        <w:jc w:val="center"/>
        <w:textAlignment w:val="baseline"/>
        <w:rPr>
          <w:rFonts w:ascii="宋体" w:hAnsi="宋体" w:cs="宋体"/>
          <w:b/>
          <w:sz w:val="28"/>
          <w:szCs w:val="40"/>
        </w:rPr>
      </w:pPr>
      <w:bookmarkStart w:id="352" w:name="_Toc22986"/>
      <w:bookmarkStart w:id="353" w:name="_Toc19126"/>
    </w:p>
    <w:p>
      <w:pPr>
        <w:spacing w:line="500" w:lineRule="exact"/>
        <w:ind w:firstLine="562" w:firstLineChars="200"/>
        <w:jc w:val="center"/>
        <w:textAlignment w:val="baseline"/>
        <w:outlineLvl w:val="2"/>
        <w:rPr>
          <w:rFonts w:ascii="宋体" w:hAnsi="宋体" w:cs="宋体"/>
          <w:b/>
          <w:sz w:val="28"/>
          <w:szCs w:val="40"/>
        </w:rPr>
      </w:pPr>
      <w:r>
        <w:rPr>
          <w:rFonts w:hint="eastAsia" w:ascii="宋体" w:hAnsi="宋体" w:cs="宋体"/>
          <w:b/>
          <w:sz w:val="28"/>
          <w:szCs w:val="40"/>
        </w:rPr>
        <w:t>提供可享受政府采购优惠政策的证明材料</w:t>
      </w:r>
      <w:bookmarkEnd w:id="352"/>
      <w:bookmarkEnd w:id="353"/>
    </w:p>
    <w:p>
      <w:pPr>
        <w:snapToGrid w:val="0"/>
        <w:spacing w:line="360" w:lineRule="auto"/>
        <w:ind w:firstLine="420" w:firstLineChars="175"/>
        <w:textAlignment w:val="baseline"/>
        <w:rPr>
          <w:rFonts w:ascii="宋体" w:hAnsi="宋体" w:cs="宋体"/>
          <w:kern w:val="0"/>
          <w:sz w:val="24"/>
        </w:rPr>
      </w:pPr>
    </w:p>
    <w:p>
      <w:pPr>
        <w:snapToGrid w:val="0"/>
        <w:spacing w:line="360" w:lineRule="auto"/>
        <w:ind w:firstLine="420" w:firstLineChars="175"/>
        <w:textAlignment w:val="baseline"/>
        <w:rPr>
          <w:rFonts w:ascii="宋体" w:hAnsi="宋体" w:cs="宋体"/>
          <w:kern w:val="0"/>
          <w:sz w:val="24"/>
          <w:szCs w:val="24"/>
        </w:rPr>
      </w:pPr>
      <w:r>
        <w:rPr>
          <w:rFonts w:hint="eastAsia" w:ascii="宋体" w:hAnsi="宋体" w:cs="宋体"/>
          <w:kern w:val="0"/>
          <w:sz w:val="24"/>
          <w:szCs w:val="24"/>
        </w:rPr>
        <w:t xml:space="preserve">本项目依据《中华人民共和国政府采购法》和《中华人民共和国政府采购实施条例》的有关规定，落实政府采购政策。 </w:t>
      </w:r>
    </w:p>
    <w:p>
      <w:pPr>
        <w:pStyle w:val="100"/>
        <w:spacing w:after="0" w:line="360" w:lineRule="auto"/>
        <w:ind w:firstLine="480" w:firstLineChars="200"/>
        <w:jc w:val="both"/>
        <w:textAlignment w:val="baseline"/>
        <w:rPr>
          <w:rFonts w:ascii="宋体" w:hAnsi="宋体" w:cs="宋体"/>
          <w:kern w:val="0"/>
          <w:lang w:eastAsia="zh-CN"/>
        </w:rPr>
      </w:pPr>
      <w:r>
        <w:rPr>
          <w:rFonts w:hint="eastAsia" w:ascii="宋体" w:hAnsi="宋体" w:cs="宋体"/>
          <w:kern w:val="0"/>
          <w:lang w:eastAsia="zh-CN"/>
        </w:rPr>
        <w:t xml:space="preserve">1、《政府采购促进中小企业发展管理办法》--财库[2020]46号 </w:t>
      </w:r>
    </w:p>
    <w:p>
      <w:pPr>
        <w:pStyle w:val="100"/>
        <w:spacing w:after="0" w:line="360" w:lineRule="auto"/>
        <w:ind w:firstLine="480" w:firstLineChars="200"/>
        <w:jc w:val="both"/>
        <w:textAlignment w:val="baseline"/>
        <w:rPr>
          <w:rFonts w:ascii="宋体" w:hAnsi="宋体" w:cs="宋体"/>
          <w:kern w:val="0"/>
          <w:lang w:eastAsia="zh-CN"/>
        </w:rPr>
      </w:pPr>
      <w:r>
        <w:rPr>
          <w:rFonts w:hint="eastAsia" w:ascii="宋体" w:hAnsi="宋体" w:cs="宋体"/>
          <w:kern w:val="0"/>
          <w:lang w:eastAsia="zh-CN"/>
        </w:rPr>
        <w:t xml:space="preserve">2、财政部司法部关于政府采购支持监狱企业发展有关问题的通知--财库〔2014〕68号 </w:t>
      </w:r>
    </w:p>
    <w:p>
      <w:pPr>
        <w:pStyle w:val="100"/>
        <w:spacing w:after="0" w:line="360" w:lineRule="auto"/>
        <w:ind w:firstLine="480" w:firstLineChars="200"/>
        <w:jc w:val="both"/>
        <w:textAlignment w:val="baseline"/>
        <w:rPr>
          <w:rFonts w:ascii="宋体" w:hAnsi="宋体" w:cs="宋体"/>
          <w:kern w:val="0"/>
          <w:lang w:eastAsia="zh-CN"/>
        </w:rPr>
      </w:pPr>
      <w:r>
        <w:rPr>
          <w:rFonts w:hint="eastAsia" w:ascii="宋体" w:hAnsi="宋体" w:cs="宋体"/>
          <w:kern w:val="0"/>
          <w:lang w:eastAsia="zh-CN"/>
        </w:rPr>
        <w:t xml:space="preserve">3、《国务院办公厅关于建立政府强制采购节能产品制度的通知》--国办发〔２００７〕５１号 </w:t>
      </w:r>
    </w:p>
    <w:p>
      <w:pPr>
        <w:pStyle w:val="100"/>
        <w:spacing w:after="0" w:line="360" w:lineRule="auto"/>
        <w:ind w:firstLine="480" w:firstLineChars="200"/>
        <w:jc w:val="both"/>
        <w:textAlignment w:val="baseline"/>
        <w:rPr>
          <w:rFonts w:ascii="宋体" w:hAnsi="宋体" w:cs="宋体"/>
          <w:kern w:val="0"/>
          <w:lang w:eastAsia="zh-CN"/>
        </w:rPr>
      </w:pPr>
      <w:r>
        <w:rPr>
          <w:rFonts w:hint="eastAsia" w:ascii="宋体" w:hAnsi="宋体" w:cs="宋体"/>
          <w:kern w:val="0"/>
          <w:lang w:eastAsia="zh-CN"/>
        </w:rPr>
        <w:t xml:space="preserve">4、《节能产品政府采购实施意见》--（财库[2004]185号） </w:t>
      </w:r>
    </w:p>
    <w:p>
      <w:pPr>
        <w:pStyle w:val="100"/>
        <w:spacing w:after="0" w:line="360" w:lineRule="auto"/>
        <w:ind w:firstLine="480" w:firstLineChars="200"/>
        <w:jc w:val="both"/>
        <w:textAlignment w:val="baseline"/>
        <w:rPr>
          <w:rFonts w:ascii="宋体" w:hAnsi="宋体" w:cs="宋体"/>
          <w:kern w:val="0"/>
          <w:lang w:eastAsia="zh-CN"/>
        </w:rPr>
      </w:pPr>
      <w:r>
        <w:rPr>
          <w:rFonts w:hint="eastAsia" w:ascii="宋体" w:hAnsi="宋体" w:cs="宋体"/>
          <w:kern w:val="0"/>
          <w:lang w:eastAsia="zh-CN"/>
        </w:rPr>
        <w:t xml:space="preserve">5、《环境标志产品政府采购实施的意见》--财库[2006]90号 </w:t>
      </w:r>
    </w:p>
    <w:p>
      <w:pPr>
        <w:pStyle w:val="100"/>
        <w:spacing w:after="0" w:line="360" w:lineRule="auto"/>
        <w:ind w:firstLine="480" w:firstLineChars="200"/>
        <w:jc w:val="both"/>
        <w:textAlignment w:val="baseline"/>
        <w:rPr>
          <w:rFonts w:ascii="宋体" w:hAnsi="宋体" w:cs="宋体"/>
          <w:kern w:val="0"/>
          <w:lang w:eastAsia="zh-CN"/>
        </w:rPr>
      </w:pPr>
      <w:r>
        <w:rPr>
          <w:rFonts w:hint="eastAsia" w:ascii="宋体" w:hAnsi="宋体" w:cs="宋体"/>
          <w:kern w:val="0"/>
          <w:lang w:eastAsia="zh-CN"/>
        </w:rPr>
        <w:t>6、《财政部民政部中国残疾人联合会关于促进残疾人就业政府采购政策的通知》--（财库〔2017〕141号）</w:t>
      </w:r>
    </w:p>
    <w:p>
      <w:pPr>
        <w:pStyle w:val="100"/>
        <w:spacing w:after="0" w:line="360" w:lineRule="auto"/>
        <w:ind w:firstLine="480" w:firstLineChars="200"/>
        <w:jc w:val="both"/>
        <w:textAlignment w:val="baseline"/>
        <w:rPr>
          <w:rFonts w:ascii="宋体" w:hAnsi="宋体" w:cs="宋体"/>
          <w:kern w:val="0"/>
          <w:lang w:eastAsia="zh-CN"/>
        </w:rPr>
      </w:pPr>
      <w:r>
        <w:rPr>
          <w:rFonts w:hint="eastAsia" w:ascii="宋体" w:hAnsi="宋体" w:cs="宋体"/>
          <w:kern w:val="0"/>
          <w:lang w:eastAsia="zh-CN"/>
        </w:rPr>
        <w:t>7、《关于运用政府采购政策支持乡村产业振兴的通知》财库〔2021〕19号；</w:t>
      </w:r>
    </w:p>
    <w:p>
      <w:pPr>
        <w:pStyle w:val="100"/>
        <w:spacing w:after="0" w:line="360" w:lineRule="auto"/>
        <w:ind w:firstLine="480" w:firstLineChars="200"/>
        <w:jc w:val="both"/>
        <w:textAlignment w:val="baseline"/>
        <w:rPr>
          <w:rFonts w:ascii="宋体" w:hAnsi="宋体" w:cs="宋体"/>
          <w:kern w:val="0"/>
          <w:lang w:eastAsia="zh-CN"/>
        </w:rPr>
      </w:pPr>
      <w:r>
        <w:rPr>
          <w:rFonts w:hint="eastAsia" w:ascii="宋体" w:hAnsi="宋体" w:cs="宋体"/>
          <w:kern w:val="0"/>
          <w:lang w:eastAsia="zh-CN"/>
        </w:rPr>
        <w:t>8、《关于进一步加大政府采购支持中小企业力度的通知》（财库〔2022〕19号）；</w:t>
      </w:r>
    </w:p>
    <w:p>
      <w:pPr>
        <w:pStyle w:val="100"/>
        <w:spacing w:after="0" w:line="360" w:lineRule="auto"/>
        <w:ind w:firstLine="480" w:firstLineChars="200"/>
        <w:jc w:val="both"/>
        <w:textAlignment w:val="baseline"/>
        <w:rPr>
          <w:rFonts w:ascii="宋体" w:hAnsi="宋体" w:cs="宋体"/>
          <w:kern w:val="0"/>
          <w:lang w:eastAsia="zh-CN"/>
        </w:rPr>
      </w:pPr>
      <w:r>
        <w:rPr>
          <w:rFonts w:hint="eastAsia" w:ascii="宋体" w:hAnsi="宋体" w:cs="宋体"/>
          <w:kern w:val="0"/>
          <w:lang w:eastAsia="zh-CN"/>
        </w:rPr>
        <w:t xml:space="preserve">9、《陕西省财政厅关于落实政府采购支持中小企业政策有关事项的通知》（陕财办采函〔2022〕10号）； </w:t>
      </w:r>
    </w:p>
    <w:p>
      <w:pPr>
        <w:pStyle w:val="100"/>
        <w:spacing w:after="0" w:line="360" w:lineRule="auto"/>
        <w:ind w:firstLine="480" w:firstLineChars="200"/>
        <w:jc w:val="both"/>
        <w:textAlignment w:val="baseline"/>
        <w:rPr>
          <w:rFonts w:ascii="宋体" w:hAnsi="宋体" w:cs="宋体"/>
          <w:kern w:val="0"/>
          <w:lang w:eastAsia="zh-CN"/>
        </w:rPr>
      </w:pPr>
    </w:p>
    <w:p>
      <w:pPr>
        <w:snapToGrid w:val="0"/>
        <w:spacing w:line="360" w:lineRule="auto"/>
        <w:ind w:firstLine="420" w:firstLineChars="175"/>
        <w:textAlignment w:val="baseline"/>
        <w:rPr>
          <w:rFonts w:ascii="宋体" w:hAnsi="宋体" w:cs="宋体"/>
          <w:kern w:val="0"/>
          <w:sz w:val="24"/>
          <w:szCs w:val="24"/>
        </w:rPr>
      </w:pPr>
      <w:r>
        <w:rPr>
          <w:rFonts w:hint="eastAsia" w:ascii="宋体" w:hAnsi="宋体" w:cs="宋体"/>
          <w:kern w:val="0"/>
          <w:sz w:val="24"/>
          <w:szCs w:val="24"/>
        </w:rPr>
        <w:t>注：请投标人按相应政策要求提供相关的证明材料，</w:t>
      </w:r>
      <w:r>
        <w:rPr>
          <w:rFonts w:hint="eastAsia" w:ascii="宋体" w:hAnsi="宋体" w:cs="宋体"/>
          <w:sz w:val="24"/>
          <w:szCs w:val="24"/>
        </w:rPr>
        <w:t>未提供证明材料或提供的证明材料有瑕疵的，在评审时不享受政府采购优惠政策。监狱企业参加政府采购活动时,提供由省级以上监狱管理局,戒毒管理局(含新疆生产建设兵团)出具的属于监狱企业的证明文件。</w:t>
      </w:r>
    </w:p>
    <w:p>
      <w:pPr>
        <w:spacing w:line="500" w:lineRule="exact"/>
        <w:ind w:firstLine="562" w:firstLineChars="200"/>
        <w:jc w:val="left"/>
        <w:textAlignment w:val="baseline"/>
        <w:rPr>
          <w:rFonts w:ascii="宋体" w:hAnsi="宋体" w:cs="宋体"/>
          <w:b/>
          <w:sz w:val="28"/>
          <w:szCs w:val="28"/>
        </w:rPr>
      </w:pPr>
    </w:p>
    <w:p>
      <w:pPr>
        <w:spacing w:line="500" w:lineRule="exact"/>
        <w:ind w:firstLine="562" w:firstLineChars="200"/>
        <w:jc w:val="left"/>
        <w:textAlignment w:val="baseline"/>
        <w:rPr>
          <w:rFonts w:ascii="宋体" w:hAnsi="宋体" w:cs="宋体"/>
          <w:b/>
          <w:sz w:val="28"/>
          <w:szCs w:val="28"/>
        </w:rPr>
      </w:pPr>
    </w:p>
    <w:p>
      <w:pPr>
        <w:spacing w:line="500" w:lineRule="exact"/>
        <w:ind w:firstLine="562" w:firstLineChars="200"/>
        <w:textAlignment w:val="baseline"/>
        <w:outlineLvl w:val="1"/>
        <w:rPr>
          <w:rFonts w:ascii="宋体" w:hAnsi="宋体" w:cs="宋体"/>
          <w:b/>
          <w:bCs/>
          <w:sz w:val="32"/>
        </w:rPr>
      </w:pPr>
      <w:r>
        <w:rPr>
          <w:rFonts w:hint="eastAsia" w:ascii="宋体" w:hAnsi="宋体" w:cs="宋体"/>
          <w:b/>
          <w:sz w:val="28"/>
          <w:szCs w:val="28"/>
        </w:rPr>
        <w:br w:type="page"/>
      </w:r>
      <w:bookmarkStart w:id="354" w:name="_Toc10828"/>
      <w:bookmarkStart w:id="355" w:name="_Toc27686"/>
      <w:r>
        <w:rPr>
          <w:rFonts w:hint="eastAsia" w:ascii="宋体" w:hAnsi="宋体" w:cs="宋体"/>
          <w:b/>
          <w:sz w:val="28"/>
          <w:szCs w:val="28"/>
        </w:rPr>
        <w:t>附件1</w:t>
      </w:r>
      <w:bookmarkEnd w:id="354"/>
      <w:bookmarkEnd w:id="355"/>
    </w:p>
    <w:p>
      <w:pPr>
        <w:ind w:firstLine="643"/>
        <w:jc w:val="center"/>
        <w:textAlignment w:val="baseline"/>
        <w:rPr>
          <w:rFonts w:ascii="宋体" w:hAnsi="宋体" w:cs="宋体"/>
          <w:b/>
          <w:sz w:val="28"/>
          <w:szCs w:val="40"/>
        </w:rPr>
      </w:pPr>
      <w:bookmarkStart w:id="356" w:name="OLE_LINK14"/>
      <w:r>
        <w:rPr>
          <w:rFonts w:hint="eastAsia" w:ascii="宋体" w:hAnsi="宋体" w:cs="宋体"/>
          <w:b/>
          <w:sz w:val="28"/>
          <w:szCs w:val="40"/>
        </w:rPr>
        <w:t>中小企业声明函（货物）</w:t>
      </w:r>
    </w:p>
    <w:p>
      <w:pPr>
        <w:pStyle w:val="9"/>
      </w:pPr>
    </w:p>
    <w:p>
      <w:pPr>
        <w:pStyle w:val="2"/>
        <w:autoSpaceDE w:val="0"/>
        <w:autoSpaceDN w:val="0"/>
        <w:spacing w:line="56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i/>
          <w:sz w:val="24"/>
          <w:szCs w:val="24"/>
          <w:u w:val="single"/>
        </w:rPr>
        <w:t>（单位名称）</w:t>
      </w:r>
      <w:r>
        <w:rPr>
          <w:rFonts w:hint="eastAsia" w:ascii="宋体" w:hAnsi="宋体" w:cs="宋体"/>
          <w:sz w:val="24"/>
          <w:szCs w:val="24"/>
        </w:rPr>
        <w:t>的</w:t>
      </w:r>
      <w:r>
        <w:rPr>
          <w:rFonts w:hint="eastAsia" w:ascii="宋体" w:hAnsi="宋体" w:cs="宋体"/>
          <w:i/>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pStyle w:val="95"/>
        <w:numPr>
          <w:ilvl w:val="0"/>
          <w:numId w:val="8"/>
        </w:numPr>
        <w:tabs>
          <w:tab w:val="left" w:pos="1183"/>
          <w:tab w:val="left" w:pos="1484"/>
          <w:tab w:val="left" w:pos="4662"/>
          <w:tab w:val="left" w:pos="6903"/>
        </w:tabs>
        <w:autoSpaceDE w:val="0"/>
        <w:autoSpaceDN w:val="0"/>
        <w:spacing w:line="560" w:lineRule="exact"/>
        <w:ind w:left="0" w:firstLine="480"/>
        <w:jc w:val="left"/>
        <w:rPr>
          <w:rFonts w:ascii="宋体" w:hAnsi="宋体" w:cs="宋体"/>
          <w:iCs/>
          <w:sz w:val="24"/>
          <w:szCs w:val="24"/>
        </w:rPr>
      </w:pPr>
      <w:r>
        <w:rPr>
          <w:rFonts w:hint="eastAsia" w:ascii="宋体" w:hAnsi="宋体" w:cs="宋体"/>
          <w:iCs/>
          <w:sz w:val="24"/>
          <w:szCs w:val="24"/>
          <w:u w:val="single"/>
        </w:rPr>
        <w:t xml:space="preserve"> （ 标 的 名 称 ）</w:t>
      </w:r>
      <w:r>
        <w:rPr>
          <w:rFonts w:hint="eastAsia" w:ascii="宋体" w:hAnsi="宋体" w:cs="宋体"/>
          <w:iCs/>
          <w:sz w:val="24"/>
          <w:szCs w:val="24"/>
        </w:rPr>
        <w:t xml:space="preserve"> ， 属 于 （ </w:t>
      </w:r>
      <w:r>
        <w:rPr>
          <w:rFonts w:hint="eastAsia" w:ascii="宋体" w:hAnsi="宋体" w:cs="宋体"/>
          <w:iCs/>
          <w:sz w:val="24"/>
          <w:szCs w:val="24"/>
          <w:u w:val="single"/>
        </w:rPr>
        <w:t>采 购 文 件 中 明 确 的 所 属 行 业 ） 行业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w:t>
      </w:r>
      <w:r>
        <w:rPr>
          <w:rFonts w:hint="eastAsia" w:ascii="宋体" w:hAnsi="宋体" w:cs="宋体"/>
          <w:iCs/>
          <w:sz w:val="24"/>
          <w:szCs w:val="24"/>
          <w:u w:val="single"/>
        </w:rPr>
        <w:t xml:space="preserve"> </w:t>
      </w:r>
      <w:r>
        <w:rPr>
          <w:rFonts w:hint="eastAsia" w:ascii="宋体" w:hAnsi="宋体" w:cs="宋体"/>
          <w:iCs/>
          <w:sz w:val="24"/>
          <w:szCs w:val="24"/>
          <w:u w:val="single"/>
        </w:rPr>
        <w:tab/>
      </w:r>
      <w:r>
        <w:rPr>
          <w:rFonts w:hint="eastAsia" w:ascii="宋体" w:hAnsi="宋体" w:cs="宋体"/>
          <w:iCs/>
          <w:sz w:val="24"/>
          <w:szCs w:val="24"/>
        </w:rPr>
        <w:t>人，营业收入为</w:t>
      </w:r>
      <w:r>
        <w:rPr>
          <w:rFonts w:hint="eastAsia" w:ascii="宋体" w:hAnsi="宋体" w:cs="宋体"/>
          <w:iCs/>
          <w:sz w:val="24"/>
          <w:szCs w:val="24"/>
          <w:u w:val="single"/>
        </w:rPr>
        <w:t xml:space="preserve"> </w:t>
      </w:r>
      <w:r>
        <w:rPr>
          <w:rFonts w:hint="eastAsia" w:ascii="宋体" w:hAnsi="宋体" w:cs="宋体"/>
          <w:iCs/>
          <w:sz w:val="24"/>
          <w:szCs w:val="24"/>
          <w:u w:val="single"/>
        </w:rPr>
        <w:tab/>
      </w:r>
      <w:r>
        <w:rPr>
          <w:rFonts w:hint="eastAsia" w:ascii="宋体" w:hAnsi="宋体" w:cs="宋体"/>
          <w:iCs/>
          <w:sz w:val="24"/>
          <w:szCs w:val="24"/>
        </w:rPr>
        <w:t>万元，资产总额为</w:t>
      </w:r>
      <w:r>
        <w:rPr>
          <w:rFonts w:hint="eastAsia" w:ascii="宋体" w:hAnsi="宋体" w:cs="宋体"/>
          <w:iCs/>
          <w:sz w:val="24"/>
          <w:szCs w:val="24"/>
          <w:u w:val="single"/>
        </w:rPr>
        <w:t xml:space="preserve"> </w:t>
      </w:r>
      <w:r>
        <w:rPr>
          <w:rFonts w:hint="eastAsia" w:ascii="宋体" w:hAnsi="宋体" w:cs="宋体"/>
          <w:iCs/>
          <w:sz w:val="24"/>
          <w:szCs w:val="24"/>
          <w:u w:val="single"/>
        </w:rPr>
        <w:tab/>
      </w:r>
      <w:r>
        <w:rPr>
          <w:rFonts w:hint="eastAsia" w:ascii="宋体" w:hAnsi="宋体" w:cs="宋体"/>
          <w:iCs/>
          <w:sz w:val="24"/>
          <w:szCs w:val="24"/>
        </w:rPr>
        <w:t>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pPr>
        <w:pStyle w:val="95"/>
        <w:numPr>
          <w:ilvl w:val="0"/>
          <w:numId w:val="8"/>
        </w:numPr>
        <w:tabs>
          <w:tab w:val="left" w:pos="1165"/>
          <w:tab w:val="left" w:pos="1183"/>
          <w:tab w:val="left" w:pos="4362"/>
          <w:tab w:val="left" w:pos="6577"/>
        </w:tabs>
        <w:autoSpaceDE w:val="0"/>
        <w:autoSpaceDN w:val="0"/>
        <w:spacing w:line="560" w:lineRule="exact"/>
        <w:ind w:left="0" w:firstLine="480"/>
        <w:jc w:val="left"/>
        <w:rPr>
          <w:rFonts w:ascii="宋体" w:hAnsi="宋体" w:cs="宋体"/>
          <w:iCs/>
          <w:sz w:val="24"/>
          <w:szCs w:val="24"/>
        </w:rPr>
      </w:pPr>
      <w:r>
        <w:rPr>
          <w:rFonts w:hint="eastAsia" w:ascii="宋体" w:hAnsi="宋体" w:cs="宋体"/>
          <w:iCs/>
          <w:sz w:val="24"/>
          <w:szCs w:val="24"/>
          <w:u w:val="single"/>
        </w:rPr>
        <w:t xml:space="preserve"> （ 标 的 名 称 ）</w:t>
      </w:r>
      <w:r>
        <w:rPr>
          <w:rFonts w:hint="eastAsia" w:ascii="宋体" w:hAnsi="宋体" w:cs="宋体"/>
          <w:iCs/>
          <w:sz w:val="24"/>
          <w:szCs w:val="24"/>
        </w:rPr>
        <w:t xml:space="preserve"> ， 属 于 （ </w:t>
      </w:r>
      <w:r>
        <w:rPr>
          <w:rFonts w:hint="eastAsia" w:ascii="宋体" w:hAnsi="宋体" w:cs="宋体"/>
          <w:iCs/>
          <w:sz w:val="24"/>
          <w:szCs w:val="24"/>
          <w:u w:val="single"/>
        </w:rPr>
        <w:t>采 购 文 件 中 明 确 的 所 属 行 业 ） 行业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w:t>
      </w:r>
      <w:r>
        <w:rPr>
          <w:rFonts w:hint="eastAsia" w:ascii="宋体" w:hAnsi="宋体" w:cs="宋体"/>
          <w:iCs/>
          <w:sz w:val="24"/>
          <w:szCs w:val="24"/>
          <w:u w:val="single"/>
        </w:rPr>
        <w:t xml:space="preserve"> </w:t>
      </w:r>
      <w:r>
        <w:rPr>
          <w:rFonts w:hint="eastAsia" w:ascii="宋体" w:hAnsi="宋体" w:cs="宋体"/>
          <w:iCs/>
          <w:sz w:val="24"/>
          <w:szCs w:val="24"/>
          <w:u w:val="single"/>
        </w:rPr>
        <w:tab/>
      </w:r>
      <w:r>
        <w:rPr>
          <w:rFonts w:hint="eastAsia" w:ascii="宋体" w:hAnsi="宋体" w:cs="宋体"/>
          <w:iCs/>
          <w:sz w:val="24"/>
          <w:szCs w:val="24"/>
        </w:rPr>
        <w:t>人，营业收入为</w:t>
      </w:r>
      <w:r>
        <w:rPr>
          <w:rFonts w:hint="eastAsia" w:ascii="宋体" w:hAnsi="宋体" w:cs="宋体"/>
          <w:iCs/>
          <w:sz w:val="24"/>
          <w:szCs w:val="24"/>
          <w:u w:val="single"/>
        </w:rPr>
        <w:t xml:space="preserve"> </w:t>
      </w:r>
      <w:r>
        <w:rPr>
          <w:rFonts w:hint="eastAsia" w:ascii="宋体" w:hAnsi="宋体" w:cs="宋体"/>
          <w:iCs/>
          <w:sz w:val="24"/>
          <w:szCs w:val="24"/>
          <w:u w:val="single"/>
        </w:rPr>
        <w:tab/>
      </w:r>
      <w:r>
        <w:rPr>
          <w:rFonts w:hint="eastAsia" w:ascii="宋体" w:hAnsi="宋体" w:cs="宋体"/>
          <w:iCs/>
          <w:sz w:val="24"/>
          <w:szCs w:val="24"/>
        </w:rPr>
        <w:t>万元，资产总额为</w:t>
      </w:r>
      <w:r>
        <w:rPr>
          <w:rFonts w:hint="eastAsia" w:ascii="宋体" w:hAnsi="宋体" w:cs="宋体"/>
          <w:iCs/>
          <w:sz w:val="24"/>
          <w:szCs w:val="24"/>
          <w:u w:val="single"/>
        </w:rPr>
        <w:t xml:space="preserve">        </w:t>
      </w:r>
      <w:r>
        <w:rPr>
          <w:rFonts w:hint="eastAsia" w:ascii="宋体" w:hAnsi="宋体" w:cs="宋体"/>
          <w:iCs/>
          <w:sz w:val="24"/>
          <w:szCs w:val="24"/>
        </w:rPr>
        <w:t>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pPr>
        <w:pStyle w:val="2"/>
        <w:autoSpaceDE w:val="0"/>
        <w:autoSpaceDN w:val="0"/>
        <w:spacing w:line="560" w:lineRule="exact"/>
        <w:rPr>
          <w:rFonts w:ascii="宋体" w:hAnsi="宋体" w:cs="宋体"/>
          <w:sz w:val="24"/>
          <w:szCs w:val="24"/>
        </w:rPr>
      </w:pPr>
      <w:r>
        <w:rPr>
          <w:rFonts w:hint="eastAsia" w:ascii="宋体" w:hAnsi="宋体" w:cs="宋体"/>
          <w:sz w:val="24"/>
          <w:szCs w:val="24"/>
        </w:rPr>
        <w:t>……</w:t>
      </w:r>
    </w:p>
    <w:p>
      <w:pPr>
        <w:pStyle w:val="2"/>
        <w:autoSpaceDE w:val="0"/>
        <w:autoSpaceDN w:val="0"/>
        <w:spacing w:line="560" w:lineRule="exact"/>
        <w:ind w:firstLine="645"/>
        <w:jc w:val="both"/>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2"/>
        <w:autoSpaceDE w:val="0"/>
        <w:autoSpaceDN w:val="0"/>
        <w:spacing w:line="560" w:lineRule="exact"/>
        <w:ind w:firstLine="645"/>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pStyle w:val="2"/>
        <w:autoSpaceDE w:val="0"/>
        <w:autoSpaceDN w:val="0"/>
        <w:spacing w:line="560" w:lineRule="exact"/>
        <w:ind w:firstLine="720" w:firstLineChars="300"/>
        <w:rPr>
          <w:rFonts w:ascii="宋体" w:hAnsi="宋体" w:cs="宋体"/>
          <w:sz w:val="24"/>
          <w:szCs w:val="24"/>
        </w:rPr>
      </w:pPr>
    </w:p>
    <w:p>
      <w:pPr>
        <w:pStyle w:val="2"/>
        <w:autoSpaceDE w:val="0"/>
        <w:autoSpaceDN w:val="0"/>
        <w:spacing w:line="560" w:lineRule="exact"/>
        <w:ind w:firstLine="720" w:firstLineChars="300"/>
        <w:rPr>
          <w:rFonts w:ascii="宋体" w:hAnsi="宋体" w:cs="宋体"/>
          <w:sz w:val="24"/>
          <w:szCs w:val="24"/>
        </w:rPr>
      </w:pPr>
      <w:r>
        <w:rPr>
          <w:rFonts w:hint="eastAsia" w:ascii="宋体" w:hAnsi="宋体" w:cs="宋体"/>
          <w:sz w:val="24"/>
          <w:szCs w:val="24"/>
        </w:rPr>
        <w:t>企业名称（盖章）：                   日期：</w:t>
      </w:r>
    </w:p>
    <w:p>
      <w:pPr>
        <w:rPr>
          <w:rFonts w:ascii="宋体" w:hAnsi="宋体" w:cs="宋体"/>
          <w:sz w:val="24"/>
          <w:szCs w:val="24"/>
        </w:rPr>
      </w:pPr>
    </w:p>
    <w:p>
      <w:pPr>
        <w:pStyle w:val="21"/>
        <w:rPr>
          <w:rFonts w:ascii="宋体" w:hAnsi="宋体" w:cs="宋体"/>
          <w:sz w:val="24"/>
          <w:szCs w:val="24"/>
        </w:rPr>
      </w:pPr>
    </w:p>
    <w:p>
      <w:pPr>
        <w:pStyle w:val="21"/>
        <w:rPr>
          <w:rFonts w:ascii="宋体" w:hAnsi="宋体" w:cs="宋体"/>
          <w:sz w:val="24"/>
          <w:szCs w:val="24"/>
        </w:rPr>
      </w:pPr>
    </w:p>
    <w:p>
      <w:pPr>
        <w:pStyle w:val="2"/>
        <w:autoSpaceDE w:val="0"/>
        <w:autoSpaceDN w:val="0"/>
        <w:spacing w:line="560" w:lineRule="exact"/>
        <w:ind w:firstLine="645"/>
        <w:jc w:val="both"/>
        <w:rPr>
          <w:rFonts w:ascii="宋体" w:hAnsi="宋体" w:cs="宋体"/>
          <w:sz w:val="24"/>
          <w:szCs w:val="24"/>
        </w:rPr>
        <w:sectPr>
          <w:footerReference r:id="rId7" w:type="default"/>
          <w:pgSz w:w="11910" w:h="16840"/>
          <w:pgMar w:top="1500" w:right="1380" w:bottom="1780" w:left="1580" w:header="0" w:footer="1595" w:gutter="0"/>
          <w:cols w:space="720" w:num="1"/>
        </w:sectPr>
      </w:pPr>
      <w:r>
        <w:rPr>
          <w:rFonts w:hint="eastAsia" w:ascii="宋体" w:hAnsi="宋体" w:cs="宋体"/>
          <w:sz w:val="24"/>
          <w:szCs w:val="24"/>
        </w:rPr>
        <w:t>注：从业人员、营业收入、资产总额填报上一年度数据，无上一年度数据的新成立企业可不填报。</w:t>
      </w:r>
    </w:p>
    <w:p>
      <w:pPr>
        <w:pStyle w:val="2"/>
        <w:outlineLvl w:val="1"/>
        <w:rPr>
          <w:rFonts w:ascii="宋体" w:hAnsi="宋体" w:cs="宋体"/>
          <w:b/>
          <w:sz w:val="28"/>
          <w:szCs w:val="28"/>
        </w:rPr>
      </w:pPr>
      <w:bookmarkStart w:id="357" w:name="_Toc31178"/>
      <w:bookmarkStart w:id="358" w:name="_Toc20809"/>
      <w:r>
        <w:rPr>
          <w:rFonts w:hint="eastAsia" w:ascii="宋体" w:hAnsi="宋体" w:cs="宋体"/>
          <w:b/>
          <w:sz w:val="28"/>
          <w:szCs w:val="28"/>
        </w:rPr>
        <w:t>附件2</w:t>
      </w:r>
      <w:bookmarkEnd w:id="357"/>
      <w:bookmarkEnd w:id="358"/>
    </w:p>
    <w:p>
      <w:pPr>
        <w:pStyle w:val="108"/>
        <w:spacing w:line="360" w:lineRule="auto"/>
        <w:jc w:val="center"/>
        <w:rPr>
          <w:rFonts w:ascii="宋体" w:hAnsi="宋体"/>
          <w:sz w:val="28"/>
          <w:szCs w:val="28"/>
        </w:rPr>
      </w:pPr>
      <w:r>
        <w:rPr>
          <w:rFonts w:hint="eastAsia" w:ascii="宋体" w:hAnsi="宋体"/>
          <w:b/>
          <w:bCs/>
          <w:sz w:val="28"/>
          <w:szCs w:val="28"/>
        </w:rPr>
        <w:t>《残疾人福利性单位声明函》（格式）</w:t>
      </w:r>
    </w:p>
    <w:p>
      <w:pPr>
        <w:pStyle w:val="108"/>
        <w:spacing w:line="480" w:lineRule="auto"/>
        <w:rPr>
          <w:rFonts w:ascii="宋体" w:hAnsi="宋体"/>
          <w:sz w:val="28"/>
          <w:szCs w:val="28"/>
        </w:rPr>
      </w:pPr>
      <w:r>
        <w:rPr>
          <w:rFonts w:hint="eastAsia" w:ascii="宋体" w:hAnsi="宋体"/>
          <w:sz w:val="28"/>
          <w:szCs w:val="28"/>
        </w:rPr>
        <w:t xml:space="preserve"> </w:t>
      </w:r>
    </w:p>
    <w:p>
      <w:pPr>
        <w:pStyle w:val="108"/>
        <w:spacing w:line="480" w:lineRule="auto"/>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 xml:space="preserve">   （采购人）     </w:t>
      </w:r>
    </w:p>
    <w:p>
      <w:pPr>
        <w:pStyle w:val="108"/>
        <w:spacing w:line="480" w:lineRule="auto"/>
        <w:rPr>
          <w:rFonts w:ascii="宋体" w:hAnsi="宋体"/>
          <w:sz w:val="24"/>
          <w:szCs w:val="24"/>
          <w:u w:val="single"/>
        </w:rPr>
      </w:pPr>
      <w:r>
        <w:rPr>
          <w:rFonts w:hint="eastAsia" w:ascii="宋体" w:hAnsi="宋体"/>
          <w:sz w:val="24"/>
          <w:szCs w:val="24"/>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p>
    <w:p>
      <w:pPr>
        <w:pStyle w:val="108"/>
        <w:spacing w:line="480" w:lineRule="auto"/>
        <w:rPr>
          <w:rFonts w:ascii="宋体" w:hAnsi="宋体"/>
          <w:sz w:val="24"/>
          <w:szCs w:val="24"/>
        </w:rPr>
      </w:pPr>
      <w:r>
        <w:rPr>
          <w:rFonts w:hint="eastAsia" w:ascii="宋体" w:hAnsi="宋体"/>
          <w:sz w:val="24"/>
          <w:szCs w:val="24"/>
        </w:rPr>
        <w:t>项目招标活动提供本单位制造的货物（由本单位承担工程/提供服务），或者提供其他残疾人福利性单位制造的货物（不包括使用非残疾人福利性单位注册商标的货物）。</w:t>
      </w:r>
    </w:p>
    <w:p>
      <w:pPr>
        <w:pStyle w:val="108"/>
        <w:spacing w:line="480" w:lineRule="auto"/>
        <w:rPr>
          <w:rFonts w:ascii="宋体" w:hAnsi="宋体"/>
          <w:sz w:val="24"/>
          <w:szCs w:val="24"/>
        </w:rPr>
      </w:pPr>
      <w:r>
        <w:rPr>
          <w:rFonts w:hint="eastAsia" w:ascii="宋体" w:hAnsi="宋体"/>
          <w:sz w:val="24"/>
          <w:szCs w:val="24"/>
        </w:rPr>
        <w:t xml:space="preserve">     本单位对上述声明的真实性负责。如有虚假，将依法承担相应责任。</w:t>
      </w:r>
    </w:p>
    <w:p>
      <w:pPr>
        <w:pStyle w:val="108"/>
        <w:spacing w:line="360" w:lineRule="auto"/>
        <w:rPr>
          <w:rFonts w:ascii="宋体" w:hAnsi="宋体"/>
          <w:sz w:val="24"/>
          <w:szCs w:val="24"/>
        </w:rPr>
      </w:pPr>
      <w:r>
        <w:rPr>
          <w:rFonts w:hint="eastAsia" w:ascii="宋体" w:hAnsi="宋体"/>
          <w:sz w:val="24"/>
          <w:szCs w:val="24"/>
        </w:rPr>
        <w:t xml:space="preserve"> </w:t>
      </w:r>
    </w:p>
    <w:p>
      <w:pPr>
        <w:pStyle w:val="108"/>
        <w:spacing w:line="360" w:lineRule="auto"/>
        <w:rPr>
          <w:rFonts w:ascii="宋体" w:hAnsi="宋体"/>
          <w:sz w:val="24"/>
          <w:szCs w:val="24"/>
        </w:rPr>
      </w:pPr>
      <w:r>
        <w:rPr>
          <w:rFonts w:hint="eastAsia" w:ascii="宋体" w:hAnsi="宋体"/>
          <w:sz w:val="24"/>
          <w:szCs w:val="24"/>
        </w:rPr>
        <w:t xml:space="preserve"> </w:t>
      </w:r>
    </w:p>
    <w:p>
      <w:pPr>
        <w:pStyle w:val="108"/>
        <w:spacing w:line="360" w:lineRule="auto"/>
        <w:rPr>
          <w:rFonts w:ascii="宋体" w:hAnsi="宋体"/>
          <w:sz w:val="24"/>
          <w:szCs w:val="24"/>
        </w:rPr>
      </w:pPr>
      <w:r>
        <w:rPr>
          <w:rFonts w:hint="eastAsia" w:ascii="宋体" w:hAnsi="宋体"/>
          <w:sz w:val="24"/>
          <w:szCs w:val="24"/>
        </w:rPr>
        <w:t xml:space="preserve"> </w:t>
      </w:r>
    </w:p>
    <w:p>
      <w:pPr>
        <w:pStyle w:val="108"/>
        <w:spacing w:line="480" w:lineRule="auto"/>
        <w:ind w:firstLine="2880" w:firstLineChars="1200"/>
        <w:rPr>
          <w:rFonts w:ascii="宋体" w:hAnsi="宋体"/>
          <w:sz w:val="24"/>
          <w:szCs w:val="24"/>
          <w:u w:val="single"/>
        </w:rPr>
      </w:pPr>
      <w:r>
        <w:rPr>
          <w:rFonts w:hint="eastAsia" w:ascii="宋体" w:hAnsi="宋体"/>
          <w:sz w:val="24"/>
          <w:szCs w:val="24"/>
        </w:rPr>
        <w:t>投标人名称（公章）：</w:t>
      </w:r>
      <w:r>
        <w:rPr>
          <w:rFonts w:hint="eastAsia" w:ascii="宋体" w:hAnsi="宋体"/>
          <w:sz w:val="24"/>
          <w:szCs w:val="24"/>
          <w:u w:val="single"/>
        </w:rPr>
        <w:t xml:space="preserve">                      </w:t>
      </w:r>
    </w:p>
    <w:p>
      <w:pPr>
        <w:pStyle w:val="108"/>
        <w:spacing w:line="480" w:lineRule="auto"/>
        <w:ind w:firstLine="2880" w:firstLineChars="1200"/>
        <w:rPr>
          <w:rFonts w:ascii="宋体" w:hAnsi="宋体"/>
          <w:sz w:val="24"/>
          <w:szCs w:val="24"/>
        </w:rPr>
      </w:pPr>
      <w:r>
        <w:rPr>
          <w:rFonts w:hint="eastAsia" w:ascii="宋体" w:hAnsi="宋体"/>
          <w:sz w:val="24"/>
          <w:szCs w:val="24"/>
        </w:rPr>
        <w:t>日    期：      年     月   日</w:t>
      </w:r>
    </w:p>
    <w:p>
      <w:pPr>
        <w:pStyle w:val="108"/>
        <w:spacing w:line="360" w:lineRule="auto"/>
        <w:ind w:firstLine="2880" w:firstLineChars="1200"/>
        <w:rPr>
          <w:rFonts w:ascii="宋体" w:hAnsi="宋体"/>
          <w:sz w:val="24"/>
          <w:szCs w:val="24"/>
        </w:rPr>
      </w:pPr>
      <w:r>
        <w:rPr>
          <w:rFonts w:hint="eastAsia" w:ascii="宋体" w:hAnsi="宋体"/>
          <w:sz w:val="24"/>
          <w:szCs w:val="24"/>
        </w:rPr>
        <w:t xml:space="preserve"> </w:t>
      </w:r>
    </w:p>
    <w:p>
      <w:pPr>
        <w:pStyle w:val="108"/>
        <w:spacing w:line="360" w:lineRule="auto"/>
        <w:rPr>
          <w:sz w:val="28"/>
          <w:szCs w:val="28"/>
        </w:rPr>
      </w:pPr>
      <w:r>
        <w:rPr>
          <w:rFonts w:hint="eastAsia"/>
          <w:sz w:val="28"/>
          <w:szCs w:val="28"/>
        </w:rPr>
        <w:t xml:space="preserve"> </w:t>
      </w:r>
    </w:p>
    <w:p>
      <w:pPr>
        <w:pStyle w:val="108"/>
        <w:spacing w:line="360" w:lineRule="auto"/>
        <w:rPr>
          <w:sz w:val="28"/>
          <w:szCs w:val="28"/>
        </w:rPr>
      </w:pPr>
      <w:r>
        <w:rPr>
          <w:rFonts w:hint="eastAsia"/>
          <w:sz w:val="28"/>
          <w:szCs w:val="28"/>
        </w:rPr>
        <w:t xml:space="preserve"> </w:t>
      </w:r>
    </w:p>
    <w:p>
      <w:pPr>
        <w:rPr>
          <w:rFonts w:ascii="宋体" w:hAnsi="宋体"/>
          <w:b/>
          <w:bCs/>
          <w:sz w:val="24"/>
          <w:szCs w:val="24"/>
        </w:rPr>
      </w:pPr>
      <w:r>
        <w:rPr>
          <w:rFonts w:hint="eastAsia" w:ascii="宋体" w:hAnsi="宋体"/>
          <w:b/>
          <w:bCs/>
          <w:sz w:val="24"/>
          <w:szCs w:val="24"/>
        </w:rPr>
        <w:t>备注：投标人若不是符合条件的残疾人福利性单位，可不填写此函</w:t>
      </w:r>
    </w:p>
    <w:p>
      <w:pPr>
        <w:pStyle w:val="2"/>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ind w:firstLine="562"/>
        <w:jc w:val="center"/>
        <w:rPr>
          <w:rFonts w:ascii="宋体" w:hAnsi="宋体" w:cs="宋体"/>
          <w:b/>
          <w:sz w:val="28"/>
          <w:szCs w:val="28"/>
        </w:rPr>
      </w:pPr>
    </w:p>
    <w:p>
      <w:pPr>
        <w:ind w:firstLine="562"/>
        <w:jc w:val="center"/>
        <w:rPr>
          <w:rFonts w:ascii="宋体" w:hAnsi="宋体" w:cs="宋体"/>
          <w:b/>
          <w:sz w:val="28"/>
          <w:szCs w:val="28"/>
        </w:rPr>
      </w:pPr>
    </w:p>
    <w:p>
      <w:pPr>
        <w:ind w:firstLine="562"/>
        <w:jc w:val="center"/>
        <w:rPr>
          <w:rFonts w:ascii="宋体" w:hAnsi="宋体" w:cs="宋体"/>
          <w:b/>
          <w:sz w:val="28"/>
          <w:szCs w:val="28"/>
        </w:rPr>
      </w:pPr>
      <w:r>
        <w:rPr>
          <w:rFonts w:hint="eastAsia" w:ascii="宋体" w:hAnsi="宋体" w:cs="宋体"/>
          <w:b/>
          <w:sz w:val="28"/>
          <w:szCs w:val="28"/>
        </w:rPr>
        <w:t>监狱企业证明文件（若是）</w:t>
      </w:r>
    </w:p>
    <w:p>
      <w:pPr>
        <w:autoSpaceDE w:val="0"/>
        <w:autoSpaceDN w:val="0"/>
        <w:ind w:firstLine="480"/>
        <w:rPr>
          <w:rFonts w:ascii="宋体" w:hAnsi="宋体" w:cs="宋体"/>
          <w:sz w:val="24"/>
        </w:rPr>
      </w:pPr>
    </w:p>
    <w:p>
      <w:pPr>
        <w:autoSpaceDE w:val="0"/>
        <w:autoSpaceDN w:val="0"/>
        <w:spacing w:line="360" w:lineRule="auto"/>
        <w:ind w:firstLine="480"/>
        <w:outlineLvl w:val="2"/>
        <w:rPr>
          <w:rFonts w:ascii="宋体" w:hAnsi="宋体" w:cs="宋体"/>
          <w:sz w:val="24"/>
        </w:rPr>
      </w:pPr>
      <w:r>
        <w:rPr>
          <w:rFonts w:hint="eastAsia" w:ascii="宋体" w:hAnsi="宋体" w:cs="宋体"/>
          <w:sz w:val="24"/>
        </w:rPr>
        <w:t>说明：根据《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34"/>
        <w:spacing w:before="156" w:after="156" w:line="360" w:lineRule="auto"/>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pStyle w:val="34"/>
        <w:spacing w:before="156" w:after="156"/>
        <w:ind w:firstLine="0"/>
        <w:rPr>
          <w:rFonts w:ascii="宋体" w:hAnsi="宋体" w:eastAsia="宋体" w:cs="宋体"/>
          <w:sz w:val="24"/>
        </w:rPr>
      </w:pPr>
    </w:p>
    <w:p>
      <w:pPr>
        <w:snapToGrid w:val="0"/>
        <w:spacing w:before="156" w:after="156"/>
        <w:rPr>
          <w:rFonts w:ascii="宋体" w:hAnsi="宋体" w:cs="宋体"/>
          <w:b/>
          <w:sz w:val="24"/>
          <w:szCs w:val="24"/>
        </w:rPr>
      </w:pPr>
      <w:bookmarkStart w:id="359" w:name="_Toc10864"/>
      <w:bookmarkStart w:id="360" w:name="_Toc1794"/>
      <w:bookmarkStart w:id="361" w:name="_Toc28130"/>
      <w:bookmarkStart w:id="362" w:name="_Toc3760"/>
    </w:p>
    <w:p>
      <w:pPr>
        <w:snapToGrid w:val="0"/>
        <w:spacing w:before="156" w:after="156"/>
        <w:outlineLvl w:val="1"/>
        <w:rPr>
          <w:rFonts w:ascii="宋体" w:hAnsi="宋体" w:cs="宋体"/>
          <w:b/>
          <w:sz w:val="24"/>
          <w:szCs w:val="24"/>
        </w:rPr>
      </w:pPr>
      <w:r>
        <w:rPr>
          <w:rFonts w:hint="eastAsia" w:ascii="宋体" w:hAnsi="宋体" w:cs="宋体"/>
          <w:b/>
          <w:sz w:val="24"/>
          <w:szCs w:val="24"/>
        </w:rPr>
        <w:t>附件3：</w:t>
      </w:r>
      <w:bookmarkEnd w:id="359"/>
      <w:bookmarkEnd w:id="360"/>
      <w:bookmarkEnd w:id="361"/>
      <w:bookmarkEnd w:id="362"/>
    </w:p>
    <w:p>
      <w:pPr>
        <w:jc w:val="center"/>
        <w:rPr>
          <w:rFonts w:ascii="宋体" w:hAnsi="宋体" w:cs="宋体"/>
          <w:b/>
          <w:sz w:val="28"/>
          <w:szCs w:val="28"/>
        </w:rPr>
      </w:pPr>
      <w:r>
        <w:rPr>
          <w:rFonts w:hint="eastAsia" w:ascii="宋体" w:hAnsi="宋体" w:cs="宋体"/>
          <w:b/>
          <w:sz w:val="28"/>
          <w:szCs w:val="28"/>
        </w:rPr>
        <w:t>“节能产品”、“环境标志产品”证明材料（若有）</w:t>
      </w:r>
    </w:p>
    <w:p>
      <w:pPr>
        <w:autoSpaceDE w:val="0"/>
        <w:autoSpaceDN w:val="0"/>
        <w:spacing w:line="500" w:lineRule="exact"/>
        <w:ind w:firstLine="480"/>
        <w:outlineLvl w:val="2"/>
        <w:rPr>
          <w:rFonts w:ascii="宋体" w:hAnsi="宋体" w:cs="宋体"/>
          <w:sz w:val="24"/>
          <w:szCs w:val="24"/>
        </w:rPr>
      </w:pPr>
      <w:r>
        <w:rPr>
          <w:rFonts w:hint="eastAsia" w:ascii="宋体" w:hAnsi="宋体" w:cs="宋体"/>
          <w:sz w:val="24"/>
          <w:szCs w:val="24"/>
        </w:rPr>
        <w:t>说明：</w:t>
      </w:r>
    </w:p>
    <w:p>
      <w:pPr>
        <w:autoSpaceDE w:val="0"/>
        <w:autoSpaceDN w:val="0"/>
        <w:spacing w:line="500" w:lineRule="exact"/>
        <w:ind w:firstLine="480"/>
        <w:outlineLvl w:val="2"/>
        <w:rPr>
          <w:rFonts w:ascii="宋体" w:hAnsi="宋体" w:cs="宋体"/>
          <w:sz w:val="24"/>
          <w:szCs w:val="24"/>
        </w:rPr>
      </w:pPr>
      <w:r>
        <w:rPr>
          <w:rFonts w:hint="eastAsia" w:ascii="宋体" w:hAnsi="宋体" w:cs="宋体"/>
          <w:sz w:val="24"/>
          <w:szCs w:val="24"/>
        </w:rPr>
        <w:t>1、投标人提供的产品属于下列情形，应按照招标文件规定提供产品列入“节能产品”，“环境标志产品”所在页的复印件（该页包含制造商或企业名称或申请单位名称、规格型号、有效期截止日期等内容），并加盖投标人单位章。</w:t>
      </w:r>
    </w:p>
    <w:p>
      <w:pPr>
        <w:autoSpaceDE w:val="0"/>
        <w:autoSpaceDN w:val="0"/>
        <w:spacing w:line="500" w:lineRule="exact"/>
        <w:ind w:firstLine="480"/>
        <w:outlineLvl w:val="2"/>
        <w:rPr>
          <w:rFonts w:ascii="宋体" w:hAnsi="宋体" w:cs="宋体"/>
          <w:sz w:val="24"/>
          <w:szCs w:val="24"/>
        </w:rPr>
      </w:pPr>
      <w:r>
        <w:rPr>
          <w:rFonts w:hint="eastAsia" w:ascii="宋体" w:hAnsi="宋体" w:cs="宋体"/>
          <w:sz w:val="24"/>
          <w:szCs w:val="24"/>
        </w:rPr>
        <w:t>符合政府采购强制采购政策的财政部、环境保护部发布的《节能产品政府采购品目清单》中标记的“强制采购节能产品”。</w:t>
      </w:r>
    </w:p>
    <w:p>
      <w:pPr>
        <w:autoSpaceDE w:val="0"/>
        <w:autoSpaceDN w:val="0"/>
        <w:spacing w:line="500" w:lineRule="exact"/>
        <w:ind w:firstLine="480"/>
        <w:outlineLvl w:val="2"/>
        <w:rPr>
          <w:rFonts w:ascii="宋体" w:hAnsi="宋体" w:cs="宋体"/>
          <w:sz w:val="24"/>
          <w:szCs w:val="24"/>
        </w:rPr>
      </w:pPr>
      <w:r>
        <w:rPr>
          <w:rFonts w:hint="eastAsia" w:ascii="宋体" w:hAnsi="宋体" w:cs="宋体"/>
          <w:sz w:val="24"/>
          <w:szCs w:val="24"/>
        </w:rPr>
        <w:t>符合政府采购强制采购政策的财政部、环境保护部发布的《环境标志产品政府采购品目清单》中标记的的“环境标志产品”。</w:t>
      </w:r>
    </w:p>
    <w:p>
      <w:pPr>
        <w:autoSpaceDE w:val="0"/>
        <w:autoSpaceDN w:val="0"/>
        <w:spacing w:line="500" w:lineRule="exact"/>
        <w:ind w:firstLine="480"/>
        <w:outlineLvl w:val="2"/>
        <w:rPr>
          <w:rFonts w:ascii="宋体" w:hAnsi="宋体" w:cs="宋体"/>
          <w:sz w:val="24"/>
          <w:szCs w:val="24"/>
        </w:rPr>
      </w:pPr>
      <w:r>
        <w:rPr>
          <w:rFonts w:hint="eastAsia" w:ascii="宋体" w:hAnsi="宋体" w:cs="宋体"/>
          <w:sz w:val="24"/>
          <w:szCs w:val="24"/>
        </w:rPr>
        <w:t>2、未按照上述要求提供的，评审时不予以考虑。</w:t>
      </w:r>
    </w:p>
    <w:p>
      <w:pPr>
        <w:pStyle w:val="65"/>
        <w:outlineLvl w:val="9"/>
        <w:rPr>
          <w:rFonts w:ascii="宋体" w:hAnsi="宋体" w:cs="宋体"/>
          <w:b/>
          <w:sz w:val="28"/>
          <w:szCs w:val="28"/>
        </w:rPr>
      </w:pPr>
    </w:p>
    <w:p>
      <w:pPr>
        <w:pStyle w:val="67"/>
        <w:ind w:firstLine="562"/>
        <w:rPr>
          <w:rFonts w:hAnsi="宋体"/>
          <w:b/>
          <w:sz w:val="28"/>
          <w:szCs w:val="28"/>
        </w:rPr>
      </w:pPr>
    </w:p>
    <w:p>
      <w:pPr>
        <w:rPr>
          <w:rFonts w:ascii="宋体" w:hAnsi="宋体" w:cs="宋体"/>
          <w:b/>
          <w:sz w:val="28"/>
          <w:szCs w:val="28"/>
        </w:rPr>
      </w:pPr>
    </w:p>
    <w:p>
      <w:pPr>
        <w:pStyle w:val="103"/>
        <w:ind w:firstLine="562"/>
        <w:rPr>
          <w:rFonts w:ascii="宋体" w:hAnsi="宋体" w:cs="宋体"/>
          <w:b/>
          <w:sz w:val="28"/>
          <w:szCs w:val="28"/>
        </w:rPr>
      </w:pPr>
    </w:p>
    <w:p>
      <w:pPr>
        <w:pStyle w:val="103"/>
        <w:ind w:firstLine="562"/>
        <w:rPr>
          <w:rFonts w:ascii="宋体" w:hAnsi="宋体" w:cs="宋体"/>
          <w:b/>
          <w:sz w:val="28"/>
          <w:szCs w:val="28"/>
        </w:rPr>
      </w:pPr>
    </w:p>
    <w:p>
      <w:pPr>
        <w:pStyle w:val="103"/>
        <w:ind w:firstLine="562"/>
        <w:rPr>
          <w:rFonts w:ascii="宋体" w:hAnsi="宋体" w:cs="宋体"/>
          <w:b/>
          <w:sz w:val="28"/>
          <w:szCs w:val="28"/>
        </w:rPr>
      </w:pPr>
    </w:p>
    <w:p>
      <w:pPr>
        <w:pStyle w:val="103"/>
        <w:ind w:firstLine="562"/>
        <w:rPr>
          <w:rFonts w:ascii="宋体" w:hAnsi="宋体" w:cs="宋体"/>
          <w:b/>
          <w:sz w:val="28"/>
          <w:szCs w:val="28"/>
        </w:rPr>
      </w:pPr>
    </w:p>
    <w:p>
      <w:pPr>
        <w:pStyle w:val="103"/>
        <w:ind w:firstLine="562"/>
        <w:rPr>
          <w:rFonts w:ascii="宋体" w:hAnsi="宋体" w:cs="宋体"/>
          <w:b/>
          <w:sz w:val="28"/>
          <w:szCs w:val="28"/>
        </w:rPr>
      </w:pPr>
    </w:p>
    <w:p>
      <w:pPr>
        <w:pStyle w:val="103"/>
        <w:ind w:firstLine="562"/>
        <w:rPr>
          <w:rFonts w:ascii="宋体" w:hAnsi="宋体" w:cs="宋体"/>
          <w:b/>
          <w:sz w:val="28"/>
          <w:szCs w:val="28"/>
        </w:rPr>
      </w:pPr>
    </w:p>
    <w:p>
      <w:pPr>
        <w:pStyle w:val="103"/>
        <w:ind w:firstLine="562"/>
        <w:rPr>
          <w:rFonts w:ascii="宋体" w:hAnsi="宋体" w:cs="宋体"/>
          <w:b/>
          <w:sz w:val="28"/>
          <w:szCs w:val="28"/>
        </w:rPr>
      </w:pPr>
    </w:p>
    <w:p>
      <w:pPr>
        <w:pStyle w:val="103"/>
        <w:ind w:firstLine="562"/>
        <w:rPr>
          <w:rFonts w:ascii="宋体" w:hAnsi="宋体" w:cs="宋体"/>
          <w:b/>
          <w:sz w:val="28"/>
          <w:szCs w:val="28"/>
        </w:rPr>
      </w:pPr>
    </w:p>
    <w:p>
      <w:pPr>
        <w:pStyle w:val="103"/>
        <w:ind w:firstLine="562"/>
        <w:rPr>
          <w:rFonts w:ascii="宋体" w:hAnsi="宋体" w:cs="宋体"/>
          <w:b/>
          <w:sz w:val="28"/>
          <w:szCs w:val="28"/>
        </w:rPr>
      </w:pPr>
    </w:p>
    <w:p>
      <w:pPr>
        <w:pStyle w:val="103"/>
        <w:ind w:firstLine="562"/>
        <w:rPr>
          <w:rFonts w:ascii="宋体" w:hAnsi="宋体" w:cs="宋体"/>
          <w:b/>
          <w:sz w:val="28"/>
          <w:szCs w:val="28"/>
        </w:rPr>
      </w:pPr>
    </w:p>
    <w:p>
      <w:pPr>
        <w:jc w:val="center"/>
        <w:rPr>
          <w:rFonts w:ascii="宋体" w:hAnsi="宋体" w:cs="宋体"/>
          <w:b/>
          <w:sz w:val="32"/>
          <w:szCs w:val="32"/>
        </w:rPr>
      </w:pPr>
      <w:bookmarkStart w:id="363" w:name="_Toc12725_WPSOffice_Level1"/>
      <w:bookmarkStart w:id="364" w:name="_Toc22106_WPSOffice_Level1"/>
      <w:bookmarkStart w:id="365" w:name="_Toc6537_WPSOffice_Level1"/>
      <w:bookmarkStart w:id="366" w:name="_Toc21610_WPSOffice_Level1"/>
      <w:bookmarkStart w:id="367" w:name="_Toc22495_WPSOffice_Level1"/>
      <w:bookmarkStart w:id="368" w:name="_Toc4423_WPSOffice_Level1"/>
      <w:bookmarkStart w:id="369" w:name="_Toc22162_WPSOffice_Level1"/>
      <w:bookmarkStart w:id="370" w:name="_Toc5976_WPSOffice_Level1"/>
      <w:bookmarkStart w:id="371" w:name="_Toc23852_WPSOffice_Level1"/>
      <w:r>
        <w:rPr>
          <w:rFonts w:hint="eastAsia" w:ascii="宋体" w:hAnsi="宋体" w:cs="宋体"/>
          <w:b/>
          <w:sz w:val="32"/>
          <w:szCs w:val="32"/>
        </w:rPr>
        <w:t>投标文件封袋正面标识式样</w:t>
      </w:r>
      <w:bookmarkEnd w:id="363"/>
      <w:bookmarkEnd w:id="364"/>
      <w:bookmarkEnd w:id="365"/>
      <w:bookmarkEnd w:id="366"/>
      <w:bookmarkEnd w:id="367"/>
      <w:bookmarkEnd w:id="368"/>
      <w:bookmarkEnd w:id="369"/>
      <w:bookmarkEnd w:id="370"/>
      <w:bookmarkEnd w:id="371"/>
    </w:p>
    <w:p>
      <w:pPr>
        <w:rPr>
          <w:rFonts w:ascii="宋体" w:hAnsi="宋体" w:cs="宋体"/>
          <w:sz w:val="32"/>
          <w:szCs w:val="32"/>
        </w:rPr>
      </w:pPr>
      <w:r>
        <w:rPr>
          <w:rFonts w:hint="eastAsia" w:ascii="宋体" w:hAnsi="宋体" w:cs="宋体"/>
          <w:b/>
          <w:sz w:val="36"/>
          <w:szCs w:val="36"/>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5383530" cy="3261995"/>
                <wp:effectExtent l="12700" t="12700" r="13970" b="14605"/>
                <wp:wrapNone/>
                <wp:docPr id="5" name="文本框 4"/>
                <wp:cNvGraphicFramePr/>
                <a:graphic xmlns:a="http://schemas.openxmlformats.org/drawingml/2006/main">
                  <a:graphicData uri="http://schemas.microsoft.com/office/word/2010/wordprocessingShape">
                    <wps:wsp>
                      <wps:cNvSpPr txBox="1"/>
                      <wps:spPr>
                        <a:xfrm>
                          <a:off x="0" y="0"/>
                          <a:ext cx="5383530" cy="3261995"/>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spacing w:line="440" w:lineRule="exact"/>
                              <w:rPr>
                                <w:rFonts w:ascii="宋体" w:hAnsi="宋体" w:cs="宋体"/>
                              </w:rPr>
                            </w:pPr>
                            <w:r>
                              <w:rPr>
                                <w:rFonts w:hint="eastAsia" w:ascii="宋体" w:hAnsi="宋体" w:cs="宋体"/>
                              </w:rPr>
                              <w:t>致：亿诚建设项目管理有限公司</w:t>
                            </w:r>
                          </w:p>
                          <w:p>
                            <w:pPr>
                              <w:spacing w:line="440" w:lineRule="exact"/>
                              <w:rPr>
                                <w:rFonts w:ascii="宋体" w:hAnsi="宋体" w:cs="宋体"/>
                              </w:rPr>
                            </w:pPr>
                            <w:r>
                              <w:rPr>
                                <w:rFonts w:hint="eastAsia" w:ascii="宋体" w:hAnsi="宋体" w:cs="宋体"/>
                              </w:rPr>
                              <w:t>文件编号：</w:t>
                            </w:r>
                          </w:p>
                          <w:p>
                            <w:pPr>
                              <w:spacing w:line="440" w:lineRule="exact"/>
                              <w:rPr>
                                <w:rFonts w:ascii="宋体" w:hAnsi="宋体" w:cs="宋体"/>
                              </w:rPr>
                            </w:pPr>
                            <w:r>
                              <w:rPr>
                                <w:rFonts w:hint="eastAsia" w:ascii="宋体" w:hAnsi="宋体" w:cs="宋体"/>
                              </w:rPr>
                              <w:t>项目名称：</w:t>
                            </w:r>
                          </w:p>
                          <w:p>
                            <w:pPr>
                              <w:spacing w:line="440" w:lineRule="exact"/>
                              <w:jc w:val="center"/>
                              <w:rPr>
                                <w:rFonts w:ascii="宋体" w:hAnsi="宋体" w:cs="宋体"/>
                                <w:sz w:val="36"/>
                                <w:szCs w:val="36"/>
                              </w:rPr>
                            </w:pPr>
                          </w:p>
                          <w:p>
                            <w:pPr>
                              <w:spacing w:line="440" w:lineRule="exact"/>
                              <w:jc w:val="center"/>
                              <w:rPr>
                                <w:rFonts w:ascii="宋体" w:hAnsi="宋体" w:cs="宋体"/>
                                <w:sz w:val="36"/>
                                <w:szCs w:val="36"/>
                              </w:rPr>
                            </w:pPr>
                            <w:r>
                              <w:rPr>
                                <w:rFonts w:hint="eastAsia" w:ascii="宋体" w:hAnsi="宋体" w:cs="宋体"/>
                                <w:sz w:val="36"/>
                                <w:szCs w:val="36"/>
                              </w:rPr>
                              <w:t xml:space="preserve"> 投 标 文 件（正本或副本）</w:t>
                            </w:r>
                          </w:p>
                          <w:p>
                            <w:pPr>
                              <w:spacing w:line="440" w:lineRule="exact"/>
                              <w:jc w:val="center"/>
                              <w:rPr>
                                <w:rFonts w:ascii="宋体" w:hAnsi="宋体" w:cs="宋体"/>
                              </w:rPr>
                            </w:pPr>
                            <w:r>
                              <w:rPr>
                                <w:rFonts w:hint="eastAsia" w:ascii="宋体" w:hAnsi="宋体" w:cs="宋体"/>
                              </w:rPr>
                              <w:t>（非开标大会不得启封）</w:t>
                            </w:r>
                          </w:p>
                          <w:p>
                            <w:pPr>
                              <w:rPr>
                                <w:rFonts w:ascii="宋体" w:hAnsi="宋体" w:cs="宋体"/>
                              </w:rPr>
                            </w:pPr>
                          </w:p>
                          <w:p>
                            <w:pPr>
                              <w:spacing w:line="440" w:lineRule="exact"/>
                              <w:rPr>
                                <w:rFonts w:ascii="宋体" w:hAnsi="宋体" w:cs="宋体"/>
                              </w:rPr>
                            </w:pPr>
                            <w:r>
                              <w:rPr>
                                <w:rFonts w:hint="eastAsia" w:ascii="宋体" w:hAnsi="宋体" w:cs="宋体"/>
                              </w:rPr>
                              <w:t>投标人名称：（法人公章及法定代表人印章）</w:t>
                            </w:r>
                          </w:p>
                          <w:p>
                            <w:pPr>
                              <w:spacing w:line="440" w:lineRule="exact"/>
                              <w:rPr>
                                <w:rFonts w:ascii="宋体" w:hAnsi="宋体" w:cs="宋体"/>
                              </w:rPr>
                            </w:pPr>
                            <w:r>
                              <w:rPr>
                                <w:rFonts w:hint="eastAsia" w:ascii="宋体" w:hAnsi="宋体" w:cs="宋体"/>
                              </w:rPr>
                              <w:t>邮    编：</w:t>
                            </w:r>
                          </w:p>
                          <w:p>
                            <w:pPr>
                              <w:spacing w:line="440" w:lineRule="exact"/>
                              <w:rPr>
                                <w:rFonts w:ascii="宋体" w:hAnsi="宋体" w:cs="宋体"/>
                              </w:rPr>
                            </w:pPr>
                            <w:r>
                              <w:rPr>
                                <w:rFonts w:hint="eastAsia" w:ascii="宋体" w:hAnsi="宋体" w:cs="宋体"/>
                              </w:rPr>
                              <w:t xml:space="preserve">通讯地址：  </w:t>
                            </w:r>
                          </w:p>
                          <w:p>
                            <w:pPr>
                              <w:spacing w:line="440" w:lineRule="exact"/>
                              <w:rPr>
                                <w:rFonts w:ascii="宋体" w:hAnsi="宋体" w:cs="宋体"/>
                              </w:rPr>
                            </w:pPr>
                            <w:r>
                              <w:rPr>
                                <w:rFonts w:hint="eastAsia" w:ascii="宋体" w:hAnsi="宋体" w:cs="宋体"/>
                              </w:rPr>
                              <w:t>联系人电话：</w:t>
                            </w:r>
                          </w:p>
                          <w:p>
                            <w:pPr>
                              <w:spacing w:line="440" w:lineRule="exact"/>
                              <w:rPr>
                                <w:rFonts w:ascii="仿宋_GB2312" w:eastAsia="仿宋_GB2312"/>
                              </w:rPr>
                            </w:pPr>
                            <w:r>
                              <w:rPr>
                                <w:rFonts w:hint="eastAsia" w:ascii="仿宋_GB2312" w:eastAsia="仿宋_GB2312"/>
                              </w:rPr>
                              <w:t xml:space="preserve">                      </w:t>
                            </w:r>
                          </w:p>
                          <w:p/>
                        </w:txbxContent>
                      </wps:txbx>
                      <wps:bodyPr upright="1"/>
                    </wps:wsp>
                  </a:graphicData>
                </a:graphic>
              </wp:anchor>
            </w:drawing>
          </mc:Choice>
          <mc:Fallback>
            <w:pict>
              <v:shape id="文本框 4" o:spid="_x0000_s1026" o:spt="202" type="#_x0000_t202" style="position:absolute;left:0pt;margin-left:18pt;margin-top:0pt;height:256.85pt;width:423.9pt;z-index:251660288;mso-width-relative:page;mso-height-relative:page;" fillcolor="#FFFFFF" filled="t" stroked="t" coordsize="21600,21600" o:gfxdata="UEsDBAoAAAAAAIdO4kAAAAAAAAAAAAAAAAAEAAAAZHJzL1BLAwQUAAAACACHTuJA+9/FaNcAAAAH&#10;AQAADwAAAGRycy9kb3ducmV2LnhtbE2PzUrEQBCE74LvMLTgzZ3EkN2QzWRBQQx6EKMPMMn0JsGZ&#10;nmxm9se3tz3ppaCppuqrandxVpxwCZMnBekqAYHUezPRoODz4+muABGiJqOtJ1TwjQF29fVVpUvj&#10;z/SOpzYOgkMolFrBGONcShn6EZ0OKz8jsbf3i9ORz2WQZtFnDndW3ifJWjo9ETeMesbHEfuv9ugU&#10;NK8bm7vmzXZt+nDo8/jynDQHpW5v0mQLIuIl/j3DLz6jQ81MnT+SCcIqyNY8JSpgZbcoMh7SKcjT&#10;bAOyruR//voHUEsDBBQAAAAIAIdO4kBu5aWkDAIAADgEAAAOAAAAZHJzL2Uyb0RvYy54bWytU0uO&#10;EzEQ3SNxB8t70p2EjDKtdEaCEDYIkAYO4NjVaUv+yXbSnQvADVixYc+5cg7K7kzmwyyymF64y67n&#10;V1WvyoubXiuyBx+kNTUdj0pKwHArpNnW9Pu39Zs5JSEyI5iyBmp6gEBvlq9fLTpXwcS2VgnwBElM&#10;qDpX0zZGVxVF4C1oFkbWgUFnY71mEbd+WwjPOmTXqpiU5VXRWS+ctxxCwNPV4KQnRn8JoW0ayWFl&#10;+U6DiQOrB8UilhRa6QJd5mybBnj80jQBIlE1xUpjXjEI2pu0FssFq7aeuVbyUwrskhSe1KSZNBj0&#10;TLVikZGdl/9Racm9DbaJI251MRSSFcEqxuUTbW5b5iDXglIHdxY9vBwt/7z/6okUNZ1RYpjGhh9/&#10;/Tz+/nv884O8TfJ0LlSIunWIi/072+PQ3J0HPExV943X6Y/1EPSjuIezuNBHwvFwNp1PZ1N0cfRN&#10;J1fj6+tZ4inurzsf4kewmiSjph67l0Vl+08hDtA7SIoWrJJiLZXKG7/dvFee7Bl2ep2/E/sjmDKk&#10;w/DzcZkyYTi/Dc4NmtqhBmKjcsBHV8JD5jJ/zzGnzFYstEMGmSHBWKVlBJ+tFpj4YASJB4c6G3xe&#10;NGWjQVCiAF9jsjIyMqkuQaJ4yqCGqUlDM5IV+02PNMncWHHAxu2cl9sWNc2ty3AcqCz+afjTxD7c&#10;Z9L7B7/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fxWjXAAAABwEAAA8AAAAAAAAAAQAgAAAA&#10;IgAAAGRycy9kb3ducmV2LnhtbFBLAQIUABQAAAAIAIdO4kBu5aWkDAIAADgEAAAOAAAAAAAAAAEA&#10;IAAAACYBAABkcnMvZTJvRG9jLnhtbFBLBQYAAAAABgAGAFkBAACkBQAAAAA=&#10;">
                <v:fill on="t" focussize="0,0"/>
                <v:stroke weight="3pt" color="#000000" linestyle="thinThin" joinstyle="miter"/>
                <v:imagedata o:title=""/>
                <o:lock v:ext="edit" aspectratio="f"/>
                <v:textbox>
                  <w:txbxContent>
                    <w:p>
                      <w:pPr>
                        <w:spacing w:line="440" w:lineRule="exact"/>
                        <w:rPr>
                          <w:rFonts w:ascii="宋体" w:hAnsi="宋体" w:cs="宋体"/>
                        </w:rPr>
                      </w:pPr>
                      <w:r>
                        <w:rPr>
                          <w:rFonts w:hint="eastAsia" w:ascii="宋体" w:hAnsi="宋体" w:cs="宋体"/>
                        </w:rPr>
                        <w:t>致：亿诚建设项目管理有限公司</w:t>
                      </w:r>
                    </w:p>
                    <w:p>
                      <w:pPr>
                        <w:spacing w:line="440" w:lineRule="exact"/>
                        <w:rPr>
                          <w:rFonts w:ascii="宋体" w:hAnsi="宋体" w:cs="宋体"/>
                        </w:rPr>
                      </w:pPr>
                      <w:r>
                        <w:rPr>
                          <w:rFonts w:hint="eastAsia" w:ascii="宋体" w:hAnsi="宋体" w:cs="宋体"/>
                        </w:rPr>
                        <w:t>文件编号：</w:t>
                      </w:r>
                    </w:p>
                    <w:p>
                      <w:pPr>
                        <w:spacing w:line="440" w:lineRule="exact"/>
                        <w:rPr>
                          <w:rFonts w:ascii="宋体" w:hAnsi="宋体" w:cs="宋体"/>
                        </w:rPr>
                      </w:pPr>
                      <w:r>
                        <w:rPr>
                          <w:rFonts w:hint="eastAsia" w:ascii="宋体" w:hAnsi="宋体" w:cs="宋体"/>
                        </w:rPr>
                        <w:t>项目名称：</w:t>
                      </w:r>
                    </w:p>
                    <w:p>
                      <w:pPr>
                        <w:spacing w:line="440" w:lineRule="exact"/>
                        <w:jc w:val="center"/>
                        <w:rPr>
                          <w:rFonts w:ascii="宋体" w:hAnsi="宋体" w:cs="宋体"/>
                          <w:sz w:val="36"/>
                          <w:szCs w:val="36"/>
                        </w:rPr>
                      </w:pPr>
                    </w:p>
                    <w:p>
                      <w:pPr>
                        <w:spacing w:line="440" w:lineRule="exact"/>
                        <w:jc w:val="center"/>
                        <w:rPr>
                          <w:rFonts w:ascii="宋体" w:hAnsi="宋体" w:cs="宋体"/>
                          <w:sz w:val="36"/>
                          <w:szCs w:val="36"/>
                        </w:rPr>
                      </w:pPr>
                      <w:r>
                        <w:rPr>
                          <w:rFonts w:hint="eastAsia" w:ascii="宋体" w:hAnsi="宋体" w:cs="宋体"/>
                          <w:sz w:val="36"/>
                          <w:szCs w:val="36"/>
                        </w:rPr>
                        <w:t xml:space="preserve"> 投 标 文 件（正本或副本）</w:t>
                      </w:r>
                    </w:p>
                    <w:p>
                      <w:pPr>
                        <w:spacing w:line="440" w:lineRule="exact"/>
                        <w:jc w:val="center"/>
                        <w:rPr>
                          <w:rFonts w:ascii="宋体" w:hAnsi="宋体" w:cs="宋体"/>
                        </w:rPr>
                      </w:pPr>
                      <w:r>
                        <w:rPr>
                          <w:rFonts w:hint="eastAsia" w:ascii="宋体" w:hAnsi="宋体" w:cs="宋体"/>
                        </w:rPr>
                        <w:t>（非开标大会不得启封）</w:t>
                      </w:r>
                    </w:p>
                    <w:p>
                      <w:pPr>
                        <w:rPr>
                          <w:rFonts w:ascii="宋体" w:hAnsi="宋体" w:cs="宋体"/>
                        </w:rPr>
                      </w:pPr>
                    </w:p>
                    <w:p>
                      <w:pPr>
                        <w:spacing w:line="440" w:lineRule="exact"/>
                        <w:rPr>
                          <w:rFonts w:ascii="宋体" w:hAnsi="宋体" w:cs="宋体"/>
                        </w:rPr>
                      </w:pPr>
                      <w:r>
                        <w:rPr>
                          <w:rFonts w:hint="eastAsia" w:ascii="宋体" w:hAnsi="宋体" w:cs="宋体"/>
                        </w:rPr>
                        <w:t>投标人名称：（法人公章及法定代表人印章）</w:t>
                      </w:r>
                    </w:p>
                    <w:p>
                      <w:pPr>
                        <w:spacing w:line="440" w:lineRule="exact"/>
                        <w:rPr>
                          <w:rFonts w:ascii="宋体" w:hAnsi="宋体" w:cs="宋体"/>
                        </w:rPr>
                      </w:pPr>
                      <w:r>
                        <w:rPr>
                          <w:rFonts w:hint="eastAsia" w:ascii="宋体" w:hAnsi="宋体" w:cs="宋体"/>
                        </w:rPr>
                        <w:t>邮    编：</w:t>
                      </w:r>
                    </w:p>
                    <w:p>
                      <w:pPr>
                        <w:spacing w:line="440" w:lineRule="exact"/>
                        <w:rPr>
                          <w:rFonts w:ascii="宋体" w:hAnsi="宋体" w:cs="宋体"/>
                        </w:rPr>
                      </w:pPr>
                      <w:r>
                        <w:rPr>
                          <w:rFonts w:hint="eastAsia" w:ascii="宋体" w:hAnsi="宋体" w:cs="宋体"/>
                        </w:rPr>
                        <w:t xml:space="preserve">通讯地址：  </w:t>
                      </w:r>
                    </w:p>
                    <w:p>
                      <w:pPr>
                        <w:spacing w:line="440" w:lineRule="exact"/>
                        <w:rPr>
                          <w:rFonts w:ascii="宋体" w:hAnsi="宋体" w:cs="宋体"/>
                        </w:rPr>
                      </w:pPr>
                      <w:r>
                        <w:rPr>
                          <w:rFonts w:hint="eastAsia" w:ascii="宋体" w:hAnsi="宋体" w:cs="宋体"/>
                        </w:rPr>
                        <w:t>联系人电话：</w:t>
                      </w:r>
                    </w:p>
                    <w:p>
                      <w:pPr>
                        <w:spacing w:line="440" w:lineRule="exact"/>
                        <w:rPr>
                          <w:rFonts w:ascii="仿宋_GB2312" w:eastAsia="仿宋_GB2312"/>
                        </w:rPr>
                      </w:pPr>
                      <w:r>
                        <w:rPr>
                          <w:rFonts w:hint="eastAsia" w:ascii="仿宋_GB2312" w:eastAsia="仿宋_GB2312"/>
                        </w:rPr>
                        <w:t xml:space="preserve">                      </w:t>
                      </w:r>
                    </w:p>
                    <w:p/>
                  </w:txbxContent>
                </v:textbox>
              </v:shape>
            </w:pict>
          </mc:Fallback>
        </mc:AlternateContent>
      </w: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kinsoku w:val="0"/>
        <w:spacing w:line="360" w:lineRule="atLeast"/>
        <w:rPr>
          <w:rFonts w:ascii="宋体" w:hAnsi="宋体" w:cs="宋体"/>
          <w:b/>
          <w:sz w:val="32"/>
          <w:szCs w:val="32"/>
        </w:rPr>
      </w:pPr>
    </w:p>
    <w:p>
      <w:pPr>
        <w:kinsoku w:val="0"/>
        <w:spacing w:line="360" w:lineRule="atLeast"/>
        <w:jc w:val="center"/>
        <w:rPr>
          <w:rFonts w:ascii="宋体" w:hAnsi="宋体" w:cs="宋体"/>
        </w:rPr>
      </w:pPr>
      <w:bookmarkStart w:id="372" w:name="_Toc27145_WPSOffice_Level1"/>
      <w:bookmarkStart w:id="373" w:name="_Toc20938_WPSOffice_Level1"/>
      <w:bookmarkStart w:id="374" w:name="_Toc18638_WPSOffice_Level1"/>
      <w:bookmarkStart w:id="375" w:name="_Toc12789_WPSOffice_Level1"/>
      <w:bookmarkStart w:id="376" w:name="_Toc18716_WPSOffice_Level1"/>
      <w:bookmarkStart w:id="377" w:name="_Toc14301_WPSOffice_Level1"/>
      <w:bookmarkStart w:id="378" w:name="_Toc8939_WPSOffice_Level1"/>
      <w:bookmarkStart w:id="379" w:name="_Toc4162_WPSOffice_Level1"/>
      <w:bookmarkStart w:id="380" w:name="_Toc31091_WPSOffice_Level1"/>
      <w:r>
        <w:rPr>
          <w:rFonts w:hint="eastAsia" w:ascii="宋体" w:hAnsi="宋体" w:cs="宋体"/>
          <w:b/>
          <w:sz w:val="32"/>
          <w:szCs w:val="32"/>
        </w:rPr>
        <w:t>开标报价一览表封袋正面标识式样</w:t>
      </w:r>
      <w:bookmarkEnd w:id="372"/>
      <w:bookmarkEnd w:id="373"/>
      <w:bookmarkEnd w:id="374"/>
      <w:bookmarkEnd w:id="375"/>
      <w:bookmarkEnd w:id="376"/>
      <w:bookmarkEnd w:id="377"/>
      <w:bookmarkEnd w:id="378"/>
      <w:bookmarkEnd w:id="379"/>
      <w:bookmarkEnd w:id="380"/>
    </w:p>
    <w:p>
      <w:pPr>
        <w:rPr>
          <w:rFonts w:ascii="宋体" w:hAnsi="宋体" w:cs="宋体"/>
        </w:rPr>
      </w:pPr>
    </w:p>
    <w:p>
      <w:r>
        <w:rPr>
          <w:rFonts w:hint="eastAsia" w:ascii="宋体" w:hAnsi="宋体" w:cs="宋体"/>
          <w:b/>
          <w:sz w:val="36"/>
          <w:szCs w:val="36"/>
        </w:rPr>
        <mc:AlternateContent>
          <mc:Choice Requires="wps">
            <w:drawing>
              <wp:anchor distT="0" distB="0" distL="114300" distR="114300" simplePos="0" relativeHeight="251661312" behindDoc="0" locked="0" layoutInCell="1" allowOverlap="1">
                <wp:simplePos x="0" y="0"/>
                <wp:positionH relativeFrom="column">
                  <wp:posOffset>250190</wp:posOffset>
                </wp:positionH>
                <wp:positionV relativeFrom="paragraph">
                  <wp:posOffset>100330</wp:posOffset>
                </wp:positionV>
                <wp:extent cx="5345430" cy="3276600"/>
                <wp:effectExtent l="12700" t="12700" r="13970" b="12700"/>
                <wp:wrapNone/>
                <wp:docPr id="4" name="文本框 5"/>
                <wp:cNvGraphicFramePr/>
                <a:graphic xmlns:a="http://schemas.openxmlformats.org/drawingml/2006/main">
                  <a:graphicData uri="http://schemas.microsoft.com/office/word/2010/wordprocessingShape">
                    <wps:wsp>
                      <wps:cNvSpPr txBox="1"/>
                      <wps:spPr>
                        <a:xfrm>
                          <a:off x="0" y="0"/>
                          <a:ext cx="5345430" cy="32766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spacing w:line="440" w:lineRule="exact"/>
                              <w:rPr>
                                <w:rFonts w:ascii="宋体" w:hAnsi="宋体" w:cs="宋体"/>
                              </w:rPr>
                            </w:pPr>
                            <w:r>
                              <w:rPr>
                                <w:rFonts w:hint="eastAsia" w:ascii="宋体" w:hAnsi="宋体" w:cs="宋体"/>
                              </w:rPr>
                              <w:t>致：亿诚建设项目管理有限公司</w:t>
                            </w:r>
                          </w:p>
                          <w:p>
                            <w:pPr>
                              <w:spacing w:line="440" w:lineRule="exact"/>
                              <w:rPr>
                                <w:rFonts w:ascii="宋体" w:hAnsi="宋体" w:cs="宋体"/>
                              </w:rPr>
                            </w:pPr>
                            <w:r>
                              <w:rPr>
                                <w:rFonts w:hint="eastAsia" w:ascii="宋体" w:hAnsi="宋体" w:cs="宋体"/>
                              </w:rPr>
                              <w:t>文件编号：</w:t>
                            </w:r>
                          </w:p>
                          <w:p>
                            <w:pPr>
                              <w:spacing w:line="440" w:lineRule="exact"/>
                              <w:rPr>
                                <w:rFonts w:ascii="宋体" w:hAnsi="宋体" w:cs="宋体"/>
                              </w:rPr>
                            </w:pPr>
                            <w:r>
                              <w:rPr>
                                <w:rFonts w:hint="eastAsia" w:ascii="宋体" w:hAnsi="宋体" w:cs="宋体"/>
                              </w:rPr>
                              <w:t>项目名称</w:t>
                            </w:r>
                          </w:p>
                          <w:p>
                            <w:pPr>
                              <w:spacing w:line="440" w:lineRule="exact"/>
                              <w:jc w:val="center"/>
                              <w:rPr>
                                <w:rFonts w:ascii="宋体" w:hAnsi="宋体" w:cs="宋体"/>
                                <w:sz w:val="36"/>
                                <w:szCs w:val="36"/>
                              </w:rPr>
                            </w:pPr>
                            <w:r>
                              <w:rPr>
                                <w:rFonts w:hint="eastAsia" w:ascii="宋体" w:hAnsi="宋体" w:cs="宋体"/>
                                <w:sz w:val="36"/>
                                <w:szCs w:val="36"/>
                              </w:rPr>
                              <w:t>开 标 报 价 一 览 表</w:t>
                            </w:r>
                          </w:p>
                          <w:p>
                            <w:pPr>
                              <w:spacing w:line="440" w:lineRule="exact"/>
                              <w:jc w:val="center"/>
                              <w:rPr>
                                <w:rFonts w:ascii="宋体" w:hAnsi="宋体" w:cs="宋体"/>
                              </w:rPr>
                            </w:pPr>
                            <w:r>
                              <w:rPr>
                                <w:rFonts w:hint="eastAsia" w:ascii="宋体" w:hAnsi="宋体" w:cs="宋体"/>
                              </w:rPr>
                              <w:t>（非公开唱标不得启封）</w:t>
                            </w:r>
                          </w:p>
                          <w:p>
                            <w:pPr>
                              <w:rPr>
                                <w:rFonts w:ascii="宋体" w:hAnsi="宋体" w:cs="宋体"/>
                              </w:rPr>
                            </w:pPr>
                          </w:p>
                          <w:p>
                            <w:pPr>
                              <w:spacing w:line="360" w:lineRule="auto"/>
                              <w:rPr>
                                <w:rFonts w:ascii="宋体" w:hAnsi="宋体" w:cs="宋体"/>
                              </w:rPr>
                            </w:pPr>
                            <w:r>
                              <w:rPr>
                                <w:rFonts w:hint="eastAsia" w:ascii="宋体" w:hAnsi="宋体" w:cs="宋体"/>
                              </w:rPr>
                              <w:t>投标人名称：（法人公章及法定代表人印章）</w:t>
                            </w:r>
                          </w:p>
                          <w:p>
                            <w:pPr>
                              <w:spacing w:line="360" w:lineRule="auto"/>
                              <w:rPr>
                                <w:rFonts w:ascii="宋体" w:hAnsi="宋体" w:cs="宋体"/>
                              </w:rPr>
                            </w:pPr>
                            <w:r>
                              <w:rPr>
                                <w:rFonts w:hint="eastAsia" w:ascii="宋体" w:hAnsi="宋体" w:cs="宋体"/>
                              </w:rPr>
                              <w:t xml:space="preserve">封装内容：开标报价一览表及电子文档   </w:t>
                            </w:r>
                          </w:p>
                          <w:p>
                            <w:pPr>
                              <w:spacing w:line="360" w:lineRule="auto"/>
                              <w:rPr>
                                <w:rFonts w:ascii="宋体" w:hAnsi="宋体" w:cs="宋体"/>
                              </w:rPr>
                            </w:pPr>
                            <w:r>
                              <w:rPr>
                                <w:rFonts w:hint="eastAsia" w:ascii="宋体" w:hAnsi="宋体" w:cs="宋体"/>
                              </w:rPr>
                              <w:t>邮    编：</w:t>
                            </w:r>
                          </w:p>
                          <w:p>
                            <w:pPr>
                              <w:spacing w:line="360" w:lineRule="auto"/>
                              <w:rPr>
                                <w:rFonts w:ascii="宋体" w:hAnsi="宋体" w:cs="宋体"/>
                              </w:rPr>
                            </w:pPr>
                            <w:r>
                              <w:rPr>
                                <w:rFonts w:hint="eastAsia" w:ascii="宋体" w:hAnsi="宋体" w:cs="宋体"/>
                              </w:rPr>
                              <w:t xml:space="preserve">通讯地址：  </w:t>
                            </w:r>
                          </w:p>
                          <w:p>
                            <w:pPr>
                              <w:spacing w:line="360" w:lineRule="auto"/>
                              <w:rPr>
                                <w:rFonts w:ascii="宋体" w:hAnsi="宋体" w:cs="宋体"/>
                              </w:rPr>
                            </w:pPr>
                            <w:r>
                              <w:rPr>
                                <w:rFonts w:hint="eastAsia" w:ascii="宋体" w:hAnsi="宋体" w:cs="宋体"/>
                              </w:rPr>
                              <w:t>联系人电话：</w:t>
                            </w:r>
                          </w:p>
                          <w:p>
                            <w:pPr>
                              <w:rPr>
                                <w:rFonts w:ascii="宋体" w:hAnsi="宋体" w:cs="宋体"/>
                              </w:rPr>
                            </w:pPr>
                            <w:r>
                              <w:rPr>
                                <w:rFonts w:hint="eastAsia" w:ascii="宋体" w:hAnsi="宋体" w:cs="宋体"/>
                              </w:rPr>
                              <w:t xml:space="preserve">              </w:t>
                            </w:r>
                          </w:p>
                        </w:txbxContent>
                      </wps:txbx>
                      <wps:bodyPr upright="1"/>
                    </wps:wsp>
                  </a:graphicData>
                </a:graphic>
              </wp:anchor>
            </w:drawing>
          </mc:Choice>
          <mc:Fallback>
            <w:pict>
              <v:shape id="文本框 5" o:spid="_x0000_s1026" o:spt="202" type="#_x0000_t202" style="position:absolute;left:0pt;margin-left:19.7pt;margin-top:7.9pt;height:258pt;width:420.9pt;z-index:251661312;mso-width-relative:page;mso-height-relative:page;" fillcolor="#FFFFFF" filled="t" stroked="t" coordsize="21600,21600" o:gfxdata="UEsDBAoAAAAAAIdO4kAAAAAAAAAAAAAAAAAEAAAAZHJzL1BLAwQUAAAACACHTuJA7BlM89gAAAAJ&#10;AQAADwAAAGRycy9kb3ducmV2LnhtbE2PzU7DMBCE70i8g7VI3KjtlkAIcSqBhIjoAZH2AZzYJBH2&#10;Oo3dH96e5QTHnRnNflOuz96xo53jGFCBXAhgFrtgRuwV7LYvNzmwmDQa7QJaBd82wrq6vCh1YcIJ&#10;P+yxST2jEoyFVjCkNBWcx26wXsdFmCyS9xlmrxOdc8/NrE9U7h1fCnHHvR6RPgx6ss+D7b6ag1dQ&#10;b+5d5ut31zbyad9l6e1V1Hulrq+keASW7Dn9heEXn9ChIqY2HNBE5hSsHm4pSXpGC8jPc7kE1irI&#10;VjIHXpX8/4LqB1BLAwQUAAAACACHTuJAR9iYqg0CAAA4BAAADgAAAGRycy9lMm9Eb2MueG1srVNL&#10;jhMxEN0jcQfLe9KdL6NWOiNBCBsESAMHcOzqbkv+yXbSnQvADVixYc+5cg7KTibzgUUW9MJddpVf&#10;1XtVXt4OWpE9+CCtqel4VFIChlshTVvTr182r24oCZEZwZQ1UNMDBHq7evli2bsKJrazSoAnCGJC&#10;1buadjG6qigC70CzMLIODDob6zWLuPVtITzrEV2rYlKWi6K3XjhvOYSAp+uTk54R/TWAtmkkh7Xl&#10;Ow0mnlA9KBaRUuikC3SVq20a4PFT0wSIRNUUmca8YhK0t2ktVktWtZ65TvJzCeyaEp5x0kwaTHqB&#10;WrPIyM7Lv6C05N4G28QRt7o4EcmKIItx+Uybu445yFxQ6uAuoof/B8s/7j97IkVNZ5QYprHhxx/f&#10;jz9/H399I/MkT+9ChVF3DuPi8MYOODT35wEPE+uh8Tr9kQ9BP4p7uIgLQyQcD+fT2Xw2RRdH33Ty&#10;erEos/zFw3XnQ3wPVpNk1NRj97KobP8hRCwFQ+9DUrZglRQbqVTe+Hb7VnmyZ9jpTf5SlXjlSZgy&#10;pMf0N2NMTjjD+W1wbtDUDjUQW5UTPrkSHiOX+fsXcqpszUJ3qiAjpDBWaRnBZ6sDJt4ZQeLBoc4G&#10;nxdN1WgQlCjA15isHBmZVNdEIj1lkGVq0qkZyYrDdkCYZG6tOGDjds7LtkNNc+tyOA5Uluc8/Gli&#10;H+8z6MOD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BlM89gAAAAJAQAADwAAAAAAAAABACAA&#10;AAAiAAAAZHJzL2Rvd25yZXYueG1sUEsBAhQAFAAAAAgAh07iQEfYmKoNAgAAOAQAAA4AAAAAAAAA&#10;AQAgAAAAJwEAAGRycy9lMm9Eb2MueG1sUEsFBgAAAAAGAAYAWQEAAKYFAAAAAA==&#10;">
                <v:fill on="t" focussize="0,0"/>
                <v:stroke weight="3pt" color="#000000" linestyle="thinThin" joinstyle="miter"/>
                <v:imagedata o:title=""/>
                <o:lock v:ext="edit" aspectratio="f"/>
                <v:textbox>
                  <w:txbxContent>
                    <w:p>
                      <w:pPr>
                        <w:spacing w:line="440" w:lineRule="exact"/>
                        <w:rPr>
                          <w:rFonts w:ascii="宋体" w:hAnsi="宋体" w:cs="宋体"/>
                        </w:rPr>
                      </w:pPr>
                      <w:r>
                        <w:rPr>
                          <w:rFonts w:hint="eastAsia" w:ascii="宋体" w:hAnsi="宋体" w:cs="宋体"/>
                        </w:rPr>
                        <w:t>致：亿诚建设项目管理有限公司</w:t>
                      </w:r>
                    </w:p>
                    <w:p>
                      <w:pPr>
                        <w:spacing w:line="440" w:lineRule="exact"/>
                        <w:rPr>
                          <w:rFonts w:ascii="宋体" w:hAnsi="宋体" w:cs="宋体"/>
                        </w:rPr>
                      </w:pPr>
                      <w:r>
                        <w:rPr>
                          <w:rFonts w:hint="eastAsia" w:ascii="宋体" w:hAnsi="宋体" w:cs="宋体"/>
                        </w:rPr>
                        <w:t>文件编号：</w:t>
                      </w:r>
                    </w:p>
                    <w:p>
                      <w:pPr>
                        <w:spacing w:line="440" w:lineRule="exact"/>
                        <w:rPr>
                          <w:rFonts w:ascii="宋体" w:hAnsi="宋体" w:cs="宋体"/>
                        </w:rPr>
                      </w:pPr>
                      <w:r>
                        <w:rPr>
                          <w:rFonts w:hint="eastAsia" w:ascii="宋体" w:hAnsi="宋体" w:cs="宋体"/>
                        </w:rPr>
                        <w:t>项目名称</w:t>
                      </w:r>
                    </w:p>
                    <w:p>
                      <w:pPr>
                        <w:spacing w:line="440" w:lineRule="exact"/>
                        <w:jc w:val="center"/>
                        <w:rPr>
                          <w:rFonts w:ascii="宋体" w:hAnsi="宋体" w:cs="宋体"/>
                          <w:sz w:val="36"/>
                          <w:szCs w:val="36"/>
                        </w:rPr>
                      </w:pPr>
                      <w:r>
                        <w:rPr>
                          <w:rFonts w:hint="eastAsia" w:ascii="宋体" w:hAnsi="宋体" w:cs="宋体"/>
                          <w:sz w:val="36"/>
                          <w:szCs w:val="36"/>
                        </w:rPr>
                        <w:t>开 标 报 价 一 览 表</w:t>
                      </w:r>
                    </w:p>
                    <w:p>
                      <w:pPr>
                        <w:spacing w:line="440" w:lineRule="exact"/>
                        <w:jc w:val="center"/>
                        <w:rPr>
                          <w:rFonts w:ascii="宋体" w:hAnsi="宋体" w:cs="宋体"/>
                        </w:rPr>
                      </w:pPr>
                      <w:r>
                        <w:rPr>
                          <w:rFonts w:hint="eastAsia" w:ascii="宋体" w:hAnsi="宋体" w:cs="宋体"/>
                        </w:rPr>
                        <w:t>（非公开唱标不得启封）</w:t>
                      </w:r>
                    </w:p>
                    <w:p>
                      <w:pPr>
                        <w:rPr>
                          <w:rFonts w:ascii="宋体" w:hAnsi="宋体" w:cs="宋体"/>
                        </w:rPr>
                      </w:pPr>
                    </w:p>
                    <w:p>
                      <w:pPr>
                        <w:spacing w:line="360" w:lineRule="auto"/>
                        <w:rPr>
                          <w:rFonts w:ascii="宋体" w:hAnsi="宋体" w:cs="宋体"/>
                        </w:rPr>
                      </w:pPr>
                      <w:r>
                        <w:rPr>
                          <w:rFonts w:hint="eastAsia" w:ascii="宋体" w:hAnsi="宋体" w:cs="宋体"/>
                        </w:rPr>
                        <w:t>投标人名称：（法人公章及法定代表人印章）</w:t>
                      </w:r>
                    </w:p>
                    <w:p>
                      <w:pPr>
                        <w:spacing w:line="360" w:lineRule="auto"/>
                        <w:rPr>
                          <w:rFonts w:ascii="宋体" w:hAnsi="宋体" w:cs="宋体"/>
                        </w:rPr>
                      </w:pPr>
                      <w:r>
                        <w:rPr>
                          <w:rFonts w:hint="eastAsia" w:ascii="宋体" w:hAnsi="宋体" w:cs="宋体"/>
                        </w:rPr>
                        <w:t xml:space="preserve">封装内容：开标报价一览表及电子文档   </w:t>
                      </w:r>
                    </w:p>
                    <w:p>
                      <w:pPr>
                        <w:spacing w:line="360" w:lineRule="auto"/>
                        <w:rPr>
                          <w:rFonts w:ascii="宋体" w:hAnsi="宋体" w:cs="宋体"/>
                        </w:rPr>
                      </w:pPr>
                      <w:r>
                        <w:rPr>
                          <w:rFonts w:hint="eastAsia" w:ascii="宋体" w:hAnsi="宋体" w:cs="宋体"/>
                        </w:rPr>
                        <w:t>邮    编：</w:t>
                      </w:r>
                    </w:p>
                    <w:p>
                      <w:pPr>
                        <w:spacing w:line="360" w:lineRule="auto"/>
                        <w:rPr>
                          <w:rFonts w:ascii="宋体" w:hAnsi="宋体" w:cs="宋体"/>
                        </w:rPr>
                      </w:pPr>
                      <w:r>
                        <w:rPr>
                          <w:rFonts w:hint="eastAsia" w:ascii="宋体" w:hAnsi="宋体" w:cs="宋体"/>
                        </w:rPr>
                        <w:t xml:space="preserve">通讯地址：  </w:t>
                      </w:r>
                    </w:p>
                    <w:p>
                      <w:pPr>
                        <w:spacing w:line="360" w:lineRule="auto"/>
                        <w:rPr>
                          <w:rFonts w:ascii="宋体" w:hAnsi="宋体" w:cs="宋体"/>
                        </w:rPr>
                      </w:pPr>
                      <w:r>
                        <w:rPr>
                          <w:rFonts w:hint="eastAsia" w:ascii="宋体" w:hAnsi="宋体" w:cs="宋体"/>
                        </w:rPr>
                        <w:t>联系人电话：</w:t>
                      </w:r>
                    </w:p>
                    <w:p>
                      <w:pPr>
                        <w:rPr>
                          <w:rFonts w:ascii="宋体" w:hAnsi="宋体" w:cs="宋体"/>
                        </w:rPr>
                      </w:pPr>
                      <w:r>
                        <w:rPr>
                          <w:rFonts w:hint="eastAsia" w:ascii="宋体" w:hAnsi="宋体" w:cs="宋体"/>
                        </w:rPr>
                        <w:t xml:space="preserve">              </w:t>
                      </w:r>
                    </w:p>
                  </w:txbxContent>
                </v:textbox>
              </v:shape>
            </w:pict>
          </mc:Fallback>
        </mc:AlternateContent>
      </w:r>
    </w:p>
    <w:p>
      <w:pPr>
        <w:rPr>
          <w:rFonts w:ascii="宋体" w:hAnsi="宋体" w:cs="宋体"/>
        </w:rPr>
      </w:pPr>
    </w:p>
    <w:p>
      <w:pPr>
        <w:pStyle w:val="2"/>
      </w:pPr>
    </w:p>
    <w:p>
      <w:pPr>
        <w:pStyle w:val="3"/>
      </w:pPr>
    </w:p>
    <w:p>
      <w:pPr>
        <w:pStyle w:val="3"/>
      </w:pPr>
    </w:p>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356"/>
    <w:p>
      <w:pPr>
        <w:pStyle w:val="103"/>
        <w:ind w:firstLine="0" w:firstLineChars="0"/>
        <w:rPr>
          <w:rFonts w:ascii="宋体" w:hAnsi="宋体" w:cs="宋体"/>
          <w:b/>
          <w:sz w:val="28"/>
          <w:szCs w:val="28"/>
        </w:rPr>
      </w:pPr>
    </w:p>
    <w:sectPr>
      <w:footerReference r:id="rId8" w:type="default"/>
      <w:pgSz w:w="11906" w:h="16838"/>
      <w:pgMar w:top="1440" w:right="1080" w:bottom="1440" w:left="1080"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ourceHanSansCN-Regular">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737"/>
        <w:tab w:val="left" w:pos="7180"/>
      </w:tabs>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mcTOwBAADVAwAADgAAAGRycy9lMm9Eb2MueG1srVNNrtMwEN4jcQfL&#10;e5q0QqhETZ+AqgiJP+nBARzHaSzFHmvsNikHgBuwYsOec/Ucb+wkBR6bt2BjjWfG38z3zXhzM5iO&#10;nRR6Dbbky0XOmbISam0PJf/8af9kzZkPwtaiA6tKflae32wfP9r0rlAraKGrFTICsb7oXcnbEFyR&#10;ZV62ygi/AKcsBRtAIwJd8ZDVKHpCN122yvNnWQ9YOwSpvCfvbgzyCREfAghNo6XagTwaZcOIiqoT&#10;gSj5VjvPt6nbplEyfGgarwLrSk5MQzqpCNlVPLPtRhQHFK7VcmpBPKSFe5yM0JaKXqF2Igh2RP0P&#10;lNESwUMTFhJMNhJJihCLZX5Pm9tWOJW4kNTeXUX3/w9Wvj99RKbrkj/nzApDA798/3b58evy8ytb&#10;PY369M4XlHbrKDEML2GgrZn9Pjqr/h3U9FAcAyQRhgZNFIPoMcomrc9XrdUQmIwQ69V6nVNIUmy+&#10;ULVMFPNzhz68VmBYNEqONMwEL05vfRhT55RYzcJed10aaGf/chBm9GSRSex45BSGapjoVVCfiQjC&#10;uB/0O8hoAb9w1tNulNzSV+Cse2NJ+rhGs4GzUc2GsJIeljxwNpqvwrhuR4f60BLuMpHw7gXJtdeJ&#10;SGxs7GHqkqadpJg2M67Tn/eU9fs3bu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AnJnEzs&#10;AQAA1QMAAA4AAAAAAAAAAQAgAAAAHgEAAGRycy9lMm9Eb2MueG1sUEsFBgAAAAAGAAYAWQEAAHwF&#10;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9"/>
      </w:rPr>
    </w:pPr>
    <w:r>
      <w:fldChar w:fldCharType="begin"/>
    </w:r>
    <w:r>
      <w:rPr>
        <w:rStyle w:val="39"/>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mnCOsBAADVAwAADgAAAGRycy9lMm9Eb2MueG1srVNNrtMwEN4jcQfL&#10;e5q0EqiKmj4BVRESf9KDAziO01iKPdbYbVIOADdgxYY95+o5GDtJ4b23eQs21nhm/M1834w3N4Pp&#10;2Emh12BLvlzknCkrodb2UPIvn/fP1pz5IGwtOrCq5Gfl+c326ZNN7wq1gha6WiEjEOuL3pW8DcEV&#10;WeZlq4zwC3DKUrABNCLQFQ9ZjaIndNNlqzx/kfWAtUOQynvy7sYgnxDxMYDQNFqqHcijUTaMqKg6&#10;EYiSb7XzfJu6bRolw8em8SqwruTENKSTipBdxTPbbkRxQOFaLacWxGNauMfJCG2p6BVqJ4JgR9QP&#10;oIyWCB6asJBgspFIUoRYLPN72ty2wqnEhaT27iq6/3+w8sPpEzJdl5zGboWhgV9+fL/8/H359Y2t&#10;nkd9eucLSrt1lBiGVzDQ1sx+H51V/x5qeiiOAZIIQ4MmikH0GGWT1uer1moITEaI9Wq9zikkKTZf&#10;qFomivm5Qx/eKDAsGiVHGmaCF6d3Poypc0qsZmGvuy4NtLN3HIQZPVlkEjseOYWhGiZ6FdRnIoIw&#10;7gf9DjJawK+c9bQbJbf0FTjr3lqSPq7RbOBsVLMhrKSHJQ+cjebrMK7b0aE+tIS7TCS8e0ly7XUi&#10;Ehsbe5i6pGknKabNjOv07z1l/f2N2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0BmnCOsB&#10;AADVAwAADgAAAAAAAAABACAAAAAeAQAAZHJzL2Uyb0RvYy54bWxQSwUGAAAAAAYABgBZAQAAewUA&#10;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S3sewBAADVAwAADgAAAGRycy9lMm9Eb2MueG1srVNNrtMwEN4jcQfL&#10;e5q0i0cVNX0CqiIk/qQHB3Acp7EUe6yx26QcAG7Aig17ztVzvLGTFHhs3oKNNZ4ZfzPfN+PN7WA6&#10;dlLoNdiSLxc5Z8pKqLU9lPzzp/2zNWc+CFuLDqwq+Vl5frt9+mTTu0KtoIWuVsgIxPqidyVvQ3BF&#10;lnnZKiP8ApyyFGwAjQh0xUNWo+gJ3XTZKs9vsh6wdghSeU/e3RjkEyI+BhCaRku1A3k0yoYRFVUn&#10;AlHyrXaeb1O3TaNk+NA0XgXWlZyYhnRSEbKreGbbjSgOKFyr5dSCeEwLDzgZoS0VvULtRBDsiPof&#10;KKMlgocmLCSYbCSSFCEWy/yBNnetcCpxIam9u4ru/x+sfH/6iEzXJX/OmRWGBn75/u3y49fl51e2&#10;uon69M4XlHbnKDEML2GgrZn9Pjqr/h3U9FAcAyQRhgZNFIPoMcomrc9XrdUQmIwQ69V6nVNIUmy+&#10;ULVMFPNzhz68VmBYNEqONMwEL05vfRhT55RYzcJed10aaGf/chBm9GSRSex45BSGapjoVVCfiQjC&#10;uB/0O8hoAb9w1tNulNzSV+Cse2NJ+rhGs4GzUc2GsJIeljxwNpqvwrhuR4f60BLuMpHw7gXJtdeJ&#10;SGxs7GHqkqadpJg2M67Tn/eU9fs3bu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NuUt7Hs&#10;AQAA1QMAAA4AAAAAAAAAAQAgAAAAHgEAAGRycy9lMm9Eb2MueG1sUEsFBgAAAAAGAAYAWQEAAHwF&#10;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SM9ewBAADVAwAADgAAAGRycy9lMm9Eb2MueG1srVNNrtMwEN4jcQfL&#10;e5q0i0cVNX0CqiIk/qQHB3Acp7EUe6yx26QcAG7Aig17ztVzvLGTFHhs3oKNNZ4ZfzPfN+PN7WA6&#10;dlLoNdiSLxc5Z8pKqLU9lPzzp/2zNWc+CFuLDqwq+Vl5frt9+mTTu0KtoIWuVsgIxPqidyVvQ3BF&#10;lnnZKiP8ApyyFGwAjQh0xUNWo+gJ3XTZKs9vsh6wdghSeU/e3RjkEyI+BhCaRku1A3k0yoYRFVUn&#10;AlHyrXaeb1O3TaNk+NA0XgXWlZyYhnRSEbKreGbbjSgOKFyr5dSCeEwLDzgZoS0VvULtRBDsiPof&#10;KKMlgocmLCSYbCSSFCEWy/yBNnetcCpxIam9u4ru/x+sfH/6iEzXJb/hzApDA798/3b58evy8ytb&#10;PY/69M4XlHbnKDEML2GgrZn9Pjqr/h3U9FAcAyQRhgZNFIPoMcomrc9XrdUQmIwQ69V6nVNIUmy+&#10;ULVMFPNzhz68VmBYNEqONMwEL05vfRhT55RYzcJed10aaGf/chBm9GSRSex45BSGapjoVVCfiQjC&#10;uB/0O8hoAb9w1tNulNzSV+Cse2NJ+rhGs4GzUc2GsJIeljxwNpqvwrhuR4f60BLuMpHw7gXJtdeJ&#10;SGxs7GHqkqadpJg2M67Tn/eU9fs3bu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AJEjPXs&#10;AQAA1QMAAA4AAAAAAAAAAQAgAAAAHgEAAGRycy9lMm9Eb2MueG1sUEsFBgAAAAAGAAYAWQEAAHwF&#10;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2F039"/>
    <w:multiLevelType w:val="singleLevel"/>
    <w:tmpl w:val="9502F039"/>
    <w:lvl w:ilvl="0" w:tentative="0">
      <w:start w:val="1"/>
      <w:numFmt w:val="decimal"/>
      <w:suff w:val="nothing"/>
      <w:lvlText w:val="%1、"/>
      <w:lvlJc w:val="left"/>
    </w:lvl>
  </w:abstractNum>
  <w:abstractNum w:abstractNumId="1">
    <w:nsid w:val="DC666812"/>
    <w:multiLevelType w:val="singleLevel"/>
    <w:tmpl w:val="DC666812"/>
    <w:lvl w:ilvl="0" w:tentative="0">
      <w:start w:val="4"/>
      <w:numFmt w:val="chineseCounting"/>
      <w:suff w:val="nothing"/>
      <w:lvlText w:val="%1、"/>
      <w:lvlJc w:val="left"/>
      <w:rPr>
        <w:rFonts w:hint="eastAsia"/>
      </w:rPr>
    </w:lvl>
  </w:abstractNum>
  <w:abstractNum w:abstractNumId="2">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3">
    <w:nsid w:val="37CEC924"/>
    <w:multiLevelType w:val="singleLevel"/>
    <w:tmpl w:val="37CEC924"/>
    <w:lvl w:ilvl="0" w:tentative="0">
      <w:start w:val="2"/>
      <w:numFmt w:val="decimal"/>
      <w:suff w:val="nothing"/>
      <w:lvlText w:val="（%1）"/>
      <w:lvlJc w:val="left"/>
    </w:lvl>
  </w:abstractNum>
  <w:abstractNum w:abstractNumId="4">
    <w:nsid w:val="3BF74C1A"/>
    <w:multiLevelType w:val="singleLevel"/>
    <w:tmpl w:val="3BF74C1A"/>
    <w:lvl w:ilvl="0" w:tentative="0">
      <w:start w:val="1"/>
      <w:numFmt w:val="decimal"/>
      <w:suff w:val="nothing"/>
      <w:lvlText w:val="（%1）"/>
      <w:lvlJc w:val="left"/>
      <w:pPr>
        <w:ind w:left="421" w:firstLine="0"/>
      </w:pPr>
    </w:lvl>
  </w:abstractNum>
  <w:abstractNum w:abstractNumId="5">
    <w:nsid w:val="55AC6D80"/>
    <w:multiLevelType w:val="singleLevel"/>
    <w:tmpl w:val="55AC6D80"/>
    <w:lvl w:ilvl="0" w:tentative="0">
      <w:start w:val="1"/>
      <w:numFmt w:val="decimal"/>
      <w:suff w:val="nothing"/>
      <w:lvlText w:val="%1、"/>
      <w:lvlJc w:val="left"/>
    </w:lvl>
  </w:abstractNum>
  <w:abstractNum w:abstractNumId="6">
    <w:nsid w:val="5784B18C"/>
    <w:multiLevelType w:val="singleLevel"/>
    <w:tmpl w:val="5784B18C"/>
    <w:lvl w:ilvl="0" w:tentative="0">
      <w:start w:val="4"/>
      <w:numFmt w:val="decimal"/>
      <w:suff w:val="nothing"/>
      <w:lvlText w:val="%1、"/>
      <w:lvlJc w:val="left"/>
    </w:lvl>
  </w:abstractNum>
  <w:abstractNum w:abstractNumId="7">
    <w:nsid w:val="76EFA285"/>
    <w:multiLevelType w:val="singleLevel"/>
    <w:tmpl w:val="76EFA285"/>
    <w:lvl w:ilvl="0" w:tentative="0">
      <w:start w:val="1"/>
      <w:numFmt w:val="decimal"/>
      <w:suff w:val="nothing"/>
      <w:lvlText w:val="（%1）"/>
      <w:lvlJc w:val="left"/>
    </w:lvl>
  </w:abstractNum>
  <w:num w:numId="1">
    <w:abstractNumId w:val="6"/>
  </w:num>
  <w:num w:numId="2">
    <w:abstractNumId w:val="5"/>
  </w:num>
  <w:num w:numId="3">
    <w:abstractNumId w:val="4"/>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NGFjODc1OTQzMDg1OTc5MTNjNmRmMDZiMjJmZWEifQ=="/>
  </w:docVars>
  <w:rsids>
    <w:rsidRoot w:val="00BE4C1F"/>
    <w:rsid w:val="000026F0"/>
    <w:rsid w:val="0000407E"/>
    <w:rsid w:val="00004BD9"/>
    <w:rsid w:val="00005CC7"/>
    <w:rsid w:val="000072A2"/>
    <w:rsid w:val="00015FB6"/>
    <w:rsid w:val="00020320"/>
    <w:rsid w:val="000227BE"/>
    <w:rsid w:val="000234FC"/>
    <w:rsid w:val="000235EB"/>
    <w:rsid w:val="00025F5D"/>
    <w:rsid w:val="00033207"/>
    <w:rsid w:val="00037FEB"/>
    <w:rsid w:val="000434C4"/>
    <w:rsid w:val="00046AD3"/>
    <w:rsid w:val="000532A7"/>
    <w:rsid w:val="000575E3"/>
    <w:rsid w:val="000603E2"/>
    <w:rsid w:val="00065EC8"/>
    <w:rsid w:val="000713D1"/>
    <w:rsid w:val="00072D9D"/>
    <w:rsid w:val="00073C07"/>
    <w:rsid w:val="000748F7"/>
    <w:rsid w:val="00076BBC"/>
    <w:rsid w:val="00077564"/>
    <w:rsid w:val="0008045B"/>
    <w:rsid w:val="00082983"/>
    <w:rsid w:val="0008495C"/>
    <w:rsid w:val="000855A5"/>
    <w:rsid w:val="0008702B"/>
    <w:rsid w:val="000900D7"/>
    <w:rsid w:val="00093551"/>
    <w:rsid w:val="00093A51"/>
    <w:rsid w:val="00093F0B"/>
    <w:rsid w:val="0009447D"/>
    <w:rsid w:val="00095851"/>
    <w:rsid w:val="00095B10"/>
    <w:rsid w:val="000A6980"/>
    <w:rsid w:val="000A6FC6"/>
    <w:rsid w:val="000B096B"/>
    <w:rsid w:val="000B60AE"/>
    <w:rsid w:val="000C425E"/>
    <w:rsid w:val="000D0100"/>
    <w:rsid w:val="000D1B43"/>
    <w:rsid w:val="000D36EA"/>
    <w:rsid w:val="000D4FC6"/>
    <w:rsid w:val="000D530A"/>
    <w:rsid w:val="000D698D"/>
    <w:rsid w:val="000E2093"/>
    <w:rsid w:val="000E4F9A"/>
    <w:rsid w:val="000E57B1"/>
    <w:rsid w:val="000F6084"/>
    <w:rsid w:val="000F6ABD"/>
    <w:rsid w:val="00106736"/>
    <w:rsid w:val="00107DAD"/>
    <w:rsid w:val="00110E94"/>
    <w:rsid w:val="00112049"/>
    <w:rsid w:val="00115979"/>
    <w:rsid w:val="00116817"/>
    <w:rsid w:val="00116E38"/>
    <w:rsid w:val="00117E14"/>
    <w:rsid w:val="0012081F"/>
    <w:rsid w:val="00120F11"/>
    <w:rsid w:val="0012354D"/>
    <w:rsid w:val="001237CB"/>
    <w:rsid w:val="001244F1"/>
    <w:rsid w:val="0012491F"/>
    <w:rsid w:val="00125816"/>
    <w:rsid w:val="0013204D"/>
    <w:rsid w:val="00135487"/>
    <w:rsid w:val="001465D7"/>
    <w:rsid w:val="0014717D"/>
    <w:rsid w:val="00147B01"/>
    <w:rsid w:val="00154893"/>
    <w:rsid w:val="00155605"/>
    <w:rsid w:val="001558F7"/>
    <w:rsid w:val="001617D1"/>
    <w:rsid w:val="00163233"/>
    <w:rsid w:val="0016399A"/>
    <w:rsid w:val="00164FAA"/>
    <w:rsid w:val="001655C5"/>
    <w:rsid w:val="0016613F"/>
    <w:rsid w:val="00166D74"/>
    <w:rsid w:val="001705D0"/>
    <w:rsid w:val="00170A4E"/>
    <w:rsid w:val="00171ADD"/>
    <w:rsid w:val="001733C8"/>
    <w:rsid w:val="001737B9"/>
    <w:rsid w:val="0017554E"/>
    <w:rsid w:val="00175AE2"/>
    <w:rsid w:val="00176922"/>
    <w:rsid w:val="001778DF"/>
    <w:rsid w:val="00181096"/>
    <w:rsid w:val="00183081"/>
    <w:rsid w:val="0018498D"/>
    <w:rsid w:val="00195C4A"/>
    <w:rsid w:val="00196A61"/>
    <w:rsid w:val="001C02E7"/>
    <w:rsid w:val="001C423F"/>
    <w:rsid w:val="001C4364"/>
    <w:rsid w:val="001C5C92"/>
    <w:rsid w:val="001D0633"/>
    <w:rsid w:val="001D0C7D"/>
    <w:rsid w:val="001D204A"/>
    <w:rsid w:val="001D4E41"/>
    <w:rsid w:val="001D7832"/>
    <w:rsid w:val="001D797D"/>
    <w:rsid w:val="001E1E3D"/>
    <w:rsid w:val="001E24AD"/>
    <w:rsid w:val="001E6CD3"/>
    <w:rsid w:val="001F35D3"/>
    <w:rsid w:val="001F64D7"/>
    <w:rsid w:val="001F7EBF"/>
    <w:rsid w:val="00200291"/>
    <w:rsid w:val="00201275"/>
    <w:rsid w:val="00203FEF"/>
    <w:rsid w:val="00210EAF"/>
    <w:rsid w:val="00213908"/>
    <w:rsid w:val="0021410C"/>
    <w:rsid w:val="00215FF9"/>
    <w:rsid w:val="002171B0"/>
    <w:rsid w:val="00217DC2"/>
    <w:rsid w:val="00217E97"/>
    <w:rsid w:val="00221EA5"/>
    <w:rsid w:val="00222DC4"/>
    <w:rsid w:val="00224D0E"/>
    <w:rsid w:val="002319FA"/>
    <w:rsid w:val="0023250A"/>
    <w:rsid w:val="002334A9"/>
    <w:rsid w:val="0023427C"/>
    <w:rsid w:val="002345EC"/>
    <w:rsid w:val="00237F76"/>
    <w:rsid w:val="002411C9"/>
    <w:rsid w:val="00241B67"/>
    <w:rsid w:val="002427AC"/>
    <w:rsid w:val="002434E5"/>
    <w:rsid w:val="00246B4D"/>
    <w:rsid w:val="00246D6A"/>
    <w:rsid w:val="00251AD9"/>
    <w:rsid w:val="0025461F"/>
    <w:rsid w:val="00254897"/>
    <w:rsid w:val="00256736"/>
    <w:rsid w:val="00256BFC"/>
    <w:rsid w:val="00257352"/>
    <w:rsid w:val="00257806"/>
    <w:rsid w:val="0026200C"/>
    <w:rsid w:val="00264ABB"/>
    <w:rsid w:val="002652BC"/>
    <w:rsid w:val="00266354"/>
    <w:rsid w:val="002710F9"/>
    <w:rsid w:val="00273047"/>
    <w:rsid w:val="00273B03"/>
    <w:rsid w:val="00277D1C"/>
    <w:rsid w:val="0028339C"/>
    <w:rsid w:val="002858C8"/>
    <w:rsid w:val="00287A73"/>
    <w:rsid w:val="00294703"/>
    <w:rsid w:val="00295E1A"/>
    <w:rsid w:val="002962E8"/>
    <w:rsid w:val="0029760D"/>
    <w:rsid w:val="002A4092"/>
    <w:rsid w:val="002A5129"/>
    <w:rsid w:val="002B0971"/>
    <w:rsid w:val="002B4B13"/>
    <w:rsid w:val="002B51B8"/>
    <w:rsid w:val="002B54F6"/>
    <w:rsid w:val="002C3F9F"/>
    <w:rsid w:val="002C6D2C"/>
    <w:rsid w:val="002C6D5E"/>
    <w:rsid w:val="002C799E"/>
    <w:rsid w:val="002C7A2A"/>
    <w:rsid w:val="002C7FD4"/>
    <w:rsid w:val="002D5373"/>
    <w:rsid w:val="002D58D3"/>
    <w:rsid w:val="002E1D56"/>
    <w:rsid w:val="002E6354"/>
    <w:rsid w:val="002F2351"/>
    <w:rsid w:val="002F757D"/>
    <w:rsid w:val="00302B5A"/>
    <w:rsid w:val="00303178"/>
    <w:rsid w:val="00304486"/>
    <w:rsid w:val="003069F8"/>
    <w:rsid w:val="00306B1E"/>
    <w:rsid w:val="00310E2B"/>
    <w:rsid w:val="003117E4"/>
    <w:rsid w:val="0031240F"/>
    <w:rsid w:val="00313A93"/>
    <w:rsid w:val="003166EC"/>
    <w:rsid w:val="00317E67"/>
    <w:rsid w:val="00325D45"/>
    <w:rsid w:val="00327549"/>
    <w:rsid w:val="003336AF"/>
    <w:rsid w:val="00333C73"/>
    <w:rsid w:val="0034273D"/>
    <w:rsid w:val="00346CB0"/>
    <w:rsid w:val="00350EC6"/>
    <w:rsid w:val="00353246"/>
    <w:rsid w:val="003542BF"/>
    <w:rsid w:val="003553F7"/>
    <w:rsid w:val="00356FF9"/>
    <w:rsid w:val="00357BA0"/>
    <w:rsid w:val="00357C7B"/>
    <w:rsid w:val="00361903"/>
    <w:rsid w:val="00366879"/>
    <w:rsid w:val="003674A5"/>
    <w:rsid w:val="003702ED"/>
    <w:rsid w:val="00375F6C"/>
    <w:rsid w:val="00376DE5"/>
    <w:rsid w:val="003858DC"/>
    <w:rsid w:val="003936AE"/>
    <w:rsid w:val="003965CC"/>
    <w:rsid w:val="00397BB8"/>
    <w:rsid w:val="003A1557"/>
    <w:rsid w:val="003A5F3D"/>
    <w:rsid w:val="003A7BD4"/>
    <w:rsid w:val="003A7DAF"/>
    <w:rsid w:val="003B1063"/>
    <w:rsid w:val="003B17B5"/>
    <w:rsid w:val="003B1E29"/>
    <w:rsid w:val="003B2116"/>
    <w:rsid w:val="003B304C"/>
    <w:rsid w:val="003B6DE6"/>
    <w:rsid w:val="003C489A"/>
    <w:rsid w:val="003C4D24"/>
    <w:rsid w:val="003C51AE"/>
    <w:rsid w:val="003C577F"/>
    <w:rsid w:val="003C6B9C"/>
    <w:rsid w:val="003C74EA"/>
    <w:rsid w:val="003D08A3"/>
    <w:rsid w:val="003D1707"/>
    <w:rsid w:val="003D289C"/>
    <w:rsid w:val="003D64CF"/>
    <w:rsid w:val="003D73BD"/>
    <w:rsid w:val="003E4432"/>
    <w:rsid w:val="003E75B0"/>
    <w:rsid w:val="003F2094"/>
    <w:rsid w:val="003F31C5"/>
    <w:rsid w:val="003F4101"/>
    <w:rsid w:val="003F52CD"/>
    <w:rsid w:val="00402FD6"/>
    <w:rsid w:val="0040339A"/>
    <w:rsid w:val="00404F35"/>
    <w:rsid w:val="004107C2"/>
    <w:rsid w:val="00416078"/>
    <w:rsid w:val="00417256"/>
    <w:rsid w:val="00420187"/>
    <w:rsid w:val="00430C60"/>
    <w:rsid w:val="00435822"/>
    <w:rsid w:val="00437BB3"/>
    <w:rsid w:val="00442558"/>
    <w:rsid w:val="004426E5"/>
    <w:rsid w:val="00442D79"/>
    <w:rsid w:val="00443880"/>
    <w:rsid w:val="00445CD9"/>
    <w:rsid w:val="00446351"/>
    <w:rsid w:val="00451A53"/>
    <w:rsid w:val="0045571A"/>
    <w:rsid w:val="00455A00"/>
    <w:rsid w:val="0045606E"/>
    <w:rsid w:val="00462FE3"/>
    <w:rsid w:val="004640AF"/>
    <w:rsid w:val="00464DFD"/>
    <w:rsid w:val="00467F41"/>
    <w:rsid w:val="00474B47"/>
    <w:rsid w:val="004764EE"/>
    <w:rsid w:val="00477673"/>
    <w:rsid w:val="00481B30"/>
    <w:rsid w:val="004838E1"/>
    <w:rsid w:val="0048460B"/>
    <w:rsid w:val="00485FAF"/>
    <w:rsid w:val="00487A07"/>
    <w:rsid w:val="00487D33"/>
    <w:rsid w:val="00491078"/>
    <w:rsid w:val="0049246F"/>
    <w:rsid w:val="00494DE4"/>
    <w:rsid w:val="004A2C15"/>
    <w:rsid w:val="004A382F"/>
    <w:rsid w:val="004A62A0"/>
    <w:rsid w:val="004C12FE"/>
    <w:rsid w:val="004D495C"/>
    <w:rsid w:val="004D54A1"/>
    <w:rsid w:val="004E1F3D"/>
    <w:rsid w:val="004E2C00"/>
    <w:rsid w:val="004F017E"/>
    <w:rsid w:val="004F186A"/>
    <w:rsid w:val="004F2F9D"/>
    <w:rsid w:val="005055CE"/>
    <w:rsid w:val="00507AB7"/>
    <w:rsid w:val="00511554"/>
    <w:rsid w:val="005177F5"/>
    <w:rsid w:val="0052558E"/>
    <w:rsid w:val="005265B9"/>
    <w:rsid w:val="00527C7F"/>
    <w:rsid w:val="00527D35"/>
    <w:rsid w:val="00527F0F"/>
    <w:rsid w:val="00530486"/>
    <w:rsid w:val="00530B9F"/>
    <w:rsid w:val="00535826"/>
    <w:rsid w:val="0053799B"/>
    <w:rsid w:val="00540E72"/>
    <w:rsid w:val="00543F5D"/>
    <w:rsid w:val="00544A4F"/>
    <w:rsid w:val="005451A9"/>
    <w:rsid w:val="0055093D"/>
    <w:rsid w:val="0055746D"/>
    <w:rsid w:val="005618F8"/>
    <w:rsid w:val="00562263"/>
    <w:rsid w:val="0056353E"/>
    <w:rsid w:val="00564883"/>
    <w:rsid w:val="00571663"/>
    <w:rsid w:val="00572DA4"/>
    <w:rsid w:val="005745E0"/>
    <w:rsid w:val="00577AD2"/>
    <w:rsid w:val="0058555B"/>
    <w:rsid w:val="00590CB2"/>
    <w:rsid w:val="00593765"/>
    <w:rsid w:val="005A00D8"/>
    <w:rsid w:val="005A0967"/>
    <w:rsid w:val="005A45FD"/>
    <w:rsid w:val="005A61B0"/>
    <w:rsid w:val="005B0DBF"/>
    <w:rsid w:val="005B25A5"/>
    <w:rsid w:val="005B582D"/>
    <w:rsid w:val="005B6ED9"/>
    <w:rsid w:val="005D01B8"/>
    <w:rsid w:val="005D2EE6"/>
    <w:rsid w:val="005D5B44"/>
    <w:rsid w:val="005D7518"/>
    <w:rsid w:val="005E067C"/>
    <w:rsid w:val="005E0B92"/>
    <w:rsid w:val="005E23FE"/>
    <w:rsid w:val="005E4AA8"/>
    <w:rsid w:val="005E5B19"/>
    <w:rsid w:val="005F2020"/>
    <w:rsid w:val="0060262A"/>
    <w:rsid w:val="00607155"/>
    <w:rsid w:val="00616AD9"/>
    <w:rsid w:val="00622EB3"/>
    <w:rsid w:val="006350B9"/>
    <w:rsid w:val="006416AE"/>
    <w:rsid w:val="00641A09"/>
    <w:rsid w:val="00642136"/>
    <w:rsid w:val="006531E0"/>
    <w:rsid w:val="006536DA"/>
    <w:rsid w:val="00654431"/>
    <w:rsid w:val="00654593"/>
    <w:rsid w:val="006559C9"/>
    <w:rsid w:val="00656102"/>
    <w:rsid w:val="0066104C"/>
    <w:rsid w:val="006625A5"/>
    <w:rsid w:val="00664797"/>
    <w:rsid w:val="00675015"/>
    <w:rsid w:val="006756C0"/>
    <w:rsid w:val="00681FC6"/>
    <w:rsid w:val="00682995"/>
    <w:rsid w:val="00694924"/>
    <w:rsid w:val="0069501F"/>
    <w:rsid w:val="00695D09"/>
    <w:rsid w:val="0069784F"/>
    <w:rsid w:val="006A083B"/>
    <w:rsid w:val="006A2A39"/>
    <w:rsid w:val="006A47EF"/>
    <w:rsid w:val="006A62DB"/>
    <w:rsid w:val="006B1F65"/>
    <w:rsid w:val="006B72E5"/>
    <w:rsid w:val="006C54CF"/>
    <w:rsid w:val="006C783D"/>
    <w:rsid w:val="006D2693"/>
    <w:rsid w:val="006D4C12"/>
    <w:rsid w:val="006D6041"/>
    <w:rsid w:val="006E19F4"/>
    <w:rsid w:val="006E26CC"/>
    <w:rsid w:val="006E3760"/>
    <w:rsid w:val="006E605D"/>
    <w:rsid w:val="006E78EB"/>
    <w:rsid w:val="006F2B20"/>
    <w:rsid w:val="006F4C15"/>
    <w:rsid w:val="006F4C6B"/>
    <w:rsid w:val="006F517A"/>
    <w:rsid w:val="0070070A"/>
    <w:rsid w:val="00706B74"/>
    <w:rsid w:val="00717D1D"/>
    <w:rsid w:val="00723CC6"/>
    <w:rsid w:val="007305D6"/>
    <w:rsid w:val="00733B2B"/>
    <w:rsid w:val="007343D5"/>
    <w:rsid w:val="00735376"/>
    <w:rsid w:val="0074245A"/>
    <w:rsid w:val="00743F0D"/>
    <w:rsid w:val="00744CFD"/>
    <w:rsid w:val="00745B35"/>
    <w:rsid w:val="00747B79"/>
    <w:rsid w:val="00750CC3"/>
    <w:rsid w:val="00751086"/>
    <w:rsid w:val="00751099"/>
    <w:rsid w:val="00752A80"/>
    <w:rsid w:val="00752F21"/>
    <w:rsid w:val="007531EB"/>
    <w:rsid w:val="00754718"/>
    <w:rsid w:val="00770E0A"/>
    <w:rsid w:val="0077221C"/>
    <w:rsid w:val="00772598"/>
    <w:rsid w:val="007755BB"/>
    <w:rsid w:val="00782A57"/>
    <w:rsid w:val="00784F2C"/>
    <w:rsid w:val="00785584"/>
    <w:rsid w:val="0079740F"/>
    <w:rsid w:val="007974E6"/>
    <w:rsid w:val="007A2C11"/>
    <w:rsid w:val="007B265A"/>
    <w:rsid w:val="007B4925"/>
    <w:rsid w:val="007B5BCB"/>
    <w:rsid w:val="007B7081"/>
    <w:rsid w:val="007C18C7"/>
    <w:rsid w:val="007C3B72"/>
    <w:rsid w:val="007C525E"/>
    <w:rsid w:val="007D01CB"/>
    <w:rsid w:val="007D0A40"/>
    <w:rsid w:val="007D45DE"/>
    <w:rsid w:val="007D7110"/>
    <w:rsid w:val="007D78F1"/>
    <w:rsid w:val="007E35EE"/>
    <w:rsid w:val="007E3B71"/>
    <w:rsid w:val="007E4884"/>
    <w:rsid w:val="007E4FCF"/>
    <w:rsid w:val="007E519B"/>
    <w:rsid w:val="007F0611"/>
    <w:rsid w:val="007F22E1"/>
    <w:rsid w:val="007F45A5"/>
    <w:rsid w:val="007F49C3"/>
    <w:rsid w:val="00810724"/>
    <w:rsid w:val="00812974"/>
    <w:rsid w:val="00813F5F"/>
    <w:rsid w:val="00813FF2"/>
    <w:rsid w:val="00826087"/>
    <w:rsid w:val="00826362"/>
    <w:rsid w:val="00835377"/>
    <w:rsid w:val="00843B6A"/>
    <w:rsid w:val="00861212"/>
    <w:rsid w:val="0087063D"/>
    <w:rsid w:val="00870D4C"/>
    <w:rsid w:val="00870E85"/>
    <w:rsid w:val="008775C7"/>
    <w:rsid w:val="00880A76"/>
    <w:rsid w:val="00881B2F"/>
    <w:rsid w:val="00882631"/>
    <w:rsid w:val="008833B0"/>
    <w:rsid w:val="00886AAA"/>
    <w:rsid w:val="00887125"/>
    <w:rsid w:val="00887619"/>
    <w:rsid w:val="0089201E"/>
    <w:rsid w:val="00896A96"/>
    <w:rsid w:val="008A641C"/>
    <w:rsid w:val="008A73D6"/>
    <w:rsid w:val="008B1218"/>
    <w:rsid w:val="008B1D6B"/>
    <w:rsid w:val="008B498C"/>
    <w:rsid w:val="008C2726"/>
    <w:rsid w:val="008C3FF6"/>
    <w:rsid w:val="008C6AD3"/>
    <w:rsid w:val="008D0295"/>
    <w:rsid w:val="008E0829"/>
    <w:rsid w:val="008E2FFD"/>
    <w:rsid w:val="008E506C"/>
    <w:rsid w:val="008E5C38"/>
    <w:rsid w:val="008F2533"/>
    <w:rsid w:val="008F2E12"/>
    <w:rsid w:val="008F4106"/>
    <w:rsid w:val="008F424B"/>
    <w:rsid w:val="008F4B38"/>
    <w:rsid w:val="008F7A3F"/>
    <w:rsid w:val="0090751F"/>
    <w:rsid w:val="00914DC0"/>
    <w:rsid w:val="00917E82"/>
    <w:rsid w:val="00921B62"/>
    <w:rsid w:val="00923370"/>
    <w:rsid w:val="009245D3"/>
    <w:rsid w:val="00926346"/>
    <w:rsid w:val="00930605"/>
    <w:rsid w:val="00933836"/>
    <w:rsid w:val="00941F5F"/>
    <w:rsid w:val="00942484"/>
    <w:rsid w:val="00943E8A"/>
    <w:rsid w:val="00945F8C"/>
    <w:rsid w:val="009475BE"/>
    <w:rsid w:val="009558BF"/>
    <w:rsid w:val="0095619D"/>
    <w:rsid w:val="009565CB"/>
    <w:rsid w:val="00961D97"/>
    <w:rsid w:val="00962804"/>
    <w:rsid w:val="00962E37"/>
    <w:rsid w:val="00963CA5"/>
    <w:rsid w:val="009653F5"/>
    <w:rsid w:val="00965E1B"/>
    <w:rsid w:val="009677FF"/>
    <w:rsid w:val="00967B35"/>
    <w:rsid w:val="00971B89"/>
    <w:rsid w:val="009748E6"/>
    <w:rsid w:val="00974B3A"/>
    <w:rsid w:val="00980EF4"/>
    <w:rsid w:val="0099085C"/>
    <w:rsid w:val="009915D0"/>
    <w:rsid w:val="00993575"/>
    <w:rsid w:val="00994CC4"/>
    <w:rsid w:val="009A1A7B"/>
    <w:rsid w:val="009A1C6D"/>
    <w:rsid w:val="009A2885"/>
    <w:rsid w:val="009A2E69"/>
    <w:rsid w:val="009A467D"/>
    <w:rsid w:val="009C0582"/>
    <w:rsid w:val="009C615E"/>
    <w:rsid w:val="009D1CEE"/>
    <w:rsid w:val="009D20F7"/>
    <w:rsid w:val="009D2F09"/>
    <w:rsid w:val="009D594E"/>
    <w:rsid w:val="009D670C"/>
    <w:rsid w:val="009D685C"/>
    <w:rsid w:val="009D76E4"/>
    <w:rsid w:val="009E3801"/>
    <w:rsid w:val="009E38CC"/>
    <w:rsid w:val="009E3A23"/>
    <w:rsid w:val="009E4154"/>
    <w:rsid w:val="009E4D12"/>
    <w:rsid w:val="009F34DA"/>
    <w:rsid w:val="009F5128"/>
    <w:rsid w:val="00A1002B"/>
    <w:rsid w:val="00A15FBA"/>
    <w:rsid w:val="00A16E18"/>
    <w:rsid w:val="00A2352E"/>
    <w:rsid w:val="00A34C03"/>
    <w:rsid w:val="00A41F21"/>
    <w:rsid w:val="00A44D37"/>
    <w:rsid w:val="00A474D5"/>
    <w:rsid w:val="00A5253F"/>
    <w:rsid w:val="00A52BA6"/>
    <w:rsid w:val="00A5656B"/>
    <w:rsid w:val="00A575E1"/>
    <w:rsid w:val="00A613DE"/>
    <w:rsid w:val="00A62346"/>
    <w:rsid w:val="00A6339D"/>
    <w:rsid w:val="00A66A93"/>
    <w:rsid w:val="00A72272"/>
    <w:rsid w:val="00A72356"/>
    <w:rsid w:val="00A75B40"/>
    <w:rsid w:val="00A76319"/>
    <w:rsid w:val="00A767F1"/>
    <w:rsid w:val="00A821C9"/>
    <w:rsid w:val="00A826D8"/>
    <w:rsid w:val="00A87FDA"/>
    <w:rsid w:val="00A91D30"/>
    <w:rsid w:val="00A9561A"/>
    <w:rsid w:val="00A97E89"/>
    <w:rsid w:val="00AA0CF3"/>
    <w:rsid w:val="00AA260F"/>
    <w:rsid w:val="00AA402E"/>
    <w:rsid w:val="00AA4CDA"/>
    <w:rsid w:val="00AA5A60"/>
    <w:rsid w:val="00AB0163"/>
    <w:rsid w:val="00AB1577"/>
    <w:rsid w:val="00AB5107"/>
    <w:rsid w:val="00AB6EA3"/>
    <w:rsid w:val="00AC285F"/>
    <w:rsid w:val="00AC2E46"/>
    <w:rsid w:val="00AC3EE0"/>
    <w:rsid w:val="00AC4E71"/>
    <w:rsid w:val="00AD17CB"/>
    <w:rsid w:val="00AD30C4"/>
    <w:rsid w:val="00AE31F5"/>
    <w:rsid w:val="00AE52FF"/>
    <w:rsid w:val="00AE5BE1"/>
    <w:rsid w:val="00AE5F2E"/>
    <w:rsid w:val="00AF15E3"/>
    <w:rsid w:val="00AF2383"/>
    <w:rsid w:val="00AF2FCF"/>
    <w:rsid w:val="00B01A6E"/>
    <w:rsid w:val="00B01F68"/>
    <w:rsid w:val="00B0203B"/>
    <w:rsid w:val="00B048BA"/>
    <w:rsid w:val="00B1103F"/>
    <w:rsid w:val="00B11C54"/>
    <w:rsid w:val="00B120B4"/>
    <w:rsid w:val="00B14DC5"/>
    <w:rsid w:val="00B173BB"/>
    <w:rsid w:val="00B20D48"/>
    <w:rsid w:val="00B35915"/>
    <w:rsid w:val="00B4226B"/>
    <w:rsid w:val="00B4619E"/>
    <w:rsid w:val="00B4627A"/>
    <w:rsid w:val="00B47F0D"/>
    <w:rsid w:val="00B5004A"/>
    <w:rsid w:val="00B51491"/>
    <w:rsid w:val="00B52345"/>
    <w:rsid w:val="00B54F08"/>
    <w:rsid w:val="00B56195"/>
    <w:rsid w:val="00B60739"/>
    <w:rsid w:val="00B620F6"/>
    <w:rsid w:val="00B650C4"/>
    <w:rsid w:val="00B729EF"/>
    <w:rsid w:val="00B75A80"/>
    <w:rsid w:val="00B775ED"/>
    <w:rsid w:val="00B77840"/>
    <w:rsid w:val="00B851AF"/>
    <w:rsid w:val="00B86ED5"/>
    <w:rsid w:val="00B86FDA"/>
    <w:rsid w:val="00B90F36"/>
    <w:rsid w:val="00B915F6"/>
    <w:rsid w:val="00B97784"/>
    <w:rsid w:val="00BA1F3B"/>
    <w:rsid w:val="00BB4250"/>
    <w:rsid w:val="00BB4947"/>
    <w:rsid w:val="00BB4E56"/>
    <w:rsid w:val="00BC0ADE"/>
    <w:rsid w:val="00BC106A"/>
    <w:rsid w:val="00BC2858"/>
    <w:rsid w:val="00BD2537"/>
    <w:rsid w:val="00BD53BA"/>
    <w:rsid w:val="00BD7576"/>
    <w:rsid w:val="00BE0255"/>
    <w:rsid w:val="00BE15E4"/>
    <w:rsid w:val="00BE24C0"/>
    <w:rsid w:val="00BE3610"/>
    <w:rsid w:val="00BE4001"/>
    <w:rsid w:val="00BE4C1F"/>
    <w:rsid w:val="00BE5DD4"/>
    <w:rsid w:val="00BF0F08"/>
    <w:rsid w:val="00BF1372"/>
    <w:rsid w:val="00BF4747"/>
    <w:rsid w:val="00BF769F"/>
    <w:rsid w:val="00C00E3A"/>
    <w:rsid w:val="00C0681F"/>
    <w:rsid w:val="00C14A63"/>
    <w:rsid w:val="00C15D79"/>
    <w:rsid w:val="00C221D8"/>
    <w:rsid w:val="00C2446E"/>
    <w:rsid w:val="00C25265"/>
    <w:rsid w:val="00C27146"/>
    <w:rsid w:val="00C332DB"/>
    <w:rsid w:val="00C33C96"/>
    <w:rsid w:val="00C359DD"/>
    <w:rsid w:val="00C3678D"/>
    <w:rsid w:val="00C4439F"/>
    <w:rsid w:val="00C47EDE"/>
    <w:rsid w:val="00C47F6B"/>
    <w:rsid w:val="00C52848"/>
    <w:rsid w:val="00C53F5D"/>
    <w:rsid w:val="00C54835"/>
    <w:rsid w:val="00C57A65"/>
    <w:rsid w:val="00C62E4D"/>
    <w:rsid w:val="00C63FBA"/>
    <w:rsid w:val="00C64ABE"/>
    <w:rsid w:val="00C6532A"/>
    <w:rsid w:val="00C657D3"/>
    <w:rsid w:val="00C66BCA"/>
    <w:rsid w:val="00C71123"/>
    <w:rsid w:val="00C71F2E"/>
    <w:rsid w:val="00C737AA"/>
    <w:rsid w:val="00C9023B"/>
    <w:rsid w:val="00C914C3"/>
    <w:rsid w:val="00C94063"/>
    <w:rsid w:val="00CA0FE8"/>
    <w:rsid w:val="00CA587E"/>
    <w:rsid w:val="00CA5B5D"/>
    <w:rsid w:val="00CB1199"/>
    <w:rsid w:val="00CB2557"/>
    <w:rsid w:val="00CB294C"/>
    <w:rsid w:val="00CC0E45"/>
    <w:rsid w:val="00CC2A73"/>
    <w:rsid w:val="00CC2E94"/>
    <w:rsid w:val="00CD0DAE"/>
    <w:rsid w:val="00CD1129"/>
    <w:rsid w:val="00CD57BE"/>
    <w:rsid w:val="00CD5E17"/>
    <w:rsid w:val="00CD79C0"/>
    <w:rsid w:val="00CE4180"/>
    <w:rsid w:val="00CE6CD2"/>
    <w:rsid w:val="00CF014E"/>
    <w:rsid w:val="00CF0726"/>
    <w:rsid w:val="00CF3672"/>
    <w:rsid w:val="00CF5DD1"/>
    <w:rsid w:val="00D00238"/>
    <w:rsid w:val="00D01111"/>
    <w:rsid w:val="00D0383D"/>
    <w:rsid w:val="00D0445E"/>
    <w:rsid w:val="00D056CC"/>
    <w:rsid w:val="00D1633D"/>
    <w:rsid w:val="00D23ACC"/>
    <w:rsid w:val="00D24F33"/>
    <w:rsid w:val="00D41613"/>
    <w:rsid w:val="00D41FC5"/>
    <w:rsid w:val="00D438A0"/>
    <w:rsid w:val="00D43A65"/>
    <w:rsid w:val="00D52832"/>
    <w:rsid w:val="00D53892"/>
    <w:rsid w:val="00D53DFD"/>
    <w:rsid w:val="00D54B06"/>
    <w:rsid w:val="00D56A32"/>
    <w:rsid w:val="00D57EDA"/>
    <w:rsid w:val="00D602F6"/>
    <w:rsid w:val="00D607A4"/>
    <w:rsid w:val="00D6497B"/>
    <w:rsid w:val="00D664D1"/>
    <w:rsid w:val="00D724C5"/>
    <w:rsid w:val="00D74AF4"/>
    <w:rsid w:val="00D76EE0"/>
    <w:rsid w:val="00D81CAD"/>
    <w:rsid w:val="00D81FBE"/>
    <w:rsid w:val="00D860F9"/>
    <w:rsid w:val="00D92200"/>
    <w:rsid w:val="00D92EBE"/>
    <w:rsid w:val="00DA144A"/>
    <w:rsid w:val="00DA24F1"/>
    <w:rsid w:val="00DA5E4D"/>
    <w:rsid w:val="00DA7B19"/>
    <w:rsid w:val="00DA7C0A"/>
    <w:rsid w:val="00DC1BD7"/>
    <w:rsid w:val="00DC4DF0"/>
    <w:rsid w:val="00DC6BB4"/>
    <w:rsid w:val="00DD1AFA"/>
    <w:rsid w:val="00DD22DB"/>
    <w:rsid w:val="00DD34E5"/>
    <w:rsid w:val="00DD56C4"/>
    <w:rsid w:val="00DD7514"/>
    <w:rsid w:val="00DE1015"/>
    <w:rsid w:val="00DE3184"/>
    <w:rsid w:val="00DF04D5"/>
    <w:rsid w:val="00DF091D"/>
    <w:rsid w:val="00DF158B"/>
    <w:rsid w:val="00DF4280"/>
    <w:rsid w:val="00DF5A29"/>
    <w:rsid w:val="00DF7BD1"/>
    <w:rsid w:val="00E02EA5"/>
    <w:rsid w:val="00E100EC"/>
    <w:rsid w:val="00E20245"/>
    <w:rsid w:val="00E2114A"/>
    <w:rsid w:val="00E2154C"/>
    <w:rsid w:val="00E276D8"/>
    <w:rsid w:val="00E30185"/>
    <w:rsid w:val="00E31412"/>
    <w:rsid w:val="00E31FD7"/>
    <w:rsid w:val="00E400AC"/>
    <w:rsid w:val="00E43919"/>
    <w:rsid w:val="00E4528C"/>
    <w:rsid w:val="00E45DBA"/>
    <w:rsid w:val="00E46825"/>
    <w:rsid w:val="00E47835"/>
    <w:rsid w:val="00E51DBE"/>
    <w:rsid w:val="00E6114B"/>
    <w:rsid w:val="00E623A2"/>
    <w:rsid w:val="00E7099A"/>
    <w:rsid w:val="00E727F9"/>
    <w:rsid w:val="00E76216"/>
    <w:rsid w:val="00E84F52"/>
    <w:rsid w:val="00E86CE2"/>
    <w:rsid w:val="00E87C88"/>
    <w:rsid w:val="00E92A36"/>
    <w:rsid w:val="00E9568E"/>
    <w:rsid w:val="00E95D43"/>
    <w:rsid w:val="00EA021F"/>
    <w:rsid w:val="00EA20DA"/>
    <w:rsid w:val="00EA2FC6"/>
    <w:rsid w:val="00EA5872"/>
    <w:rsid w:val="00EA625C"/>
    <w:rsid w:val="00EB30FB"/>
    <w:rsid w:val="00EB6321"/>
    <w:rsid w:val="00EB6C23"/>
    <w:rsid w:val="00EC083A"/>
    <w:rsid w:val="00EC2D2E"/>
    <w:rsid w:val="00EC3346"/>
    <w:rsid w:val="00EC37A8"/>
    <w:rsid w:val="00EC6C5D"/>
    <w:rsid w:val="00ED0A1B"/>
    <w:rsid w:val="00ED10A1"/>
    <w:rsid w:val="00ED1295"/>
    <w:rsid w:val="00ED3B4A"/>
    <w:rsid w:val="00EE2DCC"/>
    <w:rsid w:val="00EE3333"/>
    <w:rsid w:val="00EF081D"/>
    <w:rsid w:val="00EF5F50"/>
    <w:rsid w:val="00F12BFA"/>
    <w:rsid w:val="00F14360"/>
    <w:rsid w:val="00F17ABA"/>
    <w:rsid w:val="00F2070D"/>
    <w:rsid w:val="00F249E2"/>
    <w:rsid w:val="00F25949"/>
    <w:rsid w:val="00F260AB"/>
    <w:rsid w:val="00F32249"/>
    <w:rsid w:val="00F331DD"/>
    <w:rsid w:val="00F342E2"/>
    <w:rsid w:val="00F347DE"/>
    <w:rsid w:val="00F35373"/>
    <w:rsid w:val="00F35672"/>
    <w:rsid w:val="00F3769F"/>
    <w:rsid w:val="00F407E8"/>
    <w:rsid w:val="00F41F1E"/>
    <w:rsid w:val="00F441E5"/>
    <w:rsid w:val="00F44D0D"/>
    <w:rsid w:val="00F46D4E"/>
    <w:rsid w:val="00F51521"/>
    <w:rsid w:val="00F57A6B"/>
    <w:rsid w:val="00F60B5C"/>
    <w:rsid w:val="00F620A0"/>
    <w:rsid w:val="00F66AB8"/>
    <w:rsid w:val="00F66C82"/>
    <w:rsid w:val="00F7136E"/>
    <w:rsid w:val="00F71486"/>
    <w:rsid w:val="00F73AD3"/>
    <w:rsid w:val="00F74048"/>
    <w:rsid w:val="00F75AB1"/>
    <w:rsid w:val="00F76A6F"/>
    <w:rsid w:val="00F80E2F"/>
    <w:rsid w:val="00F845C6"/>
    <w:rsid w:val="00F86A7C"/>
    <w:rsid w:val="00F87940"/>
    <w:rsid w:val="00F87A7B"/>
    <w:rsid w:val="00F94759"/>
    <w:rsid w:val="00FA29D5"/>
    <w:rsid w:val="00FA7442"/>
    <w:rsid w:val="00FB2B1B"/>
    <w:rsid w:val="00FB3787"/>
    <w:rsid w:val="00FC01C6"/>
    <w:rsid w:val="00FC0B5F"/>
    <w:rsid w:val="00FC0FC2"/>
    <w:rsid w:val="00FC327A"/>
    <w:rsid w:val="00FC5D6B"/>
    <w:rsid w:val="00FC6049"/>
    <w:rsid w:val="00FC62C0"/>
    <w:rsid w:val="00FD083C"/>
    <w:rsid w:val="00FD0E19"/>
    <w:rsid w:val="00FD11DF"/>
    <w:rsid w:val="00FD17FF"/>
    <w:rsid w:val="00FD210A"/>
    <w:rsid w:val="00FE12A8"/>
    <w:rsid w:val="00FE1305"/>
    <w:rsid w:val="00FE1666"/>
    <w:rsid w:val="00FE36A9"/>
    <w:rsid w:val="00FE3773"/>
    <w:rsid w:val="00FE6020"/>
    <w:rsid w:val="00FF25C0"/>
    <w:rsid w:val="00FF655B"/>
    <w:rsid w:val="00FF7BBB"/>
    <w:rsid w:val="013951C8"/>
    <w:rsid w:val="013D7935"/>
    <w:rsid w:val="013E2018"/>
    <w:rsid w:val="014908D5"/>
    <w:rsid w:val="0152159F"/>
    <w:rsid w:val="0160120B"/>
    <w:rsid w:val="016262D0"/>
    <w:rsid w:val="016469D5"/>
    <w:rsid w:val="016F2D77"/>
    <w:rsid w:val="01914021"/>
    <w:rsid w:val="019905CB"/>
    <w:rsid w:val="01A2004E"/>
    <w:rsid w:val="01BE3BEC"/>
    <w:rsid w:val="01CB4E93"/>
    <w:rsid w:val="01F30880"/>
    <w:rsid w:val="02014CCC"/>
    <w:rsid w:val="02032D7E"/>
    <w:rsid w:val="024E43D4"/>
    <w:rsid w:val="025715B0"/>
    <w:rsid w:val="025D590F"/>
    <w:rsid w:val="027E0689"/>
    <w:rsid w:val="0296004B"/>
    <w:rsid w:val="02A22986"/>
    <w:rsid w:val="02AE0F75"/>
    <w:rsid w:val="02B06F5E"/>
    <w:rsid w:val="02B8711E"/>
    <w:rsid w:val="02CB0253"/>
    <w:rsid w:val="02DB52BD"/>
    <w:rsid w:val="02E65ABF"/>
    <w:rsid w:val="02EF3A3A"/>
    <w:rsid w:val="02FF332D"/>
    <w:rsid w:val="030A7DA8"/>
    <w:rsid w:val="03134AEA"/>
    <w:rsid w:val="032E7488"/>
    <w:rsid w:val="035C0294"/>
    <w:rsid w:val="03660AA3"/>
    <w:rsid w:val="036B5332"/>
    <w:rsid w:val="038B765F"/>
    <w:rsid w:val="03986C12"/>
    <w:rsid w:val="039A65F4"/>
    <w:rsid w:val="03A66FD9"/>
    <w:rsid w:val="03D64474"/>
    <w:rsid w:val="03F84410"/>
    <w:rsid w:val="04005DC1"/>
    <w:rsid w:val="04074A2A"/>
    <w:rsid w:val="040C58D9"/>
    <w:rsid w:val="041F1E22"/>
    <w:rsid w:val="04311CDA"/>
    <w:rsid w:val="043C7483"/>
    <w:rsid w:val="046C564E"/>
    <w:rsid w:val="0471779C"/>
    <w:rsid w:val="04834314"/>
    <w:rsid w:val="048900BC"/>
    <w:rsid w:val="04AD01F4"/>
    <w:rsid w:val="04B27D0C"/>
    <w:rsid w:val="04B54342"/>
    <w:rsid w:val="04B603D4"/>
    <w:rsid w:val="04CA1C46"/>
    <w:rsid w:val="05052E87"/>
    <w:rsid w:val="0548309E"/>
    <w:rsid w:val="055B7202"/>
    <w:rsid w:val="058F102E"/>
    <w:rsid w:val="05981A99"/>
    <w:rsid w:val="059A4A78"/>
    <w:rsid w:val="05B07880"/>
    <w:rsid w:val="05B43C17"/>
    <w:rsid w:val="05DD46B6"/>
    <w:rsid w:val="05EE0FD0"/>
    <w:rsid w:val="05EE4A26"/>
    <w:rsid w:val="05F113F6"/>
    <w:rsid w:val="05F332D1"/>
    <w:rsid w:val="05FB51D8"/>
    <w:rsid w:val="060B6141"/>
    <w:rsid w:val="061079EC"/>
    <w:rsid w:val="06194560"/>
    <w:rsid w:val="062561CB"/>
    <w:rsid w:val="062B7B8B"/>
    <w:rsid w:val="06525E40"/>
    <w:rsid w:val="066E4467"/>
    <w:rsid w:val="067C316A"/>
    <w:rsid w:val="067F7773"/>
    <w:rsid w:val="06952ADA"/>
    <w:rsid w:val="069B469D"/>
    <w:rsid w:val="069C4AFD"/>
    <w:rsid w:val="069E2119"/>
    <w:rsid w:val="06D6337B"/>
    <w:rsid w:val="06F853D2"/>
    <w:rsid w:val="06F90600"/>
    <w:rsid w:val="07030C38"/>
    <w:rsid w:val="0726624E"/>
    <w:rsid w:val="073E604C"/>
    <w:rsid w:val="07674302"/>
    <w:rsid w:val="0770553D"/>
    <w:rsid w:val="07871F07"/>
    <w:rsid w:val="07890DE8"/>
    <w:rsid w:val="07925370"/>
    <w:rsid w:val="07927673"/>
    <w:rsid w:val="0796091A"/>
    <w:rsid w:val="07C40445"/>
    <w:rsid w:val="07C45086"/>
    <w:rsid w:val="07C72D1B"/>
    <w:rsid w:val="07FF5161"/>
    <w:rsid w:val="08261F6C"/>
    <w:rsid w:val="0845748C"/>
    <w:rsid w:val="086D529A"/>
    <w:rsid w:val="087A5E33"/>
    <w:rsid w:val="08847D87"/>
    <w:rsid w:val="08892C8B"/>
    <w:rsid w:val="088C0A16"/>
    <w:rsid w:val="08A615C0"/>
    <w:rsid w:val="08A76CB0"/>
    <w:rsid w:val="08C568EA"/>
    <w:rsid w:val="08CA5C31"/>
    <w:rsid w:val="08CD582C"/>
    <w:rsid w:val="08D25907"/>
    <w:rsid w:val="08E7743C"/>
    <w:rsid w:val="09034BAD"/>
    <w:rsid w:val="090779AC"/>
    <w:rsid w:val="090B793A"/>
    <w:rsid w:val="090F0D06"/>
    <w:rsid w:val="091C778F"/>
    <w:rsid w:val="092A5C7C"/>
    <w:rsid w:val="093A334D"/>
    <w:rsid w:val="09584472"/>
    <w:rsid w:val="095B569E"/>
    <w:rsid w:val="095E1336"/>
    <w:rsid w:val="096064B1"/>
    <w:rsid w:val="098D27B7"/>
    <w:rsid w:val="09AA7C1F"/>
    <w:rsid w:val="0A1C0E7D"/>
    <w:rsid w:val="0A2574B3"/>
    <w:rsid w:val="0A2B71BE"/>
    <w:rsid w:val="0A2D0142"/>
    <w:rsid w:val="0A3E623D"/>
    <w:rsid w:val="0A463DD2"/>
    <w:rsid w:val="0A640CB6"/>
    <w:rsid w:val="0A867BBA"/>
    <w:rsid w:val="0A8F3F87"/>
    <w:rsid w:val="0A903476"/>
    <w:rsid w:val="0A965912"/>
    <w:rsid w:val="0A990FF7"/>
    <w:rsid w:val="0ACB5668"/>
    <w:rsid w:val="0ACF57A5"/>
    <w:rsid w:val="0AF34499"/>
    <w:rsid w:val="0B120BDA"/>
    <w:rsid w:val="0B1736E3"/>
    <w:rsid w:val="0B225A6B"/>
    <w:rsid w:val="0B6532E1"/>
    <w:rsid w:val="0B6F5280"/>
    <w:rsid w:val="0B7B3984"/>
    <w:rsid w:val="0BCE1F5A"/>
    <w:rsid w:val="0BF548D0"/>
    <w:rsid w:val="0C23581F"/>
    <w:rsid w:val="0C2F1BC5"/>
    <w:rsid w:val="0C385C19"/>
    <w:rsid w:val="0C3B7C1F"/>
    <w:rsid w:val="0C5A3570"/>
    <w:rsid w:val="0C5D03D7"/>
    <w:rsid w:val="0C5F0057"/>
    <w:rsid w:val="0C8C56A3"/>
    <w:rsid w:val="0C930845"/>
    <w:rsid w:val="0CA4105A"/>
    <w:rsid w:val="0CA71909"/>
    <w:rsid w:val="0CB4182E"/>
    <w:rsid w:val="0CBD5E72"/>
    <w:rsid w:val="0CC42FE4"/>
    <w:rsid w:val="0CC87647"/>
    <w:rsid w:val="0CCB0A0B"/>
    <w:rsid w:val="0CD869BB"/>
    <w:rsid w:val="0CE347B4"/>
    <w:rsid w:val="0CEC0C5E"/>
    <w:rsid w:val="0CEC69C1"/>
    <w:rsid w:val="0CF93AD9"/>
    <w:rsid w:val="0CFA4E12"/>
    <w:rsid w:val="0D074FED"/>
    <w:rsid w:val="0D3755B4"/>
    <w:rsid w:val="0D407542"/>
    <w:rsid w:val="0D4355EB"/>
    <w:rsid w:val="0D4A6D5B"/>
    <w:rsid w:val="0D5474C6"/>
    <w:rsid w:val="0D5B4A77"/>
    <w:rsid w:val="0D9112B9"/>
    <w:rsid w:val="0D953DBC"/>
    <w:rsid w:val="0DA750D0"/>
    <w:rsid w:val="0DAC4685"/>
    <w:rsid w:val="0DB96370"/>
    <w:rsid w:val="0DDF3164"/>
    <w:rsid w:val="0DEE0B14"/>
    <w:rsid w:val="0DEF52EA"/>
    <w:rsid w:val="0E0A06D0"/>
    <w:rsid w:val="0E2B0583"/>
    <w:rsid w:val="0E2B18B6"/>
    <w:rsid w:val="0E311D64"/>
    <w:rsid w:val="0E3521DC"/>
    <w:rsid w:val="0E3F7E1D"/>
    <w:rsid w:val="0E4631E1"/>
    <w:rsid w:val="0E4711FC"/>
    <w:rsid w:val="0E6040D2"/>
    <w:rsid w:val="0E604325"/>
    <w:rsid w:val="0E8813E4"/>
    <w:rsid w:val="0E8E4F6E"/>
    <w:rsid w:val="0ECB0571"/>
    <w:rsid w:val="0EE877D1"/>
    <w:rsid w:val="0EF632A7"/>
    <w:rsid w:val="0F10121B"/>
    <w:rsid w:val="0F380D08"/>
    <w:rsid w:val="0F3E7532"/>
    <w:rsid w:val="0F426E96"/>
    <w:rsid w:val="0F542633"/>
    <w:rsid w:val="0F54367D"/>
    <w:rsid w:val="0F731075"/>
    <w:rsid w:val="0F876A00"/>
    <w:rsid w:val="0F971E74"/>
    <w:rsid w:val="0FA32B3B"/>
    <w:rsid w:val="0FB129CD"/>
    <w:rsid w:val="0FB571D5"/>
    <w:rsid w:val="0FBA10DE"/>
    <w:rsid w:val="0FE963AA"/>
    <w:rsid w:val="101964D1"/>
    <w:rsid w:val="10321445"/>
    <w:rsid w:val="10504084"/>
    <w:rsid w:val="10530F05"/>
    <w:rsid w:val="1080155C"/>
    <w:rsid w:val="108D3B9B"/>
    <w:rsid w:val="109865AA"/>
    <w:rsid w:val="10A75E4C"/>
    <w:rsid w:val="10AA179B"/>
    <w:rsid w:val="10C20606"/>
    <w:rsid w:val="10C700F2"/>
    <w:rsid w:val="10D350C4"/>
    <w:rsid w:val="10D820B1"/>
    <w:rsid w:val="11034982"/>
    <w:rsid w:val="11094372"/>
    <w:rsid w:val="110D1862"/>
    <w:rsid w:val="112A47B8"/>
    <w:rsid w:val="113769B2"/>
    <w:rsid w:val="11516BF6"/>
    <w:rsid w:val="115A7505"/>
    <w:rsid w:val="116842BF"/>
    <w:rsid w:val="11803757"/>
    <w:rsid w:val="118712CE"/>
    <w:rsid w:val="1190585E"/>
    <w:rsid w:val="11E6296C"/>
    <w:rsid w:val="11EC0917"/>
    <w:rsid w:val="122214CC"/>
    <w:rsid w:val="122F0D6F"/>
    <w:rsid w:val="123404ED"/>
    <w:rsid w:val="1235519D"/>
    <w:rsid w:val="123B3BE2"/>
    <w:rsid w:val="12411D81"/>
    <w:rsid w:val="12550BCC"/>
    <w:rsid w:val="12864A74"/>
    <w:rsid w:val="12876C72"/>
    <w:rsid w:val="128A7BF7"/>
    <w:rsid w:val="12905945"/>
    <w:rsid w:val="12974E15"/>
    <w:rsid w:val="129A4FD4"/>
    <w:rsid w:val="12A44024"/>
    <w:rsid w:val="12D41A08"/>
    <w:rsid w:val="130012AA"/>
    <w:rsid w:val="13110DD5"/>
    <w:rsid w:val="13241859"/>
    <w:rsid w:val="134715BE"/>
    <w:rsid w:val="13524FAA"/>
    <w:rsid w:val="13651A81"/>
    <w:rsid w:val="1369778D"/>
    <w:rsid w:val="13706BF0"/>
    <w:rsid w:val="13983668"/>
    <w:rsid w:val="13F55977"/>
    <w:rsid w:val="13F6548A"/>
    <w:rsid w:val="13F7363D"/>
    <w:rsid w:val="140F3276"/>
    <w:rsid w:val="14133D42"/>
    <w:rsid w:val="14430528"/>
    <w:rsid w:val="14504670"/>
    <w:rsid w:val="14534C64"/>
    <w:rsid w:val="14587A31"/>
    <w:rsid w:val="1471686D"/>
    <w:rsid w:val="14786EDD"/>
    <w:rsid w:val="148D2C31"/>
    <w:rsid w:val="14A939AF"/>
    <w:rsid w:val="14CA7CF1"/>
    <w:rsid w:val="14D9415E"/>
    <w:rsid w:val="14DD711E"/>
    <w:rsid w:val="14DF394F"/>
    <w:rsid w:val="15065D8D"/>
    <w:rsid w:val="1517435B"/>
    <w:rsid w:val="15297246"/>
    <w:rsid w:val="15484278"/>
    <w:rsid w:val="1562429F"/>
    <w:rsid w:val="156437FA"/>
    <w:rsid w:val="15657D89"/>
    <w:rsid w:val="156A6B86"/>
    <w:rsid w:val="1573566A"/>
    <w:rsid w:val="157430D7"/>
    <w:rsid w:val="158544D1"/>
    <w:rsid w:val="15892AE3"/>
    <w:rsid w:val="159D1783"/>
    <w:rsid w:val="15A20227"/>
    <w:rsid w:val="15A319C0"/>
    <w:rsid w:val="15CB370E"/>
    <w:rsid w:val="15E960CC"/>
    <w:rsid w:val="15F772FC"/>
    <w:rsid w:val="1607633B"/>
    <w:rsid w:val="166F612A"/>
    <w:rsid w:val="167C6BF3"/>
    <w:rsid w:val="1696199B"/>
    <w:rsid w:val="169874A1"/>
    <w:rsid w:val="16A308E9"/>
    <w:rsid w:val="16BA6B61"/>
    <w:rsid w:val="16D6206B"/>
    <w:rsid w:val="16E62A1F"/>
    <w:rsid w:val="16FC0656"/>
    <w:rsid w:val="16FF79E4"/>
    <w:rsid w:val="1716356E"/>
    <w:rsid w:val="17332D3E"/>
    <w:rsid w:val="17612369"/>
    <w:rsid w:val="178B007F"/>
    <w:rsid w:val="17BA2861"/>
    <w:rsid w:val="17E3743F"/>
    <w:rsid w:val="17EE0DF9"/>
    <w:rsid w:val="17FD77C9"/>
    <w:rsid w:val="182E3229"/>
    <w:rsid w:val="185C25F8"/>
    <w:rsid w:val="186269DD"/>
    <w:rsid w:val="18691752"/>
    <w:rsid w:val="186A227E"/>
    <w:rsid w:val="18754108"/>
    <w:rsid w:val="187B08B7"/>
    <w:rsid w:val="187B33D6"/>
    <w:rsid w:val="18860BB9"/>
    <w:rsid w:val="188B43D5"/>
    <w:rsid w:val="18C47AA4"/>
    <w:rsid w:val="18C94B78"/>
    <w:rsid w:val="18D42B27"/>
    <w:rsid w:val="19097221"/>
    <w:rsid w:val="19134563"/>
    <w:rsid w:val="191A2989"/>
    <w:rsid w:val="19476D06"/>
    <w:rsid w:val="195C6D24"/>
    <w:rsid w:val="19694263"/>
    <w:rsid w:val="1978356B"/>
    <w:rsid w:val="197E6655"/>
    <w:rsid w:val="1985763D"/>
    <w:rsid w:val="199361A8"/>
    <w:rsid w:val="19A31207"/>
    <w:rsid w:val="19B52BBD"/>
    <w:rsid w:val="19B547EA"/>
    <w:rsid w:val="19BE5228"/>
    <w:rsid w:val="19CF1C1B"/>
    <w:rsid w:val="19FD6B4F"/>
    <w:rsid w:val="1A0F674F"/>
    <w:rsid w:val="1A2F7330"/>
    <w:rsid w:val="1A317287"/>
    <w:rsid w:val="1A3D71BA"/>
    <w:rsid w:val="1A4877E1"/>
    <w:rsid w:val="1A531E3A"/>
    <w:rsid w:val="1A566EC3"/>
    <w:rsid w:val="1A5A6786"/>
    <w:rsid w:val="1A642849"/>
    <w:rsid w:val="1A6D267F"/>
    <w:rsid w:val="1A8965B9"/>
    <w:rsid w:val="1AB02A55"/>
    <w:rsid w:val="1AB634EE"/>
    <w:rsid w:val="1ACB38BE"/>
    <w:rsid w:val="1AD66916"/>
    <w:rsid w:val="1AFE63D7"/>
    <w:rsid w:val="1B2176D4"/>
    <w:rsid w:val="1B6A0F8A"/>
    <w:rsid w:val="1B957BE2"/>
    <w:rsid w:val="1BA051CD"/>
    <w:rsid w:val="1BA210E4"/>
    <w:rsid w:val="1BA42130"/>
    <w:rsid w:val="1BA90A6F"/>
    <w:rsid w:val="1BB4617D"/>
    <w:rsid w:val="1BC9611A"/>
    <w:rsid w:val="1BF61FCF"/>
    <w:rsid w:val="1BFB0B37"/>
    <w:rsid w:val="1C215235"/>
    <w:rsid w:val="1C2A2882"/>
    <w:rsid w:val="1C4231EC"/>
    <w:rsid w:val="1C4A2BA7"/>
    <w:rsid w:val="1C512181"/>
    <w:rsid w:val="1C5C6482"/>
    <w:rsid w:val="1C604D73"/>
    <w:rsid w:val="1C7958C4"/>
    <w:rsid w:val="1C911FD2"/>
    <w:rsid w:val="1C9F7D02"/>
    <w:rsid w:val="1CBA7492"/>
    <w:rsid w:val="1CC06EF6"/>
    <w:rsid w:val="1CFD2FA0"/>
    <w:rsid w:val="1D12248B"/>
    <w:rsid w:val="1D185DE7"/>
    <w:rsid w:val="1D301BA1"/>
    <w:rsid w:val="1D410EB4"/>
    <w:rsid w:val="1D430810"/>
    <w:rsid w:val="1D472A99"/>
    <w:rsid w:val="1D617DC0"/>
    <w:rsid w:val="1D713C84"/>
    <w:rsid w:val="1D72385C"/>
    <w:rsid w:val="1D89586E"/>
    <w:rsid w:val="1D905C53"/>
    <w:rsid w:val="1D9E1B2D"/>
    <w:rsid w:val="1DC242E2"/>
    <w:rsid w:val="1E0431CC"/>
    <w:rsid w:val="1E315CEA"/>
    <w:rsid w:val="1E3F1938"/>
    <w:rsid w:val="1E413956"/>
    <w:rsid w:val="1E421565"/>
    <w:rsid w:val="1E4B44A3"/>
    <w:rsid w:val="1E6A0152"/>
    <w:rsid w:val="1E723041"/>
    <w:rsid w:val="1E807505"/>
    <w:rsid w:val="1E833753"/>
    <w:rsid w:val="1E8F01F5"/>
    <w:rsid w:val="1E967E4D"/>
    <w:rsid w:val="1E992819"/>
    <w:rsid w:val="1E996BC3"/>
    <w:rsid w:val="1EA700D7"/>
    <w:rsid w:val="1EB124FA"/>
    <w:rsid w:val="1EB51D7F"/>
    <w:rsid w:val="1EC01001"/>
    <w:rsid w:val="1EC62592"/>
    <w:rsid w:val="1EC62C5C"/>
    <w:rsid w:val="1EC94FCB"/>
    <w:rsid w:val="1ED4066B"/>
    <w:rsid w:val="1EF77F63"/>
    <w:rsid w:val="1EF87B2D"/>
    <w:rsid w:val="1EFF60CD"/>
    <w:rsid w:val="1F130DF7"/>
    <w:rsid w:val="1F132534"/>
    <w:rsid w:val="1F194D31"/>
    <w:rsid w:val="1F1D1718"/>
    <w:rsid w:val="1F3D38A2"/>
    <w:rsid w:val="1F485481"/>
    <w:rsid w:val="1F4F58A6"/>
    <w:rsid w:val="1F671043"/>
    <w:rsid w:val="1F691DF6"/>
    <w:rsid w:val="1F783272"/>
    <w:rsid w:val="1F8146D5"/>
    <w:rsid w:val="1F865547"/>
    <w:rsid w:val="1F9226CB"/>
    <w:rsid w:val="1FE47FD8"/>
    <w:rsid w:val="1FF0308F"/>
    <w:rsid w:val="2004274A"/>
    <w:rsid w:val="20097EB4"/>
    <w:rsid w:val="200A0A82"/>
    <w:rsid w:val="20181266"/>
    <w:rsid w:val="202D647C"/>
    <w:rsid w:val="20307F5E"/>
    <w:rsid w:val="205019F8"/>
    <w:rsid w:val="207109C7"/>
    <w:rsid w:val="207E0E5F"/>
    <w:rsid w:val="209B3A06"/>
    <w:rsid w:val="209E0592"/>
    <w:rsid w:val="20A401A8"/>
    <w:rsid w:val="20C67729"/>
    <w:rsid w:val="20D37A48"/>
    <w:rsid w:val="20DB6E12"/>
    <w:rsid w:val="20EA505D"/>
    <w:rsid w:val="210C6647"/>
    <w:rsid w:val="211D6CF9"/>
    <w:rsid w:val="213E4898"/>
    <w:rsid w:val="214848F7"/>
    <w:rsid w:val="214E698F"/>
    <w:rsid w:val="21787EF5"/>
    <w:rsid w:val="21824088"/>
    <w:rsid w:val="21A5705A"/>
    <w:rsid w:val="21C9634E"/>
    <w:rsid w:val="21CE5BDE"/>
    <w:rsid w:val="21E8347E"/>
    <w:rsid w:val="21F459F6"/>
    <w:rsid w:val="21FC73C1"/>
    <w:rsid w:val="22037280"/>
    <w:rsid w:val="220620E3"/>
    <w:rsid w:val="220C4FCF"/>
    <w:rsid w:val="22165B62"/>
    <w:rsid w:val="22490458"/>
    <w:rsid w:val="224F5428"/>
    <w:rsid w:val="2269567F"/>
    <w:rsid w:val="22702AD3"/>
    <w:rsid w:val="22707A6E"/>
    <w:rsid w:val="227260FC"/>
    <w:rsid w:val="22790C71"/>
    <w:rsid w:val="227F43BE"/>
    <w:rsid w:val="22873935"/>
    <w:rsid w:val="228D10E0"/>
    <w:rsid w:val="22931E74"/>
    <w:rsid w:val="229C1644"/>
    <w:rsid w:val="22C7701A"/>
    <w:rsid w:val="22D377B1"/>
    <w:rsid w:val="22F01680"/>
    <w:rsid w:val="22F757E3"/>
    <w:rsid w:val="23061719"/>
    <w:rsid w:val="23197A6A"/>
    <w:rsid w:val="233D0443"/>
    <w:rsid w:val="233F5737"/>
    <w:rsid w:val="233F7B1B"/>
    <w:rsid w:val="239C4D4D"/>
    <w:rsid w:val="23BA4FC5"/>
    <w:rsid w:val="23F60D0F"/>
    <w:rsid w:val="23FE28DC"/>
    <w:rsid w:val="241323B5"/>
    <w:rsid w:val="241748DE"/>
    <w:rsid w:val="24324A01"/>
    <w:rsid w:val="24330124"/>
    <w:rsid w:val="24476649"/>
    <w:rsid w:val="248A4000"/>
    <w:rsid w:val="24976CD4"/>
    <w:rsid w:val="24C2322D"/>
    <w:rsid w:val="24C33BBD"/>
    <w:rsid w:val="24D27BC9"/>
    <w:rsid w:val="24D66954"/>
    <w:rsid w:val="24D70A5B"/>
    <w:rsid w:val="251251DD"/>
    <w:rsid w:val="254A289B"/>
    <w:rsid w:val="254E3424"/>
    <w:rsid w:val="25743790"/>
    <w:rsid w:val="259031A4"/>
    <w:rsid w:val="259B4E49"/>
    <w:rsid w:val="259D54D1"/>
    <w:rsid w:val="25A53853"/>
    <w:rsid w:val="25BA44B1"/>
    <w:rsid w:val="25DD0382"/>
    <w:rsid w:val="25E22818"/>
    <w:rsid w:val="25F84FD7"/>
    <w:rsid w:val="261A5DC6"/>
    <w:rsid w:val="261B05BC"/>
    <w:rsid w:val="26307A40"/>
    <w:rsid w:val="263F3F75"/>
    <w:rsid w:val="264D4F65"/>
    <w:rsid w:val="26572C8C"/>
    <w:rsid w:val="2666136F"/>
    <w:rsid w:val="266C47F7"/>
    <w:rsid w:val="267473A3"/>
    <w:rsid w:val="26AD7136"/>
    <w:rsid w:val="26B14946"/>
    <w:rsid w:val="26B76B93"/>
    <w:rsid w:val="26B8625F"/>
    <w:rsid w:val="26BA5247"/>
    <w:rsid w:val="27366E5C"/>
    <w:rsid w:val="273916EB"/>
    <w:rsid w:val="274C2A7F"/>
    <w:rsid w:val="275E0626"/>
    <w:rsid w:val="277A0E4F"/>
    <w:rsid w:val="278812C4"/>
    <w:rsid w:val="279116FB"/>
    <w:rsid w:val="2795335D"/>
    <w:rsid w:val="27AD1E73"/>
    <w:rsid w:val="27B11B79"/>
    <w:rsid w:val="27B24154"/>
    <w:rsid w:val="27B45459"/>
    <w:rsid w:val="27B87830"/>
    <w:rsid w:val="27CA023C"/>
    <w:rsid w:val="27F95AF8"/>
    <w:rsid w:val="280530F1"/>
    <w:rsid w:val="280564EA"/>
    <w:rsid w:val="280F4BC6"/>
    <w:rsid w:val="28127B66"/>
    <w:rsid w:val="28215AE6"/>
    <w:rsid w:val="282647EB"/>
    <w:rsid w:val="282714CC"/>
    <w:rsid w:val="2851158F"/>
    <w:rsid w:val="285C5036"/>
    <w:rsid w:val="287A5B72"/>
    <w:rsid w:val="28A3543A"/>
    <w:rsid w:val="28A93B35"/>
    <w:rsid w:val="28CA26D7"/>
    <w:rsid w:val="28CC1412"/>
    <w:rsid w:val="28D370EB"/>
    <w:rsid w:val="28D44386"/>
    <w:rsid w:val="291D6E2A"/>
    <w:rsid w:val="29260E2B"/>
    <w:rsid w:val="29263DDB"/>
    <w:rsid w:val="29265A12"/>
    <w:rsid w:val="292A3467"/>
    <w:rsid w:val="29484EE6"/>
    <w:rsid w:val="294A7101"/>
    <w:rsid w:val="29766FA6"/>
    <w:rsid w:val="297C7E0D"/>
    <w:rsid w:val="29A11AD9"/>
    <w:rsid w:val="29BD1DF0"/>
    <w:rsid w:val="29BF002F"/>
    <w:rsid w:val="29C94B9B"/>
    <w:rsid w:val="29D659C5"/>
    <w:rsid w:val="29FE2549"/>
    <w:rsid w:val="2A2446A6"/>
    <w:rsid w:val="2A3854D0"/>
    <w:rsid w:val="2A7F42B9"/>
    <w:rsid w:val="2A8F5019"/>
    <w:rsid w:val="2AA03220"/>
    <w:rsid w:val="2AA30402"/>
    <w:rsid w:val="2AEC4141"/>
    <w:rsid w:val="2AF665FF"/>
    <w:rsid w:val="2AF804BD"/>
    <w:rsid w:val="2B01621D"/>
    <w:rsid w:val="2B206E24"/>
    <w:rsid w:val="2B2A3B5F"/>
    <w:rsid w:val="2B367734"/>
    <w:rsid w:val="2B443570"/>
    <w:rsid w:val="2B4D0606"/>
    <w:rsid w:val="2B4E7E1F"/>
    <w:rsid w:val="2B5272A1"/>
    <w:rsid w:val="2B54059E"/>
    <w:rsid w:val="2B6A0D9C"/>
    <w:rsid w:val="2B7C47FB"/>
    <w:rsid w:val="2B830B12"/>
    <w:rsid w:val="2B905ED6"/>
    <w:rsid w:val="2B95134C"/>
    <w:rsid w:val="2B9A4206"/>
    <w:rsid w:val="2B9F5238"/>
    <w:rsid w:val="2BA30546"/>
    <w:rsid w:val="2BBD5EB0"/>
    <w:rsid w:val="2BCC55A0"/>
    <w:rsid w:val="2BD32CF3"/>
    <w:rsid w:val="2C08354D"/>
    <w:rsid w:val="2C171A40"/>
    <w:rsid w:val="2C1A3752"/>
    <w:rsid w:val="2C2D24FD"/>
    <w:rsid w:val="2C3363C0"/>
    <w:rsid w:val="2C33658F"/>
    <w:rsid w:val="2C631857"/>
    <w:rsid w:val="2C7C4703"/>
    <w:rsid w:val="2C8526AE"/>
    <w:rsid w:val="2C974C9A"/>
    <w:rsid w:val="2C9C05D6"/>
    <w:rsid w:val="2C9D771A"/>
    <w:rsid w:val="2CA73E59"/>
    <w:rsid w:val="2CD179DC"/>
    <w:rsid w:val="2CD26D1F"/>
    <w:rsid w:val="2CD94DD7"/>
    <w:rsid w:val="2CF47779"/>
    <w:rsid w:val="2D152BD9"/>
    <w:rsid w:val="2D4025DF"/>
    <w:rsid w:val="2D4514B8"/>
    <w:rsid w:val="2D557F68"/>
    <w:rsid w:val="2D632105"/>
    <w:rsid w:val="2D6F688E"/>
    <w:rsid w:val="2D796D60"/>
    <w:rsid w:val="2D8537B6"/>
    <w:rsid w:val="2D9836B1"/>
    <w:rsid w:val="2DA07615"/>
    <w:rsid w:val="2DA66471"/>
    <w:rsid w:val="2DC56D26"/>
    <w:rsid w:val="2E162166"/>
    <w:rsid w:val="2E180D2E"/>
    <w:rsid w:val="2E376208"/>
    <w:rsid w:val="2E3E0AC5"/>
    <w:rsid w:val="2E4671C6"/>
    <w:rsid w:val="2E4D5985"/>
    <w:rsid w:val="2E7013BD"/>
    <w:rsid w:val="2E7A7B4A"/>
    <w:rsid w:val="2EA23A5F"/>
    <w:rsid w:val="2EAB18C3"/>
    <w:rsid w:val="2EAD1222"/>
    <w:rsid w:val="2EB15091"/>
    <w:rsid w:val="2EDD2421"/>
    <w:rsid w:val="2EF120F0"/>
    <w:rsid w:val="2F405BE0"/>
    <w:rsid w:val="2F4E09F9"/>
    <w:rsid w:val="2F543CCD"/>
    <w:rsid w:val="2F6765E9"/>
    <w:rsid w:val="2F76287B"/>
    <w:rsid w:val="2F8874EE"/>
    <w:rsid w:val="2F96119F"/>
    <w:rsid w:val="2FA50297"/>
    <w:rsid w:val="2FA8767F"/>
    <w:rsid w:val="2FAB0283"/>
    <w:rsid w:val="2FB05FBD"/>
    <w:rsid w:val="2FD23FA1"/>
    <w:rsid w:val="2FDA1B32"/>
    <w:rsid w:val="3031536A"/>
    <w:rsid w:val="3039064D"/>
    <w:rsid w:val="303E5BE1"/>
    <w:rsid w:val="3047674F"/>
    <w:rsid w:val="3053150E"/>
    <w:rsid w:val="3056547A"/>
    <w:rsid w:val="305B020A"/>
    <w:rsid w:val="306275EE"/>
    <w:rsid w:val="30702C4B"/>
    <w:rsid w:val="30773D10"/>
    <w:rsid w:val="30865567"/>
    <w:rsid w:val="309B0A4D"/>
    <w:rsid w:val="30B90750"/>
    <w:rsid w:val="30D23A5E"/>
    <w:rsid w:val="30DE63F8"/>
    <w:rsid w:val="30F03666"/>
    <w:rsid w:val="311227FB"/>
    <w:rsid w:val="311A6D9D"/>
    <w:rsid w:val="311D7A78"/>
    <w:rsid w:val="312E27E8"/>
    <w:rsid w:val="314827EE"/>
    <w:rsid w:val="314D5D5B"/>
    <w:rsid w:val="3172742B"/>
    <w:rsid w:val="3179263A"/>
    <w:rsid w:val="317A00BB"/>
    <w:rsid w:val="31C10FCE"/>
    <w:rsid w:val="31C918DB"/>
    <w:rsid w:val="31D2654B"/>
    <w:rsid w:val="31DA7CC4"/>
    <w:rsid w:val="31EB2D94"/>
    <w:rsid w:val="320F0E40"/>
    <w:rsid w:val="321C00D2"/>
    <w:rsid w:val="321E4AB0"/>
    <w:rsid w:val="323152E2"/>
    <w:rsid w:val="324B2995"/>
    <w:rsid w:val="325D7662"/>
    <w:rsid w:val="326D1C37"/>
    <w:rsid w:val="329403F9"/>
    <w:rsid w:val="32974798"/>
    <w:rsid w:val="32D30E4A"/>
    <w:rsid w:val="32D90438"/>
    <w:rsid w:val="32D97BB7"/>
    <w:rsid w:val="32DD6CD9"/>
    <w:rsid w:val="32EA50EF"/>
    <w:rsid w:val="32FE6D4E"/>
    <w:rsid w:val="32FF0CAA"/>
    <w:rsid w:val="33015107"/>
    <w:rsid w:val="330301FB"/>
    <w:rsid w:val="330B754D"/>
    <w:rsid w:val="33157394"/>
    <w:rsid w:val="332E4351"/>
    <w:rsid w:val="333643E7"/>
    <w:rsid w:val="33373894"/>
    <w:rsid w:val="3360727E"/>
    <w:rsid w:val="337D6587"/>
    <w:rsid w:val="339A00B5"/>
    <w:rsid w:val="33A10B3D"/>
    <w:rsid w:val="33A818E4"/>
    <w:rsid w:val="33BE2874"/>
    <w:rsid w:val="33D4774D"/>
    <w:rsid w:val="33E25A93"/>
    <w:rsid w:val="33E450A7"/>
    <w:rsid w:val="33F70B39"/>
    <w:rsid w:val="33F732F1"/>
    <w:rsid w:val="33FF26DB"/>
    <w:rsid w:val="340706E9"/>
    <w:rsid w:val="340B2C4D"/>
    <w:rsid w:val="340C7149"/>
    <w:rsid w:val="340D72D3"/>
    <w:rsid w:val="34261B7F"/>
    <w:rsid w:val="3427233A"/>
    <w:rsid w:val="34446BC1"/>
    <w:rsid w:val="348A31D6"/>
    <w:rsid w:val="34987FD8"/>
    <w:rsid w:val="34C3689E"/>
    <w:rsid w:val="34C84285"/>
    <w:rsid w:val="34D40AD9"/>
    <w:rsid w:val="34F26CB1"/>
    <w:rsid w:val="34FC571E"/>
    <w:rsid w:val="34FE3621"/>
    <w:rsid w:val="3503329A"/>
    <w:rsid w:val="35093386"/>
    <w:rsid w:val="350B4A94"/>
    <w:rsid w:val="351A2E09"/>
    <w:rsid w:val="35266A84"/>
    <w:rsid w:val="35345B92"/>
    <w:rsid w:val="354544EE"/>
    <w:rsid w:val="35537BC3"/>
    <w:rsid w:val="35774827"/>
    <w:rsid w:val="35955A31"/>
    <w:rsid w:val="35A70196"/>
    <w:rsid w:val="35C40B12"/>
    <w:rsid w:val="35CB33FA"/>
    <w:rsid w:val="35DC0E38"/>
    <w:rsid w:val="35EB256B"/>
    <w:rsid w:val="35FF6F70"/>
    <w:rsid w:val="360111D8"/>
    <w:rsid w:val="360F6DF5"/>
    <w:rsid w:val="362A4996"/>
    <w:rsid w:val="362C03EF"/>
    <w:rsid w:val="3648449C"/>
    <w:rsid w:val="366053C6"/>
    <w:rsid w:val="368B1EBE"/>
    <w:rsid w:val="368B3C8B"/>
    <w:rsid w:val="369D51F5"/>
    <w:rsid w:val="36B66C24"/>
    <w:rsid w:val="36C14598"/>
    <w:rsid w:val="36C16F37"/>
    <w:rsid w:val="36C26364"/>
    <w:rsid w:val="36D25EFD"/>
    <w:rsid w:val="36DD08C3"/>
    <w:rsid w:val="36E96A0B"/>
    <w:rsid w:val="37025A04"/>
    <w:rsid w:val="37036DCD"/>
    <w:rsid w:val="3726190B"/>
    <w:rsid w:val="372912D4"/>
    <w:rsid w:val="372B16F7"/>
    <w:rsid w:val="37323CBF"/>
    <w:rsid w:val="37362051"/>
    <w:rsid w:val="373A15B8"/>
    <w:rsid w:val="373B602E"/>
    <w:rsid w:val="373F7325"/>
    <w:rsid w:val="37622F13"/>
    <w:rsid w:val="376E25ED"/>
    <w:rsid w:val="376E44E0"/>
    <w:rsid w:val="37712C84"/>
    <w:rsid w:val="37732AB5"/>
    <w:rsid w:val="377E4D31"/>
    <w:rsid w:val="37931D11"/>
    <w:rsid w:val="37961BBF"/>
    <w:rsid w:val="37A53702"/>
    <w:rsid w:val="37A92DDE"/>
    <w:rsid w:val="37B4116F"/>
    <w:rsid w:val="37B55D18"/>
    <w:rsid w:val="37DC2334"/>
    <w:rsid w:val="37FC4DE7"/>
    <w:rsid w:val="38085B62"/>
    <w:rsid w:val="380B0C8B"/>
    <w:rsid w:val="38175EC5"/>
    <w:rsid w:val="38184717"/>
    <w:rsid w:val="381F40A2"/>
    <w:rsid w:val="382070A2"/>
    <w:rsid w:val="38546A20"/>
    <w:rsid w:val="3871172B"/>
    <w:rsid w:val="387260AA"/>
    <w:rsid w:val="388F1DD7"/>
    <w:rsid w:val="38904B7B"/>
    <w:rsid w:val="38925D35"/>
    <w:rsid w:val="38A866AC"/>
    <w:rsid w:val="38AF3D98"/>
    <w:rsid w:val="38CB41B1"/>
    <w:rsid w:val="38D07B05"/>
    <w:rsid w:val="38EB54C0"/>
    <w:rsid w:val="38ED12AB"/>
    <w:rsid w:val="390721FB"/>
    <w:rsid w:val="390A7522"/>
    <w:rsid w:val="39137E32"/>
    <w:rsid w:val="39140348"/>
    <w:rsid w:val="391D7D7F"/>
    <w:rsid w:val="39283A6D"/>
    <w:rsid w:val="392B0622"/>
    <w:rsid w:val="393947EE"/>
    <w:rsid w:val="39660DC6"/>
    <w:rsid w:val="39964B88"/>
    <w:rsid w:val="39A70B72"/>
    <w:rsid w:val="39AE18B7"/>
    <w:rsid w:val="39C920B6"/>
    <w:rsid w:val="3A2E3ABB"/>
    <w:rsid w:val="3A2E41A9"/>
    <w:rsid w:val="3A4B6C9E"/>
    <w:rsid w:val="3A6677DF"/>
    <w:rsid w:val="3A7D4364"/>
    <w:rsid w:val="3A867D14"/>
    <w:rsid w:val="3ABE6841"/>
    <w:rsid w:val="3AEA391B"/>
    <w:rsid w:val="3AFA45D4"/>
    <w:rsid w:val="3B1278F8"/>
    <w:rsid w:val="3B1564B6"/>
    <w:rsid w:val="3B180996"/>
    <w:rsid w:val="3B2B6B4B"/>
    <w:rsid w:val="3B3B3413"/>
    <w:rsid w:val="3B3D0765"/>
    <w:rsid w:val="3B3D7210"/>
    <w:rsid w:val="3B4535CA"/>
    <w:rsid w:val="3B495853"/>
    <w:rsid w:val="3B5C0846"/>
    <w:rsid w:val="3B7C50CA"/>
    <w:rsid w:val="3B7E4E3F"/>
    <w:rsid w:val="3B824396"/>
    <w:rsid w:val="3B885A03"/>
    <w:rsid w:val="3BBA6FBE"/>
    <w:rsid w:val="3BC06797"/>
    <w:rsid w:val="3BC83BA3"/>
    <w:rsid w:val="3BD479B6"/>
    <w:rsid w:val="3BE07FDE"/>
    <w:rsid w:val="3BE242BC"/>
    <w:rsid w:val="3BE92825"/>
    <w:rsid w:val="3BED3088"/>
    <w:rsid w:val="3BF32469"/>
    <w:rsid w:val="3BF46685"/>
    <w:rsid w:val="3C2619CD"/>
    <w:rsid w:val="3C387350"/>
    <w:rsid w:val="3C6A28B4"/>
    <w:rsid w:val="3C764EA1"/>
    <w:rsid w:val="3C7A5BC5"/>
    <w:rsid w:val="3C883CE8"/>
    <w:rsid w:val="3CA05B96"/>
    <w:rsid w:val="3CA9342B"/>
    <w:rsid w:val="3CF16366"/>
    <w:rsid w:val="3D256103"/>
    <w:rsid w:val="3D291138"/>
    <w:rsid w:val="3D2E1FE9"/>
    <w:rsid w:val="3D2E6DC2"/>
    <w:rsid w:val="3D3D469D"/>
    <w:rsid w:val="3D466544"/>
    <w:rsid w:val="3D4D399F"/>
    <w:rsid w:val="3D53169B"/>
    <w:rsid w:val="3D5B710C"/>
    <w:rsid w:val="3D6C5A27"/>
    <w:rsid w:val="3D712113"/>
    <w:rsid w:val="3D740831"/>
    <w:rsid w:val="3D817B14"/>
    <w:rsid w:val="3D8F350F"/>
    <w:rsid w:val="3D927A9C"/>
    <w:rsid w:val="3D9C5E72"/>
    <w:rsid w:val="3DC04705"/>
    <w:rsid w:val="3DCE51F2"/>
    <w:rsid w:val="3DD1492F"/>
    <w:rsid w:val="3DE116C5"/>
    <w:rsid w:val="3DE630F2"/>
    <w:rsid w:val="3DF52EB3"/>
    <w:rsid w:val="3DFD1787"/>
    <w:rsid w:val="3E014C66"/>
    <w:rsid w:val="3E204FFC"/>
    <w:rsid w:val="3E3117C2"/>
    <w:rsid w:val="3E385855"/>
    <w:rsid w:val="3E4163F0"/>
    <w:rsid w:val="3E5248CD"/>
    <w:rsid w:val="3E61441A"/>
    <w:rsid w:val="3E622321"/>
    <w:rsid w:val="3E782438"/>
    <w:rsid w:val="3E8C6F4F"/>
    <w:rsid w:val="3EA073AD"/>
    <w:rsid w:val="3EA702F9"/>
    <w:rsid w:val="3EC9670E"/>
    <w:rsid w:val="3EF659CA"/>
    <w:rsid w:val="3F104904"/>
    <w:rsid w:val="3F2D3D46"/>
    <w:rsid w:val="3F331AF6"/>
    <w:rsid w:val="3FC92783"/>
    <w:rsid w:val="3FCD1FD4"/>
    <w:rsid w:val="3FE058AD"/>
    <w:rsid w:val="402605DD"/>
    <w:rsid w:val="403C6461"/>
    <w:rsid w:val="40512D12"/>
    <w:rsid w:val="40526D9E"/>
    <w:rsid w:val="40754952"/>
    <w:rsid w:val="409235C4"/>
    <w:rsid w:val="40A31513"/>
    <w:rsid w:val="40D77932"/>
    <w:rsid w:val="40F12AE3"/>
    <w:rsid w:val="40F92253"/>
    <w:rsid w:val="40FB5377"/>
    <w:rsid w:val="41217980"/>
    <w:rsid w:val="413E4F19"/>
    <w:rsid w:val="41663276"/>
    <w:rsid w:val="41704E6B"/>
    <w:rsid w:val="41795870"/>
    <w:rsid w:val="4197287C"/>
    <w:rsid w:val="419C2D34"/>
    <w:rsid w:val="41B179C0"/>
    <w:rsid w:val="41DE656C"/>
    <w:rsid w:val="41EF14BA"/>
    <w:rsid w:val="41F4294C"/>
    <w:rsid w:val="42063F6A"/>
    <w:rsid w:val="423261F5"/>
    <w:rsid w:val="423C3496"/>
    <w:rsid w:val="424934AB"/>
    <w:rsid w:val="427D7E24"/>
    <w:rsid w:val="428E6481"/>
    <w:rsid w:val="429E2F4B"/>
    <w:rsid w:val="42B11C99"/>
    <w:rsid w:val="42B9170E"/>
    <w:rsid w:val="42B94375"/>
    <w:rsid w:val="42CA46A0"/>
    <w:rsid w:val="42DD58BF"/>
    <w:rsid w:val="436F6C2C"/>
    <w:rsid w:val="438501CD"/>
    <w:rsid w:val="439D5CFD"/>
    <w:rsid w:val="43CE57F8"/>
    <w:rsid w:val="43E51323"/>
    <w:rsid w:val="44041F38"/>
    <w:rsid w:val="442314CA"/>
    <w:rsid w:val="44267116"/>
    <w:rsid w:val="442B7664"/>
    <w:rsid w:val="442C42E7"/>
    <w:rsid w:val="443F4544"/>
    <w:rsid w:val="443F5F56"/>
    <w:rsid w:val="444647FF"/>
    <w:rsid w:val="444E6091"/>
    <w:rsid w:val="44591FE1"/>
    <w:rsid w:val="44620012"/>
    <w:rsid w:val="446866CB"/>
    <w:rsid w:val="446A13DC"/>
    <w:rsid w:val="44861289"/>
    <w:rsid w:val="4498002E"/>
    <w:rsid w:val="449B0071"/>
    <w:rsid w:val="44AB5723"/>
    <w:rsid w:val="44BA7767"/>
    <w:rsid w:val="44BD0C01"/>
    <w:rsid w:val="44C424A6"/>
    <w:rsid w:val="44C91BE7"/>
    <w:rsid w:val="44DE7769"/>
    <w:rsid w:val="44F8288C"/>
    <w:rsid w:val="44FD61BE"/>
    <w:rsid w:val="45101C42"/>
    <w:rsid w:val="45262595"/>
    <w:rsid w:val="452E78AC"/>
    <w:rsid w:val="453C62BB"/>
    <w:rsid w:val="454A08A1"/>
    <w:rsid w:val="45522598"/>
    <w:rsid w:val="457509A9"/>
    <w:rsid w:val="45A27F25"/>
    <w:rsid w:val="45AD1F56"/>
    <w:rsid w:val="45B37717"/>
    <w:rsid w:val="45B5636D"/>
    <w:rsid w:val="45E94DF0"/>
    <w:rsid w:val="45F42ED3"/>
    <w:rsid w:val="460778C8"/>
    <w:rsid w:val="461C6542"/>
    <w:rsid w:val="462640A2"/>
    <w:rsid w:val="462B3DAD"/>
    <w:rsid w:val="4633523E"/>
    <w:rsid w:val="463456FF"/>
    <w:rsid w:val="464373B9"/>
    <w:rsid w:val="46625BD1"/>
    <w:rsid w:val="4666072E"/>
    <w:rsid w:val="468852C2"/>
    <w:rsid w:val="46946B01"/>
    <w:rsid w:val="469F2BE0"/>
    <w:rsid w:val="46A7758C"/>
    <w:rsid w:val="46AB5BFD"/>
    <w:rsid w:val="46B55F0F"/>
    <w:rsid w:val="46D31F8D"/>
    <w:rsid w:val="46D86856"/>
    <w:rsid w:val="47124561"/>
    <w:rsid w:val="471E7612"/>
    <w:rsid w:val="47446051"/>
    <w:rsid w:val="475B1E29"/>
    <w:rsid w:val="476117FC"/>
    <w:rsid w:val="4784234F"/>
    <w:rsid w:val="479409BF"/>
    <w:rsid w:val="47BC1345"/>
    <w:rsid w:val="47DA7721"/>
    <w:rsid w:val="47F0046A"/>
    <w:rsid w:val="47F365A7"/>
    <w:rsid w:val="48095CDD"/>
    <w:rsid w:val="480F167E"/>
    <w:rsid w:val="482939EC"/>
    <w:rsid w:val="482D053F"/>
    <w:rsid w:val="484A1292"/>
    <w:rsid w:val="485219D0"/>
    <w:rsid w:val="48673B24"/>
    <w:rsid w:val="48775B70"/>
    <w:rsid w:val="487F3F47"/>
    <w:rsid w:val="488129B6"/>
    <w:rsid w:val="48875A27"/>
    <w:rsid w:val="48A10A01"/>
    <w:rsid w:val="48F254BA"/>
    <w:rsid w:val="48F964D5"/>
    <w:rsid w:val="49115934"/>
    <w:rsid w:val="493307D3"/>
    <w:rsid w:val="49443A05"/>
    <w:rsid w:val="49512496"/>
    <w:rsid w:val="49594623"/>
    <w:rsid w:val="495C07A1"/>
    <w:rsid w:val="496A3AF7"/>
    <w:rsid w:val="49830240"/>
    <w:rsid w:val="49932E45"/>
    <w:rsid w:val="49956348"/>
    <w:rsid w:val="499835D0"/>
    <w:rsid w:val="49B51C43"/>
    <w:rsid w:val="49E95F01"/>
    <w:rsid w:val="49F6121B"/>
    <w:rsid w:val="4A474918"/>
    <w:rsid w:val="4A555101"/>
    <w:rsid w:val="4A5E2567"/>
    <w:rsid w:val="4A9C42EC"/>
    <w:rsid w:val="4A9F1E31"/>
    <w:rsid w:val="4AAC5B10"/>
    <w:rsid w:val="4AD06E94"/>
    <w:rsid w:val="4AD66785"/>
    <w:rsid w:val="4AD70F88"/>
    <w:rsid w:val="4B021FBF"/>
    <w:rsid w:val="4B076047"/>
    <w:rsid w:val="4B205ACF"/>
    <w:rsid w:val="4B4A7C9F"/>
    <w:rsid w:val="4B62057A"/>
    <w:rsid w:val="4B7B369D"/>
    <w:rsid w:val="4B813D8B"/>
    <w:rsid w:val="4B8A42FF"/>
    <w:rsid w:val="4B911425"/>
    <w:rsid w:val="4BA03092"/>
    <w:rsid w:val="4BBD33CE"/>
    <w:rsid w:val="4BCC6EAB"/>
    <w:rsid w:val="4BE84A9D"/>
    <w:rsid w:val="4BEE79CC"/>
    <w:rsid w:val="4C1B2919"/>
    <w:rsid w:val="4C2F5C8C"/>
    <w:rsid w:val="4C50565D"/>
    <w:rsid w:val="4C5305DE"/>
    <w:rsid w:val="4C5B3E17"/>
    <w:rsid w:val="4C5E3F3B"/>
    <w:rsid w:val="4C8439D3"/>
    <w:rsid w:val="4CB64C6B"/>
    <w:rsid w:val="4CD33DA5"/>
    <w:rsid w:val="4CE362E5"/>
    <w:rsid w:val="4D197766"/>
    <w:rsid w:val="4D241A1C"/>
    <w:rsid w:val="4D2B6D0D"/>
    <w:rsid w:val="4D496578"/>
    <w:rsid w:val="4D5A0B4E"/>
    <w:rsid w:val="4D6474DF"/>
    <w:rsid w:val="4D6D6EE5"/>
    <w:rsid w:val="4D931300"/>
    <w:rsid w:val="4D9A36AB"/>
    <w:rsid w:val="4DB87D11"/>
    <w:rsid w:val="4DB9368F"/>
    <w:rsid w:val="4DC26FCF"/>
    <w:rsid w:val="4DD53891"/>
    <w:rsid w:val="4DDD68F2"/>
    <w:rsid w:val="4DDF16DE"/>
    <w:rsid w:val="4DE03B29"/>
    <w:rsid w:val="4DE4123D"/>
    <w:rsid w:val="4DEB7267"/>
    <w:rsid w:val="4E041ADF"/>
    <w:rsid w:val="4E092473"/>
    <w:rsid w:val="4E164978"/>
    <w:rsid w:val="4E32274E"/>
    <w:rsid w:val="4E362A47"/>
    <w:rsid w:val="4E4C4D02"/>
    <w:rsid w:val="4E4F2B02"/>
    <w:rsid w:val="4E5C30AC"/>
    <w:rsid w:val="4E963E7C"/>
    <w:rsid w:val="4E9857A7"/>
    <w:rsid w:val="4EB856B6"/>
    <w:rsid w:val="4EE264FA"/>
    <w:rsid w:val="4EF90D12"/>
    <w:rsid w:val="4EF94A5A"/>
    <w:rsid w:val="4EFA5E3B"/>
    <w:rsid w:val="4EFC3311"/>
    <w:rsid w:val="4EFD0219"/>
    <w:rsid w:val="4F166E85"/>
    <w:rsid w:val="4F2738B4"/>
    <w:rsid w:val="4F3B3C56"/>
    <w:rsid w:val="4F452E5F"/>
    <w:rsid w:val="4F4C48A4"/>
    <w:rsid w:val="4F522031"/>
    <w:rsid w:val="4F8572A5"/>
    <w:rsid w:val="4F96288F"/>
    <w:rsid w:val="4F992781"/>
    <w:rsid w:val="4FB93C4A"/>
    <w:rsid w:val="4FDB284A"/>
    <w:rsid w:val="4FE52B4D"/>
    <w:rsid w:val="4FE72524"/>
    <w:rsid w:val="4FF550BD"/>
    <w:rsid w:val="500B093F"/>
    <w:rsid w:val="501F4E39"/>
    <w:rsid w:val="50252009"/>
    <w:rsid w:val="504D574C"/>
    <w:rsid w:val="505A4A62"/>
    <w:rsid w:val="5069134B"/>
    <w:rsid w:val="507D6D55"/>
    <w:rsid w:val="50992FB8"/>
    <w:rsid w:val="50B2358F"/>
    <w:rsid w:val="50CE0799"/>
    <w:rsid w:val="50D51114"/>
    <w:rsid w:val="51040FB1"/>
    <w:rsid w:val="51692F17"/>
    <w:rsid w:val="51706C3A"/>
    <w:rsid w:val="517C5C4F"/>
    <w:rsid w:val="51811881"/>
    <w:rsid w:val="51A83BBF"/>
    <w:rsid w:val="51AB5688"/>
    <w:rsid w:val="51DE4BDE"/>
    <w:rsid w:val="52096327"/>
    <w:rsid w:val="522A7977"/>
    <w:rsid w:val="52333189"/>
    <w:rsid w:val="52355545"/>
    <w:rsid w:val="525A337F"/>
    <w:rsid w:val="52714327"/>
    <w:rsid w:val="5273029A"/>
    <w:rsid w:val="527C7ADE"/>
    <w:rsid w:val="527F0E68"/>
    <w:rsid w:val="528A0579"/>
    <w:rsid w:val="528F1927"/>
    <w:rsid w:val="52BB5BB3"/>
    <w:rsid w:val="52C171D6"/>
    <w:rsid w:val="52D569E3"/>
    <w:rsid w:val="53070B8B"/>
    <w:rsid w:val="53155F5F"/>
    <w:rsid w:val="53190AC3"/>
    <w:rsid w:val="531C6A2C"/>
    <w:rsid w:val="534741B0"/>
    <w:rsid w:val="534B710E"/>
    <w:rsid w:val="5363025D"/>
    <w:rsid w:val="5365422D"/>
    <w:rsid w:val="536C3D7E"/>
    <w:rsid w:val="537304F7"/>
    <w:rsid w:val="53912D9F"/>
    <w:rsid w:val="53982CB5"/>
    <w:rsid w:val="53AE0F0F"/>
    <w:rsid w:val="53B532B0"/>
    <w:rsid w:val="53D563CB"/>
    <w:rsid w:val="53ED7CEA"/>
    <w:rsid w:val="54236F00"/>
    <w:rsid w:val="542947A2"/>
    <w:rsid w:val="543505B5"/>
    <w:rsid w:val="54497256"/>
    <w:rsid w:val="54606E7B"/>
    <w:rsid w:val="54684882"/>
    <w:rsid w:val="54CD52B0"/>
    <w:rsid w:val="54D046F7"/>
    <w:rsid w:val="54ED3578"/>
    <w:rsid w:val="54FB68DA"/>
    <w:rsid w:val="552A12A9"/>
    <w:rsid w:val="552B0C40"/>
    <w:rsid w:val="55345F5A"/>
    <w:rsid w:val="55444AEE"/>
    <w:rsid w:val="55465ABA"/>
    <w:rsid w:val="55592D3D"/>
    <w:rsid w:val="555C6215"/>
    <w:rsid w:val="558A0EE7"/>
    <w:rsid w:val="55B1592E"/>
    <w:rsid w:val="55E16072"/>
    <w:rsid w:val="55E23AF4"/>
    <w:rsid w:val="56017337"/>
    <w:rsid w:val="560F11A0"/>
    <w:rsid w:val="561861CC"/>
    <w:rsid w:val="561E3959"/>
    <w:rsid w:val="56216073"/>
    <w:rsid w:val="562532E3"/>
    <w:rsid w:val="5635596E"/>
    <w:rsid w:val="564E0868"/>
    <w:rsid w:val="56567336"/>
    <w:rsid w:val="5688396D"/>
    <w:rsid w:val="569C2A43"/>
    <w:rsid w:val="56BF34E2"/>
    <w:rsid w:val="56C851E6"/>
    <w:rsid w:val="56D7355E"/>
    <w:rsid w:val="56E02159"/>
    <w:rsid w:val="56EF05C4"/>
    <w:rsid w:val="56EF5888"/>
    <w:rsid w:val="571A7E08"/>
    <w:rsid w:val="571D46E1"/>
    <w:rsid w:val="572134BD"/>
    <w:rsid w:val="57255501"/>
    <w:rsid w:val="572810B0"/>
    <w:rsid w:val="572C183C"/>
    <w:rsid w:val="5753697B"/>
    <w:rsid w:val="576E4DBD"/>
    <w:rsid w:val="578611DC"/>
    <w:rsid w:val="578E7E54"/>
    <w:rsid w:val="57B977EC"/>
    <w:rsid w:val="57C3270D"/>
    <w:rsid w:val="57DA1D5C"/>
    <w:rsid w:val="57DD2DCD"/>
    <w:rsid w:val="57EB3A64"/>
    <w:rsid w:val="581F4655"/>
    <w:rsid w:val="582635A5"/>
    <w:rsid w:val="582C3B15"/>
    <w:rsid w:val="5847343F"/>
    <w:rsid w:val="584D4479"/>
    <w:rsid w:val="58612C0E"/>
    <w:rsid w:val="58753320"/>
    <w:rsid w:val="587B38F4"/>
    <w:rsid w:val="58A545FC"/>
    <w:rsid w:val="58AB3F87"/>
    <w:rsid w:val="58BE080A"/>
    <w:rsid w:val="58DB6952"/>
    <w:rsid w:val="58DD4479"/>
    <w:rsid w:val="58F246EB"/>
    <w:rsid w:val="58F5679B"/>
    <w:rsid w:val="58F6289D"/>
    <w:rsid w:val="591478D2"/>
    <w:rsid w:val="591539B6"/>
    <w:rsid w:val="59166A2C"/>
    <w:rsid w:val="591F64C4"/>
    <w:rsid w:val="59201209"/>
    <w:rsid w:val="59372EA6"/>
    <w:rsid w:val="59564A79"/>
    <w:rsid w:val="595B5B78"/>
    <w:rsid w:val="595F661F"/>
    <w:rsid w:val="597701D8"/>
    <w:rsid w:val="59A529AD"/>
    <w:rsid w:val="59B212B6"/>
    <w:rsid w:val="59FC70A0"/>
    <w:rsid w:val="5A095F0E"/>
    <w:rsid w:val="5A3130C6"/>
    <w:rsid w:val="5A395907"/>
    <w:rsid w:val="5A4605C2"/>
    <w:rsid w:val="5A494CAD"/>
    <w:rsid w:val="5A5C564A"/>
    <w:rsid w:val="5A8B6A1B"/>
    <w:rsid w:val="5AA6548C"/>
    <w:rsid w:val="5AB902C5"/>
    <w:rsid w:val="5AC851C8"/>
    <w:rsid w:val="5AD139DA"/>
    <w:rsid w:val="5ADD3F18"/>
    <w:rsid w:val="5ADE556F"/>
    <w:rsid w:val="5AEC1F37"/>
    <w:rsid w:val="5B461556"/>
    <w:rsid w:val="5B6E0969"/>
    <w:rsid w:val="5B933E34"/>
    <w:rsid w:val="5B9601D2"/>
    <w:rsid w:val="5BA10CE8"/>
    <w:rsid w:val="5BC61766"/>
    <w:rsid w:val="5BF76171"/>
    <w:rsid w:val="5BFA6D0C"/>
    <w:rsid w:val="5C051F0F"/>
    <w:rsid w:val="5C0601CE"/>
    <w:rsid w:val="5C0D0AAE"/>
    <w:rsid w:val="5C117DB8"/>
    <w:rsid w:val="5C3F3470"/>
    <w:rsid w:val="5C775080"/>
    <w:rsid w:val="5C8209AF"/>
    <w:rsid w:val="5C88775A"/>
    <w:rsid w:val="5CAD200E"/>
    <w:rsid w:val="5CB66ECD"/>
    <w:rsid w:val="5CB913C4"/>
    <w:rsid w:val="5CBA4AB1"/>
    <w:rsid w:val="5CC45073"/>
    <w:rsid w:val="5CD976BE"/>
    <w:rsid w:val="5CE24971"/>
    <w:rsid w:val="5CED5E87"/>
    <w:rsid w:val="5CEE2982"/>
    <w:rsid w:val="5CFF205A"/>
    <w:rsid w:val="5D0E0CB8"/>
    <w:rsid w:val="5D181620"/>
    <w:rsid w:val="5D514C25"/>
    <w:rsid w:val="5D6B3042"/>
    <w:rsid w:val="5D733F15"/>
    <w:rsid w:val="5D803C85"/>
    <w:rsid w:val="5D804C55"/>
    <w:rsid w:val="5D906A8B"/>
    <w:rsid w:val="5D9856B2"/>
    <w:rsid w:val="5D9C6476"/>
    <w:rsid w:val="5D9C7622"/>
    <w:rsid w:val="5D9F352B"/>
    <w:rsid w:val="5DB915C3"/>
    <w:rsid w:val="5DC27059"/>
    <w:rsid w:val="5DC952AC"/>
    <w:rsid w:val="5DE71FD8"/>
    <w:rsid w:val="5E1117E0"/>
    <w:rsid w:val="5E1245D2"/>
    <w:rsid w:val="5E352B2C"/>
    <w:rsid w:val="5E420DD9"/>
    <w:rsid w:val="5E44330D"/>
    <w:rsid w:val="5E4567B6"/>
    <w:rsid w:val="5E5F76D7"/>
    <w:rsid w:val="5E7D73C0"/>
    <w:rsid w:val="5E882EE3"/>
    <w:rsid w:val="5E8C371F"/>
    <w:rsid w:val="5E8D5A8F"/>
    <w:rsid w:val="5E905D53"/>
    <w:rsid w:val="5E9A3F8A"/>
    <w:rsid w:val="5EBB2509"/>
    <w:rsid w:val="5EE72FF6"/>
    <w:rsid w:val="5F051530"/>
    <w:rsid w:val="5F051E93"/>
    <w:rsid w:val="5F096736"/>
    <w:rsid w:val="5F0A527B"/>
    <w:rsid w:val="5F16108D"/>
    <w:rsid w:val="5F1D359D"/>
    <w:rsid w:val="5F4905E3"/>
    <w:rsid w:val="5F4F3244"/>
    <w:rsid w:val="5F662111"/>
    <w:rsid w:val="5F720C7B"/>
    <w:rsid w:val="5F873AA6"/>
    <w:rsid w:val="5F894852"/>
    <w:rsid w:val="5F915352"/>
    <w:rsid w:val="5F9C472C"/>
    <w:rsid w:val="5FA0293B"/>
    <w:rsid w:val="5FBF6286"/>
    <w:rsid w:val="5FD03D3F"/>
    <w:rsid w:val="5FD20271"/>
    <w:rsid w:val="5FE17B2B"/>
    <w:rsid w:val="5FE34F5E"/>
    <w:rsid w:val="5FEA3A23"/>
    <w:rsid w:val="5FF53FDC"/>
    <w:rsid w:val="60014FBE"/>
    <w:rsid w:val="600352A7"/>
    <w:rsid w:val="6018622E"/>
    <w:rsid w:val="601D37F2"/>
    <w:rsid w:val="60305574"/>
    <w:rsid w:val="603A4365"/>
    <w:rsid w:val="60572D1E"/>
    <w:rsid w:val="6057543B"/>
    <w:rsid w:val="605C13A4"/>
    <w:rsid w:val="60710F7E"/>
    <w:rsid w:val="60A2155D"/>
    <w:rsid w:val="60BC1832"/>
    <w:rsid w:val="60BC6B68"/>
    <w:rsid w:val="60BD731F"/>
    <w:rsid w:val="60C474CD"/>
    <w:rsid w:val="60E345DE"/>
    <w:rsid w:val="60EE02E3"/>
    <w:rsid w:val="60FF62C1"/>
    <w:rsid w:val="610408B9"/>
    <w:rsid w:val="610E7E48"/>
    <w:rsid w:val="6114544B"/>
    <w:rsid w:val="61222193"/>
    <w:rsid w:val="612E6BDA"/>
    <w:rsid w:val="61750C60"/>
    <w:rsid w:val="61A12D5C"/>
    <w:rsid w:val="61C23EED"/>
    <w:rsid w:val="61C26006"/>
    <w:rsid w:val="61D92A1D"/>
    <w:rsid w:val="61EA4A13"/>
    <w:rsid w:val="61F7533A"/>
    <w:rsid w:val="620365CE"/>
    <w:rsid w:val="621744FE"/>
    <w:rsid w:val="6227578E"/>
    <w:rsid w:val="622D6F62"/>
    <w:rsid w:val="62471807"/>
    <w:rsid w:val="62550BEE"/>
    <w:rsid w:val="625D7BF0"/>
    <w:rsid w:val="626528BE"/>
    <w:rsid w:val="62662A7E"/>
    <w:rsid w:val="62721812"/>
    <w:rsid w:val="629800E3"/>
    <w:rsid w:val="62AA5F57"/>
    <w:rsid w:val="62B101A5"/>
    <w:rsid w:val="62C80685"/>
    <w:rsid w:val="62F969A4"/>
    <w:rsid w:val="630C0C8E"/>
    <w:rsid w:val="6317701F"/>
    <w:rsid w:val="63206177"/>
    <w:rsid w:val="63264EB3"/>
    <w:rsid w:val="63384F2F"/>
    <w:rsid w:val="633C17DD"/>
    <w:rsid w:val="633D725E"/>
    <w:rsid w:val="634265E1"/>
    <w:rsid w:val="6359255B"/>
    <w:rsid w:val="63806052"/>
    <w:rsid w:val="63857653"/>
    <w:rsid w:val="63A56738"/>
    <w:rsid w:val="63BC163B"/>
    <w:rsid w:val="63D619DB"/>
    <w:rsid w:val="63DA21F2"/>
    <w:rsid w:val="63F23EF6"/>
    <w:rsid w:val="63F34427"/>
    <w:rsid w:val="63F40AF7"/>
    <w:rsid w:val="64040555"/>
    <w:rsid w:val="641A1D59"/>
    <w:rsid w:val="641B1E60"/>
    <w:rsid w:val="64275E2B"/>
    <w:rsid w:val="64304B41"/>
    <w:rsid w:val="643903FB"/>
    <w:rsid w:val="64596D04"/>
    <w:rsid w:val="64842E97"/>
    <w:rsid w:val="648C6A5C"/>
    <w:rsid w:val="64917DEA"/>
    <w:rsid w:val="64A9617D"/>
    <w:rsid w:val="64E61251"/>
    <w:rsid w:val="65111948"/>
    <w:rsid w:val="654460A5"/>
    <w:rsid w:val="656E48FC"/>
    <w:rsid w:val="656F2025"/>
    <w:rsid w:val="65767E03"/>
    <w:rsid w:val="657A3887"/>
    <w:rsid w:val="657E6CE7"/>
    <w:rsid w:val="65C207CA"/>
    <w:rsid w:val="65C60DEB"/>
    <w:rsid w:val="65DF66F9"/>
    <w:rsid w:val="66121F3C"/>
    <w:rsid w:val="66141375"/>
    <w:rsid w:val="66151EEC"/>
    <w:rsid w:val="66166687"/>
    <w:rsid w:val="6634686C"/>
    <w:rsid w:val="663C2119"/>
    <w:rsid w:val="66520002"/>
    <w:rsid w:val="667A63AC"/>
    <w:rsid w:val="66C34DA2"/>
    <w:rsid w:val="66D06136"/>
    <w:rsid w:val="66D858CB"/>
    <w:rsid w:val="66DA04BD"/>
    <w:rsid w:val="66DB09CF"/>
    <w:rsid w:val="66DC1EC5"/>
    <w:rsid w:val="66DC22E1"/>
    <w:rsid w:val="66E70497"/>
    <w:rsid w:val="66ED476E"/>
    <w:rsid w:val="66EE1CC2"/>
    <w:rsid w:val="66F66CD6"/>
    <w:rsid w:val="670176DB"/>
    <w:rsid w:val="673C066E"/>
    <w:rsid w:val="67562074"/>
    <w:rsid w:val="676241EF"/>
    <w:rsid w:val="677D5FDA"/>
    <w:rsid w:val="67812FA1"/>
    <w:rsid w:val="678C6BFF"/>
    <w:rsid w:val="67906D54"/>
    <w:rsid w:val="679D0A8D"/>
    <w:rsid w:val="67B7146D"/>
    <w:rsid w:val="67DC1AED"/>
    <w:rsid w:val="67F61A31"/>
    <w:rsid w:val="68091177"/>
    <w:rsid w:val="68112FCA"/>
    <w:rsid w:val="681151C8"/>
    <w:rsid w:val="68332285"/>
    <w:rsid w:val="684664FE"/>
    <w:rsid w:val="684803F5"/>
    <w:rsid w:val="685B0CF1"/>
    <w:rsid w:val="685D16AE"/>
    <w:rsid w:val="686504D6"/>
    <w:rsid w:val="688132F3"/>
    <w:rsid w:val="68900BD0"/>
    <w:rsid w:val="68A04003"/>
    <w:rsid w:val="68A23A06"/>
    <w:rsid w:val="68AD2DF2"/>
    <w:rsid w:val="68AF5C71"/>
    <w:rsid w:val="68DD6F8D"/>
    <w:rsid w:val="690B0C63"/>
    <w:rsid w:val="69121464"/>
    <w:rsid w:val="691915CA"/>
    <w:rsid w:val="691E75A1"/>
    <w:rsid w:val="693144D5"/>
    <w:rsid w:val="693A4F63"/>
    <w:rsid w:val="693B5F38"/>
    <w:rsid w:val="694152EC"/>
    <w:rsid w:val="694D0CE3"/>
    <w:rsid w:val="69501206"/>
    <w:rsid w:val="6968432A"/>
    <w:rsid w:val="696B7247"/>
    <w:rsid w:val="69A00274"/>
    <w:rsid w:val="69AD126C"/>
    <w:rsid w:val="69C9231B"/>
    <w:rsid w:val="69F16EFF"/>
    <w:rsid w:val="69F51A53"/>
    <w:rsid w:val="6A2F2373"/>
    <w:rsid w:val="6A781BE6"/>
    <w:rsid w:val="6A8852F2"/>
    <w:rsid w:val="6A890C8E"/>
    <w:rsid w:val="6A8C4A72"/>
    <w:rsid w:val="6A8F6861"/>
    <w:rsid w:val="6AB25B1C"/>
    <w:rsid w:val="6AC555EC"/>
    <w:rsid w:val="6AD17F14"/>
    <w:rsid w:val="6AD71EA0"/>
    <w:rsid w:val="6AE05366"/>
    <w:rsid w:val="6AEB36F7"/>
    <w:rsid w:val="6AEC2A29"/>
    <w:rsid w:val="6AFF60B8"/>
    <w:rsid w:val="6B1113B9"/>
    <w:rsid w:val="6B16780C"/>
    <w:rsid w:val="6B2525D8"/>
    <w:rsid w:val="6B35106F"/>
    <w:rsid w:val="6B3C63A0"/>
    <w:rsid w:val="6B3D7C7E"/>
    <w:rsid w:val="6B3F1E86"/>
    <w:rsid w:val="6B437609"/>
    <w:rsid w:val="6B463E80"/>
    <w:rsid w:val="6B69071D"/>
    <w:rsid w:val="6B9851EE"/>
    <w:rsid w:val="6BA260C0"/>
    <w:rsid w:val="6BE02559"/>
    <w:rsid w:val="6BE231DC"/>
    <w:rsid w:val="6BF35715"/>
    <w:rsid w:val="6C021003"/>
    <w:rsid w:val="6C132864"/>
    <w:rsid w:val="6C232BA3"/>
    <w:rsid w:val="6C3269DF"/>
    <w:rsid w:val="6C435B1F"/>
    <w:rsid w:val="6C543F7B"/>
    <w:rsid w:val="6C55074B"/>
    <w:rsid w:val="6C5D4D87"/>
    <w:rsid w:val="6C607BE6"/>
    <w:rsid w:val="6C6550DF"/>
    <w:rsid w:val="6C714B63"/>
    <w:rsid w:val="6C734478"/>
    <w:rsid w:val="6C74124E"/>
    <w:rsid w:val="6C9B3C83"/>
    <w:rsid w:val="6C9E71D3"/>
    <w:rsid w:val="6CBA14A3"/>
    <w:rsid w:val="6CEB722D"/>
    <w:rsid w:val="6D001797"/>
    <w:rsid w:val="6D07276D"/>
    <w:rsid w:val="6D2A2E90"/>
    <w:rsid w:val="6D3A4257"/>
    <w:rsid w:val="6D465AD5"/>
    <w:rsid w:val="6D6D0AEC"/>
    <w:rsid w:val="6D70536D"/>
    <w:rsid w:val="6D767F2C"/>
    <w:rsid w:val="6DA2207A"/>
    <w:rsid w:val="6DB7147B"/>
    <w:rsid w:val="6DB82591"/>
    <w:rsid w:val="6DBF2EA0"/>
    <w:rsid w:val="6DD22E78"/>
    <w:rsid w:val="6DD544B4"/>
    <w:rsid w:val="6DE74AFB"/>
    <w:rsid w:val="6E105218"/>
    <w:rsid w:val="6E12008F"/>
    <w:rsid w:val="6E2773B9"/>
    <w:rsid w:val="6E83214E"/>
    <w:rsid w:val="6E9C0605"/>
    <w:rsid w:val="6EA66996"/>
    <w:rsid w:val="6EBA5B22"/>
    <w:rsid w:val="6EC33D48"/>
    <w:rsid w:val="6EC6671A"/>
    <w:rsid w:val="6ED32CD3"/>
    <w:rsid w:val="6ED85FF8"/>
    <w:rsid w:val="6EF41F3E"/>
    <w:rsid w:val="6F2262E0"/>
    <w:rsid w:val="6F252AE8"/>
    <w:rsid w:val="6F3647EA"/>
    <w:rsid w:val="6F5403E0"/>
    <w:rsid w:val="6F601648"/>
    <w:rsid w:val="6F7647D4"/>
    <w:rsid w:val="6F8955AD"/>
    <w:rsid w:val="6F8E592A"/>
    <w:rsid w:val="6FA2374A"/>
    <w:rsid w:val="6FB410D2"/>
    <w:rsid w:val="6FB641A6"/>
    <w:rsid w:val="6FBD0391"/>
    <w:rsid w:val="6FD00B14"/>
    <w:rsid w:val="6FDC6C51"/>
    <w:rsid w:val="6FDD2296"/>
    <w:rsid w:val="700F0DEC"/>
    <w:rsid w:val="70176613"/>
    <w:rsid w:val="702E2F9A"/>
    <w:rsid w:val="703B41EF"/>
    <w:rsid w:val="705169D2"/>
    <w:rsid w:val="705F16E9"/>
    <w:rsid w:val="7064565C"/>
    <w:rsid w:val="706B1254"/>
    <w:rsid w:val="706B757B"/>
    <w:rsid w:val="707228A5"/>
    <w:rsid w:val="70790649"/>
    <w:rsid w:val="70A40011"/>
    <w:rsid w:val="70B21AA0"/>
    <w:rsid w:val="70B62700"/>
    <w:rsid w:val="70BB3E83"/>
    <w:rsid w:val="70C248AA"/>
    <w:rsid w:val="70C43A00"/>
    <w:rsid w:val="70C50F2B"/>
    <w:rsid w:val="70C739CB"/>
    <w:rsid w:val="70DA5631"/>
    <w:rsid w:val="71223E74"/>
    <w:rsid w:val="71224EF7"/>
    <w:rsid w:val="714007F0"/>
    <w:rsid w:val="71566C58"/>
    <w:rsid w:val="715A4C86"/>
    <w:rsid w:val="716715FA"/>
    <w:rsid w:val="716B7A56"/>
    <w:rsid w:val="717D41BE"/>
    <w:rsid w:val="71801DFE"/>
    <w:rsid w:val="718201BD"/>
    <w:rsid w:val="7182386B"/>
    <w:rsid w:val="71C54335"/>
    <w:rsid w:val="71E061E4"/>
    <w:rsid w:val="71F66E45"/>
    <w:rsid w:val="720C4BC9"/>
    <w:rsid w:val="723D27A4"/>
    <w:rsid w:val="723D2CFA"/>
    <w:rsid w:val="724F4F86"/>
    <w:rsid w:val="72594BA8"/>
    <w:rsid w:val="7299279C"/>
    <w:rsid w:val="72A141BB"/>
    <w:rsid w:val="72BB6C3E"/>
    <w:rsid w:val="72F04DA6"/>
    <w:rsid w:val="731179AE"/>
    <w:rsid w:val="731A3773"/>
    <w:rsid w:val="73391463"/>
    <w:rsid w:val="733A771A"/>
    <w:rsid w:val="73447DDA"/>
    <w:rsid w:val="735B43D9"/>
    <w:rsid w:val="73927DA8"/>
    <w:rsid w:val="739B56F1"/>
    <w:rsid w:val="73A201E0"/>
    <w:rsid w:val="73BD4470"/>
    <w:rsid w:val="73BF0558"/>
    <w:rsid w:val="73C0007A"/>
    <w:rsid w:val="73D62E1B"/>
    <w:rsid w:val="73DC4A73"/>
    <w:rsid w:val="73F80FB1"/>
    <w:rsid w:val="74012CFB"/>
    <w:rsid w:val="741A0CD3"/>
    <w:rsid w:val="74263E6D"/>
    <w:rsid w:val="742D1571"/>
    <w:rsid w:val="743D6E85"/>
    <w:rsid w:val="745436E9"/>
    <w:rsid w:val="74592FEB"/>
    <w:rsid w:val="745B517A"/>
    <w:rsid w:val="746B7A8B"/>
    <w:rsid w:val="747D231F"/>
    <w:rsid w:val="74DA5B41"/>
    <w:rsid w:val="74DE3036"/>
    <w:rsid w:val="74DF4159"/>
    <w:rsid w:val="74E10D4F"/>
    <w:rsid w:val="74E168B9"/>
    <w:rsid w:val="74E4759E"/>
    <w:rsid w:val="74E77512"/>
    <w:rsid w:val="74E9549C"/>
    <w:rsid w:val="74F04212"/>
    <w:rsid w:val="7504404D"/>
    <w:rsid w:val="75260EE2"/>
    <w:rsid w:val="75366F9E"/>
    <w:rsid w:val="754340BC"/>
    <w:rsid w:val="754453E7"/>
    <w:rsid w:val="754B1E3D"/>
    <w:rsid w:val="755D00C7"/>
    <w:rsid w:val="756014D2"/>
    <w:rsid w:val="75607D05"/>
    <w:rsid w:val="7596202C"/>
    <w:rsid w:val="759A5F7F"/>
    <w:rsid w:val="75A71A11"/>
    <w:rsid w:val="75C2407D"/>
    <w:rsid w:val="75DA7430"/>
    <w:rsid w:val="75DB226C"/>
    <w:rsid w:val="75E05BE2"/>
    <w:rsid w:val="75E404AF"/>
    <w:rsid w:val="75F1283B"/>
    <w:rsid w:val="760268A8"/>
    <w:rsid w:val="761947E3"/>
    <w:rsid w:val="761A657E"/>
    <w:rsid w:val="76350929"/>
    <w:rsid w:val="76401F90"/>
    <w:rsid w:val="76445648"/>
    <w:rsid w:val="76462F0D"/>
    <w:rsid w:val="76545C69"/>
    <w:rsid w:val="76613448"/>
    <w:rsid w:val="7664082C"/>
    <w:rsid w:val="7675302E"/>
    <w:rsid w:val="767A7BE3"/>
    <w:rsid w:val="76870633"/>
    <w:rsid w:val="769A3549"/>
    <w:rsid w:val="769A3978"/>
    <w:rsid w:val="76A02A72"/>
    <w:rsid w:val="76AB0C7C"/>
    <w:rsid w:val="76B963D7"/>
    <w:rsid w:val="76D43080"/>
    <w:rsid w:val="76F23FB2"/>
    <w:rsid w:val="770D454B"/>
    <w:rsid w:val="770F0077"/>
    <w:rsid w:val="7710415C"/>
    <w:rsid w:val="771E2E77"/>
    <w:rsid w:val="772274D3"/>
    <w:rsid w:val="77381A6E"/>
    <w:rsid w:val="77492104"/>
    <w:rsid w:val="774F66AA"/>
    <w:rsid w:val="7751617E"/>
    <w:rsid w:val="77635623"/>
    <w:rsid w:val="778005DF"/>
    <w:rsid w:val="7791635E"/>
    <w:rsid w:val="779A4F3D"/>
    <w:rsid w:val="779E40CB"/>
    <w:rsid w:val="77DE7487"/>
    <w:rsid w:val="77FB394E"/>
    <w:rsid w:val="785E27FE"/>
    <w:rsid w:val="785E2C09"/>
    <w:rsid w:val="786A251A"/>
    <w:rsid w:val="78770AAF"/>
    <w:rsid w:val="7890275A"/>
    <w:rsid w:val="78903597"/>
    <w:rsid w:val="78A95EDD"/>
    <w:rsid w:val="78F07D5B"/>
    <w:rsid w:val="78F1257E"/>
    <w:rsid w:val="7900147B"/>
    <w:rsid w:val="79375FC7"/>
    <w:rsid w:val="793A122E"/>
    <w:rsid w:val="794B6DFA"/>
    <w:rsid w:val="795C0BA9"/>
    <w:rsid w:val="795D7EF3"/>
    <w:rsid w:val="795E40AC"/>
    <w:rsid w:val="79644C4D"/>
    <w:rsid w:val="79737C45"/>
    <w:rsid w:val="799407C3"/>
    <w:rsid w:val="79B07038"/>
    <w:rsid w:val="79E65289"/>
    <w:rsid w:val="79E82403"/>
    <w:rsid w:val="79F61654"/>
    <w:rsid w:val="7A0D54FC"/>
    <w:rsid w:val="7A2818B3"/>
    <w:rsid w:val="7A3A2DA1"/>
    <w:rsid w:val="7A702CC4"/>
    <w:rsid w:val="7A8609AF"/>
    <w:rsid w:val="7A8E6E55"/>
    <w:rsid w:val="7AAF5FD7"/>
    <w:rsid w:val="7AC52BD7"/>
    <w:rsid w:val="7AEA261F"/>
    <w:rsid w:val="7AF4588D"/>
    <w:rsid w:val="7AFC4340"/>
    <w:rsid w:val="7AFD139B"/>
    <w:rsid w:val="7B0B2E6E"/>
    <w:rsid w:val="7B126819"/>
    <w:rsid w:val="7B207590"/>
    <w:rsid w:val="7B260A84"/>
    <w:rsid w:val="7B2817CC"/>
    <w:rsid w:val="7B303FA7"/>
    <w:rsid w:val="7B436EBF"/>
    <w:rsid w:val="7B5415AE"/>
    <w:rsid w:val="7B6A670A"/>
    <w:rsid w:val="7B700614"/>
    <w:rsid w:val="7B7345C7"/>
    <w:rsid w:val="7B9051A0"/>
    <w:rsid w:val="7BA0438B"/>
    <w:rsid w:val="7BBA3F0B"/>
    <w:rsid w:val="7BBF58CC"/>
    <w:rsid w:val="7BDD7943"/>
    <w:rsid w:val="7BE73038"/>
    <w:rsid w:val="7C055524"/>
    <w:rsid w:val="7C0B75D8"/>
    <w:rsid w:val="7C2C6554"/>
    <w:rsid w:val="7C2E226B"/>
    <w:rsid w:val="7C3F6033"/>
    <w:rsid w:val="7C4D05AD"/>
    <w:rsid w:val="7C7336F9"/>
    <w:rsid w:val="7C782A97"/>
    <w:rsid w:val="7C7D5A3A"/>
    <w:rsid w:val="7C832037"/>
    <w:rsid w:val="7CAE2114"/>
    <w:rsid w:val="7CCA3D48"/>
    <w:rsid w:val="7CD014D5"/>
    <w:rsid w:val="7CD20D17"/>
    <w:rsid w:val="7CD21C08"/>
    <w:rsid w:val="7CD473D9"/>
    <w:rsid w:val="7CDF32B1"/>
    <w:rsid w:val="7CF906E8"/>
    <w:rsid w:val="7D0F483D"/>
    <w:rsid w:val="7D1F7D71"/>
    <w:rsid w:val="7D211223"/>
    <w:rsid w:val="7D314812"/>
    <w:rsid w:val="7D3A3102"/>
    <w:rsid w:val="7D53622B"/>
    <w:rsid w:val="7D5E7E3F"/>
    <w:rsid w:val="7D824505"/>
    <w:rsid w:val="7D86681E"/>
    <w:rsid w:val="7DA2235D"/>
    <w:rsid w:val="7DC26892"/>
    <w:rsid w:val="7DCF3893"/>
    <w:rsid w:val="7DCF5AB5"/>
    <w:rsid w:val="7E0B3423"/>
    <w:rsid w:val="7E36369C"/>
    <w:rsid w:val="7E653AE9"/>
    <w:rsid w:val="7E692E90"/>
    <w:rsid w:val="7E7476ED"/>
    <w:rsid w:val="7E926F37"/>
    <w:rsid w:val="7E947EBC"/>
    <w:rsid w:val="7E9C358E"/>
    <w:rsid w:val="7EA70A98"/>
    <w:rsid w:val="7EB503F0"/>
    <w:rsid w:val="7EB74E65"/>
    <w:rsid w:val="7EBA3A17"/>
    <w:rsid w:val="7EDA732B"/>
    <w:rsid w:val="7EED054A"/>
    <w:rsid w:val="7EF45521"/>
    <w:rsid w:val="7F1C1099"/>
    <w:rsid w:val="7F227204"/>
    <w:rsid w:val="7F29118B"/>
    <w:rsid w:val="7F2C023E"/>
    <w:rsid w:val="7F33543B"/>
    <w:rsid w:val="7F36239C"/>
    <w:rsid w:val="7F37335C"/>
    <w:rsid w:val="7F447AB3"/>
    <w:rsid w:val="7F6A556C"/>
    <w:rsid w:val="7F90391C"/>
    <w:rsid w:val="7FD5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ocked="1"/>
    <w:lsdException w:qFormat="1" w:uiPriority="0" w:semiHidden="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semiHidden="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0" w:name="Note Heading" w:locked="1"/>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ocked="1"/>
    <w:lsdException w:qFormat="1" w:unhideWhenUsed="0" w:uiPriority="99" w:semiHidden="0" w:name="Hyperlink"/>
    <w:lsdException w:uiPriority="0" w:semiHidden="0" w:name="FollowedHyperlink" w:locked="1"/>
    <w:lsdException w:qFormat="1" w:unhideWhenUsed="0" w:uiPriority="99" w:semiHidden="0" w:name="Strong"/>
    <w:lsdException w:qFormat="1" w:unhideWhenUsed="0" w:uiPriority="0" w:semiHidden="0" w:name="Emphasis"/>
    <w:lsdException w:unhideWhenUsed="0" w:uiPriority="0" w:name="Document Map" w:locked="1"/>
    <w:lsdException w:qFormat="1" w:uiPriority="0" w:semiHidden="0" w:name="Plain Text" w:locked="1"/>
    <w:lsdException w:uiPriority="0" w:name="E-mail Signature" w:locked="1"/>
    <w:lsdException w:unhideWhenUsed="0" w:uiPriority="0" w:semiHidden="0" w:name="Normal (Web)"/>
    <w:lsdException w:uiPriority="0" w:name="HTML Acronym" w:locked="1"/>
    <w:lsdException w:uiPriority="0" w:name="HTML Address" w:locked="1"/>
    <w:lsdException w:uiPriority="0" w:semiHidden="0" w:name="HTML Cite" w:locked="1"/>
    <w:lsdException w:uiPriority="0" w:semiHidden="0" w:name="HTML Code" w:locked="1"/>
    <w:lsdException w:qFormat="1" w:uiPriority="0" w:semiHidden="0" w:name="HTML Definition" w:locked="1"/>
    <w:lsdException w:uiPriority="0" w:semiHidden="0" w:name="HTML Keyboard" w:locked="1"/>
    <w:lsdException w:uiPriority="0" w:semiHidden="0" w:name="HTML Preformatted" w:locked="1"/>
    <w:lsdException w:uiPriority="0" w:semiHidden="0" w:name="HTML Sample" w:locked="1"/>
    <w:lsdException w:uiPriority="0" w:name="HTML Typewriter" w:locked="1"/>
    <w:lsdException w:uiPriority="0" w:name="HTML Variable" w:locked="1"/>
    <w:lsdException w:uiPriority="99" w:name="Normal Table"/>
    <w:lsdException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ocked="1"/>
    <w:lsdException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1"/>
    <w:qFormat/>
    <w:uiPriority w:val="99"/>
    <w:pPr>
      <w:keepNext/>
      <w:jc w:val="center"/>
      <w:outlineLvl w:val="0"/>
    </w:pPr>
    <w:rPr>
      <w:rFonts w:ascii="黑体" w:eastAsia="黑体"/>
      <w:kern w:val="0"/>
      <w:sz w:val="20"/>
      <w:szCs w:val="20"/>
    </w:rPr>
  </w:style>
  <w:style w:type="paragraph" w:styleId="5">
    <w:name w:val="heading 2"/>
    <w:basedOn w:val="1"/>
    <w:next w:val="1"/>
    <w:link w:val="52"/>
    <w:qFormat/>
    <w:uiPriority w:val="99"/>
    <w:pPr>
      <w:keepNext/>
      <w:jc w:val="center"/>
      <w:outlineLvl w:val="1"/>
    </w:pPr>
    <w:rPr>
      <w:rFonts w:ascii="宋体" w:hAnsi="Copperplate Gothic Bold"/>
      <w:b/>
      <w:bCs/>
      <w:kern w:val="0"/>
      <w:sz w:val="20"/>
      <w:szCs w:val="20"/>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4"/>
    <w:basedOn w:val="1"/>
    <w:next w:val="1"/>
    <w:autoRedefine/>
    <w:qFormat/>
    <w:uiPriority w:val="0"/>
    <w:pPr>
      <w:keepNext/>
      <w:outlineLvl w:val="3"/>
    </w:pPr>
    <w:rPr>
      <w:color w:val="FF0000"/>
      <w:sz w:val="28"/>
      <w:u w:val="single"/>
    </w:rPr>
  </w:style>
  <w:style w:type="character" w:default="1" w:styleId="37">
    <w:name w:val="Default Paragraph Font"/>
    <w:autoRedefine/>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49"/>
    <w:uiPriority w:val="99"/>
    <w:pPr>
      <w:jc w:val="left"/>
    </w:pPr>
    <w:rPr>
      <w:rFonts w:ascii="Copperplate Gothic Bold" w:hAnsi="Copperplate Gothic Bold"/>
      <w:kern w:val="0"/>
      <w:sz w:val="20"/>
      <w:szCs w:val="20"/>
    </w:rPr>
  </w:style>
  <w:style w:type="paragraph" w:styleId="3">
    <w:name w:val="Date"/>
    <w:basedOn w:val="1"/>
    <w:next w:val="1"/>
    <w:link w:val="50"/>
    <w:uiPriority w:val="99"/>
    <w:rPr>
      <w:rFonts w:ascii="Copperplate Gothic Bold" w:hAnsi="Copperplate Gothic Bold"/>
      <w:kern w:val="0"/>
      <w:sz w:val="20"/>
      <w:szCs w:val="20"/>
    </w:rPr>
  </w:style>
  <w:style w:type="paragraph" w:styleId="8">
    <w:name w:val="toc 7"/>
    <w:basedOn w:val="1"/>
    <w:next w:val="1"/>
    <w:uiPriority w:val="0"/>
    <w:pPr>
      <w:ind w:left="2520" w:leftChars="1200"/>
    </w:pPr>
  </w:style>
  <w:style w:type="paragraph" w:styleId="9">
    <w:name w:val="Normal Indent"/>
    <w:basedOn w:val="1"/>
    <w:autoRedefine/>
    <w:qFormat/>
    <w:uiPriority w:val="99"/>
    <w:pPr>
      <w:ind w:firstLine="420"/>
    </w:pPr>
  </w:style>
  <w:style w:type="paragraph" w:styleId="10">
    <w:name w:val="Document Map"/>
    <w:basedOn w:val="1"/>
    <w:semiHidden/>
    <w:locked/>
    <w:uiPriority w:val="0"/>
    <w:pPr>
      <w:shd w:val="clear" w:color="auto" w:fill="000080"/>
    </w:pPr>
  </w:style>
  <w:style w:type="paragraph" w:styleId="11">
    <w:name w:val="annotation text"/>
    <w:basedOn w:val="1"/>
    <w:link w:val="53"/>
    <w:autoRedefine/>
    <w:unhideWhenUsed/>
    <w:qFormat/>
    <w:locked/>
    <w:uiPriority w:val="0"/>
    <w:pPr>
      <w:jc w:val="left"/>
    </w:pPr>
  </w:style>
  <w:style w:type="paragraph" w:styleId="12">
    <w:name w:val="Body Text 3"/>
    <w:basedOn w:val="1"/>
    <w:link w:val="54"/>
    <w:qFormat/>
    <w:uiPriority w:val="99"/>
    <w:pPr>
      <w:spacing w:line="380" w:lineRule="exact"/>
    </w:pPr>
    <w:rPr>
      <w:rFonts w:eastAsia="黑体"/>
      <w:kern w:val="0"/>
      <w:sz w:val="20"/>
      <w:szCs w:val="20"/>
    </w:rPr>
  </w:style>
  <w:style w:type="paragraph" w:styleId="13">
    <w:name w:val="Body Text Indent"/>
    <w:basedOn w:val="1"/>
    <w:link w:val="55"/>
    <w:qFormat/>
    <w:uiPriority w:val="99"/>
    <w:pPr>
      <w:spacing w:line="540" w:lineRule="exact"/>
      <w:ind w:firstLine="630"/>
    </w:pPr>
    <w:rPr>
      <w:rFonts w:eastAsia="楷体_GB2312"/>
      <w:kern w:val="0"/>
      <w:sz w:val="20"/>
      <w:szCs w:val="20"/>
    </w:rPr>
  </w:style>
  <w:style w:type="paragraph" w:styleId="14">
    <w:name w:val="toc 5"/>
    <w:basedOn w:val="1"/>
    <w:next w:val="1"/>
    <w:qFormat/>
    <w:uiPriority w:val="0"/>
    <w:pPr>
      <w:ind w:left="1680" w:leftChars="800"/>
    </w:pPr>
  </w:style>
  <w:style w:type="paragraph" w:styleId="15">
    <w:name w:val="toc 3"/>
    <w:basedOn w:val="1"/>
    <w:next w:val="1"/>
    <w:autoRedefine/>
    <w:qFormat/>
    <w:uiPriority w:val="0"/>
    <w:pPr>
      <w:ind w:left="840" w:leftChars="400"/>
    </w:pPr>
  </w:style>
  <w:style w:type="paragraph" w:styleId="16">
    <w:name w:val="Plain Text"/>
    <w:basedOn w:val="1"/>
    <w:next w:val="17"/>
    <w:autoRedefine/>
    <w:unhideWhenUsed/>
    <w:qFormat/>
    <w:locked/>
    <w:uiPriority w:val="0"/>
    <w:rPr>
      <w:rFonts w:ascii="宋体" w:hAnsi="Courier New"/>
      <w:szCs w:val="22"/>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8">
    <w:name w:val="toc 8"/>
    <w:basedOn w:val="1"/>
    <w:next w:val="1"/>
    <w:autoRedefine/>
    <w:qFormat/>
    <w:uiPriority w:val="0"/>
    <w:pPr>
      <w:ind w:left="2940" w:leftChars="1400"/>
    </w:pPr>
  </w:style>
  <w:style w:type="paragraph" w:styleId="19">
    <w:name w:val="Body Text Indent 2"/>
    <w:basedOn w:val="1"/>
    <w:link w:val="56"/>
    <w:autoRedefine/>
    <w:qFormat/>
    <w:uiPriority w:val="99"/>
    <w:pPr>
      <w:spacing w:line="520" w:lineRule="exact"/>
      <w:ind w:firstLine="624"/>
    </w:pPr>
    <w:rPr>
      <w:rFonts w:ascii="楷体_GB2312" w:eastAsia="楷体_GB2312"/>
      <w:kern w:val="0"/>
      <w:sz w:val="20"/>
      <w:szCs w:val="20"/>
    </w:rPr>
  </w:style>
  <w:style w:type="paragraph" w:styleId="20">
    <w:name w:val="Balloon Text"/>
    <w:basedOn w:val="1"/>
    <w:link w:val="57"/>
    <w:autoRedefine/>
    <w:semiHidden/>
    <w:qFormat/>
    <w:locked/>
    <w:uiPriority w:val="99"/>
    <w:rPr>
      <w:kern w:val="0"/>
      <w:sz w:val="18"/>
      <w:szCs w:val="18"/>
    </w:rPr>
  </w:style>
  <w:style w:type="paragraph" w:styleId="21">
    <w:name w:val="footer"/>
    <w:basedOn w:val="1"/>
    <w:link w:val="58"/>
    <w:qFormat/>
    <w:uiPriority w:val="99"/>
    <w:pPr>
      <w:tabs>
        <w:tab w:val="center" w:pos="4153"/>
        <w:tab w:val="right" w:pos="8306"/>
      </w:tabs>
      <w:snapToGrid w:val="0"/>
      <w:jc w:val="left"/>
    </w:pPr>
    <w:rPr>
      <w:kern w:val="0"/>
      <w:sz w:val="20"/>
      <w:szCs w:val="20"/>
    </w:rPr>
  </w:style>
  <w:style w:type="paragraph" w:styleId="22">
    <w:name w:val="header"/>
    <w:basedOn w:val="1"/>
    <w:link w:val="59"/>
    <w:qFormat/>
    <w:uiPriority w:val="99"/>
    <w:pPr>
      <w:pBdr>
        <w:bottom w:val="single" w:color="auto" w:sz="6" w:space="1"/>
      </w:pBdr>
      <w:tabs>
        <w:tab w:val="center" w:pos="4153"/>
        <w:tab w:val="right" w:pos="8306"/>
      </w:tabs>
      <w:snapToGrid w:val="0"/>
      <w:jc w:val="center"/>
    </w:pPr>
    <w:rPr>
      <w:kern w:val="0"/>
      <w:sz w:val="20"/>
      <w:szCs w:val="20"/>
    </w:rPr>
  </w:style>
  <w:style w:type="paragraph" w:styleId="23">
    <w:name w:val="toc 1"/>
    <w:basedOn w:val="1"/>
    <w:next w:val="1"/>
    <w:autoRedefine/>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0"/>
    <w:qFormat/>
    <w:uiPriority w:val="99"/>
    <w:pPr>
      <w:ind w:left="-525" w:leftChars="-250"/>
    </w:pPr>
    <w:rPr>
      <w:rFonts w:eastAsia="楷体_GB2312"/>
      <w:kern w:val="0"/>
      <w:sz w:val="24"/>
      <w:szCs w:val="24"/>
    </w:rPr>
  </w:style>
  <w:style w:type="paragraph" w:styleId="27">
    <w:name w:val="toc 2"/>
    <w:basedOn w:val="1"/>
    <w:next w:val="1"/>
    <w:qFormat/>
    <w:uiPriority w:val="0"/>
    <w:pPr>
      <w:ind w:left="420" w:leftChars="200"/>
    </w:pPr>
  </w:style>
  <w:style w:type="paragraph" w:styleId="28">
    <w:name w:val="toc 9"/>
    <w:basedOn w:val="1"/>
    <w:next w:val="1"/>
    <w:qFormat/>
    <w:uiPriority w:val="0"/>
    <w:pPr>
      <w:ind w:left="3360" w:leftChars="1600"/>
    </w:pPr>
  </w:style>
  <w:style w:type="paragraph" w:styleId="29">
    <w:name w:val="Body Text 2"/>
    <w:basedOn w:val="1"/>
    <w:link w:val="61"/>
    <w:autoRedefine/>
    <w:qFormat/>
    <w:uiPriority w:val="0"/>
    <w:pPr>
      <w:spacing w:line="320" w:lineRule="exact"/>
    </w:pPr>
    <w:rPr>
      <w:rFonts w:eastAsia="楷体_GB2312"/>
      <w:kern w:val="0"/>
      <w:sz w:val="20"/>
      <w:szCs w:val="20"/>
    </w:rPr>
  </w:style>
  <w:style w:type="paragraph" w:styleId="30">
    <w:name w:val="HTML Preformatted"/>
    <w:basedOn w:val="1"/>
    <w:link w:val="62"/>
    <w:unhideWhenUsed/>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uiPriority w:val="0"/>
    <w:pPr>
      <w:widowControl/>
      <w:spacing w:before="100" w:beforeAutospacing="1" w:after="100" w:afterAutospacing="1"/>
      <w:jc w:val="left"/>
    </w:pPr>
    <w:rPr>
      <w:rFonts w:ascii="宋体" w:hAnsi="宋体" w:cs="宋体"/>
      <w:sz w:val="24"/>
      <w:szCs w:val="24"/>
    </w:rPr>
  </w:style>
  <w:style w:type="paragraph" w:styleId="32">
    <w:name w:val="annotation subject"/>
    <w:basedOn w:val="11"/>
    <w:next w:val="11"/>
    <w:link w:val="63"/>
    <w:unhideWhenUsed/>
    <w:locked/>
    <w:uiPriority w:val="0"/>
    <w:rPr>
      <w:b/>
      <w:bCs/>
    </w:rPr>
  </w:style>
  <w:style w:type="paragraph" w:styleId="33">
    <w:name w:val="Body Text First Indent"/>
    <w:basedOn w:val="2"/>
    <w:qFormat/>
    <w:locked/>
    <w:uiPriority w:val="0"/>
    <w:pPr>
      <w:spacing w:after="120"/>
      <w:ind w:firstLine="420" w:firstLineChars="100"/>
    </w:pPr>
    <w:rPr>
      <w:kern w:val="2"/>
      <w:sz w:val="21"/>
    </w:rPr>
  </w:style>
  <w:style w:type="paragraph" w:styleId="34">
    <w:name w:val="Body Text First Indent 2"/>
    <w:basedOn w:val="13"/>
    <w:qFormat/>
    <w:locked/>
    <w:uiPriority w:val="0"/>
    <w:pPr>
      <w:ind w:firstLine="420"/>
    </w:pPr>
  </w:style>
  <w:style w:type="table" w:styleId="36">
    <w:name w:val="Table Grid"/>
    <w:basedOn w:val="3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99"/>
    <w:rPr>
      <w:b/>
      <w:bCs/>
    </w:rPr>
  </w:style>
  <w:style w:type="character" w:styleId="39">
    <w:name w:val="page number"/>
    <w:uiPriority w:val="99"/>
  </w:style>
  <w:style w:type="character" w:styleId="40">
    <w:name w:val="FollowedHyperlink"/>
    <w:unhideWhenUsed/>
    <w:locked/>
    <w:uiPriority w:val="0"/>
    <w:rPr>
      <w:rFonts w:hint="eastAsia" w:ascii="宋体" w:hAnsi="宋体" w:eastAsia="宋体" w:cs="宋体"/>
      <w:color w:val="000000"/>
      <w:sz w:val="14"/>
      <w:szCs w:val="14"/>
      <w:u w:val="none"/>
    </w:rPr>
  </w:style>
  <w:style w:type="character" w:styleId="41">
    <w:name w:val="Emphasis"/>
    <w:qFormat/>
    <w:uiPriority w:val="0"/>
    <w:rPr>
      <w:i/>
      <w:iCs/>
    </w:rPr>
  </w:style>
  <w:style w:type="character" w:styleId="42">
    <w:name w:val="HTML Definition"/>
    <w:autoRedefine/>
    <w:unhideWhenUsed/>
    <w:qFormat/>
    <w:locked/>
    <w:uiPriority w:val="0"/>
    <w:rPr>
      <w:i/>
      <w:iCs/>
    </w:rPr>
  </w:style>
  <w:style w:type="character" w:styleId="43">
    <w:name w:val="Hyperlink"/>
    <w:autoRedefine/>
    <w:qFormat/>
    <w:uiPriority w:val="99"/>
    <w:rPr>
      <w:color w:val="000000"/>
      <w:u w:val="none"/>
    </w:rPr>
  </w:style>
  <w:style w:type="character" w:styleId="44">
    <w:name w:val="HTML Code"/>
    <w:autoRedefine/>
    <w:unhideWhenUsed/>
    <w:locked/>
    <w:uiPriority w:val="0"/>
    <w:rPr>
      <w:rFonts w:ascii="Consolas" w:hAnsi="Consolas" w:eastAsia="Consolas" w:cs="Consolas"/>
      <w:color w:val="DD1144"/>
      <w:sz w:val="14"/>
      <w:szCs w:val="14"/>
      <w:bdr w:val="single" w:color="E1E1E8" w:sz="4" w:space="0"/>
      <w:shd w:val="clear" w:color="auto" w:fill="F7F7F9"/>
    </w:rPr>
  </w:style>
  <w:style w:type="character" w:styleId="45">
    <w:name w:val="annotation reference"/>
    <w:unhideWhenUsed/>
    <w:locked/>
    <w:uiPriority w:val="0"/>
    <w:rPr>
      <w:sz w:val="21"/>
      <w:szCs w:val="21"/>
    </w:rPr>
  </w:style>
  <w:style w:type="character" w:styleId="46">
    <w:name w:val="HTML Cite"/>
    <w:unhideWhenUsed/>
    <w:locked/>
    <w:uiPriority w:val="0"/>
  </w:style>
  <w:style w:type="character" w:styleId="47">
    <w:name w:val="HTML Keyboard"/>
    <w:unhideWhenUsed/>
    <w:locked/>
    <w:uiPriority w:val="0"/>
    <w:rPr>
      <w:rFonts w:hint="default" w:ascii="Consolas" w:hAnsi="Consolas" w:eastAsia="Consolas" w:cs="Consolas"/>
      <w:color w:val="FFFFFF"/>
      <w:sz w:val="21"/>
      <w:szCs w:val="21"/>
      <w:shd w:val="clear" w:color="auto" w:fill="333333"/>
    </w:rPr>
  </w:style>
  <w:style w:type="character" w:styleId="48">
    <w:name w:val="HTML Sample"/>
    <w:unhideWhenUsed/>
    <w:locked/>
    <w:uiPriority w:val="0"/>
    <w:rPr>
      <w:rFonts w:ascii="Consolas" w:hAnsi="Consolas" w:eastAsia="Consolas" w:cs="Consolas"/>
      <w:sz w:val="21"/>
      <w:szCs w:val="21"/>
    </w:rPr>
  </w:style>
  <w:style w:type="character" w:customStyle="1" w:styleId="49">
    <w:name w:val="正文文本 字符"/>
    <w:link w:val="2"/>
    <w:locked/>
    <w:uiPriority w:val="99"/>
    <w:rPr>
      <w:rFonts w:ascii="Copperplate Gothic Bold" w:hAnsi="Copperplate Gothic Bold" w:eastAsia="宋体" w:cs="Copperplate Gothic Bold"/>
      <w:sz w:val="20"/>
      <w:szCs w:val="20"/>
    </w:rPr>
  </w:style>
  <w:style w:type="character" w:customStyle="1" w:styleId="50">
    <w:name w:val="日期 字符"/>
    <w:link w:val="3"/>
    <w:locked/>
    <w:uiPriority w:val="99"/>
    <w:rPr>
      <w:rFonts w:ascii="Copperplate Gothic Bold" w:hAnsi="Copperplate Gothic Bold" w:eastAsia="宋体" w:cs="Copperplate Gothic Bold"/>
      <w:sz w:val="20"/>
      <w:szCs w:val="20"/>
    </w:rPr>
  </w:style>
  <w:style w:type="character" w:customStyle="1" w:styleId="51">
    <w:name w:val="标题 1 字符"/>
    <w:link w:val="4"/>
    <w:locked/>
    <w:uiPriority w:val="99"/>
    <w:rPr>
      <w:rFonts w:ascii="黑体" w:hAnsi="Times New Roman" w:eastAsia="黑体" w:cs="黑体"/>
      <w:sz w:val="20"/>
      <w:szCs w:val="20"/>
    </w:rPr>
  </w:style>
  <w:style w:type="character" w:customStyle="1" w:styleId="52">
    <w:name w:val="标题 2 字符"/>
    <w:link w:val="5"/>
    <w:locked/>
    <w:uiPriority w:val="99"/>
    <w:rPr>
      <w:rFonts w:ascii="宋体" w:hAnsi="Copperplate Gothic Bold" w:eastAsia="宋体" w:cs="宋体"/>
      <w:b/>
      <w:bCs/>
      <w:sz w:val="20"/>
      <w:szCs w:val="20"/>
    </w:rPr>
  </w:style>
  <w:style w:type="character" w:customStyle="1" w:styleId="53">
    <w:name w:val="批注文字 字符"/>
    <w:link w:val="11"/>
    <w:qFormat/>
    <w:uiPriority w:val="0"/>
    <w:rPr>
      <w:kern w:val="2"/>
      <w:sz w:val="21"/>
      <w:szCs w:val="21"/>
    </w:rPr>
  </w:style>
  <w:style w:type="character" w:customStyle="1" w:styleId="54">
    <w:name w:val="正文文本 3 字符"/>
    <w:link w:val="12"/>
    <w:qFormat/>
    <w:locked/>
    <w:uiPriority w:val="99"/>
    <w:rPr>
      <w:rFonts w:ascii="Times New Roman" w:hAnsi="Times New Roman" w:eastAsia="黑体" w:cs="Times New Roman"/>
      <w:sz w:val="20"/>
      <w:szCs w:val="20"/>
    </w:rPr>
  </w:style>
  <w:style w:type="character" w:customStyle="1" w:styleId="55">
    <w:name w:val="正文文本缩进 字符"/>
    <w:link w:val="13"/>
    <w:qFormat/>
    <w:locked/>
    <w:uiPriority w:val="99"/>
    <w:rPr>
      <w:rFonts w:ascii="Times New Roman" w:hAnsi="Times New Roman" w:eastAsia="楷体_GB2312" w:cs="Times New Roman"/>
      <w:sz w:val="20"/>
      <w:szCs w:val="20"/>
    </w:rPr>
  </w:style>
  <w:style w:type="character" w:customStyle="1" w:styleId="56">
    <w:name w:val="正文文本缩进 2 字符"/>
    <w:link w:val="19"/>
    <w:qFormat/>
    <w:locked/>
    <w:uiPriority w:val="99"/>
    <w:rPr>
      <w:rFonts w:ascii="楷体_GB2312" w:hAnsi="Times New Roman" w:eastAsia="楷体_GB2312" w:cs="楷体_GB2312"/>
      <w:sz w:val="20"/>
      <w:szCs w:val="20"/>
    </w:rPr>
  </w:style>
  <w:style w:type="character" w:customStyle="1" w:styleId="57">
    <w:name w:val="批注框文本 字符"/>
    <w:link w:val="20"/>
    <w:semiHidden/>
    <w:qFormat/>
    <w:locked/>
    <w:uiPriority w:val="99"/>
    <w:rPr>
      <w:rFonts w:ascii="Times New Roman" w:hAnsi="Times New Roman" w:cs="Times New Roman"/>
      <w:sz w:val="18"/>
      <w:szCs w:val="18"/>
    </w:rPr>
  </w:style>
  <w:style w:type="character" w:customStyle="1" w:styleId="58">
    <w:name w:val="页脚 字符"/>
    <w:link w:val="21"/>
    <w:qFormat/>
    <w:locked/>
    <w:uiPriority w:val="99"/>
    <w:rPr>
      <w:rFonts w:ascii="Times New Roman" w:hAnsi="Times New Roman" w:eastAsia="宋体" w:cs="Times New Roman"/>
      <w:sz w:val="20"/>
      <w:szCs w:val="20"/>
    </w:rPr>
  </w:style>
  <w:style w:type="character" w:customStyle="1" w:styleId="59">
    <w:name w:val="页眉 字符"/>
    <w:link w:val="22"/>
    <w:qFormat/>
    <w:locked/>
    <w:uiPriority w:val="99"/>
    <w:rPr>
      <w:rFonts w:ascii="Times New Roman" w:hAnsi="Times New Roman" w:eastAsia="宋体" w:cs="Times New Roman"/>
      <w:sz w:val="20"/>
      <w:szCs w:val="20"/>
    </w:rPr>
  </w:style>
  <w:style w:type="character" w:customStyle="1" w:styleId="60">
    <w:name w:val="正文文本缩进 3 字符"/>
    <w:link w:val="26"/>
    <w:qFormat/>
    <w:locked/>
    <w:uiPriority w:val="99"/>
    <w:rPr>
      <w:rFonts w:ascii="Times New Roman" w:hAnsi="Times New Roman" w:eastAsia="楷体_GB2312" w:cs="Times New Roman"/>
      <w:sz w:val="24"/>
      <w:szCs w:val="24"/>
    </w:rPr>
  </w:style>
  <w:style w:type="character" w:customStyle="1" w:styleId="61">
    <w:name w:val="正文文本 2 字符"/>
    <w:link w:val="29"/>
    <w:qFormat/>
    <w:locked/>
    <w:uiPriority w:val="0"/>
    <w:rPr>
      <w:rFonts w:ascii="Times New Roman" w:hAnsi="Times New Roman" w:eastAsia="楷体_GB2312" w:cs="Times New Roman"/>
      <w:sz w:val="20"/>
      <w:szCs w:val="20"/>
    </w:rPr>
  </w:style>
  <w:style w:type="character" w:customStyle="1" w:styleId="62">
    <w:name w:val="HTML 预设格式 字符"/>
    <w:link w:val="30"/>
    <w:locked/>
    <w:uiPriority w:val="0"/>
    <w:rPr>
      <w:rFonts w:ascii="宋体" w:hAnsi="宋体" w:eastAsia="宋体" w:cs="宋体"/>
      <w:sz w:val="24"/>
      <w:szCs w:val="24"/>
      <w:lang w:val="en-US" w:eastAsia="zh-CN" w:bidi="ar-SA"/>
    </w:rPr>
  </w:style>
  <w:style w:type="character" w:customStyle="1" w:styleId="63">
    <w:name w:val="批注主题 字符"/>
    <w:link w:val="32"/>
    <w:semiHidden/>
    <w:uiPriority w:val="0"/>
    <w:rPr>
      <w:b/>
      <w:bCs/>
      <w:kern w:val="2"/>
      <w:sz w:val="21"/>
      <w:szCs w:val="21"/>
    </w:rPr>
  </w:style>
  <w:style w:type="paragraph" w:customStyle="1" w:styleId="64">
    <w:name w:val="模板正文"/>
    <w:basedOn w:val="1"/>
    <w:qFormat/>
    <w:uiPriority w:val="0"/>
    <w:pPr>
      <w:wordWrap w:val="0"/>
      <w:ind w:firstLine="200" w:firstLineChars="200"/>
      <w:jc w:val="left"/>
    </w:pPr>
    <w:rPr>
      <w:rFonts w:ascii="宋体" w:hAnsi="宋体" w:cs="宋体"/>
      <w:kern w:val="0"/>
      <w:lang w:val="zh-CN"/>
    </w:rPr>
  </w:style>
  <w:style w:type="paragraph" w:customStyle="1" w:styleId="65">
    <w:name w:val="一级条标题"/>
    <w:basedOn w:val="66"/>
    <w:next w:val="67"/>
    <w:qFormat/>
    <w:uiPriority w:val="99"/>
    <w:pPr>
      <w:spacing w:line="240" w:lineRule="auto"/>
      <w:ind w:left="420"/>
      <w:outlineLvl w:val="2"/>
    </w:pPr>
  </w:style>
  <w:style w:type="paragraph" w:customStyle="1" w:styleId="66">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67">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8">
    <w:name w:val="font01"/>
    <w:uiPriority w:val="0"/>
    <w:rPr>
      <w:rFonts w:hint="eastAsia" w:ascii="宋体" w:hAnsi="宋体" w:eastAsia="宋体" w:cs="宋体"/>
      <w:color w:val="000000"/>
      <w:sz w:val="18"/>
      <w:szCs w:val="18"/>
      <w:u w:val="none"/>
    </w:rPr>
  </w:style>
  <w:style w:type="character" w:customStyle="1" w:styleId="69">
    <w:name w:val="font51"/>
    <w:uiPriority w:val="0"/>
    <w:rPr>
      <w:rFonts w:hint="eastAsia" w:ascii="宋体" w:hAnsi="宋体" w:eastAsia="宋体" w:cs="宋体"/>
      <w:color w:val="000000"/>
      <w:sz w:val="20"/>
      <w:szCs w:val="20"/>
      <w:u w:val="none"/>
    </w:rPr>
  </w:style>
  <w:style w:type="character" w:customStyle="1" w:styleId="70">
    <w:name w:val="font21"/>
    <w:uiPriority w:val="0"/>
    <w:rPr>
      <w:rFonts w:hint="default" w:ascii="Times New Roman" w:hAnsi="Times New Roman" w:cs="Times New Roman"/>
      <w:color w:val="000000"/>
      <w:sz w:val="20"/>
      <w:szCs w:val="20"/>
      <w:u w:val="none"/>
      <w:vertAlign w:val="superscript"/>
    </w:rPr>
  </w:style>
  <w:style w:type="character" w:customStyle="1" w:styleId="71">
    <w:name w:val="font71"/>
    <w:qFormat/>
    <w:uiPriority w:val="0"/>
    <w:rPr>
      <w:rFonts w:hint="default" w:ascii="Arial" w:hAnsi="Arial" w:cs="Arial"/>
      <w:color w:val="000000"/>
      <w:sz w:val="20"/>
      <w:szCs w:val="20"/>
      <w:u w:val="none"/>
      <w:vertAlign w:val="superscript"/>
    </w:rPr>
  </w:style>
  <w:style w:type="character" w:customStyle="1" w:styleId="72">
    <w:name w:val="font41"/>
    <w:qFormat/>
    <w:uiPriority w:val="0"/>
    <w:rPr>
      <w:rFonts w:hint="eastAsia" w:ascii="宋体" w:hAnsi="宋体" w:eastAsia="宋体" w:cs="宋体"/>
      <w:b/>
      <w:color w:val="000000"/>
      <w:sz w:val="22"/>
      <w:szCs w:val="22"/>
      <w:u w:val="none"/>
    </w:rPr>
  </w:style>
  <w:style w:type="character" w:customStyle="1" w:styleId="73">
    <w:name w:val="font111"/>
    <w:qFormat/>
    <w:uiPriority w:val="0"/>
    <w:rPr>
      <w:rFonts w:hint="eastAsia" w:ascii="宋体" w:hAnsi="宋体" w:eastAsia="宋体" w:cs="宋体"/>
      <w:color w:val="000000"/>
      <w:sz w:val="22"/>
      <w:szCs w:val="22"/>
      <w:u w:val="none"/>
    </w:rPr>
  </w:style>
  <w:style w:type="character" w:customStyle="1" w:styleId="74">
    <w:name w:val="font81"/>
    <w:qFormat/>
    <w:uiPriority w:val="0"/>
    <w:rPr>
      <w:rFonts w:hint="default" w:ascii="Arial" w:hAnsi="Arial" w:cs="Arial"/>
      <w:color w:val="000000"/>
      <w:sz w:val="22"/>
      <w:szCs w:val="22"/>
      <w:u w:val="none"/>
      <w:vertAlign w:val="superscript"/>
    </w:rPr>
  </w:style>
  <w:style w:type="character" w:customStyle="1" w:styleId="75">
    <w:name w:val="font101"/>
    <w:qFormat/>
    <w:uiPriority w:val="0"/>
    <w:rPr>
      <w:rFonts w:hint="eastAsia" w:ascii="宋体" w:hAnsi="宋体" w:eastAsia="宋体" w:cs="宋体"/>
      <w:b/>
      <w:color w:val="000000"/>
      <w:sz w:val="20"/>
      <w:szCs w:val="20"/>
      <w:u w:val="none"/>
    </w:rPr>
  </w:style>
  <w:style w:type="character" w:customStyle="1" w:styleId="76">
    <w:name w:val="font11"/>
    <w:qFormat/>
    <w:uiPriority w:val="0"/>
    <w:rPr>
      <w:rFonts w:hint="default" w:ascii="Arial" w:hAnsi="Arial" w:cs="Arial"/>
      <w:color w:val="000000"/>
      <w:sz w:val="20"/>
      <w:szCs w:val="20"/>
      <w:u w:val="none"/>
    </w:rPr>
  </w:style>
  <w:style w:type="character" w:customStyle="1" w:styleId="77">
    <w:name w:val="font61"/>
    <w:qFormat/>
    <w:uiPriority w:val="0"/>
    <w:rPr>
      <w:rFonts w:ascii="Cambria Math" w:hAnsi="Cambria Math" w:eastAsia="Cambria Math" w:cs="Cambria Math"/>
      <w:color w:val="000000"/>
      <w:sz w:val="20"/>
      <w:szCs w:val="20"/>
      <w:u w:val="none"/>
    </w:rPr>
  </w:style>
  <w:style w:type="character" w:customStyle="1" w:styleId="78">
    <w:name w:val="font31"/>
    <w:uiPriority w:val="0"/>
    <w:rPr>
      <w:rFonts w:ascii="微软雅黑" w:hAnsi="微软雅黑" w:eastAsia="微软雅黑" w:cs="微软雅黑"/>
      <w:color w:val="000000"/>
      <w:sz w:val="20"/>
      <w:szCs w:val="20"/>
      <w:u w:val="none"/>
    </w:rPr>
  </w:style>
  <w:style w:type="character" w:customStyle="1" w:styleId="79">
    <w:name w:val="font91"/>
    <w:qFormat/>
    <w:uiPriority w:val="0"/>
    <w:rPr>
      <w:rFonts w:hint="default" w:ascii="Times New Roman" w:hAnsi="Times New Roman" w:cs="Times New Roman"/>
      <w:color w:val="000000"/>
      <w:sz w:val="20"/>
      <w:szCs w:val="20"/>
      <w:u w:val="none"/>
    </w:rPr>
  </w:style>
  <w:style w:type="character" w:customStyle="1" w:styleId="80">
    <w:name w:val="font13"/>
    <w:uiPriority w:val="0"/>
    <w:rPr>
      <w:rFonts w:hint="default" w:ascii="Arial" w:hAnsi="Arial" w:cs="Arial"/>
      <w:color w:val="000000"/>
      <w:sz w:val="22"/>
      <w:szCs w:val="22"/>
      <w:u w:val="none"/>
    </w:rPr>
  </w:style>
  <w:style w:type="paragraph" w:customStyle="1" w:styleId="81">
    <w:name w:val="样式 10 磅13"/>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82">
    <w:name w:val="样式1"/>
    <w:basedOn w:val="1"/>
    <w:qFormat/>
    <w:uiPriority w:val="99"/>
    <w:pPr>
      <w:adjustRightInd w:val="0"/>
      <w:textAlignment w:val="baseline"/>
    </w:pPr>
    <w:rPr>
      <w:rFonts w:ascii="宋体" w:hAnsi="宋体" w:cs="宋体"/>
    </w:rPr>
  </w:style>
  <w:style w:type="paragraph" w:customStyle="1" w:styleId="83">
    <w:name w:val="样式9 Char"/>
    <w:basedOn w:val="1"/>
    <w:qFormat/>
    <w:uiPriority w:val="0"/>
    <w:pPr>
      <w:widowControl/>
      <w:spacing w:line="440" w:lineRule="exact"/>
      <w:ind w:firstLine="200" w:firstLineChars="200"/>
      <w:jc w:val="left"/>
    </w:pPr>
    <w:rPr>
      <w:spacing w:val="6"/>
      <w:kern w:val="0"/>
      <w:sz w:val="24"/>
    </w:rPr>
  </w:style>
  <w:style w:type="paragraph" w:customStyle="1" w:styleId="84">
    <w:name w:val="Table Paragraph"/>
    <w:basedOn w:val="1"/>
    <w:qFormat/>
    <w:uiPriority w:val="1"/>
    <w:rPr>
      <w:rFonts w:ascii="宋体" w:hAnsi="宋体" w:cs="宋体"/>
      <w:lang w:val="zh-CN" w:bidi="zh-CN"/>
    </w:rPr>
  </w:style>
  <w:style w:type="paragraph" w:customStyle="1" w:styleId="85">
    <w:name w:val="普通正文缩进2字符"/>
    <w:basedOn w:val="1"/>
    <w:qFormat/>
    <w:uiPriority w:val="99"/>
    <w:pPr>
      <w:ind w:firstLine="200" w:firstLineChars="200"/>
      <w:jc w:val="left"/>
    </w:pPr>
    <w:rPr>
      <w:rFonts w:ascii="宋体" w:hAnsi="宋体" w:cs="宋体"/>
      <w:szCs w:val="24"/>
    </w:rPr>
  </w:style>
  <w:style w:type="paragraph" w:customStyle="1" w:styleId="86">
    <w:name w:val="列出段落1"/>
    <w:basedOn w:val="1"/>
    <w:qFormat/>
    <w:uiPriority w:val="0"/>
    <w:pPr>
      <w:ind w:firstLine="420" w:firstLineChars="200"/>
    </w:pPr>
  </w:style>
  <w:style w:type="paragraph" w:customStyle="1" w:styleId="87">
    <w:name w:val="Char Char Char Char"/>
    <w:basedOn w:val="1"/>
    <w:qFormat/>
    <w:uiPriority w:val="99"/>
    <w:pPr>
      <w:widowControl/>
      <w:spacing w:after="160" w:line="240" w:lineRule="exact"/>
      <w:jc w:val="center"/>
    </w:pPr>
    <w:rPr>
      <w:rFonts w:ascii="宋体" w:hAnsi="宋体" w:cs="宋体"/>
      <w:b/>
      <w:bCs/>
      <w:sz w:val="28"/>
      <w:szCs w:val="28"/>
      <w:lang w:eastAsia="en-US"/>
    </w:rPr>
  </w:style>
  <w:style w:type="paragraph" w:customStyle="1" w:styleId="88">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90">
    <w:name w:val="Char11"/>
    <w:basedOn w:val="1"/>
    <w:qFormat/>
    <w:uiPriority w:val="99"/>
    <w:pPr>
      <w:tabs>
        <w:tab w:val="left" w:pos="360"/>
      </w:tabs>
    </w:pPr>
    <w:rPr>
      <w:sz w:val="24"/>
      <w:szCs w:val="24"/>
    </w:rPr>
  </w:style>
  <w:style w:type="paragraph" w:customStyle="1" w:styleId="91">
    <w:name w:val="无间隔1"/>
    <w:qFormat/>
    <w:uiPriority w:val="1"/>
    <w:rPr>
      <w:rFonts w:ascii="Times New Roman" w:hAnsi="Times New Roman" w:eastAsia="宋体" w:cs="Times New Roman"/>
      <w:sz w:val="22"/>
      <w:szCs w:val="22"/>
      <w:lang w:val="en-US" w:eastAsia="zh-CN" w:bidi="ar-SA"/>
    </w:rPr>
  </w:style>
  <w:style w:type="paragraph" w:customStyle="1" w:styleId="92">
    <w:name w:val="WPSOffice手动目录 1"/>
    <w:qFormat/>
    <w:uiPriority w:val="0"/>
    <w:rPr>
      <w:rFonts w:ascii="Times New Roman" w:hAnsi="Times New Roman" w:eastAsia="宋体" w:cs="Times New Roman"/>
      <w:lang w:val="en-US" w:eastAsia="zh-CN" w:bidi="ar-SA"/>
    </w:rPr>
  </w:style>
  <w:style w:type="paragraph" w:customStyle="1" w:styleId="93">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4">
    <w:name w:val="列出段落11"/>
    <w:basedOn w:val="1"/>
    <w:qFormat/>
    <w:uiPriority w:val="0"/>
    <w:pPr>
      <w:ind w:firstLine="420" w:firstLineChars="200"/>
    </w:pPr>
    <w:rPr>
      <w:szCs w:val="24"/>
    </w:rPr>
  </w:style>
  <w:style w:type="paragraph" w:customStyle="1" w:styleId="95">
    <w:name w:val="列出段落2"/>
    <w:basedOn w:val="1"/>
    <w:unhideWhenUsed/>
    <w:qFormat/>
    <w:uiPriority w:val="99"/>
    <w:pPr>
      <w:ind w:firstLine="420" w:firstLineChars="200"/>
    </w:pPr>
  </w:style>
  <w:style w:type="paragraph" w:customStyle="1" w:styleId="96">
    <w:name w:val="目录"/>
    <w:basedOn w:val="1"/>
    <w:qFormat/>
    <w:uiPriority w:val="0"/>
    <w:pPr>
      <w:widowControl/>
      <w:jc w:val="center"/>
    </w:pPr>
    <w:rPr>
      <w:rFonts w:ascii="宋体"/>
      <w:b/>
      <w:kern w:val="0"/>
      <w:sz w:val="36"/>
      <w:szCs w:val="20"/>
    </w:rPr>
  </w:style>
  <w:style w:type="paragraph" w:customStyle="1" w:styleId="97">
    <w:name w:val="Char"/>
    <w:basedOn w:val="1"/>
    <w:qFormat/>
    <w:uiPriority w:val="99"/>
    <w:pPr>
      <w:widowControl/>
      <w:spacing w:after="160" w:line="240" w:lineRule="exact"/>
      <w:jc w:val="left"/>
    </w:pPr>
  </w:style>
  <w:style w:type="paragraph" w:customStyle="1" w:styleId="9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9">
    <w:name w:val="Char Char Char Char1"/>
    <w:basedOn w:val="1"/>
    <w:qFormat/>
    <w:uiPriority w:val="99"/>
  </w:style>
  <w:style w:type="paragraph" w:customStyle="1" w:styleId="100">
    <w:name w:val="Char1"/>
    <w:basedOn w:val="1"/>
    <w:qFormat/>
    <w:uiPriority w:val="99"/>
    <w:pPr>
      <w:widowControl/>
      <w:spacing w:after="160" w:line="240" w:lineRule="exact"/>
      <w:jc w:val="left"/>
    </w:pPr>
    <w:rPr>
      <w:rFonts w:ascii="Tahoma" w:hAnsi="Tahoma" w:cs="Tahoma"/>
      <w:sz w:val="24"/>
      <w:szCs w:val="24"/>
      <w:lang w:eastAsia="en-US"/>
    </w:rPr>
  </w:style>
  <w:style w:type="paragraph" w:customStyle="1" w:styleId="101">
    <w:name w:val="页面正文"/>
    <w:basedOn w:val="1"/>
    <w:qFormat/>
    <w:uiPriority w:val="0"/>
  </w:style>
  <w:style w:type="paragraph" w:customStyle="1" w:styleId="102">
    <w:name w:val="title12"/>
    <w:basedOn w:val="1"/>
    <w:qFormat/>
    <w:uiPriority w:val="0"/>
    <w:pPr>
      <w:spacing w:before="150"/>
      <w:jc w:val="left"/>
    </w:pPr>
    <w:rPr>
      <w:b/>
      <w:kern w:val="0"/>
      <w:sz w:val="22"/>
      <w:szCs w:val="22"/>
    </w:rPr>
  </w:style>
  <w:style w:type="paragraph" w:customStyle="1" w:styleId="103">
    <w:name w:val="正文缩进1"/>
    <w:basedOn w:val="1"/>
    <w:qFormat/>
    <w:uiPriority w:val="0"/>
    <w:pPr>
      <w:ind w:firstLine="420" w:firstLineChars="200"/>
    </w:pPr>
  </w:style>
  <w:style w:type="paragraph" w:customStyle="1" w:styleId="104">
    <w:name w:val="01正文"/>
    <w:basedOn w:val="1"/>
    <w:qFormat/>
    <w:uiPriority w:val="0"/>
    <w:pPr>
      <w:spacing w:beforeLines="50" w:afterLines="50"/>
      <w:ind w:firstLine="480" w:firstLineChars="200"/>
    </w:pPr>
    <w:rPr>
      <w:rFonts w:ascii="宋体" w:hAnsi="宋体"/>
    </w:rPr>
  </w:style>
  <w:style w:type="character" w:customStyle="1" w:styleId="105">
    <w:name w:val="me_close"/>
    <w:qFormat/>
    <w:uiPriority w:val="0"/>
    <w:rPr>
      <w:b/>
      <w:bCs/>
      <w:color w:val="FFFFFF"/>
      <w:sz w:val="14"/>
      <w:szCs w:val="14"/>
      <w:shd w:val="clear" w:color="auto" w:fill="6843FF"/>
    </w:rPr>
  </w:style>
  <w:style w:type="character" w:customStyle="1" w:styleId="106">
    <w:name w:val="size"/>
    <w:qFormat/>
    <w:uiPriority w:val="0"/>
    <w:rPr>
      <w:i/>
      <w:iCs/>
      <w:sz w:val="12"/>
      <w:szCs w:val="12"/>
    </w:rPr>
  </w:style>
  <w:style w:type="paragraph" w:customStyle="1" w:styleId="107">
    <w:name w:val="Normal_39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08">
    <w:name w:val="正文1"/>
    <w:basedOn w:val="1"/>
    <w:qFormat/>
    <w:uiPriority w:val="0"/>
    <w:pPr>
      <w:widowControl/>
    </w:pPr>
  </w:style>
  <w:style w:type="paragraph" w:customStyle="1" w:styleId="109">
    <w:name w:val="正文1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11">
    <w:name w:val="required"/>
    <w:qFormat/>
    <w:uiPriority w:val="0"/>
    <w:rPr>
      <w:color w:val="FF0000"/>
    </w:rPr>
  </w:style>
  <w:style w:type="character" w:customStyle="1" w:styleId="112">
    <w:name w:val="cke_colorbox"/>
    <w:qFormat/>
    <w:uiPriority w:val="0"/>
    <w:rPr>
      <w:bdr w:val="single" w:color="808080" w:sz="4" w:space="0"/>
    </w:rPr>
  </w:style>
  <w:style w:type="character" w:customStyle="1" w:styleId="113">
    <w:name w:val="cke_colorbox1"/>
    <w:qFormat/>
    <w:uiPriority w:val="0"/>
  </w:style>
  <w:style w:type="character" w:customStyle="1" w:styleId="114">
    <w:name w:val="nth-of-type(2)"/>
    <w:qFormat/>
    <w:uiPriority w:val="0"/>
  </w:style>
  <w:style w:type="character" w:customStyle="1" w:styleId="115">
    <w:name w:val="nth-of-type(2)1"/>
    <w:qFormat/>
    <w:uiPriority w:val="0"/>
    <w:rPr>
      <w:sz w:val="16"/>
      <w:szCs w:val="16"/>
    </w:rPr>
  </w:style>
  <w:style w:type="character" w:customStyle="1" w:styleId="116">
    <w:name w:val="nth-of-type(2)2"/>
    <w:uiPriority w:val="0"/>
  </w:style>
  <w:style w:type="character" w:customStyle="1" w:styleId="117">
    <w:name w:val="nth-of-type(2)3"/>
    <w:qFormat/>
    <w:uiPriority w:val="0"/>
  </w:style>
  <w:style w:type="character" w:customStyle="1" w:styleId="118">
    <w:name w:val="nth-of-type(2)4"/>
    <w:qFormat/>
    <w:uiPriority w:val="0"/>
  </w:style>
  <w:style w:type="character" w:customStyle="1" w:styleId="119">
    <w:name w:val="nth-of-type(2)5"/>
    <w:qFormat/>
    <w:uiPriority w:val="0"/>
  </w:style>
  <w:style w:type="character" w:customStyle="1" w:styleId="120">
    <w:name w:val="nth-of-type(2)6"/>
    <w:qFormat/>
    <w:uiPriority w:val="0"/>
  </w:style>
  <w:style w:type="character" w:customStyle="1" w:styleId="121">
    <w:name w:val="nth-of-type(2)7"/>
    <w:qFormat/>
    <w:uiPriority w:val="0"/>
  </w:style>
  <w:style w:type="character" w:customStyle="1" w:styleId="122">
    <w:name w:val="nth-of-type(2)8"/>
    <w:qFormat/>
    <w:uiPriority w:val="0"/>
  </w:style>
  <w:style w:type="character" w:customStyle="1" w:styleId="123">
    <w:name w:val="nth-of-type(2)9"/>
    <w:uiPriority w:val="0"/>
  </w:style>
  <w:style w:type="character" w:customStyle="1" w:styleId="124">
    <w:name w:val="nth-of-type(2)10"/>
    <w:qFormat/>
    <w:uiPriority w:val="0"/>
  </w:style>
  <w:style w:type="character" w:customStyle="1" w:styleId="125">
    <w:name w:val="nth-of-type(2)11"/>
    <w:qFormat/>
    <w:uiPriority w:val="0"/>
  </w:style>
  <w:style w:type="character" w:customStyle="1" w:styleId="126">
    <w:name w:val="nth-of-type(2)12"/>
    <w:qFormat/>
    <w:uiPriority w:val="0"/>
  </w:style>
  <w:style w:type="character" w:customStyle="1" w:styleId="127">
    <w:name w:val="nth-of-type(2)13"/>
    <w:qFormat/>
    <w:uiPriority w:val="0"/>
  </w:style>
  <w:style w:type="character" w:customStyle="1" w:styleId="128">
    <w:name w:val="nth-of-type(2)14"/>
    <w:qFormat/>
    <w:uiPriority w:val="0"/>
  </w:style>
  <w:style w:type="character" w:customStyle="1" w:styleId="129">
    <w:name w:val="nth-of-type(1)"/>
    <w:qFormat/>
    <w:uiPriority w:val="0"/>
  </w:style>
  <w:style w:type="character" w:customStyle="1" w:styleId="130">
    <w:name w:val="nth-of-type(1)1"/>
    <w:qFormat/>
    <w:uiPriority w:val="0"/>
    <w:rPr>
      <w:sz w:val="16"/>
      <w:szCs w:val="16"/>
    </w:rPr>
  </w:style>
  <w:style w:type="character" w:customStyle="1" w:styleId="131">
    <w:name w:val="nth-of-type(1)2"/>
    <w:qFormat/>
    <w:uiPriority w:val="0"/>
  </w:style>
  <w:style w:type="character" w:customStyle="1" w:styleId="132">
    <w:name w:val="nth-of-type(1)3"/>
    <w:qFormat/>
    <w:uiPriority w:val="0"/>
  </w:style>
  <w:style w:type="character" w:customStyle="1" w:styleId="133">
    <w:name w:val="nth-of-type(1)4"/>
    <w:qFormat/>
    <w:uiPriority w:val="0"/>
    <w:rPr>
      <w:rFonts w:ascii="SourceHanSansCN-Regular" w:hAnsi="SourceHanSansCN-Regular" w:eastAsia="SourceHanSansCN-Regular" w:cs="SourceHanSansCN-Regular"/>
      <w:color w:val="FB560A"/>
      <w:sz w:val="16"/>
      <w:szCs w:val="16"/>
    </w:rPr>
  </w:style>
  <w:style w:type="character" w:customStyle="1" w:styleId="134">
    <w:name w:val="nth-of-type(1)5"/>
    <w:qFormat/>
    <w:uiPriority w:val="0"/>
  </w:style>
  <w:style w:type="character" w:customStyle="1" w:styleId="135">
    <w:name w:val="nth-of-type(1)6"/>
    <w:qFormat/>
    <w:uiPriority w:val="0"/>
  </w:style>
  <w:style w:type="character" w:customStyle="1" w:styleId="136">
    <w:name w:val="nth-of-type(1)7"/>
    <w:qFormat/>
    <w:uiPriority w:val="0"/>
  </w:style>
  <w:style w:type="character" w:customStyle="1" w:styleId="137">
    <w:name w:val="nth-of-type(1)8"/>
    <w:qFormat/>
    <w:uiPriority w:val="0"/>
  </w:style>
  <w:style w:type="character" w:customStyle="1" w:styleId="138">
    <w:name w:val="nth-of-type(1)9"/>
    <w:qFormat/>
    <w:uiPriority w:val="0"/>
  </w:style>
  <w:style w:type="character" w:customStyle="1" w:styleId="139">
    <w:name w:val="nth-of-type(1)10"/>
    <w:qFormat/>
    <w:uiPriority w:val="0"/>
  </w:style>
  <w:style w:type="character" w:customStyle="1" w:styleId="140">
    <w:name w:val="nth-of-type(1)11"/>
    <w:qFormat/>
    <w:uiPriority w:val="0"/>
  </w:style>
  <w:style w:type="character" w:customStyle="1" w:styleId="141">
    <w:name w:val="nth-of-type(1)12"/>
    <w:qFormat/>
    <w:uiPriority w:val="0"/>
  </w:style>
  <w:style w:type="character" w:customStyle="1" w:styleId="142">
    <w:name w:val="nth-of-type(1)13"/>
    <w:qFormat/>
    <w:uiPriority w:val="0"/>
  </w:style>
  <w:style w:type="character" w:customStyle="1" w:styleId="143">
    <w:name w:val="nth-of-type(1)14"/>
    <w:qFormat/>
    <w:uiPriority w:val="0"/>
  </w:style>
  <w:style w:type="character" w:customStyle="1" w:styleId="144">
    <w:name w:val="nth-of-type(1)15"/>
    <w:qFormat/>
    <w:uiPriority w:val="0"/>
  </w:style>
  <w:style w:type="character" w:customStyle="1" w:styleId="145">
    <w:name w:val="nth-of-type(1)16"/>
    <w:qFormat/>
    <w:uiPriority w:val="0"/>
  </w:style>
  <w:style w:type="character" w:customStyle="1" w:styleId="146">
    <w:name w:val="nth-of-type(1)17"/>
    <w:qFormat/>
    <w:uiPriority w:val="0"/>
  </w:style>
  <w:style w:type="character" w:customStyle="1" w:styleId="147">
    <w:name w:val="nth-of-type(1)18"/>
    <w:qFormat/>
    <w:uiPriority w:val="0"/>
  </w:style>
  <w:style w:type="character" w:customStyle="1" w:styleId="148">
    <w:name w:val="before"/>
    <w:qFormat/>
    <w:uiPriority w:val="0"/>
    <w:rPr>
      <w:shd w:val="clear" w:color="auto" w:fill="C20E0C"/>
    </w:rPr>
  </w:style>
  <w:style w:type="character" w:customStyle="1" w:styleId="149">
    <w:name w:val="nth-child(2)"/>
    <w:qFormat/>
    <w:uiPriority w:val="0"/>
  </w:style>
  <w:style w:type="character" w:customStyle="1" w:styleId="150">
    <w:name w:val="layui-this"/>
    <w:qFormat/>
    <w:uiPriority w:val="0"/>
    <w:rPr>
      <w:bdr w:val="single" w:color="EEEEEE" w:sz="4" w:space="0"/>
      <w:shd w:val="clear" w:color="auto" w:fill="FFFFFF"/>
    </w:rPr>
  </w:style>
  <w:style w:type="character" w:customStyle="1" w:styleId="151">
    <w:name w:val="nth-child(3)"/>
    <w:qFormat/>
    <w:uiPriority w:val="0"/>
  </w:style>
  <w:style w:type="character" w:customStyle="1" w:styleId="152">
    <w:name w:val="nth-of-type(3)"/>
    <w:qFormat/>
    <w:uiPriority w:val="0"/>
    <w:rPr>
      <w:sz w:val="16"/>
      <w:szCs w:val="16"/>
    </w:rPr>
  </w:style>
  <w:style w:type="character" w:customStyle="1" w:styleId="153">
    <w:name w:val="nth-of-type(3)1"/>
    <w:qFormat/>
    <w:uiPriority w:val="0"/>
  </w:style>
  <w:style w:type="character" w:customStyle="1" w:styleId="154">
    <w:name w:val="nth-of-type(3)2"/>
    <w:qFormat/>
    <w:uiPriority w:val="0"/>
  </w:style>
  <w:style w:type="character" w:customStyle="1" w:styleId="155">
    <w:name w:val="nth-of-type(3)3"/>
    <w:qFormat/>
    <w:uiPriority w:val="0"/>
  </w:style>
  <w:style w:type="character" w:customStyle="1" w:styleId="156">
    <w:name w:val="nth-of-type(3)4"/>
    <w:qFormat/>
    <w:uiPriority w:val="0"/>
  </w:style>
  <w:style w:type="character" w:customStyle="1" w:styleId="157">
    <w:name w:val="nth-of-type(3)5"/>
    <w:qFormat/>
    <w:uiPriority w:val="0"/>
  </w:style>
  <w:style w:type="character" w:customStyle="1" w:styleId="158">
    <w:name w:val="nth-of-type(3)6"/>
    <w:qFormat/>
    <w:uiPriority w:val="0"/>
  </w:style>
  <w:style w:type="character" w:customStyle="1" w:styleId="159">
    <w:name w:val="nth-of-type(3)7"/>
    <w:qFormat/>
    <w:uiPriority w:val="0"/>
  </w:style>
  <w:style w:type="character" w:customStyle="1" w:styleId="160">
    <w:name w:val="titleshow"/>
    <w:qFormat/>
    <w:uiPriority w:val="0"/>
    <w:rPr>
      <w:color w:val="3E464C"/>
    </w:rPr>
  </w:style>
  <w:style w:type="character" w:customStyle="1" w:styleId="161">
    <w:name w:val="hover24"/>
    <w:qFormat/>
    <w:uiPriority w:val="0"/>
    <w:rPr>
      <w:color w:val="167AE0"/>
    </w:rPr>
  </w:style>
  <w:style w:type="character" w:customStyle="1" w:styleId="162">
    <w:name w:val="hover25"/>
    <w:qFormat/>
    <w:uiPriority w:val="0"/>
  </w:style>
  <w:style w:type="character" w:customStyle="1" w:styleId="163">
    <w:name w:val="nth-of-type(9)"/>
    <w:qFormat/>
    <w:uiPriority w:val="0"/>
  </w:style>
  <w:style w:type="character" w:customStyle="1" w:styleId="164">
    <w:name w:val="first-child1"/>
    <w:qFormat/>
    <w:uiPriority w:val="0"/>
  </w:style>
  <w:style w:type="character" w:customStyle="1" w:styleId="165">
    <w:name w:val="first-child2"/>
    <w:qFormat/>
    <w:uiPriority w:val="0"/>
  </w:style>
  <w:style w:type="character" w:customStyle="1" w:styleId="166">
    <w:name w:val="first-child3"/>
    <w:qFormat/>
    <w:uiPriority w:val="0"/>
  </w:style>
  <w:style w:type="character" w:customStyle="1" w:styleId="167">
    <w:name w:val="first-child4"/>
    <w:qFormat/>
    <w:uiPriority w:val="0"/>
  </w:style>
  <w:style w:type="character" w:customStyle="1" w:styleId="168">
    <w:name w:val="nth-of-type(10)"/>
    <w:qFormat/>
    <w:uiPriority w:val="0"/>
  </w:style>
  <w:style w:type="character" w:customStyle="1" w:styleId="169">
    <w:name w:val="nth-of-type(6)"/>
    <w:qFormat/>
    <w:uiPriority w:val="0"/>
  </w:style>
  <w:style w:type="character" w:customStyle="1" w:styleId="170">
    <w:name w:val="nth-child(1)"/>
    <w:qFormat/>
    <w:uiPriority w:val="0"/>
  </w:style>
  <w:style w:type="character" w:customStyle="1" w:styleId="171">
    <w:name w:val="nth-of-type(4)"/>
    <w:qFormat/>
    <w:uiPriority w:val="0"/>
    <w:rPr>
      <w:sz w:val="16"/>
      <w:szCs w:val="16"/>
    </w:rPr>
  </w:style>
  <w:style w:type="character" w:customStyle="1" w:styleId="172">
    <w:name w:val="nth-of-type(4)1"/>
    <w:qFormat/>
    <w:uiPriority w:val="0"/>
  </w:style>
  <w:style w:type="character" w:customStyle="1" w:styleId="173">
    <w:name w:val="nth-of-type(4)2"/>
    <w:qFormat/>
    <w:uiPriority w:val="0"/>
  </w:style>
  <w:style w:type="character" w:customStyle="1" w:styleId="174">
    <w:name w:val="nth-of-type(4)3"/>
    <w:qFormat/>
    <w:uiPriority w:val="0"/>
  </w:style>
  <w:style w:type="character" w:customStyle="1" w:styleId="175">
    <w:name w:val="nth-of-type(4)4"/>
    <w:qFormat/>
    <w:uiPriority w:val="0"/>
  </w:style>
  <w:style w:type="character" w:customStyle="1" w:styleId="176">
    <w:name w:val="nth-of-type(4)5"/>
    <w:qFormat/>
    <w:uiPriority w:val="0"/>
    <w:rPr>
      <w:color w:val="0082DF"/>
    </w:rPr>
  </w:style>
  <w:style w:type="character" w:customStyle="1" w:styleId="177">
    <w:name w:val="nth-of-type(4)6"/>
    <w:qFormat/>
    <w:uiPriority w:val="0"/>
  </w:style>
  <w:style w:type="character" w:customStyle="1" w:styleId="178">
    <w:name w:val="nth-of-type(4)7"/>
    <w:qFormat/>
    <w:uiPriority w:val="0"/>
  </w:style>
  <w:style w:type="character" w:customStyle="1" w:styleId="179">
    <w:name w:val="nth-of-type(4)8"/>
    <w:qFormat/>
    <w:uiPriority w:val="0"/>
  </w:style>
  <w:style w:type="character" w:customStyle="1" w:styleId="180">
    <w:name w:val="last-child1"/>
    <w:qFormat/>
    <w:uiPriority w:val="0"/>
  </w:style>
  <w:style w:type="character" w:customStyle="1" w:styleId="181">
    <w:name w:val="last-child2"/>
    <w:qFormat/>
    <w:uiPriority w:val="0"/>
    <w:rPr>
      <w:color w:val="FFFFFF"/>
    </w:rPr>
  </w:style>
  <w:style w:type="character" w:customStyle="1" w:styleId="182">
    <w:name w:val="last-child3"/>
    <w:qFormat/>
    <w:uiPriority w:val="0"/>
  </w:style>
  <w:style w:type="character" w:customStyle="1" w:styleId="183">
    <w:name w:val="lineshow"/>
    <w:qFormat/>
    <w:uiPriority w:val="0"/>
  </w:style>
  <w:style w:type="character" w:customStyle="1" w:styleId="184">
    <w:name w:val="lineshow1"/>
    <w:qFormat/>
    <w:uiPriority w:val="0"/>
  </w:style>
  <w:style w:type="character" w:customStyle="1" w:styleId="185">
    <w:name w:val="nth-of-type(5)"/>
    <w:qFormat/>
    <w:uiPriority w:val="0"/>
    <w:rPr>
      <w:sz w:val="16"/>
      <w:szCs w:val="16"/>
    </w:rPr>
  </w:style>
  <w:style w:type="character" w:customStyle="1" w:styleId="186">
    <w:name w:val="nth-of-type(5)1"/>
    <w:qFormat/>
    <w:uiPriority w:val="0"/>
  </w:style>
  <w:style w:type="character" w:customStyle="1" w:styleId="187">
    <w:name w:val="nth-of-type(5)2"/>
    <w:qFormat/>
    <w:uiPriority w:val="0"/>
  </w:style>
  <w:style w:type="character" w:customStyle="1" w:styleId="188">
    <w:name w:val="nth-of-type(5)3"/>
    <w:qFormat/>
    <w:uiPriority w:val="0"/>
  </w:style>
  <w:style w:type="character" w:customStyle="1" w:styleId="189">
    <w:name w:val="nth-of-type(5)4"/>
    <w:qFormat/>
    <w:uiPriority w:val="0"/>
  </w:style>
  <w:style w:type="character" w:customStyle="1" w:styleId="190">
    <w:name w:val="nth-of-type(5)5"/>
    <w:qFormat/>
    <w:uiPriority w:val="0"/>
  </w:style>
  <w:style w:type="character" w:customStyle="1" w:styleId="191">
    <w:name w:val="nth-of-type(5)6"/>
    <w:qFormat/>
    <w:uiPriority w:val="0"/>
  </w:style>
  <w:style w:type="character" w:customStyle="1" w:styleId="192">
    <w:name w:val="nth-of-type(7)"/>
    <w:qFormat/>
    <w:uiPriority w:val="0"/>
  </w:style>
  <w:style w:type="character" w:customStyle="1" w:styleId="193">
    <w:name w:val="nth-of-type(7)1"/>
    <w:qFormat/>
    <w:uiPriority w:val="0"/>
  </w:style>
  <w:style w:type="character" w:customStyle="1" w:styleId="194">
    <w:name w:val="nth-of-type(7)2"/>
    <w:qFormat/>
    <w:uiPriority w:val="0"/>
  </w:style>
  <w:style w:type="character" w:customStyle="1" w:styleId="195">
    <w:name w:val="nth-of-type(8)"/>
    <w:qFormat/>
    <w:uiPriority w:val="0"/>
  </w:style>
  <w:style w:type="character" w:customStyle="1" w:styleId="196">
    <w:name w:val="layui-laypage-curr"/>
    <w:qFormat/>
    <w:uiPriority w:val="0"/>
  </w:style>
  <w:style w:type="character" w:customStyle="1" w:styleId="197">
    <w:name w:val="cke_colorbox2"/>
    <w:qFormat/>
    <w:uiPriority w:val="0"/>
    <w:rPr>
      <w:bdr w:val="single" w:color="808080" w:sz="4" w:space="0"/>
    </w:rPr>
  </w:style>
  <w:style w:type="paragraph" w:customStyle="1" w:styleId="198">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61</Pages>
  <Words>34175</Words>
  <Characters>35794</Characters>
  <Lines>285</Lines>
  <Paragraphs>80</Paragraphs>
  <TotalTime>80</TotalTime>
  <ScaleCrop>false</ScaleCrop>
  <LinksUpToDate>false</LinksUpToDate>
  <CharactersWithSpaces>37871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2023-12-04T03:29:00Z</dcterms:created>
  <dc:creator>xdzj</dc:creator>
  <cp:lastModifiedBy>鉛筆畫的再美丶終究是灰色</cp:lastModifiedBy>
  <cp:lastPrinted>2023-12-08T00:35:00Z</cp:lastPrinted>
  <dcterms:modified xsi:type="dcterms:W3CDTF">2023-12-27T00:50:22Z</dcterms:modified>
  <dc:title>政府采购项目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050A8827B8DF47B1827D80352BA66AF7_13</vt:lpwstr>
  </property>
</Properties>
</file>