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hAnsi="宋体" w:eastAsia="宋体" w:cs="宋体"/>
          <w:b/>
          <w:sz w:val="36"/>
          <w:highlight w:val="none"/>
          <w:lang w:val="en-US" w:eastAsia="zh-CN"/>
        </w:rPr>
      </w:pPr>
      <w:r>
        <w:rPr>
          <w:rFonts w:hint="eastAsia" w:hAnsi="宋体" w:cs="宋体"/>
          <w:b/>
          <w:bCs/>
          <w:sz w:val="32"/>
          <w:szCs w:val="32"/>
          <w:highlight w:val="none"/>
          <w:lang w:eastAsia="zh-CN"/>
        </w:rPr>
        <w:t>采购</w:t>
      </w:r>
      <w:r>
        <w:rPr>
          <w:rFonts w:hint="eastAsia" w:hAnsi="宋体" w:cs="宋体"/>
          <w:b/>
          <w:bCs/>
          <w:sz w:val="32"/>
          <w:szCs w:val="32"/>
          <w:highlight w:val="none"/>
        </w:rPr>
        <w:t>项目编号：YC23314001（CGQ）0</w:t>
      </w:r>
      <w:r>
        <w:rPr>
          <w:rFonts w:hint="eastAsia" w:hAnsi="宋体" w:cs="宋体"/>
          <w:b/>
          <w:bCs/>
          <w:sz w:val="32"/>
          <w:szCs w:val="32"/>
          <w:highlight w:val="none"/>
          <w:lang w:val="en-US" w:eastAsia="zh-CN"/>
        </w:rPr>
        <w:t>11</w:t>
      </w:r>
    </w:p>
    <w:p>
      <w:pPr>
        <w:bidi w:val="0"/>
        <w:rPr>
          <w:rFonts w:hint="eastAsia"/>
          <w:highlight w:val="none"/>
          <w:lang w:eastAsia="zh-CN"/>
        </w:rPr>
      </w:pPr>
    </w:p>
    <w:p>
      <w:pPr>
        <w:pStyle w:val="45"/>
        <w:spacing w:line="360" w:lineRule="auto"/>
        <w:rPr>
          <w:rFonts w:hint="eastAsia" w:ascii="宋体" w:hAnsi="宋体" w:cs="宋体"/>
          <w:b/>
          <w:bCs/>
          <w:sz w:val="32"/>
          <w:szCs w:val="32"/>
          <w:highlight w:val="none"/>
          <w:lang w:eastAsia="zh-CN"/>
        </w:rPr>
      </w:pPr>
    </w:p>
    <w:p>
      <w:pPr>
        <w:spacing w:line="360" w:lineRule="auto"/>
        <w:rPr>
          <w:rFonts w:hint="eastAsia" w:ascii="宋体" w:hAnsi="宋体" w:cs="宋体"/>
          <w:highlight w:val="none"/>
        </w:rPr>
      </w:pPr>
      <w:r>
        <w:rPr>
          <w:rFonts w:hint="eastAsia" w:ascii="宋体" w:hAnsi="宋体" w:cs="宋体"/>
          <w:highlight w:val="none"/>
        </w:rPr>
        <w:t xml:space="preserve">  </w:t>
      </w:r>
    </w:p>
    <w:p>
      <w:pPr>
        <w:spacing w:line="360" w:lineRule="auto"/>
        <w:jc w:val="center"/>
        <w:rPr>
          <w:rFonts w:hint="eastAsia" w:ascii="宋体" w:hAnsi="宋体" w:cs="宋体"/>
          <w:b/>
          <w:bCs/>
          <w:sz w:val="52"/>
          <w:szCs w:val="52"/>
          <w:highlight w:val="none"/>
        </w:rPr>
      </w:pPr>
    </w:p>
    <w:p>
      <w:pPr>
        <w:spacing w:line="360" w:lineRule="auto"/>
        <w:jc w:val="center"/>
        <w:rPr>
          <w:rFonts w:hint="eastAsia" w:ascii="宋体" w:hAnsi="宋体" w:eastAsia="宋体" w:cs="宋体"/>
          <w:b/>
          <w:bCs/>
          <w:sz w:val="52"/>
          <w:szCs w:val="52"/>
          <w:highlight w:val="none"/>
          <w:lang w:val="en-US" w:eastAsia="zh-CN"/>
        </w:rPr>
      </w:pPr>
      <w:r>
        <w:rPr>
          <w:rFonts w:hint="eastAsia" w:ascii="宋体" w:hAnsi="宋体" w:cs="宋体"/>
          <w:b/>
          <w:bCs/>
          <w:sz w:val="52"/>
          <w:szCs w:val="52"/>
          <w:highlight w:val="none"/>
        </w:rPr>
        <w:t>石城测绘技术服务</w:t>
      </w:r>
      <w:r>
        <w:rPr>
          <w:rFonts w:hint="eastAsia" w:ascii="宋体" w:hAnsi="宋体" w:cs="宋体"/>
          <w:b/>
          <w:bCs/>
          <w:sz w:val="52"/>
          <w:szCs w:val="52"/>
          <w:highlight w:val="none"/>
          <w:lang w:val="en-US" w:eastAsia="zh-CN"/>
        </w:rPr>
        <w:t>项目</w:t>
      </w:r>
    </w:p>
    <w:p>
      <w:pPr>
        <w:spacing w:line="360" w:lineRule="auto"/>
        <w:jc w:val="center"/>
        <w:rPr>
          <w:rFonts w:hint="eastAsia" w:ascii="宋体" w:hAnsi="宋体" w:cs="宋体"/>
          <w:b/>
          <w:bCs/>
          <w:sz w:val="72"/>
          <w:szCs w:val="72"/>
          <w:highlight w:val="none"/>
        </w:rPr>
      </w:pPr>
    </w:p>
    <w:p>
      <w:pPr>
        <w:spacing w:line="360" w:lineRule="auto"/>
        <w:jc w:val="center"/>
        <w:rPr>
          <w:rFonts w:hint="eastAsia" w:ascii="宋体" w:hAnsi="宋体" w:cs="宋体"/>
          <w:b/>
          <w:bCs/>
          <w:sz w:val="72"/>
          <w:szCs w:val="72"/>
          <w:highlight w:val="none"/>
        </w:rPr>
      </w:pPr>
    </w:p>
    <w:p>
      <w:pPr>
        <w:spacing w:line="360" w:lineRule="auto"/>
        <w:jc w:val="center"/>
        <w:rPr>
          <w:rFonts w:hint="eastAsia" w:ascii="宋体" w:hAnsi="宋体" w:cs="宋体"/>
          <w:sz w:val="28"/>
          <w:szCs w:val="28"/>
          <w:highlight w:val="none"/>
        </w:rPr>
      </w:pPr>
      <w:r>
        <w:rPr>
          <w:rFonts w:hint="eastAsia" w:ascii="宋体" w:hAnsi="宋体" w:cs="宋体"/>
          <w:b/>
          <w:bCs/>
          <w:sz w:val="72"/>
          <w:szCs w:val="72"/>
          <w:highlight w:val="none"/>
        </w:rPr>
        <w:t>竞争性谈判文件</w:t>
      </w:r>
    </w:p>
    <w:p>
      <w:pPr>
        <w:bidi w:val="0"/>
        <w:spacing w:line="360" w:lineRule="auto"/>
        <w:rPr>
          <w:rFonts w:hint="eastAsia"/>
          <w:highlight w:val="none"/>
        </w:rPr>
      </w:pPr>
    </w:p>
    <w:p>
      <w:pPr>
        <w:bidi w:val="0"/>
        <w:spacing w:line="360" w:lineRule="auto"/>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autoSpaceDE w:val="0"/>
        <w:spacing w:line="360" w:lineRule="auto"/>
        <w:ind w:firstLine="723" w:firstLineChars="200"/>
        <w:rPr>
          <w:rFonts w:hint="default" w:ascii="宋体" w:hAnsi="宋体" w:cs="宋体"/>
          <w:b/>
          <w:bCs/>
          <w:sz w:val="36"/>
          <w:szCs w:val="36"/>
          <w:highlight w:val="none"/>
          <w:lang w:val="en-US" w:eastAsia="zh-CN"/>
        </w:rPr>
      </w:pPr>
      <w:r>
        <w:rPr>
          <w:rFonts w:hint="eastAsia" w:ascii="宋体" w:hAnsi="宋体" w:cs="宋体"/>
          <w:b/>
          <w:bCs/>
          <w:sz w:val="36"/>
          <w:szCs w:val="36"/>
          <w:highlight w:val="none"/>
        </w:rPr>
        <w:t>采   购   人：</w:t>
      </w:r>
      <w:r>
        <w:rPr>
          <w:rFonts w:hint="eastAsia" w:ascii="宋体" w:hAnsi="宋体" w:cs="宋体"/>
          <w:b/>
          <w:bCs/>
          <w:sz w:val="36"/>
          <w:szCs w:val="36"/>
          <w:highlight w:val="none"/>
          <w:lang w:val="en-US" w:eastAsia="zh-CN"/>
        </w:rPr>
        <w:t>榆林市文物考古勘探工作队</w:t>
      </w:r>
    </w:p>
    <w:p>
      <w:pPr>
        <w:autoSpaceDE w:val="0"/>
        <w:spacing w:line="360" w:lineRule="auto"/>
        <w:ind w:firstLine="723" w:firstLineChars="200"/>
        <w:rPr>
          <w:rFonts w:hint="eastAsia" w:ascii="宋体" w:hAnsi="宋体" w:cs="宋体"/>
          <w:b/>
          <w:bCs/>
          <w:sz w:val="36"/>
          <w:szCs w:val="36"/>
          <w:highlight w:val="none"/>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val="en-US" w:eastAsia="zh-CN"/>
        </w:rPr>
        <w:t>亿诚建设项目管理有限公司</w:t>
      </w:r>
    </w:p>
    <w:p>
      <w:pPr>
        <w:spacing w:line="360" w:lineRule="auto"/>
        <w:jc w:val="cente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t>二零二</w:t>
      </w:r>
      <w:r>
        <w:rPr>
          <w:rFonts w:hint="eastAsia" w:ascii="宋体" w:hAnsi="宋体" w:cs="宋体"/>
          <w:b/>
          <w:bCs/>
          <w:sz w:val="36"/>
          <w:szCs w:val="36"/>
          <w:highlight w:val="none"/>
          <w:lang w:val="en-US" w:eastAsia="zh-CN"/>
        </w:rPr>
        <w:t>三</w:t>
      </w:r>
      <w:r>
        <w:rPr>
          <w:rFonts w:hint="eastAsia" w:ascii="宋体" w:hAnsi="宋体" w:cs="宋体"/>
          <w:b/>
          <w:bCs/>
          <w:sz w:val="36"/>
          <w:szCs w:val="36"/>
          <w:highlight w:val="none"/>
          <w:lang w:eastAsia="zh-CN"/>
        </w:rPr>
        <w:t>年</w:t>
      </w:r>
      <w:r>
        <w:rPr>
          <w:rFonts w:hint="eastAsia" w:ascii="宋体" w:hAnsi="宋体" w:cs="宋体"/>
          <w:b/>
          <w:bCs/>
          <w:sz w:val="36"/>
          <w:szCs w:val="36"/>
          <w:highlight w:val="none"/>
          <w:lang w:val="en-US" w:eastAsia="zh-CN"/>
        </w:rPr>
        <w:t>十</w:t>
      </w:r>
      <w:r>
        <w:rPr>
          <w:rFonts w:hint="eastAsia" w:ascii="宋体" w:hAnsi="宋体" w:cs="宋体"/>
          <w:b/>
          <w:bCs/>
          <w:sz w:val="36"/>
          <w:szCs w:val="36"/>
          <w:highlight w:val="none"/>
          <w:lang w:eastAsia="zh-CN"/>
        </w:rPr>
        <w:t>月</w:t>
      </w:r>
    </w:p>
    <w:p>
      <w:pP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br w:type="page"/>
      </w:r>
    </w:p>
    <w:sdt>
      <w:sdtPr>
        <w:rPr>
          <w:rFonts w:ascii="宋体" w:hAnsi="宋体" w:eastAsia="宋体" w:cs="Times New Roman"/>
          <w:b/>
          <w:bCs/>
          <w:kern w:val="2"/>
          <w:sz w:val="20"/>
          <w:szCs w:val="20"/>
          <w:highlight w:val="none"/>
          <w:lang w:val="en-US" w:eastAsia="zh-CN" w:bidi="ar-SA"/>
        </w:rPr>
        <w:id w:val="147459033"/>
        <w15:color w:val="DBDBDB"/>
        <w:docPartObj>
          <w:docPartGallery w:val="Table of Contents"/>
          <w:docPartUnique/>
        </w:docPartObj>
      </w:sdtPr>
      <w:sdtEndPr>
        <w:rPr>
          <w:rFonts w:hint="eastAsia" w:ascii="宋体" w:hAnsi="宋体" w:eastAsia="宋体" w:cs="宋体"/>
          <w:b/>
          <w:bCs/>
          <w:kern w:val="2"/>
          <w:sz w:val="21"/>
          <w:szCs w:val="30"/>
          <w:highlight w:val="none"/>
          <w:lang w:val="en-US" w:eastAsia="zh-CN" w:bidi="ar-SA"/>
        </w:rPr>
      </w:sdtEndPr>
      <w:sdtContent>
        <w:p>
          <w:pPr>
            <w:jc w:val="center"/>
            <w:rPr>
              <w:b/>
              <w:bCs/>
              <w:sz w:val="36"/>
              <w:szCs w:val="36"/>
              <w:highlight w:val="none"/>
            </w:rPr>
          </w:pPr>
          <w:r>
            <w:rPr>
              <w:rFonts w:ascii="宋体" w:hAnsi="宋体" w:eastAsia="宋体"/>
              <w:b/>
              <w:bCs/>
              <w:sz w:val="36"/>
              <w:szCs w:val="36"/>
              <w:highlight w:val="none"/>
            </w:rPr>
            <w:t>目</w:t>
          </w:r>
          <w:r>
            <w:rPr>
              <w:rFonts w:hint="eastAsia" w:ascii="宋体" w:hAnsi="宋体"/>
              <w:b/>
              <w:bCs/>
              <w:sz w:val="36"/>
              <w:szCs w:val="36"/>
              <w:highlight w:val="none"/>
              <w:lang w:val="en-US" w:eastAsia="zh-CN"/>
            </w:rPr>
            <w:t xml:space="preserve">  </w:t>
          </w:r>
          <w:r>
            <w:rPr>
              <w:rFonts w:ascii="宋体" w:hAnsi="宋体" w:eastAsia="宋体"/>
              <w:b/>
              <w:bCs/>
              <w:sz w:val="36"/>
              <w:szCs w:val="36"/>
              <w:highlight w:val="none"/>
            </w:rPr>
            <w:t>录</w:t>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"1-3" \h \u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_Toc26996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第一部分 </w:t>
          </w: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_Toc26996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_Toc10777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_Toc10777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_Toc27675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二、申请人的资格要求：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_Toc27675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三、获取采购文件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_Toc31190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四、响应文件提交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_Toc31190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_Toc14379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五、开启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_Toc14379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_Toc21633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_Toc21633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_Toc10158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_Toc10158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_Toc27402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部分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_Toc21259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_Toc21259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_Toc9054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_Toc9054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_Toc6230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_Toc3655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2、定义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_Toc3655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_Toc22999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3、谈判依据及原则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_Toc22999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_Toc11059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4、合格的</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_Toc11059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_Toc9834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5、保密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_Toc9834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6、投标费用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_Toc24996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7、踏勘现场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_Toc24996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_Toc28416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8、 </w:t>
          </w:r>
          <w:r>
            <w:rPr>
              <w:rFonts w:hint="eastAsia" w:ascii="宋体" w:hAnsi="宋体" w:eastAsia="宋体" w:cs="宋体"/>
              <w:sz w:val="24"/>
              <w:szCs w:val="24"/>
              <w:highlight w:val="none"/>
            </w:rPr>
            <w:t>供应商在开标现场须提供以下资质文件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_Toc28416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_Toc30622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二、谈判文件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_Toc30622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_Toc12384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1、谈判文件的构成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_Toc12384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_Toc8248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2、谈判文件的澄清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_Toc8248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3、谈判文件的修改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_Toc3208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_Toc13692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三、响应文件的编写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_Toc13692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_Toc19624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1、响应文件编制的原则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_Toc19624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_Toc32256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2、响应文件语言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_Toc32256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3、计量单位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_Toc16018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_Toc4990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4、响应文件的组成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_Toc4990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_Toc21382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_Toc21382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_Toc3831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_Toc3831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7、投标货币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_Toc12056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8、证明供应商资格的证明文件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_Toc12056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_Toc28208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9、证明工程的合格性和符合谈判文件规定的文件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_Toc28208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_Toc4808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lang w:val="en-US" w:eastAsia="zh-CN"/>
            </w:rPr>
            <w:t xml:space="preserve">10、 </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_Toc4808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_Toc9872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11、投标有效期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_Toc9872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_Toc12537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12、响应文件的签署及格式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_Toc12537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_Toc8493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四、响应文件的递交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_Toc8493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_Toc16439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五、谈判、确定成交供应商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_Toc16439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_Toc31324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1、谈判程序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_Toc31324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_Toc5007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2、谈判小组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_Toc5007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_Toc2241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_Toc2241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_Toc24509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4、响应文件的初审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_Toc24509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_Toc3135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_Toc13001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6、响应文件的澄清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_Toc14764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7、评审原则及主要方法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_Toc14764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_Toc31090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_Toc31090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_Toc12544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六.通知与签约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_Toc12544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成交通知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_Toc2336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_Toc6705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成交合同的签订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_Toc6705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_Toc17444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成交代理服务费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_Toc17444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_Toc15832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七、供应商提出质疑应符合中华人民共和国财政部令第94号《政府采购质疑和投诉办法》的规定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_Toc15832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_Toc18111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第四部分 合同条款（仅供参考）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_Toc18111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_Toc29686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第五部分 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_Toc29686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_Toc22208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1、第一阶段：资格性审查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_Toc22208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_Toc26755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2、第二阶段：符合性审查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_Toc26755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_Toc22661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3、第三阶段：技术和商务评审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_Toc22661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_Toc23946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4、谈判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_Toc23946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_Toc16523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5、确定成交供应商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_Toc16523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_Toc11720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第六部分 采购内容及技术要求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_Toc11720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_Toc7685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第七部分 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_Toc7685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_Toc30051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部分 附件-竞争性谈判响应文件格式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_Toc30051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_Toc18231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一、谈判函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_Toc18231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_Toc6498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_Toc6498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_Toc7576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分项报价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_Toc7576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_Toc27589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二、 </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_Toc27589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_Toc20482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_Toc20482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_Toc22891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_Toc22891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_Toc29571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_Toc29571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_Toc14382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_Toc14382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_Toc20360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_Toc20360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_Toc16091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_Toc24689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_Toc24689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_Toc15857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资格证明原件主要内容（谈判文件规定的资格证明原件复印件）。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_Toc15857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_Toc27611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）其他可以证明投标供应商实力的文件。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_Toc27611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_Toc10060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_Toc10060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_Toc7200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附表一：同类项目经验一览表（如有）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_Toc7200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_Toc9249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附表二：拟投入本项目人员汇总表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_Toc9249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_Toc1237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附表三：拟投入本项目的主要人员简历表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_Toc1237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_Toc13312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_Toc13312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_Toc16474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_Toc16474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_Toc25776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_Toc25776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_Toc5805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_Toc5805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_Toc29220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_Toc29220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_Toc24615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_Toc24615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_Toc22232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_Toc22232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_Toc10953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_Toc10953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_Toc22614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附件1</w:t>
          </w:r>
          <w:r>
            <w:rPr>
              <w:rFonts w:hint="eastAsia" w:ascii="宋体" w:hAnsi="宋体" w:eastAsia="宋体" w:cs="宋体"/>
              <w:sz w:val="24"/>
              <w:szCs w:val="24"/>
              <w:highlight w:val="none"/>
              <w:lang w:eastAsia="zh-CN"/>
            </w:rPr>
            <w:t>：中小企业声明函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_Toc22614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_Toc8001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残疾人福利性单位声明函 (非残疾人福利企业不填写)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_Toc8001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_Toc14522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附件3：</w:t>
          </w:r>
          <w:r>
            <w:rPr>
              <w:rFonts w:hint="eastAsia" w:ascii="宋体" w:hAnsi="宋体" w:eastAsia="宋体" w:cs="宋体"/>
              <w:sz w:val="24"/>
              <w:szCs w:val="24"/>
              <w:highlight w:val="none"/>
            </w:rPr>
            <w:t>监狱、戒毒企业声明函 (非监狱、戒毒企业不填写)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_Toc14522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_Toc19155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十一、</w:t>
          </w:r>
          <w:r>
            <w:rPr>
              <w:rFonts w:hint="eastAsia" w:ascii="宋体" w:hAnsi="宋体" w:eastAsia="宋体" w:cs="宋体"/>
              <w:sz w:val="24"/>
              <w:szCs w:val="24"/>
              <w:highlight w:val="none"/>
            </w:rPr>
            <w:t xml:space="preserve"> 第二次报价表（最终报价表）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_Toc19155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_Toc15718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附件4：陕西省政府采购服务类项目供应商信用承诺书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_Toc15718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spacing w:line="360" w:lineRule="auto"/>
            <w:rPr>
              <w:rFonts w:hint="eastAsia" w:ascii="宋体" w:hAnsi="宋体" w:cs="宋体"/>
              <w:b/>
              <w:sz w:val="32"/>
              <w:szCs w:val="32"/>
              <w:highlight w:val="none"/>
            </w:rPr>
            <w:sectPr>
              <w:footerReference r:id="rId3" w:type="default"/>
              <w:footnotePr>
                <w:pos w:val="beneathText"/>
              </w:footnotePr>
              <w:pgSz w:w="11906" w:h="16838"/>
              <w:pgMar w:top="1440" w:right="1080" w:bottom="1440" w:left="1080" w:header="851" w:footer="992" w:gutter="0"/>
              <w:pgBorders>
                <w:top w:val="none" w:sz="0" w:space="0"/>
                <w:left w:val="none" w:sz="0" w:space="0"/>
                <w:bottom w:val="none" w:sz="0" w:space="0"/>
                <w:right w:val="none" w:sz="0" w:space="0"/>
              </w:pgBorders>
              <w:pgNumType w:start="1" w:chapStyle="1" w:chapSep="colon"/>
              <w:cols w:space="720" w:num="1"/>
              <w:docGrid w:linePitch="312" w:charSpace="0"/>
            </w:sectPr>
          </w:pPr>
          <w:r>
            <w:rPr>
              <w:rFonts w:hint="eastAsia" w:ascii="宋体" w:hAnsi="宋体" w:eastAsia="宋体" w:cs="宋体"/>
              <w:bCs w:val="0"/>
              <w:szCs w:val="24"/>
              <w:highlight w:val="none"/>
            </w:rPr>
            <w:fldChar w:fldCharType="end"/>
          </w:r>
        </w:p>
      </w:sdtContent>
    </w:sdt>
    <w:p>
      <w:pPr>
        <w:pStyle w:val="2"/>
        <w:bidi w:val="0"/>
        <w:spacing w:before="0" w:beforeAutospacing="0" w:after="0" w:afterAutospacing="0"/>
        <w:jc w:val="center"/>
        <w:rPr>
          <w:rFonts w:hint="eastAsia"/>
          <w:highlight w:val="none"/>
          <w:lang w:val="en-US" w:eastAsia="zh-CN"/>
        </w:rPr>
      </w:pPr>
      <w:bookmarkStart w:id="0" w:name="_Toc8666"/>
      <w:bookmarkStart w:id="1" w:name="_Toc15054"/>
      <w:bookmarkStart w:id="2" w:name="_Toc26996"/>
      <w:bookmarkStart w:id="3" w:name="_Toc4127"/>
      <w:bookmarkStart w:id="4" w:name="_Toc12467"/>
      <w:r>
        <w:rPr>
          <w:rFonts w:hint="eastAsia"/>
          <w:highlight w:val="none"/>
        </w:rPr>
        <w:t xml:space="preserve">第一部分 </w:t>
      </w:r>
      <w:r>
        <w:rPr>
          <w:rFonts w:hint="eastAsia"/>
          <w:highlight w:val="none"/>
          <w:lang w:eastAsia="zh-CN"/>
        </w:rPr>
        <w:t>竞争性谈判</w:t>
      </w:r>
      <w:r>
        <w:rPr>
          <w:rFonts w:hint="eastAsia"/>
          <w:highlight w:val="none"/>
        </w:rPr>
        <w:t>公告</w:t>
      </w:r>
      <w:bookmarkEnd w:id="0"/>
      <w:bookmarkEnd w:id="1"/>
      <w:bookmarkEnd w:id="2"/>
      <w:bookmarkEnd w:id="3"/>
      <w:bookmarkEnd w:id="4"/>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Lines="0" w:beforeAutospacing="0" w:after="0" w:afterLines="0" w:afterAutospacing="0" w:line="600" w:lineRule="atLeast"/>
        <w:ind w:left="0" w:right="0" w:firstLine="0"/>
        <w:jc w:val="center"/>
        <w:textAlignment w:val="baseline"/>
        <w:rPr>
          <w:rFonts w:hint="eastAsia" w:ascii="宋体" w:hAnsi="宋体" w:eastAsia="宋体" w:cs="宋体"/>
          <w:b/>
          <w:bCs/>
          <w:color w:val="000000"/>
          <w:kern w:val="0"/>
          <w:sz w:val="32"/>
          <w:szCs w:val="24"/>
          <w:highlight w:val="none"/>
          <w:lang w:val="en-US" w:eastAsia="zh-CN" w:bidi="ar-SA"/>
        </w:rPr>
      </w:pPr>
      <w:bookmarkStart w:id="5" w:name="_Toc20160"/>
      <w:bookmarkStart w:id="6" w:name="_Toc16282"/>
      <w:bookmarkStart w:id="7" w:name="_Toc24088"/>
      <w:bookmarkStart w:id="8" w:name="_Toc21011"/>
      <w:r>
        <w:rPr>
          <w:rFonts w:hint="eastAsia" w:ascii="宋体" w:hAnsi="宋体" w:eastAsia="宋体" w:cs="宋体"/>
          <w:b/>
          <w:bCs/>
          <w:color w:val="000000"/>
          <w:kern w:val="0"/>
          <w:sz w:val="32"/>
          <w:szCs w:val="24"/>
          <w:highlight w:val="none"/>
          <w:lang w:val="en-US" w:eastAsia="zh-CN" w:bidi="ar-SA"/>
        </w:rPr>
        <w:t>石城测绘技术服务项目竞争性谈判公告</w:t>
      </w:r>
    </w:p>
    <w:p>
      <w:pPr>
        <w:bidi w:val="0"/>
        <w:rPr>
          <w:rFonts w:hint="eastAsia"/>
          <w:b/>
          <w:bCs/>
          <w:sz w:val="24"/>
          <w:szCs w:val="24"/>
          <w:highlight w:val="none"/>
          <w:lang w:val="en-US" w:eastAsia="zh-CN"/>
        </w:rPr>
      </w:pPr>
      <w:r>
        <w:rPr>
          <w:rFonts w:hint="eastAsia"/>
          <w:b/>
          <w:bCs/>
          <w:sz w:val="24"/>
          <w:szCs w:val="24"/>
          <w:highlight w:val="none"/>
          <w:lang w:val="en-US" w:eastAsia="zh-CN"/>
        </w:rPr>
        <w:t>项目概况</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Lines="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石城测绘技术服务项目的潜在供应商应在榆林市榆阳区肤施路南段环馨路5号金轩楼2楼20</w:t>
      </w: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室获取采购文件，并于2023年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14</w:t>
      </w:r>
      <w:r>
        <w:rPr>
          <w:rFonts w:hint="eastAsia" w:ascii="宋体" w:hAnsi="宋体" w:eastAsia="宋体" w:cs="宋体"/>
          <w:color w:val="000000"/>
          <w:kern w:val="0"/>
          <w:sz w:val="24"/>
          <w:szCs w:val="21"/>
          <w:highlight w:val="none"/>
          <w:lang w:val="en-US" w:eastAsia="zh-CN" w:bidi="ar-SA"/>
        </w:rPr>
        <w:t>时00分（北京时间）前提交响应文件。</w:t>
      </w:r>
    </w:p>
    <w:p>
      <w:pPr>
        <w:pStyle w:val="3"/>
        <w:bidi w:val="0"/>
        <w:spacing w:before="47" w:beforeAutospacing="0" w:after="0" w:afterAutospacing="0"/>
        <w:rPr>
          <w:rFonts w:hint="eastAsia"/>
          <w:highlight w:val="none"/>
          <w:lang w:val="en-US" w:eastAsia="zh-CN"/>
        </w:rPr>
      </w:pPr>
      <w:bookmarkStart w:id="9" w:name="_Toc10777"/>
      <w:r>
        <w:rPr>
          <w:rFonts w:hint="eastAsia"/>
          <w:highlight w:val="none"/>
          <w:lang w:val="en-US" w:eastAsia="zh-CN"/>
        </w:rPr>
        <w:t>一、项目基本情况</w:t>
      </w:r>
      <w:bookmarkEnd w:id="9"/>
      <w:bookmarkStart w:id="427" w:name="_GoBack"/>
      <w:bookmarkEnd w:id="427"/>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项目编号：</w:t>
      </w:r>
      <w:r>
        <w:rPr>
          <w:rFonts w:hint="eastAsia" w:ascii="宋体" w:hAnsi="宋体" w:cs="宋体"/>
          <w:color w:val="000000"/>
          <w:kern w:val="0"/>
          <w:sz w:val="24"/>
          <w:szCs w:val="21"/>
          <w:highlight w:val="none"/>
          <w:lang w:val="en-US" w:eastAsia="zh-CN" w:bidi="ar-SA"/>
        </w:rPr>
        <w:t>YC23314001（CGQ）011</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项目名称：石城测绘技术服务项目</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采购方式：竞争性谈判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预算金额：</w:t>
      </w:r>
      <w:r>
        <w:rPr>
          <w:rFonts w:hint="eastAsia" w:ascii="宋体" w:hAnsi="宋体" w:cs="宋体"/>
          <w:color w:val="000000"/>
          <w:kern w:val="0"/>
          <w:sz w:val="24"/>
          <w:szCs w:val="21"/>
          <w:highlight w:val="none"/>
          <w:lang w:val="en-US" w:eastAsia="zh-CN" w:bidi="ar-SA"/>
        </w:rPr>
        <w:t>200000.00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采购需求：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石城测绘技术服务项目</w:t>
      </w:r>
      <w:r>
        <w:rPr>
          <w:rFonts w:hint="eastAsia" w:ascii="宋体" w:hAnsi="宋体" w:eastAsia="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合同包预算金额：</w:t>
      </w:r>
      <w:r>
        <w:rPr>
          <w:rFonts w:hint="eastAsia" w:ascii="宋体" w:hAnsi="宋体" w:cs="宋体"/>
          <w:color w:val="000000"/>
          <w:kern w:val="0"/>
          <w:sz w:val="24"/>
          <w:szCs w:val="21"/>
          <w:highlight w:val="none"/>
          <w:lang w:val="en-US" w:eastAsia="zh-CN" w:bidi="ar-SA"/>
        </w:rPr>
        <w:t>200000.00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合同包最高限价：</w:t>
      </w:r>
      <w:r>
        <w:rPr>
          <w:rFonts w:hint="eastAsia" w:ascii="宋体" w:hAnsi="宋体" w:cs="宋体"/>
          <w:color w:val="000000"/>
          <w:kern w:val="0"/>
          <w:sz w:val="24"/>
          <w:szCs w:val="21"/>
          <w:highlight w:val="none"/>
          <w:lang w:val="en-US" w:eastAsia="zh-CN" w:bidi="ar-SA"/>
        </w:rPr>
        <w:t>200000.00</w:t>
      </w:r>
      <w:r>
        <w:rPr>
          <w:rFonts w:hint="eastAsia" w:ascii="宋体" w:hAnsi="宋体" w:eastAsia="宋体" w:cs="宋体"/>
          <w:color w:val="000000"/>
          <w:kern w:val="0"/>
          <w:sz w:val="24"/>
          <w:szCs w:val="21"/>
          <w:highlight w:val="none"/>
          <w:lang w:val="en-US" w:eastAsia="zh-CN" w:bidi="ar-SA"/>
        </w:rPr>
        <w:t>元</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2"/>
        <w:gridCol w:w="1787"/>
        <w:gridCol w:w="3041"/>
        <w:gridCol w:w="720"/>
        <w:gridCol w:w="1271"/>
        <w:gridCol w:w="1320"/>
        <w:gridCol w:w="1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45" w:hRule="atLeast"/>
          <w:tblHeader/>
        </w:trPr>
        <w:tc>
          <w:tcPr>
            <w:tcW w:w="3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品目号</w:t>
            </w:r>
          </w:p>
        </w:tc>
        <w:tc>
          <w:tcPr>
            <w:tcW w:w="9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品目名称</w:t>
            </w:r>
          </w:p>
        </w:tc>
        <w:tc>
          <w:tcPr>
            <w:tcW w:w="15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采购标的</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数量（单位）</w:t>
            </w:r>
          </w:p>
        </w:tc>
        <w:tc>
          <w:tcPr>
            <w:tcW w:w="68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技术规格、参数及要求</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品目预算(元)</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w:t>
            </w:r>
          </w:p>
        </w:tc>
        <w:tc>
          <w:tcPr>
            <w:tcW w:w="9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文物和文化保护服务</w:t>
            </w:r>
          </w:p>
        </w:tc>
        <w:tc>
          <w:tcPr>
            <w:tcW w:w="15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石城测绘技术服务项目</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1(项)</w:t>
            </w:r>
          </w:p>
        </w:tc>
        <w:tc>
          <w:tcPr>
            <w:tcW w:w="68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详见采购文件</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200000.00</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200000.00</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本合同包不接受联合体投标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合同履行期限：合同签订后</w:t>
      </w:r>
      <w:r>
        <w:rPr>
          <w:rFonts w:hint="eastAsia" w:ascii="宋体" w:hAnsi="宋体" w:cs="宋体"/>
          <w:color w:val="000000"/>
          <w:kern w:val="0"/>
          <w:sz w:val="24"/>
          <w:szCs w:val="21"/>
          <w:highlight w:val="none"/>
          <w:lang w:val="en-US" w:eastAsia="zh-CN" w:bidi="ar-SA"/>
        </w:rPr>
        <w:t>30</w:t>
      </w:r>
      <w:r>
        <w:rPr>
          <w:rFonts w:hint="eastAsia" w:ascii="宋体" w:hAnsi="宋体" w:eastAsia="宋体" w:cs="宋体"/>
          <w:color w:val="000000"/>
          <w:kern w:val="0"/>
          <w:sz w:val="24"/>
          <w:szCs w:val="21"/>
          <w:highlight w:val="none"/>
          <w:lang w:val="en-US" w:eastAsia="zh-CN" w:bidi="ar-SA"/>
        </w:rPr>
        <w:t>日内完工（具体服务起止日期可随合同签订时间相应顺延）</w:t>
      </w:r>
      <w:r>
        <w:rPr>
          <w:rFonts w:hint="eastAsia" w:ascii="宋体" w:hAnsi="宋体" w:cs="宋体"/>
          <w:color w:val="000000"/>
          <w:kern w:val="0"/>
          <w:sz w:val="24"/>
          <w:szCs w:val="21"/>
          <w:highlight w:val="none"/>
          <w:lang w:val="en-US" w:eastAsia="zh-CN" w:bidi="ar-SA"/>
        </w:rPr>
        <w:t>。</w:t>
      </w:r>
    </w:p>
    <w:p>
      <w:pPr>
        <w:pStyle w:val="3"/>
        <w:bidi w:val="0"/>
        <w:spacing w:before="0" w:beforeAutospacing="0" w:after="0" w:afterAutospacing="0"/>
        <w:rPr>
          <w:rFonts w:hint="eastAsia"/>
          <w:highlight w:val="none"/>
          <w:lang w:val="en-US" w:eastAsia="zh-CN"/>
        </w:rPr>
      </w:pPr>
      <w:bookmarkStart w:id="10" w:name="_Toc27675"/>
      <w:r>
        <w:rPr>
          <w:rFonts w:hint="eastAsia"/>
          <w:highlight w:val="none"/>
          <w:lang w:val="en-US" w:eastAsia="zh-CN"/>
        </w:rPr>
        <w:t>二、申请人的资格要求：</w:t>
      </w:r>
      <w:bookmarkEnd w:id="10"/>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1.满足《中华人民共和国政府采购法》第二十二条规定</w:t>
      </w:r>
      <w:r>
        <w:rPr>
          <w:rFonts w:hint="eastAsia" w:ascii="宋体" w:hAnsi="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2.落实政府采购政策需满足的资格要求：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石城测绘技术服务项目</w:t>
      </w:r>
      <w:r>
        <w:rPr>
          <w:rFonts w:hint="eastAsia" w:ascii="宋体" w:hAnsi="宋体" w:eastAsia="宋体" w:cs="宋体"/>
          <w:color w:val="000000"/>
          <w:kern w:val="0"/>
          <w:sz w:val="24"/>
          <w:szCs w:val="21"/>
          <w:highlight w:val="none"/>
          <w:lang w:val="en-US" w:eastAsia="zh-CN" w:bidi="ar-SA"/>
        </w:rPr>
        <w:t>)落实政府采购政策需满足的资格要求如下: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《政府采购促进中小企业发展管理办法》的通知--财库〔2020〕46号；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w:t>
      </w:r>
      <w:r>
        <w:rPr>
          <w:rFonts w:hint="eastAsia" w:ascii="宋体" w:hAnsi="宋体" w:eastAsia="宋体" w:cs="宋体"/>
          <w:color w:val="000000"/>
          <w:kern w:val="0"/>
          <w:sz w:val="24"/>
          <w:szCs w:val="21"/>
          <w:highlight w:val="none"/>
          <w:lang w:val="en-US" w:eastAsia="zh-CN" w:bidi="ar-SA"/>
        </w:rPr>
        <w:t>《财政部司法部关于政府采购支持监狱企业发展有关问题的通知》（财库〔2014〕68号）；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《国务院办公厅关于建立政府强制采购节能产品制度的通知》（国办发〔2007〕51号）；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4、</w:t>
      </w:r>
      <w:r>
        <w:rPr>
          <w:rFonts w:hint="eastAsia" w:ascii="宋体" w:hAnsi="宋体" w:eastAsia="宋体" w:cs="宋体"/>
          <w:color w:val="000000"/>
          <w:kern w:val="0"/>
          <w:sz w:val="24"/>
          <w:szCs w:val="21"/>
          <w:highlight w:val="none"/>
          <w:lang w:val="en-US" w:eastAsia="zh-CN" w:bidi="ar-SA"/>
        </w:rPr>
        <w:t>根据《陕西省财政厅关于进一步加大政府采购支持中小企业力度的通知》（陕财办采〔2022〕5号）；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《榆林市财政局关于进一步加大政府采购支持中小企业力度的通知》（榆政财采发〔2022〕10号）；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《陕西省财政厅关于印发《陕西省中小企业政府采购信用融资办法》（陕财办采〔2018〕23号）；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7、</w:t>
      </w:r>
      <w:r>
        <w:rPr>
          <w:rFonts w:hint="eastAsia" w:ascii="宋体" w:hAnsi="宋体" w:eastAsia="宋体" w:cs="宋体"/>
          <w:color w:val="000000"/>
          <w:kern w:val="0"/>
          <w:sz w:val="24"/>
          <w:szCs w:val="21"/>
          <w:highlight w:val="none"/>
          <w:lang w:val="en-US" w:eastAsia="zh-CN" w:bidi="ar-SA"/>
        </w:rPr>
        <w:t>《财政部民政部中国残疾人联合会关于促进残疾人就业政府采购政策的通知》（财库〔2017〕141号）；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《关于在政府采购活动中查询及使用信用记录有关问题的通知》（财库〔2016〕125号；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《节能产品政府采购实施意见》（财库[2004]185号）；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《环境标志产品政府采购实施的意见》（财库[2006]90号）；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陕西省财政厅关于进一步优化政府采购营商环境有关事项的通知-陕财办采〔2023〕4号；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13、</w:t>
      </w:r>
      <w:r>
        <w:rPr>
          <w:rFonts w:hint="eastAsia" w:ascii="宋体" w:hAnsi="宋体" w:eastAsia="宋体" w:cs="宋体"/>
          <w:color w:val="000000"/>
          <w:kern w:val="0"/>
          <w:sz w:val="24"/>
          <w:szCs w:val="21"/>
          <w:highlight w:val="none"/>
          <w:lang w:val="en-US" w:eastAsia="zh-CN" w:bidi="ar-SA"/>
        </w:rPr>
        <w:t>其他需要落实的政府采购政策。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3.本项目的特定资格要求：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石城测绘技术服务项目</w:t>
      </w:r>
      <w:r>
        <w:rPr>
          <w:rFonts w:hint="eastAsia" w:ascii="宋体" w:hAnsi="宋体" w:eastAsia="宋体" w:cs="宋体"/>
          <w:color w:val="000000"/>
          <w:kern w:val="0"/>
          <w:sz w:val="24"/>
          <w:szCs w:val="21"/>
          <w:highlight w:val="none"/>
          <w:lang w:val="en-US" w:eastAsia="zh-CN" w:bidi="ar-SA"/>
        </w:rPr>
        <w:t>)特定资格要求如下: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2、供应商须具备国家测绘行政主管部门颁发的测绘乙级及以上测绘资质（包含测绘航空摄影和地理信息系统工程）；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11、本项目不专门面向中小企业采购。</w:t>
      </w:r>
    </w:p>
    <w:p>
      <w:pPr>
        <w:pStyle w:val="3"/>
        <w:bidi w:val="0"/>
        <w:spacing w:before="0" w:beforeAutospacing="0" w:after="0" w:afterAutospacing="0"/>
        <w:rPr>
          <w:rFonts w:hint="eastAsia"/>
          <w:highlight w:val="none"/>
          <w:lang w:val="en-US" w:eastAsia="zh-CN"/>
        </w:rPr>
      </w:pPr>
      <w:bookmarkStart w:id="11" w:name="_Toc2415"/>
      <w:r>
        <w:rPr>
          <w:rFonts w:hint="eastAsia"/>
          <w:highlight w:val="none"/>
          <w:lang w:val="en-US" w:eastAsia="zh-CN"/>
        </w:rPr>
        <w:t>三、获取采购文件</w:t>
      </w:r>
      <w:bookmarkEnd w:id="11"/>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日至2023年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日，每天上午09:00:00至11:30:00，下午14:30:00至17:00:00（北京时间）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途径：榆林市榆阳区肤施路南段环馨路5号金轩楼2楼201室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方式：现场获取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售价：0元</w:t>
      </w:r>
    </w:p>
    <w:p>
      <w:pPr>
        <w:pStyle w:val="3"/>
        <w:bidi w:val="0"/>
        <w:spacing w:before="0" w:beforeAutospacing="0" w:after="0" w:afterAutospacing="0"/>
        <w:rPr>
          <w:rFonts w:hint="eastAsia"/>
          <w:highlight w:val="none"/>
          <w:lang w:val="en-US" w:eastAsia="zh-CN"/>
        </w:rPr>
      </w:pPr>
      <w:bookmarkStart w:id="12" w:name="_Toc31190"/>
      <w:r>
        <w:rPr>
          <w:rFonts w:hint="eastAsia"/>
          <w:highlight w:val="none"/>
          <w:lang w:val="en-US" w:eastAsia="zh-CN"/>
        </w:rPr>
        <w:t>四、响应文件提交</w:t>
      </w:r>
      <w:bookmarkEnd w:id="12"/>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截止时间：2023年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14</w:t>
      </w:r>
      <w:r>
        <w:rPr>
          <w:rFonts w:hint="eastAsia" w:ascii="宋体" w:hAnsi="宋体" w:eastAsia="宋体" w:cs="宋体"/>
          <w:color w:val="000000"/>
          <w:kern w:val="0"/>
          <w:sz w:val="24"/>
          <w:szCs w:val="21"/>
          <w:highlight w:val="none"/>
          <w:lang w:val="en-US" w:eastAsia="zh-CN" w:bidi="ar-SA"/>
        </w:rPr>
        <w:t>时00分00秒（北京时间）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w:t>
      </w:r>
      <w:r>
        <w:rPr>
          <w:rFonts w:hint="eastAsia" w:ascii="宋体" w:hAnsi="宋体" w:cs="宋体"/>
          <w:color w:val="000000"/>
          <w:kern w:val="0"/>
          <w:sz w:val="24"/>
          <w:szCs w:val="21"/>
          <w:highlight w:val="none"/>
          <w:lang w:val="en-US" w:eastAsia="zh-CN" w:bidi="ar-SA"/>
        </w:rPr>
        <w:t>榆林市榆阳区肤施路南段环馨路5号金轩楼2楼201室</w:t>
      </w:r>
    </w:p>
    <w:p>
      <w:pPr>
        <w:pStyle w:val="3"/>
        <w:bidi w:val="0"/>
        <w:spacing w:before="0" w:beforeAutospacing="0" w:after="0" w:afterAutospacing="0"/>
        <w:rPr>
          <w:rFonts w:hint="eastAsia"/>
          <w:highlight w:val="none"/>
          <w:lang w:val="en-US" w:eastAsia="zh-CN"/>
        </w:rPr>
      </w:pPr>
      <w:bookmarkStart w:id="13" w:name="_Toc14379"/>
      <w:r>
        <w:rPr>
          <w:rFonts w:hint="eastAsia"/>
          <w:highlight w:val="none"/>
          <w:lang w:val="en-US" w:eastAsia="zh-CN"/>
        </w:rPr>
        <w:t>五、开启</w:t>
      </w:r>
      <w:bookmarkEnd w:id="13"/>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14</w:t>
      </w:r>
      <w:r>
        <w:rPr>
          <w:rFonts w:hint="eastAsia" w:ascii="宋体" w:hAnsi="宋体" w:eastAsia="宋体" w:cs="宋体"/>
          <w:color w:val="000000"/>
          <w:kern w:val="0"/>
          <w:sz w:val="24"/>
          <w:szCs w:val="21"/>
          <w:highlight w:val="none"/>
          <w:lang w:val="en-US" w:eastAsia="zh-CN" w:bidi="ar-SA"/>
        </w:rPr>
        <w:t>时00分00秒（北京时间）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w:t>
      </w:r>
      <w:r>
        <w:rPr>
          <w:rFonts w:hint="eastAsia" w:ascii="宋体" w:hAnsi="宋体" w:cs="宋体"/>
          <w:color w:val="000000"/>
          <w:kern w:val="0"/>
          <w:sz w:val="24"/>
          <w:szCs w:val="21"/>
          <w:highlight w:val="none"/>
          <w:lang w:val="en-US" w:eastAsia="zh-CN" w:bidi="ar-SA"/>
        </w:rPr>
        <w:t>榆林市榆阳区肤施路南段环馨路5号金轩楼2楼201室</w:t>
      </w:r>
    </w:p>
    <w:p>
      <w:pPr>
        <w:pStyle w:val="3"/>
        <w:bidi w:val="0"/>
        <w:spacing w:before="0" w:beforeAutospacing="0" w:after="0" w:afterAutospacing="0"/>
        <w:rPr>
          <w:rFonts w:hint="eastAsia"/>
          <w:highlight w:val="none"/>
          <w:lang w:val="en-US" w:eastAsia="zh-CN"/>
        </w:rPr>
      </w:pPr>
      <w:bookmarkStart w:id="14" w:name="_Toc21633"/>
      <w:r>
        <w:rPr>
          <w:rFonts w:hint="eastAsia"/>
          <w:highlight w:val="none"/>
          <w:lang w:val="en-US" w:eastAsia="zh-CN"/>
        </w:rPr>
        <w:t>六、公告期限</w:t>
      </w:r>
      <w:bookmarkEnd w:id="14"/>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自本公告发布之日起3个工作日。</w:t>
      </w:r>
    </w:p>
    <w:p>
      <w:pPr>
        <w:pStyle w:val="3"/>
        <w:bidi w:val="0"/>
        <w:spacing w:before="0" w:beforeAutospacing="0" w:after="0" w:afterAutospacing="0"/>
        <w:rPr>
          <w:rFonts w:hint="eastAsia"/>
          <w:highlight w:val="none"/>
          <w:lang w:val="en-US" w:eastAsia="zh-CN"/>
        </w:rPr>
      </w:pPr>
      <w:bookmarkStart w:id="15" w:name="_Toc10158"/>
      <w:r>
        <w:rPr>
          <w:rFonts w:hint="eastAsia"/>
          <w:highlight w:val="none"/>
          <w:lang w:val="en-US" w:eastAsia="zh-CN"/>
        </w:rPr>
        <w:t>七、其他补充事宜</w:t>
      </w:r>
      <w:bookmarkEnd w:id="15"/>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注：报名以现场报名和网上报名两种方式为准，二者缺一不可。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1.平台报名：</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未办理陕西省公共资源交易中心CA锁的可到榆林市市民大厦3楼E18、E19窗口办理，咨询电话0912-3452148（陕西CA联系电话），报名成功与否以平台确认信息为准。报名程序：登录陕西省公共资源交易中心，进入电子交易平台，点击政府采购交易系统企业端CA锁登录，点击交易乙方，查询报名。报名已现场报名和网上报名为准，二者缺一不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2.请供应商按照陕西省财政厅关于政府采购供应商注册登记有关事项的通知中的要求，通过陕西省政府采购网（http://www.ccgp-shaanxi.gov.cn/）注册登记加入陕西省政府采购供应商库，并接受财政部门监督管理；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现场报名：即日起请携带单位介绍信原件、经办人身份证原件加盖单位公章的复印件、有效的陕西省公共资源交易平台投标回执单加盖单位公章，在亿诚建设项目管理有限公司（地址：榆林市榆阳区肤施路南段环馨路5号金轩楼2楼201室）获取竞争性谈判文件，谢绝邮寄。竞争性谈判文件获取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日09时起至2023年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日17时）内每天上午09:00-11:30,下午14：30-17：00（北京时间、下同；节假日除外）。</w:t>
      </w:r>
    </w:p>
    <w:p>
      <w:pPr>
        <w:pStyle w:val="3"/>
        <w:bidi w:val="0"/>
        <w:spacing w:before="0" w:beforeAutospacing="0" w:after="0" w:afterAutospacing="0"/>
        <w:rPr>
          <w:rFonts w:hint="eastAsia"/>
          <w:highlight w:val="none"/>
          <w:lang w:val="en-US" w:eastAsia="zh-CN"/>
        </w:rPr>
      </w:pPr>
      <w:bookmarkStart w:id="16" w:name="_Toc27402"/>
      <w:r>
        <w:rPr>
          <w:rFonts w:hint="eastAsia"/>
          <w:highlight w:val="none"/>
          <w:lang w:val="en-US" w:eastAsia="zh-CN"/>
        </w:rPr>
        <w:t>八、对本次招标提出询问，请按以下方式联系。</w:t>
      </w:r>
      <w:bookmarkEnd w:id="16"/>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1.采购人信息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名称：榆林市文物考古勘探工作队</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地址：榆林市榆阳区通达路高科城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w:t>
      </w:r>
      <w:r>
        <w:rPr>
          <w:rFonts w:hint="eastAsia" w:ascii="宋体" w:hAnsi="宋体" w:cs="宋体"/>
          <w:color w:val="000000"/>
          <w:kern w:val="0"/>
          <w:sz w:val="24"/>
          <w:szCs w:val="21"/>
          <w:highlight w:val="none"/>
          <w:lang w:val="en-US" w:eastAsia="zh-CN" w:bidi="ar-SA"/>
        </w:rPr>
        <w:t>15719128383</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2.采购代理机构信息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名称：亿诚建设项目管理有限公司</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w:t>
      </w:r>
      <w:r>
        <w:rPr>
          <w:rFonts w:hint="eastAsia" w:ascii="宋体" w:hAnsi="宋体" w:cs="宋体"/>
          <w:color w:val="000000"/>
          <w:kern w:val="0"/>
          <w:sz w:val="24"/>
          <w:szCs w:val="21"/>
          <w:highlight w:val="none"/>
          <w:lang w:val="en-US" w:eastAsia="zh-CN" w:bidi="ar-SA"/>
        </w:rPr>
        <w:t>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联系方式：18992274597</w:t>
      </w:r>
      <w:r>
        <w:rPr>
          <w:rFonts w:hint="eastAsia" w:ascii="宋体" w:hAnsi="宋体" w:cs="宋体"/>
          <w:color w:val="000000"/>
          <w:kern w:val="0"/>
          <w:sz w:val="24"/>
          <w:szCs w:val="21"/>
          <w:highlight w:val="none"/>
          <w:lang w:val="en-US" w:eastAsia="zh-CN" w:bidi="ar-SA"/>
        </w:rPr>
        <w:t>/15891296630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3.项目联系方式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项目联系人：任涛</w:t>
      </w:r>
      <w:r>
        <w:rPr>
          <w:rFonts w:hint="eastAsia" w:ascii="宋体" w:hAnsi="宋体" w:cs="宋体"/>
          <w:color w:val="000000"/>
          <w:kern w:val="0"/>
          <w:sz w:val="24"/>
          <w:szCs w:val="21"/>
          <w:highlight w:val="none"/>
          <w:lang w:val="en-US" w:eastAsia="zh-CN" w:bidi="ar-SA"/>
        </w:rPr>
        <w:t>/苗娇艳</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电话：18992274597</w:t>
      </w:r>
      <w:r>
        <w:rPr>
          <w:rFonts w:hint="eastAsia" w:ascii="宋体" w:hAnsi="宋体" w:cs="宋体"/>
          <w:color w:val="000000"/>
          <w:kern w:val="0"/>
          <w:sz w:val="24"/>
          <w:szCs w:val="21"/>
          <w:highlight w:val="none"/>
          <w:lang w:val="en-US" w:eastAsia="zh-CN" w:bidi="ar-SA"/>
        </w:rPr>
        <w:t>/15891296630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亿诚建设项目管理有限公司</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2"/>
        <w:spacing w:before="0" w:after="0" w:line="360" w:lineRule="auto"/>
        <w:jc w:val="center"/>
        <w:rPr>
          <w:rFonts w:hint="eastAsia" w:ascii="宋体" w:hAnsi="宋体" w:cs="宋体"/>
          <w:sz w:val="32"/>
          <w:szCs w:val="16"/>
          <w:highlight w:val="none"/>
        </w:rPr>
      </w:pPr>
      <w:bookmarkStart w:id="17" w:name="_Toc2556"/>
      <w:r>
        <w:rPr>
          <w:rFonts w:hint="eastAsia" w:ascii="宋体" w:hAnsi="宋体" w:cs="宋体"/>
          <w:sz w:val="32"/>
          <w:szCs w:val="16"/>
          <w:highlight w:val="none"/>
        </w:rPr>
        <w:t>第</w:t>
      </w:r>
      <w:r>
        <w:rPr>
          <w:rFonts w:hint="eastAsia" w:ascii="宋体" w:hAnsi="宋体" w:cs="宋体"/>
          <w:sz w:val="32"/>
          <w:szCs w:val="16"/>
          <w:highlight w:val="none"/>
          <w:lang w:eastAsia="zh-CN"/>
        </w:rPr>
        <w:t>二</w:t>
      </w:r>
      <w:r>
        <w:rPr>
          <w:rFonts w:hint="eastAsia" w:ascii="宋体" w:hAnsi="宋体" w:cs="宋体"/>
          <w:sz w:val="32"/>
          <w:szCs w:val="16"/>
          <w:highlight w:val="none"/>
        </w:rPr>
        <w:t>部分 供应商须知前附表</w:t>
      </w:r>
      <w:bookmarkEnd w:id="5"/>
      <w:bookmarkEnd w:id="6"/>
      <w:bookmarkEnd w:id="7"/>
      <w:bookmarkEnd w:id="8"/>
      <w:bookmarkEnd w:id="17"/>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4" w:type="dxa"/>
            <w:noWrap w:val="0"/>
            <w:vAlign w:val="center"/>
          </w:tcPr>
          <w:p>
            <w:pPr>
              <w:spacing w:line="360" w:lineRule="auto"/>
              <w:jc w:val="left"/>
              <w:rPr>
                <w:rFonts w:hint="eastAsia" w:ascii="宋体" w:hAnsi="宋体" w:cs="宋体"/>
                <w:b/>
                <w:sz w:val="24"/>
                <w:highlight w:val="none"/>
              </w:rPr>
            </w:pPr>
            <w:r>
              <w:rPr>
                <w:rFonts w:hint="eastAsia" w:ascii="宋体" w:hAnsi="宋体" w:cs="宋体"/>
                <w:b/>
                <w:sz w:val="24"/>
                <w:highlight w:val="none"/>
              </w:rPr>
              <w:t>序号</w:t>
            </w:r>
          </w:p>
        </w:tc>
        <w:tc>
          <w:tcPr>
            <w:tcW w:w="9175" w:type="dxa"/>
            <w:noWrap w:val="0"/>
            <w:vAlign w:val="center"/>
          </w:tcPr>
          <w:p>
            <w:pPr>
              <w:spacing w:line="360" w:lineRule="auto"/>
              <w:ind w:firstLine="482" w:firstLineChars="200"/>
              <w:jc w:val="center"/>
              <w:rPr>
                <w:rFonts w:hint="eastAsia" w:ascii="宋体" w:hAnsi="宋体" w:cs="宋体"/>
                <w:b/>
                <w:sz w:val="24"/>
                <w:highlight w:val="none"/>
              </w:rPr>
            </w:pPr>
            <w:r>
              <w:rPr>
                <w:rFonts w:hint="eastAsia" w:ascii="宋体" w:hAnsi="宋体" w:cs="宋体"/>
                <w:b/>
                <w:sz w:val="24"/>
                <w:highlight w:val="none"/>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9175" w:type="dxa"/>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采购项目名称：</w:t>
            </w:r>
            <w:r>
              <w:rPr>
                <w:rFonts w:hint="eastAsia" w:ascii="宋体" w:hAnsi="宋体" w:cs="宋体"/>
                <w:sz w:val="24"/>
                <w:highlight w:val="none"/>
                <w:lang w:eastAsia="zh-CN"/>
              </w:rPr>
              <w:t>石城测绘技术服务项目</w:t>
            </w:r>
          </w:p>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采购项目编号：</w:t>
            </w:r>
            <w:r>
              <w:rPr>
                <w:rFonts w:hint="eastAsia" w:ascii="宋体" w:hAnsi="宋体" w:cs="宋体"/>
                <w:sz w:val="24"/>
                <w:highlight w:val="none"/>
                <w:lang w:val="en-US" w:eastAsia="zh-CN"/>
              </w:rPr>
              <w:t>YC23314001（CGQ）011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项目性质：财政拨款</w:t>
            </w:r>
          </w:p>
          <w:p>
            <w:pPr>
              <w:spacing w:line="360" w:lineRule="auto"/>
              <w:rPr>
                <w:rFonts w:hint="eastAsia" w:ascii="宋体" w:hAnsi="宋体" w:cs="宋体"/>
                <w:sz w:val="24"/>
                <w:highlight w:val="none"/>
              </w:rPr>
            </w:pPr>
            <w:r>
              <w:rPr>
                <w:rFonts w:hint="eastAsia" w:ascii="宋体" w:hAnsi="宋体" w:cs="宋体"/>
                <w:sz w:val="24"/>
                <w:highlight w:val="none"/>
              </w:rPr>
              <w:t>本项目采购预算：</w:t>
            </w:r>
            <w:r>
              <w:rPr>
                <w:rFonts w:hint="eastAsia" w:ascii="宋体" w:hAnsi="宋体" w:cs="宋体"/>
                <w:sz w:val="24"/>
                <w:highlight w:val="none"/>
                <w:lang w:val="en-US" w:eastAsia="zh-CN"/>
              </w:rPr>
              <w:t>200000.00</w:t>
            </w:r>
            <w:r>
              <w:rPr>
                <w:rFonts w:hint="eastAsia" w:ascii="宋体" w:hAnsi="宋体" w:cs="宋体"/>
                <w:sz w:val="24"/>
                <w:highlight w:val="none"/>
              </w:rPr>
              <w:t>元</w:t>
            </w:r>
          </w:p>
          <w:p>
            <w:pPr>
              <w:spacing w:line="360" w:lineRule="auto"/>
              <w:rPr>
                <w:rFonts w:hint="eastAsia" w:ascii="宋体" w:hAnsi="宋体" w:cs="宋体"/>
                <w:color w:val="000000"/>
                <w:kern w:val="0"/>
                <w:sz w:val="24"/>
                <w:highlight w:val="none"/>
              </w:rPr>
            </w:pPr>
            <w:r>
              <w:rPr>
                <w:rFonts w:hint="eastAsia" w:ascii="宋体" w:hAnsi="宋体" w:cs="宋体"/>
                <w:sz w:val="24"/>
                <w:highlight w:val="none"/>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9175" w:type="dxa"/>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采购人：</w:t>
            </w:r>
            <w:r>
              <w:rPr>
                <w:rFonts w:hint="eastAsia" w:ascii="宋体" w:hAnsi="宋体" w:cs="宋体"/>
                <w:sz w:val="24"/>
                <w:highlight w:val="none"/>
                <w:lang w:eastAsia="zh-CN"/>
              </w:rPr>
              <w:t>榆林市文物考古勘探工作队</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采购代理机构：</w:t>
            </w:r>
            <w:r>
              <w:rPr>
                <w:rFonts w:hint="eastAsia" w:ascii="宋体" w:hAnsi="宋体" w:cs="宋体"/>
                <w:color w:val="000000"/>
                <w:kern w:val="0"/>
                <w:sz w:val="24"/>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采购内容具体见竞争性谈判文件第</w:t>
            </w:r>
            <w:r>
              <w:rPr>
                <w:rFonts w:hint="eastAsia" w:ascii="宋体" w:hAnsi="宋体" w:cs="宋体"/>
                <w:sz w:val="24"/>
                <w:highlight w:val="none"/>
                <w:lang w:val="en-US" w:eastAsia="zh-CN"/>
              </w:rPr>
              <w:t>六</w:t>
            </w:r>
            <w:r>
              <w:rPr>
                <w:rFonts w:hint="eastAsia" w:ascii="宋体" w:hAnsi="宋体" w:cs="宋体"/>
                <w:sz w:val="24"/>
                <w:highlight w:val="none"/>
              </w:rPr>
              <w:t>部分采购内容及技术需求</w:t>
            </w:r>
          </w:p>
          <w:p>
            <w:pPr>
              <w:spacing w:line="360" w:lineRule="auto"/>
              <w:rPr>
                <w:rFonts w:hint="eastAsia" w:ascii="宋体" w:hAnsi="宋体" w:cs="宋体"/>
                <w:sz w:val="24"/>
                <w:highlight w:val="none"/>
              </w:rPr>
            </w:pPr>
            <w:r>
              <w:rPr>
                <w:rFonts w:hint="eastAsia" w:ascii="宋体" w:hAnsi="宋体" w:cs="宋体"/>
                <w:sz w:val="24"/>
                <w:highlight w:val="none"/>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竞争性谈判响应文件截止时间及开标时间和地点：</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竞争性谈判响应文件截止时间：202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10</w:t>
            </w:r>
            <w:r>
              <w:rPr>
                <w:rFonts w:hint="eastAsia" w:ascii="宋体" w:hAnsi="宋体" w:cs="宋体"/>
                <w:sz w:val="24"/>
                <w:highlight w:val="none"/>
              </w:rPr>
              <w:t>-</w:t>
            </w:r>
            <w:r>
              <w:rPr>
                <w:rFonts w:hint="eastAsia" w:ascii="宋体" w:hAnsi="宋体" w:cs="宋体"/>
                <w:sz w:val="24"/>
                <w:highlight w:val="none"/>
                <w:lang w:val="en-US" w:eastAsia="zh-CN"/>
              </w:rPr>
              <w:t>12</w:t>
            </w:r>
            <w:r>
              <w:rPr>
                <w:rFonts w:hint="eastAsia" w:ascii="宋体" w:hAnsi="宋体" w:cs="宋体"/>
                <w:sz w:val="24"/>
                <w:highlight w:val="none"/>
              </w:rPr>
              <w:t xml:space="preserve">   </w:t>
            </w:r>
            <w:r>
              <w:rPr>
                <w:rFonts w:hint="eastAsia" w:ascii="宋体" w:hAnsi="宋体" w:cs="宋体"/>
                <w:sz w:val="24"/>
                <w:highlight w:val="none"/>
                <w:lang w:val="en-US" w:eastAsia="zh-CN"/>
              </w:rPr>
              <w:t>14</w:t>
            </w:r>
            <w:r>
              <w:rPr>
                <w:rFonts w:hint="eastAsia" w:ascii="宋体" w:hAnsi="宋体" w:cs="宋体"/>
                <w:sz w:val="24"/>
                <w:highlight w:val="none"/>
              </w:rPr>
              <w:t>：</w:t>
            </w:r>
            <w:r>
              <w:rPr>
                <w:rFonts w:hint="eastAsia" w:ascii="宋体" w:hAnsi="宋体" w:cs="宋体"/>
                <w:sz w:val="24"/>
                <w:highlight w:val="none"/>
                <w:lang w:val="en-US" w:eastAsia="zh-CN"/>
              </w:rPr>
              <w:t>0</w:t>
            </w:r>
            <w:r>
              <w:rPr>
                <w:rFonts w:hint="eastAsia" w:ascii="宋体" w:hAnsi="宋体" w:cs="宋体"/>
                <w:sz w:val="24"/>
                <w:highlight w:val="none"/>
              </w:rPr>
              <w:t>0</w:t>
            </w:r>
            <w:r>
              <w:rPr>
                <w:rFonts w:hint="eastAsia" w:ascii="宋体" w:hAnsi="宋体" w:cs="宋体"/>
                <w:sz w:val="24"/>
                <w:highlight w:val="none"/>
                <w:lang w:eastAsia="zh-CN"/>
              </w:rPr>
              <w:t>；</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开标时间：202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10</w:t>
            </w:r>
            <w:r>
              <w:rPr>
                <w:rFonts w:hint="eastAsia" w:ascii="宋体" w:hAnsi="宋体" w:cs="宋体"/>
                <w:sz w:val="24"/>
                <w:highlight w:val="none"/>
              </w:rPr>
              <w:t>-</w:t>
            </w:r>
            <w:r>
              <w:rPr>
                <w:rFonts w:hint="eastAsia" w:ascii="宋体" w:hAnsi="宋体" w:cs="宋体"/>
                <w:sz w:val="24"/>
                <w:highlight w:val="none"/>
                <w:lang w:val="en-US" w:eastAsia="zh-CN"/>
              </w:rPr>
              <w:t>12</w:t>
            </w:r>
            <w:r>
              <w:rPr>
                <w:rFonts w:hint="eastAsia" w:ascii="宋体" w:hAnsi="宋体" w:cs="宋体"/>
                <w:sz w:val="24"/>
                <w:highlight w:val="none"/>
              </w:rPr>
              <w:t xml:space="preserve">   </w:t>
            </w:r>
            <w:r>
              <w:rPr>
                <w:rFonts w:hint="eastAsia" w:ascii="宋体" w:hAnsi="宋体" w:cs="宋体"/>
                <w:sz w:val="24"/>
                <w:highlight w:val="none"/>
                <w:lang w:val="en-US" w:eastAsia="zh-CN"/>
              </w:rPr>
              <w:t>14</w:t>
            </w:r>
            <w:r>
              <w:rPr>
                <w:rFonts w:hint="eastAsia" w:ascii="宋体" w:hAnsi="宋体" w:cs="宋体"/>
                <w:sz w:val="24"/>
                <w:highlight w:val="none"/>
              </w:rPr>
              <w:t>：</w:t>
            </w:r>
            <w:r>
              <w:rPr>
                <w:rFonts w:hint="eastAsia" w:ascii="宋体" w:hAnsi="宋体" w:cs="宋体"/>
                <w:sz w:val="24"/>
                <w:highlight w:val="none"/>
                <w:lang w:val="en-US" w:eastAsia="zh-CN"/>
              </w:rPr>
              <w:t>0</w:t>
            </w:r>
            <w:r>
              <w:rPr>
                <w:rFonts w:hint="eastAsia" w:ascii="宋体" w:hAnsi="宋体" w:cs="宋体"/>
                <w:sz w:val="24"/>
                <w:highlight w:val="none"/>
              </w:rPr>
              <w:t>0</w:t>
            </w:r>
            <w:r>
              <w:rPr>
                <w:rFonts w:hint="eastAsia" w:ascii="宋体" w:hAnsi="宋体" w:cs="宋体"/>
                <w:sz w:val="24"/>
                <w:highlight w:val="none"/>
                <w:lang w:eastAsia="zh-CN"/>
              </w:rPr>
              <w:t>；</w:t>
            </w:r>
          </w:p>
          <w:p>
            <w:pPr>
              <w:spacing w:line="360" w:lineRule="auto"/>
              <w:rPr>
                <w:rFonts w:hint="eastAsia" w:ascii="宋体" w:hAnsi="宋体" w:cs="宋体"/>
                <w:sz w:val="24"/>
                <w:highlight w:val="none"/>
                <w:lang w:eastAsia="zh-CN"/>
              </w:rPr>
            </w:pPr>
            <w:r>
              <w:rPr>
                <w:rFonts w:hint="eastAsia" w:ascii="宋体" w:hAnsi="宋体" w:cs="宋体"/>
                <w:sz w:val="24"/>
                <w:highlight w:val="none"/>
              </w:rPr>
              <w:t>开标地点：</w:t>
            </w:r>
            <w:r>
              <w:rPr>
                <w:rFonts w:hint="eastAsia" w:ascii="宋体" w:hAnsi="宋体" w:cs="宋体"/>
                <w:sz w:val="24"/>
                <w:highlight w:val="none"/>
                <w:lang w:eastAsia="zh-CN"/>
              </w:rPr>
              <w:t>榆林市榆阳区肤施路南段环馨路5号金轩楼2楼201室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9175" w:type="dxa"/>
            <w:noWrap w:val="0"/>
            <w:vAlign w:val="center"/>
          </w:tcPr>
          <w:p>
            <w:pPr>
              <w:numPr>
                <w:ilvl w:val="0"/>
                <w:numId w:val="0"/>
              </w:numPr>
              <w:spacing w:line="360" w:lineRule="auto"/>
              <w:rPr>
                <w:rFonts w:hint="eastAsia" w:ascii="宋体" w:hAnsi="宋体" w:cs="宋体"/>
                <w:sz w:val="24"/>
                <w:highlight w:val="none"/>
              </w:rPr>
            </w:pPr>
            <w:r>
              <w:rPr>
                <w:rFonts w:hint="eastAsia" w:ascii="宋体" w:hAnsi="宋体" w:cs="宋体"/>
                <w:sz w:val="24"/>
                <w:highlight w:val="none"/>
                <w:lang w:val="en-US" w:eastAsia="zh-CN"/>
              </w:rPr>
              <w:t>服务期：合同签订后30日内完工（具体服务起止日期可随合同签订时间相应顺延）</w:t>
            </w:r>
            <w:r>
              <w:rPr>
                <w:rFonts w:hint="eastAsia" w:ascii="宋体" w:hAnsi="宋体" w:cs="宋体"/>
                <w:color w:val="auto"/>
                <w:sz w:val="24"/>
                <w:szCs w:val="24"/>
                <w:highlight w:val="none"/>
                <w:lang w:val="en-US" w:eastAsia="zh-CN"/>
              </w:rPr>
              <w:t>。</w:t>
            </w:r>
          </w:p>
          <w:p>
            <w:pPr>
              <w:spacing w:line="360" w:lineRule="auto"/>
              <w:rPr>
                <w:rFonts w:hint="default" w:ascii="宋体" w:hAnsi="宋体" w:cs="宋体"/>
                <w:sz w:val="24"/>
                <w:highlight w:val="none"/>
                <w:lang w:val="en-US" w:eastAsia="zh-CN"/>
              </w:rPr>
            </w:pPr>
            <w:r>
              <w:rPr>
                <w:rFonts w:hint="eastAsia" w:ascii="宋体" w:hAnsi="宋体" w:cs="宋体"/>
                <w:sz w:val="24"/>
                <w:highlight w:val="none"/>
              </w:rPr>
              <w:t>服务质量：</w:t>
            </w:r>
            <w:r>
              <w:rPr>
                <w:rFonts w:hint="eastAsia" w:ascii="宋体" w:hAnsi="宋体" w:cs="宋体"/>
                <w:sz w:val="24"/>
                <w:highlight w:val="none"/>
                <w:lang w:val="en-US" w:eastAsia="zh-CN"/>
              </w:rPr>
              <w:t>质量</w:t>
            </w:r>
            <w:r>
              <w:rPr>
                <w:rFonts w:hint="eastAsia" w:ascii="宋体" w:hAnsi="宋体" w:cs="宋体"/>
                <w:sz w:val="24"/>
                <w:highlight w:val="none"/>
              </w:rPr>
              <w:t>符合国家要求</w:t>
            </w:r>
            <w:r>
              <w:rPr>
                <w:rFonts w:hint="eastAsia" w:ascii="宋体" w:hAnsi="宋体" w:cs="宋体"/>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9175" w:type="dxa"/>
            <w:noWrap w:val="0"/>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eastAsia="zh-CN"/>
              </w:rPr>
              <w:t>榆林市文物考古勘探工作队</w:t>
            </w:r>
            <w:r>
              <w:rPr>
                <w:rFonts w:hint="eastAsia" w:ascii="宋体" w:hAnsi="宋体" w:cs="宋体"/>
                <w:color w:val="auto"/>
                <w:sz w:val="24"/>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付款方式：</w:t>
            </w:r>
            <w:r>
              <w:rPr>
                <w:rFonts w:hint="eastAsia" w:ascii="宋体" w:hAnsi="宋体" w:cs="宋体"/>
                <w:sz w:val="24"/>
                <w:highlight w:val="none"/>
                <w:lang w:val="en-US" w:eastAsia="zh-CN"/>
              </w:rPr>
              <w:t>合同约定</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谈判有效期：竞争性谈判响应文件从谈判之日起，谈判有效期为90日历天。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0</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竞争性谈判响应文件：正本壹份、</w:t>
            </w:r>
            <w:r>
              <w:rPr>
                <w:rFonts w:hint="eastAsia" w:ascii="宋体" w:hAnsi="宋体" w:cs="宋体"/>
                <w:sz w:val="24"/>
                <w:highlight w:val="none"/>
                <w:lang w:eastAsia="zh-CN"/>
              </w:rPr>
              <w:t>副本</w:t>
            </w:r>
            <w:r>
              <w:rPr>
                <w:rFonts w:hint="eastAsia" w:ascii="宋体" w:hAnsi="宋体" w:cs="宋体"/>
                <w:sz w:val="24"/>
                <w:highlight w:val="none"/>
                <w:lang w:val="en-US" w:eastAsia="zh-CN"/>
              </w:rPr>
              <w:t>叁</w:t>
            </w:r>
            <w:r>
              <w:rPr>
                <w:rFonts w:hint="eastAsia" w:ascii="宋体" w:hAnsi="宋体" w:cs="宋体"/>
                <w:sz w:val="24"/>
                <w:highlight w:val="none"/>
                <w:lang w:eastAsia="zh-CN"/>
              </w:rPr>
              <w:t>份</w:t>
            </w:r>
            <w:r>
              <w:rPr>
                <w:rFonts w:hint="eastAsia" w:ascii="宋体" w:hAnsi="宋体" w:cs="宋体"/>
                <w:sz w:val="24"/>
                <w:highlight w:val="none"/>
              </w:rPr>
              <w:t>、电子版U盘一份（Word版响应文件）、谈判报价表壹份及资格证明原件壹套。竞争性谈判响应文件正、副本须各自装订成册，统一编码（要求胶装、不得出现活页）。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1</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踏勘现场：</w:t>
            </w:r>
            <w:r>
              <w:rPr>
                <w:rFonts w:hint="eastAsia" w:ascii="宋体" w:hAnsi="宋体" w:cs="宋体"/>
                <w:sz w:val="24"/>
                <w:szCs w:val="24"/>
                <w:highlight w:val="none"/>
              </w:rPr>
              <w:t>不组织踏勘。</w:t>
            </w:r>
            <w:r>
              <w:rPr>
                <w:rFonts w:hint="eastAsia" w:ascii="宋体" w:hAnsi="宋体" w:cs="宋体"/>
                <w:sz w:val="24"/>
                <w:szCs w:val="24"/>
                <w:highlight w:val="none"/>
                <w:lang w:eastAsia="zh-CN"/>
              </w:rPr>
              <w:t>供应商</w:t>
            </w:r>
            <w:r>
              <w:rPr>
                <w:rFonts w:hint="eastAsia" w:ascii="宋体" w:hAnsi="宋体" w:cs="宋体"/>
                <w:sz w:val="24"/>
                <w:highlight w:val="none"/>
              </w:rPr>
              <w:t>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2</w:t>
            </w:r>
          </w:p>
        </w:tc>
        <w:tc>
          <w:tcPr>
            <w:tcW w:w="9175" w:type="dxa"/>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szCs w:val="24"/>
                <w:highlight w:val="none"/>
              </w:rPr>
              <w:t>答疑：采购人不统一召开答疑会，如</w:t>
            </w:r>
            <w:r>
              <w:rPr>
                <w:rFonts w:hint="eastAsia" w:ascii="宋体" w:hAnsi="宋体" w:cs="宋体"/>
                <w:sz w:val="24"/>
                <w:highlight w:val="none"/>
              </w:rPr>
              <w:t>供应商若对竞争性谈判文件有疑问的，应当在谈判截止时间2日前以书面形式向采购代理机构提出，</w:t>
            </w:r>
            <w:r>
              <w:rPr>
                <w:rFonts w:hint="eastAsia" w:ascii="宋体" w:hAnsi="宋体" w:cs="宋体"/>
                <w:sz w:val="24"/>
                <w:szCs w:val="24"/>
                <w:highlight w:val="none"/>
              </w:rPr>
              <w:t>以便采购人澄清</w:t>
            </w:r>
            <w:r>
              <w:rPr>
                <w:rFonts w:hint="eastAsia" w:ascii="宋体" w:hAnsi="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3</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供应商的法定代表人或其授权代表应当参加谈判，谈判现场须提交以下资质原件及竞争性谈判文件要求的其他证明材料原件，并单独密封（密封同竞争性谈判响应文件）且与竞争性谈判响应文件同时递交。</w:t>
            </w:r>
          </w:p>
          <w:p>
            <w:pPr>
              <w:spacing w:line="360" w:lineRule="auto"/>
              <w:rPr>
                <w:rFonts w:hint="eastAsia" w:ascii="宋体" w:hAnsi="宋体" w:cs="宋体"/>
                <w:b/>
                <w:bCs/>
                <w:sz w:val="24"/>
                <w:highlight w:val="none"/>
              </w:rPr>
            </w:pPr>
            <w:r>
              <w:rPr>
                <w:rFonts w:hint="eastAsia" w:ascii="宋体" w:hAnsi="宋体" w:cs="宋体"/>
                <w:b/>
                <w:bCs/>
                <w:sz w:val="24"/>
                <w:highlight w:val="none"/>
                <w:lang w:eastAsia="zh-CN"/>
              </w:rPr>
              <w:t>供应商</w:t>
            </w:r>
            <w:r>
              <w:rPr>
                <w:rFonts w:hint="eastAsia" w:ascii="宋体" w:hAnsi="宋体" w:cs="宋体"/>
                <w:b/>
                <w:bCs/>
                <w:sz w:val="24"/>
                <w:highlight w:val="none"/>
              </w:rPr>
              <w:t>应具备《中华人民共和国政府采购法》第二十二条规定的条件,并具备以下条件：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2、供应商须具备国家测绘行政主管部门颁发的测绘乙级及以上测绘资质（包含测绘航空摄影和地理信息系统工程）；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color w:val="000000"/>
                <w:kern w:val="0"/>
                <w:sz w:val="24"/>
                <w:szCs w:val="21"/>
                <w:highlight w:val="none"/>
                <w:lang w:val="en-US" w:eastAsia="zh-CN" w:bidi="ar-SA"/>
              </w:rPr>
              <w:t>11、本项目不专门面向中小企业采购。</w:t>
            </w:r>
          </w:p>
          <w:p>
            <w:pPr>
              <w:numPr>
                <w:ilvl w:val="0"/>
                <w:numId w:val="0"/>
              </w:numPr>
              <w:spacing w:line="360" w:lineRule="auto"/>
              <w:ind w:firstLine="482" w:firstLineChars="200"/>
              <w:rPr>
                <w:rFonts w:hint="eastAsia" w:ascii="宋体" w:hAnsi="宋体" w:cs="宋体"/>
                <w:sz w:val="24"/>
                <w:highlight w:val="none"/>
              </w:rPr>
            </w:pPr>
            <w:r>
              <w:rPr>
                <w:rFonts w:hint="eastAsia" w:ascii="宋体" w:hAnsi="宋体" w:cs="宋体"/>
                <w:b/>
                <w:bCs/>
                <w:sz w:val="24"/>
                <w:highlight w:val="none"/>
              </w:rPr>
              <w:t>注：上述资质为必备资质，须在谈判截止时间之前提供上述资质原件</w:t>
            </w:r>
            <w:r>
              <w:rPr>
                <w:rFonts w:hint="eastAsia" w:ascii="宋体" w:hAnsi="宋体" w:cs="宋体"/>
                <w:b/>
                <w:bCs/>
                <w:sz w:val="24"/>
                <w:highlight w:val="none"/>
                <w:lang w:eastAsia="zh-CN"/>
              </w:rPr>
              <w:t>（身份证除外）</w:t>
            </w:r>
            <w:r>
              <w:rPr>
                <w:rFonts w:hint="eastAsia" w:ascii="宋体" w:hAnsi="宋体" w:cs="宋体"/>
                <w:b/>
                <w:bCs/>
                <w:sz w:val="24"/>
                <w:highlight w:val="none"/>
              </w:rPr>
              <w:t>单独密封递交，密封方式同竞争性谈判响应文件一致，欠缺其中任何一项或未按要求密封的，视认为资格审查不合格，按无效响应文件处理。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4</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5</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szCs w:val="24"/>
                <w:highlight w:val="none"/>
              </w:rPr>
              <w:t>本项目不接受备选方案。且不允许成交后另行转包或者再分包。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6</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代理服务费：按照国家标准向中标单位收取。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7</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谈判会议现场，由采购人对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代表进行身份核验。</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（1）法定代表人到场的须手持法定代表人身份证明及法定代表身份证原件；</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（2）授权代表到场的须手持法定代表人授权书及其身份证原件；</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未按照以上要求提供有效资料的，身份查验不合格按无效投标处理。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18</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eastAsia="宋体"/>
                <w:sz w:val="24"/>
                <w:szCs w:val="24"/>
                <w:highlight w:val="none"/>
              </w:rPr>
              <w:t>保证金：本项目实施以“投标信用承诺书”代替保证金。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19</w:t>
            </w:r>
          </w:p>
        </w:tc>
        <w:tc>
          <w:tcPr>
            <w:tcW w:w="9175" w:type="dxa"/>
            <w:noWrap w:val="0"/>
            <w:vAlign w:val="center"/>
          </w:tcPr>
          <w:p>
            <w:pPr>
              <w:spacing w:line="360" w:lineRule="auto"/>
              <w:rPr>
                <w:rFonts w:hint="eastAsia" w:ascii="宋体" w:hAnsi="宋体" w:cs="宋体"/>
                <w:color w:val="000000"/>
                <w:sz w:val="24"/>
                <w:highlight w:val="none"/>
              </w:rPr>
            </w:pPr>
            <w:r>
              <w:rPr>
                <w:rFonts w:hint="eastAsia" w:ascii="宋体" w:hAnsi="宋体" w:cs="宋体"/>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w:t>
            </w:r>
            <w:r>
              <w:rPr>
                <w:rFonts w:hint="eastAsia" w:ascii="宋体" w:hAnsi="宋体" w:eastAsia="宋体" w:cs="宋体"/>
                <w:sz w:val="24"/>
                <w:szCs w:val="24"/>
                <w:highlight w:val="none"/>
              </w:rPr>
              <w:t>吊销</w:t>
            </w:r>
            <w:r>
              <w:rPr>
                <w:rFonts w:hint="eastAsia" w:ascii="宋体" w:hAnsi="宋体" w:cs="宋体"/>
                <w:sz w:val="24"/>
                <w:szCs w:val="24"/>
                <w:highlight w:val="none"/>
              </w:rPr>
              <w:t>营业执照；构成犯罪的，依法追究刑事责任，同时纳入黑名单系统。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20</w:t>
            </w:r>
          </w:p>
        </w:tc>
        <w:tc>
          <w:tcPr>
            <w:tcW w:w="9175" w:type="dxa"/>
            <w:noWrap w:val="0"/>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谈判文件解释权：本谈判文件由采购人和采购代理机构解释。未尽事宜，参照法律法规、规章及规范性文件的相关规定。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21</w:t>
            </w:r>
          </w:p>
        </w:tc>
        <w:tc>
          <w:tcPr>
            <w:tcW w:w="9175" w:type="dxa"/>
            <w:noWrap w:val="0"/>
            <w:vAlign w:val="center"/>
          </w:tcPr>
          <w:p>
            <w:pPr>
              <w:spacing w:line="360" w:lineRule="auto"/>
              <w:rPr>
                <w:rFonts w:hint="default" w:ascii="宋体" w:hAnsi="宋体" w:eastAsia="宋体" w:cs="宋体"/>
                <w:sz w:val="24"/>
                <w:szCs w:val="24"/>
                <w:highlight w:val="none"/>
                <w:lang w:val="en-US" w:eastAsia="zh-CN"/>
              </w:rPr>
            </w:pPr>
            <w:r>
              <w:rPr>
                <w:rFonts w:hint="default" w:ascii="宋体" w:hAnsi="宋体" w:cs="宋体"/>
                <w:sz w:val="24"/>
                <w:szCs w:val="24"/>
                <w:highlight w:val="none"/>
              </w:rPr>
              <w:t>支持中小企业</w:t>
            </w:r>
            <w:r>
              <w:rPr>
                <w:rFonts w:hint="eastAsia" w:ascii="宋体" w:hAnsi="宋体" w:cs="宋体"/>
                <w:sz w:val="24"/>
                <w:szCs w:val="24"/>
                <w:highlight w:val="none"/>
                <w:lang w:eastAsia="zh-CN"/>
              </w:rPr>
              <w:t>：</w:t>
            </w:r>
            <w:r>
              <w:rPr>
                <w:rFonts w:hint="eastAsia" w:ascii="宋体" w:hAnsi="宋体" w:cs="宋体"/>
                <w:sz w:val="24"/>
                <w:szCs w:val="24"/>
                <w:highlight w:val="none"/>
              </w:rPr>
              <w:t>支</w:t>
            </w:r>
            <w:r>
              <w:rPr>
                <w:rFonts w:hint="default" w:ascii="宋体" w:hAnsi="宋体" w:cs="宋体"/>
                <w:sz w:val="24"/>
                <w:szCs w:val="24"/>
                <w:highlight w:val="none"/>
              </w:rPr>
              <w:t>持中小企业根据《政府采购促进中小企业发展管理办法》（财库〔2020〕46号）</w:t>
            </w:r>
            <w:r>
              <w:rPr>
                <w:rFonts w:hint="eastAsia" w:ascii="宋体" w:hAnsi="宋体" w:cs="宋体"/>
                <w:sz w:val="24"/>
                <w:szCs w:val="24"/>
                <w:highlight w:val="none"/>
                <w:lang w:eastAsia="zh-CN"/>
              </w:rPr>
              <w:t>、</w:t>
            </w:r>
            <w:r>
              <w:rPr>
                <w:rFonts w:hint="default" w:ascii="宋体" w:hAnsi="宋体" w:cs="宋体"/>
                <w:sz w:val="24"/>
                <w:szCs w:val="24"/>
                <w:highlight w:val="none"/>
              </w:rPr>
              <w:t>《关于进一步加大政府采购支持中小企业力度的通知》（财库〔2022〕19号）</w:t>
            </w:r>
            <w:r>
              <w:rPr>
                <w:rFonts w:hint="eastAsia" w:ascii="宋体" w:hAnsi="宋体" w:cs="宋体"/>
                <w:sz w:val="24"/>
                <w:szCs w:val="24"/>
                <w:highlight w:val="none"/>
                <w:lang w:val="en-US" w:eastAsia="zh-CN"/>
              </w:rPr>
              <w:t>和</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r>
              <w:rPr>
                <w:rFonts w:hint="default" w:ascii="宋体" w:hAnsi="宋体" w:cs="宋体"/>
                <w:sz w:val="24"/>
                <w:szCs w:val="24"/>
                <w:highlight w:val="none"/>
              </w:rPr>
              <w:t>规定，本项目</w:t>
            </w:r>
            <w:r>
              <w:rPr>
                <w:rFonts w:hint="eastAsia" w:ascii="宋体" w:hAnsi="宋体" w:cs="宋体"/>
                <w:sz w:val="24"/>
                <w:szCs w:val="24"/>
                <w:highlight w:val="none"/>
                <w:lang w:val="en-US" w:eastAsia="zh-CN"/>
              </w:rPr>
              <w:t>非</w:t>
            </w:r>
            <w:r>
              <w:rPr>
                <w:rFonts w:hint="default" w:ascii="宋体" w:hAnsi="宋体" w:cs="宋体"/>
                <w:sz w:val="24"/>
                <w:szCs w:val="24"/>
                <w:highlight w:val="none"/>
              </w:rPr>
              <w:t>专门面向中小企业采购，</w:t>
            </w:r>
            <w:r>
              <w:rPr>
                <w:rFonts w:hint="eastAsia" w:ascii="宋体" w:hAnsi="宋体" w:cs="宋体"/>
                <w:sz w:val="24"/>
                <w:szCs w:val="24"/>
                <w:highlight w:val="none"/>
                <w:lang w:val="en-US" w:eastAsia="zh-CN"/>
              </w:rPr>
              <w:t>对其进行支持</w:t>
            </w:r>
            <w:r>
              <w:rPr>
                <w:rFonts w:hint="default" w:ascii="宋体" w:hAnsi="宋体" w:cs="宋体"/>
                <w:sz w:val="24"/>
                <w:szCs w:val="24"/>
                <w:highlight w:val="none"/>
              </w:rPr>
              <w:t>中小企业</w:t>
            </w:r>
            <w:r>
              <w:rPr>
                <w:rFonts w:hint="eastAsia" w:ascii="宋体" w:hAnsi="宋体" w:cs="宋体"/>
                <w:sz w:val="24"/>
                <w:szCs w:val="24"/>
                <w:highlight w:val="none"/>
                <w:lang w:val="en-US" w:eastAsia="zh-CN"/>
              </w:rPr>
              <w:t>给予20%价格优惠。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22</w:t>
            </w:r>
          </w:p>
        </w:tc>
        <w:tc>
          <w:tcPr>
            <w:tcW w:w="9175" w:type="dxa"/>
            <w:noWrap w:val="0"/>
            <w:vAlign w:val="center"/>
          </w:tcPr>
          <w:p>
            <w:pPr>
              <w:widowControl/>
              <w:kinsoku w:val="0"/>
              <w:autoSpaceDE w:val="0"/>
              <w:autoSpaceDN w:val="0"/>
              <w:adjustRightInd w:val="0"/>
              <w:snapToGrid w:val="0"/>
              <w:spacing w:before="52" w:afterAutospacing="0" w:line="360" w:lineRule="auto"/>
              <w:ind w:left="22" w:right="15" w:firstLine="16"/>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1、农</w:t>
            </w:r>
            <w:r>
              <w:rPr>
                <w:rFonts w:hint="eastAsia" w:ascii="宋体" w:hAnsi="宋体" w:eastAsia="宋体" w:cs="宋体"/>
                <w:snapToGrid w:val="0"/>
                <w:color w:val="000000"/>
                <w:spacing w:val="7"/>
                <w:kern w:val="0"/>
                <w:sz w:val="24"/>
                <w:szCs w:val="24"/>
                <w:highlight w:val="none"/>
              </w:rPr>
              <w:t>、</w:t>
            </w:r>
            <w:r>
              <w:rPr>
                <w:rFonts w:hint="eastAsia" w:ascii="宋体" w:hAnsi="宋体" w:eastAsia="宋体" w:cs="宋体"/>
                <w:snapToGrid w:val="0"/>
                <w:color w:val="000000"/>
                <w:spacing w:val="4"/>
                <w:kern w:val="0"/>
                <w:sz w:val="24"/>
                <w:szCs w:val="24"/>
                <w:highlight w:val="none"/>
              </w:rPr>
              <w:t>林、牧、渔业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营业收入20000万元以下的为中小微型企业。</w:t>
            </w:r>
            <w:r>
              <w:rPr>
                <w:rFonts w:hint="eastAsia" w:ascii="宋体" w:hAnsi="宋体" w:eastAsia="宋体" w:cs="宋体"/>
                <w:snapToGrid w:val="0"/>
                <w:color w:val="000000"/>
                <w:spacing w:val="8"/>
                <w:kern w:val="0"/>
                <w:sz w:val="24"/>
                <w:szCs w:val="24"/>
                <w:highlight w:val="none"/>
              </w:rPr>
              <w:t>其中，营业收入</w:t>
            </w:r>
            <w:r>
              <w:rPr>
                <w:rFonts w:hint="eastAsia" w:ascii="宋体" w:hAnsi="宋体" w:eastAsia="宋体" w:cs="宋体"/>
                <w:snapToGrid w:val="0"/>
                <w:color w:val="000000"/>
                <w:spacing w:val="4"/>
                <w:kern w:val="0"/>
                <w:sz w:val="24"/>
                <w:szCs w:val="24"/>
                <w:highlight w:val="none"/>
              </w:rPr>
              <w:t>500万元及以上的为中型企业,营业收入50万元及以</w:t>
            </w:r>
            <w:r>
              <w:rPr>
                <w:rFonts w:hint="eastAsia" w:ascii="宋体" w:hAnsi="宋体" w:eastAsia="宋体" w:cs="宋体"/>
                <w:snapToGrid w:val="0"/>
                <w:color w:val="000000"/>
                <w:spacing w:val="5"/>
                <w:kern w:val="0"/>
                <w:sz w:val="24"/>
                <w:szCs w:val="24"/>
                <w:highlight w:val="none"/>
              </w:rPr>
              <w:t>上</w:t>
            </w:r>
            <w:r>
              <w:rPr>
                <w:rFonts w:hint="eastAsia" w:ascii="宋体" w:hAnsi="宋体" w:eastAsia="宋体" w:cs="宋体"/>
                <w:snapToGrid w:val="0"/>
                <w:color w:val="000000"/>
                <w:spacing w:val="4"/>
                <w:kern w:val="0"/>
                <w:sz w:val="24"/>
                <w:szCs w:val="24"/>
                <w:highlight w:val="none"/>
              </w:rPr>
              <w:t>的为小型企业，营业收入50万元以下的为微型企业。</w:t>
            </w:r>
          </w:p>
          <w:p>
            <w:pPr>
              <w:widowControl/>
              <w:kinsoku w:val="0"/>
              <w:autoSpaceDE w:val="0"/>
              <w:autoSpaceDN w:val="0"/>
              <w:adjustRightInd w:val="0"/>
              <w:snapToGrid w:val="0"/>
              <w:spacing w:beforeAutospacing="0" w:afterAutospacing="0" w:line="360" w:lineRule="auto"/>
              <w:ind w:left="21" w:right="13"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2、工业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从业人员1000人以下或营业收入40000万元以下的为中小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从业人员300人及以上</w:t>
            </w:r>
            <w:r>
              <w:rPr>
                <w:rFonts w:hint="eastAsia" w:ascii="宋体" w:hAnsi="宋体" w:eastAsia="宋体" w:cs="宋体"/>
                <w:snapToGrid w:val="0"/>
                <w:color w:val="000000"/>
                <w:spacing w:val="1"/>
                <w:kern w:val="0"/>
                <w:sz w:val="24"/>
                <w:szCs w:val="24"/>
                <w:highlight w:val="none"/>
              </w:rPr>
              <w:t>，且营业收入2000万元及以</w:t>
            </w:r>
            <w:r>
              <w:rPr>
                <w:rFonts w:hint="eastAsia" w:ascii="宋体" w:hAnsi="宋体" w:eastAsia="宋体" w:cs="宋体"/>
                <w:snapToGrid w:val="0"/>
                <w:color w:val="000000"/>
                <w:spacing w:val="2"/>
                <w:kern w:val="0"/>
                <w:sz w:val="24"/>
                <w:szCs w:val="24"/>
                <w:highlight w:val="none"/>
              </w:rPr>
              <w:t>上的为中型企业；从业人员20人及以上，且</w:t>
            </w:r>
            <w:r>
              <w:rPr>
                <w:rFonts w:hint="eastAsia" w:ascii="宋体" w:hAnsi="宋体" w:eastAsia="宋体" w:cs="宋体"/>
                <w:snapToGrid w:val="0"/>
                <w:color w:val="000000"/>
                <w:spacing w:val="1"/>
                <w:kern w:val="0"/>
                <w:sz w:val="24"/>
                <w:szCs w:val="24"/>
                <w:highlight w:val="none"/>
              </w:rPr>
              <w:t>营业收入300万元及以上</w:t>
            </w:r>
            <w:r>
              <w:rPr>
                <w:rFonts w:hint="eastAsia" w:ascii="宋体" w:hAnsi="宋体" w:eastAsia="宋体" w:cs="宋体"/>
                <w:snapToGrid w:val="0"/>
                <w:color w:val="000000"/>
                <w:spacing w:val="2"/>
                <w:kern w:val="0"/>
                <w:sz w:val="24"/>
                <w:szCs w:val="24"/>
                <w:highlight w:val="none"/>
              </w:rPr>
              <w:t>的为小型企业；从业人员20人以下或营业收</w:t>
            </w:r>
            <w:r>
              <w:rPr>
                <w:rFonts w:hint="eastAsia" w:ascii="宋体" w:hAnsi="宋体" w:eastAsia="宋体" w:cs="宋体"/>
                <w:snapToGrid w:val="0"/>
                <w:color w:val="000000"/>
                <w:spacing w:val="1"/>
                <w:kern w:val="0"/>
                <w:sz w:val="24"/>
                <w:szCs w:val="24"/>
                <w:highlight w:val="none"/>
              </w:rPr>
              <w:t>入300万元以下的为微型</w:t>
            </w:r>
            <w:r>
              <w:rPr>
                <w:rFonts w:hint="eastAsia" w:ascii="宋体" w:hAnsi="宋体" w:eastAsia="宋体" w:cs="宋体"/>
                <w:snapToGrid w:val="0"/>
                <w:color w:val="000000"/>
                <w:spacing w:val="4"/>
                <w:kern w:val="0"/>
                <w:sz w:val="24"/>
                <w:szCs w:val="24"/>
                <w:highlight w:val="none"/>
              </w:rPr>
              <w:t>企</w:t>
            </w:r>
            <w:r>
              <w:rPr>
                <w:rFonts w:hint="eastAsia" w:ascii="宋体" w:hAnsi="宋体" w:eastAsia="宋体" w:cs="宋体"/>
                <w:snapToGrid w:val="0"/>
                <w:color w:val="000000"/>
                <w:spacing w:val="3"/>
                <w:kern w:val="0"/>
                <w:sz w:val="24"/>
                <w:szCs w:val="24"/>
                <w:highlight w:val="none"/>
              </w:rPr>
              <w:t>业。</w:t>
            </w:r>
          </w:p>
          <w:p>
            <w:pPr>
              <w:widowControl/>
              <w:kinsoku w:val="0"/>
              <w:autoSpaceDE w:val="0"/>
              <w:autoSpaceDN w:val="0"/>
              <w:adjustRightInd w:val="0"/>
              <w:snapToGrid w:val="0"/>
              <w:spacing w:beforeAutospacing="0" w:line="360" w:lineRule="auto"/>
              <w:ind w:left="23" w:right="15"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3、建</w:t>
            </w:r>
            <w:r>
              <w:rPr>
                <w:rFonts w:hint="eastAsia" w:ascii="宋体" w:hAnsi="宋体" w:eastAsia="宋体" w:cs="宋体"/>
                <w:snapToGrid w:val="0"/>
                <w:color w:val="000000"/>
                <w:spacing w:val="4"/>
                <w:kern w:val="0"/>
                <w:sz w:val="24"/>
                <w:szCs w:val="24"/>
                <w:highlight w:val="none"/>
              </w:rPr>
              <w:t>筑业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营业收入80000万元以下或资产总额80000万元以下的为</w:t>
            </w:r>
            <w:r>
              <w:rPr>
                <w:rFonts w:hint="eastAsia" w:ascii="宋体" w:hAnsi="宋体" w:eastAsia="宋体" w:cs="宋体"/>
                <w:snapToGrid w:val="0"/>
                <w:color w:val="000000"/>
                <w:spacing w:val="2"/>
                <w:kern w:val="0"/>
                <w:sz w:val="24"/>
                <w:szCs w:val="24"/>
                <w:highlight w:val="none"/>
              </w:rPr>
              <w:t>中小微型企业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营业收入600</w:t>
            </w:r>
            <w:r>
              <w:rPr>
                <w:rFonts w:hint="eastAsia" w:ascii="宋体" w:hAnsi="宋体" w:eastAsia="宋体" w:cs="宋体"/>
                <w:snapToGrid w:val="0"/>
                <w:color w:val="000000"/>
                <w:spacing w:val="1"/>
                <w:kern w:val="0"/>
                <w:sz w:val="24"/>
                <w:szCs w:val="24"/>
                <w:highlight w:val="none"/>
              </w:rPr>
              <w:t>0万元及以上，且资产总额5000万</w:t>
            </w:r>
            <w:r>
              <w:rPr>
                <w:rFonts w:hint="eastAsia" w:ascii="宋体" w:hAnsi="宋体" w:eastAsia="宋体" w:cs="宋体"/>
                <w:snapToGrid w:val="0"/>
                <w:color w:val="000000"/>
                <w:spacing w:val="2"/>
                <w:kern w:val="0"/>
                <w:sz w:val="24"/>
                <w:szCs w:val="24"/>
                <w:highlight w:val="none"/>
              </w:rPr>
              <w:t>元及以上的为中型企业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营业收入300</w:t>
            </w:r>
            <w:r>
              <w:rPr>
                <w:rFonts w:hint="eastAsia" w:ascii="宋体" w:hAnsi="宋体" w:eastAsia="宋体" w:cs="宋体"/>
                <w:snapToGrid w:val="0"/>
                <w:color w:val="000000"/>
                <w:spacing w:val="1"/>
                <w:kern w:val="0"/>
                <w:sz w:val="24"/>
                <w:szCs w:val="24"/>
                <w:highlight w:val="none"/>
              </w:rPr>
              <w:t>万元及以上，且资产总额300万</w:t>
            </w:r>
            <w:r>
              <w:rPr>
                <w:rFonts w:hint="eastAsia" w:ascii="宋体" w:hAnsi="宋体" w:eastAsia="宋体" w:cs="宋体"/>
                <w:snapToGrid w:val="0"/>
                <w:color w:val="000000"/>
                <w:spacing w:val="8"/>
                <w:kern w:val="0"/>
                <w:sz w:val="24"/>
                <w:szCs w:val="24"/>
                <w:highlight w:val="none"/>
              </w:rPr>
              <w:t>元及以上的为</w:t>
            </w:r>
            <w:r>
              <w:rPr>
                <w:rFonts w:hint="eastAsia" w:ascii="宋体" w:hAnsi="宋体" w:eastAsia="宋体" w:cs="宋体"/>
                <w:snapToGrid w:val="0"/>
                <w:color w:val="000000"/>
                <w:spacing w:val="7"/>
                <w:kern w:val="0"/>
                <w:sz w:val="24"/>
                <w:szCs w:val="24"/>
                <w:highlight w:val="none"/>
              </w:rPr>
              <w:t>小</w:t>
            </w:r>
            <w:r>
              <w:rPr>
                <w:rFonts w:hint="eastAsia" w:ascii="宋体" w:hAnsi="宋体" w:eastAsia="宋体" w:cs="宋体"/>
                <w:snapToGrid w:val="0"/>
                <w:color w:val="000000"/>
                <w:spacing w:val="4"/>
                <w:kern w:val="0"/>
                <w:sz w:val="24"/>
                <w:szCs w:val="24"/>
                <w:highlight w:val="none"/>
              </w:rPr>
              <w:t>型企业；营业收入300万元以下或资产总额300万元</w:t>
            </w:r>
            <w:r>
              <w:rPr>
                <w:rFonts w:hint="eastAsia" w:ascii="宋体" w:hAnsi="宋体" w:eastAsia="宋体" w:cs="宋体"/>
                <w:snapToGrid w:val="0"/>
                <w:color w:val="000000"/>
                <w:spacing w:val="12"/>
                <w:kern w:val="0"/>
                <w:sz w:val="24"/>
                <w:szCs w:val="24"/>
                <w:highlight w:val="none"/>
              </w:rPr>
              <w:t>以</w:t>
            </w:r>
            <w:r>
              <w:rPr>
                <w:rFonts w:hint="eastAsia" w:ascii="宋体" w:hAnsi="宋体" w:eastAsia="宋体" w:cs="宋体"/>
                <w:snapToGrid w:val="0"/>
                <w:color w:val="000000"/>
                <w:spacing w:val="7"/>
                <w:kern w:val="0"/>
                <w:sz w:val="24"/>
                <w:szCs w:val="24"/>
                <w:highlight w:val="none"/>
              </w:rPr>
              <w:t>下的为微型企业。</w:t>
            </w:r>
          </w:p>
          <w:p>
            <w:pPr>
              <w:widowControl/>
              <w:kinsoku w:val="0"/>
              <w:autoSpaceDE w:val="0"/>
              <w:autoSpaceDN w:val="0"/>
              <w:adjustRightInd w:val="0"/>
              <w:snapToGrid w:val="0"/>
              <w:spacing w:before="55" w:line="360" w:lineRule="auto"/>
              <w:ind w:left="27" w:firstLine="13"/>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4、批发业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从业人员200人以下或营业</w:t>
            </w:r>
            <w:r>
              <w:rPr>
                <w:rFonts w:hint="eastAsia" w:ascii="宋体" w:hAnsi="宋体" w:eastAsia="宋体" w:cs="宋体"/>
                <w:snapToGrid w:val="0"/>
                <w:color w:val="000000"/>
                <w:spacing w:val="1"/>
                <w:kern w:val="0"/>
                <w:sz w:val="24"/>
                <w:szCs w:val="24"/>
                <w:highlight w:val="none"/>
              </w:rPr>
              <w:t>收入40000万元以下的为中小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从业人员20人及以上,</w:t>
            </w:r>
            <w:r>
              <w:rPr>
                <w:rFonts w:hint="eastAsia" w:ascii="宋体" w:hAnsi="宋体" w:eastAsia="宋体" w:cs="宋体"/>
                <w:snapToGrid w:val="0"/>
                <w:color w:val="000000"/>
                <w:spacing w:val="1"/>
                <w:kern w:val="0"/>
                <w:sz w:val="24"/>
                <w:szCs w:val="24"/>
                <w:highlight w:val="none"/>
              </w:rPr>
              <w:t>且营业收入5000万元及以上</w:t>
            </w:r>
            <w:r>
              <w:rPr>
                <w:rFonts w:hint="eastAsia" w:ascii="宋体" w:hAnsi="宋体" w:eastAsia="宋体" w:cs="宋体"/>
                <w:snapToGrid w:val="0"/>
                <w:color w:val="000000"/>
                <w:spacing w:val="4"/>
                <w:kern w:val="0"/>
                <w:sz w:val="24"/>
                <w:szCs w:val="24"/>
                <w:highlight w:val="none"/>
              </w:rPr>
              <w:t>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w:t>
            </w:r>
            <w:r>
              <w:rPr>
                <w:rFonts w:hint="eastAsia" w:ascii="宋体" w:hAnsi="宋体" w:eastAsia="宋体" w:cs="宋体"/>
                <w:snapToGrid w:val="0"/>
                <w:color w:val="000000"/>
                <w:spacing w:val="3"/>
                <w:kern w:val="0"/>
                <w:sz w:val="24"/>
                <w:szCs w:val="24"/>
                <w:highlight w:val="none"/>
              </w:rPr>
              <w:t>业</w:t>
            </w:r>
            <w:r>
              <w:rPr>
                <w:rFonts w:hint="eastAsia" w:ascii="宋体" w:hAnsi="宋体" w:eastAsia="宋体" w:cs="宋体"/>
                <w:snapToGrid w:val="0"/>
                <w:color w:val="000000"/>
                <w:spacing w:val="2"/>
                <w:kern w:val="0"/>
                <w:sz w:val="24"/>
                <w:szCs w:val="24"/>
                <w:highlight w:val="none"/>
              </w:rPr>
              <w:t>人员5人及以上,且营业收入1000万元及以上的为小型企业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从业人员5人以下或营业收入1000万元以下的为微型</w:t>
            </w:r>
            <w:r>
              <w:rPr>
                <w:rFonts w:hint="eastAsia" w:ascii="宋体" w:hAnsi="宋体" w:eastAsia="宋体" w:cs="宋体"/>
                <w:snapToGrid w:val="0"/>
                <w:color w:val="000000"/>
                <w:spacing w:val="1"/>
                <w:kern w:val="0"/>
                <w:sz w:val="24"/>
                <w:szCs w:val="24"/>
                <w:highlight w:val="none"/>
              </w:rPr>
              <w:t>企</w:t>
            </w:r>
            <w:r>
              <w:rPr>
                <w:rFonts w:hint="eastAsia" w:ascii="宋体" w:hAnsi="宋体" w:eastAsia="宋体" w:cs="宋体"/>
                <w:snapToGrid w:val="0"/>
                <w:color w:val="000000"/>
                <w:kern w:val="0"/>
                <w:sz w:val="24"/>
                <w:szCs w:val="24"/>
                <w:highlight w:val="none"/>
              </w:rPr>
              <w:t>业。</w:t>
            </w:r>
          </w:p>
          <w:p>
            <w:pPr>
              <w:widowControl/>
              <w:kinsoku w:val="0"/>
              <w:autoSpaceDE w:val="0"/>
              <w:autoSpaceDN w:val="0"/>
              <w:adjustRightInd w:val="0"/>
              <w:snapToGrid w:val="0"/>
              <w:spacing w:afterAutospacing="0" w:line="360" w:lineRule="auto"/>
              <w:ind w:left="20" w:right="15" w:firstLine="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5、零售业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从业人员300</w:t>
            </w:r>
            <w:r>
              <w:rPr>
                <w:rFonts w:hint="eastAsia" w:ascii="宋体" w:hAnsi="宋体" w:eastAsia="宋体" w:cs="宋体"/>
                <w:snapToGrid w:val="0"/>
                <w:color w:val="000000"/>
                <w:spacing w:val="1"/>
                <w:kern w:val="0"/>
                <w:sz w:val="24"/>
                <w:szCs w:val="24"/>
                <w:highlight w:val="none"/>
              </w:rPr>
              <w:t>人以下或营业收入20000万元以下的为中小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从业人员50人及以上，且营</w:t>
            </w:r>
            <w:r>
              <w:rPr>
                <w:rFonts w:hint="eastAsia" w:ascii="宋体" w:hAnsi="宋体" w:eastAsia="宋体" w:cs="宋体"/>
                <w:snapToGrid w:val="0"/>
                <w:color w:val="000000"/>
                <w:spacing w:val="1"/>
                <w:kern w:val="0"/>
                <w:sz w:val="24"/>
                <w:szCs w:val="24"/>
                <w:highlight w:val="none"/>
              </w:rPr>
              <w:t>业收入500万元及以上</w:t>
            </w:r>
            <w:r>
              <w:rPr>
                <w:rFonts w:hint="eastAsia" w:ascii="宋体" w:hAnsi="宋体" w:eastAsia="宋体" w:cs="宋体"/>
                <w:snapToGrid w:val="0"/>
                <w:color w:val="000000"/>
                <w:spacing w:val="2"/>
                <w:kern w:val="0"/>
                <w:sz w:val="24"/>
                <w:szCs w:val="24"/>
                <w:highlight w:val="none"/>
              </w:rPr>
              <w:t>的为中型企业；从业人员10人及以上，且营业</w:t>
            </w:r>
            <w:r>
              <w:rPr>
                <w:rFonts w:hint="eastAsia" w:ascii="宋体" w:hAnsi="宋体" w:eastAsia="宋体" w:cs="宋体"/>
                <w:snapToGrid w:val="0"/>
                <w:color w:val="000000"/>
                <w:spacing w:val="1"/>
                <w:kern w:val="0"/>
                <w:sz w:val="24"/>
                <w:szCs w:val="24"/>
                <w:highlight w:val="none"/>
              </w:rPr>
              <w:t>收入100万元及以上的</w:t>
            </w:r>
            <w:r>
              <w:rPr>
                <w:rFonts w:hint="eastAsia" w:ascii="宋体" w:hAnsi="宋体" w:eastAsia="宋体" w:cs="宋体"/>
                <w:snapToGrid w:val="0"/>
                <w:color w:val="000000"/>
                <w:spacing w:val="2"/>
                <w:kern w:val="0"/>
                <w:sz w:val="24"/>
                <w:szCs w:val="24"/>
                <w:highlight w:val="none"/>
              </w:rPr>
              <w:t>为小型企业；从业人员10人以下或营业收入</w:t>
            </w:r>
            <w:r>
              <w:rPr>
                <w:rFonts w:hint="eastAsia" w:ascii="宋体" w:hAnsi="宋体" w:eastAsia="宋体" w:cs="宋体"/>
                <w:snapToGrid w:val="0"/>
                <w:color w:val="000000"/>
                <w:spacing w:val="1"/>
                <w:kern w:val="0"/>
                <w:sz w:val="24"/>
                <w:szCs w:val="24"/>
                <w:highlight w:val="none"/>
              </w:rPr>
              <w:t>100万元以下的为微型企业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60" w:lineRule="auto"/>
              <w:ind w:left="20" w:right="15"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6、交通</w:t>
            </w:r>
            <w:r>
              <w:rPr>
                <w:rFonts w:hint="eastAsia" w:ascii="宋体" w:hAnsi="宋体" w:eastAsia="宋体" w:cs="宋体"/>
                <w:snapToGrid w:val="0"/>
                <w:color w:val="000000"/>
                <w:spacing w:val="7"/>
                <w:kern w:val="0"/>
                <w:sz w:val="24"/>
                <w:szCs w:val="24"/>
                <w:highlight w:val="none"/>
              </w:rPr>
              <w:t>运</w:t>
            </w:r>
            <w:r>
              <w:rPr>
                <w:rFonts w:hint="eastAsia" w:ascii="宋体" w:hAnsi="宋体" w:eastAsia="宋体" w:cs="宋体"/>
                <w:snapToGrid w:val="0"/>
                <w:color w:val="000000"/>
                <w:spacing w:val="4"/>
                <w:kern w:val="0"/>
                <w:sz w:val="24"/>
                <w:szCs w:val="24"/>
                <w:highlight w:val="none"/>
              </w:rPr>
              <w:t>输业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从业人员1000人以下或营业收入30000万元以下的</w:t>
            </w:r>
            <w:r>
              <w:rPr>
                <w:rFonts w:hint="eastAsia" w:ascii="宋体" w:hAnsi="宋体" w:eastAsia="宋体" w:cs="宋体"/>
                <w:snapToGrid w:val="0"/>
                <w:color w:val="000000"/>
                <w:spacing w:val="8"/>
                <w:kern w:val="0"/>
                <w:sz w:val="24"/>
                <w:szCs w:val="24"/>
                <w:highlight w:val="none"/>
              </w:rPr>
              <w:t>为中小微型企</w:t>
            </w:r>
            <w:r>
              <w:rPr>
                <w:rFonts w:hint="eastAsia" w:ascii="宋体" w:hAnsi="宋体" w:eastAsia="宋体" w:cs="宋体"/>
                <w:snapToGrid w:val="0"/>
                <w:color w:val="000000"/>
                <w:spacing w:val="6"/>
                <w:kern w:val="0"/>
                <w:sz w:val="24"/>
                <w:szCs w:val="24"/>
                <w:highlight w:val="none"/>
              </w:rPr>
              <w:t>业</w:t>
            </w:r>
            <w:r>
              <w:rPr>
                <w:rFonts w:hint="eastAsia" w:ascii="宋体" w:hAnsi="宋体" w:cs="宋体"/>
                <w:snapToGrid w:val="0"/>
                <w:color w:val="000000"/>
                <w:spacing w:val="6"/>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其中，从业人员300人及以上，且营业收入3000万</w:t>
            </w:r>
            <w:r>
              <w:rPr>
                <w:rFonts w:hint="eastAsia" w:ascii="宋体" w:hAnsi="宋体" w:eastAsia="宋体" w:cs="宋体"/>
                <w:snapToGrid w:val="0"/>
                <w:color w:val="000000"/>
                <w:spacing w:val="2"/>
                <w:kern w:val="0"/>
                <w:sz w:val="24"/>
                <w:szCs w:val="24"/>
                <w:highlight w:val="none"/>
              </w:rPr>
              <w:t>元及以上的为中型企业；从业人员20人及以上</w:t>
            </w:r>
            <w:r>
              <w:rPr>
                <w:rFonts w:hint="eastAsia" w:ascii="宋体" w:hAnsi="宋体" w:eastAsia="宋体" w:cs="宋体"/>
                <w:snapToGrid w:val="0"/>
                <w:color w:val="000000"/>
                <w:spacing w:val="1"/>
                <w:kern w:val="0"/>
                <w:sz w:val="24"/>
                <w:szCs w:val="24"/>
                <w:highlight w:val="none"/>
              </w:rPr>
              <w:t>，且营业收入200万元</w:t>
            </w:r>
            <w:r>
              <w:rPr>
                <w:rFonts w:hint="eastAsia" w:ascii="宋体" w:hAnsi="宋体" w:eastAsia="宋体" w:cs="宋体"/>
                <w:snapToGrid w:val="0"/>
                <w:color w:val="000000"/>
                <w:spacing w:val="2"/>
                <w:kern w:val="0"/>
                <w:sz w:val="24"/>
                <w:szCs w:val="24"/>
                <w:highlight w:val="none"/>
              </w:rPr>
              <w:t>及以上的为小型企业；从业人员20人以下或营</w:t>
            </w:r>
            <w:r>
              <w:rPr>
                <w:rFonts w:hint="eastAsia" w:ascii="宋体" w:hAnsi="宋体" w:eastAsia="宋体" w:cs="宋体"/>
                <w:snapToGrid w:val="0"/>
                <w:color w:val="000000"/>
                <w:spacing w:val="1"/>
                <w:kern w:val="0"/>
                <w:sz w:val="24"/>
                <w:szCs w:val="24"/>
                <w:highlight w:val="none"/>
              </w:rPr>
              <w:t>业收入200万元以下的</w:t>
            </w:r>
            <w:r>
              <w:rPr>
                <w:rFonts w:hint="eastAsia" w:ascii="宋体" w:hAnsi="宋体" w:eastAsia="宋体" w:cs="宋体"/>
                <w:snapToGrid w:val="0"/>
                <w:color w:val="000000"/>
                <w:spacing w:val="7"/>
                <w:kern w:val="0"/>
                <w:sz w:val="24"/>
                <w:szCs w:val="24"/>
                <w:highlight w:val="none"/>
              </w:rPr>
              <w:t>为微型企业</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afterAutospacing="0" w:line="360" w:lineRule="auto"/>
              <w:ind w:left="20" w:right="13" w:firstLine="6"/>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7、仓储业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从业人员200</w:t>
            </w:r>
            <w:r>
              <w:rPr>
                <w:rFonts w:hint="eastAsia" w:ascii="宋体" w:hAnsi="宋体" w:eastAsia="宋体" w:cs="宋体"/>
                <w:snapToGrid w:val="0"/>
                <w:color w:val="000000"/>
                <w:spacing w:val="1"/>
                <w:kern w:val="0"/>
                <w:sz w:val="24"/>
                <w:szCs w:val="24"/>
                <w:highlight w:val="none"/>
              </w:rPr>
              <w:t>人以下或营业收入30000万元以下的为中小</w:t>
            </w:r>
            <w:r>
              <w:rPr>
                <w:rFonts w:hint="eastAsia" w:ascii="宋体" w:hAnsi="宋体" w:eastAsia="宋体" w:cs="宋体"/>
                <w:snapToGrid w:val="0"/>
                <w:color w:val="000000"/>
                <w:spacing w:val="2"/>
                <w:kern w:val="0"/>
                <w:sz w:val="24"/>
                <w:szCs w:val="24"/>
                <w:highlight w:val="none"/>
              </w:rPr>
              <w:t>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从业人员100人及以上</w:t>
            </w:r>
            <w:r>
              <w:rPr>
                <w:rFonts w:hint="eastAsia" w:ascii="宋体" w:hAnsi="宋体" w:eastAsia="宋体" w:cs="宋体"/>
                <w:snapToGrid w:val="0"/>
                <w:color w:val="000000"/>
                <w:spacing w:val="1"/>
                <w:kern w:val="0"/>
                <w:sz w:val="24"/>
                <w:szCs w:val="24"/>
                <w:highlight w:val="none"/>
              </w:rPr>
              <w:t>，且营业收入1000万元及以上</w:t>
            </w:r>
            <w:r>
              <w:rPr>
                <w:rFonts w:hint="eastAsia" w:ascii="宋体" w:hAnsi="宋体" w:eastAsia="宋体" w:cs="宋体"/>
                <w:snapToGrid w:val="0"/>
                <w:color w:val="000000"/>
                <w:spacing w:val="5"/>
                <w:kern w:val="0"/>
                <w:sz w:val="24"/>
                <w:szCs w:val="24"/>
                <w:highlight w:val="none"/>
              </w:rPr>
              <w:t>的为中型企业；从业人员20人及以上,且营业收入100万元及以</w:t>
            </w:r>
            <w:r>
              <w:rPr>
                <w:rFonts w:hint="eastAsia" w:ascii="宋体" w:hAnsi="宋体" w:eastAsia="宋体" w:cs="宋体"/>
                <w:snapToGrid w:val="0"/>
                <w:color w:val="000000"/>
                <w:spacing w:val="4"/>
                <w:kern w:val="0"/>
                <w:sz w:val="24"/>
                <w:szCs w:val="24"/>
                <w:highlight w:val="none"/>
              </w:rPr>
              <w:t>上</w:t>
            </w:r>
            <w:r>
              <w:rPr>
                <w:rFonts w:hint="eastAsia" w:ascii="宋体" w:hAnsi="宋体" w:eastAsia="宋体" w:cs="宋体"/>
                <w:snapToGrid w:val="0"/>
                <w:color w:val="000000"/>
                <w:kern w:val="0"/>
                <w:sz w:val="24"/>
                <w:szCs w:val="24"/>
                <w:highlight w:val="none"/>
              </w:rPr>
              <w:t>的</w:t>
            </w:r>
            <w:r>
              <w:rPr>
                <w:rFonts w:hint="eastAsia" w:ascii="宋体" w:hAnsi="宋体" w:eastAsia="宋体" w:cs="宋体"/>
                <w:snapToGrid w:val="0"/>
                <w:color w:val="000000"/>
                <w:spacing w:val="5"/>
                <w:kern w:val="0"/>
                <w:sz w:val="24"/>
                <w:szCs w:val="24"/>
                <w:highlight w:val="none"/>
              </w:rPr>
              <w:t>为小型企业</w:t>
            </w:r>
            <w:r>
              <w:rPr>
                <w:rFonts w:hint="eastAsia" w:ascii="宋体" w:hAnsi="宋体" w:cs="宋体"/>
                <w:snapToGrid w:val="0"/>
                <w:color w:val="000000"/>
                <w:spacing w:val="5"/>
                <w:kern w:val="0"/>
                <w:sz w:val="24"/>
                <w:szCs w:val="24"/>
                <w:highlight w:val="none"/>
                <w:lang w:eastAsia="zh-CN"/>
              </w:rPr>
              <w:t>；</w:t>
            </w:r>
            <w:r>
              <w:rPr>
                <w:rFonts w:hint="eastAsia" w:ascii="宋体" w:hAnsi="宋体" w:eastAsia="宋体" w:cs="宋体"/>
                <w:snapToGrid w:val="0"/>
                <w:color w:val="000000"/>
                <w:spacing w:val="5"/>
                <w:kern w:val="0"/>
                <w:sz w:val="24"/>
                <w:szCs w:val="24"/>
                <w:highlight w:val="none"/>
              </w:rPr>
              <w:t>从业人员20人以下或营业收入100万元以下的为微型</w:t>
            </w:r>
            <w:r>
              <w:rPr>
                <w:rFonts w:hint="eastAsia" w:ascii="宋体" w:hAnsi="宋体" w:eastAsia="宋体" w:cs="宋体"/>
                <w:snapToGrid w:val="0"/>
                <w:color w:val="000000"/>
                <w:spacing w:val="1"/>
                <w:kern w:val="0"/>
                <w:sz w:val="24"/>
                <w:szCs w:val="24"/>
                <w:highlight w:val="none"/>
              </w:rPr>
              <w:t>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60" w:lineRule="auto"/>
              <w:ind w:left="21" w:right="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8、邮政业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从业人员1000人以</w:t>
            </w:r>
            <w:r>
              <w:rPr>
                <w:rFonts w:hint="eastAsia" w:ascii="宋体" w:hAnsi="宋体" w:eastAsia="宋体" w:cs="宋体"/>
                <w:snapToGrid w:val="0"/>
                <w:color w:val="000000"/>
                <w:spacing w:val="1"/>
                <w:kern w:val="0"/>
                <w:sz w:val="24"/>
                <w:szCs w:val="24"/>
                <w:highlight w:val="none"/>
              </w:rPr>
              <w:t>下或营业收入30000万元以下的为中小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从业人员300人及以上</w:t>
            </w:r>
            <w:r>
              <w:rPr>
                <w:rFonts w:hint="eastAsia" w:ascii="宋体" w:hAnsi="宋体" w:eastAsia="宋体" w:cs="宋体"/>
                <w:snapToGrid w:val="0"/>
                <w:color w:val="000000"/>
                <w:spacing w:val="1"/>
                <w:kern w:val="0"/>
                <w:sz w:val="24"/>
                <w:szCs w:val="24"/>
                <w:highlight w:val="none"/>
              </w:rPr>
              <w:t>，且营业收入2000万元及以</w:t>
            </w:r>
            <w:r>
              <w:rPr>
                <w:rFonts w:hint="eastAsia" w:ascii="宋体" w:hAnsi="宋体" w:eastAsia="宋体" w:cs="宋体"/>
                <w:snapToGrid w:val="0"/>
                <w:color w:val="000000"/>
                <w:spacing w:val="5"/>
                <w:kern w:val="0"/>
                <w:sz w:val="24"/>
                <w:szCs w:val="24"/>
                <w:highlight w:val="none"/>
              </w:rPr>
              <w:t>上的为中型企业；从业人员20人及以上,且营业收入100万元及</w:t>
            </w:r>
            <w:r>
              <w:rPr>
                <w:rFonts w:hint="eastAsia" w:ascii="宋体" w:hAnsi="宋体" w:eastAsia="宋体" w:cs="宋体"/>
                <w:snapToGrid w:val="0"/>
                <w:color w:val="000000"/>
                <w:spacing w:val="3"/>
                <w:kern w:val="0"/>
                <w:sz w:val="24"/>
                <w:szCs w:val="24"/>
                <w:highlight w:val="none"/>
              </w:rPr>
              <w:t>以</w:t>
            </w:r>
            <w:r>
              <w:rPr>
                <w:rFonts w:hint="eastAsia" w:ascii="宋体" w:hAnsi="宋体" w:eastAsia="宋体" w:cs="宋体"/>
                <w:snapToGrid w:val="0"/>
                <w:color w:val="000000"/>
                <w:kern w:val="0"/>
                <w:sz w:val="24"/>
                <w:szCs w:val="24"/>
                <w:highlight w:val="none"/>
              </w:rPr>
              <w:t>上</w:t>
            </w:r>
            <w:r>
              <w:rPr>
                <w:rFonts w:hint="eastAsia" w:ascii="宋体" w:hAnsi="宋体" w:eastAsia="宋体" w:cs="宋体"/>
                <w:snapToGrid w:val="0"/>
                <w:color w:val="000000"/>
                <w:spacing w:val="2"/>
                <w:kern w:val="0"/>
                <w:sz w:val="24"/>
                <w:szCs w:val="24"/>
                <w:highlight w:val="none"/>
              </w:rPr>
              <w:t>的为小型企业；从业人员20人以下或营业收</w:t>
            </w:r>
            <w:r>
              <w:rPr>
                <w:rFonts w:hint="eastAsia" w:ascii="宋体" w:hAnsi="宋体" w:eastAsia="宋体" w:cs="宋体"/>
                <w:snapToGrid w:val="0"/>
                <w:color w:val="000000"/>
                <w:spacing w:val="1"/>
                <w:kern w:val="0"/>
                <w:sz w:val="24"/>
                <w:szCs w:val="24"/>
                <w:highlight w:val="none"/>
              </w:rPr>
              <w:t>入100万元以下的为微型</w:t>
            </w:r>
            <w:r>
              <w:rPr>
                <w:rFonts w:hint="eastAsia" w:ascii="宋体" w:hAnsi="宋体" w:eastAsia="宋体" w:cs="宋体"/>
                <w:snapToGrid w:val="0"/>
                <w:color w:val="000000"/>
                <w:spacing w:val="4"/>
                <w:kern w:val="0"/>
                <w:sz w:val="24"/>
                <w:szCs w:val="24"/>
                <w:highlight w:val="none"/>
              </w:rPr>
              <w:t>企</w:t>
            </w:r>
            <w:r>
              <w:rPr>
                <w:rFonts w:hint="eastAsia" w:ascii="宋体" w:hAnsi="宋体" w:eastAsia="宋体" w:cs="宋体"/>
                <w:snapToGrid w:val="0"/>
                <w:color w:val="000000"/>
                <w:spacing w:val="3"/>
                <w:kern w:val="0"/>
                <w:sz w:val="24"/>
                <w:szCs w:val="24"/>
                <w:highlight w:val="none"/>
              </w:rPr>
              <w:t>业。</w:t>
            </w:r>
          </w:p>
          <w:p>
            <w:pPr>
              <w:widowControl/>
              <w:kinsoku w:val="0"/>
              <w:autoSpaceDE w:val="0"/>
              <w:autoSpaceDN w:val="0"/>
              <w:adjustRightInd w:val="0"/>
              <w:snapToGrid w:val="0"/>
              <w:spacing w:beforeAutospacing="0" w:afterAutospacing="0" w:line="360" w:lineRule="auto"/>
              <w:ind w:left="20" w:right="15" w:firstLine="1"/>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9、住宿业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从业人员300人以下或营业收入10000万元以下的为中小</w:t>
            </w:r>
            <w:r>
              <w:rPr>
                <w:rFonts w:hint="eastAsia" w:ascii="宋体" w:hAnsi="宋体" w:eastAsia="宋体" w:cs="宋体"/>
                <w:snapToGrid w:val="0"/>
                <w:color w:val="000000"/>
                <w:spacing w:val="2"/>
                <w:kern w:val="0"/>
                <w:sz w:val="24"/>
                <w:szCs w:val="24"/>
                <w:highlight w:val="none"/>
              </w:rPr>
              <w:t>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从业人员100人及以上</w:t>
            </w:r>
            <w:r>
              <w:rPr>
                <w:rFonts w:hint="eastAsia" w:ascii="宋体" w:hAnsi="宋体" w:eastAsia="宋体" w:cs="宋体"/>
                <w:snapToGrid w:val="0"/>
                <w:color w:val="000000"/>
                <w:spacing w:val="1"/>
                <w:kern w:val="0"/>
                <w:sz w:val="24"/>
                <w:szCs w:val="24"/>
                <w:highlight w:val="none"/>
              </w:rPr>
              <w:t>，且营业收入2000万元及以上</w:t>
            </w:r>
            <w:r>
              <w:rPr>
                <w:rFonts w:hint="eastAsia" w:ascii="宋体" w:hAnsi="宋体" w:eastAsia="宋体" w:cs="宋体"/>
                <w:snapToGrid w:val="0"/>
                <w:color w:val="000000"/>
                <w:spacing w:val="5"/>
                <w:kern w:val="0"/>
                <w:sz w:val="24"/>
                <w:szCs w:val="24"/>
                <w:highlight w:val="none"/>
              </w:rPr>
              <w:t>的为中型企业；从业人员10人及以上,且营业收入100万元及以</w:t>
            </w:r>
            <w:r>
              <w:rPr>
                <w:rFonts w:hint="eastAsia" w:ascii="宋体" w:hAnsi="宋体" w:eastAsia="宋体" w:cs="宋体"/>
                <w:snapToGrid w:val="0"/>
                <w:color w:val="000000"/>
                <w:spacing w:val="4"/>
                <w:kern w:val="0"/>
                <w:sz w:val="24"/>
                <w:szCs w:val="24"/>
                <w:highlight w:val="none"/>
              </w:rPr>
              <w:t>上</w:t>
            </w:r>
            <w:r>
              <w:rPr>
                <w:rFonts w:hint="eastAsia" w:ascii="宋体" w:hAnsi="宋体" w:eastAsia="宋体" w:cs="宋体"/>
                <w:snapToGrid w:val="0"/>
                <w:color w:val="000000"/>
                <w:kern w:val="0"/>
                <w:sz w:val="24"/>
                <w:szCs w:val="24"/>
                <w:highlight w:val="none"/>
              </w:rPr>
              <w:t>的</w:t>
            </w:r>
            <w:r>
              <w:rPr>
                <w:rFonts w:hint="eastAsia" w:ascii="宋体" w:hAnsi="宋体" w:eastAsia="宋体" w:cs="宋体"/>
                <w:snapToGrid w:val="0"/>
                <w:color w:val="000000"/>
                <w:spacing w:val="2"/>
                <w:kern w:val="0"/>
                <w:sz w:val="24"/>
                <w:szCs w:val="24"/>
                <w:highlight w:val="none"/>
              </w:rPr>
              <w:t>为小型企业；从业人员10人以下或营业收入</w:t>
            </w:r>
            <w:r>
              <w:rPr>
                <w:rFonts w:hint="eastAsia" w:ascii="宋体" w:hAnsi="宋体" w:eastAsia="宋体" w:cs="宋体"/>
                <w:snapToGrid w:val="0"/>
                <w:color w:val="000000"/>
                <w:spacing w:val="1"/>
                <w:kern w:val="0"/>
                <w:sz w:val="24"/>
                <w:szCs w:val="24"/>
                <w:highlight w:val="none"/>
              </w:rPr>
              <w:t>100万元以下的为微型企业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line="360" w:lineRule="auto"/>
              <w:ind w:left="28" w:right="15" w:hanging="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7"/>
                <w:kern w:val="0"/>
                <w:sz w:val="24"/>
                <w:szCs w:val="24"/>
                <w:highlight w:val="none"/>
              </w:rPr>
              <w:t>1</w:t>
            </w:r>
            <w:r>
              <w:rPr>
                <w:rFonts w:hint="eastAsia" w:ascii="宋体" w:hAnsi="宋体" w:eastAsia="宋体" w:cs="宋体"/>
                <w:snapToGrid w:val="0"/>
                <w:color w:val="000000"/>
                <w:spacing w:val="4"/>
                <w:kern w:val="0"/>
                <w:sz w:val="24"/>
                <w:szCs w:val="24"/>
                <w:highlight w:val="none"/>
              </w:rPr>
              <w:t>0、餐饮业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从业人员300人以下或营业收入10000万元以下的为中</w:t>
            </w:r>
            <w:r>
              <w:rPr>
                <w:rFonts w:hint="eastAsia" w:ascii="宋体" w:hAnsi="宋体" w:eastAsia="宋体" w:cs="宋体"/>
                <w:snapToGrid w:val="0"/>
                <w:color w:val="000000"/>
                <w:spacing w:val="2"/>
                <w:kern w:val="0"/>
                <w:sz w:val="24"/>
                <w:szCs w:val="24"/>
                <w:highlight w:val="none"/>
              </w:rPr>
              <w:t>小微型企业。其中，从业人员</w:t>
            </w:r>
            <w:r>
              <w:rPr>
                <w:rFonts w:hint="eastAsia" w:ascii="宋体" w:hAnsi="宋体" w:eastAsia="宋体" w:cs="宋体"/>
                <w:snapToGrid w:val="0"/>
                <w:color w:val="000000"/>
                <w:spacing w:val="1"/>
                <w:kern w:val="0"/>
                <w:sz w:val="24"/>
                <w:szCs w:val="24"/>
                <w:highlight w:val="none"/>
              </w:rPr>
              <w:t>100人及以上，且营业收入2000万元及</w:t>
            </w:r>
            <w:r>
              <w:rPr>
                <w:rFonts w:hint="eastAsia" w:ascii="宋体" w:hAnsi="宋体" w:eastAsia="宋体" w:cs="宋体"/>
                <w:snapToGrid w:val="0"/>
                <w:color w:val="000000"/>
                <w:spacing w:val="8"/>
                <w:kern w:val="0"/>
                <w:sz w:val="24"/>
                <w:szCs w:val="24"/>
                <w:highlight w:val="none"/>
              </w:rPr>
              <w:t>以上的为中</w:t>
            </w:r>
            <w:r>
              <w:rPr>
                <w:rFonts w:hint="eastAsia" w:ascii="宋体" w:hAnsi="宋体" w:eastAsia="宋体" w:cs="宋体"/>
                <w:snapToGrid w:val="0"/>
                <w:color w:val="000000"/>
                <w:spacing w:val="6"/>
                <w:kern w:val="0"/>
                <w:sz w:val="24"/>
                <w:szCs w:val="24"/>
                <w:highlight w:val="none"/>
              </w:rPr>
              <w:t>型</w:t>
            </w:r>
            <w:r>
              <w:rPr>
                <w:rFonts w:hint="eastAsia" w:ascii="宋体" w:hAnsi="宋体" w:eastAsia="宋体" w:cs="宋体"/>
                <w:snapToGrid w:val="0"/>
                <w:color w:val="000000"/>
                <w:spacing w:val="4"/>
                <w:kern w:val="0"/>
                <w:sz w:val="24"/>
                <w:szCs w:val="24"/>
                <w:highlight w:val="none"/>
              </w:rPr>
              <w:t>企业；从业人员10人及以上,且营业收入100万元及以</w:t>
            </w:r>
            <w:r>
              <w:rPr>
                <w:rFonts w:hint="eastAsia" w:ascii="宋体" w:hAnsi="宋体" w:eastAsia="宋体" w:cs="宋体"/>
                <w:snapToGrid w:val="0"/>
                <w:color w:val="000000"/>
                <w:spacing w:val="2"/>
                <w:kern w:val="0"/>
                <w:sz w:val="24"/>
                <w:szCs w:val="24"/>
                <w:highlight w:val="none"/>
              </w:rPr>
              <w:t>上的为小型企业；从业人员10人以下或</w:t>
            </w:r>
            <w:r>
              <w:rPr>
                <w:rFonts w:hint="eastAsia" w:ascii="宋体" w:hAnsi="宋体" w:eastAsia="宋体" w:cs="宋体"/>
                <w:snapToGrid w:val="0"/>
                <w:color w:val="000000"/>
                <w:spacing w:val="1"/>
                <w:kern w:val="0"/>
                <w:sz w:val="24"/>
                <w:szCs w:val="24"/>
                <w:highlight w:val="none"/>
              </w:rPr>
              <w:t>营业收入100万元以下的为微</w:t>
            </w:r>
            <w:r>
              <w:rPr>
                <w:rFonts w:hint="eastAsia" w:ascii="宋体" w:hAnsi="宋体" w:eastAsia="宋体" w:cs="宋体"/>
                <w:snapToGrid w:val="0"/>
                <w:color w:val="000000"/>
                <w:spacing w:val="4"/>
                <w:kern w:val="0"/>
                <w:sz w:val="24"/>
                <w:szCs w:val="24"/>
                <w:highlight w:val="none"/>
              </w:rPr>
              <w:t>型</w:t>
            </w:r>
            <w:r>
              <w:rPr>
                <w:rFonts w:hint="eastAsia" w:ascii="宋体" w:hAnsi="宋体" w:eastAsia="宋体" w:cs="宋体"/>
                <w:snapToGrid w:val="0"/>
                <w:color w:val="000000"/>
                <w:spacing w:val="3"/>
                <w:kern w:val="0"/>
                <w:sz w:val="24"/>
                <w:szCs w:val="24"/>
                <w:highlight w:val="none"/>
              </w:rPr>
              <w:t>企业。</w:t>
            </w:r>
          </w:p>
          <w:p>
            <w:pPr>
              <w:widowControl/>
              <w:kinsoku w:val="0"/>
              <w:autoSpaceDE w:val="0"/>
              <w:autoSpaceDN w:val="0"/>
              <w:adjustRightInd w:val="0"/>
              <w:snapToGrid w:val="0"/>
              <w:spacing w:before="3" w:afterAutospacing="0" w:line="360" w:lineRule="auto"/>
              <w:ind w:left="23" w:right="13" w:firstLine="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6"/>
                <w:kern w:val="0"/>
                <w:sz w:val="24"/>
                <w:szCs w:val="24"/>
                <w:highlight w:val="none"/>
              </w:rPr>
              <w:t>1</w:t>
            </w:r>
            <w:r>
              <w:rPr>
                <w:rFonts w:hint="eastAsia" w:ascii="宋体" w:hAnsi="宋体" w:eastAsia="宋体" w:cs="宋体"/>
                <w:snapToGrid w:val="0"/>
                <w:color w:val="000000"/>
                <w:spacing w:val="4"/>
                <w:kern w:val="0"/>
                <w:sz w:val="24"/>
                <w:szCs w:val="24"/>
                <w:highlight w:val="none"/>
              </w:rPr>
              <w:t>1、信息传输业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从业人员2000人以下或营业收入100000万元以下</w:t>
            </w:r>
            <w:r>
              <w:rPr>
                <w:rFonts w:hint="eastAsia" w:ascii="宋体" w:hAnsi="宋体" w:eastAsia="宋体" w:cs="宋体"/>
                <w:snapToGrid w:val="0"/>
                <w:color w:val="000000"/>
                <w:spacing w:val="8"/>
                <w:kern w:val="0"/>
                <w:sz w:val="24"/>
                <w:szCs w:val="24"/>
                <w:highlight w:val="none"/>
              </w:rPr>
              <w:t>的为中小微型企业。其中,从业人员100人及以上，且营业收入100</w:t>
            </w:r>
            <w:r>
              <w:rPr>
                <w:rFonts w:hint="eastAsia" w:ascii="宋体" w:hAnsi="宋体" w:eastAsia="宋体" w:cs="宋体"/>
                <w:snapToGrid w:val="0"/>
                <w:color w:val="000000"/>
                <w:spacing w:val="6"/>
                <w:kern w:val="0"/>
                <w:sz w:val="24"/>
                <w:szCs w:val="24"/>
                <w:highlight w:val="none"/>
              </w:rPr>
              <w:t>0</w:t>
            </w:r>
            <w:r>
              <w:rPr>
                <w:rFonts w:hint="eastAsia" w:ascii="宋体" w:hAnsi="宋体" w:eastAsia="宋体" w:cs="宋体"/>
                <w:snapToGrid w:val="0"/>
                <w:color w:val="000000"/>
                <w:spacing w:val="8"/>
                <w:kern w:val="0"/>
                <w:sz w:val="24"/>
                <w:szCs w:val="24"/>
                <w:highlight w:val="none"/>
              </w:rPr>
              <w:t>万元及以上的</w:t>
            </w:r>
            <w:r>
              <w:rPr>
                <w:rFonts w:hint="eastAsia" w:ascii="宋体" w:hAnsi="宋体" w:eastAsia="宋体" w:cs="宋体"/>
                <w:snapToGrid w:val="0"/>
                <w:color w:val="000000"/>
                <w:spacing w:val="7"/>
                <w:kern w:val="0"/>
                <w:sz w:val="24"/>
                <w:szCs w:val="24"/>
                <w:highlight w:val="none"/>
              </w:rPr>
              <w:t>为</w:t>
            </w:r>
            <w:r>
              <w:rPr>
                <w:rFonts w:hint="eastAsia" w:ascii="宋体" w:hAnsi="宋体" w:eastAsia="宋体" w:cs="宋体"/>
                <w:snapToGrid w:val="0"/>
                <w:color w:val="000000"/>
                <w:spacing w:val="4"/>
                <w:kern w:val="0"/>
                <w:sz w:val="24"/>
                <w:szCs w:val="24"/>
                <w:highlight w:val="none"/>
              </w:rPr>
              <w:t>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从业人员10人及以上，且营业收入100万</w:t>
            </w:r>
            <w:r>
              <w:rPr>
                <w:rFonts w:hint="eastAsia" w:ascii="宋体" w:hAnsi="宋体" w:eastAsia="宋体" w:cs="宋体"/>
                <w:snapToGrid w:val="0"/>
                <w:color w:val="000000"/>
                <w:spacing w:val="2"/>
                <w:kern w:val="0"/>
                <w:sz w:val="24"/>
                <w:szCs w:val="24"/>
                <w:highlight w:val="none"/>
              </w:rPr>
              <w:t>元及以上的为小型企业；从业人员10人</w:t>
            </w:r>
            <w:r>
              <w:rPr>
                <w:rFonts w:hint="eastAsia" w:ascii="宋体" w:hAnsi="宋体" w:eastAsia="宋体" w:cs="宋体"/>
                <w:snapToGrid w:val="0"/>
                <w:color w:val="000000"/>
                <w:spacing w:val="1"/>
                <w:kern w:val="0"/>
                <w:sz w:val="24"/>
                <w:szCs w:val="24"/>
                <w:highlight w:val="none"/>
              </w:rPr>
              <w:t>以下或营业收入100万元以下</w:t>
            </w:r>
            <w:r>
              <w:rPr>
                <w:rFonts w:hint="eastAsia" w:ascii="宋体" w:hAnsi="宋体" w:eastAsia="宋体" w:cs="宋体"/>
                <w:snapToGrid w:val="0"/>
                <w:color w:val="000000"/>
                <w:spacing w:val="7"/>
                <w:kern w:val="0"/>
                <w:sz w:val="24"/>
                <w:szCs w:val="24"/>
                <w:highlight w:val="none"/>
              </w:rPr>
              <w:t>的为微型企业</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afterAutospacing="0" w:line="360" w:lineRule="auto"/>
              <w:ind w:left="20" w:right="15" w:firstLine="18"/>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4"/>
                <w:kern w:val="0"/>
                <w:sz w:val="24"/>
                <w:szCs w:val="24"/>
                <w:highlight w:val="none"/>
              </w:rPr>
              <w:t>1</w:t>
            </w:r>
            <w:r>
              <w:rPr>
                <w:rFonts w:hint="eastAsia" w:ascii="宋体" w:hAnsi="宋体" w:eastAsia="宋体" w:cs="宋体"/>
                <w:snapToGrid w:val="0"/>
                <w:color w:val="000000"/>
                <w:spacing w:val="11"/>
                <w:kern w:val="0"/>
                <w:sz w:val="24"/>
                <w:szCs w:val="24"/>
                <w:highlight w:val="none"/>
              </w:rPr>
              <w:t>2</w:t>
            </w:r>
            <w:r>
              <w:rPr>
                <w:rFonts w:hint="eastAsia" w:ascii="宋体" w:hAnsi="宋体" w:eastAsia="宋体" w:cs="宋体"/>
                <w:snapToGrid w:val="0"/>
                <w:color w:val="000000"/>
                <w:spacing w:val="7"/>
                <w:kern w:val="0"/>
                <w:sz w:val="24"/>
                <w:szCs w:val="24"/>
                <w:highlight w:val="none"/>
              </w:rPr>
              <w:t>、软件和信息技术服务业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7"/>
                <w:kern w:val="0"/>
                <w:sz w:val="24"/>
                <w:szCs w:val="24"/>
                <w:highlight w:val="none"/>
              </w:rPr>
              <w:t>从业人员300人以下或营业收入10000</w:t>
            </w:r>
            <w:r>
              <w:rPr>
                <w:rFonts w:hint="eastAsia" w:ascii="宋体" w:hAnsi="宋体" w:eastAsia="宋体" w:cs="宋体"/>
                <w:snapToGrid w:val="0"/>
                <w:color w:val="000000"/>
                <w:spacing w:val="16"/>
                <w:kern w:val="0"/>
                <w:sz w:val="24"/>
                <w:szCs w:val="24"/>
                <w:highlight w:val="none"/>
              </w:rPr>
              <w:t>万元以</w:t>
            </w:r>
            <w:r>
              <w:rPr>
                <w:rFonts w:hint="eastAsia" w:ascii="宋体" w:hAnsi="宋体" w:eastAsia="宋体" w:cs="宋体"/>
                <w:snapToGrid w:val="0"/>
                <w:color w:val="000000"/>
                <w:spacing w:val="9"/>
                <w:kern w:val="0"/>
                <w:sz w:val="24"/>
                <w:szCs w:val="24"/>
                <w:highlight w:val="none"/>
              </w:rPr>
              <w:t>下</w:t>
            </w:r>
            <w:r>
              <w:rPr>
                <w:rFonts w:hint="eastAsia" w:ascii="宋体" w:hAnsi="宋体" w:eastAsia="宋体" w:cs="宋体"/>
                <w:snapToGrid w:val="0"/>
                <w:color w:val="000000"/>
                <w:spacing w:val="8"/>
                <w:kern w:val="0"/>
                <w:sz w:val="24"/>
                <w:szCs w:val="24"/>
                <w:highlight w:val="none"/>
              </w:rPr>
              <w:t>的为中小微型企业。其中，从业人员100人及以上，且营业</w:t>
            </w:r>
            <w:r>
              <w:rPr>
                <w:rFonts w:hint="eastAsia" w:ascii="宋体" w:hAnsi="宋体" w:eastAsia="宋体" w:cs="宋体"/>
                <w:snapToGrid w:val="0"/>
                <w:color w:val="000000"/>
                <w:spacing w:val="2"/>
                <w:kern w:val="0"/>
                <w:sz w:val="24"/>
                <w:szCs w:val="24"/>
                <w:highlight w:val="none"/>
              </w:rPr>
              <w:t>收入1000万元及以上的为中型企业；从业</w:t>
            </w:r>
            <w:r>
              <w:rPr>
                <w:rFonts w:hint="eastAsia" w:ascii="宋体" w:hAnsi="宋体" w:eastAsia="宋体" w:cs="宋体"/>
                <w:snapToGrid w:val="0"/>
                <w:color w:val="000000"/>
                <w:spacing w:val="1"/>
                <w:kern w:val="0"/>
                <w:sz w:val="24"/>
                <w:szCs w:val="24"/>
                <w:highlight w:val="none"/>
              </w:rPr>
              <w:t>人员10人及以上,且营业收</w:t>
            </w:r>
            <w:r>
              <w:rPr>
                <w:rFonts w:hint="eastAsia" w:ascii="宋体" w:hAnsi="宋体" w:eastAsia="宋体" w:cs="宋体"/>
                <w:snapToGrid w:val="0"/>
                <w:color w:val="000000"/>
                <w:spacing w:val="-2"/>
                <w:kern w:val="0"/>
                <w:sz w:val="24"/>
                <w:szCs w:val="24"/>
                <w:highlight w:val="none"/>
              </w:rPr>
              <w:t>入50万元及以上的为小型企业；从</w:t>
            </w:r>
            <w:r>
              <w:rPr>
                <w:rFonts w:hint="eastAsia" w:ascii="宋体" w:hAnsi="宋体" w:eastAsia="宋体" w:cs="宋体"/>
                <w:snapToGrid w:val="0"/>
                <w:color w:val="000000"/>
                <w:spacing w:val="-1"/>
                <w:kern w:val="0"/>
                <w:sz w:val="24"/>
                <w:szCs w:val="24"/>
                <w:highlight w:val="none"/>
              </w:rPr>
              <w:t>业人员10人以下或营业收入50万</w:t>
            </w:r>
            <w:r>
              <w:rPr>
                <w:rFonts w:hint="eastAsia" w:ascii="宋体" w:hAnsi="宋体" w:eastAsia="宋体" w:cs="宋体"/>
                <w:snapToGrid w:val="0"/>
                <w:color w:val="000000"/>
                <w:spacing w:val="9"/>
                <w:kern w:val="0"/>
                <w:sz w:val="24"/>
                <w:szCs w:val="24"/>
                <w:highlight w:val="none"/>
              </w:rPr>
              <w:t>元</w:t>
            </w:r>
            <w:r>
              <w:rPr>
                <w:rFonts w:hint="eastAsia" w:ascii="宋体" w:hAnsi="宋体" w:eastAsia="宋体" w:cs="宋体"/>
                <w:snapToGrid w:val="0"/>
                <w:color w:val="000000"/>
                <w:spacing w:val="8"/>
                <w:kern w:val="0"/>
                <w:sz w:val="24"/>
                <w:szCs w:val="24"/>
                <w:highlight w:val="none"/>
              </w:rPr>
              <w:t>以下的为微型企业。</w:t>
            </w:r>
          </w:p>
          <w:p>
            <w:pPr>
              <w:widowControl/>
              <w:kinsoku w:val="0"/>
              <w:autoSpaceDE w:val="0"/>
              <w:autoSpaceDN w:val="0"/>
              <w:adjustRightInd w:val="0"/>
              <w:snapToGrid w:val="0"/>
              <w:spacing w:beforeAutospacing="0" w:afterAutospacing="0" w:line="360" w:lineRule="auto"/>
              <w:ind w:left="21" w:right="13" w:firstLine="17"/>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
                <w:kern w:val="0"/>
                <w:sz w:val="24"/>
                <w:szCs w:val="24"/>
                <w:highlight w:val="none"/>
              </w:rPr>
              <w:t>13、房地产开发经营</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营业收入200000万元以下或资产总额10000万</w:t>
            </w:r>
            <w:r>
              <w:rPr>
                <w:rFonts w:hint="eastAsia" w:ascii="宋体" w:hAnsi="宋体" w:eastAsia="宋体" w:cs="宋体"/>
                <w:snapToGrid w:val="0"/>
                <w:color w:val="000000"/>
                <w:spacing w:val="16"/>
                <w:kern w:val="0"/>
                <w:sz w:val="24"/>
                <w:szCs w:val="24"/>
                <w:highlight w:val="none"/>
              </w:rPr>
              <w:t>元以</w:t>
            </w:r>
            <w:r>
              <w:rPr>
                <w:rFonts w:hint="eastAsia" w:ascii="宋体" w:hAnsi="宋体" w:eastAsia="宋体" w:cs="宋体"/>
                <w:snapToGrid w:val="0"/>
                <w:color w:val="000000"/>
                <w:spacing w:val="10"/>
                <w:kern w:val="0"/>
                <w:sz w:val="24"/>
                <w:szCs w:val="24"/>
                <w:highlight w:val="none"/>
              </w:rPr>
              <w:t>下</w:t>
            </w:r>
            <w:r>
              <w:rPr>
                <w:rFonts w:hint="eastAsia" w:ascii="宋体" w:hAnsi="宋体" w:eastAsia="宋体" w:cs="宋体"/>
                <w:snapToGrid w:val="0"/>
                <w:color w:val="000000"/>
                <w:spacing w:val="8"/>
                <w:kern w:val="0"/>
                <w:sz w:val="24"/>
                <w:szCs w:val="24"/>
                <w:highlight w:val="none"/>
              </w:rPr>
              <w:t>的为中小微型企业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8"/>
                <w:kern w:val="0"/>
                <w:sz w:val="24"/>
                <w:szCs w:val="24"/>
                <w:highlight w:val="none"/>
              </w:rPr>
              <w:t>其中，营业收入1000万元及以上，且资产总额500</w:t>
            </w:r>
            <w:r>
              <w:rPr>
                <w:rFonts w:hint="eastAsia" w:ascii="宋体" w:hAnsi="宋体" w:eastAsia="宋体" w:cs="宋体"/>
                <w:snapToGrid w:val="0"/>
                <w:color w:val="000000"/>
                <w:spacing w:val="5"/>
                <w:kern w:val="0"/>
                <w:sz w:val="24"/>
                <w:szCs w:val="24"/>
                <w:highlight w:val="none"/>
              </w:rPr>
              <w:t>0</w:t>
            </w:r>
            <w:r>
              <w:rPr>
                <w:rFonts w:hint="eastAsia" w:ascii="宋体" w:hAnsi="宋体" w:eastAsia="宋体" w:cs="宋体"/>
                <w:snapToGrid w:val="0"/>
                <w:color w:val="000000"/>
                <w:spacing w:val="4"/>
                <w:kern w:val="0"/>
                <w:sz w:val="24"/>
                <w:szCs w:val="24"/>
                <w:highlight w:val="none"/>
              </w:rPr>
              <w:t>万元及以上的为中型企业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营业收入100万元及以上，且资</w:t>
            </w:r>
            <w:r>
              <w:rPr>
                <w:rFonts w:hint="eastAsia" w:ascii="宋体" w:hAnsi="宋体" w:eastAsia="宋体" w:cs="宋体"/>
                <w:snapToGrid w:val="0"/>
                <w:color w:val="000000"/>
                <w:spacing w:val="2"/>
                <w:kern w:val="0"/>
                <w:sz w:val="24"/>
                <w:szCs w:val="24"/>
                <w:highlight w:val="none"/>
              </w:rPr>
              <w:t>产总额2000万元及以上的为小型企业；</w:t>
            </w:r>
            <w:r>
              <w:rPr>
                <w:rFonts w:hint="eastAsia" w:ascii="宋体" w:hAnsi="宋体" w:eastAsia="宋体" w:cs="宋体"/>
                <w:snapToGrid w:val="0"/>
                <w:color w:val="000000"/>
                <w:spacing w:val="1"/>
                <w:kern w:val="0"/>
                <w:sz w:val="24"/>
                <w:szCs w:val="24"/>
                <w:highlight w:val="none"/>
              </w:rPr>
              <w:t>营业收入100万元以下或资产</w:t>
            </w:r>
            <w:r>
              <w:rPr>
                <w:rFonts w:hint="eastAsia" w:ascii="宋体" w:hAnsi="宋体" w:eastAsia="宋体" w:cs="宋体"/>
                <w:snapToGrid w:val="0"/>
                <w:color w:val="000000"/>
                <w:spacing w:val="2"/>
                <w:kern w:val="0"/>
                <w:sz w:val="24"/>
                <w:szCs w:val="24"/>
                <w:highlight w:val="none"/>
              </w:rPr>
              <w:t>总</w:t>
            </w:r>
            <w:r>
              <w:rPr>
                <w:rFonts w:hint="eastAsia" w:ascii="宋体" w:hAnsi="宋体" w:eastAsia="宋体" w:cs="宋体"/>
                <w:snapToGrid w:val="0"/>
                <w:color w:val="000000"/>
                <w:spacing w:val="1"/>
                <w:kern w:val="0"/>
                <w:sz w:val="24"/>
                <w:szCs w:val="24"/>
                <w:highlight w:val="none"/>
              </w:rPr>
              <w:t>额2000万元以下的为微型企业。</w:t>
            </w:r>
          </w:p>
          <w:p>
            <w:pPr>
              <w:widowControl/>
              <w:kinsoku w:val="0"/>
              <w:autoSpaceDE w:val="0"/>
              <w:autoSpaceDN w:val="0"/>
              <w:adjustRightInd w:val="0"/>
              <w:snapToGrid w:val="0"/>
              <w:spacing w:beforeAutospacing="0" w:afterAutospacing="0" w:line="360" w:lineRule="auto"/>
              <w:ind w:left="21" w:right="13" w:firstLine="17"/>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1</w:t>
            </w:r>
            <w:r>
              <w:rPr>
                <w:rFonts w:hint="eastAsia" w:ascii="宋体" w:hAnsi="宋体" w:eastAsia="宋体" w:cs="宋体"/>
                <w:snapToGrid w:val="0"/>
                <w:color w:val="000000"/>
                <w:spacing w:val="1"/>
                <w:kern w:val="0"/>
                <w:sz w:val="24"/>
                <w:szCs w:val="24"/>
                <w:highlight w:val="none"/>
              </w:rPr>
              <w:t>4、物业管理</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从业人员1000人以下或营业收入5000万元以下的为中</w:t>
            </w:r>
            <w:r>
              <w:rPr>
                <w:rFonts w:hint="eastAsia" w:ascii="宋体" w:hAnsi="宋体" w:eastAsia="宋体" w:cs="宋体"/>
                <w:snapToGrid w:val="0"/>
                <w:color w:val="000000"/>
                <w:spacing w:val="8"/>
                <w:kern w:val="0"/>
                <w:sz w:val="24"/>
                <w:szCs w:val="24"/>
                <w:highlight w:val="none"/>
              </w:rPr>
              <w:t>小微型企业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7"/>
                <w:kern w:val="0"/>
                <w:sz w:val="24"/>
                <w:szCs w:val="24"/>
                <w:highlight w:val="none"/>
              </w:rPr>
              <w:t>其</w:t>
            </w:r>
            <w:r>
              <w:rPr>
                <w:rFonts w:hint="eastAsia" w:ascii="宋体" w:hAnsi="宋体" w:eastAsia="宋体" w:cs="宋体"/>
                <w:snapToGrid w:val="0"/>
                <w:color w:val="000000"/>
                <w:spacing w:val="4"/>
                <w:kern w:val="0"/>
                <w:sz w:val="24"/>
                <w:szCs w:val="24"/>
                <w:highlight w:val="none"/>
              </w:rPr>
              <w:t>中，从业人员300人及以上,且营业收入1000万元及</w:t>
            </w:r>
            <w:r>
              <w:rPr>
                <w:rFonts w:hint="eastAsia" w:ascii="宋体" w:hAnsi="宋体" w:eastAsia="宋体" w:cs="宋体"/>
                <w:snapToGrid w:val="0"/>
                <w:color w:val="000000"/>
                <w:spacing w:val="2"/>
                <w:kern w:val="0"/>
                <w:sz w:val="24"/>
                <w:szCs w:val="24"/>
                <w:highlight w:val="none"/>
              </w:rPr>
              <w:t>以上的为中型企业；从业人员100人及以</w:t>
            </w:r>
            <w:r>
              <w:rPr>
                <w:rFonts w:hint="eastAsia" w:ascii="宋体" w:hAnsi="宋体" w:eastAsia="宋体" w:cs="宋体"/>
                <w:snapToGrid w:val="0"/>
                <w:color w:val="000000"/>
                <w:spacing w:val="1"/>
                <w:kern w:val="0"/>
                <w:sz w:val="24"/>
                <w:szCs w:val="24"/>
                <w:highlight w:val="none"/>
              </w:rPr>
              <w:t>上,且营业收入500万元及以</w:t>
            </w:r>
            <w:r>
              <w:rPr>
                <w:rFonts w:hint="eastAsia" w:ascii="宋体" w:hAnsi="宋体" w:eastAsia="宋体" w:cs="宋体"/>
                <w:snapToGrid w:val="0"/>
                <w:color w:val="000000"/>
                <w:spacing w:val="5"/>
                <w:kern w:val="0"/>
                <w:sz w:val="24"/>
                <w:szCs w:val="24"/>
                <w:highlight w:val="none"/>
              </w:rPr>
              <w:t>上的为小型企业；从业人员100人以下或营业收入500万元以下</w:t>
            </w:r>
            <w:r>
              <w:rPr>
                <w:rFonts w:hint="eastAsia" w:ascii="宋体" w:hAnsi="宋体" w:eastAsia="宋体" w:cs="宋体"/>
                <w:snapToGrid w:val="0"/>
                <w:color w:val="000000"/>
                <w:spacing w:val="3"/>
                <w:kern w:val="0"/>
                <w:sz w:val="24"/>
                <w:szCs w:val="24"/>
                <w:highlight w:val="none"/>
              </w:rPr>
              <w:t>的</w:t>
            </w:r>
            <w:r>
              <w:rPr>
                <w:rFonts w:hint="eastAsia" w:ascii="宋体" w:hAnsi="宋体" w:eastAsia="宋体" w:cs="宋体"/>
                <w:snapToGrid w:val="0"/>
                <w:color w:val="000000"/>
                <w:kern w:val="0"/>
                <w:sz w:val="24"/>
                <w:szCs w:val="24"/>
                <w:highlight w:val="none"/>
              </w:rPr>
              <w:t>为</w:t>
            </w:r>
            <w:r>
              <w:rPr>
                <w:rFonts w:hint="eastAsia" w:ascii="宋体" w:hAnsi="宋体" w:eastAsia="宋体" w:cs="宋体"/>
                <w:snapToGrid w:val="0"/>
                <w:color w:val="000000"/>
                <w:spacing w:val="6"/>
                <w:kern w:val="0"/>
                <w:sz w:val="24"/>
                <w:szCs w:val="24"/>
                <w:highlight w:val="none"/>
              </w:rPr>
              <w:t>微型企业。</w:t>
            </w:r>
          </w:p>
          <w:p>
            <w:pPr>
              <w:widowControl/>
              <w:kinsoku w:val="0"/>
              <w:autoSpaceDE w:val="0"/>
              <w:autoSpaceDN w:val="0"/>
              <w:adjustRightInd w:val="0"/>
              <w:snapToGrid w:val="0"/>
              <w:spacing w:beforeAutospacing="0" w:afterAutospacing="0" w:line="360" w:lineRule="auto"/>
              <w:ind w:left="23" w:right="15" w:firstLine="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1</w:t>
            </w:r>
            <w:r>
              <w:rPr>
                <w:rFonts w:hint="eastAsia" w:ascii="宋体" w:hAnsi="宋体" w:eastAsia="宋体" w:cs="宋体"/>
                <w:snapToGrid w:val="0"/>
                <w:color w:val="000000"/>
                <w:spacing w:val="1"/>
                <w:kern w:val="0"/>
                <w:sz w:val="24"/>
                <w:szCs w:val="24"/>
                <w:highlight w:val="none"/>
              </w:rPr>
              <w:t>5、租赁和商务服务业</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从业人员300人以下或资产总额120000万元</w:t>
            </w:r>
            <w:r>
              <w:rPr>
                <w:rFonts w:hint="eastAsia" w:ascii="宋体" w:hAnsi="宋体" w:eastAsia="宋体" w:cs="宋体"/>
                <w:snapToGrid w:val="0"/>
                <w:color w:val="000000"/>
                <w:spacing w:val="-2"/>
                <w:kern w:val="0"/>
                <w:sz w:val="24"/>
                <w:szCs w:val="24"/>
                <w:highlight w:val="none"/>
              </w:rPr>
              <w:t>以下的为中小微型企业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其中，从业人员100</w:t>
            </w:r>
            <w:r>
              <w:rPr>
                <w:rFonts w:hint="eastAsia" w:ascii="宋体" w:hAnsi="宋体" w:eastAsia="宋体" w:cs="宋体"/>
                <w:snapToGrid w:val="0"/>
                <w:color w:val="000000"/>
                <w:spacing w:val="-1"/>
                <w:kern w:val="0"/>
                <w:sz w:val="24"/>
                <w:szCs w:val="24"/>
                <w:highlight w:val="none"/>
              </w:rPr>
              <w:t>人及以上，且资产总额8000</w:t>
            </w:r>
            <w:r>
              <w:rPr>
                <w:rFonts w:hint="eastAsia" w:ascii="宋体" w:hAnsi="宋体" w:eastAsia="宋体" w:cs="宋体"/>
                <w:snapToGrid w:val="0"/>
                <w:color w:val="000000"/>
                <w:spacing w:val="2"/>
                <w:kern w:val="0"/>
                <w:sz w:val="24"/>
                <w:szCs w:val="24"/>
                <w:highlight w:val="none"/>
              </w:rPr>
              <w:t>万元及以上的为中型企业；从业人员10</w:t>
            </w:r>
            <w:r>
              <w:rPr>
                <w:rFonts w:hint="eastAsia" w:ascii="宋体" w:hAnsi="宋体" w:eastAsia="宋体" w:cs="宋体"/>
                <w:snapToGrid w:val="0"/>
                <w:color w:val="000000"/>
                <w:spacing w:val="1"/>
                <w:kern w:val="0"/>
                <w:sz w:val="24"/>
                <w:szCs w:val="24"/>
                <w:highlight w:val="none"/>
              </w:rPr>
              <w:t>人及以上，且资产总额100万</w:t>
            </w:r>
            <w:r>
              <w:rPr>
                <w:rFonts w:hint="eastAsia" w:ascii="宋体" w:hAnsi="宋体" w:eastAsia="宋体" w:cs="宋体"/>
                <w:snapToGrid w:val="0"/>
                <w:color w:val="000000"/>
                <w:spacing w:val="8"/>
                <w:kern w:val="0"/>
                <w:sz w:val="24"/>
                <w:szCs w:val="24"/>
                <w:highlight w:val="none"/>
              </w:rPr>
              <w:t>元及以上的为小型企业。</w:t>
            </w:r>
          </w:p>
          <w:p>
            <w:pPr>
              <w:widowControl/>
              <w:kinsoku w:val="0"/>
              <w:autoSpaceDE w:val="0"/>
              <w:autoSpaceDN w:val="0"/>
              <w:adjustRightInd w:val="0"/>
              <w:snapToGrid w:val="0"/>
              <w:spacing w:beforeAutospacing="0" w:line="360" w:lineRule="auto"/>
              <w:ind w:left="24" w:right="15" w:firstLine="14"/>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16、</w:t>
            </w:r>
            <w:r>
              <w:rPr>
                <w:rFonts w:hint="eastAsia" w:ascii="宋体" w:hAnsi="宋体" w:eastAsia="宋体" w:cs="宋体"/>
                <w:snapToGrid w:val="0"/>
                <w:color w:val="000000"/>
                <w:spacing w:val="7"/>
                <w:kern w:val="0"/>
                <w:sz w:val="24"/>
                <w:szCs w:val="24"/>
                <w:highlight w:val="none"/>
              </w:rPr>
              <w:t>其</w:t>
            </w:r>
            <w:r>
              <w:rPr>
                <w:rFonts w:hint="eastAsia" w:ascii="宋体" w:hAnsi="宋体" w:eastAsia="宋体" w:cs="宋体"/>
                <w:snapToGrid w:val="0"/>
                <w:color w:val="000000"/>
                <w:spacing w:val="4"/>
                <w:kern w:val="0"/>
                <w:sz w:val="24"/>
                <w:szCs w:val="24"/>
                <w:highlight w:val="none"/>
              </w:rPr>
              <w:t>他未列明行业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从业人员300人以下的为中小微型企业。其中，</w:t>
            </w:r>
            <w:r>
              <w:rPr>
                <w:rFonts w:hint="eastAsia" w:ascii="宋体" w:hAnsi="宋体" w:eastAsia="宋体" w:cs="宋体"/>
                <w:snapToGrid w:val="0"/>
                <w:color w:val="000000"/>
                <w:spacing w:val="8"/>
                <w:kern w:val="0"/>
                <w:sz w:val="24"/>
                <w:szCs w:val="24"/>
                <w:highlight w:val="none"/>
              </w:rPr>
              <w:t>从业人员1</w:t>
            </w:r>
            <w:r>
              <w:rPr>
                <w:rFonts w:hint="eastAsia" w:ascii="宋体" w:hAnsi="宋体" w:eastAsia="宋体" w:cs="宋体"/>
                <w:snapToGrid w:val="0"/>
                <w:color w:val="000000"/>
                <w:spacing w:val="6"/>
                <w:kern w:val="0"/>
                <w:sz w:val="24"/>
                <w:szCs w:val="24"/>
                <w:highlight w:val="none"/>
              </w:rPr>
              <w:t>0</w:t>
            </w:r>
            <w:r>
              <w:rPr>
                <w:rFonts w:hint="eastAsia" w:ascii="宋体" w:hAnsi="宋体" w:eastAsia="宋体" w:cs="宋体"/>
                <w:snapToGrid w:val="0"/>
                <w:color w:val="000000"/>
                <w:spacing w:val="4"/>
                <w:kern w:val="0"/>
                <w:sz w:val="24"/>
                <w:szCs w:val="24"/>
                <w:highlight w:val="none"/>
              </w:rPr>
              <w:t>0人及以上的为中型企业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从业人员10人及以上的为小型企业</w:t>
            </w:r>
            <w:r>
              <w:rPr>
                <w:rFonts w:hint="eastAsia" w:ascii="宋体" w:hAnsi="宋体" w:eastAsia="宋体" w:cs="宋体"/>
                <w:snapToGrid w:val="0"/>
                <w:color w:val="000000"/>
                <w:spacing w:val="3"/>
                <w:kern w:val="0"/>
                <w:sz w:val="24"/>
                <w:szCs w:val="24"/>
                <w:highlight w:val="none"/>
              </w:rPr>
              <w:t>；</w:t>
            </w:r>
            <w:r>
              <w:rPr>
                <w:rFonts w:hint="eastAsia" w:ascii="宋体" w:hAnsi="宋体" w:eastAsia="宋体" w:cs="宋体"/>
                <w:snapToGrid w:val="0"/>
                <w:color w:val="000000"/>
                <w:spacing w:val="2"/>
                <w:kern w:val="0"/>
                <w:sz w:val="24"/>
                <w:szCs w:val="24"/>
                <w:highlight w:val="none"/>
              </w:rPr>
              <w:t>从业人员10人以下的为微型企业。</w:t>
            </w:r>
          </w:p>
          <w:p>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napToGrid w:val="0"/>
                <w:color w:val="auto"/>
                <w:spacing w:val="11"/>
                <w:kern w:val="0"/>
                <w:sz w:val="24"/>
                <w:szCs w:val="24"/>
                <w:highlight w:val="none"/>
                <w:shd w:val="clear"/>
                <w14:textOutline w14:w="4358" w14:cap="sq" w14:cmpd="sng">
                  <w14:solidFill>
                    <w14:srgbClr w14:val="000000"/>
                  </w14:solidFill>
                  <w14:prstDash w14:val="solid"/>
                  <w14:bevel/>
                </w14:textOutline>
              </w:rPr>
              <w:t>本</w:t>
            </w:r>
            <w:r>
              <w:rPr>
                <w:rFonts w:hint="eastAsia" w:ascii="宋体" w:hAnsi="宋体" w:eastAsia="宋体" w:cs="宋体"/>
                <w:snapToGrid w:val="0"/>
                <w:color w:val="auto"/>
                <w:spacing w:val="10"/>
                <w:kern w:val="0"/>
                <w:sz w:val="24"/>
                <w:szCs w:val="24"/>
                <w:highlight w:val="none"/>
                <w:shd w:val="clear"/>
                <w14:textOutline w14:w="4358" w14:cap="sq" w14:cmpd="sng">
                  <w14:solidFill>
                    <w14:srgbClr w14:val="000000"/>
                  </w14:solidFill>
                  <w14:prstDash w14:val="solid"/>
                  <w14:bevel/>
                </w14:textOutline>
              </w:rPr>
              <w:t>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23</w:t>
            </w:r>
          </w:p>
        </w:tc>
        <w:tc>
          <w:tcPr>
            <w:tcW w:w="9175" w:type="dxa"/>
            <w:noWrap w:val="0"/>
            <w:vAlign w:val="center"/>
          </w:tcPr>
          <w:p>
            <w:pPr>
              <w:widowControl/>
              <w:kinsoku w:val="0"/>
              <w:autoSpaceDE w:val="0"/>
              <w:autoSpaceDN w:val="0"/>
              <w:adjustRightInd w:val="0"/>
              <w:snapToGrid w:val="0"/>
              <w:spacing w:beforeAutospacing="0" w:afterAutospacing="0" w:line="360" w:lineRule="auto"/>
              <w:ind w:left="21" w:right="15" w:firstLine="500" w:firstLineChars="200"/>
              <w:jc w:val="left"/>
              <w:textAlignment w:val="baseline"/>
              <w:rPr>
                <w:rFonts w:hint="eastAsia" w:ascii="宋体" w:hAnsi="宋体" w:eastAsia="宋体" w:cs="宋体"/>
                <w:snapToGrid w:val="0"/>
                <w:color w:val="000000"/>
                <w:spacing w:val="5"/>
                <w:kern w:val="0"/>
                <w:sz w:val="24"/>
                <w:szCs w:val="24"/>
                <w:highlight w:val="none"/>
              </w:rPr>
            </w:pPr>
            <w:r>
              <w:rPr>
                <w:rFonts w:hint="eastAsia" w:ascii="宋体" w:hAnsi="宋体" w:eastAsia="宋体" w:cs="宋体"/>
                <w:snapToGrid w:val="0"/>
                <w:color w:val="000000"/>
                <w:spacing w:val="5"/>
                <w:kern w:val="0"/>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宋体" w:hAnsi="宋体" w:eastAsia="宋体" w:cs="宋体"/>
                <w:snapToGrid w:val="0"/>
                <w:color w:val="000000"/>
                <w:spacing w:val="5"/>
                <w:kern w:val="0"/>
                <w:sz w:val="24"/>
                <w:szCs w:val="24"/>
                <w:highlight w:val="none"/>
                <w:lang w:val="en-US" w:eastAsia="zh-CN"/>
              </w:rPr>
              <w:t>管理</w:t>
            </w:r>
            <w:r>
              <w:rPr>
                <w:rFonts w:hint="eastAsia" w:ascii="宋体" w:hAnsi="宋体" w:eastAsia="宋体" w:cs="宋体"/>
                <w:snapToGrid w:val="0"/>
                <w:color w:val="000000"/>
                <w:spacing w:val="5"/>
                <w:kern w:val="0"/>
                <w:sz w:val="24"/>
                <w:szCs w:val="24"/>
                <w:highlight w:val="none"/>
              </w:rPr>
              <w:t>办法》（财库〔20</w:t>
            </w:r>
            <w:r>
              <w:rPr>
                <w:rFonts w:hint="eastAsia" w:ascii="宋体" w:hAnsi="宋体" w:eastAsia="宋体" w:cs="宋体"/>
                <w:snapToGrid w:val="0"/>
                <w:color w:val="000000"/>
                <w:spacing w:val="5"/>
                <w:kern w:val="0"/>
                <w:sz w:val="24"/>
                <w:szCs w:val="24"/>
                <w:highlight w:val="none"/>
                <w:lang w:val="en-US" w:eastAsia="zh-CN"/>
              </w:rPr>
              <w:t>20</w:t>
            </w:r>
            <w:r>
              <w:rPr>
                <w:rFonts w:hint="eastAsia" w:ascii="宋体" w:hAnsi="宋体" w:eastAsia="宋体" w:cs="宋体"/>
                <w:snapToGrid w:val="0"/>
                <w:color w:val="000000"/>
                <w:spacing w:val="5"/>
                <w:kern w:val="0"/>
                <w:sz w:val="24"/>
                <w:szCs w:val="24"/>
                <w:highlight w:val="none"/>
              </w:rPr>
              <w:t>〕</w:t>
            </w:r>
            <w:r>
              <w:rPr>
                <w:rFonts w:hint="eastAsia" w:ascii="宋体" w:hAnsi="宋体" w:eastAsia="宋体" w:cs="宋体"/>
                <w:snapToGrid w:val="0"/>
                <w:color w:val="000000"/>
                <w:spacing w:val="5"/>
                <w:kern w:val="0"/>
                <w:sz w:val="24"/>
                <w:szCs w:val="24"/>
                <w:highlight w:val="none"/>
                <w:lang w:val="en-US" w:eastAsia="zh-CN"/>
              </w:rPr>
              <w:t>46</w:t>
            </w:r>
            <w:r>
              <w:rPr>
                <w:rFonts w:hint="eastAsia" w:ascii="宋体" w:hAnsi="宋体" w:eastAsia="宋体" w:cs="宋体"/>
                <w:snapToGrid w:val="0"/>
                <w:color w:val="000000"/>
                <w:spacing w:val="5"/>
                <w:kern w:val="0"/>
                <w:sz w:val="24"/>
                <w:szCs w:val="24"/>
                <w:highlight w:val="none"/>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eastAsia="宋体" w:cs="宋体"/>
                <w:snapToGrid w:val="0"/>
                <w:color w:val="000000"/>
                <w:spacing w:val="5"/>
                <w:kern w:val="0"/>
                <w:sz w:val="24"/>
                <w:szCs w:val="24"/>
                <w:highlight w:val="none"/>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snapToGrid w:val="0"/>
                <w:color w:val="000000"/>
                <w:spacing w:val="5"/>
                <w:kern w:val="0"/>
                <w:sz w:val="24"/>
                <w:szCs w:val="24"/>
                <w:highlight w:val="none"/>
              </w:rPr>
              <w:t>http://www.ccgp-shaanxi.gov.cn/zcdservice/zcd/shanxi/）在线申请，依法参加政府采购信用融资活动。</w:t>
            </w:r>
          </w:p>
          <w:p>
            <w:pPr>
              <w:widowControl/>
              <w:kinsoku w:val="0"/>
              <w:autoSpaceDE w:val="0"/>
              <w:autoSpaceDN w:val="0"/>
              <w:adjustRightInd w:val="0"/>
              <w:snapToGrid w:val="0"/>
              <w:spacing w:beforeAutospacing="0" w:afterAutospacing="0" w:line="360" w:lineRule="auto"/>
              <w:ind w:left="21" w:right="15" w:firstLine="500" w:firstLineChars="200"/>
              <w:jc w:val="left"/>
              <w:textAlignment w:val="baseline"/>
              <w:rPr>
                <w:rFonts w:hint="eastAsia"/>
                <w:highlight w:val="none"/>
              </w:rPr>
            </w:pPr>
            <w:r>
              <w:rPr>
                <w:rFonts w:hint="eastAsia" w:ascii="宋体" w:hAnsi="宋体" w:eastAsia="宋体" w:cs="宋体"/>
                <w:snapToGrid w:val="0"/>
                <w:color w:val="000000"/>
                <w:spacing w:val="5"/>
                <w:kern w:val="0"/>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pPr>
        <w:spacing w:line="360" w:lineRule="auto"/>
        <w:rPr>
          <w:rFonts w:hint="eastAsia" w:ascii="宋体" w:hAnsi="宋体" w:cs="宋体"/>
          <w:sz w:val="32"/>
          <w:szCs w:val="32"/>
          <w:highlight w:val="none"/>
        </w:rPr>
      </w:pPr>
      <w:bookmarkStart w:id="18" w:name="_Toc3483"/>
      <w:bookmarkStart w:id="19" w:name="_Toc17899"/>
      <w:bookmarkStart w:id="20" w:name="_Toc895"/>
      <w:bookmarkStart w:id="21" w:name="_Toc124"/>
      <w:r>
        <w:rPr>
          <w:rFonts w:hint="eastAsia" w:ascii="宋体" w:hAnsi="宋体" w:cs="宋体"/>
          <w:sz w:val="32"/>
          <w:szCs w:val="32"/>
          <w:highlight w:val="none"/>
        </w:rPr>
        <w:br w:type="page"/>
      </w:r>
    </w:p>
    <w:p>
      <w:pPr>
        <w:pStyle w:val="2"/>
        <w:spacing w:before="0" w:after="0" w:line="360" w:lineRule="auto"/>
        <w:jc w:val="center"/>
        <w:rPr>
          <w:rFonts w:hint="eastAsia" w:ascii="宋体" w:hAnsi="宋体" w:cs="宋体"/>
          <w:b w:val="0"/>
          <w:szCs w:val="32"/>
          <w:highlight w:val="none"/>
        </w:rPr>
      </w:pPr>
      <w:bookmarkStart w:id="22" w:name="_Toc21259"/>
      <w:r>
        <w:rPr>
          <w:rFonts w:hint="eastAsia" w:ascii="宋体" w:hAnsi="宋体" w:cs="宋体"/>
          <w:sz w:val="32"/>
          <w:szCs w:val="32"/>
          <w:highlight w:val="none"/>
        </w:rPr>
        <w:t>第三部分 供应商须知</w:t>
      </w:r>
      <w:bookmarkEnd w:id="18"/>
      <w:bookmarkEnd w:id="19"/>
      <w:bookmarkEnd w:id="20"/>
      <w:bookmarkEnd w:id="21"/>
      <w:bookmarkEnd w:id="22"/>
    </w:p>
    <w:p>
      <w:pPr>
        <w:pStyle w:val="3"/>
        <w:bidi w:val="0"/>
        <w:rPr>
          <w:rFonts w:hint="eastAsia"/>
          <w:highlight w:val="none"/>
        </w:rPr>
      </w:pPr>
      <w:bookmarkStart w:id="23" w:name="_Toc9054"/>
      <w:bookmarkStart w:id="24" w:name="_Toc28196"/>
      <w:r>
        <w:rPr>
          <w:rFonts w:hint="eastAsia"/>
          <w:highlight w:val="none"/>
        </w:rPr>
        <w:t>一、总则</w:t>
      </w:r>
      <w:bookmarkEnd w:id="23"/>
      <w:bookmarkEnd w:id="24"/>
    </w:p>
    <w:p>
      <w:pPr>
        <w:pStyle w:val="5"/>
        <w:bidi w:val="0"/>
        <w:rPr>
          <w:rFonts w:hint="eastAsia"/>
          <w:highlight w:val="none"/>
        </w:rPr>
      </w:pPr>
      <w:bookmarkStart w:id="25" w:name="_Toc20228"/>
      <w:bookmarkStart w:id="26" w:name="_Toc6230"/>
      <w:r>
        <w:rPr>
          <w:rFonts w:hint="eastAsia"/>
          <w:highlight w:val="none"/>
        </w:rPr>
        <w:t>1、适用范围</w:t>
      </w:r>
      <w:bookmarkEnd w:id="25"/>
      <w:bookmarkEnd w:id="2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1.1本谈判文件仅适用于本项目的服务。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本次采购属服务类政府采购，采购人，采购代理机构、供应商、谈判小组的相关行为均受《中华人民共和国政府采购法》财政部规章及政府采购项目所在地有关法规、规章的约束，其权利受到上述法律法规的保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1.3本谈判文件解释权归采购代理机构所有。</w:t>
      </w:r>
    </w:p>
    <w:p>
      <w:pPr>
        <w:pStyle w:val="5"/>
        <w:bidi w:val="0"/>
        <w:rPr>
          <w:rFonts w:hint="eastAsia"/>
          <w:highlight w:val="none"/>
        </w:rPr>
      </w:pPr>
      <w:bookmarkStart w:id="27" w:name="_Toc11053"/>
      <w:bookmarkStart w:id="28" w:name="_Toc3655"/>
      <w:r>
        <w:rPr>
          <w:rFonts w:hint="eastAsia"/>
          <w:highlight w:val="none"/>
        </w:rPr>
        <w:t>2、定义</w:t>
      </w:r>
      <w:bookmarkEnd w:id="27"/>
      <w:bookmarkEnd w:id="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2.1采购人：系指</w:t>
      </w:r>
      <w:r>
        <w:rPr>
          <w:rFonts w:hint="eastAsia" w:ascii="宋体" w:hAnsi="宋体" w:cs="宋体"/>
          <w:sz w:val="24"/>
          <w:szCs w:val="24"/>
          <w:highlight w:val="none"/>
          <w:lang w:eastAsia="zh-CN"/>
        </w:rPr>
        <w:t>榆林市文物考古勘探工作队</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2.2供应商：系是指响应谈判且符合谈判文件规定的资格条件和参加投标竞争的法人、其他组织或者自然人。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2.3“服务”系指谈判文件规定供应商须承担的策划、设计服务以及其他伴随义务。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2.5谈判小组：系指根据《中华人民共和国政府采购法》等法律法规规定，由采购人代表和有关专家组成以确定成交人或者推荐成交候选人的临时组织。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2.6成交人：系指通过竞争性谈判，经谈判小组评审确定的符合采购需求、质量和服务要求，并对谈判文件做出实质性响应，取得与采购人签订合同资格的</w:t>
      </w:r>
      <w:r>
        <w:rPr>
          <w:rFonts w:hint="eastAsia" w:ascii="宋体" w:hAnsi="宋体" w:cs="宋体"/>
          <w:sz w:val="24"/>
          <w:szCs w:val="24"/>
          <w:highlight w:val="none"/>
          <w:lang w:eastAsia="zh-CN"/>
        </w:rPr>
        <w:t>供应商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2.7采购代理机构：</w:t>
      </w:r>
      <w:r>
        <w:rPr>
          <w:rFonts w:hint="eastAsia" w:ascii="宋体" w:hAnsi="宋体" w:cs="宋体"/>
          <w:sz w:val="24"/>
          <w:szCs w:val="24"/>
          <w:highlight w:val="none"/>
          <w:lang w:eastAsia="zh-CN"/>
        </w:rPr>
        <w:t>亿诚建设项目管理有限公司</w:t>
      </w:r>
      <w:r>
        <w:rPr>
          <w:rFonts w:hint="eastAsia" w:ascii="宋体" w:hAnsi="宋体" w:cs="宋体"/>
          <w:sz w:val="24"/>
          <w:szCs w:val="24"/>
          <w:highlight w:val="none"/>
        </w:rPr>
        <w:t>。</w:t>
      </w:r>
    </w:p>
    <w:p>
      <w:pPr>
        <w:pStyle w:val="5"/>
        <w:bidi w:val="0"/>
        <w:rPr>
          <w:rFonts w:hint="eastAsia"/>
          <w:highlight w:val="none"/>
        </w:rPr>
      </w:pPr>
      <w:bookmarkStart w:id="29" w:name="_Toc22999"/>
      <w:bookmarkStart w:id="30" w:name="_Toc5443"/>
      <w:r>
        <w:rPr>
          <w:rFonts w:hint="eastAsia"/>
          <w:highlight w:val="none"/>
        </w:rPr>
        <w:t>3、谈判依据及原则</w:t>
      </w:r>
      <w:bookmarkEnd w:id="29"/>
      <w:bookmarkEnd w:id="3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3.1《中华人民共和国政府采购法》；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3.2《中华人民共和国政府采购法实施条例》；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3</w:t>
      </w:r>
      <w:r>
        <w:rPr>
          <w:rFonts w:hint="eastAsia" w:ascii="宋体" w:hAnsi="宋体" w:cs="宋体"/>
          <w:sz w:val="24"/>
          <w:szCs w:val="24"/>
          <w:highlight w:val="none"/>
        </w:rPr>
        <w:t>《中华人民共和国合同法》；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4</w:t>
      </w:r>
      <w:r>
        <w:rPr>
          <w:rFonts w:hint="eastAsia" w:ascii="宋体" w:hAnsi="宋体" w:cs="宋体"/>
          <w:sz w:val="24"/>
          <w:szCs w:val="24"/>
          <w:highlight w:val="none"/>
        </w:rPr>
        <w:t>其他有关法律、行政法规及省市规范性文件规定。</w:t>
      </w:r>
    </w:p>
    <w:p>
      <w:pPr>
        <w:pStyle w:val="5"/>
        <w:bidi w:val="0"/>
        <w:rPr>
          <w:rFonts w:hint="eastAsia"/>
          <w:highlight w:val="none"/>
          <w:lang w:eastAsia="zh-CN"/>
        </w:rPr>
      </w:pPr>
      <w:bookmarkStart w:id="31" w:name="_Toc961"/>
      <w:bookmarkStart w:id="32" w:name="_Toc11059"/>
      <w:r>
        <w:rPr>
          <w:rFonts w:hint="eastAsia"/>
          <w:highlight w:val="none"/>
        </w:rPr>
        <w:t>4、合格的</w:t>
      </w:r>
      <w:r>
        <w:rPr>
          <w:rFonts w:hint="eastAsia"/>
          <w:highlight w:val="none"/>
          <w:lang w:eastAsia="zh-CN"/>
        </w:rPr>
        <w:t>供应商</w:t>
      </w:r>
      <w:bookmarkEnd w:id="31"/>
      <w:bookmarkEnd w:id="32"/>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4.1</w:t>
      </w:r>
      <w:r>
        <w:rPr>
          <w:rFonts w:hint="eastAsia" w:ascii="宋体" w:hAnsi="宋体" w:cs="宋体"/>
          <w:sz w:val="24"/>
          <w:szCs w:val="24"/>
          <w:highlight w:val="none"/>
          <w:lang w:eastAsia="zh-CN"/>
        </w:rPr>
        <w:t>供应商</w:t>
      </w:r>
      <w:r>
        <w:rPr>
          <w:rFonts w:hint="eastAsia" w:ascii="宋体" w:hAnsi="宋体" w:cs="宋体"/>
          <w:sz w:val="24"/>
          <w:szCs w:val="24"/>
          <w:highlight w:val="none"/>
        </w:rPr>
        <w:t>应符合《中华人民共和国政府采购法》及相关条款及有关的中国法律和法规。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4.2凡符合</w:t>
      </w:r>
      <w:r>
        <w:rPr>
          <w:rFonts w:hint="eastAsia" w:ascii="宋体" w:hAnsi="宋体" w:cs="宋体"/>
          <w:sz w:val="24"/>
          <w:szCs w:val="24"/>
          <w:highlight w:val="none"/>
          <w:lang w:eastAsia="zh-CN"/>
        </w:rPr>
        <w:t>供应商</w:t>
      </w:r>
      <w:r>
        <w:rPr>
          <w:rFonts w:hint="eastAsia" w:ascii="宋体" w:hAnsi="宋体" w:cs="宋体"/>
          <w:sz w:val="24"/>
          <w:szCs w:val="24"/>
          <w:highlight w:val="none"/>
        </w:rPr>
        <w:t>资格要求且有能力提供采购工程的</w:t>
      </w:r>
      <w:r>
        <w:rPr>
          <w:rFonts w:hint="eastAsia" w:ascii="宋体" w:hAnsi="宋体" w:cs="宋体"/>
          <w:sz w:val="24"/>
          <w:szCs w:val="24"/>
          <w:highlight w:val="none"/>
          <w:lang w:eastAsia="zh-CN"/>
        </w:rPr>
        <w:t>供应商</w:t>
      </w:r>
      <w:r>
        <w:rPr>
          <w:rFonts w:hint="eastAsia" w:ascii="宋体" w:hAnsi="宋体" w:cs="宋体"/>
          <w:sz w:val="24"/>
          <w:szCs w:val="24"/>
          <w:highlight w:val="none"/>
        </w:rPr>
        <w:t>均可投标。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w:t>
      </w:r>
      <w:r>
        <w:rPr>
          <w:rFonts w:hint="eastAsia" w:ascii="宋体" w:hAnsi="宋体" w:cs="宋体"/>
          <w:sz w:val="24"/>
          <w:szCs w:val="24"/>
          <w:highlight w:val="none"/>
          <w:lang w:eastAsia="zh-CN"/>
        </w:rPr>
        <w:t>供应商</w:t>
      </w:r>
      <w:r>
        <w:rPr>
          <w:rFonts w:hint="eastAsia" w:ascii="宋体" w:hAnsi="宋体" w:cs="宋体"/>
          <w:sz w:val="24"/>
          <w:szCs w:val="24"/>
          <w:highlight w:val="none"/>
        </w:rPr>
        <w:t>必须在谈判公告载明的地点购买谈判文件并登记备案，未经购买谈判文件并登记备案的潜在</w:t>
      </w:r>
      <w:r>
        <w:rPr>
          <w:rFonts w:hint="eastAsia" w:ascii="宋体" w:hAnsi="宋体" w:cs="宋体"/>
          <w:sz w:val="24"/>
          <w:szCs w:val="24"/>
          <w:highlight w:val="none"/>
          <w:lang w:eastAsia="zh-CN"/>
        </w:rPr>
        <w:t>供应商</w:t>
      </w:r>
      <w:r>
        <w:rPr>
          <w:rFonts w:hint="eastAsia" w:ascii="宋体" w:hAnsi="宋体" w:cs="宋体"/>
          <w:sz w:val="24"/>
          <w:szCs w:val="24"/>
          <w:highlight w:val="none"/>
        </w:rPr>
        <w:t>均无资格参加本次投标。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4.4</w:t>
      </w:r>
      <w:r>
        <w:rPr>
          <w:rFonts w:hint="eastAsia" w:ascii="宋体" w:hAnsi="宋体" w:cs="宋体"/>
          <w:sz w:val="24"/>
          <w:szCs w:val="24"/>
          <w:highlight w:val="none"/>
          <w:lang w:eastAsia="zh-CN"/>
        </w:rPr>
        <w:t>供应商</w:t>
      </w:r>
      <w:r>
        <w:rPr>
          <w:rFonts w:hint="eastAsia" w:ascii="宋体" w:hAnsi="宋体" w:cs="宋体"/>
          <w:sz w:val="24"/>
          <w:szCs w:val="24"/>
          <w:highlight w:val="none"/>
        </w:rPr>
        <w:t>在过去和现在都不应直接或间接地与采购人为采购本次谈判的工程和服务进行设计，编制规范和其他文件所委托的咨询公司或其附属机构有任何关联。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4.5只有在法律上和财务上独立，合法运作，并独立于采购代理机构和采购人的供货人才能参加投标。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4.6</w:t>
      </w:r>
      <w:r>
        <w:rPr>
          <w:rFonts w:hint="eastAsia" w:ascii="宋体" w:hAnsi="宋体" w:cs="宋体"/>
          <w:sz w:val="24"/>
          <w:szCs w:val="24"/>
          <w:highlight w:val="none"/>
          <w:lang w:val="en-US" w:eastAsia="zh-CN"/>
        </w:rPr>
        <w:t>供应商单位负责人为同一人或者存在直接控股、管理关系的不同供应商，不得参加同一合同项下的本次政府采购活动；为本采购项目提供整体设计、规范编制或者项目管理、监理、检测等服务的供应商，不得再参加本采购项目的其他采购活动。</w:t>
      </w:r>
    </w:p>
    <w:p>
      <w:pPr>
        <w:pStyle w:val="5"/>
        <w:bidi w:val="0"/>
        <w:rPr>
          <w:rFonts w:hint="eastAsia"/>
          <w:highlight w:val="none"/>
        </w:rPr>
      </w:pPr>
      <w:bookmarkStart w:id="33" w:name="_Toc30897"/>
      <w:bookmarkStart w:id="34" w:name="_Toc9834"/>
      <w:r>
        <w:rPr>
          <w:rFonts w:hint="eastAsia"/>
          <w:highlight w:val="none"/>
        </w:rPr>
        <w:t>5、保密</w:t>
      </w:r>
      <w:bookmarkEnd w:id="33"/>
      <w:bookmarkEnd w:id="3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参与谈判投标活动的当事人应对谈判文件和响应文件中的商业秘密、技术秘密和个人隐私等保密，违者应对由此造成的后果承担法律责任。</w:t>
      </w:r>
    </w:p>
    <w:p>
      <w:pPr>
        <w:pStyle w:val="5"/>
        <w:bidi w:val="0"/>
        <w:rPr>
          <w:rFonts w:hint="eastAsia"/>
          <w:highlight w:val="none"/>
        </w:rPr>
      </w:pPr>
      <w:bookmarkStart w:id="35" w:name="_Toc17556"/>
      <w:bookmarkStart w:id="36" w:name="_Toc1169"/>
      <w:r>
        <w:rPr>
          <w:rFonts w:hint="eastAsia"/>
          <w:highlight w:val="none"/>
        </w:rPr>
        <w:t>6、投标费用</w:t>
      </w:r>
      <w:bookmarkEnd w:id="35"/>
      <w:bookmarkEnd w:id="3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供应商应承担所有与编写和提交响应文件有关的费用，无论响应过程中的做法和结果如何，采购人和采购代理机构在任何情况下均无义务和责任承担这些费用。</w:t>
      </w:r>
    </w:p>
    <w:p>
      <w:pPr>
        <w:pStyle w:val="5"/>
        <w:bidi w:val="0"/>
        <w:rPr>
          <w:rFonts w:hint="eastAsia"/>
          <w:highlight w:val="none"/>
        </w:rPr>
      </w:pPr>
      <w:bookmarkStart w:id="37" w:name="_Toc24996"/>
      <w:bookmarkStart w:id="38" w:name="_Toc23816"/>
      <w:r>
        <w:rPr>
          <w:rFonts w:hint="eastAsia"/>
          <w:highlight w:val="none"/>
        </w:rPr>
        <w:t>7、踏勘现场</w:t>
      </w:r>
      <w:bookmarkEnd w:id="37"/>
      <w:bookmarkEnd w:id="3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7.1本项目不组织踏勘现场的，</w:t>
      </w:r>
      <w:r>
        <w:rPr>
          <w:rFonts w:hint="eastAsia" w:ascii="宋体" w:hAnsi="宋体" w:cs="宋体"/>
          <w:sz w:val="24"/>
          <w:szCs w:val="24"/>
          <w:highlight w:val="none"/>
          <w:lang w:eastAsia="zh-CN"/>
        </w:rPr>
        <w:t>供应商</w:t>
      </w:r>
      <w:r>
        <w:rPr>
          <w:rFonts w:hint="eastAsia" w:ascii="宋体" w:hAnsi="宋体" w:cs="宋体"/>
          <w:sz w:val="24"/>
          <w:szCs w:val="24"/>
          <w:highlight w:val="none"/>
        </w:rPr>
        <w:t>自行踏勘并承担踏勘现场所发生的自身费用、责任和风险。</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7.2供应商经采购人允许，可进入项目现场踏勘，但不得因此使采购人承担有关责任和蒙受损失。</w:t>
      </w:r>
    </w:p>
    <w:p>
      <w:pPr>
        <w:pStyle w:val="5"/>
        <w:numPr>
          <w:ilvl w:val="0"/>
          <w:numId w:val="2"/>
        </w:numPr>
        <w:bidi w:val="0"/>
        <w:rPr>
          <w:rFonts w:hint="eastAsia"/>
          <w:highlight w:val="none"/>
        </w:rPr>
      </w:pPr>
      <w:bookmarkStart w:id="39" w:name="_Toc28416"/>
      <w:bookmarkStart w:id="40" w:name="_Toc27336"/>
      <w:r>
        <w:rPr>
          <w:rFonts w:hint="eastAsia"/>
          <w:highlight w:val="none"/>
        </w:rPr>
        <w:t>供应商在开标现场须提供以下资质文件</w:t>
      </w:r>
      <w:bookmarkEnd w:id="39"/>
      <w:bookmarkEnd w:id="40"/>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8.1 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8.2 </w:t>
      </w:r>
      <w:r>
        <w:rPr>
          <w:rFonts w:hint="eastAsia" w:ascii="宋体" w:hAnsi="宋体" w:eastAsia="宋体" w:cs="宋体"/>
          <w:color w:val="000000"/>
          <w:kern w:val="0"/>
          <w:sz w:val="24"/>
          <w:szCs w:val="21"/>
          <w:highlight w:val="none"/>
          <w:lang w:val="en-US" w:eastAsia="zh-CN" w:bidi="ar-SA"/>
        </w:rPr>
        <w:t>供应商须具备国家测绘行政主管部门颁发的测绘乙级及以上测绘资质（包含测绘航空摄影和地理信息系统工程）；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8.3 </w:t>
      </w:r>
      <w:r>
        <w:rPr>
          <w:rFonts w:hint="eastAsia" w:ascii="宋体" w:hAnsi="宋体" w:eastAsia="宋体" w:cs="宋体"/>
          <w:color w:val="000000"/>
          <w:kern w:val="0"/>
          <w:sz w:val="24"/>
          <w:szCs w:val="21"/>
          <w:highlight w:val="none"/>
          <w:lang w:val="en-US" w:eastAsia="zh-CN" w:bidi="ar-SA"/>
        </w:rPr>
        <w:t>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8.4 </w:t>
      </w:r>
      <w:r>
        <w:rPr>
          <w:rFonts w:hint="eastAsia" w:ascii="宋体" w:hAnsi="宋体" w:eastAsia="宋体" w:cs="宋体"/>
          <w:color w:val="000000"/>
          <w:kern w:val="0"/>
          <w:sz w:val="24"/>
          <w:szCs w:val="21"/>
          <w:highlight w:val="none"/>
          <w:lang w:val="en-US" w:eastAsia="zh-CN" w:bidi="ar-SA"/>
        </w:rPr>
        <w:t>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8.5 </w:t>
      </w:r>
      <w:r>
        <w:rPr>
          <w:rFonts w:hint="eastAsia" w:ascii="宋体" w:hAnsi="宋体" w:eastAsia="宋体" w:cs="宋体"/>
          <w:color w:val="000000"/>
          <w:kern w:val="0"/>
          <w:sz w:val="24"/>
          <w:szCs w:val="21"/>
          <w:highlight w:val="none"/>
          <w:lang w:val="en-US" w:eastAsia="zh-CN" w:bidi="ar-SA"/>
        </w:rPr>
        <w:t>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8.6 </w:t>
      </w:r>
      <w:r>
        <w:rPr>
          <w:rFonts w:hint="eastAsia" w:ascii="宋体" w:hAnsi="宋体" w:eastAsia="宋体" w:cs="宋体"/>
          <w:color w:val="000000"/>
          <w:kern w:val="0"/>
          <w:sz w:val="24"/>
          <w:szCs w:val="21"/>
          <w:highlight w:val="none"/>
          <w:lang w:val="en-US" w:eastAsia="zh-CN" w:bidi="ar-SA"/>
        </w:rPr>
        <w:t>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8.7 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8.8 </w:t>
      </w:r>
      <w:r>
        <w:rPr>
          <w:rFonts w:hint="eastAsia" w:ascii="宋体" w:hAnsi="宋体" w:eastAsia="宋体" w:cs="宋体"/>
          <w:color w:val="000000"/>
          <w:kern w:val="0"/>
          <w:sz w:val="24"/>
          <w:szCs w:val="21"/>
          <w:highlight w:val="none"/>
          <w:lang w:val="en-US" w:eastAsia="zh-CN" w:bidi="ar-SA"/>
        </w:rPr>
        <w:t>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8.9 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 xml:space="preserve">8.10 </w:t>
      </w: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投标信用承诺书代替投标保证金。需在网上提交投标信用(保证金）承诺或承诺书网上截图附在响应文件中。（截图示例及承诺书格式详见谈判文件格式）；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eastAsia="宋体" w:cs="宋体"/>
          <w:snapToGrid w:val="0"/>
          <w:color w:val="000000"/>
          <w:kern w:val="0"/>
          <w:sz w:val="24"/>
          <w:szCs w:val="24"/>
          <w:highlight w:val="no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8.11本项目不专门面向中小企业采购。</w:t>
      </w:r>
    </w:p>
    <w:p>
      <w:pPr>
        <w:spacing w:line="360" w:lineRule="auto"/>
        <w:ind w:firstLine="482" w:firstLineChars="200"/>
        <w:rPr>
          <w:rFonts w:hint="eastAsia" w:ascii="宋体" w:hAnsi="宋体" w:cs="宋体"/>
          <w:b/>
          <w:bCs/>
          <w:sz w:val="24"/>
          <w:szCs w:val="24"/>
          <w:highlight w:val="none"/>
        </w:rPr>
      </w:pPr>
      <w:r>
        <w:rPr>
          <w:rFonts w:hint="eastAsia" w:ascii="宋体" w:hAnsi="宋体" w:eastAsia="宋体" w:cs="宋体"/>
          <w:b/>
          <w:bCs/>
          <w:sz w:val="24"/>
          <w:szCs w:val="24"/>
          <w:highlight w:val="none"/>
          <w:lang w:eastAsia="zh-CN"/>
        </w:rPr>
        <w:t>谈判</w:t>
      </w:r>
      <w:r>
        <w:rPr>
          <w:rFonts w:hint="eastAsia" w:ascii="宋体" w:hAnsi="宋体" w:eastAsia="宋体" w:cs="宋体"/>
          <w:b/>
          <w:bCs/>
          <w:sz w:val="24"/>
          <w:szCs w:val="24"/>
          <w:highlight w:val="none"/>
        </w:rPr>
        <w:t>当天</w:t>
      </w:r>
      <w:r>
        <w:rPr>
          <w:rFonts w:hint="eastAsia" w:ascii="宋体" w:hAnsi="宋体" w:cs="宋体"/>
          <w:b/>
          <w:bCs/>
          <w:sz w:val="24"/>
          <w:szCs w:val="24"/>
          <w:highlight w:val="none"/>
        </w:rPr>
        <w:t>，请将上述资格证明文件的原件</w:t>
      </w:r>
      <w:r>
        <w:rPr>
          <w:rFonts w:hint="eastAsia" w:ascii="宋体" w:hAnsi="宋体" w:cs="宋体"/>
          <w:b/>
          <w:bCs/>
          <w:sz w:val="24"/>
          <w:szCs w:val="24"/>
          <w:highlight w:val="none"/>
          <w:lang w:eastAsia="zh-CN"/>
        </w:rPr>
        <w:t>（身份证除外）</w:t>
      </w:r>
      <w:r>
        <w:rPr>
          <w:rFonts w:hint="eastAsia" w:ascii="宋体" w:hAnsi="宋体" w:cs="宋体"/>
          <w:b/>
          <w:bCs/>
          <w:sz w:val="24"/>
          <w:szCs w:val="24"/>
          <w:highlight w:val="none"/>
        </w:rPr>
        <w:t>进行密封同谈判响应文件一起递交。若供应商资格审查不合格按无效投标处理。由此引起的不利后果，</w:t>
      </w:r>
      <w:r>
        <w:rPr>
          <w:rFonts w:hint="eastAsia" w:ascii="宋体" w:hAnsi="宋体" w:cs="宋体"/>
          <w:b/>
          <w:bCs/>
          <w:sz w:val="24"/>
          <w:szCs w:val="24"/>
          <w:highlight w:val="none"/>
          <w:lang w:eastAsia="zh-CN"/>
        </w:rPr>
        <w:t>供应商</w:t>
      </w:r>
      <w:r>
        <w:rPr>
          <w:rFonts w:hint="eastAsia" w:ascii="宋体" w:hAnsi="宋体" w:cs="宋体"/>
          <w:b/>
          <w:bCs/>
          <w:sz w:val="24"/>
          <w:szCs w:val="24"/>
          <w:highlight w:val="none"/>
        </w:rPr>
        <w:t>需自行承担。</w:t>
      </w:r>
    </w:p>
    <w:p>
      <w:pPr>
        <w:pStyle w:val="3"/>
        <w:bidi w:val="0"/>
        <w:rPr>
          <w:rFonts w:hint="eastAsia"/>
          <w:highlight w:val="none"/>
        </w:rPr>
      </w:pPr>
      <w:bookmarkStart w:id="41" w:name="_Toc22775"/>
      <w:bookmarkStart w:id="42" w:name="_Toc30622"/>
      <w:r>
        <w:rPr>
          <w:rFonts w:hint="eastAsia"/>
          <w:highlight w:val="none"/>
        </w:rPr>
        <w:t>二、谈判文件</w:t>
      </w:r>
      <w:bookmarkEnd w:id="41"/>
      <w:bookmarkEnd w:id="42"/>
    </w:p>
    <w:p>
      <w:pPr>
        <w:pStyle w:val="5"/>
        <w:bidi w:val="0"/>
        <w:rPr>
          <w:rFonts w:hint="eastAsia"/>
          <w:highlight w:val="none"/>
        </w:rPr>
      </w:pPr>
      <w:bookmarkStart w:id="43" w:name="_Toc10855"/>
      <w:bookmarkStart w:id="44" w:name="_Toc12384"/>
      <w:bookmarkStart w:id="45" w:name="_Toc233435923"/>
      <w:bookmarkStart w:id="46" w:name="_Toc31520"/>
      <w:r>
        <w:rPr>
          <w:rFonts w:hint="eastAsia"/>
          <w:highlight w:val="none"/>
        </w:rPr>
        <w:t>1、谈判文件的构成</w:t>
      </w:r>
      <w:bookmarkEnd w:id="43"/>
      <w:bookmarkEnd w:id="44"/>
      <w:bookmarkEnd w:id="45"/>
      <w:bookmarkEnd w:id="4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1.1谈判文件用以阐明所需提供的服务、采购、投标报价程序和合同条件。谈判文件包括：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1.1.1谈判公告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1.1.2供应商须知前附表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1.1.3供应商须知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1.1.4合同主要条款</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1.1.5评标方法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1.1.6采购内容及技术要求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1.1.7附件—竞争性谈判响应文件格式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1.2供应商应认真阅读谈判文件中所有的事项、格式条款和规范要求等。供应商没有对谈判文件全面做出实质性响应是供应商的风险。谈判小组有权拒绝没有对谈判文件要求做出实质性响应的投标。</w:t>
      </w:r>
    </w:p>
    <w:p>
      <w:pPr>
        <w:pStyle w:val="5"/>
        <w:bidi w:val="0"/>
        <w:rPr>
          <w:rFonts w:hint="eastAsia"/>
          <w:highlight w:val="none"/>
        </w:rPr>
      </w:pPr>
      <w:bookmarkStart w:id="47" w:name="_Toc8248"/>
      <w:bookmarkStart w:id="48" w:name="_Toc27267"/>
      <w:bookmarkStart w:id="49" w:name="_Toc233435924"/>
      <w:bookmarkStart w:id="50" w:name="_Toc11494"/>
      <w:r>
        <w:rPr>
          <w:rFonts w:hint="eastAsia"/>
          <w:highlight w:val="none"/>
        </w:rPr>
        <w:t>2、谈判文件的澄清</w:t>
      </w:r>
      <w:bookmarkEnd w:id="47"/>
      <w:bookmarkEnd w:id="48"/>
      <w:bookmarkEnd w:id="49"/>
      <w:bookmarkEnd w:id="5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任何要求对谈判文件澄清的供应商，应在购买谈判文件后在规定时间内，均应以书面形式通知采购代理机构。采购代理机构将视情况确定采用适当方式予以澄清或以书面形式予以答复，涉及变更或修正内容在政府采购发布媒体上发布更正公告，并以书面形式通知所有谈判文件收受人，且作为谈判文件的组成部分。</w:t>
      </w:r>
    </w:p>
    <w:p>
      <w:pPr>
        <w:pStyle w:val="5"/>
        <w:bidi w:val="0"/>
        <w:rPr>
          <w:rFonts w:hint="eastAsia"/>
          <w:highlight w:val="none"/>
        </w:rPr>
      </w:pPr>
      <w:bookmarkStart w:id="51" w:name="_Toc31813"/>
      <w:bookmarkStart w:id="52" w:name="_Toc3208"/>
      <w:bookmarkStart w:id="53" w:name="_Toc13233"/>
      <w:bookmarkStart w:id="54" w:name="_Toc233435925"/>
      <w:r>
        <w:rPr>
          <w:rFonts w:hint="eastAsia"/>
          <w:highlight w:val="none"/>
        </w:rPr>
        <w:t>3、谈判文件的修改</w:t>
      </w:r>
      <w:bookmarkEnd w:id="51"/>
      <w:bookmarkEnd w:id="52"/>
      <w:bookmarkEnd w:id="53"/>
      <w:bookmarkEnd w:id="5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3.1在投标截止期前，无论出于何种原因，采购人可主动地或在解答供应商要求澄清的问题时对谈判文件进行修改。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3.2谈判文件的修改将以书面形式通知所有谈判文件的收受人，供应商在收到该通知后应立即以书面的形式予以确认。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澄清或修改的内容可能影响响应文件编制的，采购人或者采购代理机构应当在投标截止时间至少3个工作日前，以书面形式通知所有获取谈判文件的潜在的供应商；不足3个工作日的，采购人或者采购代理机构应当顺延提交响应文件的截止时间。</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3.4谈判文件的修改书将构成谈判文件的一部分，对采购人和供应商都具有约束力。</w:t>
      </w:r>
    </w:p>
    <w:p>
      <w:pPr>
        <w:pStyle w:val="3"/>
        <w:bidi w:val="0"/>
        <w:rPr>
          <w:rFonts w:hint="eastAsia"/>
          <w:highlight w:val="none"/>
        </w:rPr>
      </w:pPr>
      <w:bookmarkStart w:id="55" w:name="_Toc13692"/>
      <w:bookmarkStart w:id="56" w:name="_Toc2037"/>
      <w:r>
        <w:rPr>
          <w:rFonts w:hint="eastAsia"/>
          <w:highlight w:val="none"/>
        </w:rPr>
        <w:t>三、响应文件的编写</w:t>
      </w:r>
      <w:bookmarkEnd w:id="55"/>
      <w:bookmarkEnd w:id="56"/>
    </w:p>
    <w:p>
      <w:pPr>
        <w:pStyle w:val="5"/>
        <w:bidi w:val="0"/>
        <w:rPr>
          <w:rFonts w:hint="eastAsia"/>
          <w:highlight w:val="none"/>
        </w:rPr>
      </w:pPr>
      <w:bookmarkStart w:id="57" w:name="_Toc5084"/>
      <w:bookmarkStart w:id="58" w:name="_Toc233435927"/>
      <w:bookmarkStart w:id="59" w:name="_Toc19624"/>
      <w:bookmarkStart w:id="60" w:name="_Toc1386"/>
      <w:r>
        <w:rPr>
          <w:rFonts w:hint="eastAsia"/>
          <w:highlight w:val="none"/>
        </w:rPr>
        <w:t>1、响应文件编制的原则</w:t>
      </w:r>
      <w:bookmarkEnd w:id="57"/>
      <w:bookmarkEnd w:id="58"/>
      <w:bookmarkEnd w:id="59"/>
      <w:bookmarkEnd w:id="6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供应商应在认真阅读谈判文件所有内容的基础上，按照谈判文件的要求编制完整的响应文件。谈判文件中对响应文件格式有要求的，应按格式逐项填写内容，不准有空项；无相应内容可填的项应填写“无”、“没有相应指标”等明确的回答文字。响应文件中留有空项的，将被视为不完整响应的响应文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1.2供应商必须保证响应文件所提供的全部资料真实可靠，并接受对其中任何资料进一步审查的要求。</w:t>
      </w:r>
      <w:r>
        <w:rPr>
          <w:rFonts w:hint="eastAsia" w:ascii="宋体" w:hAnsi="宋体" w:cs="宋体"/>
          <w:sz w:val="24"/>
          <w:szCs w:val="24"/>
          <w:highlight w:val="none"/>
          <w:lang w:eastAsia="zh-CN"/>
        </w:rPr>
        <w:t>供应商</w:t>
      </w:r>
      <w:r>
        <w:rPr>
          <w:rFonts w:hint="eastAsia" w:ascii="宋体" w:hAnsi="宋体" w:cs="宋体"/>
          <w:sz w:val="24"/>
          <w:szCs w:val="24"/>
          <w:highlight w:val="none"/>
        </w:rPr>
        <w:t>应保证其竞争性谈判响应文件中所提供的所有有关谈判的资料、信息是真实的。因竞争性谈判响应文件中所提供的有关谈判的资料、信息不真实、或者其来源不合法而导致的所有法律责任，由</w:t>
      </w:r>
      <w:r>
        <w:rPr>
          <w:rFonts w:hint="eastAsia" w:ascii="宋体" w:hAnsi="宋体" w:cs="宋体"/>
          <w:sz w:val="24"/>
          <w:szCs w:val="24"/>
          <w:highlight w:val="none"/>
          <w:lang w:eastAsia="zh-CN"/>
        </w:rPr>
        <w:t>供应商</w:t>
      </w:r>
      <w:r>
        <w:rPr>
          <w:rFonts w:hint="eastAsia" w:ascii="宋体" w:hAnsi="宋体" w:cs="宋体"/>
          <w:sz w:val="24"/>
          <w:szCs w:val="24"/>
          <w:highlight w:val="none"/>
        </w:rPr>
        <w:t>自行承担。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1.3响应文件须对谈判文件中的内容做出实质性和完整的响应，否则其投标将被视为无效投标。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供应商须注意：为合理节约政府采购评审成本，提倡诚实信用的投标行为，特别要求供应商应本着诚信精神，在本次响应文件的偏离表和其它偏离文件中(若本次谈判文件中没有提供偏离表或其它偏离文件样本，供应商亦应当自制偏离表并装订于本次响应文件中，并应当在总目录及分目录上清楚表明所在页数)，以审慎的态度明确、清楚地披露各项偏离。若供应商对某一事项是否存在或是否属于偏离不能确定，亦必须在偏离表中清楚地表明该偏离事项，并可以注明‘不能确定’的字样。任何情况下，对于供应商没有在偏离表中明确、清楚地披露的事项，包括可能属于被供应商在偏离表中遗漏的事项，一旦在评审中被发现存在负偏离或被认定为属于负偏离，则评委会有权视该条款是否为主要技术、商务条款而决定是否对该投标予以拒绝。</w:t>
      </w:r>
    </w:p>
    <w:p>
      <w:pPr>
        <w:pStyle w:val="5"/>
        <w:bidi w:val="0"/>
        <w:rPr>
          <w:rFonts w:hint="eastAsia"/>
          <w:highlight w:val="none"/>
        </w:rPr>
      </w:pPr>
      <w:bookmarkStart w:id="61" w:name="_Toc15935"/>
      <w:bookmarkStart w:id="62" w:name="_Toc32256"/>
      <w:bookmarkStart w:id="63" w:name="_Toc5928"/>
      <w:r>
        <w:rPr>
          <w:rFonts w:hint="eastAsia"/>
          <w:highlight w:val="none"/>
        </w:rPr>
        <w:t>2、响应文件语言</w:t>
      </w:r>
      <w:bookmarkEnd w:id="61"/>
      <w:bookmarkEnd w:id="62"/>
      <w:bookmarkEnd w:id="6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2.1由供应商编写的响应文件和往来信件应以简体中文书写。</w:t>
      </w:r>
    </w:p>
    <w:p>
      <w:pPr>
        <w:pStyle w:val="5"/>
        <w:bidi w:val="0"/>
        <w:rPr>
          <w:rFonts w:hint="eastAsia"/>
          <w:highlight w:val="none"/>
        </w:rPr>
      </w:pPr>
      <w:bookmarkStart w:id="64" w:name="_Toc2004"/>
      <w:bookmarkStart w:id="65" w:name="_Toc16018"/>
      <w:bookmarkStart w:id="66" w:name="_Toc5367"/>
      <w:bookmarkStart w:id="67" w:name="_Toc233435928"/>
      <w:r>
        <w:rPr>
          <w:rFonts w:hint="eastAsia"/>
          <w:highlight w:val="none"/>
        </w:rPr>
        <w:t>3、计量单位</w:t>
      </w:r>
      <w:bookmarkEnd w:id="64"/>
      <w:bookmarkEnd w:id="65"/>
      <w:bookmarkEnd w:id="66"/>
      <w:bookmarkEnd w:id="6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3.1除在谈判文件的技术规格中另有规定外，计量单位应使用中华人民共和国法定计量单位。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3.2附有外文资料的须翻译成中文，并加盖供应商公章，如果翻译的中文资料与外文资料出现差异与矛盾时，以中文为准，其准确性由供应商负责。</w:t>
      </w:r>
    </w:p>
    <w:p>
      <w:pPr>
        <w:pStyle w:val="5"/>
        <w:bidi w:val="0"/>
        <w:rPr>
          <w:rFonts w:hint="eastAsia"/>
          <w:highlight w:val="none"/>
        </w:rPr>
      </w:pPr>
      <w:bookmarkStart w:id="68" w:name="_Toc4990"/>
      <w:bookmarkStart w:id="69" w:name="_Toc32004"/>
      <w:bookmarkStart w:id="70" w:name="_Toc8225"/>
      <w:bookmarkStart w:id="71" w:name="_Toc233435929"/>
      <w:r>
        <w:rPr>
          <w:rFonts w:hint="eastAsia"/>
          <w:highlight w:val="none"/>
        </w:rPr>
        <w:t>4、响应文件的组成</w:t>
      </w:r>
      <w:bookmarkEnd w:id="68"/>
      <w:bookmarkEnd w:id="69"/>
      <w:bookmarkEnd w:id="70"/>
      <w:bookmarkEnd w:id="7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4.1所有采购工程只允许供应商有一个投标方案，不接受任何有选择的方案和报价（包括有条件的折扣）。供应商未按要求，提供了选择方案和/或报价的，其投标将视为无效。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4.2供应商编写的响应文件应包括并不局限于下列部分：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4.2.1投标函、首轮报价一览表、服务所有表格以及所有附件内容。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4.2.2按照供应商须知要求出具的供应商资格证明文件。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4.2.3按照供应商须知要求供应商需出具的符合谈判文件规定的证明文件及其认为需加以说明的其他内容。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4.2.4谈判文件要求供应商提供的其他内容。</w:t>
      </w:r>
    </w:p>
    <w:p>
      <w:pPr>
        <w:pStyle w:val="5"/>
        <w:bidi w:val="0"/>
        <w:rPr>
          <w:rFonts w:hint="eastAsia"/>
          <w:highlight w:val="none"/>
        </w:rPr>
      </w:pPr>
      <w:bookmarkStart w:id="72" w:name="_Toc24016"/>
      <w:bookmarkStart w:id="73" w:name="_Toc233435930"/>
      <w:bookmarkStart w:id="74" w:name="_Toc21382"/>
      <w:bookmarkStart w:id="75" w:name="_Toc23834"/>
      <w:r>
        <w:rPr>
          <w:rFonts w:hint="eastAsia"/>
          <w:highlight w:val="none"/>
        </w:rPr>
        <w:t>5、响应文件格式</w:t>
      </w:r>
      <w:bookmarkEnd w:id="72"/>
      <w:bookmarkEnd w:id="73"/>
      <w:bookmarkEnd w:id="74"/>
      <w:bookmarkEnd w:id="7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5.1供应商须按谈判文件中提供的响应文件格式填写相关证明资料等。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5.2响应文件的编制可在谈判文件提供的格式基础上扩展加页。需供应商自行编写的投标内容，供应商应采用简洁、清晰的文件格式。</w:t>
      </w:r>
    </w:p>
    <w:p>
      <w:pPr>
        <w:pStyle w:val="5"/>
        <w:bidi w:val="0"/>
        <w:rPr>
          <w:rFonts w:hint="eastAsia"/>
          <w:highlight w:val="none"/>
        </w:rPr>
      </w:pPr>
      <w:bookmarkStart w:id="76" w:name="_Toc233435931"/>
      <w:bookmarkStart w:id="77" w:name="_Toc110"/>
      <w:bookmarkStart w:id="78" w:name="_Toc3831"/>
      <w:bookmarkStart w:id="79" w:name="_Toc7579"/>
      <w:r>
        <w:rPr>
          <w:rFonts w:hint="eastAsia"/>
          <w:highlight w:val="none"/>
        </w:rPr>
        <w:t>6、投标</w:t>
      </w:r>
      <w:bookmarkEnd w:id="76"/>
      <w:r>
        <w:rPr>
          <w:rFonts w:hint="eastAsia"/>
          <w:highlight w:val="none"/>
        </w:rPr>
        <w:t>报价</w:t>
      </w:r>
      <w:bookmarkEnd w:id="77"/>
      <w:bookmarkEnd w:id="78"/>
      <w:bookmarkEnd w:id="7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6.1供应商应按包对所列的所有内容进行响应，不得将采购内容拆开响应。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6.2包括完成该项目的服务、企业管理费、利润、规费、税金、保险费、政策性文件规定费用及合同包含的所有责任、义务和风险等各项费用。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6.3本次谈判报价有两次报价机会，最终报价不得更改。谈判报价（即首轮报价）不得有选择性报价和附有条件的报价，且第一次报价不得等于或者高于预算价，最终报价不得等于或者高于第一次报价，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6.4谈判时，响应文件以正本为准。响应文件中《首轮报价一览表》中“投标总报价”与《首轮报价明细表》中的“总价”不一致的，以《首轮报价一览表》为准；大写金额和小写金额不一致的，以大写金额为准；总价金额与单价汇总金额不一致的，以单价金额计算结果为准；单价金额小数点有明显错位的，应以总价为准，并修正单价；对不同文字文本响应文件的解释发生异议的，以中文文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6.5凡本谈判文件要求（或允许）及供应商认为需要进行投标报价的各项费用项目（不论是否要求进入投标），若投标时未报或未在谈判文件中予以说明，采购人将认为这些费用供应商已记取，并包含在总报价中（项目内容、项目量调整除外）。供应商按上述要求填写“首轮报价明细表”只是为了方便采购人对响应文件进行比较，并不限制采购人以其它方式签订合同的权力。</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6.6供应商不得以低于成本的报价参加投标，当谈判小组认为供应商的报价明显低于其他通过符合性审查供应商的报价，有可能影响服务质量或者不能诚信履约的，应当要求供应商提供书面说明，并提交相关证明，不能证明其报价合理性的，可视为无效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6.7本次采购为包质量、包服务期、包售后、包验收的全过程费用。因供应商对谈判文件阅读不深、理解不透、误解、疏漏、或因市场行情了解不清造成的后果和风险均由供应商自负。</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6.8最低报价不是中标的唯一依据；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6.9采购人只接受供应商提供的唯一响应方案，不接受备选方案。</w:t>
      </w:r>
    </w:p>
    <w:p>
      <w:pPr>
        <w:pStyle w:val="5"/>
        <w:bidi w:val="0"/>
        <w:rPr>
          <w:rFonts w:hint="eastAsia"/>
          <w:highlight w:val="none"/>
        </w:rPr>
      </w:pPr>
      <w:bookmarkStart w:id="80" w:name="_Toc571"/>
      <w:bookmarkStart w:id="81" w:name="_Toc23045"/>
      <w:bookmarkStart w:id="82" w:name="_Toc6844"/>
      <w:bookmarkStart w:id="83" w:name="_Toc233435932"/>
      <w:r>
        <w:rPr>
          <w:rFonts w:hint="eastAsia"/>
          <w:highlight w:val="none"/>
        </w:rPr>
        <w:t>7、投标货币</w:t>
      </w:r>
      <w:bookmarkEnd w:id="80"/>
      <w:bookmarkEnd w:id="81"/>
      <w:bookmarkEnd w:id="82"/>
      <w:bookmarkEnd w:id="8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7.1采购人只接受人民币作为唯一投标报价货币。</w:t>
      </w:r>
    </w:p>
    <w:p>
      <w:pPr>
        <w:pStyle w:val="5"/>
        <w:bidi w:val="0"/>
        <w:rPr>
          <w:rFonts w:hint="eastAsia"/>
          <w:highlight w:val="none"/>
        </w:rPr>
      </w:pPr>
      <w:bookmarkStart w:id="84" w:name="_Toc12056"/>
      <w:bookmarkStart w:id="85" w:name="_Toc1176"/>
      <w:bookmarkStart w:id="86" w:name="_Toc233435933"/>
      <w:bookmarkStart w:id="87" w:name="_Toc19357"/>
      <w:r>
        <w:rPr>
          <w:rFonts w:hint="eastAsia"/>
          <w:highlight w:val="none"/>
        </w:rPr>
        <w:t>8、证明供应商资格的证明文件</w:t>
      </w:r>
      <w:bookmarkEnd w:id="84"/>
      <w:bookmarkEnd w:id="85"/>
      <w:bookmarkEnd w:id="86"/>
      <w:bookmarkEnd w:id="8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8.1供应商必须按要求提交证明文件，以证明其有资格参加投标和入选后有履行合同的能力，并作为其响应文件的一部分。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8.1.1供应商应具有履行合同所需的财务、技术和服务能力；</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8.1.2供应商应有能力履行谈判文件所规定的由供应商在服务地点的技术支持和服务；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8.1.3供应商认为能够证明供应商及其提供服务资质或服务质量的证明文件。</w:t>
      </w:r>
    </w:p>
    <w:p>
      <w:pPr>
        <w:pStyle w:val="5"/>
        <w:bidi w:val="0"/>
        <w:rPr>
          <w:rFonts w:hint="eastAsia"/>
          <w:highlight w:val="none"/>
        </w:rPr>
      </w:pPr>
      <w:bookmarkStart w:id="88" w:name="_Toc233435934"/>
      <w:bookmarkStart w:id="89" w:name="_Toc29614"/>
      <w:bookmarkStart w:id="90" w:name="_Toc28208"/>
      <w:bookmarkStart w:id="91" w:name="_Toc2999"/>
      <w:r>
        <w:rPr>
          <w:rFonts w:hint="eastAsia"/>
          <w:highlight w:val="none"/>
        </w:rPr>
        <w:t>9、证明工程的合格性和符合谈判文件规定的文件</w:t>
      </w:r>
      <w:bookmarkEnd w:id="88"/>
      <w:bookmarkEnd w:id="89"/>
      <w:bookmarkEnd w:id="90"/>
      <w:bookmarkEnd w:id="9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9.1供应商应对谈判文件中的各项条款做出清晰准确的答复。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9.2提供证明服务与谈判文件的要求相一致的文件，它可以是文字资料、图表、数据、证书、业主证明，包括：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9.2.1公司简介；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9.2.2相关证明资料；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9.2.3主要技术指标和性能的详细说明，至少要包括对谈判文件提出的指标的响应；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9.2.4提供项目实施服务方案，说明供应商将在被授标后，合同执行计划等；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9.2.5供应商提供的服务要求在中华人民共和国境内拥有合法的知识产权，最终用户应拥有合法的使用权。</w:t>
      </w:r>
    </w:p>
    <w:p>
      <w:pPr>
        <w:pStyle w:val="5"/>
        <w:numPr>
          <w:ilvl w:val="0"/>
          <w:numId w:val="3"/>
        </w:numPr>
        <w:bidi w:val="0"/>
        <w:rPr>
          <w:rFonts w:hint="eastAsia"/>
          <w:highlight w:val="none"/>
          <w:lang w:val="en-US" w:eastAsia="zh-CN"/>
        </w:rPr>
      </w:pPr>
      <w:bookmarkStart w:id="92" w:name="_Toc23843"/>
      <w:bookmarkStart w:id="93" w:name="_Toc233435935"/>
      <w:bookmarkStart w:id="94" w:name="_Toc4808"/>
      <w:bookmarkStart w:id="95" w:name="_Toc12021"/>
      <w:r>
        <w:rPr>
          <w:rFonts w:hint="eastAsia"/>
          <w:highlight w:val="none"/>
        </w:rPr>
        <w:t>投标保证金</w:t>
      </w:r>
      <w:bookmarkEnd w:id="92"/>
      <w:bookmarkEnd w:id="93"/>
      <w:bookmarkEnd w:id="94"/>
      <w:bookmarkEnd w:id="95"/>
    </w:p>
    <w:p>
      <w:pPr>
        <w:spacing w:line="360" w:lineRule="auto"/>
        <w:ind w:firstLine="480" w:firstLineChars="200"/>
        <w:rPr>
          <w:rFonts w:hint="default" w:ascii="宋体" w:hAnsi="宋体" w:cs="宋体"/>
          <w:sz w:val="24"/>
          <w:szCs w:val="24"/>
          <w:highlight w:val="none"/>
          <w:lang w:val="en-US" w:eastAsia="zh-CN"/>
        </w:rPr>
      </w:pPr>
      <w:bookmarkStart w:id="96" w:name="_Toc233435936"/>
      <w:bookmarkStart w:id="97" w:name="_Toc18267"/>
      <w:r>
        <w:rPr>
          <w:rFonts w:hint="eastAsia" w:ascii="宋体" w:hAnsi="宋体" w:cs="宋体"/>
          <w:sz w:val="24"/>
          <w:szCs w:val="24"/>
          <w:highlight w:val="none"/>
          <w:lang w:val="en-US" w:eastAsia="zh-CN"/>
        </w:rPr>
        <w:t>供应商需按照供应商须知前附表规定的方式缴纳投标保证金。</w:t>
      </w:r>
    </w:p>
    <w:p>
      <w:pPr>
        <w:pStyle w:val="5"/>
        <w:bidi w:val="0"/>
        <w:rPr>
          <w:rFonts w:hint="eastAsia"/>
          <w:highlight w:val="none"/>
        </w:rPr>
      </w:pPr>
      <w:bookmarkStart w:id="98" w:name="_Toc9872"/>
      <w:bookmarkStart w:id="99" w:name="_Toc13118"/>
      <w:r>
        <w:rPr>
          <w:rFonts w:hint="eastAsia"/>
          <w:highlight w:val="none"/>
        </w:rPr>
        <w:t>11、投标有效期</w:t>
      </w:r>
      <w:bookmarkEnd w:id="96"/>
      <w:bookmarkEnd w:id="97"/>
      <w:bookmarkEnd w:id="98"/>
      <w:bookmarkEnd w:id="9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11.1响应文件从谈判之日起，投标有效期为90天。响应文件的有效期比本须知规定的有效期短的，将被视为非响应投标，采购人有权拒绝。</w:t>
      </w:r>
    </w:p>
    <w:p>
      <w:pPr>
        <w:pStyle w:val="5"/>
        <w:bidi w:val="0"/>
        <w:rPr>
          <w:rFonts w:hint="eastAsia"/>
          <w:highlight w:val="none"/>
        </w:rPr>
      </w:pPr>
      <w:bookmarkStart w:id="100" w:name="_Toc233435937"/>
      <w:bookmarkStart w:id="101" w:name="_Toc13303"/>
      <w:bookmarkStart w:id="102" w:name="_Toc4908"/>
      <w:bookmarkStart w:id="103" w:name="_Toc12537"/>
      <w:r>
        <w:rPr>
          <w:rFonts w:hint="eastAsia"/>
          <w:highlight w:val="none"/>
        </w:rPr>
        <w:t>12、响应文件的签署及格式</w:t>
      </w:r>
      <w:bookmarkEnd w:id="100"/>
      <w:bookmarkEnd w:id="101"/>
      <w:bookmarkEnd w:id="102"/>
      <w:bookmarkEnd w:id="10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12.1响应文件的正本和副本均用A4纸打印，注明“正本”“副本”字样;统一装订、编码，在每一页的正下方清楚标明页码</w:t>
      </w:r>
      <w:r>
        <w:rPr>
          <w:rFonts w:hint="eastAsia" w:ascii="宋体" w:hAnsi="宋体" w:cs="宋体"/>
          <w:sz w:val="24"/>
          <w:szCs w:val="24"/>
          <w:highlight w:val="none"/>
          <w:lang w:eastAsia="zh-CN"/>
        </w:rPr>
        <w:t>；</w:t>
      </w:r>
      <w:r>
        <w:rPr>
          <w:rFonts w:hint="eastAsia" w:ascii="宋体" w:hAnsi="宋体" w:cs="宋体"/>
          <w:sz w:val="24"/>
          <w:szCs w:val="24"/>
          <w:highlight w:val="none"/>
        </w:rPr>
        <w:t>谈判文件要求供应商法定代表人或其授权代表签字处，均须本人用黑色中性签字笔签署（包括姓和名）并加盖单位公章，不得用签名章、签字章等代替，也不得由他人代签，否则其投标无效。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12.2“投标函”、“法定代表人授权委托书”和“政府采购诚信承诺书”、“政府采购商业贿赂承诺书”必须由法定代表人签署，否则其投标无效。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12.3除供应商对错处作必要修改外，响应文件中不许有加行、涂抹或改写。若有修改须由签署响应文件的人在旁边签字并加盖单位公章才有效。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12.4采购人不接受以电报、电话、传真、电子邮件形式的投标。</w:t>
      </w:r>
    </w:p>
    <w:p>
      <w:pPr>
        <w:pStyle w:val="3"/>
        <w:bidi w:val="0"/>
        <w:rPr>
          <w:rFonts w:hint="eastAsia"/>
          <w:highlight w:val="none"/>
        </w:rPr>
      </w:pPr>
      <w:bookmarkStart w:id="104" w:name="_Toc7879"/>
      <w:bookmarkStart w:id="105" w:name="_Toc8493"/>
      <w:bookmarkStart w:id="106" w:name="_Toc22575"/>
      <w:bookmarkStart w:id="107" w:name="_Toc233435938"/>
      <w:r>
        <w:rPr>
          <w:rFonts w:hint="eastAsia"/>
          <w:highlight w:val="none"/>
        </w:rPr>
        <w:t>四、响应文件的递交</w:t>
      </w:r>
      <w:bookmarkEnd w:id="104"/>
      <w:bookmarkEnd w:id="105"/>
      <w:bookmarkEnd w:id="106"/>
      <w:bookmarkEnd w:id="107"/>
    </w:p>
    <w:p>
      <w:pPr>
        <w:spacing w:line="360" w:lineRule="auto"/>
        <w:ind w:firstLine="480" w:firstLineChars="200"/>
        <w:rPr>
          <w:rFonts w:hint="eastAsia" w:ascii="宋体" w:hAnsi="宋体" w:cs="宋体"/>
          <w:sz w:val="24"/>
          <w:highlight w:val="none"/>
        </w:rPr>
      </w:pPr>
      <w:bookmarkStart w:id="108" w:name="_Toc19219"/>
      <w:bookmarkStart w:id="109" w:name="_Toc233435939"/>
      <w:r>
        <w:rPr>
          <w:rFonts w:hint="eastAsia" w:ascii="宋体" w:hAnsi="宋体" w:cs="宋体"/>
          <w:sz w:val="24"/>
          <w:highlight w:val="none"/>
        </w:rPr>
        <w:t>1、各供应商应将谈判响应文件的正本、所有副本、资质证明原件、首轮报价一览表、电子版U盘（word版）一份，用单独的信封分别密封，且在信封上标明“正本”、“副本”、“电子版、“首轮报价一览表”“资格证明原件”字样。</w:t>
      </w:r>
    </w:p>
    <w:p>
      <w:pPr>
        <w:spacing w:line="360" w:lineRule="auto"/>
        <w:ind w:firstLine="483"/>
        <w:rPr>
          <w:rFonts w:hint="eastAsia" w:ascii="宋体" w:hAnsi="宋体" w:cs="宋体"/>
          <w:sz w:val="24"/>
          <w:highlight w:val="none"/>
        </w:rPr>
      </w:pPr>
      <w:r>
        <w:rPr>
          <w:rFonts w:hint="eastAsia" w:ascii="宋体" w:hAnsi="宋体" w:cs="宋体"/>
          <w:sz w:val="24"/>
          <w:highlight w:val="none"/>
        </w:rPr>
        <w:t>2、谈判响应文件的密封：</w:t>
      </w:r>
      <w:r>
        <w:rPr>
          <w:rFonts w:hint="eastAsia" w:ascii="宋体" w:hAnsi="宋体" w:cs="宋体"/>
          <w:sz w:val="24"/>
          <w:szCs w:val="24"/>
          <w:highlight w:val="none"/>
        </w:rPr>
        <w:t>响应文件必须密封递交。对封装材料及样式不作特别规定，但供应商应当保证其封装的可靠性，不致因搬运、堆放等原因散开。</w:t>
      </w:r>
      <w:r>
        <w:rPr>
          <w:rFonts w:hint="eastAsia" w:ascii="宋体" w:hAnsi="宋体" w:cs="宋体"/>
          <w:sz w:val="24"/>
          <w:highlight w:val="none"/>
        </w:rPr>
        <w:t>封袋应加贴封条，用封条在投标文件袋的上方开口处密封，填写密封日期,并在封线（骑缝）处加盖单位公章、法人章并由法定代表人或委托代理人签字，封袋正面要粘贴</w:t>
      </w:r>
      <w:r>
        <w:rPr>
          <w:rFonts w:hint="eastAsia" w:ascii="宋体" w:hAnsi="宋体" w:cs="宋体"/>
          <w:sz w:val="24"/>
          <w:highlight w:val="none"/>
          <w:lang w:eastAsia="zh-CN"/>
        </w:rPr>
        <w:t>供应商</w:t>
      </w:r>
      <w:r>
        <w:rPr>
          <w:rFonts w:hint="eastAsia" w:ascii="宋体" w:hAnsi="宋体" w:cs="宋体"/>
          <w:sz w:val="24"/>
          <w:highlight w:val="none"/>
        </w:rPr>
        <w:t>全称、采购项目名称、采购项目编号、并注明“在202</w:t>
      </w:r>
      <w:r>
        <w:rPr>
          <w:rFonts w:hint="eastAsia" w:ascii="宋体" w:hAnsi="宋体" w:cs="宋体"/>
          <w:sz w:val="24"/>
          <w:highlight w:val="none"/>
          <w:lang w:val="en-US" w:eastAsia="zh-CN"/>
        </w:rPr>
        <w:t>3</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r>
        <w:rPr>
          <w:rFonts w:hint="eastAsia" w:ascii="宋体" w:hAnsi="宋体" w:cs="宋体"/>
          <w:sz w:val="24"/>
          <w:highlight w:val="none"/>
          <w:u w:val="single"/>
        </w:rPr>
        <w:t xml:space="preserve">     </w:t>
      </w:r>
      <w:r>
        <w:rPr>
          <w:rFonts w:hint="eastAsia" w:ascii="宋体" w:hAnsi="宋体" w:cs="宋体"/>
          <w:sz w:val="24"/>
          <w:highlight w:val="none"/>
        </w:rPr>
        <w:t>时前不得启封”字样。</w:t>
      </w:r>
    </w:p>
    <w:p>
      <w:pPr>
        <w:spacing w:line="360" w:lineRule="auto"/>
        <w:ind w:firstLine="480" w:firstLineChars="200"/>
        <w:rPr>
          <w:rFonts w:hint="eastAsia" w:ascii="宋体" w:hAnsi="宋体" w:cs="宋体"/>
          <w:sz w:val="24"/>
          <w:highlight w:val="none"/>
        </w:rPr>
      </w:pPr>
      <w:r>
        <w:rPr>
          <w:rFonts w:hint="eastAsia" w:ascii="宋体" w:hAnsi="宋体" w:cs="宋体"/>
          <w:sz w:val="24"/>
          <w:szCs w:val="24"/>
          <w:highlight w:val="none"/>
        </w:rPr>
        <w:t>3、如果供应商未按上述要求密封及加写标记，误投或过早启封的响应文件，出现此类情况的响应文件，采购代理机构将拒绝接收，并退回供应商。采购人或采购代理机构不予受理，其投标无效。</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采购代理机构收到谈判响应文件的时间不得迟于谈判文件规定的截止时间。谈判响应文件在递交过程中，采购代理机构只负责谈判响应文件的接收、登记和组织工作，对谈判响应文件的有效性不负任何责任。在截止期后，各供应商递交的任何谈判响应文件采购代理机构将拒绝接收。</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谈判响应文件送达后，在截止期前，经采购代理机构同意后各供应商可以修改或撤回其谈判响应文件。修改或撤回的内容应按谈判文件的规定编制、密封、标记和发送。并在谈判响应文件扉页加注“修改”或“撤回”字样。</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6、谈判截止时间后到谈判前，各供应商不得对其谈判响应文件做任何修改。</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7</w:t>
      </w:r>
      <w:r>
        <w:rPr>
          <w:rFonts w:hint="eastAsia" w:ascii="宋体" w:hAnsi="宋体" w:cs="宋体"/>
          <w:sz w:val="24"/>
          <w:highlight w:val="none"/>
        </w:rPr>
        <w:t>、谈判响应文件中的资格审查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highlight w:val="none"/>
        </w:rPr>
        <w:t>资质审查提供的资质证明原件应单独提供，以便在谈判期间由采购人及采购代理机构进行资格审查，确认后向大会宣布资格审查结果。资质证明原件审核后退回各单位。在开标后的任何时间采购人及谈判小组都有权随时要求审查谈判响应文件提供的其他资格证明文件的原件，如果不能及时提供，按无效投标处理。</w:t>
      </w:r>
    </w:p>
    <w:bookmarkEnd w:id="108"/>
    <w:bookmarkEnd w:id="109"/>
    <w:p>
      <w:pPr>
        <w:pStyle w:val="3"/>
        <w:bidi w:val="0"/>
        <w:rPr>
          <w:rFonts w:hint="eastAsia"/>
          <w:highlight w:val="none"/>
        </w:rPr>
      </w:pPr>
      <w:bookmarkStart w:id="110" w:name="_Toc233435941"/>
      <w:bookmarkStart w:id="111" w:name="_Toc31515"/>
      <w:bookmarkStart w:id="112" w:name="_Toc22623"/>
      <w:bookmarkStart w:id="113" w:name="_Toc16439"/>
      <w:r>
        <w:rPr>
          <w:rFonts w:hint="eastAsia"/>
          <w:highlight w:val="none"/>
        </w:rPr>
        <w:t>五、</w:t>
      </w:r>
      <w:bookmarkEnd w:id="110"/>
      <w:bookmarkEnd w:id="111"/>
      <w:bookmarkEnd w:id="112"/>
      <w:r>
        <w:rPr>
          <w:rFonts w:hint="eastAsia"/>
          <w:highlight w:val="none"/>
        </w:rPr>
        <w:t>谈判、确定成交供应商</w:t>
      </w:r>
      <w:bookmarkEnd w:id="113"/>
    </w:p>
    <w:p>
      <w:pPr>
        <w:pStyle w:val="5"/>
        <w:bidi w:val="0"/>
        <w:rPr>
          <w:rFonts w:hint="eastAsia"/>
          <w:highlight w:val="none"/>
        </w:rPr>
      </w:pPr>
      <w:bookmarkStart w:id="114" w:name="_Toc31324"/>
      <w:bookmarkStart w:id="115" w:name="_Toc18240"/>
      <w:bookmarkStart w:id="116" w:name="_Toc233435942"/>
      <w:bookmarkStart w:id="117" w:name="_Toc12985"/>
      <w:r>
        <w:rPr>
          <w:rFonts w:hint="eastAsia"/>
          <w:highlight w:val="none"/>
        </w:rPr>
        <w:t>1、谈判程序</w:t>
      </w:r>
      <w:bookmarkEnd w:id="114"/>
      <w:bookmarkEnd w:id="11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1.1谈判会由采购人或采购代理机构主持。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（1）介绍采购单位参会人员及谈判截止时间前递交响应文件的供应商名称；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（2）宣读谈判纪律、签署拒绝商业贿赂承诺书；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（3）对供应商代表进行身份核验；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（4）供应商代表检查所有响应文件密封情况，并签字确认；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（5）开标（不宣读报价）、资格审查；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（6）由谈判小组进行评审，如有必要则与供应商分别进行谈判；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（7）进行最终报价；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（8）谈判结束。</w:t>
      </w:r>
    </w:p>
    <w:bookmarkEnd w:id="116"/>
    <w:bookmarkEnd w:id="117"/>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1.2采购人及采购代理机构按谈判公告中规定的时间和地点接受供应商递交的响应文件。供应商派授权代表签到，并参加谈判。供应商未参加谈判的，视同自动放弃谈判，其响应文件按无效投标处理。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1.3供应商少于三家的，采购人或者采购代理机构应退回供应商递交的响应文件，采购人和采购代理机构应依法重新组织</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，且不承担任何费用和责任。</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1.4检查响应文件密封情况，由供应商的法人或授权代表检查响应文件的密封情况并由法定代表人或其授权代表签字确认。</w:t>
      </w:r>
    </w:p>
    <w:p>
      <w:pPr>
        <w:pStyle w:val="5"/>
        <w:bidi w:val="0"/>
        <w:rPr>
          <w:rFonts w:hint="eastAsia"/>
          <w:highlight w:val="none"/>
        </w:rPr>
      </w:pPr>
      <w:bookmarkStart w:id="118" w:name="_Toc12989"/>
      <w:bookmarkStart w:id="119" w:name="_Toc5007"/>
      <w:bookmarkStart w:id="120" w:name="_Toc16772"/>
      <w:r>
        <w:rPr>
          <w:rFonts w:hint="eastAsia"/>
          <w:highlight w:val="none"/>
        </w:rPr>
        <w:t>2、</w:t>
      </w:r>
      <w:bookmarkEnd w:id="118"/>
      <w:r>
        <w:rPr>
          <w:rFonts w:hint="eastAsia"/>
          <w:highlight w:val="none"/>
        </w:rPr>
        <w:t>谈判小组</w:t>
      </w:r>
      <w:bookmarkEnd w:id="119"/>
      <w:bookmarkEnd w:id="120"/>
    </w:p>
    <w:p>
      <w:pPr>
        <w:spacing w:line="360" w:lineRule="auto"/>
        <w:ind w:firstLine="480" w:firstLineChars="200"/>
        <w:rPr>
          <w:rFonts w:hint="eastAsia" w:ascii="宋体" w:hAnsi="宋体" w:cs="宋体"/>
          <w:sz w:val="24"/>
          <w:szCs w:val="24"/>
          <w:highlight w:val="none"/>
        </w:rPr>
      </w:pPr>
      <w:bookmarkStart w:id="121" w:name="_Toc233435944"/>
      <w:r>
        <w:rPr>
          <w:rFonts w:hint="eastAsia" w:ascii="宋体" w:hAnsi="宋体" w:cs="宋体"/>
          <w:sz w:val="24"/>
          <w:szCs w:val="24"/>
          <w:highlight w:val="none"/>
        </w:rPr>
        <w:t>2.1根据本次采购项目的特点，参照《中华人民共和国政府采购法》等有关规定组建谈判小组。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2.2谈判小组成员由采购人代表和有关技术、经济等方面的专家组成，其中技术、经济专家人数不少于谈判小组总人数的2/3</w:t>
      </w:r>
      <w:r>
        <w:rPr>
          <w:rFonts w:hint="eastAsia" w:ascii="宋体" w:hAnsi="宋体" w:cs="宋体"/>
          <w:sz w:val="24"/>
          <w:szCs w:val="24"/>
          <w:highlight w:val="none"/>
          <w:lang w:eastAsia="zh-CN"/>
        </w:rPr>
        <w:t>。</w:t>
      </w:r>
      <w:r>
        <w:rPr>
          <w:rFonts w:hint="eastAsia" w:ascii="宋体" w:hAnsi="宋体" w:cs="宋体"/>
          <w:sz w:val="24"/>
          <w:szCs w:val="24"/>
          <w:highlight w:val="none"/>
        </w:rPr>
        <w:t>本项目谈判小组专家的产生方式符合国家和地方有关评审专家产生方式的规定。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2.3谈判小组成员对各供应商响应文件进行审查、质疑、评估和比较，并推荐出成交候选</w:t>
      </w:r>
      <w:r>
        <w:rPr>
          <w:rFonts w:hint="eastAsia" w:ascii="宋体" w:hAnsi="宋体" w:cs="宋体"/>
          <w:sz w:val="24"/>
          <w:szCs w:val="24"/>
          <w:highlight w:val="none"/>
          <w:lang w:eastAsia="zh-CN"/>
        </w:rPr>
        <w:t>供应商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2.4谈判小组负责具体评标事务，并独立履行下列职责：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2.4.1审查、评价响应文件是否符合谈判文件的商务、技术等实质性要求；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2.4.2要求供应商对响应文件有关事项作出澄清或者说明；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2.4.3对响应文件进行比较和评价；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2.4.4确定成交候选人名单，以及根据采购人委托直接确定成交人；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2.4.5向采购人、采购代理机构或者有关部门报告评标中发现的违法行为。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2.5谈判小组及其成员不得有下列行为：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2.5.1确定参与评标至评标结束前私自接触供应商；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2.5.2接受供应商提出的与响应文件不一致的澄清或者说明；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2.5.3违反评标纪律发表倾向性意见或者征询采购人的倾向性意见；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2.5.4对需要专业判断的主观评审因素协商评分；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2.5.5在评标过程中擅离职守，影响评标程序正常进行的；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2.5.6记录、复制或者带走任何评标资料；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2.5.7其他不遵守评标纪律的行为。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2.6谈判小组成员有前五项行为之一的，其评审意见无效，并不得获取评审劳务报酬和报销异地评审差旅费。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2.7义务及监管制度：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2.7.1谈判小组在评审期间应当严格遵守评审工作纪律，主动出具身份证明，将手机等通讯工具或者相关电子设备交由采购人或者采购代理机构统一保管，不得记录，复制或者带走任何评审资料；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2.7.2谈判小组应当按照客观、公正、审慎的原则，根据谈判文件规定的评审程序、评审方法和评审标准进行独立评审；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2.7.3及时向财政部门报告评审过程中发现的采购人、采购代理机构向评审专家做倾向性、误导性的解释或者说明，以及供应商行贿、提供虚假材料或者串通等违法行为；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2.7.4维护国家利益、社会公共利益和当事人的合法权益；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2.7.5参加由财政部门组织的专题学习、培训；</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2.7.6法律、法规规定的其他义务；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2.7.7谈判小组遵从《陕西省政府采购评审专家管理实施办法》的各项监督管理制度。</w:t>
      </w:r>
    </w:p>
    <w:p>
      <w:pPr>
        <w:pStyle w:val="5"/>
        <w:bidi w:val="0"/>
        <w:rPr>
          <w:rFonts w:hint="eastAsia"/>
          <w:highlight w:val="none"/>
        </w:rPr>
      </w:pPr>
      <w:bookmarkStart w:id="122" w:name="_Toc26029"/>
      <w:bookmarkStart w:id="123" w:name="_Toc2241"/>
      <w:r>
        <w:rPr>
          <w:rFonts w:hint="eastAsia"/>
          <w:highlight w:val="none"/>
        </w:rPr>
        <w:t>3、评审程序</w:t>
      </w:r>
      <w:bookmarkEnd w:id="122"/>
      <w:bookmarkEnd w:id="12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（1）宣布评审纪律以及回避提示；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（2）推荐谈判小组组长；</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（3）响应文件的初审；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（7）响应文件澄清；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（8）响应文件的评估和比较</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（9）确定成交供应商；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（10）编写评审报告。</w:t>
      </w:r>
    </w:p>
    <w:p>
      <w:pPr>
        <w:pStyle w:val="5"/>
        <w:bidi w:val="0"/>
        <w:rPr>
          <w:rFonts w:hint="eastAsia"/>
          <w:highlight w:val="none"/>
        </w:rPr>
      </w:pPr>
      <w:bookmarkStart w:id="124" w:name="_Toc24509"/>
      <w:bookmarkStart w:id="125" w:name="_Toc26247"/>
      <w:bookmarkStart w:id="126" w:name="_Toc18506"/>
      <w:r>
        <w:rPr>
          <w:rFonts w:hint="eastAsia"/>
          <w:highlight w:val="none"/>
        </w:rPr>
        <w:t>4、响应文件的初审</w:t>
      </w:r>
      <w:bookmarkEnd w:id="121"/>
      <w:bookmarkEnd w:id="124"/>
      <w:bookmarkEnd w:id="125"/>
      <w:bookmarkEnd w:id="126"/>
    </w:p>
    <w:p>
      <w:pPr>
        <w:widowControl/>
        <w:kinsoku w:val="0"/>
        <w:autoSpaceDE w:val="0"/>
        <w:autoSpaceDN w:val="0"/>
        <w:adjustRightInd w:val="0"/>
        <w:snapToGrid w:val="0"/>
        <w:spacing w:before="185" w:line="374" w:lineRule="auto"/>
        <w:ind w:left="24" w:right="80" w:firstLine="483"/>
        <w:jc w:val="left"/>
        <w:textAlignment w:val="baseline"/>
        <w:rPr>
          <w:rFonts w:hint="eastAsia" w:ascii="宋体" w:hAnsi="宋体" w:cs="宋体"/>
          <w:sz w:val="24"/>
          <w:szCs w:val="24"/>
          <w:highlight w:val="none"/>
        </w:rPr>
      </w:pPr>
      <w:r>
        <w:rPr>
          <w:rFonts w:hint="eastAsia" w:ascii="宋体" w:hAnsi="宋体" w:cs="宋体"/>
          <w:sz w:val="24"/>
          <w:szCs w:val="24"/>
          <w:highlight w:val="none"/>
        </w:rPr>
        <w:t>4.1响应文件的资格性</w:t>
      </w:r>
      <w:r>
        <w:rPr>
          <w:rFonts w:hint="eastAsia" w:ascii="宋体" w:hAnsi="宋体" w:cs="宋体"/>
          <w:sz w:val="24"/>
          <w:szCs w:val="24"/>
          <w:highlight w:val="none"/>
          <w:lang w:val="en-US" w:eastAsia="zh-CN"/>
        </w:rPr>
        <w:t>审查</w:t>
      </w:r>
      <w:r>
        <w:rPr>
          <w:rFonts w:hint="eastAsia" w:ascii="宋体" w:hAnsi="宋体" w:cs="宋体"/>
          <w:sz w:val="24"/>
          <w:szCs w:val="24"/>
          <w:highlight w:val="none"/>
        </w:rPr>
        <w:t>：采购人</w:t>
      </w:r>
      <w:r>
        <w:rPr>
          <w:rFonts w:hint="eastAsia" w:ascii="宋体" w:hAnsi="宋体" w:cs="宋体"/>
          <w:sz w:val="24"/>
          <w:szCs w:val="24"/>
          <w:highlight w:val="none"/>
          <w:lang w:val="en-US" w:eastAsia="zh-CN"/>
        </w:rPr>
        <w:t>或</w:t>
      </w:r>
      <w:r>
        <w:rPr>
          <w:rFonts w:hint="eastAsia" w:ascii="宋体" w:hAnsi="宋体" w:cs="宋体"/>
          <w:sz w:val="24"/>
          <w:szCs w:val="24"/>
          <w:highlight w:val="none"/>
        </w:rPr>
        <w:t>采购代理机构对</w:t>
      </w:r>
      <w:r>
        <w:rPr>
          <w:rFonts w:hint="eastAsia" w:ascii="宋体" w:hAnsi="宋体" w:cs="宋体"/>
          <w:sz w:val="24"/>
          <w:szCs w:val="24"/>
          <w:highlight w:val="none"/>
          <w:lang w:eastAsia="zh-CN"/>
        </w:rPr>
        <w:t>供应商</w:t>
      </w:r>
      <w:r>
        <w:rPr>
          <w:rFonts w:hint="eastAsia" w:ascii="宋体" w:hAnsi="宋体" w:cs="宋体"/>
          <w:sz w:val="24"/>
          <w:szCs w:val="24"/>
          <w:highlight w:val="none"/>
        </w:rPr>
        <w:t>必备资质证明文件进行审查，签字确认检查结果。</w:t>
      </w:r>
      <w:r>
        <w:rPr>
          <w:rFonts w:ascii="宋体" w:hAnsi="宋体" w:eastAsia="宋体" w:cs="宋体"/>
          <w:snapToGrid w:val="0"/>
          <w:color w:val="000000"/>
          <w:spacing w:val="7"/>
          <w:kern w:val="0"/>
          <w:sz w:val="24"/>
          <w:szCs w:val="24"/>
          <w:highlight w:val="none"/>
        </w:rPr>
        <w:t>不符合招标文件要求的资格审查按无效</w:t>
      </w:r>
      <w:r>
        <w:rPr>
          <w:rFonts w:ascii="宋体" w:hAnsi="宋体" w:eastAsia="宋体" w:cs="宋体"/>
          <w:snapToGrid w:val="0"/>
          <w:color w:val="000000"/>
          <w:spacing w:val="5"/>
          <w:kern w:val="0"/>
          <w:sz w:val="24"/>
          <w:szCs w:val="24"/>
          <w:highlight w:val="none"/>
        </w:rPr>
        <w:t>文</w:t>
      </w:r>
      <w:r>
        <w:rPr>
          <w:rFonts w:ascii="宋体" w:hAnsi="宋体" w:eastAsia="宋体" w:cs="宋体"/>
          <w:snapToGrid w:val="0"/>
          <w:color w:val="000000"/>
          <w:spacing w:val="16"/>
          <w:kern w:val="0"/>
          <w:sz w:val="24"/>
          <w:szCs w:val="24"/>
          <w:highlight w:val="none"/>
        </w:rPr>
        <w:t>件</w:t>
      </w:r>
      <w:r>
        <w:rPr>
          <w:rFonts w:ascii="宋体" w:hAnsi="宋体" w:eastAsia="宋体" w:cs="宋体"/>
          <w:snapToGrid w:val="0"/>
          <w:color w:val="000000"/>
          <w:spacing w:val="11"/>
          <w:kern w:val="0"/>
          <w:sz w:val="24"/>
          <w:szCs w:val="24"/>
          <w:highlight w:val="none"/>
        </w:rPr>
        <w:t>处</w:t>
      </w:r>
      <w:r>
        <w:rPr>
          <w:rFonts w:ascii="宋体" w:hAnsi="宋体" w:eastAsia="宋体" w:cs="宋体"/>
          <w:snapToGrid w:val="0"/>
          <w:color w:val="000000"/>
          <w:spacing w:val="8"/>
          <w:kern w:val="0"/>
          <w:sz w:val="24"/>
          <w:szCs w:val="24"/>
          <w:highlight w:val="none"/>
        </w:rPr>
        <w:t>理，不得进入后续评审工作。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4.2响应文件符合性审查：谈判小组依据谈判文件的规定，从响应文件的有效性、完整性和对谈判文件的响应程度进行审查，以确定是否对谈判文件的实质性内容响应。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4.3出现下列情况者（但不限于），</w:t>
      </w:r>
      <w:r>
        <w:rPr>
          <w:rFonts w:hint="eastAsia" w:ascii="宋体" w:hAnsi="宋体" w:cs="宋体"/>
          <w:b/>
          <w:bCs/>
          <w:sz w:val="24"/>
          <w:szCs w:val="24"/>
          <w:highlight w:val="none"/>
        </w:rPr>
        <w:t>按无效投标处理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4.3.1供应商没有经过正常渠道购买谈判文件或供应商的名称与登记领取谈判文件的单位名称不符；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4.3.2响应文件没有法定代表人授权书（法人直接投标除外）或授权书的合法性或有效性不符合谈判文件规定；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4.3.3</w:t>
      </w:r>
      <w:r>
        <w:rPr>
          <w:rFonts w:hint="eastAsia" w:ascii="宋体" w:hAnsi="宋体" w:cs="宋体"/>
          <w:sz w:val="24"/>
          <w:szCs w:val="24"/>
          <w:highlight w:val="none"/>
          <w:lang w:val="en-US" w:eastAsia="zh-CN"/>
        </w:rPr>
        <w:t>供应商不具备谈判文件中规定的资格要求或符合性不符合要求的</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4.3.4供应商未按谈判文件要求提供投标保证金的；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4.3.5响应文件的格式不符合谈判文件要求的或者关键内容字迹模糊、无法辨认的；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4.3.6超出采购预算，采购人无法支付的；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4.3.7响应文件未按谈判文件规定有效签字和盖章的；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4.3.8投标有效期不足的；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4.3.9投标内容出现漏项或数量与要求不符，出现重大负偏差；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4.3.10投标内容的技术指标达不到谈判文件要求，降低了产品档次或影响产品性能、功能；</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4.3.11投标报价与市场价偏离较大，形成不正当竞争；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w:t>
      </w:r>
      <w:r>
        <w:rPr>
          <w:rFonts w:hint="eastAsia" w:ascii="宋体" w:hAnsi="宋体" w:cs="宋体"/>
          <w:sz w:val="24"/>
          <w:szCs w:val="24"/>
          <w:highlight w:val="none"/>
          <w:lang w:val="en-US" w:eastAsia="zh-CN"/>
        </w:rPr>
        <w:t>2</w:t>
      </w:r>
      <w:r>
        <w:rPr>
          <w:rFonts w:hint="eastAsia" w:ascii="宋体" w:hAnsi="宋体" w:cs="宋体"/>
          <w:sz w:val="24"/>
          <w:szCs w:val="24"/>
          <w:highlight w:val="none"/>
        </w:rPr>
        <w:t>提供虚假证明，开具虚假资质，出现虚假应答，或者以其他方式弄虚作假，除按无效标处理外，还进行相应的处罚；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4.3.13</w:t>
      </w:r>
      <w:r>
        <w:rPr>
          <w:rFonts w:hint="eastAsia" w:ascii="宋体" w:hAnsi="宋体" w:cs="宋体"/>
          <w:sz w:val="24"/>
          <w:szCs w:val="24"/>
          <w:highlight w:val="none"/>
        </w:rPr>
        <w:t>供应商针对同一项目递交两份或多份内容不同的</w:t>
      </w:r>
      <w:r>
        <w:rPr>
          <w:rFonts w:hint="eastAsia" w:ascii="宋体" w:hAnsi="宋体" w:cs="宋体"/>
          <w:sz w:val="24"/>
          <w:szCs w:val="24"/>
          <w:highlight w:val="none"/>
          <w:lang w:eastAsia="zh-CN"/>
        </w:rPr>
        <w:t>响应</w:t>
      </w:r>
      <w:r>
        <w:rPr>
          <w:rFonts w:hint="eastAsia" w:ascii="宋体" w:hAnsi="宋体" w:cs="宋体"/>
          <w:sz w:val="24"/>
          <w:szCs w:val="24"/>
          <w:highlight w:val="none"/>
        </w:rPr>
        <w:t>文件，未书面声明哪一份是有效的或出现选择性报价的；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4.3.14</w:t>
      </w:r>
      <w:r>
        <w:rPr>
          <w:rFonts w:hint="eastAsia" w:ascii="宋体" w:hAnsi="宋体" w:cs="宋体"/>
          <w:sz w:val="24"/>
          <w:szCs w:val="24"/>
          <w:highlight w:val="none"/>
        </w:rPr>
        <w:t>供应商有围标、串标现象（不同</w:t>
      </w:r>
      <w:r>
        <w:rPr>
          <w:rFonts w:hint="eastAsia" w:ascii="宋体" w:hAnsi="宋体" w:cs="宋体"/>
          <w:sz w:val="24"/>
          <w:szCs w:val="24"/>
          <w:highlight w:val="none"/>
          <w:lang w:eastAsia="zh-CN"/>
        </w:rPr>
        <w:t>供应商</w:t>
      </w:r>
      <w:r>
        <w:rPr>
          <w:rFonts w:hint="eastAsia" w:ascii="宋体" w:hAnsi="宋体" w:cs="宋体"/>
          <w:sz w:val="24"/>
          <w:szCs w:val="24"/>
          <w:highlight w:val="none"/>
        </w:rPr>
        <w:t>的投标文件错漏之处一致的、不同供应商的投标报价或者报价组成异常一致的或者成规律性变化的），经查证属实的。</w:t>
      </w:r>
    </w:p>
    <w:p>
      <w:pPr>
        <w:pStyle w:val="5"/>
        <w:bidi w:val="0"/>
        <w:rPr>
          <w:rFonts w:hint="eastAsia"/>
          <w:highlight w:val="none"/>
        </w:rPr>
      </w:pPr>
      <w:bookmarkStart w:id="127" w:name="_Toc26986"/>
      <w:bookmarkStart w:id="128" w:name="_Toc3135"/>
      <w:r>
        <w:rPr>
          <w:rFonts w:hint="eastAsia"/>
          <w:highlight w:val="none"/>
        </w:rPr>
        <w:t>5、谈判</w:t>
      </w:r>
      <w:bookmarkEnd w:id="127"/>
      <w:bookmarkEnd w:id="1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5.1谈判小组所有成员应当集中与单一供应商分别进行谈判，并给予所有参加谈判的供应商平等的谈判机会。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5.2在谈判过程中谈判的任何一方不得向他人透露与谈判有关的技术资料、价格或其他信息。</w:t>
      </w:r>
    </w:p>
    <w:p>
      <w:pPr>
        <w:pStyle w:val="5"/>
        <w:bidi w:val="0"/>
        <w:rPr>
          <w:rFonts w:hint="eastAsia"/>
          <w:highlight w:val="none"/>
        </w:rPr>
      </w:pPr>
      <w:bookmarkStart w:id="129" w:name="_Toc10267"/>
      <w:bookmarkStart w:id="130" w:name="_Toc13001"/>
      <w:bookmarkStart w:id="131" w:name="_Toc26693"/>
      <w:r>
        <w:rPr>
          <w:rFonts w:hint="eastAsia"/>
          <w:highlight w:val="none"/>
        </w:rPr>
        <w:t>6、响应文件的澄清</w:t>
      </w:r>
      <w:bookmarkEnd w:id="129"/>
      <w:bookmarkEnd w:id="130"/>
      <w:bookmarkEnd w:id="13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6.1对于响应文件中含义不明确、同类问题表述不一致或者有明显文字和计算错误的内容，谈判小组应当以书面形式要求供应商作出必要的澄清、说明或者补正。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6.1.1供应商的澄清、说明或者补正应当以书面形式，并加盖公章，或者由法定代表人或其授权的代表签字。供应商的澄清、说明或者补正不得超出响应文件的范围或者改变响应文件的实质性内容。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bookmarkStart w:id="132" w:name="_Toc233435945"/>
      <w:bookmarkStart w:id="133" w:name="_Toc16924"/>
      <w:r>
        <w:rPr>
          <w:rFonts w:hint="eastAsia" w:ascii="宋体" w:hAnsi="宋体" w:cs="宋体"/>
          <w:sz w:val="24"/>
          <w:szCs w:val="24"/>
          <w:highlight w:val="none"/>
        </w:rPr>
        <w:t>6.2响应文件的评估和比较</w:t>
      </w:r>
      <w:bookmarkEnd w:id="132"/>
      <w:bookmarkEnd w:id="13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谈判小组将对初审合格有效的响应文件进行评估和比较。</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谈判小组在评标过程中，发现响应文件出现下列情况之一者，按以下原则修正：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6.2.1首轮报价一览表(报价表)内容与响应文件中相应内容不一致的，以首轮报价一览表(报价表)为准；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6.2.2大写金额和小写金额不一致的，以大写金额为准；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6.2.3单价金额小数点或者百分比有明显错位的，以首轮报价一览表的总价为准，并修改单价；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6.2.4总价金额与按单价汇总金额不一致的，以单价金额计算结果为准；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6.2.5如果用文字表示的数值与用数字表示的数值不一致，以文字表示的值为准；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6.2.6对不同文字文本响应文件的解释发生异议的，以中文文本为准；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6.2.7正本与副本不一致的，以正本为准；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6.3对于响应文件中不构成实质性偏差的小的不正规、不一致或不规则，采购人可以接受，但这种接受不能损害或影响任何供应商的相对排序。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6.4如果投标实质上没有响应谈判文件的要求，其投标将作为无效标处理，供应商不得通过修正或撤消不合要求的偏离或保留从而使其投标成为实质上响应的投标。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6.5按照谈判文件规定的评标方法和标准，对资格性审查和符合性审查均合格的有效响应文件进行详细评审，综合比较和评价，最低报价不作为中标的唯一条件。</w:t>
      </w:r>
    </w:p>
    <w:p>
      <w:pPr>
        <w:pStyle w:val="5"/>
        <w:bidi w:val="0"/>
        <w:rPr>
          <w:rFonts w:hint="eastAsia"/>
          <w:highlight w:val="none"/>
        </w:rPr>
      </w:pPr>
      <w:bookmarkStart w:id="134" w:name="_Toc20203"/>
      <w:bookmarkStart w:id="135" w:name="_Toc233435946"/>
      <w:bookmarkStart w:id="136" w:name="_Toc13363"/>
      <w:bookmarkStart w:id="137" w:name="_Toc14764"/>
      <w:r>
        <w:rPr>
          <w:rFonts w:hint="eastAsia"/>
          <w:highlight w:val="none"/>
        </w:rPr>
        <w:t>7、评审原则及主要方法</w:t>
      </w:r>
      <w:bookmarkEnd w:id="134"/>
      <w:bookmarkEnd w:id="135"/>
      <w:bookmarkEnd w:id="136"/>
      <w:bookmarkEnd w:id="13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7.1谈判将遵循公平、公正和择优的原则，对所有供应商的响应文件评估，都采用相同的程序和标准。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评审过程的保密：评审将在严格保密的状态下进行，谈判结束后，直至授予成交供应商合同为止，凡属于对响应文件的审查﹑澄清﹑评价和比较有关的资料均严格保密；在响应文件的评审、比较、成交候选人推荐以及授予合同的过程中，供应商向采购人和谈判小组施加影响的任何行为，都将会导致其投标被拒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7.3评审办法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7.3.1比照最低评标价法，是指以价格为主要因素确定成交供应商的评审方法，即谈判小组从质量和服务均能满足谈判文件实质性响应要求的供应商中，直接确定最终报价最低的供应商或推荐成交候选供应商的评审方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7.3.2若两家及以上供应商在最终轮次报价中报价相同且最低的，确定技术指标更优者为成交供应商，最终轮次报价及技术指标均相同的，确定服务更优者为成交供应商。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7.4谈判小组认为供应商的报价明显低于其他通过符合性审查供应商的报价，有可能影响质量或者不能诚信履约的，应当要求其在谈判现场合理的时间内提供书面说明，必要时提交相关证明材料；供应商不能证明其报价合理性的，谈判小组应当将其作为无效标处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7.5串标行为认定：供应商应当遵循公平竞争的原则，不得恶意串通，不得妨碍其他供应商的竞争行为，不得损害采购人或者其他供应商的合法权益。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在谈判过程中发现供应商有上述情形的，谈判小组应当认定其投标无效，并书面报告本级财政部门。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有下列情形之一的，视为供应商串通投标，其投标无效：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（一）不同供应商的响应文件由同一单位或者个人编制；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（二）不同供应商委托同一单位或者个人办理投标事宜；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（三）不同供应商的响应文件载明的项目管理成员或者联系人员为同一人；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（四）不同供应商的响应文件异常一致或者投标报价呈规律性差异；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（五）不同供应商的响应文件相互混装；</w:t>
      </w:r>
    </w:p>
    <w:p>
      <w:pPr>
        <w:pStyle w:val="5"/>
        <w:bidi w:val="0"/>
        <w:rPr>
          <w:rFonts w:hint="eastAsia"/>
          <w:highlight w:val="none"/>
        </w:rPr>
      </w:pPr>
      <w:bookmarkStart w:id="138" w:name="_Toc18178"/>
      <w:bookmarkStart w:id="139" w:name="_Toc31090"/>
      <w:r>
        <w:rPr>
          <w:rFonts w:hint="eastAsia"/>
          <w:highlight w:val="none"/>
        </w:rPr>
        <w:t>8、定标</w:t>
      </w:r>
      <w:bookmarkEnd w:id="138"/>
      <w:bookmarkEnd w:id="13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8.1在谈判期间，出现符合专业条件的供应商或者对谈判文件作出实质性响应的供应商不足三家情形的，按照《中华人民共和国政府采购法》相关规定执行。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8.2综合比较与评价后，质量和服务均能满足谈判文件且最终报价最低的供应商作为成交候选人或者成交人。最终报价相同的，按技术指标优劣顺序排列。</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8.3谈判小组推荐成交候选人名单，或者受采购人委托按照事先确定的办法直接确定成交人。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8.4第一成交候选人除因法定不可抗力外不得随意放弃中标资格，否则承担相应法律责任。第一成交候选人确因不可抗力不能履行政府采购合同，或因被查实存在影响成交结果的违法行为等情形，不符合中标条件的，采购人可按照谈判小组提出的成交候选人名单排序依次确定其他成交候选人为成交人；依次确定其他成交候选人与采购人预期差距较大，或对采购人明显不利的，采购人可重新组织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8.5采购代理机构应在谈判结束后二个工作日内，将评标报告送采购人定标。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8.6采购人在收到评标报告后五个工作日内，根据评标报告对评标过程及结果进行审核后确定成交供应商，复函采购代理机构。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8.7采购代理机构在接到采购人的定标复函后，在财政部门指定的政府采购信息发布媒体上公告，并按照规定向中标供应商发《成交通知书》。</w:t>
      </w:r>
    </w:p>
    <w:p>
      <w:pPr>
        <w:pStyle w:val="3"/>
        <w:bidi w:val="0"/>
        <w:rPr>
          <w:rFonts w:hint="eastAsia"/>
          <w:highlight w:val="none"/>
        </w:rPr>
      </w:pPr>
      <w:bookmarkStart w:id="140" w:name="_Hlt491765714"/>
      <w:bookmarkEnd w:id="140"/>
      <w:bookmarkStart w:id="141" w:name="_Hlt497547134"/>
      <w:bookmarkEnd w:id="141"/>
      <w:bookmarkStart w:id="142" w:name="_Toc12544"/>
      <w:bookmarkStart w:id="143" w:name="_Toc2081"/>
      <w:bookmarkStart w:id="144" w:name="_Toc1666"/>
      <w:bookmarkStart w:id="145" w:name="_Toc27962"/>
      <w:bookmarkStart w:id="146" w:name="_Toc14129"/>
      <w:bookmarkStart w:id="147" w:name="_Toc4236"/>
      <w:bookmarkStart w:id="148" w:name="_Toc30582"/>
      <w:r>
        <w:rPr>
          <w:rFonts w:hint="eastAsia"/>
          <w:highlight w:val="none"/>
        </w:rPr>
        <w:t>六.通知与签约</w:t>
      </w:r>
      <w:bookmarkEnd w:id="142"/>
      <w:bookmarkEnd w:id="143"/>
      <w:bookmarkEnd w:id="144"/>
      <w:bookmarkEnd w:id="145"/>
    </w:p>
    <w:p>
      <w:pPr>
        <w:pStyle w:val="5"/>
        <w:bidi w:val="0"/>
        <w:rPr>
          <w:rFonts w:hint="eastAsia"/>
          <w:highlight w:val="none"/>
        </w:rPr>
      </w:pPr>
      <w:bookmarkStart w:id="149" w:name="_Toc8412"/>
      <w:bookmarkStart w:id="150" w:name="_Toc2336"/>
      <w:r>
        <w:rPr>
          <w:rFonts w:hint="eastAsia"/>
          <w:highlight w:val="none"/>
          <w:lang w:val="en-US" w:eastAsia="zh-CN"/>
        </w:rPr>
        <w:t>9、</w:t>
      </w:r>
      <w:r>
        <w:rPr>
          <w:rFonts w:hint="eastAsia"/>
          <w:highlight w:val="none"/>
        </w:rPr>
        <w:t>成交通知</w:t>
      </w:r>
      <w:bookmarkEnd w:id="149"/>
      <w:bookmarkEnd w:id="150"/>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.1 采购代理机构向成交人发出《成交通知书》。</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.2成交通知书对采购人和成交人具有同等法律效力。成交通知书发出之后，采购人改变成交结果，或者成交人放弃成交，应当承担相应的法律责任。</w:t>
      </w:r>
    </w:p>
    <w:p>
      <w:pPr>
        <w:pStyle w:val="5"/>
        <w:bidi w:val="0"/>
        <w:rPr>
          <w:highlight w:val="none"/>
        </w:rPr>
      </w:pPr>
      <w:bookmarkStart w:id="151" w:name="_Toc6705"/>
      <w:bookmarkStart w:id="152" w:name="_Toc11272"/>
      <w:r>
        <w:rPr>
          <w:rFonts w:hint="eastAsia"/>
          <w:highlight w:val="none"/>
          <w:lang w:val="en-US" w:eastAsia="zh-CN"/>
        </w:rPr>
        <w:t>10、</w:t>
      </w:r>
      <w:r>
        <w:rPr>
          <w:rFonts w:hint="eastAsia"/>
          <w:highlight w:val="none"/>
        </w:rPr>
        <w:t>成交</w:t>
      </w:r>
      <w:r>
        <w:rPr>
          <w:highlight w:val="none"/>
        </w:rPr>
        <w:t>合同的签订</w:t>
      </w:r>
      <w:bookmarkEnd w:id="151"/>
      <w:bookmarkEnd w:id="152"/>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10</w:t>
      </w:r>
      <w:r>
        <w:rPr>
          <w:rFonts w:hint="eastAsia" w:ascii="宋体" w:hAnsi="宋体" w:cs="Times New Roman"/>
          <w:color w:val="auto"/>
          <w:kern w:val="0"/>
          <w:sz w:val="24"/>
          <w:szCs w:val="24"/>
          <w:highlight w:val="none"/>
        </w:rPr>
        <w:t>.1采购人应当自成交通知书发出之日起</w:t>
      </w:r>
      <w:r>
        <w:rPr>
          <w:rFonts w:hint="eastAsia" w:ascii="宋体" w:hAnsi="宋体" w:cs="Times New Roman"/>
          <w:color w:val="auto"/>
          <w:kern w:val="0"/>
          <w:sz w:val="24"/>
          <w:szCs w:val="24"/>
          <w:highlight w:val="none"/>
          <w:lang w:val="en-US" w:eastAsia="zh-CN"/>
        </w:rPr>
        <w:t>十</w:t>
      </w:r>
      <w:r>
        <w:rPr>
          <w:rFonts w:hint="eastAsia" w:ascii="宋体" w:hAnsi="宋体" w:cs="Times New Roman"/>
          <w:color w:val="auto"/>
          <w:kern w:val="0"/>
          <w:sz w:val="24"/>
          <w:szCs w:val="24"/>
          <w:highlight w:val="none"/>
        </w:rPr>
        <w:t>日内，按照竞争性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响应文件（包括评审中形成的澄清文件）的约定，与成交供应商签订书面合同。所签订的合同不得对竞争性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响应文件（包括评审中形成的澄清文件）作实质性修改。</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10</w:t>
      </w:r>
      <w:r>
        <w:rPr>
          <w:rFonts w:hint="eastAsia" w:ascii="宋体" w:hAnsi="宋体" w:cs="Times New Roman"/>
          <w:color w:val="auto"/>
          <w:kern w:val="0"/>
          <w:sz w:val="24"/>
          <w:szCs w:val="24"/>
          <w:highlight w:val="none"/>
        </w:rPr>
        <w:t>.2采购人自采购合同签订之日起七个工作日内，将采购合同副本报同级人民政府财政部门备案。</w:t>
      </w:r>
    </w:p>
    <w:p>
      <w:pPr>
        <w:pStyle w:val="5"/>
        <w:bidi w:val="0"/>
        <w:rPr>
          <w:rFonts w:hint="eastAsia"/>
          <w:highlight w:val="none"/>
        </w:rPr>
      </w:pPr>
      <w:bookmarkStart w:id="153" w:name="_Toc27595"/>
      <w:bookmarkStart w:id="154" w:name="_Toc17444"/>
      <w:r>
        <w:rPr>
          <w:rFonts w:hint="eastAsia"/>
          <w:highlight w:val="none"/>
          <w:lang w:val="en-US" w:eastAsia="zh-CN"/>
        </w:rPr>
        <w:t>11、</w:t>
      </w:r>
      <w:r>
        <w:rPr>
          <w:rFonts w:hint="eastAsia"/>
          <w:highlight w:val="none"/>
        </w:rPr>
        <w:t>成交</w:t>
      </w:r>
      <w:r>
        <w:rPr>
          <w:highlight w:val="none"/>
        </w:rPr>
        <w:t>代理服务费</w:t>
      </w:r>
      <w:bookmarkEnd w:id="153"/>
      <w:bookmarkEnd w:id="154"/>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11</w:t>
      </w:r>
      <w:r>
        <w:rPr>
          <w:rFonts w:hint="eastAsia" w:ascii="宋体" w:hAnsi="宋体" w:cs="Times New Roman"/>
          <w:color w:val="auto"/>
          <w:kern w:val="0"/>
          <w:sz w:val="24"/>
          <w:szCs w:val="24"/>
          <w:highlight w:val="none"/>
        </w:rPr>
        <w:t>.1按国家计委颁发的《招标代理服务收费管理暂行办法》（计价格[2002]1980号）和国家发展改革委员会办公厅颁发的《关于招标代理服务收费有关问题的通知》（发改办价格[2003]857号）的有关规定执行。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11</w:t>
      </w:r>
      <w:r>
        <w:rPr>
          <w:rFonts w:hint="eastAsia" w:ascii="宋体" w:hAnsi="宋体" w:cs="Times New Roman"/>
          <w:color w:val="auto"/>
          <w:kern w:val="0"/>
          <w:sz w:val="24"/>
          <w:szCs w:val="24"/>
          <w:highlight w:val="none"/>
        </w:rPr>
        <w:t>.2成交单位在领取成交通知书前，须向采购代理机构一次性支付招标代理服务费。</w:t>
      </w:r>
    </w:p>
    <w:p>
      <w:pPr>
        <w:pStyle w:val="3"/>
        <w:bidi w:val="0"/>
        <w:rPr>
          <w:rFonts w:hint="eastAsia"/>
          <w:highlight w:val="none"/>
        </w:rPr>
      </w:pPr>
      <w:bookmarkStart w:id="155" w:name="_Toc15832"/>
      <w:r>
        <w:rPr>
          <w:rFonts w:hint="eastAsia"/>
          <w:highlight w:val="none"/>
        </w:rPr>
        <w:t>七、供应商提出质疑应符合中华人民共和国财政部令第94号《政府采购质疑和投诉办法》的规定</w:t>
      </w:r>
      <w:bookmarkEnd w:id="15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1、提出质疑的供应商应当是参与所质疑项目采购活动的供应商。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3、供应商提出质疑应当提交质疑函和必要的证明材料。质疑函应当包括：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3.1供应商的姓名或者名称、地址、邮编、联系人及联系电话；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3.2质疑项目的名称、编号；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3.3具体、明确的质疑事项和与质疑事项相关的请求；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3.4事实依据；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3.5必要的法律依据；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3.6提出质疑的日期。</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质疑函应采用财政部颁布的《政府采购供应商质疑函范本》。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5、质疑答复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采购人、采购代理机构在收到质疑函后七个工作日内做出答复。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7、投诉人在全国范围12个月内三次以上投诉查无实据的，由财政部门列入不良行为记录名单。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8、投诉人有下列行为之一的，属于虚假、恶意投诉，由财政部门列入不良行为记录名单，禁止其1至3年内参加政府采购活动：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（一）捏造事实;</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（二）提供虚假材料;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（三）以非法手段取得证明材料。证据来源的合法性存在明显疑问，投诉人无法证明其取得方式合法的，视为以非法手段取得证明材料。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9、质疑人须在质疑书和相关证明材料每一页上加盖公章原件送至质疑函递交地址，扫描发送至</w:t>
      </w:r>
      <w:r>
        <w:rPr>
          <w:rFonts w:hint="eastAsia" w:ascii="宋体" w:hAnsi="宋体" w:cs="宋体"/>
          <w:sz w:val="24"/>
          <w:szCs w:val="24"/>
          <w:highlight w:val="none"/>
          <w:lang w:eastAsia="zh-CN"/>
        </w:rPr>
        <w:t>874715</w:t>
      </w:r>
      <w:r>
        <w:rPr>
          <w:rFonts w:hint="eastAsia" w:ascii="宋体" w:hAnsi="宋体" w:cs="宋体"/>
          <w:sz w:val="24"/>
          <w:szCs w:val="24"/>
          <w:highlight w:val="none"/>
          <w:lang w:val="en-US" w:eastAsia="zh-CN"/>
        </w:rPr>
        <w:t>0</w:t>
      </w:r>
      <w:r>
        <w:rPr>
          <w:rFonts w:hint="eastAsia" w:ascii="宋体" w:hAnsi="宋体" w:cs="宋体"/>
          <w:sz w:val="24"/>
          <w:szCs w:val="24"/>
          <w:highlight w:val="none"/>
          <w:lang w:eastAsia="zh-CN"/>
        </w:rPr>
        <w:t>69@qq.com</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质疑提出时间：质疑需在有效期内提出，逾期不予受理。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质疑递交地址：</w:t>
      </w:r>
      <w:r>
        <w:rPr>
          <w:rFonts w:hint="eastAsia" w:ascii="宋体" w:hAnsi="宋体" w:cs="宋体"/>
          <w:sz w:val="24"/>
          <w:szCs w:val="24"/>
          <w:highlight w:val="none"/>
          <w:lang w:eastAsia="zh-CN"/>
        </w:rPr>
        <w:t>榆林市榆阳区肤施路南段环馨路5号金轩楼2楼201室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lang w:val="en-US" w:eastAsia="zh-CN"/>
        </w:rPr>
        <w:t>任</w:t>
      </w:r>
      <w:r>
        <w:rPr>
          <w:rFonts w:hint="eastAsia" w:ascii="宋体" w:hAnsi="宋体" w:cs="宋体"/>
          <w:sz w:val="24"/>
          <w:szCs w:val="24"/>
          <w:highlight w:val="none"/>
        </w:rPr>
        <w:t>工    联系电话：18992274597</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供应商和其他利害关系人认为本次谈判活动违反法律、法规和规章规定的，有权向项目所在地财政局提出投诉，质疑是投诉的前置条件。</w:t>
      </w:r>
    </w:p>
    <w:p>
      <w:pPr>
        <w:spacing w:line="360" w:lineRule="auto"/>
        <w:rPr>
          <w:rFonts w:hint="eastAsia" w:ascii="宋体" w:hAnsi="宋体" w:cs="宋体"/>
          <w:sz w:val="32"/>
          <w:szCs w:val="16"/>
          <w:highlight w:val="none"/>
        </w:rPr>
      </w:pPr>
      <w:bookmarkStart w:id="156" w:name="_Toc14581"/>
      <w:r>
        <w:rPr>
          <w:rFonts w:hint="eastAsia" w:ascii="宋体" w:hAnsi="宋体" w:cs="宋体"/>
          <w:sz w:val="32"/>
          <w:szCs w:val="16"/>
          <w:highlight w:val="none"/>
        </w:rPr>
        <w:br w:type="page"/>
      </w:r>
    </w:p>
    <w:p>
      <w:pPr>
        <w:pStyle w:val="2"/>
        <w:spacing w:before="0" w:after="0" w:line="360" w:lineRule="auto"/>
        <w:jc w:val="center"/>
        <w:rPr>
          <w:rFonts w:hint="eastAsia" w:ascii="宋体" w:hAnsi="宋体" w:cs="宋体"/>
          <w:b w:val="0"/>
          <w:bCs/>
          <w:szCs w:val="32"/>
          <w:highlight w:val="none"/>
        </w:rPr>
      </w:pPr>
      <w:bookmarkStart w:id="157" w:name="_Toc18111"/>
      <w:r>
        <w:rPr>
          <w:rFonts w:hint="eastAsia" w:ascii="宋体" w:hAnsi="宋体" w:cs="宋体"/>
          <w:sz w:val="32"/>
          <w:szCs w:val="16"/>
          <w:highlight w:val="none"/>
        </w:rPr>
        <w:t>第四部分 合同条款（仅供参考）</w:t>
      </w:r>
      <w:bookmarkEnd w:id="146"/>
      <w:bookmarkEnd w:id="147"/>
      <w:bookmarkEnd w:id="148"/>
      <w:bookmarkEnd w:id="156"/>
      <w:bookmarkEnd w:id="157"/>
    </w:p>
    <w:p>
      <w:pPr>
        <w:jc w:val="center"/>
        <w:rPr>
          <w:rStyle w:val="76"/>
          <w:rFonts w:ascii="华文中宋" w:hAnsi="华文中宋" w:eastAsia="华文中宋"/>
          <w:b/>
          <w:sz w:val="48"/>
          <w:szCs w:val="48"/>
          <w:highlight w:val="none"/>
        </w:rPr>
      </w:pPr>
      <w:bookmarkStart w:id="158" w:name="_Toc27476"/>
      <w:bookmarkStart w:id="159" w:name="_Toc31247"/>
      <w:bookmarkStart w:id="160" w:name="_Toc26683"/>
      <w:bookmarkStart w:id="161" w:name="_Toc23255"/>
      <w:bookmarkStart w:id="162" w:name="_Toc9052"/>
      <w:bookmarkStart w:id="163" w:name="_Toc24654"/>
    </w:p>
    <w:p>
      <w:pPr>
        <w:ind w:left="22" w:leftChars="-95" w:hanging="221" w:hangingChars="55"/>
        <w:jc w:val="center"/>
        <w:rPr>
          <w:rFonts w:hint="eastAsia" w:ascii="黑体" w:hAnsi="黑体" w:eastAsia="黑体" w:cs="黑体"/>
          <w:b/>
          <w:color w:val="000000"/>
          <w:sz w:val="40"/>
          <w:szCs w:val="40"/>
        </w:rPr>
      </w:pPr>
      <w:r>
        <w:rPr>
          <w:rFonts w:hint="eastAsia" w:ascii="黑体" w:hAnsi="黑体" w:eastAsia="黑体" w:cs="黑体"/>
          <w:b/>
          <w:i w:val="0"/>
          <w:iCs w:val="0"/>
          <w:caps w:val="0"/>
          <w:color w:val="000000"/>
          <w:spacing w:val="0"/>
          <w:sz w:val="40"/>
          <w:szCs w:val="40"/>
          <w:shd w:val="clear" w:color="auto" w:fill="auto"/>
          <w:lang w:val="en-US" w:eastAsia="zh-CN"/>
        </w:rPr>
        <w:t>榆林市</w:t>
      </w:r>
      <w:r>
        <w:rPr>
          <w:rFonts w:hint="eastAsia" w:ascii="黑体" w:hAnsi="黑体" w:eastAsia="黑体" w:cs="黑体"/>
          <w:b/>
          <w:i w:val="0"/>
          <w:iCs w:val="0"/>
          <w:caps w:val="0"/>
          <w:color w:val="000000"/>
          <w:spacing w:val="0"/>
          <w:sz w:val="40"/>
          <w:szCs w:val="40"/>
          <w:shd w:val="clear" w:color="auto" w:fill="auto"/>
        </w:rPr>
        <w:t>文物考古勘探工作队</w:t>
      </w:r>
      <w:r>
        <w:rPr>
          <w:rFonts w:hint="eastAsia" w:ascii="黑体" w:hAnsi="黑体" w:eastAsia="黑体" w:cs="黑体"/>
          <w:b/>
          <w:sz w:val="40"/>
          <w:szCs w:val="40"/>
          <w:lang w:val="en-US" w:eastAsia="zh-CN"/>
        </w:rPr>
        <w:t>史前石城测绘技术服务</w:t>
      </w:r>
      <w:r>
        <w:rPr>
          <w:rFonts w:hint="eastAsia" w:ascii="黑体" w:hAnsi="黑体" w:eastAsia="黑体" w:cs="黑体"/>
          <w:b/>
          <w:color w:val="000000"/>
          <w:sz w:val="40"/>
          <w:szCs w:val="40"/>
        </w:rPr>
        <w:t>合作协议</w:t>
      </w:r>
    </w:p>
    <w:p>
      <w:pPr>
        <w:jc w:val="right"/>
        <w:rPr>
          <w:rFonts w:ascii="黑体" w:eastAsia="黑体"/>
          <w:b/>
          <w:color w:val="000000"/>
          <w:sz w:val="32"/>
          <w:szCs w:val="32"/>
        </w:rPr>
      </w:pPr>
    </w:p>
    <w:p>
      <w:pPr>
        <w:spacing w:line="360" w:lineRule="auto"/>
        <w:jc w:val="left"/>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甲方：</w:t>
      </w:r>
      <w:r>
        <w:rPr>
          <w:rFonts w:hint="eastAsia" w:ascii="宋体" w:hAnsi="宋体" w:eastAsia="宋体" w:cs="宋体"/>
          <w:b/>
          <w:color w:val="000000"/>
          <w:sz w:val="24"/>
          <w:szCs w:val="24"/>
          <w:lang w:val="en-US" w:eastAsia="zh-CN"/>
        </w:rPr>
        <w:t>榆林市文物考古勘探工作队</w:t>
      </w:r>
    </w:p>
    <w:p>
      <w:pPr>
        <w:spacing w:line="360" w:lineRule="auto"/>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乙方：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为贯彻落实中共中央办公厅、国务院办公厅《关于加强文物保护利用改革的若干意见》，切实加强考古管理，不断提升考古工作质量和水平，</w:t>
      </w:r>
      <w:r>
        <w:rPr>
          <w:rFonts w:hint="eastAsia" w:ascii="宋体" w:hAnsi="宋体" w:eastAsia="宋体" w:cs="宋体"/>
          <w:color w:val="000000"/>
          <w:sz w:val="24"/>
          <w:szCs w:val="24"/>
          <w:lang w:val="en-US" w:eastAsia="zh-CN"/>
        </w:rPr>
        <w:t>榆林市文物考古勘探工作队与</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共同致力于文化遗产保护利用传承，助力陕西测绘事业发展。双方本着平等互信、资源共享、优势互补的原则，发挥专业与资源优势，签订</w:t>
      </w:r>
      <w:r>
        <w:rPr>
          <w:rFonts w:hint="eastAsia" w:ascii="宋体" w:hAnsi="宋体" w:eastAsia="宋体" w:cs="宋体"/>
          <w:color w:val="000000"/>
          <w:sz w:val="24"/>
          <w:szCs w:val="24"/>
          <w:lang w:val="en-US" w:eastAsia="zh-CN"/>
        </w:rPr>
        <w:t>技术服务合作</w:t>
      </w:r>
      <w:r>
        <w:rPr>
          <w:rFonts w:hint="eastAsia" w:ascii="宋体" w:hAnsi="宋体" w:eastAsia="宋体" w:cs="宋体"/>
          <w:color w:val="000000"/>
          <w:sz w:val="24"/>
          <w:szCs w:val="24"/>
        </w:rPr>
        <w:t>协议。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一、合作目的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坚持守正创新，秉承新发展理念，推动事业创新性发展。通过“</w:t>
      </w:r>
      <w:r>
        <w:rPr>
          <w:rFonts w:hint="eastAsia" w:ascii="宋体" w:hAnsi="宋体" w:eastAsia="宋体" w:cs="宋体"/>
          <w:color w:val="auto"/>
          <w:sz w:val="24"/>
          <w:szCs w:val="24"/>
          <w:lang w:val="en-US" w:eastAsia="zh-CN"/>
        </w:rPr>
        <w:t>考古</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测绘</w:t>
      </w:r>
      <w:r>
        <w:rPr>
          <w:rFonts w:hint="eastAsia" w:ascii="宋体" w:hAnsi="宋体" w:eastAsia="宋体" w:cs="宋体"/>
          <w:color w:val="auto"/>
          <w:sz w:val="24"/>
          <w:szCs w:val="24"/>
        </w:rPr>
        <w:t>”，充分发挥</w:t>
      </w:r>
      <w:r>
        <w:rPr>
          <w:rFonts w:hint="eastAsia" w:ascii="宋体" w:hAnsi="宋体" w:eastAsia="宋体" w:cs="宋体"/>
          <w:color w:val="auto"/>
          <w:sz w:val="24"/>
          <w:szCs w:val="24"/>
          <w:lang w:val="en-US" w:eastAsia="zh-CN"/>
        </w:rPr>
        <w:t>考古</w:t>
      </w:r>
      <w:r>
        <w:rPr>
          <w:rFonts w:hint="eastAsia" w:ascii="宋体" w:hAnsi="宋体" w:eastAsia="宋体" w:cs="宋体"/>
          <w:color w:val="auto"/>
          <w:sz w:val="24"/>
          <w:szCs w:val="24"/>
        </w:rPr>
        <w:t>与测绘科技优势，共同弘扬中华优秀传统文化，</w:t>
      </w:r>
      <w:r>
        <w:rPr>
          <w:rFonts w:hint="eastAsia" w:ascii="宋体" w:hAnsi="宋体" w:eastAsia="宋体" w:cs="宋体"/>
          <w:color w:val="auto"/>
          <w:sz w:val="24"/>
          <w:szCs w:val="24"/>
          <w:lang w:val="en-US" w:eastAsia="zh-CN"/>
        </w:rPr>
        <w:t>提高考古研究水平和创新能力</w:t>
      </w:r>
      <w:r>
        <w:rPr>
          <w:rFonts w:hint="eastAsia" w:ascii="宋体" w:hAnsi="宋体" w:eastAsia="宋体" w:cs="宋体"/>
          <w:color w:val="auto"/>
          <w:sz w:val="24"/>
          <w:szCs w:val="24"/>
        </w:rPr>
        <w:t>，融入</w:t>
      </w:r>
      <w:r>
        <w:rPr>
          <w:rFonts w:hint="eastAsia" w:ascii="宋体" w:hAnsi="宋体" w:eastAsia="宋体" w:cs="宋体"/>
          <w:color w:val="auto"/>
          <w:sz w:val="24"/>
          <w:szCs w:val="24"/>
          <w:lang w:val="en-US" w:eastAsia="zh-CN"/>
        </w:rPr>
        <w:t>榆林市</w:t>
      </w:r>
      <w:r>
        <w:rPr>
          <w:rFonts w:hint="eastAsia" w:ascii="宋体" w:hAnsi="宋体" w:eastAsia="宋体" w:cs="宋体"/>
          <w:color w:val="auto"/>
          <w:sz w:val="24"/>
          <w:szCs w:val="24"/>
        </w:rPr>
        <w:t>经济社会发展大局。</w:t>
      </w:r>
    </w:p>
    <w:p>
      <w:pPr>
        <w:spacing w:line="360" w:lineRule="auto"/>
        <w:ind w:firstLine="480" w:firstLineChars="2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二、合作内容</w:t>
      </w:r>
    </w:p>
    <w:p>
      <w:pPr>
        <w:pStyle w:val="81"/>
        <w:autoSpaceDE w:val="0"/>
        <w:autoSpaceDN w:val="0"/>
        <w:adjustRightInd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1.开展石城调查测绘技术服务，获取榆阳区、横山区、绥德县内20座史前石城的基础地理信息采集工作，获得1：2000地形图。</w:t>
      </w:r>
    </w:p>
    <w:p>
      <w:pPr>
        <w:pStyle w:val="81"/>
        <w:autoSpaceDE w:val="0"/>
        <w:autoSpaceDN w:val="0"/>
        <w:adjustRightInd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2.编制榆阳区、横山区、绥德县内20座史前石城调查报告的地形及遗迹插图。</w:t>
      </w:r>
    </w:p>
    <w:p>
      <w:pPr>
        <w:pStyle w:val="81"/>
        <w:autoSpaceDE w:val="0"/>
        <w:autoSpaceDN w:val="0"/>
        <w:adjustRightInd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3.编制榆林市石城分布总图、榆阳区、横山区、绥德县的石城分布图。</w:t>
      </w:r>
    </w:p>
    <w:p>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三、合作机制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建立沟通交流机制。科研与技术人员之间开展广泛的联系，加强工作思路与具体业务的信息交流，开展多频次多形式的互访互动。</w:t>
      </w:r>
    </w:p>
    <w:p>
      <w:pPr>
        <w:pStyle w:val="1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2.建立资料共享机制。乙方免费提供史前石城相关的1：1万、1：5万等基础地理信息成果，开展相关应用研究。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按照甲方需求，根据本协议签订的技术要求，乙方完成相应的测绘技术服务</w:t>
      </w:r>
      <w:r>
        <w:rPr>
          <w:rFonts w:hint="eastAsia" w:ascii="宋体" w:hAnsi="宋体" w:eastAsia="宋体" w:cs="宋体"/>
          <w:color w:val="000000"/>
          <w:sz w:val="24"/>
          <w:szCs w:val="24"/>
        </w:rPr>
        <w:t>。</w:t>
      </w:r>
    </w:p>
    <w:p>
      <w:pPr>
        <w:pStyle w:val="10"/>
        <w:spacing w:after="0"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4.本协议约定采用固定单价形式核算，具体如下：</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3702"/>
        <w:gridCol w:w="1080"/>
        <w:gridCol w:w="2465"/>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720" w:type="pct"/>
            <w:tcBorders>
              <w:tl2br w:val="nil"/>
              <w:tr2bl w:val="nil"/>
            </w:tcBorders>
            <w:noWrap w:val="0"/>
            <w:vAlign w:val="center"/>
          </w:tcPr>
          <w:p>
            <w:pPr>
              <w:pStyle w:val="82"/>
              <w:spacing w:line="360" w:lineRule="auto"/>
              <w:rPr>
                <w:rFonts w:hint="eastAsia" w:ascii="宋体" w:hAnsi="宋体" w:eastAsia="宋体" w:cs="宋体"/>
                <w:b/>
                <w:bCs/>
                <w:kern w:val="2"/>
                <w:sz w:val="24"/>
                <w:szCs w:val="24"/>
              </w:rPr>
            </w:pPr>
            <w:r>
              <w:rPr>
                <w:rFonts w:hint="eastAsia" w:ascii="宋体" w:hAnsi="宋体" w:eastAsia="宋体" w:cs="宋体"/>
                <w:b/>
                <w:bCs/>
                <w:kern w:val="2"/>
                <w:sz w:val="24"/>
                <w:szCs w:val="24"/>
              </w:rPr>
              <w:t>工作内容</w:t>
            </w:r>
          </w:p>
        </w:tc>
        <w:tc>
          <w:tcPr>
            <w:tcW w:w="1858" w:type="pct"/>
            <w:tcBorders>
              <w:tl2br w:val="nil"/>
              <w:tr2bl w:val="nil"/>
            </w:tcBorders>
            <w:noWrap w:val="0"/>
            <w:vAlign w:val="center"/>
          </w:tcPr>
          <w:p>
            <w:pPr>
              <w:pStyle w:val="82"/>
              <w:spacing w:line="360" w:lineRule="auto"/>
              <w:rPr>
                <w:rFonts w:hint="eastAsia" w:ascii="宋体" w:hAnsi="宋体" w:eastAsia="宋体" w:cs="宋体"/>
                <w:b/>
                <w:bCs/>
                <w:kern w:val="2"/>
                <w:sz w:val="24"/>
                <w:szCs w:val="24"/>
              </w:rPr>
            </w:pPr>
            <w:r>
              <w:rPr>
                <w:rFonts w:hint="eastAsia" w:ascii="宋体" w:hAnsi="宋体" w:eastAsia="宋体" w:cs="宋体"/>
                <w:b/>
                <w:bCs/>
                <w:kern w:val="2"/>
                <w:sz w:val="24"/>
                <w:szCs w:val="24"/>
              </w:rPr>
              <w:t>项    目</w:t>
            </w:r>
          </w:p>
        </w:tc>
        <w:tc>
          <w:tcPr>
            <w:tcW w:w="542" w:type="pct"/>
            <w:tcBorders>
              <w:tl2br w:val="nil"/>
              <w:tr2bl w:val="nil"/>
            </w:tcBorders>
            <w:noWrap w:val="0"/>
            <w:vAlign w:val="center"/>
          </w:tcPr>
          <w:p>
            <w:pPr>
              <w:pStyle w:val="82"/>
              <w:spacing w:line="360" w:lineRule="auto"/>
              <w:rPr>
                <w:rFonts w:hint="eastAsia" w:ascii="宋体" w:hAnsi="宋体" w:eastAsia="宋体" w:cs="宋体"/>
                <w:b/>
                <w:bCs/>
                <w:kern w:val="2"/>
                <w:sz w:val="24"/>
                <w:szCs w:val="24"/>
              </w:rPr>
            </w:pPr>
            <w:r>
              <w:rPr>
                <w:rFonts w:hint="eastAsia" w:ascii="宋体" w:hAnsi="宋体" w:eastAsia="宋体" w:cs="宋体"/>
                <w:b/>
                <w:bCs/>
                <w:kern w:val="2"/>
                <w:sz w:val="24"/>
                <w:szCs w:val="24"/>
              </w:rPr>
              <w:t>单位</w:t>
            </w:r>
          </w:p>
        </w:tc>
        <w:tc>
          <w:tcPr>
            <w:tcW w:w="1237" w:type="pct"/>
            <w:tcBorders>
              <w:tl2br w:val="nil"/>
              <w:tr2bl w:val="nil"/>
            </w:tcBorders>
            <w:noWrap w:val="0"/>
            <w:vAlign w:val="center"/>
          </w:tcPr>
          <w:p>
            <w:pPr>
              <w:pStyle w:val="82"/>
              <w:spacing w:line="360" w:lineRule="auto"/>
              <w:rPr>
                <w:rFonts w:hint="eastAsia" w:ascii="宋体" w:hAnsi="宋体" w:eastAsia="宋体" w:cs="宋体"/>
                <w:b/>
                <w:bCs/>
                <w:kern w:val="2"/>
                <w:sz w:val="24"/>
                <w:szCs w:val="24"/>
              </w:rPr>
            </w:pPr>
            <w:r>
              <w:rPr>
                <w:rFonts w:hint="eastAsia" w:ascii="宋体" w:hAnsi="宋体" w:eastAsia="宋体" w:cs="宋体"/>
                <w:b/>
                <w:bCs/>
                <w:kern w:val="2"/>
                <w:sz w:val="24"/>
                <w:szCs w:val="24"/>
              </w:rPr>
              <w:t>单价（元）</w:t>
            </w:r>
          </w:p>
        </w:tc>
        <w:tc>
          <w:tcPr>
            <w:tcW w:w="641" w:type="pct"/>
            <w:tcBorders>
              <w:tl2br w:val="nil"/>
              <w:tr2bl w:val="nil"/>
            </w:tcBorders>
            <w:noWrap w:val="0"/>
            <w:vAlign w:val="center"/>
          </w:tcPr>
          <w:p>
            <w:pPr>
              <w:pStyle w:val="82"/>
              <w:spacing w:line="360" w:lineRule="auto"/>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pct"/>
            <w:vMerge w:val="restar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榆林史前石城地理信息采集制作</w:t>
            </w:r>
          </w:p>
        </w:tc>
        <w:tc>
          <w:tcPr>
            <w:tcW w:w="1858"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1：2000数字线化图制作</w:t>
            </w:r>
          </w:p>
        </w:tc>
        <w:tc>
          <w:tcPr>
            <w:tcW w:w="542"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幅</w:t>
            </w:r>
          </w:p>
        </w:tc>
        <w:tc>
          <w:tcPr>
            <w:tcW w:w="1237"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p>
        </w:tc>
        <w:tc>
          <w:tcPr>
            <w:tcW w:w="641"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图幅不满幅时以满幅计算。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pct"/>
            <w:vMerge w:val="continue"/>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p>
        </w:tc>
        <w:tc>
          <w:tcPr>
            <w:tcW w:w="1858"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专题图编制</w:t>
            </w:r>
          </w:p>
        </w:tc>
        <w:tc>
          <w:tcPr>
            <w:tcW w:w="542"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幅</w:t>
            </w:r>
          </w:p>
        </w:tc>
        <w:tc>
          <w:tcPr>
            <w:tcW w:w="1237"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p>
        </w:tc>
        <w:tc>
          <w:tcPr>
            <w:tcW w:w="641"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0" w:type="pct"/>
            <w:vMerge w:val="continue"/>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p>
        </w:tc>
        <w:tc>
          <w:tcPr>
            <w:tcW w:w="1858"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石城现状分布图</w:t>
            </w:r>
          </w:p>
        </w:tc>
        <w:tc>
          <w:tcPr>
            <w:tcW w:w="542"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幅</w:t>
            </w:r>
          </w:p>
        </w:tc>
        <w:tc>
          <w:tcPr>
            <w:tcW w:w="1237"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p>
        </w:tc>
        <w:tc>
          <w:tcPr>
            <w:tcW w:w="641" w:type="pct"/>
            <w:tcBorders>
              <w:tl2br w:val="nil"/>
              <w:tr2bl w:val="nil"/>
            </w:tcBorders>
            <w:noWrap w:val="0"/>
            <w:vAlign w:val="center"/>
          </w:tcPr>
          <w:p>
            <w:pPr>
              <w:pStyle w:val="82"/>
              <w:spacing w:line="360" w:lineRule="auto"/>
              <w:rPr>
                <w:rFonts w:hint="eastAsia" w:ascii="宋体" w:hAnsi="宋体" w:eastAsia="宋体" w:cs="宋体"/>
                <w:kern w:val="2"/>
                <w:sz w:val="24"/>
                <w:szCs w:val="24"/>
                <w:lang w:val="en-US" w:eastAsia="zh-CN"/>
              </w:rPr>
            </w:pPr>
          </w:p>
        </w:tc>
      </w:tr>
    </w:tbl>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（1）合同生效后1个工作日内，支付合同总价的40%作为预付款。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（2）工作完成后，支付合同总价的50%作为进度款。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（3）编制完成后，支付合同总价的10%作为尾款。</w:t>
      </w:r>
    </w:p>
    <w:p>
      <w:pPr>
        <w:numPr>
          <w:ilvl w:val="0"/>
          <w:numId w:val="0"/>
        </w:num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合作展望</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1.推进</w:t>
      </w:r>
      <w:r>
        <w:rPr>
          <w:rFonts w:hint="eastAsia" w:ascii="宋体" w:hAnsi="宋体" w:eastAsia="宋体" w:cs="宋体"/>
          <w:color w:val="auto"/>
          <w:sz w:val="24"/>
          <w:szCs w:val="24"/>
          <w:lang w:val="en-US" w:eastAsia="zh-CN"/>
        </w:rPr>
        <w:t>史前石城调查测绘技术服务，完成佳县、府谷县、靖边县、米脂县、清涧县、神木市、吴堡县、子洲县等8个县石城地理信息采集</w:t>
      </w:r>
      <w:r>
        <w:rPr>
          <w:rFonts w:hint="eastAsia" w:ascii="宋体" w:hAnsi="宋体" w:eastAsia="宋体" w:cs="宋体"/>
          <w:color w:val="000000"/>
          <w:kern w:val="2"/>
          <w:sz w:val="24"/>
          <w:szCs w:val="24"/>
          <w:lang w:val="en-US" w:eastAsia="zh-CN" w:bidi="ar-SA"/>
        </w:rPr>
        <w:t>制作，获取石城的1：2000地形图。</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2.完成榆林市史前石城资源的三维信息采集，构建史前石城的三维模型。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3.推进史前石城资源的信息化管理。结合实景三维中国等重大工程的基础地理信息成果，融合史前石城调查的专题数据，构建史前石城三维数据库，实现石城资源的三维展示、信息化检索、统计及日常管理。</w:t>
      </w:r>
    </w:p>
    <w:p>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、其他</w:t>
      </w:r>
    </w:p>
    <w:p>
      <w:pPr>
        <w:spacing w:line="360" w:lineRule="auto"/>
        <w:ind w:firstLine="573"/>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.双方在合作中遇到本协议未提及或有争议的事宜，应根据国家法律法规和相关政策，友好协商解决。</w:t>
      </w:r>
    </w:p>
    <w:p>
      <w:pPr>
        <w:spacing w:line="360" w:lineRule="auto"/>
        <w:ind w:firstLine="573"/>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.本协议自双方签字并盖章之日起生效，一式肆份，甲方执贰份，乙方执贰份。</w:t>
      </w:r>
    </w:p>
    <w:p>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w:t>
      </w:r>
      <w:r>
        <w:rPr>
          <w:rFonts w:hint="eastAsia" w:ascii="宋体" w:hAnsi="宋体" w:eastAsia="宋体" w:cs="宋体"/>
          <w:b w:val="0"/>
          <w:color w:val="000000"/>
          <w:sz w:val="24"/>
          <w:szCs w:val="24"/>
        </w:rPr>
        <w:t>附件</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附件1：</w:t>
      </w:r>
      <w:r>
        <w:rPr>
          <w:rFonts w:hint="eastAsia" w:ascii="宋体" w:hAnsi="宋体" w:eastAsia="宋体" w:cs="宋体"/>
          <w:color w:val="000000"/>
          <w:sz w:val="24"/>
          <w:szCs w:val="24"/>
          <w:lang w:val="en-US" w:eastAsia="zh-CN"/>
        </w:rPr>
        <w:t>保密协议</w:t>
      </w:r>
    </w:p>
    <w:p>
      <w:pPr>
        <w:pStyle w:val="10"/>
        <w:spacing w:line="360" w:lineRule="auto"/>
        <w:rPr>
          <w:rFonts w:hint="eastAsia" w:ascii="宋体" w:hAnsi="宋体" w:eastAsia="宋体" w:cs="宋体"/>
          <w:sz w:val="24"/>
          <w:szCs w:val="24"/>
          <w:lang w:val="en-US" w:eastAsia="zh-CN"/>
        </w:rPr>
      </w:pPr>
    </w:p>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rPr>
        <w:t>甲方：</w:t>
      </w:r>
      <w:r>
        <w:rPr>
          <w:rFonts w:hint="eastAsia" w:ascii="宋体" w:hAnsi="宋体" w:eastAsia="宋体" w:cs="宋体"/>
          <w:color w:val="000000"/>
          <w:sz w:val="24"/>
          <w:szCs w:val="24"/>
          <w:lang w:val="en-US" w:eastAsia="zh-CN"/>
        </w:rPr>
        <w:t>榆林市文物考古勘探工作队</w:t>
      </w:r>
      <w:r>
        <w:rPr>
          <w:rFonts w:hint="eastAsia" w:ascii="宋体" w:hAnsi="宋体" w:eastAsia="宋体" w:cs="宋体"/>
          <w:color w:val="000000"/>
          <w:sz w:val="24"/>
          <w:szCs w:val="24"/>
        </w:rPr>
        <w:t xml:space="preserve"> </w:t>
      </w:r>
    </w:p>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法定代表人/负责人</w:t>
      </w:r>
      <w:r>
        <w:rPr>
          <w:rFonts w:hint="eastAsia" w:ascii="宋体" w:hAnsi="宋体" w:eastAsia="宋体" w:cs="宋体"/>
          <w:color w:val="000000"/>
          <w:sz w:val="24"/>
          <w:szCs w:val="24"/>
          <w:lang w:val="en-US" w:eastAsia="zh-CN"/>
        </w:rPr>
        <w:t xml:space="preserve">      </w:t>
      </w:r>
    </w:p>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或授权代表 （签字）：</w:t>
      </w:r>
      <w:r>
        <w:rPr>
          <w:rFonts w:hint="eastAsia" w:ascii="宋体" w:hAnsi="宋体" w:eastAsia="宋体" w:cs="宋体"/>
          <w:color w:val="000000"/>
          <w:sz w:val="24"/>
          <w:szCs w:val="24"/>
          <w:lang w:val="en-US" w:eastAsia="zh-CN"/>
        </w:rPr>
        <w:t xml:space="preserve">       </w:t>
      </w:r>
    </w:p>
    <w:p>
      <w:pPr>
        <w:spacing w:line="360" w:lineRule="auto"/>
        <w:ind w:firstLine="4560" w:firstLineChars="1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月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日  </w:t>
      </w:r>
    </w:p>
    <w:p>
      <w:pPr>
        <w:pStyle w:val="10"/>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p>
    <w:p>
      <w:pPr>
        <w:pStyle w:val="10"/>
        <w:spacing w:line="360" w:lineRule="auto"/>
        <w:rPr>
          <w:rFonts w:hint="eastAsia" w:ascii="宋体" w:hAnsi="宋体" w:eastAsia="宋体" w:cs="宋体"/>
          <w:sz w:val="24"/>
          <w:szCs w:val="24"/>
        </w:rPr>
      </w:pPr>
    </w:p>
    <w:p>
      <w:pPr>
        <w:spacing w:line="360" w:lineRule="auto"/>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乙方：</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法定代表人/负责人</w:t>
      </w:r>
    </w:p>
    <w:p>
      <w:pPr>
        <w:spacing w:line="360" w:lineRule="auto"/>
        <w:jc w:val="left"/>
        <w:rPr>
          <w:rFonts w:hint="eastAsia" w:ascii="宋体" w:hAnsi="宋体" w:eastAsia="宋体" w:cs="宋体"/>
          <w:sz w:val="24"/>
          <w:szCs w:val="24"/>
        </w:rPr>
      </w:pPr>
      <w:r>
        <w:rPr>
          <w:rFonts w:hint="eastAsia" w:ascii="宋体" w:hAnsi="宋体" w:eastAsia="宋体" w:cs="宋体"/>
          <w:color w:val="000000"/>
          <w:sz w:val="24"/>
          <w:szCs w:val="24"/>
          <w:lang w:val="en-US" w:eastAsia="zh-CN"/>
        </w:rPr>
        <w:t>或授权代表</w:t>
      </w:r>
      <w:r>
        <w:rPr>
          <w:rFonts w:hint="eastAsia" w:ascii="宋体" w:hAnsi="宋体" w:eastAsia="宋体" w:cs="宋体"/>
          <w:color w:val="000000"/>
          <w:sz w:val="24"/>
          <w:szCs w:val="24"/>
        </w:rPr>
        <w:t>（签字）：</w:t>
      </w:r>
    </w:p>
    <w:p>
      <w:pPr>
        <w:spacing w:line="360" w:lineRule="auto"/>
        <w:ind w:firstLine="4560" w:firstLineChars="1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月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p>
    <w:p>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保密协议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甲方：</w:t>
      </w:r>
      <w:r>
        <w:rPr>
          <w:rFonts w:hint="eastAsia" w:ascii="宋体" w:hAnsi="宋体" w:eastAsia="宋体" w:cs="宋体"/>
          <w:b/>
          <w:bCs/>
          <w:sz w:val="24"/>
          <w:szCs w:val="24"/>
          <w:u w:val="single"/>
          <w:lang w:val="en-US" w:eastAsia="zh-CN"/>
        </w:rPr>
        <w:t>榆林市文物考古勘探工作队</w:t>
      </w:r>
      <w:r>
        <w:rPr>
          <w:rFonts w:hint="eastAsia" w:ascii="宋体" w:hAnsi="宋体" w:eastAsia="宋体" w:cs="宋体"/>
          <w:b/>
          <w:bCs/>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乙方：</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none"/>
          <w:lang w:val="en-US" w:eastAsia="zh-CN"/>
        </w:rPr>
        <w:t xml:space="preserve">           </w:t>
      </w:r>
    </w:p>
    <w:p>
      <w:pPr>
        <w:pStyle w:val="10"/>
        <w:spacing w:line="360" w:lineRule="auto"/>
        <w:rPr>
          <w:rFonts w:hint="eastAsia" w:ascii="宋体" w:hAnsi="宋体" w:eastAsia="宋体" w:cs="宋体"/>
          <w:sz w:val="24"/>
          <w:szCs w:val="24"/>
          <w:lang w:val="en-US" w:eastAsia="zh-CN"/>
        </w:rPr>
      </w:pPr>
    </w:p>
    <w:p>
      <w:pPr>
        <w:pStyle w:val="1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在业务协商及合作过程中，甲方将向乙方披露或乙方将从甲方处知悉保密信息。为保护甲方的合法权益，经平等自愿协商一致，甲乙双方特就保密事宜签订本协议共同遵照履行。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第一条  保密信息</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双方约定，任何一方对在合同签订、履行过程中所知悉或接受的有关对方的商业秘密均应严格保密。该商业秘密包括但不限于技术方案、技术文档、相关的函电等。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第二条  保密义务</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1、未经对方书面同意，任何一方在任何情况下不得向任何其他第三方披露或许诺使用，也不得进行复制或用作他途。</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2、乙方应当保证其交付给甲方的研究成果不侵犯任何第三方的合法权益。</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3、乙方未经甲方同意，不得将项目研究成果公开发表，或告知第三方。</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4、乙方对所有项目成果不具有知识产权，因履行本合同所产生的成果归甲方所有。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第三条  保密期限</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1、本协议项下的保密期限，自本协议签订生效之日起至保密信息被甲方依法公开或披露或成为公开信息之日止。</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2、不论以何种方式接触或终止甲乙双方之间的合作事宜已经及/或将要签署的协议，本保密协议仍然有效，直至相关保密信息被甲方依法公开披露或成为公开信息。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第四条  违约责任</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1、任一方未遵守本协议约定的保密义务，应向对方承担违约责任。</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2、乙方因其违约行为造成甲方遭受损失的，如发生第三方指控甲方实施的学术侵权，乙方应当负责解决，并承担一切法律责任和法律后果，由此给甲方造成声誉和经济损失的，由乙方负责全额赔偿。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第五条  法律适用及争议解决</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1、本协议适用中华人民共和国法律并按其解释。</w:t>
      </w:r>
    </w:p>
    <w:p>
      <w:pPr>
        <w:pStyle w:val="10"/>
        <w:spacing w:line="360" w:lineRule="auto"/>
        <w:ind w:firstLine="420" w:firstLineChars="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2、因本协议引起的或与本协议有关的任何争议，通过友好协商解决；不同通过友好协商解决的，均可向甲方所在地有管辖权的人民法院提起诉讼。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第六条  附则</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1、本协议经双方签字盖章生效。</w:t>
      </w:r>
    </w:p>
    <w:p>
      <w:pPr>
        <w:pStyle w:val="10"/>
        <w:spacing w:line="360" w:lineRule="auto"/>
        <w:ind w:firstLine="42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2、本协议一式两份，双方各持一份；各份具有同等法律效力。</w:t>
      </w:r>
    </w:p>
    <w:p>
      <w:pPr>
        <w:pStyle w:val="10"/>
        <w:spacing w:line="360" w:lineRule="auto"/>
        <w:ind w:firstLine="420" w:firstLineChars="0"/>
        <w:rPr>
          <w:rFonts w:hint="eastAsia" w:ascii="宋体" w:hAnsi="宋体" w:eastAsia="宋体" w:cs="宋体"/>
          <w:kern w:val="2"/>
          <w:sz w:val="24"/>
          <w:szCs w:val="24"/>
          <w:lang w:val="en-US" w:eastAsia="zh-CN" w:bidi="ar-SA"/>
        </w:rPr>
      </w:pPr>
    </w:p>
    <w:p>
      <w:pPr>
        <w:pStyle w:val="10"/>
        <w:spacing w:line="360" w:lineRule="auto"/>
        <w:ind w:firstLine="420" w:firstLineChars="0"/>
        <w:rPr>
          <w:rFonts w:hint="eastAsia" w:ascii="宋体" w:hAnsi="宋体" w:eastAsia="宋体" w:cs="宋体"/>
          <w:b/>
          <w:bCs/>
          <w:kern w:val="2"/>
          <w:sz w:val="24"/>
          <w:szCs w:val="24"/>
          <w:lang w:val="en-US" w:eastAsia="zh-CN" w:bidi="ar-SA"/>
        </w:rPr>
      </w:pPr>
    </w:p>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rPr>
        <w:t>甲方：</w:t>
      </w:r>
      <w:r>
        <w:rPr>
          <w:rFonts w:hint="eastAsia" w:ascii="宋体" w:hAnsi="宋体" w:eastAsia="宋体" w:cs="宋体"/>
          <w:color w:val="000000"/>
          <w:sz w:val="24"/>
          <w:szCs w:val="24"/>
          <w:lang w:val="en-US" w:eastAsia="zh-CN"/>
        </w:rPr>
        <w:t>榆林市文物考古勘探工作队</w:t>
      </w:r>
      <w:r>
        <w:rPr>
          <w:rFonts w:hint="eastAsia" w:ascii="宋体" w:hAnsi="宋体" w:eastAsia="宋体" w:cs="宋体"/>
          <w:color w:val="000000"/>
          <w:sz w:val="24"/>
          <w:szCs w:val="24"/>
        </w:rPr>
        <w:t xml:space="preserve"> </w:t>
      </w:r>
    </w:p>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法定代表人/负责人</w:t>
      </w:r>
      <w:r>
        <w:rPr>
          <w:rFonts w:hint="eastAsia" w:ascii="宋体" w:hAnsi="宋体" w:eastAsia="宋体" w:cs="宋体"/>
          <w:color w:val="000000"/>
          <w:sz w:val="24"/>
          <w:szCs w:val="24"/>
          <w:lang w:val="en-US" w:eastAsia="zh-CN"/>
        </w:rPr>
        <w:t xml:space="preserve">      </w:t>
      </w:r>
    </w:p>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或授权代表 （签字）：</w:t>
      </w:r>
      <w:r>
        <w:rPr>
          <w:rFonts w:hint="eastAsia" w:ascii="宋体" w:hAnsi="宋体" w:eastAsia="宋体" w:cs="宋体"/>
          <w:color w:val="000000"/>
          <w:sz w:val="24"/>
          <w:szCs w:val="24"/>
          <w:lang w:val="en-US" w:eastAsia="zh-CN"/>
        </w:rPr>
        <w:t xml:space="preserve">       </w:t>
      </w:r>
    </w:p>
    <w:p>
      <w:pPr>
        <w:spacing w:line="360" w:lineRule="auto"/>
        <w:ind w:firstLine="4560" w:firstLineChars="1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月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日  </w:t>
      </w:r>
    </w:p>
    <w:p>
      <w:pPr>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360" w:lineRule="auto"/>
        <w:ind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乙方：</w:t>
      </w:r>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法定代表人/负责人</w:t>
      </w:r>
    </w:p>
    <w:p>
      <w:pPr>
        <w:spacing w:line="360" w:lineRule="auto"/>
        <w:jc w:val="left"/>
        <w:rPr>
          <w:rFonts w:hint="eastAsia" w:ascii="宋体" w:hAnsi="宋体" w:eastAsia="宋体" w:cs="宋体"/>
          <w:sz w:val="24"/>
          <w:szCs w:val="24"/>
        </w:rPr>
      </w:pPr>
      <w:r>
        <w:rPr>
          <w:rFonts w:hint="eastAsia" w:ascii="宋体" w:hAnsi="宋体" w:eastAsia="宋体" w:cs="宋体"/>
          <w:color w:val="000000"/>
          <w:sz w:val="24"/>
          <w:szCs w:val="24"/>
          <w:lang w:val="en-US" w:eastAsia="zh-CN"/>
        </w:rPr>
        <w:t>或授权代表</w:t>
      </w:r>
      <w:r>
        <w:rPr>
          <w:rFonts w:hint="eastAsia" w:ascii="宋体" w:hAnsi="宋体" w:eastAsia="宋体" w:cs="宋体"/>
          <w:color w:val="000000"/>
          <w:sz w:val="24"/>
          <w:szCs w:val="24"/>
        </w:rPr>
        <w:t>（签字）：</w:t>
      </w:r>
    </w:p>
    <w:p>
      <w:pPr>
        <w:spacing w:line="360" w:lineRule="auto"/>
        <w:ind w:firstLine="4560" w:firstLineChars="1900"/>
        <w:rPr>
          <w:rFonts w:hint="eastAsia" w:ascii="宋体" w:hAnsi="宋体" w:eastAsia="宋体" w:cs="宋体"/>
          <w:sz w:val="24"/>
          <w:szCs w:val="24"/>
          <w:lang w:val="en-US" w:eastAsia="zh-CN"/>
        </w:rPr>
      </w:pPr>
      <w:r>
        <w:rPr>
          <w:rFonts w:hint="eastAsia" w:ascii="宋体" w:hAnsi="宋体" w:eastAsia="宋体" w:cs="宋体"/>
          <w:color w:val="000000"/>
          <w:sz w:val="24"/>
          <w:szCs w:val="24"/>
        </w:rPr>
        <w:t xml:space="preserve">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月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pPr>
        <w:pStyle w:val="2"/>
        <w:spacing w:before="20" w:after="20" w:line="360" w:lineRule="auto"/>
        <w:jc w:val="center"/>
        <w:outlineLvl w:val="0"/>
        <w:rPr>
          <w:rFonts w:hint="eastAsia" w:ascii="宋体" w:hAnsi="宋体" w:cs="宋体"/>
          <w:b w:val="0"/>
          <w:bCs/>
          <w:szCs w:val="32"/>
          <w:highlight w:val="none"/>
        </w:rPr>
      </w:pPr>
      <w:r>
        <w:rPr>
          <w:rFonts w:hint="eastAsia"/>
          <w:sz w:val="32"/>
          <w:szCs w:val="15"/>
          <w:highlight w:val="none"/>
        </w:rPr>
        <w:br w:type="page"/>
      </w:r>
      <w:bookmarkStart w:id="164" w:name="_Toc29686"/>
      <w:r>
        <w:rPr>
          <w:rFonts w:hint="eastAsia"/>
          <w:sz w:val="32"/>
          <w:szCs w:val="15"/>
          <w:highlight w:val="none"/>
        </w:rPr>
        <w:t>第五部分 评标方法</w:t>
      </w:r>
      <w:bookmarkEnd w:id="158"/>
      <w:bookmarkEnd w:id="159"/>
      <w:bookmarkEnd w:id="160"/>
      <w:bookmarkEnd w:id="161"/>
      <w:bookmarkEnd w:id="162"/>
      <w:bookmarkEnd w:id="163"/>
      <w:bookmarkEnd w:id="164"/>
    </w:p>
    <w:p>
      <w:pPr>
        <w:spacing w:line="360" w:lineRule="auto"/>
        <w:ind w:firstLine="482" w:firstLineChars="200"/>
        <w:outlineLvl w:val="1"/>
        <w:rPr>
          <w:rFonts w:hint="eastAsia" w:ascii="宋体" w:hAnsi="宋体" w:cs="宋体"/>
          <w:b/>
          <w:bCs/>
          <w:sz w:val="24"/>
          <w:szCs w:val="24"/>
          <w:highlight w:val="none"/>
        </w:rPr>
      </w:pPr>
      <w:bookmarkStart w:id="165" w:name="_Toc12117"/>
      <w:bookmarkStart w:id="166" w:name="_Toc22208"/>
      <w:bookmarkStart w:id="167" w:name="_Toc30388"/>
      <w:r>
        <w:rPr>
          <w:rFonts w:hint="eastAsia" w:ascii="宋体" w:hAnsi="宋体" w:cs="宋体"/>
          <w:b/>
          <w:bCs/>
          <w:sz w:val="24"/>
          <w:szCs w:val="24"/>
          <w:highlight w:val="none"/>
        </w:rPr>
        <w:t>1、第一阶段：资格性审查</w:t>
      </w:r>
      <w:bookmarkEnd w:id="165"/>
      <w:bookmarkEnd w:id="166"/>
      <w:bookmarkEnd w:id="16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依据法律法规和谈判文件的规定，对所有供应商的商务部分中的资格证明（包括信用情况）、投标保证金等进行审查</w:t>
      </w:r>
      <w:r>
        <w:rPr>
          <w:rFonts w:hint="eastAsia" w:ascii="宋体" w:hAnsi="宋体" w:cs="宋体"/>
          <w:sz w:val="24"/>
          <w:szCs w:val="24"/>
          <w:highlight w:val="none"/>
          <w:lang w:val="en-US" w:eastAsia="zh-CN"/>
        </w:rPr>
        <w:t>见下表</w:t>
      </w:r>
      <w:r>
        <w:rPr>
          <w:rFonts w:hint="eastAsia" w:ascii="宋体" w:hAnsi="宋体" w:cs="宋体"/>
          <w:sz w:val="24"/>
          <w:szCs w:val="24"/>
          <w:highlight w:val="none"/>
        </w:rPr>
        <w:t>，并确定供应商是否具备谈判资格，填写资格审查表并签字确认。</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218"/>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序号</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审查项</w:t>
            </w:r>
          </w:p>
        </w:tc>
        <w:tc>
          <w:tcPr>
            <w:tcW w:w="3375"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w:t>
            </w:r>
          </w:p>
        </w:tc>
        <w:tc>
          <w:tcPr>
            <w:tcW w:w="1114"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营业执照</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lang w:eastAsia="zh-CN"/>
              </w:rPr>
            </w:pP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2</w:t>
            </w:r>
          </w:p>
        </w:tc>
        <w:tc>
          <w:tcPr>
            <w:tcW w:w="1114" w:type="pct"/>
            <w:vAlign w:val="center"/>
          </w:tcPr>
          <w:p>
            <w:pPr>
              <w:keepNext w:val="0"/>
              <w:keepLines w:val="0"/>
              <w:widowControl/>
              <w:suppressLineNumbers w:val="0"/>
              <w:spacing w:before="0" w:beforeAutospacing="0" w:after="0" w:afterAutospacing="0" w:line="360" w:lineRule="auto"/>
              <w:ind w:right="0"/>
              <w:jc w:val="center"/>
              <w:rPr>
                <w:rFonts w:hint="default" w:ascii="宋体" w:hAnsi="宋体" w:eastAsia="宋体" w:cs="宋体"/>
                <w:kern w:val="0"/>
                <w:sz w:val="24"/>
                <w:szCs w:val="24"/>
                <w:highlight w:val="none"/>
                <w:vertAlign w:val="baseline"/>
                <w:lang w:val="en-US" w:eastAsia="zh-CN" w:bidi="ar-SA"/>
              </w:rPr>
            </w:pPr>
            <w:r>
              <w:rPr>
                <w:rFonts w:hint="eastAsia" w:ascii="宋体" w:hAnsi="宋体" w:cs="宋体"/>
                <w:kern w:val="0"/>
                <w:sz w:val="24"/>
                <w:szCs w:val="24"/>
                <w:highlight w:val="none"/>
                <w:vertAlign w:val="baseline"/>
                <w:lang w:val="en-US" w:eastAsia="zh-CN" w:bidi="ar-SA"/>
              </w:rPr>
              <w:t>资质证书</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供应商须具备国家测绘行政主管部门颁发的测绘乙级及以上测绘资质（包含测绘航空摄影和地理信息系统工程）；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3</w:t>
            </w:r>
          </w:p>
        </w:tc>
        <w:tc>
          <w:tcPr>
            <w:tcW w:w="1114" w:type="pct"/>
            <w:vAlign w:val="center"/>
          </w:tcPr>
          <w:p>
            <w:pPr>
              <w:widowControl w:val="0"/>
              <w:spacing w:line="360" w:lineRule="auto"/>
              <w:ind w:firstLine="42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财务状况报告</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4</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税收缴纳证明</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5</w:t>
            </w:r>
          </w:p>
        </w:tc>
        <w:tc>
          <w:tcPr>
            <w:tcW w:w="1114" w:type="pct"/>
            <w:vAlign w:val="center"/>
          </w:tcPr>
          <w:p>
            <w:pPr>
              <w:widowControl w:val="0"/>
              <w:spacing w:line="360" w:lineRule="auto"/>
              <w:ind w:firstLine="42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社会保障资金缴纳证明</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6</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书面声明</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6"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7</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信誉要求</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8</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非联合体</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9</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信用中国（陕西榆林）</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10</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投标保证金</w:t>
            </w:r>
          </w:p>
        </w:tc>
        <w:tc>
          <w:tcPr>
            <w:tcW w:w="3375" w:type="pct"/>
            <w:vAlign w:val="center"/>
          </w:tcPr>
          <w:p>
            <w:pPr>
              <w:widowControl w:val="0"/>
              <w:spacing w:line="360" w:lineRule="auto"/>
              <w:ind w:firstLine="480" w:firstLineChars="20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投标信用承诺书代替投标保证金。需在网上提交投标信用(保证金）承诺或承诺书网上截图附在响应文件中。（截图示例及承诺书格式详见谈判文件格式）；</w:t>
            </w:r>
          </w:p>
        </w:tc>
      </w:tr>
    </w:tbl>
    <w:p>
      <w:pPr>
        <w:rPr>
          <w:rFonts w:hint="eastAsia" w:ascii="宋体" w:hAnsi="宋体" w:cs="宋体"/>
          <w:b/>
          <w:bCs/>
          <w:sz w:val="24"/>
          <w:szCs w:val="24"/>
          <w:highlight w:val="none"/>
        </w:rPr>
      </w:pPr>
      <w:bookmarkStart w:id="168" w:name="_Toc20309"/>
      <w:bookmarkStart w:id="169" w:name="_Toc24423"/>
      <w:r>
        <w:rPr>
          <w:rFonts w:hint="eastAsia" w:ascii="宋体" w:hAnsi="宋体" w:cs="宋体"/>
          <w:b/>
          <w:bCs/>
          <w:sz w:val="24"/>
          <w:szCs w:val="24"/>
          <w:highlight w:val="none"/>
        </w:rPr>
        <w:br w:type="page"/>
      </w:r>
    </w:p>
    <w:p>
      <w:pPr>
        <w:spacing w:line="360" w:lineRule="auto"/>
        <w:ind w:firstLine="482" w:firstLineChars="200"/>
        <w:outlineLvl w:val="1"/>
        <w:rPr>
          <w:rFonts w:hint="eastAsia" w:ascii="宋体" w:hAnsi="宋体" w:cs="宋体"/>
          <w:b/>
          <w:bCs/>
          <w:sz w:val="24"/>
          <w:szCs w:val="24"/>
          <w:highlight w:val="none"/>
        </w:rPr>
      </w:pPr>
      <w:bookmarkStart w:id="170" w:name="_Toc26755"/>
      <w:r>
        <w:rPr>
          <w:rFonts w:hint="eastAsia" w:ascii="宋体" w:hAnsi="宋体" w:cs="宋体"/>
          <w:b/>
          <w:bCs/>
          <w:sz w:val="24"/>
          <w:szCs w:val="24"/>
          <w:highlight w:val="none"/>
        </w:rPr>
        <w:t>2、第二阶段：符合性审查</w:t>
      </w:r>
      <w:bookmarkEnd w:id="168"/>
      <w:bookmarkEnd w:id="169"/>
      <w:bookmarkEnd w:id="170"/>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2.1谈判小组依据谈判文件的规定，对供应商的响应文件的有效性、完整性以及对谈判文件的响应程度进行审查，以确定是否对谈判文件的实质性要求作出响应。</w:t>
      </w:r>
      <w:r>
        <w:rPr>
          <w:rFonts w:hint="eastAsia" w:ascii="宋体" w:hAnsi="宋体" w:cs="宋体"/>
          <w:sz w:val="24"/>
          <w:szCs w:val="24"/>
          <w:highlight w:val="none"/>
          <w:lang w:val="en-US" w:eastAsia="zh-CN"/>
        </w:rPr>
        <w:t>详见附表一</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附表一：</w:t>
      </w:r>
    </w:p>
    <w:tbl>
      <w:tblPr>
        <w:tblStyle w:val="29"/>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350"/>
        <w:gridCol w:w="6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序号</w:t>
            </w:r>
          </w:p>
        </w:tc>
        <w:tc>
          <w:tcPr>
            <w:tcW w:w="235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符合性审查项</w:t>
            </w:r>
          </w:p>
        </w:tc>
        <w:tc>
          <w:tcPr>
            <w:tcW w:w="697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rPr>
            </w:pPr>
            <w:r>
              <w:rPr>
                <w:rFonts w:ascii="Times New Roman" w:hAnsi="Times New Roman" w:eastAsia="宋体" w:cs="Times New Roman"/>
                <w:sz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1</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before="212" w:line="324" w:lineRule="auto"/>
              <w:ind w:left="171" w:leftChars="0" w:right="43" w:rightChars="0" w:hanging="120" w:firstLine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纸质响应文件正、副本数量及装订方式</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line="324" w:lineRule="auto"/>
              <w:ind w:right="91" w:rightChars="0"/>
              <w:jc w:val="both"/>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均符合竞争性谈判文件要求。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2</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响应文件签署、盖章</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before="13"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均按竞争性谈判文件要求进行。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3</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before="12"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响应文件有效期（包括法定代表人授权委托书）符合竞争性谈判文件的要求。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首次报价</w:t>
            </w:r>
          </w:p>
        </w:tc>
        <w:tc>
          <w:tcPr>
            <w:tcW w:w="6970" w:type="dxa"/>
            <w:vAlign w:val="center"/>
          </w:tcPr>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spacing w:val="-3"/>
                <w:kern w:val="2"/>
                <w:sz w:val="24"/>
                <w:szCs w:val="21"/>
                <w:highlight w:val="none"/>
                <w:lang w:val="en-US" w:eastAsia="zh-CN" w:bidi="ar-SA"/>
              </w:rPr>
            </w:pPr>
            <w:r>
              <w:rPr>
                <w:rFonts w:ascii="宋体" w:hAnsi="宋体" w:eastAsia="宋体" w:cs="宋体"/>
                <w:spacing w:val="-3"/>
                <w:kern w:val="2"/>
                <w:sz w:val="24"/>
                <w:szCs w:val="21"/>
                <w:highlight w:val="none"/>
                <w:lang w:val="en-US" w:eastAsia="zh-CN" w:bidi="ar-SA"/>
              </w:rPr>
              <w:t>首次报价符合唯一性要求：</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报价一览表填写符合要求；</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计量单位、报价货币均符合竞争性谈判文件要求；</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rightChars="0" w:firstLine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未超出采购预算或竞争性谈判文件规定的上限控制价。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实施方案</w:t>
            </w:r>
          </w:p>
        </w:tc>
        <w:tc>
          <w:tcPr>
            <w:tcW w:w="6970" w:type="dxa"/>
            <w:vAlign w:val="center"/>
          </w:tcPr>
          <w:p>
            <w:pPr>
              <w:keepNext w:val="0"/>
              <w:keepLines w:val="0"/>
              <w:pageBreakBefore w:val="0"/>
              <w:widowControl w:val="0"/>
              <w:numPr>
                <w:ilvl w:val="0"/>
                <w:numId w:val="6"/>
              </w:numPr>
              <w:shd w:val="clear"/>
              <w:kinsoku/>
              <w:wordWrap/>
              <w:overflowPunct/>
              <w:topLinePunct w:val="0"/>
              <w:autoSpaceDE/>
              <w:autoSpaceDN/>
              <w:bidi w:val="0"/>
              <w:adjustRightInd/>
              <w:snapToGrid/>
              <w:spacing w:before="22" w:line="360" w:lineRule="auto"/>
              <w:ind w:right="-15" w:rightChars="0"/>
              <w:jc w:val="left"/>
              <w:textAlignment w:val="auto"/>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地形图测绘技术路线；</w:t>
            </w:r>
          </w:p>
          <w:p>
            <w:pPr>
              <w:pStyle w:val="10"/>
              <w:numPr>
                <w:ilvl w:val="0"/>
                <w:numId w:val="6"/>
              </w:numPr>
              <w:shd w:val="clear"/>
              <w:spacing w:line="360" w:lineRule="auto"/>
              <w:rPr>
                <w:rFonts w:hint="default"/>
                <w:sz w:val="24"/>
                <w:szCs w:val="24"/>
                <w:lang w:val="en-US" w:eastAsia="zh-CN"/>
              </w:rPr>
            </w:pPr>
            <w:r>
              <w:rPr>
                <w:rFonts w:hint="default"/>
                <w:sz w:val="24"/>
                <w:szCs w:val="24"/>
                <w:lang w:val="en-US" w:eastAsia="zh-CN"/>
              </w:rPr>
              <w:t>所提交成果的质量保证</w:t>
            </w:r>
            <w:r>
              <w:rPr>
                <w:rFonts w:hint="eastAsia"/>
                <w:sz w:val="24"/>
                <w:szCs w:val="24"/>
                <w:lang w:val="en-US" w:eastAsia="zh-CN"/>
              </w:rPr>
              <w:t>；</w:t>
            </w:r>
          </w:p>
          <w:p>
            <w:pPr>
              <w:numPr>
                <w:ilvl w:val="0"/>
                <w:numId w:val="6"/>
              </w:numPr>
              <w:shd w:val="clear"/>
              <w:spacing w:line="360" w:lineRule="auto"/>
              <w:ind w:left="0" w:leftChars="0" w:firstLine="0" w:firstLineChars="0"/>
              <w:rPr>
                <w:rFonts w:hint="eastAsia"/>
                <w:sz w:val="24"/>
                <w:szCs w:val="24"/>
                <w:lang w:val="en-US" w:eastAsia="zh-CN"/>
              </w:rPr>
            </w:pPr>
            <w:r>
              <w:rPr>
                <w:rFonts w:hint="eastAsia"/>
                <w:sz w:val="24"/>
                <w:szCs w:val="24"/>
                <w:lang w:val="en-US" w:eastAsia="zh-CN"/>
              </w:rPr>
              <w:t>工作计划目标；</w:t>
            </w:r>
          </w:p>
          <w:p>
            <w:pPr>
              <w:pStyle w:val="10"/>
              <w:numPr>
                <w:ilvl w:val="0"/>
                <w:numId w:val="6"/>
              </w:numPr>
              <w:shd w:val="clear"/>
              <w:spacing w:line="360" w:lineRule="auto"/>
              <w:ind w:left="0" w:leftChars="0" w:firstLine="0" w:firstLineChars="0"/>
              <w:rPr>
                <w:rFonts w:hint="default"/>
                <w:lang w:val="en-US" w:eastAsia="zh-CN"/>
              </w:rPr>
            </w:pPr>
            <w:r>
              <w:rPr>
                <w:rFonts w:hint="default"/>
                <w:sz w:val="24"/>
                <w:szCs w:val="24"/>
                <w:lang w:val="en-US" w:eastAsia="zh-CN"/>
              </w:rPr>
              <w:t>工作进度保障</w:t>
            </w: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6</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实质性条款响应</w:t>
            </w:r>
          </w:p>
        </w:tc>
        <w:tc>
          <w:tcPr>
            <w:tcW w:w="6970"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Times New Roman" w:hAnsi="Times New Roman" w:eastAsia="宋体" w:cs="Times New Roman"/>
                <w:sz w:val="24"/>
                <w:highlight w:val="none"/>
              </w:rPr>
            </w:pPr>
            <w:r>
              <w:rPr>
                <w:rFonts w:ascii="宋体" w:hAnsi="宋体" w:eastAsia="宋体" w:cs="宋体"/>
                <w:kern w:val="2"/>
                <w:sz w:val="24"/>
                <w:szCs w:val="21"/>
                <w:highlight w:val="none"/>
                <w:lang w:val="en-US" w:eastAsia="zh-CN" w:bidi="ar-SA"/>
              </w:rPr>
              <w:t>完全响应</w:t>
            </w:r>
            <w:r>
              <w:rPr>
                <w:rFonts w:hint="eastAsia" w:ascii="宋体" w:hAnsi="宋体" w:eastAsia="宋体" w:cs="宋体"/>
                <w:kern w:val="2"/>
                <w:sz w:val="24"/>
                <w:szCs w:val="21"/>
                <w:highlight w:val="none"/>
                <w:lang w:val="en-US" w:eastAsia="zh-CN" w:bidi="ar-SA"/>
              </w:rPr>
              <w:t>谈判</w:t>
            </w:r>
            <w:r>
              <w:rPr>
                <w:rFonts w:ascii="宋体" w:hAnsi="宋体" w:eastAsia="宋体" w:cs="宋体"/>
                <w:kern w:val="2"/>
                <w:sz w:val="24"/>
                <w:szCs w:val="21"/>
                <w:highlight w:val="none"/>
                <w:lang w:val="en-US" w:eastAsia="zh-CN" w:bidi="ar-SA"/>
              </w:rPr>
              <w:t>文件要求的各项技术/服务/商务实</w:t>
            </w:r>
            <w:r>
              <w:rPr>
                <w:rFonts w:hint="eastAsia" w:ascii="宋体" w:hAnsi="宋体" w:eastAsia="宋体" w:cs="宋体"/>
                <w:kern w:val="2"/>
                <w:sz w:val="24"/>
                <w:szCs w:val="21"/>
                <w:highlight w:val="none"/>
                <w:lang w:val="en-US" w:eastAsia="zh-CN" w:bidi="ar-SA"/>
              </w:rPr>
              <w:t>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7</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其他</w:t>
            </w:r>
          </w:p>
        </w:tc>
        <w:tc>
          <w:tcPr>
            <w:tcW w:w="6970"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完全理解并接受法律法规和谈判文件对供应商的各项要求和责任义务，没有出现法律法规或谈判文件明确规定的其他被视为“无效响应”的情形。</w:t>
            </w:r>
          </w:p>
        </w:tc>
      </w:tr>
    </w:tbl>
    <w:p>
      <w:pPr>
        <w:spacing w:line="360" w:lineRule="auto"/>
        <w:ind w:firstLine="482" w:firstLineChars="200"/>
        <w:outlineLvl w:val="1"/>
        <w:rPr>
          <w:rFonts w:hint="eastAsia" w:ascii="宋体" w:hAnsi="宋体" w:cs="宋体"/>
          <w:sz w:val="24"/>
          <w:szCs w:val="24"/>
          <w:highlight w:val="none"/>
        </w:rPr>
      </w:pPr>
      <w:bookmarkStart w:id="171" w:name="_Toc22793"/>
      <w:bookmarkStart w:id="172" w:name="_Toc23212"/>
      <w:bookmarkStart w:id="173" w:name="_Toc22661"/>
      <w:r>
        <w:rPr>
          <w:rFonts w:hint="eastAsia" w:ascii="宋体" w:hAnsi="宋体" w:cs="宋体"/>
          <w:b/>
          <w:bCs/>
          <w:sz w:val="24"/>
          <w:szCs w:val="24"/>
          <w:highlight w:val="none"/>
        </w:rPr>
        <w:t>3、第三阶段：技术和商务评审</w:t>
      </w:r>
      <w:bookmarkEnd w:id="171"/>
      <w:bookmarkEnd w:id="172"/>
      <w:bookmarkEnd w:id="173"/>
    </w:p>
    <w:p>
      <w:pPr>
        <w:spacing w:line="360" w:lineRule="auto"/>
        <w:ind w:firstLine="480" w:firstLineChars="200"/>
        <w:rPr>
          <w:rFonts w:hint="eastAsia" w:ascii="宋体" w:hAnsi="宋体" w:cs="宋体"/>
          <w:sz w:val="24"/>
          <w:szCs w:val="24"/>
          <w:highlight w:val="none"/>
        </w:rPr>
      </w:pPr>
      <w:bookmarkStart w:id="174" w:name="_Toc1761"/>
      <w:bookmarkStart w:id="175" w:name="_Toc22818"/>
      <w:r>
        <w:rPr>
          <w:rFonts w:hint="eastAsia" w:ascii="宋体" w:hAnsi="宋体" w:cs="宋体"/>
          <w:sz w:val="24"/>
          <w:szCs w:val="24"/>
          <w:highlight w:val="none"/>
        </w:rPr>
        <w:t>3.1按照谈判文件要求，审查供应商所提供</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及所报</w:t>
      </w:r>
      <w:r>
        <w:rPr>
          <w:rFonts w:hint="eastAsia" w:ascii="宋体" w:hAnsi="宋体" w:cs="宋体"/>
          <w:sz w:val="24"/>
          <w:szCs w:val="24"/>
          <w:highlight w:val="none"/>
          <w:lang w:val="en-US" w:eastAsia="zh-CN"/>
        </w:rPr>
        <w:t>清单</w:t>
      </w:r>
      <w:r>
        <w:rPr>
          <w:rFonts w:hint="eastAsia" w:ascii="宋体" w:hAnsi="宋体" w:cs="宋体"/>
          <w:sz w:val="24"/>
          <w:szCs w:val="24"/>
          <w:highlight w:val="none"/>
        </w:rPr>
        <w:t>中所需货物</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服务</w:t>
      </w:r>
      <w:r>
        <w:rPr>
          <w:rFonts w:hint="eastAsia" w:ascii="宋体" w:hAnsi="宋体" w:cs="宋体"/>
          <w:sz w:val="24"/>
          <w:szCs w:val="24"/>
          <w:highlight w:val="none"/>
          <w:lang w:eastAsia="zh-CN"/>
        </w:rPr>
        <w:t>）</w:t>
      </w:r>
      <w:r>
        <w:rPr>
          <w:rFonts w:hint="eastAsia" w:ascii="宋体" w:hAnsi="宋体" w:cs="宋体"/>
          <w:sz w:val="24"/>
          <w:szCs w:val="24"/>
          <w:highlight w:val="none"/>
        </w:rPr>
        <w:t>的规格、参数、质量、数量及相关服务等，记录实质性响应、技术偏离</w:t>
      </w:r>
      <w:r>
        <w:rPr>
          <w:rFonts w:hint="eastAsia" w:ascii="宋体" w:hAnsi="宋体" w:cs="宋体"/>
          <w:sz w:val="24"/>
          <w:szCs w:val="24"/>
          <w:highlight w:val="none"/>
          <w:lang w:val="en-US" w:eastAsia="zh-CN"/>
        </w:rPr>
        <w:t>等事项；</w:t>
      </w:r>
      <w:r>
        <w:rPr>
          <w:rFonts w:hint="eastAsia" w:ascii="宋体" w:hAnsi="宋体" w:cs="宋体"/>
          <w:sz w:val="24"/>
          <w:szCs w:val="24"/>
          <w:highlight w:val="none"/>
        </w:rPr>
        <w:t>进行技术部分评审。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3.2按照谈判文件要求，审查供应商报价、业绩等，记录相关事项，进行商务部分评审。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当供应商实质性条款不满足、非实质性条款负偏离的或者未提供符合谈判文件规定的技术支持资料时，其报价无效。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谈判小组判断响应文件的响应性仅基于响应文件本身而不靠外部因素。未响应实质性条款的，谈判小组有权确定其报价无效，供应商不能通过修正、撤销或者澄清不符之处而使其报价成为实质性响应的报价。</w:t>
      </w:r>
    </w:p>
    <w:p>
      <w:pPr>
        <w:spacing w:line="360" w:lineRule="auto"/>
        <w:ind w:firstLine="482" w:firstLineChars="200"/>
        <w:outlineLvl w:val="1"/>
        <w:rPr>
          <w:rFonts w:hint="eastAsia" w:ascii="宋体" w:hAnsi="宋体" w:cs="宋体"/>
          <w:b/>
          <w:bCs/>
          <w:sz w:val="24"/>
          <w:szCs w:val="24"/>
          <w:highlight w:val="none"/>
        </w:rPr>
      </w:pPr>
      <w:bookmarkStart w:id="176" w:name="_Toc8561"/>
      <w:bookmarkStart w:id="177" w:name="_Toc23946"/>
      <w:bookmarkStart w:id="178" w:name="_Toc10046"/>
      <w:bookmarkStart w:id="179" w:name="_Toc26880"/>
      <w:r>
        <w:rPr>
          <w:rFonts w:hint="eastAsia" w:ascii="宋体" w:hAnsi="宋体" w:cs="宋体"/>
          <w:b/>
          <w:bCs/>
          <w:sz w:val="24"/>
          <w:szCs w:val="24"/>
          <w:highlight w:val="none"/>
        </w:rPr>
        <w:t>4、谈判</w:t>
      </w:r>
      <w:bookmarkEnd w:id="176"/>
      <w:bookmarkEnd w:id="177"/>
      <w:bookmarkEnd w:id="178"/>
      <w:bookmarkEnd w:id="179"/>
    </w:p>
    <w:p>
      <w:pPr>
        <w:spacing w:line="360" w:lineRule="auto"/>
        <w:ind w:firstLine="480" w:firstLineChars="200"/>
        <w:rPr>
          <w:rFonts w:hint="eastAsia" w:ascii="宋体" w:hAnsi="宋体" w:cs="宋体"/>
          <w:sz w:val="24"/>
          <w:szCs w:val="24"/>
          <w:highlight w:val="none"/>
        </w:rPr>
      </w:pPr>
      <w:bookmarkStart w:id="180" w:name="_Toc13142"/>
      <w:r>
        <w:rPr>
          <w:rFonts w:hint="eastAsia" w:ascii="宋体" w:hAnsi="宋体" w:cs="宋体"/>
          <w:sz w:val="24"/>
          <w:szCs w:val="24"/>
          <w:highlight w:val="none"/>
        </w:rPr>
        <w:t>4.1谈判小组所有成员集中与实质性响应谈判文件的单一供应商分别进行谈判，并给予所有参加谈判的供应商平等的谈判机会。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谈判小组通过随机方式确定参加谈判供应商的谈判顺序。在谈判中，在谈判过程中谈判的任何一方不得向他人透露与谈判有关的技术资料、价格或其他信息。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4.2谈判文件应详细列明采购标的的技术、服务要求。谈判结束后，谈判小组应当要求所有继续参加谈判的供应商在规定时间内提交最终报价，最终报价是供应商响应文件的有效组成部分。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谈判实行两轮报价法，第二轮报价为最终报价。供应商的响应文件为第一轮报价（即首轮报价）。参加谈判的供应商第二轮报价不得等于或高于其第一轮报价，否则谈判小组有权据此确定其为无效报价，提交最终报价的供应商不得少于三家。</w:t>
      </w:r>
      <w:r>
        <w:rPr>
          <w:spacing w:val="-3"/>
          <w:sz w:val="24"/>
          <w:highlight w:val="none"/>
        </w:rPr>
        <w:t>（</w:t>
      </w:r>
      <w:r>
        <w:rPr>
          <w:spacing w:val="-5"/>
          <w:sz w:val="24"/>
          <w:highlight w:val="none"/>
        </w:rPr>
        <w:t>注：落实政府采购政策进行价格调整的，以调整后的价</w:t>
      </w:r>
      <w:r>
        <w:rPr>
          <w:spacing w:val="-7"/>
          <w:sz w:val="24"/>
          <w:highlight w:val="none"/>
        </w:rPr>
        <w:t>格作为评审价</w:t>
      </w:r>
      <w:r>
        <w:rPr>
          <w:sz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竞争性谈判</w:t>
      </w:r>
      <w:r>
        <w:rPr>
          <w:rFonts w:hint="eastAsia" w:ascii="宋体" w:hAnsi="宋体" w:cs="宋体"/>
          <w:sz w:val="24"/>
          <w:szCs w:val="24"/>
          <w:highlight w:val="none"/>
        </w:rPr>
        <w:t>过程中提交</w:t>
      </w:r>
      <w:r>
        <w:rPr>
          <w:rFonts w:hint="eastAsia" w:ascii="宋体" w:hAnsi="宋体" w:cs="宋体"/>
          <w:sz w:val="24"/>
          <w:szCs w:val="24"/>
          <w:highlight w:val="none"/>
          <w:lang w:eastAsia="zh-CN"/>
        </w:rPr>
        <w:t>响应文件</w:t>
      </w:r>
      <w:r>
        <w:rPr>
          <w:rFonts w:hint="eastAsia" w:ascii="宋体" w:hAnsi="宋体" w:cs="宋体"/>
          <w:sz w:val="24"/>
          <w:szCs w:val="24"/>
          <w:highlight w:val="none"/>
        </w:rPr>
        <w:t>或经评审实质性响应</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文件要求的</w:t>
      </w:r>
      <w:r>
        <w:rPr>
          <w:rFonts w:hint="eastAsia" w:ascii="宋体" w:hAnsi="宋体" w:cs="宋体"/>
          <w:sz w:val="24"/>
          <w:szCs w:val="24"/>
          <w:highlight w:val="none"/>
          <w:lang w:eastAsia="zh-CN"/>
        </w:rPr>
        <w:t>供应商</w:t>
      </w:r>
      <w:r>
        <w:rPr>
          <w:rFonts w:hint="eastAsia" w:ascii="宋体" w:hAnsi="宋体" w:cs="宋体"/>
          <w:sz w:val="24"/>
          <w:szCs w:val="24"/>
          <w:highlight w:val="none"/>
        </w:rPr>
        <w:t>只有两家，且经财政部门批准采用竞争性谈判方式采购的项目，采购人或其委托的采购代理机构应当根据</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文件中的采购需求编制谈判文件，按照竞争性谈判规定程序重新组织采购。符合本款情形的提交最终报价的供应商最低数量可以为两家。</w:t>
      </w:r>
    </w:p>
    <w:p>
      <w:pPr>
        <w:shd w:val="clea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4.4根据</w:t>
      </w:r>
      <w:r>
        <w:rPr>
          <w:rFonts w:hint="eastAsia" w:ascii="宋体" w:hAnsi="宋体" w:cs="宋体"/>
          <w:sz w:val="24"/>
          <w:szCs w:val="24"/>
          <w:highlight w:val="none"/>
          <w:lang w:val="en-US" w:eastAsia="zh-CN"/>
        </w:rPr>
        <w:t>《政府采购促进中小企业发展管理办法》（财库【2020】46号）及榆林市财政局关于进一步加大政府采购支持中小企业力度的通知》（榆政财采发〔2022〕10号）</w:t>
      </w:r>
      <w:r>
        <w:rPr>
          <w:rFonts w:hint="eastAsia" w:ascii="宋体" w:hAnsi="宋体" w:cs="宋体"/>
          <w:sz w:val="24"/>
          <w:szCs w:val="24"/>
          <w:highlight w:val="none"/>
          <w:lang w:eastAsia="zh-CN"/>
        </w:rPr>
        <w:t>的规定中、小、微企业参加投标时对小型和微型企业产品的价格给予</w:t>
      </w:r>
      <w:r>
        <w:rPr>
          <w:rFonts w:hint="eastAsia" w:ascii="宋体" w:hAnsi="宋体" w:cs="宋体"/>
          <w:sz w:val="24"/>
          <w:szCs w:val="24"/>
          <w:highlight w:val="none"/>
          <w:lang w:val="en-US" w:eastAsia="zh-CN"/>
        </w:rPr>
        <w:t>20</w:t>
      </w:r>
      <w:r>
        <w:rPr>
          <w:rFonts w:hint="eastAsia" w:ascii="宋体" w:hAnsi="宋体" w:cs="宋体"/>
          <w:sz w:val="24"/>
          <w:szCs w:val="24"/>
          <w:highlight w:val="none"/>
          <w:lang w:eastAsia="zh-CN"/>
        </w:rPr>
        <w:t>%的扣除，用扣除后的价格参与评审。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.1中小企业（含中型、小型、微型企业，下同）应当同时符合以下条件：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.1.1符合中小企业划分标准。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.1.2提供本企业制造的货物，或者提供其他中小企业制造的货物。本项所称货物不包括使用大型企业注册商标的货物。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.2小型、微型企业提供中型企业制造的货物的，视同为中型企业。</w:t>
      </w:r>
    </w:p>
    <w:p>
      <w:pPr>
        <w:pStyle w:val="24"/>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bCs/>
          <w:color w:val="auto"/>
          <w:sz w:val="24"/>
          <w:highlight w:val="none"/>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.3中、小、微企业参加政府采购项目投标时，必须提</w:t>
      </w:r>
      <w:r>
        <w:rPr>
          <w:rFonts w:hint="eastAsia" w:ascii="宋体" w:hAnsi="宋体" w:eastAsia="宋体" w:cs="宋体"/>
          <w:bCs/>
          <w:color w:val="auto"/>
          <w:sz w:val="24"/>
          <w:highlight w:val="none"/>
        </w:rPr>
        <w:t>供《中小企业声明函》</w:t>
      </w:r>
      <w:r>
        <w:rPr>
          <w:rFonts w:hint="eastAsia" w:ascii="宋体" w:hAnsi="宋体" w:eastAsia="宋体" w:cs="宋体"/>
          <w:bCs/>
          <w:color w:val="auto"/>
          <w:sz w:val="24"/>
          <w:highlight w:val="none"/>
          <w:lang w:eastAsia="zh-CN"/>
        </w:rPr>
        <w:t>，否则不得享受相关中小企业扶持政策</w:t>
      </w:r>
      <w:r>
        <w:rPr>
          <w:rFonts w:hint="eastAsia" w:ascii="宋体" w:hAnsi="宋体" w:cs="宋体"/>
          <w:bCs/>
          <w:color w:val="auto"/>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黑体"/>
          <w:sz w:val="24"/>
          <w:szCs w:val="24"/>
          <w:highlight w:val="none"/>
        </w:rPr>
      </w:pPr>
      <w:r>
        <w:rPr>
          <w:rFonts w:hint="eastAsia" w:ascii="Times New Roman" w:hAnsi="Times New Roman" w:eastAsia="宋体" w:cs="黑体"/>
          <w:sz w:val="24"/>
          <w:szCs w:val="24"/>
          <w:highlight w:val="none"/>
          <w:lang w:val="en-US" w:eastAsia="zh-CN"/>
        </w:rPr>
        <w:t xml:space="preserve">4.4.4 </w:t>
      </w:r>
      <w:r>
        <w:rPr>
          <w:rFonts w:hint="eastAsia" w:ascii="Times New Roman" w:hAnsi="Times New Roman" w:eastAsia="宋体" w:cs="黑体"/>
          <w:sz w:val="24"/>
          <w:szCs w:val="24"/>
          <w:highlight w:val="none"/>
        </w:rPr>
        <w:t>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rPr>
      </w:pPr>
      <w:r>
        <w:rPr>
          <w:rFonts w:hint="eastAsia" w:ascii="Times New Roman" w:hAnsi="Times New Roman" w:eastAsia="宋体" w:cs="黑体"/>
          <w:sz w:val="24"/>
          <w:szCs w:val="24"/>
          <w:highlight w:val="none"/>
          <w:lang w:val="en-US" w:eastAsia="zh-CN"/>
        </w:rPr>
        <w:t xml:space="preserve">4.4.5 </w:t>
      </w:r>
      <w:r>
        <w:rPr>
          <w:rFonts w:hint="eastAsia" w:ascii="Times New Roman" w:hAnsi="Times New Roman" w:eastAsia="宋体" w:cs="黑体"/>
          <w:sz w:val="24"/>
          <w:szCs w:val="24"/>
          <w:highlight w:val="none"/>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spacing w:line="360" w:lineRule="auto"/>
        <w:ind w:firstLine="482" w:firstLineChars="200"/>
        <w:outlineLvl w:val="1"/>
        <w:rPr>
          <w:rFonts w:hint="eastAsia" w:ascii="宋体" w:hAnsi="宋体" w:cs="宋体"/>
          <w:sz w:val="24"/>
          <w:szCs w:val="24"/>
          <w:highlight w:val="none"/>
        </w:rPr>
      </w:pPr>
      <w:bookmarkStart w:id="181" w:name="_Toc22868"/>
      <w:bookmarkStart w:id="182" w:name="_Toc9355"/>
      <w:bookmarkStart w:id="183" w:name="_Toc16523"/>
      <w:r>
        <w:rPr>
          <w:rFonts w:hint="eastAsia" w:ascii="宋体" w:hAnsi="宋体" w:cs="宋体"/>
          <w:b/>
          <w:bCs/>
          <w:sz w:val="24"/>
          <w:szCs w:val="24"/>
          <w:highlight w:val="none"/>
        </w:rPr>
        <w:t>5、确定成交供应商</w:t>
      </w:r>
      <w:bookmarkEnd w:id="180"/>
      <w:bookmarkEnd w:id="181"/>
      <w:bookmarkEnd w:id="182"/>
      <w:bookmarkEnd w:id="18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5.1谈判小组从质量和服务均能满足谈判文件实质性响应要求的供应商中，确定最终报价最低的供应商作为成交供应商。</w:t>
      </w:r>
    </w:p>
    <w:p>
      <w:pPr>
        <w:spacing w:line="360" w:lineRule="auto"/>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5.2若两家及以上供应商最终报价最低且相同的，确定技术指标更优者为成交供应商，最终报价及技术指标均相同的，确定服务更优者为成交供应商。</w:t>
      </w:r>
    </w:p>
    <w:p>
      <w:pPr>
        <w:pStyle w:val="2"/>
        <w:bidi w:val="0"/>
        <w:spacing w:before="0" w:beforeAutospacing="0" w:after="0" w:afterAutospacing="0"/>
        <w:jc w:val="center"/>
        <w:rPr>
          <w:rFonts w:hint="eastAsia" w:ascii="宋体" w:hAnsi="宋体" w:cs="宋体"/>
          <w:b w:val="0"/>
          <w:bCs/>
          <w:color w:val="000000"/>
          <w:szCs w:val="32"/>
          <w:highlight w:val="none"/>
        </w:rPr>
      </w:pPr>
      <w:r>
        <w:rPr>
          <w:rFonts w:hint="eastAsia" w:ascii="宋体" w:hAnsi="宋体" w:eastAsia="宋体" w:cs="宋体"/>
          <w:b w:val="0"/>
          <w:kern w:val="2"/>
          <w:sz w:val="24"/>
          <w:szCs w:val="24"/>
          <w:highlight w:val="none"/>
          <w:lang w:val="en-US" w:eastAsia="zh-CN" w:bidi="ar-SA"/>
        </w:rPr>
        <w:br w:type="page"/>
      </w:r>
      <w:bookmarkStart w:id="184" w:name="_Toc11720"/>
      <w:r>
        <w:rPr>
          <w:rStyle w:val="43"/>
          <w:rFonts w:hint="eastAsia"/>
          <w:b/>
          <w:sz w:val="32"/>
          <w:szCs w:val="32"/>
          <w:highlight w:val="none"/>
          <w:lang w:val="en-US" w:eastAsia="zh-CN"/>
        </w:rPr>
        <w:t>第六部分 采购内容及技术要求</w:t>
      </w:r>
      <w:bookmarkEnd w:id="174"/>
      <w:bookmarkEnd w:id="175"/>
      <w:bookmarkEnd w:id="184"/>
    </w:p>
    <w:p>
      <w:pPr>
        <w:shd w:val="clear"/>
        <w:spacing w:beforeAutospacing="0" w:line="360" w:lineRule="auto"/>
        <w:jc w:val="center"/>
        <w:rPr>
          <w:rFonts w:hint="eastAsia" w:ascii="宋体" w:hAnsi="宋体" w:eastAsia="宋体" w:cs="宋体"/>
          <w:b/>
          <w:bCs/>
          <w:sz w:val="28"/>
          <w:szCs w:val="28"/>
          <w:highlight w:val="none"/>
        </w:rPr>
      </w:pPr>
      <w:bookmarkStart w:id="185" w:name="_Toc1933"/>
      <w:r>
        <w:rPr>
          <w:rFonts w:hint="eastAsia" w:ascii="宋体" w:hAnsi="宋体" w:eastAsia="宋体" w:cs="宋体"/>
          <w:b/>
          <w:bCs/>
          <w:sz w:val="28"/>
          <w:szCs w:val="28"/>
          <w:highlight w:val="none"/>
        </w:rPr>
        <w:t>关于</w:t>
      </w:r>
      <w:r>
        <w:rPr>
          <w:rFonts w:hint="eastAsia" w:ascii="宋体" w:hAnsi="宋体" w:cs="宋体"/>
          <w:b/>
          <w:bCs/>
          <w:sz w:val="28"/>
          <w:szCs w:val="28"/>
          <w:highlight w:val="none"/>
          <w:lang w:eastAsia="zh-CN"/>
        </w:rPr>
        <w:t>石城测绘技术服务项目</w:t>
      </w:r>
      <w:r>
        <w:rPr>
          <w:rFonts w:hint="eastAsia" w:ascii="宋体" w:hAnsi="宋体" w:eastAsia="宋体" w:cs="宋体"/>
          <w:b/>
          <w:bCs/>
          <w:sz w:val="28"/>
          <w:szCs w:val="28"/>
          <w:highlight w:val="none"/>
        </w:rPr>
        <w:t>实施采购需求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、项目概况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1.开展石城调查测绘技术服务，获取榆阳区、横山区、绥德县内20座史前石城的基础地理信息采集工作，获得1:2000地形图。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2.编制榆阳区、横山区、绥德县内20座史前石城调查报告的地形及遗迹插图。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3.编制榆林市石城分布总图、榆阳区、横山区、绥德县的石城分布图。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二、合作展望</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1.推进史前石城调查测绘技术服务，完成佳县、府谷县、靖边县、米脂县、清涧县、神木市、吴堡县、子洲县等 8个县石城地理信息采集制作，获取石城的 1: 2000 地形图。</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2.完成榆林市史前石城资源的三维信息采集，构建史前石城的三维模型。</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3.推进史前石城资源的信息化管理。结合实景三维中国等重大工程的基础地理信息成果，融合史前石城调查的专题数据，构建史前石城三维数据库，实现石城资源的三维展示.信息化检索、统计及日常管理。</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4、</w:t>
      </w:r>
      <w:r>
        <w:rPr>
          <w:rFonts w:hint="eastAsia" w:ascii="宋体" w:hAnsi="宋体" w:cs="宋体"/>
          <w:b w:val="0"/>
          <w:bCs w:val="0"/>
          <w:kern w:val="2"/>
          <w:sz w:val="24"/>
          <w:szCs w:val="24"/>
          <w:highlight w:val="none"/>
          <w:lang w:val="en-US" w:eastAsia="zh-CN" w:bidi="ar-SA"/>
        </w:rPr>
        <w:t>测绘</w:t>
      </w:r>
      <w:r>
        <w:rPr>
          <w:rFonts w:hint="eastAsia" w:ascii="宋体" w:hAnsi="宋体" w:eastAsia="宋体" w:cs="宋体"/>
          <w:b w:val="0"/>
          <w:bCs w:val="0"/>
          <w:kern w:val="2"/>
          <w:sz w:val="24"/>
          <w:szCs w:val="24"/>
          <w:highlight w:val="none"/>
          <w:lang w:val="en-US" w:eastAsia="zh-CN" w:bidi="ar-SA"/>
        </w:rPr>
        <w:t>工期:</w:t>
      </w:r>
      <w:r>
        <w:rPr>
          <w:rFonts w:hint="eastAsia" w:ascii="宋体" w:hAnsi="宋体" w:cs="宋体"/>
          <w:b w:val="0"/>
          <w:bCs w:val="0"/>
          <w:kern w:val="2"/>
          <w:sz w:val="24"/>
          <w:szCs w:val="24"/>
          <w:highlight w:val="none"/>
          <w:lang w:val="en-US" w:eastAsia="zh-CN" w:bidi="ar-SA"/>
        </w:rPr>
        <w:t>25日历日。</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5、</w:t>
      </w:r>
      <w:r>
        <w:rPr>
          <w:rFonts w:hint="eastAsia" w:ascii="宋体" w:hAnsi="宋体" w:cs="宋体"/>
          <w:b w:val="0"/>
          <w:bCs w:val="0"/>
          <w:kern w:val="2"/>
          <w:sz w:val="24"/>
          <w:szCs w:val="24"/>
          <w:highlight w:val="none"/>
          <w:lang w:val="en-US" w:eastAsia="zh-CN" w:bidi="ar-SA"/>
        </w:rPr>
        <w:t>石城专题图</w:t>
      </w:r>
      <w:r>
        <w:rPr>
          <w:rFonts w:hint="eastAsia" w:ascii="宋体" w:hAnsi="宋体" w:eastAsia="宋体" w:cs="宋体"/>
          <w:b w:val="0"/>
          <w:bCs w:val="0"/>
          <w:kern w:val="2"/>
          <w:sz w:val="24"/>
          <w:szCs w:val="24"/>
          <w:highlight w:val="none"/>
          <w:lang w:val="en-US" w:eastAsia="zh-CN" w:bidi="ar-SA"/>
        </w:rPr>
        <w:t>编制时间:完工后</w:t>
      </w:r>
      <w:r>
        <w:rPr>
          <w:rFonts w:hint="eastAsia" w:ascii="宋体" w:hAnsi="宋体" w:cs="宋体"/>
          <w:b w:val="0"/>
          <w:bCs w:val="0"/>
          <w:kern w:val="2"/>
          <w:sz w:val="24"/>
          <w:szCs w:val="24"/>
          <w:highlight w:val="none"/>
          <w:lang w:val="en-US" w:eastAsia="zh-CN" w:bidi="ar-SA"/>
        </w:rPr>
        <w:t>5日历日</w:t>
      </w:r>
      <w:r>
        <w:rPr>
          <w:rFonts w:hint="eastAsia" w:ascii="宋体" w:hAnsi="宋体" w:eastAsia="宋体" w:cs="宋体"/>
          <w:b w:val="0"/>
          <w:bCs w:val="0"/>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bCs/>
          <w:sz w:val="24"/>
          <w:szCs w:val="24"/>
          <w:highlight w:val="none"/>
        </w:rPr>
        <w:t>三、工作要求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1.根据建设单位提供的范围</w:t>
      </w:r>
      <w:r>
        <w:rPr>
          <w:rFonts w:hint="eastAsia" w:ascii="宋体" w:hAnsi="宋体" w:cs="宋体"/>
          <w:b w:val="0"/>
          <w:bCs w:val="0"/>
          <w:kern w:val="2"/>
          <w:sz w:val="24"/>
          <w:szCs w:val="24"/>
          <w:highlight w:val="none"/>
          <w:lang w:val="en-US" w:eastAsia="zh-CN" w:bidi="ar-SA"/>
        </w:rPr>
        <w:t>，对</w:t>
      </w:r>
      <w:r>
        <w:rPr>
          <w:rFonts w:hint="eastAsia" w:ascii="宋体" w:hAnsi="宋体" w:eastAsia="宋体" w:cs="宋体"/>
          <w:b w:val="0"/>
          <w:bCs w:val="0"/>
          <w:sz w:val="24"/>
          <w:szCs w:val="24"/>
          <w:highlight w:val="none"/>
        </w:rPr>
        <w:t>榆阳区、横山区、绥德县内20座史前石城</w:t>
      </w:r>
      <w:r>
        <w:rPr>
          <w:rFonts w:hint="eastAsia" w:ascii="宋体" w:hAnsi="宋体" w:eastAsia="宋体" w:cs="宋体"/>
          <w:b w:val="0"/>
          <w:bCs w:val="0"/>
          <w:kern w:val="2"/>
          <w:sz w:val="24"/>
          <w:szCs w:val="24"/>
          <w:highlight w:val="none"/>
          <w:lang w:val="en-US" w:eastAsia="zh-CN" w:bidi="ar-SA"/>
        </w:rPr>
        <w:t>进行地形测绘；</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w:t>
      </w:r>
      <w:r>
        <w:rPr>
          <w:rFonts w:hint="eastAsia" w:ascii="宋体" w:hAnsi="宋体" w:eastAsia="宋体" w:cs="宋体"/>
          <w:b w:val="0"/>
          <w:bCs w:val="0"/>
          <w:kern w:val="2"/>
          <w:sz w:val="24"/>
          <w:szCs w:val="24"/>
          <w:highlight w:val="none"/>
          <w:lang w:val="en-US" w:eastAsia="zh-CN" w:bidi="ar-SA"/>
        </w:rPr>
        <w:t>.</w:t>
      </w:r>
      <w:r>
        <w:rPr>
          <w:rFonts w:hint="eastAsia" w:ascii="宋体" w:hAnsi="宋体" w:eastAsia="宋体" w:cs="宋体"/>
          <w:b w:val="0"/>
          <w:bCs w:val="0"/>
          <w:sz w:val="24"/>
          <w:szCs w:val="24"/>
          <w:highlight w:val="none"/>
        </w:rPr>
        <w:t>编制榆阳区、横山区、绥德县内20座史前石城调查报告的地形及遗迹插图</w:t>
      </w:r>
      <w:r>
        <w:rPr>
          <w:rFonts w:hint="eastAsia" w:ascii="宋体" w:hAnsi="宋体" w:eastAsia="宋体" w:cs="宋体"/>
          <w:b w:val="0"/>
          <w:bCs w:val="0"/>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3</w:t>
      </w:r>
      <w:r>
        <w:rPr>
          <w:rFonts w:hint="eastAsia" w:ascii="宋体" w:hAnsi="宋体" w:eastAsia="宋体" w:cs="宋体"/>
          <w:b w:val="0"/>
          <w:bCs w:val="0"/>
          <w:kern w:val="2"/>
          <w:sz w:val="24"/>
          <w:szCs w:val="24"/>
          <w:highlight w:val="none"/>
          <w:lang w:val="en-US" w:eastAsia="zh-CN" w:bidi="ar-SA"/>
        </w:rPr>
        <w:t>.</w:t>
      </w:r>
      <w:r>
        <w:rPr>
          <w:rFonts w:hint="eastAsia" w:ascii="宋体" w:hAnsi="宋体" w:cs="宋体"/>
          <w:b w:val="0"/>
          <w:bCs w:val="0"/>
          <w:kern w:val="2"/>
          <w:sz w:val="24"/>
          <w:szCs w:val="24"/>
          <w:highlight w:val="none"/>
          <w:lang w:val="en-US" w:eastAsia="zh-CN" w:bidi="ar-SA"/>
        </w:rPr>
        <w:t>根据榆林市考古勘探工作队石城调查成果，</w:t>
      </w:r>
      <w:r>
        <w:rPr>
          <w:rFonts w:hint="eastAsia" w:ascii="宋体" w:hAnsi="宋体" w:eastAsia="宋体" w:cs="宋体"/>
          <w:b w:val="0"/>
          <w:bCs w:val="0"/>
          <w:sz w:val="24"/>
          <w:szCs w:val="24"/>
          <w:highlight w:val="none"/>
        </w:rPr>
        <w:t>编制榆林市石城分布总图</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lang w:val="en-US" w:eastAsia="zh-CN"/>
        </w:rPr>
        <w:t>以及</w:t>
      </w:r>
      <w:r>
        <w:rPr>
          <w:rFonts w:hint="eastAsia" w:ascii="宋体" w:hAnsi="宋体" w:eastAsia="宋体" w:cs="宋体"/>
          <w:b w:val="0"/>
          <w:bCs w:val="0"/>
          <w:sz w:val="24"/>
          <w:szCs w:val="24"/>
          <w:highlight w:val="none"/>
        </w:rPr>
        <w:t>榆阳区、横山区、绥德县的石城分布图</w:t>
      </w:r>
      <w:r>
        <w:rPr>
          <w:rFonts w:hint="eastAsia" w:ascii="宋体" w:hAnsi="宋体" w:eastAsia="宋体" w:cs="宋体"/>
          <w:b w:val="0"/>
          <w:bCs w:val="0"/>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四、执行标准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）GB/T 7930—2008 《1:500 1:1000 1:2000比例尺地形图航空摄影测量内业规范》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）GB/T 7931—2008 《1:500 1:1000 1:2000比例尺地形图航空摄影测量外业规范》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）GB/T 23236-2009 《数字航空摄影测量空中三角测量规范》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）GB/T 20257.1-2017 《国家基本比例尺地形图图式 第1部分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1:500 1:1000 1:2000地形图图式》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bookmarkStart w:id="186" w:name="_Toc29953"/>
      <w:bookmarkStart w:id="187" w:name="_Toc31698"/>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ascii="宋体" w:hAnsi="宋体" w:eastAsia="宋体" w:cs="宋体"/>
          <w:sz w:val="24"/>
          <w:szCs w:val="24"/>
        </w:rPr>
        <w:t>CH/T 3005-2021</w:t>
      </w:r>
      <w:r>
        <w:rPr>
          <w:rFonts w:hint="eastAsia" w:ascii="宋体" w:hAnsi="宋体" w:eastAsia="宋体" w:cs="宋体"/>
          <w:sz w:val="24"/>
          <w:szCs w:val="24"/>
          <w:lang w:val="en-US" w:eastAsia="zh-CN"/>
        </w:rPr>
        <w:t xml:space="preserve"> 《</w:t>
      </w:r>
      <w:r>
        <w:rPr>
          <w:rFonts w:ascii="宋体" w:hAnsi="宋体" w:eastAsia="宋体" w:cs="宋体"/>
          <w:sz w:val="24"/>
          <w:szCs w:val="24"/>
        </w:rPr>
        <w:t>低空数字航空摄影规范</w:t>
      </w:r>
      <w:bookmarkEnd w:id="186"/>
      <w:bookmarkEnd w:id="187"/>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）CH/Z 3003-20</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 xml:space="preserve"> 《低空数字航空摄影测量内业规范》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）CH/Z 3004-20</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 xml:space="preserve"> 《低空数字航空摄影测量外业规范》</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五、成果要求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1.地形图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（1）平面坐标系统：2000国家大地坐标系；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w:t>
      </w:r>
      <w:r>
        <w:rPr>
          <w:rFonts w:hint="eastAsia" w:ascii="宋体" w:hAnsi="宋体" w:cs="宋体"/>
          <w:b w:val="0"/>
          <w:bCs w:val="0"/>
          <w:kern w:val="2"/>
          <w:sz w:val="24"/>
          <w:szCs w:val="24"/>
          <w:highlight w:val="none"/>
          <w:lang w:val="en-US" w:eastAsia="zh-CN" w:bidi="ar-SA"/>
        </w:rPr>
        <w:t>2</w:t>
      </w:r>
      <w:r>
        <w:rPr>
          <w:rFonts w:hint="eastAsia" w:ascii="宋体" w:hAnsi="宋体" w:eastAsia="宋体" w:cs="宋体"/>
          <w:b w:val="0"/>
          <w:bCs w:val="0"/>
          <w:kern w:val="2"/>
          <w:sz w:val="24"/>
          <w:szCs w:val="24"/>
          <w:highlight w:val="none"/>
          <w:lang w:val="en-US" w:eastAsia="zh-CN" w:bidi="ar-SA"/>
        </w:rPr>
        <w:t>）高程系统：1985国家高程基准；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w:t>
      </w:r>
      <w:r>
        <w:rPr>
          <w:rFonts w:hint="eastAsia" w:ascii="宋体" w:hAnsi="宋体" w:cs="宋体"/>
          <w:b w:val="0"/>
          <w:bCs w:val="0"/>
          <w:kern w:val="2"/>
          <w:sz w:val="24"/>
          <w:szCs w:val="24"/>
          <w:highlight w:val="none"/>
          <w:lang w:val="en-US" w:eastAsia="zh-CN" w:bidi="ar-SA"/>
        </w:rPr>
        <w:t>3</w:t>
      </w:r>
      <w:r>
        <w:rPr>
          <w:rFonts w:hint="eastAsia" w:ascii="宋体" w:hAnsi="宋体" w:eastAsia="宋体" w:cs="宋体"/>
          <w:b w:val="0"/>
          <w:bCs w:val="0"/>
          <w:kern w:val="2"/>
          <w:sz w:val="24"/>
          <w:szCs w:val="24"/>
          <w:highlight w:val="none"/>
          <w:lang w:val="en-US" w:eastAsia="zh-CN" w:bidi="ar-SA"/>
        </w:rPr>
        <w:t>）成图比例尺：1∶</w:t>
      </w:r>
      <w:r>
        <w:rPr>
          <w:rFonts w:hint="eastAsia" w:ascii="宋体" w:hAnsi="宋体" w:cs="宋体"/>
          <w:b w:val="0"/>
          <w:bCs w:val="0"/>
          <w:kern w:val="2"/>
          <w:sz w:val="24"/>
          <w:szCs w:val="24"/>
          <w:highlight w:val="none"/>
          <w:lang w:val="en-US" w:eastAsia="zh-CN" w:bidi="ar-SA"/>
        </w:rPr>
        <w:t>2</w:t>
      </w:r>
      <w:r>
        <w:rPr>
          <w:rFonts w:hint="eastAsia" w:ascii="宋体" w:hAnsi="宋体" w:eastAsia="宋体" w:cs="宋体"/>
          <w:b w:val="0"/>
          <w:bCs w:val="0"/>
          <w:kern w:val="2"/>
          <w:sz w:val="24"/>
          <w:szCs w:val="24"/>
          <w:highlight w:val="none"/>
          <w:lang w:val="en-US" w:eastAsia="zh-CN" w:bidi="ar-SA"/>
        </w:rPr>
        <w:t>00</w:t>
      </w:r>
      <w:r>
        <w:rPr>
          <w:rFonts w:hint="eastAsia" w:ascii="宋体" w:hAnsi="宋体" w:cs="宋体"/>
          <w:b w:val="0"/>
          <w:bCs w:val="0"/>
          <w:kern w:val="2"/>
          <w:sz w:val="24"/>
          <w:szCs w:val="24"/>
          <w:highlight w:val="none"/>
          <w:lang w:val="en-US" w:eastAsia="zh-CN" w:bidi="ar-SA"/>
        </w:rPr>
        <w:t>0</w:t>
      </w:r>
      <w:r>
        <w:rPr>
          <w:rFonts w:hint="eastAsia" w:ascii="宋体" w:hAnsi="宋体" w:eastAsia="宋体" w:cs="宋体"/>
          <w:b w:val="0"/>
          <w:bCs w:val="0"/>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w:t>
      </w:r>
      <w:r>
        <w:rPr>
          <w:rFonts w:hint="eastAsia" w:ascii="宋体" w:hAnsi="宋体" w:eastAsia="宋体" w:cs="宋体"/>
          <w:b w:val="0"/>
          <w:bCs w:val="0"/>
          <w:sz w:val="24"/>
          <w:szCs w:val="24"/>
          <w:highlight w:val="none"/>
        </w:rPr>
        <w:t>地形及遗迹插图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w:t>
      </w:r>
      <w:r>
        <w:rPr>
          <w:rFonts w:hint="eastAsia" w:ascii="宋体" w:hAnsi="宋体" w:eastAsia="宋体" w:cs="宋体"/>
          <w:b w:val="0"/>
          <w:bCs w:val="0"/>
          <w:sz w:val="24"/>
          <w:szCs w:val="24"/>
          <w:highlight w:val="none"/>
        </w:rPr>
        <w:t>地形及遗迹插图</w:t>
      </w:r>
      <w:r>
        <w:rPr>
          <w:rFonts w:hint="eastAsia" w:ascii="宋体" w:hAnsi="宋体" w:cs="宋体"/>
          <w:b w:val="0"/>
          <w:bCs w:val="0"/>
          <w:sz w:val="24"/>
          <w:szCs w:val="24"/>
          <w:highlight w:val="none"/>
          <w:lang w:val="en-US" w:eastAsia="zh-CN"/>
        </w:rPr>
        <w:t>为</w:t>
      </w:r>
      <w:r>
        <w:rPr>
          <w:rFonts w:hint="eastAsia" w:ascii="宋体" w:hAnsi="宋体" w:eastAsia="宋体" w:cs="宋体"/>
          <w:b w:val="0"/>
          <w:bCs w:val="0"/>
          <w:kern w:val="2"/>
          <w:sz w:val="24"/>
          <w:szCs w:val="24"/>
          <w:highlight w:val="none"/>
          <w:lang w:val="en-US" w:eastAsia="zh-CN" w:bidi="ar-SA"/>
        </w:rPr>
        <w:t>.JPG格式</w:t>
      </w:r>
      <w:r>
        <w:rPr>
          <w:rFonts w:hint="eastAsia" w:ascii="宋体" w:hAnsi="宋体" w:cs="宋体"/>
          <w:b w:val="0"/>
          <w:bCs w:val="0"/>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w:t>
      </w:r>
      <w:r>
        <w:rPr>
          <w:rFonts w:hint="eastAsia" w:ascii="宋体" w:hAnsi="宋体" w:eastAsia="宋体" w:cs="宋体"/>
          <w:b w:val="0"/>
          <w:bCs w:val="0"/>
          <w:sz w:val="24"/>
          <w:szCs w:val="24"/>
          <w:highlight w:val="none"/>
        </w:rPr>
        <w:t>石城分布图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w:t>
      </w:r>
      <w:r>
        <w:rPr>
          <w:rFonts w:hint="eastAsia" w:ascii="宋体" w:hAnsi="宋体" w:eastAsia="宋体" w:cs="宋体"/>
          <w:b w:val="0"/>
          <w:bCs w:val="0"/>
          <w:sz w:val="24"/>
          <w:szCs w:val="24"/>
          <w:highlight w:val="none"/>
        </w:rPr>
        <w:t>石城分布图</w:t>
      </w:r>
      <w:r>
        <w:rPr>
          <w:rFonts w:hint="eastAsia" w:ascii="宋体" w:hAnsi="宋体" w:cs="宋体"/>
          <w:b w:val="0"/>
          <w:bCs w:val="0"/>
          <w:kern w:val="2"/>
          <w:sz w:val="24"/>
          <w:szCs w:val="24"/>
          <w:highlight w:val="none"/>
          <w:lang w:val="en-US" w:eastAsia="zh-CN" w:bidi="ar-SA"/>
        </w:rPr>
        <w:t>为</w:t>
      </w:r>
      <w:r>
        <w:rPr>
          <w:rFonts w:hint="eastAsia" w:ascii="宋体" w:hAnsi="宋体" w:eastAsia="宋体" w:cs="宋体"/>
          <w:b w:val="0"/>
          <w:bCs w:val="0"/>
          <w:kern w:val="2"/>
          <w:sz w:val="24"/>
          <w:szCs w:val="24"/>
          <w:highlight w:val="none"/>
          <w:lang w:val="en-US" w:eastAsia="zh-CN" w:bidi="ar-SA"/>
        </w:rPr>
        <w:t>.JPG格式。</w:t>
      </w:r>
    </w:p>
    <w:p>
      <w:pPr>
        <w:rPr>
          <w:rStyle w:val="43"/>
          <w:rFonts w:hint="eastAsia" w:ascii="宋体" w:hAnsi="宋体" w:eastAsia="宋体" w:cs="宋体"/>
          <w:color w:val="auto"/>
          <w:sz w:val="32"/>
          <w:szCs w:val="16"/>
          <w:highlight w:val="none"/>
          <w:lang w:val="en-US" w:eastAsia="zh-CN"/>
        </w:rPr>
      </w:pPr>
      <w:r>
        <w:rPr>
          <w:rStyle w:val="43"/>
          <w:rFonts w:hint="eastAsia" w:ascii="宋体" w:hAnsi="宋体" w:eastAsia="宋体" w:cs="宋体"/>
          <w:color w:val="auto"/>
          <w:sz w:val="32"/>
          <w:szCs w:val="16"/>
          <w:highlight w:val="none"/>
          <w:lang w:val="en-US" w:eastAsia="zh-CN"/>
        </w:rPr>
        <w:br w:type="page"/>
      </w:r>
    </w:p>
    <w:p>
      <w:pPr>
        <w:spacing w:line="360" w:lineRule="auto"/>
        <w:jc w:val="center"/>
        <w:outlineLvl w:val="0"/>
        <w:rPr>
          <w:rStyle w:val="43"/>
          <w:rFonts w:hint="default" w:ascii="宋体" w:hAnsi="宋体" w:eastAsia="宋体" w:cs="宋体"/>
          <w:sz w:val="32"/>
          <w:szCs w:val="16"/>
          <w:highlight w:val="none"/>
          <w:lang w:val="en-US" w:eastAsia="zh-CN"/>
        </w:rPr>
      </w:pPr>
      <w:bookmarkStart w:id="188" w:name="_Toc4816"/>
      <w:bookmarkStart w:id="189" w:name="_Toc7685"/>
      <w:r>
        <w:rPr>
          <w:rStyle w:val="43"/>
          <w:rFonts w:hint="eastAsia" w:ascii="宋体" w:hAnsi="宋体" w:eastAsia="宋体" w:cs="宋体"/>
          <w:sz w:val="32"/>
          <w:szCs w:val="16"/>
          <w:highlight w:val="none"/>
          <w:lang w:val="en-US" w:eastAsia="zh-CN"/>
        </w:rPr>
        <w:t>第七部分 商务要求</w:t>
      </w:r>
      <w:bookmarkEnd w:id="188"/>
      <w:bookmarkEnd w:id="189"/>
    </w:p>
    <w:p>
      <w:pPr>
        <w:numPr>
          <w:ilvl w:val="0"/>
          <w:numId w:val="0"/>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lang w:val="en-US" w:eastAsia="zh-CN" w:bidi="ar-SA"/>
        </w:rPr>
        <w:t>一、</w:t>
      </w:r>
      <w:r>
        <w:rPr>
          <w:rFonts w:hint="eastAsia" w:ascii="宋体" w:hAnsi="宋体" w:eastAsia="宋体" w:cs="宋体"/>
          <w:color w:val="auto"/>
          <w:sz w:val="24"/>
          <w:szCs w:val="24"/>
          <w:highlight w:val="none"/>
          <w:lang w:val="en-US" w:eastAsia="zh-CN"/>
        </w:rPr>
        <w:t>服务期</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测绘</w:t>
      </w:r>
      <w:r>
        <w:rPr>
          <w:rFonts w:hint="eastAsia" w:ascii="宋体" w:hAnsi="宋体" w:eastAsia="宋体" w:cs="宋体"/>
          <w:b w:val="0"/>
          <w:bCs w:val="0"/>
          <w:kern w:val="2"/>
          <w:sz w:val="24"/>
          <w:szCs w:val="24"/>
          <w:highlight w:val="none"/>
          <w:lang w:val="en-US" w:eastAsia="zh-CN" w:bidi="ar-SA"/>
        </w:rPr>
        <w:t>工期:</w:t>
      </w:r>
      <w:r>
        <w:rPr>
          <w:rFonts w:hint="eastAsia" w:ascii="宋体" w:hAnsi="宋体" w:cs="宋体"/>
          <w:b w:val="0"/>
          <w:bCs w:val="0"/>
          <w:kern w:val="2"/>
          <w:sz w:val="24"/>
          <w:szCs w:val="24"/>
          <w:highlight w:val="none"/>
          <w:lang w:val="en-US" w:eastAsia="zh-CN" w:bidi="ar-SA"/>
        </w:rPr>
        <w:t>25日历日。       石城专题图</w:t>
      </w:r>
      <w:r>
        <w:rPr>
          <w:rFonts w:hint="eastAsia" w:ascii="宋体" w:hAnsi="宋体" w:eastAsia="宋体" w:cs="宋体"/>
          <w:b w:val="0"/>
          <w:bCs w:val="0"/>
          <w:kern w:val="2"/>
          <w:sz w:val="24"/>
          <w:szCs w:val="24"/>
          <w:highlight w:val="none"/>
          <w:lang w:val="en-US" w:eastAsia="zh-CN" w:bidi="ar-SA"/>
        </w:rPr>
        <w:t>编制时间:完工后</w:t>
      </w:r>
      <w:r>
        <w:rPr>
          <w:rFonts w:hint="eastAsia" w:ascii="宋体" w:hAnsi="宋体" w:cs="宋体"/>
          <w:b w:val="0"/>
          <w:bCs w:val="0"/>
          <w:kern w:val="2"/>
          <w:sz w:val="24"/>
          <w:szCs w:val="24"/>
          <w:highlight w:val="none"/>
          <w:lang w:val="en-US" w:eastAsia="zh-CN" w:bidi="ar-SA"/>
        </w:rPr>
        <w:t>5日历</w:t>
      </w:r>
    </w:p>
    <w:p>
      <w:pPr>
        <w:numPr>
          <w:ilvl w:val="0"/>
          <w:numId w:val="0"/>
        </w:numPr>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、合同价款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文件的规定及企业自身的情况报价。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除非合同中另有规定，</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的报价应为完成</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文件约定的所有工作所需各项费用的总和。合同总价一次包死，不受市场价变化的影响，不受实际工作量变化的影响。</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、款项结算</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1、合同款的支付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按合同约定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2、结算方式：银行转帐，采购单位持中标通知书、采购合同、项目验收报告、发票复印件办理相关支付手续。</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val="en-US" w:eastAsia="zh-CN"/>
        </w:rPr>
        <w:t>标准</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w:t>
      </w:r>
      <w:r>
        <w:rPr>
          <w:rFonts w:hint="eastAsia" w:ascii="宋体" w:hAnsi="宋体" w:eastAsia="宋体" w:cs="宋体"/>
          <w:color w:val="auto"/>
          <w:sz w:val="24"/>
          <w:szCs w:val="24"/>
          <w:highlight w:val="none"/>
        </w:rPr>
        <w:t>符合国家要求</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、违约责任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1、按《合同法》中的相关条款执行。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2、未按合同要求提供或工程质量不能满足技术要求，采购单位有权终止合同和对供方违约行为进行追究，同时按相关法律法规的有关规定进行相应的处罚。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编制完成后，由甲方组织有关专家进行评审和验收，评审和验收标准应符合相应主管部门的组织的审查要求，并取得相应主管部门审查批复文件，评审达不到甲方、监管要求的，继续完善至符合甲方、监管要求。</w:t>
      </w:r>
    </w:p>
    <w:p>
      <w:pPr>
        <w:rPr>
          <w:rStyle w:val="43"/>
          <w:rFonts w:hint="eastAsia" w:ascii="宋体" w:hAnsi="宋体" w:cs="宋体"/>
          <w:sz w:val="32"/>
          <w:szCs w:val="16"/>
          <w:highlight w:val="none"/>
          <w:lang w:val="en-US" w:eastAsia="zh-CN"/>
        </w:rPr>
      </w:pPr>
      <w:r>
        <w:rPr>
          <w:rStyle w:val="43"/>
          <w:rFonts w:hint="eastAsia" w:ascii="宋体" w:hAnsi="宋体" w:cs="宋体"/>
          <w:sz w:val="32"/>
          <w:szCs w:val="16"/>
          <w:highlight w:val="none"/>
          <w:lang w:val="en-US" w:eastAsia="zh-CN"/>
        </w:rPr>
        <w:br w:type="page"/>
      </w:r>
    </w:p>
    <w:p>
      <w:pPr>
        <w:spacing w:line="360" w:lineRule="auto"/>
        <w:jc w:val="center"/>
        <w:outlineLvl w:val="0"/>
        <w:rPr>
          <w:rFonts w:hint="eastAsia" w:ascii="宋体" w:hAnsi="宋体" w:cs="宋体"/>
          <w:b/>
          <w:bCs/>
          <w:color w:val="000000"/>
          <w:sz w:val="32"/>
          <w:szCs w:val="32"/>
          <w:highlight w:val="none"/>
        </w:rPr>
      </w:pPr>
      <w:bookmarkStart w:id="190" w:name="_Toc30051"/>
      <w:r>
        <w:rPr>
          <w:rStyle w:val="43"/>
          <w:rFonts w:hint="eastAsia" w:ascii="宋体" w:hAnsi="宋体" w:cs="宋体"/>
          <w:sz w:val="32"/>
          <w:szCs w:val="16"/>
          <w:highlight w:val="none"/>
        </w:rPr>
        <w:t>第</w:t>
      </w:r>
      <w:r>
        <w:rPr>
          <w:rStyle w:val="43"/>
          <w:rFonts w:hint="eastAsia" w:ascii="宋体" w:hAnsi="宋体" w:cs="宋体"/>
          <w:sz w:val="32"/>
          <w:szCs w:val="16"/>
          <w:highlight w:val="none"/>
          <w:lang w:val="en-US" w:eastAsia="zh-CN"/>
        </w:rPr>
        <w:t>八</w:t>
      </w:r>
      <w:r>
        <w:rPr>
          <w:rStyle w:val="43"/>
          <w:rFonts w:hint="eastAsia" w:ascii="宋体" w:hAnsi="宋体" w:cs="宋体"/>
          <w:sz w:val="32"/>
          <w:szCs w:val="16"/>
          <w:highlight w:val="none"/>
        </w:rPr>
        <w:t>部分 附件-竞争性谈判响应文件格式</w:t>
      </w:r>
      <w:bookmarkEnd w:id="185"/>
      <w:bookmarkEnd w:id="190"/>
    </w:p>
    <w:p>
      <w:pPr>
        <w:spacing w:line="360" w:lineRule="auto"/>
        <w:jc w:val="right"/>
        <w:outlineLvl w:val="9"/>
        <w:rPr>
          <w:rFonts w:hint="eastAsia" w:ascii="宋体" w:hAnsi="宋体" w:cs="宋体"/>
          <w:b/>
          <w:bCs/>
          <w:color w:val="000000"/>
          <w:sz w:val="32"/>
          <w:szCs w:val="32"/>
          <w:highlight w:val="none"/>
        </w:rPr>
      </w:pPr>
      <w:r>
        <w:rPr>
          <w:rFonts w:hint="eastAsia" w:ascii="宋体" w:hAnsi="宋体" w:cs="宋体"/>
          <w:b/>
          <w:bCs/>
          <w:color w:val="000000"/>
          <w:sz w:val="28"/>
          <w:szCs w:val="28"/>
          <w:highlight w:val="none"/>
        </w:rPr>
        <w:t xml:space="preserve"> </w:t>
      </w:r>
      <w:bookmarkStart w:id="191" w:name="_Toc3548"/>
      <w:bookmarkStart w:id="192" w:name="_Toc28078"/>
      <w:bookmarkStart w:id="193" w:name="_Toc12194"/>
      <w:bookmarkStart w:id="194" w:name="_Toc1117"/>
    </w:p>
    <w:bookmarkEnd w:id="191"/>
    <w:bookmarkEnd w:id="192"/>
    <w:bookmarkEnd w:id="193"/>
    <w:bookmarkEnd w:id="194"/>
    <w:p>
      <w:pPr>
        <w:bidi w:val="0"/>
        <w:rPr>
          <w:rFonts w:hint="eastAsia"/>
          <w:b/>
          <w:bCs/>
          <w:sz w:val="36"/>
          <w:szCs w:val="36"/>
          <w:highlight w:val="none"/>
        </w:rPr>
      </w:pPr>
      <w:bookmarkStart w:id="195" w:name="_Toc12670"/>
      <w:bookmarkStart w:id="196" w:name="_Toc21782"/>
      <w:bookmarkStart w:id="197" w:name="_Toc20477"/>
      <w:bookmarkStart w:id="198" w:name="_Toc8975"/>
      <w:bookmarkStart w:id="199" w:name="_Toc32317"/>
      <w:bookmarkStart w:id="200" w:name="_Toc11575"/>
      <w:r>
        <w:rPr>
          <w:rFonts w:hint="eastAsia"/>
          <w:b/>
          <w:bCs/>
          <w:sz w:val="36"/>
          <w:szCs w:val="36"/>
          <w:highlight w:val="none"/>
        </w:rPr>
        <w:t>采购项目编号：</w:t>
      </w:r>
      <w:bookmarkEnd w:id="195"/>
      <w:bookmarkEnd w:id="196"/>
    </w:p>
    <w:p>
      <w:pPr>
        <w:bidi w:val="0"/>
        <w:jc w:val="right"/>
        <w:rPr>
          <w:rFonts w:hint="eastAsia"/>
          <w:highlight w:val="none"/>
        </w:rPr>
      </w:pPr>
      <w:r>
        <w:rPr>
          <w:rFonts w:hint="eastAsia"/>
          <w:highlight w:val="none"/>
        </w:rPr>
        <w:t xml:space="preserve">                                     </w:t>
      </w:r>
      <w:r>
        <w:rPr>
          <w:rFonts w:hint="eastAsia"/>
          <w:highlight w:val="none"/>
          <w:lang w:val="en-US" w:eastAsia="zh-CN"/>
        </w:rPr>
        <w:t xml:space="preserve">         </w:t>
      </w:r>
      <w:r>
        <w:rPr>
          <w:rFonts w:hint="eastAsia"/>
          <w:b/>
          <w:bCs/>
          <w:sz w:val="32"/>
          <w:szCs w:val="32"/>
          <w:highlight w:val="none"/>
        </w:rPr>
        <w:t xml:space="preserve"> </w:t>
      </w:r>
      <w:bookmarkStart w:id="201" w:name="_Toc8882"/>
      <w:bookmarkStart w:id="202" w:name="_Toc16319"/>
      <w:bookmarkStart w:id="203" w:name="_Toc1643"/>
      <w:bookmarkStart w:id="204" w:name="_Toc28439"/>
      <w:r>
        <w:rPr>
          <w:rFonts w:hint="eastAsia"/>
          <w:b/>
          <w:bCs/>
          <w:sz w:val="32"/>
          <w:szCs w:val="32"/>
          <w:highlight w:val="none"/>
        </w:rPr>
        <w:t>（正本/副本）</w:t>
      </w:r>
      <w:bookmarkEnd w:id="201"/>
      <w:bookmarkEnd w:id="202"/>
      <w:bookmarkEnd w:id="203"/>
      <w:bookmarkEnd w:id="204"/>
    </w:p>
    <w:p>
      <w:pPr>
        <w:spacing w:line="360" w:lineRule="auto"/>
        <w:rPr>
          <w:rFonts w:hint="eastAsia" w:ascii="宋体" w:hAnsi="宋体" w:cs="宋体"/>
          <w:color w:val="000000"/>
          <w:highlight w:val="none"/>
        </w:rPr>
      </w:pPr>
    </w:p>
    <w:p>
      <w:pPr>
        <w:bidi w:val="0"/>
        <w:jc w:val="center"/>
        <w:rPr>
          <w:rFonts w:hint="eastAsia"/>
          <w:b/>
          <w:bCs/>
          <w:sz w:val="72"/>
          <w:szCs w:val="72"/>
          <w:highlight w:val="none"/>
          <w:u w:val="single"/>
          <w:lang w:val="en-US" w:eastAsia="zh-CN"/>
        </w:rPr>
      </w:pPr>
      <w:bookmarkStart w:id="205" w:name="_Toc821"/>
      <w:bookmarkStart w:id="206" w:name="_Toc31152"/>
    </w:p>
    <w:p>
      <w:pPr>
        <w:bidi w:val="0"/>
        <w:jc w:val="center"/>
        <w:rPr>
          <w:rFonts w:hint="eastAsia"/>
          <w:b/>
          <w:bCs/>
          <w:sz w:val="72"/>
          <w:szCs w:val="72"/>
          <w:highlight w:val="none"/>
        </w:rPr>
      </w:pPr>
      <w:r>
        <w:rPr>
          <w:rFonts w:hint="eastAsia"/>
          <w:b/>
          <w:bCs/>
          <w:sz w:val="72"/>
          <w:szCs w:val="72"/>
          <w:highlight w:val="none"/>
          <w:u w:val="single"/>
          <w:lang w:val="en-US" w:eastAsia="zh-CN"/>
        </w:rPr>
        <w:t xml:space="preserve">                </w:t>
      </w:r>
      <w:r>
        <w:rPr>
          <w:rFonts w:hint="eastAsia"/>
          <w:b/>
          <w:bCs/>
          <w:sz w:val="72"/>
          <w:szCs w:val="72"/>
          <w:highlight w:val="none"/>
        </w:rPr>
        <w:t>项目</w:t>
      </w:r>
      <w:bookmarkEnd w:id="205"/>
      <w:bookmarkEnd w:id="206"/>
    </w:p>
    <w:p>
      <w:pPr>
        <w:spacing w:line="360" w:lineRule="auto"/>
        <w:outlineLvl w:val="9"/>
        <w:rPr>
          <w:rFonts w:hint="eastAsia" w:ascii="宋体" w:hAnsi="宋体" w:cs="宋体"/>
          <w:b/>
          <w:bCs/>
          <w:color w:val="000000"/>
          <w:sz w:val="52"/>
          <w:szCs w:val="52"/>
          <w:highlight w:val="none"/>
        </w:rPr>
      </w:pPr>
    </w:p>
    <w:p>
      <w:pPr>
        <w:bidi w:val="0"/>
        <w:rPr>
          <w:rFonts w:hint="eastAsia"/>
          <w:highlight w:val="none"/>
        </w:rPr>
      </w:pPr>
      <w:bookmarkStart w:id="207" w:name="_Toc28083"/>
      <w:bookmarkStart w:id="208" w:name="_Toc6313"/>
    </w:p>
    <w:p>
      <w:pPr>
        <w:bidi w:val="0"/>
        <w:rPr>
          <w:rFonts w:hint="eastAsia"/>
          <w:highlight w:val="none"/>
        </w:rPr>
      </w:pPr>
    </w:p>
    <w:p>
      <w:pPr>
        <w:bidi w:val="0"/>
        <w:rPr>
          <w:rFonts w:hint="eastAsia"/>
          <w:highlight w:val="none"/>
        </w:rPr>
      </w:pPr>
    </w:p>
    <w:p>
      <w:pPr>
        <w:bidi w:val="0"/>
        <w:rPr>
          <w:rFonts w:hint="eastAsia"/>
          <w:highlight w:val="none"/>
        </w:rPr>
      </w:pPr>
    </w:p>
    <w:p>
      <w:pPr>
        <w:bidi w:val="0"/>
        <w:jc w:val="center"/>
        <w:rPr>
          <w:rFonts w:hint="eastAsia"/>
          <w:b/>
          <w:bCs/>
          <w:sz w:val="48"/>
          <w:szCs w:val="48"/>
          <w:highlight w:val="none"/>
        </w:rPr>
      </w:pPr>
      <w:bookmarkStart w:id="209" w:name="_Toc4795"/>
      <w:r>
        <w:rPr>
          <w:rFonts w:hint="eastAsia"/>
          <w:b/>
          <w:bCs/>
          <w:sz w:val="48"/>
          <w:szCs w:val="48"/>
          <w:highlight w:val="none"/>
        </w:rPr>
        <w:t>竞争性谈判响应</w:t>
      </w:r>
      <w:bookmarkStart w:id="210" w:name="_Toc21139"/>
      <w:bookmarkStart w:id="211" w:name="_Toc7852"/>
      <w:r>
        <w:rPr>
          <w:rFonts w:hint="eastAsia"/>
          <w:b/>
          <w:bCs/>
          <w:sz w:val="48"/>
          <w:szCs w:val="48"/>
          <w:highlight w:val="none"/>
        </w:rPr>
        <w:t>文</w:t>
      </w:r>
      <w:bookmarkEnd w:id="210"/>
      <w:bookmarkEnd w:id="211"/>
      <w:bookmarkStart w:id="212" w:name="_Toc4654"/>
      <w:bookmarkStart w:id="213" w:name="_Toc32332"/>
      <w:r>
        <w:rPr>
          <w:rFonts w:hint="eastAsia"/>
          <w:b/>
          <w:bCs/>
          <w:sz w:val="48"/>
          <w:szCs w:val="48"/>
          <w:highlight w:val="none"/>
        </w:rPr>
        <w:t>件</w:t>
      </w:r>
      <w:bookmarkEnd w:id="207"/>
      <w:bookmarkEnd w:id="208"/>
      <w:bookmarkEnd w:id="209"/>
      <w:bookmarkEnd w:id="212"/>
      <w:bookmarkEnd w:id="213"/>
    </w:p>
    <w:p>
      <w:pPr>
        <w:spacing w:line="360" w:lineRule="auto"/>
        <w:rPr>
          <w:rFonts w:hint="eastAsia" w:ascii="宋体" w:hAnsi="宋体" w:cs="宋体"/>
          <w:highlight w:val="none"/>
        </w:rPr>
      </w:pPr>
    </w:p>
    <w:p>
      <w:pPr>
        <w:spacing w:line="360" w:lineRule="auto"/>
        <w:ind w:firstLine="1044" w:firstLineChars="200"/>
        <w:jc w:val="center"/>
        <w:rPr>
          <w:rFonts w:hint="eastAsia" w:ascii="宋体" w:hAnsi="宋体" w:cs="宋体"/>
          <w:b/>
          <w:bCs/>
          <w:color w:val="000000"/>
          <w:sz w:val="52"/>
          <w:szCs w:val="52"/>
          <w:highlight w:val="none"/>
        </w:rPr>
      </w:pPr>
    </w:p>
    <w:p>
      <w:pPr>
        <w:rPr>
          <w:rFonts w:hint="eastAsia" w:ascii="宋体" w:hAnsi="宋体" w:cs="宋体"/>
          <w:b/>
          <w:bCs/>
          <w:color w:val="000000"/>
          <w:sz w:val="52"/>
          <w:szCs w:val="52"/>
          <w:highlight w:val="none"/>
        </w:rPr>
      </w:pPr>
    </w:p>
    <w:p>
      <w:pPr>
        <w:pStyle w:val="10"/>
        <w:rPr>
          <w:rFonts w:hint="eastAsia" w:ascii="宋体" w:hAnsi="宋体" w:cs="宋体"/>
          <w:b/>
          <w:bCs/>
          <w:color w:val="000000"/>
          <w:sz w:val="52"/>
          <w:szCs w:val="52"/>
          <w:highlight w:val="none"/>
        </w:rPr>
      </w:pPr>
    </w:p>
    <w:p>
      <w:pPr>
        <w:rPr>
          <w:rFonts w:hint="eastAsia"/>
          <w:highlight w:val="none"/>
        </w:rPr>
      </w:pPr>
    </w:p>
    <w:p>
      <w:pPr>
        <w:pStyle w:val="10"/>
        <w:rPr>
          <w:rFonts w:hint="eastAsia"/>
          <w:highlight w:val="none"/>
        </w:rPr>
      </w:pPr>
    </w:p>
    <w:p>
      <w:pPr>
        <w:bidi w:val="0"/>
        <w:spacing w:line="360" w:lineRule="auto"/>
        <w:ind w:firstLine="964" w:firstLineChars="300"/>
        <w:rPr>
          <w:rFonts w:hint="eastAsia" w:ascii="宋体" w:hAnsi="宋体" w:cs="宋体"/>
          <w:b/>
          <w:bCs/>
          <w:sz w:val="32"/>
          <w:szCs w:val="32"/>
          <w:highlight w:val="none"/>
        </w:rPr>
      </w:pPr>
      <w:bookmarkStart w:id="214" w:name="_Toc11465"/>
      <w:bookmarkStart w:id="215" w:name="_Toc19948"/>
      <w:bookmarkStart w:id="216" w:name="_Toc18274"/>
      <w:bookmarkStart w:id="217" w:name="_Toc10070"/>
      <w:bookmarkStart w:id="218" w:name="_Toc14929"/>
      <w:bookmarkStart w:id="219" w:name="_Toc31831"/>
      <w:bookmarkStart w:id="220" w:name="_Toc21814"/>
      <w:r>
        <w:rPr>
          <w:rFonts w:hint="eastAsia" w:ascii="宋体" w:hAnsi="宋体" w:cs="宋体"/>
          <w:b/>
          <w:bCs/>
          <w:sz w:val="32"/>
          <w:szCs w:val="32"/>
          <w:highlight w:val="none"/>
        </w:rPr>
        <w:t>投 标 人：</w:t>
      </w:r>
      <w:bookmarkEnd w:id="214"/>
      <w:bookmarkEnd w:id="215"/>
      <w:bookmarkEnd w:id="216"/>
      <w:bookmarkEnd w:id="217"/>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（盖章）</w:t>
      </w:r>
      <w:bookmarkEnd w:id="218"/>
      <w:bookmarkEnd w:id="219"/>
      <w:bookmarkEnd w:id="220"/>
    </w:p>
    <w:p>
      <w:pPr>
        <w:bidi w:val="0"/>
        <w:spacing w:line="360" w:lineRule="auto"/>
        <w:ind w:firstLine="964" w:firstLineChars="300"/>
        <w:rPr>
          <w:rFonts w:hint="eastAsia" w:ascii="宋体" w:hAnsi="宋体" w:cs="宋体"/>
          <w:b/>
          <w:bCs/>
          <w:sz w:val="32"/>
          <w:szCs w:val="32"/>
          <w:highlight w:val="none"/>
        </w:rPr>
      </w:pPr>
      <w:bookmarkStart w:id="221" w:name="_Toc532"/>
      <w:bookmarkStart w:id="222" w:name="_Toc7246"/>
      <w:bookmarkStart w:id="223" w:name="_Toc20547"/>
      <w:bookmarkStart w:id="224" w:name="_Toc25153"/>
      <w:bookmarkStart w:id="225" w:name="_Toc13548"/>
      <w:bookmarkStart w:id="226" w:name="_Toc11392"/>
      <w:bookmarkStart w:id="227" w:name="_Toc24533"/>
      <w:r>
        <w:rPr>
          <w:rFonts w:hint="eastAsia" w:ascii="宋体" w:hAnsi="宋体" w:cs="宋体"/>
          <w:b/>
          <w:bCs/>
          <w:sz w:val="32"/>
          <w:szCs w:val="32"/>
          <w:highlight w:val="none"/>
        </w:rPr>
        <w:t>法定代表人或被授权人：</w:t>
      </w:r>
      <w:bookmarkEnd w:id="221"/>
      <w:bookmarkEnd w:id="222"/>
      <w:bookmarkEnd w:id="223"/>
      <w:bookmarkEnd w:id="224"/>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（签字或盖章）</w:t>
      </w:r>
      <w:bookmarkEnd w:id="225"/>
      <w:bookmarkEnd w:id="226"/>
      <w:bookmarkEnd w:id="227"/>
    </w:p>
    <w:p>
      <w:pPr>
        <w:bidi w:val="0"/>
        <w:spacing w:line="360" w:lineRule="auto"/>
        <w:ind w:firstLine="964" w:firstLineChars="300"/>
        <w:rPr>
          <w:rFonts w:hint="eastAsia" w:ascii="宋体" w:hAnsi="宋体" w:cs="宋体"/>
          <w:highlight w:val="none"/>
        </w:rPr>
      </w:pPr>
      <w:bookmarkStart w:id="228" w:name="_Toc30755"/>
      <w:bookmarkStart w:id="229" w:name="_Toc28903"/>
      <w:bookmarkStart w:id="230" w:name="_Toc3631"/>
      <w:bookmarkStart w:id="231" w:name="_Toc22736"/>
      <w:bookmarkStart w:id="232" w:name="_Toc26484"/>
      <w:bookmarkStart w:id="233" w:name="_Toc20592"/>
      <w:bookmarkStart w:id="234" w:name="_Toc14"/>
      <w:r>
        <w:rPr>
          <w:rFonts w:hint="eastAsia" w:ascii="宋体" w:hAnsi="宋体" w:cs="宋体"/>
          <w:b/>
          <w:bCs/>
          <w:sz w:val="32"/>
          <w:szCs w:val="32"/>
          <w:highlight w:val="none"/>
        </w:rPr>
        <w:t>时    间：</w:t>
      </w:r>
      <w:bookmarkEnd w:id="228"/>
      <w:bookmarkEnd w:id="229"/>
      <w:bookmarkEnd w:id="230"/>
      <w:bookmarkEnd w:id="231"/>
      <w:bookmarkEnd w:id="232"/>
      <w:bookmarkEnd w:id="233"/>
      <w:bookmarkEnd w:id="234"/>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u w:val="single"/>
          <w:lang w:val="en-US" w:eastAsia="zh-CN"/>
        </w:rPr>
        <w:t xml:space="preserve">   </w:t>
      </w:r>
      <w:r>
        <w:rPr>
          <w:rFonts w:hint="eastAsia" w:ascii="宋体" w:hAnsi="宋体" w:cs="宋体"/>
          <w:b/>
          <w:bCs/>
          <w:sz w:val="32"/>
          <w:szCs w:val="32"/>
          <w:highlight w:val="none"/>
          <w:u w:val="single"/>
        </w:rPr>
        <w:t xml:space="preserve">  </w:t>
      </w:r>
    </w:p>
    <w:p>
      <w:pPr>
        <w:spacing w:line="360" w:lineRule="auto"/>
        <w:rPr>
          <w:rFonts w:hint="eastAsia" w:ascii="宋体" w:hAnsi="宋体" w:cs="宋体"/>
          <w:b/>
          <w:bCs/>
          <w:sz w:val="32"/>
          <w:szCs w:val="32"/>
          <w:highlight w:val="none"/>
        </w:rPr>
      </w:pPr>
      <w:r>
        <w:rPr>
          <w:rFonts w:hint="eastAsia" w:ascii="宋体" w:hAnsi="宋体" w:cs="宋体"/>
          <w:b/>
          <w:bCs/>
          <w:sz w:val="32"/>
          <w:szCs w:val="32"/>
          <w:highlight w:val="none"/>
        </w:rPr>
        <w:br w:type="page"/>
      </w:r>
    </w:p>
    <w:p>
      <w:pPr>
        <w:bidi w:val="0"/>
        <w:jc w:val="center"/>
        <w:rPr>
          <w:rFonts w:hint="eastAsia"/>
          <w:b/>
          <w:bCs/>
          <w:sz w:val="40"/>
          <w:szCs w:val="40"/>
          <w:highlight w:val="none"/>
        </w:rPr>
      </w:pPr>
      <w:bookmarkStart w:id="235" w:name="_Toc10877"/>
      <w:bookmarkStart w:id="236" w:name="_Toc27565"/>
      <w:r>
        <w:rPr>
          <w:rFonts w:hint="eastAsia"/>
          <w:b/>
          <w:bCs/>
          <w:sz w:val="40"/>
          <w:szCs w:val="40"/>
          <w:highlight w:val="none"/>
        </w:rPr>
        <w:t>目录</w:t>
      </w:r>
      <w:bookmarkEnd w:id="197"/>
      <w:bookmarkEnd w:id="198"/>
      <w:bookmarkEnd w:id="199"/>
      <w:bookmarkEnd w:id="200"/>
      <w:bookmarkEnd w:id="235"/>
      <w:bookmarkEnd w:id="236"/>
    </w:p>
    <w:p>
      <w:pPr>
        <w:rPr>
          <w:rFonts w:hint="eastAsia" w:ascii="宋体" w:hAnsi="宋体" w:eastAsia="宋体" w:cs="宋体"/>
          <w:highlight w:val="none"/>
        </w:rPr>
      </w:pPr>
      <w:bookmarkStart w:id="237" w:name="_Toc7742"/>
      <w:bookmarkStart w:id="238" w:name="_Toc2650"/>
      <w:bookmarkStart w:id="239" w:name="_Toc7232"/>
      <w:bookmarkStart w:id="240" w:name="_Toc27972"/>
      <w:bookmarkStart w:id="241" w:name="_Toc12159"/>
      <w:bookmarkStart w:id="242" w:name="_Toc16648"/>
      <w:r>
        <w:rPr>
          <w:rFonts w:hint="eastAsia" w:ascii="宋体" w:hAnsi="宋体" w:eastAsia="宋体" w:cs="宋体"/>
          <w:highlight w:val="none"/>
        </w:rPr>
        <w:br w:type="page"/>
      </w:r>
    </w:p>
    <w:p>
      <w:pPr>
        <w:pStyle w:val="3"/>
        <w:spacing w:before="0" w:after="0" w:line="360" w:lineRule="auto"/>
        <w:jc w:val="center"/>
        <w:rPr>
          <w:rFonts w:hint="eastAsia" w:ascii="宋体" w:hAnsi="宋体" w:eastAsia="宋体" w:cs="宋体"/>
          <w:highlight w:val="none"/>
        </w:rPr>
      </w:pPr>
      <w:bookmarkStart w:id="243" w:name="_Toc18231"/>
      <w:r>
        <w:rPr>
          <w:rFonts w:hint="eastAsia" w:ascii="宋体" w:hAnsi="宋体" w:eastAsia="宋体" w:cs="宋体"/>
          <w:highlight w:val="none"/>
        </w:rPr>
        <w:t>一、谈判函</w:t>
      </w:r>
      <w:bookmarkEnd w:id="237"/>
      <w:bookmarkEnd w:id="238"/>
      <w:bookmarkEnd w:id="239"/>
      <w:bookmarkEnd w:id="240"/>
      <w:bookmarkEnd w:id="241"/>
      <w:bookmarkEnd w:id="242"/>
      <w:bookmarkEnd w:id="243"/>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致：</w:t>
      </w:r>
      <w:r>
        <w:rPr>
          <w:rFonts w:hint="eastAsia" w:ascii="宋体" w:hAnsi="宋体" w:cs="宋体"/>
          <w:sz w:val="24"/>
          <w:highlight w:val="none"/>
          <w:lang w:eastAsia="zh-CN"/>
        </w:rPr>
        <w:t>亿诚建设项目管理有限公司</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根据贵方为</w:t>
      </w:r>
      <w:r>
        <w:rPr>
          <w:rFonts w:hint="eastAsia" w:ascii="宋体" w:hAnsi="宋体" w:cs="宋体"/>
          <w:sz w:val="24"/>
          <w:highlight w:val="none"/>
          <w:u w:val="single"/>
        </w:rPr>
        <w:t>（采购项目名称、采购项目编号</w:t>
      </w:r>
      <w:r>
        <w:rPr>
          <w:rFonts w:hint="eastAsia" w:ascii="宋体" w:hAnsi="宋体" w:cs="宋体"/>
          <w:sz w:val="24"/>
          <w:highlight w:val="none"/>
        </w:rPr>
        <w:t>）的竞争性谈判文件，签字代表</w:t>
      </w:r>
      <w:r>
        <w:rPr>
          <w:rFonts w:hint="eastAsia" w:ascii="宋体" w:hAnsi="宋体" w:cs="宋体"/>
          <w:sz w:val="24"/>
          <w:highlight w:val="none"/>
          <w:u w:val="single"/>
        </w:rPr>
        <w:t>(全名、职务)</w:t>
      </w:r>
      <w:r>
        <w:rPr>
          <w:rFonts w:hint="eastAsia" w:ascii="宋体" w:hAnsi="宋体" w:cs="宋体"/>
          <w:sz w:val="24"/>
          <w:highlight w:val="none"/>
        </w:rPr>
        <w:t>经正式授权并代表</w:t>
      </w:r>
      <w:r>
        <w:rPr>
          <w:rFonts w:hint="eastAsia" w:ascii="宋体" w:hAnsi="宋体" w:cs="宋体"/>
          <w:sz w:val="24"/>
          <w:highlight w:val="none"/>
          <w:u w:val="single"/>
        </w:rPr>
        <w:t>(供应商名称、地址）</w:t>
      </w:r>
      <w:r>
        <w:rPr>
          <w:rFonts w:hint="eastAsia" w:ascii="宋体" w:hAnsi="宋体" w:cs="宋体"/>
          <w:sz w:val="24"/>
          <w:highlight w:val="none"/>
        </w:rPr>
        <w:t>提交包含下述内容的谈判响应文件正本一份、副本一式</w:t>
      </w:r>
      <w:r>
        <w:rPr>
          <w:rFonts w:hint="eastAsia" w:ascii="宋体" w:hAnsi="宋体" w:cs="宋体"/>
          <w:sz w:val="24"/>
          <w:highlight w:val="none"/>
          <w:u w:val="single"/>
          <w:lang w:val="en-US" w:eastAsia="zh-CN"/>
        </w:rPr>
        <w:t>叁</w:t>
      </w:r>
      <w:r>
        <w:rPr>
          <w:rFonts w:hint="eastAsia" w:ascii="宋体" w:hAnsi="宋体" w:cs="宋体"/>
          <w:sz w:val="24"/>
          <w:highlight w:val="none"/>
        </w:rPr>
        <w:t>份，电子版</w:t>
      </w:r>
      <w:r>
        <w:rPr>
          <w:rFonts w:hint="eastAsia" w:ascii="宋体" w:hAnsi="宋体" w:cs="宋体"/>
          <w:sz w:val="24"/>
          <w:highlight w:val="none"/>
          <w:u w:val="single"/>
        </w:rPr>
        <w:t>壹</w:t>
      </w:r>
      <w:r>
        <w:rPr>
          <w:rFonts w:hint="eastAsia" w:ascii="宋体" w:hAnsi="宋体" w:cs="宋体"/>
          <w:sz w:val="24"/>
          <w:highlight w:val="none"/>
        </w:rPr>
        <w:t>份，资格证明原件</w:t>
      </w:r>
      <w:r>
        <w:rPr>
          <w:rFonts w:hint="eastAsia" w:ascii="宋体" w:hAnsi="宋体" w:cs="宋体"/>
          <w:sz w:val="24"/>
          <w:highlight w:val="none"/>
          <w:u w:val="single"/>
        </w:rPr>
        <w:t>壹</w:t>
      </w:r>
      <w:r>
        <w:rPr>
          <w:rFonts w:hint="eastAsia" w:ascii="宋体" w:hAnsi="宋体" w:cs="宋体"/>
          <w:sz w:val="24"/>
          <w:highlight w:val="none"/>
        </w:rPr>
        <w:t>套，首轮报价一览表</w:t>
      </w:r>
      <w:r>
        <w:rPr>
          <w:rFonts w:hint="eastAsia" w:ascii="宋体" w:hAnsi="宋体" w:cs="宋体"/>
          <w:sz w:val="24"/>
          <w:highlight w:val="none"/>
          <w:u w:val="single"/>
        </w:rPr>
        <w:t>壹</w:t>
      </w:r>
      <w:r>
        <w:rPr>
          <w:rFonts w:hint="eastAsia" w:ascii="宋体" w:hAnsi="宋体" w:cs="宋体"/>
          <w:sz w:val="24"/>
          <w:highlight w:val="none"/>
        </w:rPr>
        <w:t>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(1)谈判函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(2)首轮报价一览表</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(3)按供应商须知要求提供的全部文件和谈判文件要求的响应文件。</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(4)供应商资格证明文件。</w:t>
      </w:r>
    </w:p>
    <w:p>
      <w:pPr>
        <w:spacing w:line="360" w:lineRule="auto"/>
        <w:ind w:firstLine="480"/>
        <w:rPr>
          <w:rFonts w:hint="eastAsia" w:ascii="宋体" w:hAnsi="宋体" w:cs="宋体"/>
          <w:sz w:val="24"/>
          <w:highlight w:val="none"/>
        </w:rPr>
      </w:pPr>
      <w:r>
        <w:rPr>
          <w:rFonts w:hint="eastAsia" w:ascii="宋体" w:hAnsi="宋体" w:cs="宋体"/>
          <w:sz w:val="24"/>
          <w:highlight w:val="none"/>
        </w:rPr>
        <w:t>(5)已交纳谈判保证金，金额为</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据此函，签字代表宣布同意如下：</w:t>
      </w:r>
    </w:p>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1、所附谈判报价表中规定的谈判报价为：</w:t>
      </w:r>
      <w:r>
        <w:rPr>
          <w:rFonts w:hint="eastAsia" w:ascii="宋体" w:hAnsi="宋体" w:cs="宋体"/>
          <w:sz w:val="24"/>
          <w:highlight w:val="none"/>
          <w:u w:val="single"/>
        </w:rPr>
        <w:t xml:space="preserve">        </w:t>
      </w:r>
      <w:r>
        <w:rPr>
          <w:rFonts w:hint="eastAsia" w:ascii="宋体" w:hAnsi="宋体" w:cs="宋体"/>
          <w:sz w:val="24"/>
          <w:highlight w:val="none"/>
        </w:rPr>
        <w:t>元（即：大写金额：</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left="599" w:leftChars="230" w:hanging="116" w:hangingChars="50"/>
        <w:rPr>
          <w:rFonts w:hint="eastAsia" w:ascii="宋体" w:hAnsi="宋体" w:cs="宋体"/>
          <w:sz w:val="24"/>
          <w:highlight w:val="none"/>
        </w:rPr>
      </w:pPr>
      <w:r>
        <w:rPr>
          <w:rFonts w:hint="eastAsia" w:ascii="宋体" w:hAnsi="宋体" w:cs="宋体"/>
          <w:spacing w:val="-4"/>
          <w:sz w:val="24"/>
          <w:highlight w:val="none"/>
        </w:rPr>
        <w:t>2、若我方成交，我方保证按</w:t>
      </w:r>
      <w:r>
        <w:rPr>
          <w:rFonts w:hint="eastAsia" w:ascii="宋体" w:hAnsi="宋体" w:cs="宋体"/>
          <w:spacing w:val="-4"/>
          <w:sz w:val="24"/>
          <w:highlight w:val="none"/>
          <w:lang w:val="en-US" w:eastAsia="zh-CN"/>
        </w:rPr>
        <w:t>服务期</w:t>
      </w:r>
      <w:r>
        <w:rPr>
          <w:rFonts w:hint="eastAsia" w:ascii="宋体" w:hAnsi="宋体" w:cs="宋体"/>
          <w:spacing w:val="-4"/>
          <w:sz w:val="24"/>
          <w:highlight w:val="none"/>
          <w:u w:val="single"/>
        </w:rPr>
        <w:t xml:space="preserve">       </w:t>
      </w:r>
      <w:r>
        <w:rPr>
          <w:rFonts w:hint="eastAsia" w:ascii="宋体" w:hAnsi="宋体" w:cs="宋体"/>
          <w:spacing w:val="-4"/>
          <w:sz w:val="24"/>
          <w:highlight w:val="none"/>
        </w:rPr>
        <w:t>。</w:t>
      </w:r>
      <w:r>
        <w:rPr>
          <w:rFonts w:hint="eastAsia" w:ascii="宋体" w:hAnsi="宋体" w:cs="宋体"/>
          <w:sz w:val="24"/>
          <w:highlight w:val="none"/>
        </w:rPr>
        <w:t>我方保证服务质量等级达到</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3、供应商将按谈判文件的规定履行合同责任和义务</w:t>
      </w:r>
      <w:r>
        <w:rPr>
          <w:rFonts w:hint="eastAsia" w:ascii="宋体" w:hAnsi="宋体" w:cs="宋体"/>
          <w:sz w:val="24"/>
          <w:highlight w:val="none"/>
          <w:lang w:eastAsia="zh-CN"/>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4、供应商已详细审查全部谈判文件，包括修改文件（如有的话）以及全部参考资料和有关附件。我们完全理解并同意放弃对这方面有不明及误解的权利；</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、供应商同意提供按照贵方可能要求的与其报价有关的一切数据或资料。</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6</w:t>
      </w:r>
      <w:r>
        <w:rPr>
          <w:rFonts w:hint="eastAsia" w:ascii="宋体" w:hAnsi="宋体" w:cs="宋体"/>
          <w:sz w:val="24"/>
          <w:highlight w:val="none"/>
        </w:rPr>
        <w:t>、我方完全理解最低报价不是成交的唯一条件，并尊重谈判小组的评审结论和成交结果。</w:t>
      </w:r>
    </w:p>
    <w:p>
      <w:pPr>
        <w:pStyle w:val="45"/>
        <w:spacing w:after="0" w:afterAutospacing="0" w:line="360" w:lineRule="auto"/>
        <w:ind w:firstLine="468" w:firstLineChars="200"/>
        <w:rPr>
          <w:rFonts w:hint="default" w:eastAsia="宋体"/>
          <w:highlight w:val="none"/>
          <w:u w:val="single"/>
          <w:lang w:val="en-US" w:eastAsia="zh-CN"/>
        </w:rPr>
      </w:pPr>
      <w:r>
        <w:rPr>
          <w:rFonts w:hint="eastAsia" w:ascii="宋体" w:hAnsi="宋体" w:eastAsia="宋体" w:cs="宋体"/>
          <w:sz w:val="24"/>
          <w:highlight w:val="none"/>
          <w:lang w:val="en-US" w:eastAsia="zh-CN"/>
        </w:rPr>
        <w:t>7、其他</w:t>
      </w:r>
      <w:r>
        <w:rPr>
          <w:rFonts w:hint="eastAsia" w:ascii="宋体" w:hAnsi="宋体" w:eastAsia="宋体" w:cs="宋体"/>
          <w:sz w:val="24"/>
          <w:highlight w:val="none"/>
          <w:u w:val="single"/>
          <w:lang w:val="en-US" w:eastAsia="zh-CN"/>
        </w:rPr>
        <w:t xml:space="preserve">                                             </w:t>
      </w:r>
    </w:p>
    <w:p>
      <w:pPr>
        <w:spacing w:beforeAutospacing="0"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8</w:t>
      </w:r>
      <w:r>
        <w:rPr>
          <w:rFonts w:hint="eastAsia" w:ascii="宋体" w:hAnsi="宋体" w:cs="宋体"/>
          <w:sz w:val="24"/>
          <w:highlight w:val="none"/>
        </w:rPr>
        <w:t>、与本谈判有关的一切正式往来通讯请寄：</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single"/>
        </w:rPr>
        <w:t xml:space="preserve">                     </w:t>
      </w:r>
      <w:r>
        <w:rPr>
          <w:rFonts w:hint="eastAsia" w:ascii="宋体" w:hAnsi="宋体" w:cs="宋体"/>
          <w:sz w:val="24"/>
          <w:highlight w:val="none"/>
        </w:rPr>
        <w:t xml:space="preserve">   邮编：</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电话：</w:t>
      </w:r>
      <w:r>
        <w:rPr>
          <w:rFonts w:hint="eastAsia" w:ascii="宋体" w:hAnsi="宋体" w:cs="宋体"/>
          <w:sz w:val="24"/>
          <w:highlight w:val="none"/>
          <w:u w:val="single"/>
        </w:rPr>
        <w:t xml:space="preserve">                      </w:t>
      </w:r>
      <w:r>
        <w:rPr>
          <w:rFonts w:hint="eastAsia" w:ascii="宋体" w:hAnsi="宋体" w:cs="宋体"/>
          <w:sz w:val="24"/>
          <w:highlight w:val="none"/>
        </w:rPr>
        <w:t xml:space="preserve">  传真：</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供应商</w:t>
      </w:r>
      <w:r>
        <w:rPr>
          <w:rFonts w:hint="eastAsia" w:ascii="宋体" w:hAnsi="宋体" w:cs="宋体"/>
          <w:sz w:val="24"/>
          <w:highlight w:val="none"/>
          <w:lang w:val="en-US" w:eastAsia="zh-CN"/>
        </w:rPr>
        <w:t>法定</w:t>
      </w:r>
      <w:r>
        <w:rPr>
          <w:rFonts w:hint="eastAsia" w:ascii="宋体" w:hAnsi="宋体" w:cs="宋体"/>
          <w:sz w:val="24"/>
          <w:highlight w:val="none"/>
        </w:rPr>
        <w:t>代表</w:t>
      </w:r>
      <w:r>
        <w:rPr>
          <w:rFonts w:hint="eastAsia" w:ascii="宋体" w:hAnsi="宋体" w:cs="宋体"/>
          <w:sz w:val="24"/>
          <w:highlight w:val="none"/>
          <w:lang w:val="en-US" w:eastAsia="zh-CN"/>
        </w:rPr>
        <w:t>人</w:t>
      </w:r>
      <w:r>
        <w:rPr>
          <w:rFonts w:hint="eastAsia" w:ascii="宋体" w:hAnsi="宋体" w:cs="宋体"/>
          <w:sz w:val="24"/>
          <w:highlight w:val="none"/>
        </w:rPr>
        <w:t>姓名、职务（印刷体）：</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（公章）</w:t>
      </w:r>
    </w:p>
    <w:p>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法定代表人签字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日期： </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rPr>
          <w:rFonts w:hint="eastAsia" w:ascii="宋体" w:hAnsi="宋体" w:eastAsia="宋体" w:cs="宋体"/>
          <w:szCs w:val="32"/>
          <w:highlight w:val="none"/>
        </w:rPr>
      </w:pPr>
      <w:bookmarkStart w:id="244" w:name="_Toc5535"/>
      <w:bookmarkStart w:id="245" w:name="_Toc9401"/>
      <w:bookmarkStart w:id="246" w:name="_Toc21734"/>
      <w:bookmarkStart w:id="247" w:name="_Toc233435984"/>
      <w:bookmarkStart w:id="248" w:name="_Toc27099"/>
      <w:bookmarkStart w:id="249" w:name="_Toc128557264"/>
      <w:bookmarkStart w:id="250" w:name="_Toc27283"/>
      <w:bookmarkStart w:id="251" w:name="_Toc31173"/>
      <w:r>
        <w:rPr>
          <w:rFonts w:hint="eastAsia" w:ascii="宋体" w:hAnsi="宋体" w:eastAsia="宋体" w:cs="宋体"/>
          <w:szCs w:val="32"/>
          <w:highlight w:val="none"/>
        </w:rPr>
        <w:br w:type="page"/>
      </w:r>
    </w:p>
    <w:p>
      <w:pPr>
        <w:pStyle w:val="3"/>
        <w:spacing w:before="0" w:after="0" w:line="360" w:lineRule="auto"/>
        <w:jc w:val="center"/>
        <w:rPr>
          <w:rFonts w:hint="eastAsia" w:ascii="宋体" w:hAnsi="宋体" w:eastAsia="宋体" w:cs="宋体"/>
          <w:b w:val="0"/>
          <w:sz w:val="18"/>
          <w:szCs w:val="18"/>
          <w:highlight w:val="none"/>
        </w:rPr>
      </w:pPr>
      <w:bookmarkStart w:id="252" w:name="_Toc26225"/>
      <w:bookmarkStart w:id="253" w:name="_Toc6498"/>
      <w:bookmarkStart w:id="254" w:name="_Toc14823"/>
      <w:bookmarkStart w:id="255" w:name="_Toc10162"/>
      <w:r>
        <w:rPr>
          <w:rFonts w:hint="eastAsia" w:ascii="宋体" w:hAnsi="宋体" w:eastAsia="宋体" w:cs="宋体"/>
          <w:szCs w:val="32"/>
          <w:highlight w:val="none"/>
        </w:rPr>
        <w:t>二、首轮报价一览表</w:t>
      </w:r>
      <w:bookmarkEnd w:id="244"/>
      <w:bookmarkEnd w:id="245"/>
      <w:bookmarkEnd w:id="246"/>
      <w:bookmarkEnd w:id="247"/>
      <w:bookmarkEnd w:id="248"/>
      <w:bookmarkEnd w:id="249"/>
      <w:bookmarkEnd w:id="250"/>
      <w:bookmarkEnd w:id="251"/>
      <w:bookmarkEnd w:id="252"/>
      <w:bookmarkEnd w:id="253"/>
      <w:bookmarkEnd w:id="254"/>
      <w:bookmarkEnd w:id="255"/>
    </w:p>
    <w:tbl>
      <w:tblPr>
        <w:tblStyle w:val="28"/>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69"/>
        <w:gridCol w:w="759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采购项目编号</w:t>
            </w:r>
          </w:p>
        </w:tc>
        <w:tc>
          <w:tcPr>
            <w:tcW w:w="3810" w:type="pct"/>
            <w:tcBorders>
              <w:bottom w:val="single" w:color="auto" w:sz="4" w:space="0"/>
            </w:tcBorders>
            <w:noWrap w:val="0"/>
            <w:vAlign w:val="center"/>
          </w:tcPr>
          <w:p>
            <w:pPr>
              <w:spacing w:line="360" w:lineRule="auto"/>
              <w:jc w:val="center"/>
              <w:rPr>
                <w:rFonts w:hint="eastAsia" w:ascii="宋体" w:hAnsi="宋体" w:cs="宋体"/>
                <w:cap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736"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单位名称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highlight w:val="none"/>
              </w:rPr>
              <w:t>谈判报价</w:t>
            </w:r>
          </w:p>
        </w:tc>
        <w:tc>
          <w:tcPr>
            <w:tcW w:w="3810" w:type="pct"/>
            <w:noWrap w:val="0"/>
            <w:vAlign w:val="center"/>
          </w:tcPr>
          <w:p>
            <w:pPr>
              <w:spacing w:line="360" w:lineRule="auto"/>
              <w:jc w:val="left"/>
              <w:rPr>
                <w:rFonts w:hint="eastAsia" w:ascii="宋体" w:hAnsi="宋体" w:cs="宋体"/>
                <w:b/>
                <w:bCs/>
                <w:sz w:val="24"/>
                <w:highlight w:val="none"/>
              </w:rPr>
            </w:pPr>
            <w:r>
              <w:rPr>
                <w:rFonts w:hint="eastAsia" w:ascii="宋体" w:hAnsi="宋体" w:cs="宋体"/>
                <w:b/>
                <w:bCs/>
                <w:sz w:val="24"/>
                <w:highlight w:val="none"/>
              </w:rPr>
              <w:t>人 民 币（大写）：</w:t>
            </w:r>
          </w:p>
          <w:p>
            <w:pPr>
              <w:spacing w:line="360" w:lineRule="auto"/>
              <w:jc w:val="left"/>
              <w:rPr>
                <w:rFonts w:hint="eastAsia" w:ascii="宋体" w:hAnsi="宋体" w:cs="宋体"/>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lang w:val="en-US" w:eastAsia="zh-CN"/>
              </w:rPr>
              <w:t>服务期</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投标声明</w:t>
            </w:r>
          </w:p>
        </w:tc>
        <w:tc>
          <w:tcPr>
            <w:tcW w:w="3810"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u w:val="single"/>
        </w:rPr>
      </w:pPr>
    </w:p>
    <w:p>
      <w:pPr>
        <w:spacing w:line="360" w:lineRule="auto"/>
        <w:jc w:val="right"/>
        <w:rPr>
          <w:rFonts w:hint="eastAsia" w:ascii="宋体" w:hAnsi="宋体" w:cs="宋体"/>
          <w:sz w:val="24"/>
          <w:highlight w:val="none"/>
          <w:u w:val="single"/>
        </w:rPr>
      </w:pPr>
    </w:p>
    <w:p>
      <w:pPr>
        <w:spacing w:line="360" w:lineRule="auto"/>
        <w:ind w:right="-161" w:firstLine="2640" w:firstLineChars="1100"/>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ind w:right="-161" w:firstLine="2640" w:firstLineChars="1100"/>
        <w:rPr>
          <w:rFonts w:hint="eastAsia" w:ascii="宋体" w:hAnsi="宋体" w:cs="宋体"/>
          <w:sz w:val="24"/>
          <w:szCs w:val="24"/>
          <w:highlight w:val="none"/>
          <w:u w:val="single"/>
        </w:rPr>
      </w:pPr>
      <w:r>
        <w:rPr>
          <w:rFonts w:hint="eastAsia" w:ascii="宋体" w:hAnsi="宋体" w:cs="宋体"/>
          <w:sz w:val="24"/>
          <w:szCs w:val="24"/>
          <w:highlight w:val="none"/>
        </w:rPr>
        <w:t>法定代表人签字</w:t>
      </w:r>
      <w:r>
        <w:rPr>
          <w:rFonts w:hint="eastAsia" w:ascii="宋体" w:hAnsi="宋体" w:cs="宋体"/>
          <w:sz w:val="24"/>
          <w:szCs w:val="24"/>
          <w:highlight w:val="none"/>
          <w:lang w:val="en-US" w:eastAsia="zh-CN"/>
        </w:rPr>
        <w:t>或</w:t>
      </w:r>
      <w:r>
        <w:rPr>
          <w:rFonts w:hint="eastAsia" w:ascii="宋体" w:hAnsi="宋体" w:cs="宋体"/>
          <w:sz w:val="24"/>
          <w:szCs w:val="24"/>
          <w:highlight w:val="none"/>
        </w:rPr>
        <w:t>盖章：</w:t>
      </w:r>
      <w:r>
        <w:rPr>
          <w:rFonts w:hint="eastAsia" w:ascii="宋体" w:hAnsi="宋体" w:cs="宋体"/>
          <w:sz w:val="24"/>
          <w:szCs w:val="24"/>
          <w:highlight w:val="none"/>
          <w:u w:val="single"/>
        </w:rPr>
        <w:t xml:space="preserve">                 </w:t>
      </w:r>
    </w:p>
    <w:p>
      <w:pPr>
        <w:spacing w:line="360" w:lineRule="auto"/>
        <w:ind w:firstLine="2640" w:firstLineChars="1100"/>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bookmarkStart w:id="256" w:name="_Toc15290"/>
      <w:bookmarkStart w:id="257" w:name="_Toc7499"/>
      <w:bookmarkStart w:id="258" w:name="_Toc5162"/>
      <w:bookmarkStart w:id="259" w:name="_Toc23888"/>
      <w:bookmarkStart w:id="260" w:name="_Toc16233"/>
    </w:p>
    <w:p>
      <w:pPr>
        <w:rPr>
          <w:rFonts w:hint="eastAsia" w:ascii="宋体" w:hAnsi="宋体" w:cs="宋体"/>
          <w:sz w:val="24"/>
          <w:szCs w:val="24"/>
          <w:highlight w:val="none"/>
        </w:rPr>
      </w:pPr>
      <w:r>
        <w:rPr>
          <w:rFonts w:hint="eastAsia" w:ascii="宋体" w:hAnsi="宋体" w:cs="宋体"/>
          <w:sz w:val="24"/>
          <w:szCs w:val="24"/>
          <w:highlight w:val="none"/>
        </w:rPr>
        <w:br w:type="page"/>
      </w:r>
    </w:p>
    <w:p>
      <w:pPr>
        <w:pStyle w:val="5"/>
        <w:spacing w:before="0" w:after="0" w:line="360" w:lineRule="auto"/>
        <w:jc w:val="center"/>
        <w:rPr>
          <w:rFonts w:hint="eastAsia" w:ascii="宋体" w:hAnsi="宋体" w:cs="宋体"/>
          <w:highlight w:val="none"/>
          <w:lang w:val="en-US" w:eastAsia="zh-CN"/>
        </w:rPr>
      </w:pPr>
      <w:bookmarkStart w:id="261" w:name="_Toc7576"/>
      <w:r>
        <w:rPr>
          <w:rFonts w:hint="eastAsia" w:ascii="宋体" w:hAnsi="宋体" w:cs="宋体"/>
          <w:highlight w:val="none"/>
          <w:lang w:val="en-US" w:eastAsia="zh-CN"/>
        </w:rPr>
        <w:t>分项报价</w:t>
      </w:r>
      <w:bookmarkEnd w:id="261"/>
    </w:p>
    <w:p>
      <w:pPr>
        <w:rPr>
          <w:rFonts w:hint="eastAsia" w:ascii="宋体" w:hAnsi="宋体" w:cs="宋体"/>
          <w:highlight w:val="none"/>
          <w:lang w:val="en-US" w:eastAsia="zh-CN"/>
        </w:rPr>
      </w:pPr>
    </w:p>
    <w:p>
      <w:pPr>
        <w:rPr>
          <w:rFonts w:hint="eastAsia" w:ascii="宋体" w:hAnsi="宋体" w:cs="宋体"/>
          <w:highlight w:val="none"/>
          <w:lang w:val="en-US" w:eastAsia="zh-CN"/>
        </w:rPr>
      </w:pPr>
    </w:p>
    <w:p>
      <w:pPr>
        <w:rPr>
          <w:rFonts w:hint="eastAsia" w:ascii="宋体" w:hAnsi="宋体" w:cs="宋体"/>
          <w:highlight w:val="none"/>
          <w:lang w:val="en-US" w:eastAsia="zh-CN"/>
        </w:rPr>
      </w:pPr>
    </w:p>
    <w:p>
      <w:pPr>
        <w:rPr>
          <w:rFonts w:hint="eastAsia" w:ascii="宋体" w:hAnsi="宋体" w:cs="宋体"/>
          <w:highlight w:val="none"/>
          <w:lang w:val="en-US" w:eastAsia="zh-CN"/>
        </w:rPr>
      </w:pPr>
      <w:r>
        <w:rPr>
          <w:rFonts w:hint="eastAsia" w:ascii="宋体" w:hAnsi="宋体" w:cs="宋体"/>
          <w:highlight w:val="none"/>
          <w:lang w:val="en-US" w:eastAsia="zh-CN"/>
        </w:rPr>
        <w:t>注：格式自拟</w:t>
      </w:r>
    </w:p>
    <w:p>
      <w:pPr>
        <w:pStyle w:val="10"/>
        <w:rPr>
          <w:rFonts w:hint="eastAsia" w:ascii="宋体" w:hAnsi="宋体" w:cs="宋体"/>
          <w:highlight w:val="none"/>
          <w:lang w:val="en-US" w:eastAsia="zh-CN"/>
        </w:rPr>
      </w:pPr>
    </w:p>
    <w:p>
      <w:pPr>
        <w:pStyle w:val="41"/>
        <w:ind w:left="0" w:leftChars="0" w:firstLine="0" w:firstLineChars="0"/>
        <w:rPr>
          <w:rFonts w:hint="default"/>
          <w:highlight w:val="none"/>
          <w:lang w:val="en-US" w:eastAsia="zh-CN"/>
        </w:rPr>
      </w:pPr>
    </w:p>
    <w:p>
      <w:pPr>
        <w:rPr>
          <w:rFonts w:hint="eastAsia" w:ascii="宋体" w:hAnsi="宋体" w:cs="宋体"/>
          <w:sz w:val="24"/>
          <w:szCs w:val="24"/>
          <w:highlight w:val="none"/>
        </w:rPr>
      </w:pPr>
      <w:r>
        <w:rPr>
          <w:rFonts w:hint="eastAsia" w:ascii="宋体" w:hAnsi="宋体" w:cs="宋体"/>
          <w:sz w:val="24"/>
          <w:szCs w:val="24"/>
          <w:highlight w:val="none"/>
        </w:rPr>
        <w:br w:type="page"/>
      </w:r>
    </w:p>
    <w:bookmarkEnd w:id="256"/>
    <w:bookmarkEnd w:id="257"/>
    <w:bookmarkEnd w:id="258"/>
    <w:bookmarkEnd w:id="259"/>
    <w:bookmarkEnd w:id="260"/>
    <w:p>
      <w:pPr>
        <w:pStyle w:val="3"/>
        <w:numPr>
          <w:ilvl w:val="0"/>
          <w:numId w:val="0"/>
        </w:numPr>
        <w:bidi w:val="0"/>
        <w:ind w:left="0" w:leftChars="0" w:firstLine="643" w:firstLineChars="200"/>
        <w:jc w:val="center"/>
        <w:rPr>
          <w:rFonts w:hint="eastAsia"/>
          <w:highlight w:val="none"/>
        </w:rPr>
      </w:pPr>
      <w:bookmarkStart w:id="262" w:name="_Toc27589"/>
      <w:bookmarkStart w:id="263" w:name="_Toc11065"/>
      <w:bookmarkStart w:id="264" w:name="_Toc28462"/>
      <w:bookmarkStart w:id="265" w:name="_Toc29455"/>
      <w:bookmarkStart w:id="266" w:name="_Toc4334"/>
      <w:bookmarkStart w:id="267" w:name="_Toc5328"/>
      <w:bookmarkStart w:id="268" w:name="_Toc716"/>
      <w:bookmarkStart w:id="269" w:name="_Toc5699"/>
      <w:bookmarkStart w:id="270" w:name="_Toc233435986"/>
      <w:bookmarkStart w:id="271" w:name="_Toc20951"/>
      <w:bookmarkStart w:id="272" w:name="_Toc16322"/>
      <w:bookmarkStart w:id="273" w:name="_Toc6128"/>
      <w:bookmarkStart w:id="274" w:name="_Toc497546923"/>
      <w:bookmarkStart w:id="275" w:name="_Toc385992405"/>
      <w:bookmarkStart w:id="276" w:name="_Toc497711590"/>
      <w:bookmarkStart w:id="277" w:name="_Toc497712138"/>
      <w:bookmarkStart w:id="278" w:name="_Toc389620245"/>
      <w:bookmarkStart w:id="279" w:name="_Toc497551825"/>
      <w:bookmarkStart w:id="280" w:name="_Hlt491766443"/>
      <w:bookmarkStart w:id="281" w:name="_Toc492955464"/>
      <w:r>
        <w:rPr>
          <w:rFonts w:hint="eastAsia"/>
          <w:highlight w:val="none"/>
          <w:lang w:val="en-US" w:eastAsia="zh-CN"/>
        </w:rPr>
        <w:t>三、</w:t>
      </w:r>
      <w:r>
        <w:rPr>
          <w:rFonts w:hint="eastAsia"/>
          <w:highlight w:val="none"/>
        </w:rPr>
        <w:t>投标保证金</w:t>
      </w:r>
      <w:bookmarkEnd w:id="262"/>
      <w:bookmarkEnd w:id="263"/>
    </w:p>
    <w:p>
      <w:pPr>
        <w:spacing w:beforeAutospacing="0" w:afterAutospacing="0" w:line="401" w:lineRule="auto"/>
        <w:ind w:firstLine="491"/>
        <w:jc w:val="center"/>
        <w:rPr>
          <w:rFonts w:ascii="宋体" w:hAnsi="宋体" w:eastAsia="宋体" w:cs="宋体"/>
          <w:b/>
          <w:bCs/>
          <w:spacing w:val="8"/>
          <w:sz w:val="30"/>
          <w:szCs w:val="30"/>
          <w:highlight w:val="none"/>
        </w:rPr>
      </w:pPr>
      <w:r>
        <w:rPr>
          <w:rFonts w:ascii="宋体" w:hAnsi="宋体" w:eastAsia="宋体" w:cs="宋体"/>
          <w:b/>
          <w:bCs/>
          <w:spacing w:val="8"/>
          <w:sz w:val="30"/>
          <w:szCs w:val="30"/>
          <w:highlight w:val="none"/>
        </w:rPr>
        <w:t>投标信用承诺书(投标保证金)</w:t>
      </w:r>
    </w:p>
    <w:p>
      <w:pPr>
        <w:spacing w:beforeAutospacing="0" w:line="401" w:lineRule="auto"/>
        <w:ind w:left="484"/>
        <w:rPr>
          <w:rFonts w:ascii="宋体" w:hAnsi="宋体" w:eastAsia="宋体" w:cs="宋体"/>
          <w:sz w:val="23"/>
          <w:szCs w:val="23"/>
          <w:highlight w:val="none"/>
        </w:rPr>
      </w:pPr>
      <w:r>
        <w:rPr>
          <w:rFonts w:ascii="宋体" w:hAnsi="宋体" w:eastAsia="宋体" w:cs="宋体"/>
          <w:spacing w:val="6"/>
          <w:sz w:val="23"/>
          <w:szCs w:val="23"/>
          <w:highlight w:val="none"/>
        </w:rPr>
        <w:t>项</w:t>
      </w:r>
      <w:r>
        <w:rPr>
          <w:rFonts w:ascii="宋体" w:hAnsi="宋体" w:eastAsia="宋体" w:cs="宋体"/>
          <w:spacing w:val="5"/>
          <w:sz w:val="23"/>
          <w:szCs w:val="23"/>
          <w:highlight w:val="none"/>
        </w:rPr>
        <w:t>目名称：</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line="228" w:lineRule="auto"/>
        <w:ind w:left="483"/>
        <w:rPr>
          <w:rFonts w:ascii="宋体" w:hAnsi="宋体" w:eastAsia="宋体" w:cs="宋体"/>
          <w:sz w:val="23"/>
          <w:szCs w:val="23"/>
          <w:highlight w:val="none"/>
        </w:rPr>
      </w:pPr>
      <w:r>
        <w:rPr>
          <w:rFonts w:hint="eastAsia" w:ascii="宋体" w:hAnsi="宋体" w:cs="宋体"/>
          <w:spacing w:val="5"/>
          <w:sz w:val="23"/>
          <w:szCs w:val="23"/>
          <w:highlight w:val="none"/>
          <w:lang w:eastAsia="zh-CN"/>
        </w:rPr>
        <w:t>供应商</w:t>
      </w:r>
      <w:r>
        <w:rPr>
          <w:rFonts w:ascii="宋体" w:hAnsi="宋体" w:eastAsia="宋体" w:cs="宋体"/>
          <w:spacing w:val="4"/>
          <w:sz w:val="23"/>
          <w:szCs w:val="23"/>
          <w:highlight w:val="none"/>
        </w:rPr>
        <w:t>：</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before="214" w:line="402" w:lineRule="auto"/>
        <w:ind w:right="0" w:rightChars="0" w:firstLine="486"/>
        <w:rPr>
          <w:rFonts w:ascii="宋体" w:hAnsi="宋体" w:eastAsia="宋体" w:cs="宋体"/>
          <w:sz w:val="23"/>
          <w:szCs w:val="23"/>
          <w:highlight w:val="none"/>
        </w:rPr>
      </w:pPr>
      <w:r>
        <w:rPr>
          <w:rFonts w:ascii="宋体" w:hAnsi="宋体" w:eastAsia="宋体" w:cs="宋体"/>
          <w:spacing w:val="-6"/>
          <w:sz w:val="23"/>
          <w:szCs w:val="23"/>
          <w:highlight w:val="none"/>
        </w:rPr>
        <w:t>统一社</w:t>
      </w:r>
      <w:r>
        <w:rPr>
          <w:rFonts w:ascii="宋体" w:hAnsi="宋体" w:eastAsia="宋体" w:cs="宋体"/>
          <w:spacing w:val="-4"/>
          <w:sz w:val="23"/>
          <w:szCs w:val="23"/>
          <w:highlight w:val="none"/>
        </w:rPr>
        <w:t>会</w:t>
      </w:r>
      <w:r>
        <w:rPr>
          <w:rFonts w:ascii="宋体" w:hAnsi="宋体" w:eastAsia="宋体" w:cs="宋体"/>
          <w:spacing w:val="-3"/>
          <w:sz w:val="23"/>
          <w:szCs w:val="23"/>
          <w:highlight w:val="none"/>
        </w:rPr>
        <w:t>信用代码：</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3"/>
          <w:sz w:val="23"/>
          <w:szCs w:val="23"/>
          <w:highlight w:val="none"/>
        </w:rPr>
        <w:t>法人代表：</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9"/>
          <w:sz w:val="23"/>
          <w:szCs w:val="23"/>
          <w:highlight w:val="none"/>
        </w:rPr>
        <w:t>在本项目标段招投标活动中，我公司(单位)自愿作出以下投标信用承诺</w:t>
      </w:r>
      <w:r>
        <w:rPr>
          <w:rFonts w:ascii="宋体" w:hAnsi="宋体" w:eastAsia="宋体" w:cs="宋体"/>
          <w:spacing w:val="5"/>
          <w:sz w:val="23"/>
          <w:szCs w:val="23"/>
          <w:highlight w:val="none"/>
        </w:rPr>
        <w:t>：</w:t>
      </w:r>
    </w:p>
    <w:p>
      <w:pPr>
        <w:spacing w:line="227" w:lineRule="auto"/>
        <w:ind w:left="492"/>
        <w:rPr>
          <w:rFonts w:ascii="宋体" w:hAnsi="宋体" w:eastAsia="宋体" w:cs="宋体"/>
          <w:sz w:val="23"/>
          <w:szCs w:val="23"/>
          <w:highlight w:val="none"/>
        </w:rPr>
      </w:pPr>
      <w:r>
        <w:rPr>
          <w:rFonts w:ascii="宋体" w:hAnsi="宋体" w:eastAsia="宋体" w:cs="宋体"/>
          <w:spacing w:val="8"/>
          <w:sz w:val="23"/>
          <w:szCs w:val="23"/>
          <w:highlight w:val="none"/>
        </w:rPr>
        <w:t>(一)能严格遵守法律法规、职业道德和行业规范</w:t>
      </w:r>
      <w:r>
        <w:rPr>
          <w:rFonts w:ascii="宋体" w:hAnsi="宋体" w:eastAsia="宋体" w:cs="宋体"/>
          <w:spacing w:val="7"/>
          <w:sz w:val="23"/>
          <w:szCs w:val="23"/>
          <w:highlight w:val="none"/>
        </w:rPr>
        <w:t>。</w:t>
      </w:r>
    </w:p>
    <w:p>
      <w:pPr>
        <w:spacing w:before="220" w:line="401" w:lineRule="auto"/>
        <w:ind w:firstLine="491"/>
        <w:rPr>
          <w:rFonts w:ascii="宋体" w:hAnsi="宋体" w:eastAsia="宋体" w:cs="宋体"/>
          <w:sz w:val="23"/>
          <w:szCs w:val="23"/>
          <w:highlight w:val="none"/>
        </w:rPr>
      </w:pPr>
      <w:r>
        <w:rPr>
          <w:rFonts w:ascii="宋体" w:hAnsi="宋体" w:eastAsia="宋体" w:cs="宋体"/>
          <w:spacing w:val="20"/>
          <w:sz w:val="23"/>
          <w:szCs w:val="23"/>
          <w:highlight w:val="none"/>
        </w:rPr>
        <w:t>(</w:t>
      </w:r>
      <w:r>
        <w:rPr>
          <w:rFonts w:ascii="宋体" w:hAnsi="宋体" w:eastAsia="宋体" w:cs="宋体"/>
          <w:spacing w:val="18"/>
          <w:sz w:val="23"/>
          <w:szCs w:val="23"/>
          <w:highlight w:val="none"/>
        </w:rPr>
        <w:t>二</w:t>
      </w:r>
      <w:r>
        <w:rPr>
          <w:rFonts w:ascii="宋体" w:hAnsi="宋体" w:eastAsia="宋体" w:cs="宋体"/>
          <w:spacing w:val="10"/>
          <w:sz w:val="23"/>
          <w:szCs w:val="23"/>
          <w:highlight w:val="none"/>
        </w:rPr>
        <w:t>)不得有以下违法违规行为：1.围标串标；以他人名义或者其他方式弄虚作假投</w:t>
      </w:r>
      <w:r>
        <w:rPr>
          <w:rFonts w:ascii="宋体" w:hAnsi="宋体" w:eastAsia="宋体" w:cs="宋体"/>
          <w:spacing w:val="16"/>
          <w:sz w:val="23"/>
          <w:szCs w:val="23"/>
          <w:highlight w:val="none"/>
        </w:rPr>
        <w:t>标</w:t>
      </w:r>
      <w:r>
        <w:rPr>
          <w:rFonts w:ascii="宋体" w:hAnsi="宋体" w:eastAsia="宋体" w:cs="宋体"/>
          <w:spacing w:val="13"/>
          <w:sz w:val="23"/>
          <w:szCs w:val="23"/>
          <w:highlight w:val="none"/>
        </w:rPr>
        <w:t>；</w:t>
      </w:r>
      <w:r>
        <w:rPr>
          <w:rFonts w:ascii="宋体" w:hAnsi="宋体" w:eastAsia="宋体" w:cs="宋体"/>
          <w:spacing w:val="8"/>
          <w:sz w:val="23"/>
          <w:szCs w:val="23"/>
          <w:highlight w:val="none"/>
        </w:rPr>
        <w:t>出让出租资格、资质证书供他人投标；恶意竞标、强揽工程；以暴力、威胁、利诱等</w:t>
      </w:r>
      <w:r>
        <w:rPr>
          <w:rFonts w:ascii="宋体" w:hAnsi="宋体" w:eastAsia="宋体" w:cs="宋体"/>
          <w:spacing w:val="13"/>
          <w:sz w:val="23"/>
          <w:szCs w:val="23"/>
          <w:highlight w:val="none"/>
        </w:rPr>
        <w:t>手</w:t>
      </w:r>
      <w:r>
        <w:rPr>
          <w:rFonts w:ascii="宋体" w:hAnsi="宋体" w:eastAsia="宋体" w:cs="宋体"/>
          <w:spacing w:val="8"/>
          <w:sz w:val="23"/>
          <w:szCs w:val="23"/>
          <w:highlight w:val="none"/>
        </w:rPr>
        <w:t>段阻止或者控制其他潜在</w:t>
      </w:r>
      <w:r>
        <w:rPr>
          <w:rFonts w:hint="eastAsia" w:ascii="宋体" w:hAnsi="宋体" w:cs="宋体"/>
          <w:spacing w:val="8"/>
          <w:sz w:val="23"/>
          <w:szCs w:val="23"/>
          <w:highlight w:val="none"/>
          <w:lang w:eastAsia="zh-CN"/>
        </w:rPr>
        <w:t>供应商</w:t>
      </w:r>
      <w:r>
        <w:rPr>
          <w:rFonts w:ascii="宋体" w:hAnsi="宋体" w:eastAsia="宋体" w:cs="宋体"/>
          <w:spacing w:val="8"/>
          <w:sz w:val="23"/>
          <w:szCs w:val="23"/>
          <w:highlight w:val="none"/>
        </w:rPr>
        <w:t>参与招投标活动。2.向招投标监督部门、交易中心、招</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人、招标代理机构、评审委员会及其成员等当事主体赠送财物。3.投标截止后至中标人</w:t>
      </w:r>
      <w:r>
        <w:rPr>
          <w:rFonts w:ascii="宋体" w:hAnsi="宋体" w:eastAsia="宋体" w:cs="宋体"/>
          <w:spacing w:val="13"/>
          <w:sz w:val="23"/>
          <w:szCs w:val="23"/>
          <w:highlight w:val="none"/>
        </w:rPr>
        <w:t>确</w:t>
      </w:r>
      <w:r>
        <w:rPr>
          <w:rFonts w:ascii="宋体" w:hAnsi="宋体" w:eastAsia="宋体" w:cs="宋体"/>
          <w:spacing w:val="8"/>
          <w:sz w:val="23"/>
          <w:szCs w:val="23"/>
          <w:highlight w:val="none"/>
        </w:rPr>
        <w:t>定前，修改或者撤销投标文件。4.在被确定为中标人后无正当理由：不按照招标文件和</w:t>
      </w:r>
      <w:r>
        <w:rPr>
          <w:rFonts w:ascii="宋体" w:hAnsi="宋体" w:eastAsia="宋体" w:cs="宋体"/>
          <w:spacing w:val="16"/>
          <w:sz w:val="23"/>
          <w:szCs w:val="23"/>
          <w:highlight w:val="none"/>
        </w:rPr>
        <w:t>投</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文件与招标人签订合同；在签订合同时向招标人提出附加条件、或者改变投标文件的</w:t>
      </w:r>
      <w:r>
        <w:rPr>
          <w:rFonts w:ascii="宋体" w:hAnsi="宋体" w:eastAsia="宋体" w:cs="宋体"/>
          <w:spacing w:val="13"/>
          <w:sz w:val="23"/>
          <w:szCs w:val="23"/>
          <w:highlight w:val="none"/>
        </w:rPr>
        <w:t>实</w:t>
      </w:r>
      <w:r>
        <w:rPr>
          <w:rFonts w:ascii="宋体" w:hAnsi="宋体" w:eastAsia="宋体" w:cs="宋体"/>
          <w:spacing w:val="8"/>
          <w:sz w:val="23"/>
          <w:szCs w:val="23"/>
          <w:highlight w:val="none"/>
        </w:rPr>
        <w:t>质性内容；放弃中标；不按照招标文件的规定提交履约信用承诺。5.招投标法规定的其</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它</w:t>
      </w:r>
      <w:r>
        <w:rPr>
          <w:rFonts w:ascii="宋体" w:hAnsi="宋体" w:eastAsia="宋体" w:cs="宋体"/>
          <w:spacing w:val="7"/>
          <w:sz w:val="23"/>
          <w:szCs w:val="23"/>
          <w:highlight w:val="none"/>
        </w:rPr>
        <w:t>违法违规行为。</w:t>
      </w:r>
    </w:p>
    <w:p>
      <w:pPr>
        <w:spacing w:before="1" w:line="406" w:lineRule="auto"/>
        <w:ind w:left="2" w:firstLine="489"/>
        <w:rPr>
          <w:rFonts w:ascii="宋体" w:hAnsi="宋体" w:eastAsia="宋体" w:cs="宋体"/>
          <w:sz w:val="23"/>
          <w:szCs w:val="23"/>
          <w:highlight w:val="none"/>
        </w:rPr>
      </w:pPr>
      <w:r>
        <w:rPr>
          <w:rFonts w:ascii="宋体" w:hAnsi="宋体" w:eastAsia="宋体" w:cs="宋体"/>
          <w:spacing w:val="10"/>
          <w:sz w:val="23"/>
          <w:szCs w:val="23"/>
          <w:highlight w:val="none"/>
        </w:rPr>
        <w:t>(三)若我公司(单位)及相关参与人员违背以上承诺事项，即被视为失信企业(</w:t>
      </w:r>
      <w:r>
        <w:rPr>
          <w:rFonts w:ascii="宋体" w:hAnsi="宋体" w:eastAsia="宋体" w:cs="宋体"/>
          <w:spacing w:val="8"/>
          <w:sz w:val="23"/>
          <w:szCs w:val="23"/>
          <w:highlight w:val="none"/>
        </w:rPr>
        <w:t>法</w:t>
      </w:r>
      <w:r>
        <w:rPr>
          <w:rFonts w:ascii="宋体" w:hAnsi="宋体" w:eastAsia="宋体" w:cs="宋体"/>
          <w:spacing w:val="5"/>
          <w:sz w:val="23"/>
          <w:szCs w:val="23"/>
          <w:highlight w:val="none"/>
        </w:rPr>
        <w:t>人)，依据《关于对公共资源交易领域严重失信主体开展联合惩戒的备忘录》(发改法</w:t>
      </w:r>
      <w:r>
        <w:rPr>
          <w:rFonts w:ascii="宋体" w:hAnsi="宋体" w:eastAsia="宋体" w:cs="宋体"/>
          <w:spacing w:val="1"/>
          <w:sz w:val="23"/>
          <w:szCs w:val="23"/>
          <w:highlight w:val="none"/>
        </w:rPr>
        <w:t>规</w:t>
      </w:r>
      <w:r>
        <w:rPr>
          <w:rFonts w:ascii="宋体" w:hAnsi="宋体" w:eastAsia="宋体" w:cs="宋体"/>
          <w:spacing w:val="-6"/>
          <w:sz w:val="23"/>
          <w:szCs w:val="23"/>
          <w:highlight w:val="none"/>
        </w:rPr>
        <w:t>[</w:t>
      </w:r>
      <w:r>
        <w:rPr>
          <w:rFonts w:ascii="宋体" w:hAnsi="宋体" w:eastAsia="宋体" w:cs="宋体"/>
          <w:spacing w:val="-4"/>
          <w:sz w:val="23"/>
          <w:szCs w:val="23"/>
          <w:highlight w:val="none"/>
        </w:rPr>
        <w:t>2</w:t>
      </w:r>
      <w:r>
        <w:rPr>
          <w:rFonts w:ascii="宋体" w:hAnsi="宋体" w:eastAsia="宋体" w:cs="宋体"/>
          <w:spacing w:val="-3"/>
          <w:sz w:val="23"/>
          <w:szCs w:val="23"/>
          <w:highlight w:val="none"/>
        </w:rPr>
        <w:t>018]457号)，自愿接受1至3年内限制参与公共资源交易活动。</w:t>
      </w:r>
    </w:p>
    <w:p>
      <w:pPr>
        <w:spacing w:line="402" w:lineRule="auto"/>
        <w:rPr>
          <w:rFonts w:ascii="Arial"/>
          <w:sz w:val="21"/>
          <w:highlight w:val="none"/>
        </w:rPr>
      </w:pPr>
    </w:p>
    <w:p>
      <w:pPr>
        <w:spacing w:before="76" w:line="227" w:lineRule="auto"/>
        <w:ind w:left="0" w:leftChars="0" w:firstLine="0" w:firstLineChars="0"/>
        <w:rPr>
          <w:rFonts w:hint="eastAsia" w:ascii="宋体" w:hAnsi="宋体" w:eastAsia="宋体" w:cs="宋体"/>
          <w:sz w:val="23"/>
          <w:szCs w:val="23"/>
          <w:highlight w:val="none"/>
          <w:lang w:eastAsia="zh-CN"/>
        </w:rPr>
      </w:pPr>
      <w:r>
        <w:rPr>
          <w:rFonts w:ascii="宋体" w:hAnsi="宋体" w:eastAsia="宋体" w:cs="宋体"/>
          <w:spacing w:val="1"/>
          <w:sz w:val="23"/>
          <w:szCs w:val="23"/>
          <w:highlight w:val="none"/>
        </w:rPr>
        <w:t xml:space="preserve">法定代表人(签章)：             </w:t>
      </w:r>
      <w:r>
        <w:rPr>
          <w:rFonts w:ascii="宋体" w:hAnsi="宋体" w:eastAsia="宋体" w:cs="宋体"/>
          <w:sz w:val="23"/>
          <w:szCs w:val="23"/>
          <w:highlight w:val="none"/>
        </w:rPr>
        <w:t xml:space="preserve">        </w:t>
      </w:r>
      <w:r>
        <w:rPr>
          <w:rFonts w:hint="eastAsia" w:ascii="宋体" w:hAnsi="宋体" w:cs="宋体"/>
          <w:sz w:val="23"/>
          <w:szCs w:val="23"/>
          <w:highlight w:val="none"/>
          <w:lang w:eastAsia="zh-CN"/>
        </w:rPr>
        <w:t>供应商</w:t>
      </w:r>
      <w:r>
        <w:rPr>
          <w:rFonts w:ascii="宋体" w:hAnsi="宋体" w:eastAsia="宋体" w:cs="宋体"/>
          <w:sz w:val="23"/>
          <w:szCs w:val="23"/>
          <w:highlight w:val="none"/>
        </w:rPr>
        <w:t>(盖章)：</w:t>
      </w:r>
    </w:p>
    <w:p>
      <w:pPr>
        <w:spacing w:line="320" w:lineRule="auto"/>
        <w:rPr>
          <w:rFonts w:ascii="Arial"/>
          <w:sz w:val="21"/>
          <w:highlight w:val="none"/>
        </w:rPr>
      </w:pPr>
    </w:p>
    <w:p>
      <w:pPr>
        <w:spacing w:line="320" w:lineRule="auto"/>
        <w:rPr>
          <w:rFonts w:ascii="Arial"/>
          <w:sz w:val="21"/>
          <w:highlight w:val="none"/>
        </w:rPr>
      </w:pPr>
    </w:p>
    <w:p>
      <w:pPr>
        <w:spacing w:before="75" w:line="227" w:lineRule="auto"/>
        <w:ind w:left="480"/>
        <w:jc w:val="right"/>
        <w:rPr>
          <w:rFonts w:ascii="宋体" w:hAnsi="宋体" w:eastAsia="宋体" w:cs="宋体"/>
          <w:sz w:val="23"/>
          <w:szCs w:val="23"/>
          <w:highlight w:val="none"/>
        </w:rPr>
      </w:pPr>
      <w:r>
        <w:rPr>
          <w:rFonts w:ascii="宋体" w:hAnsi="宋体" w:eastAsia="宋体" w:cs="宋体"/>
          <w:spacing w:val="2"/>
          <w:sz w:val="23"/>
          <w:szCs w:val="23"/>
          <w:highlight w:val="none"/>
        </w:rPr>
        <w:t xml:space="preserve">承诺时间：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月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w:t>
      </w:r>
      <w:r>
        <w:rPr>
          <w:rFonts w:ascii="宋体" w:hAnsi="宋体" w:eastAsia="宋体" w:cs="宋体"/>
          <w:spacing w:val="1"/>
          <w:sz w:val="23"/>
          <w:szCs w:val="23"/>
          <w:highlight w:val="none"/>
        </w:rPr>
        <w:t>日</w:t>
      </w:r>
    </w:p>
    <w:p>
      <w:pPr>
        <w:spacing w:line="320" w:lineRule="auto"/>
        <w:rPr>
          <w:rFonts w:ascii="Arial"/>
          <w:sz w:val="21"/>
          <w:highlight w:val="none"/>
        </w:rPr>
      </w:pPr>
    </w:p>
    <w:p>
      <w:pPr>
        <w:spacing w:before="75" w:line="360" w:lineRule="auto"/>
        <w:ind w:left="3"/>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说明：</w:t>
      </w:r>
      <w:r>
        <w:rPr>
          <w:rFonts w:hint="eastAsia" w:ascii="宋体" w:hAnsi="宋体" w:cs="宋体"/>
          <w:b/>
          <w:bCs/>
          <w:kern w:val="2"/>
          <w:sz w:val="24"/>
          <w:szCs w:val="24"/>
          <w:highlight w:val="none"/>
          <w:lang w:val="en-US" w:eastAsia="zh-CN"/>
        </w:rPr>
        <w:t>1.</w:t>
      </w:r>
      <w:r>
        <w:rPr>
          <w:rFonts w:hint="eastAsia" w:ascii="宋体" w:hAnsi="宋体" w:eastAsia="宋体" w:cs="宋体"/>
          <w:b/>
          <w:bCs/>
          <w:kern w:val="2"/>
          <w:sz w:val="24"/>
          <w:szCs w:val="24"/>
          <w:highlight w:val="none"/>
        </w:rPr>
        <w:t>本承诺书效力和作用等同投标保证金，其有效期与投标有效期一致</w:t>
      </w:r>
      <w:r>
        <w:rPr>
          <w:rFonts w:hint="eastAsia" w:ascii="宋体" w:hAnsi="宋体" w:cs="宋体"/>
          <w:b/>
          <w:bCs/>
          <w:kern w:val="2"/>
          <w:sz w:val="24"/>
          <w:szCs w:val="24"/>
          <w:highlight w:val="none"/>
          <w:lang w:eastAsia="zh-CN"/>
        </w:rPr>
        <w:t>；</w:t>
      </w:r>
    </w:p>
    <w:p>
      <w:pPr>
        <w:spacing w:before="75" w:line="360" w:lineRule="auto"/>
        <w:ind w:left="3" w:firstLine="723" w:firstLineChars="300"/>
        <w:rPr>
          <w:rFonts w:hint="eastAsia" w:ascii="宋体" w:hAnsi="宋体" w:cs="宋体"/>
          <w:kern w:val="2"/>
          <w:sz w:val="21"/>
          <w:szCs w:val="21"/>
          <w:highlight w:val="none"/>
        </w:rPr>
      </w:pPr>
      <w:r>
        <w:rPr>
          <w:rFonts w:hint="eastAsia" w:ascii="宋体" w:hAnsi="宋体" w:cs="宋体"/>
          <w:b/>
          <w:bCs/>
          <w:kern w:val="2"/>
          <w:sz w:val="24"/>
          <w:szCs w:val="24"/>
          <w:highlight w:val="none"/>
          <w:lang w:val="en-US" w:eastAsia="zh-CN"/>
        </w:rPr>
        <w:t>2.</w:t>
      </w:r>
      <w:r>
        <w:rPr>
          <w:rFonts w:hint="eastAsia" w:ascii="宋体" w:hAnsi="宋体" w:eastAsia="宋体" w:cs="宋体"/>
          <w:b/>
          <w:bCs/>
          <w:kern w:val="2"/>
          <w:sz w:val="24"/>
          <w:szCs w:val="24"/>
          <w:highlight w:val="none"/>
          <w:lang w:val="en-US" w:eastAsia="zh-CN"/>
        </w:rPr>
        <w:t>后附信用中国（陕西榆林）网站自主上报的信用截图</w:t>
      </w:r>
      <w:r>
        <w:rPr>
          <w:rFonts w:hint="eastAsia" w:ascii="宋体" w:hAnsi="宋体" w:cs="宋体"/>
          <w:b/>
          <w:bCs/>
          <w:kern w:val="2"/>
          <w:sz w:val="24"/>
          <w:szCs w:val="24"/>
          <w:highlight w:val="none"/>
          <w:lang w:val="en-US" w:eastAsia="zh-CN"/>
        </w:rPr>
        <w:t>。</w:t>
      </w:r>
    </w:p>
    <w:p>
      <w:pPr>
        <w:spacing w:line="360" w:lineRule="auto"/>
        <w:rPr>
          <w:rFonts w:hint="eastAsia" w:ascii="宋体" w:hAnsi="宋体" w:eastAsia="宋体" w:cs="宋体"/>
          <w:szCs w:val="22"/>
          <w:highlight w:val="none"/>
        </w:rPr>
      </w:pPr>
      <w:r>
        <w:rPr>
          <w:rFonts w:hint="eastAsia" w:ascii="宋体" w:hAnsi="宋体" w:eastAsia="宋体" w:cs="宋体"/>
          <w:szCs w:val="22"/>
          <w:highlight w:val="none"/>
        </w:rPr>
        <w:br w:type="page"/>
      </w:r>
    </w:p>
    <w:p>
      <w:pPr>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240" w:lineRule="auto"/>
        <w:ind w:left="0" w:right="0"/>
        <w:jc w:val="center"/>
        <w:textAlignment w:val="baseline"/>
        <w:outlineLvl w:val="2"/>
        <w:rPr>
          <w:rFonts w:hint="default" w:ascii="宋体" w:hAnsi="宋体" w:eastAsia="宋体" w:cs="宋体"/>
          <w:b/>
          <w:snapToGrid w:val="0"/>
          <w:color w:val="000000"/>
          <w:kern w:val="0"/>
          <w:sz w:val="32"/>
          <w:szCs w:val="22"/>
          <w:highlight w:val="none"/>
          <w:lang w:val="en-US" w:eastAsia="zh-CN" w:bidi="ar"/>
        </w:rPr>
      </w:pPr>
      <w:bookmarkStart w:id="282" w:name="_Toc5427"/>
      <w:bookmarkStart w:id="283" w:name="_Toc13813"/>
      <w:bookmarkStart w:id="284" w:name="_Toc25747"/>
      <w:bookmarkStart w:id="285" w:name="_Toc20482"/>
      <w:r>
        <w:rPr>
          <w:rFonts w:hint="eastAsia" w:ascii="宋体" w:hAnsi="宋体" w:eastAsia="宋体" w:cs="宋体"/>
          <w:b/>
          <w:snapToGrid w:val="0"/>
          <w:color w:val="000000"/>
          <w:kern w:val="0"/>
          <w:sz w:val="32"/>
          <w:szCs w:val="22"/>
          <w:highlight w:val="none"/>
          <w:lang w:bidi="ar"/>
        </w:rPr>
        <w:t>投标保证金缴款凭证</w:t>
      </w:r>
      <w:r>
        <w:rPr>
          <w:rFonts w:hint="eastAsia" w:ascii="宋体" w:hAnsi="宋体" w:eastAsia="宋体" w:cs="宋体"/>
          <w:b/>
          <w:snapToGrid w:val="0"/>
          <w:color w:val="000000"/>
          <w:kern w:val="0"/>
          <w:sz w:val="32"/>
          <w:szCs w:val="22"/>
          <w:highlight w:val="none"/>
          <w:lang w:eastAsia="zh-CN" w:bidi="ar"/>
        </w:rPr>
        <w:t>；</w:t>
      </w:r>
      <w:r>
        <w:rPr>
          <w:rFonts w:hint="eastAsia" w:ascii="宋体" w:hAnsi="宋体" w:eastAsia="宋体" w:cs="宋体"/>
          <w:b/>
          <w:snapToGrid w:val="0"/>
          <w:color w:val="000000"/>
          <w:kern w:val="0"/>
          <w:sz w:val="32"/>
          <w:szCs w:val="22"/>
          <w:highlight w:val="none"/>
          <w:lang w:val="en-US" w:eastAsia="zh-CN" w:bidi="ar"/>
        </w:rPr>
        <w:t>或投标信用（保证金）承诺书</w:t>
      </w:r>
      <w:bookmarkEnd w:id="282"/>
      <w:bookmarkEnd w:id="283"/>
      <w:bookmarkEnd w:id="284"/>
      <w:bookmarkEnd w:id="285"/>
    </w:p>
    <w:p>
      <w:pPr>
        <w:widowControl w:val="0"/>
        <w:kinsoku w:val="0"/>
        <w:autoSpaceDE w:val="0"/>
        <w:autoSpaceDN w:val="0"/>
        <w:adjustRightInd w:val="0"/>
        <w:snapToGrid w:val="0"/>
        <w:spacing w:line="240" w:lineRule="auto"/>
        <w:jc w:val="center"/>
        <w:textAlignment w:val="auto"/>
        <w:rPr>
          <w:rFonts w:hint="eastAsia" w:ascii="Arial" w:hAnsi="Arial" w:eastAsia="Arial" w:cs="宋体"/>
          <w:snapToGrid w:val="0"/>
          <w:color w:val="000000"/>
          <w:kern w:val="2"/>
          <w:sz w:val="24"/>
          <w:szCs w:val="21"/>
          <w:highlight w:val="none"/>
          <w:lang w:eastAsia="zh-CN"/>
        </w:rPr>
      </w:pPr>
      <w:r>
        <w:rPr>
          <w:rFonts w:hint="eastAsia" w:ascii="Arial" w:hAnsi="Arial" w:eastAsia="Arial" w:cs="宋体"/>
          <w:snapToGrid w:val="0"/>
          <w:color w:val="000000"/>
          <w:kern w:val="2"/>
          <w:sz w:val="24"/>
          <w:szCs w:val="21"/>
          <w:highlight w:val="none"/>
          <w:lang w:eastAsia="zh-CN"/>
        </w:rPr>
        <w:t>（</w:t>
      </w:r>
      <w:r>
        <w:rPr>
          <w:rFonts w:hint="eastAsia" w:ascii="Arial" w:hAnsi="Arial" w:eastAsia="Arial" w:cs="宋体"/>
          <w:snapToGrid w:val="0"/>
          <w:color w:val="000000"/>
          <w:kern w:val="2"/>
          <w:sz w:val="24"/>
          <w:szCs w:val="21"/>
          <w:highlight w:val="none"/>
          <w:lang w:val="en-US" w:eastAsia="zh-CN"/>
        </w:rPr>
        <w:t>网站截图示例</w:t>
      </w:r>
      <w:r>
        <w:rPr>
          <w:rFonts w:hint="eastAsia" w:ascii="Arial" w:hAnsi="Arial" w:eastAsia="Arial" w:cs="宋体"/>
          <w:snapToGrid w:val="0"/>
          <w:color w:val="000000"/>
          <w:kern w:val="2"/>
          <w:sz w:val="24"/>
          <w:szCs w:val="21"/>
          <w:highlight w:val="none"/>
          <w:lang w:eastAsia="zh-CN"/>
        </w:rPr>
        <w:t>）</w:t>
      </w:r>
    </w:p>
    <w:p>
      <w:pPr>
        <w:widowControl w:val="0"/>
        <w:kinsoku w:val="0"/>
        <w:autoSpaceDE w:val="0"/>
        <w:autoSpaceDN w:val="0"/>
        <w:adjustRightInd w:val="0"/>
        <w:snapToGrid w:val="0"/>
        <w:spacing w:line="240" w:lineRule="auto"/>
        <w:jc w:val="both"/>
        <w:textAlignment w:val="auto"/>
        <w:rPr>
          <w:rFonts w:hint="eastAsia" w:ascii="Arial" w:hAnsi="Arial" w:eastAsia="Arial" w:cs="宋体"/>
          <w:snapToGrid w:val="0"/>
          <w:color w:val="000000"/>
          <w:kern w:val="2"/>
          <w:sz w:val="24"/>
          <w:szCs w:val="21"/>
          <w:highlight w:val="none"/>
          <w:lang w:val="en-US" w:eastAsia="zh-CN"/>
        </w:rPr>
      </w:pPr>
      <w:r>
        <w:rPr>
          <w:rFonts w:hint="eastAsia" w:ascii="宋体" w:hAnsi="宋体" w:eastAsia="宋体" w:cs="宋体"/>
          <w:snapToGrid w:val="0"/>
          <w:color w:val="000000"/>
          <w:kern w:val="0"/>
          <w:sz w:val="18"/>
          <w:szCs w:val="18"/>
          <w:highlight w:val="none"/>
          <w:lang w:eastAsia="zh-CN"/>
        </w:rPr>
        <w:drawing>
          <wp:inline distT="0" distB="0" distL="114300" distR="114300">
            <wp:extent cx="6219190" cy="3992880"/>
            <wp:effectExtent l="0" t="0" r="10160" b="7620"/>
            <wp:docPr id="4"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070660fdff4da88769f8db89617d96"/>
                    <pic:cNvPicPr>
                      <a:picLocks noChangeAspect="1"/>
                    </pic:cNvPicPr>
                  </pic:nvPicPr>
                  <pic:blipFill>
                    <a:blip r:embed="rId9"/>
                    <a:stretch>
                      <a:fillRect/>
                    </a:stretch>
                  </pic:blipFill>
                  <pic:spPr>
                    <a:xfrm>
                      <a:off x="0" y="0"/>
                      <a:ext cx="6219190" cy="3992880"/>
                    </a:xfrm>
                    <a:prstGeom prst="rect">
                      <a:avLst/>
                    </a:prstGeom>
                    <a:noFill/>
                    <a:ln>
                      <a:noFill/>
                    </a:ln>
                  </pic:spPr>
                </pic:pic>
              </a:graphicData>
            </a:graphic>
          </wp:inline>
        </w:drawing>
      </w:r>
    </w:p>
    <w:p>
      <w:pPr>
        <w:widowControl/>
        <w:kinsoku w:val="0"/>
        <w:autoSpaceDE w:val="0"/>
        <w:autoSpaceDN w:val="0"/>
        <w:adjustRightInd w:val="0"/>
        <w:snapToGrid w:val="0"/>
        <w:spacing w:line="240" w:lineRule="auto"/>
        <w:ind w:firstLine="220" w:firstLineChars="100"/>
        <w:jc w:val="left"/>
        <w:textAlignment w:val="baseline"/>
        <w:rPr>
          <w:rFonts w:hint="eastAsia" w:ascii="宋体" w:hAnsi="宋体" w:eastAsia="Arial" w:cs="宋体"/>
          <w:b/>
          <w:bCs/>
          <w:snapToGrid w:val="0"/>
          <w:color w:val="FF0000"/>
          <w:kern w:val="0"/>
          <w:sz w:val="22"/>
          <w:szCs w:val="22"/>
          <w:highlight w:val="none"/>
          <w:lang w:val="en-US" w:eastAsia="zh-CN"/>
        </w:rPr>
      </w:pPr>
      <w:r>
        <w:rPr>
          <w:rFonts w:hint="eastAsia" w:ascii="宋体" w:hAnsi="宋体" w:eastAsia="Arial" w:cs="宋体"/>
          <w:b/>
          <w:bCs/>
          <w:snapToGrid w:val="0"/>
          <w:color w:val="FF0000"/>
          <w:kern w:val="0"/>
          <w:sz w:val="22"/>
          <w:szCs w:val="22"/>
          <w:highlight w:val="none"/>
          <w:lang w:val="en-US" w:eastAsia="zh-CN"/>
        </w:rPr>
        <w:t>投标信用（保证金）承诺书的承诺附件格式详见“投标信用承诺书”</w:t>
      </w:r>
    </w:p>
    <w:p>
      <w:pPr>
        <w:rPr>
          <w:rFonts w:hint="eastAsia"/>
          <w:highlight w:val="none"/>
        </w:rPr>
      </w:pPr>
      <w:r>
        <w:rPr>
          <w:rFonts w:hint="eastAsia" w:ascii="宋体" w:hAnsi="宋体" w:eastAsia="宋体" w:cs="宋体"/>
          <w:szCs w:val="22"/>
          <w:highlight w:val="none"/>
          <w:lang w:val="en-US" w:eastAsia="zh-CN"/>
        </w:rPr>
        <w:br w:type="page"/>
      </w:r>
    </w:p>
    <w:p>
      <w:pPr>
        <w:pStyle w:val="3"/>
        <w:adjustRightInd w:val="0"/>
        <w:spacing w:before="0" w:after="0" w:line="360" w:lineRule="auto"/>
        <w:jc w:val="center"/>
        <w:textAlignment w:val="baseline"/>
        <w:rPr>
          <w:rFonts w:hint="eastAsia" w:ascii="宋体" w:hAnsi="宋体" w:eastAsia="宋体" w:cs="宋体"/>
          <w:szCs w:val="22"/>
          <w:highlight w:val="none"/>
        </w:rPr>
      </w:pPr>
      <w:bookmarkStart w:id="286" w:name="_Toc14662"/>
      <w:bookmarkStart w:id="287" w:name="_Toc22891"/>
      <w:r>
        <w:rPr>
          <w:rFonts w:hint="eastAsia" w:ascii="宋体" w:hAnsi="宋体" w:eastAsia="宋体" w:cs="宋体"/>
          <w:szCs w:val="22"/>
          <w:highlight w:val="none"/>
          <w:lang w:val="en-US" w:eastAsia="zh-CN"/>
        </w:rPr>
        <w:t>四</w:t>
      </w:r>
      <w:r>
        <w:rPr>
          <w:rFonts w:hint="eastAsia" w:ascii="宋体" w:hAnsi="宋体" w:eastAsia="宋体" w:cs="宋体"/>
          <w:szCs w:val="22"/>
          <w:highlight w:val="none"/>
        </w:rPr>
        <w:t>、法定代表人证明书、法定代表人授权委托书</w:t>
      </w:r>
      <w:bookmarkEnd w:id="264"/>
      <w:bookmarkEnd w:id="265"/>
      <w:bookmarkEnd w:id="266"/>
      <w:bookmarkEnd w:id="267"/>
      <w:bookmarkEnd w:id="286"/>
      <w:bookmarkEnd w:id="287"/>
    </w:p>
    <w:p>
      <w:pPr>
        <w:pStyle w:val="5"/>
        <w:spacing w:before="0" w:after="0" w:line="360" w:lineRule="auto"/>
        <w:jc w:val="center"/>
        <w:rPr>
          <w:rFonts w:hint="eastAsia" w:ascii="宋体" w:hAnsi="宋体" w:cs="宋体"/>
          <w:szCs w:val="22"/>
          <w:highlight w:val="none"/>
        </w:rPr>
      </w:pPr>
      <w:bookmarkStart w:id="288" w:name="_Toc3883"/>
      <w:bookmarkStart w:id="289" w:name="_Toc19324"/>
      <w:bookmarkStart w:id="290" w:name="_Toc22201"/>
      <w:bookmarkStart w:id="291" w:name="_Toc29571"/>
      <w:bookmarkStart w:id="292" w:name="_Toc1848"/>
      <w:bookmarkStart w:id="293" w:name="_Toc14444"/>
      <w:bookmarkStart w:id="294" w:name="_Toc5751"/>
      <w:r>
        <w:rPr>
          <w:rFonts w:hint="eastAsia" w:ascii="宋体" w:hAnsi="宋体" w:cs="宋体"/>
          <w:highlight w:val="none"/>
        </w:rPr>
        <w:t>1、法定代表人证明书</w:t>
      </w:r>
      <w:bookmarkEnd w:id="288"/>
      <w:bookmarkEnd w:id="289"/>
      <w:bookmarkEnd w:id="290"/>
      <w:bookmarkEnd w:id="291"/>
      <w:bookmarkEnd w:id="292"/>
      <w:bookmarkEnd w:id="293"/>
      <w:bookmarkEnd w:id="294"/>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0"/>
            <w:vAlign w:val="center"/>
          </w:tcPr>
          <w:p>
            <w:pPr>
              <w:tabs>
                <w:tab w:val="left" w:pos="210"/>
              </w:tabs>
              <w:spacing w:line="360" w:lineRule="auto"/>
              <w:rPr>
                <w:rFonts w:hint="eastAsia" w:ascii="宋体" w:hAnsi="宋体" w:cs="宋体"/>
                <w:kern w:val="0"/>
                <w:sz w:val="24"/>
                <w:highlight w:val="none"/>
                <w:u w:val="single"/>
              </w:rPr>
            </w:pPr>
            <w:r>
              <w:rPr>
                <w:rFonts w:hint="eastAsia" w:ascii="宋体" w:hAnsi="宋体" w:cs="宋体"/>
                <w:kern w:val="0"/>
                <w:sz w:val="24"/>
                <w:highlight w:val="none"/>
              </w:rPr>
              <w:t>致：</w:t>
            </w:r>
            <w:r>
              <w:rPr>
                <w:rFonts w:hint="eastAsia" w:ascii="宋体" w:hAnsi="宋体" w:cs="宋体"/>
                <w:kern w:val="0"/>
                <w:sz w:val="24"/>
                <w:highlight w:val="none"/>
                <w:u w:val="single"/>
              </w:rPr>
              <w:t>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90" w:type="dxa"/>
            <w:vMerge w:val="restart"/>
            <w:noWrap w:val="0"/>
            <w:vAlign w:val="center"/>
          </w:tcPr>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企</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业</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法</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企业名称</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法定地址</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邮政编码</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工商登记机关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税务登记机关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机构代码证号</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姓名</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（签名）</w:t>
            </w: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性别</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职务</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传真</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法定代表人身份证（正、反面）复印件</w:t>
            </w:r>
          </w:p>
        </w:tc>
        <w:tc>
          <w:tcPr>
            <w:tcW w:w="3893" w:type="dxa"/>
            <w:gridSpan w:val="3"/>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3893" w:type="dxa"/>
            <w:gridSpan w:val="3"/>
            <w:noWrap w:val="0"/>
            <w:vAlign w:val="bottom"/>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（公章）</w:t>
            </w: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right"/>
              <w:rPr>
                <w:rFonts w:hint="eastAsia" w:ascii="宋体" w:hAnsi="宋体" w:cs="宋体"/>
                <w:kern w:val="0"/>
                <w:sz w:val="24"/>
                <w:highlight w:val="none"/>
              </w:rPr>
            </w:pPr>
            <w:r>
              <w:rPr>
                <w:rFonts w:hint="eastAsia" w:ascii="宋体" w:hAnsi="宋体" w:cs="宋体"/>
                <w:kern w:val="0"/>
                <w:sz w:val="24"/>
                <w:highlight w:val="none"/>
              </w:rPr>
              <w:t xml:space="preserve">年  月  日 </w:t>
            </w:r>
          </w:p>
        </w:tc>
      </w:tr>
    </w:tbl>
    <w:p>
      <w:pPr>
        <w:spacing w:line="360" w:lineRule="auto"/>
        <w:ind w:firstLine="420" w:firstLineChars="200"/>
        <w:rPr>
          <w:rFonts w:hint="eastAsia" w:ascii="宋体" w:hAnsi="宋体" w:cs="宋体"/>
          <w:highlight w:val="none"/>
        </w:rPr>
      </w:pPr>
      <w:bookmarkStart w:id="295" w:name="_Toc15689"/>
      <w:r>
        <w:rPr>
          <w:rFonts w:hint="eastAsia" w:ascii="宋体" w:hAnsi="宋体" w:cs="宋体"/>
          <w:highlight w:val="none"/>
        </w:rPr>
        <w:t>注：法定代表人参加投标的，开标现场手持此证明书及身份证原件以备核验身份，不提供者视为不响应竞争性谈判文件，按无效标处理。</w:t>
      </w:r>
      <w:bookmarkEnd w:id="295"/>
      <w:bookmarkStart w:id="296" w:name="_Toc1201"/>
      <w:bookmarkStart w:id="297" w:name="_Toc25588"/>
      <w:bookmarkStart w:id="298" w:name="_Toc4738"/>
      <w:bookmarkStart w:id="299" w:name="_Toc21"/>
      <w:bookmarkStart w:id="300" w:name="_Toc19462"/>
      <w:bookmarkStart w:id="301" w:name="_Toc27732"/>
    </w:p>
    <w:p>
      <w:pPr>
        <w:rPr>
          <w:rFonts w:hint="eastAsia" w:ascii="宋体" w:hAnsi="宋体" w:cs="宋体"/>
          <w:highlight w:val="none"/>
        </w:rPr>
      </w:pPr>
      <w:r>
        <w:rPr>
          <w:rFonts w:hint="eastAsia" w:ascii="宋体" w:hAnsi="宋体" w:cs="宋体"/>
          <w:highlight w:val="none"/>
        </w:rPr>
        <w:br w:type="page"/>
      </w:r>
    </w:p>
    <w:p>
      <w:pPr>
        <w:pStyle w:val="5"/>
        <w:bidi w:val="0"/>
        <w:jc w:val="center"/>
        <w:rPr>
          <w:rFonts w:hint="eastAsia"/>
          <w:highlight w:val="none"/>
        </w:rPr>
      </w:pPr>
      <w:bookmarkStart w:id="302" w:name="_Toc14382"/>
      <w:r>
        <w:rPr>
          <w:rFonts w:hint="eastAsia"/>
          <w:highlight w:val="none"/>
        </w:rPr>
        <w:t>2、法定代表人授权委托书</w:t>
      </w:r>
      <w:bookmarkEnd w:id="296"/>
      <w:bookmarkEnd w:id="297"/>
      <w:bookmarkEnd w:id="298"/>
      <w:bookmarkEnd w:id="299"/>
      <w:bookmarkEnd w:id="300"/>
      <w:bookmarkEnd w:id="301"/>
      <w:bookmarkEnd w:id="302"/>
    </w:p>
    <w:p>
      <w:pPr>
        <w:tabs>
          <w:tab w:val="left" w:pos="8820"/>
        </w:tabs>
        <w:spacing w:line="360" w:lineRule="auto"/>
        <w:ind w:firstLine="570"/>
        <w:rPr>
          <w:rFonts w:hint="eastAsia" w:ascii="宋体" w:hAnsi="宋体" w:cs="宋体"/>
          <w:sz w:val="24"/>
          <w:szCs w:val="24"/>
          <w:highlight w:val="none"/>
          <w:u w:val="single"/>
        </w:rPr>
      </w:pPr>
      <w:r>
        <w:rPr>
          <w:rFonts w:hint="eastAsia" w:ascii="宋体" w:hAnsi="宋体" w:cs="宋体"/>
          <w:sz w:val="24"/>
          <w:szCs w:val="24"/>
          <w:highlight w:val="none"/>
        </w:rPr>
        <w:t>本授权委托书声明：我</w:t>
      </w:r>
      <w:r>
        <w:rPr>
          <w:rFonts w:hint="eastAsia" w:ascii="宋体" w:hAnsi="宋体" w:cs="宋体"/>
          <w:sz w:val="24"/>
          <w:szCs w:val="24"/>
          <w:highlight w:val="none"/>
          <w:u w:val="single"/>
        </w:rPr>
        <w:t>（法定代表人姓名）</w:t>
      </w:r>
      <w:r>
        <w:rPr>
          <w:rFonts w:hint="eastAsia" w:ascii="宋体" w:hAnsi="宋体" w:cs="宋体"/>
          <w:sz w:val="24"/>
          <w:szCs w:val="24"/>
          <w:highlight w:val="none"/>
        </w:rPr>
        <w:t>系注册于</w:t>
      </w:r>
      <w:r>
        <w:rPr>
          <w:rFonts w:hint="eastAsia" w:ascii="宋体" w:hAnsi="宋体" w:cs="宋体"/>
          <w:sz w:val="24"/>
          <w:szCs w:val="24"/>
          <w:highlight w:val="none"/>
          <w:u w:val="single"/>
        </w:rPr>
        <w:t xml:space="preserve">  （供应商地址） </w:t>
      </w:r>
      <w:r>
        <w:rPr>
          <w:rFonts w:hint="eastAsia" w:ascii="宋体" w:hAnsi="宋体" w:cs="宋体"/>
          <w:sz w:val="24"/>
          <w:szCs w:val="24"/>
          <w:highlight w:val="none"/>
        </w:rPr>
        <w:t>的</w:t>
      </w:r>
      <w:r>
        <w:rPr>
          <w:rFonts w:hint="eastAsia" w:ascii="宋体" w:hAnsi="宋体" w:cs="宋体"/>
          <w:sz w:val="24"/>
          <w:szCs w:val="24"/>
          <w:highlight w:val="none"/>
          <w:u w:val="single"/>
        </w:rPr>
        <w:t xml:space="preserve">（供应商名称）  </w:t>
      </w:r>
      <w:r>
        <w:rPr>
          <w:rFonts w:hint="eastAsia" w:ascii="宋体" w:hAnsi="宋体" w:cs="宋体"/>
          <w:sz w:val="24"/>
          <w:szCs w:val="24"/>
          <w:highlight w:val="none"/>
        </w:rPr>
        <w:t>的法定代表人，现代表公司授权下面签字的</w:t>
      </w:r>
      <w:r>
        <w:rPr>
          <w:rFonts w:hint="eastAsia" w:ascii="宋体" w:hAnsi="宋体" w:cs="宋体"/>
          <w:sz w:val="24"/>
          <w:szCs w:val="24"/>
          <w:highlight w:val="none"/>
          <w:u w:val="single"/>
        </w:rPr>
        <w:t>（被授权人的姓名、职务）</w:t>
      </w:r>
      <w:r>
        <w:rPr>
          <w:rFonts w:hint="eastAsia" w:ascii="宋体" w:hAnsi="宋体" w:cs="宋体"/>
          <w:sz w:val="24"/>
          <w:szCs w:val="24"/>
          <w:highlight w:val="none"/>
        </w:rPr>
        <w:t>为我公司合法代理人，代表本公司参加</w:t>
      </w:r>
      <w:r>
        <w:rPr>
          <w:rFonts w:hint="eastAsia" w:ascii="宋体" w:hAnsi="宋体" w:cs="宋体"/>
          <w:sz w:val="24"/>
          <w:szCs w:val="24"/>
          <w:highlight w:val="none"/>
          <w:u w:val="single"/>
        </w:rPr>
        <w:t xml:space="preserve">  （采购项目名称） (</w:t>
      </w:r>
      <w:r>
        <w:rPr>
          <w:rFonts w:hint="eastAsia" w:ascii="宋体" w:hAnsi="宋体" w:cs="宋体"/>
          <w:sz w:val="24"/>
          <w:szCs w:val="24"/>
          <w:highlight w:val="none"/>
        </w:rPr>
        <w:t>采购项目编号)为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的谈判活动。代理人在本次谈判中所签署的一切文件和处理的一切有关事物，我公司均予承认。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本授权书于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日签字（盖章）生效，有效期自谈判之日起</w:t>
      </w:r>
      <w:r>
        <w:rPr>
          <w:rFonts w:hint="eastAsia" w:ascii="宋体" w:hAnsi="宋体" w:cs="宋体"/>
          <w:sz w:val="24"/>
          <w:szCs w:val="24"/>
          <w:highlight w:val="none"/>
          <w:u w:val="single"/>
        </w:rPr>
        <w:t xml:space="preserve">   </w:t>
      </w:r>
      <w:r>
        <w:rPr>
          <w:rFonts w:hint="eastAsia" w:ascii="宋体" w:hAnsi="宋体" w:cs="宋体"/>
          <w:sz w:val="24"/>
          <w:szCs w:val="24"/>
          <w:highlight w:val="none"/>
        </w:rPr>
        <w:t>天，特此声明。</w:t>
      </w:r>
    </w:p>
    <w:p>
      <w:pPr>
        <w:bidi w:val="0"/>
        <w:spacing w:line="360" w:lineRule="auto"/>
        <w:ind w:firstLine="240" w:firstLineChars="100"/>
        <w:rPr>
          <w:rFonts w:hint="eastAsia"/>
          <w:sz w:val="24"/>
          <w:szCs w:val="24"/>
          <w:highlight w:val="none"/>
        </w:rPr>
      </w:pPr>
      <w:bookmarkStart w:id="303" w:name="_Toc10073"/>
      <w:bookmarkStart w:id="304" w:name="_Toc8158"/>
      <w:bookmarkStart w:id="305" w:name="_Toc26857"/>
      <w:bookmarkStart w:id="306" w:name="_Toc1100"/>
      <w:bookmarkStart w:id="307" w:name="_Toc6676"/>
      <w:bookmarkStart w:id="308" w:name="_Toc18949"/>
      <w:bookmarkStart w:id="309" w:name="_Toc8738"/>
      <w:bookmarkStart w:id="310" w:name="_Toc14203"/>
      <w:bookmarkStart w:id="311" w:name="_Toc6882"/>
      <w:bookmarkStart w:id="312" w:name="_Toc27869"/>
      <w:r>
        <w:rPr>
          <w:rFonts w:hint="eastAsia"/>
          <w:sz w:val="24"/>
          <w:szCs w:val="24"/>
          <w:highlight w:val="none"/>
        </w:rPr>
        <w:t>附：法定代表人、被授权人身份证复印件。（注：如使用二代身份证需复印正、反两面）</w:t>
      </w:r>
      <w:bookmarkEnd w:id="303"/>
      <w:bookmarkEnd w:id="304"/>
      <w:bookmarkEnd w:id="305"/>
      <w:bookmarkEnd w:id="306"/>
      <w:bookmarkEnd w:id="307"/>
      <w:bookmarkEnd w:id="308"/>
      <w:bookmarkEnd w:id="309"/>
      <w:bookmarkEnd w:id="310"/>
      <w:bookmarkEnd w:id="311"/>
      <w:bookmarkEnd w:id="312"/>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1"/>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249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法定代表人身份证复印件</w:t>
            </w:r>
          </w:p>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正面</w:t>
            </w:r>
            <w:r>
              <w:rPr>
                <w:rFonts w:hint="eastAsia" w:ascii="宋体" w:hAnsi="宋体" w:cs="宋体"/>
                <w:highlight w:val="none"/>
                <w:lang w:eastAsia="zh-CN"/>
              </w:rPr>
              <w:t>）</w:t>
            </w:r>
          </w:p>
        </w:tc>
        <w:tc>
          <w:tcPr>
            <w:tcW w:w="2504" w:type="pct"/>
            <w:tcBorders>
              <w:lef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被授权人身份证复印件</w:t>
            </w:r>
          </w:p>
          <w:p>
            <w:pPr>
              <w:spacing w:line="360" w:lineRule="auto"/>
              <w:jc w:val="center"/>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正面</w:t>
            </w:r>
            <w:r>
              <w:rPr>
                <w:rFonts w:hint="eastAsia" w:ascii="宋体" w:hAnsi="宋体" w:cs="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2495"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法定代表人身份证复印件</w:t>
            </w:r>
          </w:p>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反面</w:t>
            </w:r>
            <w:r>
              <w:rPr>
                <w:rFonts w:hint="eastAsia" w:ascii="宋体" w:hAnsi="宋体" w:cs="宋体"/>
                <w:highlight w:val="none"/>
                <w:lang w:eastAsia="zh-CN"/>
              </w:rPr>
              <w:t>）</w:t>
            </w:r>
          </w:p>
        </w:tc>
        <w:tc>
          <w:tcPr>
            <w:tcW w:w="2504" w:type="pct"/>
            <w:tcBorders>
              <w:lef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被授权人身份证复印件</w:t>
            </w:r>
          </w:p>
          <w:p>
            <w:pPr>
              <w:spacing w:line="360" w:lineRule="auto"/>
              <w:jc w:val="center"/>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反面</w:t>
            </w:r>
            <w:r>
              <w:rPr>
                <w:rFonts w:hint="eastAsia" w:ascii="宋体" w:hAnsi="宋体" w:cs="宋体"/>
                <w:highlight w:val="none"/>
                <w:lang w:eastAsia="zh-CN"/>
              </w:rPr>
              <w:t>）</w:t>
            </w:r>
          </w:p>
        </w:tc>
      </w:tr>
    </w:tbl>
    <w:p>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注：此授权书的有效期应与竞争性谈判响应文件有效期一致。身份证正反面复印件必须依次加盖单位鲜章。</w:t>
      </w:r>
      <w:r>
        <w:rPr>
          <w:rFonts w:hint="eastAsia" w:ascii="宋体" w:hAnsi="宋体" w:cs="宋体"/>
          <w:sz w:val="22"/>
          <w:highlight w:val="none"/>
        </w:rPr>
        <w:t>开标现场手持此授权书及被授权人身份证原件以备核验身份，不提供者视为不响应</w:t>
      </w:r>
      <w:r>
        <w:rPr>
          <w:rFonts w:hint="eastAsia" w:ascii="宋体" w:hAnsi="宋体" w:cs="宋体"/>
          <w:sz w:val="22"/>
          <w:highlight w:val="none"/>
          <w:lang w:eastAsia="zh-CN"/>
        </w:rPr>
        <w:t>竞争性谈判</w:t>
      </w:r>
      <w:r>
        <w:rPr>
          <w:rFonts w:hint="eastAsia" w:ascii="宋体" w:hAnsi="宋体" w:cs="宋体"/>
          <w:sz w:val="22"/>
          <w:highlight w:val="none"/>
        </w:rPr>
        <w:t>文件，按无效标处理。</w:t>
      </w:r>
    </w:p>
    <w:p>
      <w:pPr>
        <w:spacing w:line="360" w:lineRule="auto"/>
        <w:ind w:firstLine="3360" w:firstLineChars="1400"/>
        <w:rPr>
          <w:rFonts w:hint="eastAsia" w:ascii="宋体" w:hAnsi="宋体" w:cs="宋体"/>
          <w:sz w:val="24"/>
          <w:szCs w:val="24"/>
          <w:highlight w:val="none"/>
        </w:rPr>
      </w:pPr>
    </w:p>
    <w:p>
      <w:pPr>
        <w:spacing w:line="360" w:lineRule="auto"/>
        <w:ind w:firstLine="3360" w:firstLineChars="1400"/>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法定代表人（</w:t>
      </w:r>
      <w:r>
        <w:rPr>
          <w:rFonts w:hint="eastAsia" w:ascii="宋体" w:hAnsi="宋体" w:cs="宋体"/>
          <w:sz w:val="24"/>
          <w:highlight w:val="none"/>
        </w:rPr>
        <w:t>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被 授 权人（签字确认）：</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ascii="宋体" w:hAnsi="宋体" w:cs="宋体"/>
          <w:highlight w:val="none"/>
          <w:u w:val="single"/>
        </w:rPr>
      </w:pPr>
      <w:r>
        <w:rPr>
          <w:rFonts w:hint="eastAsia" w:ascii="宋体" w:hAnsi="宋体" w:cs="宋体"/>
          <w:highlight w:val="none"/>
        </w:rPr>
        <w:t xml:space="preserve">                               </w:t>
      </w:r>
      <w:r>
        <w:rPr>
          <w:rFonts w:hint="eastAsia" w:ascii="宋体" w:hAnsi="宋体" w:cs="宋体"/>
          <w:sz w:val="24"/>
          <w:szCs w:val="24"/>
          <w:highlight w:val="none"/>
        </w:rPr>
        <w:t xml:space="preserve"> 日  期：</w:t>
      </w:r>
      <w:r>
        <w:rPr>
          <w:rFonts w:hint="eastAsia" w:ascii="宋体" w:hAnsi="宋体" w:cs="宋体"/>
          <w:sz w:val="24"/>
          <w:szCs w:val="24"/>
          <w:highlight w:val="none"/>
          <w:u w:val="single"/>
        </w:rPr>
        <w:t xml:space="preserve">                      </w:t>
      </w:r>
    </w:p>
    <w:p>
      <w:pPr>
        <w:pStyle w:val="10"/>
        <w:spacing w:line="360" w:lineRule="auto"/>
        <w:rPr>
          <w:rFonts w:hint="eastAsia" w:ascii="宋体" w:hAnsi="宋体" w:cs="宋体"/>
          <w:highlight w:val="none"/>
        </w:rPr>
      </w:pPr>
    </w:p>
    <w:p>
      <w:pPr>
        <w:spacing w:line="360" w:lineRule="auto"/>
        <w:rPr>
          <w:rFonts w:hint="eastAsia" w:ascii="宋体" w:hAnsi="宋体" w:eastAsia="宋体" w:cs="宋体"/>
          <w:bCs/>
          <w:highlight w:val="none"/>
        </w:rPr>
      </w:pPr>
      <w:bookmarkStart w:id="313" w:name="_Toc2907"/>
      <w:bookmarkStart w:id="314" w:name="_Toc8142"/>
      <w:r>
        <w:rPr>
          <w:rFonts w:hint="eastAsia" w:ascii="宋体" w:hAnsi="宋体" w:eastAsia="宋体" w:cs="宋体"/>
          <w:bCs/>
          <w:highlight w:val="none"/>
        </w:rPr>
        <w:br w:type="page"/>
      </w:r>
    </w:p>
    <w:p>
      <w:pPr>
        <w:pStyle w:val="3"/>
        <w:spacing w:before="0" w:after="0" w:line="360" w:lineRule="auto"/>
        <w:jc w:val="center"/>
        <w:rPr>
          <w:rFonts w:hint="eastAsia" w:ascii="宋体" w:hAnsi="宋体" w:eastAsia="宋体" w:cs="宋体"/>
          <w:b w:val="0"/>
          <w:highlight w:val="none"/>
        </w:rPr>
      </w:pPr>
      <w:bookmarkStart w:id="315" w:name="_Toc29147"/>
      <w:bookmarkStart w:id="316" w:name="_Toc2820"/>
      <w:bookmarkStart w:id="317" w:name="_Toc5144"/>
      <w:bookmarkStart w:id="318" w:name="_Toc20360"/>
      <w:r>
        <w:rPr>
          <w:rFonts w:hint="eastAsia" w:ascii="宋体" w:hAnsi="宋体" w:eastAsia="宋体" w:cs="宋体"/>
          <w:bCs/>
          <w:highlight w:val="none"/>
          <w:lang w:val="en-US" w:eastAsia="zh-CN"/>
        </w:rPr>
        <w:t>五</w:t>
      </w:r>
      <w:r>
        <w:rPr>
          <w:rFonts w:hint="eastAsia" w:ascii="宋体" w:hAnsi="宋体" w:eastAsia="宋体" w:cs="宋体"/>
          <w:bCs/>
          <w:highlight w:val="none"/>
        </w:rPr>
        <w:t>、商务及服务偏离表</w:t>
      </w:r>
      <w:bookmarkEnd w:id="268"/>
      <w:bookmarkEnd w:id="269"/>
      <w:bookmarkEnd w:id="270"/>
      <w:bookmarkEnd w:id="271"/>
      <w:bookmarkEnd w:id="272"/>
      <w:bookmarkEnd w:id="273"/>
      <w:bookmarkEnd w:id="313"/>
      <w:bookmarkEnd w:id="314"/>
      <w:bookmarkEnd w:id="315"/>
      <w:bookmarkEnd w:id="316"/>
      <w:bookmarkEnd w:id="317"/>
      <w:bookmarkEnd w:id="318"/>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1、商务偏离表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94"/>
        <w:gridCol w:w="1537"/>
        <w:gridCol w:w="2520"/>
        <w:gridCol w:w="2428"/>
        <w:gridCol w:w="1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94" w:type="dxa"/>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1537" w:type="dxa"/>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内容</w:t>
            </w:r>
          </w:p>
        </w:tc>
        <w:tc>
          <w:tcPr>
            <w:tcW w:w="25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谈判文件商务要求</w:t>
            </w:r>
          </w:p>
        </w:tc>
        <w:tc>
          <w:tcPr>
            <w:tcW w:w="2428"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响应文件商务响应</w:t>
            </w:r>
          </w:p>
        </w:tc>
        <w:tc>
          <w:tcPr>
            <w:tcW w:w="1367"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偏离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cs="宋体"/>
          <w:sz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保证：除商务偏差表列出的偏差外，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bookmarkEnd w:id="274"/>
    <w:bookmarkEnd w:id="275"/>
    <w:bookmarkEnd w:id="276"/>
    <w:bookmarkEnd w:id="277"/>
    <w:bookmarkEnd w:id="278"/>
    <w:bookmarkEnd w:id="279"/>
    <w:bookmarkEnd w:id="280"/>
    <w:bookmarkEnd w:id="281"/>
    <w:p>
      <w:pPr>
        <w:adjustRightInd w:val="0"/>
        <w:spacing w:line="360" w:lineRule="auto"/>
        <w:ind w:firstLine="480" w:firstLineChars="200"/>
        <w:jc w:val="left"/>
        <w:rPr>
          <w:rFonts w:hint="eastAsia" w:ascii="宋体" w:hAnsi="宋体" w:cs="宋体"/>
          <w:sz w:val="24"/>
          <w:szCs w:val="24"/>
          <w:highlight w:val="none"/>
          <w:lang w:eastAsia="zh-CN"/>
        </w:rPr>
      </w:pPr>
      <w:bookmarkStart w:id="319" w:name="_Hlt491572882"/>
      <w:bookmarkEnd w:id="319"/>
      <w:bookmarkStart w:id="320" w:name="_Hlt491573425"/>
      <w:bookmarkEnd w:id="320"/>
      <w:bookmarkStart w:id="321" w:name="_Hlt491765868"/>
      <w:bookmarkEnd w:id="321"/>
      <w:bookmarkStart w:id="322" w:name="_Toc19079"/>
      <w:bookmarkStart w:id="323" w:name="_Toc15281"/>
      <w:bookmarkStart w:id="324" w:name="_Toc1878"/>
      <w:bookmarkStart w:id="325" w:name="_Toc24408"/>
      <w:bookmarkStart w:id="326" w:name="_Toc23307"/>
      <w:bookmarkStart w:id="327" w:name="_Toc6771"/>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cs="宋体"/>
          <w:b/>
          <w:bCs/>
          <w:sz w:val="32"/>
          <w:szCs w:val="24"/>
          <w:highlight w:val="none"/>
        </w:rPr>
      </w:pPr>
      <w:r>
        <w:rPr>
          <w:rFonts w:hint="eastAsia" w:ascii="宋体" w:hAnsi="宋体" w:cs="宋体"/>
          <w:b/>
          <w:bCs/>
          <w:sz w:val="32"/>
          <w:szCs w:val="24"/>
          <w:highlight w:val="none"/>
        </w:rPr>
        <w:br w:type="page"/>
      </w:r>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2、服务偏离表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服务内容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谈判文件要求数据</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响应文件实际数据</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保证：除服务偏离表列出的偏差外，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br w:type="page"/>
      </w:r>
    </w:p>
    <w:p>
      <w:pPr>
        <w:pStyle w:val="3"/>
        <w:spacing w:before="0" w:after="0" w:line="360" w:lineRule="auto"/>
        <w:jc w:val="center"/>
        <w:rPr>
          <w:rFonts w:hint="eastAsia" w:ascii="宋体" w:hAnsi="宋体" w:eastAsia="宋体" w:cs="宋体"/>
          <w:b w:val="0"/>
          <w:highlight w:val="none"/>
        </w:rPr>
      </w:pPr>
      <w:bookmarkStart w:id="328" w:name="_Toc9966"/>
      <w:bookmarkStart w:id="329" w:name="_Toc11974"/>
      <w:bookmarkStart w:id="330" w:name="_Toc19312"/>
      <w:bookmarkStart w:id="331" w:name="_Toc824"/>
      <w:bookmarkStart w:id="332" w:name="_Toc16091"/>
      <w:bookmarkStart w:id="333" w:name="_Toc1452"/>
      <w:r>
        <w:rPr>
          <w:rFonts w:hint="eastAsia" w:ascii="宋体" w:hAnsi="宋体" w:eastAsia="宋体" w:cs="宋体"/>
          <w:highlight w:val="none"/>
          <w:lang w:val="en-US" w:eastAsia="zh-CN"/>
        </w:rPr>
        <w:t>六</w:t>
      </w:r>
      <w:r>
        <w:rPr>
          <w:rFonts w:hint="eastAsia" w:ascii="宋体" w:hAnsi="宋体" w:eastAsia="宋体" w:cs="宋体"/>
          <w:highlight w:val="none"/>
        </w:rPr>
        <w:t>、供应商为本项目提供的资格证明文件</w:t>
      </w:r>
      <w:bookmarkEnd w:id="322"/>
      <w:bookmarkEnd w:id="323"/>
      <w:bookmarkEnd w:id="324"/>
      <w:bookmarkEnd w:id="325"/>
      <w:bookmarkEnd w:id="326"/>
      <w:bookmarkEnd w:id="327"/>
      <w:bookmarkEnd w:id="328"/>
      <w:bookmarkEnd w:id="329"/>
      <w:bookmarkEnd w:id="330"/>
      <w:bookmarkEnd w:id="331"/>
      <w:bookmarkEnd w:id="332"/>
      <w:bookmarkEnd w:id="333"/>
    </w:p>
    <w:p>
      <w:pPr>
        <w:pStyle w:val="5"/>
        <w:bidi w:val="0"/>
        <w:jc w:val="center"/>
        <w:rPr>
          <w:rFonts w:hint="eastAsia"/>
          <w:highlight w:val="none"/>
        </w:rPr>
      </w:pPr>
      <w:bookmarkStart w:id="334" w:name="_Toc24689"/>
      <w:r>
        <w:rPr>
          <w:rFonts w:hint="eastAsia"/>
          <w:highlight w:val="none"/>
          <w:lang w:eastAsia="zh-CN"/>
        </w:rPr>
        <w:t>（</w:t>
      </w:r>
      <w:r>
        <w:rPr>
          <w:rFonts w:hint="eastAsia"/>
          <w:highlight w:val="none"/>
          <w:lang w:val="en-US" w:eastAsia="zh-CN"/>
        </w:rPr>
        <w:t>一</w:t>
      </w:r>
      <w:r>
        <w:rPr>
          <w:rFonts w:hint="eastAsia"/>
          <w:highlight w:val="none"/>
          <w:lang w:eastAsia="zh-CN"/>
        </w:rPr>
        <w:t>）供应商</w:t>
      </w:r>
      <w:r>
        <w:rPr>
          <w:rFonts w:hint="eastAsia"/>
          <w:highlight w:val="none"/>
        </w:rPr>
        <w:t>概况</w:t>
      </w:r>
      <w:bookmarkEnd w:id="334"/>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622"/>
        <w:gridCol w:w="833"/>
        <w:gridCol w:w="900"/>
        <w:gridCol w:w="1657"/>
        <w:gridCol w:w="1588"/>
        <w:gridCol w:w="1530"/>
        <w:gridCol w:w="2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供应商名称</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法定代表人</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统一社会信用代码</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邮政编码</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授权代表</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企业类型</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上年营业收入</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员工总人数</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restar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营业执照</w:t>
            </w: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成立时间</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注册地址</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continue"/>
            <w:noWrap w:val="0"/>
            <w:vAlign w:val="center"/>
          </w:tcPr>
          <w:p>
            <w:pPr>
              <w:topLinePunct/>
              <w:spacing w:line="360" w:lineRule="auto"/>
              <w:jc w:val="center"/>
              <w:rPr>
                <w:rFonts w:hint="eastAsia" w:ascii="宋体" w:hAnsi="宋体" w:cs="宋体"/>
                <w:highlight w:val="none"/>
              </w:rPr>
            </w:pP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发证机关</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发证日期</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0"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基本账户开户行及帐号</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698"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经营范围</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726" w:type="pct"/>
            <w:gridSpan w:val="2"/>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备注</w:t>
            </w:r>
          </w:p>
        </w:tc>
        <w:tc>
          <w:tcPr>
            <w:tcW w:w="4273" w:type="pct"/>
            <w:gridSpan w:val="6"/>
            <w:noWrap w:val="0"/>
            <w:vAlign w:val="center"/>
          </w:tcPr>
          <w:p>
            <w:pPr>
              <w:topLinePunct/>
              <w:spacing w:line="360" w:lineRule="auto"/>
              <w:rPr>
                <w:rFonts w:hint="eastAsia" w:ascii="宋体" w:hAnsi="宋体" w:cs="宋体"/>
                <w:highlight w:val="none"/>
              </w:rPr>
            </w:pPr>
          </w:p>
        </w:tc>
      </w:tr>
    </w:tbl>
    <w:p>
      <w:pPr>
        <w:spacing w:line="360" w:lineRule="auto"/>
        <w:rPr>
          <w:rFonts w:hint="eastAsia" w:ascii="宋体" w:hAnsi="宋体" w:cs="宋体"/>
          <w:highlight w:val="none"/>
        </w:rPr>
      </w:pPr>
    </w:p>
    <w:p>
      <w:pPr>
        <w:spacing w:line="360" w:lineRule="auto"/>
        <w:ind w:left="107" w:leftChars="51" w:firstLine="3840" w:firstLineChars="1600"/>
        <w:rPr>
          <w:rFonts w:hint="eastAsia" w:ascii="宋体" w:hAnsi="宋体" w:cs="宋体"/>
          <w:sz w:val="24"/>
          <w:highlight w:val="none"/>
          <w:u w:val="single"/>
        </w:rPr>
      </w:pPr>
      <w:r>
        <w:rPr>
          <w:rFonts w:hint="eastAsia" w:ascii="宋体" w:hAnsi="宋体" w:cs="宋体"/>
          <w:sz w:val="24"/>
          <w:highlight w:val="none"/>
          <w:lang w:val="en-US" w:eastAsia="zh-CN"/>
        </w:rPr>
        <w:t>法人</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 xml:space="preserve"> （盖章）</w:t>
      </w:r>
    </w:p>
    <w:p>
      <w:pPr>
        <w:spacing w:line="360" w:lineRule="auto"/>
        <w:ind w:firstLine="3960" w:firstLineChars="1650"/>
        <w:rPr>
          <w:rFonts w:hint="eastAsia" w:ascii="宋体" w:hAnsi="宋体" w:cs="宋体"/>
          <w:sz w:val="24"/>
          <w:highlight w:val="none"/>
        </w:rPr>
      </w:pPr>
      <w:r>
        <w:rPr>
          <w:rFonts w:hint="eastAsia" w:ascii="宋体" w:hAnsi="宋体" w:cs="宋体"/>
          <w:sz w:val="24"/>
          <w:highlight w:val="none"/>
        </w:rPr>
        <w:t>日期：    年  月   日</w:t>
      </w:r>
    </w:p>
    <w:p>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br w:type="page"/>
      </w:r>
    </w:p>
    <w:p>
      <w:pPr>
        <w:pStyle w:val="5"/>
        <w:bidi w:val="0"/>
        <w:spacing w:after="156" w:afterAutospacing="0"/>
        <w:rPr>
          <w:rFonts w:hint="eastAsia"/>
          <w:highlight w:val="none"/>
        </w:rPr>
      </w:pPr>
      <w:bookmarkStart w:id="335" w:name="_Toc15857"/>
      <w:r>
        <w:rPr>
          <w:rFonts w:hint="eastAsia"/>
          <w:highlight w:val="none"/>
          <w:lang w:eastAsia="zh-CN"/>
        </w:rPr>
        <w:t>（</w:t>
      </w:r>
      <w:r>
        <w:rPr>
          <w:rFonts w:hint="eastAsia"/>
          <w:highlight w:val="none"/>
          <w:lang w:val="en-US" w:eastAsia="zh-CN"/>
        </w:rPr>
        <w:t>二</w:t>
      </w:r>
      <w:r>
        <w:rPr>
          <w:rFonts w:hint="eastAsia"/>
          <w:highlight w:val="none"/>
          <w:lang w:eastAsia="zh-CN"/>
        </w:rPr>
        <w:t>）供应商</w:t>
      </w:r>
      <w:r>
        <w:rPr>
          <w:rFonts w:hint="eastAsia"/>
          <w:highlight w:val="none"/>
        </w:rPr>
        <w:t>资格证明原件主要内容（谈判文件规定的资格证明原件复印件）。</w:t>
      </w:r>
      <w:bookmarkEnd w:id="335"/>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bookmarkStart w:id="336" w:name="_Toc27611"/>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2、供应商须具备国家测绘行政主管部门颁发的测绘乙级及以上测绘资质；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pStyle w:val="5"/>
        <w:bidi w:val="0"/>
        <w:spacing w:after="156" w:afterAutospacing="0"/>
        <w:rPr>
          <w:rFonts w:hint="eastAsia"/>
          <w:highlight w:val="none"/>
          <w:lang w:eastAsia="zh-CN"/>
        </w:rPr>
      </w:pPr>
      <w:r>
        <w:rPr>
          <w:rFonts w:hint="eastAsia"/>
          <w:highlight w:val="none"/>
          <w:lang w:eastAsia="zh-CN"/>
        </w:rPr>
        <w:t>（</w:t>
      </w:r>
      <w:r>
        <w:rPr>
          <w:rFonts w:hint="eastAsia"/>
          <w:highlight w:val="none"/>
          <w:lang w:val="en-US" w:eastAsia="zh-CN"/>
        </w:rPr>
        <w:t>三</w:t>
      </w:r>
      <w:r>
        <w:rPr>
          <w:rFonts w:hint="eastAsia"/>
          <w:highlight w:val="none"/>
          <w:lang w:eastAsia="zh-CN"/>
        </w:rPr>
        <w:t>）其他可以证明投标供应商实力的文件。</w:t>
      </w:r>
      <w:bookmarkEnd w:id="336"/>
    </w:p>
    <w:p>
      <w:pPr>
        <w:spacing w:line="360" w:lineRule="auto"/>
        <w:ind w:firstLine="482" w:firstLineChars="200"/>
        <w:rPr>
          <w:rFonts w:hint="eastAsia" w:ascii="宋体" w:hAnsi="宋体" w:cs="宋体"/>
          <w:sz w:val="24"/>
          <w:szCs w:val="24"/>
          <w:highlight w:val="none"/>
        </w:rPr>
      </w:pPr>
      <w:r>
        <w:rPr>
          <w:rFonts w:hint="eastAsia" w:ascii="宋体" w:hAnsi="宋体" w:cs="宋体"/>
          <w:b/>
          <w:bCs/>
          <w:sz w:val="24"/>
          <w:szCs w:val="24"/>
          <w:highlight w:val="none"/>
        </w:rPr>
        <w:t>以上资料：所有资料扫描件加盖公章附在响应文件正、副本中，原件备查。</w:t>
      </w:r>
    </w:p>
    <w:p>
      <w:pPr>
        <w:spacing w:line="360" w:lineRule="auto"/>
        <w:ind w:firstLine="562" w:firstLineChars="200"/>
        <w:rPr>
          <w:rFonts w:hint="eastAsia" w:ascii="宋体" w:hAnsi="宋体" w:cs="宋体"/>
          <w:highlight w:val="none"/>
        </w:rPr>
      </w:pPr>
      <w:bookmarkStart w:id="337" w:name="_Toc12406"/>
      <w:bookmarkStart w:id="338" w:name="_Toc18149"/>
      <w:bookmarkStart w:id="339" w:name="_Toc6831"/>
      <w:bookmarkStart w:id="340" w:name="_Toc32715"/>
      <w:bookmarkStart w:id="341" w:name="_Toc2193"/>
      <w:bookmarkStart w:id="342" w:name="_Toc22622"/>
      <w:bookmarkStart w:id="343" w:name="_Toc13886"/>
      <w:bookmarkStart w:id="344" w:name="_Toc23501"/>
      <w:bookmarkStart w:id="345" w:name="_Toc14516"/>
      <w:r>
        <w:rPr>
          <w:rFonts w:hint="eastAsia" w:ascii="宋体" w:hAnsi="宋体" w:cs="宋体"/>
          <w:b/>
          <w:sz w:val="28"/>
          <w:szCs w:val="28"/>
          <w:highlight w:val="none"/>
        </w:rPr>
        <w:br w:type="page"/>
      </w:r>
      <w:bookmarkEnd w:id="337"/>
      <w:bookmarkEnd w:id="338"/>
      <w:bookmarkEnd w:id="339"/>
      <w:bookmarkEnd w:id="340"/>
      <w:bookmarkEnd w:id="341"/>
      <w:bookmarkEnd w:id="342"/>
      <w:bookmarkEnd w:id="343"/>
      <w:bookmarkEnd w:id="344"/>
    </w:p>
    <w:p>
      <w:pPr>
        <w:bidi w:val="0"/>
        <w:rPr>
          <w:rFonts w:hint="eastAsia" w:ascii="宋体" w:hAnsi="宋体" w:eastAsia="宋体" w:cs="宋体"/>
          <w:b/>
          <w:sz w:val="28"/>
          <w:szCs w:val="28"/>
          <w:highlight w:val="none"/>
          <w:lang w:val="en-US" w:eastAsia="zh-CN"/>
        </w:rPr>
      </w:pPr>
      <w:bookmarkStart w:id="346" w:name="_Toc25592"/>
      <w:bookmarkStart w:id="347" w:name="_Toc22289"/>
      <w:bookmarkStart w:id="348" w:name="_Toc6818"/>
      <w:r>
        <w:rPr>
          <w:rFonts w:hint="eastAsia" w:ascii="宋体" w:hAnsi="宋体" w:eastAsia="宋体" w:cs="宋体"/>
          <w:b/>
          <w:sz w:val="28"/>
          <w:szCs w:val="28"/>
          <w:highlight w:val="none"/>
          <w:lang w:val="en-US" w:eastAsia="zh-CN"/>
        </w:rPr>
        <w:t>附件</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lang w:val="en-US" w:eastAsia="zh-CN"/>
        </w:rPr>
        <w:t>：供应商书面声明函</w:t>
      </w:r>
    </w:p>
    <w:p>
      <w:pPr>
        <w:bidi w:val="0"/>
        <w:jc w:val="center"/>
        <w:rPr>
          <w:rFonts w:ascii="Arial"/>
          <w:sz w:val="24"/>
          <w:szCs w:val="24"/>
          <w:highlight w:val="none"/>
        </w:rPr>
      </w:pPr>
      <w:r>
        <w:rPr>
          <w:rFonts w:ascii="宋体" w:hAnsi="宋体" w:eastAsia="宋体" w:cs="宋体"/>
          <w:spacing w:val="12"/>
          <w:sz w:val="31"/>
          <w:szCs w:val="31"/>
          <w:highlight w:val="none"/>
          <w14:textOutline w14:w="5793" w14:cap="sq" w14:cmpd="sng">
            <w14:solidFill>
              <w14:srgbClr w14:val="000000"/>
            </w14:solidFill>
            <w14:prstDash w14:val="solid"/>
            <w14:bevel/>
          </w14:textOutline>
        </w:rPr>
        <w:t>供</w:t>
      </w:r>
      <w:r>
        <w:rPr>
          <w:rFonts w:ascii="宋体" w:hAnsi="宋体" w:eastAsia="宋体" w:cs="宋体"/>
          <w:spacing w:val="9"/>
          <w:sz w:val="31"/>
          <w:szCs w:val="31"/>
          <w:highlight w:val="none"/>
          <w14:textOutline w14:w="5793" w14:cap="sq" w14:cmpd="sng">
            <w14:solidFill>
              <w14:srgbClr w14:val="000000"/>
            </w14:solidFill>
            <w14:prstDash w14:val="solid"/>
            <w14:bevel/>
          </w14:textOutline>
        </w:rPr>
        <w:t>应商书面声明函</w:t>
      </w:r>
    </w:p>
    <w:p>
      <w:pPr>
        <w:spacing w:before="75" w:line="360" w:lineRule="auto"/>
        <w:ind w:left="18"/>
        <w:rPr>
          <w:rFonts w:ascii="宋体" w:hAnsi="宋体" w:eastAsia="宋体" w:cs="宋体"/>
          <w:sz w:val="24"/>
          <w:szCs w:val="24"/>
          <w:highlight w:val="none"/>
        </w:rPr>
      </w:pPr>
      <w:r>
        <w:rPr>
          <w:rFonts w:hint="eastAsia" w:ascii="宋体" w:hAnsi="宋体" w:eastAsia="宋体" w:cs="宋体"/>
          <w:color w:val="333333"/>
          <w:spacing w:val="14"/>
          <w:sz w:val="24"/>
          <w:szCs w:val="24"/>
          <w:highlight w:val="none"/>
          <w:lang w:val="en-US" w:eastAsia="zh-CN"/>
        </w:rPr>
        <w:t>(采购人)</w:t>
      </w:r>
      <w:r>
        <w:rPr>
          <w:rFonts w:ascii="宋体" w:hAnsi="宋体" w:eastAsia="宋体" w:cs="宋体"/>
          <w:spacing w:val="7"/>
          <w:sz w:val="24"/>
          <w:szCs w:val="24"/>
          <w:highlight w:val="none"/>
        </w:rPr>
        <w:t>：</w:t>
      </w:r>
    </w:p>
    <w:p>
      <w:pPr>
        <w:spacing w:before="218" w:afterAutospacing="0" w:line="360" w:lineRule="auto"/>
        <w:ind w:left="482"/>
        <w:rPr>
          <w:rFonts w:ascii="宋体" w:hAnsi="宋体" w:eastAsia="宋体" w:cs="宋体"/>
          <w:sz w:val="24"/>
          <w:szCs w:val="24"/>
          <w:highlight w:val="none"/>
        </w:rPr>
      </w:pPr>
      <w:r>
        <w:rPr>
          <w:rFonts w:ascii="宋体" w:hAnsi="宋体" w:eastAsia="宋体" w:cs="宋体"/>
          <w:spacing w:val="-10"/>
          <w:sz w:val="24"/>
          <w:szCs w:val="24"/>
          <w:highlight w:val="none"/>
        </w:rPr>
        <w:t>我方作</w:t>
      </w:r>
      <w:r>
        <w:rPr>
          <w:rFonts w:ascii="宋体" w:hAnsi="宋体" w:eastAsia="宋体" w:cs="宋体"/>
          <w:spacing w:val="-7"/>
          <w:sz w:val="24"/>
          <w:szCs w:val="24"/>
          <w:highlight w:val="none"/>
        </w:rPr>
        <w:t>为</w:t>
      </w:r>
      <w:r>
        <w:rPr>
          <w:rFonts w:ascii="宋体" w:hAnsi="宋体" w:eastAsia="宋体" w:cs="宋体"/>
          <w:spacing w:val="-5"/>
          <w:sz w:val="24"/>
          <w:szCs w:val="24"/>
          <w:highlight w:val="none"/>
        </w:rPr>
        <w:t>《</w:t>
      </w:r>
      <w:r>
        <w:rPr>
          <w:rFonts w:ascii="宋体" w:hAnsi="宋体" w:eastAsia="宋体" w:cs="宋体"/>
          <w:spacing w:val="-5"/>
          <w:sz w:val="24"/>
          <w:szCs w:val="24"/>
          <w:highlight w:val="none"/>
          <w:u w:val="single" w:color="auto"/>
        </w:rPr>
        <w:t xml:space="preserve"> 项目名称 </w:t>
      </w:r>
      <w:r>
        <w:rPr>
          <w:rFonts w:ascii="宋体" w:hAnsi="宋体" w:eastAsia="宋体" w:cs="宋体"/>
          <w:spacing w:val="-5"/>
          <w:sz w:val="24"/>
          <w:szCs w:val="24"/>
          <w:highlight w:val="none"/>
        </w:rPr>
        <w:t>》(项目编号：</w:t>
      </w:r>
      <w:r>
        <w:rPr>
          <w:rFonts w:ascii="宋体" w:hAnsi="宋体" w:eastAsia="宋体" w:cs="宋体"/>
          <w:spacing w:val="-5"/>
          <w:sz w:val="24"/>
          <w:szCs w:val="24"/>
          <w:highlight w:val="none"/>
          <w:u w:val="single" w:color="auto"/>
        </w:rPr>
        <w:t xml:space="preserve">            </w:t>
      </w:r>
      <w:r>
        <w:rPr>
          <w:rFonts w:ascii="宋体" w:hAnsi="宋体" w:eastAsia="宋体" w:cs="宋体"/>
          <w:spacing w:val="-5"/>
          <w:sz w:val="24"/>
          <w:szCs w:val="24"/>
          <w:highlight w:val="none"/>
        </w:rPr>
        <w:t>)的供应商，在此郑重声明：</w:t>
      </w:r>
    </w:p>
    <w:p>
      <w:pPr>
        <w:spacing w:beforeAutospacing="0" w:afterAutospacing="0" w:line="360" w:lineRule="auto"/>
        <w:ind w:right="2" w:firstLine="498"/>
        <w:rPr>
          <w:rFonts w:ascii="宋体" w:hAnsi="宋体" w:eastAsia="宋体" w:cs="宋体"/>
          <w:sz w:val="24"/>
          <w:szCs w:val="24"/>
          <w:highlight w:val="none"/>
        </w:rPr>
      </w:pPr>
      <w:r>
        <w:rPr>
          <w:rFonts w:ascii="宋体" w:hAnsi="宋体" w:eastAsia="宋体" w:cs="宋体"/>
          <w:spacing w:val="12"/>
          <w:sz w:val="24"/>
          <w:szCs w:val="24"/>
          <w:highlight w:val="none"/>
        </w:rPr>
        <w:t>1、在参</w:t>
      </w:r>
      <w:r>
        <w:rPr>
          <w:rFonts w:ascii="宋体" w:hAnsi="宋体" w:eastAsia="宋体" w:cs="宋体"/>
          <w:spacing w:val="11"/>
          <w:sz w:val="24"/>
          <w:szCs w:val="24"/>
          <w:highlight w:val="none"/>
        </w:rPr>
        <w:t>加</w:t>
      </w:r>
      <w:r>
        <w:rPr>
          <w:rFonts w:ascii="宋体" w:hAnsi="宋体" w:eastAsia="宋体" w:cs="宋体"/>
          <w:spacing w:val="6"/>
          <w:sz w:val="24"/>
          <w:szCs w:val="24"/>
          <w:highlight w:val="none"/>
        </w:rPr>
        <w:t>本次政府采购活动前3年内的经营活动中____(填“没有”或“有”)重</w:t>
      </w:r>
      <w:r>
        <w:rPr>
          <w:rFonts w:ascii="宋体" w:hAnsi="宋体" w:eastAsia="宋体" w:cs="宋体"/>
          <w:spacing w:val="10"/>
          <w:sz w:val="24"/>
          <w:szCs w:val="24"/>
          <w:highlight w:val="none"/>
        </w:rPr>
        <w:t>大</w:t>
      </w:r>
      <w:r>
        <w:rPr>
          <w:rFonts w:ascii="宋体" w:hAnsi="宋体" w:eastAsia="宋体" w:cs="宋体"/>
          <w:spacing w:val="6"/>
          <w:sz w:val="24"/>
          <w:szCs w:val="24"/>
          <w:highlight w:val="none"/>
        </w:rPr>
        <w:t>违</w:t>
      </w:r>
      <w:r>
        <w:rPr>
          <w:rFonts w:ascii="宋体" w:hAnsi="宋体" w:eastAsia="宋体" w:cs="宋体"/>
          <w:spacing w:val="5"/>
          <w:sz w:val="24"/>
          <w:szCs w:val="24"/>
          <w:highlight w:val="none"/>
        </w:rPr>
        <w:t>法记录。供应商在参加政府采购活动前3年内因违法经营被禁止在一定期限内参加政</w:t>
      </w:r>
      <w:r>
        <w:rPr>
          <w:rFonts w:ascii="宋体" w:hAnsi="宋体" w:eastAsia="宋体" w:cs="宋体"/>
          <w:spacing w:val="18"/>
          <w:sz w:val="24"/>
          <w:szCs w:val="24"/>
          <w:highlight w:val="none"/>
        </w:rPr>
        <w:t>府采</w:t>
      </w:r>
      <w:r>
        <w:rPr>
          <w:rFonts w:ascii="宋体" w:hAnsi="宋体" w:eastAsia="宋体" w:cs="宋体"/>
          <w:spacing w:val="9"/>
          <w:sz w:val="24"/>
          <w:szCs w:val="24"/>
          <w:highlight w:val="none"/>
        </w:rPr>
        <w:t>购活动，期限届满的，可以参加政府采购活动，但应提供期限届满的证明材料。</w:t>
      </w:r>
    </w:p>
    <w:p>
      <w:pPr>
        <w:spacing w:beforeAutospacing="0" w:afterAutospacing="0" w:line="360" w:lineRule="auto"/>
        <w:ind w:left="485"/>
        <w:rPr>
          <w:rFonts w:ascii="宋体" w:hAnsi="宋体" w:eastAsia="宋体" w:cs="宋体"/>
          <w:sz w:val="24"/>
          <w:szCs w:val="24"/>
          <w:highlight w:val="none"/>
        </w:rPr>
      </w:pPr>
      <w:r>
        <w:rPr>
          <w:rFonts w:hint="eastAsia" w:ascii="宋体" w:hAnsi="宋体" w:cs="宋体"/>
          <w:spacing w:val="8"/>
          <w:sz w:val="24"/>
          <w:szCs w:val="24"/>
          <w:highlight w:val="none"/>
          <w:lang w:val="en-US" w:eastAsia="zh-CN"/>
        </w:rPr>
        <w:t>2</w:t>
      </w:r>
      <w:r>
        <w:rPr>
          <w:rFonts w:ascii="宋体" w:hAnsi="宋体" w:eastAsia="宋体" w:cs="宋体"/>
          <w:spacing w:val="8"/>
          <w:sz w:val="24"/>
          <w:szCs w:val="24"/>
          <w:highlight w:val="none"/>
        </w:rPr>
        <w:t>、我方______(填“未被列入”或“被列入”)重大税收违法案件当事人名单。</w:t>
      </w:r>
    </w:p>
    <w:p>
      <w:pPr>
        <w:spacing w:beforeAutospacing="0" w:line="360" w:lineRule="auto"/>
        <w:ind w:left="2" w:right="2" w:firstLine="477"/>
        <w:rPr>
          <w:rFonts w:ascii="宋体" w:hAnsi="宋体" w:eastAsia="宋体" w:cs="宋体"/>
          <w:sz w:val="24"/>
          <w:szCs w:val="24"/>
          <w:highlight w:val="none"/>
        </w:rPr>
      </w:pPr>
      <w:r>
        <w:rPr>
          <w:rFonts w:hint="eastAsia" w:ascii="宋体" w:hAnsi="宋体" w:cs="宋体"/>
          <w:spacing w:val="10"/>
          <w:sz w:val="24"/>
          <w:szCs w:val="24"/>
          <w:highlight w:val="none"/>
          <w:lang w:val="en-US" w:eastAsia="zh-CN"/>
        </w:rPr>
        <w:t>3</w:t>
      </w:r>
      <w:r>
        <w:rPr>
          <w:rFonts w:ascii="宋体" w:hAnsi="宋体" w:eastAsia="宋体" w:cs="宋体"/>
          <w:spacing w:val="10"/>
          <w:sz w:val="24"/>
          <w:szCs w:val="24"/>
          <w:highlight w:val="none"/>
        </w:rPr>
        <w:t>、我方______(填“未被列入”或“被列入”)政府采购严重违法失信行为记录名</w:t>
      </w:r>
      <w:r>
        <w:rPr>
          <w:rFonts w:ascii="宋体" w:hAnsi="宋体" w:eastAsia="宋体" w:cs="宋体"/>
          <w:spacing w:val="-1"/>
          <w:sz w:val="24"/>
          <w:szCs w:val="24"/>
          <w:highlight w:val="none"/>
        </w:rPr>
        <w:t>单。</w:t>
      </w:r>
    </w:p>
    <w:p>
      <w:pPr>
        <w:spacing w:before="2" w:line="360" w:lineRule="auto"/>
        <w:ind w:firstLine="483"/>
        <w:rPr>
          <w:rFonts w:ascii="宋体" w:hAnsi="宋体" w:eastAsia="宋体" w:cs="宋体"/>
          <w:sz w:val="24"/>
          <w:szCs w:val="24"/>
          <w:highlight w:val="none"/>
        </w:rPr>
      </w:pPr>
      <w:r>
        <w:rPr>
          <w:rFonts w:ascii="宋体" w:hAnsi="宋体" w:eastAsia="宋体" w:cs="宋体"/>
          <w:spacing w:val="15"/>
          <w:sz w:val="24"/>
          <w:szCs w:val="24"/>
          <w:highlight w:val="none"/>
        </w:rPr>
        <w:t>如</w:t>
      </w:r>
      <w:r>
        <w:rPr>
          <w:rFonts w:ascii="宋体" w:hAnsi="宋体" w:eastAsia="宋体" w:cs="宋体"/>
          <w:spacing w:val="8"/>
          <w:sz w:val="24"/>
          <w:szCs w:val="24"/>
          <w:highlight w:val="none"/>
        </w:rPr>
        <w:t>有不实，我方将无条件地退出本项目的采购活动，并遵照《政府采购法》有关“提</w:t>
      </w:r>
      <w:r>
        <w:rPr>
          <w:rFonts w:ascii="宋体" w:hAnsi="宋体" w:eastAsia="宋体" w:cs="宋体"/>
          <w:spacing w:val="16"/>
          <w:sz w:val="24"/>
          <w:szCs w:val="24"/>
          <w:highlight w:val="none"/>
        </w:rPr>
        <w:t>供</w:t>
      </w:r>
      <w:r>
        <w:rPr>
          <w:rFonts w:ascii="宋体" w:hAnsi="宋体" w:eastAsia="宋体" w:cs="宋体"/>
          <w:spacing w:val="8"/>
          <w:sz w:val="24"/>
          <w:szCs w:val="24"/>
          <w:highlight w:val="none"/>
        </w:rPr>
        <w:t>虚假材料的规定”接受处罚。</w:t>
      </w:r>
    </w:p>
    <w:p>
      <w:pPr>
        <w:spacing w:line="360" w:lineRule="auto"/>
        <w:ind w:left="480"/>
        <w:rPr>
          <w:rFonts w:ascii="宋体" w:hAnsi="宋体" w:eastAsia="宋体" w:cs="宋体"/>
          <w:sz w:val="24"/>
          <w:szCs w:val="24"/>
          <w:highlight w:val="none"/>
        </w:rPr>
      </w:pPr>
      <w:r>
        <w:rPr>
          <w:rFonts w:ascii="宋体" w:hAnsi="宋体" w:eastAsia="宋体" w:cs="宋体"/>
          <w:spacing w:val="6"/>
          <w:sz w:val="24"/>
          <w:szCs w:val="24"/>
          <w:highlight w:val="none"/>
        </w:rPr>
        <w:t>特此声明。</w:t>
      </w: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ascii="Arial"/>
          <w:sz w:val="24"/>
          <w:szCs w:val="24"/>
          <w:highlight w:val="none"/>
        </w:rPr>
      </w:pPr>
    </w:p>
    <w:p>
      <w:pPr>
        <w:spacing w:before="76" w:line="360" w:lineRule="auto"/>
        <w:rPr>
          <w:rFonts w:ascii="宋体" w:hAnsi="宋体" w:eastAsia="宋体" w:cs="宋体"/>
          <w:sz w:val="24"/>
          <w:szCs w:val="24"/>
          <w:highlight w:val="none"/>
        </w:rPr>
      </w:pPr>
      <w:r>
        <w:rPr>
          <w:rFonts w:ascii="宋体" w:hAnsi="宋体" w:eastAsia="宋体" w:cs="宋体"/>
          <w:spacing w:val="-3"/>
          <w:sz w:val="24"/>
          <w:szCs w:val="24"/>
          <w:highlight w:val="none"/>
        </w:rPr>
        <w:t>供应商全称：  (公章</w:t>
      </w:r>
      <w:r>
        <w:rPr>
          <w:rFonts w:ascii="宋体" w:hAnsi="宋体" w:eastAsia="宋体" w:cs="宋体"/>
          <w:spacing w:val="-2"/>
          <w:sz w:val="24"/>
          <w:szCs w:val="24"/>
          <w:highlight w:val="none"/>
        </w:rPr>
        <w:t>)</w:t>
      </w:r>
    </w:p>
    <w:p>
      <w:pPr>
        <w:spacing w:line="360" w:lineRule="auto"/>
        <w:rPr>
          <w:rFonts w:ascii="Arial"/>
          <w:sz w:val="24"/>
          <w:szCs w:val="24"/>
          <w:highlight w:val="none"/>
        </w:rPr>
      </w:pPr>
    </w:p>
    <w:p>
      <w:pPr>
        <w:spacing w:before="75" w:line="360" w:lineRule="auto"/>
        <w:ind w:left="1"/>
        <w:rPr>
          <w:rFonts w:ascii="宋体" w:hAnsi="宋体" w:eastAsia="宋体" w:cs="宋体"/>
          <w:sz w:val="24"/>
          <w:szCs w:val="24"/>
          <w:highlight w:val="none"/>
        </w:rPr>
      </w:pPr>
      <w:r>
        <w:rPr>
          <w:rFonts w:ascii="宋体" w:hAnsi="宋体" w:eastAsia="宋体" w:cs="宋体"/>
          <w:spacing w:val="8"/>
          <w:sz w:val="24"/>
          <w:szCs w:val="24"/>
          <w:highlight w:val="none"/>
        </w:rPr>
        <w:t>法定代表人或被授权人 (签字或盖章)：</w:t>
      </w: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hint="eastAsia" w:ascii="宋体" w:hAnsi="宋体" w:eastAsia="宋体" w:cs="宋体"/>
          <w:sz w:val="24"/>
          <w:szCs w:val="24"/>
          <w:highlight w:val="none"/>
        </w:rPr>
      </w:pPr>
      <w:r>
        <w:rPr>
          <w:rFonts w:ascii="宋体" w:hAnsi="宋体" w:eastAsia="宋体" w:cs="宋体"/>
          <w:spacing w:val="-2"/>
          <w:sz w:val="24"/>
          <w:szCs w:val="24"/>
          <w:highlight w:val="none"/>
        </w:rPr>
        <w:t>日期：</w:t>
      </w:r>
      <w:r>
        <w:rPr>
          <w:rFonts w:ascii="宋体" w:hAnsi="宋体" w:eastAsia="宋体" w:cs="宋体"/>
          <w:spacing w:val="-1"/>
          <w:sz w:val="24"/>
          <w:szCs w:val="24"/>
          <w:highlight w:val="none"/>
        </w:rPr>
        <w:t xml:space="preserve">    年       月      日</w:t>
      </w:r>
      <w:r>
        <w:rPr>
          <w:rFonts w:hint="eastAsia" w:ascii="宋体" w:hAnsi="宋体" w:eastAsia="宋体" w:cs="宋体"/>
          <w:sz w:val="24"/>
          <w:szCs w:val="24"/>
          <w:highlight w:val="none"/>
        </w:rPr>
        <w:br w:type="page"/>
      </w:r>
    </w:p>
    <w:p>
      <w:pPr>
        <w:bidi w:val="0"/>
        <w:rPr>
          <w:rFonts w:hint="eastAsia" w:ascii="宋体" w:hAnsi="宋体" w:eastAsia="宋体" w:cs="宋体"/>
          <w:b/>
          <w:sz w:val="28"/>
          <w:szCs w:val="28"/>
          <w:highlight w:val="none"/>
          <w:lang w:val="en-US" w:eastAsia="zh-CN"/>
        </w:rPr>
      </w:pPr>
      <w:bookmarkStart w:id="349" w:name="_Toc23746"/>
      <w:bookmarkStart w:id="350" w:name="_Toc25074"/>
      <w:r>
        <w:rPr>
          <w:rFonts w:hint="eastAsia" w:ascii="宋体" w:hAnsi="宋体" w:eastAsia="宋体" w:cs="宋体"/>
          <w:b/>
          <w:sz w:val="28"/>
          <w:szCs w:val="28"/>
          <w:highlight w:val="none"/>
          <w:lang w:val="en-US" w:eastAsia="zh-CN"/>
        </w:rPr>
        <w:t>附件</w:t>
      </w:r>
      <w:r>
        <w:rPr>
          <w:rFonts w:hint="eastAsia" w:ascii="宋体" w:hAnsi="宋体" w:cs="宋体"/>
          <w:b/>
          <w:sz w:val="28"/>
          <w:szCs w:val="28"/>
          <w:highlight w:val="none"/>
          <w:lang w:val="en-US" w:eastAsia="zh-CN"/>
        </w:rPr>
        <w:t>2</w:t>
      </w:r>
      <w:r>
        <w:rPr>
          <w:rFonts w:hint="eastAsia" w:ascii="宋体" w:hAnsi="宋体" w:eastAsia="宋体" w:cs="宋体"/>
          <w:b/>
          <w:sz w:val="28"/>
          <w:szCs w:val="28"/>
          <w:highlight w:val="none"/>
          <w:lang w:val="en-US" w:eastAsia="zh-CN"/>
        </w:rPr>
        <w:t>：</w:t>
      </w:r>
    </w:p>
    <w:p>
      <w:pPr>
        <w:spacing w:before="299" w:line="225" w:lineRule="auto"/>
        <w:ind w:left="2698"/>
        <w:rPr>
          <w:rFonts w:ascii="Arial"/>
          <w:sz w:val="21"/>
          <w:highlight w:val="none"/>
        </w:rPr>
      </w:pPr>
      <w:r>
        <w:rPr>
          <w:rFonts w:ascii="宋体" w:hAnsi="宋体" w:eastAsia="宋体" w:cs="宋体"/>
          <w:spacing w:val="10"/>
          <w:sz w:val="29"/>
          <w:szCs w:val="29"/>
          <w:highlight w:val="none"/>
          <w14:textOutline w14:w="5448" w14:cap="sq" w14:cmpd="sng">
            <w14:solidFill>
              <w14:srgbClr w14:val="000000"/>
            </w14:solidFill>
            <w14:prstDash w14:val="solid"/>
            <w14:bevel/>
          </w14:textOutline>
        </w:rPr>
        <w:t>供应商企业关系关联承诺书</w:t>
      </w:r>
    </w:p>
    <w:p>
      <w:pPr>
        <w:spacing w:before="75" w:line="360" w:lineRule="auto"/>
        <w:ind w:left="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1、供应商股东及股权证明。</w:t>
      </w:r>
    </w:p>
    <w:p>
      <w:pPr>
        <w:spacing w:before="75" w:line="360" w:lineRule="auto"/>
        <w:ind w:firstLine="479"/>
        <w:rPr>
          <w:rFonts w:hint="eastAsia" w:ascii="宋体" w:hAnsi="宋体" w:eastAsia="宋体" w:cs="宋体"/>
          <w:sz w:val="24"/>
          <w:szCs w:val="24"/>
          <w:highlight w:val="none"/>
        </w:rPr>
      </w:pPr>
      <w:r>
        <w:rPr>
          <w:rFonts w:hint="eastAsia" w:ascii="宋体" w:hAnsi="宋体" w:eastAsia="宋体" w:cs="宋体"/>
          <w:spacing w:val="21"/>
          <w:sz w:val="24"/>
          <w:szCs w:val="24"/>
          <w:highlight w:val="none"/>
        </w:rPr>
        <w:t>2</w:t>
      </w:r>
      <w:r>
        <w:rPr>
          <w:rFonts w:hint="eastAsia" w:ascii="宋体" w:hAnsi="宋体" w:eastAsia="宋体" w:cs="宋体"/>
          <w:spacing w:val="11"/>
          <w:sz w:val="24"/>
          <w:szCs w:val="24"/>
          <w:highlight w:val="none"/>
        </w:rPr>
        <w:t>、供应商在本项目谈判中，不存在与其它供应商负责人为同一人，有控股、管理等</w:t>
      </w:r>
      <w:r>
        <w:rPr>
          <w:rFonts w:hint="eastAsia" w:ascii="宋体" w:hAnsi="宋体" w:eastAsia="宋体" w:cs="宋体"/>
          <w:spacing w:val="10"/>
          <w:sz w:val="24"/>
          <w:szCs w:val="24"/>
          <w:highlight w:val="none"/>
        </w:rPr>
        <w:t>关</w:t>
      </w:r>
      <w:r>
        <w:rPr>
          <w:rFonts w:hint="eastAsia" w:ascii="宋体" w:hAnsi="宋体" w:eastAsia="宋体" w:cs="宋体"/>
          <w:spacing w:val="6"/>
          <w:sz w:val="24"/>
          <w:szCs w:val="24"/>
          <w:highlight w:val="none"/>
        </w:rPr>
        <w:t>联关系承诺。</w:t>
      </w:r>
    </w:p>
    <w:p>
      <w:pPr>
        <w:spacing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-1、管理关系说明：</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我单位管理的具有独立法人的下属单位有：</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pPr>
        <w:spacing w:afterAutospacing="0" w:line="360" w:lineRule="auto"/>
        <w:ind w:left="478"/>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我单</w:t>
      </w:r>
      <w:r>
        <w:rPr>
          <w:rFonts w:hint="eastAsia" w:ascii="宋体" w:hAnsi="宋体" w:eastAsia="宋体" w:cs="宋体"/>
          <w:spacing w:val="6"/>
          <w:sz w:val="24"/>
          <w:szCs w:val="24"/>
          <w:highlight w:val="none"/>
        </w:rPr>
        <w:t>位的上级管理单位有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Autospacing="0"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-2、股权关系说明：</w:t>
      </w:r>
    </w:p>
    <w:p>
      <w:pPr>
        <w:spacing w:beforeAutospacing="0" w:afterAutospacing="0"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6"/>
          <w:sz w:val="24"/>
          <w:szCs w:val="24"/>
          <w:highlight w:val="none"/>
        </w:rPr>
        <w:t>单位控股的单位有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我单位被</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 xml:space="preserve"> 单位控股</w:t>
      </w:r>
      <w:r>
        <w:rPr>
          <w:rFonts w:hint="eastAsia" w:ascii="宋体" w:hAnsi="宋体" w:eastAsia="宋体" w:cs="宋体"/>
          <w:sz w:val="24"/>
          <w:szCs w:val="24"/>
          <w:highlight w:val="none"/>
        </w:rPr>
        <w:t>。</w:t>
      </w:r>
    </w:p>
    <w:p>
      <w:pPr>
        <w:spacing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2</w:t>
      </w:r>
      <w:r>
        <w:rPr>
          <w:rFonts w:hint="eastAsia" w:ascii="宋体" w:hAnsi="宋体" w:eastAsia="宋体" w:cs="宋体"/>
          <w:spacing w:val="6"/>
          <w:position w:val="1"/>
          <w:sz w:val="24"/>
          <w:szCs w:val="24"/>
          <w:highlight w:val="none"/>
        </w:rPr>
        <w:t>-3、单位负责人：</w:t>
      </w:r>
    </w:p>
    <w:p>
      <w:pPr>
        <w:spacing w:beforeAutospacing="0" w:afterAutospacing="0" w:line="360" w:lineRule="auto"/>
        <w:ind w:left="479" w:leftChars="228" w:firstLine="0" w:firstLineChars="0"/>
        <w:rPr>
          <w:rFonts w:hint="eastAsia" w:ascii="宋体" w:hAnsi="宋体" w:eastAsia="宋体" w:cs="宋体"/>
          <w:sz w:val="24"/>
          <w:szCs w:val="24"/>
          <w:highlight w:val="none"/>
        </w:rPr>
      </w:pPr>
      <w:r>
        <w:rPr>
          <w:rFonts w:hint="eastAsia" w:ascii="宋体" w:hAnsi="宋体" w:eastAsia="宋体" w:cs="宋体"/>
          <w:spacing w:val="14"/>
          <w:position w:val="1"/>
          <w:sz w:val="24"/>
          <w:szCs w:val="24"/>
          <w:highlight w:val="none"/>
        </w:rPr>
        <w:t>3</w:t>
      </w:r>
      <w:r>
        <w:rPr>
          <w:rFonts w:hint="eastAsia" w:ascii="宋体" w:hAnsi="宋体" w:eastAsia="宋体" w:cs="宋体"/>
          <w:spacing w:val="8"/>
          <w:position w:val="1"/>
          <w:sz w:val="24"/>
          <w:szCs w:val="24"/>
          <w:highlight w:val="none"/>
        </w:rPr>
        <w:t>、其他与本项目有关的利害关系说明：</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9"/>
          <w:sz w:val="24"/>
          <w:szCs w:val="24"/>
          <w:highlight w:val="none"/>
        </w:rPr>
        <w:t>单位承诺以上说明真实有效，无虚假内容或隐瞒。</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before="76" w:line="360" w:lineRule="auto"/>
        <w:ind w:left="476"/>
        <w:rPr>
          <w:rFonts w:hint="eastAsia" w:ascii="宋体" w:hAnsi="宋体" w:eastAsia="宋体" w:cs="宋体"/>
          <w:sz w:val="24"/>
          <w:szCs w:val="24"/>
          <w:highlight w:val="none"/>
        </w:rPr>
      </w:pPr>
      <w:r>
        <w:rPr>
          <w:rFonts w:hint="eastAsia" w:ascii="宋体" w:hAnsi="宋体" w:cs="宋体"/>
          <w:spacing w:val="-3"/>
          <w:sz w:val="24"/>
          <w:szCs w:val="24"/>
          <w:highlight w:val="none"/>
          <w:lang w:val="en-US" w:eastAsia="zh-CN"/>
        </w:rPr>
        <w:t>法人</w:t>
      </w:r>
      <w:r>
        <w:rPr>
          <w:rFonts w:hint="eastAsia" w:ascii="宋体" w:hAnsi="宋体" w:eastAsia="宋体" w:cs="宋体"/>
          <w:spacing w:val="-3"/>
          <w:sz w:val="24"/>
          <w:szCs w:val="24"/>
          <w:highlight w:val="none"/>
        </w:rPr>
        <w:t>：(公章</w:t>
      </w:r>
      <w:r>
        <w:rPr>
          <w:rFonts w:hint="eastAsia" w:ascii="宋体" w:hAnsi="宋体" w:eastAsia="宋体" w:cs="宋体"/>
          <w:spacing w:val="-2"/>
          <w:sz w:val="24"/>
          <w:szCs w:val="24"/>
          <w:highlight w:val="none"/>
        </w:rPr>
        <w:t>)</w:t>
      </w:r>
    </w:p>
    <w:p>
      <w:pPr>
        <w:spacing w:line="360" w:lineRule="auto"/>
        <w:rPr>
          <w:rFonts w:hint="eastAsia" w:ascii="宋体" w:hAnsi="宋体" w:eastAsia="宋体" w:cs="宋体"/>
          <w:sz w:val="24"/>
          <w:szCs w:val="24"/>
          <w:highlight w:val="none"/>
        </w:rPr>
      </w:pPr>
    </w:p>
    <w:p>
      <w:pPr>
        <w:spacing w:before="75" w:line="360" w:lineRule="auto"/>
        <w:ind w:left="47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日期：</w:t>
      </w:r>
      <w:r>
        <w:rPr>
          <w:rFonts w:hint="eastAsia" w:ascii="宋体" w:hAnsi="宋体" w:eastAsia="宋体" w:cs="宋体"/>
          <w:spacing w:val="-1"/>
          <w:sz w:val="24"/>
          <w:szCs w:val="24"/>
          <w:highlight w:val="none"/>
        </w:rPr>
        <w:t xml:space="preserve">    年    月    日</w:t>
      </w:r>
    </w:p>
    <w:p>
      <w:pPr>
        <w:rPr>
          <w:rFonts w:hint="eastAsia"/>
          <w:highlight w:val="none"/>
        </w:rPr>
      </w:pPr>
      <w:r>
        <w:rPr>
          <w:rFonts w:hint="eastAsia"/>
          <w:highlight w:val="none"/>
        </w:rPr>
        <w:br w:type="page"/>
      </w:r>
    </w:p>
    <w:p>
      <w:pPr>
        <w:pStyle w:val="3"/>
        <w:bidi w:val="0"/>
        <w:jc w:val="center"/>
        <w:rPr>
          <w:rFonts w:hint="default"/>
          <w:highlight w:val="none"/>
          <w:lang w:val="en-US" w:eastAsia="zh-CN"/>
        </w:rPr>
      </w:pPr>
      <w:bookmarkStart w:id="351" w:name="_Toc10060"/>
      <w:r>
        <w:rPr>
          <w:rFonts w:hint="eastAsia"/>
          <w:highlight w:val="none"/>
          <w:lang w:val="en-US" w:eastAsia="zh-CN"/>
        </w:rPr>
        <w:t>七</w:t>
      </w:r>
      <w:r>
        <w:rPr>
          <w:rFonts w:hint="eastAsia"/>
          <w:highlight w:val="none"/>
        </w:rPr>
        <w:t>、</w:t>
      </w:r>
      <w:bookmarkEnd w:id="346"/>
      <w:bookmarkEnd w:id="347"/>
      <w:bookmarkEnd w:id="348"/>
      <w:r>
        <w:rPr>
          <w:rFonts w:hint="eastAsia"/>
          <w:highlight w:val="none"/>
          <w:lang w:val="en-US" w:eastAsia="zh-CN"/>
        </w:rPr>
        <w:t>项目实施方案</w:t>
      </w:r>
      <w:bookmarkEnd w:id="349"/>
      <w:bookmarkEnd w:id="350"/>
      <w:bookmarkEnd w:id="351"/>
    </w:p>
    <w:p>
      <w:pPr>
        <w:spacing w:line="360" w:lineRule="auto"/>
        <w:ind w:firstLine="480" w:firstLineChars="200"/>
        <w:jc w:val="center"/>
        <w:rPr>
          <w:rFonts w:hint="eastAsia" w:ascii="宋体" w:hAnsi="宋体" w:eastAsia="宋体" w:cs="宋体"/>
          <w:sz w:val="24"/>
          <w:highlight w:val="none"/>
          <w:lang w:val="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lang w:eastAsia="zh-CN"/>
        </w:rPr>
        <w:t>）</w:t>
      </w:r>
    </w:p>
    <w:p>
      <w:pPr>
        <w:rPr>
          <w:rFonts w:hint="eastAsia" w:ascii="宋体" w:hAnsi="宋体" w:eastAsia="宋体" w:cs="宋体"/>
          <w:sz w:val="24"/>
          <w:highlight w:val="none"/>
          <w:lang w:val="zh-CN"/>
        </w:rPr>
      </w:pPr>
      <w:r>
        <w:rPr>
          <w:rFonts w:hint="eastAsia" w:ascii="宋体" w:hAnsi="宋体" w:eastAsia="宋体" w:cs="宋体"/>
          <w:sz w:val="24"/>
          <w:highlight w:val="none"/>
          <w:lang w:val="zh-CN"/>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352" w:name="_Toc7200"/>
      <w:r>
        <w:rPr>
          <w:rFonts w:hint="eastAsia" w:ascii="Microsoft JhengHei" w:hAnsi="Times New Roman" w:eastAsia="Microsoft JhengHei" w:cs="Times New Roman"/>
          <w:b/>
          <w:bCs/>
          <w:color w:val="auto"/>
          <w:kern w:val="2"/>
          <w:sz w:val="30"/>
          <w:szCs w:val="24"/>
          <w:highlight w:val="none"/>
          <w:lang w:val="en-US" w:eastAsia="zh-CN" w:bidi="ar-SA"/>
        </w:rPr>
        <w:t>附表</w:t>
      </w:r>
      <w:r>
        <w:rPr>
          <w:rFonts w:hint="eastAsia" w:ascii="Microsoft JhengHei" w:eastAsia="Microsoft JhengHei" w:cs="Times New Roman"/>
          <w:b/>
          <w:bCs/>
          <w:color w:val="auto"/>
          <w:kern w:val="2"/>
          <w:sz w:val="30"/>
          <w:szCs w:val="24"/>
          <w:highlight w:val="none"/>
          <w:lang w:val="en-US" w:eastAsia="zh-CN" w:bidi="ar-SA"/>
        </w:rPr>
        <w:t>一</w:t>
      </w:r>
      <w:r>
        <w:rPr>
          <w:rFonts w:hint="eastAsia" w:ascii="Microsoft JhengHei" w:hAnsi="Times New Roman" w:eastAsia="Microsoft JhengHei" w:cs="Times New Roman"/>
          <w:b/>
          <w:bCs/>
          <w:color w:val="auto"/>
          <w:kern w:val="2"/>
          <w:sz w:val="30"/>
          <w:szCs w:val="24"/>
          <w:highlight w:val="none"/>
          <w:lang w:val="en-US" w:eastAsia="zh-CN" w:bidi="ar-SA"/>
        </w:rPr>
        <w:t>：同类项目经验一览表（如有）</w:t>
      </w:r>
      <w:bookmarkEnd w:id="352"/>
    </w:p>
    <w:tbl>
      <w:tblPr>
        <w:tblStyle w:val="28"/>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78"/>
        <w:gridCol w:w="1827"/>
        <w:gridCol w:w="1574"/>
        <w:gridCol w:w="1801"/>
        <w:gridCol w:w="1603"/>
        <w:gridCol w:w="2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序号</w:t>
            </w:r>
          </w:p>
        </w:tc>
        <w:tc>
          <w:tcPr>
            <w:tcW w:w="932"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项目名称</w:t>
            </w:r>
          </w:p>
        </w:tc>
        <w:tc>
          <w:tcPr>
            <w:tcW w:w="803"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项目内容</w:t>
            </w: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合同金额</w:t>
            </w:r>
          </w:p>
          <w:p>
            <w:pPr>
              <w:spacing w:line="360" w:lineRule="auto"/>
              <w:jc w:val="center"/>
              <w:rPr>
                <w:rFonts w:hint="eastAsia" w:ascii="宋体" w:hAnsi="宋体" w:cs="宋体"/>
                <w:b/>
                <w:bCs/>
                <w:highlight w:val="none"/>
              </w:rPr>
            </w:pPr>
            <w:r>
              <w:rPr>
                <w:rFonts w:hint="eastAsia" w:ascii="宋体" w:hAnsi="宋体" w:cs="宋体"/>
                <w:b/>
                <w:bCs/>
                <w:highlight w:val="none"/>
              </w:rPr>
              <w:t>（元）</w:t>
            </w:r>
          </w:p>
        </w:tc>
        <w:tc>
          <w:tcPr>
            <w:tcW w:w="81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完成日期</w:t>
            </w:r>
          </w:p>
        </w:tc>
        <w:tc>
          <w:tcPr>
            <w:tcW w:w="1077"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1</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2</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3</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4</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5</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bl>
    <w:p>
      <w:pPr>
        <w:snapToGrid w:val="0"/>
        <w:spacing w:before="120" w:line="360" w:lineRule="auto"/>
        <w:ind w:right="357"/>
        <w:rPr>
          <w:rFonts w:hint="eastAsia" w:ascii="宋体" w:hAnsi="宋体" w:cs="宋体"/>
          <w:highlight w:val="none"/>
        </w:rPr>
      </w:pP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注：1、供应商应如实列出以上情况，如有隐瞒，一经查实将导致其报价申请被拒绝。</w:t>
      </w: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2、供应商应提供双方签订的合同（合同复印件加盖公章装订在谈判响应文件中，原件开标现场备查，</w:t>
      </w:r>
      <w:r>
        <w:rPr>
          <w:rFonts w:hint="eastAsia" w:ascii="宋体" w:hAnsi="宋体" w:cs="宋体"/>
          <w:sz w:val="22"/>
          <w:szCs w:val="20"/>
          <w:highlight w:val="none"/>
          <w:lang w:eastAsia="zh-CN"/>
        </w:rPr>
        <w:t>供应商</w:t>
      </w:r>
      <w:r>
        <w:rPr>
          <w:rFonts w:hint="eastAsia" w:ascii="宋体" w:hAnsi="宋体" w:cs="宋体"/>
          <w:sz w:val="22"/>
          <w:szCs w:val="20"/>
          <w:highlight w:val="none"/>
        </w:rPr>
        <w:t>提供的业绩如有弄虚作假行为，一经查实，除取消其投标资格外，造成影响和损失的采购人将依法追究）。</w:t>
      </w:r>
    </w:p>
    <w:p>
      <w:pPr>
        <w:spacing w:line="360" w:lineRule="auto"/>
        <w:rPr>
          <w:rFonts w:hint="eastAsia" w:ascii="宋体" w:hAnsi="宋体" w:cs="宋体"/>
          <w:highlight w:val="none"/>
        </w:rPr>
      </w:pPr>
    </w:p>
    <w:p>
      <w:pPr>
        <w:spacing w:line="360" w:lineRule="auto"/>
        <w:rPr>
          <w:rFonts w:hint="eastAsia" w:ascii="宋体" w:hAnsi="宋体" w:cs="宋体"/>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cs="宋体"/>
          <w:sz w:val="24"/>
          <w:szCs w:val="24"/>
          <w:highlight w:val="none"/>
        </w:rPr>
      </w:pPr>
      <w:r>
        <w:rPr>
          <w:rFonts w:hint="eastAsia" w:ascii="宋体" w:hAnsi="宋体" w:cs="宋体"/>
          <w:sz w:val="24"/>
          <w:szCs w:val="24"/>
          <w:highlight w:val="none"/>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353" w:name="_Toc9249"/>
      <w:bookmarkStart w:id="354" w:name="_Toc27456"/>
      <w:r>
        <w:rPr>
          <w:rFonts w:hint="eastAsia" w:ascii="Microsoft JhengHei" w:hAnsi="Times New Roman" w:eastAsia="Microsoft JhengHei" w:cs="Times New Roman"/>
          <w:b/>
          <w:bCs/>
          <w:color w:val="auto"/>
          <w:kern w:val="2"/>
          <w:sz w:val="30"/>
          <w:szCs w:val="24"/>
          <w:highlight w:val="none"/>
          <w:lang w:val="en-US" w:eastAsia="zh-CN" w:bidi="ar-SA"/>
        </w:rPr>
        <w:t>附表二：</w:t>
      </w:r>
      <w:r>
        <w:rPr>
          <w:rFonts w:hint="eastAsia" w:ascii="宋体" w:hAnsi="宋体" w:eastAsia="宋体" w:cs="宋体"/>
          <w:b/>
          <w:bCs/>
          <w:color w:val="auto"/>
          <w:kern w:val="2"/>
          <w:sz w:val="28"/>
          <w:szCs w:val="28"/>
          <w:highlight w:val="none"/>
          <w:lang w:val="en-US" w:eastAsia="zh-CN" w:bidi="ar-SA"/>
        </w:rPr>
        <w:t>拟投入本项目人员汇总表</w:t>
      </w:r>
      <w:bookmarkEnd w:id="353"/>
      <w:bookmarkEnd w:id="354"/>
    </w:p>
    <w:p>
      <w:pPr>
        <w:spacing w:line="360" w:lineRule="atLeast"/>
        <w:ind w:firstLine="472" w:firstLineChars="196"/>
        <w:jc w:val="left"/>
        <w:outlineLvl w:val="9"/>
        <w:rPr>
          <w:rFonts w:hint="eastAsia" w:ascii="楷体" w:hAnsi="楷体" w:eastAsia="楷体" w:cs="楷体"/>
          <w:b/>
          <w:color w:val="auto"/>
          <w:kern w:val="0"/>
          <w:sz w:val="24"/>
          <w:szCs w:val="20"/>
          <w:highlight w:val="none"/>
        </w:rPr>
      </w:pP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项目编号：</w:t>
      </w:r>
      <w:r>
        <w:rPr>
          <w:rFonts w:hint="eastAsia" w:ascii="宋体" w:hAnsi="宋体" w:eastAsia="宋体" w:cs="宋体"/>
          <w:color w:val="auto"/>
          <w:kern w:val="0"/>
          <w:sz w:val="24"/>
          <w:szCs w:val="24"/>
          <w:highlight w:val="none"/>
          <w:u w:val="single"/>
        </w:rPr>
        <w:t xml:space="preserve">             </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67"/>
        <w:gridCol w:w="823"/>
        <w:gridCol w:w="1032"/>
        <w:gridCol w:w="875"/>
        <w:gridCol w:w="841"/>
        <w:gridCol w:w="841"/>
        <w:gridCol w:w="2312"/>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7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序号</w:t>
            </w:r>
          </w:p>
        </w:tc>
        <w:tc>
          <w:tcPr>
            <w:tcW w:w="636"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姓名</w:t>
            </w:r>
          </w:p>
        </w:tc>
        <w:tc>
          <w:tcPr>
            <w:tcW w:w="41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年龄</w:t>
            </w:r>
          </w:p>
        </w:tc>
        <w:tc>
          <w:tcPr>
            <w:tcW w:w="518"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性别</w:t>
            </w:r>
          </w:p>
        </w:tc>
        <w:tc>
          <w:tcPr>
            <w:tcW w:w="439"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学历</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专业</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职称</w:t>
            </w:r>
          </w:p>
        </w:tc>
        <w:tc>
          <w:tcPr>
            <w:tcW w:w="1160"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岗位证书及编号</w:t>
            </w:r>
          </w:p>
        </w:tc>
        <w:tc>
          <w:tcPr>
            <w:tcW w:w="714"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bl>
    <w:p>
      <w:pPr>
        <w:spacing w:line="480" w:lineRule="exact"/>
        <w:rPr>
          <w:rFonts w:hint="eastAsia" w:ascii="宋体" w:hAnsi="宋体" w:eastAsia="宋体" w:cs="宋体"/>
          <w:color w:val="auto"/>
          <w:kern w:val="0"/>
          <w:sz w:val="24"/>
          <w:szCs w:val="24"/>
          <w:highlight w:val="none"/>
        </w:rPr>
      </w:pPr>
    </w:p>
    <w:p>
      <w:pPr>
        <w:widowControl w:val="0"/>
        <w:spacing w:after="120" w:afterLines="0"/>
        <w:jc w:val="both"/>
        <w:rPr>
          <w:rFonts w:hint="eastAsia" w:ascii="宋体" w:hAnsi="宋体" w:eastAsia="宋体" w:cs="宋体"/>
          <w:color w:val="auto"/>
          <w:kern w:val="2"/>
          <w:sz w:val="24"/>
          <w:szCs w:val="24"/>
          <w:highlight w:val="none"/>
          <w:lang w:val="en-US" w:eastAsia="zh-CN" w:bidi="ar-SA"/>
        </w:rPr>
      </w:pPr>
    </w:p>
    <w:p>
      <w:pPr>
        <w:rPr>
          <w:rFonts w:hint="eastAsia" w:ascii="宋体" w:hAnsi="宋体" w:eastAsia="宋体" w:cs="宋体"/>
          <w:color w:val="auto"/>
          <w:kern w:val="0"/>
          <w:sz w:val="24"/>
          <w:szCs w:val="24"/>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rPr>
        <w:t>法人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60" w:firstLineChars="1400"/>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rPr>
          <w:rFonts w:hint="eastAsia" w:ascii="宋体" w:hAnsi="Times New Roman" w:cs="Times New Roman"/>
          <w:color w:val="auto"/>
          <w:kern w:val="0"/>
          <w:sz w:val="24"/>
          <w:szCs w:val="20"/>
          <w:highlight w:val="none"/>
          <w:lang w:val="en-US" w:eastAsia="zh-CN"/>
        </w:rPr>
      </w:pPr>
      <w:r>
        <w:rPr>
          <w:rFonts w:hint="eastAsia" w:ascii="宋体" w:hAnsi="Times New Roman" w:cs="Times New Roman"/>
          <w:color w:val="auto"/>
          <w:kern w:val="0"/>
          <w:sz w:val="24"/>
          <w:szCs w:val="20"/>
          <w:highlight w:val="none"/>
          <w:lang w:val="en-US" w:eastAsia="zh-CN"/>
        </w:rPr>
        <w:br w:type="page"/>
      </w:r>
    </w:p>
    <w:p>
      <w:pPr>
        <w:keepNext/>
        <w:keepLines/>
        <w:pageBreakBefore w:val="0"/>
        <w:widowControl w:val="0"/>
        <w:kinsoku/>
        <w:wordWrap/>
        <w:overflowPunct/>
        <w:topLinePunct w:val="0"/>
        <w:autoSpaceDE/>
        <w:autoSpaceDN/>
        <w:bidi w:val="0"/>
        <w:adjustRightInd/>
        <w:snapToGrid/>
        <w:spacing w:before="624" w:beforeLines="200" w:line="360" w:lineRule="auto"/>
        <w:jc w:val="center"/>
        <w:textAlignment w:val="auto"/>
        <w:outlineLvl w:val="2"/>
        <w:rPr>
          <w:rFonts w:ascii="宋体" w:hAnsi="宋体" w:eastAsia="宋体" w:cs="宋体"/>
          <w:b/>
          <w:bCs/>
          <w:color w:val="auto"/>
          <w:kern w:val="2"/>
          <w:sz w:val="28"/>
          <w:szCs w:val="28"/>
          <w:highlight w:val="none"/>
          <w:lang w:val="en-US" w:eastAsia="zh-CN" w:bidi="ar-SA"/>
        </w:rPr>
      </w:pPr>
      <w:bookmarkStart w:id="355" w:name="_Toc27647"/>
      <w:bookmarkStart w:id="356" w:name="_Toc18989"/>
      <w:bookmarkStart w:id="357" w:name="_Toc1237"/>
      <w:bookmarkStart w:id="358" w:name="_Toc22441"/>
      <w:bookmarkStart w:id="359" w:name="_Toc14100"/>
      <w:bookmarkStart w:id="360" w:name="_Toc18330"/>
      <w:bookmarkStart w:id="361" w:name="_Toc6889"/>
      <w:bookmarkStart w:id="362" w:name="_Toc7496"/>
      <w:bookmarkStart w:id="363" w:name="_Toc13556"/>
      <w:bookmarkStart w:id="364" w:name="_Toc6099"/>
      <w:r>
        <w:rPr>
          <w:rFonts w:hint="eastAsia" w:ascii="宋体" w:hAnsi="宋体" w:eastAsia="宋体" w:cs="宋体"/>
          <w:b/>
          <w:bCs/>
          <w:color w:val="auto"/>
          <w:kern w:val="2"/>
          <w:sz w:val="28"/>
          <w:szCs w:val="28"/>
          <w:highlight w:val="none"/>
          <w:lang w:val="en-US" w:eastAsia="zh-CN" w:bidi="ar-SA"/>
        </w:rPr>
        <w:t>附表三：拟投入本项目的主要人员简历表</w:t>
      </w:r>
      <w:bookmarkEnd w:id="355"/>
      <w:bookmarkEnd w:id="356"/>
      <w:bookmarkEnd w:id="357"/>
      <w:bookmarkEnd w:id="358"/>
      <w:bookmarkEnd w:id="359"/>
      <w:bookmarkEnd w:id="360"/>
      <w:bookmarkEnd w:id="361"/>
      <w:bookmarkEnd w:id="362"/>
      <w:bookmarkEnd w:id="363"/>
      <w:bookmarkEnd w:id="364"/>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376"/>
        <w:gridCol w:w="1135"/>
        <w:gridCol w:w="1006"/>
        <w:gridCol w:w="1008"/>
        <w:gridCol w:w="1103"/>
        <w:gridCol w:w="761"/>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  名</w:t>
            </w:r>
          </w:p>
        </w:tc>
        <w:tc>
          <w:tcPr>
            <w:tcW w:w="759" w:type="pct"/>
            <w:gridSpan w:val="2"/>
            <w:noWrap w:val="0"/>
            <w:vAlign w:val="center"/>
          </w:tcPr>
          <w:p>
            <w:pPr>
              <w:jc w:val="center"/>
              <w:rPr>
                <w:rFonts w:ascii="宋体" w:hAnsi="宋体" w:cs="宋体"/>
                <w:color w:val="auto"/>
                <w:kern w:val="0"/>
                <w:sz w:val="24"/>
                <w:szCs w:val="20"/>
                <w:highlight w:val="none"/>
              </w:rPr>
            </w:pPr>
          </w:p>
        </w:tc>
        <w:tc>
          <w:tcPr>
            <w:tcW w:w="505" w:type="pct"/>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 别</w:t>
            </w:r>
          </w:p>
        </w:tc>
        <w:tc>
          <w:tcPr>
            <w:tcW w:w="505" w:type="pct"/>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出</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生 日  期</w:t>
            </w:r>
          </w:p>
        </w:tc>
        <w:tc>
          <w:tcPr>
            <w:tcW w:w="1415" w:type="pct"/>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毕业院校及专业</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ind w:left="-18"/>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业 时  间</w:t>
            </w:r>
          </w:p>
        </w:tc>
        <w:tc>
          <w:tcPr>
            <w:tcW w:w="1415" w:type="pct"/>
            <w:noWrap w:val="0"/>
            <w:vAlign w:val="center"/>
          </w:tcPr>
          <w:p>
            <w:pPr>
              <w:ind w:left="45"/>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从事本专业时间</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服务时间</w:t>
            </w:r>
          </w:p>
        </w:tc>
        <w:tc>
          <w:tcPr>
            <w:tcW w:w="1415" w:type="pct"/>
            <w:noWrap w:val="0"/>
            <w:vAlign w:val="center"/>
          </w:tcPr>
          <w:p>
            <w:pP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执 业 注 册</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       称</w:t>
            </w:r>
          </w:p>
        </w:tc>
        <w:tc>
          <w:tcPr>
            <w:tcW w:w="1415" w:type="pct"/>
            <w:noWrap w:val="0"/>
            <w:vAlign w:val="center"/>
          </w:tcPr>
          <w:p>
            <w:pP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000" w:type="pct"/>
            <w:gridSpan w:val="8"/>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7"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时   间</w:t>
            </w:r>
          </w:p>
        </w:tc>
        <w:tc>
          <w:tcPr>
            <w:tcW w:w="2135" w:type="pct"/>
            <w:gridSpan w:val="4"/>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lang w:val="en-US" w:eastAsia="zh-CN"/>
              </w:rPr>
              <w:t>参加过的项目名称及规模</w:t>
            </w:r>
          </w:p>
        </w:tc>
        <w:tc>
          <w:tcPr>
            <w:tcW w:w="1797"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1067" w:type="pct"/>
            <w:gridSpan w:val="2"/>
            <w:noWrap w:val="0"/>
            <w:vAlign w:val="top"/>
          </w:tcPr>
          <w:p>
            <w:pPr>
              <w:rPr>
                <w:rFonts w:ascii="宋体" w:hAnsi="宋体" w:cs="宋体"/>
                <w:color w:val="auto"/>
                <w:kern w:val="0"/>
                <w:sz w:val="22"/>
                <w:szCs w:val="20"/>
                <w:highlight w:val="none"/>
              </w:rPr>
            </w:pPr>
          </w:p>
        </w:tc>
        <w:tc>
          <w:tcPr>
            <w:tcW w:w="2135" w:type="pct"/>
            <w:gridSpan w:val="4"/>
            <w:noWrap w:val="0"/>
            <w:vAlign w:val="top"/>
          </w:tcPr>
          <w:p>
            <w:pPr>
              <w:rPr>
                <w:rFonts w:ascii="宋体" w:hAnsi="宋体" w:cs="宋体"/>
                <w:color w:val="auto"/>
                <w:kern w:val="0"/>
                <w:sz w:val="22"/>
                <w:szCs w:val="20"/>
                <w:highlight w:val="none"/>
              </w:rPr>
            </w:pPr>
          </w:p>
        </w:tc>
        <w:tc>
          <w:tcPr>
            <w:tcW w:w="1797" w:type="pct"/>
            <w:gridSpan w:val="2"/>
            <w:noWrap w:val="0"/>
            <w:vAlign w:val="top"/>
          </w:tcPr>
          <w:p>
            <w:pPr>
              <w:rPr>
                <w:rFonts w:ascii="宋体" w:hAnsi="宋体" w:cs="宋体"/>
                <w:color w:val="auto"/>
                <w:kern w:val="0"/>
                <w:sz w:val="22"/>
                <w:szCs w:val="20"/>
                <w:highlight w:val="none"/>
              </w:rPr>
            </w:pPr>
          </w:p>
        </w:tc>
      </w:tr>
    </w:tbl>
    <w:p>
      <w:pPr>
        <w:tabs>
          <w:tab w:val="left" w:pos="1680"/>
        </w:tabs>
        <w:ind w:firstLine="420"/>
        <w:rPr>
          <w:rFonts w:hint="eastAsia" w:ascii="宋体" w:hAnsi="宋体" w:cs="宋体"/>
          <w:color w:val="auto"/>
          <w:kern w:val="0"/>
          <w:sz w:val="24"/>
          <w:szCs w:val="20"/>
          <w:highlight w:val="none"/>
        </w:rPr>
      </w:pPr>
    </w:p>
    <w:p>
      <w:pPr>
        <w:tabs>
          <w:tab w:val="left" w:pos="1680"/>
        </w:tabs>
        <w:ind w:firstLine="420"/>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（主要人员为拟派往本项目的人员</w:t>
      </w:r>
      <w:r>
        <w:rPr>
          <w:rFonts w:hint="eastAsia" w:ascii="宋体" w:hAnsi="宋体" w:cs="宋体"/>
          <w:color w:val="auto"/>
          <w:kern w:val="0"/>
          <w:sz w:val="24"/>
          <w:szCs w:val="20"/>
          <w:highlight w:val="none"/>
          <w:lang w:eastAsia="zh-CN"/>
        </w:rPr>
        <w:t>，提供身份证、</w:t>
      </w:r>
      <w:r>
        <w:rPr>
          <w:rFonts w:hint="eastAsia" w:ascii="宋体" w:hAnsi="宋体" w:cs="宋体"/>
          <w:color w:val="auto"/>
          <w:kern w:val="0"/>
          <w:sz w:val="24"/>
          <w:szCs w:val="20"/>
          <w:highlight w:val="none"/>
          <w:lang w:val="en-US" w:eastAsia="zh-CN"/>
        </w:rPr>
        <w:t>毕业证、</w:t>
      </w:r>
      <w:r>
        <w:rPr>
          <w:rFonts w:hint="eastAsia" w:ascii="宋体" w:hAnsi="宋体" w:eastAsia="宋体" w:cs="宋体"/>
          <w:b w:val="0"/>
          <w:bCs w:val="0"/>
          <w:i w:val="0"/>
          <w:color w:val="auto"/>
          <w:kern w:val="0"/>
          <w:sz w:val="24"/>
          <w:szCs w:val="24"/>
          <w:highlight w:val="none"/>
          <w:u w:val="none"/>
          <w:lang w:val="en-US" w:eastAsia="zh-CN" w:bidi="ar"/>
        </w:rPr>
        <w:t>资格证书</w:t>
      </w:r>
      <w:r>
        <w:rPr>
          <w:rFonts w:hint="eastAsia" w:ascii="宋体" w:hAnsi="宋体" w:cs="宋体"/>
          <w:color w:val="auto"/>
          <w:kern w:val="0"/>
          <w:sz w:val="24"/>
          <w:szCs w:val="20"/>
          <w:highlight w:val="none"/>
        </w:rPr>
        <w:t>)</w:t>
      </w:r>
    </w:p>
    <w:p>
      <w:pPr>
        <w:tabs>
          <w:tab w:val="left" w:pos="1680"/>
        </w:tabs>
        <w:rPr>
          <w:rFonts w:ascii="宋体" w:hAnsi="宋体" w:cs="宋体"/>
          <w:color w:val="auto"/>
          <w:kern w:val="0"/>
          <w:sz w:val="24"/>
          <w:szCs w:val="20"/>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0"/>
          <w:sz w:val="24"/>
          <w:szCs w:val="24"/>
          <w:highlight w:val="none"/>
          <w:u w:val="single"/>
        </w:rPr>
      </w:pPr>
      <w:r>
        <w:rPr>
          <w:rFonts w:hint="eastAsia" w:ascii="宋体" w:hAnsi="宋体" w:cs="宋体"/>
          <w:color w:val="auto"/>
          <w:kern w:val="0"/>
          <w:sz w:val="24"/>
          <w:szCs w:val="24"/>
          <w:highlight w:val="none"/>
          <w:lang w:eastAsia="zh-CN"/>
        </w:rPr>
        <w:t>供应商名称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98" w:firstLineChars="1416"/>
        <w:jc w:val="both"/>
        <w:rPr>
          <w:rFonts w:hint="eastAsia" w:ascii="宋体" w:hAnsi="宋体" w:eastAsia="宋体" w:cs="宋体"/>
          <w:color w:val="auto"/>
          <w:kern w:val="2"/>
          <w:sz w:val="24"/>
          <w:szCs w:val="24"/>
          <w:highlight w:val="none"/>
          <w:lang w:val="en-US" w:eastAsia="zh-CN" w:bidi="ar-SA"/>
        </w:rPr>
      </w:pPr>
    </w:p>
    <w:p>
      <w:pPr>
        <w:ind w:firstLine="3600" w:firstLineChars="15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p>
    <w:p>
      <w:pPr>
        <w:bidi w:val="0"/>
        <w:rPr>
          <w:rFonts w:hint="eastAsia"/>
          <w:highlight w:val="none"/>
          <w:lang w:val="zh-CN"/>
        </w:rPr>
      </w:pPr>
    </w:p>
    <w:p>
      <w:pPr>
        <w:pStyle w:val="10"/>
        <w:rPr>
          <w:rFonts w:hint="eastAsia"/>
        </w:rPr>
      </w:pPr>
    </w:p>
    <w:p>
      <w:pPr>
        <w:pStyle w:val="48"/>
        <w:spacing w:line="360" w:lineRule="auto"/>
        <w:rPr>
          <w:rFonts w:hint="eastAsia" w:ascii="宋体" w:hAnsi="宋体" w:cs="宋体"/>
          <w:highlight w:val="none"/>
        </w:rPr>
      </w:pPr>
      <w:r>
        <w:rPr>
          <w:rFonts w:hint="eastAsia" w:ascii="宋体" w:hAnsi="宋体" w:eastAsia="宋体" w:cs="宋体"/>
          <w:sz w:val="24"/>
          <w:highlight w:val="none"/>
          <w:lang w:val="zh-CN"/>
        </w:rPr>
        <w:br w:type="page"/>
      </w:r>
    </w:p>
    <w:p>
      <w:pPr>
        <w:pStyle w:val="3"/>
        <w:bidi w:val="0"/>
        <w:jc w:val="center"/>
        <w:rPr>
          <w:rFonts w:hint="eastAsia" w:ascii="宋体" w:hAnsi="宋体" w:eastAsia="宋体" w:cs="宋体"/>
          <w:szCs w:val="32"/>
          <w:highlight w:val="none"/>
        </w:rPr>
      </w:pPr>
      <w:bookmarkStart w:id="365" w:name="_Toc9723"/>
      <w:bookmarkStart w:id="366" w:name="_Toc6056"/>
      <w:bookmarkStart w:id="367" w:name="_Toc8563"/>
      <w:bookmarkStart w:id="368" w:name="_Toc11150"/>
      <w:bookmarkStart w:id="369" w:name="_Toc28892"/>
      <w:bookmarkStart w:id="370" w:name="_Toc9332"/>
      <w:bookmarkStart w:id="371" w:name="_Toc21714"/>
      <w:bookmarkStart w:id="372" w:name="_Toc342554740"/>
      <w:bookmarkStart w:id="373" w:name="_Toc13312"/>
      <w:r>
        <w:rPr>
          <w:rStyle w:val="43"/>
          <w:rFonts w:hint="eastAsia" w:ascii="宋体" w:hAnsi="宋体" w:eastAsia="宋体" w:cs="宋体"/>
          <w:b/>
          <w:sz w:val="32"/>
          <w:szCs w:val="16"/>
          <w:highlight w:val="none"/>
          <w:lang w:val="en-US" w:eastAsia="zh-CN"/>
        </w:rPr>
        <w:t>八</w:t>
      </w:r>
      <w:r>
        <w:rPr>
          <w:rStyle w:val="43"/>
          <w:rFonts w:hint="eastAsia" w:ascii="宋体" w:hAnsi="宋体" w:eastAsia="宋体" w:cs="宋体"/>
          <w:b/>
          <w:sz w:val="32"/>
          <w:szCs w:val="16"/>
          <w:highlight w:val="none"/>
        </w:rPr>
        <w:t>、供应商拒绝政府采购领域商业贿赂承诺书</w:t>
      </w:r>
      <w:bookmarkEnd w:id="365"/>
      <w:bookmarkEnd w:id="366"/>
      <w:bookmarkEnd w:id="367"/>
      <w:bookmarkEnd w:id="368"/>
      <w:bookmarkEnd w:id="369"/>
      <w:bookmarkEnd w:id="370"/>
      <w:bookmarkEnd w:id="371"/>
      <w:bookmarkEnd w:id="372"/>
      <w:bookmarkEnd w:id="373"/>
    </w:p>
    <w:p>
      <w:pPr>
        <w:pStyle w:val="5"/>
        <w:bidi w:val="0"/>
        <w:jc w:val="center"/>
        <w:rPr>
          <w:rFonts w:hint="eastAsia"/>
          <w:highlight w:val="none"/>
        </w:rPr>
      </w:pPr>
      <w:bookmarkStart w:id="374" w:name="_Toc16474"/>
      <w:r>
        <w:rPr>
          <w:rFonts w:hint="eastAsia"/>
          <w:highlight w:val="none"/>
        </w:rPr>
        <w:t>承诺书（一）</w:t>
      </w:r>
      <w:bookmarkEnd w:id="374"/>
    </w:p>
    <w:p>
      <w:pPr>
        <w:widowControl/>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为响应党中央、国务院关于治理政府采购领域商业贿赂行为的号召，我单位在此庄严承诺：</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1、在参与政府采购活动中遵纪守法、诚信经营、公平竞标。</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2、不向政府采购人、采购代理机构和政府采购评审专家进行任何形式的商业贿赂以谋取交易机会。</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3、不向政府采购代理机构和采购人提供虚假资质文件或采用虚假应标方式参与政府采购市场竞争并谋取中标、成交。</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4、不采取“围标、陪标”等商业欺诈手段获得政府采购定单。</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5、不采取不正当手段低毁、排挤其他供应商。</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6、不在提供商品和服务时“偷梁换柱、以次充好”损害采购人的合法权益。</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7、不与采购人、采购代理机构政府采购评审专家或其它供应商恶意串通，进行质疑和投诉，维护政府采购市场秩序。</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8、尊重和接受政府采购监督管理部门的监督和政府采购代理机构</w:t>
      </w:r>
      <w:r>
        <w:rPr>
          <w:rFonts w:hint="eastAsia" w:ascii="宋体" w:hAnsi="宋体" w:cs="宋体"/>
          <w:kern w:val="0"/>
          <w:sz w:val="24"/>
          <w:highlight w:val="none"/>
          <w:lang w:eastAsia="zh-CN"/>
        </w:rPr>
        <w:t>竞争性谈判</w:t>
      </w:r>
      <w:r>
        <w:rPr>
          <w:rFonts w:hint="eastAsia" w:ascii="宋体" w:hAnsi="宋体" w:cs="宋体"/>
          <w:kern w:val="0"/>
          <w:sz w:val="24"/>
          <w:highlight w:val="none"/>
        </w:rPr>
        <w:t>采购要求，承担因违约行为给采购人造成的损失。</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9、不发生其他有悖于政府采购公开、公平、公正和诚信原则的行为。</w:t>
      </w:r>
    </w:p>
    <w:p>
      <w:pPr>
        <w:widowControl/>
        <w:spacing w:line="360" w:lineRule="auto"/>
        <w:ind w:firstLine="720" w:firstLineChars="300"/>
        <w:jc w:val="left"/>
        <w:rPr>
          <w:rFonts w:hint="eastAsia" w:ascii="宋体" w:hAnsi="宋体" w:cs="宋体"/>
          <w:kern w:val="0"/>
          <w:sz w:val="24"/>
          <w:highlight w:val="none"/>
        </w:rPr>
      </w:pP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承诺单位：</w:t>
      </w:r>
      <w:r>
        <w:rPr>
          <w:rFonts w:hint="eastAsia" w:ascii="宋体" w:hAnsi="宋体" w:cs="宋体"/>
          <w:kern w:val="0"/>
          <w:sz w:val="24"/>
          <w:highlight w:val="none"/>
          <w:u w:val="single"/>
        </w:rPr>
        <w:t>　　                        　</w:t>
      </w:r>
      <w:r>
        <w:rPr>
          <w:rFonts w:hint="eastAsia" w:ascii="宋体" w:hAnsi="宋体" w:cs="宋体"/>
          <w:kern w:val="0"/>
          <w:sz w:val="24"/>
          <w:highlight w:val="none"/>
        </w:rPr>
        <w:t>（盖章）</w:t>
      </w: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全权代表：</w:t>
      </w:r>
      <w:r>
        <w:rPr>
          <w:rFonts w:hint="eastAsia" w:ascii="宋体" w:hAnsi="宋体" w:cs="宋体"/>
          <w:kern w:val="0"/>
          <w:sz w:val="24"/>
          <w:highlight w:val="none"/>
          <w:u w:val="single"/>
        </w:rPr>
        <w:t>　　　　　     　　　       　</w:t>
      </w:r>
      <w:r>
        <w:rPr>
          <w:rFonts w:hint="eastAsia" w:ascii="宋体" w:hAnsi="宋体" w:cs="宋体"/>
          <w:kern w:val="0"/>
          <w:sz w:val="24"/>
          <w:highlight w:val="none"/>
        </w:rPr>
        <w:t>（签字）</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地　　址：</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邮    编：</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eastAsia="宋体" w:cs="宋体"/>
          <w:kern w:val="0"/>
          <w:sz w:val="24"/>
          <w:highlight w:val="none"/>
          <w:u w:val="single"/>
          <w:lang w:eastAsia="zh-CN"/>
        </w:rPr>
      </w:pPr>
      <w:r>
        <w:rPr>
          <w:rFonts w:hint="eastAsia" w:ascii="宋体" w:hAnsi="宋体" w:cs="宋体"/>
          <w:kern w:val="0"/>
          <w:sz w:val="24"/>
          <w:highlight w:val="none"/>
        </w:rPr>
        <w:t>电　　话：</w:t>
      </w:r>
      <w:r>
        <w:rPr>
          <w:rFonts w:hint="eastAsia" w:ascii="宋体" w:hAnsi="宋体" w:cs="宋体"/>
          <w:kern w:val="0"/>
          <w:sz w:val="24"/>
          <w:highlight w:val="none"/>
          <w:u w:val="single"/>
        </w:rPr>
        <w:t>　　　                　　　　</w:t>
      </w:r>
    </w:p>
    <w:p>
      <w:pPr>
        <w:widowControl/>
        <w:spacing w:line="360" w:lineRule="auto"/>
        <w:ind w:firstLine="720" w:firstLineChars="300"/>
        <w:jc w:val="right"/>
        <w:rPr>
          <w:rFonts w:hint="eastAsia" w:ascii="宋体" w:hAnsi="宋体" w:cs="宋体"/>
          <w:kern w:val="0"/>
          <w:sz w:val="28"/>
          <w:szCs w:val="28"/>
          <w:highlight w:val="none"/>
        </w:rPr>
      </w:pPr>
      <w:r>
        <w:rPr>
          <w:rFonts w:hint="eastAsia" w:ascii="宋体" w:hAnsi="宋体" w:cs="宋体"/>
          <w:kern w:val="0"/>
          <w:sz w:val="24"/>
          <w:highlight w:val="none"/>
        </w:rPr>
        <w:t xml:space="preserve">  年</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月</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w:t>
      </w:r>
    </w:p>
    <w:p>
      <w:pPr>
        <w:pStyle w:val="5"/>
        <w:bidi w:val="0"/>
        <w:jc w:val="center"/>
        <w:rPr>
          <w:rFonts w:hint="eastAsia" w:ascii="宋体" w:hAnsi="宋体" w:cs="宋体"/>
          <w:b/>
          <w:sz w:val="32"/>
          <w:szCs w:val="32"/>
          <w:highlight w:val="none"/>
        </w:rPr>
      </w:pPr>
      <w:r>
        <w:rPr>
          <w:rFonts w:hint="eastAsia" w:ascii="宋体" w:hAnsi="宋体" w:cs="宋体"/>
          <w:b/>
          <w:sz w:val="32"/>
          <w:szCs w:val="32"/>
          <w:highlight w:val="none"/>
        </w:rPr>
        <w:br w:type="page"/>
      </w:r>
      <w:bookmarkStart w:id="375" w:name="_Toc25776"/>
      <w:r>
        <w:rPr>
          <w:rFonts w:hint="eastAsia" w:ascii="宋体" w:hAnsi="宋体" w:cs="宋体"/>
          <w:b/>
          <w:sz w:val="32"/>
          <w:szCs w:val="32"/>
          <w:highlight w:val="none"/>
        </w:rPr>
        <w:t>承诺书（二）</w:t>
      </w:r>
      <w:bookmarkEnd w:id="375"/>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项目的供应商，本公司承诺：在参加本项目</w:t>
            </w:r>
            <w:r>
              <w:rPr>
                <w:rFonts w:hint="eastAsia" w:ascii="宋体" w:hAnsi="宋体" w:cs="宋体"/>
                <w:sz w:val="24"/>
                <w:highlight w:val="none"/>
                <w:lang w:eastAsia="zh-CN"/>
              </w:rPr>
              <w:t>竞争性谈判</w:t>
            </w:r>
            <w:r>
              <w:rPr>
                <w:rFonts w:hint="eastAsia" w:ascii="宋体" w:hAnsi="宋体" w:cs="宋体"/>
                <w:sz w:val="24"/>
                <w:highlight w:val="none"/>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 xml:space="preserve"> 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5"/>
        <w:bidi w:val="0"/>
        <w:jc w:val="center"/>
        <w:rPr>
          <w:rFonts w:hint="eastAsia"/>
          <w:highlight w:val="none"/>
        </w:rPr>
      </w:pPr>
      <w:bookmarkStart w:id="376" w:name="_Toc5805"/>
      <w:r>
        <w:rPr>
          <w:rFonts w:hint="eastAsia"/>
          <w:highlight w:val="none"/>
        </w:rPr>
        <w:t>承诺书（三）</w:t>
      </w:r>
      <w:bookmarkEnd w:id="376"/>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项目的供应商，本公司郑重申告并承诺：近三年受到有关行政主管部门的行政处理、不良行为记录为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spacing w:line="360" w:lineRule="auto"/>
        <w:jc w:val="center"/>
        <w:rPr>
          <w:rFonts w:hint="eastAsia" w:ascii="宋体" w:hAnsi="宋体" w:cs="宋体"/>
          <w:b/>
          <w:sz w:val="32"/>
          <w:szCs w:val="32"/>
          <w:highlight w:val="none"/>
        </w:rPr>
      </w:pPr>
    </w:p>
    <w:p>
      <w:pPr>
        <w:pStyle w:val="5"/>
        <w:bidi w:val="0"/>
        <w:jc w:val="center"/>
        <w:rPr>
          <w:rFonts w:hint="eastAsia"/>
          <w:highlight w:val="none"/>
        </w:rPr>
      </w:pPr>
      <w:bookmarkStart w:id="377" w:name="_Toc29220"/>
      <w:r>
        <w:rPr>
          <w:rFonts w:hint="eastAsia"/>
          <w:highlight w:val="none"/>
        </w:rPr>
        <w:t>承诺书（四）</w:t>
      </w:r>
      <w:bookmarkEnd w:id="377"/>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项目的供应商，本公司郑重申告：近三年因产品供货问题（水货、替代品、次品、翻新品等）的不法行为记录为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本公司承诺：本次</w:t>
            </w:r>
            <w:r>
              <w:rPr>
                <w:rFonts w:hint="eastAsia" w:ascii="宋体" w:hAnsi="宋体" w:cs="宋体"/>
                <w:sz w:val="24"/>
                <w:highlight w:val="none"/>
                <w:lang w:eastAsia="zh-CN"/>
              </w:rPr>
              <w:t>竞争性谈判</w:t>
            </w:r>
            <w:r>
              <w:rPr>
                <w:rFonts w:hint="eastAsia" w:ascii="宋体" w:hAnsi="宋体" w:cs="宋体"/>
                <w:sz w:val="24"/>
                <w:highlight w:val="none"/>
              </w:rPr>
              <w:t>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5"/>
        <w:bidi w:val="0"/>
        <w:jc w:val="center"/>
        <w:rPr>
          <w:rFonts w:hint="eastAsia"/>
          <w:highlight w:val="none"/>
        </w:rPr>
      </w:pPr>
      <w:bookmarkStart w:id="378" w:name="_Toc24615"/>
      <w:r>
        <w:rPr>
          <w:rFonts w:hint="eastAsia"/>
          <w:highlight w:val="none"/>
        </w:rPr>
        <w:t>承诺书（五）</w:t>
      </w:r>
      <w:bookmarkEnd w:id="37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项目的供应商，本公司承诺：参加本次</w:t>
            </w:r>
            <w:r>
              <w:rPr>
                <w:rFonts w:hint="eastAsia" w:ascii="宋体" w:hAnsi="宋体" w:cs="宋体"/>
                <w:sz w:val="24"/>
                <w:highlight w:val="none"/>
                <w:lang w:eastAsia="zh-CN"/>
              </w:rPr>
              <w:t>竞争性谈判</w:t>
            </w:r>
            <w:r>
              <w:rPr>
                <w:rFonts w:hint="eastAsia" w:ascii="宋体" w:hAnsi="宋体" w:cs="宋体"/>
                <w:sz w:val="24"/>
                <w:highlight w:val="none"/>
              </w:rPr>
              <w:t>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autoSpaceDE w:val="0"/>
        <w:autoSpaceDN w:val="0"/>
        <w:adjustRightInd w:val="0"/>
        <w:spacing w:line="360" w:lineRule="auto"/>
        <w:rPr>
          <w:rFonts w:hint="eastAsia" w:ascii="宋体" w:hAnsi="宋体" w:cs="宋体"/>
          <w:highlight w:val="none"/>
        </w:rPr>
        <w:sectPr>
          <w:headerReference r:id="rId4" w:type="default"/>
          <w:footerReference r:id="rId5" w:type="default"/>
          <w:pgSz w:w="11906" w:h="16838"/>
          <w:pgMar w:top="1440" w:right="1080" w:bottom="1440" w:left="1080" w:header="851" w:footer="992" w:gutter="0"/>
          <w:pgNumType w:fmt="decimal" w:start="1"/>
          <w:cols w:space="720" w:num="1"/>
          <w:docGrid w:type="lines" w:linePitch="312" w:charSpace="0"/>
        </w:sectPr>
      </w:pPr>
    </w:p>
    <w:p>
      <w:pPr>
        <w:pStyle w:val="3"/>
        <w:spacing w:before="0" w:after="0" w:line="360" w:lineRule="auto"/>
        <w:jc w:val="center"/>
        <w:rPr>
          <w:rFonts w:hint="eastAsia" w:ascii="宋体" w:hAnsi="宋体" w:eastAsia="宋体" w:cs="宋体"/>
          <w:highlight w:val="none"/>
          <w:u w:val="single"/>
        </w:rPr>
      </w:pPr>
      <w:bookmarkStart w:id="379" w:name="_Toc22665"/>
      <w:bookmarkStart w:id="380" w:name="_Toc12167"/>
      <w:bookmarkStart w:id="381" w:name="_Toc30564"/>
      <w:bookmarkStart w:id="382" w:name="_Toc28921"/>
      <w:bookmarkStart w:id="383" w:name="_Toc28693"/>
      <w:bookmarkStart w:id="384" w:name="_Toc5255"/>
      <w:bookmarkStart w:id="385" w:name="_Toc224"/>
      <w:bookmarkStart w:id="386" w:name="_Toc23940"/>
      <w:bookmarkStart w:id="387" w:name="_Toc2656"/>
      <w:bookmarkStart w:id="388" w:name="_Toc22232"/>
      <w:r>
        <w:rPr>
          <w:rFonts w:hint="eastAsia" w:ascii="宋体" w:hAnsi="宋体" w:eastAsia="宋体" w:cs="宋体"/>
          <w:highlight w:val="none"/>
          <w:lang w:val="en-US" w:eastAsia="zh-CN"/>
        </w:rPr>
        <w:t>九</w:t>
      </w:r>
      <w:r>
        <w:rPr>
          <w:rFonts w:hint="eastAsia" w:ascii="宋体" w:hAnsi="宋体" w:eastAsia="宋体" w:cs="宋体"/>
          <w:highlight w:val="none"/>
        </w:rPr>
        <w:t>、</w:t>
      </w:r>
      <w:bookmarkEnd w:id="345"/>
      <w:bookmarkEnd w:id="379"/>
      <w:bookmarkEnd w:id="380"/>
      <w:bookmarkEnd w:id="381"/>
      <w:bookmarkEnd w:id="382"/>
      <w:r>
        <w:rPr>
          <w:rFonts w:hint="eastAsia" w:ascii="宋体" w:hAnsi="宋体" w:eastAsia="宋体" w:cs="宋体"/>
          <w:highlight w:val="none"/>
        </w:rPr>
        <w:t>服务承诺</w:t>
      </w:r>
      <w:bookmarkEnd w:id="383"/>
      <w:bookmarkEnd w:id="384"/>
      <w:bookmarkEnd w:id="385"/>
      <w:bookmarkEnd w:id="386"/>
      <w:bookmarkEnd w:id="387"/>
      <w:bookmarkEnd w:id="388"/>
    </w:p>
    <w:p>
      <w:pPr>
        <w:spacing w:line="360" w:lineRule="auto"/>
        <w:rPr>
          <w:rFonts w:hint="eastAsia" w:ascii="宋体" w:hAnsi="宋体" w:cs="宋体"/>
          <w:highlight w:val="none"/>
        </w:rPr>
      </w:pPr>
      <w:r>
        <w:rPr>
          <w:rFonts w:hint="eastAsia" w:ascii="宋体" w:hAnsi="宋体" w:cs="宋体"/>
          <w:sz w:val="24"/>
          <w:szCs w:val="24"/>
          <w:highlight w:val="none"/>
        </w:rPr>
        <w:t>致：</w:t>
      </w:r>
      <w:r>
        <w:rPr>
          <w:rFonts w:hint="eastAsia" w:ascii="宋体" w:hAnsi="宋体" w:cs="宋体"/>
          <w:sz w:val="24"/>
          <w:highlight w:val="none"/>
          <w:u w:val="single"/>
        </w:rPr>
        <w:t xml:space="preserve">    （采购人）    </w:t>
      </w:r>
    </w:p>
    <w:p>
      <w:pPr>
        <w:spacing w:line="360" w:lineRule="auto"/>
        <w:ind w:firstLine="480" w:firstLineChars="200"/>
        <w:rPr>
          <w:rFonts w:hint="eastAsia" w:ascii="宋体" w:hAnsi="宋体" w:cs="宋体"/>
          <w:sz w:val="24"/>
          <w:highlight w:val="none"/>
        </w:rPr>
      </w:pPr>
      <w:bookmarkStart w:id="389" w:name="_Toc86117413"/>
      <w:bookmarkStart w:id="390" w:name="_Toc86547257"/>
      <w:r>
        <w:rPr>
          <w:rFonts w:hint="eastAsia" w:ascii="宋体" w:hAnsi="宋体" w:cs="宋体"/>
          <w:sz w:val="24"/>
          <w:highlight w:val="none"/>
        </w:rPr>
        <w:t>我公司对参加此次“</w:t>
      </w:r>
      <w:r>
        <w:rPr>
          <w:rFonts w:hint="eastAsia" w:ascii="宋体" w:hAnsi="宋体" w:cs="宋体"/>
          <w:sz w:val="24"/>
          <w:highlight w:val="none"/>
          <w:u w:val="single"/>
        </w:rPr>
        <w:t xml:space="preserve">                                  </w:t>
      </w:r>
      <w:r>
        <w:rPr>
          <w:rFonts w:hint="eastAsia" w:ascii="宋体" w:hAnsi="宋体" w:cs="宋体"/>
          <w:sz w:val="24"/>
          <w:highlight w:val="none"/>
        </w:rPr>
        <w:t>项目”所提供的服务做如下承诺：</w:t>
      </w:r>
      <w:bookmarkEnd w:id="389"/>
      <w:bookmarkEnd w:id="390"/>
    </w:p>
    <w:p>
      <w:pPr>
        <w:spacing w:line="360" w:lineRule="auto"/>
        <w:rPr>
          <w:rFonts w:hint="eastAsia" w:ascii="宋体" w:hAnsi="宋体" w:cs="宋体"/>
          <w:highlight w:val="none"/>
        </w:rPr>
      </w:pPr>
      <w:bookmarkStart w:id="391" w:name="_Toc86547258"/>
      <w:bookmarkStart w:id="392" w:name="_Toc86117414"/>
      <w:r>
        <w:rPr>
          <w:rFonts w:hint="eastAsia" w:ascii="宋体" w:hAnsi="宋体" w:cs="宋体"/>
          <w:sz w:val="24"/>
          <w:highlight w:val="none"/>
        </w:rPr>
        <w:t>（承诺内容）</w:t>
      </w:r>
      <w:bookmarkEnd w:id="391"/>
      <w:bookmarkEnd w:id="392"/>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jc w:val="right"/>
        <w:rPr>
          <w:rFonts w:hint="eastAsia" w:ascii="宋体" w:hAnsi="宋体" w:cs="宋体"/>
          <w:sz w:val="24"/>
          <w:highlight w:val="none"/>
        </w:rPr>
      </w:pPr>
    </w:p>
    <w:p>
      <w:pPr>
        <w:rPr>
          <w:rFonts w:hint="eastAsia" w:ascii="宋体" w:hAnsi="宋体" w:cs="宋体"/>
          <w:sz w:val="32"/>
          <w:szCs w:val="16"/>
          <w:highlight w:val="none"/>
          <w:lang w:val="en-US" w:eastAsia="zh-CN"/>
        </w:rPr>
      </w:pPr>
      <w:bookmarkStart w:id="393" w:name="_Toc1084"/>
      <w:bookmarkStart w:id="394" w:name="_Toc6475"/>
      <w:bookmarkStart w:id="395" w:name="_Toc9630"/>
      <w:bookmarkStart w:id="396" w:name="_Toc5582"/>
      <w:bookmarkStart w:id="397" w:name="_Toc3173"/>
      <w:bookmarkStart w:id="398" w:name="_Toc6737"/>
      <w:r>
        <w:rPr>
          <w:rFonts w:hint="eastAsia" w:ascii="宋体" w:hAnsi="宋体" w:cs="宋体"/>
          <w:sz w:val="32"/>
          <w:szCs w:val="16"/>
          <w:highlight w:val="none"/>
          <w:lang w:val="en-US" w:eastAsia="zh-CN"/>
        </w:rPr>
        <w:br w:type="page"/>
      </w:r>
    </w:p>
    <w:bookmarkEnd w:id="393"/>
    <w:bookmarkEnd w:id="394"/>
    <w:bookmarkEnd w:id="395"/>
    <w:bookmarkEnd w:id="396"/>
    <w:bookmarkEnd w:id="397"/>
    <w:bookmarkEnd w:id="398"/>
    <w:p>
      <w:pPr>
        <w:pStyle w:val="3"/>
        <w:spacing w:before="0" w:after="0" w:line="360" w:lineRule="auto"/>
        <w:jc w:val="center"/>
        <w:rPr>
          <w:rFonts w:hint="eastAsia" w:ascii="宋体" w:hAnsi="宋体" w:eastAsia="宋体" w:cs="宋体"/>
          <w:highlight w:val="none"/>
        </w:rPr>
      </w:pPr>
      <w:bookmarkStart w:id="399" w:name="_Toc10386"/>
      <w:bookmarkStart w:id="400" w:name="_Toc10953"/>
      <w:r>
        <w:rPr>
          <w:rFonts w:hint="eastAsia" w:ascii="宋体" w:hAnsi="宋体" w:eastAsia="宋体" w:cs="宋体"/>
          <w:highlight w:val="none"/>
          <w:lang w:val="en-US" w:eastAsia="zh-CN"/>
        </w:rPr>
        <w:t>十</w:t>
      </w:r>
      <w:r>
        <w:rPr>
          <w:rFonts w:hint="eastAsia" w:ascii="宋体" w:hAnsi="宋体" w:eastAsia="宋体" w:cs="宋体"/>
          <w:highlight w:val="none"/>
        </w:rPr>
        <w:t xml:space="preserve"> 供应商性质</w:t>
      </w:r>
      <w:bookmarkEnd w:id="399"/>
      <w:bookmarkEnd w:id="400"/>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为小</w:t>
      </w:r>
      <w:r>
        <w:rPr>
          <w:rFonts w:hint="eastAsia" w:ascii="宋体" w:hAnsi="宋体" w:eastAsia="宋体" w:cs="宋体"/>
          <w:snapToGrid w:val="0"/>
          <w:color w:val="auto"/>
          <w:kern w:val="0"/>
          <w:sz w:val="24"/>
          <w:szCs w:val="24"/>
          <w:highlight w:val="none"/>
          <w:lang w:val="en-US" w:eastAsia="zh-CN"/>
        </w:rPr>
        <w:t>微</w:t>
      </w:r>
      <w:r>
        <w:rPr>
          <w:rFonts w:hint="eastAsia" w:ascii="宋体" w:hAnsi="宋体" w:eastAsia="宋体" w:cs="宋体"/>
          <w:snapToGrid w:val="0"/>
          <w:color w:val="auto"/>
          <w:kern w:val="0"/>
          <w:sz w:val="24"/>
          <w:szCs w:val="24"/>
          <w:highlight w:val="none"/>
        </w:rPr>
        <w:t>企业或残疾人福利性单位的，应按下文给定格式填写声明函。未提供或未按给定格式提供声明函的，将不能享受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特别提醒：仅当服务商属于小微企业、或残疾人福利性单位、或监狱企业时才需填写相应的声明函/证明函，否则应当将其留空。</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性质将随成交公告一同公布，接受社会监督。</w:t>
      </w:r>
    </w:p>
    <w:p>
      <w:pPr>
        <w:rPr>
          <w:rFonts w:hint="eastAsia"/>
          <w:highlight w:val="none"/>
          <w:lang w:val="en-US" w:eastAsia="zh-CN"/>
        </w:rPr>
      </w:pPr>
      <w:r>
        <w:rPr>
          <w:rFonts w:hint="eastAsia"/>
          <w:highlight w:val="none"/>
          <w:lang w:val="en-US" w:eastAsia="zh-CN"/>
        </w:rPr>
        <w:br w:type="page"/>
      </w:r>
    </w:p>
    <w:p>
      <w:pPr>
        <w:pStyle w:val="5"/>
        <w:bidi w:val="0"/>
        <w:rPr>
          <w:rFonts w:hint="eastAsia"/>
          <w:highlight w:val="none"/>
        </w:rPr>
      </w:pPr>
      <w:bookmarkStart w:id="401" w:name="_Toc28759"/>
      <w:bookmarkStart w:id="402" w:name="_Toc11662"/>
      <w:bookmarkStart w:id="403" w:name="_Toc17432"/>
      <w:bookmarkStart w:id="404" w:name="_Toc32544"/>
      <w:bookmarkStart w:id="405" w:name="_Toc20590"/>
      <w:bookmarkStart w:id="406" w:name="_Toc12971"/>
      <w:bookmarkStart w:id="407" w:name="_Toc11553"/>
      <w:bookmarkStart w:id="408" w:name="_Toc849"/>
      <w:bookmarkStart w:id="409" w:name="_Toc12991"/>
      <w:bookmarkStart w:id="410" w:name="_Toc22614"/>
      <w:r>
        <w:rPr>
          <w:rFonts w:hint="eastAsia"/>
          <w:highlight w:val="none"/>
        </w:rPr>
        <w:t>附件1</w:t>
      </w:r>
      <w:r>
        <w:rPr>
          <w:rFonts w:hint="eastAsia"/>
          <w:highlight w:val="none"/>
          <w:lang w:eastAsia="zh-CN"/>
        </w:rPr>
        <w:t>：</w:t>
      </w:r>
      <w:bookmarkEnd w:id="401"/>
      <w:bookmarkEnd w:id="402"/>
      <w:bookmarkEnd w:id="403"/>
      <w:bookmarkEnd w:id="404"/>
      <w:bookmarkEnd w:id="405"/>
      <w:bookmarkEnd w:id="406"/>
      <w:bookmarkEnd w:id="407"/>
      <w:bookmarkEnd w:id="408"/>
      <w:bookmarkEnd w:id="409"/>
      <w:r>
        <w:rPr>
          <w:rFonts w:hint="eastAsia"/>
          <w:highlight w:val="none"/>
          <w:lang w:eastAsia="zh-CN"/>
        </w:rPr>
        <w:t>中小企业声明函</w:t>
      </w:r>
      <w:bookmarkEnd w:id="410"/>
    </w:p>
    <w:p>
      <w:pPr>
        <w:bidi w:val="0"/>
        <w:spacing w:line="360" w:lineRule="auto"/>
        <w:jc w:val="center"/>
        <w:rPr>
          <w:b/>
          <w:bCs/>
          <w:sz w:val="36"/>
          <w:szCs w:val="36"/>
          <w:highlight w:val="none"/>
        </w:rPr>
      </w:pPr>
      <w:bookmarkStart w:id="411" w:name="_Toc17757"/>
      <w:bookmarkStart w:id="412" w:name="_Toc24987"/>
      <w:r>
        <w:rPr>
          <w:b/>
          <w:bCs/>
          <w:sz w:val="36"/>
          <w:szCs w:val="36"/>
          <w:highlight w:val="none"/>
        </w:rPr>
        <w:t>中小企业声明函</w:t>
      </w:r>
      <w:bookmarkEnd w:id="411"/>
      <w:bookmarkEnd w:id="412"/>
    </w:p>
    <w:p>
      <w:pPr>
        <w:pStyle w:val="10"/>
        <w:keepNext w:val="0"/>
        <w:keepLines w:val="0"/>
        <w:pageBreakBefore w:val="0"/>
        <w:widowControl w:val="0"/>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sz w:val="24"/>
          <w:szCs w:val="24"/>
          <w:highlight w:val="none"/>
        </w:rPr>
      </w:pPr>
      <w:r>
        <w:rPr>
          <w:rFonts w:eastAsia="宋体"/>
          <w:i w:val="0"/>
          <w:iCs w:val="0"/>
          <w:spacing w:val="0"/>
          <w:sz w:val="24"/>
          <w:szCs w:val="24"/>
          <w:highlight w:val="none"/>
        </w:rPr>
        <w:t>本公司（联合体）郑重声明，根据《政府采购促进中小企业发展管理办法》（财库</w:t>
      </w:r>
      <w:r>
        <w:rPr>
          <w:rFonts w:hint="eastAsia" w:ascii="宋体" w:eastAsia="宋体"/>
          <w:i w:val="0"/>
          <w:iCs w:val="0"/>
          <w:spacing w:val="0"/>
          <w:sz w:val="24"/>
          <w:szCs w:val="24"/>
          <w:highlight w:val="none"/>
        </w:rPr>
        <w:t>﹝</w:t>
      </w:r>
      <w:r>
        <w:rPr>
          <w:rFonts w:eastAsia="宋体"/>
          <w:i w:val="0"/>
          <w:iCs w:val="0"/>
          <w:spacing w:val="0"/>
          <w:sz w:val="24"/>
          <w:szCs w:val="24"/>
          <w:highlight w:val="none"/>
        </w:rPr>
        <w:t>2020</w:t>
      </w:r>
      <w:r>
        <w:rPr>
          <w:rFonts w:hint="eastAsia" w:ascii="宋体" w:eastAsia="宋体"/>
          <w:i w:val="0"/>
          <w:iCs w:val="0"/>
          <w:spacing w:val="0"/>
          <w:sz w:val="24"/>
          <w:szCs w:val="24"/>
          <w:highlight w:val="none"/>
        </w:rPr>
        <w:t>﹞</w:t>
      </w:r>
      <w:r>
        <w:rPr>
          <w:rFonts w:eastAsia="宋体"/>
          <w:i w:val="0"/>
          <w:iCs w:val="0"/>
          <w:spacing w:val="0"/>
          <w:sz w:val="24"/>
          <w:szCs w:val="24"/>
          <w:highlight w:val="none"/>
        </w:rPr>
        <w:t>46号）的规定，本公司（联合体）参加</w:t>
      </w:r>
      <w:r>
        <w:rPr>
          <w:rFonts w:eastAsia="宋体"/>
          <w:i w:val="0"/>
          <w:iCs w:val="0"/>
          <w:spacing w:val="0"/>
          <w:sz w:val="24"/>
          <w:szCs w:val="24"/>
          <w:highlight w:val="none"/>
          <w:u w:val="single"/>
        </w:rPr>
        <w:t>（单位名称）</w:t>
      </w:r>
      <w:r>
        <w:rPr>
          <w:rFonts w:eastAsia="宋体"/>
          <w:i w:val="0"/>
          <w:iCs w:val="0"/>
          <w:spacing w:val="0"/>
          <w:sz w:val="24"/>
          <w:szCs w:val="24"/>
          <w:highlight w:val="none"/>
        </w:rPr>
        <w:t>的</w:t>
      </w:r>
      <w:r>
        <w:rPr>
          <w:rFonts w:eastAsia="宋体"/>
          <w:i w:val="0"/>
          <w:iCs w:val="0"/>
          <w:spacing w:val="0"/>
          <w:sz w:val="24"/>
          <w:szCs w:val="24"/>
          <w:highlight w:val="none"/>
          <w:u w:val="single"/>
        </w:rPr>
        <w:t>（项目名称）</w:t>
      </w:r>
      <w:r>
        <w:rPr>
          <w:rFonts w:eastAsia="宋体"/>
          <w:i w:val="0"/>
          <w:iCs w:val="0"/>
          <w:spacing w:val="0"/>
          <w:sz w:val="24"/>
          <w:szCs w:val="24"/>
          <w:highlight w:val="none"/>
        </w:rPr>
        <w:t>采购活动，服务全部由符合政策要求的中小企业承接。相关企业（含联合体中的中小企业、签订分包意向协议的中小企业）的具体情况如下：</w:t>
      </w:r>
    </w:p>
    <w:p>
      <w:pPr>
        <w:pStyle w:val="10"/>
        <w:keepNext w:val="0"/>
        <w:keepLines w:val="0"/>
        <w:pageBreakBefore w:val="0"/>
        <w:widowControl w:val="0"/>
        <w:numPr>
          <w:ilvl w:val="0"/>
          <w:numId w:val="7"/>
        </w:numPr>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w w:val="99"/>
          <w:sz w:val="24"/>
          <w:szCs w:val="24"/>
          <w:highlight w:val="none"/>
        </w:rPr>
      </w:pPr>
      <w:r>
        <w:rPr>
          <w:rFonts w:eastAsia="宋体"/>
          <w:i w:val="0"/>
          <w:iCs w:val="0"/>
          <w:spacing w:val="0"/>
          <w:w w:val="96"/>
          <w:sz w:val="24"/>
          <w:szCs w:val="24"/>
          <w:highlight w:val="none"/>
          <w:u w:val="single"/>
        </w:rPr>
        <w:t>（标的名称）</w:t>
      </w:r>
      <w:r>
        <w:rPr>
          <w:rFonts w:eastAsia="宋体"/>
          <w:i w:val="0"/>
          <w:iCs w:val="0"/>
          <w:spacing w:val="0"/>
          <w:w w:val="99"/>
          <w:sz w:val="24"/>
          <w:szCs w:val="24"/>
          <w:highlight w:val="none"/>
          <w:u w:val="none"/>
        </w:rPr>
        <w:t>，</w:t>
      </w:r>
      <w:r>
        <w:rPr>
          <w:rFonts w:ascii="仿宋" w:hAnsi="仿宋" w:eastAsia="宋体" w:cs="仿宋"/>
          <w:i w:val="0"/>
          <w:iCs w:val="0"/>
          <w:spacing w:val="0"/>
          <w:sz w:val="24"/>
          <w:szCs w:val="24"/>
          <w:highlight w:val="none"/>
          <w:u w:val="none"/>
          <w:lang w:val="zh-CN" w:eastAsia="zh-CN" w:bidi="zh-CN"/>
        </w:rPr>
        <w:t>属于</w:t>
      </w:r>
      <w:r>
        <w:rPr>
          <w:rFonts w:eastAsia="宋体"/>
          <w:i w:val="0"/>
          <w:iCs w:val="0"/>
          <w:spacing w:val="0"/>
          <w:w w:val="96"/>
          <w:sz w:val="24"/>
          <w:szCs w:val="24"/>
          <w:highlight w:val="none"/>
          <w:u w:val="none"/>
        </w:rPr>
        <w:t>（</w:t>
      </w:r>
      <w:r>
        <w:rPr>
          <w:rFonts w:eastAsia="宋体"/>
          <w:i w:val="0"/>
          <w:iCs w:val="0"/>
          <w:spacing w:val="0"/>
          <w:w w:val="96"/>
          <w:sz w:val="24"/>
          <w:szCs w:val="24"/>
          <w:highlight w:val="none"/>
          <w:u w:val="single"/>
        </w:rPr>
        <w:t>采购文件中明确的所属行业）</w:t>
      </w:r>
      <w:r>
        <w:rPr>
          <w:rFonts w:eastAsia="宋体"/>
          <w:i w:val="0"/>
          <w:iCs w:val="0"/>
          <w:spacing w:val="0"/>
          <w:w w:val="99"/>
          <w:sz w:val="24"/>
          <w:szCs w:val="24"/>
          <w:highlight w:val="none"/>
          <w:u w:val="none"/>
        </w:rPr>
        <w:t>；</w:t>
      </w:r>
      <w:r>
        <w:rPr>
          <w:rFonts w:eastAsia="宋体"/>
          <w:i w:val="0"/>
          <w:iCs w:val="0"/>
          <w:spacing w:val="0"/>
          <w:w w:val="99"/>
          <w:sz w:val="24"/>
          <w:szCs w:val="24"/>
          <w:highlight w:val="none"/>
        </w:rPr>
        <w:t>承建（承接）企业为</w:t>
      </w:r>
      <w:r>
        <w:rPr>
          <w:rFonts w:eastAsia="宋体"/>
          <w:i w:val="0"/>
          <w:iCs w:val="0"/>
          <w:spacing w:val="0"/>
          <w:w w:val="96"/>
          <w:sz w:val="24"/>
          <w:szCs w:val="24"/>
          <w:highlight w:val="none"/>
          <w:u w:val="single"/>
        </w:rPr>
        <w:t>（企业名称）</w:t>
      </w:r>
      <w:r>
        <w:rPr>
          <w:rFonts w:eastAsia="宋体"/>
          <w:i w:val="0"/>
          <w:iCs w:val="0"/>
          <w:spacing w:val="0"/>
          <w:w w:val="99"/>
          <w:sz w:val="24"/>
          <w:szCs w:val="24"/>
          <w:highlight w:val="none"/>
        </w:rPr>
        <w:t>，从业人员</w:t>
      </w:r>
      <w:r>
        <w:rPr>
          <w:rFonts w:ascii="Times New Roman" w:eastAsia="宋体"/>
          <w:i w:val="0"/>
          <w:iCs w:val="0"/>
          <w:spacing w:val="0"/>
          <w:w w:val="99"/>
          <w:sz w:val="24"/>
          <w:szCs w:val="24"/>
          <w:highlight w:val="none"/>
          <w:u w:val="single"/>
        </w:rPr>
        <w:t xml:space="preserve"> </w:t>
      </w:r>
      <w:r>
        <w:rPr>
          <w:rFonts w:hint="eastAsia"/>
          <w:i w:val="0"/>
          <w:iCs w:val="0"/>
          <w:spacing w:val="0"/>
          <w:w w:val="99"/>
          <w:sz w:val="24"/>
          <w:szCs w:val="24"/>
          <w:highlight w:val="none"/>
          <w:u w:val="single"/>
          <w:lang w:val="en-US" w:eastAsia="zh-CN"/>
        </w:rPr>
        <w:t xml:space="preserve">   </w:t>
      </w:r>
      <w:r>
        <w:rPr>
          <w:rFonts w:eastAsia="宋体"/>
          <w:i w:val="0"/>
          <w:iCs w:val="0"/>
          <w:spacing w:val="0"/>
          <w:w w:val="99"/>
          <w:sz w:val="24"/>
          <w:szCs w:val="24"/>
          <w:highlight w:val="none"/>
        </w:rPr>
        <w:t>人，</w:t>
      </w:r>
      <w:r>
        <w:rPr>
          <w:rFonts w:eastAsia="宋体"/>
          <w:i w:val="0"/>
          <w:iCs w:val="0"/>
          <w:spacing w:val="0"/>
          <w:sz w:val="24"/>
          <w:szCs w:val="24"/>
          <w:highlight w:val="none"/>
          <w:u w:val="none"/>
        </w:rPr>
        <w:t>营业</w:t>
      </w:r>
      <w:r>
        <w:rPr>
          <w:rFonts w:eastAsia="宋体"/>
          <w:i w:val="0"/>
          <w:iCs w:val="0"/>
          <w:spacing w:val="0"/>
          <w:sz w:val="24"/>
          <w:szCs w:val="24"/>
          <w:highlight w:val="none"/>
        </w:rPr>
        <w:t>收入为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rPr>
        <w:t>万元，资产总额为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rPr>
        <w:t>万元，属于</w:t>
      </w:r>
      <w:r>
        <w:rPr>
          <w:rFonts w:eastAsia="宋体"/>
          <w:i w:val="0"/>
          <w:iCs w:val="0"/>
          <w:spacing w:val="0"/>
          <w:sz w:val="24"/>
          <w:szCs w:val="24"/>
          <w:highlight w:val="none"/>
          <w:u w:val="single"/>
        </w:rPr>
        <w:t>（中型企业、</w:t>
      </w:r>
      <w:r>
        <w:rPr>
          <w:rFonts w:eastAsia="宋体"/>
          <w:i w:val="0"/>
          <w:iCs w:val="0"/>
          <w:spacing w:val="0"/>
          <w:w w:val="96"/>
          <w:sz w:val="24"/>
          <w:szCs w:val="24"/>
          <w:highlight w:val="none"/>
          <w:u w:val="single"/>
        </w:rPr>
        <w:t>小型企业、微型企业）</w:t>
      </w:r>
      <w:r>
        <w:rPr>
          <w:rFonts w:eastAsia="宋体"/>
          <w:i w:val="0"/>
          <w:iCs w:val="0"/>
          <w:spacing w:val="0"/>
          <w:w w:val="99"/>
          <w:sz w:val="24"/>
          <w:szCs w:val="24"/>
          <w:highlight w:val="none"/>
        </w:rPr>
        <w:t>；</w:t>
      </w:r>
    </w:p>
    <w:p>
      <w:pPr>
        <w:pStyle w:val="10"/>
        <w:keepNext w:val="0"/>
        <w:keepLines w:val="0"/>
        <w:pageBreakBefore w:val="0"/>
        <w:widowControl w:val="0"/>
        <w:numPr>
          <w:ilvl w:val="0"/>
          <w:numId w:val="7"/>
        </w:numPr>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sz w:val="24"/>
          <w:szCs w:val="24"/>
          <w:highlight w:val="none"/>
          <w:u w:val="none"/>
        </w:rPr>
      </w:pPr>
      <w:r>
        <w:rPr>
          <w:rFonts w:eastAsia="宋体"/>
          <w:i w:val="0"/>
          <w:iCs w:val="0"/>
          <w:spacing w:val="0"/>
          <w:w w:val="96"/>
          <w:sz w:val="24"/>
          <w:szCs w:val="24"/>
          <w:highlight w:val="none"/>
          <w:u w:val="single"/>
        </w:rPr>
        <w:t>（标的名称）</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属于</w:t>
      </w:r>
      <w:r>
        <w:rPr>
          <w:rFonts w:eastAsia="宋体"/>
          <w:i w:val="0"/>
          <w:iCs w:val="0"/>
          <w:spacing w:val="0"/>
          <w:w w:val="96"/>
          <w:sz w:val="24"/>
          <w:szCs w:val="24"/>
          <w:highlight w:val="none"/>
          <w:u w:val="none"/>
        </w:rPr>
        <w:t>（</w:t>
      </w:r>
      <w:r>
        <w:rPr>
          <w:rFonts w:eastAsia="宋体"/>
          <w:i w:val="0"/>
          <w:iCs w:val="0"/>
          <w:spacing w:val="0"/>
          <w:w w:val="96"/>
          <w:sz w:val="24"/>
          <w:szCs w:val="24"/>
          <w:highlight w:val="none"/>
          <w:u w:val="single"/>
        </w:rPr>
        <w:t>采购文件中明确的所属行业）</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承建（承接）企业为</w:t>
      </w:r>
      <w:r>
        <w:rPr>
          <w:rFonts w:eastAsia="宋体"/>
          <w:i w:val="0"/>
          <w:iCs w:val="0"/>
          <w:spacing w:val="0"/>
          <w:w w:val="96"/>
          <w:sz w:val="24"/>
          <w:szCs w:val="24"/>
          <w:highlight w:val="none"/>
          <w:u w:val="single"/>
        </w:rPr>
        <w:t>（企业名称）</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从业人员</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人</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营业收入为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万元，资产总额为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万元，属于</w:t>
      </w:r>
      <w:r>
        <w:rPr>
          <w:rFonts w:eastAsia="宋体"/>
          <w:i w:val="0"/>
          <w:iCs w:val="0"/>
          <w:spacing w:val="0"/>
          <w:sz w:val="24"/>
          <w:szCs w:val="24"/>
          <w:highlight w:val="none"/>
          <w:u w:val="single"/>
        </w:rPr>
        <w:t>（中型企业、</w:t>
      </w:r>
      <w:r>
        <w:rPr>
          <w:rFonts w:eastAsia="宋体"/>
          <w:i w:val="0"/>
          <w:iCs w:val="0"/>
          <w:spacing w:val="0"/>
          <w:w w:val="96"/>
          <w:sz w:val="24"/>
          <w:szCs w:val="24"/>
          <w:highlight w:val="none"/>
          <w:u w:val="single"/>
        </w:rPr>
        <w:t>小型企业、微型企业）</w:t>
      </w:r>
      <w:r>
        <w:rPr>
          <w:rFonts w:eastAsia="宋体"/>
          <w:i w:val="0"/>
          <w:iCs w:val="0"/>
          <w:spacing w:val="0"/>
          <w:w w:val="99"/>
          <w:sz w:val="24"/>
          <w:szCs w:val="24"/>
          <w:highlight w:val="none"/>
          <w:u w:val="none"/>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960" w:firstLineChars="400"/>
        <w:textAlignment w:val="auto"/>
        <w:rPr>
          <w:rFonts w:eastAsia="宋体"/>
          <w:i w:val="0"/>
          <w:iCs w:val="0"/>
          <w:spacing w:val="0"/>
          <w:sz w:val="24"/>
          <w:szCs w:val="24"/>
          <w:highlight w:val="none"/>
        </w:rPr>
      </w:pPr>
      <w:r>
        <w:rPr>
          <w:rFonts w:eastAsia="宋体"/>
          <w:i w:val="0"/>
          <w:iCs w:val="0"/>
          <w:spacing w:val="0"/>
          <w:sz w:val="24"/>
          <w:szCs w:val="24"/>
          <w:highlight w:val="none"/>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5"/>
        <w:jc w:val="both"/>
        <w:textAlignment w:val="auto"/>
        <w:rPr>
          <w:rFonts w:eastAsia="宋体"/>
          <w:i w:val="0"/>
          <w:iCs w:val="0"/>
          <w:spacing w:val="0"/>
          <w:sz w:val="24"/>
          <w:szCs w:val="24"/>
          <w:highlight w:val="none"/>
        </w:rPr>
      </w:pPr>
      <w:r>
        <w:rPr>
          <w:rFonts w:eastAsia="宋体"/>
          <w:i w:val="0"/>
          <w:iCs w:val="0"/>
          <w:spacing w:val="0"/>
          <w:sz w:val="24"/>
          <w:szCs w:val="24"/>
          <w:highlight w:val="none"/>
        </w:rPr>
        <w:t>以上企业，不属于大企业的分支机构，不存在控股股东为大企业的情形，也不存在与大企业的负责人为同一人的情形。</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textAlignment w:val="auto"/>
        <w:rPr>
          <w:rFonts w:eastAsia="宋体"/>
          <w:i w:val="0"/>
          <w:iCs w:val="0"/>
          <w:spacing w:val="0"/>
          <w:sz w:val="24"/>
          <w:szCs w:val="24"/>
          <w:highlight w:val="none"/>
        </w:rPr>
      </w:pPr>
      <w:r>
        <w:rPr>
          <w:rFonts w:eastAsia="宋体"/>
          <w:i w:val="0"/>
          <w:iCs w:val="0"/>
          <w:spacing w:val="0"/>
          <w:sz w:val="24"/>
          <w:szCs w:val="24"/>
          <w:highlight w:val="none"/>
        </w:rPr>
        <w:t>本企业对上述声明内容的真实性负责。如有虚假，将依法承担相应责任。</w:t>
      </w:r>
    </w:p>
    <w:p>
      <w:pPr>
        <w:spacing w:line="360" w:lineRule="auto"/>
        <w:rPr>
          <w:rFonts w:eastAsia="宋体"/>
          <w:i w:val="0"/>
          <w:iCs w:val="0"/>
          <w:spacing w:val="0"/>
          <w:w w:val="99"/>
          <w:sz w:val="24"/>
          <w:szCs w:val="24"/>
          <w:highlight w:val="none"/>
        </w:rPr>
      </w:pPr>
    </w:p>
    <w:p>
      <w:pPr>
        <w:spacing w:line="360" w:lineRule="auto"/>
        <w:rPr>
          <w:rFonts w:eastAsia="宋体"/>
          <w:i w:val="0"/>
          <w:iCs w:val="0"/>
          <w:spacing w:val="0"/>
          <w:w w:val="99"/>
          <w:sz w:val="24"/>
          <w:szCs w:val="24"/>
          <w:highlight w:val="none"/>
        </w:rPr>
      </w:pPr>
    </w:p>
    <w:p>
      <w:pPr>
        <w:spacing w:line="360" w:lineRule="auto"/>
        <w:rPr>
          <w:rFonts w:eastAsia="宋体"/>
          <w:i w:val="0"/>
          <w:iCs w:val="0"/>
          <w:spacing w:val="0"/>
          <w:w w:val="99"/>
          <w:sz w:val="24"/>
          <w:szCs w:val="24"/>
          <w:highlight w:val="none"/>
        </w:rPr>
      </w:pPr>
      <w:r>
        <w:rPr>
          <w:rFonts w:eastAsia="宋体"/>
          <w:i w:val="0"/>
          <w:iCs w:val="0"/>
          <w:spacing w:val="0"/>
          <w:w w:val="99"/>
          <w:sz w:val="24"/>
          <w:szCs w:val="24"/>
          <w:highlight w:val="none"/>
        </w:rPr>
        <w:t>企业名称（盖章）：</w:t>
      </w:r>
    </w:p>
    <w:p>
      <w:pPr>
        <w:spacing w:line="360" w:lineRule="auto"/>
        <w:rPr>
          <w:rFonts w:eastAsia="宋体"/>
          <w:i w:val="0"/>
          <w:iCs w:val="0"/>
          <w:spacing w:val="0"/>
          <w:sz w:val="24"/>
          <w:szCs w:val="24"/>
          <w:highlight w:val="none"/>
        </w:rPr>
      </w:pPr>
      <w:r>
        <w:rPr>
          <w:rFonts w:eastAsia="宋体"/>
          <w:i w:val="0"/>
          <w:iCs w:val="0"/>
          <w:spacing w:val="0"/>
          <w:sz w:val="24"/>
          <w:szCs w:val="24"/>
          <w:highlight w:val="none"/>
        </w:rPr>
        <w:t>日期</w:t>
      </w:r>
    </w:p>
    <w:p>
      <w:pPr>
        <w:pStyle w:val="10"/>
        <w:rPr>
          <w:rFonts w:eastAsia="宋体"/>
          <w:i w:val="0"/>
          <w:iCs w:val="0"/>
          <w:spacing w:val="0"/>
          <w:sz w:val="24"/>
          <w:szCs w:val="24"/>
          <w:highlight w:val="none"/>
        </w:rPr>
      </w:pPr>
    </w:p>
    <w:p>
      <w:pPr>
        <w:pStyle w:val="40"/>
        <w:rPr>
          <w:rFonts w:eastAsia="宋体"/>
          <w:i w:val="0"/>
          <w:iCs w:val="0"/>
          <w:spacing w:val="0"/>
          <w:sz w:val="24"/>
          <w:szCs w:val="24"/>
          <w:highlight w:val="none"/>
        </w:rPr>
      </w:pPr>
    </w:p>
    <w:p>
      <w:pPr>
        <w:pStyle w:val="41"/>
        <w:rPr>
          <w:rFonts w:eastAsia="宋体"/>
          <w:i w:val="0"/>
          <w:iCs w:val="0"/>
          <w:spacing w:val="0"/>
          <w:sz w:val="24"/>
          <w:szCs w:val="24"/>
          <w:highlight w:val="none"/>
        </w:rPr>
      </w:pPr>
    </w:p>
    <w:p>
      <w:pPr>
        <w:keepNext w:val="0"/>
        <w:keepLines w:val="0"/>
        <w:widowControl/>
        <w:suppressLineNumbers w:val="0"/>
        <w:kinsoku w:val="0"/>
        <w:autoSpaceDE w:val="0"/>
        <w:autoSpaceDN w:val="0"/>
        <w:adjustRightInd w:val="0"/>
        <w:snapToGrid w:val="0"/>
        <w:spacing w:line="240" w:lineRule="auto"/>
        <w:jc w:val="left"/>
        <w:textAlignment w:val="baseline"/>
        <w:rPr>
          <w:rFonts w:ascii="Arial" w:hAnsi="Arial" w:eastAsia="Arial" w:cs="Arial"/>
          <w:snapToGrid w:val="0"/>
          <w:color w:val="000000"/>
          <w:kern w:val="0"/>
          <w:highlight w:val="none"/>
        </w:rPr>
      </w:pPr>
      <w:r>
        <w:rPr>
          <w:rFonts w:hint="default" w:ascii="Times New Roman" w:hAnsi="Times New Roman" w:eastAsia="宋体" w:cs="Times New Roman"/>
          <w:snapToGrid w:val="0"/>
          <w:color w:val="000000"/>
          <w:kern w:val="0"/>
          <w:sz w:val="11"/>
          <w:szCs w:val="11"/>
          <w:highlight w:val="none"/>
          <w:lang w:val="en-US" w:eastAsia="zh-CN" w:bidi="ar"/>
        </w:rPr>
        <w:t>1</w:t>
      </w:r>
      <w:r>
        <w:rPr>
          <w:rFonts w:hint="eastAsia" w:ascii="宋体" w:hAnsi="宋体" w:eastAsia="宋体" w:cs="宋体"/>
          <w:snapToGrid w:val="0"/>
          <w:color w:val="000000"/>
          <w:kern w:val="0"/>
          <w:sz w:val="18"/>
          <w:szCs w:val="18"/>
          <w:highlight w:val="none"/>
          <w:lang w:val="en-US" w:eastAsia="zh-CN" w:bidi="ar"/>
        </w:rPr>
        <w:t>从业人员、营业收入、资产总额填报上一年度数据，无上一年度数据的新成立企业可不填报。</w:t>
      </w:r>
    </w:p>
    <w:p>
      <w:pPr>
        <w:rPr>
          <w:rFonts w:hint="eastAsia"/>
        </w:rPr>
      </w:pPr>
    </w:p>
    <w:p>
      <w:pPr>
        <w:spacing w:line="360" w:lineRule="auto"/>
        <w:rPr>
          <w:rFonts w:hint="eastAsia" w:ascii="宋体" w:hAnsi="宋体" w:cs="宋体"/>
          <w:b/>
          <w:sz w:val="32"/>
          <w:szCs w:val="32"/>
          <w:highlight w:val="none"/>
        </w:rPr>
      </w:pPr>
      <w:r>
        <w:rPr>
          <w:rFonts w:hint="eastAsia" w:ascii="宋体" w:hAnsi="宋体" w:cs="宋体"/>
          <w:b/>
          <w:sz w:val="32"/>
          <w:szCs w:val="32"/>
          <w:highlight w:val="none"/>
        </w:rPr>
        <w:br w:type="page"/>
      </w:r>
    </w:p>
    <w:p>
      <w:pPr>
        <w:pStyle w:val="5"/>
        <w:bidi w:val="0"/>
        <w:rPr>
          <w:rFonts w:hint="eastAsia" w:ascii="宋体" w:hAnsi="宋体" w:cs="宋体"/>
          <w:b/>
          <w:spacing w:val="6"/>
          <w:sz w:val="24"/>
          <w:szCs w:val="24"/>
          <w:highlight w:val="none"/>
        </w:rPr>
      </w:pPr>
      <w:bookmarkStart w:id="413" w:name="_Toc31700"/>
      <w:bookmarkStart w:id="414" w:name="OLE_LINK13"/>
      <w:bookmarkStart w:id="415" w:name="_Toc32214"/>
      <w:bookmarkStart w:id="416" w:name="_Toc8001"/>
      <w:bookmarkStart w:id="417" w:name="_Toc7823"/>
      <w:r>
        <w:rPr>
          <w:rFonts w:hint="eastAsia"/>
          <w:highlight w:val="none"/>
        </w:rPr>
        <w:t>附件</w:t>
      </w:r>
      <w:r>
        <w:rPr>
          <w:rFonts w:hint="eastAsia"/>
          <w:highlight w:val="none"/>
          <w:lang w:val="en-US" w:eastAsia="zh-CN"/>
        </w:rPr>
        <w:t>2</w:t>
      </w:r>
      <w:r>
        <w:rPr>
          <w:rFonts w:hint="eastAsia"/>
          <w:highlight w:val="none"/>
          <w:lang w:eastAsia="zh-CN"/>
        </w:rPr>
        <w:t>：</w:t>
      </w:r>
      <w:r>
        <w:rPr>
          <w:rFonts w:hint="eastAsia"/>
          <w:highlight w:val="none"/>
        </w:rPr>
        <w:t>残疾人福利性单位声明函</w:t>
      </w:r>
      <w:bookmarkEnd w:id="413"/>
      <w:bookmarkEnd w:id="414"/>
      <w:bookmarkEnd w:id="415"/>
      <w:r>
        <w:rPr>
          <w:rFonts w:ascii="宋体" w:hAnsi="宋体" w:eastAsia="宋体" w:cs="宋体"/>
          <w:sz w:val="28"/>
          <w:szCs w:val="28"/>
          <w:highlight w:val="none"/>
        </w:rPr>
        <w:t xml:space="preserve"> </w:t>
      </w:r>
      <w:r>
        <w:rPr>
          <w:rFonts w:hint="eastAsia"/>
          <w:highlight w:val="none"/>
        </w:rPr>
        <w:t>(非残疾人福利企业不填写)</w:t>
      </w:r>
      <w:bookmarkEnd w:id="416"/>
      <w:bookmarkEnd w:id="417"/>
    </w:p>
    <w:p>
      <w:pPr>
        <w:spacing w:line="360" w:lineRule="auto"/>
        <w:ind w:firstLine="504" w:firstLineChars="200"/>
        <w:rPr>
          <w:rFonts w:hint="eastAsia" w:ascii="宋体" w:hAnsi="宋体" w:cs="宋体"/>
          <w:spacing w:val="6"/>
          <w:sz w:val="24"/>
          <w:szCs w:val="24"/>
          <w:highlight w:val="none"/>
        </w:rPr>
      </w:pPr>
      <w:r>
        <w:rPr>
          <w:rFonts w:hint="eastAsia" w:ascii="宋体" w:hAnsi="宋体" w:cs="宋体"/>
          <w:spacing w:val="6"/>
          <w:sz w:val="24"/>
          <w:szCs w:val="24"/>
          <w:highlight w:val="none"/>
        </w:rPr>
        <w:t>本单位郑重声明，根据《财政部 民政部 中国残疾人联合会关于促进残疾人就业政府采购政策的通知》（财库</w:t>
      </w:r>
      <w:r>
        <w:rPr>
          <w:rFonts w:hint="eastAsia" w:ascii="宋体" w:hAnsi="宋体" w:cs="宋体"/>
          <w:sz w:val="24"/>
          <w:szCs w:val="24"/>
          <w:highlight w:val="none"/>
        </w:rPr>
        <w:t>〔2017〕141</w:t>
      </w:r>
      <w:r>
        <w:rPr>
          <w:rFonts w:hint="eastAsia" w:ascii="宋体" w:hAnsi="宋体" w:cs="宋体"/>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宋体" w:hAnsi="宋体" w:cs="宋体"/>
          <w:spacing w:val="6"/>
          <w:sz w:val="24"/>
          <w:szCs w:val="24"/>
          <w:highlight w:val="none"/>
        </w:rPr>
      </w:pPr>
      <w:r>
        <w:rPr>
          <w:rFonts w:hint="eastAsia" w:ascii="宋体" w:hAnsi="宋体" w:cs="宋体"/>
          <w:spacing w:val="6"/>
          <w:sz w:val="24"/>
          <w:szCs w:val="24"/>
          <w:highlight w:val="none"/>
        </w:rPr>
        <w:t>本单位对上述声明的真实性负责。如有虚假，将依法承担相应责任。</w:t>
      </w:r>
    </w:p>
    <w:p>
      <w:pPr>
        <w:spacing w:line="360" w:lineRule="auto"/>
        <w:ind w:firstLine="504" w:firstLineChars="200"/>
        <w:rPr>
          <w:rFonts w:hint="eastAsia" w:ascii="宋体" w:hAnsi="宋体" w:cs="宋体"/>
          <w:spacing w:val="6"/>
          <w:sz w:val="24"/>
          <w:szCs w:val="24"/>
          <w:highlight w:val="none"/>
        </w:rPr>
      </w:pPr>
    </w:p>
    <w:p>
      <w:pPr>
        <w:spacing w:line="360" w:lineRule="auto"/>
        <w:ind w:firstLine="504" w:firstLineChars="200"/>
        <w:rPr>
          <w:rFonts w:hint="eastAsia" w:ascii="宋体" w:hAnsi="宋体" w:cs="宋体"/>
          <w:spacing w:val="6"/>
          <w:sz w:val="24"/>
          <w:szCs w:val="24"/>
          <w:highlight w:val="none"/>
        </w:rPr>
      </w:pPr>
    </w:p>
    <w:p>
      <w:pPr>
        <w:tabs>
          <w:tab w:val="left" w:pos="4860"/>
        </w:tabs>
        <w:spacing w:line="360" w:lineRule="auto"/>
        <w:ind w:right="1560" w:firstLine="504" w:firstLineChars="200"/>
        <w:jc w:val="center"/>
        <w:rPr>
          <w:rFonts w:hint="eastAsia" w:ascii="宋体" w:hAnsi="宋体" w:cs="宋体"/>
          <w:spacing w:val="6"/>
          <w:sz w:val="24"/>
          <w:szCs w:val="24"/>
          <w:highlight w:val="none"/>
        </w:rPr>
      </w:pPr>
      <w:r>
        <w:rPr>
          <w:rFonts w:hint="eastAsia" w:ascii="宋体" w:hAnsi="宋体" w:cs="宋体"/>
          <w:spacing w:val="6"/>
          <w:sz w:val="24"/>
          <w:szCs w:val="24"/>
          <w:highlight w:val="none"/>
        </w:rPr>
        <w:t xml:space="preserve">               单位名称（盖章）：</w:t>
      </w:r>
    </w:p>
    <w:p>
      <w:pPr>
        <w:tabs>
          <w:tab w:val="left" w:pos="4860"/>
        </w:tabs>
        <w:spacing w:line="360" w:lineRule="auto"/>
        <w:ind w:right="1560" w:firstLine="504" w:firstLineChars="200"/>
        <w:jc w:val="center"/>
        <w:rPr>
          <w:rFonts w:hint="eastAsia" w:ascii="宋体" w:hAnsi="宋体" w:cs="宋体"/>
          <w:spacing w:val="6"/>
          <w:sz w:val="24"/>
          <w:szCs w:val="24"/>
          <w:highlight w:val="none"/>
        </w:rPr>
      </w:pPr>
      <w:r>
        <w:rPr>
          <w:rFonts w:hint="eastAsia" w:ascii="宋体" w:hAnsi="宋体" w:cs="宋体"/>
          <w:spacing w:val="6"/>
          <w:sz w:val="24"/>
          <w:szCs w:val="24"/>
          <w:highlight w:val="none"/>
        </w:rPr>
        <w:t xml:space="preserve">       日  期：</w:t>
      </w:r>
    </w:p>
    <w:p>
      <w:pPr>
        <w:rPr>
          <w:rFonts w:hint="eastAsia" w:ascii="宋体" w:hAnsi="宋体" w:cs="宋体"/>
          <w:spacing w:val="6"/>
          <w:sz w:val="24"/>
          <w:szCs w:val="24"/>
          <w:highlight w:val="none"/>
        </w:rPr>
      </w:pPr>
      <w:r>
        <w:rPr>
          <w:rFonts w:hint="eastAsia" w:ascii="宋体" w:hAnsi="宋体" w:cs="宋体"/>
          <w:spacing w:val="6"/>
          <w:sz w:val="24"/>
          <w:szCs w:val="24"/>
          <w:highlight w:val="none"/>
        </w:rPr>
        <w:br w:type="page"/>
      </w:r>
    </w:p>
    <w:p>
      <w:pPr>
        <w:pStyle w:val="5"/>
        <w:bidi w:val="0"/>
        <w:rPr>
          <w:rFonts w:hint="eastAsia"/>
          <w:highlight w:val="none"/>
        </w:rPr>
      </w:pPr>
      <w:bookmarkStart w:id="418" w:name="_Toc25449"/>
      <w:bookmarkStart w:id="419" w:name="_Toc14522"/>
      <w:r>
        <w:rPr>
          <w:rFonts w:hint="eastAsia"/>
          <w:highlight w:val="none"/>
          <w:lang w:val="en-US" w:eastAsia="zh-CN"/>
        </w:rPr>
        <w:t>附件3：</w:t>
      </w:r>
      <w:r>
        <w:rPr>
          <w:rFonts w:hint="eastAsia"/>
          <w:highlight w:val="none"/>
        </w:rPr>
        <w:t>监狱、戒毒企业声明函 (非监狱、戒毒企业不填写)</w:t>
      </w:r>
      <w:bookmarkEnd w:id="418"/>
      <w:bookmarkEnd w:id="419"/>
    </w:p>
    <w:p>
      <w:pPr>
        <w:spacing w:before="260" w:line="375" w:lineRule="auto"/>
        <w:ind w:firstLine="480"/>
        <w:rPr>
          <w:rFonts w:ascii="宋体" w:hAnsi="宋体" w:eastAsia="宋体" w:cs="宋体"/>
          <w:sz w:val="23"/>
          <w:szCs w:val="23"/>
          <w:highlight w:val="none"/>
        </w:rPr>
      </w:pPr>
      <w:r>
        <w:rPr>
          <w:rFonts w:ascii="宋体" w:hAnsi="宋体" w:eastAsia="宋体" w:cs="宋体"/>
          <w:spacing w:val="4"/>
          <w:sz w:val="23"/>
          <w:szCs w:val="23"/>
          <w:highlight w:val="none"/>
        </w:rPr>
        <w:t>本</w:t>
      </w:r>
      <w:r>
        <w:rPr>
          <w:rFonts w:ascii="宋体" w:hAnsi="宋体" w:eastAsia="宋体" w:cs="宋体"/>
          <w:spacing w:val="3"/>
          <w:sz w:val="23"/>
          <w:szCs w:val="23"/>
          <w:highlight w:val="none"/>
        </w:rPr>
        <w:t>单</w:t>
      </w:r>
      <w:r>
        <w:rPr>
          <w:rFonts w:ascii="宋体" w:hAnsi="宋体" w:eastAsia="宋体" w:cs="宋体"/>
          <w:spacing w:val="2"/>
          <w:sz w:val="23"/>
          <w:szCs w:val="23"/>
          <w:highlight w:val="none"/>
        </w:rPr>
        <w:t>位郑重声明，根据《财政部 司法部 关于政府采购支持监狱企业发展有关问题的通知》(财库〔</w:t>
      </w:r>
      <w:r>
        <w:rPr>
          <w:rFonts w:ascii="楷体" w:hAnsi="楷体" w:eastAsia="楷体" w:cs="楷体"/>
          <w:spacing w:val="2"/>
          <w:sz w:val="23"/>
          <w:szCs w:val="23"/>
          <w:highlight w:val="none"/>
        </w:rPr>
        <w:t>2014</w:t>
      </w:r>
      <w:r>
        <w:rPr>
          <w:rFonts w:ascii="宋体" w:hAnsi="宋体" w:eastAsia="宋体" w:cs="宋体"/>
          <w:spacing w:val="2"/>
          <w:sz w:val="23"/>
          <w:szCs w:val="23"/>
          <w:highlight w:val="none"/>
        </w:rPr>
        <w:t>〕</w:t>
      </w:r>
      <w:r>
        <w:rPr>
          <w:rFonts w:ascii="楷体" w:hAnsi="楷体" w:eastAsia="楷体" w:cs="楷体"/>
          <w:spacing w:val="2"/>
          <w:sz w:val="23"/>
          <w:szCs w:val="23"/>
          <w:highlight w:val="none"/>
        </w:rPr>
        <w:t>68</w:t>
      </w:r>
      <w:r>
        <w:rPr>
          <w:rFonts w:ascii="宋体" w:hAnsi="宋体" w:eastAsia="宋体" w:cs="宋体"/>
          <w:spacing w:val="2"/>
          <w:sz w:val="23"/>
          <w:szCs w:val="23"/>
          <w:highlight w:val="none"/>
        </w:rPr>
        <w:t>号)的规定，本单位为符合条件的监狱、戒毒企业，且本单位</w:t>
      </w:r>
      <w:r>
        <w:rPr>
          <w:rFonts w:ascii="宋体" w:hAnsi="宋体" w:eastAsia="宋体" w:cs="宋体"/>
          <w:spacing w:val="1"/>
          <w:sz w:val="23"/>
          <w:szCs w:val="23"/>
          <w:highlight w:val="none"/>
        </w:rPr>
        <w:t>参</w:t>
      </w:r>
      <w:r>
        <w:rPr>
          <w:rFonts w:ascii="宋体" w:hAnsi="宋体" w:eastAsia="宋体" w:cs="宋体"/>
          <w:spacing w:val="14"/>
          <w:sz w:val="23"/>
          <w:szCs w:val="23"/>
          <w:highlight w:val="none"/>
        </w:rPr>
        <w:t>加</w:t>
      </w:r>
      <w:r>
        <w:rPr>
          <w:rFonts w:ascii="宋体" w:hAnsi="宋体" w:eastAsia="宋体" w:cs="宋体"/>
          <w:spacing w:val="13"/>
          <w:sz w:val="23"/>
          <w:szCs w:val="23"/>
          <w:highlight w:val="none"/>
        </w:rPr>
        <w:t>的</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项目采购活动提供本单位制造的货物(由本单位承担工程</w:t>
      </w:r>
      <w:r>
        <w:rPr>
          <w:rFonts w:ascii="楷体" w:hAnsi="楷体" w:eastAsia="楷体" w:cs="楷体"/>
          <w:spacing w:val="7"/>
          <w:sz w:val="23"/>
          <w:szCs w:val="23"/>
          <w:highlight w:val="none"/>
        </w:rPr>
        <w:t>/</w:t>
      </w:r>
      <w:r>
        <w:rPr>
          <w:rFonts w:ascii="宋体" w:hAnsi="宋体" w:eastAsia="宋体" w:cs="宋体"/>
          <w:spacing w:val="7"/>
          <w:sz w:val="23"/>
          <w:szCs w:val="23"/>
          <w:highlight w:val="none"/>
        </w:rPr>
        <w:t>提供服务)，</w:t>
      </w:r>
      <w:r>
        <w:rPr>
          <w:rFonts w:ascii="宋体" w:hAnsi="宋体" w:eastAsia="宋体" w:cs="宋体"/>
          <w:spacing w:val="8"/>
          <w:sz w:val="23"/>
          <w:szCs w:val="23"/>
          <w:highlight w:val="none"/>
        </w:rPr>
        <w:t>或者</w:t>
      </w:r>
      <w:r>
        <w:rPr>
          <w:rFonts w:ascii="宋体" w:hAnsi="宋体" w:eastAsia="宋体" w:cs="宋体"/>
          <w:spacing w:val="7"/>
          <w:sz w:val="23"/>
          <w:szCs w:val="23"/>
          <w:highlight w:val="none"/>
        </w:rPr>
        <w:t>提</w:t>
      </w:r>
      <w:r>
        <w:rPr>
          <w:rFonts w:ascii="宋体" w:hAnsi="宋体" w:eastAsia="宋体" w:cs="宋体"/>
          <w:spacing w:val="4"/>
          <w:sz w:val="23"/>
          <w:szCs w:val="23"/>
          <w:highlight w:val="none"/>
        </w:rPr>
        <w:t>供其他监狱、戒毒企业制造的货物(不包括使用非监狱、戒毒企业注册商标的货物)。</w:t>
      </w:r>
    </w:p>
    <w:p>
      <w:pPr>
        <w:spacing w:line="226" w:lineRule="auto"/>
        <w:ind w:left="480"/>
        <w:rPr>
          <w:rFonts w:ascii="宋体" w:hAnsi="宋体" w:eastAsia="宋体" w:cs="宋体"/>
          <w:sz w:val="23"/>
          <w:szCs w:val="23"/>
          <w:highlight w:val="none"/>
        </w:rPr>
      </w:pPr>
      <w:r>
        <w:rPr>
          <w:rFonts w:ascii="宋体" w:hAnsi="宋体" w:eastAsia="宋体" w:cs="宋体"/>
          <w:spacing w:val="18"/>
          <w:sz w:val="23"/>
          <w:szCs w:val="23"/>
          <w:highlight w:val="none"/>
        </w:rPr>
        <w:t>本</w:t>
      </w:r>
      <w:r>
        <w:rPr>
          <w:rFonts w:ascii="宋体" w:hAnsi="宋体" w:eastAsia="宋体" w:cs="宋体"/>
          <w:spacing w:val="9"/>
          <w:sz w:val="23"/>
          <w:szCs w:val="23"/>
          <w:highlight w:val="none"/>
        </w:rPr>
        <w:t>单位对上述声明的真实性负责。如有虚假，将依法承担相应责任。</w:t>
      </w: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60" w:lineRule="auto"/>
        <w:rPr>
          <w:rFonts w:ascii="Arial"/>
          <w:sz w:val="21"/>
          <w:highlight w:val="none"/>
        </w:rPr>
      </w:pPr>
    </w:p>
    <w:p>
      <w:pPr>
        <w:spacing w:before="75" w:line="227" w:lineRule="auto"/>
        <w:ind w:left="3801"/>
        <w:rPr>
          <w:rFonts w:ascii="宋体" w:hAnsi="宋体" w:eastAsia="宋体" w:cs="宋体"/>
          <w:sz w:val="23"/>
          <w:szCs w:val="23"/>
          <w:highlight w:val="none"/>
        </w:rPr>
      </w:pPr>
      <w:r>
        <w:rPr>
          <w:rFonts w:ascii="宋体" w:hAnsi="宋体" w:eastAsia="宋体" w:cs="宋体"/>
          <w:spacing w:val="7"/>
          <w:sz w:val="23"/>
          <w:szCs w:val="23"/>
          <w:highlight w:val="none"/>
        </w:rPr>
        <w:t>供应商全称(公章)</w:t>
      </w:r>
      <w:r>
        <w:rPr>
          <w:rFonts w:ascii="宋体" w:hAnsi="宋体" w:eastAsia="宋体" w:cs="宋体"/>
          <w:spacing w:val="6"/>
          <w:sz w:val="23"/>
          <w:szCs w:val="23"/>
          <w:highlight w:val="none"/>
        </w:rPr>
        <w:t>：</w:t>
      </w:r>
      <w:r>
        <w:rPr>
          <w:rFonts w:ascii="宋体" w:hAnsi="宋体" w:eastAsia="宋体" w:cs="宋体"/>
          <w:sz w:val="23"/>
          <w:szCs w:val="23"/>
          <w:highlight w:val="none"/>
          <w:u w:val="single" w:color="auto"/>
        </w:rPr>
        <w:t xml:space="preserve">                    </w:t>
      </w:r>
    </w:p>
    <w:p>
      <w:pPr>
        <w:spacing w:line="286" w:lineRule="auto"/>
        <w:rPr>
          <w:rFonts w:ascii="Arial"/>
          <w:sz w:val="21"/>
          <w:highlight w:val="none"/>
        </w:rPr>
      </w:pPr>
    </w:p>
    <w:p>
      <w:pPr>
        <w:spacing w:line="287" w:lineRule="auto"/>
        <w:rPr>
          <w:rFonts w:ascii="Arial"/>
          <w:sz w:val="21"/>
          <w:highlight w:val="none"/>
        </w:rPr>
      </w:pPr>
    </w:p>
    <w:p>
      <w:pPr>
        <w:spacing w:before="75" w:line="227" w:lineRule="auto"/>
        <w:ind w:left="3972"/>
        <w:rPr>
          <w:rFonts w:ascii="宋体" w:hAnsi="宋体" w:eastAsia="宋体" w:cs="宋体"/>
          <w:sz w:val="23"/>
          <w:szCs w:val="23"/>
          <w:highlight w:val="none"/>
        </w:rPr>
      </w:pPr>
      <w:r>
        <w:rPr>
          <w:rFonts w:ascii="宋体" w:hAnsi="宋体" w:eastAsia="宋体" w:cs="宋体"/>
          <w:spacing w:val="-11"/>
          <w:sz w:val="23"/>
          <w:szCs w:val="23"/>
          <w:highlight w:val="none"/>
        </w:rPr>
        <w:t>日</w:t>
      </w:r>
      <w:r>
        <w:rPr>
          <w:rFonts w:ascii="宋体" w:hAnsi="宋体" w:eastAsia="宋体" w:cs="宋体"/>
          <w:spacing w:val="-7"/>
          <w:sz w:val="23"/>
          <w:szCs w:val="23"/>
          <w:highlight w:val="none"/>
        </w:rPr>
        <w:t xml:space="preserve">  期：</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年</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 xml:space="preserve"> 月</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 xml:space="preserve"> 日</w:t>
      </w:r>
    </w:p>
    <w:p>
      <w:pPr>
        <w:spacing w:line="258"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before="75" w:line="388" w:lineRule="auto"/>
        <w:ind w:left="3" w:right="64" w:firstLine="479"/>
        <w:rPr>
          <w:rFonts w:ascii="宋体" w:hAnsi="宋体" w:eastAsia="宋体" w:cs="宋体"/>
          <w:sz w:val="23"/>
          <w:szCs w:val="23"/>
          <w:highlight w:val="none"/>
        </w:rPr>
      </w:pPr>
      <w:r>
        <w:rPr>
          <w:rFonts w:ascii="宋体" w:hAnsi="宋体" w:eastAsia="宋体" w:cs="宋体"/>
          <w:spacing w:val="14"/>
          <w:sz w:val="23"/>
          <w:szCs w:val="23"/>
          <w:highlight w:val="none"/>
        </w:rPr>
        <w:t>备</w:t>
      </w:r>
      <w:r>
        <w:rPr>
          <w:rFonts w:ascii="宋体" w:hAnsi="宋体" w:eastAsia="宋体" w:cs="宋体"/>
          <w:spacing w:val="8"/>
          <w:sz w:val="23"/>
          <w:szCs w:val="23"/>
          <w:highlight w:val="none"/>
        </w:rPr>
        <w:t>注：供应商提供的《监狱、戒毒企业声明函》必须真实有效，供应商应当提供由省</w:t>
      </w:r>
      <w:r>
        <w:rPr>
          <w:rFonts w:ascii="宋体" w:hAnsi="宋体" w:eastAsia="宋体" w:cs="宋体"/>
          <w:spacing w:val="16"/>
          <w:sz w:val="23"/>
          <w:szCs w:val="23"/>
          <w:highlight w:val="none"/>
        </w:rPr>
        <w:t>级以</w:t>
      </w:r>
      <w:r>
        <w:rPr>
          <w:rFonts w:ascii="宋体" w:hAnsi="宋体" w:eastAsia="宋体" w:cs="宋体"/>
          <w:spacing w:val="8"/>
          <w:sz w:val="23"/>
          <w:szCs w:val="23"/>
          <w:highlight w:val="none"/>
        </w:rPr>
        <w:t>上监狱管理局、戒毒管理局</w:t>
      </w:r>
      <w:r>
        <w:rPr>
          <w:rFonts w:ascii="楷体" w:hAnsi="楷体" w:eastAsia="楷体" w:cs="楷体"/>
          <w:spacing w:val="8"/>
          <w:sz w:val="23"/>
          <w:szCs w:val="23"/>
          <w:highlight w:val="none"/>
        </w:rPr>
        <w:t>(</w:t>
      </w:r>
      <w:r>
        <w:rPr>
          <w:rFonts w:ascii="宋体" w:hAnsi="宋体" w:eastAsia="宋体" w:cs="宋体"/>
          <w:spacing w:val="8"/>
          <w:sz w:val="23"/>
          <w:szCs w:val="23"/>
          <w:highlight w:val="none"/>
        </w:rPr>
        <w:t>含新疆生产建设兵团</w:t>
      </w:r>
      <w:r>
        <w:rPr>
          <w:rFonts w:ascii="楷体" w:hAnsi="楷体" w:eastAsia="楷体" w:cs="楷体"/>
          <w:spacing w:val="8"/>
          <w:sz w:val="23"/>
          <w:szCs w:val="23"/>
          <w:highlight w:val="none"/>
        </w:rPr>
        <w:t>)</w:t>
      </w:r>
      <w:r>
        <w:rPr>
          <w:rFonts w:ascii="宋体" w:hAnsi="宋体" w:eastAsia="宋体" w:cs="宋体"/>
          <w:spacing w:val="8"/>
          <w:sz w:val="23"/>
          <w:szCs w:val="23"/>
          <w:highlight w:val="none"/>
        </w:rPr>
        <w:t>出具的属于监狱企业的证明文件。</w:t>
      </w:r>
    </w:p>
    <w:p>
      <w:pPr>
        <w:spacing w:line="360" w:lineRule="auto"/>
        <w:rPr>
          <w:rFonts w:hint="eastAsia" w:ascii="宋体" w:hAnsi="宋体" w:cs="宋体"/>
          <w:b/>
          <w:spacing w:val="6"/>
          <w:sz w:val="36"/>
          <w:szCs w:val="36"/>
          <w:highlight w:val="none"/>
        </w:rPr>
      </w:pPr>
      <w:r>
        <w:rPr>
          <w:rFonts w:hint="eastAsia" w:ascii="宋体" w:hAnsi="宋体" w:cs="宋体"/>
          <w:b/>
          <w:spacing w:val="6"/>
          <w:sz w:val="36"/>
          <w:szCs w:val="36"/>
          <w:highlight w:val="none"/>
        </w:rPr>
        <w:br w:type="page"/>
      </w:r>
    </w:p>
    <w:p>
      <w:pPr>
        <w:pStyle w:val="3"/>
        <w:bidi w:val="0"/>
        <w:jc w:val="center"/>
        <w:rPr>
          <w:rFonts w:hint="eastAsia"/>
          <w:highlight w:val="none"/>
        </w:rPr>
      </w:pPr>
      <w:bookmarkStart w:id="420" w:name="_Toc17942"/>
      <w:bookmarkStart w:id="421" w:name="_Toc19155"/>
      <w:r>
        <w:rPr>
          <w:rFonts w:hint="eastAsia"/>
          <w:highlight w:val="none"/>
          <w:lang w:val="en-US" w:eastAsia="zh-CN"/>
        </w:rPr>
        <w:t>十一、</w:t>
      </w:r>
      <w:r>
        <w:rPr>
          <w:rFonts w:hint="eastAsia"/>
          <w:highlight w:val="none"/>
        </w:rPr>
        <w:t xml:space="preserve"> 第二次报价表（最终报价表）</w:t>
      </w:r>
      <w:bookmarkEnd w:id="420"/>
      <w:bookmarkEnd w:id="421"/>
    </w:p>
    <w:tbl>
      <w:tblPr>
        <w:tblStyle w:val="28"/>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60"/>
        <w:gridCol w:w="790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8"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采购项目名称</w:t>
            </w:r>
          </w:p>
        </w:tc>
        <w:tc>
          <w:tcPr>
            <w:tcW w:w="3965" w:type="pct"/>
            <w:noWrap w:val="0"/>
            <w:vAlign w:val="center"/>
          </w:tcPr>
          <w:p>
            <w:pPr>
              <w:pStyle w:val="2"/>
              <w:spacing w:line="360" w:lineRule="auto"/>
              <w:jc w:val="center"/>
              <w:outlineLvl w:val="9"/>
              <w:rPr>
                <w:rFonts w:hint="eastAsia" w:ascii="宋体" w:hAnsi="宋体" w:cs="宋体"/>
                <w:b w:val="0"/>
                <w:kern w:val="2"/>
                <w:sz w:val="24"/>
                <w:szCs w:val="21"/>
                <w:highlight w:val="none"/>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采购项目编号</w:t>
            </w:r>
          </w:p>
        </w:tc>
        <w:tc>
          <w:tcPr>
            <w:tcW w:w="3965" w:type="pct"/>
            <w:tcBorders>
              <w:bottom w:val="single" w:color="auto" w:sz="4" w:space="0"/>
            </w:tcBorders>
            <w:noWrap w:val="0"/>
            <w:vAlign w:val="center"/>
          </w:tcPr>
          <w:p>
            <w:pPr>
              <w:spacing w:line="360" w:lineRule="auto"/>
              <w:jc w:val="center"/>
              <w:rPr>
                <w:rFonts w:hint="eastAsia" w:ascii="宋体" w:hAnsi="宋体" w:cs="宋体"/>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供应商名称</w:t>
            </w:r>
          </w:p>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(单位名称)</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谈判报价</w:t>
            </w:r>
          </w:p>
        </w:tc>
        <w:tc>
          <w:tcPr>
            <w:tcW w:w="3965" w:type="pct"/>
            <w:noWrap w:val="0"/>
            <w:vAlign w:val="center"/>
          </w:tcPr>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币（大写）：</w:t>
            </w:r>
            <w:r>
              <w:rPr>
                <w:rFonts w:hint="eastAsia" w:ascii="宋体" w:hAnsi="宋体" w:cs="宋体"/>
                <w:b/>
                <w:bCs/>
                <w:sz w:val="24"/>
                <w:highlight w:val="none"/>
                <w:u w:val="single"/>
              </w:rPr>
              <w:t xml:space="preserve">                  </w:t>
            </w:r>
          </w:p>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服务期</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965"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(公章):</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法定代表人/授权代表人（签字）：</w:t>
      </w:r>
    </w:p>
    <w:p>
      <w:pPr>
        <w:spacing w:line="360" w:lineRule="auto"/>
        <w:ind w:right="150"/>
        <w:rPr>
          <w:rFonts w:hint="eastAsia" w:ascii="宋体" w:hAnsi="宋体" w:cs="宋体"/>
          <w:sz w:val="24"/>
          <w:highlight w:val="none"/>
        </w:rPr>
      </w:pPr>
    </w:p>
    <w:p>
      <w:pPr>
        <w:wordWrap w:val="0"/>
        <w:spacing w:line="360" w:lineRule="auto"/>
        <w:ind w:right="150" w:firstLine="957" w:firstLineChars="399"/>
        <w:jc w:val="right"/>
        <w:rPr>
          <w:rFonts w:hint="eastAsia" w:ascii="宋体" w:hAnsi="宋体" w:cs="宋体"/>
          <w:sz w:val="24"/>
          <w:highlight w:val="none"/>
        </w:rPr>
      </w:pPr>
      <w:r>
        <w:rPr>
          <w:rFonts w:hint="eastAsia" w:ascii="宋体" w:hAnsi="宋体" w:cs="宋体"/>
          <w:sz w:val="24"/>
          <w:highlight w:val="none"/>
        </w:rPr>
        <w:t>年     月     日</w:t>
      </w:r>
    </w:p>
    <w:p>
      <w:pPr>
        <w:pStyle w:val="23"/>
        <w:wordWrap/>
        <w:rPr>
          <w:rFonts w:hint="eastAsia"/>
          <w:highlight w:val="none"/>
        </w:rPr>
      </w:pPr>
    </w:p>
    <w:p>
      <w:pPr>
        <w:autoSpaceDE w:val="0"/>
        <w:autoSpaceDN w:val="0"/>
        <w:adjustRightInd w:val="0"/>
        <w:spacing w:line="360" w:lineRule="auto"/>
        <w:rPr>
          <w:rFonts w:hint="eastAsia" w:ascii="宋体" w:hAnsi="宋体" w:cs="宋体"/>
          <w:highlight w:val="none"/>
        </w:rPr>
      </w:pPr>
      <w:r>
        <w:rPr>
          <w:rFonts w:hint="eastAsia" w:ascii="宋体" w:hAnsi="宋体" w:cs="宋体"/>
          <w:b/>
          <w:sz w:val="24"/>
          <w:highlight w:val="none"/>
        </w:rPr>
        <w:t>（注意：“第二次报价表（最终报价表）”不装入投标响应文件中，谈判结束后所有继续参加谈判的供应商，按谈判小组要求在规定的时间内统一提交。“第二次报价表（最终报价表）”供应商自行准备）</w:t>
      </w:r>
    </w:p>
    <w:p>
      <w:pPr>
        <w:tabs>
          <w:tab w:val="left" w:pos="4860"/>
        </w:tabs>
        <w:spacing w:line="360" w:lineRule="auto"/>
        <w:ind w:right="1560" w:firstLine="480" w:firstLineChars="200"/>
        <w:jc w:val="center"/>
        <w:rPr>
          <w:rFonts w:hint="eastAsia" w:ascii="宋体" w:hAnsi="宋体" w:cs="宋体"/>
          <w:color w:val="000000"/>
          <w:sz w:val="24"/>
          <w:szCs w:val="24"/>
          <w:highlight w:val="none"/>
        </w:rPr>
      </w:pPr>
    </w:p>
    <w:p>
      <w:pPr>
        <w:spacing w:line="360" w:lineRule="auto"/>
        <w:rPr>
          <w:rFonts w:hint="eastAsia" w:ascii="宋体" w:hAnsi="宋体" w:cs="宋体"/>
          <w:b/>
          <w:spacing w:val="6"/>
          <w:sz w:val="36"/>
          <w:szCs w:val="36"/>
          <w:highlight w:val="none"/>
        </w:rPr>
      </w:pPr>
      <w:bookmarkStart w:id="422" w:name="_Toc29521"/>
      <w:bookmarkStart w:id="423" w:name="_Toc15250"/>
      <w:r>
        <w:rPr>
          <w:rFonts w:hint="eastAsia" w:ascii="宋体" w:hAnsi="宋体" w:cs="宋体"/>
          <w:b/>
          <w:spacing w:val="6"/>
          <w:sz w:val="36"/>
          <w:szCs w:val="36"/>
          <w:highlight w:val="none"/>
        </w:rPr>
        <w:br w:type="page"/>
      </w:r>
    </w:p>
    <w:bookmarkEnd w:id="422"/>
    <w:bookmarkEnd w:id="423"/>
    <w:p>
      <w:pPr>
        <w:spacing w:line="360" w:lineRule="auto"/>
        <w:jc w:val="both"/>
        <w:rPr>
          <w:rFonts w:hint="eastAsia" w:ascii="宋体" w:hAnsi="宋体" w:eastAsia="宋体" w:cs="宋体"/>
          <w:bCs w:val="0"/>
          <w:highlight w:val="none"/>
          <w:lang w:val="en-US" w:eastAsia="zh-CN"/>
        </w:rPr>
      </w:pPr>
      <w:bookmarkStart w:id="424" w:name="_Toc10243"/>
      <w:r>
        <w:rPr>
          <w:rFonts w:hint="eastAsia" w:ascii="宋体" w:hAnsi="宋体" w:eastAsia="宋体" w:cs="宋体"/>
          <w:b/>
          <w:bCs/>
          <w:sz w:val="28"/>
          <w:szCs w:val="28"/>
          <w:highlight w:val="none"/>
          <w:lang w:val="en-US" w:eastAsia="zh-CN"/>
        </w:rPr>
        <w:t>“信用中国”网站查询的信用报告</w:t>
      </w: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10605" cy="348107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72200" cy="3448685"/>
            <wp:effectExtent l="0" t="0" r="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5993130" cy="3397250"/>
            <wp:effectExtent l="0" t="0" r="762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19165" cy="3403600"/>
            <wp:effectExtent l="0" t="0" r="63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025515" cy="339788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84570" cy="3452495"/>
            <wp:effectExtent l="0" t="0" r="11430"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20765" cy="3474720"/>
            <wp:effectExtent l="0" t="0" r="1333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97575" cy="3375025"/>
            <wp:effectExtent l="0" t="0" r="3175"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szCs w:val="20"/>
          <w:highlight w:val="none"/>
        </w:rPr>
        <w:drawing>
          <wp:inline distT="0" distB="0" distL="114300" distR="114300">
            <wp:extent cx="6045200" cy="3383280"/>
            <wp:effectExtent l="0" t="0" r="1270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45200" cy="3409950"/>
            <wp:effectExtent l="0" t="0" r="1270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0"/>
                    <a:stretch>
                      <a:fillRect/>
                    </a:stretch>
                  </pic:blipFill>
                  <pic:spPr>
                    <a:xfrm>
                      <a:off x="0" y="0"/>
                      <a:ext cx="6045200" cy="3409950"/>
                    </a:xfrm>
                    <a:prstGeom prst="rect">
                      <a:avLst/>
                    </a:prstGeom>
                    <a:noFill/>
                    <a:ln>
                      <a:noFill/>
                    </a:ln>
                  </pic:spPr>
                </pic:pic>
              </a:graphicData>
            </a:graphic>
          </wp:inline>
        </w:drawing>
      </w:r>
    </w:p>
    <w:p>
      <w:pP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br w:type="page"/>
      </w:r>
    </w:p>
    <w:p>
      <w:pPr>
        <w:pStyle w:val="3"/>
        <w:bidi w:val="0"/>
        <w:rPr>
          <w:rFonts w:hint="eastAsia" w:ascii="宋体" w:hAnsi="宋体" w:cs="宋体"/>
          <w:highlight w:val="none"/>
          <w:shd w:val="clear" w:color="auto" w:fill="FFFFFF"/>
        </w:rPr>
      </w:pPr>
      <w:bookmarkStart w:id="425" w:name="_Toc11918"/>
      <w:bookmarkStart w:id="426" w:name="_Toc15718"/>
      <w:r>
        <w:rPr>
          <w:rFonts w:hint="eastAsia"/>
          <w:highlight w:val="none"/>
          <w:lang w:val="en-US" w:eastAsia="zh-CN"/>
        </w:rPr>
        <w:t>附件4</w:t>
      </w:r>
      <w:bookmarkEnd w:id="424"/>
      <w:bookmarkEnd w:id="425"/>
      <w:r>
        <w:rPr>
          <w:rFonts w:hint="eastAsia"/>
          <w:highlight w:val="none"/>
          <w:lang w:val="en-US" w:eastAsia="zh-CN"/>
        </w:rPr>
        <w:t>：陕西省政府采购服务类项目供应商信用承诺书</w:t>
      </w:r>
      <w:bookmarkEnd w:id="426"/>
    </w:p>
    <w:p>
      <w:pPr>
        <w:pStyle w:val="24"/>
        <w:widowControl/>
        <w:shd w:val="clear" w:color="auto"/>
        <w:adjustRightInd w:val="0"/>
        <w:snapToGrid w:val="0"/>
        <w:spacing w:line="360" w:lineRule="auto"/>
        <w:ind w:firstLine="480"/>
        <w:jc w:val="center"/>
        <w:rPr>
          <w:rFonts w:hint="eastAsia" w:ascii="宋体" w:hAnsi="宋体" w:cs="宋体"/>
          <w:sz w:val="36"/>
          <w:szCs w:val="36"/>
          <w:highlight w:val="none"/>
        </w:rPr>
      </w:pPr>
      <w:r>
        <w:rPr>
          <w:rFonts w:hint="eastAsia" w:ascii="宋体" w:hAnsi="宋体" w:cs="宋体"/>
          <w:sz w:val="36"/>
          <w:szCs w:val="36"/>
          <w:highlight w:val="none"/>
          <w:shd w:val="clear" w:color="auto" w:fill="FFFFFF"/>
        </w:rPr>
        <w:t>陕西省政府采购服务类项目供应商信用承诺书</w:t>
      </w:r>
    </w:p>
    <w:p>
      <w:pPr>
        <w:pStyle w:val="24"/>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市场主体名称：</w:t>
      </w:r>
    </w:p>
    <w:p>
      <w:pPr>
        <w:pStyle w:val="24"/>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证件类型：统一社会信用代码</w:t>
      </w:r>
    </w:p>
    <w:p>
      <w:pPr>
        <w:pStyle w:val="24"/>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证件号码：</w:t>
      </w:r>
    </w:p>
    <w:p>
      <w:pPr>
        <w:pStyle w:val="24"/>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法人代表：</w:t>
      </w:r>
    </w:p>
    <w:p>
      <w:pPr>
        <w:pStyle w:val="24"/>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承诺有效期限：    年     月    日—    年    月      日</w:t>
      </w:r>
    </w:p>
    <w:p>
      <w:pPr>
        <w:pStyle w:val="24"/>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承诺内容：</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为维护公开、公平、公正的政府采购市场秩序，树立诚实守信的政府采购供应商形象，本单位自愿做出以下承诺：</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一、承诺本单位严格遵守国家法律、法规和规章，全面履行应尽的责任和义务，全面做到履约守信，具备《政府采购法》第二十二条第一款规定的条件;</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四、承诺本单位自觉接受行政管理部门、行业组织、社会公众、新闻舆论的监督；</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六、承诺本单位提出政府采购质疑和投诉坚持依法依规、诚实信用原则，在全国范围12个月内没有三次以上查无实据的政府采购投诉；</w:t>
      </w:r>
    </w:p>
    <w:p>
      <w:pPr>
        <w:pStyle w:val="24"/>
        <w:widowControl/>
        <w:shd w:val="clear" w:color="auto"/>
        <w:adjustRightInd w:val="0"/>
        <w:snapToGrid w:val="0"/>
        <w:spacing w:line="360" w:lineRule="auto"/>
        <w:ind w:firstLine="640"/>
        <w:jc w:val="both"/>
        <w:rPr>
          <w:rFonts w:hint="eastAsia" w:ascii="宋体" w:hAnsi="宋体" w:eastAsia="宋体" w:cs="宋体"/>
          <w:highlight w:val="none"/>
          <w:lang w:eastAsia="zh-CN"/>
        </w:rPr>
      </w:pPr>
      <w:r>
        <w:rPr>
          <w:rFonts w:hint="eastAsia" w:ascii="宋体" w:hAnsi="宋体" w:cs="宋体"/>
          <w:highlight w:val="none"/>
          <w:shd w:val="clear" w:color="auto" w:fill="FFFFFF"/>
        </w:rPr>
        <w:t>七、根据政府采购相关法律法规的规定需要作出的其他承诺：</w:t>
      </w:r>
      <w:r>
        <w:rPr>
          <w:rFonts w:hint="eastAsia" w:ascii="宋体" w:hAnsi="宋体" w:cs="宋体"/>
          <w:highlight w:val="none"/>
          <w:u w:val="single"/>
          <w:shd w:val="clear" w:color="auto" w:fill="FFFFFF"/>
        </w:rPr>
        <w:t>                                                                            </w:t>
      </w:r>
      <w:r>
        <w:rPr>
          <w:rFonts w:hint="eastAsia" w:ascii="宋体" w:hAnsi="宋体" w:cs="宋体"/>
          <w:highlight w:val="none"/>
          <w:u w:val="single"/>
          <w:shd w:val="clear" w:color="auto" w:fill="FFFFFF"/>
          <w:lang w:eastAsia="zh-CN"/>
        </w:rPr>
        <w:t>；</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         承诺单位（盖章）：</w:t>
      </w:r>
    </w:p>
    <w:p>
      <w:pPr>
        <w:pStyle w:val="24"/>
        <w:widowControl/>
        <w:shd w:val="clear" w:color="auto"/>
        <w:adjustRightInd w:val="0"/>
        <w:snapToGrid w:val="0"/>
        <w:spacing w:line="360" w:lineRule="auto"/>
        <w:ind w:firstLine="640"/>
        <w:jc w:val="both"/>
        <w:rPr>
          <w:rFonts w:hint="eastAsia" w:ascii="宋体" w:hAnsi="宋体" w:cs="宋体"/>
          <w:highlight w:val="none"/>
          <w:shd w:val="clear" w:color="auto" w:fill="FFFFFF"/>
        </w:rPr>
      </w:pPr>
      <w:r>
        <w:rPr>
          <w:rFonts w:hint="eastAsia" w:ascii="宋体" w:hAnsi="宋体" w:cs="宋体"/>
          <w:highlight w:val="none"/>
          <w:shd w:val="clear" w:color="auto" w:fill="FFFFFF"/>
        </w:rPr>
        <w:t>       法定代表人（负责人）：</w:t>
      </w:r>
    </w:p>
    <w:p>
      <w:pPr>
        <w:pStyle w:val="24"/>
        <w:widowControl/>
        <w:shd w:val="clear" w:color="auto"/>
        <w:adjustRightInd w:val="0"/>
        <w:snapToGrid w:val="0"/>
        <w:spacing w:line="360" w:lineRule="auto"/>
        <w:ind w:firstLine="1920" w:firstLineChars="80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法定代表人（负责人）身份证号：</w:t>
      </w:r>
    </w:p>
    <w:p>
      <w:pPr>
        <w:pStyle w:val="24"/>
        <w:widowControl/>
        <w:shd w:val="clear" w:color="auto"/>
        <w:adjustRightInd w:val="0"/>
        <w:snapToGrid w:val="0"/>
        <w:spacing w:line="360" w:lineRule="auto"/>
        <w:ind w:firstLine="640"/>
        <w:jc w:val="both"/>
        <w:rPr>
          <w:rFonts w:hint="eastAsia" w:ascii="宋体" w:hAnsi="宋体" w:cs="宋体"/>
          <w:highlight w:val="none"/>
          <w:shd w:val="clear" w:color="auto" w:fill="FFFFFF"/>
          <w:lang w:eastAsia="zh-CN"/>
        </w:rPr>
      </w:pPr>
      <w:r>
        <w:rPr>
          <w:rFonts w:hint="eastAsia" w:ascii="宋体" w:hAnsi="宋体" w:cs="宋体"/>
          <w:highlight w:val="none"/>
          <w:shd w:val="clear" w:color="auto" w:fill="FFFFFF"/>
        </w:rPr>
        <w:t>        承诺日期</w:t>
      </w:r>
      <w:r>
        <w:rPr>
          <w:rFonts w:hint="eastAsia" w:ascii="宋体" w:hAnsi="宋体" w:cs="宋体"/>
          <w:highlight w:val="none"/>
          <w:shd w:val="clear" w:color="auto" w:fill="FFFFFF"/>
          <w:lang w:eastAsia="zh-CN"/>
        </w:rPr>
        <w:t>：</w:t>
      </w:r>
    </w:p>
    <w:p>
      <w:pPr>
        <w:pStyle w:val="10"/>
        <w:ind w:firstLine="843" w:firstLineChars="300"/>
        <w:rPr>
          <w:rFonts w:hint="default" w:eastAsia="宋体"/>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cs="宋体"/>
          <w:b/>
          <w:bCs/>
          <w:sz w:val="24"/>
          <w:szCs w:val="24"/>
          <w:highlight w:val="none"/>
          <w:lang w:val="en-US" w:eastAsia="zh-CN"/>
        </w:rPr>
        <w:t>.承诺有效期限自承诺之日起1年；</w:t>
      </w:r>
    </w:p>
    <w:p>
      <w:pPr>
        <w:spacing w:before="75" w:line="360" w:lineRule="auto"/>
        <w:ind w:left="3" w:firstLine="1446" w:firstLineChars="600"/>
        <w:rPr>
          <w:rFonts w:hint="default" w:ascii="宋体" w:hAnsi="宋体" w:eastAsia="宋体" w:cs="宋体"/>
          <w:b/>
          <w:bCs/>
          <w:sz w:val="28"/>
          <w:szCs w:val="28"/>
          <w:highlight w:val="none"/>
          <w:lang w:val="en-US" w:eastAsia="zh-CN"/>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rPr>
          <w:rFonts w:hint="eastAsia" w:eastAsia="宋体"/>
          <w:highlight w:val="none"/>
          <w:lang w:eastAsia="zh-CN"/>
        </w:rPr>
      </w:pPr>
      <w:r>
        <w:rPr>
          <w:rFonts w:hint="eastAsia" w:eastAsia="宋体"/>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528" w:beforeLines="169" w:beforeAutospacing="0" w:after="471" w:afterLines="150" w:afterAutospacing="0" w:line="240" w:lineRule="auto"/>
        <w:ind w:firstLine="562" w:firstLineChars="200"/>
        <w:jc w:val="center"/>
        <w:textAlignment w:val="auto"/>
        <w:rPr>
          <w:rFonts w:hint="eastAsia" w:ascii="宋体" w:hAnsi="宋体" w:eastAsia="宋体" w:cs="宋体"/>
          <w:sz w:val="24"/>
          <w:szCs w:val="24"/>
          <w:highlight w:val="none"/>
        </w:rPr>
      </w:pPr>
      <w:r>
        <w:rPr>
          <w:rFonts w:hint="eastAsia" w:ascii="宋体" w:hAnsi="宋体" w:cs="宋体"/>
          <w:b/>
          <w:bCs/>
          <w:sz w:val="28"/>
          <w:szCs w:val="28"/>
          <w:highlight w:val="none"/>
          <w:lang w:eastAsia="zh-CN"/>
        </w:rPr>
        <w:t>供应商</w:t>
      </w:r>
      <w:r>
        <w:rPr>
          <w:rFonts w:hint="eastAsia" w:ascii="宋体" w:hAnsi="宋体" w:cs="宋体"/>
          <w:b/>
          <w:bCs/>
          <w:sz w:val="28"/>
          <w:szCs w:val="28"/>
          <w:highlight w:val="none"/>
          <w:lang w:val="en-US" w:eastAsia="zh-CN"/>
        </w:rPr>
        <w:t>委托代理人员</w:t>
      </w:r>
      <w:r>
        <w:rPr>
          <w:rFonts w:hint="eastAsia" w:ascii="宋体" w:hAnsi="宋体" w:eastAsia="宋体" w:cs="宋体"/>
          <w:b/>
          <w:bCs/>
          <w:sz w:val="28"/>
          <w:szCs w:val="28"/>
          <w:highlight w:val="none"/>
          <w:lang w:eastAsia="zh-CN"/>
        </w:rPr>
        <w:t>信用承诺书</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lang w:val="en-US" w:eastAsia="zh-CN"/>
        </w:rPr>
        <w:t xml:space="preserve">                        </w:t>
      </w:r>
      <w:r>
        <w:rPr>
          <w:rFonts w:hint="eastAsia" w:asciiTheme="minorEastAsia" w:hAnsiTheme="minorEastAsia" w:cstheme="minorEastAsia"/>
          <w:kern w:val="2"/>
          <w:sz w:val="24"/>
          <w:szCs w:val="24"/>
          <w:highlight w:val="none"/>
          <w:lang w:val="en-US" w:eastAsia="zh-CN" w:bidi="ar"/>
        </w:rPr>
        <w:t>（标段）</w:t>
      </w:r>
      <w:r>
        <w:rPr>
          <w:rFonts w:hint="eastAsia" w:ascii="宋体" w:hAnsi="宋体" w:eastAsia="宋体" w:cs="宋体"/>
          <w:sz w:val="24"/>
          <w:szCs w:val="24"/>
          <w:highlight w:val="none"/>
        </w:rPr>
        <w:t>项目招投标活动中，我公司（单位）郑重作出以下信用承诺：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sz w:val="24"/>
          <w:szCs w:val="24"/>
          <w:highlight w:val="none"/>
        </w:rPr>
        <w:t>（五）若我公司（单位）及相关参与人员违背以上承诺事项，即被视为失信企（法人），依据《关于对公共资源交易领域严重失信主体开展联合惩戒的备忘录》(发改法规［2018] 457号），自愿接受失信联合惩戒和依法给予的行政处罚（处理），并依法承担赔偿责任和刑事责任。</w:t>
      </w:r>
    </w:p>
    <w:p>
      <w:pPr>
        <w:pStyle w:val="3"/>
        <w:keepNext/>
        <w:keepLines/>
        <w:pageBreakBefore w:val="0"/>
        <w:widowControl/>
        <w:kinsoku/>
        <w:wordWrap/>
        <w:overflowPunct/>
        <w:topLinePunct w:val="0"/>
        <w:autoSpaceDE/>
        <w:autoSpaceDN/>
        <w:bidi w:val="0"/>
        <w:adjustRightInd/>
        <w:snapToGrid/>
        <w:spacing w:before="0" w:after="0"/>
        <w:ind w:left="283"/>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sz w:val="24"/>
          <w:szCs w:val="24"/>
          <w:highlight w:val="none"/>
          <w:lang w:val="en-US" w:eastAsia="zh-CN"/>
        </w:rPr>
        <w:t>承诺有效期限：</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cs="宋体"/>
          <w:color w:val="000000"/>
          <w:sz w:val="24"/>
          <w:szCs w:val="24"/>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val="0"/>
          <w:bCs/>
          <w:sz w:val="24"/>
          <w:szCs w:val="24"/>
          <w:highlight w:val="none"/>
          <w:u w:val="single"/>
          <w:lang w:val="en-US" w:eastAsia="zh-CN"/>
        </w:rPr>
      </w:pPr>
      <w:r>
        <w:rPr>
          <w:rFonts w:hint="eastAsia"/>
          <w:b w:val="0"/>
          <w:bCs/>
          <w:sz w:val="24"/>
          <w:szCs w:val="24"/>
          <w:highlight w:val="none"/>
          <w:lang w:val="en-US" w:eastAsia="zh-CN"/>
        </w:rPr>
        <w:t>供应商：</w:t>
      </w:r>
      <w:r>
        <w:rPr>
          <w:rFonts w:hint="eastAsia"/>
          <w:b w:val="0"/>
          <w:bCs/>
          <w:sz w:val="24"/>
          <w:szCs w:val="24"/>
          <w:highlight w:val="none"/>
          <w:u w:val="none"/>
          <w:lang w:val="en-US" w:eastAsia="zh-CN"/>
        </w:rPr>
        <w:t xml:space="preserve"> </w:t>
      </w:r>
      <w:r>
        <w:rPr>
          <w:rFonts w:hint="eastAsia"/>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highlight w:val="none"/>
          <w:u w:val="single"/>
          <w:lang w:val="en-US" w:eastAsia="zh-CN"/>
        </w:rPr>
      </w:pPr>
      <w:r>
        <w:rPr>
          <w:rFonts w:hint="eastAsia"/>
          <w:sz w:val="24"/>
          <w:szCs w:val="24"/>
          <w:highlight w:val="none"/>
          <w:lang w:val="en-US" w:eastAsia="zh-CN"/>
        </w:rPr>
        <w:t>承诺人（签字）：</w:t>
      </w:r>
      <w:r>
        <w:rPr>
          <w:rFonts w:hint="eastAsia"/>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lang w:eastAsia="zh-CN"/>
        </w:rPr>
      </w:pPr>
      <w:r>
        <w:rPr>
          <w:rFonts w:hint="eastAsia"/>
          <w:sz w:val="24"/>
          <w:szCs w:val="24"/>
          <w:highlight w:val="none"/>
          <w:lang w:val="en-US" w:eastAsia="zh-CN"/>
        </w:rPr>
        <w:t>承诺时间：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pPr>
        <w:pStyle w:val="10"/>
        <w:ind w:firstLine="843" w:firstLineChars="300"/>
        <w:rPr>
          <w:rFonts w:hint="eastAsia" w:ascii="宋体" w:hAnsi="宋体" w:cs="宋体"/>
          <w:b/>
          <w:bCs/>
          <w:sz w:val="24"/>
          <w:szCs w:val="24"/>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widowControl/>
        <w:kinsoku w:val="0"/>
        <w:autoSpaceDE w:val="0"/>
        <w:autoSpaceDN w:val="0"/>
        <w:adjustRightInd w:val="0"/>
        <w:snapToGrid w:val="0"/>
        <w:spacing w:line="240" w:lineRule="auto"/>
        <w:ind w:firstLine="1446" w:firstLineChars="600"/>
        <w:jc w:val="left"/>
        <w:textAlignment w:val="baseline"/>
        <w:rPr>
          <w:rFonts w:hint="eastAsia"/>
          <w:highlight w:val="none"/>
          <w:lang w:eastAsia="zh-CN"/>
        </w:rPr>
      </w:pPr>
      <w:r>
        <w:rPr>
          <w:rFonts w:hint="eastAsia" w:ascii="Times New Roman" w:hAnsi="宋体" w:eastAsia="宋体" w:cs="宋体"/>
          <w:b/>
          <w:snapToGrid/>
          <w:color w:val="auto"/>
          <w:kern w:val="2"/>
          <w:sz w:val="24"/>
          <w:szCs w:val="16"/>
          <w:highlight w:val="none"/>
          <w:lang w:val="en-US" w:eastAsia="zh-CN" w:bidi="ar-SA"/>
        </w:rPr>
        <w:t>2、</w:t>
      </w:r>
      <w:r>
        <w:rPr>
          <w:rFonts w:hint="eastAsia" w:hAnsi="宋体" w:cs="宋体"/>
          <w:b/>
          <w:snapToGrid/>
          <w:color w:val="auto"/>
          <w:kern w:val="2"/>
          <w:sz w:val="24"/>
          <w:szCs w:val="16"/>
          <w:highlight w:val="none"/>
          <w:lang w:val="en-US" w:eastAsia="zh-CN" w:bidi="ar-SA"/>
        </w:rPr>
        <w:t>供应商</w:t>
      </w:r>
      <w:r>
        <w:rPr>
          <w:rFonts w:hint="eastAsia" w:ascii="Times New Roman" w:hAnsi="宋体" w:eastAsia="宋体" w:cs="宋体"/>
          <w:b/>
          <w:snapToGrid/>
          <w:color w:val="auto"/>
          <w:kern w:val="2"/>
          <w:sz w:val="24"/>
          <w:szCs w:val="16"/>
          <w:highlight w:val="none"/>
          <w:lang w:val="en-US" w:eastAsia="zh-CN" w:bidi="ar-SA"/>
        </w:rPr>
        <w:t>委托代理人员信用承诺书需被委托人自己上传，不得用单位账号上传承诺书。</w:t>
      </w:r>
    </w:p>
    <w:sectPr>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auto"/>
    <w:pitch w:val="default"/>
    <w:sig w:usb0="E00006FF" w:usb1="0000FCFF" w:usb2="00000001" w:usb3="00000000" w:csb0="6000019F" w:csb1="DFD70000"/>
  </w:font>
  <w:font w:name="Arial (W1)">
    <w:altName w:val="Arial"/>
    <w:panose1 w:val="00000000000000000000"/>
    <w:charset w:val="00"/>
    <w:family w:val="swiss"/>
    <w:pitch w:val="default"/>
    <w:sig w:usb0="00000000" w:usb1="00000000" w:usb2="00000008" w:usb3="00000000" w:csb0="000001FF" w:csb1="00000000"/>
  </w:font>
  <w:font w:name="仿宋_GB2312">
    <w:altName w:val="仿宋"/>
    <w:panose1 w:val="02010609030101010101"/>
    <w:charset w:val="02"/>
    <w:family w:val="decorative"/>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7"/>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pStyle w:val="17"/>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1">
    <w:nsid w:val="B67F2E8E"/>
    <w:multiLevelType w:val="singleLevel"/>
    <w:tmpl w:val="B67F2E8E"/>
    <w:lvl w:ilvl="0" w:tentative="0">
      <w:start w:val="1"/>
      <w:numFmt w:val="decimal"/>
      <w:suff w:val="nothing"/>
      <w:lvlText w:val="%1、"/>
      <w:lvlJc w:val="left"/>
    </w:lvl>
  </w:abstractNum>
  <w:abstractNum w:abstractNumId="2">
    <w:nsid w:val="C31D41FE"/>
    <w:multiLevelType w:val="singleLevel"/>
    <w:tmpl w:val="C31D41FE"/>
    <w:lvl w:ilvl="0" w:tentative="0">
      <w:start w:val="5"/>
      <w:numFmt w:val="decimal"/>
      <w:suff w:val="nothing"/>
      <w:lvlText w:val="%1、"/>
      <w:lvlJc w:val="left"/>
    </w:lvl>
  </w:abstractNum>
  <w:abstractNum w:abstractNumId="3">
    <w:nsid w:val="CD52DFBB"/>
    <w:multiLevelType w:val="singleLevel"/>
    <w:tmpl w:val="CD52DFBB"/>
    <w:lvl w:ilvl="0" w:tentative="0">
      <w:start w:val="1"/>
      <w:numFmt w:val="decimal"/>
      <w:suff w:val="nothing"/>
      <w:lvlText w:val="（%1）"/>
      <w:lvlJc w:val="left"/>
    </w:lvl>
  </w:abstractNum>
  <w:abstractNum w:abstractNumId="4">
    <w:nsid w:val="24578AC9"/>
    <w:multiLevelType w:val="singleLevel"/>
    <w:tmpl w:val="24578AC9"/>
    <w:lvl w:ilvl="0" w:tentative="0">
      <w:start w:val="8"/>
      <w:numFmt w:val="decimal"/>
      <w:suff w:val="nothing"/>
      <w:lvlText w:val="%1、"/>
      <w:lvlJc w:val="left"/>
    </w:lvl>
  </w:abstractNum>
  <w:abstractNum w:abstractNumId="5">
    <w:nsid w:val="6B27D4EE"/>
    <w:multiLevelType w:val="singleLevel"/>
    <w:tmpl w:val="6B27D4EE"/>
    <w:lvl w:ilvl="0" w:tentative="0">
      <w:start w:val="10"/>
      <w:numFmt w:val="decimal"/>
      <w:suff w:val="nothing"/>
      <w:lvlText w:val="%1、"/>
      <w:lvlJc w:val="left"/>
    </w:lvl>
  </w:abstractNum>
  <w:abstractNum w:abstractNumId="6">
    <w:nsid w:val="724B0212"/>
    <w:multiLevelType w:val="multilevel"/>
    <w:tmpl w:val="724B0212"/>
    <w:lvl w:ilvl="0" w:tentative="0">
      <w:start w:val="1"/>
      <w:numFmt w:val="decimal"/>
      <w:pStyle w:val="50"/>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num>
  <w:num w:numId="3">
    <w:abstractNumId w:val="5"/>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MGZjNjdlN2VlNTQwOWMwMTNhNTc4ZTJhMTZmODUifQ=="/>
  </w:docVars>
  <w:rsids>
    <w:rsidRoot w:val="1DEC3F14"/>
    <w:rsid w:val="003752C8"/>
    <w:rsid w:val="004C49AC"/>
    <w:rsid w:val="00E371FE"/>
    <w:rsid w:val="00E455F8"/>
    <w:rsid w:val="00F40070"/>
    <w:rsid w:val="01233A9E"/>
    <w:rsid w:val="01671BDD"/>
    <w:rsid w:val="018650DF"/>
    <w:rsid w:val="01BE7323"/>
    <w:rsid w:val="01C82461"/>
    <w:rsid w:val="029864DE"/>
    <w:rsid w:val="02BA51E5"/>
    <w:rsid w:val="03255AA0"/>
    <w:rsid w:val="03BD5AE4"/>
    <w:rsid w:val="03FE7EAB"/>
    <w:rsid w:val="042A735D"/>
    <w:rsid w:val="04363AE8"/>
    <w:rsid w:val="045301F6"/>
    <w:rsid w:val="04BC0CAD"/>
    <w:rsid w:val="04FF037E"/>
    <w:rsid w:val="050140F6"/>
    <w:rsid w:val="0577480B"/>
    <w:rsid w:val="05A70C30"/>
    <w:rsid w:val="05C3315A"/>
    <w:rsid w:val="060379FA"/>
    <w:rsid w:val="060C0620"/>
    <w:rsid w:val="062E4A77"/>
    <w:rsid w:val="064B0A03"/>
    <w:rsid w:val="068E3768"/>
    <w:rsid w:val="06952D48"/>
    <w:rsid w:val="06A92350"/>
    <w:rsid w:val="06FF6413"/>
    <w:rsid w:val="0708351A"/>
    <w:rsid w:val="07492616"/>
    <w:rsid w:val="075C1AB8"/>
    <w:rsid w:val="0797489E"/>
    <w:rsid w:val="07DC0503"/>
    <w:rsid w:val="08273ADA"/>
    <w:rsid w:val="08B946DA"/>
    <w:rsid w:val="08CD6EE3"/>
    <w:rsid w:val="08FF0EBE"/>
    <w:rsid w:val="093B0542"/>
    <w:rsid w:val="0946032A"/>
    <w:rsid w:val="09CF6571"/>
    <w:rsid w:val="0A0C7033"/>
    <w:rsid w:val="0A1D6586"/>
    <w:rsid w:val="0A1D733A"/>
    <w:rsid w:val="0A5847B8"/>
    <w:rsid w:val="0B325009"/>
    <w:rsid w:val="0B90402D"/>
    <w:rsid w:val="0BB33D4E"/>
    <w:rsid w:val="0BFF3E1E"/>
    <w:rsid w:val="0C1344C4"/>
    <w:rsid w:val="0C50326D"/>
    <w:rsid w:val="0CAE32A6"/>
    <w:rsid w:val="0CC25F19"/>
    <w:rsid w:val="0CEA3204"/>
    <w:rsid w:val="0D156991"/>
    <w:rsid w:val="0D2C7AC8"/>
    <w:rsid w:val="0D4252AC"/>
    <w:rsid w:val="0D517B72"/>
    <w:rsid w:val="0D7A79C9"/>
    <w:rsid w:val="0D7D30DD"/>
    <w:rsid w:val="0DCA769C"/>
    <w:rsid w:val="0E3F5C2E"/>
    <w:rsid w:val="0E675630"/>
    <w:rsid w:val="0E7476E7"/>
    <w:rsid w:val="0F5B5353"/>
    <w:rsid w:val="0FB87AA7"/>
    <w:rsid w:val="0FBB2283"/>
    <w:rsid w:val="10090303"/>
    <w:rsid w:val="10150A56"/>
    <w:rsid w:val="10304BDC"/>
    <w:rsid w:val="10680EA3"/>
    <w:rsid w:val="107C4C0E"/>
    <w:rsid w:val="109776BD"/>
    <w:rsid w:val="110765F0"/>
    <w:rsid w:val="11077236"/>
    <w:rsid w:val="111A6548"/>
    <w:rsid w:val="112F5B47"/>
    <w:rsid w:val="11CD0552"/>
    <w:rsid w:val="11E701D0"/>
    <w:rsid w:val="11EA4A7C"/>
    <w:rsid w:val="12767ED2"/>
    <w:rsid w:val="12843C71"/>
    <w:rsid w:val="128B14A3"/>
    <w:rsid w:val="12A00FA0"/>
    <w:rsid w:val="12AA36D7"/>
    <w:rsid w:val="12B72672"/>
    <w:rsid w:val="12B96AED"/>
    <w:rsid w:val="12D76496"/>
    <w:rsid w:val="12E36023"/>
    <w:rsid w:val="130134CA"/>
    <w:rsid w:val="13143CA2"/>
    <w:rsid w:val="13335413"/>
    <w:rsid w:val="13405DEA"/>
    <w:rsid w:val="13651160"/>
    <w:rsid w:val="1386545F"/>
    <w:rsid w:val="13904FC3"/>
    <w:rsid w:val="13917771"/>
    <w:rsid w:val="13B862C8"/>
    <w:rsid w:val="13EA1322"/>
    <w:rsid w:val="14520C23"/>
    <w:rsid w:val="14676D23"/>
    <w:rsid w:val="146A5814"/>
    <w:rsid w:val="14700951"/>
    <w:rsid w:val="14A276E9"/>
    <w:rsid w:val="14BF7518"/>
    <w:rsid w:val="154A73F4"/>
    <w:rsid w:val="15543E30"/>
    <w:rsid w:val="15681628"/>
    <w:rsid w:val="159863B1"/>
    <w:rsid w:val="15C4489B"/>
    <w:rsid w:val="163C4F8E"/>
    <w:rsid w:val="164F4743"/>
    <w:rsid w:val="167115D2"/>
    <w:rsid w:val="1672275E"/>
    <w:rsid w:val="16B74615"/>
    <w:rsid w:val="16BA138B"/>
    <w:rsid w:val="16C80B2F"/>
    <w:rsid w:val="16D2144F"/>
    <w:rsid w:val="16DE614F"/>
    <w:rsid w:val="17092996"/>
    <w:rsid w:val="17CC43CF"/>
    <w:rsid w:val="17D9680D"/>
    <w:rsid w:val="17FF3C8E"/>
    <w:rsid w:val="185D11EC"/>
    <w:rsid w:val="187813B3"/>
    <w:rsid w:val="18943B3D"/>
    <w:rsid w:val="18F002B2"/>
    <w:rsid w:val="18F205A4"/>
    <w:rsid w:val="19126B92"/>
    <w:rsid w:val="192D5062"/>
    <w:rsid w:val="19E27BFB"/>
    <w:rsid w:val="1A600FF5"/>
    <w:rsid w:val="1A7C7F4E"/>
    <w:rsid w:val="1A872550"/>
    <w:rsid w:val="1AFA05B0"/>
    <w:rsid w:val="1B9B0F1F"/>
    <w:rsid w:val="1CB13834"/>
    <w:rsid w:val="1CF739BD"/>
    <w:rsid w:val="1D0E695C"/>
    <w:rsid w:val="1D13631D"/>
    <w:rsid w:val="1D436C02"/>
    <w:rsid w:val="1D6E17A5"/>
    <w:rsid w:val="1D976F4E"/>
    <w:rsid w:val="1DB23D88"/>
    <w:rsid w:val="1DEC3F14"/>
    <w:rsid w:val="1E081BFA"/>
    <w:rsid w:val="1E403142"/>
    <w:rsid w:val="1E432C32"/>
    <w:rsid w:val="1E967206"/>
    <w:rsid w:val="1EDA74E2"/>
    <w:rsid w:val="1EDC7F5E"/>
    <w:rsid w:val="1EE47F71"/>
    <w:rsid w:val="1F0B3750"/>
    <w:rsid w:val="1F6B0AE6"/>
    <w:rsid w:val="201725C8"/>
    <w:rsid w:val="20523600"/>
    <w:rsid w:val="20601879"/>
    <w:rsid w:val="209B333E"/>
    <w:rsid w:val="212270F6"/>
    <w:rsid w:val="213A1625"/>
    <w:rsid w:val="21691381"/>
    <w:rsid w:val="21B24356"/>
    <w:rsid w:val="21CA15BA"/>
    <w:rsid w:val="22405E06"/>
    <w:rsid w:val="227C5DA6"/>
    <w:rsid w:val="22AF0896"/>
    <w:rsid w:val="22F707A5"/>
    <w:rsid w:val="22FF35CB"/>
    <w:rsid w:val="23040BE2"/>
    <w:rsid w:val="23403BE4"/>
    <w:rsid w:val="23686699"/>
    <w:rsid w:val="23A56F38"/>
    <w:rsid w:val="23E67263"/>
    <w:rsid w:val="242D4701"/>
    <w:rsid w:val="243A562E"/>
    <w:rsid w:val="247A332F"/>
    <w:rsid w:val="248A3369"/>
    <w:rsid w:val="24A54079"/>
    <w:rsid w:val="24C83E91"/>
    <w:rsid w:val="24FA3908"/>
    <w:rsid w:val="2518784C"/>
    <w:rsid w:val="256E7030"/>
    <w:rsid w:val="257B7155"/>
    <w:rsid w:val="25B71843"/>
    <w:rsid w:val="25BF7042"/>
    <w:rsid w:val="25F807A6"/>
    <w:rsid w:val="26F91E08"/>
    <w:rsid w:val="271512FF"/>
    <w:rsid w:val="27192967"/>
    <w:rsid w:val="278B049D"/>
    <w:rsid w:val="27AA72E2"/>
    <w:rsid w:val="28173165"/>
    <w:rsid w:val="28462482"/>
    <w:rsid w:val="286E72D5"/>
    <w:rsid w:val="29357D34"/>
    <w:rsid w:val="2936586D"/>
    <w:rsid w:val="297553C5"/>
    <w:rsid w:val="29A41597"/>
    <w:rsid w:val="29CF45FA"/>
    <w:rsid w:val="2A25006E"/>
    <w:rsid w:val="2A2E4796"/>
    <w:rsid w:val="2A552F76"/>
    <w:rsid w:val="2A68414C"/>
    <w:rsid w:val="2A7678DC"/>
    <w:rsid w:val="2A847C5B"/>
    <w:rsid w:val="2AF7727E"/>
    <w:rsid w:val="2AFC57E6"/>
    <w:rsid w:val="2C05565E"/>
    <w:rsid w:val="2C29790B"/>
    <w:rsid w:val="2C963BB6"/>
    <w:rsid w:val="2CD2648D"/>
    <w:rsid w:val="2CF71713"/>
    <w:rsid w:val="2D067C4C"/>
    <w:rsid w:val="2D1F7A9D"/>
    <w:rsid w:val="2D40315E"/>
    <w:rsid w:val="2D616C31"/>
    <w:rsid w:val="2D7B4B34"/>
    <w:rsid w:val="2D834DF9"/>
    <w:rsid w:val="2DCD7B70"/>
    <w:rsid w:val="2DE60480"/>
    <w:rsid w:val="2E003612"/>
    <w:rsid w:val="2E1F0FC6"/>
    <w:rsid w:val="2E78375E"/>
    <w:rsid w:val="2EC2722A"/>
    <w:rsid w:val="2EE87609"/>
    <w:rsid w:val="2F584DDB"/>
    <w:rsid w:val="2FA379D4"/>
    <w:rsid w:val="2FBE001C"/>
    <w:rsid w:val="2FCE736A"/>
    <w:rsid w:val="30035821"/>
    <w:rsid w:val="30136908"/>
    <w:rsid w:val="30403475"/>
    <w:rsid w:val="309537C1"/>
    <w:rsid w:val="31C205E6"/>
    <w:rsid w:val="32522FA4"/>
    <w:rsid w:val="32A93554"/>
    <w:rsid w:val="33A15FD9"/>
    <w:rsid w:val="34030A42"/>
    <w:rsid w:val="344828F8"/>
    <w:rsid w:val="344A6670"/>
    <w:rsid w:val="34701152"/>
    <w:rsid w:val="347B35FA"/>
    <w:rsid w:val="348002E4"/>
    <w:rsid w:val="3489249A"/>
    <w:rsid w:val="348F0ACB"/>
    <w:rsid w:val="34B54391"/>
    <w:rsid w:val="34CF642A"/>
    <w:rsid w:val="34E2448F"/>
    <w:rsid w:val="35154772"/>
    <w:rsid w:val="35A770FE"/>
    <w:rsid w:val="35B32950"/>
    <w:rsid w:val="35BF75DF"/>
    <w:rsid w:val="3627042C"/>
    <w:rsid w:val="363D1C84"/>
    <w:rsid w:val="363E2205"/>
    <w:rsid w:val="365305C5"/>
    <w:rsid w:val="36617CA1"/>
    <w:rsid w:val="367125DA"/>
    <w:rsid w:val="369E0EF6"/>
    <w:rsid w:val="36B94409"/>
    <w:rsid w:val="36D7535E"/>
    <w:rsid w:val="373552A4"/>
    <w:rsid w:val="37445C21"/>
    <w:rsid w:val="375D2B5F"/>
    <w:rsid w:val="375D47D8"/>
    <w:rsid w:val="379215D9"/>
    <w:rsid w:val="37B602DB"/>
    <w:rsid w:val="37ED5C91"/>
    <w:rsid w:val="37F039D3"/>
    <w:rsid w:val="38194CD8"/>
    <w:rsid w:val="383218F5"/>
    <w:rsid w:val="38433D36"/>
    <w:rsid w:val="387463B2"/>
    <w:rsid w:val="389D13B5"/>
    <w:rsid w:val="38A91892"/>
    <w:rsid w:val="38B642D4"/>
    <w:rsid w:val="391E271B"/>
    <w:rsid w:val="39331DC9"/>
    <w:rsid w:val="39406294"/>
    <w:rsid w:val="39785A2E"/>
    <w:rsid w:val="39FA4695"/>
    <w:rsid w:val="39FD5F33"/>
    <w:rsid w:val="3A2221C0"/>
    <w:rsid w:val="3A4C7833"/>
    <w:rsid w:val="3A5B15D7"/>
    <w:rsid w:val="3A775CE5"/>
    <w:rsid w:val="3B393EBA"/>
    <w:rsid w:val="3B5F50F7"/>
    <w:rsid w:val="3B8E32E7"/>
    <w:rsid w:val="3BF93960"/>
    <w:rsid w:val="3C060552"/>
    <w:rsid w:val="3C335493"/>
    <w:rsid w:val="3C7D1176"/>
    <w:rsid w:val="3C912080"/>
    <w:rsid w:val="3CAF1BA3"/>
    <w:rsid w:val="3CC3186F"/>
    <w:rsid w:val="3D5B3B5C"/>
    <w:rsid w:val="3DC75184"/>
    <w:rsid w:val="3DD31485"/>
    <w:rsid w:val="3DE14523"/>
    <w:rsid w:val="3E261732"/>
    <w:rsid w:val="3E817133"/>
    <w:rsid w:val="3E8B1D5F"/>
    <w:rsid w:val="3ECF0FD6"/>
    <w:rsid w:val="3ED92ACB"/>
    <w:rsid w:val="3F312907"/>
    <w:rsid w:val="3FCC1E51"/>
    <w:rsid w:val="3FD55988"/>
    <w:rsid w:val="400437A6"/>
    <w:rsid w:val="4036327C"/>
    <w:rsid w:val="403A3A3D"/>
    <w:rsid w:val="40652CB1"/>
    <w:rsid w:val="40D21EC7"/>
    <w:rsid w:val="40D7128C"/>
    <w:rsid w:val="41073ED6"/>
    <w:rsid w:val="4171741B"/>
    <w:rsid w:val="41CD6CF7"/>
    <w:rsid w:val="4269060A"/>
    <w:rsid w:val="42A076D3"/>
    <w:rsid w:val="42DE7867"/>
    <w:rsid w:val="42E64638"/>
    <w:rsid w:val="432A697B"/>
    <w:rsid w:val="43454BD3"/>
    <w:rsid w:val="43A45017"/>
    <w:rsid w:val="43AB0165"/>
    <w:rsid w:val="43CC0E50"/>
    <w:rsid w:val="43D53264"/>
    <w:rsid w:val="43FC3F5B"/>
    <w:rsid w:val="43FE7FBC"/>
    <w:rsid w:val="44625310"/>
    <w:rsid w:val="449660BB"/>
    <w:rsid w:val="44F4340B"/>
    <w:rsid w:val="450D5023"/>
    <w:rsid w:val="45383663"/>
    <w:rsid w:val="456A0921"/>
    <w:rsid w:val="45C049E4"/>
    <w:rsid w:val="45F8417E"/>
    <w:rsid w:val="46013DBB"/>
    <w:rsid w:val="46362EF9"/>
    <w:rsid w:val="46951499"/>
    <w:rsid w:val="46A2053F"/>
    <w:rsid w:val="46AB7443"/>
    <w:rsid w:val="470262B2"/>
    <w:rsid w:val="473A5685"/>
    <w:rsid w:val="477C5DA4"/>
    <w:rsid w:val="47A81BD4"/>
    <w:rsid w:val="47A90442"/>
    <w:rsid w:val="47D66741"/>
    <w:rsid w:val="48106360"/>
    <w:rsid w:val="481E59F2"/>
    <w:rsid w:val="48427933"/>
    <w:rsid w:val="48757D08"/>
    <w:rsid w:val="48855264"/>
    <w:rsid w:val="48A357EC"/>
    <w:rsid w:val="492B48C1"/>
    <w:rsid w:val="49306839"/>
    <w:rsid w:val="493A1D15"/>
    <w:rsid w:val="49D547D7"/>
    <w:rsid w:val="4A2969BA"/>
    <w:rsid w:val="4AAA2FAB"/>
    <w:rsid w:val="4ABA7028"/>
    <w:rsid w:val="4ACF1226"/>
    <w:rsid w:val="4AD7205D"/>
    <w:rsid w:val="4ADB7BCB"/>
    <w:rsid w:val="4ADF5D5F"/>
    <w:rsid w:val="4AF173EE"/>
    <w:rsid w:val="4B3D2633"/>
    <w:rsid w:val="4B5C51AF"/>
    <w:rsid w:val="4B7A3887"/>
    <w:rsid w:val="4B9304A5"/>
    <w:rsid w:val="4BA30F80"/>
    <w:rsid w:val="4BE56910"/>
    <w:rsid w:val="4C150FBA"/>
    <w:rsid w:val="4C2C24BA"/>
    <w:rsid w:val="4C5145E8"/>
    <w:rsid w:val="4C742085"/>
    <w:rsid w:val="4C85381C"/>
    <w:rsid w:val="4CA95082"/>
    <w:rsid w:val="4CB31F72"/>
    <w:rsid w:val="4CE94821"/>
    <w:rsid w:val="4D8E4047"/>
    <w:rsid w:val="4D931994"/>
    <w:rsid w:val="4D9724CF"/>
    <w:rsid w:val="4DB96B59"/>
    <w:rsid w:val="4DEF478F"/>
    <w:rsid w:val="4E1A3B33"/>
    <w:rsid w:val="4E3D0275"/>
    <w:rsid w:val="4E8F45E7"/>
    <w:rsid w:val="4EA2112B"/>
    <w:rsid w:val="4EC45545"/>
    <w:rsid w:val="4EDB463D"/>
    <w:rsid w:val="4F7223C9"/>
    <w:rsid w:val="4FE439C5"/>
    <w:rsid w:val="502E69EF"/>
    <w:rsid w:val="505E56E1"/>
    <w:rsid w:val="5085479A"/>
    <w:rsid w:val="508B5BEF"/>
    <w:rsid w:val="509B0528"/>
    <w:rsid w:val="50E347CF"/>
    <w:rsid w:val="512A365A"/>
    <w:rsid w:val="51F25BDA"/>
    <w:rsid w:val="523227C6"/>
    <w:rsid w:val="52342399"/>
    <w:rsid w:val="52666914"/>
    <w:rsid w:val="53087098"/>
    <w:rsid w:val="533A5ABE"/>
    <w:rsid w:val="535F7965"/>
    <w:rsid w:val="537806AC"/>
    <w:rsid w:val="53EA6C2E"/>
    <w:rsid w:val="53EB01EA"/>
    <w:rsid w:val="54115EB0"/>
    <w:rsid w:val="545F207B"/>
    <w:rsid w:val="546450D5"/>
    <w:rsid w:val="54977204"/>
    <w:rsid w:val="54997D66"/>
    <w:rsid w:val="54B83630"/>
    <w:rsid w:val="55106F91"/>
    <w:rsid w:val="553B5E36"/>
    <w:rsid w:val="5560698D"/>
    <w:rsid w:val="55801A9A"/>
    <w:rsid w:val="55CE6CAA"/>
    <w:rsid w:val="55DB7EF9"/>
    <w:rsid w:val="55E633FD"/>
    <w:rsid w:val="5606725E"/>
    <w:rsid w:val="563E3B05"/>
    <w:rsid w:val="565A22EB"/>
    <w:rsid w:val="569476CE"/>
    <w:rsid w:val="5700304C"/>
    <w:rsid w:val="572E2DAA"/>
    <w:rsid w:val="573A6BA0"/>
    <w:rsid w:val="580A1AEF"/>
    <w:rsid w:val="587B6F29"/>
    <w:rsid w:val="58AC7489"/>
    <w:rsid w:val="58C3061C"/>
    <w:rsid w:val="58D42829"/>
    <w:rsid w:val="59253085"/>
    <w:rsid w:val="59310D69"/>
    <w:rsid w:val="597B2CA5"/>
    <w:rsid w:val="59975605"/>
    <w:rsid w:val="59BB12F3"/>
    <w:rsid w:val="59D64D5C"/>
    <w:rsid w:val="59E85597"/>
    <w:rsid w:val="59F14D15"/>
    <w:rsid w:val="5A6574B1"/>
    <w:rsid w:val="5A696FA1"/>
    <w:rsid w:val="5A955FE8"/>
    <w:rsid w:val="5AA12BDF"/>
    <w:rsid w:val="5AA4622B"/>
    <w:rsid w:val="5AE1122D"/>
    <w:rsid w:val="5B0E1379"/>
    <w:rsid w:val="5B8A5421"/>
    <w:rsid w:val="5B953DC6"/>
    <w:rsid w:val="5BFA36A0"/>
    <w:rsid w:val="5C001B87"/>
    <w:rsid w:val="5C34586C"/>
    <w:rsid w:val="5C781EAD"/>
    <w:rsid w:val="5C79623E"/>
    <w:rsid w:val="5CE82020"/>
    <w:rsid w:val="5D38765E"/>
    <w:rsid w:val="5D5A0E23"/>
    <w:rsid w:val="5DA6315A"/>
    <w:rsid w:val="5DE74DAC"/>
    <w:rsid w:val="5DFB0858"/>
    <w:rsid w:val="5E145476"/>
    <w:rsid w:val="5E260208"/>
    <w:rsid w:val="5E485C2D"/>
    <w:rsid w:val="5E9F7435"/>
    <w:rsid w:val="5EF332DD"/>
    <w:rsid w:val="5EF57055"/>
    <w:rsid w:val="5F09639B"/>
    <w:rsid w:val="5F9F6A80"/>
    <w:rsid w:val="5FCF3D4A"/>
    <w:rsid w:val="60082DB8"/>
    <w:rsid w:val="605B738C"/>
    <w:rsid w:val="607401A8"/>
    <w:rsid w:val="607D7175"/>
    <w:rsid w:val="607E193D"/>
    <w:rsid w:val="609A4358"/>
    <w:rsid w:val="60A65B62"/>
    <w:rsid w:val="61500EBB"/>
    <w:rsid w:val="615025B6"/>
    <w:rsid w:val="617036E2"/>
    <w:rsid w:val="61C15914"/>
    <w:rsid w:val="61F476F0"/>
    <w:rsid w:val="62162102"/>
    <w:rsid w:val="625C73EB"/>
    <w:rsid w:val="629152E7"/>
    <w:rsid w:val="62AE40EB"/>
    <w:rsid w:val="62E93375"/>
    <w:rsid w:val="62EB64DB"/>
    <w:rsid w:val="636A6698"/>
    <w:rsid w:val="636C18B0"/>
    <w:rsid w:val="63D062E3"/>
    <w:rsid w:val="63D53536"/>
    <w:rsid w:val="63D731CD"/>
    <w:rsid w:val="63FD473D"/>
    <w:rsid w:val="640D6BEF"/>
    <w:rsid w:val="640E0518"/>
    <w:rsid w:val="64495558"/>
    <w:rsid w:val="64572560"/>
    <w:rsid w:val="648D2F0A"/>
    <w:rsid w:val="64F8164D"/>
    <w:rsid w:val="652369C1"/>
    <w:rsid w:val="652B701A"/>
    <w:rsid w:val="65510D5D"/>
    <w:rsid w:val="65670581"/>
    <w:rsid w:val="65A417D5"/>
    <w:rsid w:val="65F862EA"/>
    <w:rsid w:val="660F7FAA"/>
    <w:rsid w:val="6615622F"/>
    <w:rsid w:val="6647640D"/>
    <w:rsid w:val="666A5908"/>
    <w:rsid w:val="66A01F9C"/>
    <w:rsid w:val="66A1772B"/>
    <w:rsid w:val="67163762"/>
    <w:rsid w:val="672809BA"/>
    <w:rsid w:val="675B2367"/>
    <w:rsid w:val="67A81A1A"/>
    <w:rsid w:val="67F36D9B"/>
    <w:rsid w:val="67F500C6"/>
    <w:rsid w:val="680432B4"/>
    <w:rsid w:val="684150B9"/>
    <w:rsid w:val="686D4100"/>
    <w:rsid w:val="687479C1"/>
    <w:rsid w:val="68CA3033"/>
    <w:rsid w:val="68E07260"/>
    <w:rsid w:val="68EA7D6B"/>
    <w:rsid w:val="68EB6F13"/>
    <w:rsid w:val="68ED244F"/>
    <w:rsid w:val="69564B94"/>
    <w:rsid w:val="6A06154D"/>
    <w:rsid w:val="6A4B221F"/>
    <w:rsid w:val="6B87197D"/>
    <w:rsid w:val="6BDB3A77"/>
    <w:rsid w:val="6C514C7A"/>
    <w:rsid w:val="6C5D448C"/>
    <w:rsid w:val="6C5E15D7"/>
    <w:rsid w:val="6C754DD8"/>
    <w:rsid w:val="6CB1796E"/>
    <w:rsid w:val="6D0A01BF"/>
    <w:rsid w:val="6D597677"/>
    <w:rsid w:val="6D822D5A"/>
    <w:rsid w:val="6D8C23F7"/>
    <w:rsid w:val="6E0946A8"/>
    <w:rsid w:val="6E1D068C"/>
    <w:rsid w:val="6E755ABD"/>
    <w:rsid w:val="6EAA77FD"/>
    <w:rsid w:val="6EC44232"/>
    <w:rsid w:val="6FBF379C"/>
    <w:rsid w:val="6FF40E86"/>
    <w:rsid w:val="70512A2B"/>
    <w:rsid w:val="705A7660"/>
    <w:rsid w:val="70744E31"/>
    <w:rsid w:val="70827DBA"/>
    <w:rsid w:val="708C17E3"/>
    <w:rsid w:val="709427D5"/>
    <w:rsid w:val="70F27898"/>
    <w:rsid w:val="71285068"/>
    <w:rsid w:val="714D3EFB"/>
    <w:rsid w:val="716A5681"/>
    <w:rsid w:val="7188305A"/>
    <w:rsid w:val="71A52B5D"/>
    <w:rsid w:val="727F2885"/>
    <w:rsid w:val="72E26977"/>
    <w:rsid w:val="73214465"/>
    <w:rsid w:val="73D0240C"/>
    <w:rsid w:val="744F0B5E"/>
    <w:rsid w:val="74651F5F"/>
    <w:rsid w:val="74B70838"/>
    <w:rsid w:val="75142680"/>
    <w:rsid w:val="757D229D"/>
    <w:rsid w:val="75861C08"/>
    <w:rsid w:val="75B4336E"/>
    <w:rsid w:val="7621477C"/>
    <w:rsid w:val="76423819"/>
    <w:rsid w:val="76434905"/>
    <w:rsid w:val="76720CF3"/>
    <w:rsid w:val="76816FC9"/>
    <w:rsid w:val="768A40CF"/>
    <w:rsid w:val="77033572"/>
    <w:rsid w:val="77210BD3"/>
    <w:rsid w:val="7742316E"/>
    <w:rsid w:val="776A6369"/>
    <w:rsid w:val="77CD0717"/>
    <w:rsid w:val="77E85551"/>
    <w:rsid w:val="78A05E2C"/>
    <w:rsid w:val="78A23952"/>
    <w:rsid w:val="78FB3062"/>
    <w:rsid w:val="797C23F5"/>
    <w:rsid w:val="79946AE4"/>
    <w:rsid w:val="79B55907"/>
    <w:rsid w:val="7AA34B52"/>
    <w:rsid w:val="7B2A40D3"/>
    <w:rsid w:val="7B5D0004"/>
    <w:rsid w:val="7B705F89"/>
    <w:rsid w:val="7BA164BD"/>
    <w:rsid w:val="7BA21E8B"/>
    <w:rsid w:val="7BB14156"/>
    <w:rsid w:val="7BB1648C"/>
    <w:rsid w:val="7BCA7A4A"/>
    <w:rsid w:val="7BE23537"/>
    <w:rsid w:val="7C167562"/>
    <w:rsid w:val="7C336FB7"/>
    <w:rsid w:val="7C356F8A"/>
    <w:rsid w:val="7C3B0C1A"/>
    <w:rsid w:val="7C436A6E"/>
    <w:rsid w:val="7C572CA5"/>
    <w:rsid w:val="7CD442F6"/>
    <w:rsid w:val="7CDA0729"/>
    <w:rsid w:val="7CF36E72"/>
    <w:rsid w:val="7D584F27"/>
    <w:rsid w:val="7DFB58B2"/>
    <w:rsid w:val="7E5D031B"/>
    <w:rsid w:val="7E70374D"/>
    <w:rsid w:val="7E9F77B7"/>
    <w:rsid w:val="7ECE4FDF"/>
    <w:rsid w:val="7F4F3AEF"/>
    <w:rsid w:val="7FAF6B2C"/>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3"/>
    <w:qFormat/>
    <w:uiPriority w:val="0"/>
    <w:pPr>
      <w:keepNext/>
      <w:keepLines/>
      <w:spacing w:before="340" w:after="330" w:line="576" w:lineRule="auto"/>
      <w:outlineLvl w:val="0"/>
    </w:pPr>
    <w:rPr>
      <w:b/>
      <w:kern w:val="44"/>
      <w:sz w:val="44"/>
      <w:szCs w:val="20"/>
    </w:rPr>
  </w:style>
  <w:style w:type="paragraph" w:styleId="3">
    <w:name w:val="heading 2"/>
    <w:basedOn w:val="1"/>
    <w:next w:val="4"/>
    <w:qFormat/>
    <w:uiPriority w:val="0"/>
    <w:pPr>
      <w:keepNext/>
      <w:keepLines/>
      <w:spacing w:before="260" w:after="260" w:line="415"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2"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Cambria" w:hAnsi="Cambria" w:eastAsia="宋体" w:cs="Times New Roman"/>
      <w:b/>
      <w:bCs/>
    </w:rPr>
  </w:style>
  <w:style w:type="paragraph" w:styleId="7">
    <w:name w:val="heading 5"/>
    <w:basedOn w:val="1"/>
    <w:next w:val="1"/>
    <w:qFormat/>
    <w:uiPriority w:val="1"/>
    <w:pPr>
      <w:spacing w:before="39"/>
      <w:ind w:left="1138"/>
      <w:outlineLvl w:val="5"/>
    </w:pPr>
    <w:rPr>
      <w:rFonts w:ascii="宋体" w:hAnsi="宋体" w:eastAsia="宋体" w:cs="宋体"/>
      <w:b/>
      <w:bCs/>
      <w:sz w:val="24"/>
      <w:szCs w:val="24"/>
      <w:lang w:val="zh-CN" w:eastAsia="zh-CN" w:bidi="zh-CN"/>
    </w:rPr>
  </w:style>
  <w:style w:type="paragraph" w:styleId="8">
    <w:name w:val="heading 6"/>
    <w:next w:val="1"/>
    <w:semiHidden/>
    <w:unhideWhenUsed/>
    <w:qFormat/>
    <w:uiPriority w:val="0"/>
    <w:pPr>
      <w:widowControl w:val="0"/>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9">
    <w:name w:val="annotation text"/>
    <w:basedOn w:val="1"/>
    <w:semiHidden/>
    <w:qFormat/>
    <w:uiPriority w:val="0"/>
    <w:pPr>
      <w:jc w:val="left"/>
    </w:pPr>
  </w:style>
  <w:style w:type="paragraph" w:styleId="10">
    <w:name w:val="Body Text"/>
    <w:basedOn w:val="1"/>
    <w:next w:val="1"/>
    <w:qFormat/>
    <w:uiPriority w:val="0"/>
    <w:pPr>
      <w:spacing w:after="120"/>
    </w:pPr>
  </w:style>
  <w:style w:type="paragraph" w:styleId="11">
    <w:name w:val="Body Text Indent"/>
    <w:basedOn w:val="1"/>
    <w:qFormat/>
    <w:uiPriority w:val="0"/>
    <w:pPr>
      <w:ind w:left="1083" w:leftChars="30" w:hanging="1020" w:hangingChars="425"/>
    </w:pPr>
    <w:rPr>
      <w:rFonts w:ascii="宋体" w:hAnsi="宋体"/>
      <w:sz w:val="24"/>
    </w:rPr>
  </w:style>
  <w:style w:type="paragraph" w:styleId="12">
    <w:name w:val="List 2"/>
    <w:basedOn w:val="1"/>
    <w:qFormat/>
    <w:uiPriority w:val="0"/>
    <w:pPr>
      <w:ind w:left="100" w:leftChars="200" w:hanging="200" w:hangingChars="200"/>
    </w:pPr>
    <w:rPr>
      <w:szCs w:val="24"/>
    </w:rPr>
  </w:style>
  <w:style w:type="paragraph" w:styleId="13">
    <w:name w:val="Block Text"/>
    <w:basedOn w:val="1"/>
    <w:qFormat/>
    <w:uiPriority w:val="99"/>
    <w:pPr>
      <w:spacing w:after="120"/>
      <w:ind w:left="1440" w:leftChars="700" w:right="1440" w:rightChars="700"/>
    </w:pPr>
  </w:style>
  <w:style w:type="paragraph" w:styleId="14">
    <w:name w:val="toc 3"/>
    <w:basedOn w:val="1"/>
    <w:next w:val="1"/>
    <w:qFormat/>
    <w:uiPriority w:val="0"/>
    <w:pPr>
      <w:ind w:left="840" w:leftChars="400"/>
    </w:pPr>
  </w:style>
  <w:style w:type="paragraph" w:styleId="15">
    <w:name w:val="Plain Text"/>
    <w:basedOn w:val="1"/>
    <w:qFormat/>
    <w:uiPriority w:val="0"/>
    <w:rPr>
      <w:rFonts w:hint="eastAsia" w:ascii="宋体" w:hAnsi="Courier New"/>
      <w:sz w:val="24"/>
    </w:rPr>
  </w:style>
  <w:style w:type="paragraph" w:styleId="16">
    <w:name w:val="Date"/>
    <w:basedOn w:val="1"/>
    <w:next w:val="1"/>
    <w:qFormat/>
    <w:uiPriority w:val="99"/>
    <w:rPr>
      <w:kern w:val="0"/>
      <w:sz w:val="24"/>
    </w:rPr>
  </w:style>
  <w:style w:type="paragraph" w:styleId="17">
    <w:name w:val="footer"/>
    <w:basedOn w:val="1"/>
    <w:qFormat/>
    <w:uiPriority w:val="0"/>
    <w:pPr>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before="120" w:after="120"/>
      <w:jc w:val="left"/>
    </w:pPr>
    <w:rPr>
      <w:b/>
      <w:bCs/>
      <w:caps/>
      <w:sz w:val="20"/>
    </w:rPr>
  </w:style>
  <w:style w:type="paragraph" w:styleId="21">
    <w:name w:val="List"/>
    <w:basedOn w:val="1"/>
    <w:qFormat/>
    <w:uiPriority w:val="0"/>
    <w:pPr>
      <w:ind w:left="200" w:hanging="200" w:hangingChars="200"/>
    </w:pPr>
  </w:style>
  <w:style w:type="paragraph" w:styleId="22">
    <w:name w:val="toc 2"/>
    <w:basedOn w:val="1"/>
    <w:next w:val="1"/>
    <w:qFormat/>
    <w:uiPriority w:val="0"/>
    <w:pPr>
      <w:ind w:left="420" w:leftChars="200"/>
    </w:pPr>
  </w:style>
  <w:style w:type="paragraph" w:styleId="23">
    <w:name w:val="Body Text 2"/>
    <w:basedOn w:val="1"/>
    <w:qFormat/>
    <w:uiPriority w:val="0"/>
    <w:rPr>
      <w:rFonts w:ascii="楷体_GB2312" w:hAnsi="Copperplate Gothic Bold" w:eastAsia="楷体_GB2312"/>
      <w:kern w:val="2"/>
      <w:sz w:val="28"/>
    </w:rPr>
  </w:style>
  <w:style w:type="paragraph" w:styleId="24">
    <w:name w:val="Normal (Web)"/>
    <w:basedOn w:val="1"/>
    <w:next w:val="18"/>
    <w:qFormat/>
    <w:uiPriority w:val="0"/>
    <w:pPr>
      <w:jc w:val="left"/>
    </w:pPr>
    <w:rPr>
      <w:kern w:val="0"/>
      <w:sz w:val="24"/>
      <w:szCs w:val="24"/>
    </w:rPr>
  </w:style>
  <w:style w:type="paragraph" w:styleId="25">
    <w:name w:val="Title"/>
    <w:basedOn w:val="1"/>
    <w:next w:val="1"/>
    <w:qFormat/>
    <w:uiPriority w:val="10"/>
    <w:pPr>
      <w:spacing w:before="240" w:after="60"/>
      <w:jc w:val="center"/>
      <w:outlineLvl w:val="0"/>
    </w:pPr>
    <w:rPr>
      <w:rFonts w:ascii="Cambria" w:hAnsi="Cambria"/>
      <w:b/>
      <w:color w:val="000000"/>
      <w:kern w:val="0"/>
      <w:sz w:val="32"/>
      <w:szCs w:val="32"/>
    </w:rPr>
  </w:style>
  <w:style w:type="paragraph" w:styleId="26">
    <w:name w:val="Body Text First Indent"/>
    <w:basedOn w:val="10"/>
    <w:qFormat/>
    <w:uiPriority w:val="0"/>
    <w:pPr>
      <w:spacing w:after="120" w:afterLines="0" w:afterAutospacing="0"/>
      <w:ind w:firstLine="420" w:firstLineChars="100"/>
    </w:pPr>
    <w:rPr>
      <w:sz w:val="21"/>
    </w:rPr>
  </w:style>
  <w:style w:type="paragraph" w:styleId="27">
    <w:name w:val="Body Text First Indent 2"/>
    <w:basedOn w:val="11"/>
    <w:unhideWhenUsed/>
    <w:qFormat/>
    <w:uiPriority w:val="99"/>
    <w:pPr>
      <w:ind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sz w:val="27"/>
      <w:szCs w:val="27"/>
    </w:rPr>
  </w:style>
  <w:style w:type="character" w:styleId="32">
    <w:name w:val="FollowedHyperlink"/>
    <w:basedOn w:val="30"/>
    <w:qFormat/>
    <w:uiPriority w:val="0"/>
    <w:rPr>
      <w:color w:val="333333"/>
      <w:u w:val="none"/>
    </w:rPr>
  </w:style>
  <w:style w:type="character" w:styleId="33">
    <w:name w:val="Emphasis"/>
    <w:basedOn w:val="30"/>
    <w:qFormat/>
    <w:uiPriority w:val="0"/>
  </w:style>
  <w:style w:type="character" w:styleId="34">
    <w:name w:val="HTML Definition"/>
    <w:basedOn w:val="30"/>
    <w:qFormat/>
    <w:uiPriority w:val="0"/>
    <w:rPr>
      <w:i/>
      <w:iCs/>
    </w:rPr>
  </w:style>
  <w:style w:type="character" w:styleId="35">
    <w:name w:val="Hyperlink"/>
    <w:basedOn w:val="30"/>
    <w:qFormat/>
    <w:uiPriority w:val="0"/>
    <w:rPr>
      <w:color w:val="333333"/>
      <w:u w:val="none"/>
    </w:rPr>
  </w:style>
  <w:style w:type="character" w:styleId="36">
    <w:name w:val="HTML Code"/>
    <w:basedOn w:val="30"/>
    <w:qFormat/>
    <w:uiPriority w:val="0"/>
    <w:rPr>
      <w:rFonts w:ascii="Consolas" w:hAnsi="Consolas" w:eastAsia="Consolas" w:cs="Consolas"/>
      <w:color w:val="C7254E"/>
      <w:sz w:val="21"/>
      <w:szCs w:val="21"/>
      <w:shd w:val="clear" w:fill="F9F2F4"/>
    </w:rPr>
  </w:style>
  <w:style w:type="character" w:styleId="37">
    <w:name w:val="HTML Cite"/>
    <w:basedOn w:val="30"/>
    <w:qFormat/>
    <w:uiPriority w:val="0"/>
  </w:style>
  <w:style w:type="character" w:styleId="38">
    <w:name w:val="HTML Keyboard"/>
    <w:basedOn w:val="30"/>
    <w:qFormat/>
    <w:uiPriority w:val="0"/>
    <w:rPr>
      <w:rFonts w:hint="default" w:ascii="Consolas" w:hAnsi="Consolas" w:eastAsia="Consolas" w:cs="Consolas"/>
      <w:color w:val="FFFFFF"/>
      <w:sz w:val="21"/>
      <w:szCs w:val="21"/>
      <w:shd w:val="clear" w:fill="333333"/>
    </w:rPr>
  </w:style>
  <w:style w:type="character" w:styleId="39">
    <w:name w:val="HTML Sample"/>
    <w:basedOn w:val="30"/>
    <w:qFormat/>
    <w:uiPriority w:val="0"/>
    <w:rPr>
      <w:rFonts w:hint="default" w:ascii="Consolas" w:hAnsi="Consolas" w:eastAsia="Consolas" w:cs="Consolas"/>
      <w:sz w:val="21"/>
      <w:szCs w:val="21"/>
    </w:rPr>
  </w:style>
  <w:style w:type="paragraph" w:customStyle="1" w:styleId="40">
    <w:name w:val="RFI Heading 2nd Level Char"/>
    <w:basedOn w:val="1"/>
    <w:next w:val="41"/>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1">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42">
    <w:name w:val="*正文"/>
    <w:basedOn w:val="1"/>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43">
    <w:name w:val="标题 1 Char"/>
    <w:link w:val="2"/>
    <w:qFormat/>
    <w:uiPriority w:val="0"/>
    <w:rPr>
      <w:b/>
      <w:kern w:val="44"/>
      <w:sz w:val="44"/>
      <w:szCs w:val="20"/>
    </w:rPr>
  </w:style>
  <w:style w:type="paragraph" w:customStyle="1" w:styleId="44">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45">
    <w:name w:val="Style1"/>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46">
    <w:name w:val="NormalIndent"/>
    <w:basedOn w:val="1"/>
    <w:qFormat/>
    <w:uiPriority w:val="0"/>
    <w:pPr>
      <w:spacing w:line="240" w:lineRule="auto"/>
      <w:ind w:firstLine="420"/>
      <w:jc w:val="both"/>
      <w:textAlignment w:val="baseline"/>
    </w:pPr>
  </w:style>
  <w:style w:type="paragraph" w:customStyle="1" w:styleId="47">
    <w:name w:val="正文缩进1"/>
    <w:basedOn w:val="1"/>
    <w:qFormat/>
    <w:uiPriority w:val="0"/>
    <w:pPr>
      <w:ind w:firstLine="420" w:firstLineChars="200"/>
    </w:pPr>
  </w:style>
  <w:style w:type="paragraph" w:customStyle="1" w:styleId="48">
    <w:name w:val="首行缩进"/>
    <w:basedOn w:val="1"/>
    <w:qFormat/>
    <w:uiPriority w:val="0"/>
    <w:pPr>
      <w:spacing w:line="360" w:lineRule="auto"/>
      <w:ind w:firstLine="480" w:firstLineChars="200"/>
    </w:pPr>
    <w:rPr>
      <w:sz w:val="24"/>
      <w:szCs w:val="22"/>
      <w:lang w:val="zh-CN"/>
    </w:rPr>
  </w:style>
  <w:style w:type="paragraph" w:customStyle="1" w:styleId="49">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0">
    <w:name w:val="3级"/>
    <w:basedOn w:val="51"/>
    <w:qFormat/>
    <w:uiPriority w:val="0"/>
    <w:pPr>
      <w:numPr>
        <w:ilvl w:val="0"/>
        <w:numId w:val="1"/>
      </w:numPr>
      <w:ind w:firstLineChars="0"/>
      <w:outlineLvl w:val="2"/>
    </w:pPr>
  </w:style>
  <w:style w:type="paragraph" w:customStyle="1" w:styleId="51">
    <w:name w:val="列出段落1"/>
    <w:basedOn w:val="1"/>
    <w:qFormat/>
    <w:uiPriority w:val="0"/>
    <w:pPr>
      <w:ind w:firstLine="420" w:firstLineChars="200"/>
    </w:pPr>
    <w:rPr>
      <w:rFonts w:ascii="Calibri" w:hAnsi="Calibri"/>
      <w:szCs w:val="22"/>
    </w:rPr>
  </w:style>
  <w:style w:type="paragraph" w:customStyle="1" w:styleId="52">
    <w:name w:val="Table Paragraph"/>
    <w:basedOn w:val="1"/>
    <w:qFormat/>
    <w:uiPriority w:val="1"/>
    <w:rPr>
      <w:rFonts w:ascii="宋体" w:hAnsi="宋体" w:eastAsia="宋体" w:cs="宋体"/>
      <w:lang w:val="en-US" w:eastAsia="zh-CN" w:bidi="ar-SA"/>
    </w:rPr>
  </w:style>
  <w:style w:type="character" w:customStyle="1" w:styleId="53">
    <w:name w:val="indent"/>
    <w:basedOn w:val="30"/>
    <w:qFormat/>
    <w:uiPriority w:val="0"/>
  </w:style>
  <w:style w:type="character" w:customStyle="1" w:styleId="54">
    <w:name w:val="hour_am"/>
    <w:basedOn w:val="30"/>
    <w:qFormat/>
    <w:uiPriority w:val="0"/>
  </w:style>
  <w:style w:type="character" w:customStyle="1" w:styleId="55">
    <w:name w:val="hover3"/>
    <w:basedOn w:val="30"/>
    <w:qFormat/>
    <w:uiPriority w:val="0"/>
    <w:rPr>
      <w:shd w:val="clear" w:fill="EEEEEE"/>
    </w:rPr>
  </w:style>
  <w:style w:type="character" w:customStyle="1" w:styleId="56">
    <w:name w:val="hour_pm"/>
    <w:basedOn w:val="30"/>
    <w:qFormat/>
    <w:uiPriority w:val="0"/>
  </w:style>
  <w:style w:type="character" w:customStyle="1" w:styleId="57">
    <w:name w:val="old"/>
    <w:basedOn w:val="30"/>
    <w:qFormat/>
    <w:uiPriority w:val="0"/>
    <w:rPr>
      <w:color w:val="999999"/>
    </w:rPr>
  </w:style>
  <w:style w:type="character" w:customStyle="1" w:styleId="58">
    <w:name w:val="glyphicon4"/>
    <w:basedOn w:val="30"/>
    <w:qFormat/>
    <w:uiPriority w:val="0"/>
  </w:style>
  <w:style w:type="character" w:customStyle="1" w:styleId="59">
    <w:name w:val="button"/>
    <w:basedOn w:val="30"/>
    <w:qFormat/>
    <w:uiPriority w:val="0"/>
  </w:style>
  <w:style w:type="character" w:customStyle="1" w:styleId="60">
    <w:name w:val="tmpztreemove_arrow"/>
    <w:basedOn w:val="30"/>
    <w:qFormat/>
    <w:uiPriority w:val="0"/>
    <w:rPr>
      <w:shd w:val="clear" w:fill="FFFFFF"/>
    </w:rPr>
  </w:style>
  <w:style w:type="character" w:customStyle="1" w:styleId="61">
    <w:name w:val="hover"/>
    <w:basedOn w:val="30"/>
    <w:qFormat/>
    <w:uiPriority w:val="0"/>
    <w:rPr>
      <w:shd w:val="clear" w:fill="EEEEEE"/>
    </w:rPr>
  </w:style>
  <w:style w:type="paragraph" w:customStyle="1" w:styleId="62">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3">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4">
    <w:name w:val="phone"/>
    <w:basedOn w:val="30"/>
    <w:qFormat/>
    <w:uiPriority w:val="0"/>
    <w:rPr>
      <w:color w:val="FF8833"/>
      <w:sz w:val="18"/>
      <w:szCs w:val="18"/>
    </w:rPr>
  </w:style>
  <w:style w:type="character" w:customStyle="1" w:styleId="65">
    <w:name w:val="number"/>
    <w:basedOn w:val="30"/>
    <w:qFormat/>
    <w:uiPriority w:val="0"/>
    <w:rPr>
      <w:color w:val="FF8833"/>
      <w:sz w:val="18"/>
      <w:szCs w:val="18"/>
    </w:rPr>
  </w:style>
  <w:style w:type="character" w:customStyle="1" w:styleId="66">
    <w:name w:val="proollist"/>
    <w:basedOn w:val="30"/>
    <w:qFormat/>
    <w:uiPriority w:val="0"/>
  </w:style>
  <w:style w:type="character" w:customStyle="1" w:styleId="67">
    <w:name w:val="beforeinfotext"/>
    <w:basedOn w:val="30"/>
    <w:qFormat/>
    <w:uiPriority w:val="0"/>
    <w:rPr>
      <w:color w:val="666666"/>
    </w:rPr>
  </w:style>
  <w:style w:type="character" w:customStyle="1" w:styleId="68">
    <w:name w:val="stclosebtn"/>
    <w:basedOn w:val="30"/>
    <w:qFormat/>
    <w:uiPriority w:val="0"/>
  </w:style>
  <w:style w:type="paragraph" w:customStyle="1" w:styleId="69">
    <w:name w:val="Heading #1|1"/>
    <w:basedOn w:val="1"/>
    <w:qFormat/>
    <w:uiPriority w:val="0"/>
    <w:pPr>
      <w:widowControl w:val="0"/>
      <w:shd w:val="clear" w:color="auto" w:fill="auto"/>
      <w:spacing w:after="240"/>
      <w:jc w:val="center"/>
      <w:outlineLvl w:val="0"/>
    </w:pPr>
    <w:rPr>
      <w:rFonts w:ascii="宋体" w:hAnsi="宋体" w:eastAsia="宋体" w:cs="宋体"/>
      <w:sz w:val="40"/>
      <w:szCs w:val="40"/>
      <w:u w:val="none"/>
      <w:shd w:val="clear" w:color="auto" w:fill="auto"/>
      <w:lang w:val="zh-TW" w:eastAsia="zh-TW" w:bidi="zh-TW"/>
    </w:rPr>
  </w:style>
  <w:style w:type="paragraph" w:customStyle="1" w:styleId="70">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styleId="71">
    <w:name w:val="List Paragraph"/>
    <w:basedOn w:val="1"/>
    <w:qFormat/>
    <w:uiPriority w:val="34"/>
    <w:pPr>
      <w:ind w:firstLine="420" w:firstLineChars="200"/>
    </w:pPr>
  </w:style>
  <w:style w:type="character" w:customStyle="1" w:styleId="72">
    <w:name w:val="glyphicon"/>
    <w:basedOn w:val="30"/>
    <w:qFormat/>
    <w:uiPriority w:val="0"/>
  </w:style>
  <w:style w:type="paragraph" w:customStyle="1" w:styleId="73">
    <w:name w:val="WPSOffice手动目录 1"/>
    <w:qFormat/>
    <w:uiPriority w:val="0"/>
    <w:pPr>
      <w:ind w:leftChars="0"/>
    </w:pPr>
    <w:rPr>
      <w:rFonts w:ascii="Times New Roman" w:hAnsi="Times New Roman" w:eastAsia="宋体" w:cs="Times New Roman"/>
      <w:sz w:val="20"/>
      <w:szCs w:val="20"/>
    </w:rPr>
  </w:style>
  <w:style w:type="paragraph" w:customStyle="1" w:styleId="74">
    <w:name w:val="WPSOffice手动目录 2"/>
    <w:qFormat/>
    <w:uiPriority w:val="0"/>
    <w:pPr>
      <w:ind w:leftChars="200"/>
    </w:pPr>
    <w:rPr>
      <w:rFonts w:ascii="Times New Roman" w:hAnsi="Times New Roman" w:eastAsia="宋体" w:cs="Times New Roman"/>
      <w:sz w:val="20"/>
      <w:szCs w:val="20"/>
    </w:rPr>
  </w:style>
  <w:style w:type="paragraph" w:customStyle="1" w:styleId="75">
    <w:name w:val="WPSOffice手动目录 3"/>
    <w:qFormat/>
    <w:uiPriority w:val="0"/>
    <w:pPr>
      <w:ind w:leftChars="400"/>
    </w:pPr>
    <w:rPr>
      <w:rFonts w:ascii="Times New Roman" w:hAnsi="Times New Roman" w:eastAsia="宋体" w:cs="Times New Roman"/>
      <w:sz w:val="20"/>
      <w:szCs w:val="20"/>
    </w:rPr>
  </w:style>
  <w:style w:type="character" w:customStyle="1" w:styleId="76">
    <w:name w:val="NormalCharacter"/>
    <w:link w:val="77"/>
    <w:semiHidden/>
    <w:qFormat/>
    <w:uiPriority w:val="0"/>
  </w:style>
  <w:style w:type="paragraph" w:customStyle="1" w:styleId="77">
    <w:name w:val="UserStyle_34"/>
    <w:basedOn w:val="1"/>
    <w:link w:val="76"/>
    <w:qFormat/>
    <w:uiPriority w:val="0"/>
  </w:style>
  <w:style w:type="character" w:customStyle="1" w:styleId="78">
    <w:name w:val="size"/>
    <w:basedOn w:val="30"/>
    <w:qFormat/>
    <w:uiPriority w:val="0"/>
    <w:rPr>
      <w:i/>
      <w:iCs/>
      <w:sz w:val="15"/>
      <w:szCs w:val="15"/>
    </w:rPr>
  </w:style>
  <w:style w:type="character" w:customStyle="1" w:styleId="79">
    <w:name w:val="me_close"/>
    <w:basedOn w:val="30"/>
    <w:qFormat/>
    <w:uiPriority w:val="0"/>
    <w:rPr>
      <w:b/>
      <w:bCs/>
      <w:color w:val="FFFFFF"/>
      <w:sz w:val="18"/>
      <w:szCs w:val="18"/>
      <w:shd w:val="clear" w:fill="6843FF"/>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列出段落2"/>
    <w:basedOn w:val="1"/>
    <w:qFormat/>
    <w:uiPriority w:val="34"/>
    <w:pPr>
      <w:ind w:firstLine="420" w:firstLineChars="200"/>
    </w:pPr>
    <w:rPr>
      <w:rFonts w:ascii="Calibri" w:hAnsi="Calibri" w:eastAsia="宋体" w:cs="Times New Roman"/>
      <w:szCs w:val="22"/>
    </w:rPr>
  </w:style>
  <w:style w:type="paragraph" w:customStyle="1" w:styleId="82">
    <w:name w:val="标题前缀"/>
    <w:qFormat/>
    <w:uiPriority w:val="0"/>
    <w:pPr>
      <w:tabs>
        <w:tab w:val="left" w:pos="5550"/>
      </w:tabs>
      <w:spacing w:line="360" w:lineRule="auto"/>
      <w:jc w:val="center"/>
    </w:pPr>
    <w:rPr>
      <w:rFonts w:ascii="Arial" w:hAnsi="Arial" w:eastAsia="黑体" w:cs="Calibri"/>
      <w:kern w:val="2"/>
      <w:sz w:val="36"/>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39064</Words>
  <Characters>41413</Characters>
  <Lines>0</Lines>
  <Paragraphs>0</Paragraphs>
  <TotalTime>9</TotalTime>
  <ScaleCrop>false</ScaleCrop>
  <LinksUpToDate>false</LinksUpToDate>
  <CharactersWithSpaces>43929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RT</cp:lastModifiedBy>
  <cp:lastPrinted>2023-10-13T06:57:30Z</cp:lastPrinted>
  <dcterms:modified xsi:type="dcterms:W3CDTF">2023-10-13T06:59:43Z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0B761E707A384B828F09C8B185A28319</vt:lpwstr>
  </property>
</Properties>
</file>