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ind w:firstLine="0" w:firstLineChars="0"/>
        <w:jc w:val="center"/>
        <w:outlineLvl w:val="1"/>
        <w:rPr>
          <w:rFonts w:hint="eastAsia" w:ascii="仿宋" w:hAnsi="仿宋" w:eastAsia="仿宋" w:cs="Times New Roman"/>
          <w:b/>
          <w:sz w:val="32"/>
          <w:szCs w:val="32"/>
        </w:rPr>
      </w:pPr>
      <w:bookmarkStart w:id="0" w:name="_Toc14082138"/>
      <w:bookmarkStart w:id="1" w:name="_Toc48834545"/>
      <w:bookmarkStart w:id="2" w:name="_Toc48834177"/>
      <w:bookmarkStart w:id="3" w:name="_Toc48834304"/>
      <w:bookmarkStart w:id="4" w:name="_Toc20365"/>
      <w:bookmarkStart w:id="5" w:name="_Toc48834107"/>
      <w:bookmarkStart w:id="6" w:name="_Toc48834466"/>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bookmarkStart w:id="7" w:name="_GoBack"/>
      <w:bookmarkEnd w:id="7"/>
    </w:p>
    <w:p>
      <w:pPr>
        <w:pStyle w:val="6"/>
        <w:spacing w:line="500" w:lineRule="exact"/>
        <w:ind w:firstLine="567"/>
        <w:rPr>
          <w:rFonts w:hint="eastAsia" w:ascii="仿宋" w:hAnsi="仿宋" w:eastAsia="仿宋" w:cs="Times New Roman"/>
        </w:rPr>
      </w:pPr>
      <w:r>
        <w:rPr>
          <w:rFonts w:hint="eastAsia" w:ascii="仿宋" w:hAnsi="仿宋" w:eastAsia="仿宋" w:cs="Times New Roman"/>
        </w:rPr>
        <w:t>本次采购</w:t>
      </w:r>
      <w:r>
        <w:rPr>
          <w:rFonts w:hint="eastAsia" w:ascii="仿宋" w:hAnsi="仿宋" w:eastAsia="仿宋" w:cs="Times New Roman"/>
          <w:lang w:eastAsia="zh-CN"/>
        </w:rPr>
        <w:t>远程会议系统货物</w:t>
      </w:r>
      <w:r>
        <w:rPr>
          <w:rFonts w:hint="eastAsia" w:ascii="仿宋" w:hAnsi="仿宋" w:eastAsia="仿宋" w:cs="Times New Roman"/>
        </w:rPr>
        <w:t>采购项目</w:t>
      </w:r>
      <w:r>
        <w:rPr>
          <w:rFonts w:hint="eastAsia" w:ascii="仿宋" w:hAnsi="仿宋" w:eastAsia="仿宋" w:cs="Times New Roman"/>
          <w:color w:val="000000"/>
        </w:rPr>
        <w:t>，供应商必须对本项目进行整体响应，只对其中一部分内容进行的响应都被视为无效响应。谈判报价应遵守《中华人民共和国价</w:t>
      </w:r>
      <w:r>
        <w:rPr>
          <w:rFonts w:hint="eastAsia" w:ascii="仿宋" w:hAnsi="仿宋" w:eastAsia="仿宋" w:cs="Times New Roman"/>
        </w:rPr>
        <w:t>格法》，供应商不得以低于成本的报价参与本次采购活动。</w:t>
      </w:r>
    </w:p>
    <w:bookmarkEnd w:id="0"/>
    <w:bookmarkEnd w:id="1"/>
    <w:bookmarkEnd w:id="2"/>
    <w:bookmarkEnd w:id="3"/>
    <w:bookmarkEnd w:id="4"/>
    <w:bookmarkEnd w:id="5"/>
    <w:bookmarkEnd w:id="6"/>
    <w:p>
      <w:pPr>
        <w:pStyle w:val="3"/>
        <w:spacing w:line="500" w:lineRule="exact"/>
        <w:ind w:firstLine="562" w:firstLineChars="200"/>
        <w:outlineLvl w:val="1"/>
        <w:rPr>
          <w:rFonts w:hint="eastAsia" w:ascii="仿宋" w:hAnsi="仿宋" w:eastAsia="仿宋" w:cs="Times New Roman"/>
          <w:b/>
          <w:bCs/>
          <w:sz w:val="28"/>
          <w:szCs w:val="28"/>
        </w:rPr>
      </w:pPr>
      <w:r>
        <w:rPr>
          <w:rFonts w:hint="eastAsia" w:ascii="仿宋" w:hAnsi="仿宋" w:eastAsia="仿宋" w:cs="Times New Roman"/>
          <w:b/>
          <w:bCs/>
          <w:color w:val="000000"/>
          <w:sz w:val="28"/>
          <w:szCs w:val="28"/>
        </w:rPr>
        <w:t>一、采购需求：</w:t>
      </w:r>
    </w:p>
    <w:p>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本次所采购远程会议系统需满足日常办公、线上学习培训、远程会议等功能需求，详细参数要求见下表。</w:t>
      </w:r>
    </w:p>
    <w:p>
      <w:pPr>
        <w:spacing w:line="20" w:lineRule="exact"/>
      </w:pPr>
    </w:p>
    <w:tbl>
      <w:tblPr>
        <w:tblStyle w:val="4"/>
        <w:tblW w:w="1037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991"/>
        <w:gridCol w:w="7393"/>
        <w:gridCol w:w="83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编号</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产品名称</w:t>
            </w:r>
          </w:p>
        </w:tc>
        <w:tc>
          <w:tcPr>
            <w:tcW w:w="7393"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规格参数</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户内全彩LED屏</w:t>
            </w:r>
          </w:p>
        </w:tc>
        <w:tc>
          <w:tcPr>
            <w:tcW w:w="7393" w:type="dxa"/>
            <w:shd w:val="clear" w:color="000000" w:fill="FFFFFF"/>
            <w:noWrap w:val="0"/>
            <w:vAlign w:val="center"/>
          </w:tcPr>
          <w:p>
            <w:pPr>
              <w:widowControl/>
              <w:numPr>
                <w:ilvl w:val="0"/>
                <w:numId w:val="1"/>
              </w:numPr>
              <w:jc w:val="left"/>
              <w:rPr>
                <w:rFonts w:ascii="宋体" w:hAnsi="宋体" w:eastAsia="宋体" w:cs="宋体"/>
                <w:kern w:val="0"/>
                <w:sz w:val="18"/>
                <w:szCs w:val="18"/>
              </w:rPr>
            </w:pPr>
            <w:r>
              <w:rPr>
                <w:rFonts w:hint="eastAsia" w:ascii="宋体" w:hAnsi="宋体" w:eastAsia="宋体" w:cs="宋体"/>
                <w:kern w:val="0"/>
                <w:sz w:val="18"/>
                <w:szCs w:val="18"/>
              </w:rPr>
              <w:t>屏体尺寸：8.6㎡，2.LED封装方式SMD表贴三合一，3.水平视角H≥170°，垂直视角V≥165°，4.像素组成1R1G1B，5.点间距≤1.86mm，6.扫描方式1/43扫描，7.模组分辨率172×86点，8.模组尺寸320mm×160mm，9.白平衡亮度≥600cd/m2，（包含大屏结构、装饰辅材）</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8.6016</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视频处理器</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 不低于1920X1200，60Hz输入分辨率，2.不低于390万像素，6路千兆网口输出，3.最宽8192像素点或最高4096像素点，4.支持4路信号输入:1xHDMI1.4，2xDVI，1xSDI，5.支持单机或双机冗余备份，6.支持1路独立音频输入，1路独立音频输出，7.支持3画面显示，位置、大小可自由调节，8.支持视频信号任意切换，裁剪，拼接，缩放，9.支持HDCP高带宽数字内容保护技术，10.支持亮度和色温调节，11.支持低亮高灰，能有效地保持低亮下灰阶的完整显示，12.支持自动倍频、2倍频、3倍频，采用独特的倍频算法，针对视频源信号小于30hz可启用2倍频，小于20hz可启用3倍频，可以将输入信号转成60Hz信号输出，提高画面显示效果，信号最高帧率可达100Hz，13.支持屏幕除湿功能，通过自定义设置预热屏幕减少屏幕水汽，可以减少死灯、短路、暗亮等问题，延长显示屏使用寿命，14.视频控制设备可支持EUT的连接方法</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显示屏控制设备嵌入式软件</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1.用于LED显示屏控制和播放的专业软件。2.支持视频、音频、图像、文字、Flash、Gif等形式的媒体文件播放;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3.支持Microsoftoffice的Word、Excel、PPT显示;支持时钟、计时、天气预报显示;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4.支持外部视频信号(TV、AV、S-Video、复合视频)播放;支持多页面多分区节目编辑;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5.软件提供了丰富灵活的视频切换功能、分区特效，以及三维特效动画，让显示屏的显示效果得到完美展现。</w:t>
            </w:r>
            <w:r>
              <w:rPr>
                <w:rFonts w:hint="eastAsia" w:ascii="宋体" w:hAnsi="宋体" w:eastAsia="宋体" w:cs="宋体"/>
                <w:kern w:val="0"/>
                <w:sz w:val="18"/>
                <w:szCs w:val="18"/>
              </w:rPr>
              <w:br w:type="textWrapping"/>
            </w:r>
            <w:r>
              <w:rPr>
                <w:rFonts w:ascii="宋体" w:hAnsi="宋体" w:eastAsia="宋体" w:cs="宋体"/>
                <w:kern w:val="0"/>
                <w:sz w:val="18"/>
                <w:szCs w:val="18"/>
              </w:rPr>
              <w:t>6</w:t>
            </w:r>
            <w:r>
              <w:rPr>
                <w:rFonts w:hint="eastAsia" w:ascii="宋体" w:hAnsi="宋体" w:eastAsia="宋体" w:cs="宋体"/>
                <w:kern w:val="0"/>
                <w:sz w:val="18"/>
                <w:szCs w:val="18"/>
              </w:rPr>
              <w:t>支持对LED大屏幕的手动校正，同时兼容其专业校正设备采集的校正数据,</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配电柜</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具备多本地/远程控制设备的供电开启和关闭，2：单组回路输出，自动状态下可通过多功能卡或时控开关控制显示屏的开启和关闭，3：具有电源状态指示、工作状态指示，4：具有过流、过载，防短路、等保护功能，5：产品设计符合CCC认证标准，符合GB7251.12-2013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6：环境温度：-20°-60°环境湿度&lt;90％</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大屏控制主机</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屏幕尺寸：≧23英寸,处理器：酷睿I5十代以上，硬盘容量：≧256GBSSD+1TB机械硬盘，显卡型号：显卡性能不低于1660ti，系统搭载正版系统及控制软件)，移动端通过扫描二维码方式与管理电脑连接，从而实现对信号源和输出端进行远程管理控制。支持放大镜放大局部功能，可对软件中文字等较小或看不清的部分进行放大操作。（提供扫码、放大镜、辅助工具功能界面截图佐证）</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专业功放</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输出功率：立体声@8Ω：≥350W×2；立体声@4Ω：≥600W×2。</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标准XLR输入接口，和LINK输出口，简洁的接口更加方便不同用户需求。</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1U机箱设计，采用最新D类数字功放设计方案。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电源采用开关电源技术，效率高，有效的抑制电源谐波。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内置智能削峰限幅器，支持开机软启动，防止开机时向电网吸收大电流，干扰其它用电设备。具有：过压保护，欠压保护，过流保护，直流保护，输出短路保护，温控风扇等功能。</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专业音箱</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垂直覆盖角≥60°，高音：1.4"压缩高音单元×1，低音：8"低音×1阻抗：8Ω，频响：60Hz~20KHz，额定功率≥200W，灵敏度≥96dB/W/M，水平覆盖角≥80°</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HL支架</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固定面板孔位尺寸（长*宽）：140mm*65mm，箱体固定面板孔位尺寸（长*宽）：128mm*70mm，设备面板尺寸：160mm*90mm</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音频处理器</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输出通道支持≥31段图示均衡器、延时器、分频器、高低通滤波器、SY限幅器。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支持≥24bit/48kHz的声音，支持输入通道48V幻象供电。</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数字音频处理器支持≥4路平衡式话筒/线路输入通道，采用裸线接口端子，平衡接法；支持≥4路平衡式线路输出，采用裸线接口端子，平衡接法。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输入通道支持前级放大、信号发生器、扩展器、压缩器、≥5段参量均衡、AM自动混音功能、AFC自适应反馈消除、AEC回声消除、ANC噪声消除。可工作在XP/Windows7、8、10等或国产操作系统环境下。支持通过ipad或iPhone或安卓手机APP或华为鸿蒙软件进行操作控制，面板具备USB接口，支持多媒体存储，可进行播放或存储录播。7.配置双向RS-232接口，可用于控制外部设备；配置RS-485接口，可实现自动摄像跟踪功能。配置≥8通道可编程GPIO控制接口（可自定义输入输出）。</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网络中控主机（硬件）</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主机具备不少于4.3英寸触摸彩屏、≥8路独立可编程串口、≥8路独立可编程IR红外发射口、≥8路数字I/0控制口、≥8路弱电继电器控制接口、≥1个NET网络控制接口、≥1路TF卡接口。支持互联网控制。中控主机在连接互联网的情况下，用户可操作手机或平板等移动端通过互联网实现对中控主机远程控制。支持语音控制。用户通过手机APP或WEB端预约会议室时，可设置情景类型以及开始/结束时间。支持红外控制、RS-232、RS-422、RS-485、UDP、TCP、telnet、http、MQTT以及SNMP等多种协议，兼容性强，可对接第三方设备。</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网络中控主机（网络中控系统逻辑处理内嵌软件）</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现串口代码数据、IR红外数据、继电器、I/O数据等的代码转发、逻辑算法处理等编程功能。支持界面设计软件实现中控控制界面的制作及编辑，支持互锁模式，支持3D按键等灵活的按键设计模块。软件内嵌于中央控制系统主机设备，实现系统控制逻辑、处理等功能。主要包括硬件逻辑模块、软件逻辑模块、红外代码管理、编译、下载、监视等。编程软件支持添加与实际工程对应硬件的逻辑模块。</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安卓平板电脑</w:t>
            </w:r>
          </w:p>
        </w:tc>
        <w:tc>
          <w:tcPr>
            <w:tcW w:w="7393" w:type="dxa"/>
            <w:shd w:val="clear" w:color="000000" w:fill="FFFFFF"/>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11寸、6GB+128GBWIFI</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无线路由器</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增强版双千兆路由器1200M高速双频wifi，5G双频智能无线路由</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无缝高清矩阵切换器</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矩阵采用纯硬件标准化机箱设计，支持配置8×8路信号切换，支持HDMI、DVI、VGA、SDI、HDBaseT、光纤的任意输入/输出信号卡，其中DVI输入卡兼容CVBS，YUV,VGA信号，VGA输入/输出卡均兼容CVBS，YUV,VGA信号。采用板卡模块化设计，支持接入2块输入卡、2块输出卡、1块控制卡；通过定制配置各类相同或不同的输入输出卡可以组成单一接口类型或多接口类型的矩阵，如HDMI矩阵，DVI矩阵，VGA矩阵，YUV矩阵等。支持1080P分辨率，最大可支持4Kx2K。支持断电记忆功能，免除上电重复设置动作。系统内可存储多组预切换指令，调用时可以一键切换。支持接入≥1块控制板卡，具有≥1路RS-232,≥1路RS-485,≥1路TCP/IP端口（PC软件）。机箱前面板带有≥7英寸全彩触摸屏。</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高清无缝混插矩阵切换内嵌软件</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信号无缝切换，切换过程无黑屏信号。支持通过专业的PC上位机管理软件控制。通过矩阵切换信号或通过软件切换信号。软件内嵌于高清混插矩阵切换系统，实现各类高清晰数字/模拟信号的处理、切换等功能。支持分辨率高达1920×1080P@60Hz的处理能力。</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HDMI无缝高清输入卡</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兼容HDMI1.3a的标准，HDCP1.3协议，DVI1.0协议。最大支持分辨率：1920X1200P@60。</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支持≥4路HDMI-A母接口和3.5mm音频座，支持模拟音频与HDMI内嵌音频选择输入；支持热插拔。支持快速无缝切换，无闪烁，无黑屏。支持断电现场切换记忆保护功能，特有ESD静电保护功能。</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高清矩阵输入板卡内嵌软件</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软件内嵌于高清矩阵系统板卡设备，实现信号的处理功能。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支持分辨率高达1920×1080P@60Hz的处理能力。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通过矩阵切换信号或通过软件切换信号。</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HDMI无缝高清输出卡</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断电现场切换记忆保护功能，特有ESD静电保护功能。兼容HDMI1.3a的标准，HDCP1.3协议，DVI1.0协议。支持倍线功能，最高分辨率支持1080P。支持≥4路HDMI-A母接口和3.5mm音频座，支持模拟音频与HDMI内嵌音频同时输出。支持热插拔。支持快速无缝切换，无闪烁，无黑屏。</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高清矩阵输出板卡内嵌软件</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软件内嵌于高清矩阵系统板卡设备，实现信号的处理功能。支持分辨率高达1920×1080P@60Hz的处理能力。通过矩阵切换信号或通过软件切换信号。</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摄像机</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高清摄像机具备20倍光学变倍镜头，并支持16倍数字变焦；采用1/2.8英寸、207万以上有效像素的高品质HDCMOS传感器。支持HDMI、SDI、USB、网络四路视频同时输出。 支持PoE供电。具备≥1路HDMI输出接口、≥1路3G-SDI输出接口、≥1路USB3.0输出接口，具备≥1路3.5mm音频输入接口和≥1路3.5mm音频输出接口。</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w:t>
            </w:r>
          </w:p>
        </w:tc>
        <w:tc>
          <w:tcPr>
            <w:tcW w:w="991" w:type="dxa"/>
            <w:shd w:val="clear" w:color="000000" w:fill="FFFFFF"/>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高清视频会议专用摄像头内嵌软件</w:t>
            </w:r>
          </w:p>
        </w:tc>
        <w:tc>
          <w:tcPr>
            <w:tcW w:w="7393" w:type="dxa"/>
            <w:shd w:val="clear" w:color="000000" w:fill="FFFFFF"/>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软件内嵌于高清视频会议专用摄像头，实现高清视频拍摄采集处理功能。支持对高清视频信号的处理、传输；支持H.264视频编解码技术能力。支持光学变焦处理能力，支持通过串口实现远程控制。支持2D、3D降噪技术。支持预置位设定及调用功能。</w:t>
            </w:r>
          </w:p>
        </w:tc>
        <w:tc>
          <w:tcPr>
            <w:tcW w:w="8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730" w:type="dxa"/>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r>
    </w:tbl>
    <w:p>
      <w:pPr>
        <w:pStyle w:val="6"/>
        <w:spacing w:line="500" w:lineRule="exact"/>
        <w:ind w:firstLine="567"/>
        <w:rPr>
          <w:rFonts w:hint="eastAsia" w:ascii="仿宋" w:hAnsi="仿宋" w:eastAsia="仿宋" w:cs="Times New Roman"/>
          <w:b/>
          <w:bCs/>
        </w:rPr>
      </w:pPr>
      <w:r>
        <w:rPr>
          <w:rFonts w:hint="eastAsia" w:ascii="仿宋" w:hAnsi="仿宋" w:eastAsia="仿宋" w:cs="Times New Roman"/>
          <w:b/>
          <w:bCs/>
          <w:lang w:eastAsia="zh-CN"/>
        </w:rPr>
        <w:t>注：本次项目采购的产品需逐项响应，复制谈判文件规格参数的以及没有逐项响应或不满足响应条件的均视为无效响应文件。</w:t>
      </w:r>
    </w:p>
    <w:p>
      <w:pPr>
        <w:pStyle w:val="3"/>
        <w:spacing w:line="500" w:lineRule="exact"/>
        <w:ind w:firstLine="562" w:firstLineChars="200"/>
        <w:outlineLvl w:val="1"/>
        <w:rPr>
          <w:rFonts w:hint="eastAsia" w:ascii="仿宋" w:hAnsi="仿宋" w:eastAsia="仿宋" w:cs="Times New Roman"/>
          <w:b/>
          <w:bCs/>
          <w:sz w:val="28"/>
          <w:szCs w:val="28"/>
          <w:lang w:eastAsia="zh-CN"/>
        </w:rPr>
      </w:pPr>
      <w:r>
        <w:rPr>
          <w:rFonts w:hint="eastAsia" w:ascii="仿宋" w:hAnsi="仿宋" w:eastAsia="仿宋" w:cs="Times New Roman"/>
          <w:b/>
          <w:bCs/>
          <w:color w:val="000000"/>
          <w:sz w:val="28"/>
          <w:szCs w:val="28"/>
          <w:lang w:eastAsia="zh-CN"/>
        </w:rPr>
        <w:t>二</w:t>
      </w:r>
      <w:r>
        <w:rPr>
          <w:rFonts w:hint="eastAsia" w:ascii="仿宋" w:hAnsi="仿宋" w:eastAsia="仿宋" w:cs="Times New Roman"/>
          <w:b/>
          <w:bCs/>
          <w:color w:val="000000"/>
          <w:sz w:val="28"/>
          <w:szCs w:val="28"/>
        </w:rPr>
        <w:t>、</w:t>
      </w:r>
      <w:r>
        <w:rPr>
          <w:rFonts w:ascii="仿宋" w:hAnsi="仿宋" w:eastAsia="仿宋" w:cs="仿宋"/>
          <w:b/>
          <w:color w:val="000000"/>
          <w:sz w:val="32"/>
          <w:szCs w:val="32"/>
        </w:rPr>
        <w:t>售后需求</w:t>
      </w:r>
      <w:r>
        <w:rPr>
          <w:rFonts w:hint="eastAsia" w:ascii="仿宋" w:hAnsi="仿宋" w:eastAsia="仿宋" w:cs="仿宋"/>
          <w:b/>
          <w:color w:val="000000"/>
          <w:sz w:val="32"/>
          <w:szCs w:val="32"/>
          <w:lang w:eastAsia="zh-CN"/>
        </w:rPr>
        <w:t>：</w:t>
      </w:r>
    </w:p>
    <w:p>
      <w:pPr>
        <w:pStyle w:val="6"/>
        <w:spacing w:line="500" w:lineRule="exact"/>
        <w:ind w:firstLine="567"/>
        <w:rPr>
          <w:rFonts w:hint="eastAsia" w:ascii="仿宋" w:hAnsi="仿宋" w:eastAsia="仿宋" w:cs="Times New Roman"/>
        </w:rPr>
      </w:pPr>
      <w:r>
        <w:rPr>
          <w:rFonts w:hint="eastAsia" w:ascii="仿宋" w:hAnsi="仿宋" w:eastAsia="仿宋" w:cs="Times New Roman"/>
        </w:rPr>
        <w:t>供货商在交货并验收之日起如系统设备损坏、返修期间，需免费提供备品配件支持，乙方在接到甲方保修电话故障通知后在 48 小时内派出合格的维修人员到达现场进行维修服务，承担相应费用，若需将产品送回生产厂，乙方应提供备用产品、承担维修产品所需的往返费用。</w:t>
      </w:r>
    </w:p>
    <w:p>
      <w:pPr>
        <w:pStyle w:val="3"/>
        <w:spacing w:line="500" w:lineRule="exact"/>
        <w:ind w:firstLine="0" w:firstLineChars="0"/>
        <w:jc w:val="both"/>
        <w:outlineLvl w:val="1"/>
        <w:rPr>
          <w:rFonts w:hint="eastAsia" w:ascii="仿宋" w:hAnsi="仿宋" w:eastAsia="仿宋" w:cs="Times New Roman"/>
          <w:b/>
          <w:sz w:val="32"/>
          <w:szCs w:val="32"/>
        </w:rPr>
      </w:pPr>
    </w:p>
    <w:p>
      <w:pPr>
        <w:rPr>
          <w:rFonts w:hint="eastAsia" w:eastAsiaTheme="minorEastAsia"/>
          <w:lang w:eastAsia="zh-CN"/>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24EA"/>
    <w:multiLevelType w:val="multilevel"/>
    <w:tmpl w:val="5A0B24E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Njg5MWJmMzRlNDU0OTJhNzE3Nzg3YzBiNDRjNjcifQ=="/>
  </w:docVars>
  <w:rsids>
    <w:rsidRoot w:val="00000000"/>
    <w:rsid w:val="648E5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2023-11-21T00:54:11Z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91B6F389FCB644D5A0762F82E7928977_12</vt:lpwstr>
  </property>
</Properties>
</file>