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pPr>
        <w:keepNext w:val="0"/>
        <w:keepLines w:val="0"/>
        <w:pageBreakBefore w:val="0"/>
        <w:widowControl/>
        <w:kinsoku/>
        <w:overflowPunct/>
        <w:topLinePunct w:val="0"/>
        <w:autoSpaceDE/>
        <w:autoSpaceDN/>
        <w:bidi w:val="0"/>
        <w:adjustRightInd/>
        <w:snapToGrid/>
        <w:spacing w:line="520" w:lineRule="exact"/>
        <w:jc w:val="both"/>
        <w:textAlignment w:val="auto"/>
        <w:rPr>
          <w:rFonts w:hint="eastAsia" w:ascii="仿宋" w:hAnsi="仿宋" w:eastAsia="仿宋" w:cs="仿宋"/>
          <w:b/>
          <w:color w:val="auto"/>
          <w:sz w:val="28"/>
          <w:szCs w:val="28"/>
        </w:rPr>
      </w:pPr>
      <w:bookmarkStart w:id="0" w:name="_GoBack"/>
      <w:bookmarkEnd w:id="0"/>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28"/>
          <w:lang w:val="en-US" w:eastAsia="zh-CN"/>
        </w:rPr>
        <w:t>采购需求</w:t>
      </w:r>
      <w:r>
        <w:rPr>
          <w:rFonts w:hint="eastAsia" w:ascii="仿宋" w:hAnsi="仿宋" w:eastAsia="仿宋" w:cs="仿宋"/>
          <w:b/>
          <w:color w:val="auto"/>
          <w:sz w:val="28"/>
          <w:szCs w:val="28"/>
        </w:rPr>
        <w:t>：</w:t>
      </w:r>
    </w:p>
    <w:tbl>
      <w:tblPr>
        <w:tblStyle w:val="6"/>
        <w:tblW w:w="10544" w:type="dxa"/>
        <w:tblInd w:w="-7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919"/>
        <w:gridCol w:w="1371"/>
        <w:gridCol w:w="459"/>
        <w:gridCol w:w="737"/>
        <w:gridCol w:w="6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酒精</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500ml×30瓶</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医用75%的酒精。用于灭菌消毒。包括皮肤消毒、医疗器械消毒、碘酒的脱碘等。可用于杀灭微生物，可杀灭肠道致病菌，化脓性球菌和致病性酵母菌。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金属注射器</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10ml</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10ml金属注射器，采用不锈钢外壳，铜质内芯，针管为玻璃材料，适配标准针头。手柄舒适，自带螺丝锁扣、刻度清晰、不易生锈、经久耐用、操作简单。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癸甲溴铵溶液</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500ml×30瓶</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癸甲溴铵溶液。本品的主要成分为溴化二甲基二癸基烃铵。癸甲溴铵是双链季铵盐类消毒药，对多数细菌、真菌和藻类有杀灭作用，对亲脂性病毒也有一定作用。癸甲溴铵残留药效强，对光和热稳定，其表面活性功能使药物可以渗透到缝隙和裂纹中，对金属、塑料、橡胶和其他物质均无腐蚀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金属注射器</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20ml</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20ml金属注射器，采用不锈钢外壳，铜质内芯，针管为玻璃材料，适配标准针头。手柄舒适，自带螺丝锁扣、刻度清晰、不易生锈、经久耐用、操作简单。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连续注射器</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2ml</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ml，管身采用全铜铸造，手柄为合金，通用针头座，可与所有型号针头匹配，带有针头保护套，锁定针头不脱针。玻璃管刻度清晰，一目了然。计量准确，结构合理，使用简单轻巧，手感舒适，长时间使用无疲劳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牛鼻钳</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长把</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本品应用高强度锰钢打造，球型卡鼻设计，结构合理，使用方便，经久耐用。钳体长45cm。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耳号钳</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耳标钳。耳钳针采用冷镦及等温沾火技术，表面镀铬，不易弯折，与国际接轨，能佩挂全世界所有符合国际畜牧业标准的牲畜耳标及国家防疫耳标。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耳号针</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10枚/盒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304不锈钢制成，硬度高，单只重约3克。适用耳标钳，用于佩挂全世界所有符合国际畜牧业标准的牲畜耳标及国家防疫耳标。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针头</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16×25，1000个/盒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16×25注射针头，针管采用304不锈钢，针座为铜镀镍，适配标准注射器。针管与针座连接牢固，不松动。针头的刃口用手接触无毛刺。可配合任何具备标准6:100圆锥接头的注射器使用。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针头</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12×25，1000个/盒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12×20注射针头，针管采用304不锈钢，针座为铜镀镍，适配标准注射器。针管与针座连接牢固，不松动。针头的刃口用手接触无毛刺。可配合任何具备标准6:100圆锥接头的注射器使用。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雨靴</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41-44码</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鞋底材质: 牛筋。鞋面材质: 塑胶。产品性能：耐油耐腐蚀，对常见的无机酸碱类化学物质具有良好的抵御功能，防水、防静电、防滑、防化学物质。靴高39cm。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白大褂</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均码</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【面料】:涤卡，涤棉（ 不起球 不褪色 不缩水）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【好处】:布紧密，手感厚实，挺括耐穿，布面匀整光洁，质朴柔和，定型稳定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【尺寸】：均码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【用途】：适合实验员、管理员、保洁、厂房工作员、搬运员、车间工作员等等各行业。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【样式】前中央纽扣设计·纽扣×3，口袋：腰×2；左胸x1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【商品净重】330克（误差在±0.01kg）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【洗涤信息】机洗/手洗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蓝大褂</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均码</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【面料】:涤卡，涤棉（ 不起球 不褪色 不缩水）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【好处】:布紧密，手感厚实，挺括耐穿，布面匀整光洁，质朴柔和，定型稳定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【尺寸】：均码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【用途】：适合实验员、管理员、保洁、厂房工作员、搬运员、车间工作员等等各行业。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【样式】前中央纽扣设计·纽扣×3，口袋：腰×2；左胸x1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【商品净重】330克（误差在±0.01kg）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【洗涤信息】机洗/手洗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医用外科口罩</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10个/包</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医用外科口罩，规格：175mm×95mm  10个/包。技术要求：1、该产品由纺粘无纺布（内层、外层），熔喷无纺布（中间夹层），耳带和可塑性鼻夹组成。产品经环氧乙烷灭菌，应无菌，一次性使用；2、过滤效果 B.F.E 口罩的细菌过滤效率应不小于95%；3、一次性口罩在制作上是采用了环保可塑鼻梁条鼻梁夹设计可依不同脸型做最舒适的调整。选用内覆超声波点焊，耳带均可，很牢固不易掉落。4、材质：无纺布、专业静电高效滤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一次性手套</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25双/盒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手套采用100%天然乳胶制成，高等级天然乳胶将人体的过敏反应降到最低，具有极强的化学抗性.1、两手通用,左右手均可以穿戴,卷边腕口； 2、光滑内表面及卷边易于穿戴；3、蛋白质含量低；4、高品质天然乳胶材料. 良好的拉力强度和伸长率,避免了在穿戴时撕裂；5、独特的后处理工艺, 无皮肤刺激、过敏现象。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猪保定器</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塑料+钢丝绳</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征：包括手柄、套臂和绳套。套臂设于手柄下端，绳套一端连接着手柄，另一端与绳活结形成绳圈，绳圈通过卡子分别装在套臂内侧。设计合理，结构简单，使用方便，效果较好。使用该保定器兽医一个人便可完成诊断、注射等，既使是静脉注射或静脉滴注时也只需一个助手帮助即可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一次性防护服</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防护服</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：外层为高质多微孔膜，内层为纺粘聚丙烯无纺布，可提供极佳的液体及粉尘防护采用胶带密合,最大程度地提高对粉尘,液体的防护功效。热溶胶带密合缝纫，线缝处无缝隙，灰尘与液体不能渗入。性能 ：成衣通过欧标4类,适合液体喷淋防护，防护性能强，可用于防止病毒、细菌、液体、粉尘、血液及微生物等的侵入，有效地起到保护作用。领域 ：可用于医疗，实验等场所，在防疫，检疫，卫生领域中广泛应用。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2.产品为白色连体带帽连体衣，可选尺码：S-XXXL。面料组成：外层为高质多微孔PE膜，内层为防粘聚丙烯无纺布，克重为65g/m2，接缝处均为高温胶带密合。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欧标多种测试，对其耐化学品渗透性能检测，可以有效阻挡各种直径颗粒物并且可以抵御硫酸（30%）和氢氧化钠（10%）的渗透。同时经GB19082-2009医用一次性防护服认证测试，可以有效抵御血液、体液等中包含的传染性细菌、病毒和病原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肾上腺素</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5ml×10支／盒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酸肾上腺素注射液，适应症为主要适用于因支气管痉挛所致严重呼吸困难，可迅速缓解药物等引起的过敏性休克，亦可用于延长浸润麻醉用药的作用时间。各种原因引起的心脏骤停进行心肺复苏的主要抢救用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羊四防干粉疫苗</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20头份/瓶</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企业取得国家兽药GMP证书及有效的兽药生产许可证。产品取得国家农业部兽用生物制品批准文号。性状：灰褐色或淡黄色粉末，加20％氢氧化铝胶生理盐水后振摇，于20分钟内充分溶解，并呈均匀混悬液。无菌检验：每头份疫苗的非病原菌应不超过50CFU，详见批签发报告。效力检验：对照动物应全部死亡，免疫动物应全部保护，详见批签发报告。剩余水分含量：剩余水分应不超过2.0%，详见批签发报告。甲醛与硫柳汞含量：甲醛残留量应不超过0.1%的甲醛溶液量（40%甲醛）；无汞类防腐剂添加，详见批签发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羊痘活疫苗</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50头份/瓶</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企业取得国家兽药GMP证书及有效的兽药生产许可证。产品取得国家农业部兽用生物制品批准文号。性状：为海绵状疏松团块，易与瓶壁脱离，加稀释液后迅速溶解。无菌检验：无菌生长。支原体检验：无支原体生长。外源病毒检验：致细胞病变检查法：接种Vero、绵羊睾丸细胞，无外源病毒所致的特异性CPE；红细胞吸附性外源病毒检验：接种Vero、绵羊睾丸细胞，无外源病毒所致的红细胞吸附现象；荧光抗体检查法：接种MDBK，无BVDV/MDV特异性荧光。鉴别检验：疫苗与抗山羊痘病毒特异性血清中和后，接种绵羊羔睾丸单层细胞，应不出现CPE。安全检验：山羊应2/3以上出现直径0.5～4.0cm微红色或无色痘肿反应，持续4日以上，逐渐消退，间或可有轻度体温反应，但精神、食欲应正常。效力检验：病毒含量测定：每头份疫苗病毒含量应不低103.6TCID50。剩余水分：不超过 4.0％。真空度测定：应出现白色、粉色或紫色辉光。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羊传胸灭活疫苗</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20头份/瓶</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auto"/>
                <w:spacing w:val="2"/>
                <w:kern w:val="0"/>
                <w:sz w:val="28"/>
                <w:szCs w:val="28"/>
                <w:lang w:val="en-US" w:eastAsia="zh-CN" w:bidi="ar-SA"/>
              </w:rPr>
              <w:t>（★</w:t>
            </w:r>
            <w:r>
              <w:rPr>
                <w:rFonts w:hint="eastAsia" w:ascii="宋体" w:hAnsi="宋体" w:eastAsia="宋体" w:cs="宋体"/>
                <w:i w:val="0"/>
                <w:iCs w:val="0"/>
                <w:color w:val="000000"/>
                <w:kern w:val="0"/>
                <w:sz w:val="20"/>
                <w:szCs w:val="20"/>
                <w:u w:val="none"/>
                <w:lang w:val="en-US" w:eastAsia="zh-CN" w:bidi="ar"/>
              </w:rPr>
              <w:t>规格：每瓶100ml，每头份5ml。</w:t>
            </w:r>
            <w:r>
              <w:rPr>
                <w:rFonts w:hint="eastAsia" w:ascii="仿宋" w:hAnsi="仿宋" w:eastAsia="仿宋" w:cs="仿宋"/>
                <w:color w:val="auto"/>
                <w:spacing w:val="2"/>
                <w:kern w:val="0"/>
                <w:sz w:val="28"/>
                <w:szCs w:val="28"/>
                <w:lang w:val="en-US" w:eastAsia="zh-CN" w:bidi="ar-SA"/>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企业取得国家兽药GMP证书及有效的兽药生产许可证。产品取得国家农业部兽用生物制品批准文号。性状：静置后，上层应为澄清液体，下层有少量沉淀，振摇后应呈均匀混悬液。无菌检验：无菌生长。安全检验：豚鼠应2/2健活；家兔应2/2健活。效力检验：对照羊3/3发病免疫羊全部4/4保护。甲醛残留量测定：0.18%。汞类防腐剂残留量测定：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离心管</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2ml×500个/包</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离心管采用高透明优质聚丙烯材料制成，可进行高温、高压消毒，独特 的密封性能有效防止标本渗漏，耐受性能好，可射线灭菌消毒。耐高、低温不变形，无泄露，实验时可单手操作，开合盖轻松自如。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医用胶布</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13卷/盒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采用纯棉布为底材， 以天然橡胶和纯质氧化锌为原料。用于固定敷料和导管等的包扎和加固,粘贴牢靠、持久。13卷/盒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一次性手套</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大号、25双/盒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手套采用100%天然乳胶制成，高等级天然乳胶将人体的过敏反应降到最低，具有极强的化学抗性.1、两手通用,左右手均可以穿戴,卷边腕口； 2、光滑内表面及卷边易于穿戴；3、蛋白质含量低；4、高品质天然乳胶材料. 良好的拉力强度和伸长率,避免了在穿戴时撕裂；5、独特的后处理工艺, 无皮肤刺激、过敏现象。6、每双独立包装。25双/盒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一次性采血器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0.9号针头×100支/盒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采用无菌塑料聚丙烯制造，容量5ml毫升。兽用畜牧业使用，可拆卸分离式，分段式，推杆与活塞旋转分离，锥头与筒体旋转分离，筒体可当试管用。配0.9号针头。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一次性采血器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0.7号针头×100支/盒</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采用无菌塑料聚丙烯制造，容量5ml毫升。兽用畜牧业使用，可拆卸分离式，分段式，推杆与活塞旋转分离，锥头与筒体旋转分离，筒体可当试管用。配0.7号针头。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限次型防护服</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防护服</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限次使用型连体服，轻便、具有良好的透气性，高效防尘、防液体飞溅，适用于欧标5、6类的应用。产品特点:1. 面料通过EN14126传染性介质防护测试，通过EN1149抗静电测试，通过标准ASTMF1670抵抗合成血液穿透测试，服装采用多微孔聚乙烯覆膜面料，具有良好的透湿性能，舒适柔软，可提供良好的粉尘和轻度液体飞溅防护性能，服装接缝为平缝结构，服装为连体带帽结构，两片式帽子、面部、袖口、脚踝采用橡胶收口。2.主要应用领域 ：公安、消防、海关、边检等与防疫相关的外围处置部门，可用于预检分诊、普通发热门诊、呼吸科、急诊、儿科及实验室常规检测，也可用于户外人员排查、检查、消毒药剂喷洒、标本运送等领域。3.性能 ：可用于防止病毒、细菌、液体、粉尘、血液及微生物等的侵入，有效地起到保护作用。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28</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洗涤用品全套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洗衣粉1袋、香皂2块、毛巾</w:t>
            </w:r>
            <w:r>
              <w:rPr>
                <w:rStyle w:val="9"/>
                <w:lang w:val="en-US" w:eastAsia="zh-CN" w:bidi="ar"/>
              </w:rPr>
              <w:t>1条</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除菌洗衣粉1袋，每袋1.03kg；奥妙除菌香皂100g*2块/包；加厚毛巾34*74cm 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一次性鞋套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AMN901</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100双/箱</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外层为高质多微孔膜，内层为纺粘聚丙烯无纺布，可提供极佳的液体及粉尘防护。采用胶带密合,最大程度地提高对粉尘,液体的防护功效。面料采用凸凹面纹理设计，防滑效果好。收口双筋设计，不易脱落。10只重约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一次性枪头</w:t>
            </w:r>
          </w:p>
        </w:tc>
        <w:tc>
          <w:tcPr>
            <w:tcW w:w="1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1000个/包</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聚丙烯，可高温高压灭菌。200ul，1000个/包。</w:t>
            </w:r>
          </w:p>
        </w:tc>
      </w:tr>
    </w:tbl>
    <w:p>
      <w:pPr>
        <w:pStyle w:val="5"/>
        <w:ind w:left="0" w:leftChars="0" w:firstLine="0" w:firstLineChars="0"/>
        <w:rPr>
          <w:rFonts w:hint="default" w:ascii="仿宋" w:hAnsi="仿宋" w:eastAsia="仿宋" w:cs="仿宋"/>
          <w:b/>
          <w:bCs/>
          <w:color w:val="FF0000"/>
          <w:sz w:val="30"/>
          <w:szCs w:val="30"/>
          <w:lang w:val="en-US" w:eastAsia="zh-CN"/>
        </w:rPr>
      </w:pPr>
      <w:r>
        <w:rPr>
          <w:rFonts w:hint="eastAsia" w:ascii="仿宋_GB2312" w:hAnsi="仿宋" w:eastAsia="仿宋_GB2312" w:cs="Calibri Light"/>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5386070</wp:posOffset>
                </wp:positionH>
                <wp:positionV relativeFrom="page">
                  <wp:posOffset>5997575</wp:posOffset>
                </wp:positionV>
                <wp:extent cx="207645" cy="226060"/>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207645" cy="226060"/>
                        </a:xfrm>
                        <a:prstGeom prst="rect">
                          <a:avLst/>
                        </a:prstGeom>
                        <a:noFill/>
                        <a:ln>
                          <a:noFill/>
                        </a:ln>
                      </wps:spPr>
                      <wps:txbx>
                        <w:txbxContent>
                          <w:p>
                            <w:pPr>
                              <w:spacing w:before="20" w:line="234" w:lineRule="auto"/>
                              <w:ind w:left="20" w:right="20"/>
                              <w:rPr>
                                <w:rFonts w:ascii="宋体" w:hAnsi="宋体" w:eastAsia="宋体" w:cs="宋体"/>
                                <w:sz w:val="19"/>
                                <w:szCs w:val="19"/>
                              </w:rPr>
                            </w:pPr>
                            <w:r>
                              <w:rPr>
                                <w:rFonts w:ascii="宋体" w:hAnsi="宋体" w:eastAsia="宋体" w:cs="宋体"/>
                                <w:spacing w:val="8"/>
                                <w:sz w:val="19"/>
                                <w:szCs w:val="19"/>
                              </w:rPr>
                              <w:t xml:space="preserve"> 为了保证本次配置设备的统一性，兼容性，方便日后的维护</w:t>
                            </w:r>
                            <w:r>
                              <w:rPr>
                                <w:rFonts w:ascii="宋体" w:hAnsi="宋体" w:eastAsia="宋体" w:cs="宋体"/>
                                <w:sz w:val="19"/>
                                <w:szCs w:val="19"/>
                              </w:rPr>
                              <w:t xml:space="preserve"> </w:t>
                            </w:r>
                            <w:r>
                              <w:rPr>
                                <w:rFonts w:ascii="宋体" w:hAnsi="宋体" w:eastAsia="宋体" w:cs="宋体"/>
                                <w:spacing w:val="12"/>
                                <w:sz w:val="19"/>
                                <w:szCs w:val="19"/>
                              </w:rPr>
                              <w:t>管</w:t>
                            </w:r>
                            <w:r>
                              <w:rPr>
                                <w:rFonts w:ascii="宋体" w:hAnsi="宋体" w:eastAsia="宋体" w:cs="宋体"/>
                                <w:spacing w:val="7"/>
                                <w:sz w:val="19"/>
                                <w:szCs w:val="19"/>
                              </w:rPr>
                              <w:t>理 要求与云服务器同  品牌</w:t>
                            </w:r>
                          </w:p>
                        </w:txbxContent>
                      </wps:txbx>
                      <wps:bodyPr lIns="0" tIns="0" rIns="0" bIns="0" upright="1"/>
                    </wps:wsp>
                  </a:graphicData>
                </a:graphic>
              </wp:anchor>
            </w:drawing>
          </mc:Choice>
          <mc:Fallback>
            <w:pict>
              <v:shape id="_x0000_s1026" o:spid="_x0000_s1026" o:spt="202" type="#_x0000_t202" style="position:absolute;left:0pt;flip:x;margin-left:424.1pt;margin-top:472.25pt;height:17.8pt;width:16.35pt;mso-position-horizontal-relative:page;mso-position-vertical-relative:page;z-index:251659264;mso-width-relative:page;mso-height-relative:page;" filled="f" stroked="f" coordsize="21600,21600" o:gfxdata="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C9HUrZAAAACwEAAA8AAAAAAAAAAQAgAAAAIgAAAGRycy9kb3ducmV2Lnht&#10;bFBLAQIUABQAAAAIAIdO4kCZlsOEvwEAAHsDAAAOAAAAAAAAAAEAIAAAACgBAABkcnMvZTJvRG9j&#10;LnhtbFBLBQYAAAAABgAGAFkBAABZBQAAAAA=&#10;">
                <v:path/>
                <v:fill on="f" focussize="0,0"/>
                <v:stroke on="f"/>
                <v:imagedata o:title=""/>
                <o:lock v:ext="edit" aspectratio="f"/>
                <v:textbox inset="0mm,0mm,0mm,0mm">
                  <w:txbxContent>
                    <w:p>
                      <w:pPr>
                        <w:spacing w:before="20" w:line="234" w:lineRule="auto"/>
                        <w:ind w:left="20" w:right="20"/>
                        <w:rPr>
                          <w:rFonts w:ascii="宋体" w:hAnsi="宋体" w:eastAsia="宋体" w:cs="宋体"/>
                          <w:sz w:val="19"/>
                          <w:szCs w:val="19"/>
                        </w:rPr>
                      </w:pPr>
                      <w:r>
                        <w:rPr>
                          <w:rFonts w:ascii="宋体" w:hAnsi="宋体" w:eastAsia="宋体" w:cs="宋体"/>
                          <w:spacing w:val="8"/>
                          <w:sz w:val="19"/>
                          <w:szCs w:val="19"/>
                        </w:rPr>
                        <w:t xml:space="preserve"> 为了保证本次配置设备的统一性，兼容性，方便日后的维护</w:t>
                      </w:r>
                      <w:r>
                        <w:rPr>
                          <w:rFonts w:ascii="宋体" w:hAnsi="宋体" w:eastAsia="宋体" w:cs="宋体"/>
                          <w:sz w:val="19"/>
                          <w:szCs w:val="19"/>
                        </w:rPr>
                        <w:t xml:space="preserve"> </w:t>
                      </w:r>
                      <w:r>
                        <w:rPr>
                          <w:rFonts w:ascii="宋体" w:hAnsi="宋体" w:eastAsia="宋体" w:cs="宋体"/>
                          <w:spacing w:val="12"/>
                          <w:sz w:val="19"/>
                          <w:szCs w:val="19"/>
                        </w:rPr>
                        <w:t>管</w:t>
                      </w:r>
                      <w:r>
                        <w:rPr>
                          <w:rFonts w:ascii="宋体" w:hAnsi="宋体" w:eastAsia="宋体" w:cs="宋体"/>
                          <w:spacing w:val="7"/>
                          <w:sz w:val="19"/>
                          <w:szCs w:val="19"/>
                        </w:rPr>
                        <w:t>理 要求与云服务器同  品牌</w:t>
                      </w:r>
                    </w:p>
                  </w:txbxContent>
                </v:textbox>
              </v:shape>
            </w:pict>
          </mc:Fallback>
        </mc:AlternateContent>
      </w:r>
      <w:r>
        <w:rPr>
          <w:rFonts w:hint="eastAsia" w:ascii="仿宋_GB2312" w:hAnsi="仿宋" w:eastAsia="仿宋_GB2312" w:cs="Calibri Light"/>
          <w:kern w:val="2"/>
          <w:sz w:val="28"/>
          <w:szCs w:val="28"/>
          <w:lang w:val="en-US" w:eastAsia="zh-CN" w:bidi="ar-SA"/>
        </w:rPr>
        <w:t>注</w:t>
      </w:r>
      <w:r>
        <w:rPr>
          <w:rFonts w:hint="eastAsia"/>
          <w:lang w:eastAsia="zh-CN"/>
        </w:rPr>
        <w:t>：</w:t>
      </w:r>
      <w:r>
        <w:rPr>
          <w:rFonts w:hint="eastAsia" w:ascii="仿宋" w:hAnsi="仿宋" w:eastAsia="仿宋" w:cs="仿宋"/>
          <w:b/>
          <w:bCs/>
          <w:color w:val="FF0000"/>
          <w:sz w:val="30"/>
          <w:szCs w:val="30"/>
          <w:lang w:val="en-US" w:eastAsia="zh-CN"/>
        </w:rPr>
        <w:t>1、本项目核心产品为羊传染性胸膜肺炎疫苗</w:t>
      </w:r>
    </w:p>
    <w:p>
      <w:pPr>
        <w:pStyle w:val="5"/>
        <w:ind w:left="0" w:leftChars="0" w:firstLine="602" w:firstLineChars="200"/>
        <w:rPr>
          <w:rFonts w:hint="eastAsia" w:ascii="仿宋" w:hAnsi="仿宋" w:eastAsia="仿宋" w:cs="仿宋"/>
          <w:b/>
          <w:bCs/>
          <w:i w:val="0"/>
          <w:iCs w:val="0"/>
          <w:color w:val="FF0000"/>
          <w:kern w:val="0"/>
          <w:sz w:val="30"/>
          <w:szCs w:val="30"/>
          <w:u w:val="none"/>
          <w:lang w:val="en-US" w:eastAsia="zh-CN" w:bidi="ar"/>
        </w:rPr>
      </w:pPr>
      <w:r>
        <w:rPr>
          <w:rFonts w:hint="eastAsia" w:ascii="仿宋" w:hAnsi="仿宋" w:eastAsia="仿宋" w:cs="仿宋"/>
          <w:b/>
          <w:bCs/>
          <w:color w:val="FF0000"/>
          <w:sz w:val="30"/>
          <w:szCs w:val="30"/>
          <w:lang w:val="en-US" w:eastAsia="zh-CN"/>
        </w:rPr>
        <w:t>2、本项目所属行业为工业；</w:t>
      </w:r>
    </w:p>
    <w:p>
      <w:pPr>
        <w:spacing w:line="320" w:lineRule="exact"/>
        <w:rPr>
          <w:rFonts w:hint="default" w:ascii="仿宋" w:hAnsi="仿宋" w:eastAsia="仿宋" w:cs="Times New Roman"/>
          <w:color w:val="auto"/>
          <w:sz w:val="24"/>
          <w:lang w:val="en-US" w:eastAsia="zh-CN"/>
        </w:rPr>
      </w:pPr>
    </w:p>
    <w:p>
      <w:pPr>
        <w:rPr>
          <w:rFonts w:hint="eastAsia"/>
          <w:color w:val="auto"/>
          <w:spacing w:val="-10"/>
          <w:w w:val="95"/>
        </w:rPr>
      </w:pPr>
    </w:p>
    <w:p>
      <w:pPr>
        <w:pStyle w:val="4"/>
        <w:spacing w:line="500" w:lineRule="exact"/>
        <w:ind w:firstLine="0" w:firstLineChars="0"/>
        <w:jc w:val="center"/>
        <w:outlineLvl w:val="1"/>
        <w:rPr>
          <w:rFonts w:hint="eastAsia" w:ascii="仿宋" w:hAnsi="仿宋" w:eastAsia="仿宋" w:cs="Times New Roman"/>
          <w:b w:val="0"/>
          <w:bCs/>
          <w:color w:val="auto"/>
          <w:sz w:val="32"/>
          <w:szCs w:val="32"/>
        </w:rPr>
      </w:pPr>
    </w:p>
    <w:p>
      <w:pPr>
        <w:rPr>
          <w:rFonts w:hint="eastAsia"/>
          <w:color w:val="auto"/>
          <w:spacing w:val="-10"/>
          <w:w w:val="95"/>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74736B45"/>
    <w:rsid w:val="1FCC6B0C"/>
    <w:rsid w:val="322F3062"/>
    <w:rsid w:val="3B265B6E"/>
    <w:rsid w:val="41A03B11"/>
    <w:rsid w:val="5E235EB5"/>
    <w:rsid w:val="7473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w:basedOn w:val="2"/>
    <w:next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99"/>
    <w:pPr>
      <w:spacing w:before="100" w:beforeAutospacing="1"/>
      <w:ind w:firstLine="420" w:firstLineChars="200"/>
    </w:pPr>
  </w:style>
  <w:style w:type="paragraph" w:customStyle="1" w:styleId="8">
    <w:name w:val="正文（缩进 2 字符）"/>
    <w:basedOn w:val="1"/>
    <w:qFormat/>
    <w:uiPriority w:val="0"/>
    <w:pPr>
      <w:ind w:firstLine="200" w:firstLineChars="200"/>
    </w:pPr>
  </w:style>
  <w:style w:type="character" w:customStyle="1" w:styleId="9">
    <w:name w:val="font31"/>
    <w:basedOn w:val="7"/>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2023-09-08T07:28:00Z</dcterms:created>
  <dc:creator>HJIO</dc:creator>
  <cp:lastModifiedBy>HJIO</cp:lastModifiedBy>
  <dcterms:modified xsi:type="dcterms:W3CDTF">2023-09-27T08:26:37Z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D09F5E69D9F74D6FB14A498CBFC509B2_11</vt:lpwstr>
  </property>
</Properties>
</file>