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40"/>
          <w:szCs w:val="40"/>
          <w:lang w:val="en-US" w:eastAsia="zh-CN"/>
        </w:rPr>
        <w:t xml:space="preserve"> 府谷镇卫生院高石崖分院设备采购需求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40"/>
          <w:szCs w:val="40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府谷镇卫生院高石崖分院设备采购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项目明细、资金构成和采购方式：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采购项目明细：详见后附采购清单明细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2、资金来源：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财政资金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3、采购方式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三、项目实施时间、地点、概况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1、项目实施时间：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2023年10月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2、项目实施地点：府谷镇卫生院高石崖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3、项目概况：本项目主要采购便携式彩色多普勒超声诊断系统1套，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无创呼吸机主1台，医用分子筛制氧机1台，电解质分析仪1台。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4、供货期：自合同签订之日起30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5、项目预算：516400.00元。</w:t>
      </w:r>
    </w:p>
    <w:p>
      <w:pPr>
        <w:numPr>
          <w:ilvl w:val="0"/>
          <w:numId w:val="3"/>
        </w:numPr>
        <w:spacing w:line="72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合同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ind w:right="-313" w:rightChars="-149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府谷镇卫生院高石崖分院设备采购</w:t>
      </w:r>
    </w:p>
    <w:p>
      <w:pPr>
        <w:numPr>
          <w:ilvl w:val="0"/>
          <w:numId w:val="0"/>
        </w:numPr>
        <w:spacing w:line="720" w:lineRule="auto"/>
        <w:ind w:right="-313" w:rightChars="-149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采购合同</w:t>
      </w: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spacing w:before="120" w:line="360" w:lineRule="auto"/>
        <w:ind w:firstLine="562" w:firstLineChars="200"/>
        <w:outlineLvl w:val="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bookmarkStart w:id="0" w:name="_Toc26774"/>
      <w:bookmarkStart w:id="1" w:name="_Toc1522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采  购  人：</w:t>
      </w:r>
      <w:bookmarkEnd w:id="0"/>
      <w:bookmarkEnd w:id="1"/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 xml:space="preserve">  府谷县精神病专科医院（府谷镇卫生院高石崖分院）   </w:t>
      </w:r>
    </w:p>
    <w:p>
      <w:pPr>
        <w:spacing w:before="120" w:line="360" w:lineRule="auto"/>
        <w:ind w:firstLine="562" w:firstLineChars="200"/>
        <w:outlineLvl w:val="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bookmarkStart w:id="2" w:name="_Toc3014"/>
      <w:bookmarkStart w:id="3" w:name="_Toc7182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供  应  商：</w:t>
      </w:r>
      <w:bookmarkEnd w:id="2"/>
      <w:bookmarkEnd w:id="3"/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 xml:space="preserve">                        </w:t>
      </w:r>
      <w:bookmarkStart w:id="4" w:name="_Toc14459"/>
      <w:bookmarkStart w:id="5" w:name="_Toc17330"/>
    </w:p>
    <w:p>
      <w:pPr>
        <w:spacing w:line="360" w:lineRule="auto"/>
        <w:ind w:firstLine="562" w:firstLineChars="200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签署日期：</w:t>
      </w:r>
      <w:bookmarkEnd w:id="4"/>
      <w:bookmarkEnd w:id="5"/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</w:rPr>
        <w:t>　　　　　　　　　　　　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</w:rPr>
        <w:t>　　</w:t>
      </w:r>
    </w:p>
    <w:p>
      <w:pPr>
        <w:widowControl/>
        <w:spacing w:after="150" w:line="360" w:lineRule="auto"/>
        <w:ind w:firstLine="482" w:firstLineChars="200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eastAsia="zh-Hans"/>
        </w:rPr>
      </w:pPr>
    </w:p>
    <w:p>
      <w:pPr>
        <w:widowControl/>
        <w:spacing w:after="150"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widowControl/>
        <w:spacing w:after="150" w:line="360" w:lineRule="auto"/>
        <w:ind w:firstLine="562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eastAsia="zh-Hans"/>
        </w:rPr>
        <w:t>甲方（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采购人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</w:rPr>
        <w:t xml:space="preserve"> 府谷县精神病专科医院（府谷镇卫生院高石崖分院）          </w:t>
      </w:r>
    </w:p>
    <w:p>
      <w:pPr>
        <w:widowControl/>
        <w:spacing w:after="150" w:line="360" w:lineRule="auto"/>
        <w:ind w:firstLine="562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eastAsia="zh-Hans"/>
        </w:rPr>
        <w:t>乙方（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中标人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  <w:lang w:eastAsia="zh-Hans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根据《中华人民共和国政府采购法》、《中华人民共和国合同法》等相关法律，甲、乙双方经平等协商一致，就“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府谷县哈镇中心卫生院医疗设备采购项目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”承办达成合同如下：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一、合同文件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本合同所附下列文件是构成本合同不可分割的部分，组成合同的各项文件应互相解释，互为说明，解释合同文件的优先顺序如下：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 合同条款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2.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通知书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成交供应商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过程中做出的有关澄清、说明、承诺或者补正文件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4.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文件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5.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成交供应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商的竞争性谈判响应文件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6. 本合同附件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同一层次的合同文件规定有矛盾的以较后时间制定的为准。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二、合同的范围和条件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本合同的范围和条件应与上述合同文件的规定相一致。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三、服务项目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本合同所提供的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内容：（与报价文件中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明细表一致）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                                         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四、合同金额</w:t>
      </w:r>
    </w:p>
    <w:p>
      <w:pPr>
        <w:pStyle w:val="15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与报价文件中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明细表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单价一致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五、付款途径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对公支付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六、付款方式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：签订合同后，货到验收合格，安装调试完成后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一次性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支付合同价款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.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七、知识产权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乙方应保证甲方所使用的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成果免受第三方提出的侵犯其知识产权的诉讼。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6" w:name="_Toc223404485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八、违约条款</w:t>
      </w:r>
      <w:bookmarkEnd w:id="6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 一方不按期履行合同，并经另一方提示后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日内仍不履行合同的，守约方有权解除合同，违约方要承担相应的法律责任。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 如因一方违约，双方未能就赔偿损失达成协议，引起诉讼或仲裁时，违约方除应赔偿对方经济损失外，还应承担因诉讼或仲裁所支付的律师代理费等相关费用。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3. 其它应承担的违约责任，以《中华人民共和国合同法》和其它有关法律、法规规定为准，无相关规定的，双方协商解决。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4. 按照本合同规定应该偿付的违约金、赔偿金等，应当在明确责任后 7 日内，按银行规定或双方商定的结算办法付清，否则按逾期付款处理。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7" w:name="_Toc223404486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九、不可抗力条款</w:t>
      </w:r>
      <w:bookmarkEnd w:id="7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因不可抗力致使一方不能及时或完全履行合同的，应及时通知采购代理机构及另一方，双方互不承担责任，并在 15天内提供有关不可抗力的相应证明。合同未履行部分是否继续履行、如何履行等问题，可由双方协商解决。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8" w:name="_Toc223404487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十、争议的解决方式</w:t>
      </w:r>
      <w:bookmarkEnd w:id="8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本合同执行过程中如发生争议，应本着友好的原则协商解决。协商不成产生的诉讼，由甲方所在地人民法院管辖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9" w:name="_Toc223404488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十一、补充协议</w:t>
      </w:r>
      <w:bookmarkEnd w:id="9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合同未尽事宜，经双方协商可签订补充协议，所签订的补充协议与本合同具有同等的法律效力，补充协议的生效应符合本合同的有关规定。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十二、合同生效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 合同双方签订后生效。</w:t>
      </w:r>
    </w:p>
    <w:p>
      <w:pPr>
        <w:adjustRightInd w:val="0"/>
        <w:snapToGrid w:val="0"/>
        <w:spacing w:line="360" w:lineRule="auto"/>
        <w:ind w:right="-313" w:rightChars="-149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 本合同一式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份，甲、乙双方各执两份，采购代理机构各一份。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甲方：                                   乙方：            </w:t>
      </w:r>
    </w:p>
    <w:p>
      <w:pPr>
        <w:tabs>
          <w:tab w:val="left" w:pos="6075"/>
        </w:tabs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地址：                                   地址：            </w:t>
      </w:r>
    </w:p>
    <w:p>
      <w:pPr>
        <w:tabs>
          <w:tab w:val="left" w:pos="5040"/>
          <w:tab w:val="left" w:pos="7200"/>
          <w:tab w:val="left" w:pos="8280"/>
        </w:tabs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法定代表人：                             法定代表人：           </w:t>
      </w:r>
    </w:p>
    <w:p>
      <w:pPr>
        <w:tabs>
          <w:tab w:val="left" w:pos="8280"/>
        </w:tabs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电话：                                   电话：            </w:t>
      </w:r>
    </w:p>
    <w:p>
      <w:pPr>
        <w:tabs>
          <w:tab w:val="left" w:pos="8280"/>
        </w:tabs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开户银行：                               开户银行：</w:t>
      </w:r>
    </w:p>
    <w:p>
      <w:pPr>
        <w:tabs>
          <w:tab w:val="left" w:pos="8280"/>
        </w:tabs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账号：                                   账号：            </w:t>
      </w:r>
    </w:p>
    <w:p>
      <w:pPr>
        <w:tabs>
          <w:tab w:val="left" w:pos="8280"/>
        </w:tabs>
        <w:adjustRightInd w:val="0"/>
        <w:snapToGrid w:val="0"/>
        <w:spacing w:line="360" w:lineRule="auto"/>
        <w:ind w:right="-1801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日期：年 月 日                           日期：年 月 日    </w:t>
      </w:r>
    </w:p>
    <w:p>
      <w:pPr>
        <w:pStyle w:val="9"/>
        <w:rPr>
          <w:rFonts w:hint="eastAsia"/>
          <w:color w:val="auto"/>
          <w:lang w:val="en-US" w:eastAsia="zh-CN"/>
        </w:rPr>
      </w:pPr>
    </w:p>
    <w:p>
      <w:pPr>
        <w:pStyle w:val="4"/>
        <w:spacing w:line="500" w:lineRule="exact"/>
        <w:rPr>
          <w:rFonts w:hint="eastAsia" w:ascii="宋体" w:hAnsi="宋体" w:eastAsia="宋体" w:cs="宋体"/>
          <w:color w:val="auto"/>
          <w:lang w:eastAsia="zh-CN"/>
        </w:rPr>
      </w:pPr>
      <w:bookmarkStart w:id="10" w:name="_Toc56066561"/>
      <w:bookmarkStart w:id="11" w:name="_Toc31057"/>
      <w:r>
        <w:rPr>
          <w:rFonts w:hint="eastAsia" w:ascii="宋体" w:hAnsi="宋体" w:eastAsia="宋体" w:cs="宋体"/>
          <w:color w:val="auto"/>
          <w:sz w:val="28"/>
          <w:szCs w:val="28"/>
        </w:rPr>
        <w:t>五、履约验收</w:t>
      </w:r>
      <w:bookmarkEnd w:id="10"/>
      <w:bookmarkEnd w:id="11"/>
      <w:r>
        <w:rPr>
          <w:rFonts w:hint="eastAsia" w:ascii="宋体" w:hAnsi="宋体" w:eastAsia="宋体" w:cs="宋体"/>
          <w:color w:val="auto"/>
          <w:sz w:val="28"/>
          <w:szCs w:val="28"/>
        </w:rPr>
        <w:t>标准和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方式</w:t>
      </w:r>
    </w:p>
    <w:p>
      <w:pPr>
        <w:pStyle w:val="13"/>
        <w:spacing w:line="500" w:lineRule="exact"/>
        <w:ind w:firstLine="560" w:firstLineChars="200"/>
        <w:jc w:val="both"/>
        <w:rPr>
          <w:rFonts w:hint="default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（一）履约验收时间：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2023年10月1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（具体以供货完成后甲方双方约定日期为准）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（二）履约验收主体及内容：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产品到达指定地点后，由</w:t>
      </w:r>
      <w:r>
        <w:rPr>
          <w:rFonts w:hint="eastAsia" w:ascii="宋体" w:hAnsi="宋体" w:eastAsia="宋体" w:cs="宋体"/>
          <w:color w:val="auto"/>
          <w:kern w:val="2"/>
          <w:sz w:val="28"/>
        </w:rPr>
        <w:t>采购人根据合同要求，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对所需设备进行验收。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验收标准：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 xml:space="preserve">1.供方提供的产品性能及质量有国家标准的应符合国家标准，无 国家标准的应符合行业标准或企业标准，并满足需方要求； 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 xml:space="preserve">2.项目实施、验收等相关流程制度标准，以国家相关法律、法规 和上级机关的规章、制度为准。中标人完成工作内容后向采购人提起 验收申请，经采购人组织评审通过视为验收合格。 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3.中标人向采购人提供项目履约过程中的所有资料,以便采购人 日后管理和维护。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4.按合同要求及装箱清单、产品配置清单并且附产品说明书、产品出厂合格证及使用手册等全套技术资料，产品数量及质量符合合同约定和相关检测仪器设备标准视为合格。</w:t>
      </w:r>
    </w:p>
    <w:p>
      <w:pPr>
        <w:pStyle w:val="13"/>
        <w:spacing w:line="500" w:lineRule="exact"/>
        <w:ind w:right="-313" w:rightChars="-149" w:firstLine="560" w:firstLineChars="200"/>
        <w:jc w:val="both"/>
        <w:rPr>
          <w:rFonts w:hint="default" w:ascii="宋体" w:hAnsi="宋体" w:eastAsia="宋体" w:cs="宋体"/>
          <w:color w:val="auto"/>
          <w:kern w:val="2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（四）验收方式：由采购单位技术人员按照相关验收标准进行验收。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kern w:val="2"/>
          <w:sz w:val="28"/>
        </w:rPr>
        <w:t>）验收依据：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2"/>
          <w:sz w:val="28"/>
        </w:rPr>
        <w:t>文件、响应文件、澄清表（函）；</w:t>
      </w:r>
      <w:bookmarkStart w:id="14" w:name="_GoBack"/>
      <w:bookmarkEnd w:id="14"/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验收</w:t>
      </w:r>
      <w:r>
        <w:rPr>
          <w:rFonts w:hint="eastAsia" w:ascii="宋体" w:hAnsi="宋体" w:eastAsia="宋体" w:cs="宋体"/>
          <w:color w:val="auto"/>
          <w:kern w:val="2"/>
          <w:sz w:val="28"/>
        </w:rPr>
        <w:t>合格证、质检报告；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3.合同及附件文本；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4.检验产品合格证卡、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产品说明书</w:t>
      </w:r>
      <w:r>
        <w:rPr>
          <w:rFonts w:hint="eastAsia" w:ascii="宋体" w:hAnsi="宋体" w:eastAsia="宋体" w:cs="宋体"/>
          <w:color w:val="auto"/>
          <w:kern w:val="2"/>
          <w:sz w:val="28"/>
        </w:rPr>
        <w:t>和</w:t>
      </w:r>
      <w:r>
        <w:rPr>
          <w:rFonts w:hint="eastAsia" w:ascii="宋体" w:hAnsi="宋体" w:eastAsia="宋体" w:cs="宋体"/>
          <w:color w:val="auto"/>
          <w:kern w:val="2"/>
          <w:sz w:val="28"/>
          <w:lang w:val="en-US" w:eastAsia="zh-CN"/>
        </w:rPr>
        <w:t>使用手册</w:t>
      </w:r>
      <w:r>
        <w:rPr>
          <w:rFonts w:hint="eastAsia" w:ascii="宋体" w:hAnsi="宋体" w:eastAsia="宋体" w:cs="宋体"/>
          <w:color w:val="auto"/>
          <w:kern w:val="2"/>
          <w:sz w:val="28"/>
        </w:rPr>
        <w:t>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</w:rPr>
        <w:t>5.同签订时国家及行业现行的标准和技术规范。</w:t>
      </w:r>
    </w:p>
    <w:p>
      <w:pPr>
        <w:pStyle w:val="13"/>
        <w:spacing w:line="500" w:lineRule="exact"/>
        <w:jc w:val="both"/>
        <w:rPr>
          <w:rFonts w:hint="eastAsia" w:ascii="宋体" w:hAnsi="宋体" w:eastAsia="宋体" w:cs="宋体"/>
          <w:b/>
          <w:color w:val="auto"/>
          <w:kern w:val="2"/>
          <w:sz w:val="28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</w:rPr>
        <w:t>六、对供应商的要求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</w:pPr>
      <w:bookmarkStart w:id="12" w:name="_Toc56066559"/>
      <w:bookmarkStart w:id="13" w:name="_Toc16156"/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1、在中华人民共和国境内注册的，应具备行政主管部门颁发的独立企业法人；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2、具有良好的商业信誉和健全的财务会计制度；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3、具有履行合同所必须的设备和专业技术能力；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4、有依法缴纳税收和社会保障资金的良好记录；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lang w:eastAsia="zh-CN"/>
        </w:rPr>
        <w:t>5、参加本项政府采购活动前三年内，在经营活动中没有重大违法记录。</w:t>
      </w:r>
    </w:p>
    <w:p>
      <w:pPr>
        <w:pStyle w:val="13"/>
        <w:spacing w:line="500" w:lineRule="exact"/>
        <w:jc w:val="both"/>
        <w:rPr>
          <w:rFonts w:hint="eastAsia" w:ascii="宋体" w:hAnsi="宋体" w:eastAsia="宋体" w:cs="宋体"/>
          <w:b/>
          <w:color w:val="auto"/>
          <w:kern w:val="2"/>
          <w:sz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七、付款方式</w:t>
      </w:r>
      <w:bookmarkEnd w:id="12"/>
      <w:bookmarkEnd w:id="13"/>
    </w:p>
    <w:p>
      <w:pPr>
        <w:pStyle w:val="22"/>
        <w:spacing w:line="50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  <w:t>（一）支付方式：银行转账</w:t>
      </w:r>
    </w:p>
    <w:p>
      <w:pPr>
        <w:pStyle w:val="22"/>
        <w:spacing w:line="50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  <w:t>（二）货币单位：人民币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  <w:t>（三）合同款项的支付及结算方式：</w:t>
      </w:r>
    </w:p>
    <w:p>
      <w:pPr>
        <w:pStyle w:val="22"/>
        <w:spacing w:line="50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  <w:t>（1）结算单位：由采购人以人民币负责结算，在付款前，供应商必须开具全额发票给采购人。</w:t>
      </w:r>
    </w:p>
    <w:p>
      <w:pPr>
        <w:pStyle w:val="13"/>
        <w:spacing w:line="500" w:lineRule="exact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4"/>
          <w:lang w:val="en-US" w:eastAsia="zh-CN" w:bidi="ar-SA"/>
        </w:rPr>
        <w:t>（2）付款方式：签订合同后，货到验收合格，安装调试完成后一次性支付合同价款。</w:t>
      </w:r>
    </w:p>
    <w:p>
      <w:pPr>
        <w:pStyle w:val="13"/>
        <w:spacing w:line="500" w:lineRule="exact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</w:rPr>
        <w:t>对供应商的要求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1、在中华人民共和国境内注册的，应具备行政主管部门颁发的独立企业法人；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2、具有良好的商业信誉和健全的财务会计制度；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3、具有履行合同所必须的设备和专业技术能力；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4、有依法缴纳税收和社会保障资金的良好记录；</w:t>
      </w:r>
    </w:p>
    <w:p>
      <w:pPr>
        <w:pStyle w:val="13"/>
        <w:spacing w:line="500" w:lineRule="exact"/>
        <w:ind w:left="0" w:leftChars="0" w:firstLine="490" w:firstLineChars="175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5、参加本项政府采购活动前三年内，在经营活动中没有重大违法记录。（具体要求详见招标公告）</w:t>
      </w:r>
    </w:p>
    <w:p>
      <w:pPr>
        <w:tabs>
          <w:tab w:val="left" w:pos="777"/>
        </w:tabs>
        <w:bidi w:val="0"/>
        <w:jc w:val="left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、采购人相关信息</w:t>
      </w:r>
    </w:p>
    <w:p>
      <w:pPr>
        <w:spacing w:line="520" w:lineRule="exact"/>
        <w:ind w:firstLine="280" w:firstLineChars="1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1、采购单位：府谷县精神病专科医院（府谷镇卫生院高石崖分院）</w:t>
      </w:r>
    </w:p>
    <w:p>
      <w:pPr>
        <w:spacing w:line="520" w:lineRule="exact"/>
        <w:ind w:firstLine="280" w:firstLineChars="1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2、采购单位地址：府谷镇卫生院高石崖</w:t>
      </w:r>
    </w:p>
    <w:p>
      <w:pPr>
        <w:spacing w:line="520" w:lineRule="exact"/>
        <w:ind w:firstLine="280" w:firstLineChars="10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3、项目联系人：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刘会计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18292282251</w:t>
      </w:r>
    </w:p>
    <w:p>
      <w:pPr>
        <w:tabs>
          <w:tab w:val="left" w:pos="756"/>
        </w:tabs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tabs>
          <w:tab w:val="left" w:pos="756"/>
        </w:tabs>
        <w:jc w:val="righ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府谷县精神病专科医院（府谷镇卫生院高石崖分院）</w:t>
      </w:r>
    </w:p>
    <w:p>
      <w:pPr>
        <w:tabs>
          <w:tab w:val="left" w:pos="756"/>
        </w:tabs>
        <w:jc w:val="righ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日</w:t>
      </w:r>
    </w:p>
    <w:p>
      <w:pPr>
        <w:pStyle w:val="5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F6629"/>
    <w:multiLevelType w:val="singleLevel"/>
    <w:tmpl w:val="B71F66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89355C"/>
    <w:multiLevelType w:val="singleLevel"/>
    <w:tmpl w:val="368935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F70458"/>
    <w:multiLevelType w:val="singleLevel"/>
    <w:tmpl w:val="73F704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DlmY2Q2Zjk0YmUyZTlmNGM3MzQ5MmQ4NTcwYmQifQ=="/>
  </w:docVars>
  <w:rsids>
    <w:rsidRoot w:val="00000000"/>
    <w:rsid w:val="02BE247E"/>
    <w:rsid w:val="03585AD2"/>
    <w:rsid w:val="05A8641E"/>
    <w:rsid w:val="09F6745E"/>
    <w:rsid w:val="0EE33F01"/>
    <w:rsid w:val="16EF2672"/>
    <w:rsid w:val="173619DD"/>
    <w:rsid w:val="17382A37"/>
    <w:rsid w:val="1A305C02"/>
    <w:rsid w:val="1A9223CA"/>
    <w:rsid w:val="1BF74D53"/>
    <w:rsid w:val="1D0A37C7"/>
    <w:rsid w:val="268D65D4"/>
    <w:rsid w:val="29270E91"/>
    <w:rsid w:val="2BAC1E16"/>
    <w:rsid w:val="2F8310E0"/>
    <w:rsid w:val="36D30B9F"/>
    <w:rsid w:val="386569F0"/>
    <w:rsid w:val="3D193920"/>
    <w:rsid w:val="434E7994"/>
    <w:rsid w:val="43BC170B"/>
    <w:rsid w:val="453D5029"/>
    <w:rsid w:val="463C4B8F"/>
    <w:rsid w:val="467E5CEB"/>
    <w:rsid w:val="46BF0292"/>
    <w:rsid w:val="47BC4F97"/>
    <w:rsid w:val="47DF019E"/>
    <w:rsid w:val="49D10A34"/>
    <w:rsid w:val="4C891827"/>
    <w:rsid w:val="4E086E6A"/>
    <w:rsid w:val="4E9F1227"/>
    <w:rsid w:val="4F594071"/>
    <w:rsid w:val="4F7B056C"/>
    <w:rsid w:val="579B6102"/>
    <w:rsid w:val="5B7B51DE"/>
    <w:rsid w:val="5BCE56DB"/>
    <w:rsid w:val="5C763BF7"/>
    <w:rsid w:val="5D427858"/>
    <w:rsid w:val="5D7D719E"/>
    <w:rsid w:val="5E78755C"/>
    <w:rsid w:val="60773A12"/>
    <w:rsid w:val="614900BB"/>
    <w:rsid w:val="630755A9"/>
    <w:rsid w:val="634215BB"/>
    <w:rsid w:val="66613C8A"/>
    <w:rsid w:val="66677876"/>
    <w:rsid w:val="66D64724"/>
    <w:rsid w:val="67C47CB8"/>
    <w:rsid w:val="68FA4AF8"/>
    <w:rsid w:val="6A275166"/>
    <w:rsid w:val="6C4C474A"/>
    <w:rsid w:val="755D5E43"/>
    <w:rsid w:val="76C353CA"/>
    <w:rsid w:val="76E4157D"/>
    <w:rsid w:val="7A302F01"/>
    <w:rsid w:val="7A611EC9"/>
    <w:rsid w:val="7A9A5809"/>
    <w:rsid w:val="7D7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4">
    <w:name w:val="heading 2"/>
    <w:basedOn w:val="1"/>
    <w:next w:val="5"/>
    <w:qFormat/>
    <w:uiPriority w:val="9"/>
    <w:pPr>
      <w:keepNext/>
      <w:keepLines/>
      <w:spacing w:line="240" w:lineRule="auto"/>
      <w:outlineLvl w:val="1"/>
    </w:pPr>
    <w:rPr>
      <w:rFonts w:ascii="Calibri" w:hAnsi="Calibri"/>
      <w:b/>
      <w:bCs/>
      <w:kern w:val="0"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before="280" w:beforeLines="0" w:beforeAutospacing="0" w:after="290" w:afterLines="0" w:afterAutospacing="0" w:line="376" w:lineRule="atLeast"/>
      <w:outlineLvl w:val="3"/>
    </w:pPr>
    <w:rPr>
      <w:rFonts w:ascii="Arial" w:hAnsi="Arial" w:eastAsia="黑体"/>
      <w:b/>
      <w:kern w:val="0"/>
      <w:sz w:val="2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7">
    <w:name w:val="Body Text Indent"/>
    <w:basedOn w:val="1"/>
    <w:next w:val="6"/>
    <w:qFormat/>
    <w:uiPriority w:val="0"/>
    <w:pPr>
      <w:ind w:left="1083" w:leftChars="30" w:hanging="1020" w:hangingChars="425"/>
    </w:pPr>
    <w:rPr>
      <w:rFonts w:ascii="宋体" w:hAnsi="宋体"/>
      <w:sz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8280"/>
        <w:tab w:val="right" w:leader="dot" w:pos="9360"/>
      </w:tabs>
      <w:adjustRightInd w:val="0"/>
      <w:snapToGrid w:val="0"/>
      <w:spacing w:line="300" w:lineRule="auto"/>
      <w:ind w:firstLine="538" w:firstLineChars="192"/>
    </w:pPr>
    <w:rPr>
      <w:rFonts w:ascii="宋体" w:hAnsi="宋体"/>
      <w:bCs/>
      <w:sz w:val="28"/>
    </w:rPr>
  </w:style>
  <w:style w:type="paragraph" w:styleId="12">
    <w:name w:val="Body Text 2"/>
    <w:basedOn w:val="1"/>
    <w:qFormat/>
    <w:uiPriority w:val="0"/>
    <w:pPr>
      <w:spacing w:line="360" w:lineRule="auto"/>
    </w:pPr>
    <w:rPr>
      <w:rFonts w:ascii="幼圆" w:eastAsia="幼圆"/>
      <w:sz w:val="24"/>
      <w:u w:val="single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4">
    <w:name w:val="Body Text First Indent"/>
    <w:basedOn w:val="6"/>
    <w:next w:val="11"/>
    <w:qFormat/>
    <w:uiPriority w:val="0"/>
    <w:pPr>
      <w:adjustRightInd w:val="0"/>
      <w:ind w:firstLine="420"/>
      <w:jc w:val="left"/>
      <w:textAlignment w:val="baseline"/>
    </w:pPr>
    <w:rPr>
      <w:kern w:val="0"/>
      <w:sz w:val="21"/>
    </w:rPr>
  </w:style>
  <w:style w:type="paragraph" w:styleId="15">
    <w:name w:val="Body Text First Indent 2"/>
    <w:basedOn w:val="7"/>
    <w:next w:val="14"/>
    <w:unhideWhenUsed/>
    <w:qFormat/>
    <w:uiPriority w:val="99"/>
    <w:pPr>
      <w:ind w:firstLine="420" w:firstLineChars="200"/>
    </w:pPr>
  </w:style>
  <w:style w:type="character" w:styleId="18">
    <w:name w:val="page number"/>
    <w:qFormat/>
    <w:uiPriority w:val="0"/>
  </w:style>
  <w:style w:type="character" w:customStyle="1" w:styleId="19">
    <w:name w:val="font10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8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1 Char"/>
    <w:link w:val="3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paragraph" w:customStyle="1" w:styleId="22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23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3335</Words>
  <Characters>3426</Characters>
  <Lines>0</Lines>
  <Paragraphs>0</Paragraphs>
  <TotalTime>20</TotalTime>
  <ScaleCrop>false</ScaleCrop>
  <LinksUpToDate>false</LinksUpToDate>
  <CharactersWithSpaces>3606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12229</dc:creator>
  <cp:lastModifiedBy>紫色@味道</cp:lastModifiedBy>
  <cp:lastPrinted>2023-04-25T06:37:00Z</cp:lastPrinted>
  <dcterms:modified xsi:type="dcterms:W3CDTF">2023-09-18T02:16:47Z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D30B99D4AB0B4109849FAF3975D13115_13</vt:lpwstr>
  </property>
</Properties>
</file>