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项目编号：SXZCZB2023-ZCGK-1111</w:t>
      </w:r>
    </w:p>
    <w:p>
      <w:pPr>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t xml:space="preserve"> </w:t>
      </w:r>
    </w:p>
    <w:p>
      <w:pPr>
        <w:jc w:val="cente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48"/>
          <w:szCs w:val="48"/>
        </w:rPr>
      </w:pPr>
    </w:p>
    <w:p>
      <w:pPr>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44"/>
          <w:szCs w:val="44"/>
        </w:rPr>
        <w:t>商洛市秦岭中段（南麓）水源涵养与生物多样性保护恢复项目山阳县2023年退化林修复</w:t>
      </w:r>
    </w:p>
    <w:p>
      <w:pPr>
        <w:jc w:val="center"/>
        <w:rPr>
          <w:rFonts w:asciiTheme="minorEastAsia" w:hAnsiTheme="minorEastAsia" w:eastAsiaTheme="minorEastAsia" w:cstheme="minorEastAsia"/>
          <w:b/>
          <w:sz w:val="40"/>
          <w:szCs w:val="40"/>
        </w:rPr>
      </w:pPr>
    </w:p>
    <w:p>
      <w:pPr>
        <w:jc w:val="center"/>
        <w:rPr>
          <w:rFonts w:asciiTheme="minorEastAsia" w:hAnsiTheme="minorEastAsia" w:eastAsiaTheme="minorEastAsia" w:cstheme="minorEastAsia"/>
          <w:b/>
          <w:sz w:val="36"/>
          <w:szCs w:val="36"/>
        </w:rPr>
      </w:pPr>
    </w:p>
    <w:p>
      <w:pPr>
        <w:pStyle w:val="26"/>
      </w:pPr>
    </w:p>
    <w:p>
      <w:pPr>
        <w:spacing w:line="780" w:lineRule="auto"/>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招标文件</w:t>
      </w:r>
    </w:p>
    <w:p>
      <w:pPr>
        <w:rPr>
          <w:rFonts w:asciiTheme="minorEastAsia" w:hAnsiTheme="minorEastAsia" w:eastAsiaTheme="minorEastAsia" w:cstheme="minorEastAsia"/>
        </w:rPr>
      </w:pPr>
      <w:bookmarkStart w:id="0" w:name="_Toc363463325"/>
    </w:p>
    <w:p>
      <w:pPr>
        <w:rPr>
          <w:rFonts w:asciiTheme="minorEastAsia" w:hAnsiTheme="minorEastAsia" w:eastAsiaTheme="minorEastAsia" w:cstheme="minorEastAsia"/>
        </w:rPr>
      </w:pPr>
    </w:p>
    <w:bookmarkEnd w:id="0"/>
    <w:p>
      <w:pPr>
        <w:jc w:val="center"/>
        <w:rPr>
          <w:rFonts w:asciiTheme="minorEastAsia" w:hAnsiTheme="minorEastAsia" w:eastAsiaTheme="minorEastAsia" w:cstheme="minorEastAsia"/>
          <w:b/>
          <w:sz w:val="36"/>
          <w:szCs w:val="36"/>
        </w:rPr>
      </w:pPr>
    </w:p>
    <w:p>
      <w:pP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pStyle w:val="26"/>
        <w:ind w:firstLine="74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人：山阳县林业局</w:t>
      </w:r>
    </w:p>
    <w:p>
      <w:pPr>
        <w:pStyle w:val="26"/>
        <w:ind w:firstLine="74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代理机构：陕西至诚项目管理集团有限公司</w:t>
      </w:r>
    </w:p>
    <w:p>
      <w:pPr>
        <w:pStyle w:val="26"/>
        <w:ind w:firstLine="74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日    期：2023年11月</w:t>
      </w:r>
    </w:p>
    <w:p>
      <w:pPr>
        <w:pStyle w:val="26"/>
        <w:ind w:firstLine="749"/>
        <w:rPr>
          <w:rFonts w:asciiTheme="minorEastAsia" w:hAnsiTheme="minorEastAsia" w:eastAsiaTheme="minorEastAsia" w:cstheme="minorEastAsia"/>
          <w:b/>
          <w:bCs/>
          <w:sz w:val="32"/>
          <w:szCs w:val="32"/>
        </w:rPr>
      </w:pPr>
    </w:p>
    <w:p>
      <w:pPr>
        <w:pStyle w:val="26"/>
        <w:ind w:firstLine="749"/>
        <w:rPr>
          <w:rFonts w:asciiTheme="minorEastAsia" w:hAnsiTheme="minorEastAsia" w:eastAsiaTheme="minorEastAsia" w:cstheme="minorEastAsia"/>
          <w:b/>
          <w:bCs/>
          <w:sz w:val="32"/>
          <w:szCs w:val="32"/>
        </w:rPr>
        <w:sectPr>
          <w:headerReference r:id="rId5" w:type="first"/>
          <w:headerReference r:id="rId3" w:type="default"/>
          <w:footerReference r:id="rId6" w:type="default"/>
          <w:headerReference r:id="rId4" w:type="even"/>
          <w:footerReference r:id="rId7" w:type="even"/>
          <w:pgSz w:w="11906" w:h="16838"/>
          <w:pgMar w:top="1304" w:right="1361" w:bottom="1304" w:left="1361" w:header="851" w:footer="992" w:gutter="0"/>
          <w:pgNumType w:start="1"/>
          <w:cols w:space="720" w:num="1"/>
          <w:titlePg/>
          <w:docGrid w:type="lines" w:linePitch="312" w:charSpace="0"/>
        </w:sectPr>
      </w:pPr>
    </w:p>
    <w:p>
      <w:pPr>
        <w:spacing w:line="480" w:lineRule="auto"/>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目   录</w:t>
      </w:r>
    </w:p>
    <w:p>
      <w:pPr>
        <w:pStyle w:val="19"/>
        <w:tabs>
          <w:tab w:val="right" w:leader="dot" w:pos="9184"/>
        </w:tabs>
        <w:spacing w:line="48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"1-4" \h \u </w:instrText>
      </w:r>
      <w:r>
        <w:rPr>
          <w:rFonts w:hint="eastAsia" w:ascii="宋体" w:hAnsi="宋体" w:cs="宋体"/>
          <w:sz w:val="24"/>
          <w:szCs w:val="24"/>
        </w:rPr>
        <w:fldChar w:fldCharType="separate"/>
      </w:r>
      <w:r>
        <w:fldChar w:fldCharType="begin"/>
      </w:r>
      <w:r>
        <w:instrText xml:space="preserve"> HYPERLINK \l "_Toc31666"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_Toc31666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184"/>
        </w:tabs>
        <w:spacing w:line="480" w:lineRule="auto"/>
        <w:rPr>
          <w:rFonts w:ascii="宋体" w:hAnsi="宋体" w:cs="宋体"/>
          <w:sz w:val="24"/>
          <w:szCs w:val="24"/>
        </w:rPr>
      </w:pPr>
      <w:r>
        <w:fldChar w:fldCharType="begin"/>
      </w:r>
      <w:r>
        <w:instrText xml:space="preserve"> HYPERLINK \l "_Toc31960"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_Toc31960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9184"/>
        </w:tabs>
        <w:spacing w:line="480" w:lineRule="auto"/>
        <w:rPr>
          <w:rFonts w:ascii="宋体" w:hAnsi="宋体" w:cs="宋体"/>
          <w:sz w:val="24"/>
          <w:szCs w:val="24"/>
        </w:rPr>
      </w:pPr>
      <w:r>
        <w:fldChar w:fldCharType="begin"/>
      </w:r>
      <w:r>
        <w:instrText xml:space="preserve"> HYPERLINK \l "_Toc6196" </w:instrText>
      </w:r>
      <w:r>
        <w:fldChar w:fldCharType="separate"/>
      </w:r>
      <w:r>
        <w:rPr>
          <w:rFonts w:hint="eastAsia" w:ascii="宋体" w:hAnsi="宋体" w:cs="宋体"/>
          <w:bCs/>
          <w:sz w:val="24"/>
          <w:szCs w:val="24"/>
        </w:rPr>
        <w:t>投标人须知前附表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_Toc6196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184"/>
        </w:tabs>
        <w:spacing w:line="480" w:lineRule="auto"/>
        <w:rPr>
          <w:rFonts w:ascii="宋体" w:hAnsi="宋体" w:cs="宋体"/>
          <w:sz w:val="24"/>
          <w:szCs w:val="24"/>
        </w:rPr>
      </w:pPr>
      <w:r>
        <w:fldChar w:fldCharType="begin"/>
      </w:r>
      <w:r>
        <w:instrText xml:space="preserve"> HYPERLINK \l "_Toc21993" </w:instrText>
      </w:r>
      <w:r>
        <w:fldChar w:fldCharType="separate"/>
      </w:r>
      <w:r>
        <w:rPr>
          <w:rFonts w:hint="eastAsia" w:ascii="宋体" w:hAnsi="宋体" w:cs="宋体"/>
          <w:bCs/>
          <w:sz w:val="24"/>
          <w:szCs w:val="24"/>
        </w:rPr>
        <w:t>第三章  评审方法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_Toc21993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184"/>
        </w:tabs>
        <w:spacing w:line="480" w:lineRule="auto"/>
        <w:rPr>
          <w:rFonts w:ascii="宋体" w:hAnsi="宋体" w:cs="宋体"/>
          <w:sz w:val="24"/>
          <w:szCs w:val="24"/>
        </w:rPr>
      </w:pPr>
      <w:r>
        <w:fldChar w:fldCharType="begin"/>
      </w:r>
      <w:r>
        <w:instrText xml:space="preserve"> HYPERLINK \l "_Toc26850" </w:instrText>
      </w:r>
      <w:r>
        <w:fldChar w:fldCharType="separate"/>
      </w:r>
      <w:r>
        <w:rPr>
          <w:rFonts w:hint="eastAsia" w:ascii="宋体" w:hAnsi="宋体" w:cs="宋体"/>
          <w:sz w:val="24"/>
          <w:szCs w:val="24"/>
        </w:rPr>
        <w:t xml:space="preserve">第四章  </w:t>
      </w:r>
      <w:r>
        <w:rPr>
          <w:rFonts w:hint="eastAsia" w:ascii="宋体" w:hAnsi="宋体" w:cs="宋体"/>
          <w:bCs/>
          <w:sz w:val="24"/>
          <w:szCs w:val="24"/>
        </w:rPr>
        <w:t>合同条款及格式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_Toc26850 \h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9184"/>
        </w:tabs>
        <w:spacing w:line="480" w:lineRule="auto"/>
        <w:rPr>
          <w:rFonts w:ascii="宋体" w:hAnsi="宋体" w:cs="宋体"/>
          <w:sz w:val="24"/>
          <w:szCs w:val="24"/>
        </w:rPr>
      </w:pPr>
      <w:r>
        <w:fldChar w:fldCharType="begin"/>
      </w:r>
      <w:r>
        <w:instrText xml:space="preserve"> HYPERLINK \l "_Toc6496" </w:instrText>
      </w:r>
      <w:r>
        <w:fldChar w:fldCharType="separate"/>
      </w:r>
      <w:r>
        <w:rPr>
          <w:rFonts w:hint="eastAsia" w:ascii="宋体" w:hAnsi="宋体" w:cs="宋体"/>
          <w:sz w:val="24"/>
          <w:szCs w:val="24"/>
        </w:rPr>
        <w:t>合同条款及格式前附表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_Toc6496 \h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184"/>
        </w:tabs>
        <w:spacing w:line="480" w:lineRule="auto"/>
        <w:rPr>
          <w:rFonts w:ascii="宋体" w:hAnsi="宋体" w:cs="宋体"/>
          <w:sz w:val="24"/>
          <w:szCs w:val="24"/>
        </w:rPr>
      </w:pPr>
      <w:r>
        <w:fldChar w:fldCharType="begin"/>
      </w:r>
      <w:r>
        <w:instrText xml:space="preserve"> HYPERLINK \l "_Toc8858" </w:instrText>
      </w:r>
      <w:r>
        <w:fldChar w:fldCharType="separate"/>
      </w:r>
      <w:r>
        <w:rPr>
          <w:rFonts w:hint="eastAsia" w:ascii="宋体" w:hAnsi="宋体" w:cs="宋体"/>
          <w:sz w:val="24"/>
          <w:szCs w:val="24"/>
        </w:rPr>
        <w:t>第五章  项目概况及技术要求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_Toc8858 \h </w:instrText>
      </w:r>
      <w:r>
        <w:rPr>
          <w:rFonts w:hint="eastAsia" w:ascii="宋体" w:hAnsi="宋体" w:cs="宋体"/>
          <w:sz w:val="24"/>
          <w:szCs w:val="24"/>
        </w:rPr>
        <w:fldChar w:fldCharType="separate"/>
      </w:r>
      <w:r>
        <w:rPr>
          <w:rFonts w:hint="eastAsia" w:ascii="宋体" w:hAnsi="宋体" w:cs="宋体"/>
          <w:sz w:val="24"/>
          <w:szCs w:val="24"/>
        </w:rPr>
        <w:t>58</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184"/>
        </w:tabs>
        <w:spacing w:line="480" w:lineRule="auto"/>
        <w:rPr>
          <w:rFonts w:ascii="宋体" w:hAnsi="宋体" w:cs="宋体"/>
          <w:sz w:val="24"/>
          <w:szCs w:val="24"/>
        </w:rPr>
      </w:pPr>
      <w:r>
        <w:fldChar w:fldCharType="begin"/>
      </w:r>
      <w:r>
        <w:instrText xml:space="preserve"> HYPERLINK \l "_Toc24769" </w:instrText>
      </w:r>
      <w:r>
        <w:fldChar w:fldCharType="separate"/>
      </w:r>
      <w:r>
        <w:rPr>
          <w:rFonts w:hint="eastAsia" w:ascii="宋体" w:hAnsi="宋体" w:cs="宋体"/>
          <w:bCs/>
          <w:sz w:val="24"/>
          <w:szCs w:val="24"/>
        </w:rPr>
        <w:t>第六章  投标文件构成及格式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_Toc24769 \h </w:instrText>
      </w:r>
      <w:r>
        <w:rPr>
          <w:rFonts w:hint="eastAsia" w:ascii="宋体" w:hAnsi="宋体" w:cs="宋体"/>
          <w:sz w:val="24"/>
          <w:szCs w:val="24"/>
        </w:rPr>
        <w:fldChar w:fldCharType="separate"/>
      </w:r>
      <w:r>
        <w:rPr>
          <w:rFonts w:hint="eastAsia" w:ascii="宋体" w:hAnsi="宋体" w:cs="宋体"/>
          <w:sz w:val="24"/>
          <w:szCs w:val="24"/>
        </w:rPr>
        <w:t>76</w:t>
      </w:r>
      <w:r>
        <w:rPr>
          <w:rFonts w:hint="eastAsia" w:ascii="宋体" w:hAnsi="宋体" w:cs="宋体"/>
          <w:sz w:val="24"/>
          <w:szCs w:val="24"/>
        </w:rPr>
        <w:fldChar w:fldCharType="end"/>
      </w:r>
      <w:r>
        <w:rPr>
          <w:rFonts w:hint="eastAsia" w:ascii="宋体" w:hAnsi="宋体" w:cs="宋体"/>
          <w:sz w:val="24"/>
          <w:szCs w:val="24"/>
        </w:rPr>
        <w:fldChar w:fldCharType="end"/>
      </w:r>
    </w:p>
    <w:p>
      <w:pPr>
        <w:spacing w:line="480" w:lineRule="auto"/>
        <w:rPr>
          <w:rFonts w:asciiTheme="minorEastAsia" w:hAnsiTheme="minorEastAsia" w:eastAsiaTheme="minorEastAsia" w:cstheme="minorEastAsia"/>
          <w:sz w:val="24"/>
          <w:szCs w:val="24"/>
        </w:rPr>
      </w:pPr>
      <w:r>
        <w:rPr>
          <w:rFonts w:hint="eastAsia" w:ascii="宋体" w:hAnsi="宋体" w:cs="宋体"/>
          <w:sz w:val="24"/>
          <w:szCs w:val="24"/>
        </w:rPr>
        <w:fldChar w:fldCharType="end"/>
      </w:r>
      <w:r>
        <w:rPr>
          <w:rFonts w:hint="eastAsia" w:asciiTheme="minorEastAsia" w:hAnsiTheme="minorEastAsia" w:eastAsiaTheme="minorEastAsia" w:cstheme="minorEastAsia"/>
          <w:sz w:val="24"/>
          <w:szCs w:val="24"/>
        </w:rPr>
        <w:br w:type="page"/>
      </w:r>
    </w:p>
    <w:p>
      <w:pPr>
        <w:pStyle w:val="4"/>
        <w:jc w:val="center"/>
        <w:rPr>
          <w:rFonts w:asciiTheme="minorEastAsia" w:hAnsiTheme="minorEastAsia" w:eastAsiaTheme="minorEastAsia" w:cstheme="minorEastAsia"/>
        </w:rPr>
      </w:pPr>
      <w:bookmarkStart w:id="1" w:name="_Toc14968"/>
      <w:bookmarkStart w:id="2" w:name="_Toc31666"/>
      <w:r>
        <w:rPr>
          <w:rFonts w:hint="eastAsia" w:asciiTheme="minorEastAsia" w:hAnsiTheme="minorEastAsia" w:eastAsiaTheme="minorEastAsia" w:cstheme="minorEastAsia"/>
        </w:rPr>
        <w:t>第一章  招标公告</w:t>
      </w:r>
      <w:bookmarkEnd w:id="1"/>
      <w:bookmarkEnd w:id="2"/>
    </w:p>
    <w:tbl>
      <w:tblPr>
        <w:tblStyle w:val="2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8700" w:type="dxa"/>
          </w:tcPr>
          <w:p>
            <w:pPr>
              <w:pStyle w:val="9"/>
              <w:widowControl/>
              <w:spacing w:before="150" w:beforeAutospacing="0" w:after="150" w:afterAutospacing="0"/>
              <w:textAlignment w:val="baseline"/>
              <w:outlineLvl w:val="5"/>
              <w:rPr>
                <w:rFonts w:hint="default"/>
                <w:b w:val="0"/>
                <w:bCs w:val="0"/>
                <w:sz w:val="21"/>
                <w:szCs w:val="21"/>
              </w:rPr>
            </w:pPr>
            <w:bookmarkStart w:id="3" w:name="_Toc31960"/>
            <w:bookmarkStart w:id="4" w:name="_Toc18593"/>
            <w:bookmarkStart w:id="5" w:name="_Toc421778363"/>
            <w:r>
              <w:rPr>
                <w:rStyle w:val="30"/>
                <w:bCs/>
                <w:color w:val="333333"/>
                <w:sz w:val="21"/>
                <w:szCs w:val="21"/>
                <w:shd w:val="clear" w:color="auto" w:fill="FFFFFF"/>
              </w:rPr>
              <w:t>项目概况</w:t>
            </w:r>
          </w:p>
          <w:p>
            <w:pPr>
              <w:pStyle w:val="24"/>
              <w:widowControl/>
              <w:spacing w:before="150" w:after="150"/>
              <w:ind w:firstLine="480"/>
              <w:jc w:val="both"/>
              <w:textAlignment w:val="baseline"/>
              <w:rPr>
                <w:rStyle w:val="30"/>
                <w:rFonts w:ascii="宋体" w:hAnsi="宋体" w:cs="宋体"/>
                <w:b/>
                <w:color w:val="333333"/>
                <w:sz w:val="21"/>
                <w:szCs w:val="21"/>
                <w:shd w:val="clear" w:color="auto" w:fill="FFFFFF"/>
              </w:rPr>
            </w:pPr>
            <w:r>
              <w:rPr>
                <w:rFonts w:hint="eastAsia" w:ascii="宋体" w:hAnsi="宋体" w:cs="宋体"/>
                <w:color w:val="333333"/>
                <w:sz w:val="21"/>
                <w:szCs w:val="21"/>
                <w:shd w:val="clear" w:color="auto" w:fill="FFFFFF"/>
              </w:rPr>
              <w:t>商洛市秦岭中段（南麓）水源涵养与生物多样性保护恢复项目山阳县2023年退化林修复招标项目的潜在投标人应在陕西省西安市经济技术开发区未央路171-1号银池道拉斯财富中心21楼获取招标文件，并于 2023年11月28日 09时30分 （北京时间）前递交投标文件。</w:t>
            </w:r>
          </w:p>
        </w:tc>
      </w:tr>
    </w:tbl>
    <w:p>
      <w:pPr>
        <w:pStyle w:val="8"/>
        <w:keepNext w:val="0"/>
        <w:keepLines w:val="0"/>
        <w:shd w:val="clear" w:color="auto" w:fill="FFFFFF"/>
        <w:spacing w:before="150" w:after="0" w:line="360" w:lineRule="auto"/>
        <w:textAlignment w:val="baseline"/>
        <w:rPr>
          <w:rFonts w:ascii="宋体" w:hAnsi="宋体" w:eastAsia="宋体" w:cs="宋体"/>
          <w:b w:val="0"/>
          <w:bCs w:val="0"/>
          <w:color w:val="333333"/>
          <w:sz w:val="21"/>
          <w:szCs w:val="21"/>
          <w:shd w:val="clear" w:color="auto" w:fill="FFFFFF"/>
        </w:rPr>
      </w:pPr>
      <w:r>
        <w:rPr>
          <w:rFonts w:hint="eastAsia" w:ascii="宋体" w:hAnsi="宋体" w:eastAsia="宋体" w:cs="宋体"/>
          <w:b w:val="0"/>
          <w:bCs w:val="0"/>
          <w:color w:val="333333"/>
          <w:sz w:val="21"/>
          <w:szCs w:val="21"/>
          <w:shd w:val="clear" w:color="auto" w:fill="FFFFFF"/>
        </w:rPr>
        <w:t>一、项目基本情况</w:t>
      </w:r>
    </w:p>
    <w:p>
      <w:pPr>
        <w:pStyle w:val="24"/>
        <w:widowControl/>
        <w:shd w:val="clear" w:color="auto" w:fill="FFFFFF"/>
        <w:spacing w:line="360" w:lineRule="auto"/>
        <w:ind w:firstLine="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项目编号：SXZCZB2023--ZCGK--1111</w:t>
      </w:r>
    </w:p>
    <w:p>
      <w:pPr>
        <w:pStyle w:val="24"/>
        <w:widowControl/>
        <w:shd w:val="clear" w:color="auto" w:fill="FFFFFF"/>
        <w:spacing w:line="360" w:lineRule="auto"/>
        <w:ind w:firstLine="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项目名称：商洛市秦岭中段（南麓）水源涵养与生物多样性保护恢复项目山阳县2023年退化林修复</w:t>
      </w:r>
    </w:p>
    <w:p>
      <w:pPr>
        <w:pStyle w:val="24"/>
        <w:widowControl/>
        <w:shd w:val="clear" w:color="auto" w:fill="FFFFFF"/>
        <w:spacing w:line="360" w:lineRule="auto"/>
        <w:ind w:firstLine="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采购方式：公开招标</w:t>
      </w:r>
    </w:p>
    <w:p>
      <w:pPr>
        <w:pStyle w:val="24"/>
        <w:widowControl/>
        <w:shd w:val="clear" w:color="auto" w:fill="FFFFFF"/>
        <w:spacing w:line="360" w:lineRule="auto"/>
        <w:ind w:firstLine="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预算金额：27,160,300.00元</w:t>
      </w:r>
    </w:p>
    <w:p>
      <w:pPr>
        <w:pStyle w:val="24"/>
        <w:widowControl/>
        <w:shd w:val="clear" w:color="auto" w:fill="FFFFFF"/>
        <w:spacing w:line="360" w:lineRule="auto"/>
        <w:ind w:firstLine="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采购需求：</w:t>
      </w:r>
    </w:p>
    <w:p>
      <w:pPr>
        <w:pStyle w:val="24"/>
        <w:widowControl/>
        <w:spacing w:line="360" w:lineRule="auto"/>
        <w:ind w:firstLine="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合同包1(1标段官坊村1-14小班):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合同包预算金额：1,160,700.00元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合同包最高限价：1,160,700.00元</w:t>
      </w:r>
    </w:p>
    <w:tbl>
      <w:tblPr>
        <w:tblStyle w:val="27"/>
        <w:tblW w:w="0" w:type="auto"/>
        <w:tblInd w:w="0" w:type="dxa"/>
        <w:tblLayout w:type="autofit"/>
        <w:tblCellMar>
          <w:top w:w="0" w:type="dxa"/>
          <w:left w:w="0" w:type="dxa"/>
          <w:bottom w:w="0" w:type="dxa"/>
          <w:right w:w="0" w:type="dxa"/>
        </w:tblCellMar>
      </w:tblPr>
      <w:tblGrid>
        <w:gridCol w:w="564"/>
        <w:gridCol w:w="902"/>
        <w:gridCol w:w="2949"/>
        <w:gridCol w:w="889"/>
        <w:gridCol w:w="1116"/>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商洛市秦岭中段（南麓）水源涵养与生物多样性保护恢复项目山阳县2023年退化林修复第1标段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1,160,700.00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1,160,700.00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合同包2(2标段官坊村15-31小班):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合同包预算金额：946,500.00元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合同包最高限价：946,500.00元</w:t>
      </w:r>
    </w:p>
    <w:tbl>
      <w:tblPr>
        <w:tblStyle w:val="27"/>
        <w:tblW w:w="0" w:type="auto"/>
        <w:tblInd w:w="0" w:type="dxa"/>
        <w:tblLayout w:type="autofit"/>
        <w:tblCellMar>
          <w:top w:w="0" w:type="dxa"/>
          <w:left w:w="0" w:type="dxa"/>
          <w:bottom w:w="0" w:type="dxa"/>
          <w:right w:w="0" w:type="dxa"/>
        </w:tblCellMar>
      </w:tblPr>
      <w:tblGrid>
        <w:gridCol w:w="574"/>
        <w:gridCol w:w="941"/>
        <w:gridCol w:w="3141"/>
        <w:gridCol w:w="908"/>
        <w:gridCol w:w="1154"/>
        <w:gridCol w:w="1353"/>
        <w:gridCol w:w="1353"/>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商洛市秦岭中段（南麓）水源涵养与生物多样性保护恢复项目山阳县2023年退化林修复第2标段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946,500.00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946,500.00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合同包3(3标段官坊村32-40小班):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合同包预算金额：932,900.00元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合同包最高限价：932,900.00元</w:t>
      </w:r>
    </w:p>
    <w:tbl>
      <w:tblPr>
        <w:tblStyle w:val="27"/>
        <w:tblW w:w="0" w:type="auto"/>
        <w:tblInd w:w="0" w:type="dxa"/>
        <w:tblLayout w:type="autofit"/>
        <w:tblCellMar>
          <w:top w:w="0" w:type="dxa"/>
          <w:left w:w="0" w:type="dxa"/>
          <w:bottom w:w="0" w:type="dxa"/>
          <w:right w:w="0" w:type="dxa"/>
        </w:tblCellMar>
      </w:tblPr>
      <w:tblGrid>
        <w:gridCol w:w="574"/>
        <w:gridCol w:w="941"/>
        <w:gridCol w:w="3141"/>
        <w:gridCol w:w="908"/>
        <w:gridCol w:w="1154"/>
        <w:gridCol w:w="1353"/>
        <w:gridCol w:w="1353"/>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商洛市秦岭中段（南麓）水源涵养与生物多样性保护恢复项目山阳县2023年退化林修复第3标段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932,900.00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932,900.00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合同包4(4标段官坊村41-54小班):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合同包预算金额：1,112,100.00元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合同包最高限价：1,112,100.00元</w:t>
      </w:r>
    </w:p>
    <w:tbl>
      <w:tblPr>
        <w:tblStyle w:val="27"/>
        <w:tblW w:w="0" w:type="auto"/>
        <w:tblInd w:w="0" w:type="dxa"/>
        <w:tblLayout w:type="autofit"/>
        <w:tblCellMar>
          <w:top w:w="0" w:type="dxa"/>
          <w:left w:w="0" w:type="dxa"/>
          <w:bottom w:w="0" w:type="dxa"/>
          <w:right w:w="0" w:type="dxa"/>
        </w:tblCellMar>
      </w:tblPr>
      <w:tblGrid>
        <w:gridCol w:w="564"/>
        <w:gridCol w:w="902"/>
        <w:gridCol w:w="2949"/>
        <w:gridCol w:w="889"/>
        <w:gridCol w:w="1116"/>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商洛市秦岭中段（南麓）水源涵养与生物多样性保护恢复项目山阳县2023年退化林修复第4标段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1,112,100.00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1,112,100.00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合同包5(5标段官坊村55-78小班):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合同包预算金额：2,045,300.00元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合同包最高限价：2,045,300.00元</w:t>
      </w:r>
    </w:p>
    <w:tbl>
      <w:tblPr>
        <w:tblStyle w:val="27"/>
        <w:tblW w:w="0" w:type="auto"/>
        <w:tblInd w:w="0" w:type="dxa"/>
        <w:tblLayout w:type="autofit"/>
        <w:tblCellMar>
          <w:top w:w="0" w:type="dxa"/>
          <w:left w:w="0" w:type="dxa"/>
          <w:bottom w:w="0" w:type="dxa"/>
          <w:right w:w="0" w:type="dxa"/>
        </w:tblCellMar>
      </w:tblPr>
      <w:tblGrid>
        <w:gridCol w:w="564"/>
        <w:gridCol w:w="902"/>
        <w:gridCol w:w="2949"/>
        <w:gridCol w:w="889"/>
        <w:gridCol w:w="1116"/>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5-1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商洛市秦岭中段（南麓）水源涵养与生物多样性保护恢复项目山阳县2023年退化林修复第5标段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2,045,300.00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2,045,300.00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合同包6(6标段官坊村79-105小班):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合同包预算金额：1,082,800.00元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合同包最高限价：1,082,800.00元</w:t>
      </w:r>
    </w:p>
    <w:tbl>
      <w:tblPr>
        <w:tblStyle w:val="27"/>
        <w:tblW w:w="0" w:type="auto"/>
        <w:tblInd w:w="0" w:type="dxa"/>
        <w:tblLayout w:type="autofit"/>
        <w:tblCellMar>
          <w:top w:w="0" w:type="dxa"/>
          <w:left w:w="0" w:type="dxa"/>
          <w:bottom w:w="0" w:type="dxa"/>
          <w:right w:w="0" w:type="dxa"/>
        </w:tblCellMar>
      </w:tblPr>
      <w:tblGrid>
        <w:gridCol w:w="564"/>
        <w:gridCol w:w="902"/>
        <w:gridCol w:w="2949"/>
        <w:gridCol w:w="889"/>
        <w:gridCol w:w="1116"/>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6-1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商洛市秦岭中段（南麓）水源涵养与生物多样性保护恢复项目山阳县2023年退化林修复第6标段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1,082,800.00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1,082,800.00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合同包7(7标段伍竹园社区1-17小班):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合同包预算金额：968,900.00元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合同包最高限价：968,900.00元</w:t>
      </w:r>
    </w:p>
    <w:tbl>
      <w:tblPr>
        <w:tblStyle w:val="27"/>
        <w:tblW w:w="0" w:type="auto"/>
        <w:tblInd w:w="0" w:type="dxa"/>
        <w:tblLayout w:type="autofit"/>
        <w:tblCellMar>
          <w:top w:w="0" w:type="dxa"/>
          <w:left w:w="0" w:type="dxa"/>
          <w:bottom w:w="0" w:type="dxa"/>
          <w:right w:w="0" w:type="dxa"/>
        </w:tblCellMar>
      </w:tblPr>
      <w:tblGrid>
        <w:gridCol w:w="574"/>
        <w:gridCol w:w="941"/>
        <w:gridCol w:w="3141"/>
        <w:gridCol w:w="908"/>
        <w:gridCol w:w="1154"/>
        <w:gridCol w:w="1353"/>
        <w:gridCol w:w="1353"/>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7-1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商洛市秦岭中段（南麓）水源涵养与生物多样性保护恢复项目山阳县2023年退化林修复第7标段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968,900.00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968,900.00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合同包8(8标段伍竹园社区18-43小班):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合同包预算金额：2,273,200.00元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合同包最高限价：2,273,200.00元</w:t>
      </w:r>
    </w:p>
    <w:tbl>
      <w:tblPr>
        <w:tblStyle w:val="27"/>
        <w:tblW w:w="0" w:type="auto"/>
        <w:tblInd w:w="0" w:type="dxa"/>
        <w:tblLayout w:type="autofit"/>
        <w:tblCellMar>
          <w:top w:w="0" w:type="dxa"/>
          <w:left w:w="0" w:type="dxa"/>
          <w:bottom w:w="0" w:type="dxa"/>
          <w:right w:w="0" w:type="dxa"/>
        </w:tblCellMar>
      </w:tblPr>
      <w:tblGrid>
        <w:gridCol w:w="564"/>
        <w:gridCol w:w="902"/>
        <w:gridCol w:w="2949"/>
        <w:gridCol w:w="889"/>
        <w:gridCol w:w="1116"/>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8-1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商洛市秦岭中段（南麓）水源涵养与生物多样性保护恢复项目山阳县2023年退化林修复第8标段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2,273,200.00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2,273,200.00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合同包9(9标段伍竹园社区44-55小班):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合同包预算金额：1,001,400.00元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合同包最高限价：1,001,400.00元</w:t>
      </w:r>
    </w:p>
    <w:tbl>
      <w:tblPr>
        <w:tblStyle w:val="27"/>
        <w:tblW w:w="0" w:type="auto"/>
        <w:tblInd w:w="0" w:type="dxa"/>
        <w:tblLayout w:type="autofit"/>
        <w:tblCellMar>
          <w:top w:w="0" w:type="dxa"/>
          <w:left w:w="0" w:type="dxa"/>
          <w:bottom w:w="0" w:type="dxa"/>
          <w:right w:w="0" w:type="dxa"/>
        </w:tblCellMar>
      </w:tblPr>
      <w:tblGrid>
        <w:gridCol w:w="564"/>
        <w:gridCol w:w="902"/>
        <w:gridCol w:w="2949"/>
        <w:gridCol w:w="889"/>
        <w:gridCol w:w="1116"/>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9-1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商洛市秦岭中段（南麓）水源涵养与生物多样性保护恢复项目山阳县2023年退化林修复第9标段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1,001,400.00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1,001,400.00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合同包10(10标段伍竹园社区56-68小班):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合同包预算金额：1,065,100.00元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合同包最高限价：1,065,100.00元</w:t>
      </w:r>
    </w:p>
    <w:tbl>
      <w:tblPr>
        <w:tblStyle w:val="27"/>
        <w:tblW w:w="0" w:type="auto"/>
        <w:tblInd w:w="0" w:type="dxa"/>
        <w:tblLayout w:type="autofit"/>
        <w:tblCellMar>
          <w:top w:w="0" w:type="dxa"/>
          <w:left w:w="0" w:type="dxa"/>
          <w:bottom w:w="0" w:type="dxa"/>
          <w:right w:w="0" w:type="dxa"/>
        </w:tblCellMar>
      </w:tblPr>
      <w:tblGrid>
        <w:gridCol w:w="563"/>
        <w:gridCol w:w="899"/>
        <w:gridCol w:w="2959"/>
        <w:gridCol w:w="887"/>
        <w:gridCol w:w="1112"/>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10-1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商洛市秦岭中段（南麓）水源涵养与生物多样性保护恢复项目山阳县2023年退化林修复第10标段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1,065,100.00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1,065,100.00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合同包11(11标段伍竹园社区69-80小班):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合同包预算金额：984,300.00元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合同包最高限价：984,300.00元</w:t>
      </w:r>
    </w:p>
    <w:tbl>
      <w:tblPr>
        <w:tblStyle w:val="27"/>
        <w:tblW w:w="0" w:type="auto"/>
        <w:tblInd w:w="0" w:type="dxa"/>
        <w:tblLayout w:type="autofit"/>
        <w:tblCellMar>
          <w:top w:w="0" w:type="dxa"/>
          <w:left w:w="0" w:type="dxa"/>
          <w:bottom w:w="0" w:type="dxa"/>
          <w:right w:w="0" w:type="dxa"/>
        </w:tblCellMar>
      </w:tblPr>
      <w:tblGrid>
        <w:gridCol w:w="573"/>
        <w:gridCol w:w="937"/>
        <w:gridCol w:w="3152"/>
        <w:gridCol w:w="906"/>
        <w:gridCol w:w="1150"/>
        <w:gridCol w:w="1353"/>
        <w:gridCol w:w="1353"/>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商洛市秦岭中段（南麓）水源涵养与生物多样性保护恢复项目山阳县2023年退化林修复第11标段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984,300.00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984,300.00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合同包12(12标段伍竹园社区81-92小班):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合同包预算金额：1,488,100.00元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合同包最高限价：1,488,100.00元</w:t>
      </w:r>
    </w:p>
    <w:tbl>
      <w:tblPr>
        <w:tblStyle w:val="27"/>
        <w:tblW w:w="0" w:type="auto"/>
        <w:tblInd w:w="0" w:type="dxa"/>
        <w:tblLayout w:type="autofit"/>
        <w:tblCellMar>
          <w:top w:w="0" w:type="dxa"/>
          <w:left w:w="0" w:type="dxa"/>
          <w:bottom w:w="0" w:type="dxa"/>
          <w:right w:w="0" w:type="dxa"/>
        </w:tblCellMar>
      </w:tblPr>
      <w:tblGrid>
        <w:gridCol w:w="563"/>
        <w:gridCol w:w="899"/>
        <w:gridCol w:w="2959"/>
        <w:gridCol w:w="887"/>
        <w:gridCol w:w="1112"/>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商洛市秦岭中段（南麓）水源涵养与生物多样性保护恢复项目山阳县2023年退化林修复第12标段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1,488,100.00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1,488,100.00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合同包13(13标段下河村1-39小班):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合同包预算金额：2,267,800.00元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合同包最高限价：2,267,800.00元</w:t>
      </w:r>
    </w:p>
    <w:tbl>
      <w:tblPr>
        <w:tblStyle w:val="27"/>
        <w:tblW w:w="0" w:type="auto"/>
        <w:tblInd w:w="0" w:type="dxa"/>
        <w:tblLayout w:type="autofit"/>
        <w:tblCellMar>
          <w:top w:w="0" w:type="dxa"/>
          <w:left w:w="0" w:type="dxa"/>
          <w:bottom w:w="0" w:type="dxa"/>
          <w:right w:w="0" w:type="dxa"/>
        </w:tblCellMar>
      </w:tblPr>
      <w:tblGrid>
        <w:gridCol w:w="563"/>
        <w:gridCol w:w="899"/>
        <w:gridCol w:w="2959"/>
        <w:gridCol w:w="887"/>
        <w:gridCol w:w="1112"/>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商洛市秦岭中段（南麓）水源涵养与生物多样性保护恢复项目山阳县2023年退化林修复第13标段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2,267,800.00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2,267,800.00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合同包14(14标段土桥村1-34小班):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合同包预算金额：1,962,500.00元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合同包最高限价：1,962,500.00元</w:t>
      </w:r>
    </w:p>
    <w:tbl>
      <w:tblPr>
        <w:tblStyle w:val="27"/>
        <w:tblW w:w="0" w:type="auto"/>
        <w:tblInd w:w="0" w:type="dxa"/>
        <w:tblLayout w:type="autofit"/>
        <w:tblCellMar>
          <w:top w:w="0" w:type="dxa"/>
          <w:left w:w="0" w:type="dxa"/>
          <w:bottom w:w="0" w:type="dxa"/>
          <w:right w:w="0" w:type="dxa"/>
        </w:tblCellMar>
      </w:tblPr>
      <w:tblGrid>
        <w:gridCol w:w="563"/>
        <w:gridCol w:w="899"/>
        <w:gridCol w:w="2959"/>
        <w:gridCol w:w="887"/>
        <w:gridCol w:w="1112"/>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商洛市秦岭中段（南麓）水源涵养与生物多样性保护恢复项目山阳县2023年退化林修复第14标段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1,962,500.00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1,962,500.00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合同包15(15标段土桥村35-46小班):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合同包预算金额：805,900.00元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合同包最高限价：805,900.00元</w:t>
      </w:r>
    </w:p>
    <w:tbl>
      <w:tblPr>
        <w:tblStyle w:val="27"/>
        <w:tblW w:w="0" w:type="auto"/>
        <w:tblInd w:w="0" w:type="dxa"/>
        <w:tblLayout w:type="autofit"/>
        <w:tblCellMar>
          <w:top w:w="0" w:type="dxa"/>
          <w:left w:w="0" w:type="dxa"/>
          <w:bottom w:w="0" w:type="dxa"/>
          <w:right w:w="0" w:type="dxa"/>
        </w:tblCellMar>
      </w:tblPr>
      <w:tblGrid>
        <w:gridCol w:w="573"/>
        <w:gridCol w:w="937"/>
        <w:gridCol w:w="3152"/>
        <w:gridCol w:w="906"/>
        <w:gridCol w:w="1150"/>
        <w:gridCol w:w="1353"/>
        <w:gridCol w:w="1353"/>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15-1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商洛市秦岭中段（南麓）水源涵养与生物多样性保护恢复项目山阳县2023年退化林修复第15标段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805,900.00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805,900.00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合同包16(16标段土桥村47-63小班):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合同包预算金额：880,800.00元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合同包最高限价：880,800.00元</w:t>
      </w:r>
    </w:p>
    <w:tbl>
      <w:tblPr>
        <w:tblStyle w:val="27"/>
        <w:tblW w:w="0" w:type="auto"/>
        <w:tblInd w:w="0" w:type="dxa"/>
        <w:tblLayout w:type="autofit"/>
        <w:tblCellMar>
          <w:top w:w="0" w:type="dxa"/>
          <w:left w:w="0" w:type="dxa"/>
          <w:bottom w:w="0" w:type="dxa"/>
          <w:right w:w="0" w:type="dxa"/>
        </w:tblCellMar>
      </w:tblPr>
      <w:tblGrid>
        <w:gridCol w:w="573"/>
        <w:gridCol w:w="937"/>
        <w:gridCol w:w="3152"/>
        <w:gridCol w:w="906"/>
        <w:gridCol w:w="1150"/>
        <w:gridCol w:w="1353"/>
        <w:gridCol w:w="1353"/>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16-1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商洛市秦岭中段（南麓）水源涵养与生物多样性保护恢复项目山阳县2023年退化林修复第16标段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880,800.00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880,800.00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合同包17(17标段漫川关镇东寺村1-3小班):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合同包预算金额：993,200.00元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合同包最高限价：993,200.00元</w:t>
      </w:r>
    </w:p>
    <w:tbl>
      <w:tblPr>
        <w:tblStyle w:val="27"/>
        <w:tblW w:w="0" w:type="auto"/>
        <w:tblInd w:w="0" w:type="dxa"/>
        <w:tblLayout w:type="autofit"/>
        <w:tblCellMar>
          <w:top w:w="0" w:type="dxa"/>
          <w:left w:w="0" w:type="dxa"/>
          <w:bottom w:w="0" w:type="dxa"/>
          <w:right w:w="0" w:type="dxa"/>
        </w:tblCellMar>
      </w:tblPr>
      <w:tblGrid>
        <w:gridCol w:w="573"/>
        <w:gridCol w:w="937"/>
        <w:gridCol w:w="3152"/>
        <w:gridCol w:w="906"/>
        <w:gridCol w:w="1150"/>
        <w:gridCol w:w="1353"/>
        <w:gridCol w:w="1353"/>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17-1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商洛市秦岭中段（南麓）水源涵养与生物多样性保护恢复项目山阳县2023年退化林修复第17标段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993,200.00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993,200.00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合同包18(18标段漫川关镇东寺村4-9小班):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合同包预算金额：1,076,200.00元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合同包最高限价：1,076,200.00元</w:t>
      </w:r>
    </w:p>
    <w:tbl>
      <w:tblPr>
        <w:tblStyle w:val="27"/>
        <w:tblW w:w="0" w:type="auto"/>
        <w:tblInd w:w="0" w:type="dxa"/>
        <w:tblLayout w:type="autofit"/>
        <w:tblCellMar>
          <w:top w:w="0" w:type="dxa"/>
          <w:left w:w="0" w:type="dxa"/>
          <w:bottom w:w="0" w:type="dxa"/>
          <w:right w:w="0" w:type="dxa"/>
        </w:tblCellMar>
      </w:tblPr>
      <w:tblGrid>
        <w:gridCol w:w="563"/>
        <w:gridCol w:w="899"/>
        <w:gridCol w:w="2959"/>
        <w:gridCol w:w="887"/>
        <w:gridCol w:w="1112"/>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18-1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商洛市秦岭中段（南麓）水源涵养与生物多样性保护恢复项目山阳县2023年退化林修复第18标段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1,076,200.00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1,076,200.00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合同包19(19标段漫川关镇东寺村10-13小班):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合同包预算金额：1,305,100.00元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合同包最高限价：1,305,100.00元</w:t>
      </w:r>
    </w:p>
    <w:tbl>
      <w:tblPr>
        <w:tblStyle w:val="27"/>
        <w:tblW w:w="0" w:type="auto"/>
        <w:tblInd w:w="0" w:type="dxa"/>
        <w:tblLayout w:type="autofit"/>
        <w:tblCellMar>
          <w:top w:w="0" w:type="dxa"/>
          <w:left w:w="0" w:type="dxa"/>
          <w:bottom w:w="0" w:type="dxa"/>
          <w:right w:w="0" w:type="dxa"/>
        </w:tblCellMar>
      </w:tblPr>
      <w:tblGrid>
        <w:gridCol w:w="563"/>
        <w:gridCol w:w="899"/>
        <w:gridCol w:w="2959"/>
        <w:gridCol w:w="887"/>
        <w:gridCol w:w="1112"/>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19-1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商洛市秦岭中段（南麓）水源涵养与生物多样性保护恢复项目山阳县2023年退化林修复第19标段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1,305,100.00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1,305,100.00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合同包20(20标段漫川关镇东寺村14-17小班):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合同包预算金额：1,360,300.00元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合同包最高限价：1,360,300.00元</w:t>
      </w:r>
    </w:p>
    <w:tbl>
      <w:tblPr>
        <w:tblStyle w:val="27"/>
        <w:tblW w:w="0" w:type="auto"/>
        <w:tblInd w:w="0" w:type="dxa"/>
        <w:tblLayout w:type="autofit"/>
        <w:tblCellMar>
          <w:top w:w="0" w:type="dxa"/>
          <w:left w:w="0" w:type="dxa"/>
          <w:bottom w:w="0" w:type="dxa"/>
          <w:right w:w="0" w:type="dxa"/>
        </w:tblCellMar>
      </w:tblPr>
      <w:tblGrid>
        <w:gridCol w:w="563"/>
        <w:gridCol w:w="899"/>
        <w:gridCol w:w="2959"/>
        <w:gridCol w:w="887"/>
        <w:gridCol w:w="1112"/>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20-1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商洛市秦岭中段（南麓）水源涵养与生物多样性保护恢复项目山阳县2023年退化林修复第20标段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1,360,300.00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1,360,300.00</w:t>
            </w:r>
          </w:p>
        </w:tc>
      </w:tr>
    </w:tbl>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合同履行期限：无</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合同包21(21标段漫川关镇东寺村18-21小班):</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合同包预算金额：1,447,200.00元</w:t>
      </w:r>
    </w:p>
    <w:p>
      <w:pPr>
        <w:pStyle w:val="24"/>
        <w:widowControl/>
        <w:spacing w:line="360" w:lineRule="auto"/>
        <w:ind w:firstLine="63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合同包最高限价：1,447,200.00元</w:t>
      </w:r>
    </w:p>
    <w:tbl>
      <w:tblPr>
        <w:tblStyle w:val="27"/>
        <w:tblW w:w="0" w:type="auto"/>
        <w:tblInd w:w="0" w:type="dxa"/>
        <w:tblLayout w:type="autofit"/>
        <w:tblCellMar>
          <w:top w:w="0" w:type="dxa"/>
          <w:left w:w="0" w:type="dxa"/>
          <w:bottom w:w="0" w:type="dxa"/>
          <w:right w:w="0" w:type="dxa"/>
        </w:tblCellMar>
      </w:tblPr>
      <w:tblGrid>
        <w:gridCol w:w="563"/>
        <w:gridCol w:w="899"/>
        <w:gridCol w:w="2959"/>
        <w:gridCol w:w="887"/>
        <w:gridCol w:w="1112"/>
        <w:gridCol w:w="1502"/>
        <w:gridCol w:w="1502"/>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szCs w:val="21"/>
              </w:rPr>
            </w:pPr>
            <w:r>
              <w:rPr>
                <w:rFonts w:hint="eastAsia" w:ascii="宋体" w:hAnsi="宋体" w:cs="宋体"/>
                <w:b/>
                <w:bCs/>
                <w:kern w:val="0"/>
                <w:szCs w:val="21"/>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21-1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商洛市秦岭中段（南麓）水源涵养与生物多样性保护恢复项目山阳县2023年退化林修复第21标段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szCs w:val="21"/>
              </w:rPr>
            </w:pPr>
            <w:r>
              <w:rPr>
                <w:rFonts w:hint="eastAsia"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1,447,200.00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textAlignment w:val="center"/>
              <w:rPr>
                <w:rFonts w:ascii="宋体" w:hAnsi="宋体" w:cs="宋体"/>
                <w:szCs w:val="21"/>
              </w:rPr>
            </w:pPr>
            <w:r>
              <w:rPr>
                <w:rFonts w:hint="eastAsia" w:ascii="宋体" w:hAnsi="宋体" w:cs="宋体"/>
                <w:kern w:val="0"/>
                <w:szCs w:val="21"/>
              </w:rPr>
              <w:t>1,447,200.00</w:t>
            </w:r>
          </w:p>
        </w:tc>
      </w:tr>
    </w:tbl>
    <w:p>
      <w:pPr>
        <w:pStyle w:val="24"/>
        <w:widowControl/>
        <w:spacing w:line="360" w:lineRule="auto"/>
        <w:ind w:left="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本合同包不接受联合体投标</w:t>
      </w:r>
    </w:p>
    <w:p>
      <w:pPr>
        <w:pStyle w:val="24"/>
        <w:widowControl/>
        <w:spacing w:line="360" w:lineRule="auto"/>
        <w:ind w:left="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合同履行期限：无</w:t>
      </w:r>
    </w:p>
    <w:p>
      <w:pPr>
        <w:pStyle w:val="24"/>
        <w:widowControl/>
        <w:spacing w:line="360" w:lineRule="auto"/>
        <w:ind w:left="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二、申请人的资格要求：</w:t>
      </w:r>
    </w:p>
    <w:p>
      <w:pPr>
        <w:pStyle w:val="24"/>
        <w:widowControl/>
        <w:spacing w:line="360" w:lineRule="auto"/>
        <w:ind w:left="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1.满足《中华人民共和国政府采购法》第二十二条规定;</w:t>
      </w:r>
    </w:p>
    <w:p>
      <w:pPr>
        <w:pStyle w:val="24"/>
        <w:widowControl/>
        <w:spacing w:line="360" w:lineRule="auto"/>
        <w:ind w:left="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2.落实政府采购政策需满足的资格要求：</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合同包1(1标段官坊村1-14小班)落实政府采购政策需满足的资格要求如下: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（1）《政府采购促进中小企业发展管理办法》的通知--财库[2020]46号；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（2）财政部司法部关于政府采购支持监狱企业发展有关问题的通知--财库〔2014〕68号；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（3）《国务院办公厅关于建立政府强制采购节能产品制度的通知》--国办发〔2007〕51号；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（4）《财政部发展改革委生态环境部市场监督总局关于调整优化节能产品、环境标志产品政府采购执行机制的通知》--（财库[2019]9号）；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（5）《关于印发环境标志产品政府采购品目清单的通知》--（财库〔2019〕18号）；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（6）《关于印发节能产品政府采购品目清单的通知》--（财库〔2019〕19号）；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（7）《市场监督总局关于发布参与实施政府采购节能产品、环境标志产品认证机构名录的公告》—2019年第16号；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（8）《财政部民政部中国残疾人联合会关于促进残疾人就业政府采购政策的通知》--（财库〔2017〕141号）；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（9）《关于运用政府采购政策支持乡村产业振兴的通知》（财库〔2021〕19号）；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（10）陕西省财政厅关于印发《陕西省中小企业政府采购信用融资办法》（陕财办采〔2018〕23号）；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（11）《陕西省财政厅关于加快推进我省中小企业政府采购信用融资工作的通知（陕财办采〔2020〕15号）；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（12）《关于进一步加强政府绿色采购有关问题的通知》（陕财办采〔2021〕29号）；</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（13）其他需要落实的政府采购政策。</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合同包2(2标段官坊村15-31小班)落实政府采购政策需满足的资格要求如下: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合同包3(3标段官坊村32-40小班)落实政府采购政策需满足的资格要求如下: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合同包4(4标段官坊村41-54小班)落实政府采购政策需满足的资格要求如下: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合同包5(5标段官坊村55-78小班)落实政府采购政策需满足的资格要求如下: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合同包6(6标段官坊村79-105小班)落实政府采购政策需满足的资格要求如下: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合同包7(7标段伍竹园社区1-17小班)落实政府采购政策需满足的资格要求如下: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合同包8(8标段伍竹园社区18-43小班)落实政府采购政策需满足的资格要求如下: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合同包9(9标段伍竹园社区44-55小班)落实政府采购政策需满足的资格要求如下: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合同包10(10标段伍竹园社区56-68小班)落实政府采购政策需满足的资格要求如下: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合同包11(11标段伍竹园社区69-80小班)落实政府采购政策需满足的资格要求如下: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合同包12(12标段伍竹园社区81-92小班)落实政府采购政策需满足的资格要求如下: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合同包13(13标段下河村1-39小班)落实政府采购政策需满足的资格要求如下: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合同包14(14标段土桥村1-34小班)落实政府采购政策需满足的资格要求如下: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合同包15(15标段土桥村35-46小班)落实政府采购政策需满足的资格要求如下: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合同包16(16标段土桥村47-63小班)落实政府采购政策需满足的资格要求如下: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合同包17(17标段漫川关镇东寺村1-3小班)落实政府采购政策需满足的资格要求如下: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合同包18(18标段漫川关镇东寺村4-9小班)落实政府采购政策需满足的资格要求如下: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合同包19(19标段漫川关镇东寺村10-13小班)落实政府采购政策需满足的资格要求如下: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合同包20(20标段漫川关镇东寺村14-17小班)落实政府采购政策需满足的资格要求如下: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合同包21(21标段漫川关镇东寺村18-21小班)落实政府采购政策需满足的资格要求如下: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3.本项目的特定资格要求：</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合同包1(1标段官坊村1-14小班)特定资格要求如下: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（1）提供合格有效的法人或者其他组织的营业执照等证明文件，自然人的身份证；</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（2）提供法定代表人授权书（附法定代表人、被授权人身份证复印件）及被授权人身份证原件（法定代表人直接参加投标，须提供法定代表人身份证明及身份证原件）；</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3）财务状况报告：提供2022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（4）税收缴纳证明：提供投标截止日前近一年内任意一个月的纳税证明或完税证明（任意税种），依法免税的单位应提供相关证明材料；</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（6）供应商应通过“信用中国”网站(www.creditchina.gov.cn)、中国政府采购网(www.ccgp.gov.cn)查询相关主体信用记录；</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（7）参加政府采购活动前3年内，在经营活动中没有重大违法记录的书面声明；</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（8）提供具有履行本合同所必需的设备和专业技术能力的声明；</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（9）供应商应提供中小企业声明函；</w:t>
      </w:r>
      <w:r>
        <w:rPr>
          <w:rFonts w:hint="eastAsia" w:ascii="宋体" w:hAnsi="宋体" w:cs="宋体"/>
          <w:color w:val="333333"/>
          <w:sz w:val="21"/>
          <w:szCs w:val="21"/>
          <w:shd w:val="clear" w:color="auto" w:fill="FFFFFF"/>
        </w:rPr>
        <w:br w:type="textWrapping"/>
      </w:r>
      <w:r>
        <w:rPr>
          <w:rFonts w:hint="eastAsia" w:ascii="宋体" w:hAnsi="宋体" w:cs="宋体"/>
          <w:color w:val="333333"/>
          <w:sz w:val="21"/>
          <w:szCs w:val="21"/>
          <w:shd w:val="clear" w:color="auto" w:fill="FFFFFF"/>
        </w:rPr>
        <w:t>（10）本项目不接受联合体投标。</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合同包2(2标段官坊村15-31小班)特定资格要求如下: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合同包3(3标段官坊村32-40小班)特定资格要求如下: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合同包4(4标段官坊村41-54小班)特定资格要求如下: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合同包5(5标段官坊村55-78小班)特定资格要求如下: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合同包6(6标段官坊村79-105小班)特定资格要求如下: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合同包7(7标段伍竹园社区1-17小班)特定资格要求如下: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合同包8(8标段伍竹园社区18-43小班)特定资格要求如下: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合同包9(9标段伍竹园社区44-55小班)特定资格要求如下: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合同包10(10标段伍竹园社区56-68小班)特定资格要求如下: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合同包11(11标段伍竹园社区69-80小班)特定资格要求如下: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合同包12(12标段伍竹园社区81-92小班)特定资格要求如下: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合同包13(13标段下河村1-39小班)特定资格要求如下: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合同包14(14标段土桥村1-34小班)特定资格要求如下: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合同包15(15标段土桥村35-46小班)特定资格要求如下: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合同包16(16标段土桥村47-63小班)特定资格要求如下: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合同包17(17标段漫川关镇东寺村1-3小班)特定资格要求如下: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合同包18(18标段漫川关镇东寺村4-9小班)特定资格要求如下: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合同包19(19标段漫川关镇东寺村10-13小班)特定资格要求如下: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合同包20(20标段漫川关镇东寺村14-17小班)特定资格要求如下:</w:t>
      </w:r>
    </w:p>
    <w:p>
      <w:pPr>
        <w:pStyle w:val="24"/>
        <w:widowControl/>
        <w:spacing w:line="360" w:lineRule="auto"/>
        <w:ind w:left="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合同包21(21标段漫川关镇东寺村18-21小班)特定资格要求如下:</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color w:val="333333"/>
          <w:sz w:val="21"/>
          <w:szCs w:val="21"/>
          <w:shd w:val="clear" w:color="auto" w:fill="FFFFFF"/>
        </w:rPr>
        <w:t>同合同包1。</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三、获取招标文件</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时间： 2023年11月08日 至 2023年11月14日 ，每天上午 09:00:00 至 12:00:00 ，下午 14:00:00 至 17:00:00 （北京时间）</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途径：陕西省西安市经济技术开发区未央路171-1号银池道拉斯财富中心21楼</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方式：现场获取</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售价： 0元</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四、提交投标文件截止时间、开标时间和地点</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时间： 2023年11月28日 09时30分00秒 （北京时间）</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提交投标文件地点：陕西省西安市经济技术开发区未央路171-1号银池道拉斯财富中心21楼</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开标地点：陕西省西安市经济技术开发区未央路171-1号银池道拉斯财富中心21楼</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五、公告期限</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自本公告发布之日起5个工作日。</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六、其他补充事宜</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1）供应商领取标书时，请携带单位介绍信及经办人身份证原件及复印件加盖公章；（2）请投标人按照《陕西省财政厅关于政府采购供应商注册登记有关事项的通知》中的要求，通过陕西省政府采购网（http://www.ccgp-shaanxi.gov.cn/）注册登记加入陕西省政府采购供应商库。（3）本项目专门面向小微企业。（4）本项目允许多个标段投标，但只允许中一个标段。</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七、对本次招标提出询问，请按以下方式联系。</w:t>
      </w:r>
    </w:p>
    <w:p>
      <w:pPr>
        <w:pStyle w:val="24"/>
        <w:widowControl/>
        <w:spacing w:line="360" w:lineRule="auto"/>
        <w:ind w:firstLine="480"/>
        <w:jc w:val="both"/>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1.采购人信息</w:t>
      </w:r>
    </w:p>
    <w:p>
      <w:pPr>
        <w:pStyle w:val="9"/>
        <w:widowControl/>
        <w:spacing w:beforeAutospacing="0" w:afterAutospacing="0" w:line="360" w:lineRule="auto"/>
        <w:ind w:firstLine="630" w:firstLineChars="300"/>
        <w:textAlignment w:val="baseline"/>
        <w:rPr>
          <w:rFonts w:cs="宋体"/>
          <w:b w:val="0"/>
          <w:bCs w:val="0"/>
          <w:color w:val="333333"/>
          <w:sz w:val="21"/>
          <w:szCs w:val="21"/>
          <w:shd w:val="clear" w:color="auto" w:fill="FFFFFF"/>
        </w:rPr>
      </w:pPr>
      <w:r>
        <w:rPr>
          <w:rFonts w:hint="eastAsia" w:cs="宋体"/>
          <w:b w:val="0"/>
          <w:bCs w:val="0"/>
          <w:color w:val="333333"/>
          <w:sz w:val="21"/>
          <w:szCs w:val="21"/>
          <w:shd w:val="clear" w:color="auto" w:fill="FFFFFF"/>
        </w:rPr>
        <w:t>名称：山阳县林业局（本级）</w:t>
      </w:r>
    </w:p>
    <w:p>
      <w:pPr>
        <w:pStyle w:val="9"/>
        <w:widowControl/>
        <w:spacing w:beforeAutospacing="0" w:afterAutospacing="0" w:line="360" w:lineRule="auto"/>
        <w:ind w:firstLine="630" w:firstLineChars="300"/>
        <w:textAlignment w:val="baseline"/>
        <w:rPr>
          <w:rFonts w:hint="eastAsia" w:cs="宋体"/>
          <w:b w:val="0"/>
          <w:bCs w:val="0"/>
          <w:color w:val="333333"/>
          <w:sz w:val="21"/>
          <w:szCs w:val="21"/>
          <w:shd w:val="clear" w:color="auto" w:fill="FFFFFF"/>
        </w:rPr>
      </w:pPr>
      <w:r>
        <w:rPr>
          <w:rFonts w:hint="eastAsia" w:cs="宋体"/>
          <w:b w:val="0"/>
          <w:bCs w:val="0"/>
          <w:color w:val="333333"/>
          <w:sz w:val="21"/>
          <w:szCs w:val="21"/>
          <w:shd w:val="clear" w:color="auto" w:fill="FFFFFF"/>
        </w:rPr>
        <w:t>地址：山阳县翠屏小区</w:t>
      </w:r>
    </w:p>
    <w:p>
      <w:pPr>
        <w:pStyle w:val="9"/>
        <w:widowControl/>
        <w:spacing w:beforeAutospacing="0" w:afterAutospacing="0" w:line="360" w:lineRule="auto"/>
        <w:ind w:firstLine="630" w:firstLineChars="300"/>
        <w:textAlignment w:val="baseline"/>
        <w:rPr>
          <w:rFonts w:hint="eastAsia" w:cs="宋体"/>
          <w:b w:val="0"/>
          <w:bCs w:val="0"/>
          <w:color w:val="333333"/>
          <w:sz w:val="21"/>
          <w:szCs w:val="21"/>
          <w:shd w:val="clear" w:color="auto" w:fill="FFFFFF"/>
        </w:rPr>
      </w:pPr>
      <w:r>
        <w:rPr>
          <w:rFonts w:hint="eastAsia" w:cs="宋体"/>
          <w:b w:val="0"/>
          <w:bCs w:val="0"/>
          <w:color w:val="333333"/>
          <w:sz w:val="21"/>
          <w:szCs w:val="21"/>
          <w:shd w:val="clear" w:color="auto" w:fill="FFFFFF"/>
        </w:rPr>
        <w:t>联系方式：13991427679</w:t>
      </w:r>
    </w:p>
    <w:p>
      <w:pPr>
        <w:pStyle w:val="9"/>
        <w:widowControl/>
        <w:spacing w:beforeAutospacing="0" w:afterAutospacing="0" w:line="360" w:lineRule="auto"/>
        <w:textAlignment w:val="baseline"/>
        <w:rPr>
          <w:rFonts w:hint="default" w:cs="宋体"/>
          <w:b w:val="0"/>
          <w:bCs w:val="0"/>
          <w:sz w:val="21"/>
          <w:szCs w:val="21"/>
        </w:rPr>
      </w:pPr>
      <w:r>
        <w:rPr>
          <w:rFonts w:cs="宋体"/>
          <w:b w:val="0"/>
          <w:bCs w:val="0"/>
          <w:color w:val="333333"/>
          <w:sz w:val="21"/>
          <w:szCs w:val="21"/>
          <w:shd w:val="clear" w:color="auto" w:fill="FFFFFF"/>
        </w:rPr>
        <w:t>2.采购代理机构信息</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名称：陕西至诚项目管理集团有限公司</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地址：陕西省西安市经济技术开发区未央路171-1号银池道拉斯财富中心21楼</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联系方式：029-88219779</w:t>
      </w:r>
    </w:p>
    <w:p>
      <w:pPr>
        <w:pStyle w:val="9"/>
        <w:widowControl/>
        <w:spacing w:beforeAutospacing="0" w:afterAutospacing="0" w:line="360" w:lineRule="auto"/>
        <w:textAlignment w:val="baseline"/>
        <w:rPr>
          <w:rFonts w:hint="default" w:cs="宋体"/>
          <w:b w:val="0"/>
          <w:bCs w:val="0"/>
          <w:sz w:val="21"/>
          <w:szCs w:val="21"/>
        </w:rPr>
      </w:pPr>
      <w:r>
        <w:rPr>
          <w:rFonts w:cs="宋体"/>
          <w:b w:val="0"/>
          <w:bCs w:val="0"/>
          <w:color w:val="333333"/>
          <w:sz w:val="21"/>
          <w:szCs w:val="21"/>
          <w:shd w:val="clear" w:color="auto" w:fill="FFFFFF"/>
        </w:rPr>
        <w:t>3.项目联系方式</w:t>
      </w:r>
    </w:p>
    <w:p>
      <w:pPr>
        <w:pStyle w:val="24"/>
        <w:widowControl/>
        <w:spacing w:line="360" w:lineRule="auto"/>
        <w:ind w:firstLine="480"/>
        <w:jc w:val="both"/>
        <w:textAlignment w:val="baseline"/>
        <w:rPr>
          <w:rFonts w:ascii="宋体" w:hAnsi="宋体" w:cs="宋体"/>
          <w:sz w:val="21"/>
          <w:szCs w:val="21"/>
        </w:rPr>
      </w:pPr>
      <w:r>
        <w:rPr>
          <w:rFonts w:hint="eastAsia" w:ascii="宋体" w:hAnsi="宋体" w:cs="宋体"/>
          <w:color w:val="333333"/>
          <w:sz w:val="21"/>
          <w:szCs w:val="21"/>
          <w:shd w:val="clear" w:color="auto" w:fill="FFFFFF"/>
        </w:rPr>
        <w:t>项目联系人：康乐、倪沛</w:t>
      </w:r>
    </w:p>
    <w:p>
      <w:pPr>
        <w:pStyle w:val="24"/>
        <w:widowControl/>
        <w:spacing w:line="360" w:lineRule="auto"/>
        <w:ind w:firstLine="480"/>
        <w:jc w:val="both"/>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电话：029-88219779</w:t>
      </w:r>
    </w:p>
    <w:p>
      <w:pPr>
        <w:pStyle w:val="24"/>
        <w:widowControl/>
        <w:spacing w:line="360" w:lineRule="auto"/>
        <w:ind w:firstLine="480"/>
        <w:jc w:val="right"/>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陕西至诚项目管理集团有限公司</w:t>
      </w:r>
    </w:p>
    <w:p>
      <w:pPr>
        <w:pStyle w:val="24"/>
        <w:widowControl/>
        <w:spacing w:line="360" w:lineRule="auto"/>
        <w:ind w:firstLine="480"/>
        <w:jc w:val="right"/>
        <w:textAlignment w:val="baseline"/>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2023年11月07日</w:t>
      </w:r>
    </w:p>
    <w:p>
      <w:pPr>
        <w:spacing w:line="360" w:lineRule="auto"/>
        <w:rPr>
          <w:rFonts w:ascii="宋体" w:hAnsi="宋体" w:cs="宋体"/>
          <w:szCs w:val="21"/>
        </w:rPr>
      </w:pPr>
    </w:p>
    <w:p>
      <w:pPr>
        <w:pStyle w:val="4"/>
        <w:keepNext w:val="0"/>
        <w:pageBreakBefore/>
        <w:spacing w:line="350" w:lineRule="auto"/>
        <w:jc w:val="center"/>
        <w:rPr>
          <w:rFonts w:asciiTheme="minorEastAsia" w:hAnsiTheme="minorEastAsia" w:eastAsiaTheme="minorEastAsia" w:cstheme="minorEastAsia"/>
          <w:sz w:val="36"/>
          <w:szCs w:val="20"/>
        </w:rPr>
      </w:pPr>
      <w:r>
        <w:rPr>
          <w:rFonts w:hint="eastAsia" w:asciiTheme="minorEastAsia" w:hAnsiTheme="minorEastAsia" w:eastAsiaTheme="minorEastAsia" w:cstheme="minorEastAsia"/>
          <w:sz w:val="36"/>
          <w:szCs w:val="20"/>
        </w:rPr>
        <w:t>第二章  投标人须知</w:t>
      </w:r>
      <w:bookmarkEnd w:id="3"/>
      <w:bookmarkEnd w:id="4"/>
      <w:bookmarkEnd w:id="5"/>
    </w:p>
    <w:p>
      <w:pPr>
        <w:spacing w:line="360" w:lineRule="auto"/>
        <w:jc w:val="center"/>
        <w:outlineLvl w:val="1"/>
        <w:rPr>
          <w:rFonts w:asciiTheme="minorEastAsia" w:hAnsiTheme="minorEastAsia" w:eastAsiaTheme="minorEastAsia" w:cstheme="minorEastAsia"/>
          <w:b/>
          <w:bCs/>
          <w:sz w:val="28"/>
          <w:szCs w:val="28"/>
        </w:rPr>
      </w:pPr>
      <w:bookmarkStart w:id="6" w:name="_Toc6196"/>
      <w:bookmarkStart w:id="7" w:name="_Toc420591642"/>
      <w:bookmarkStart w:id="8" w:name="_Toc421778364"/>
      <w:bookmarkStart w:id="9" w:name="_Toc19675"/>
      <w:r>
        <w:rPr>
          <w:rFonts w:hint="eastAsia" w:asciiTheme="minorEastAsia" w:hAnsiTheme="minorEastAsia" w:eastAsiaTheme="minorEastAsia" w:cstheme="minorEastAsia"/>
          <w:b/>
          <w:bCs/>
          <w:sz w:val="28"/>
          <w:szCs w:val="28"/>
        </w:rPr>
        <w:t>投标人须知前附表</w:t>
      </w:r>
      <w:bookmarkEnd w:id="6"/>
      <w:bookmarkEnd w:id="7"/>
      <w:bookmarkEnd w:id="8"/>
      <w:bookmarkEnd w:id="9"/>
    </w:p>
    <w:tbl>
      <w:tblPr>
        <w:tblStyle w:val="2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966"/>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5"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条款号</w:t>
            </w:r>
          </w:p>
        </w:tc>
        <w:tc>
          <w:tcPr>
            <w:tcW w:w="1966"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条款名称</w:t>
            </w:r>
          </w:p>
        </w:tc>
        <w:tc>
          <w:tcPr>
            <w:tcW w:w="6053"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1.1.2</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招标人</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招标人：山阳县林业局</w:t>
            </w:r>
          </w:p>
          <w:p>
            <w:pPr>
              <w:spacing w:line="360" w:lineRule="auto"/>
              <w:rPr>
                <w:rFonts w:hint="eastAsia" w:ascii="宋体" w:hAnsi="宋体" w:eastAsia="宋体" w:cs="宋体"/>
                <w:sz w:val="24"/>
                <w:szCs w:val="24"/>
                <w:lang w:val="en-US" w:eastAsia="zh-CN"/>
              </w:rPr>
            </w:pPr>
            <w:r>
              <w:rPr>
                <w:rFonts w:hint="eastAsia" w:ascii="宋体" w:hAnsi="宋体" w:cs="宋体"/>
                <w:sz w:val="24"/>
                <w:szCs w:val="24"/>
              </w:rPr>
              <w:t>地  址：</w:t>
            </w:r>
            <w:r>
              <w:rPr>
                <w:rFonts w:hint="eastAsia" w:cs="宋体"/>
                <w:b w:val="0"/>
                <w:bCs w:val="0"/>
                <w:color w:val="333333"/>
                <w:sz w:val="21"/>
                <w:szCs w:val="21"/>
                <w:shd w:val="clear" w:color="auto" w:fill="FFFFFF"/>
              </w:rPr>
              <w:t>山阳县</w:t>
            </w:r>
            <w:r>
              <w:rPr>
                <w:rFonts w:hint="eastAsia" w:cs="宋体"/>
                <w:b w:val="0"/>
                <w:bCs w:val="0"/>
                <w:color w:val="auto"/>
                <w:sz w:val="21"/>
                <w:szCs w:val="21"/>
                <w:shd w:val="clear" w:color="auto" w:fill="FFFFFF"/>
              </w:rPr>
              <w:t>翠屏小区</w:t>
            </w:r>
            <w:r>
              <w:rPr>
                <w:rFonts w:hint="eastAsia" w:cs="宋体"/>
                <w:b w:val="0"/>
                <w:bCs w:val="0"/>
                <w:color w:val="auto"/>
                <w:sz w:val="21"/>
                <w:szCs w:val="21"/>
                <w:shd w:val="clear" w:color="auto" w:fill="FFFFFF"/>
                <w:lang w:val="en-US" w:eastAsia="zh-CN"/>
              </w:rPr>
              <w:t>(</w:t>
            </w:r>
            <w:r>
              <w:rPr>
                <w:rFonts w:hint="eastAsia" w:ascii="宋体" w:hAnsi="宋体" w:cs="宋体"/>
                <w:color w:val="auto"/>
                <w:sz w:val="24"/>
                <w:szCs w:val="24"/>
              </w:rPr>
              <w:t>山阳县城关街办幸福家园小区城投综合楼</w:t>
            </w:r>
            <w:r>
              <w:rPr>
                <w:rFonts w:hint="eastAsia" w:ascii="宋体"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1.1.3</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招标代理机构</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名称：</w:t>
            </w:r>
            <w:r>
              <w:rPr>
                <w:rFonts w:hint="eastAsia" w:ascii="宋体" w:hAnsi="宋体" w:cs="宋体"/>
                <w:kern w:val="0"/>
                <w:sz w:val="24"/>
                <w:szCs w:val="24"/>
              </w:rPr>
              <w:t xml:space="preserve">陕西至诚项目管理集团有限公司 </w:t>
            </w:r>
          </w:p>
          <w:p>
            <w:pPr>
              <w:spacing w:line="360" w:lineRule="auto"/>
              <w:rPr>
                <w:rFonts w:ascii="宋体" w:hAnsi="宋体" w:cs="宋体"/>
                <w:sz w:val="24"/>
                <w:szCs w:val="24"/>
              </w:rPr>
            </w:pPr>
            <w:r>
              <w:rPr>
                <w:rFonts w:hint="eastAsia" w:ascii="宋体" w:hAnsi="宋体" w:cs="宋体"/>
                <w:sz w:val="24"/>
                <w:szCs w:val="24"/>
              </w:rPr>
              <w:t>地址：陕西省西安市经济技术开发区未央路171-1号银池道拉斯财富中心21楼</w:t>
            </w:r>
          </w:p>
          <w:p>
            <w:pPr>
              <w:spacing w:line="360" w:lineRule="auto"/>
              <w:rPr>
                <w:rFonts w:ascii="宋体" w:hAnsi="宋体" w:cs="宋体"/>
                <w:sz w:val="24"/>
                <w:szCs w:val="24"/>
              </w:rPr>
            </w:pPr>
            <w:r>
              <w:rPr>
                <w:rFonts w:hint="eastAsia" w:ascii="宋体" w:hAnsi="宋体" w:cs="宋体"/>
                <w:sz w:val="24"/>
                <w:szCs w:val="24"/>
              </w:rPr>
              <w:t>联系人：康乐、倪沛</w:t>
            </w:r>
          </w:p>
          <w:p>
            <w:pPr>
              <w:spacing w:line="360" w:lineRule="auto"/>
              <w:rPr>
                <w:rFonts w:ascii="宋体" w:hAnsi="宋体" w:cs="宋体"/>
                <w:sz w:val="24"/>
                <w:szCs w:val="24"/>
              </w:rPr>
            </w:pPr>
            <w:r>
              <w:rPr>
                <w:rFonts w:hint="eastAsia" w:ascii="宋体" w:hAnsi="宋体" w:cs="宋体"/>
                <w:sz w:val="24"/>
                <w:szCs w:val="24"/>
              </w:rPr>
              <w:t>电话：029-88219779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1.1.5</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建设地点</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山阳县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1.2.1</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资金来源</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1.2.2</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资金落实情况</w:t>
            </w:r>
          </w:p>
        </w:tc>
        <w:tc>
          <w:tcPr>
            <w:tcW w:w="6053" w:type="dxa"/>
            <w:vAlign w:val="center"/>
          </w:tcPr>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1.3.1</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招标范围</w:t>
            </w:r>
          </w:p>
        </w:tc>
        <w:tc>
          <w:tcPr>
            <w:tcW w:w="6053" w:type="dxa"/>
            <w:vAlign w:val="center"/>
          </w:tcPr>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本项目包含的所有施工内容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1.3.2</w:t>
            </w:r>
          </w:p>
        </w:tc>
        <w:tc>
          <w:tcPr>
            <w:tcW w:w="1966"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工期</w:t>
            </w:r>
          </w:p>
        </w:tc>
        <w:tc>
          <w:tcPr>
            <w:tcW w:w="6053"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自合同签订之日起210日历天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1.3.3</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质量标准</w:t>
            </w:r>
          </w:p>
        </w:tc>
        <w:tc>
          <w:tcPr>
            <w:tcW w:w="6053" w:type="dxa"/>
            <w:vAlign w:val="center"/>
          </w:tcPr>
          <w:p>
            <w:pPr>
              <w:spacing w:line="360" w:lineRule="auto"/>
              <w:rPr>
                <w:rFonts w:ascii="宋体" w:hAnsi="宋体" w:cs="宋体"/>
                <w:sz w:val="24"/>
                <w:szCs w:val="24"/>
              </w:rPr>
            </w:pPr>
            <w:bookmarkStart w:id="10" w:name="OLE_LINK34"/>
            <w:bookmarkStart w:id="11" w:name="OLE_LINK18"/>
            <w:r>
              <w:rPr>
                <w:rFonts w:hint="eastAsia" w:ascii="宋体" w:hAnsi="宋体" w:cs="宋体"/>
                <w:kern w:val="0"/>
                <w:sz w:val="24"/>
                <w:szCs w:val="24"/>
              </w:rPr>
              <w:t>符合国家现行有关质量验收规范“合格”要求。</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1.4.1</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资格审查条件</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资格证明文件：（合同包1-21）</w:t>
            </w:r>
          </w:p>
          <w:p>
            <w:pPr>
              <w:spacing w:line="360" w:lineRule="auto"/>
              <w:rPr>
                <w:rFonts w:ascii="宋体" w:hAnsi="宋体" w:cs="宋体"/>
                <w:sz w:val="24"/>
                <w:szCs w:val="24"/>
              </w:rPr>
            </w:pPr>
            <w:r>
              <w:rPr>
                <w:rFonts w:hint="eastAsia" w:ascii="宋体" w:hAnsi="宋体" w:cs="宋体"/>
                <w:sz w:val="24"/>
                <w:szCs w:val="24"/>
              </w:rPr>
              <w:t>（1）提供合格有效的法人或者其他组织的营业执照等证明文件，自然人的身份证；</w:t>
            </w:r>
            <w:r>
              <w:rPr>
                <w:rFonts w:hint="eastAsia" w:ascii="宋体" w:hAnsi="宋体" w:cs="宋体"/>
                <w:sz w:val="24"/>
                <w:szCs w:val="24"/>
              </w:rPr>
              <w:br w:type="textWrapping"/>
            </w:r>
            <w:r>
              <w:rPr>
                <w:rFonts w:hint="eastAsia" w:ascii="宋体" w:hAnsi="宋体" w:cs="宋体"/>
                <w:sz w:val="24"/>
                <w:szCs w:val="24"/>
              </w:rPr>
              <w:t>（2）提供法定代表人授权书（附法定代表人、被授权人身份证复印件）及被授权人身份证原件（法定代表人直接参加投标，须提供法定代表人身份证明及身份证原件）；</w:t>
            </w:r>
            <w:r>
              <w:rPr>
                <w:rFonts w:hint="eastAsia" w:ascii="宋体" w:hAnsi="宋体" w:cs="宋体"/>
                <w:sz w:val="24"/>
                <w:szCs w:val="24"/>
              </w:rPr>
              <w:br w:type="textWrapping"/>
            </w:r>
            <w:r>
              <w:rPr>
                <w:rFonts w:hint="eastAsia" w:ascii="宋体" w:hAnsi="宋体" w:cs="宋体"/>
                <w:sz w:val="24"/>
                <w:szCs w:val="24"/>
              </w:rPr>
              <w:t>（3）财务状况报告：提供2022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cs="宋体"/>
                <w:sz w:val="24"/>
                <w:szCs w:val="24"/>
              </w:rPr>
              <w:br w:type="textWrapping"/>
            </w:r>
            <w:r>
              <w:rPr>
                <w:rFonts w:hint="eastAsia" w:ascii="宋体" w:hAnsi="宋体" w:cs="宋体"/>
                <w:sz w:val="24"/>
                <w:szCs w:val="24"/>
              </w:rPr>
              <w:t>（4）税收缴纳证明：提供投标截止日前近一年内任意一个月的纳税证明或完税证明（任意税种），依法免税的单位应提供相关证明材料；</w:t>
            </w:r>
            <w:r>
              <w:rPr>
                <w:rFonts w:hint="eastAsia" w:ascii="宋体" w:hAnsi="宋体" w:cs="宋体"/>
                <w:sz w:val="24"/>
                <w:szCs w:val="24"/>
              </w:rPr>
              <w:br w:type="textWrapping"/>
            </w:r>
            <w:r>
              <w:rPr>
                <w:rFonts w:hint="eastAsia" w:ascii="宋体" w:hAnsi="宋体" w:cs="宋体"/>
                <w:sz w:val="24"/>
                <w:szCs w:val="24"/>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cs="宋体"/>
                <w:sz w:val="24"/>
                <w:szCs w:val="24"/>
              </w:rPr>
              <w:br w:type="textWrapping"/>
            </w:r>
            <w:r>
              <w:rPr>
                <w:rFonts w:hint="eastAsia" w:ascii="宋体" w:hAnsi="宋体" w:cs="宋体"/>
                <w:sz w:val="24"/>
                <w:szCs w:val="24"/>
              </w:rPr>
              <w:t>（6）供应商应通过“信用中国”网站(www.creditchina.gov.cn)、中国政府采购网(www.ccgp.gov.cn)查询相关主体信用记录；</w:t>
            </w:r>
            <w:r>
              <w:rPr>
                <w:rFonts w:hint="eastAsia" w:ascii="宋体" w:hAnsi="宋体" w:cs="宋体"/>
                <w:sz w:val="24"/>
                <w:szCs w:val="24"/>
              </w:rPr>
              <w:br w:type="textWrapping"/>
            </w:r>
            <w:r>
              <w:rPr>
                <w:rFonts w:hint="eastAsia" w:ascii="宋体" w:hAnsi="宋体" w:cs="宋体"/>
                <w:sz w:val="24"/>
                <w:szCs w:val="24"/>
              </w:rPr>
              <w:t>（7）参加政府采购活动前3年内，在经营活动中没有重大违法记录的书面声明；</w:t>
            </w:r>
            <w:r>
              <w:rPr>
                <w:rFonts w:hint="eastAsia" w:ascii="宋体" w:hAnsi="宋体" w:cs="宋体"/>
                <w:sz w:val="24"/>
                <w:szCs w:val="24"/>
              </w:rPr>
              <w:br w:type="textWrapping"/>
            </w:r>
            <w:r>
              <w:rPr>
                <w:rFonts w:hint="eastAsia" w:ascii="宋体" w:hAnsi="宋体" w:cs="宋体"/>
                <w:sz w:val="24"/>
                <w:szCs w:val="24"/>
              </w:rPr>
              <w:t>（8）提供具有履行本合同所必需的设备和专业技术能力的声明；</w:t>
            </w:r>
            <w:r>
              <w:rPr>
                <w:rFonts w:hint="eastAsia" w:ascii="宋体" w:hAnsi="宋体" w:cs="宋体"/>
                <w:sz w:val="24"/>
                <w:szCs w:val="24"/>
              </w:rPr>
              <w:br w:type="textWrapping"/>
            </w:r>
            <w:r>
              <w:rPr>
                <w:rFonts w:hint="eastAsia" w:ascii="宋体" w:hAnsi="宋体" w:cs="宋体"/>
                <w:sz w:val="24"/>
                <w:szCs w:val="24"/>
              </w:rPr>
              <w:t>（9）供应商应提供中小企业声明函；</w:t>
            </w:r>
            <w:r>
              <w:rPr>
                <w:rFonts w:hint="eastAsia" w:ascii="宋体" w:hAnsi="宋体" w:cs="宋体"/>
                <w:sz w:val="24"/>
                <w:szCs w:val="24"/>
              </w:rPr>
              <w:br w:type="textWrapping"/>
            </w:r>
            <w:r>
              <w:rPr>
                <w:rFonts w:hint="eastAsia" w:ascii="宋体" w:hAnsi="宋体" w:cs="宋体"/>
                <w:sz w:val="24"/>
                <w:szCs w:val="24"/>
              </w:rPr>
              <w:t>（10）本项目不接受联合体投标。</w:t>
            </w:r>
          </w:p>
          <w:p>
            <w:pPr>
              <w:spacing w:line="360" w:lineRule="auto"/>
              <w:rPr>
                <w:rFonts w:ascii="宋体" w:hAnsi="宋体" w:cs="宋体"/>
                <w:sz w:val="24"/>
                <w:szCs w:val="24"/>
              </w:rPr>
            </w:pPr>
            <w:r>
              <w:rPr>
                <w:rFonts w:hint="eastAsia" w:ascii="宋体" w:hAnsi="宋体" w:cs="宋体"/>
                <w:b/>
                <w:bCs/>
                <w:sz w:val="24"/>
                <w:szCs w:val="24"/>
              </w:rPr>
              <w:t>以上（1-10）为必备资质，缺一项或某项达不到要求，按无效投标处理。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1.4.2</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招标文件发售时间</w:t>
            </w:r>
          </w:p>
        </w:tc>
        <w:tc>
          <w:tcPr>
            <w:tcW w:w="6053" w:type="dxa"/>
            <w:vAlign w:val="center"/>
          </w:tcPr>
          <w:p>
            <w:pPr>
              <w:spacing w:line="420" w:lineRule="exact"/>
              <w:rPr>
                <w:rFonts w:ascii="宋体" w:hAnsi="宋体" w:cs="宋体"/>
                <w:sz w:val="24"/>
                <w:szCs w:val="24"/>
              </w:rPr>
            </w:pPr>
            <w:r>
              <w:rPr>
                <w:rFonts w:hint="eastAsia" w:ascii="宋体" w:hAnsi="宋体" w:cs="宋体"/>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踏勘现场</w:t>
            </w:r>
          </w:p>
        </w:tc>
        <w:tc>
          <w:tcPr>
            <w:tcW w:w="6053" w:type="dxa"/>
            <w:vAlign w:val="center"/>
          </w:tcPr>
          <w:p>
            <w:pPr>
              <w:spacing w:line="420" w:lineRule="exact"/>
              <w:rPr>
                <w:rFonts w:ascii="宋体" w:hAnsi="宋体" w:cs="宋体"/>
                <w:kern w:val="0"/>
                <w:sz w:val="24"/>
                <w:szCs w:val="24"/>
              </w:rPr>
            </w:pPr>
            <w:r>
              <w:rPr>
                <w:rFonts w:hint="eastAsia" w:ascii="宋体" w:hAnsi="宋体" w:cs="宋体"/>
                <w:kern w:val="0"/>
                <w:sz w:val="24"/>
                <w:szCs w:val="24"/>
              </w:rPr>
              <w:t>1）招标代理机构不组织统一踏勘，各投标人自行踏勘，相关费用及安全由投标人自行承担，踏勘时遵守相关规定，不得扰民。</w:t>
            </w:r>
          </w:p>
          <w:p>
            <w:pPr>
              <w:spacing w:line="420" w:lineRule="exact"/>
              <w:rPr>
                <w:rFonts w:ascii="宋体" w:hAnsi="宋体" w:cs="宋体"/>
                <w:kern w:val="0"/>
                <w:sz w:val="24"/>
                <w:szCs w:val="24"/>
              </w:rPr>
            </w:pPr>
            <w:r>
              <w:rPr>
                <w:rFonts w:hint="eastAsia" w:ascii="宋体" w:hAnsi="宋体" w:cs="宋体"/>
                <w:kern w:val="0"/>
                <w:sz w:val="24"/>
                <w:szCs w:val="24"/>
              </w:rPr>
              <w:t>2）踏勘内容包含：完成本次招标所需要的现场工况及周围环境等资料。</w:t>
            </w:r>
          </w:p>
          <w:p>
            <w:pPr>
              <w:spacing w:line="360" w:lineRule="auto"/>
              <w:jc w:val="left"/>
              <w:rPr>
                <w:rFonts w:ascii="宋体" w:hAnsi="宋体" w:cs="宋体"/>
                <w:sz w:val="24"/>
                <w:szCs w:val="24"/>
              </w:rPr>
            </w:pPr>
            <w:r>
              <w:rPr>
                <w:rFonts w:hint="eastAsia" w:ascii="宋体" w:hAnsi="宋体" w:cs="宋体"/>
                <w:sz w:val="24"/>
                <w:szCs w:val="24"/>
              </w:rPr>
              <w:t>联系人：山阳县林业局</w:t>
            </w:r>
          </w:p>
          <w:p>
            <w:pPr>
              <w:spacing w:line="360" w:lineRule="auto"/>
              <w:jc w:val="left"/>
              <w:rPr>
                <w:rFonts w:ascii="宋体" w:hAnsi="宋体" w:cs="宋体"/>
                <w:sz w:val="24"/>
                <w:szCs w:val="24"/>
              </w:rPr>
            </w:pPr>
            <w:r>
              <w:rPr>
                <w:rFonts w:hint="eastAsia" w:ascii="宋体" w:hAnsi="宋体" w:cs="宋体"/>
                <w:sz w:val="24"/>
                <w:szCs w:val="24"/>
              </w:rPr>
              <w:t>联系电话：0914-8321027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1.10</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投标答疑会</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不召开；若有疑问，均应在购买招标文件后7个工作日内以书面形式向采购代理机构提出。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1.11</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分包</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3.1.1</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构成投标文件的其他材料</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投标人按照招标文件的要求认为有利于投标的材料。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3.4.1</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投标报价</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以中标价为依据签订总价合同。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3.3.1</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投标有效期</w:t>
            </w:r>
          </w:p>
        </w:tc>
        <w:tc>
          <w:tcPr>
            <w:tcW w:w="6053" w:type="dxa"/>
            <w:vAlign w:val="center"/>
          </w:tcPr>
          <w:p>
            <w:pPr>
              <w:spacing w:line="360" w:lineRule="auto"/>
              <w:jc w:val="left"/>
              <w:rPr>
                <w:rFonts w:ascii="宋体" w:hAnsi="宋体" w:cs="宋体"/>
                <w:sz w:val="24"/>
                <w:szCs w:val="24"/>
              </w:rPr>
            </w:pPr>
            <w:r>
              <w:rPr>
                <w:rFonts w:hint="eastAsia" w:ascii="宋体" w:hAnsi="宋体" w:cs="宋体"/>
                <w:sz w:val="24"/>
                <w:szCs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3.6</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投标保证金</w:t>
            </w:r>
          </w:p>
        </w:tc>
        <w:tc>
          <w:tcPr>
            <w:tcW w:w="6053" w:type="dxa"/>
            <w:vAlign w:val="center"/>
          </w:tcPr>
          <w:p>
            <w:pPr>
              <w:spacing w:line="360" w:lineRule="auto"/>
              <w:rPr>
                <w:rFonts w:ascii="宋体" w:hAnsi="宋体" w:cs="宋体"/>
                <w:b/>
                <w:bCs/>
                <w:sz w:val="24"/>
                <w:szCs w:val="24"/>
              </w:rPr>
            </w:pPr>
            <w:r>
              <w:rPr>
                <w:rFonts w:hint="eastAsia" w:ascii="宋体" w:hAnsi="宋体" w:cs="宋体"/>
                <w:b/>
                <w:bCs/>
                <w:sz w:val="24"/>
                <w:szCs w:val="24"/>
              </w:rPr>
              <w:t>投标保证金：本项目不缴纳投标保证金（招标文件中关于投标保证金要求均不适用）</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保证金有效期与投标有效期一致。担保机构出具的保函的有效期为投标有效期延长一个月。</w:t>
            </w:r>
          </w:p>
          <w:p>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投标保证金的缴纳形式：转账、电汇、担保机构保函。</w:t>
            </w:r>
          </w:p>
          <w:p>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供应商以银行转账、电汇形式交纳保证金的，须从基本账户转出，并且在投标文件递交截止前到达采购代理机构指定账户（</w:t>
            </w:r>
            <w:r>
              <w:rPr>
                <w:rFonts w:hint="eastAsia" w:asciiTheme="minorEastAsia" w:hAnsiTheme="minorEastAsia" w:eastAsiaTheme="minorEastAsia" w:cstheme="minorEastAsia"/>
                <w:b/>
                <w:sz w:val="24"/>
                <w:szCs w:val="24"/>
              </w:rPr>
              <w:t>转账时请注明项目编号</w:t>
            </w:r>
            <w:r>
              <w:rPr>
                <w:rFonts w:hint="eastAsia" w:asciiTheme="minorEastAsia" w:hAnsiTheme="minorEastAsia" w:eastAsiaTheme="minorEastAsia" w:cstheme="minorEastAsia"/>
                <w:sz w:val="24"/>
                <w:szCs w:val="24"/>
              </w:rPr>
              <w:t>）。投标保证金到达采购代理机构指定账户后，供应商须与陕西至诚项目管理集团有限公司财务部联系确认到账后（联系电话029-88219779），将投标保证金缴纳凭证复印件粘贴于投标文件规定处。</w:t>
            </w:r>
          </w:p>
          <w:p>
            <w:pPr>
              <w:spacing w:line="360" w:lineRule="auto"/>
              <w:rPr>
                <w:rFonts w:ascii="宋体" w:hAnsi="宋体" w:cs="宋体"/>
                <w:sz w:val="24"/>
                <w:szCs w:val="24"/>
              </w:rPr>
            </w:pPr>
            <w:r>
              <w:rPr>
                <w:rFonts w:hint="eastAsia" w:asciiTheme="minorEastAsia" w:hAnsiTheme="minorEastAsia" w:eastAsiaTheme="minorEastAsia" w:cstheme="minorEastAsia"/>
                <w:sz w:val="24"/>
                <w:szCs w:val="24"/>
              </w:rPr>
              <w:t>供应商以保函形式缴纳投标保证金的，须在投标文件递交截止时间前将担保机构保函</w:t>
            </w:r>
            <w:r>
              <w:rPr>
                <w:rFonts w:hint="eastAsia" w:asciiTheme="minorEastAsia" w:hAnsiTheme="minorEastAsia" w:eastAsiaTheme="minorEastAsia" w:cstheme="minorEastAsia"/>
                <w:b/>
                <w:bCs/>
                <w:sz w:val="24"/>
                <w:szCs w:val="24"/>
              </w:rPr>
              <w:t>正本原件</w:t>
            </w:r>
            <w:r>
              <w:rPr>
                <w:rFonts w:hint="eastAsia" w:asciiTheme="minorEastAsia" w:hAnsiTheme="minorEastAsia" w:eastAsiaTheme="minorEastAsia" w:cstheme="minorEastAsia"/>
                <w:sz w:val="24"/>
                <w:szCs w:val="24"/>
              </w:rPr>
              <w:t>提交至采购代理机构备案，并将保函正本复印件附在磋投标文件规定处。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3.4.2</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代理服务费</w:t>
            </w:r>
          </w:p>
        </w:tc>
        <w:tc>
          <w:tcPr>
            <w:tcW w:w="6053" w:type="dxa"/>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1.收费标准：按国家计委颁发的《招标代理服务收费管理暂行办法》（计价格[2002]1980号）和国家发展改革委员会办公厅颁发的《关于招标代理服务收费有关问题的通知》（发改办价格[2003]857号）的有关标准执行。</w:t>
            </w:r>
          </w:p>
          <w:p>
            <w:pPr>
              <w:spacing w:line="360" w:lineRule="auto"/>
              <w:ind w:firstLine="480" w:firstLineChars="200"/>
              <w:rPr>
                <w:rFonts w:ascii="宋体" w:hAnsi="宋体" w:cs="宋体"/>
                <w:sz w:val="24"/>
                <w:szCs w:val="24"/>
              </w:rPr>
            </w:pPr>
            <w:r>
              <w:rPr>
                <w:rFonts w:hint="eastAsia" w:ascii="宋体" w:hAnsi="宋体" w:cs="宋体"/>
                <w:sz w:val="24"/>
                <w:szCs w:val="24"/>
              </w:rPr>
              <w:t>2.由中标单位向招标代理机构一次性缴付招标代理服务费。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3.5</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是否允许递交</w:t>
            </w:r>
          </w:p>
          <w:p>
            <w:pPr>
              <w:spacing w:line="360" w:lineRule="auto"/>
              <w:jc w:val="center"/>
              <w:rPr>
                <w:rFonts w:ascii="宋体" w:hAnsi="宋体" w:cs="宋体"/>
                <w:sz w:val="24"/>
                <w:szCs w:val="24"/>
              </w:rPr>
            </w:pPr>
            <w:r>
              <w:rPr>
                <w:rFonts w:hint="eastAsia" w:ascii="宋体" w:hAnsi="宋体" w:cs="宋体"/>
                <w:sz w:val="24"/>
                <w:szCs w:val="24"/>
              </w:rPr>
              <w:t>备选投标方案</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3.6.3</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签字或盖章要求</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投标文件封面、投标函及其它有要求处必须加盖投标人公章并经法定代表人或其委托代理人签字或盖章。</w:t>
            </w:r>
            <w:bookmarkStart w:id="12" w:name="_Toc343511347"/>
          </w:p>
          <w:p>
            <w:pPr>
              <w:spacing w:line="360" w:lineRule="auto"/>
              <w:rPr>
                <w:rFonts w:ascii="宋体" w:hAnsi="宋体" w:cs="宋体"/>
                <w:sz w:val="24"/>
                <w:szCs w:val="24"/>
              </w:rPr>
            </w:pPr>
            <w:r>
              <w:rPr>
                <w:rFonts w:hint="eastAsia" w:ascii="宋体" w:hAnsi="宋体" w:cs="宋体"/>
                <w:sz w:val="24"/>
                <w:szCs w:val="24"/>
              </w:rPr>
              <w:t>投标文件应无涂改或行间插字和增删。如确需修改，修改处必须由投标人加盖投标人公章并经法定代表人或其委托代理人签字或盖章。</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3.6.4</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投标文件份数</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投标文件正本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贰</w:t>
            </w:r>
            <w:r>
              <w:rPr>
                <w:rFonts w:hint="eastAsia" w:ascii="宋体" w:hAnsi="宋体" w:cs="宋体"/>
                <w:sz w:val="24"/>
                <w:szCs w:val="24"/>
              </w:rPr>
              <w:t>份,投标文件电子版</w:t>
            </w:r>
            <w:r>
              <w:rPr>
                <w:rFonts w:hint="eastAsia" w:ascii="宋体" w:hAnsi="宋体" w:cs="宋体"/>
                <w:sz w:val="24"/>
                <w:szCs w:val="24"/>
                <w:u w:val="single"/>
              </w:rPr>
              <w:t>壹</w:t>
            </w:r>
            <w:r>
              <w:rPr>
                <w:rFonts w:hint="eastAsia" w:ascii="宋体" w:hAnsi="宋体" w:cs="宋体"/>
                <w:sz w:val="24"/>
                <w:szCs w:val="24"/>
              </w:rPr>
              <w:t>份（光盘或U盘），开标一览表</w:t>
            </w:r>
            <w:r>
              <w:rPr>
                <w:rFonts w:hint="eastAsia" w:ascii="宋体" w:hAnsi="宋体" w:cs="宋体"/>
                <w:sz w:val="24"/>
                <w:szCs w:val="24"/>
                <w:u w:val="single"/>
              </w:rPr>
              <w:t>壹</w:t>
            </w:r>
            <w:r>
              <w:rPr>
                <w:rFonts w:hint="eastAsia" w:ascii="宋体" w:hAnsi="宋体" w:cs="宋体"/>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4.1.2</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投标文件密封</w:t>
            </w:r>
          </w:p>
        </w:tc>
        <w:tc>
          <w:tcPr>
            <w:tcW w:w="6053" w:type="dxa"/>
            <w:vAlign w:val="center"/>
          </w:tcPr>
          <w:p>
            <w:pPr>
              <w:spacing w:line="360" w:lineRule="auto"/>
              <w:ind w:left="360" w:hanging="360" w:hangingChars="150"/>
              <w:rPr>
                <w:rFonts w:ascii="宋体" w:hAnsi="宋体" w:cs="宋体"/>
                <w:sz w:val="24"/>
                <w:szCs w:val="24"/>
              </w:rPr>
            </w:pPr>
            <w:r>
              <w:rPr>
                <w:rFonts w:hint="eastAsia" w:ascii="宋体" w:hAnsi="宋体" w:cs="宋体"/>
                <w:sz w:val="24"/>
                <w:szCs w:val="24"/>
              </w:rPr>
              <w:t>1、投标文件正、副本应分别装订成册，装订应牢固、不易拆散和换页，不得采用活页装订。封袋应加贴封条，并在封线处由法定代表人或委托代理人签字盖章后加盖投标人公章。</w:t>
            </w:r>
          </w:p>
          <w:p>
            <w:pPr>
              <w:spacing w:line="360" w:lineRule="auto"/>
              <w:rPr>
                <w:rFonts w:ascii="宋体" w:hAnsi="宋体" w:cs="宋体"/>
                <w:sz w:val="24"/>
                <w:szCs w:val="24"/>
              </w:rPr>
            </w:pPr>
            <w:r>
              <w:rPr>
                <w:rFonts w:hint="eastAsia" w:ascii="宋体" w:hAnsi="宋体" w:cs="宋体"/>
                <w:sz w:val="24"/>
                <w:szCs w:val="24"/>
              </w:rPr>
              <w:t>2、密封包装方式：</w:t>
            </w:r>
          </w:p>
          <w:p>
            <w:pPr>
              <w:spacing w:line="360" w:lineRule="auto"/>
              <w:ind w:firstLine="240" w:firstLineChars="100"/>
              <w:rPr>
                <w:rFonts w:ascii="宋体" w:hAnsi="宋体" w:cs="宋体"/>
                <w:sz w:val="24"/>
                <w:szCs w:val="24"/>
              </w:rPr>
            </w:pPr>
            <w:r>
              <w:rPr>
                <w:rFonts w:hint="eastAsia" w:ascii="宋体" w:hAnsi="宋体" w:cs="宋体"/>
                <w:sz w:val="24"/>
                <w:szCs w:val="24"/>
              </w:rPr>
              <w:t>（1）投标文件正本、开标一览表、电子版一包密封。</w:t>
            </w:r>
          </w:p>
          <w:p>
            <w:pPr>
              <w:spacing w:line="360" w:lineRule="auto"/>
              <w:ind w:firstLine="240" w:firstLineChars="100"/>
              <w:rPr>
                <w:rFonts w:ascii="宋体" w:hAnsi="宋体" w:cs="宋体"/>
                <w:sz w:val="24"/>
                <w:szCs w:val="24"/>
              </w:rPr>
            </w:pPr>
            <w:r>
              <w:rPr>
                <w:rFonts w:hint="eastAsia" w:ascii="宋体" w:hAnsi="宋体" w:cs="宋体"/>
                <w:sz w:val="24"/>
                <w:szCs w:val="24"/>
              </w:rPr>
              <w:t>（2）投标文件所有副本一包密封。</w:t>
            </w:r>
          </w:p>
          <w:p>
            <w:pPr>
              <w:spacing w:line="360" w:lineRule="auto"/>
              <w:rPr>
                <w:rFonts w:ascii="宋体" w:hAnsi="宋体" w:cs="宋体"/>
                <w:sz w:val="24"/>
                <w:szCs w:val="24"/>
              </w:rPr>
            </w:pPr>
            <w:r>
              <w:rPr>
                <w:rFonts w:hint="eastAsia" w:ascii="宋体" w:hAnsi="宋体" w:cs="宋体"/>
                <w:sz w:val="24"/>
                <w:szCs w:val="24"/>
              </w:rPr>
              <w:t>3、外层包装请按以下要求标记：</w:t>
            </w:r>
          </w:p>
          <w:p>
            <w:pPr>
              <w:spacing w:line="360" w:lineRule="auto"/>
              <w:ind w:firstLine="360" w:firstLineChars="150"/>
              <w:rPr>
                <w:rFonts w:ascii="宋体" w:hAnsi="宋体" w:cs="宋体"/>
                <w:sz w:val="24"/>
                <w:szCs w:val="24"/>
              </w:rPr>
            </w:pPr>
            <w:r>
              <w:rPr>
                <w:rFonts w:hint="eastAsia" w:ascii="宋体" w:hAnsi="宋体" w:cs="宋体"/>
                <w:sz w:val="24"/>
                <w:szCs w:val="24"/>
              </w:rPr>
              <w:t xml:space="preserve">项目名称： </w:t>
            </w:r>
          </w:p>
          <w:p>
            <w:pPr>
              <w:spacing w:line="360" w:lineRule="auto"/>
              <w:ind w:firstLine="360" w:firstLineChars="150"/>
              <w:rPr>
                <w:rFonts w:ascii="宋体" w:hAnsi="宋体" w:cs="宋体"/>
                <w:sz w:val="24"/>
                <w:szCs w:val="24"/>
              </w:rPr>
            </w:pPr>
            <w:r>
              <w:rPr>
                <w:rFonts w:hint="eastAsia" w:ascii="宋体" w:hAnsi="宋体" w:cs="宋体"/>
                <w:sz w:val="24"/>
                <w:szCs w:val="24"/>
              </w:rPr>
              <w:t>项目编号：</w:t>
            </w:r>
          </w:p>
          <w:p>
            <w:pPr>
              <w:spacing w:line="360" w:lineRule="auto"/>
              <w:ind w:firstLine="360" w:firstLineChars="150"/>
              <w:rPr>
                <w:rFonts w:ascii="宋体" w:hAnsi="宋体" w:cs="宋体"/>
                <w:sz w:val="24"/>
                <w:szCs w:val="24"/>
              </w:rPr>
            </w:pPr>
            <w:r>
              <w:rPr>
                <w:rFonts w:hint="eastAsia" w:ascii="宋体" w:hAnsi="宋体" w:cs="宋体"/>
                <w:sz w:val="24"/>
                <w:szCs w:val="24"/>
              </w:rPr>
              <w:t>包号：第  包</w:t>
            </w:r>
          </w:p>
          <w:p>
            <w:pPr>
              <w:spacing w:line="360" w:lineRule="auto"/>
              <w:ind w:firstLine="360" w:firstLineChars="150"/>
              <w:rPr>
                <w:rFonts w:ascii="宋体" w:hAnsi="宋体" w:cs="宋体"/>
                <w:sz w:val="24"/>
                <w:szCs w:val="24"/>
              </w:rPr>
            </w:pPr>
            <w:r>
              <w:rPr>
                <w:rFonts w:hint="eastAsia" w:ascii="宋体" w:hAnsi="宋体" w:cs="宋体"/>
                <w:sz w:val="24"/>
                <w:szCs w:val="24"/>
              </w:rPr>
              <w:t>投标人名称：</w:t>
            </w:r>
          </w:p>
          <w:p>
            <w:pPr>
              <w:spacing w:line="360" w:lineRule="auto"/>
              <w:ind w:firstLine="360" w:firstLineChars="150"/>
              <w:rPr>
                <w:rFonts w:ascii="宋体" w:hAnsi="宋体" w:cs="宋体"/>
                <w:sz w:val="24"/>
                <w:szCs w:val="24"/>
              </w:rPr>
            </w:pPr>
            <w:r>
              <w:rPr>
                <w:rFonts w:hint="eastAsia" w:ascii="宋体" w:hAnsi="宋体" w:cs="宋体"/>
                <w:sz w:val="24"/>
                <w:szCs w:val="24"/>
              </w:rPr>
              <w:t>内容：“正本”或“副本”</w:t>
            </w:r>
          </w:p>
          <w:p>
            <w:pPr>
              <w:spacing w:line="360" w:lineRule="auto"/>
              <w:rPr>
                <w:rFonts w:ascii="宋体" w:hAnsi="宋体" w:cs="宋体"/>
                <w:sz w:val="24"/>
                <w:szCs w:val="24"/>
              </w:rPr>
            </w:pPr>
            <w:r>
              <w:rPr>
                <w:rFonts w:hint="eastAsia" w:ascii="宋体" w:hAnsi="宋体" w:cs="宋体"/>
                <w:sz w:val="24"/>
                <w:szCs w:val="24"/>
              </w:rPr>
              <w:t>投标文件在</w:t>
            </w:r>
            <w:r>
              <w:rPr>
                <w:rFonts w:hint="eastAsia" w:ascii="宋体" w:hAnsi="宋体" w:cs="宋体"/>
                <w:sz w:val="24"/>
                <w:szCs w:val="24"/>
                <w:u w:val="single"/>
              </w:rPr>
              <w:t xml:space="preserve"> 2023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4.2.2</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递交投标文件截止时间、地点</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2023年11月28日09：30</w:t>
            </w:r>
          </w:p>
          <w:p>
            <w:pPr>
              <w:spacing w:line="360" w:lineRule="auto"/>
              <w:rPr>
                <w:rFonts w:ascii="宋体" w:hAnsi="宋体" w:cs="宋体"/>
                <w:sz w:val="24"/>
                <w:szCs w:val="24"/>
              </w:rPr>
            </w:pPr>
            <w:r>
              <w:rPr>
                <w:rFonts w:hint="eastAsia" w:ascii="宋体" w:hAnsi="宋体" w:cs="宋体"/>
                <w:sz w:val="24"/>
                <w:szCs w:val="24"/>
              </w:rPr>
              <w:t>地点：陕西省西安市经济技术开发区未央路171-1号银池道拉斯财富中心21楼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4.2.3</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是否退还投标文件</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5.1</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开标时间和地点</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u w:val="single"/>
              </w:rPr>
              <w:t>2023年11月28日09：30</w:t>
            </w:r>
          </w:p>
          <w:p>
            <w:pPr>
              <w:spacing w:line="360" w:lineRule="auto"/>
              <w:rPr>
                <w:rFonts w:ascii="宋体" w:hAnsi="宋体" w:cs="宋体"/>
                <w:sz w:val="24"/>
                <w:szCs w:val="24"/>
              </w:rPr>
            </w:pPr>
            <w:r>
              <w:rPr>
                <w:rFonts w:hint="eastAsia" w:ascii="宋体" w:hAnsi="宋体" w:cs="宋体"/>
                <w:sz w:val="24"/>
                <w:szCs w:val="24"/>
              </w:rPr>
              <w:t>开标地点: 陕西省西安市经济技术开发区未央路171-1号银池道拉斯财富中心21楼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7.1</w:t>
            </w:r>
          </w:p>
        </w:tc>
        <w:tc>
          <w:tcPr>
            <w:tcW w:w="1966" w:type="dxa"/>
            <w:vAlign w:val="center"/>
          </w:tcPr>
          <w:p>
            <w:pPr>
              <w:spacing w:line="360" w:lineRule="auto"/>
              <w:jc w:val="center"/>
              <w:rPr>
                <w:rFonts w:ascii="宋体" w:hAnsi="宋体" w:cs="宋体"/>
                <w:sz w:val="24"/>
                <w:szCs w:val="24"/>
              </w:rPr>
            </w:pPr>
            <w:r>
              <w:rPr>
                <w:rFonts w:hint="eastAsia" w:ascii="宋体" w:hAnsi="宋体" w:cs="宋体"/>
                <w:sz w:val="24"/>
                <w:szCs w:val="24"/>
              </w:rPr>
              <w:t>是否授权评标委员会确定中标人</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否,</w:t>
            </w:r>
            <w:bookmarkStart w:id="13" w:name="OLE_LINK6"/>
            <w:r>
              <w:rPr>
                <w:rFonts w:hint="eastAsia" w:ascii="宋体" w:hAnsi="宋体" w:cs="宋体"/>
                <w:sz w:val="24"/>
                <w:szCs w:val="24"/>
              </w:rPr>
              <w:t>推荐3名中标候选人</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rPr>
                <w:rFonts w:ascii="宋体" w:hAnsi="宋体" w:cs="宋体"/>
                <w:sz w:val="24"/>
                <w:szCs w:val="24"/>
              </w:rPr>
            </w:pPr>
            <w:r>
              <w:rPr>
                <w:rFonts w:hint="eastAsia" w:ascii="宋体" w:hAnsi="宋体" w:cs="宋体"/>
                <w:sz w:val="24"/>
                <w:szCs w:val="24"/>
              </w:rPr>
              <w:t>10.1计算机辅助评标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951"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是否实行计算机辅助评标</w:t>
            </w:r>
          </w:p>
        </w:tc>
        <w:tc>
          <w:tcPr>
            <w:tcW w:w="6053" w:type="dxa"/>
            <w:vAlign w:val="center"/>
          </w:tcPr>
          <w:p>
            <w:pPr>
              <w:spacing w:line="360" w:lineRule="auto"/>
              <w:rPr>
                <w:rFonts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ind w:left="110" w:leftChars="52" w:hanging="1"/>
              <w:rPr>
                <w:rFonts w:ascii="宋体" w:hAnsi="宋体" w:cs="宋体"/>
                <w:sz w:val="24"/>
                <w:szCs w:val="24"/>
              </w:rPr>
            </w:pPr>
            <w:r>
              <w:rPr>
                <w:rFonts w:hint="eastAsia" w:ascii="宋体" w:hAnsi="宋体" w:cs="宋体"/>
                <w:sz w:val="24"/>
                <w:szCs w:val="24"/>
              </w:rPr>
              <w:t>10.2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ind w:left="110" w:leftChars="52" w:hanging="1"/>
              <w:rPr>
                <w:rFonts w:ascii="宋体" w:hAnsi="宋体" w:cs="宋体"/>
                <w:sz w:val="24"/>
                <w:szCs w:val="24"/>
              </w:rPr>
            </w:pPr>
            <w:r>
              <w:rPr>
                <w:rFonts w:hint="eastAsia" w:ascii="宋体" w:hAnsi="宋体" w:cs="宋体"/>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ind w:left="110" w:leftChars="52" w:hanging="1"/>
              <w:rPr>
                <w:rFonts w:ascii="宋体" w:hAnsi="宋体" w:cs="宋体"/>
                <w:sz w:val="24"/>
                <w:szCs w:val="24"/>
              </w:rPr>
            </w:pPr>
            <w:r>
              <w:rPr>
                <w:rFonts w:hint="eastAsia" w:ascii="宋体" w:hAnsi="宋体" w:cs="宋体"/>
                <w:sz w:val="24"/>
                <w:szCs w:val="24"/>
              </w:rPr>
              <w:t>10.3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ind w:left="110" w:leftChars="52" w:hanging="1"/>
              <w:rPr>
                <w:rFonts w:ascii="宋体" w:hAnsi="宋体" w:cs="宋体"/>
                <w:sz w:val="24"/>
                <w:szCs w:val="24"/>
              </w:rPr>
            </w:pPr>
            <w:r>
              <w:rPr>
                <w:rFonts w:hint="eastAsia" w:ascii="宋体" w:hAnsi="宋体" w:cs="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ind w:left="110" w:leftChars="52" w:hanging="1"/>
              <w:rPr>
                <w:rFonts w:ascii="宋体" w:hAnsi="宋体" w:cs="宋体"/>
                <w:sz w:val="24"/>
                <w:szCs w:val="24"/>
              </w:rPr>
            </w:pPr>
            <w:r>
              <w:rPr>
                <w:rFonts w:hint="eastAsia" w:ascii="宋体" w:hAnsi="宋体" w:cs="宋体"/>
                <w:sz w:val="24"/>
                <w:szCs w:val="24"/>
              </w:rPr>
              <w:t>10.4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004" w:type="dxa"/>
            <w:gridSpan w:val="3"/>
            <w:vAlign w:val="center"/>
          </w:tcPr>
          <w:p>
            <w:pPr>
              <w:spacing w:line="360" w:lineRule="auto"/>
              <w:ind w:left="110" w:leftChars="52" w:hanging="1"/>
              <w:rPr>
                <w:rFonts w:ascii="宋体" w:hAnsi="宋体" w:cs="宋体"/>
                <w:sz w:val="24"/>
                <w:szCs w:val="24"/>
              </w:rPr>
            </w:pPr>
            <w:r>
              <w:rPr>
                <w:rFonts w:hint="eastAsia" w:ascii="宋体" w:hAnsi="宋体" w:cs="宋体"/>
                <w:sz w:val="24"/>
                <w:szCs w:val="24"/>
              </w:rPr>
              <w:t>构成招标文件组成部分的“通用合同条款”、“专用合同条款”、“技术标准和要求”等章节中出现的措辞“发包人”和“承包人”，在招标投标阶段应当分别按“招标人”和“投标人”进行理解。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9004" w:type="dxa"/>
            <w:gridSpan w:val="3"/>
            <w:vAlign w:val="center"/>
          </w:tcPr>
          <w:p>
            <w:pPr>
              <w:spacing w:line="360" w:lineRule="auto"/>
              <w:ind w:left="68" w:leftChars="-2" w:hanging="72" w:hangingChars="30"/>
              <w:rPr>
                <w:rFonts w:ascii="宋体" w:hAnsi="宋体" w:cs="宋体"/>
                <w:sz w:val="24"/>
                <w:szCs w:val="24"/>
              </w:rPr>
            </w:pPr>
            <w:r>
              <w:rPr>
                <w:rFonts w:hint="eastAsia" w:ascii="宋体" w:hAnsi="宋体" w:cs="宋体"/>
                <w:sz w:val="24"/>
                <w:szCs w:val="24"/>
              </w:rPr>
              <w:t>10.5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9004" w:type="dxa"/>
            <w:gridSpan w:val="3"/>
            <w:vAlign w:val="center"/>
          </w:tcPr>
          <w:p>
            <w:pPr>
              <w:spacing w:line="360" w:lineRule="auto"/>
              <w:ind w:left="68" w:leftChars="-2" w:hanging="72" w:hangingChars="30"/>
              <w:rPr>
                <w:rFonts w:ascii="宋体" w:hAnsi="宋体" w:cs="宋体"/>
                <w:sz w:val="24"/>
                <w:szCs w:val="24"/>
              </w:rPr>
            </w:pPr>
            <w:r>
              <w:rPr>
                <w:rFonts w:hint="eastAsia" w:ascii="宋体" w:hAnsi="宋体" w:cs="宋体"/>
                <w:sz w:val="24"/>
                <w:szCs w:val="24"/>
              </w:rPr>
              <w:t>本招标文件由招标人和招标代理机构负责解释。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9004" w:type="dxa"/>
            <w:gridSpan w:val="3"/>
            <w:vAlign w:val="center"/>
          </w:tcPr>
          <w:p>
            <w:pPr>
              <w:spacing w:line="360" w:lineRule="auto"/>
              <w:ind w:left="68" w:leftChars="-2" w:hanging="72" w:hangingChars="30"/>
              <w:jc w:val="center"/>
              <w:rPr>
                <w:rFonts w:ascii="宋体" w:hAnsi="宋体" w:cs="宋体"/>
                <w:sz w:val="24"/>
                <w:szCs w:val="24"/>
              </w:rPr>
            </w:pPr>
            <w:r>
              <w:rPr>
                <w:rFonts w:hint="eastAsia" w:ascii="宋体" w:hAnsi="宋体" w:cs="宋体"/>
                <w:b/>
                <w:bCs/>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004" w:type="dxa"/>
            <w:gridSpan w:val="3"/>
            <w:vAlign w:val="center"/>
          </w:tcPr>
          <w:p>
            <w:pPr>
              <w:spacing w:line="360" w:lineRule="auto"/>
              <w:ind w:left="68" w:leftChars="-2" w:hanging="72" w:hangingChars="30"/>
              <w:rPr>
                <w:rFonts w:ascii="宋体" w:hAnsi="宋体" w:cs="宋体"/>
                <w:sz w:val="24"/>
                <w:szCs w:val="24"/>
              </w:rPr>
            </w:pPr>
            <w:r>
              <w:rPr>
                <w:rFonts w:hint="eastAsia" w:ascii="宋体" w:hAnsi="宋体" w:cs="宋体"/>
                <w:sz w:val="24"/>
                <w:szCs w:val="24"/>
              </w:rPr>
              <w:t>采购文件所属行业：农、林、牧、渔业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9004" w:type="dxa"/>
            <w:gridSpan w:val="3"/>
            <w:vAlign w:val="center"/>
          </w:tcPr>
          <w:p>
            <w:pPr>
              <w:spacing w:line="360" w:lineRule="auto"/>
              <w:ind w:left="68" w:leftChars="-2" w:hanging="72" w:hangingChars="30"/>
              <w:rPr>
                <w:rFonts w:ascii="宋体" w:hAnsi="宋体" w:cs="宋体"/>
                <w:b/>
                <w:bCs/>
                <w:sz w:val="24"/>
                <w:szCs w:val="24"/>
              </w:rPr>
            </w:pPr>
            <w:r>
              <w:rPr>
                <w:rFonts w:hint="eastAsia" w:ascii="宋体" w:hAnsi="宋体" w:cs="宋体"/>
                <w:b/>
                <w:bCs/>
                <w:sz w:val="24"/>
                <w:szCs w:val="24"/>
              </w:rPr>
              <w:t>项目性质：本项目专门面向小微企业（所投企业为小型或微型企业并提供中小企业声明函，否则按无效响应文件处理。）</w:t>
            </w:r>
          </w:p>
          <w:p>
            <w:pPr>
              <w:spacing w:line="360" w:lineRule="auto"/>
              <w:ind w:left="68" w:leftChars="-2" w:hanging="72" w:hangingChars="3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jc w:val="center"/>
        </w:trPr>
        <w:tc>
          <w:tcPr>
            <w:tcW w:w="9004" w:type="dxa"/>
            <w:gridSpan w:val="3"/>
            <w:vAlign w:val="center"/>
          </w:tcPr>
          <w:p>
            <w:pPr>
              <w:spacing w:line="360" w:lineRule="auto"/>
              <w:ind w:left="68" w:leftChars="-2" w:hanging="72" w:hangingChars="30"/>
              <w:rPr>
                <w:rFonts w:ascii="宋体" w:hAnsi="宋体" w:cs="宋体"/>
                <w:sz w:val="24"/>
                <w:szCs w:val="24"/>
              </w:rPr>
            </w:pPr>
            <w:r>
              <w:rPr>
                <w:rFonts w:hint="eastAsia" w:ascii="宋体" w:hAnsi="宋体" w:cs="宋体"/>
                <w:sz w:val="24"/>
                <w:szCs w:val="24"/>
              </w:rPr>
              <w:t>中小企业政策性扣减：对符合《政府采购促进中小企业发展管理办法》(财库(2020)46号)规定的小微企业(监狱企业视同小型、微型企业)的报价给予10%(10%-20%)的扣除,用扣除后的价格参加评审。本项目为专门面向小微企业，不在进行价格扣</w:t>
            </w:r>
            <w:r>
              <w:rPr>
                <w:rFonts w:hint="eastAsia" w:hAnsi="宋体" w:cs="宋体"/>
                <w:sz w:val="24"/>
                <w:szCs w:val="24"/>
              </w:rPr>
              <w:t>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004" w:type="dxa"/>
            <w:gridSpan w:val="3"/>
            <w:vAlign w:val="center"/>
          </w:tcPr>
          <w:p>
            <w:pPr>
              <w:spacing w:line="360" w:lineRule="auto"/>
              <w:ind w:left="68" w:leftChars="-2" w:hanging="72" w:hangingChars="30"/>
              <w:rPr>
                <w:rFonts w:ascii="宋体" w:hAnsi="宋体" w:cs="宋体"/>
                <w:b/>
                <w:bCs/>
                <w:sz w:val="24"/>
                <w:szCs w:val="24"/>
              </w:rPr>
            </w:pPr>
            <w:r>
              <w:rPr>
                <w:rFonts w:ascii="宋体" w:hAnsi="宋体" w:cs="宋体"/>
                <w:b/>
                <w:bCs/>
                <w:sz w:val="24"/>
                <w:szCs w:val="24"/>
              </w:rPr>
              <w:t>本项目允许多个标段投标，但只允许中一个标段。</w:t>
            </w:r>
          </w:p>
          <w:p>
            <w:pPr>
              <w:spacing w:line="360" w:lineRule="auto"/>
              <w:ind w:left="68" w:leftChars="-2" w:hanging="72" w:hangingChars="3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exact"/>
          <w:jc w:val="center"/>
        </w:trPr>
        <w:tc>
          <w:tcPr>
            <w:tcW w:w="9004" w:type="dxa"/>
            <w:gridSpan w:val="3"/>
            <w:vAlign w:val="center"/>
          </w:tcPr>
          <w:p>
            <w:pPr>
              <w:spacing w:line="500" w:lineRule="exact"/>
              <w:rPr>
                <w:rFonts w:ascii="宋体" w:hAnsi="宋体" w:cs="宋体"/>
                <w:b/>
                <w:bCs/>
                <w:sz w:val="24"/>
                <w:szCs w:val="24"/>
              </w:rPr>
            </w:pPr>
            <w:r>
              <w:rPr>
                <w:rFonts w:hint="eastAsia" w:ascii="宋体" w:hAnsi="宋体" w:cs="宋体"/>
                <w:b/>
                <w:bCs/>
                <w:sz w:val="24"/>
                <w:szCs w:val="24"/>
              </w:rPr>
              <w:t>备注：供应商注册登记提醒：</w:t>
            </w:r>
          </w:p>
          <w:p>
            <w:pPr>
              <w:spacing w:line="360" w:lineRule="auto"/>
              <w:ind w:left="68" w:leftChars="-2" w:hanging="72" w:hangingChars="30"/>
              <w:jc w:val="left"/>
              <w:rPr>
                <w:rFonts w:ascii="宋体" w:hAnsi="宋体" w:cs="宋体"/>
                <w:sz w:val="24"/>
                <w:szCs w:val="24"/>
              </w:rPr>
            </w:pPr>
            <w:r>
              <w:rPr>
                <w:rFonts w:hint="eastAsia" w:ascii="宋体" w:hAnsi="宋体" w:cs="宋体"/>
                <w:b/>
                <w:bCs/>
                <w:sz w:val="24"/>
                <w:szCs w:val="24"/>
              </w:rPr>
              <w:t>根据陕西省财政厅关于政府采购供应商注册登记有关事项的通知，如所投本项目的供应商未在陕西省政府采购网（</w:t>
            </w:r>
            <w:r>
              <w:fldChar w:fldCharType="begin"/>
            </w:r>
            <w:r>
              <w:instrText xml:space="preserve"> HYPERLINK "http://www.ccgp-shaanxi.gov.cn/information/informationDetail.do?informationguid=8a85be3567ed23460167ed36804d0009" </w:instrText>
            </w:r>
            <w:r>
              <w:fldChar w:fldCharType="separate"/>
            </w:r>
            <w:r>
              <w:rPr>
                <w:rFonts w:hint="eastAsia" w:ascii="宋体" w:hAnsi="宋体" w:cs="宋体"/>
                <w:b/>
                <w:bCs/>
                <w:sz w:val="24"/>
                <w:szCs w:val="24"/>
              </w:rPr>
              <w:t>http://www.ccgp-shaanxi.gov.cn/information/informationDetail.do?informationguid=8a85be3567ed23460167ed36804d0009</w:t>
            </w:r>
            <w:r>
              <w:rPr>
                <w:rFonts w:hint="eastAsia" w:ascii="宋体" w:hAnsi="宋体" w:cs="宋体"/>
                <w:b/>
                <w:bCs/>
                <w:sz w:val="24"/>
                <w:szCs w:val="24"/>
              </w:rPr>
              <w:fldChar w:fldCharType="end"/>
            </w:r>
            <w:r>
              <w:rPr>
                <w:rFonts w:hint="eastAsia" w:ascii="宋体" w:hAnsi="宋体" w:cs="宋体"/>
                <w:b/>
                <w:bCs/>
                <w:sz w:val="24"/>
                <w:szCs w:val="24"/>
              </w:rPr>
              <w:t>）注册登记加入陕西省政府采购供应商库的，应按要求及时办理注册登记，并接受财政部门监督管理。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9" w:hRule="exact"/>
          <w:jc w:val="center"/>
        </w:trPr>
        <w:tc>
          <w:tcPr>
            <w:tcW w:w="9004" w:type="dxa"/>
            <w:gridSpan w:val="3"/>
            <w:vAlign w:val="center"/>
          </w:tcPr>
          <w:p>
            <w:pPr>
              <w:spacing w:line="360" w:lineRule="auto"/>
              <w:ind w:left="68" w:leftChars="-2" w:hanging="72" w:hangingChars="30"/>
              <w:rPr>
                <w:rFonts w:ascii="宋体" w:hAnsi="宋体" w:cs="宋体"/>
                <w:sz w:val="24"/>
                <w:szCs w:val="24"/>
              </w:rPr>
            </w:pPr>
            <w:bookmarkStart w:id="14" w:name="_Toc403077639"/>
            <w:bookmarkStart w:id="15" w:name="_Toc363473972"/>
            <w:bookmarkStart w:id="16" w:name="_Toc363474017"/>
            <w:bookmarkStart w:id="17" w:name="_Toc29568"/>
            <w:bookmarkStart w:id="18" w:name="_Toc8072"/>
            <w:r>
              <w:rPr>
                <w:rFonts w:hint="eastAsia" w:ascii="宋体" w:hAnsi="宋体" w:cs="宋体"/>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pPr>
              <w:spacing w:line="360" w:lineRule="auto"/>
              <w:ind w:left="68" w:leftChars="-2" w:hanging="72" w:hangingChars="30"/>
              <w:rPr>
                <w:rFonts w:ascii="宋体" w:hAnsi="宋体" w:cs="宋体"/>
                <w:sz w:val="24"/>
                <w:szCs w:val="24"/>
              </w:rPr>
            </w:pPr>
            <w:r>
              <w:rPr>
                <w:rFonts w:hint="eastAsia" w:ascii="宋体" w:hAnsi="宋体" w:cs="宋体"/>
                <w:sz w:val="24"/>
                <w:szCs w:val="24"/>
              </w:rPr>
              <w:t>(http://www.ccgp-shaanxi.gov.cn/zcdservice/zcd/shan xi/）在线申请，依法参加政府采购信用融资活动。</w:t>
            </w:r>
          </w:p>
          <w:p>
            <w:pPr>
              <w:spacing w:line="360" w:lineRule="auto"/>
              <w:ind w:left="68" w:leftChars="-2" w:hanging="72" w:hangingChars="30"/>
              <w:jc w:val="left"/>
              <w:rPr>
                <w:rFonts w:ascii="宋体" w:hAnsi="宋体" w:cs="宋体"/>
                <w:b/>
                <w:bCs/>
                <w:sz w:val="24"/>
                <w:szCs w:val="24"/>
              </w:rPr>
            </w:pPr>
            <w:r>
              <w:rPr>
                <w:rFonts w:hint="eastAsia" w:ascii="宋体" w:hAnsi="宋体" w:cs="宋体"/>
                <w:sz w:val="24"/>
                <w:szCs w:val="24"/>
              </w:rPr>
              <w:t>目前的合作银行有∶北京银行、中国建设银行、中信银行、中国平安银行、中国光大银行、浦发银行、兴业银行、中国工商银行、秦农银行、浙商银行、中国银行、西安银行、中国农业银行、中国邮政储蓄银行（排名不分先后）。</w:t>
            </w:r>
          </w:p>
        </w:tc>
      </w:tr>
    </w:tbl>
    <w:p>
      <w:pP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br w:type="page"/>
      </w:r>
    </w:p>
    <w:bookmarkEnd w:id="14"/>
    <w:bookmarkEnd w:id="15"/>
    <w:bookmarkEnd w:id="16"/>
    <w:p>
      <w:pPr>
        <w:jc w:val="center"/>
        <w:rPr>
          <w:rFonts w:asciiTheme="minorEastAsia" w:hAnsiTheme="minorEastAsia" w:eastAsiaTheme="minorEastAsia" w:cstheme="minorEastAsia"/>
        </w:rPr>
      </w:pPr>
      <w:r>
        <w:rPr>
          <w:rFonts w:hint="eastAsia"/>
          <w:b/>
          <w:bCs/>
          <w:sz w:val="28"/>
          <w:szCs w:val="28"/>
        </w:rPr>
        <w:t>投标人须知</w:t>
      </w:r>
      <w:bookmarkEnd w:id="17"/>
      <w:bookmarkEnd w:id="18"/>
    </w:p>
    <w:p>
      <w:pPr>
        <w:spacing w:beforeLines="50" w:afterLines="50" w:line="360" w:lineRule="auto"/>
        <w:rPr>
          <w:rFonts w:asciiTheme="minorEastAsia" w:hAnsiTheme="minorEastAsia" w:eastAsiaTheme="minorEastAsia" w:cstheme="minorEastAsia"/>
          <w:b/>
          <w:bCs/>
          <w:sz w:val="24"/>
          <w:szCs w:val="24"/>
        </w:rPr>
      </w:pPr>
      <w:bookmarkStart w:id="19" w:name="_Toc421778365"/>
      <w:bookmarkStart w:id="20" w:name="_Toc425240464"/>
      <w:bookmarkStart w:id="21" w:name="_Toc420591643"/>
      <w:r>
        <w:rPr>
          <w:rFonts w:hint="eastAsia" w:asciiTheme="minorEastAsia" w:hAnsiTheme="minorEastAsia" w:eastAsiaTheme="minorEastAsia" w:cstheme="minorEastAsia"/>
          <w:b/>
          <w:bCs/>
          <w:sz w:val="24"/>
          <w:szCs w:val="24"/>
        </w:rPr>
        <w:t>1</w:t>
      </w:r>
      <w:bookmarkEnd w:id="19"/>
      <w:bookmarkEnd w:id="20"/>
      <w:bookmarkEnd w:id="21"/>
      <w:r>
        <w:rPr>
          <w:rFonts w:hint="eastAsia" w:asciiTheme="minorEastAsia" w:hAnsiTheme="minorEastAsia" w:eastAsiaTheme="minorEastAsia" w:cstheme="minorEastAsia"/>
          <w:b/>
          <w:bCs/>
          <w:sz w:val="24"/>
          <w:szCs w:val="24"/>
        </w:rPr>
        <w:t>．总则</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 项目概况</w:t>
      </w:r>
    </w:p>
    <w:p>
      <w:pPr>
        <w:pStyle w:val="10"/>
        <w:ind w:left="42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根据《中华人民共和国政府采购法》、《中华人民共和国招标投标法》等有关法律、法规和规章的规定，本招标项目己具备招标条件，现对本招标项目施工进行招标。</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本招标项目招标人：见投标人须知前附表。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本招标项目招标代理机构：见投标人须知前附表。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1.1.4本招标项目名称：见投标人须知前附表。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1.1.5本招标项目建设地点：见投标人须知前附表。</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 资金来源和落实情况</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本招标项目的资金来源：见投标人须知前附表。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 本招标项目的资金落实情况：见投标人须知前附表。</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 招标范围、计划工期和质量要求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本次招标范围：见投标人须知前附表。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本招标项目的计划工期：</w:t>
      </w:r>
      <w:bookmarkStart w:id="22" w:name="OLE_LINK8"/>
      <w:r>
        <w:rPr>
          <w:rFonts w:hint="eastAsia" w:asciiTheme="minorEastAsia" w:hAnsiTheme="minorEastAsia" w:eastAsiaTheme="minorEastAsia" w:cstheme="minorEastAsia"/>
          <w:sz w:val="24"/>
          <w:szCs w:val="24"/>
        </w:rPr>
        <w:t>见投标人须知前附表。</w:t>
      </w:r>
      <w:bookmarkEnd w:id="22"/>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 本招标项目的质量要求：见投标人须知前附表。</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1.4 投标人资格要求及招标文件发售时间</w:t>
      </w:r>
    </w:p>
    <w:p>
      <w:pPr>
        <w:pStyle w:val="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1.4.1资格审查条件：见投标人须知前附表。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1.4.2招标文件发售时间：见投标人须知前附表。</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1.5 费用承担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投标人准备和参加投标活动发生的费用自理。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 保密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参与招标投标活动的各方应对招标文件和投标文件中的商业和技术等秘密保密，违者应对由此造成的后果承担法律责任。</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1.7 语言文字</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除专用术语外，与招标投标有关的语言均使用中文。必要时专用术语应附有中文注释。</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1.8 计量单位</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所有计量均采用中华人民共和国法定计量单位。</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 踏勘现场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1.9.1见投标人须知前附表。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 投标人踏勘现场发生的费用自理，并自行负责在踏勘现场中所发生的人员伤亡和财产损失。</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1.9.3 投标人应对工程现场及周围环境进行踏勘，充分了解现场环境、总体布置情况、地形地貌、现场道路、储存空间、运输、装卸等限制条件及其它任何足以影响投标报价的情况，以便各投标人获取须自主考虑的有关投标文件编制和合同签署所需的相关资料和数据，任何因忽视或误解工地情况而导致的索赔或工期延长申请将不获批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 招标人在踏勘现场中介绍的工程场地和相关的周边环境情况，供投标人在编制投标文件时参考，招标人不对投标人据此作出的判断和决策负责。</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1.10 投标答疑会</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不召开；若有疑问，均应在购买招标文件后7个工作日内以书面形式向采购代理机构提出。</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1.11 分包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1.12 偏离</w:t>
      </w:r>
    </w:p>
    <w:p>
      <w:pPr>
        <w:spacing w:beforeLines="50" w:afterLines="50" w:line="360" w:lineRule="auto"/>
        <w:ind w:firstLine="480" w:firstLineChars="200"/>
        <w:rPr>
          <w:rFonts w:asciiTheme="minorEastAsia" w:hAnsiTheme="minorEastAsia" w:eastAsiaTheme="minorEastAsia" w:cstheme="minorEastAsia"/>
          <w:sz w:val="24"/>
          <w:szCs w:val="24"/>
        </w:rPr>
      </w:pPr>
      <w:bookmarkStart w:id="23" w:name="_Toc420591644"/>
      <w:bookmarkStart w:id="24" w:name="_Toc421778366"/>
      <w:bookmarkStart w:id="25" w:name="_Toc425240465"/>
      <w:r>
        <w:rPr>
          <w:rFonts w:hint="eastAsia" w:asciiTheme="minorEastAsia" w:hAnsiTheme="minorEastAsia" w:eastAsiaTheme="minorEastAsia" w:cstheme="minorEastAsia"/>
          <w:sz w:val="24"/>
          <w:szCs w:val="24"/>
        </w:rPr>
        <w:t>不满足评标办法中初步评审标准的，视为发生重大偏离，其投标被否决。其余偏离视为细微偏离，评标委员会将通过澄清方式对细微偏离进行澄清或修改。</w:t>
      </w:r>
    </w:p>
    <w:p>
      <w:pPr>
        <w:spacing w:beforeLines="50" w:afterLines="50"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2．招标文件</w:t>
      </w:r>
      <w:bookmarkEnd w:id="23"/>
      <w:bookmarkEnd w:id="24"/>
      <w:bookmarkEnd w:id="25"/>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2.1 招标文件的组成</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本招标文件包括：</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(1）招标公告；</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(2）投标人须知前附表及投标人须知；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(3）评标办法；</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(4）合同条款及格式；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(5）项目概况及技术要求;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(6）投标文件格式。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根据本章第1.10 款、第2.2 款和第2.3 款对招标文件所作的澄清、修改，构成招标文件的组成部分。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2.2 招标文件的澄清及修改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2.2.1在投标文件递交截止时间三个工作日前，采购代理机构可以视采购具体情况，延长投标截止时间和开标时间并在财政部门指定的媒体上发布变更公告，同时将变更时间书面通知所有招标文件收受人。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2.2.2采购代理机构如果对已发出的招标文件进行修改，将在招标文件要求提交投标文件截止时间十五日前，在发布招标公告的财政部门指定媒体上发布更正公告，并以书面形式通知所有招标文件收受人。该澄清或者修改的内容为招标文件的组成部分。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2.2.3已经购买招标文件的投标人对招标文件有疑问的，均应在购买招标文件后7个工作日内以书面形式向采购代理机构提出。采购代理机构视情况必要时将书面答复传送给所有招标文件收受人。</w:t>
      </w:r>
    </w:p>
    <w:p>
      <w:pPr>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2.2.4投标人在收到上述通知后，应立即向采购代理机构回函确认。</w:t>
      </w:r>
    </w:p>
    <w:p>
      <w:pPr>
        <w:spacing w:beforeLines="50" w:afterLines="50" w:line="360" w:lineRule="auto"/>
        <w:rPr>
          <w:rFonts w:asciiTheme="minorEastAsia" w:hAnsiTheme="minorEastAsia" w:eastAsiaTheme="minorEastAsia" w:cstheme="minorEastAsia"/>
          <w:b/>
          <w:bCs/>
          <w:sz w:val="24"/>
          <w:szCs w:val="24"/>
        </w:rPr>
      </w:pPr>
      <w:bookmarkStart w:id="26" w:name="_Toc425240466"/>
      <w:bookmarkStart w:id="27" w:name="_Toc420591645"/>
      <w:bookmarkStart w:id="28" w:name="_Toc421778367"/>
      <w:r>
        <w:rPr>
          <w:rFonts w:hint="eastAsia" w:asciiTheme="minorEastAsia" w:hAnsiTheme="minorEastAsia" w:eastAsiaTheme="minorEastAsia" w:cstheme="minorEastAsia"/>
          <w:b/>
          <w:bCs/>
          <w:sz w:val="24"/>
          <w:szCs w:val="24"/>
        </w:rPr>
        <w:t>3．投标文件</w:t>
      </w:r>
      <w:bookmarkEnd w:id="26"/>
      <w:bookmarkEnd w:id="27"/>
      <w:bookmarkEnd w:id="28"/>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3.1.投标语言和投标货币</w:t>
      </w:r>
    </w:p>
    <w:p>
      <w:pPr>
        <w:spacing w:line="360" w:lineRule="auto"/>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3.1.1投标人提交的投标文件以及投标人与采购代理机构就有关投标的所有来往函电均应使用中文。</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3.1.2投标应以人民币报价。任何包含非人民币报价的投标将按无效投标处理。</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3.2.投标文件的构成</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投标人提交的投标文件应包含下列部分的内容：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按照投标人须知的要求和招标文件规定格式填写的招标函、开标一览表、法定代表人授权委托书。</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2）按照招标文件的要求编制的投标方案说明书。</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3）按照招标文件投标人须知前附表的要求提交的资格证明文件；</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4）按照本须知第14条要求提交的投标保证金。</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5）招标文件中要求的其他证明文件。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 如果在招标文件中没有允许提供备选方案，则每个投标人只允许提交一个投标方案，否则，其投标将被作无效响应处理。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本次投标的最小单元为“标段”</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kern w:val="0"/>
          <w:sz w:val="24"/>
          <w:szCs w:val="24"/>
        </w:rPr>
        <w:t>可根据自身的资质情况和经营范围对本次项目进行投标，不得将其子目再行分解或只对本次项目中的品目进行不完全投标，任何不完全的响应将会被拒绝。</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3.3.投标文件格式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投标人应按照招标文件中第六章“投标文件格式及构成”所提供的格式和要求制作投标文件，明确表达投标意愿，详细说明投标方案、承诺及价格。</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3.3.2按招标文件第六章提供的格式和要求编写其投标文件，投标人不得缺少或留空任何招标文件要求填写的表格或提交的资料。</w:t>
      </w:r>
    </w:p>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3.4 投标报价</w:t>
      </w:r>
    </w:p>
    <w:p>
      <w:pPr>
        <w:spacing w:line="560" w:lineRule="exact"/>
        <w:ind w:firstLine="496" w:firstLineChars="207"/>
        <w:rPr>
          <w:rFonts w:ascii="宋体" w:hAnsi="宋体" w:cs="宋体"/>
          <w:sz w:val="24"/>
          <w:szCs w:val="24"/>
        </w:rPr>
      </w:pPr>
      <w:r>
        <w:rPr>
          <w:rFonts w:hint="eastAsia" w:ascii="宋体" w:hAnsi="宋体" w:cs="宋体"/>
          <w:sz w:val="24"/>
          <w:szCs w:val="24"/>
        </w:rPr>
        <w:t>3.4.1以中标固定总价为依据签订合同。</w:t>
      </w:r>
    </w:p>
    <w:p>
      <w:pPr>
        <w:spacing w:line="360" w:lineRule="auto"/>
        <w:ind w:firstLine="480" w:firstLineChars="200"/>
        <w:rPr>
          <w:rFonts w:ascii="宋体"/>
          <w:sz w:val="24"/>
          <w:szCs w:val="24"/>
          <w:highlight w:val="yellow"/>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2本项目投标总价包含：</w:t>
      </w:r>
      <w:r>
        <w:rPr>
          <w:rFonts w:hint="eastAsia" w:ascii="宋体" w:hAnsi="宋体" w:cs="宋体"/>
          <w:color w:val="000000" w:themeColor="text1"/>
          <w:sz w:val="24"/>
          <w:szCs w:val="24"/>
        </w:rPr>
        <w:t>苗</w:t>
      </w:r>
      <w:r>
        <w:rPr>
          <w:rFonts w:hint="eastAsia" w:ascii="宋体" w:hAnsi="宋体" w:cs="宋体"/>
          <w:color w:val="auto"/>
          <w:sz w:val="24"/>
          <w:szCs w:val="24"/>
        </w:rPr>
        <w:t>木费、</w:t>
      </w:r>
      <w:r>
        <w:rPr>
          <w:rFonts w:hint="eastAsia" w:ascii="宋体" w:hAnsi="宋体" w:cs="宋体"/>
          <w:color w:val="000000" w:themeColor="text1"/>
          <w:sz w:val="24"/>
          <w:szCs w:val="24"/>
        </w:rPr>
        <w:t>人</w:t>
      </w:r>
      <w:r>
        <w:rPr>
          <w:rFonts w:hint="eastAsia" w:ascii="宋体" w:hAnsi="宋体" w:cs="宋体"/>
          <w:sz w:val="24"/>
          <w:szCs w:val="24"/>
        </w:rPr>
        <w:t>工（劳务）费、机械设备费、物料、其他、运输费、应缴税费等，完成项目所需的其他全部费用；</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bookmarkStart w:id="29" w:name="OLE_LINK44"/>
      <w:r>
        <w:rPr>
          <w:rFonts w:hint="eastAsia" w:ascii="宋体" w:hAnsi="宋体" w:cs="宋体"/>
          <w:sz w:val="24"/>
          <w:szCs w:val="24"/>
        </w:rPr>
        <w:t>3本工程投标组价时应妥善考虑，正式施工时固定总价不因国家法律、行政法规和国家政策变化及原材料市场价发生变化等进行调整。</w:t>
      </w:r>
    </w:p>
    <w:bookmarkEnd w:id="29"/>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4投标人应先到工地踏勘以充分了解工地位置、情况、道路、储存空间、装卸限制及任何其他足以影响投标价的情况，任何因投标人忽视或误解工地情况而导致的其提出的任何索赔或工期延长申请将不被批准。凡因投标人对招标文件阅读疏忽或误解，或因对施工现场、施工环境、市场行情等了解不清而造成的后果和风险，均由投标人负责。</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3.4.5编制投标报价的其他约定</w:t>
      </w:r>
    </w:p>
    <w:p>
      <w:pPr>
        <w:spacing w:line="360" w:lineRule="auto"/>
        <w:ind w:firstLine="480" w:firstLineChars="200"/>
        <w:rPr>
          <w:rFonts w:asciiTheme="minorEastAsia" w:hAnsiTheme="minorEastAsia" w:eastAsiaTheme="minorEastAsia" w:cstheme="minorEastAsia"/>
          <w:sz w:val="24"/>
          <w:szCs w:val="24"/>
        </w:rPr>
      </w:pPr>
      <w:bookmarkStart w:id="30" w:name="OLE_LINK21"/>
      <w:r>
        <w:rPr>
          <w:rFonts w:hint="eastAsia" w:asciiTheme="minorEastAsia" w:hAnsiTheme="minorEastAsia" w:eastAsiaTheme="minorEastAsia" w:cstheme="minorEastAsia"/>
          <w:sz w:val="24"/>
          <w:szCs w:val="24"/>
        </w:rPr>
        <w:t>3.4.6.</w:t>
      </w:r>
      <w:bookmarkEnd w:id="30"/>
      <w:r>
        <w:rPr>
          <w:rFonts w:hint="eastAsia" w:asciiTheme="minorEastAsia" w:hAnsiTheme="minorEastAsia" w:eastAsiaTheme="minorEastAsia" w:cstheme="minorEastAsia"/>
          <w:sz w:val="24"/>
          <w:szCs w:val="24"/>
        </w:rPr>
        <w:t>1投标人根据自行确定的施工组织设计或施工方案进行自主报价。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3.4.6.2投标人应针对拟建工程编制保证安全施工、文明施工和环境保护的技术措施方案。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3.4.6.3投标人因承包本合同工程需缴纳的一切税费均由投标人承担，并包含在所报的单价或总额价内。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3.4.6.4投标人应为建设工程和施工场地内自有人员及第三方人员生命财产及运至施工场地内用于工程的材料办理保险，投标人的投标价中应含的保险费，承包人装备险和承包人职工的（人身）事故险由投标人在其他项目清单保险费栏内自主列报，中标后包干使用。施工期间在施工区域内因非招标人原因发生的设备、材料、人员等的损害、伤害，招标人不再承担任何责任和费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3.4.6.5投标报价中的总价要与综合单价相对应。</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3.4.6.6投标函中的投标报价应与“投标总价”表中的投标总价数字相符，不允许在投标文件中出现两个报价。任何有选择的报价将不予接受，如“若我方中标，愿在中标价基础上再优惠或下浮多少”等类似报价方法,否则按无效投标处理。</w:t>
      </w:r>
      <w:bookmarkStart w:id="31" w:name="OLE_LINK113"/>
      <w:bookmarkStart w:id="32" w:name="OLE_LINK114"/>
      <w:bookmarkStart w:id="33" w:name="OLE_LINK63"/>
      <w:bookmarkStart w:id="34" w:name="OLE_LINK20"/>
      <w:bookmarkStart w:id="35" w:name="OLE_LINK74"/>
      <w:bookmarkStart w:id="36" w:name="OLE_LINK64"/>
    </w:p>
    <w:bookmarkEnd w:id="31"/>
    <w:bookmarkEnd w:id="32"/>
    <w:bookmarkEnd w:id="33"/>
    <w:bookmarkEnd w:id="34"/>
    <w:bookmarkEnd w:id="35"/>
    <w:bookmarkEnd w:id="36"/>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3.4.7服务费收费标准：按国家计委颁发的《招标代理服务收费管理暂行办法》（计价格[2002]1980号）和国家发展改革委员会办公厅颁发的《关于招标代理服务收费有关问题的通知》（发改办价格[2003]857号）的有关标准执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服务费收取方式：中标人承担招标代理服务费，中标人在领取中标通知书前，须向采购代理机构一次性支付招标代理服务费。</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3.5 投标有效期</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3.5.1 在投标人须知前附表规定的投标有效期内，投标人不得要求撤销或修改其投标文件。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3.6 投标保证金（本项目不缴纳投标保证金）</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3.6.1投标人在投标时应向陕西至诚项目管理集团有限公司提交“投标人须知前附表”规定数额的投标保证金,并作为其投标的一部分。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3.6.2投标保证金是为了保护招标人和招标代理机构免遭因投标人的行为而蒙受损失。</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3.6.3投标保证金的缴纳形式：转账、电汇、担保机构保函</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3.6.4投标保证金必须按照招标文件“投标人须知前附表”中规定的缴纳金额及方式办理。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3.6.5开标后经审查，未提交投标保证金、未按时间提交投标保证金、投标保证金金额不足或投标保证金缴纳凭证未附在投标文件内的投标将按无效投标处理。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3.6.6未中标人的投标保证金，将在中标通知书发出后五个工作日内退还；中标人的投标保证金，在施工合同签订后五个工作日内退还</w:t>
      </w:r>
      <w:r>
        <w:rPr>
          <w:rFonts w:hint="eastAsia" w:asciiTheme="minorEastAsia" w:hAnsiTheme="minorEastAsia" w:eastAsiaTheme="minorEastAsia" w:cstheme="minorEastAsia"/>
          <w:b/>
          <w:bCs/>
          <w:sz w:val="24"/>
          <w:szCs w:val="24"/>
        </w:rPr>
        <w:t>（退还时，须向采购代理机构提供采购合同原件扫描件壹份）</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3.6.7投标人以担保机构保函形式缴纳投标保证金的，招标结束之后将担保机构保函原件退回（退换时间参照3.4.6条款）；</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3.6.8下列任何情况发生时，视为投标人违约，其投标保证金将被没收：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投标人在投标有效期内撤回其投标；</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投标人中标后放弃成交、未能按规定签订合同</w:t>
      </w:r>
      <w:bookmarkStart w:id="37" w:name="OLE_LINK3"/>
      <w:r>
        <w:rPr>
          <w:rFonts w:hint="eastAsia" w:asciiTheme="minorEastAsia" w:hAnsiTheme="minorEastAsia" w:eastAsiaTheme="minorEastAsia" w:cstheme="minorEastAsia"/>
          <w:sz w:val="24"/>
          <w:szCs w:val="24"/>
        </w:rPr>
        <w:t>、</w:t>
      </w:r>
      <w:bookmarkEnd w:id="37"/>
      <w:r>
        <w:rPr>
          <w:rFonts w:hint="eastAsia" w:asciiTheme="minorEastAsia" w:hAnsiTheme="minorEastAsia" w:eastAsiaTheme="minorEastAsia" w:cstheme="minorEastAsia"/>
          <w:sz w:val="24"/>
          <w:szCs w:val="24"/>
        </w:rPr>
        <w:t>未按招标文件规定提交履约担保；</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3）投标人中标后将中标项目转让给他人，或者在投标文件中未说明，且未经招标人同意，将中标项目分包给他人的；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4）投标人事先未通告无故不参加投标活动的；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5）投标人在投标文件中提供伪造、套改、虚假资料参加投标的；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6）投标人不按法定程序进行质疑和投诉,捏造事实，查无实据，造成恶劣影响</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导致采购活动无法正常进行的；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3.6.9投标保证金的有</w:t>
      </w:r>
      <w:bookmarkStart w:id="38" w:name="OLE_LINK47"/>
      <w:r>
        <w:rPr>
          <w:rFonts w:hint="eastAsia" w:asciiTheme="minorEastAsia" w:hAnsiTheme="minorEastAsia" w:eastAsiaTheme="minorEastAsia" w:cstheme="minorEastAsia"/>
          <w:sz w:val="24"/>
          <w:szCs w:val="24"/>
        </w:rPr>
        <w:t>效</w:t>
      </w:r>
      <w:bookmarkEnd w:id="38"/>
      <w:r>
        <w:rPr>
          <w:rFonts w:hint="eastAsia" w:asciiTheme="minorEastAsia" w:hAnsiTheme="minorEastAsia" w:eastAsiaTheme="minorEastAsia" w:cstheme="minorEastAsia"/>
          <w:sz w:val="24"/>
          <w:szCs w:val="24"/>
        </w:rPr>
        <w:t>期与投标有效期一致，担保机构出具的保函有效期为投标有效期延长一个月。</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3.7备选投标方案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除投标人须知前附表另有规定外，投标人不得递交备选投标方案。</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3.8投标文件的编制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3.8.1 投标文件应按“投标文件格式”进行编写，如有必要，可以增加附页，作为投标文件的组成部分。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3.8.2 投标文件应当对招标文件有关工期、投标有效期、质量要求、技术标准和要求、招标范围等实质性内容作出响应。</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3.8.3 投标文件需打印或用不褪色的蓝(黑)色墨水(汁)书写,并由投标人法定代表人或经法定代表人正式授权的代表签字。投标文件若由授权代表签署，须按招标文件规定的格式出具的“法定代表人授权委托书”原件附在投标文件中。所有要求签字（名）处，均须由签字（名）者本人用不褪色的蓝(黑)色墨水(汁)书写，不得用任何形式的图章代替。所有投标文件按第六章规定的顺序编排、并应编制目录、逐页标注连续页码，每一页的正下方清楚标明第几页、共几页等字样，并统一装订（胶装）成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3.8.4 投标文件正本、副本份数见投标人须知前附表。正本和副本的封面上应清楚地标记“正本”或“副本”、“包号：第  包”的字样。当副本和正本不一致时，以正本为准。电子版投标文件内容包括投标文件的所有内容。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3.8.5 所有投标文件正本和副本须按第八章规定的顺序编排、编制目录、</w:t>
      </w:r>
      <w:r>
        <w:rPr>
          <w:rFonts w:hint="eastAsia" w:asciiTheme="minorEastAsia" w:hAnsiTheme="minorEastAsia" w:eastAsiaTheme="minorEastAsia" w:cstheme="minorEastAsia"/>
          <w:b/>
          <w:bCs/>
          <w:sz w:val="24"/>
          <w:szCs w:val="24"/>
        </w:rPr>
        <w:t>投标文件正本需逐页加盖投标人公章</w:t>
      </w:r>
      <w:r>
        <w:rPr>
          <w:rFonts w:hint="eastAsia" w:asciiTheme="minorEastAsia" w:hAnsiTheme="minorEastAsia" w:eastAsiaTheme="minorEastAsia" w:cstheme="minorEastAsia"/>
          <w:sz w:val="24"/>
          <w:szCs w:val="24"/>
        </w:rPr>
        <w:t>。每一页的正下方清楚标第几页、共几页等字样，并分别胶装成册。</w:t>
      </w:r>
    </w:p>
    <w:p>
      <w:pPr>
        <w:spacing w:beforeLines="50" w:afterLines="50" w:line="360" w:lineRule="auto"/>
        <w:rPr>
          <w:rFonts w:asciiTheme="minorEastAsia" w:hAnsiTheme="minorEastAsia" w:eastAsiaTheme="minorEastAsia" w:cstheme="minorEastAsia"/>
          <w:b/>
          <w:bCs/>
          <w:sz w:val="24"/>
          <w:szCs w:val="24"/>
        </w:rPr>
      </w:pPr>
      <w:bookmarkStart w:id="39" w:name="_Toc425240467"/>
      <w:bookmarkStart w:id="40" w:name="_Toc420591646"/>
      <w:bookmarkStart w:id="41" w:name="_Toc421778368"/>
      <w:r>
        <w:rPr>
          <w:rFonts w:hint="eastAsia" w:asciiTheme="minorEastAsia" w:hAnsiTheme="minorEastAsia" w:eastAsiaTheme="minorEastAsia" w:cstheme="minorEastAsia"/>
          <w:b/>
          <w:bCs/>
          <w:sz w:val="24"/>
          <w:szCs w:val="24"/>
        </w:rPr>
        <w:t>4．投标</w:t>
      </w:r>
      <w:bookmarkEnd w:id="39"/>
      <w:bookmarkEnd w:id="40"/>
      <w:bookmarkEnd w:id="41"/>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 投标文件的密封和标记</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投标文件的密封：投标文件须胶装成套且须用密封袋密封，包括投标文件正本、副本、投标文件电子版，开标一览表（投标人需另外单独准备一份与正本内容一致的开标一览表），若与正本内容不一致，则按单独的开标一览表为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4.1.2投标文件的封套上应清楚地标记“正本”、“副本”“第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包”字样，封套上应写明的其他内容见投标人须知前附表。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4.1.3未按本章第3.6.3、第3.6.4项和第4.1.2项要求密封和加写标记的投标文件，招标代理机构不予受理。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4.2 投标文件的递交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4.2.1 投标人应在投标人须知前附表第4.2.2 项规定的投标截止时间前递交投标文件。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4.2.2 投标人递交投标文件的地点：见投标人须知前附表。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4.2.3 投标人所递交的投标文件不予退还。</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4.2.4逾期送达的或者未送达指定地点的投标文件，</w:t>
      </w:r>
      <w:bookmarkStart w:id="42" w:name="OLE_LINK50"/>
      <w:r>
        <w:rPr>
          <w:rFonts w:hint="eastAsia" w:asciiTheme="minorEastAsia" w:hAnsiTheme="minorEastAsia" w:eastAsiaTheme="minorEastAsia" w:cstheme="minorEastAsia"/>
          <w:sz w:val="24"/>
          <w:szCs w:val="24"/>
        </w:rPr>
        <w:t>招标代理机构</w:t>
      </w:r>
      <w:bookmarkEnd w:id="42"/>
      <w:r>
        <w:rPr>
          <w:rFonts w:hint="eastAsia" w:asciiTheme="minorEastAsia" w:hAnsiTheme="minorEastAsia" w:eastAsiaTheme="minorEastAsia" w:cstheme="minorEastAsia"/>
          <w:sz w:val="24"/>
          <w:szCs w:val="24"/>
        </w:rPr>
        <w:t>不予受理。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4.3 投标文件的修改与撤回</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4.3.1 在投标人须知前附表第4.2.2 项规定的投标截止时间前，投标人可以修改或撤回已递交的投标文件，但应以书面形式通知招标人。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4.3.2 投标人修改或撤回已递交投标文件的书面通知应按照本章第3.6.5项的要求签字和盖章。</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4.3.3 修改的内容为投标文件的组成部分。修改的投标文件应按照本章第3条、第4条规定进行编制、密封、标记和递交，并标明“修改”字样。</w:t>
      </w:r>
    </w:p>
    <w:p>
      <w:pPr>
        <w:spacing w:beforeLines="50" w:afterLines="50" w:line="360" w:lineRule="auto"/>
        <w:rPr>
          <w:rFonts w:asciiTheme="minorEastAsia" w:hAnsiTheme="minorEastAsia" w:eastAsiaTheme="minorEastAsia" w:cstheme="minorEastAsia"/>
          <w:b/>
          <w:bCs/>
          <w:sz w:val="24"/>
          <w:szCs w:val="24"/>
        </w:rPr>
      </w:pPr>
      <w:bookmarkStart w:id="43" w:name="_Toc421778369"/>
      <w:bookmarkStart w:id="44" w:name="_Toc420591647"/>
      <w:bookmarkStart w:id="45" w:name="_Toc425240468"/>
      <w:r>
        <w:rPr>
          <w:rFonts w:hint="eastAsia" w:asciiTheme="minorEastAsia" w:hAnsiTheme="minorEastAsia" w:eastAsiaTheme="minorEastAsia" w:cstheme="minorEastAsia"/>
          <w:b/>
          <w:bCs/>
          <w:sz w:val="24"/>
          <w:szCs w:val="24"/>
        </w:rPr>
        <w:t>5．开标</w:t>
      </w:r>
      <w:bookmarkEnd w:id="43"/>
      <w:bookmarkEnd w:id="44"/>
      <w:bookmarkEnd w:id="45"/>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5.1 开标时间和地点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见投标人须知前附表。</w:t>
      </w:r>
    </w:p>
    <w:p>
      <w:pPr>
        <w:spacing w:beforeLines="50" w:afterLines="50" w:line="360" w:lineRule="auto"/>
        <w:rPr>
          <w:rFonts w:asciiTheme="minorEastAsia" w:hAnsiTheme="minorEastAsia" w:eastAsiaTheme="minorEastAsia" w:cstheme="minorEastAsia"/>
          <w:b/>
          <w:bCs/>
          <w:sz w:val="24"/>
          <w:szCs w:val="24"/>
        </w:rPr>
      </w:pPr>
      <w:bookmarkStart w:id="46" w:name="_Toc421778370"/>
      <w:bookmarkStart w:id="47" w:name="_Toc420591648"/>
      <w:bookmarkStart w:id="48" w:name="_Toc425240469"/>
      <w:r>
        <w:rPr>
          <w:rFonts w:hint="eastAsia" w:asciiTheme="minorEastAsia" w:hAnsiTheme="minorEastAsia" w:eastAsiaTheme="minorEastAsia" w:cstheme="minorEastAsia"/>
          <w:b/>
          <w:bCs/>
          <w:sz w:val="24"/>
          <w:szCs w:val="24"/>
        </w:rPr>
        <w:t>6．评标</w:t>
      </w:r>
      <w:bookmarkEnd w:id="46"/>
      <w:bookmarkEnd w:id="47"/>
      <w:bookmarkEnd w:id="48"/>
    </w:p>
    <w:p>
      <w:pPr>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6.1 评标委员会</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 评标由招标人依法组建的评标委员会负责。评标委员会由招标人代表和具备相关专业的专家等7人以上单数组成评标委员会；</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6.1.2 评标委员会成员有下列情形之一的，应当回避：</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(1）投标人或投标人的主要负责人的近亲属；</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(2）与投标人有经济利益关系，可能影响对投标公正评审的；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(3）曾因在招标、评标以及其他与招标投标有关活动中从事违法行为而受过行政处罚或刑事处罚的。</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6.2 评标原则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评标活动遵循公平、公正、科学和择优的原则。</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6.3 评标</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6.3.2评标过程的保密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（1）开标后，直至授予中标人合同为止，凡属于对投标文件的审查、补遗、评价和比较的有关资料以及中标候选人的推荐情况等均严格保密。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（2）在投标文件的评审、中标候选人推荐以及授予合同的过程中，投标人向招标人和评标委员会施加影响的任何行为，都将会导致其投标被拒绝直至取消其中标资格。</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（3）中标人确定后，招标人不对未中标人就评标过程以及未能中标原因作出任何解释。未中标人不得向评标委员会组成人员或其他有关人员索问评标过程的情况和材料。</w:t>
      </w:r>
    </w:p>
    <w:p>
      <w:pPr>
        <w:spacing w:beforeLines="50" w:afterLines="50" w:line="360" w:lineRule="auto"/>
        <w:rPr>
          <w:rFonts w:asciiTheme="minorEastAsia" w:hAnsiTheme="minorEastAsia" w:eastAsiaTheme="minorEastAsia" w:cstheme="minorEastAsia"/>
          <w:b/>
          <w:bCs/>
          <w:sz w:val="24"/>
          <w:szCs w:val="24"/>
        </w:rPr>
      </w:pPr>
      <w:bookmarkStart w:id="49" w:name="_Toc420591649"/>
      <w:bookmarkStart w:id="50" w:name="_Toc421778371"/>
      <w:bookmarkStart w:id="51" w:name="_Toc425240470"/>
      <w:r>
        <w:rPr>
          <w:rFonts w:hint="eastAsia" w:asciiTheme="minorEastAsia" w:hAnsiTheme="minorEastAsia" w:eastAsiaTheme="minorEastAsia" w:cstheme="minorEastAsia"/>
          <w:b/>
          <w:bCs/>
          <w:sz w:val="24"/>
          <w:szCs w:val="24"/>
        </w:rPr>
        <w:t>7．合同授予</w:t>
      </w:r>
      <w:bookmarkEnd w:id="49"/>
      <w:bookmarkEnd w:id="50"/>
      <w:bookmarkEnd w:id="51"/>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7.1 定标方式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评标委员会推荐3名中标候选人，并标明推荐顺序，招标人依据评标委员会推荐的中标候选人确定中标人。</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7.2 中标通知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在本章第3.3 款规定的投标有效期内，经招标人同意由招标代理机构以书面形式向中标人发出中标通知书。</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7.3 签订合同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招标人和中标人应当自中标通知书发出之日起30天内，根据招标文件和中标人的投标文件订立书面合同；中标人无正当理由拒签合同的，招标人取消其中标资格，其投标保证金不予退还；给招标人和招标代理机构造成的损失超过投标保证金数额的，中标人还应当对超过部分予以赔偿。</w:t>
      </w:r>
    </w:p>
    <w:p>
      <w:pPr>
        <w:spacing w:beforeLines="50" w:afterLines="50" w:line="360" w:lineRule="auto"/>
        <w:rPr>
          <w:rFonts w:asciiTheme="minorEastAsia" w:hAnsiTheme="minorEastAsia" w:eastAsiaTheme="minorEastAsia" w:cstheme="minorEastAsia"/>
          <w:b/>
          <w:bCs/>
          <w:sz w:val="24"/>
          <w:szCs w:val="24"/>
        </w:rPr>
      </w:pPr>
      <w:bookmarkStart w:id="52" w:name="_Toc425240471"/>
      <w:bookmarkStart w:id="53" w:name="_Toc420591650"/>
      <w:bookmarkStart w:id="54" w:name="_Toc421778372"/>
      <w:r>
        <w:rPr>
          <w:rFonts w:hint="eastAsia" w:asciiTheme="minorEastAsia" w:hAnsiTheme="minorEastAsia" w:eastAsiaTheme="minorEastAsia" w:cstheme="minorEastAsia"/>
          <w:b/>
          <w:bCs/>
          <w:sz w:val="24"/>
          <w:szCs w:val="24"/>
        </w:rPr>
        <w:t>8．重新招标和不再招标</w:t>
      </w:r>
      <w:bookmarkEnd w:id="52"/>
      <w:bookmarkEnd w:id="53"/>
      <w:bookmarkEnd w:id="54"/>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8.1 重新招标</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有下列情形之一的，招标人将重新招标：</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（l）投标截止时间止，投标人少于3个的；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（2）经评标委员会评审后否决所有投标的。</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8.2 不再招标</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重新招标后投标人仍少于3个或者所有投标被否决的，属于必须审批或核准的工程建设项目，经原审批或核准部门批准后不再进行招标。</w:t>
      </w:r>
    </w:p>
    <w:p>
      <w:pPr>
        <w:spacing w:beforeLines="50" w:afterLines="50" w:line="360" w:lineRule="auto"/>
        <w:rPr>
          <w:rFonts w:asciiTheme="minorEastAsia" w:hAnsiTheme="minorEastAsia" w:eastAsiaTheme="minorEastAsia" w:cstheme="minorEastAsia"/>
          <w:b/>
          <w:bCs/>
          <w:sz w:val="24"/>
          <w:szCs w:val="24"/>
        </w:rPr>
      </w:pPr>
      <w:bookmarkStart w:id="55" w:name="_Toc425240472"/>
      <w:bookmarkStart w:id="56" w:name="_Toc420591651"/>
      <w:bookmarkStart w:id="57" w:name="_Toc421778373"/>
      <w:r>
        <w:rPr>
          <w:rFonts w:hint="eastAsia" w:asciiTheme="minorEastAsia" w:hAnsiTheme="minorEastAsia" w:eastAsiaTheme="minorEastAsia" w:cstheme="minorEastAsia"/>
          <w:b/>
          <w:bCs/>
          <w:sz w:val="24"/>
          <w:szCs w:val="24"/>
        </w:rPr>
        <w:t>9．纪律和监督</w:t>
      </w:r>
      <w:bookmarkEnd w:id="55"/>
      <w:bookmarkEnd w:id="56"/>
      <w:bookmarkEnd w:id="57"/>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9.1 对招标人的纪律要求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招标人不得泄漏招标投标活动中应当保密的情况和资料，不得与投标人串通损害国家利益、社会公共利益或者他人合法权益。</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9.2 对投标人的纪律要求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9.3 对评标委员会成员的纪律要求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9.4 对与评标活动有关的工作人员的纪律要求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9.5 投诉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投标人和其他利害关系人认为本次招标活动违反法律、法规和规章规定的，有权向有关行政监督部门投诉。</w:t>
      </w:r>
    </w:p>
    <w:p>
      <w:pPr>
        <w:spacing w:beforeLines="50" w:afterLines="50" w:line="360" w:lineRule="auto"/>
        <w:rPr>
          <w:rFonts w:asciiTheme="minorEastAsia" w:hAnsiTheme="minorEastAsia" w:eastAsiaTheme="minorEastAsia" w:cstheme="minorEastAsia"/>
          <w:b/>
          <w:bCs/>
          <w:sz w:val="24"/>
          <w:szCs w:val="24"/>
        </w:rPr>
      </w:pPr>
      <w:bookmarkStart w:id="58" w:name="_Toc421778374"/>
      <w:bookmarkStart w:id="59" w:name="_Toc425240473"/>
      <w:bookmarkStart w:id="60" w:name="_Toc420591652"/>
      <w:r>
        <w:rPr>
          <w:rFonts w:hint="eastAsia" w:asciiTheme="minorEastAsia" w:hAnsiTheme="minorEastAsia" w:eastAsiaTheme="minorEastAsia" w:cstheme="minorEastAsia"/>
          <w:b/>
          <w:bCs/>
          <w:sz w:val="24"/>
          <w:szCs w:val="24"/>
        </w:rPr>
        <w:t>10、需要补充的其他内容：</w:t>
      </w:r>
      <w:bookmarkStart w:id="61" w:name="_Toc356305901"/>
      <w:r>
        <w:rPr>
          <w:rFonts w:hint="eastAsia" w:asciiTheme="minorEastAsia" w:hAnsiTheme="minorEastAsia" w:eastAsiaTheme="minorEastAsia" w:cstheme="minorEastAsia"/>
          <w:b/>
          <w:bCs/>
          <w:sz w:val="24"/>
          <w:szCs w:val="24"/>
        </w:rPr>
        <w:t>详见投标人须知前附表</w:t>
      </w:r>
      <w:bookmarkEnd w:id="61"/>
      <w:r>
        <w:rPr>
          <w:rFonts w:hint="eastAsia" w:asciiTheme="minorEastAsia" w:hAnsiTheme="minorEastAsia" w:eastAsiaTheme="minorEastAsia" w:cstheme="minorEastAsia"/>
          <w:b/>
          <w:bCs/>
          <w:sz w:val="24"/>
          <w:szCs w:val="24"/>
        </w:rPr>
        <w:t>。</w:t>
      </w:r>
      <w:bookmarkEnd w:id="58"/>
      <w:bookmarkEnd w:id="59"/>
      <w:bookmarkEnd w:id="60"/>
    </w:p>
    <w:p>
      <w:pPr>
        <w:spacing w:beforeLines="50" w:afterLines="50" w:line="360" w:lineRule="auto"/>
        <w:rPr>
          <w:rFonts w:asciiTheme="minorEastAsia" w:hAnsiTheme="minorEastAsia" w:eastAsiaTheme="minorEastAsia" w:cstheme="minorEastAsia"/>
          <w:b/>
          <w:bCs/>
          <w:sz w:val="24"/>
          <w:szCs w:val="24"/>
        </w:rPr>
      </w:pPr>
      <w:bookmarkStart w:id="62" w:name="_Toc420591653"/>
      <w:bookmarkStart w:id="63" w:name="_Toc421778375"/>
      <w:bookmarkStart w:id="64" w:name="_Toc425240474"/>
      <w:r>
        <w:rPr>
          <w:rFonts w:hint="eastAsia" w:asciiTheme="minorEastAsia" w:hAnsiTheme="minorEastAsia" w:eastAsiaTheme="minorEastAsia" w:cstheme="minorEastAsia"/>
          <w:b/>
          <w:bCs/>
          <w:sz w:val="24"/>
          <w:szCs w:val="24"/>
        </w:rPr>
        <w:t>11、招标代理服务费</w:t>
      </w:r>
      <w:bookmarkEnd w:id="62"/>
      <w:bookmarkEnd w:id="63"/>
      <w:bookmarkEnd w:id="64"/>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11.1由中标单位向招标代理机构一次性缴付招标代理服务费。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收费标准：按国家计委颁发的《招标代理服务收费管理暂行办法》（计价格[2002]1980号）和国家发展改革委员会办公厅颁发的《关于招标代理服务收费有关问题的通知》（发改办价格[2003]857号）的有关标准执行。</w:t>
      </w:r>
    </w:p>
    <w:p>
      <w:pPr>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12.质疑</w:t>
      </w:r>
    </w:p>
    <w:p>
      <w:pPr>
        <w:spacing w:line="500" w:lineRule="exact"/>
        <w:ind w:right="12"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12.1投标人认为招标文件、招标过程、中标结果使自己的权益受到损害的，可以在知道或者应知其权益受到损害之日起7个工作日内，以书面形式向采购人、采购代理机构提出质疑。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30"/>
          <w:rFonts w:asciiTheme="minorEastAsia" w:hAnsiTheme="minorEastAsia" w:eastAsiaTheme="minorEastAsia" w:cstheme="minorEastAsia"/>
          <w:bCs w:val="0"/>
          <w:sz w:val="24"/>
          <w:szCs w:val="24"/>
          <w:shd w:val="clear" w:color="auto" w:fill="FFFFFF"/>
        </w:rPr>
      </w:pPr>
      <w:r>
        <w:rPr>
          <w:rFonts w:hint="eastAsia" w:asciiTheme="minorEastAsia" w:hAnsiTheme="minorEastAsia" w:eastAsiaTheme="minorEastAsia" w:cstheme="minorEastAsia"/>
          <w:sz w:val="24"/>
          <w:szCs w:val="24"/>
        </w:rPr>
        <w:t>12.2投标人必须在法定质疑期内一次性提出针对同一采购程序环节的质疑。</w:t>
      </w:r>
    </w:p>
    <w:p>
      <w:pPr>
        <w:spacing w:line="500" w:lineRule="exact"/>
        <w:ind w:left="3" w:firstLine="518" w:firstLineChars="216"/>
        <w:rPr>
          <w:rStyle w:val="30"/>
          <w:rFonts w:asciiTheme="minorEastAsia" w:hAnsiTheme="minorEastAsia" w:eastAsiaTheme="minorEastAsia" w:cstheme="minorEastAsia"/>
          <w:sz w:val="24"/>
          <w:szCs w:val="24"/>
          <w:shd w:val="clear" w:color="auto" w:fill="FFFFFF"/>
        </w:rPr>
      </w:pPr>
      <w:r>
        <w:rPr>
          <w:rStyle w:val="30"/>
          <w:rFonts w:hint="eastAsia" w:asciiTheme="minorEastAsia" w:hAnsiTheme="minorEastAsia" w:eastAsiaTheme="minorEastAsia" w:cstheme="minorEastAsia"/>
          <w:sz w:val="24"/>
          <w:szCs w:val="24"/>
          <w:shd w:val="clear" w:color="auto" w:fill="FFFFFF"/>
        </w:rPr>
        <w:t>12.3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500" w:lineRule="exact"/>
        <w:ind w:left="3" w:firstLine="518" w:firstLineChars="216"/>
        <w:rPr>
          <w:rStyle w:val="30"/>
          <w:rFonts w:asciiTheme="minorEastAsia" w:hAnsiTheme="minorEastAsia" w:eastAsiaTheme="minorEastAsia" w:cstheme="minorEastAsia"/>
          <w:sz w:val="24"/>
          <w:szCs w:val="24"/>
          <w:shd w:val="clear" w:color="auto" w:fill="FFFFFF"/>
        </w:rPr>
      </w:pPr>
      <w:r>
        <w:rPr>
          <w:rStyle w:val="30"/>
          <w:rFonts w:hint="eastAsia" w:asciiTheme="minorEastAsia" w:hAnsiTheme="minorEastAsia" w:eastAsiaTheme="minorEastAsia" w:cstheme="minorEastAsia"/>
          <w:sz w:val="24"/>
          <w:szCs w:val="24"/>
          <w:shd w:val="clear" w:color="auto" w:fill="FFFFFF"/>
        </w:rPr>
        <w:t>12.4以联合体形式参加政府采购活动的，其质疑应当由组成联合体的所有投标人共同提出。</w:t>
      </w:r>
    </w:p>
    <w:p>
      <w:pPr>
        <w:spacing w:line="500" w:lineRule="exact"/>
        <w:ind w:right="12" w:firstLine="480" w:firstLineChars="200"/>
        <w:rPr>
          <w:rFonts w:asciiTheme="minorEastAsia" w:hAnsiTheme="minorEastAsia" w:eastAsiaTheme="minorEastAsia" w:cstheme="minorEastAsia"/>
          <w:sz w:val="24"/>
          <w:szCs w:val="24"/>
        </w:rPr>
      </w:pPr>
      <w:r>
        <w:rPr>
          <w:rStyle w:val="30"/>
          <w:rFonts w:hint="eastAsia" w:asciiTheme="minorEastAsia" w:hAnsiTheme="minorEastAsia" w:eastAsiaTheme="minorEastAsia" w:cstheme="minorEastAsia"/>
          <w:sz w:val="24"/>
          <w:szCs w:val="24"/>
          <w:shd w:val="clear" w:color="auto" w:fill="FFFFFF"/>
        </w:rPr>
        <w:t>12</w:t>
      </w:r>
      <w:r>
        <w:rPr>
          <w:rFonts w:hint="eastAsia" w:asciiTheme="minorEastAsia" w:hAnsiTheme="minorEastAsia" w:eastAsiaTheme="minorEastAsia" w:cstheme="minorEastAsia"/>
          <w:sz w:val="24"/>
          <w:szCs w:val="24"/>
        </w:rPr>
        <w:t>.5投标人提出质疑应当提交质疑函和必要的证明材料。质疑函应当包括下列内容：</w:t>
      </w:r>
    </w:p>
    <w:p>
      <w:pPr>
        <w:spacing w:line="500" w:lineRule="exact"/>
        <w:ind w:right="1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12.5.1投标人的姓名或者名称、地址、邮编、联系人及联系电话；</w:t>
      </w:r>
    </w:p>
    <w:p>
      <w:pPr>
        <w:spacing w:line="500" w:lineRule="exact"/>
        <w:ind w:right="1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12.5.2质疑项目的名称、编号；</w:t>
      </w:r>
    </w:p>
    <w:p>
      <w:pPr>
        <w:spacing w:line="500" w:lineRule="exact"/>
        <w:ind w:right="1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12.5.3具体、明确的质疑事项和与质疑事项相关的请求；</w:t>
      </w:r>
    </w:p>
    <w:p>
      <w:pPr>
        <w:spacing w:line="500" w:lineRule="exact"/>
        <w:ind w:right="1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12.5.4事实依据；</w:t>
      </w:r>
    </w:p>
    <w:p>
      <w:pPr>
        <w:spacing w:line="500" w:lineRule="exact"/>
        <w:ind w:right="1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12.5.5必要的法律依据；</w:t>
      </w:r>
    </w:p>
    <w:p>
      <w:pPr>
        <w:spacing w:line="500" w:lineRule="exact"/>
        <w:ind w:right="12" w:firstLine="480" w:firstLineChars="200"/>
        <w:rPr>
          <w:rStyle w:val="30"/>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rPr>
        <w:t>12.5.6提出质疑的日期。</w:t>
      </w:r>
    </w:p>
    <w:p>
      <w:pPr>
        <w:widowControl/>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12.6有下列情形之一的，属于无效质疑，采购代理机构和采购人不予受理：</w:t>
      </w:r>
    </w:p>
    <w:p>
      <w:pPr>
        <w:widowControl/>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12.6.1质疑投标人不是参与本次政府采购项目的投标人；</w:t>
      </w:r>
    </w:p>
    <w:p>
      <w:pPr>
        <w:widowControl/>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12.6.2质疑投标人与质疑事项不存在利害关系的；</w:t>
      </w:r>
    </w:p>
    <w:p>
      <w:pPr>
        <w:widowControl/>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12.6.3未在法定期限内提出质疑的；</w:t>
      </w:r>
    </w:p>
    <w:p>
      <w:pPr>
        <w:widowControl/>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12.6.4质疑未以书面形式提出，或质疑函主要内容构成不完整的；</w:t>
      </w:r>
    </w:p>
    <w:p>
      <w:pPr>
        <w:widowControl/>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12.6.5应当提交授权书而未提交的；</w:t>
      </w:r>
    </w:p>
    <w:p>
      <w:pPr>
        <w:widowControl/>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12.6.6以非法手段取得证据、材料的；</w:t>
      </w:r>
    </w:p>
    <w:p>
      <w:pPr>
        <w:widowControl/>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12.6.7质疑答复后，同一质疑人就同一事项或同一采购程序环节再次提出质疑的；</w:t>
      </w:r>
    </w:p>
    <w:p>
      <w:pPr>
        <w:widowControl/>
        <w:spacing w:line="500" w:lineRule="exact"/>
        <w:ind w:firstLine="480" w:firstLineChars="200"/>
        <w:rPr>
          <w:rStyle w:val="30"/>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rPr>
        <w:t>12.6.8不符合法律、法规、规章和政府采购监管机构规定的其他条件的。</w:t>
      </w:r>
    </w:p>
    <w:p>
      <w:pPr>
        <w:spacing w:line="500" w:lineRule="exact"/>
        <w:ind w:right="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12.7质疑答复</w:t>
      </w:r>
    </w:p>
    <w:p>
      <w:pPr>
        <w:pStyle w:val="40"/>
        <w:spacing w:line="500" w:lineRule="exact"/>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12.7.1采购人或采购代理机构在收到质疑函后7个工作日内作出答复，并以书面形式通知质疑投标人和其他有关投标人。</w:t>
      </w:r>
    </w:p>
    <w:p>
      <w:pPr>
        <w:pStyle w:val="40"/>
        <w:spacing w:line="500" w:lineRule="exact"/>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12.7.2质疑投标人对采购人、采购代理机构的答复不满意，或者采购人、采购代理机构未在规定时间内作出答复的，可以在答复期满后15个工作日内向项目主管财政部门提起投诉。</w:t>
      </w:r>
    </w:p>
    <w:p>
      <w:pPr>
        <w:pStyle w:val="40"/>
        <w:spacing w:line="500" w:lineRule="exact"/>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12.8.1质疑函须按财政部《质疑函范本》给定的格式进行填写，范本下载详见【财政部国库司（gks.mof.gov.cn）】网站〖首页·政府采购管理〗栏目中的《政府采购供应商质疑函范本》。《政府采购供应商质疑函范本》链接地址：</w:t>
      </w:r>
    </w:p>
    <w:p>
      <w:pPr>
        <w:pStyle w:val="40"/>
        <w:spacing w:line="500" w:lineRule="exact"/>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http://gks.mof.gov.cn/zhengfucaigouguanli/201802/t20180201_2804589.html</w:t>
      </w:r>
    </w:p>
    <w:p>
      <w:pPr>
        <w:pStyle w:val="40"/>
        <w:spacing w:line="500" w:lineRule="exact"/>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12.8.2接收质疑函的方式：书面形式</w:t>
      </w:r>
    </w:p>
    <w:p>
      <w:pPr>
        <w:pStyle w:val="40"/>
        <w:spacing w:line="500" w:lineRule="exact"/>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12.8.3联系部门：陕西至诚项目管理集团有限公司前台</w:t>
      </w:r>
    </w:p>
    <w:p>
      <w:pPr>
        <w:pStyle w:val="40"/>
        <w:spacing w:line="500" w:lineRule="exact"/>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12.8.4联系电话：029-88219779</w:t>
      </w:r>
    </w:p>
    <w:p>
      <w:pPr>
        <w:pStyle w:val="40"/>
        <w:spacing w:line="500" w:lineRule="exact"/>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31.8.5通讯地址：陕西省西安市经济技术开发区未央路171-1号银池道拉斯财富中心21楼</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13.其他</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废标的情形</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13.1.1招标采购中，出现下列情形之一的，应予以废标：</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（1）符合专业条件的投标人或者对招标文件作实质响应的投标人不足3家的；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（2）出现影响采购公正的违法、违规行为的；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（3）投标人的报价均超过了采购预算，采购人不能支付的；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（4）因重大变故，采购任务取消的。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13.1.2废标后，采购代理机构应在财政部门指定采购网上公告，并公告废标的详细理由。</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13.2变更采购方式</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13.2.1存在下列情形之一的，除采购任务取消情形外，采购人经同级财政部门同意后，可按《政府采购货物和服务招标投标管理办法》（财政部87号令）第四十三条规定的方式处理：</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（1）投标截止后参加投标的人不足3家的；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（2）通过资格审查的投标人不足3家的；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（3）通过符合性审查的投标人不足3家的。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13.2.2通过符合性审查的投标人只有2家时，采购人经同级财政部门同意后，可以按《政府采购非招标采购方式管理办法》（财政部第74号令）的规定与该2家投标人进行竞争性谈判采购。</w:t>
      </w:r>
    </w:p>
    <w:p>
      <w:pPr>
        <w:spacing w:line="360" w:lineRule="auto"/>
        <w:ind w:firstLine="480" w:firstLineChars="200"/>
        <w:rPr>
          <w:rFonts w:asciiTheme="minorEastAsia" w:hAnsiTheme="minorEastAsia" w:eastAsiaTheme="minorEastAsia" w:cstheme="minorEastAsia"/>
          <w:sz w:val="24"/>
          <w:szCs w:val="24"/>
        </w:rPr>
      </w:pPr>
    </w:p>
    <w:p>
      <w:pPr>
        <w:spacing w:line="360" w:lineRule="auto"/>
        <w:ind w:firstLine="420" w:firstLineChars="200"/>
        <w:rPr>
          <w:rFonts w:asciiTheme="minorEastAsia" w:hAnsiTheme="minorEastAsia" w:eastAsiaTheme="minorEastAsia" w:cstheme="minorEastAsia"/>
        </w:rPr>
        <w:sectPr>
          <w:footerReference r:id="rId8" w:type="default"/>
          <w:pgSz w:w="11906" w:h="16838"/>
          <w:pgMar w:top="1304" w:right="1361" w:bottom="1304" w:left="1361" w:header="851" w:footer="992" w:gutter="0"/>
          <w:pgNumType w:start="1"/>
          <w:cols w:space="0" w:num="1"/>
          <w:docGrid w:type="lines" w:linePitch="312" w:charSpace="0"/>
        </w:sectPr>
      </w:pPr>
    </w:p>
    <w:p>
      <w:pPr>
        <w:pStyle w:val="4"/>
        <w:keepNext w:val="0"/>
        <w:pageBreakBefore/>
        <w:jc w:val="center"/>
        <w:rPr>
          <w:rFonts w:asciiTheme="minorEastAsia" w:hAnsiTheme="minorEastAsia" w:eastAsiaTheme="minorEastAsia" w:cstheme="minorEastAsia"/>
          <w:bCs/>
          <w:sz w:val="36"/>
          <w:szCs w:val="36"/>
        </w:rPr>
      </w:pPr>
      <w:bookmarkStart w:id="65" w:name="_Toc13146"/>
      <w:bookmarkStart w:id="66" w:name="_Toc21993"/>
      <w:bookmarkStart w:id="67" w:name="_Toc30469"/>
      <w:bookmarkStart w:id="68" w:name="_Toc8864"/>
      <w:bookmarkStart w:id="69" w:name="_Toc389582038"/>
      <w:bookmarkStart w:id="70" w:name="_Toc4053"/>
      <w:bookmarkStart w:id="71" w:name="_Toc20481"/>
      <w:bookmarkStart w:id="72" w:name="_Toc11450"/>
      <w:bookmarkStart w:id="73" w:name="_Toc1025"/>
      <w:bookmarkStart w:id="74" w:name="_Toc2711"/>
      <w:bookmarkStart w:id="75" w:name="_Toc23856"/>
      <w:bookmarkStart w:id="76" w:name="_Toc351989128"/>
      <w:bookmarkStart w:id="77" w:name="_Toc221523521"/>
      <w:bookmarkStart w:id="78" w:name="_Toc19346"/>
      <w:bookmarkStart w:id="79" w:name="_Toc421778377"/>
      <w:bookmarkStart w:id="80" w:name="_Toc9479"/>
      <w:r>
        <w:rPr>
          <w:rFonts w:hint="eastAsia" w:asciiTheme="minorEastAsia" w:hAnsiTheme="minorEastAsia" w:eastAsiaTheme="minorEastAsia" w:cstheme="minorEastAsia"/>
          <w:bCs/>
          <w:sz w:val="36"/>
          <w:szCs w:val="36"/>
        </w:rPr>
        <w:t>第三章  评审方法</w:t>
      </w:r>
      <w:bookmarkEnd w:id="65"/>
      <w:bookmarkEnd w:id="66"/>
      <w:bookmarkEnd w:id="67"/>
      <w:bookmarkEnd w:id="68"/>
    </w:p>
    <w:bookmarkEnd w:id="69"/>
    <w:bookmarkEnd w:id="70"/>
    <w:bookmarkEnd w:id="71"/>
    <w:bookmarkEnd w:id="72"/>
    <w:bookmarkEnd w:id="73"/>
    <w:bookmarkEnd w:id="74"/>
    <w:bookmarkEnd w:id="75"/>
    <w:p>
      <w:pPr>
        <w:spacing w:beforeLines="50" w:line="360" w:lineRule="auto"/>
        <w:rPr>
          <w:rFonts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rPr>
        <w:t>一．评标方法</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中华人民共和国政府采购法》及实施条例和《中华人民共和国招标投标法》及其实施条例的规定，本次评标采用综合评分法，即在最大限度地满足招标文件实质性要求前提下，按照招标文件中规定的各项因素和相应的权重分值进行综合评审后，以总得分最高的投标人作为中标候选人并依次排序（最低报价不是中标的唯一标准）。</w:t>
      </w:r>
    </w:p>
    <w:p>
      <w:pPr>
        <w:spacing w:beforeLines="50" w:line="360" w:lineRule="auto"/>
        <w:rPr>
          <w:rFonts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rPr>
        <w:t>二．评标委员会负责具体评标事务，并独立履行下列职责：</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（一）审查、评价投标文件是否符合招标文件的商务、技术等实质性要求；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（二）要求投标人对投标文件有关事项作出澄清或者说明；</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（三）对投标文件进行比较和评价；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（四）确定中标候选人名单，以及根据采购人委托直接确定中标人；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（五）向采购人、采购代理机构或者有关部门报告评标中发现的违法行为。</w:t>
      </w:r>
    </w:p>
    <w:p>
      <w:pPr>
        <w:spacing w:beforeLines="50" w:line="360" w:lineRule="auto"/>
        <w:rPr>
          <w:rFonts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rPr>
        <w:t>三.投标人存在下列情况之一的，投标无效：</w:t>
      </w:r>
    </w:p>
    <w:p>
      <w:pPr>
        <w:tabs>
          <w:tab w:val="left" w:pos="1260"/>
        </w:tabs>
        <w:spacing w:line="5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1）没有按照招标文件要求提供的投标文件或投标文件构成有重大缺项；</w:t>
      </w:r>
    </w:p>
    <w:p>
      <w:pPr>
        <w:kinsoku w:val="0"/>
        <w:spacing w:line="500" w:lineRule="exact"/>
        <w:ind w:firstLine="482" w:firstLineChars="200"/>
        <w:rPr>
          <w:rFonts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z w:val="24"/>
          <w:szCs w:val="24"/>
        </w:rPr>
        <w:t>2）投标</w:t>
      </w:r>
      <w:r>
        <w:rPr>
          <w:rFonts w:hint="eastAsia" w:asciiTheme="minorEastAsia" w:hAnsiTheme="minorEastAsia" w:eastAsiaTheme="minorEastAsia" w:cstheme="minorEastAsia"/>
          <w:b/>
          <w:bCs/>
          <w:spacing w:val="-6"/>
          <w:sz w:val="24"/>
          <w:szCs w:val="24"/>
        </w:rPr>
        <w:t>文件</w:t>
      </w:r>
      <w:r>
        <w:rPr>
          <w:rFonts w:hint="eastAsia" w:asciiTheme="minorEastAsia" w:hAnsiTheme="minorEastAsia" w:eastAsiaTheme="minorEastAsia" w:cstheme="minorEastAsia"/>
          <w:b/>
          <w:bCs/>
          <w:sz w:val="24"/>
          <w:szCs w:val="24"/>
        </w:rPr>
        <w:t>未按招标文件要求密封、签署、盖章的；</w:t>
      </w:r>
    </w:p>
    <w:p>
      <w:pPr>
        <w:tabs>
          <w:tab w:val="left" w:pos="1260"/>
        </w:tabs>
        <w:spacing w:line="5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3）投标人未提交有效的投标保证金或金额不足的、投标保证金形式不符合招标文件要求的；</w:t>
      </w:r>
    </w:p>
    <w:p>
      <w:pPr>
        <w:tabs>
          <w:tab w:val="left" w:pos="1260"/>
        </w:tabs>
        <w:spacing w:line="5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4）资格证明文件不全的或无效的，或不符合国家规定的；</w:t>
      </w:r>
    </w:p>
    <w:p>
      <w:pPr>
        <w:tabs>
          <w:tab w:val="left" w:pos="1260"/>
        </w:tabs>
        <w:spacing w:line="5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5）投标文件无投标人公章、无法定代表人或授权人签章或签章人无法定代表人有效委托书的；</w:t>
      </w:r>
    </w:p>
    <w:p>
      <w:pPr>
        <w:tabs>
          <w:tab w:val="left" w:pos="1260"/>
        </w:tabs>
        <w:spacing w:line="5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b/>
          <w:bCs/>
          <w:spacing w:val="-6"/>
          <w:sz w:val="24"/>
          <w:szCs w:val="24"/>
        </w:rPr>
        <w:t>无投标有效期或有效期达不到招标文件要求的</w:t>
      </w:r>
      <w:r>
        <w:rPr>
          <w:rFonts w:hint="eastAsia" w:asciiTheme="minorEastAsia" w:hAnsiTheme="minorEastAsia" w:eastAsiaTheme="minorEastAsia" w:cstheme="minorEastAsia"/>
          <w:b/>
          <w:bCs/>
          <w:sz w:val="24"/>
          <w:szCs w:val="24"/>
        </w:rPr>
        <w:t>；</w:t>
      </w:r>
    </w:p>
    <w:p>
      <w:pPr>
        <w:tabs>
          <w:tab w:val="left" w:pos="1260"/>
        </w:tabs>
        <w:spacing w:line="5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7）投标人在同一份投标文件中，对同一招标产品报有两个或多个报价的；</w:t>
      </w:r>
    </w:p>
    <w:p>
      <w:pPr>
        <w:tabs>
          <w:tab w:val="left" w:pos="1260"/>
        </w:tabs>
        <w:spacing w:line="5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8）存在有重大缺漏项和重大技术偏离的投标产品；</w:t>
      </w:r>
    </w:p>
    <w:p>
      <w:pPr>
        <w:tabs>
          <w:tab w:val="left" w:pos="1260"/>
        </w:tabs>
        <w:spacing w:line="5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9）投标人有串通投标、以他人名义投标、弄虚作假、行贿等违法行为的；</w:t>
      </w:r>
    </w:p>
    <w:p>
      <w:pPr>
        <w:tabs>
          <w:tab w:val="left" w:pos="1260"/>
        </w:tabs>
        <w:spacing w:line="5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10）投标总报价低于成本或者高于招标文件公布的采购预算的。</w:t>
      </w:r>
    </w:p>
    <w:p>
      <w:pPr>
        <w:tabs>
          <w:tab w:val="left" w:pos="1260"/>
        </w:tabs>
        <w:spacing w:line="5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11）提供虚假投标文件和资料的。</w:t>
      </w:r>
    </w:p>
    <w:p>
      <w:pPr>
        <w:tabs>
          <w:tab w:val="left" w:pos="1260"/>
        </w:tabs>
        <w:spacing w:line="5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12）法律、法规和招标文件规定的其他无效情形；</w:t>
      </w:r>
    </w:p>
    <w:p>
      <w:pPr>
        <w:spacing w:beforeLines="50" w:line="360" w:lineRule="auto"/>
        <w:rPr>
          <w:rFonts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rPr>
        <w:t>四.投标人有下列情形之一的，视为投标人串通投标，其投标无效：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（一）不同投标人的投标文件由同一单位或者个人编制；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（二）不同投标人委托同一单位或者个人办理投标事宜；</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（三）不同投标人的投标文件载明的项目管理成员或者联系人员为同一人；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（四）不同投标人的投标文件异常一致或者投标报价呈规律性差异；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（五）不同投标人的投标文件相互混装；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（六）不同投标人的投标保证金从同一单位或者个人的账户转出。</w:t>
      </w:r>
    </w:p>
    <w:p>
      <w:pPr>
        <w:spacing w:beforeLines="50" w:line="360" w:lineRule="auto"/>
        <w:rPr>
          <w:rFonts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rPr>
        <w:t>五.评标程序</w:t>
      </w:r>
    </w:p>
    <w:p>
      <w:pPr>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1、投标文件的资格性审查：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采购人及代理机构对投标人的投标文件进行资格性审查，以确定其是否满足招标文件的资格要求。</w:t>
      </w:r>
    </w:p>
    <w:p>
      <w:pPr>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2、投标文件的符合性审查：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评标委员会对符合资格的投标人的投标文件进行符合性审查，以确定其是否满足招标文件的商务、技术等实质性要求。</w:t>
      </w:r>
    </w:p>
    <w:p>
      <w:pPr>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3、评委会对报价明显偏低的审查：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4、澄清有关问题：</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4.2投标文件报价出现前后不一致的，按照下列规定修正：</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（一）大写金额和小写金额不一致的，以大写金额为准；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（二）单价金额小数点或者百分比有明显错位的，以开标一览表的总价为准，并修改单价；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（三）总价金额与按单价汇总金额不一致的，以单价金额计算结果为准。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同时出现两种以上不一致的，按照前款规定的顺序修正。修正后的报价经投标人书面确认后产生约束力，投标人不确认的，其投标无效。</w:t>
      </w:r>
    </w:p>
    <w:p>
      <w:pPr>
        <w:spacing w:beforeLines="50" w:line="360" w:lineRule="auto"/>
        <w:ind w:firstLine="498" w:firstLineChars="200"/>
        <w:rPr>
          <w:rFonts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rPr>
        <w:t>5、比较与评价：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评委会各成员按照《评审因素量化赋分表》规定的内容，独立进行综合比较、评价打分。 </w:t>
      </w:r>
    </w:p>
    <w:p>
      <w:pPr>
        <w:spacing w:beforeLines="50" w:line="360" w:lineRule="auto"/>
        <w:ind w:firstLine="498" w:firstLineChars="200"/>
        <w:rPr>
          <w:rFonts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rPr>
        <w:t>6、推荐中标候选人名单：</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6.1汇总全体评委对每个投标人的赋分，计算出每个投标人的综合得分，按标段得分从高到低顺序排列，推荐前1～3名为中标候选人。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6.2得分相同的，按投标报价由低到高顺序排列。得分且投标报价相同的并列。</w:t>
      </w:r>
    </w:p>
    <w:p>
      <w:pPr>
        <w:spacing w:line="360" w:lineRule="auto"/>
        <w:ind w:right="40" w:rightChars="19" w:firstLine="42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Cs w:val="28"/>
        </w:rPr>
        <w:br w:type="page"/>
      </w:r>
    </w:p>
    <w:p>
      <w:pPr>
        <w:pStyle w:val="2"/>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8"/>
        </w:rPr>
        <w:t>附件1：</w:t>
      </w:r>
    </w:p>
    <w:p>
      <w:pPr>
        <w:pStyle w:val="2"/>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初步审查要素表</w:t>
      </w:r>
    </w:p>
    <w:tbl>
      <w:tblPr>
        <w:tblStyle w:val="2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76"/>
        <w:gridCol w:w="541"/>
        <w:gridCol w:w="2223"/>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97"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条款号</w:t>
            </w:r>
          </w:p>
        </w:tc>
        <w:tc>
          <w:tcPr>
            <w:tcW w:w="2764"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评审因素</w:t>
            </w:r>
          </w:p>
        </w:tc>
        <w:tc>
          <w:tcPr>
            <w:tcW w:w="5236" w:type="dxa"/>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restart"/>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2.1.1</w:t>
            </w:r>
          </w:p>
        </w:tc>
        <w:tc>
          <w:tcPr>
            <w:tcW w:w="576" w:type="dxa"/>
            <w:vMerge w:val="restart"/>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资格评审</w:t>
            </w:r>
          </w:p>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标准</w:t>
            </w:r>
          </w:p>
        </w:tc>
        <w:tc>
          <w:tcPr>
            <w:tcW w:w="2764"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营业执照等主体资格证明文件</w:t>
            </w:r>
          </w:p>
        </w:tc>
        <w:tc>
          <w:tcPr>
            <w:tcW w:w="5236" w:type="dxa"/>
            <w:vAlign w:val="center"/>
          </w:tcPr>
          <w:p>
            <w:pPr>
              <w:tabs>
                <w:tab w:val="left" w:pos="0"/>
              </w:tabs>
              <w:adjustRightInd w:val="0"/>
              <w:snapToGrid w:val="0"/>
              <w:jc w:val="center"/>
              <w:rPr>
                <w:rFonts w:ascii="宋体" w:hAnsi="宋体" w:cs="宋体"/>
                <w:sz w:val="24"/>
                <w:szCs w:val="24"/>
              </w:rPr>
            </w:pPr>
            <w:r>
              <w:rPr>
                <w:rFonts w:hint="eastAsia" w:ascii="宋体" w:hAnsi="宋体" w:cs="宋体"/>
                <w:sz w:val="24"/>
                <w:szCs w:val="24"/>
              </w:rPr>
              <w:t>提供合格有效的法人或者其他组织的营业执照等证明文件，自然人的身份证明；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21" w:type="dxa"/>
            <w:vMerge w:val="continue"/>
            <w:vAlign w:val="center"/>
          </w:tcPr>
          <w:p>
            <w:pPr>
              <w:tabs>
                <w:tab w:val="left" w:pos="0"/>
              </w:tabs>
              <w:adjustRightInd w:val="0"/>
              <w:snapToGrid w:val="0"/>
              <w:jc w:val="center"/>
              <w:rPr>
                <w:rFonts w:ascii="宋体" w:hAnsi="宋体" w:cs="宋体"/>
                <w:b/>
                <w:sz w:val="24"/>
                <w:szCs w:val="24"/>
              </w:rPr>
            </w:pPr>
          </w:p>
        </w:tc>
        <w:tc>
          <w:tcPr>
            <w:tcW w:w="576" w:type="dxa"/>
            <w:vMerge w:val="continue"/>
            <w:vAlign w:val="center"/>
          </w:tcPr>
          <w:p>
            <w:pPr>
              <w:tabs>
                <w:tab w:val="left" w:pos="0"/>
              </w:tabs>
              <w:adjustRightInd w:val="0"/>
              <w:snapToGrid w:val="0"/>
              <w:jc w:val="center"/>
              <w:rPr>
                <w:rFonts w:ascii="宋体" w:hAnsi="宋体" w:cs="宋体"/>
                <w:b/>
                <w:sz w:val="24"/>
                <w:szCs w:val="24"/>
              </w:rPr>
            </w:pPr>
          </w:p>
        </w:tc>
        <w:tc>
          <w:tcPr>
            <w:tcW w:w="2764"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法定代表人授权书/法定</w:t>
            </w:r>
          </w:p>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代表人身份证明</w:t>
            </w:r>
          </w:p>
        </w:tc>
        <w:tc>
          <w:tcPr>
            <w:tcW w:w="5236" w:type="dxa"/>
            <w:vAlign w:val="center"/>
          </w:tcPr>
          <w:p>
            <w:pPr>
              <w:tabs>
                <w:tab w:val="left" w:pos="0"/>
              </w:tabs>
              <w:adjustRightInd w:val="0"/>
              <w:snapToGrid w:val="0"/>
              <w:jc w:val="center"/>
              <w:rPr>
                <w:rFonts w:ascii="宋体" w:hAnsi="宋体" w:cs="宋体"/>
                <w:sz w:val="24"/>
                <w:szCs w:val="24"/>
              </w:rPr>
            </w:pPr>
            <w:r>
              <w:rPr>
                <w:rFonts w:hint="eastAsia" w:ascii="宋体" w:hAnsi="宋体" w:cs="宋体"/>
                <w:sz w:val="24"/>
                <w:szCs w:val="24"/>
              </w:rPr>
              <w:t>提供法定代表人授权书（附法定代表人、被授权人身份证复印件）及被授权人身份证原件（法定代表人直接参加投标，须提供法定代表人身份证明及身份证原件）；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821" w:type="dxa"/>
            <w:vMerge w:val="continue"/>
            <w:vAlign w:val="center"/>
          </w:tcPr>
          <w:p>
            <w:pPr>
              <w:tabs>
                <w:tab w:val="left" w:pos="0"/>
              </w:tabs>
              <w:adjustRightInd w:val="0"/>
              <w:snapToGrid w:val="0"/>
              <w:jc w:val="center"/>
              <w:rPr>
                <w:rFonts w:ascii="宋体" w:hAnsi="宋体" w:cs="宋体"/>
                <w:b/>
                <w:sz w:val="24"/>
                <w:szCs w:val="24"/>
              </w:rPr>
            </w:pPr>
          </w:p>
        </w:tc>
        <w:tc>
          <w:tcPr>
            <w:tcW w:w="576" w:type="dxa"/>
            <w:vMerge w:val="continue"/>
            <w:vAlign w:val="center"/>
          </w:tcPr>
          <w:p>
            <w:pPr>
              <w:tabs>
                <w:tab w:val="left" w:pos="0"/>
              </w:tabs>
              <w:adjustRightInd w:val="0"/>
              <w:snapToGrid w:val="0"/>
              <w:jc w:val="center"/>
              <w:rPr>
                <w:rFonts w:ascii="宋体" w:hAnsi="宋体" w:cs="宋体"/>
                <w:b/>
                <w:sz w:val="24"/>
                <w:szCs w:val="24"/>
              </w:rPr>
            </w:pPr>
          </w:p>
        </w:tc>
        <w:tc>
          <w:tcPr>
            <w:tcW w:w="2764"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财务状况</w:t>
            </w:r>
          </w:p>
        </w:tc>
        <w:tc>
          <w:tcPr>
            <w:tcW w:w="5236" w:type="dxa"/>
            <w:vAlign w:val="center"/>
          </w:tcPr>
          <w:p>
            <w:pPr>
              <w:tabs>
                <w:tab w:val="left" w:pos="0"/>
              </w:tabs>
              <w:adjustRightInd w:val="0"/>
              <w:snapToGrid w:val="0"/>
              <w:jc w:val="center"/>
              <w:rPr>
                <w:rFonts w:ascii="宋体" w:hAnsi="宋体" w:cs="宋体"/>
                <w:sz w:val="24"/>
                <w:szCs w:val="24"/>
              </w:rPr>
            </w:pPr>
            <w:r>
              <w:rPr>
                <w:rFonts w:hint="eastAsia" w:ascii="宋体" w:hAnsi="宋体" w:cs="宋体"/>
                <w:sz w:val="24"/>
                <w:szCs w:val="24"/>
              </w:rPr>
              <w:t>提供2022年度的财务审计报告（至少包括资产负债表和利润表，成立时间至提交投标文件截止时间不足一年的可提供成立后任意时段的资产负债表），或开标时间前六个月内银行出具的资信证明；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21" w:type="dxa"/>
            <w:vMerge w:val="continue"/>
            <w:vAlign w:val="center"/>
          </w:tcPr>
          <w:p>
            <w:pPr>
              <w:tabs>
                <w:tab w:val="left" w:pos="0"/>
              </w:tabs>
              <w:adjustRightInd w:val="0"/>
              <w:snapToGrid w:val="0"/>
              <w:jc w:val="center"/>
              <w:rPr>
                <w:rFonts w:ascii="宋体" w:hAnsi="宋体" w:cs="宋体"/>
                <w:b/>
                <w:sz w:val="24"/>
                <w:szCs w:val="24"/>
              </w:rPr>
            </w:pPr>
          </w:p>
        </w:tc>
        <w:tc>
          <w:tcPr>
            <w:tcW w:w="576" w:type="dxa"/>
            <w:vMerge w:val="continue"/>
            <w:vAlign w:val="center"/>
          </w:tcPr>
          <w:p>
            <w:pPr>
              <w:tabs>
                <w:tab w:val="left" w:pos="0"/>
              </w:tabs>
              <w:adjustRightInd w:val="0"/>
              <w:snapToGrid w:val="0"/>
              <w:jc w:val="center"/>
              <w:rPr>
                <w:rFonts w:ascii="宋体" w:hAnsi="宋体" w:cs="宋体"/>
                <w:b/>
                <w:sz w:val="24"/>
                <w:szCs w:val="24"/>
              </w:rPr>
            </w:pPr>
          </w:p>
        </w:tc>
        <w:tc>
          <w:tcPr>
            <w:tcW w:w="2764"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税收缴纳证明</w:t>
            </w:r>
          </w:p>
        </w:tc>
        <w:tc>
          <w:tcPr>
            <w:tcW w:w="5236" w:type="dxa"/>
            <w:vAlign w:val="center"/>
          </w:tcPr>
          <w:p>
            <w:pPr>
              <w:tabs>
                <w:tab w:val="left" w:pos="0"/>
              </w:tabs>
              <w:adjustRightInd w:val="0"/>
              <w:snapToGrid w:val="0"/>
              <w:jc w:val="center"/>
              <w:rPr>
                <w:rFonts w:ascii="宋体" w:hAnsi="宋体" w:cs="宋体"/>
                <w:sz w:val="24"/>
                <w:szCs w:val="24"/>
              </w:rPr>
            </w:pPr>
            <w:r>
              <w:rPr>
                <w:rFonts w:hint="eastAsia" w:ascii="宋体" w:hAnsi="宋体" w:cs="宋体"/>
                <w:sz w:val="24"/>
                <w:szCs w:val="24"/>
              </w:rPr>
              <w:t>提供投标截止日前近一年内任意一个月的纳税证明或完税证明（任意税种），依法免税的单位应提供相关证明材料；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21" w:type="dxa"/>
            <w:vMerge w:val="continue"/>
            <w:vAlign w:val="center"/>
          </w:tcPr>
          <w:p>
            <w:pPr>
              <w:tabs>
                <w:tab w:val="left" w:pos="0"/>
              </w:tabs>
              <w:adjustRightInd w:val="0"/>
              <w:snapToGrid w:val="0"/>
              <w:jc w:val="center"/>
              <w:rPr>
                <w:rFonts w:ascii="宋体" w:hAnsi="宋体" w:cs="宋体"/>
                <w:b/>
                <w:sz w:val="24"/>
                <w:szCs w:val="24"/>
              </w:rPr>
            </w:pPr>
          </w:p>
        </w:tc>
        <w:tc>
          <w:tcPr>
            <w:tcW w:w="576" w:type="dxa"/>
            <w:vMerge w:val="continue"/>
            <w:vAlign w:val="center"/>
          </w:tcPr>
          <w:p>
            <w:pPr>
              <w:tabs>
                <w:tab w:val="left" w:pos="0"/>
              </w:tabs>
              <w:adjustRightInd w:val="0"/>
              <w:snapToGrid w:val="0"/>
              <w:jc w:val="center"/>
              <w:rPr>
                <w:rFonts w:ascii="宋体" w:hAnsi="宋体" w:cs="宋体"/>
                <w:b/>
                <w:sz w:val="24"/>
                <w:szCs w:val="24"/>
              </w:rPr>
            </w:pPr>
          </w:p>
        </w:tc>
        <w:tc>
          <w:tcPr>
            <w:tcW w:w="2764"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社会保障资金缴纳证明</w:t>
            </w:r>
          </w:p>
        </w:tc>
        <w:tc>
          <w:tcPr>
            <w:tcW w:w="5236" w:type="dxa"/>
            <w:vAlign w:val="center"/>
          </w:tcPr>
          <w:p>
            <w:pPr>
              <w:tabs>
                <w:tab w:val="left" w:pos="0"/>
              </w:tabs>
              <w:adjustRightInd w:val="0"/>
              <w:snapToGrid w:val="0"/>
              <w:jc w:val="center"/>
              <w:rPr>
                <w:rFonts w:ascii="宋体" w:hAnsi="宋体" w:cs="宋体"/>
                <w:sz w:val="24"/>
                <w:szCs w:val="24"/>
              </w:rPr>
            </w:pPr>
            <w:r>
              <w:rPr>
                <w:rFonts w:hint="eastAsia" w:ascii="宋体" w:hAnsi="宋体" w:cs="宋体"/>
                <w:sz w:val="24"/>
                <w:szCs w:val="24"/>
              </w:rPr>
              <w:t>提供投标截止日前近一年内任意一个月的社会保障资金缴存单据或社保机构开具的社会保险参保缴费情况证明，依法不需要缴纳社会保障资金的单位应提供相关证明材料；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21" w:type="dxa"/>
            <w:vMerge w:val="continue"/>
            <w:vAlign w:val="center"/>
          </w:tcPr>
          <w:p>
            <w:pPr>
              <w:tabs>
                <w:tab w:val="left" w:pos="0"/>
              </w:tabs>
              <w:adjustRightInd w:val="0"/>
              <w:snapToGrid w:val="0"/>
              <w:jc w:val="center"/>
              <w:rPr>
                <w:rFonts w:ascii="宋体" w:hAnsi="宋体" w:cs="宋体"/>
                <w:b/>
                <w:sz w:val="24"/>
                <w:szCs w:val="24"/>
              </w:rPr>
            </w:pPr>
          </w:p>
        </w:tc>
        <w:tc>
          <w:tcPr>
            <w:tcW w:w="576" w:type="dxa"/>
            <w:vMerge w:val="continue"/>
            <w:vAlign w:val="center"/>
          </w:tcPr>
          <w:p>
            <w:pPr>
              <w:tabs>
                <w:tab w:val="left" w:pos="0"/>
              </w:tabs>
              <w:adjustRightInd w:val="0"/>
              <w:snapToGrid w:val="0"/>
              <w:jc w:val="center"/>
              <w:rPr>
                <w:rFonts w:ascii="宋体" w:hAnsi="宋体" w:cs="宋体"/>
                <w:b/>
                <w:sz w:val="24"/>
                <w:szCs w:val="24"/>
              </w:rPr>
            </w:pPr>
          </w:p>
        </w:tc>
        <w:tc>
          <w:tcPr>
            <w:tcW w:w="2764"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信用记录</w:t>
            </w:r>
          </w:p>
        </w:tc>
        <w:tc>
          <w:tcPr>
            <w:tcW w:w="5236" w:type="dxa"/>
            <w:vAlign w:val="center"/>
          </w:tcPr>
          <w:p>
            <w:pPr>
              <w:tabs>
                <w:tab w:val="left" w:pos="0"/>
              </w:tabs>
              <w:adjustRightInd w:val="0"/>
              <w:snapToGrid w:val="0"/>
              <w:jc w:val="center"/>
              <w:rPr>
                <w:rFonts w:ascii="宋体" w:hAnsi="宋体" w:cs="宋体"/>
                <w:sz w:val="24"/>
                <w:szCs w:val="24"/>
              </w:rPr>
            </w:pPr>
            <w:r>
              <w:rPr>
                <w:rFonts w:hint="eastAsia" w:ascii="宋体" w:hAnsi="宋体" w:cs="宋体"/>
                <w:sz w:val="24"/>
                <w:szCs w:val="24"/>
              </w:rPr>
              <w:t>供应商应通过“信用中国”网站(www.creditchina.gov.cn)、中国政府采购网(www.ccgp.gov.cn)查询相关主体信用记录；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vAlign w:val="center"/>
          </w:tcPr>
          <w:p>
            <w:pPr>
              <w:tabs>
                <w:tab w:val="left" w:pos="0"/>
              </w:tabs>
              <w:adjustRightInd w:val="0"/>
              <w:snapToGrid w:val="0"/>
              <w:jc w:val="center"/>
              <w:rPr>
                <w:rFonts w:ascii="宋体" w:hAnsi="宋体" w:cs="宋体"/>
                <w:b/>
                <w:sz w:val="24"/>
                <w:szCs w:val="24"/>
              </w:rPr>
            </w:pPr>
          </w:p>
        </w:tc>
        <w:tc>
          <w:tcPr>
            <w:tcW w:w="576" w:type="dxa"/>
            <w:vMerge w:val="continue"/>
            <w:vAlign w:val="center"/>
          </w:tcPr>
          <w:p>
            <w:pPr>
              <w:tabs>
                <w:tab w:val="left" w:pos="0"/>
              </w:tabs>
              <w:adjustRightInd w:val="0"/>
              <w:snapToGrid w:val="0"/>
              <w:jc w:val="center"/>
              <w:rPr>
                <w:rFonts w:ascii="宋体" w:hAnsi="宋体" w:cs="宋体"/>
                <w:b/>
                <w:sz w:val="24"/>
                <w:szCs w:val="24"/>
              </w:rPr>
            </w:pPr>
          </w:p>
        </w:tc>
        <w:tc>
          <w:tcPr>
            <w:tcW w:w="2764"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书面声明</w:t>
            </w:r>
          </w:p>
        </w:tc>
        <w:tc>
          <w:tcPr>
            <w:tcW w:w="5236" w:type="dxa"/>
            <w:vAlign w:val="center"/>
          </w:tcPr>
          <w:p>
            <w:pPr>
              <w:tabs>
                <w:tab w:val="left" w:pos="0"/>
              </w:tabs>
              <w:adjustRightInd w:val="0"/>
              <w:snapToGrid w:val="0"/>
              <w:jc w:val="center"/>
              <w:rPr>
                <w:rFonts w:ascii="宋体" w:hAnsi="宋体" w:cs="宋体"/>
                <w:sz w:val="24"/>
                <w:szCs w:val="24"/>
              </w:rPr>
            </w:pPr>
            <w:r>
              <w:rPr>
                <w:rFonts w:hint="eastAsia" w:ascii="宋体" w:hAnsi="宋体" w:cs="宋体"/>
                <w:sz w:val="24"/>
                <w:szCs w:val="24"/>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vAlign w:val="center"/>
          </w:tcPr>
          <w:p>
            <w:pPr>
              <w:tabs>
                <w:tab w:val="left" w:pos="0"/>
              </w:tabs>
              <w:adjustRightInd w:val="0"/>
              <w:snapToGrid w:val="0"/>
              <w:jc w:val="center"/>
              <w:rPr>
                <w:rFonts w:ascii="宋体" w:hAnsi="宋体" w:cs="宋体"/>
                <w:b/>
                <w:sz w:val="24"/>
                <w:szCs w:val="24"/>
              </w:rPr>
            </w:pPr>
          </w:p>
        </w:tc>
        <w:tc>
          <w:tcPr>
            <w:tcW w:w="576" w:type="dxa"/>
            <w:vMerge w:val="continue"/>
            <w:vAlign w:val="center"/>
          </w:tcPr>
          <w:p>
            <w:pPr>
              <w:tabs>
                <w:tab w:val="left" w:pos="0"/>
              </w:tabs>
              <w:adjustRightInd w:val="0"/>
              <w:snapToGrid w:val="0"/>
              <w:jc w:val="center"/>
              <w:rPr>
                <w:rFonts w:ascii="宋体" w:hAnsi="宋体" w:cs="宋体"/>
                <w:b/>
                <w:sz w:val="24"/>
                <w:szCs w:val="24"/>
              </w:rPr>
            </w:pPr>
          </w:p>
        </w:tc>
        <w:tc>
          <w:tcPr>
            <w:tcW w:w="2764"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书面承诺书</w:t>
            </w:r>
          </w:p>
        </w:tc>
        <w:tc>
          <w:tcPr>
            <w:tcW w:w="5236" w:type="dxa"/>
            <w:vAlign w:val="center"/>
          </w:tcPr>
          <w:p>
            <w:pPr>
              <w:tabs>
                <w:tab w:val="left" w:pos="0"/>
              </w:tabs>
              <w:adjustRightInd w:val="0"/>
              <w:snapToGrid w:val="0"/>
              <w:jc w:val="center"/>
              <w:rPr>
                <w:rFonts w:ascii="宋体" w:hAnsi="宋体" w:cs="宋体"/>
                <w:sz w:val="24"/>
                <w:szCs w:val="24"/>
              </w:rPr>
            </w:pPr>
            <w:r>
              <w:rPr>
                <w:rFonts w:hint="eastAsia" w:ascii="宋体" w:hAnsi="宋体" w:cs="宋体"/>
                <w:sz w:val="24"/>
                <w:szCs w:val="24"/>
              </w:rPr>
              <w:t>提供具有履行合同所必需的设备和专业技术能力的书面承诺；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vAlign w:val="center"/>
          </w:tcPr>
          <w:p>
            <w:pPr>
              <w:tabs>
                <w:tab w:val="left" w:pos="0"/>
              </w:tabs>
              <w:adjustRightInd w:val="0"/>
              <w:snapToGrid w:val="0"/>
              <w:jc w:val="center"/>
              <w:rPr>
                <w:rFonts w:ascii="宋体" w:hAnsi="宋体" w:cs="宋体"/>
                <w:b/>
                <w:sz w:val="24"/>
                <w:szCs w:val="24"/>
              </w:rPr>
            </w:pPr>
          </w:p>
        </w:tc>
        <w:tc>
          <w:tcPr>
            <w:tcW w:w="576" w:type="dxa"/>
            <w:vMerge w:val="continue"/>
            <w:vAlign w:val="center"/>
          </w:tcPr>
          <w:p>
            <w:pPr>
              <w:tabs>
                <w:tab w:val="left" w:pos="0"/>
              </w:tabs>
              <w:adjustRightInd w:val="0"/>
              <w:snapToGrid w:val="0"/>
              <w:jc w:val="center"/>
              <w:rPr>
                <w:rFonts w:ascii="宋体" w:hAnsi="宋体" w:cs="宋体"/>
                <w:b/>
                <w:sz w:val="24"/>
                <w:szCs w:val="24"/>
              </w:rPr>
            </w:pPr>
          </w:p>
        </w:tc>
        <w:tc>
          <w:tcPr>
            <w:tcW w:w="2764"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中小企业声明函</w:t>
            </w:r>
          </w:p>
        </w:tc>
        <w:tc>
          <w:tcPr>
            <w:tcW w:w="5236" w:type="dxa"/>
            <w:vAlign w:val="center"/>
          </w:tcPr>
          <w:p>
            <w:pPr>
              <w:tabs>
                <w:tab w:val="left" w:pos="0"/>
              </w:tabs>
              <w:adjustRightInd w:val="0"/>
              <w:snapToGrid w:val="0"/>
              <w:jc w:val="center"/>
              <w:rPr>
                <w:rFonts w:ascii="宋体" w:hAnsi="宋体" w:cs="宋体"/>
                <w:sz w:val="24"/>
                <w:szCs w:val="24"/>
              </w:rPr>
            </w:pPr>
            <w:r>
              <w:rPr>
                <w:rFonts w:hint="eastAsia" w:ascii="宋体" w:hAnsi="宋体" w:cs="宋体"/>
                <w:sz w:val="24"/>
                <w:szCs w:val="24"/>
              </w:rPr>
              <w:t>投标人须提供中小企业声明函；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vAlign w:val="center"/>
          </w:tcPr>
          <w:p>
            <w:pPr>
              <w:tabs>
                <w:tab w:val="left" w:pos="0"/>
              </w:tabs>
              <w:adjustRightInd w:val="0"/>
              <w:snapToGrid w:val="0"/>
              <w:jc w:val="center"/>
              <w:rPr>
                <w:rFonts w:ascii="宋体" w:hAnsi="宋体" w:cs="宋体"/>
                <w:b/>
                <w:sz w:val="24"/>
                <w:szCs w:val="24"/>
              </w:rPr>
            </w:pPr>
          </w:p>
        </w:tc>
        <w:tc>
          <w:tcPr>
            <w:tcW w:w="576" w:type="dxa"/>
            <w:vMerge w:val="continue"/>
            <w:vAlign w:val="center"/>
          </w:tcPr>
          <w:p>
            <w:pPr>
              <w:tabs>
                <w:tab w:val="left" w:pos="0"/>
              </w:tabs>
              <w:adjustRightInd w:val="0"/>
              <w:snapToGrid w:val="0"/>
              <w:jc w:val="center"/>
              <w:rPr>
                <w:rFonts w:ascii="宋体" w:hAnsi="宋体" w:cs="宋体"/>
                <w:b/>
                <w:sz w:val="24"/>
                <w:szCs w:val="24"/>
              </w:rPr>
            </w:pPr>
          </w:p>
        </w:tc>
        <w:tc>
          <w:tcPr>
            <w:tcW w:w="2764" w:type="dxa"/>
            <w:gridSpan w:val="2"/>
            <w:vAlign w:val="center"/>
          </w:tcPr>
          <w:p>
            <w:pPr>
              <w:tabs>
                <w:tab w:val="left" w:pos="0"/>
              </w:tabs>
              <w:adjustRightInd w:val="0"/>
              <w:snapToGrid w:val="0"/>
              <w:jc w:val="center"/>
              <w:rPr>
                <w:rFonts w:ascii="宋体" w:hAnsi="宋体" w:cs="宋体"/>
                <w:b/>
                <w:sz w:val="24"/>
                <w:szCs w:val="24"/>
              </w:rPr>
            </w:pPr>
            <w:r>
              <w:rPr>
                <w:rFonts w:hint="eastAsia" w:ascii="宋体" w:hAnsi="宋体" w:cs="宋体"/>
                <w:b/>
                <w:sz w:val="24"/>
                <w:szCs w:val="24"/>
              </w:rPr>
              <w:t>非联合体</w:t>
            </w:r>
          </w:p>
        </w:tc>
        <w:tc>
          <w:tcPr>
            <w:tcW w:w="5236" w:type="dxa"/>
            <w:vAlign w:val="center"/>
          </w:tcPr>
          <w:p>
            <w:pPr>
              <w:tabs>
                <w:tab w:val="left" w:pos="0"/>
              </w:tabs>
              <w:adjustRightInd w:val="0"/>
              <w:snapToGrid w:val="0"/>
              <w:jc w:val="center"/>
              <w:rPr>
                <w:rFonts w:ascii="宋体" w:hAnsi="宋体" w:cs="宋体"/>
                <w:bCs/>
                <w:sz w:val="24"/>
                <w:szCs w:val="24"/>
              </w:rPr>
            </w:pPr>
            <w:r>
              <w:rPr>
                <w:rFonts w:hint="eastAsia" w:ascii="宋体" w:hAnsi="宋体" w:cs="宋体"/>
                <w:sz w:val="24"/>
                <w:szCs w:val="24"/>
              </w:rPr>
              <w:t>投标人须</w:t>
            </w:r>
            <w:r>
              <w:rPr>
                <w:rFonts w:hint="eastAsia" w:ascii="宋体" w:hAnsi="宋体" w:cs="宋体"/>
                <w:bCs/>
                <w:sz w:val="24"/>
                <w:szCs w:val="24"/>
              </w:rPr>
              <w:t>提供非联合体投标声明；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397" w:type="dxa"/>
            <w:gridSpan w:val="5"/>
            <w:vAlign w:val="center"/>
          </w:tcPr>
          <w:p>
            <w:pPr>
              <w:tabs>
                <w:tab w:val="left" w:pos="0"/>
              </w:tabs>
              <w:adjustRightInd w:val="0"/>
              <w:snapToGrid w:val="0"/>
              <w:jc w:val="left"/>
              <w:rPr>
                <w:rFonts w:ascii="宋体" w:hAnsi="宋体" w:cs="宋体"/>
                <w:b/>
                <w:sz w:val="24"/>
                <w:szCs w:val="24"/>
              </w:rPr>
            </w:pPr>
            <w:r>
              <w:rPr>
                <w:rFonts w:hint="eastAsia" w:ascii="宋体" w:hAnsi="宋体" w:cs="宋体"/>
                <w:b/>
                <w:sz w:val="24"/>
                <w:szCs w:val="24"/>
              </w:rPr>
              <w:t>注：以上为必备资质，缺一项或某项达不到要求，按无效投标处理。资格审查时以投标文件中所附证明材料为准，原件备查。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restart"/>
            <w:vAlign w:val="center"/>
          </w:tcPr>
          <w:p>
            <w:pPr>
              <w:tabs>
                <w:tab w:val="left" w:pos="0"/>
              </w:tabs>
              <w:adjustRightInd w:val="0"/>
              <w:snapToGrid w:val="0"/>
              <w:spacing w:line="360" w:lineRule="auto"/>
              <w:jc w:val="center"/>
              <w:rPr>
                <w:rFonts w:ascii="宋体" w:hAnsi="宋体" w:cs="宋体"/>
                <w:sz w:val="24"/>
                <w:szCs w:val="24"/>
              </w:rPr>
            </w:pPr>
            <w:r>
              <w:rPr>
                <w:rFonts w:hint="eastAsia" w:ascii="宋体" w:hAnsi="宋体" w:cs="宋体"/>
                <w:sz w:val="24"/>
                <w:szCs w:val="24"/>
              </w:rPr>
              <w:t>2.1.2</w:t>
            </w:r>
          </w:p>
        </w:tc>
        <w:tc>
          <w:tcPr>
            <w:tcW w:w="576" w:type="dxa"/>
            <w:vMerge w:val="restart"/>
            <w:vAlign w:val="center"/>
          </w:tcPr>
          <w:p>
            <w:pPr>
              <w:tabs>
                <w:tab w:val="left" w:pos="0"/>
              </w:tabs>
              <w:adjustRightInd w:val="0"/>
              <w:snapToGrid w:val="0"/>
              <w:jc w:val="center"/>
              <w:rPr>
                <w:rFonts w:ascii="宋体" w:hAnsi="宋体" w:cs="宋体"/>
                <w:b/>
                <w:bCs/>
                <w:sz w:val="24"/>
                <w:szCs w:val="24"/>
              </w:rPr>
            </w:pPr>
            <w:r>
              <w:rPr>
                <w:rFonts w:hint="eastAsia" w:ascii="宋体" w:hAnsi="宋体" w:cs="宋体"/>
                <w:b/>
                <w:bCs/>
                <w:sz w:val="24"/>
                <w:szCs w:val="24"/>
              </w:rPr>
              <w:t>符合性评审标准</w:t>
            </w:r>
          </w:p>
        </w:tc>
        <w:tc>
          <w:tcPr>
            <w:tcW w:w="541" w:type="dxa"/>
            <w:vMerge w:val="restart"/>
            <w:vAlign w:val="center"/>
          </w:tcPr>
          <w:p>
            <w:pPr>
              <w:tabs>
                <w:tab w:val="left" w:pos="0"/>
              </w:tabs>
              <w:adjustRightInd w:val="0"/>
              <w:snapToGrid w:val="0"/>
              <w:jc w:val="center"/>
              <w:rPr>
                <w:rFonts w:ascii="宋体" w:hAnsi="宋体" w:cs="宋体"/>
                <w:b/>
                <w:bCs/>
                <w:sz w:val="24"/>
                <w:szCs w:val="24"/>
              </w:rPr>
            </w:pPr>
            <w:r>
              <w:rPr>
                <w:rFonts w:hint="eastAsia" w:ascii="宋体" w:hAnsi="宋体" w:cs="宋体"/>
                <w:b/>
                <w:bCs/>
                <w:sz w:val="24"/>
                <w:szCs w:val="24"/>
              </w:rPr>
              <w:t>有效性审查</w:t>
            </w:r>
          </w:p>
        </w:tc>
        <w:tc>
          <w:tcPr>
            <w:tcW w:w="2223" w:type="dxa"/>
            <w:vAlign w:val="center"/>
          </w:tcPr>
          <w:p>
            <w:pPr>
              <w:tabs>
                <w:tab w:val="left" w:pos="0"/>
              </w:tabs>
              <w:adjustRightInd w:val="0"/>
              <w:snapToGrid w:val="0"/>
              <w:rPr>
                <w:rFonts w:ascii="宋体" w:hAnsi="宋体" w:cs="宋体"/>
                <w:b/>
                <w:bCs/>
                <w:sz w:val="24"/>
                <w:szCs w:val="24"/>
              </w:rPr>
            </w:pPr>
            <w:r>
              <w:rPr>
                <w:rFonts w:hint="eastAsia" w:ascii="宋体" w:hAnsi="宋体" w:cs="宋体"/>
                <w:b/>
                <w:bCs/>
                <w:sz w:val="24"/>
                <w:szCs w:val="24"/>
              </w:rPr>
              <w:t>投标文件的签署盖章</w:t>
            </w:r>
          </w:p>
        </w:tc>
        <w:tc>
          <w:tcPr>
            <w:tcW w:w="5236" w:type="dxa"/>
            <w:vAlign w:val="center"/>
          </w:tcPr>
          <w:p>
            <w:pPr>
              <w:tabs>
                <w:tab w:val="left" w:pos="0"/>
              </w:tabs>
              <w:adjustRightInd w:val="0"/>
              <w:snapToGrid w:val="0"/>
              <w:rPr>
                <w:rFonts w:ascii="宋体" w:hAnsi="宋体" w:cs="宋体"/>
                <w:sz w:val="24"/>
                <w:szCs w:val="24"/>
              </w:rPr>
            </w:pPr>
            <w:r>
              <w:rPr>
                <w:rFonts w:hint="eastAsia" w:ascii="宋体" w:hAnsi="宋体" w:cs="宋体"/>
                <w:sz w:val="24"/>
                <w:szCs w:val="24"/>
              </w:rPr>
              <w:t>投标文件上法定代表人或其授权代表人的签字齐全并加盖公章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tcPr>
          <w:p>
            <w:pPr>
              <w:tabs>
                <w:tab w:val="left" w:pos="0"/>
              </w:tabs>
              <w:adjustRightInd w:val="0"/>
              <w:snapToGrid w:val="0"/>
              <w:spacing w:line="360" w:lineRule="auto"/>
              <w:rPr>
                <w:rFonts w:ascii="宋体" w:hAnsi="宋体" w:cs="宋体"/>
                <w:sz w:val="24"/>
                <w:szCs w:val="24"/>
              </w:rPr>
            </w:pPr>
          </w:p>
        </w:tc>
        <w:tc>
          <w:tcPr>
            <w:tcW w:w="576" w:type="dxa"/>
            <w:vMerge w:val="continue"/>
          </w:tcPr>
          <w:p>
            <w:pPr>
              <w:tabs>
                <w:tab w:val="left" w:pos="0"/>
              </w:tabs>
              <w:adjustRightInd w:val="0"/>
              <w:snapToGrid w:val="0"/>
              <w:spacing w:line="360" w:lineRule="auto"/>
              <w:rPr>
                <w:rFonts w:ascii="宋体" w:hAnsi="宋体" w:cs="宋体"/>
                <w:b/>
                <w:bCs/>
                <w:sz w:val="24"/>
                <w:szCs w:val="24"/>
              </w:rPr>
            </w:pPr>
          </w:p>
        </w:tc>
        <w:tc>
          <w:tcPr>
            <w:tcW w:w="541" w:type="dxa"/>
            <w:vMerge w:val="continue"/>
          </w:tcPr>
          <w:p>
            <w:pPr>
              <w:tabs>
                <w:tab w:val="left" w:pos="0"/>
              </w:tabs>
              <w:adjustRightInd w:val="0"/>
              <w:snapToGrid w:val="0"/>
              <w:spacing w:line="360" w:lineRule="auto"/>
              <w:rPr>
                <w:rFonts w:ascii="宋体" w:hAnsi="宋体" w:cs="宋体"/>
                <w:b/>
                <w:bCs/>
                <w:sz w:val="24"/>
                <w:szCs w:val="24"/>
              </w:rPr>
            </w:pPr>
          </w:p>
        </w:tc>
        <w:tc>
          <w:tcPr>
            <w:tcW w:w="2223" w:type="dxa"/>
            <w:vAlign w:val="center"/>
          </w:tcPr>
          <w:p>
            <w:pPr>
              <w:tabs>
                <w:tab w:val="left" w:pos="0"/>
              </w:tabs>
              <w:adjustRightInd w:val="0"/>
              <w:snapToGrid w:val="0"/>
              <w:rPr>
                <w:rFonts w:ascii="宋体" w:hAnsi="宋体" w:cs="宋体"/>
                <w:b/>
                <w:bCs/>
                <w:sz w:val="24"/>
                <w:szCs w:val="24"/>
              </w:rPr>
            </w:pPr>
            <w:r>
              <w:rPr>
                <w:rFonts w:hint="eastAsia" w:ascii="宋体" w:hAnsi="宋体" w:cs="宋体"/>
                <w:b/>
                <w:bCs/>
                <w:sz w:val="24"/>
                <w:szCs w:val="24"/>
              </w:rPr>
              <w:t>投标文件格式</w:t>
            </w:r>
          </w:p>
        </w:tc>
        <w:tc>
          <w:tcPr>
            <w:tcW w:w="5236" w:type="dxa"/>
            <w:vAlign w:val="center"/>
          </w:tcPr>
          <w:p>
            <w:pPr>
              <w:tabs>
                <w:tab w:val="left" w:pos="0"/>
              </w:tabs>
              <w:adjustRightInd w:val="0"/>
              <w:snapToGrid w:val="0"/>
              <w:rPr>
                <w:rFonts w:ascii="宋体" w:hAnsi="宋体" w:cs="宋体"/>
                <w:sz w:val="24"/>
                <w:szCs w:val="24"/>
              </w:rPr>
            </w:pPr>
            <w:r>
              <w:rPr>
                <w:rFonts w:hint="eastAsia" w:ascii="宋体" w:hAnsi="宋体" w:cs="宋体"/>
                <w:sz w:val="24"/>
                <w:szCs w:val="24"/>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tcPr>
          <w:p>
            <w:pPr>
              <w:tabs>
                <w:tab w:val="left" w:pos="0"/>
              </w:tabs>
              <w:adjustRightInd w:val="0"/>
              <w:snapToGrid w:val="0"/>
              <w:spacing w:line="360" w:lineRule="auto"/>
              <w:rPr>
                <w:rFonts w:ascii="宋体" w:hAnsi="宋体" w:cs="宋体"/>
                <w:sz w:val="24"/>
                <w:szCs w:val="24"/>
              </w:rPr>
            </w:pPr>
          </w:p>
        </w:tc>
        <w:tc>
          <w:tcPr>
            <w:tcW w:w="576" w:type="dxa"/>
            <w:vMerge w:val="continue"/>
          </w:tcPr>
          <w:p>
            <w:pPr>
              <w:tabs>
                <w:tab w:val="left" w:pos="0"/>
              </w:tabs>
              <w:adjustRightInd w:val="0"/>
              <w:snapToGrid w:val="0"/>
              <w:spacing w:line="360" w:lineRule="auto"/>
              <w:rPr>
                <w:rFonts w:ascii="宋体" w:hAnsi="宋体" w:cs="宋体"/>
                <w:b/>
                <w:bCs/>
                <w:sz w:val="24"/>
                <w:szCs w:val="24"/>
              </w:rPr>
            </w:pPr>
          </w:p>
        </w:tc>
        <w:tc>
          <w:tcPr>
            <w:tcW w:w="541" w:type="dxa"/>
            <w:vMerge w:val="continue"/>
          </w:tcPr>
          <w:p>
            <w:pPr>
              <w:tabs>
                <w:tab w:val="left" w:pos="0"/>
              </w:tabs>
              <w:adjustRightInd w:val="0"/>
              <w:snapToGrid w:val="0"/>
              <w:spacing w:line="360" w:lineRule="auto"/>
              <w:rPr>
                <w:rFonts w:ascii="宋体" w:hAnsi="宋体" w:cs="宋体"/>
                <w:b/>
                <w:bCs/>
                <w:sz w:val="24"/>
                <w:szCs w:val="24"/>
              </w:rPr>
            </w:pPr>
          </w:p>
        </w:tc>
        <w:tc>
          <w:tcPr>
            <w:tcW w:w="2223" w:type="dxa"/>
            <w:vAlign w:val="center"/>
          </w:tcPr>
          <w:p>
            <w:pPr>
              <w:tabs>
                <w:tab w:val="left" w:pos="0"/>
              </w:tabs>
              <w:adjustRightInd w:val="0"/>
              <w:snapToGrid w:val="0"/>
              <w:rPr>
                <w:rFonts w:ascii="宋体" w:hAnsi="宋体" w:cs="宋体"/>
                <w:b/>
                <w:bCs/>
                <w:sz w:val="24"/>
                <w:szCs w:val="24"/>
              </w:rPr>
            </w:pPr>
            <w:r>
              <w:rPr>
                <w:rFonts w:hint="eastAsia" w:ascii="宋体" w:hAnsi="宋体" w:cs="宋体"/>
                <w:b/>
                <w:bCs/>
                <w:sz w:val="24"/>
                <w:szCs w:val="24"/>
              </w:rPr>
              <w:t>报价唯一</w:t>
            </w:r>
          </w:p>
        </w:tc>
        <w:tc>
          <w:tcPr>
            <w:tcW w:w="5236" w:type="dxa"/>
            <w:vAlign w:val="center"/>
          </w:tcPr>
          <w:p>
            <w:pPr>
              <w:tabs>
                <w:tab w:val="left" w:pos="0"/>
              </w:tabs>
              <w:adjustRightInd w:val="0"/>
              <w:snapToGrid w:val="0"/>
              <w:rPr>
                <w:rFonts w:ascii="宋体" w:hAnsi="宋体" w:cs="宋体"/>
                <w:sz w:val="24"/>
                <w:szCs w:val="24"/>
              </w:rPr>
            </w:pPr>
            <w:r>
              <w:rPr>
                <w:rFonts w:hint="eastAsia" w:ascii="宋体" w:hAnsi="宋体" w:cs="宋体"/>
                <w:sz w:val="24"/>
                <w:szCs w:val="24"/>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vAlign w:val="center"/>
          </w:tcPr>
          <w:p>
            <w:pPr>
              <w:tabs>
                <w:tab w:val="left" w:pos="0"/>
              </w:tabs>
              <w:adjustRightInd w:val="0"/>
              <w:snapToGrid w:val="0"/>
              <w:spacing w:line="360" w:lineRule="auto"/>
              <w:jc w:val="center"/>
              <w:rPr>
                <w:rFonts w:ascii="宋体" w:hAnsi="宋体" w:cs="宋体"/>
                <w:sz w:val="24"/>
                <w:szCs w:val="24"/>
              </w:rPr>
            </w:pPr>
          </w:p>
        </w:tc>
        <w:tc>
          <w:tcPr>
            <w:tcW w:w="576" w:type="dxa"/>
            <w:vMerge w:val="continue"/>
            <w:vAlign w:val="center"/>
          </w:tcPr>
          <w:p>
            <w:pPr>
              <w:tabs>
                <w:tab w:val="left" w:pos="0"/>
              </w:tabs>
              <w:adjustRightInd w:val="0"/>
              <w:snapToGrid w:val="0"/>
              <w:jc w:val="center"/>
              <w:rPr>
                <w:rFonts w:ascii="宋体" w:hAnsi="宋体" w:cs="宋体"/>
                <w:b/>
                <w:bCs/>
                <w:sz w:val="24"/>
                <w:szCs w:val="24"/>
              </w:rPr>
            </w:pPr>
          </w:p>
        </w:tc>
        <w:tc>
          <w:tcPr>
            <w:tcW w:w="541" w:type="dxa"/>
            <w:vMerge w:val="restart"/>
            <w:vAlign w:val="center"/>
          </w:tcPr>
          <w:p>
            <w:pPr>
              <w:tabs>
                <w:tab w:val="left" w:pos="0"/>
              </w:tabs>
              <w:adjustRightInd w:val="0"/>
              <w:snapToGrid w:val="0"/>
              <w:jc w:val="center"/>
              <w:rPr>
                <w:rFonts w:ascii="宋体" w:hAnsi="宋体" w:cs="宋体"/>
                <w:b/>
                <w:bCs/>
                <w:sz w:val="24"/>
                <w:szCs w:val="24"/>
              </w:rPr>
            </w:pPr>
            <w:r>
              <w:rPr>
                <w:rFonts w:hint="eastAsia" w:ascii="宋体" w:hAnsi="宋体" w:cs="宋体"/>
                <w:b/>
                <w:bCs/>
                <w:sz w:val="24"/>
                <w:szCs w:val="24"/>
              </w:rPr>
              <w:t>完整性审查</w:t>
            </w:r>
          </w:p>
        </w:tc>
        <w:tc>
          <w:tcPr>
            <w:tcW w:w="2223" w:type="dxa"/>
            <w:vAlign w:val="center"/>
          </w:tcPr>
          <w:p>
            <w:pPr>
              <w:tabs>
                <w:tab w:val="left" w:pos="0"/>
              </w:tabs>
              <w:adjustRightInd w:val="0"/>
              <w:snapToGrid w:val="0"/>
              <w:rPr>
                <w:rFonts w:ascii="宋体" w:hAnsi="宋体" w:cs="宋体"/>
                <w:b/>
                <w:bCs/>
                <w:sz w:val="24"/>
                <w:szCs w:val="24"/>
              </w:rPr>
            </w:pPr>
            <w:r>
              <w:rPr>
                <w:rFonts w:hint="eastAsia" w:ascii="宋体" w:hAnsi="宋体" w:cs="宋体"/>
                <w:b/>
                <w:bCs/>
                <w:sz w:val="24"/>
                <w:szCs w:val="24"/>
              </w:rPr>
              <w:t>投标文件份数</w:t>
            </w:r>
          </w:p>
        </w:tc>
        <w:tc>
          <w:tcPr>
            <w:tcW w:w="5236" w:type="dxa"/>
            <w:vAlign w:val="center"/>
          </w:tcPr>
          <w:p>
            <w:pPr>
              <w:tabs>
                <w:tab w:val="left" w:pos="0"/>
              </w:tabs>
              <w:adjustRightInd w:val="0"/>
              <w:snapToGrid w:val="0"/>
              <w:rPr>
                <w:rFonts w:ascii="宋体" w:hAnsi="宋体" w:cs="宋体"/>
                <w:sz w:val="24"/>
                <w:szCs w:val="24"/>
              </w:rPr>
            </w:pPr>
            <w:r>
              <w:rPr>
                <w:rFonts w:hint="eastAsia" w:ascii="宋体" w:hAnsi="宋体" w:cs="宋体"/>
                <w:sz w:val="24"/>
                <w:szCs w:val="24"/>
              </w:rPr>
              <w:t>应符合“投标人须知前附表”规定的正本、副本、电子文件数量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21" w:type="dxa"/>
            <w:vMerge w:val="continue"/>
          </w:tcPr>
          <w:p>
            <w:pPr>
              <w:tabs>
                <w:tab w:val="left" w:pos="0"/>
              </w:tabs>
              <w:adjustRightInd w:val="0"/>
              <w:snapToGrid w:val="0"/>
              <w:spacing w:line="360" w:lineRule="auto"/>
              <w:rPr>
                <w:rFonts w:ascii="宋体" w:hAnsi="宋体" w:cs="宋体"/>
                <w:sz w:val="24"/>
                <w:szCs w:val="24"/>
              </w:rPr>
            </w:pPr>
          </w:p>
        </w:tc>
        <w:tc>
          <w:tcPr>
            <w:tcW w:w="576" w:type="dxa"/>
            <w:vMerge w:val="continue"/>
          </w:tcPr>
          <w:p>
            <w:pPr>
              <w:tabs>
                <w:tab w:val="left" w:pos="0"/>
              </w:tabs>
              <w:adjustRightInd w:val="0"/>
              <w:snapToGrid w:val="0"/>
              <w:spacing w:line="360" w:lineRule="auto"/>
              <w:rPr>
                <w:rFonts w:ascii="宋体" w:hAnsi="宋体" w:cs="宋体"/>
                <w:b/>
                <w:bCs/>
                <w:sz w:val="24"/>
                <w:szCs w:val="24"/>
              </w:rPr>
            </w:pPr>
          </w:p>
        </w:tc>
        <w:tc>
          <w:tcPr>
            <w:tcW w:w="541" w:type="dxa"/>
            <w:vMerge w:val="continue"/>
          </w:tcPr>
          <w:p>
            <w:pPr>
              <w:tabs>
                <w:tab w:val="left" w:pos="0"/>
              </w:tabs>
              <w:adjustRightInd w:val="0"/>
              <w:snapToGrid w:val="0"/>
              <w:spacing w:line="360" w:lineRule="auto"/>
              <w:rPr>
                <w:rFonts w:ascii="宋体" w:hAnsi="宋体" w:cs="宋体"/>
                <w:b/>
                <w:bCs/>
                <w:sz w:val="24"/>
                <w:szCs w:val="24"/>
              </w:rPr>
            </w:pPr>
          </w:p>
        </w:tc>
        <w:tc>
          <w:tcPr>
            <w:tcW w:w="2223" w:type="dxa"/>
            <w:vAlign w:val="center"/>
          </w:tcPr>
          <w:p>
            <w:pPr>
              <w:tabs>
                <w:tab w:val="left" w:pos="0"/>
              </w:tabs>
              <w:adjustRightInd w:val="0"/>
              <w:snapToGrid w:val="0"/>
              <w:rPr>
                <w:rFonts w:ascii="宋体" w:hAnsi="宋体" w:cs="宋体"/>
                <w:b/>
                <w:bCs/>
                <w:sz w:val="24"/>
                <w:szCs w:val="24"/>
              </w:rPr>
            </w:pPr>
            <w:r>
              <w:rPr>
                <w:rFonts w:hint="eastAsia" w:ascii="宋体" w:hAnsi="宋体" w:cs="宋体"/>
                <w:b/>
                <w:bCs/>
                <w:sz w:val="24"/>
                <w:szCs w:val="24"/>
              </w:rPr>
              <w:t>投标文件内容</w:t>
            </w:r>
          </w:p>
        </w:tc>
        <w:tc>
          <w:tcPr>
            <w:tcW w:w="5236" w:type="dxa"/>
            <w:vAlign w:val="center"/>
          </w:tcPr>
          <w:p>
            <w:pPr>
              <w:tabs>
                <w:tab w:val="left" w:pos="0"/>
              </w:tabs>
              <w:adjustRightInd w:val="0"/>
              <w:snapToGrid w:val="0"/>
              <w:rPr>
                <w:rFonts w:ascii="宋体" w:hAnsi="宋体" w:cs="宋体"/>
                <w:sz w:val="24"/>
                <w:szCs w:val="24"/>
              </w:rPr>
            </w:pPr>
            <w:r>
              <w:rPr>
                <w:rFonts w:hint="eastAsia" w:ascii="宋体" w:hAnsi="宋体" w:cs="宋体"/>
                <w:sz w:val="24"/>
                <w:szCs w:val="24"/>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vAlign w:val="center"/>
          </w:tcPr>
          <w:p>
            <w:pPr>
              <w:tabs>
                <w:tab w:val="left" w:pos="0"/>
              </w:tabs>
              <w:adjustRightInd w:val="0"/>
              <w:snapToGrid w:val="0"/>
              <w:spacing w:line="360" w:lineRule="auto"/>
              <w:jc w:val="center"/>
              <w:rPr>
                <w:rFonts w:ascii="宋体" w:hAnsi="宋体" w:cs="宋体"/>
                <w:sz w:val="24"/>
                <w:szCs w:val="24"/>
              </w:rPr>
            </w:pPr>
          </w:p>
        </w:tc>
        <w:tc>
          <w:tcPr>
            <w:tcW w:w="576" w:type="dxa"/>
            <w:vMerge w:val="continue"/>
            <w:vAlign w:val="center"/>
          </w:tcPr>
          <w:p>
            <w:pPr>
              <w:tabs>
                <w:tab w:val="left" w:pos="0"/>
              </w:tabs>
              <w:adjustRightInd w:val="0"/>
              <w:snapToGrid w:val="0"/>
              <w:jc w:val="center"/>
              <w:rPr>
                <w:rFonts w:ascii="宋体" w:hAnsi="宋体" w:cs="宋体"/>
                <w:b/>
                <w:bCs/>
                <w:sz w:val="24"/>
                <w:szCs w:val="24"/>
              </w:rPr>
            </w:pPr>
          </w:p>
        </w:tc>
        <w:tc>
          <w:tcPr>
            <w:tcW w:w="541" w:type="dxa"/>
            <w:vMerge w:val="restart"/>
            <w:vAlign w:val="center"/>
          </w:tcPr>
          <w:p>
            <w:pPr>
              <w:tabs>
                <w:tab w:val="left" w:pos="0"/>
              </w:tabs>
              <w:adjustRightInd w:val="0"/>
              <w:snapToGrid w:val="0"/>
              <w:jc w:val="center"/>
              <w:rPr>
                <w:rFonts w:ascii="宋体" w:hAnsi="宋体" w:cs="宋体"/>
                <w:b/>
                <w:bCs/>
                <w:sz w:val="24"/>
                <w:szCs w:val="24"/>
              </w:rPr>
            </w:pPr>
            <w:r>
              <w:rPr>
                <w:rFonts w:hint="eastAsia" w:ascii="宋体" w:hAnsi="宋体" w:cs="宋体"/>
                <w:b/>
                <w:bCs/>
                <w:sz w:val="24"/>
                <w:szCs w:val="24"/>
              </w:rPr>
              <w:t>响应性审查</w:t>
            </w:r>
          </w:p>
        </w:tc>
        <w:tc>
          <w:tcPr>
            <w:tcW w:w="2223" w:type="dxa"/>
            <w:vAlign w:val="center"/>
          </w:tcPr>
          <w:p>
            <w:pPr>
              <w:tabs>
                <w:tab w:val="left" w:pos="0"/>
              </w:tabs>
              <w:adjustRightInd w:val="0"/>
              <w:snapToGrid w:val="0"/>
              <w:rPr>
                <w:rFonts w:ascii="宋体" w:hAnsi="宋体" w:cs="宋体"/>
                <w:b/>
                <w:bCs/>
                <w:sz w:val="24"/>
                <w:szCs w:val="24"/>
              </w:rPr>
            </w:pPr>
            <w:r>
              <w:rPr>
                <w:rFonts w:hint="eastAsia" w:ascii="宋体" w:hAnsi="宋体" w:cs="宋体"/>
                <w:b/>
                <w:bCs/>
                <w:sz w:val="24"/>
                <w:szCs w:val="24"/>
              </w:rPr>
              <w:t>对招标文件响应程度</w:t>
            </w:r>
          </w:p>
        </w:tc>
        <w:tc>
          <w:tcPr>
            <w:tcW w:w="5236" w:type="dxa"/>
            <w:vAlign w:val="center"/>
          </w:tcPr>
          <w:p>
            <w:pPr>
              <w:tabs>
                <w:tab w:val="left" w:pos="0"/>
              </w:tabs>
              <w:adjustRightInd w:val="0"/>
              <w:snapToGrid w:val="0"/>
              <w:rPr>
                <w:rFonts w:ascii="宋体" w:hAnsi="宋体" w:cs="宋体"/>
                <w:sz w:val="24"/>
                <w:szCs w:val="24"/>
              </w:rPr>
            </w:pPr>
            <w:r>
              <w:rPr>
                <w:rFonts w:hint="eastAsia" w:ascii="宋体" w:hAnsi="宋体" w:cs="宋体"/>
                <w:sz w:val="24"/>
                <w:szCs w:val="24"/>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tcPr>
          <w:p>
            <w:pPr>
              <w:tabs>
                <w:tab w:val="left" w:pos="0"/>
              </w:tabs>
              <w:adjustRightInd w:val="0"/>
              <w:snapToGrid w:val="0"/>
              <w:spacing w:line="360" w:lineRule="auto"/>
              <w:rPr>
                <w:rFonts w:ascii="宋体" w:hAnsi="宋体" w:cs="宋体"/>
                <w:sz w:val="24"/>
                <w:szCs w:val="24"/>
              </w:rPr>
            </w:pPr>
          </w:p>
        </w:tc>
        <w:tc>
          <w:tcPr>
            <w:tcW w:w="576" w:type="dxa"/>
            <w:vMerge w:val="continue"/>
          </w:tcPr>
          <w:p>
            <w:pPr>
              <w:tabs>
                <w:tab w:val="left" w:pos="0"/>
              </w:tabs>
              <w:adjustRightInd w:val="0"/>
              <w:snapToGrid w:val="0"/>
              <w:spacing w:line="360" w:lineRule="auto"/>
              <w:rPr>
                <w:rFonts w:ascii="宋体" w:hAnsi="宋体" w:cs="宋体"/>
                <w:b/>
                <w:bCs/>
                <w:sz w:val="24"/>
                <w:szCs w:val="24"/>
              </w:rPr>
            </w:pPr>
          </w:p>
        </w:tc>
        <w:tc>
          <w:tcPr>
            <w:tcW w:w="541" w:type="dxa"/>
            <w:vMerge w:val="continue"/>
          </w:tcPr>
          <w:p>
            <w:pPr>
              <w:tabs>
                <w:tab w:val="left" w:pos="0"/>
              </w:tabs>
              <w:adjustRightInd w:val="0"/>
              <w:snapToGrid w:val="0"/>
              <w:spacing w:line="360" w:lineRule="auto"/>
              <w:rPr>
                <w:rFonts w:ascii="宋体" w:hAnsi="宋体" w:cs="宋体"/>
                <w:b/>
                <w:bCs/>
                <w:sz w:val="24"/>
                <w:szCs w:val="24"/>
              </w:rPr>
            </w:pPr>
          </w:p>
        </w:tc>
        <w:tc>
          <w:tcPr>
            <w:tcW w:w="2223" w:type="dxa"/>
            <w:vAlign w:val="center"/>
          </w:tcPr>
          <w:p>
            <w:pPr>
              <w:tabs>
                <w:tab w:val="left" w:pos="0"/>
              </w:tabs>
              <w:adjustRightInd w:val="0"/>
              <w:snapToGrid w:val="0"/>
              <w:rPr>
                <w:rFonts w:ascii="宋体" w:hAnsi="宋体" w:cs="宋体"/>
                <w:b/>
                <w:bCs/>
                <w:sz w:val="24"/>
                <w:szCs w:val="24"/>
              </w:rPr>
            </w:pPr>
            <w:r>
              <w:rPr>
                <w:rFonts w:hint="eastAsia" w:ascii="宋体" w:hAnsi="宋体" w:cs="宋体"/>
                <w:b/>
                <w:bCs/>
                <w:sz w:val="24"/>
                <w:szCs w:val="24"/>
              </w:rPr>
              <w:t>工期</w:t>
            </w:r>
          </w:p>
        </w:tc>
        <w:tc>
          <w:tcPr>
            <w:tcW w:w="5236" w:type="dxa"/>
            <w:vAlign w:val="center"/>
          </w:tcPr>
          <w:p>
            <w:pPr>
              <w:tabs>
                <w:tab w:val="left" w:pos="0"/>
              </w:tabs>
              <w:adjustRightInd w:val="0"/>
              <w:snapToGrid w:val="0"/>
              <w:rPr>
                <w:rFonts w:ascii="宋体" w:hAnsi="宋体" w:cs="宋体"/>
                <w:sz w:val="24"/>
                <w:szCs w:val="24"/>
              </w:rPr>
            </w:pPr>
            <w:r>
              <w:rPr>
                <w:rFonts w:hint="eastAsia" w:ascii="宋体" w:hAnsi="宋体" w:cs="宋体"/>
                <w:sz w:val="24"/>
                <w:szCs w:val="24"/>
              </w:rPr>
              <w:t>应满足招标文件中要求的工期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tcPr>
          <w:p>
            <w:pPr>
              <w:tabs>
                <w:tab w:val="left" w:pos="0"/>
              </w:tabs>
              <w:adjustRightInd w:val="0"/>
              <w:snapToGrid w:val="0"/>
              <w:spacing w:line="360" w:lineRule="auto"/>
              <w:rPr>
                <w:rFonts w:ascii="宋体" w:hAnsi="宋体" w:cs="宋体"/>
                <w:sz w:val="24"/>
                <w:szCs w:val="24"/>
              </w:rPr>
            </w:pPr>
          </w:p>
        </w:tc>
        <w:tc>
          <w:tcPr>
            <w:tcW w:w="576" w:type="dxa"/>
            <w:vMerge w:val="continue"/>
          </w:tcPr>
          <w:p>
            <w:pPr>
              <w:tabs>
                <w:tab w:val="left" w:pos="0"/>
              </w:tabs>
              <w:adjustRightInd w:val="0"/>
              <w:snapToGrid w:val="0"/>
              <w:spacing w:line="360" w:lineRule="auto"/>
              <w:rPr>
                <w:rFonts w:ascii="宋体" w:hAnsi="宋体" w:cs="宋体"/>
                <w:b/>
                <w:bCs/>
                <w:sz w:val="24"/>
                <w:szCs w:val="24"/>
              </w:rPr>
            </w:pPr>
          </w:p>
        </w:tc>
        <w:tc>
          <w:tcPr>
            <w:tcW w:w="541" w:type="dxa"/>
            <w:vMerge w:val="continue"/>
          </w:tcPr>
          <w:p>
            <w:pPr>
              <w:tabs>
                <w:tab w:val="left" w:pos="0"/>
              </w:tabs>
              <w:adjustRightInd w:val="0"/>
              <w:snapToGrid w:val="0"/>
              <w:spacing w:line="360" w:lineRule="auto"/>
              <w:rPr>
                <w:rFonts w:ascii="宋体" w:hAnsi="宋体" w:cs="宋体"/>
                <w:b/>
                <w:bCs/>
                <w:sz w:val="24"/>
                <w:szCs w:val="24"/>
              </w:rPr>
            </w:pPr>
          </w:p>
        </w:tc>
        <w:tc>
          <w:tcPr>
            <w:tcW w:w="2223" w:type="dxa"/>
            <w:vAlign w:val="center"/>
          </w:tcPr>
          <w:p>
            <w:pPr>
              <w:tabs>
                <w:tab w:val="left" w:pos="0"/>
              </w:tabs>
              <w:adjustRightInd w:val="0"/>
              <w:snapToGrid w:val="0"/>
              <w:rPr>
                <w:rFonts w:ascii="宋体" w:hAnsi="宋体" w:cs="宋体"/>
                <w:b/>
                <w:bCs/>
                <w:sz w:val="24"/>
                <w:szCs w:val="24"/>
              </w:rPr>
            </w:pPr>
            <w:r>
              <w:rPr>
                <w:rFonts w:hint="eastAsia" w:ascii="宋体" w:hAnsi="宋体" w:cs="宋体"/>
                <w:b/>
                <w:bCs/>
                <w:sz w:val="24"/>
                <w:szCs w:val="24"/>
              </w:rPr>
              <w:t>施工地点</w:t>
            </w:r>
          </w:p>
        </w:tc>
        <w:tc>
          <w:tcPr>
            <w:tcW w:w="5236" w:type="dxa"/>
            <w:vAlign w:val="center"/>
          </w:tcPr>
          <w:p>
            <w:pPr>
              <w:tabs>
                <w:tab w:val="left" w:pos="0"/>
              </w:tabs>
              <w:adjustRightInd w:val="0"/>
              <w:snapToGrid w:val="0"/>
              <w:rPr>
                <w:rFonts w:ascii="宋体" w:hAnsi="宋体" w:cs="宋体"/>
                <w:sz w:val="24"/>
                <w:szCs w:val="24"/>
              </w:rPr>
            </w:pPr>
            <w:r>
              <w:rPr>
                <w:rFonts w:hint="eastAsia" w:ascii="宋体" w:hAnsi="宋体" w:cs="宋体"/>
                <w:sz w:val="24"/>
                <w:szCs w:val="24"/>
              </w:rPr>
              <w:t>应满足招标文件中要求的施工地点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1" w:type="dxa"/>
            <w:vMerge w:val="continue"/>
          </w:tcPr>
          <w:p>
            <w:pPr>
              <w:tabs>
                <w:tab w:val="left" w:pos="0"/>
              </w:tabs>
              <w:adjustRightInd w:val="0"/>
              <w:snapToGrid w:val="0"/>
              <w:spacing w:line="360" w:lineRule="auto"/>
              <w:rPr>
                <w:rFonts w:ascii="宋体" w:hAnsi="宋体" w:cs="宋体"/>
                <w:sz w:val="24"/>
                <w:szCs w:val="24"/>
              </w:rPr>
            </w:pPr>
          </w:p>
        </w:tc>
        <w:tc>
          <w:tcPr>
            <w:tcW w:w="576" w:type="dxa"/>
            <w:vMerge w:val="continue"/>
          </w:tcPr>
          <w:p>
            <w:pPr>
              <w:tabs>
                <w:tab w:val="left" w:pos="0"/>
              </w:tabs>
              <w:adjustRightInd w:val="0"/>
              <w:snapToGrid w:val="0"/>
              <w:spacing w:line="360" w:lineRule="auto"/>
              <w:rPr>
                <w:rFonts w:ascii="宋体" w:hAnsi="宋体" w:cs="宋体"/>
                <w:b/>
                <w:bCs/>
                <w:sz w:val="24"/>
                <w:szCs w:val="24"/>
              </w:rPr>
            </w:pPr>
          </w:p>
        </w:tc>
        <w:tc>
          <w:tcPr>
            <w:tcW w:w="541" w:type="dxa"/>
            <w:vMerge w:val="continue"/>
          </w:tcPr>
          <w:p>
            <w:pPr>
              <w:tabs>
                <w:tab w:val="left" w:pos="0"/>
              </w:tabs>
              <w:adjustRightInd w:val="0"/>
              <w:snapToGrid w:val="0"/>
              <w:spacing w:line="360" w:lineRule="auto"/>
              <w:rPr>
                <w:rFonts w:ascii="宋体" w:hAnsi="宋体" w:cs="宋体"/>
                <w:b/>
                <w:bCs/>
                <w:sz w:val="24"/>
                <w:szCs w:val="24"/>
              </w:rPr>
            </w:pPr>
          </w:p>
        </w:tc>
        <w:tc>
          <w:tcPr>
            <w:tcW w:w="2223" w:type="dxa"/>
            <w:vAlign w:val="center"/>
          </w:tcPr>
          <w:p>
            <w:pPr>
              <w:tabs>
                <w:tab w:val="left" w:pos="0"/>
              </w:tabs>
              <w:adjustRightInd w:val="0"/>
              <w:snapToGrid w:val="0"/>
              <w:rPr>
                <w:rFonts w:ascii="宋体" w:hAnsi="宋体" w:cs="宋体"/>
                <w:b/>
                <w:bCs/>
                <w:sz w:val="24"/>
                <w:szCs w:val="24"/>
              </w:rPr>
            </w:pPr>
            <w:r>
              <w:rPr>
                <w:rFonts w:hint="eastAsia" w:ascii="宋体" w:hAnsi="宋体" w:cs="宋体"/>
                <w:b/>
                <w:bCs/>
                <w:sz w:val="24"/>
                <w:szCs w:val="24"/>
              </w:rPr>
              <w:t>投标有效期</w:t>
            </w:r>
          </w:p>
        </w:tc>
        <w:tc>
          <w:tcPr>
            <w:tcW w:w="5236" w:type="dxa"/>
            <w:vAlign w:val="center"/>
          </w:tcPr>
          <w:p>
            <w:pPr>
              <w:tabs>
                <w:tab w:val="left" w:pos="0"/>
              </w:tabs>
              <w:adjustRightInd w:val="0"/>
              <w:snapToGrid w:val="0"/>
              <w:rPr>
                <w:rFonts w:ascii="宋体" w:hAnsi="宋体" w:cs="宋体"/>
                <w:sz w:val="24"/>
                <w:szCs w:val="24"/>
              </w:rPr>
            </w:pPr>
            <w:r>
              <w:rPr>
                <w:rFonts w:hint="eastAsia" w:ascii="宋体" w:hAnsi="宋体" w:cs="宋体"/>
                <w:sz w:val="24"/>
                <w:szCs w:val="24"/>
              </w:rPr>
              <w:t>应满足招标文件中的规定</w:t>
            </w:r>
          </w:p>
        </w:tc>
      </w:tr>
    </w:tbl>
    <w:p>
      <w:pPr>
        <w:spacing w:line="600" w:lineRule="exact"/>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附件2分值构成与评分标准</w:t>
      </w:r>
    </w:p>
    <w:p>
      <w:pPr>
        <w:pStyle w:val="26"/>
      </w:pPr>
    </w:p>
    <w:tbl>
      <w:tblPr>
        <w:tblStyle w:val="2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76"/>
        <w:gridCol w:w="1435"/>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6" w:type="dxa"/>
            <w:vAlign w:val="center"/>
          </w:tcPr>
          <w:p>
            <w:pPr>
              <w:spacing w:line="480" w:lineRule="exact"/>
              <w:jc w:val="center"/>
              <w:rPr>
                <w:rFonts w:ascii="宋体" w:hAnsi="宋体" w:cs="宋体"/>
                <w:b/>
                <w:sz w:val="24"/>
                <w:szCs w:val="24"/>
              </w:rPr>
            </w:pPr>
            <w:r>
              <w:rPr>
                <w:rFonts w:hint="eastAsia" w:ascii="宋体" w:hAnsi="宋体" w:cs="宋体"/>
                <w:b/>
                <w:sz w:val="24"/>
                <w:szCs w:val="24"/>
              </w:rPr>
              <w:t>评分因素</w:t>
            </w:r>
          </w:p>
        </w:tc>
        <w:tc>
          <w:tcPr>
            <w:tcW w:w="1276" w:type="dxa"/>
            <w:vAlign w:val="center"/>
          </w:tcPr>
          <w:p>
            <w:pPr>
              <w:spacing w:line="480" w:lineRule="exact"/>
              <w:jc w:val="center"/>
              <w:rPr>
                <w:rFonts w:ascii="宋体" w:hAnsi="宋体" w:cs="宋体"/>
                <w:b/>
                <w:sz w:val="24"/>
                <w:szCs w:val="24"/>
              </w:rPr>
            </w:pPr>
            <w:r>
              <w:rPr>
                <w:rFonts w:hint="eastAsia" w:ascii="宋体" w:hAnsi="宋体" w:cs="宋体"/>
                <w:b/>
                <w:sz w:val="24"/>
                <w:szCs w:val="24"/>
              </w:rPr>
              <w:t>总分</w:t>
            </w:r>
          </w:p>
          <w:p>
            <w:pPr>
              <w:spacing w:line="480" w:lineRule="exact"/>
              <w:jc w:val="center"/>
              <w:rPr>
                <w:rFonts w:ascii="宋体" w:hAnsi="宋体" w:cs="宋体"/>
                <w:b/>
                <w:sz w:val="24"/>
                <w:szCs w:val="24"/>
              </w:rPr>
            </w:pPr>
            <w:r>
              <w:rPr>
                <w:rFonts w:hint="eastAsia" w:ascii="宋体" w:hAnsi="宋体" w:cs="宋体"/>
                <w:b/>
                <w:sz w:val="24"/>
                <w:szCs w:val="24"/>
              </w:rPr>
              <w:t>（100分）</w:t>
            </w:r>
          </w:p>
        </w:tc>
        <w:tc>
          <w:tcPr>
            <w:tcW w:w="1435" w:type="dxa"/>
            <w:vAlign w:val="center"/>
          </w:tcPr>
          <w:p>
            <w:pPr>
              <w:spacing w:line="480" w:lineRule="exact"/>
              <w:jc w:val="center"/>
              <w:rPr>
                <w:rFonts w:ascii="宋体" w:hAnsi="宋体" w:cs="宋体"/>
                <w:b/>
                <w:sz w:val="24"/>
                <w:szCs w:val="24"/>
              </w:rPr>
            </w:pPr>
            <w:r>
              <w:rPr>
                <w:rFonts w:hint="eastAsia" w:ascii="宋体" w:hAnsi="宋体" w:cs="宋体"/>
                <w:b/>
                <w:sz w:val="24"/>
                <w:szCs w:val="24"/>
              </w:rPr>
              <w:t>评审要素</w:t>
            </w:r>
          </w:p>
        </w:tc>
        <w:tc>
          <w:tcPr>
            <w:tcW w:w="5824" w:type="dxa"/>
            <w:vAlign w:val="center"/>
          </w:tcPr>
          <w:p>
            <w:pPr>
              <w:spacing w:line="480" w:lineRule="exact"/>
              <w:jc w:val="center"/>
              <w:rPr>
                <w:rFonts w:ascii="宋体" w:hAnsi="宋体" w:cs="宋体"/>
                <w:b/>
                <w:sz w:val="24"/>
                <w:szCs w:val="24"/>
              </w:rPr>
            </w:pPr>
            <w:r>
              <w:rPr>
                <w:rFonts w:hint="eastAsia" w:ascii="宋体" w:hAnsi="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restart"/>
            <w:vAlign w:val="center"/>
          </w:tcPr>
          <w:p>
            <w:pPr>
              <w:spacing w:line="480" w:lineRule="exact"/>
              <w:jc w:val="center"/>
              <w:rPr>
                <w:rFonts w:ascii="宋体" w:hAnsi="宋体" w:cs="宋体"/>
                <w:sz w:val="24"/>
                <w:szCs w:val="24"/>
              </w:rPr>
            </w:pPr>
            <w:r>
              <w:rPr>
                <w:rFonts w:hint="eastAsia" w:ascii="宋体" w:hAnsi="宋体" w:cs="宋体"/>
                <w:sz w:val="24"/>
                <w:szCs w:val="24"/>
              </w:rPr>
              <w:t>技术评分部分</w:t>
            </w:r>
          </w:p>
        </w:tc>
        <w:tc>
          <w:tcPr>
            <w:tcW w:w="1276" w:type="dxa"/>
            <w:vMerge w:val="restart"/>
            <w:vAlign w:val="center"/>
          </w:tcPr>
          <w:p>
            <w:pPr>
              <w:spacing w:line="480" w:lineRule="exact"/>
              <w:jc w:val="center"/>
              <w:rPr>
                <w:rFonts w:ascii="宋体" w:hAnsi="宋体" w:cs="宋体"/>
                <w:sz w:val="24"/>
                <w:szCs w:val="24"/>
              </w:rPr>
            </w:pPr>
            <w:r>
              <w:rPr>
                <w:rFonts w:hint="eastAsia" w:ascii="宋体" w:hAnsi="宋体" w:cs="宋体"/>
                <w:sz w:val="24"/>
                <w:szCs w:val="24"/>
              </w:rPr>
              <w:t>（70分）</w:t>
            </w:r>
          </w:p>
        </w:tc>
        <w:tc>
          <w:tcPr>
            <w:tcW w:w="1435" w:type="dxa"/>
            <w:vAlign w:val="center"/>
          </w:tcPr>
          <w:p>
            <w:pPr>
              <w:spacing w:line="480" w:lineRule="exact"/>
              <w:jc w:val="center"/>
              <w:rPr>
                <w:rFonts w:ascii="宋体" w:hAnsi="宋体" w:cs="宋体"/>
                <w:sz w:val="24"/>
                <w:szCs w:val="24"/>
              </w:rPr>
            </w:pPr>
            <w:r>
              <w:rPr>
                <w:rFonts w:hint="eastAsia" w:ascii="宋体" w:hAnsi="宋体" w:cs="宋体"/>
                <w:sz w:val="24"/>
                <w:szCs w:val="24"/>
              </w:rPr>
              <w:t>①项目管理部门及人员配备（5分）</w:t>
            </w:r>
          </w:p>
        </w:tc>
        <w:tc>
          <w:tcPr>
            <w:tcW w:w="5824" w:type="dxa"/>
            <w:vAlign w:val="center"/>
          </w:tcPr>
          <w:p>
            <w:pPr>
              <w:spacing w:line="480" w:lineRule="exact"/>
              <w:rPr>
                <w:rFonts w:ascii="宋体" w:hAnsi="宋体" w:cs="宋体"/>
                <w:sz w:val="24"/>
                <w:szCs w:val="24"/>
              </w:rPr>
            </w:pPr>
            <w:r>
              <w:rPr>
                <w:rFonts w:hint="eastAsia" w:ascii="宋体" w:hAnsi="宋体" w:cs="宋体"/>
                <w:sz w:val="24"/>
                <w:szCs w:val="24"/>
              </w:rPr>
              <w:t>依据本项目成立项目管理部，项目部门技术人员配备合理，岗位职责清晰明确，满足本项目需求得5-3（含3）分；项目部门技术人员配备较合理，岗位职责较为清晰明确，基本满足本项目需求得1-2（含2）分；项目部门技术人员配备不合理，岗位职责较不清晰明确，不能满足本项目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6" w:type="dxa"/>
            <w:vMerge w:val="continue"/>
            <w:vAlign w:val="center"/>
          </w:tcPr>
          <w:p>
            <w:pPr>
              <w:spacing w:line="480" w:lineRule="exact"/>
              <w:jc w:val="center"/>
              <w:rPr>
                <w:rFonts w:ascii="宋体" w:hAnsi="宋体" w:cs="宋体"/>
                <w:sz w:val="24"/>
                <w:szCs w:val="24"/>
              </w:rPr>
            </w:pPr>
          </w:p>
        </w:tc>
        <w:tc>
          <w:tcPr>
            <w:tcW w:w="1276" w:type="dxa"/>
            <w:vMerge w:val="continue"/>
            <w:vAlign w:val="center"/>
          </w:tcPr>
          <w:p>
            <w:pPr>
              <w:spacing w:line="480" w:lineRule="exact"/>
              <w:jc w:val="center"/>
              <w:rPr>
                <w:rFonts w:ascii="宋体" w:hAnsi="宋体" w:cs="宋体"/>
                <w:sz w:val="24"/>
                <w:szCs w:val="24"/>
              </w:rPr>
            </w:pPr>
          </w:p>
        </w:tc>
        <w:tc>
          <w:tcPr>
            <w:tcW w:w="1435" w:type="dxa"/>
            <w:vAlign w:val="center"/>
          </w:tcPr>
          <w:p>
            <w:pPr>
              <w:spacing w:line="480" w:lineRule="exact"/>
              <w:jc w:val="center"/>
              <w:rPr>
                <w:rFonts w:ascii="宋体" w:hAnsi="宋体" w:cs="宋体"/>
                <w:sz w:val="24"/>
                <w:szCs w:val="24"/>
              </w:rPr>
            </w:pPr>
            <w:r>
              <w:rPr>
                <w:rFonts w:hint="eastAsia" w:ascii="宋体" w:hAnsi="宋体" w:cs="宋体"/>
                <w:sz w:val="24"/>
                <w:szCs w:val="24"/>
              </w:rPr>
              <w:t>②项目实施方案</w:t>
            </w:r>
          </w:p>
          <w:p>
            <w:pPr>
              <w:spacing w:line="480" w:lineRule="exact"/>
              <w:jc w:val="center"/>
              <w:rPr>
                <w:rFonts w:ascii="宋体" w:hAnsi="宋体" w:cs="宋体"/>
                <w:sz w:val="24"/>
                <w:szCs w:val="24"/>
              </w:rPr>
            </w:pPr>
            <w:r>
              <w:rPr>
                <w:rFonts w:hint="eastAsia" w:ascii="宋体" w:hAnsi="宋体" w:cs="宋体"/>
                <w:sz w:val="24"/>
                <w:szCs w:val="24"/>
              </w:rPr>
              <w:t>（15分）</w:t>
            </w:r>
          </w:p>
        </w:tc>
        <w:tc>
          <w:tcPr>
            <w:tcW w:w="5824" w:type="dxa"/>
            <w:vAlign w:val="center"/>
          </w:tcPr>
          <w:p>
            <w:pPr>
              <w:spacing w:line="480" w:lineRule="exact"/>
              <w:rPr>
                <w:rFonts w:ascii="宋体" w:hAnsi="宋体" w:cs="宋体"/>
                <w:sz w:val="24"/>
                <w:szCs w:val="24"/>
              </w:rPr>
            </w:pPr>
            <w:r>
              <w:rPr>
                <w:rFonts w:hint="eastAsia" w:ascii="宋体" w:hAnsi="宋体" w:cs="宋体"/>
                <w:sz w:val="24"/>
                <w:szCs w:val="24"/>
              </w:rPr>
              <w:t>针对本项目实际情况就工程内容编写施工方案：</w:t>
            </w:r>
          </w:p>
          <w:p>
            <w:pPr>
              <w:spacing w:line="480" w:lineRule="exact"/>
              <w:rPr>
                <w:rFonts w:ascii="宋体" w:hAnsi="宋体" w:cs="宋体"/>
                <w:sz w:val="24"/>
                <w:szCs w:val="24"/>
              </w:rPr>
            </w:pPr>
            <w:r>
              <w:rPr>
                <w:rFonts w:hint="eastAsia" w:ascii="宋体" w:hAnsi="宋体" w:cs="宋体"/>
                <w:sz w:val="24"/>
                <w:szCs w:val="24"/>
              </w:rPr>
              <w:t>①方案切合实际、因地制宜、科学合理完全满足本项目要求10（含10）-15分；</w:t>
            </w:r>
          </w:p>
          <w:p>
            <w:pPr>
              <w:spacing w:line="480" w:lineRule="exact"/>
              <w:rPr>
                <w:rFonts w:ascii="宋体" w:hAnsi="宋体" w:cs="宋体"/>
                <w:sz w:val="24"/>
                <w:szCs w:val="24"/>
              </w:rPr>
            </w:pPr>
            <w:r>
              <w:rPr>
                <w:rFonts w:hint="eastAsia" w:ascii="宋体" w:hAnsi="宋体" w:cs="宋体"/>
                <w:sz w:val="24"/>
                <w:szCs w:val="24"/>
              </w:rPr>
              <w:t>②方案较为切合实际、因地制宜性一般、较为满足本项目要求5（含5）-10分；</w:t>
            </w:r>
          </w:p>
          <w:p>
            <w:pPr>
              <w:spacing w:line="480" w:lineRule="exact"/>
              <w:rPr>
                <w:rFonts w:ascii="宋体" w:hAnsi="宋体" w:cs="宋体"/>
                <w:sz w:val="24"/>
                <w:szCs w:val="24"/>
              </w:rPr>
            </w:pPr>
            <w:r>
              <w:rPr>
                <w:rFonts w:hint="eastAsia" w:ascii="宋体" w:hAnsi="宋体" w:cs="宋体"/>
                <w:sz w:val="24"/>
                <w:szCs w:val="24"/>
              </w:rPr>
              <w:t>③方案不切合实际情况、因地制宜性差，不能满足本项目实际要求0-5分。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36" w:type="dxa"/>
            <w:vMerge w:val="continue"/>
            <w:vAlign w:val="center"/>
          </w:tcPr>
          <w:p>
            <w:pPr>
              <w:spacing w:line="480" w:lineRule="exact"/>
              <w:jc w:val="center"/>
              <w:rPr>
                <w:rFonts w:ascii="宋体" w:hAnsi="宋体" w:cs="宋体"/>
                <w:sz w:val="24"/>
                <w:szCs w:val="24"/>
              </w:rPr>
            </w:pPr>
          </w:p>
        </w:tc>
        <w:tc>
          <w:tcPr>
            <w:tcW w:w="1276" w:type="dxa"/>
            <w:vMerge w:val="continue"/>
            <w:vAlign w:val="center"/>
          </w:tcPr>
          <w:p>
            <w:pPr>
              <w:spacing w:line="480" w:lineRule="exact"/>
              <w:jc w:val="center"/>
              <w:rPr>
                <w:rFonts w:ascii="宋体" w:hAnsi="宋体" w:cs="宋体"/>
                <w:sz w:val="24"/>
                <w:szCs w:val="24"/>
              </w:rPr>
            </w:pPr>
          </w:p>
        </w:tc>
        <w:tc>
          <w:tcPr>
            <w:tcW w:w="1435" w:type="dxa"/>
            <w:vAlign w:val="center"/>
          </w:tcPr>
          <w:p>
            <w:pPr>
              <w:spacing w:line="480" w:lineRule="exact"/>
              <w:jc w:val="center"/>
              <w:rPr>
                <w:rFonts w:ascii="宋体" w:hAnsi="宋体" w:cs="宋体"/>
                <w:sz w:val="24"/>
                <w:szCs w:val="24"/>
              </w:rPr>
            </w:pPr>
            <w:r>
              <w:rPr>
                <w:rFonts w:hint="eastAsia" w:ascii="宋体" w:hAnsi="宋体" w:cs="宋体"/>
                <w:sz w:val="24"/>
                <w:szCs w:val="24"/>
              </w:rPr>
              <w:t>③工程进度计划与保障措施（7分）</w:t>
            </w:r>
          </w:p>
        </w:tc>
        <w:tc>
          <w:tcPr>
            <w:tcW w:w="5824" w:type="dxa"/>
            <w:vAlign w:val="center"/>
          </w:tcPr>
          <w:p>
            <w:pPr>
              <w:spacing w:line="480" w:lineRule="exact"/>
              <w:rPr>
                <w:rFonts w:ascii="宋体" w:hAnsi="宋体" w:cs="宋体"/>
                <w:sz w:val="24"/>
                <w:szCs w:val="24"/>
              </w:rPr>
            </w:pPr>
            <w:r>
              <w:rPr>
                <w:rFonts w:hint="eastAsia" w:ascii="宋体" w:hAnsi="宋体" w:cs="宋体"/>
                <w:sz w:val="24"/>
                <w:szCs w:val="24"/>
              </w:rPr>
              <w:t>进度计划及保障措施合理、完善，4～7分</w:t>
            </w:r>
          </w:p>
          <w:p>
            <w:pPr>
              <w:spacing w:line="480" w:lineRule="exact"/>
              <w:rPr>
                <w:rFonts w:ascii="宋体" w:hAnsi="宋体" w:cs="宋体"/>
                <w:sz w:val="24"/>
                <w:szCs w:val="24"/>
              </w:rPr>
            </w:pPr>
            <w:r>
              <w:rPr>
                <w:rFonts w:hint="eastAsia" w:ascii="宋体" w:hAnsi="宋体" w:cs="宋体"/>
                <w:sz w:val="24"/>
                <w:szCs w:val="24"/>
              </w:rPr>
              <w:t>进度计划及保障措施基本合理、比较完善，2～4分</w:t>
            </w:r>
          </w:p>
          <w:p>
            <w:pPr>
              <w:spacing w:line="480" w:lineRule="exact"/>
              <w:rPr>
                <w:rFonts w:ascii="宋体" w:hAnsi="宋体" w:cs="宋体"/>
                <w:sz w:val="24"/>
                <w:szCs w:val="24"/>
              </w:rPr>
            </w:pPr>
            <w:r>
              <w:rPr>
                <w:rFonts w:hint="eastAsia" w:ascii="宋体" w:hAnsi="宋体" w:cs="宋体"/>
                <w:sz w:val="24"/>
                <w:szCs w:val="24"/>
              </w:rPr>
              <w:t>进度计划及保障措施一般，0～2分；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dxa"/>
            <w:vMerge w:val="continue"/>
            <w:vAlign w:val="center"/>
          </w:tcPr>
          <w:p>
            <w:pPr>
              <w:spacing w:line="480" w:lineRule="exact"/>
              <w:jc w:val="center"/>
              <w:rPr>
                <w:rFonts w:ascii="宋体" w:hAnsi="宋体" w:cs="宋体"/>
                <w:sz w:val="24"/>
                <w:szCs w:val="24"/>
              </w:rPr>
            </w:pPr>
          </w:p>
        </w:tc>
        <w:tc>
          <w:tcPr>
            <w:tcW w:w="1276" w:type="dxa"/>
            <w:vMerge w:val="continue"/>
            <w:vAlign w:val="center"/>
          </w:tcPr>
          <w:p>
            <w:pPr>
              <w:spacing w:line="480" w:lineRule="exact"/>
              <w:jc w:val="center"/>
              <w:rPr>
                <w:rFonts w:ascii="宋体" w:hAnsi="宋体" w:cs="宋体"/>
                <w:sz w:val="24"/>
                <w:szCs w:val="24"/>
              </w:rPr>
            </w:pPr>
          </w:p>
        </w:tc>
        <w:tc>
          <w:tcPr>
            <w:tcW w:w="1435" w:type="dxa"/>
            <w:vAlign w:val="center"/>
          </w:tcPr>
          <w:p>
            <w:pPr>
              <w:spacing w:line="480" w:lineRule="exact"/>
              <w:jc w:val="center"/>
              <w:rPr>
                <w:rFonts w:ascii="宋体" w:hAnsi="宋体" w:cs="宋体"/>
                <w:sz w:val="24"/>
                <w:szCs w:val="24"/>
              </w:rPr>
            </w:pPr>
            <w:r>
              <w:rPr>
                <w:rFonts w:hint="eastAsia" w:ascii="宋体" w:hAnsi="宋体" w:cs="宋体"/>
                <w:sz w:val="24"/>
                <w:szCs w:val="24"/>
              </w:rPr>
              <w:t>④确保工程质量的组织措施（6分）</w:t>
            </w:r>
          </w:p>
        </w:tc>
        <w:tc>
          <w:tcPr>
            <w:tcW w:w="5824" w:type="dxa"/>
            <w:vAlign w:val="center"/>
          </w:tcPr>
          <w:p>
            <w:pPr>
              <w:spacing w:line="480" w:lineRule="exact"/>
              <w:rPr>
                <w:rFonts w:ascii="宋体" w:hAnsi="宋体" w:cs="宋体"/>
                <w:sz w:val="24"/>
                <w:szCs w:val="24"/>
              </w:rPr>
            </w:pPr>
            <w:r>
              <w:rPr>
                <w:rFonts w:hint="eastAsia" w:ascii="宋体" w:hAnsi="宋体" w:cs="宋体"/>
                <w:sz w:val="24"/>
                <w:szCs w:val="24"/>
              </w:rPr>
              <w:t>所述内容切合工程实际，质量措施切实可行，根据响应的不同程度赋分4～6分；</w:t>
            </w:r>
          </w:p>
          <w:p>
            <w:pPr>
              <w:spacing w:line="480" w:lineRule="exact"/>
              <w:rPr>
                <w:rFonts w:ascii="宋体" w:hAnsi="宋体" w:cs="宋体"/>
                <w:sz w:val="24"/>
                <w:szCs w:val="24"/>
              </w:rPr>
            </w:pPr>
            <w:r>
              <w:rPr>
                <w:rFonts w:hint="eastAsia" w:ascii="宋体" w:hAnsi="宋体" w:cs="宋体"/>
                <w:sz w:val="24"/>
                <w:szCs w:val="24"/>
              </w:rPr>
              <w:t>质量措施基本合理、比较完善2～4分；质量措施一般，0～2分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6" w:type="dxa"/>
            <w:vMerge w:val="continue"/>
            <w:vAlign w:val="center"/>
          </w:tcPr>
          <w:p>
            <w:pPr>
              <w:spacing w:line="480" w:lineRule="exact"/>
              <w:jc w:val="center"/>
              <w:rPr>
                <w:rFonts w:ascii="宋体" w:hAnsi="宋体" w:cs="宋体"/>
                <w:sz w:val="24"/>
                <w:szCs w:val="24"/>
              </w:rPr>
            </w:pPr>
          </w:p>
        </w:tc>
        <w:tc>
          <w:tcPr>
            <w:tcW w:w="1276" w:type="dxa"/>
            <w:vMerge w:val="continue"/>
            <w:vAlign w:val="center"/>
          </w:tcPr>
          <w:p>
            <w:pPr>
              <w:spacing w:line="480" w:lineRule="exact"/>
              <w:jc w:val="center"/>
              <w:rPr>
                <w:rFonts w:ascii="宋体" w:hAnsi="宋体" w:cs="宋体"/>
                <w:sz w:val="24"/>
                <w:szCs w:val="24"/>
              </w:rPr>
            </w:pPr>
          </w:p>
        </w:tc>
        <w:tc>
          <w:tcPr>
            <w:tcW w:w="1435" w:type="dxa"/>
            <w:vAlign w:val="center"/>
          </w:tcPr>
          <w:p>
            <w:pPr>
              <w:spacing w:line="480" w:lineRule="exact"/>
              <w:jc w:val="center"/>
              <w:rPr>
                <w:rFonts w:ascii="宋体" w:hAnsi="宋体" w:cs="宋体"/>
                <w:sz w:val="24"/>
                <w:szCs w:val="24"/>
              </w:rPr>
            </w:pPr>
            <w:r>
              <w:rPr>
                <w:rFonts w:hint="eastAsia" w:ascii="宋体" w:hAnsi="宋体" w:cs="宋体"/>
                <w:sz w:val="24"/>
                <w:szCs w:val="24"/>
              </w:rPr>
              <w:t>⑤文明施工、环境保护管理体系与措施</w:t>
            </w:r>
          </w:p>
          <w:p>
            <w:pPr>
              <w:spacing w:line="480" w:lineRule="exact"/>
              <w:jc w:val="center"/>
              <w:rPr>
                <w:rFonts w:ascii="宋体" w:hAnsi="宋体" w:cs="宋体"/>
                <w:sz w:val="24"/>
                <w:szCs w:val="24"/>
              </w:rPr>
            </w:pPr>
            <w:r>
              <w:rPr>
                <w:rFonts w:hint="eastAsia" w:ascii="宋体" w:hAnsi="宋体" w:cs="宋体"/>
                <w:sz w:val="24"/>
                <w:szCs w:val="24"/>
              </w:rPr>
              <w:t>（6分）</w:t>
            </w:r>
          </w:p>
        </w:tc>
        <w:tc>
          <w:tcPr>
            <w:tcW w:w="5824" w:type="dxa"/>
            <w:vAlign w:val="center"/>
          </w:tcPr>
          <w:p>
            <w:pPr>
              <w:spacing w:line="480" w:lineRule="exact"/>
              <w:rPr>
                <w:rFonts w:ascii="宋体" w:hAnsi="宋体" w:cs="宋体"/>
                <w:sz w:val="24"/>
                <w:szCs w:val="24"/>
              </w:rPr>
            </w:pPr>
            <w:r>
              <w:rPr>
                <w:rFonts w:hint="eastAsia" w:ascii="宋体" w:hAnsi="宋体" w:cs="宋体"/>
                <w:sz w:val="24"/>
                <w:szCs w:val="24"/>
              </w:rPr>
              <w:t>文明施工、环境保障措施合理、完善，4～6分</w:t>
            </w:r>
          </w:p>
          <w:p>
            <w:pPr>
              <w:spacing w:line="480" w:lineRule="exact"/>
              <w:rPr>
                <w:rFonts w:ascii="宋体" w:hAnsi="宋体" w:cs="宋体"/>
                <w:sz w:val="24"/>
                <w:szCs w:val="24"/>
              </w:rPr>
            </w:pPr>
            <w:r>
              <w:rPr>
                <w:rFonts w:hint="eastAsia" w:ascii="宋体" w:hAnsi="宋体" w:cs="宋体"/>
                <w:sz w:val="24"/>
                <w:szCs w:val="24"/>
              </w:rPr>
              <w:t>文明施工、环境保障措施基本合理、比较完善，2～4分；</w:t>
            </w:r>
          </w:p>
          <w:p>
            <w:pPr>
              <w:spacing w:line="480" w:lineRule="exact"/>
              <w:rPr>
                <w:rFonts w:ascii="宋体" w:hAnsi="宋体" w:cs="宋体"/>
                <w:sz w:val="24"/>
                <w:szCs w:val="24"/>
              </w:rPr>
            </w:pPr>
            <w:r>
              <w:rPr>
                <w:rFonts w:hint="eastAsia" w:ascii="宋体" w:hAnsi="宋体" w:cs="宋体"/>
                <w:sz w:val="24"/>
                <w:szCs w:val="24"/>
              </w:rPr>
              <w:t>文明施工、环境保障措施一般，0～2分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80" w:lineRule="exact"/>
              <w:jc w:val="center"/>
              <w:rPr>
                <w:rFonts w:ascii="宋体" w:hAnsi="宋体" w:cs="宋体"/>
                <w:sz w:val="24"/>
                <w:szCs w:val="24"/>
              </w:rPr>
            </w:pPr>
          </w:p>
        </w:tc>
        <w:tc>
          <w:tcPr>
            <w:tcW w:w="1276" w:type="dxa"/>
            <w:vMerge w:val="continue"/>
            <w:vAlign w:val="center"/>
          </w:tcPr>
          <w:p>
            <w:pPr>
              <w:spacing w:line="480" w:lineRule="exact"/>
              <w:jc w:val="center"/>
              <w:rPr>
                <w:rFonts w:ascii="宋体" w:hAnsi="宋体" w:cs="宋体"/>
                <w:sz w:val="24"/>
                <w:szCs w:val="24"/>
              </w:rPr>
            </w:pPr>
          </w:p>
        </w:tc>
        <w:tc>
          <w:tcPr>
            <w:tcW w:w="1435" w:type="dxa"/>
            <w:vAlign w:val="center"/>
          </w:tcPr>
          <w:p>
            <w:pPr>
              <w:spacing w:line="480" w:lineRule="exact"/>
              <w:jc w:val="center"/>
              <w:rPr>
                <w:rFonts w:ascii="宋体" w:hAnsi="宋体" w:cs="宋体"/>
                <w:sz w:val="24"/>
                <w:szCs w:val="24"/>
              </w:rPr>
            </w:pPr>
            <w:r>
              <w:rPr>
                <w:rFonts w:hint="eastAsia" w:ascii="宋体" w:hAnsi="宋体" w:cs="宋体"/>
                <w:sz w:val="24"/>
                <w:szCs w:val="24"/>
              </w:rPr>
              <w:t>⑥主要机具、设备和劳动力配备情况（6分）</w:t>
            </w:r>
          </w:p>
        </w:tc>
        <w:tc>
          <w:tcPr>
            <w:tcW w:w="5824" w:type="dxa"/>
            <w:vAlign w:val="center"/>
          </w:tcPr>
          <w:p>
            <w:pPr>
              <w:spacing w:line="480" w:lineRule="exact"/>
              <w:rPr>
                <w:rFonts w:ascii="宋体" w:hAnsi="宋体" w:cs="宋体"/>
                <w:sz w:val="24"/>
                <w:szCs w:val="24"/>
              </w:rPr>
            </w:pPr>
            <w:r>
              <w:rPr>
                <w:rFonts w:hint="eastAsia" w:ascii="宋体" w:hAnsi="宋体" w:cs="宋体"/>
                <w:sz w:val="24"/>
                <w:szCs w:val="24"/>
              </w:rPr>
              <w:t>投入的主要机具、设备先进，劳动力配备情况充分、合理、完善计4（含4）～6分</w:t>
            </w:r>
          </w:p>
          <w:p>
            <w:pPr>
              <w:spacing w:line="480" w:lineRule="exact"/>
              <w:rPr>
                <w:rFonts w:ascii="宋体" w:hAnsi="宋体" w:cs="宋体"/>
                <w:sz w:val="24"/>
                <w:szCs w:val="24"/>
              </w:rPr>
            </w:pPr>
            <w:r>
              <w:rPr>
                <w:rFonts w:hint="eastAsia" w:ascii="宋体" w:hAnsi="宋体" w:cs="宋体"/>
                <w:sz w:val="24"/>
                <w:szCs w:val="24"/>
              </w:rPr>
              <w:t>配备情况基本合理、基本能够满足施工需求计2（含2）～4分</w:t>
            </w:r>
          </w:p>
          <w:p>
            <w:pPr>
              <w:spacing w:line="480" w:lineRule="exact"/>
              <w:rPr>
                <w:rFonts w:ascii="宋体" w:hAnsi="宋体" w:cs="宋体"/>
                <w:sz w:val="24"/>
                <w:szCs w:val="24"/>
              </w:rPr>
            </w:pPr>
            <w:r>
              <w:rPr>
                <w:rFonts w:hint="eastAsia" w:ascii="宋体" w:hAnsi="宋体" w:cs="宋体"/>
                <w:sz w:val="24"/>
                <w:szCs w:val="24"/>
              </w:rPr>
              <w:t>施工器具不够合理完善不能满足项目需求计0～2分；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80" w:lineRule="exact"/>
              <w:jc w:val="center"/>
              <w:rPr>
                <w:rFonts w:ascii="宋体" w:hAnsi="宋体" w:cs="宋体"/>
                <w:sz w:val="24"/>
                <w:szCs w:val="24"/>
              </w:rPr>
            </w:pPr>
          </w:p>
        </w:tc>
        <w:tc>
          <w:tcPr>
            <w:tcW w:w="1276" w:type="dxa"/>
            <w:vMerge w:val="continue"/>
            <w:vAlign w:val="center"/>
          </w:tcPr>
          <w:p>
            <w:pPr>
              <w:spacing w:line="480" w:lineRule="exact"/>
              <w:jc w:val="center"/>
              <w:rPr>
                <w:rFonts w:ascii="宋体" w:hAnsi="宋体" w:cs="宋体"/>
                <w:sz w:val="24"/>
                <w:szCs w:val="24"/>
              </w:rPr>
            </w:pPr>
          </w:p>
        </w:tc>
        <w:tc>
          <w:tcPr>
            <w:tcW w:w="1435" w:type="dxa"/>
            <w:vAlign w:val="center"/>
          </w:tcPr>
          <w:p>
            <w:pPr>
              <w:spacing w:line="480" w:lineRule="exact"/>
              <w:jc w:val="center"/>
              <w:rPr>
                <w:rFonts w:ascii="宋体" w:hAnsi="宋体" w:cs="宋体"/>
                <w:sz w:val="24"/>
                <w:szCs w:val="24"/>
              </w:rPr>
            </w:pPr>
            <w:r>
              <w:rPr>
                <w:rFonts w:hint="eastAsia" w:ascii="宋体" w:hAnsi="宋体" w:cs="宋体"/>
                <w:sz w:val="24"/>
                <w:szCs w:val="24"/>
              </w:rPr>
              <w:t>⑦安全保障方案及应急措施</w:t>
            </w:r>
          </w:p>
          <w:p>
            <w:pPr>
              <w:spacing w:line="480" w:lineRule="exact"/>
              <w:jc w:val="center"/>
            </w:pPr>
            <w:r>
              <w:rPr>
                <w:rFonts w:hint="eastAsia" w:ascii="宋体" w:hAnsi="宋体" w:cs="宋体"/>
                <w:sz w:val="24"/>
                <w:szCs w:val="24"/>
              </w:rPr>
              <w:t>（10分）</w:t>
            </w:r>
          </w:p>
        </w:tc>
        <w:tc>
          <w:tcPr>
            <w:tcW w:w="5824" w:type="dxa"/>
            <w:vAlign w:val="center"/>
          </w:tcPr>
          <w:p>
            <w:pPr>
              <w:spacing w:line="480" w:lineRule="exact"/>
              <w:rPr>
                <w:rFonts w:ascii="宋体" w:hAnsi="宋体" w:cs="宋体"/>
                <w:sz w:val="24"/>
                <w:szCs w:val="24"/>
              </w:rPr>
            </w:pPr>
            <w:r>
              <w:rPr>
                <w:rFonts w:hint="eastAsia" w:ascii="宋体" w:hAnsi="宋体" w:cs="宋体"/>
                <w:sz w:val="24"/>
                <w:szCs w:val="24"/>
              </w:rPr>
              <w:t>保障方案、措施合理、完善，7～10分</w:t>
            </w:r>
          </w:p>
          <w:p>
            <w:pPr>
              <w:spacing w:line="480" w:lineRule="exact"/>
              <w:rPr>
                <w:rFonts w:ascii="宋体" w:hAnsi="宋体" w:cs="宋体"/>
                <w:sz w:val="24"/>
                <w:szCs w:val="24"/>
              </w:rPr>
            </w:pPr>
            <w:r>
              <w:rPr>
                <w:rFonts w:hint="eastAsia" w:ascii="宋体" w:hAnsi="宋体" w:cs="宋体"/>
                <w:sz w:val="24"/>
                <w:szCs w:val="24"/>
              </w:rPr>
              <w:t>保障方案、措施基本合理、比较完善，4～7分</w:t>
            </w:r>
          </w:p>
          <w:p>
            <w:pPr>
              <w:spacing w:line="480" w:lineRule="exact"/>
              <w:rPr>
                <w:rFonts w:ascii="宋体" w:hAnsi="宋体" w:cs="宋体"/>
                <w:sz w:val="24"/>
                <w:szCs w:val="24"/>
              </w:rPr>
            </w:pPr>
            <w:r>
              <w:rPr>
                <w:rFonts w:hint="eastAsia" w:ascii="宋体" w:hAnsi="宋体" w:cs="宋体"/>
                <w:sz w:val="24"/>
                <w:szCs w:val="24"/>
              </w:rPr>
              <w:t>保障方案、措施一般，0～4分；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80" w:lineRule="exact"/>
              <w:jc w:val="center"/>
              <w:rPr>
                <w:rFonts w:ascii="宋体" w:hAnsi="宋体" w:cs="宋体"/>
                <w:sz w:val="24"/>
                <w:szCs w:val="24"/>
              </w:rPr>
            </w:pPr>
          </w:p>
        </w:tc>
        <w:tc>
          <w:tcPr>
            <w:tcW w:w="1276" w:type="dxa"/>
            <w:vMerge w:val="continue"/>
            <w:vAlign w:val="center"/>
          </w:tcPr>
          <w:p>
            <w:pPr>
              <w:spacing w:line="480" w:lineRule="exact"/>
              <w:jc w:val="center"/>
              <w:rPr>
                <w:rFonts w:ascii="宋体" w:hAnsi="宋体" w:cs="宋体"/>
                <w:sz w:val="24"/>
                <w:szCs w:val="24"/>
              </w:rPr>
            </w:pPr>
          </w:p>
        </w:tc>
        <w:tc>
          <w:tcPr>
            <w:tcW w:w="1435" w:type="dxa"/>
            <w:vAlign w:val="center"/>
          </w:tcPr>
          <w:p>
            <w:pPr>
              <w:spacing w:line="480" w:lineRule="exact"/>
              <w:jc w:val="center"/>
              <w:rPr>
                <w:rFonts w:ascii="宋体" w:hAnsi="宋体" w:cs="宋体"/>
                <w:sz w:val="24"/>
                <w:szCs w:val="24"/>
              </w:rPr>
            </w:pPr>
            <w:r>
              <w:rPr>
                <w:rFonts w:hint="eastAsia" w:ascii="宋体" w:hAnsi="宋体" w:cs="宋体"/>
                <w:sz w:val="24"/>
                <w:szCs w:val="24"/>
              </w:rPr>
              <w:t>⑧质量承诺</w:t>
            </w:r>
          </w:p>
          <w:p>
            <w:pPr>
              <w:spacing w:line="480" w:lineRule="exact"/>
              <w:jc w:val="center"/>
            </w:pPr>
            <w:r>
              <w:rPr>
                <w:rFonts w:hint="eastAsia" w:ascii="宋体" w:hAnsi="宋体" w:cs="宋体"/>
                <w:sz w:val="24"/>
                <w:szCs w:val="24"/>
              </w:rPr>
              <w:t>（5分）</w:t>
            </w:r>
          </w:p>
        </w:tc>
        <w:tc>
          <w:tcPr>
            <w:tcW w:w="5824" w:type="dxa"/>
            <w:vAlign w:val="center"/>
          </w:tcPr>
          <w:p>
            <w:pPr>
              <w:spacing w:line="480" w:lineRule="exact"/>
              <w:rPr>
                <w:rFonts w:ascii="宋体" w:hAnsi="宋体" w:cs="宋体"/>
                <w:b/>
                <w:bCs/>
                <w:sz w:val="24"/>
                <w:szCs w:val="24"/>
              </w:rPr>
            </w:pPr>
            <w:r>
              <w:rPr>
                <w:rFonts w:hint="eastAsia" w:ascii="宋体" w:hAnsi="宋体" w:cs="宋体"/>
                <w:sz w:val="24"/>
                <w:szCs w:val="24"/>
              </w:rPr>
              <w:t>施工承诺：提供本项目的相关质量承诺，依据响应情况综合赋分。（0-5分）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36" w:type="dxa"/>
            <w:vMerge w:val="continue"/>
            <w:vAlign w:val="center"/>
          </w:tcPr>
          <w:p>
            <w:pPr>
              <w:spacing w:line="480" w:lineRule="exact"/>
              <w:jc w:val="center"/>
              <w:rPr>
                <w:rFonts w:ascii="宋体" w:hAnsi="宋体" w:cs="宋体"/>
                <w:sz w:val="24"/>
                <w:szCs w:val="24"/>
              </w:rPr>
            </w:pPr>
          </w:p>
        </w:tc>
        <w:tc>
          <w:tcPr>
            <w:tcW w:w="1276" w:type="dxa"/>
            <w:vMerge w:val="continue"/>
            <w:vAlign w:val="center"/>
          </w:tcPr>
          <w:p>
            <w:pPr>
              <w:spacing w:line="480" w:lineRule="exact"/>
              <w:jc w:val="center"/>
              <w:rPr>
                <w:rFonts w:ascii="宋体" w:hAnsi="宋体" w:cs="宋体"/>
                <w:sz w:val="24"/>
                <w:szCs w:val="24"/>
              </w:rPr>
            </w:pPr>
          </w:p>
        </w:tc>
        <w:tc>
          <w:tcPr>
            <w:tcW w:w="1435" w:type="dxa"/>
            <w:vAlign w:val="center"/>
          </w:tcPr>
          <w:p>
            <w:pPr>
              <w:spacing w:line="480" w:lineRule="exact"/>
              <w:jc w:val="center"/>
              <w:rPr>
                <w:rFonts w:ascii="宋体" w:hAnsi="宋体" w:cs="宋体"/>
                <w:sz w:val="24"/>
                <w:szCs w:val="24"/>
              </w:rPr>
            </w:pPr>
            <w:r>
              <w:rPr>
                <w:rFonts w:hint="eastAsia" w:ascii="宋体" w:hAnsi="宋体" w:cs="宋体"/>
                <w:sz w:val="24"/>
                <w:szCs w:val="24"/>
              </w:rPr>
              <w:t>⑨业绩</w:t>
            </w:r>
          </w:p>
          <w:p>
            <w:pPr>
              <w:spacing w:line="480" w:lineRule="exact"/>
              <w:jc w:val="center"/>
              <w:rPr>
                <w:rFonts w:ascii="宋体" w:hAnsi="宋体" w:cs="宋体"/>
                <w:sz w:val="24"/>
                <w:szCs w:val="24"/>
              </w:rPr>
            </w:pPr>
            <w:r>
              <w:rPr>
                <w:rFonts w:hint="eastAsia" w:ascii="宋体" w:hAnsi="宋体" w:cs="宋体"/>
                <w:sz w:val="24"/>
                <w:szCs w:val="24"/>
              </w:rPr>
              <w:t>（10分）</w:t>
            </w:r>
          </w:p>
        </w:tc>
        <w:tc>
          <w:tcPr>
            <w:tcW w:w="5824" w:type="dxa"/>
            <w:vAlign w:val="center"/>
          </w:tcPr>
          <w:p>
            <w:pPr>
              <w:spacing w:line="480" w:lineRule="exact"/>
              <w:rPr>
                <w:rFonts w:ascii="宋体" w:hAnsi="宋体" w:cs="宋体"/>
                <w:sz w:val="24"/>
                <w:szCs w:val="24"/>
              </w:rPr>
            </w:pPr>
            <w:r>
              <w:rPr>
                <w:rFonts w:hint="eastAsia" w:ascii="宋体" w:hAnsi="宋体" w:cs="宋体"/>
                <w:sz w:val="24"/>
                <w:szCs w:val="24"/>
              </w:rPr>
              <w:t>提供2020年以后得类似工程施工业绩（业绩以合同复印件或中标通知书为依据）。每个业绩计2分，共10分。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pPr>
              <w:spacing w:line="480" w:lineRule="exact"/>
              <w:jc w:val="center"/>
              <w:rPr>
                <w:rFonts w:ascii="宋体" w:hAnsi="宋体" w:cs="宋体"/>
                <w:sz w:val="24"/>
                <w:szCs w:val="24"/>
              </w:rPr>
            </w:pPr>
            <w:r>
              <w:rPr>
                <w:rFonts w:hint="eastAsia" w:ascii="宋体" w:hAnsi="宋体" w:cs="宋体"/>
                <w:sz w:val="24"/>
                <w:szCs w:val="24"/>
              </w:rPr>
              <w:t>报价评分标准</w:t>
            </w:r>
          </w:p>
          <w:p>
            <w:pPr>
              <w:spacing w:line="480" w:lineRule="exact"/>
              <w:jc w:val="center"/>
              <w:rPr>
                <w:rFonts w:ascii="宋体" w:hAnsi="宋体" w:cs="宋体"/>
                <w:sz w:val="24"/>
                <w:szCs w:val="24"/>
              </w:rPr>
            </w:pPr>
          </w:p>
        </w:tc>
        <w:tc>
          <w:tcPr>
            <w:tcW w:w="1276" w:type="dxa"/>
            <w:vAlign w:val="center"/>
          </w:tcPr>
          <w:p>
            <w:pPr>
              <w:spacing w:line="480" w:lineRule="exact"/>
              <w:jc w:val="center"/>
              <w:rPr>
                <w:rFonts w:ascii="宋体" w:hAnsi="宋体" w:cs="宋体"/>
                <w:sz w:val="24"/>
                <w:szCs w:val="24"/>
              </w:rPr>
            </w:pPr>
            <w:r>
              <w:rPr>
                <w:rFonts w:hint="eastAsia" w:ascii="宋体" w:hAnsi="宋体" w:cs="宋体"/>
                <w:sz w:val="24"/>
                <w:szCs w:val="24"/>
              </w:rPr>
              <w:t>（30分）</w:t>
            </w:r>
          </w:p>
        </w:tc>
        <w:tc>
          <w:tcPr>
            <w:tcW w:w="1435" w:type="dxa"/>
            <w:vAlign w:val="center"/>
          </w:tcPr>
          <w:p>
            <w:pPr>
              <w:spacing w:line="480" w:lineRule="exact"/>
              <w:jc w:val="center"/>
              <w:rPr>
                <w:rFonts w:ascii="宋体" w:hAnsi="宋体" w:cs="宋体"/>
                <w:sz w:val="24"/>
                <w:szCs w:val="24"/>
              </w:rPr>
            </w:pPr>
            <w:r>
              <w:rPr>
                <w:rFonts w:hint="eastAsia" w:ascii="宋体" w:hAnsi="宋体" w:cs="宋体"/>
                <w:sz w:val="24"/>
                <w:szCs w:val="24"/>
              </w:rPr>
              <w:t>投标报价评分标准</w:t>
            </w:r>
          </w:p>
          <w:p>
            <w:pPr>
              <w:spacing w:line="480" w:lineRule="exact"/>
              <w:jc w:val="center"/>
              <w:rPr>
                <w:rFonts w:ascii="宋体" w:hAnsi="宋体" w:cs="宋体"/>
                <w:sz w:val="24"/>
                <w:szCs w:val="24"/>
              </w:rPr>
            </w:pPr>
            <w:r>
              <w:rPr>
                <w:rFonts w:hint="eastAsia" w:ascii="宋体" w:hAnsi="宋体" w:cs="宋体"/>
                <w:sz w:val="24"/>
                <w:szCs w:val="24"/>
              </w:rPr>
              <w:t>（30分）</w:t>
            </w:r>
          </w:p>
        </w:tc>
        <w:tc>
          <w:tcPr>
            <w:tcW w:w="5824" w:type="dxa"/>
            <w:vAlign w:val="center"/>
          </w:tcPr>
          <w:p>
            <w:pPr>
              <w:spacing w:line="480" w:lineRule="exact"/>
              <w:rPr>
                <w:rFonts w:ascii="宋体" w:hAnsi="宋体" w:cs="宋体"/>
                <w:sz w:val="24"/>
                <w:szCs w:val="24"/>
              </w:rPr>
            </w:pPr>
            <w:r>
              <w:rPr>
                <w:rFonts w:hint="eastAsia" w:ascii="宋体" w:hAnsi="宋体" w:cs="宋体"/>
                <w:sz w:val="24"/>
                <w:szCs w:val="24"/>
              </w:rPr>
              <w:t>1.经初审合格的投标文件，其投标报价为有效投标价。对符合政策性扣减的有效投标报价进行政策性扣减，并依据扣减后的价格（评审价格）进行价格评审。</w:t>
            </w:r>
          </w:p>
          <w:p>
            <w:pPr>
              <w:spacing w:line="480" w:lineRule="exact"/>
              <w:rPr>
                <w:rFonts w:ascii="宋体" w:hAnsi="宋体" w:cs="宋体"/>
                <w:sz w:val="24"/>
                <w:szCs w:val="24"/>
              </w:rPr>
            </w:pPr>
            <w:r>
              <w:rPr>
                <w:rFonts w:hint="eastAsia" w:ascii="宋体" w:hAnsi="宋体" w:cs="宋体"/>
                <w:sz w:val="24"/>
                <w:szCs w:val="24"/>
              </w:rPr>
              <w:t>2.有效最低报价为基准价得30分。</w:t>
            </w:r>
          </w:p>
          <w:p>
            <w:pPr>
              <w:spacing w:line="480" w:lineRule="exact"/>
              <w:rPr>
                <w:rFonts w:ascii="宋体" w:hAnsi="宋体" w:cs="宋体"/>
                <w:sz w:val="24"/>
                <w:szCs w:val="24"/>
              </w:rPr>
            </w:pPr>
            <w:r>
              <w:rPr>
                <w:rFonts w:hint="eastAsia" w:ascii="宋体" w:hAnsi="宋体" w:cs="宋体"/>
                <w:sz w:val="24"/>
                <w:szCs w:val="24"/>
              </w:rPr>
              <w:t>3.按（有效最低报价/有效投标报价）×30的公式计算其得分。</w:t>
            </w:r>
          </w:p>
          <w:p>
            <w:pPr>
              <w:spacing w:line="480" w:lineRule="exact"/>
              <w:rPr>
                <w:rFonts w:ascii="宋体" w:hAnsi="宋体" w:cs="宋体"/>
                <w:sz w:val="24"/>
                <w:szCs w:val="24"/>
              </w:rPr>
            </w:pPr>
            <w:r>
              <w:rPr>
                <w:rFonts w:hint="eastAsia" w:ascii="宋体" w:hAnsi="宋体" w:cs="宋体"/>
                <w:sz w:val="24"/>
                <w:szCs w:val="24"/>
              </w:rPr>
              <w:t>4.经评委一致认定，投标人的投标总报价低于公认市场成本，或超过采购预算,其投标将被拒绝。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12" w:type="dxa"/>
            <w:gridSpan w:val="2"/>
            <w:vAlign w:val="center"/>
          </w:tcPr>
          <w:p>
            <w:pPr>
              <w:spacing w:line="480" w:lineRule="exact"/>
              <w:jc w:val="center"/>
              <w:rPr>
                <w:rFonts w:ascii="宋体" w:hAnsi="宋体" w:cs="宋体"/>
                <w:sz w:val="24"/>
                <w:szCs w:val="24"/>
              </w:rPr>
            </w:pPr>
            <w:r>
              <w:rPr>
                <w:rFonts w:hint="eastAsia" w:ascii="宋体" w:hAnsi="宋体" w:cs="宋体"/>
                <w:sz w:val="24"/>
                <w:szCs w:val="24"/>
              </w:rPr>
              <w:t>备注</w:t>
            </w:r>
          </w:p>
        </w:tc>
        <w:tc>
          <w:tcPr>
            <w:tcW w:w="7259" w:type="dxa"/>
            <w:gridSpan w:val="2"/>
            <w:vAlign w:val="center"/>
          </w:tcPr>
          <w:p>
            <w:pPr>
              <w:spacing w:line="360" w:lineRule="auto"/>
              <w:jc w:val="left"/>
              <w:rPr>
                <w:rFonts w:ascii="宋体" w:hAnsi="宋体" w:cs="宋体"/>
                <w:sz w:val="24"/>
                <w:szCs w:val="24"/>
              </w:rPr>
            </w:pPr>
            <w:r>
              <w:rPr>
                <w:rFonts w:hint="eastAsia" w:ascii="宋体" w:hAnsi="宋体" w:cs="宋体"/>
                <w:sz w:val="24"/>
                <w:szCs w:val="24"/>
              </w:rPr>
              <w:t>1）各评标委员会独立打分。</w:t>
            </w:r>
          </w:p>
          <w:p>
            <w:pPr>
              <w:spacing w:line="360" w:lineRule="auto"/>
              <w:jc w:val="left"/>
              <w:rPr>
                <w:rFonts w:ascii="宋体" w:hAnsi="宋体" w:cs="宋体"/>
                <w:sz w:val="24"/>
                <w:szCs w:val="24"/>
              </w:rPr>
            </w:pPr>
            <w:r>
              <w:rPr>
                <w:rFonts w:hint="eastAsia" w:ascii="宋体" w:hAnsi="宋体" w:cs="宋体"/>
                <w:sz w:val="24"/>
                <w:szCs w:val="24"/>
              </w:rPr>
              <w:t>2）评标委员会成员打分超过得分界限或未按本表规定赋分时，该成员的打分作废，不计入汇总分。</w:t>
            </w:r>
          </w:p>
          <w:p>
            <w:pPr>
              <w:spacing w:line="360" w:lineRule="auto"/>
              <w:jc w:val="left"/>
              <w:rPr>
                <w:rFonts w:ascii="宋体" w:hAnsi="宋体" w:cs="宋体"/>
                <w:sz w:val="24"/>
                <w:szCs w:val="24"/>
              </w:rPr>
            </w:pPr>
            <w:r>
              <w:rPr>
                <w:rFonts w:hint="eastAsia" w:ascii="宋体" w:hAnsi="宋体" w:cs="宋体"/>
                <w:sz w:val="24"/>
                <w:szCs w:val="24"/>
              </w:rPr>
              <w:t>3）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360" w:lineRule="auto"/>
              <w:jc w:val="left"/>
              <w:rPr>
                <w:rFonts w:ascii="宋体" w:hAnsi="宋体" w:cs="宋体"/>
                <w:sz w:val="24"/>
                <w:szCs w:val="24"/>
              </w:rPr>
            </w:pPr>
            <w:r>
              <w:rPr>
                <w:rFonts w:hint="eastAsia" w:ascii="宋体" w:hAnsi="宋体" w:cs="宋体"/>
                <w:sz w:val="24"/>
                <w:szCs w:val="24"/>
              </w:rPr>
              <w:t>4）各种计算采用插入法，数字均保留一位小数，第二位“四舍五入”。</w:t>
            </w:r>
          </w:p>
          <w:p>
            <w:pPr>
              <w:tabs>
                <w:tab w:val="left" w:pos="1599"/>
              </w:tabs>
              <w:jc w:val="left"/>
              <w:rPr>
                <w:rFonts w:ascii="宋体" w:hAnsi="宋体" w:cs="宋体"/>
                <w:b/>
                <w:bCs/>
                <w:sz w:val="24"/>
                <w:szCs w:val="24"/>
              </w:rPr>
            </w:pPr>
            <w:r>
              <w:rPr>
                <w:rFonts w:hint="eastAsia" w:ascii="宋体" w:hAnsi="宋体" w:cs="宋体"/>
                <w:sz w:val="24"/>
                <w:szCs w:val="24"/>
              </w:rPr>
              <w:t>5）评审过程中，若出现特殊情况时，由评审委员会决定暂停评审，并提出具体处理意见。</w:t>
            </w:r>
          </w:p>
        </w:tc>
      </w:tr>
    </w:tbl>
    <w:p>
      <w:pPr>
        <w:rPr>
          <w:rFonts w:asciiTheme="minorEastAsia" w:hAnsiTheme="minorEastAsia" w:eastAsiaTheme="minorEastAsia" w:cstheme="minorEastAsia"/>
          <w:b/>
          <w:spacing w:val="4"/>
          <w:sz w:val="24"/>
          <w:szCs w:val="24"/>
        </w:rPr>
      </w:pPr>
    </w:p>
    <w:p>
      <w:pPr>
        <w:spacing w:line="360" w:lineRule="auto"/>
        <w:rPr>
          <w:rFonts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rPr>
        <w:t>五、定标：</w:t>
      </w:r>
    </w:p>
    <w:p>
      <w:pPr>
        <w:spacing w:line="360" w:lineRule="auto"/>
        <w:ind w:firstLine="496" w:firstLineChars="200"/>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1、评标结果由全体</w:t>
      </w:r>
      <w:r>
        <w:rPr>
          <w:rFonts w:hint="eastAsia" w:asciiTheme="minorEastAsia" w:hAnsiTheme="minorEastAsia" w:eastAsiaTheme="minorEastAsia" w:cstheme="minorEastAsia"/>
          <w:sz w:val="24"/>
          <w:szCs w:val="24"/>
        </w:rPr>
        <w:t>评标委员会成员</w:t>
      </w:r>
      <w:r>
        <w:rPr>
          <w:rFonts w:hint="eastAsia" w:asciiTheme="minorEastAsia" w:hAnsiTheme="minorEastAsia" w:eastAsiaTheme="minorEastAsia" w:cstheme="minorEastAsia"/>
          <w:spacing w:val="4"/>
          <w:sz w:val="24"/>
          <w:szCs w:val="24"/>
        </w:rPr>
        <w:t>签字确认。</w:t>
      </w:r>
    </w:p>
    <w:p>
      <w:pPr>
        <w:spacing w:line="360" w:lineRule="auto"/>
        <w:ind w:firstLine="496" w:firstLineChars="200"/>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2、采购人根据评标报告中推荐的中标候选人排列顺序确定供应商，以复函通知招标代理机构。</w:t>
      </w:r>
    </w:p>
    <w:p>
      <w:pPr>
        <w:spacing w:line="360" w:lineRule="auto"/>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pPr>
        <w:pStyle w:val="4"/>
        <w:jc w:val="center"/>
        <w:rPr>
          <w:rFonts w:asciiTheme="minorEastAsia" w:hAnsiTheme="minorEastAsia" w:eastAsiaTheme="minorEastAsia" w:cstheme="minorEastAsia"/>
          <w:bCs/>
          <w:sz w:val="36"/>
          <w:szCs w:val="36"/>
        </w:rPr>
      </w:pPr>
      <w:bookmarkStart w:id="81" w:name="_Toc26850"/>
      <w:r>
        <w:rPr>
          <w:rFonts w:hint="eastAsia" w:asciiTheme="minorEastAsia" w:hAnsiTheme="minorEastAsia" w:eastAsiaTheme="minorEastAsia" w:cstheme="minorEastAsia"/>
          <w:sz w:val="36"/>
          <w:szCs w:val="36"/>
        </w:rPr>
        <w:t xml:space="preserve">第四章 </w:t>
      </w:r>
      <w:bookmarkEnd w:id="76"/>
      <w:bookmarkEnd w:id="77"/>
      <w:bookmarkEnd w:id="78"/>
      <w:bookmarkEnd w:id="79"/>
      <w:bookmarkStart w:id="82" w:name="_Toc2068"/>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bCs/>
          <w:sz w:val="36"/>
          <w:szCs w:val="36"/>
        </w:rPr>
        <w:t>合同条款及格式</w:t>
      </w:r>
      <w:bookmarkEnd w:id="80"/>
      <w:bookmarkEnd w:id="81"/>
      <w:bookmarkEnd w:id="82"/>
    </w:p>
    <w:p>
      <w:pPr>
        <w:pStyle w:val="5"/>
        <w:jc w:val="center"/>
        <w:rPr>
          <w:rFonts w:asciiTheme="minorEastAsia" w:hAnsiTheme="minorEastAsia" w:eastAsiaTheme="minorEastAsia" w:cstheme="minorEastAsia"/>
        </w:rPr>
      </w:pPr>
      <w:bookmarkStart w:id="83" w:name="_Toc6496"/>
      <w:bookmarkStart w:id="84" w:name="_Toc6935"/>
      <w:bookmarkStart w:id="85" w:name="_Toc30560"/>
      <w:r>
        <w:rPr>
          <w:rFonts w:hint="eastAsia" w:asciiTheme="minorEastAsia" w:hAnsiTheme="minorEastAsia" w:eastAsiaTheme="minorEastAsia" w:cstheme="minorEastAsia"/>
        </w:rPr>
        <w:t>合同条款及格式前附表</w:t>
      </w:r>
      <w:bookmarkEnd w:id="83"/>
      <w:bookmarkEnd w:id="84"/>
      <w:bookmarkEnd w:id="85"/>
    </w:p>
    <w:p>
      <w:pPr>
        <w:ind w:firstLine="480" w:firstLineChars="200"/>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sz w:val="24"/>
          <w:szCs w:val="24"/>
        </w:rPr>
        <w:t>本表是对合同条款的具体补充和修改，如有矛盾，应以本资料表为准。</w:t>
      </w:r>
    </w:p>
    <w:tbl>
      <w:tblPr>
        <w:tblStyle w:val="27"/>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88"/>
        <w:gridCol w:w="81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589" w:type="pct"/>
            <w:vAlign w:val="center"/>
          </w:tcPr>
          <w:p>
            <w:pPr>
              <w:spacing w:line="360" w:lineRule="auto"/>
              <w:jc w:val="center"/>
              <w:rPr>
                <w:rFonts w:ascii="宋体" w:hAnsi="宋体" w:cs="宋体"/>
                <w:b/>
                <w:sz w:val="24"/>
                <w:szCs w:val="24"/>
              </w:rPr>
            </w:pPr>
            <w:bookmarkStart w:id="86" w:name="_Toc4679"/>
            <w:bookmarkStart w:id="87" w:name="_Toc389582037"/>
            <w:bookmarkStart w:id="88" w:name="_Toc19246"/>
            <w:bookmarkStart w:id="89" w:name="_Toc26595"/>
            <w:bookmarkStart w:id="90" w:name="_Toc29888"/>
            <w:bookmarkStart w:id="91" w:name="_Toc19199"/>
            <w:bookmarkStart w:id="92" w:name="_Toc31520"/>
            <w:bookmarkStart w:id="93" w:name="_Toc8333"/>
            <w:r>
              <w:rPr>
                <w:rFonts w:hint="eastAsia" w:ascii="宋体" w:hAnsi="宋体" w:cs="宋体"/>
                <w:b/>
                <w:sz w:val="24"/>
                <w:szCs w:val="24"/>
              </w:rPr>
              <w:t>序号</w:t>
            </w:r>
          </w:p>
        </w:tc>
        <w:tc>
          <w:tcPr>
            <w:tcW w:w="4410" w:type="pct"/>
            <w:vAlign w:val="center"/>
          </w:tcPr>
          <w:p>
            <w:pPr>
              <w:spacing w:line="360" w:lineRule="auto"/>
              <w:jc w:val="center"/>
              <w:rPr>
                <w:rFonts w:ascii="宋体" w:hAnsi="宋体" w:cs="宋体"/>
                <w:b/>
                <w:sz w:val="24"/>
                <w:szCs w:val="24"/>
              </w:rPr>
            </w:pPr>
            <w:r>
              <w:rPr>
                <w:rFonts w:hint="eastAsia" w:ascii="宋体" w:hAnsi="宋体" w:cs="宋体"/>
                <w:b/>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89" w:type="pct"/>
            <w:vAlign w:val="center"/>
          </w:tcPr>
          <w:p>
            <w:pPr>
              <w:jc w:val="center"/>
              <w:rPr>
                <w:rFonts w:ascii="宋体" w:hAnsi="宋体" w:cs="宋体"/>
                <w:sz w:val="24"/>
                <w:szCs w:val="24"/>
              </w:rPr>
            </w:pPr>
            <w:r>
              <w:rPr>
                <w:rFonts w:hint="eastAsia" w:ascii="宋体" w:hAnsi="宋体" w:cs="宋体"/>
                <w:sz w:val="24"/>
                <w:szCs w:val="24"/>
              </w:rPr>
              <w:t>1</w:t>
            </w:r>
          </w:p>
        </w:tc>
        <w:tc>
          <w:tcPr>
            <w:tcW w:w="4410" w:type="pct"/>
            <w:vAlign w:val="center"/>
          </w:tcPr>
          <w:p>
            <w:pPr>
              <w:spacing w:line="336" w:lineRule="auto"/>
              <w:jc w:val="left"/>
              <w:rPr>
                <w:rFonts w:ascii="宋体" w:hAnsi="宋体" w:cs="宋体"/>
                <w:sz w:val="24"/>
                <w:szCs w:val="24"/>
              </w:rPr>
            </w:pPr>
            <w:r>
              <w:rPr>
                <w:rFonts w:hint="eastAsia" w:ascii="宋体" w:hAnsi="宋体" w:cs="宋体"/>
                <w:sz w:val="24"/>
                <w:szCs w:val="24"/>
              </w:rPr>
              <w:t>采购人：</w:t>
            </w:r>
            <w:r>
              <w:rPr>
                <w:rFonts w:hint="eastAsia" w:ascii="宋体" w:hAnsi="宋体" w:cs="宋体"/>
                <w:kern w:val="0"/>
                <w:sz w:val="24"/>
                <w:szCs w:val="24"/>
              </w:rPr>
              <w:t>山阳县林业局</w:t>
            </w:r>
          </w:p>
          <w:p>
            <w:pPr>
              <w:spacing w:line="336" w:lineRule="auto"/>
              <w:rPr>
                <w:rFonts w:ascii="宋体" w:hAnsi="宋体" w:cs="宋体"/>
                <w:color w:val="000000" w:themeColor="text1"/>
                <w:sz w:val="24"/>
                <w:szCs w:val="24"/>
                <w:highlight w:val="yellow"/>
              </w:rPr>
            </w:pPr>
            <w:r>
              <w:rPr>
                <w:rFonts w:hint="eastAsia" w:ascii="宋体" w:hAnsi="宋体" w:cs="宋体"/>
                <w:sz w:val="24"/>
                <w:szCs w:val="24"/>
              </w:rPr>
              <w:t>地址：</w:t>
            </w:r>
            <w:r>
              <w:rPr>
                <w:rFonts w:hint="eastAsia" w:cs="宋体"/>
                <w:b w:val="0"/>
                <w:bCs w:val="0"/>
                <w:color w:val="333333"/>
                <w:sz w:val="21"/>
                <w:szCs w:val="21"/>
                <w:shd w:val="clear" w:color="auto" w:fill="FFFFFF"/>
              </w:rPr>
              <w:t>山阳县</w:t>
            </w:r>
            <w:r>
              <w:rPr>
                <w:rFonts w:hint="eastAsia" w:cs="宋体"/>
                <w:b w:val="0"/>
                <w:bCs w:val="0"/>
                <w:color w:val="auto"/>
                <w:sz w:val="21"/>
                <w:szCs w:val="21"/>
                <w:shd w:val="clear" w:color="auto" w:fill="FFFFFF"/>
              </w:rPr>
              <w:t>翠屏小区</w:t>
            </w:r>
            <w:r>
              <w:rPr>
                <w:rFonts w:hint="eastAsia" w:cs="宋体"/>
                <w:b w:val="0"/>
                <w:bCs w:val="0"/>
                <w:color w:val="auto"/>
                <w:sz w:val="21"/>
                <w:szCs w:val="21"/>
                <w:shd w:val="clear" w:color="auto" w:fill="FFFFFF"/>
                <w:lang w:val="en-US" w:eastAsia="zh-CN"/>
              </w:rPr>
              <w:t>(</w:t>
            </w:r>
            <w:r>
              <w:rPr>
                <w:rFonts w:hint="eastAsia" w:ascii="宋体" w:hAnsi="宋体" w:cs="宋体"/>
                <w:color w:val="auto"/>
                <w:sz w:val="24"/>
                <w:szCs w:val="24"/>
              </w:rPr>
              <w:t>山阳县城关街办幸福家园小区城投综合楼</w:t>
            </w:r>
            <w:r>
              <w:rPr>
                <w:rFonts w:hint="eastAsia" w:ascii="宋体" w:hAnsi="宋体" w:cs="宋体"/>
                <w:color w:val="auto"/>
                <w:sz w:val="24"/>
                <w:szCs w:val="24"/>
                <w:lang w:val="en-US" w:eastAsia="zh-CN"/>
              </w:rPr>
              <w:t>)</w:t>
            </w:r>
          </w:p>
          <w:p>
            <w:pPr>
              <w:spacing w:line="336" w:lineRule="auto"/>
              <w:rPr>
                <w:rFonts w:ascii="宋体" w:hAnsi="宋体" w:cs="宋体"/>
                <w:sz w:val="24"/>
                <w:szCs w:val="24"/>
              </w:rPr>
            </w:pPr>
            <w:r>
              <w:rPr>
                <w:rFonts w:hint="eastAsia" w:ascii="宋体" w:hAnsi="宋体" w:cs="宋体"/>
                <w:color w:val="000000" w:themeColor="text1"/>
                <w:sz w:val="24"/>
                <w:szCs w:val="24"/>
              </w:rPr>
              <w:t>项目名称：商洛市秦岭中段（南麓）水源涵养与生物</w:t>
            </w:r>
            <w:r>
              <w:rPr>
                <w:rFonts w:hint="eastAsia" w:ascii="宋体" w:hAnsi="宋体" w:cs="宋体"/>
                <w:sz w:val="24"/>
                <w:szCs w:val="24"/>
              </w:rPr>
              <w:t>多样性保护恢复项目山阳县2023年退化林修复</w:t>
            </w:r>
          </w:p>
          <w:p>
            <w:pPr>
              <w:spacing w:line="360" w:lineRule="auto"/>
              <w:rPr>
                <w:rFonts w:ascii="宋体" w:hAnsi="宋体" w:cs="宋体"/>
                <w:sz w:val="24"/>
                <w:szCs w:val="24"/>
              </w:rPr>
            </w:pPr>
            <w:r>
              <w:rPr>
                <w:rFonts w:hint="eastAsia" w:ascii="宋体" w:hAnsi="宋体" w:cs="宋体"/>
                <w:sz w:val="24"/>
                <w:szCs w:val="24"/>
              </w:rPr>
              <w:t>资金来源：财政资金，资金已落实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3" w:hRule="atLeast"/>
        </w:trPr>
        <w:tc>
          <w:tcPr>
            <w:tcW w:w="589" w:type="pct"/>
            <w:shd w:val="clear" w:color="auto" w:fill="auto"/>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4410" w:type="pct"/>
            <w:shd w:val="clear" w:color="auto" w:fill="auto"/>
            <w:vAlign w:val="center"/>
          </w:tcPr>
          <w:p>
            <w:pPr>
              <w:spacing w:line="360" w:lineRule="auto"/>
              <w:rPr>
                <w:rFonts w:ascii="宋体" w:hAnsi="宋体" w:cs="宋体"/>
                <w:sz w:val="24"/>
                <w:szCs w:val="24"/>
              </w:rPr>
            </w:pPr>
            <w:r>
              <w:rPr>
                <w:rFonts w:hint="eastAsia" w:ascii="宋体" w:hAnsi="宋体" w:cs="宋体"/>
                <w:sz w:val="24"/>
                <w:szCs w:val="24"/>
              </w:rPr>
              <w:t>项目实施地点：山阳县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89" w:type="pct"/>
            <w:shd w:val="clear" w:color="auto" w:fill="auto"/>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4410" w:type="pct"/>
            <w:shd w:val="clear" w:color="auto" w:fill="auto"/>
            <w:vAlign w:val="center"/>
          </w:tcPr>
          <w:p>
            <w:pPr>
              <w:spacing w:line="360" w:lineRule="auto"/>
              <w:rPr>
                <w:rFonts w:ascii="宋体" w:hAnsi="宋体" w:cs="宋体"/>
                <w:sz w:val="24"/>
                <w:szCs w:val="24"/>
              </w:rPr>
            </w:pPr>
            <w:r>
              <w:rPr>
                <w:rFonts w:hint="eastAsia" w:ascii="宋体" w:hAnsi="宋体" w:cs="宋体"/>
                <w:b/>
                <w:bCs/>
                <w:color w:val="000000" w:themeColor="text1"/>
                <w:sz w:val="24"/>
                <w:szCs w:val="24"/>
              </w:rPr>
              <w:t>工期：自合同签订之日起210日历天；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589" w:type="pct"/>
            <w:shd w:val="clear" w:color="auto" w:fill="auto"/>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4410" w:type="pct"/>
            <w:shd w:val="clear" w:color="auto" w:fill="auto"/>
            <w:vAlign w:val="center"/>
          </w:tcPr>
          <w:p>
            <w:pPr>
              <w:spacing w:line="360" w:lineRule="auto"/>
              <w:rPr>
                <w:rFonts w:ascii="宋体" w:hAnsi="宋体" w:cs="宋体"/>
                <w:sz w:val="24"/>
                <w:szCs w:val="24"/>
              </w:rPr>
            </w:pPr>
            <w:r>
              <w:rPr>
                <w:rFonts w:hint="eastAsia" w:ascii="宋体" w:hAnsi="宋体" w:cs="宋体"/>
                <w:sz w:val="24"/>
                <w:szCs w:val="24"/>
              </w:rPr>
              <w:t>质量标准：符合国家现行有关质量验收规范“合格”要求。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89" w:type="pct"/>
            <w:vAlign w:val="center"/>
          </w:tcPr>
          <w:p>
            <w:pPr>
              <w:spacing w:line="360" w:lineRule="auto"/>
              <w:jc w:val="center"/>
              <w:rPr>
                <w:rFonts w:ascii="宋体" w:hAnsi="宋体" w:cs="宋体"/>
                <w:sz w:val="24"/>
                <w:szCs w:val="24"/>
                <w:shd w:val="clear" w:color="FFFFFF" w:fill="D9D9D9"/>
              </w:rPr>
            </w:pPr>
            <w:r>
              <w:rPr>
                <w:rFonts w:hint="eastAsia" w:ascii="宋体" w:hAnsi="宋体" w:cs="宋体"/>
                <w:sz w:val="24"/>
                <w:szCs w:val="24"/>
                <w:shd w:val="clear" w:color="FFFFFF" w:fill="D9D9D9"/>
              </w:rPr>
              <w:t>5</w:t>
            </w:r>
          </w:p>
        </w:tc>
        <w:tc>
          <w:tcPr>
            <w:tcW w:w="4410" w:type="pct"/>
            <w:vAlign w:val="center"/>
          </w:tcPr>
          <w:p>
            <w:pPr>
              <w:spacing w:line="360" w:lineRule="auto"/>
              <w:rPr>
                <w:rFonts w:ascii="宋体" w:hAnsi="宋体" w:cs="宋体"/>
                <w:sz w:val="24"/>
                <w:szCs w:val="24"/>
              </w:rPr>
            </w:pPr>
            <w:r>
              <w:rPr>
                <w:rFonts w:hint="eastAsia" w:ascii="宋体" w:hAnsi="宋体" w:cs="宋体"/>
                <w:sz w:val="24"/>
                <w:szCs w:val="24"/>
              </w:rPr>
              <w:t>1.合同总价即中标价，中标报价采用固定总价。中标报价是招标文件所确定的全部工程内容的价格体现。任何有选择的报价将不予接受，按无效投标响应。投标人根据自行确定的施工方案进行自主报价。</w:t>
            </w:r>
          </w:p>
          <w:p>
            <w:pPr>
              <w:spacing w:line="360" w:lineRule="auto"/>
              <w:rPr>
                <w:rFonts w:ascii="宋体" w:hAnsi="宋体" w:cs="宋体"/>
                <w:sz w:val="24"/>
                <w:szCs w:val="24"/>
              </w:rPr>
            </w:pPr>
            <w:r>
              <w:rPr>
                <w:rFonts w:hint="eastAsia" w:ascii="宋体" w:hAnsi="宋体" w:cs="宋体"/>
                <w:sz w:val="24"/>
                <w:szCs w:val="24"/>
              </w:rPr>
              <w:t>2.中标后合同总价不做调整，不再因为环境的变化和工程量的增减而变化，任何有选择的报价将不予接受。</w:t>
            </w:r>
          </w:p>
          <w:p>
            <w:pPr>
              <w:spacing w:line="360" w:lineRule="auto"/>
              <w:rPr>
                <w:rFonts w:ascii="宋体" w:hAnsi="宋体" w:cs="宋体"/>
                <w:sz w:val="24"/>
                <w:szCs w:val="24"/>
              </w:rPr>
            </w:pPr>
            <w:r>
              <w:rPr>
                <w:rFonts w:hint="eastAsia" w:ascii="宋体" w:hAnsi="宋体" w:cs="宋体"/>
                <w:sz w:val="24"/>
                <w:szCs w:val="24"/>
              </w:rPr>
              <w:t>3.付款方式和程序：</w:t>
            </w:r>
          </w:p>
          <w:p>
            <w:pPr>
              <w:spacing w:line="360" w:lineRule="auto"/>
              <w:rPr>
                <w:rFonts w:ascii="宋体" w:hAnsi="宋体" w:cs="宋体"/>
                <w:sz w:val="24"/>
                <w:szCs w:val="24"/>
              </w:rPr>
            </w:pPr>
            <w:r>
              <w:rPr>
                <w:rFonts w:hint="eastAsia" w:ascii="宋体" w:hAnsi="宋体" w:cs="宋体"/>
                <w:sz w:val="24"/>
                <w:szCs w:val="24"/>
              </w:rPr>
              <w:t>（1）银行转账，项目实施完成并通过验收后，由供应商提供票据等财务报账所需材料进行报账。</w:t>
            </w:r>
          </w:p>
          <w:p>
            <w:pPr>
              <w:spacing w:line="360" w:lineRule="auto"/>
              <w:rPr>
                <w:rFonts w:ascii="宋体" w:hAnsi="宋体" w:cs="宋体"/>
                <w:sz w:val="24"/>
                <w:szCs w:val="24"/>
              </w:rPr>
            </w:pPr>
            <w:r>
              <w:rPr>
                <w:rFonts w:hint="eastAsia" w:ascii="宋体" w:hAnsi="宋体" w:cs="宋体"/>
                <w:sz w:val="24"/>
                <w:szCs w:val="24"/>
              </w:rPr>
              <w:t>（2）付款方式：具体以合同签订为准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15" w:hRule="atLeast"/>
        </w:trPr>
        <w:tc>
          <w:tcPr>
            <w:tcW w:w="589" w:type="pct"/>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4410" w:type="pct"/>
            <w:vAlign w:val="center"/>
          </w:tcPr>
          <w:p>
            <w:pPr>
              <w:pStyle w:val="14"/>
              <w:spacing w:line="360" w:lineRule="auto"/>
              <w:rPr>
                <w:rFonts w:hAnsi="宋体"/>
                <w:b/>
                <w:bCs/>
                <w:kern w:val="0"/>
                <w:sz w:val="24"/>
                <w:szCs w:val="24"/>
              </w:rPr>
            </w:pPr>
            <w:r>
              <w:rPr>
                <w:rFonts w:hint="eastAsia" w:hAnsi="宋体"/>
                <w:b/>
                <w:bCs/>
                <w:kern w:val="0"/>
                <w:sz w:val="24"/>
                <w:szCs w:val="24"/>
              </w:rPr>
              <w:t>质量保证：</w:t>
            </w:r>
          </w:p>
          <w:p>
            <w:pPr>
              <w:spacing w:line="520" w:lineRule="exact"/>
              <w:ind w:firstLine="480" w:firstLineChars="200"/>
              <w:rPr>
                <w:rFonts w:ascii="宋体" w:hAnsi="宋体" w:cs="宋体"/>
                <w:kern w:val="0"/>
                <w:sz w:val="24"/>
                <w:szCs w:val="24"/>
              </w:rPr>
            </w:pPr>
            <w:r>
              <w:rPr>
                <w:rFonts w:hint="eastAsia" w:ascii="宋体" w:hAnsi="宋体" w:cs="宋体"/>
                <w:sz w:val="24"/>
                <w:szCs w:val="24"/>
              </w:rPr>
              <w:t>供应商必须保证工程及服务质量可靠，并全面满足招标文件的要求，招标文件未明确要求的内容，供应商须按采购人的补充要求为准。技术标准严格按国家最新发布的规范标准执行，如发生质量问题由供应商承担全部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89" w:type="pct"/>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4410" w:type="pct"/>
            <w:vAlign w:val="center"/>
          </w:tcPr>
          <w:p>
            <w:pPr>
              <w:spacing w:line="360" w:lineRule="auto"/>
              <w:rPr>
                <w:rFonts w:ascii="宋体" w:hAnsi="宋体" w:cs="宋体"/>
                <w:b/>
                <w:sz w:val="24"/>
                <w:szCs w:val="24"/>
              </w:rPr>
            </w:pPr>
            <w:r>
              <w:rPr>
                <w:rFonts w:hint="eastAsia" w:ascii="宋体" w:hAnsi="宋体" w:cs="宋体"/>
                <w:b/>
                <w:sz w:val="24"/>
                <w:szCs w:val="24"/>
              </w:rPr>
              <w:t>验收：</w:t>
            </w:r>
          </w:p>
          <w:p>
            <w:pPr>
              <w:spacing w:line="360" w:lineRule="auto"/>
              <w:ind w:firstLine="480" w:firstLineChars="200"/>
              <w:rPr>
                <w:rFonts w:ascii="宋体" w:hAnsi="宋体" w:cs="宋体"/>
                <w:sz w:val="24"/>
                <w:szCs w:val="24"/>
              </w:rPr>
            </w:pPr>
            <w:r>
              <w:rPr>
                <w:rFonts w:hint="eastAsia" w:ascii="宋体" w:hAnsi="宋体" w:cs="宋体"/>
                <w:sz w:val="24"/>
                <w:szCs w:val="24"/>
              </w:rPr>
              <w:t>由采购人和供应商共同对项目进行整体验收。其内容包括退化林修复是否达到现行国家有关验收规范“合格”标准、是否按照采购人要求按时完工。</w:t>
            </w:r>
          </w:p>
          <w:p>
            <w:pPr>
              <w:spacing w:line="520" w:lineRule="exact"/>
              <w:ind w:firstLine="480" w:firstLineChars="200"/>
              <w:rPr>
                <w:rFonts w:ascii="宋体" w:hAnsi="宋体" w:cs="宋体"/>
                <w:sz w:val="24"/>
                <w:szCs w:val="24"/>
              </w:rPr>
            </w:pPr>
            <w:r>
              <w:rPr>
                <w:rFonts w:hint="eastAsia" w:ascii="宋体" w:hAnsi="宋体" w:cs="宋体"/>
                <w:sz w:val="24"/>
                <w:szCs w:val="24"/>
              </w:rPr>
              <w:t>1.所验各项内容最终验收达不到招标文件要求和投标文件承诺的，或在后续使用中发现采购人不能容忍的缺陷等，将视为验收不合格，供应商应在采购人要求的时间内无条件整改及恢复。</w:t>
            </w:r>
          </w:p>
          <w:p>
            <w:pPr>
              <w:spacing w:line="520" w:lineRule="exact"/>
              <w:ind w:firstLine="480" w:firstLineChars="200"/>
              <w:rPr>
                <w:rFonts w:ascii="宋体" w:hAnsi="宋体" w:cs="宋体"/>
                <w:sz w:val="24"/>
                <w:szCs w:val="24"/>
              </w:rPr>
            </w:pPr>
            <w:r>
              <w:rPr>
                <w:rFonts w:hint="eastAsia" w:ascii="宋体" w:hAnsi="宋体" w:cs="宋体"/>
                <w:sz w:val="24"/>
                <w:szCs w:val="24"/>
              </w:rPr>
              <w:t>2.若发现供应商有弄虚作假的，在投标阶段故意或随意夸大技术能力、工程、服务质量的，采购人有权解除合同，并且要求供应商赔偿相关损失。</w:t>
            </w:r>
          </w:p>
          <w:p>
            <w:pPr>
              <w:spacing w:line="520" w:lineRule="exact"/>
              <w:ind w:firstLine="480" w:firstLineChars="200"/>
              <w:rPr>
                <w:rFonts w:ascii="宋体" w:hAnsi="宋体" w:cs="宋体"/>
                <w:sz w:val="24"/>
                <w:szCs w:val="24"/>
              </w:rPr>
            </w:pPr>
            <w:r>
              <w:rPr>
                <w:rFonts w:hint="eastAsia" w:ascii="宋体" w:hAnsi="宋体" w:cs="宋体"/>
                <w:sz w:val="24"/>
                <w:szCs w:val="24"/>
              </w:rPr>
              <w:t>3.验收标准：按招标文件、投标文件及澄清函等技术指标进行验收。各项指标均应符合验收标准及要求。</w:t>
            </w:r>
          </w:p>
          <w:p>
            <w:pPr>
              <w:spacing w:line="360" w:lineRule="auto"/>
              <w:ind w:firstLine="480" w:firstLineChars="200"/>
              <w:rPr>
                <w:rFonts w:ascii="宋体" w:hAnsi="宋体" w:cs="宋体"/>
                <w:sz w:val="24"/>
                <w:szCs w:val="24"/>
              </w:rPr>
            </w:pPr>
            <w:r>
              <w:rPr>
                <w:rFonts w:hint="eastAsia" w:ascii="宋体" w:hAnsi="宋体" w:cs="宋体"/>
                <w:sz w:val="24"/>
                <w:szCs w:val="24"/>
              </w:rPr>
              <w:t>4.验收合格后，填写验收单，双方签字生效。</w:t>
            </w:r>
          </w:p>
          <w:p>
            <w:pPr>
              <w:spacing w:line="360" w:lineRule="auto"/>
              <w:ind w:firstLine="480" w:firstLineChars="200"/>
              <w:rPr>
                <w:rFonts w:ascii="宋体" w:hAnsi="宋体" w:cs="宋体"/>
                <w:sz w:val="24"/>
                <w:szCs w:val="24"/>
              </w:rPr>
            </w:pPr>
            <w:r>
              <w:rPr>
                <w:rFonts w:hint="eastAsia" w:ascii="宋体" w:hAnsi="宋体" w:cs="宋体"/>
                <w:sz w:val="24"/>
                <w:szCs w:val="24"/>
              </w:rPr>
              <w:t>5.验收依据：</w:t>
            </w:r>
          </w:p>
          <w:p>
            <w:pPr>
              <w:numPr>
                <w:ilvl w:val="0"/>
                <w:numId w:val="1"/>
              </w:numPr>
              <w:tabs>
                <w:tab w:val="left" w:pos="498"/>
                <w:tab w:val="clear" w:pos="840"/>
              </w:tabs>
              <w:spacing w:line="360" w:lineRule="auto"/>
              <w:ind w:hanging="625"/>
              <w:rPr>
                <w:rFonts w:ascii="宋体" w:hAnsi="宋体" w:cs="宋体"/>
                <w:sz w:val="24"/>
                <w:szCs w:val="24"/>
              </w:rPr>
            </w:pPr>
            <w:r>
              <w:rPr>
                <w:rFonts w:hint="eastAsia" w:ascii="宋体" w:hAnsi="宋体" w:cs="宋体"/>
                <w:sz w:val="24"/>
                <w:szCs w:val="24"/>
              </w:rPr>
              <w:t>合同文本；</w:t>
            </w:r>
          </w:p>
          <w:p>
            <w:pPr>
              <w:numPr>
                <w:ilvl w:val="0"/>
                <w:numId w:val="1"/>
              </w:numPr>
              <w:tabs>
                <w:tab w:val="left" w:pos="498"/>
                <w:tab w:val="clear" w:pos="840"/>
              </w:tabs>
              <w:spacing w:line="360" w:lineRule="auto"/>
              <w:ind w:hanging="625"/>
              <w:rPr>
                <w:rFonts w:ascii="宋体" w:hAnsi="宋体" w:cs="宋体"/>
                <w:sz w:val="24"/>
                <w:szCs w:val="24"/>
              </w:rPr>
            </w:pPr>
            <w:r>
              <w:rPr>
                <w:rFonts w:hint="eastAsia" w:ascii="宋体" w:hAnsi="宋体" w:cs="宋体"/>
                <w:sz w:val="24"/>
                <w:szCs w:val="24"/>
              </w:rPr>
              <w:t>招标文件及澄清函、投标文件；</w:t>
            </w:r>
          </w:p>
          <w:p>
            <w:pPr>
              <w:numPr>
                <w:ilvl w:val="0"/>
                <w:numId w:val="1"/>
              </w:numPr>
              <w:tabs>
                <w:tab w:val="left" w:pos="498"/>
                <w:tab w:val="clear" w:pos="840"/>
              </w:tabs>
              <w:spacing w:line="360" w:lineRule="auto"/>
              <w:ind w:hanging="625"/>
              <w:rPr>
                <w:rFonts w:ascii="宋体" w:hAnsi="宋体" w:cs="宋体"/>
                <w:sz w:val="24"/>
                <w:szCs w:val="24"/>
              </w:rPr>
            </w:pPr>
            <w:r>
              <w:rPr>
                <w:rFonts w:hint="eastAsia" w:ascii="宋体" w:hAnsi="宋体" w:cs="宋体"/>
                <w:sz w:val="24"/>
                <w:szCs w:val="24"/>
              </w:rPr>
              <w:t>国家和行业制定的相应的标准和规范；</w:t>
            </w:r>
          </w:p>
          <w:p>
            <w:pPr>
              <w:tabs>
                <w:tab w:val="left" w:pos="498"/>
              </w:tabs>
              <w:spacing w:line="360" w:lineRule="auto"/>
              <w:ind w:firstLine="240" w:firstLineChars="100"/>
              <w:rPr>
                <w:rFonts w:ascii="宋体" w:hAnsi="宋体" w:cs="宋体"/>
                <w:sz w:val="24"/>
                <w:szCs w:val="24"/>
              </w:rPr>
            </w:pPr>
            <w:r>
              <w:rPr>
                <w:rFonts w:hint="eastAsia" w:ascii="宋体" w:hAnsi="宋体" w:cs="宋体"/>
                <w:sz w:val="24"/>
                <w:szCs w:val="24"/>
              </w:rPr>
              <w:t>d)验收清单。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589" w:type="pct"/>
            <w:vAlign w:val="center"/>
          </w:tcPr>
          <w:p>
            <w:pPr>
              <w:pStyle w:val="14"/>
              <w:spacing w:line="360" w:lineRule="auto"/>
              <w:jc w:val="center"/>
              <w:rPr>
                <w:rFonts w:hAnsi="宋体"/>
                <w:sz w:val="24"/>
                <w:szCs w:val="24"/>
              </w:rPr>
            </w:pPr>
            <w:r>
              <w:rPr>
                <w:rFonts w:hint="eastAsia" w:hAnsi="宋体"/>
                <w:sz w:val="24"/>
                <w:szCs w:val="24"/>
              </w:rPr>
              <w:t>8</w:t>
            </w:r>
          </w:p>
        </w:tc>
        <w:tc>
          <w:tcPr>
            <w:tcW w:w="4410" w:type="pct"/>
            <w:vAlign w:val="center"/>
          </w:tcPr>
          <w:p>
            <w:pPr>
              <w:spacing w:line="360" w:lineRule="auto"/>
              <w:rPr>
                <w:rFonts w:ascii="宋体" w:hAnsi="宋体" w:cs="宋体"/>
                <w:b/>
                <w:bCs/>
                <w:sz w:val="24"/>
                <w:szCs w:val="24"/>
              </w:rPr>
            </w:pPr>
            <w:r>
              <w:rPr>
                <w:rFonts w:hint="eastAsia" w:ascii="宋体" w:hAnsi="宋体" w:cs="宋体"/>
                <w:b/>
                <w:bCs/>
                <w:sz w:val="24"/>
                <w:szCs w:val="24"/>
              </w:rPr>
              <w:t>安全责任：</w:t>
            </w:r>
          </w:p>
          <w:p>
            <w:pPr>
              <w:spacing w:line="360" w:lineRule="auto"/>
              <w:ind w:firstLine="480" w:firstLineChars="200"/>
              <w:rPr>
                <w:rFonts w:ascii="宋体" w:hAnsi="宋体" w:cs="宋体"/>
                <w:sz w:val="24"/>
                <w:szCs w:val="24"/>
              </w:rPr>
            </w:pPr>
            <w:r>
              <w:rPr>
                <w:rFonts w:hint="eastAsia" w:ascii="宋体" w:hAnsi="宋体" w:cs="宋体"/>
                <w:sz w:val="24"/>
                <w:szCs w:val="24"/>
              </w:rPr>
              <w:t>本项目施工过程及后期封育期过程中的安全责任均由中标单位负责。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89" w:type="pct"/>
            <w:vAlign w:val="center"/>
          </w:tcPr>
          <w:p>
            <w:pPr>
              <w:pStyle w:val="14"/>
              <w:spacing w:line="360" w:lineRule="auto"/>
              <w:jc w:val="center"/>
              <w:rPr>
                <w:rFonts w:hAnsi="宋体"/>
                <w:sz w:val="24"/>
                <w:szCs w:val="24"/>
              </w:rPr>
            </w:pPr>
            <w:r>
              <w:rPr>
                <w:rFonts w:hint="eastAsia" w:hAnsi="宋体"/>
                <w:sz w:val="24"/>
                <w:szCs w:val="24"/>
              </w:rPr>
              <w:t>9</w:t>
            </w:r>
          </w:p>
        </w:tc>
        <w:tc>
          <w:tcPr>
            <w:tcW w:w="4410" w:type="pct"/>
            <w:vAlign w:val="center"/>
          </w:tcPr>
          <w:p>
            <w:pPr>
              <w:spacing w:line="360" w:lineRule="auto"/>
              <w:rPr>
                <w:rFonts w:ascii="宋体" w:hAnsi="宋体" w:cs="宋体"/>
                <w:b/>
                <w:sz w:val="24"/>
                <w:szCs w:val="24"/>
              </w:rPr>
            </w:pPr>
            <w:r>
              <w:rPr>
                <w:rFonts w:hint="eastAsia" w:ascii="宋体" w:hAnsi="宋体" w:cs="宋体"/>
                <w:b/>
                <w:sz w:val="24"/>
                <w:szCs w:val="24"/>
              </w:rPr>
              <w:t>违约责任：</w:t>
            </w:r>
          </w:p>
          <w:p>
            <w:pPr>
              <w:tabs>
                <w:tab w:val="left" w:pos="152"/>
              </w:tabs>
              <w:spacing w:line="360" w:lineRule="auto"/>
              <w:ind w:firstLine="480" w:firstLineChars="200"/>
              <w:rPr>
                <w:rFonts w:ascii="宋体" w:hAnsi="宋体" w:cs="宋体"/>
                <w:sz w:val="24"/>
                <w:szCs w:val="24"/>
              </w:rPr>
            </w:pPr>
            <w:r>
              <w:rPr>
                <w:rFonts w:hint="eastAsia" w:ascii="宋体" w:hAnsi="宋体" w:cs="宋体"/>
                <w:sz w:val="24"/>
                <w:szCs w:val="24"/>
              </w:rPr>
              <w:t>1、按《民法典》中的相关条款执行。</w:t>
            </w:r>
          </w:p>
          <w:p>
            <w:pPr>
              <w:spacing w:line="360" w:lineRule="auto"/>
              <w:ind w:firstLine="480" w:firstLineChars="200"/>
              <w:rPr>
                <w:rFonts w:ascii="宋体" w:hAnsi="宋体" w:cs="宋体"/>
                <w:sz w:val="24"/>
                <w:szCs w:val="24"/>
              </w:rPr>
            </w:pPr>
            <w:r>
              <w:rPr>
                <w:rFonts w:hint="eastAsia" w:ascii="宋体" w:hAnsi="宋体" w:cs="宋体"/>
                <w:sz w:val="24"/>
                <w:szCs w:val="24"/>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89" w:type="pct"/>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4410" w:type="pct"/>
            <w:vAlign w:val="center"/>
          </w:tcPr>
          <w:p>
            <w:pPr>
              <w:spacing w:line="360" w:lineRule="auto"/>
              <w:rPr>
                <w:rFonts w:ascii="宋体" w:hAnsi="宋体" w:cs="宋体"/>
                <w:b/>
                <w:sz w:val="24"/>
                <w:szCs w:val="24"/>
              </w:rPr>
            </w:pPr>
            <w:r>
              <w:rPr>
                <w:rFonts w:hint="eastAsia" w:ascii="宋体" w:hAnsi="宋体" w:cs="宋体"/>
                <w:b/>
                <w:sz w:val="24"/>
                <w:szCs w:val="24"/>
              </w:rPr>
              <w:t>政府采购合同：</w:t>
            </w:r>
          </w:p>
          <w:p>
            <w:pPr>
              <w:spacing w:line="360" w:lineRule="auto"/>
              <w:ind w:firstLine="480" w:firstLineChars="200"/>
              <w:rPr>
                <w:rFonts w:ascii="宋体" w:hAnsi="宋体" w:cs="宋体"/>
                <w:sz w:val="24"/>
                <w:szCs w:val="24"/>
              </w:rPr>
            </w:pPr>
            <w:r>
              <w:rPr>
                <w:rFonts w:hint="eastAsia" w:ascii="宋体" w:hAnsi="宋体" w:cs="宋体"/>
                <w:sz w:val="24"/>
                <w:szCs w:val="24"/>
              </w:rPr>
              <w:t>政府采购合同适用民法典。采购人和供应商之间的权利和义务，应当按照平等、自愿的原则以合同方式约定。</w:t>
            </w:r>
            <w:r>
              <w:rPr>
                <w:rFonts w:hint="eastAsia" w:ascii="宋体" w:hAnsi="宋体" w:cs="宋体"/>
                <w:sz w:val="24"/>
                <w:szCs w:val="24"/>
              </w:rPr>
              <w:br w:type="textWrapping"/>
            </w:r>
            <w:r>
              <w:rPr>
                <w:rFonts w:hint="eastAsia" w:ascii="宋体" w:hAnsi="宋体" w:cs="宋体"/>
                <w:sz w:val="24"/>
                <w:szCs w:val="24"/>
              </w:rPr>
              <w:t xml:space="preserve">    政府采购合同应当采用书面形式。</w:t>
            </w:r>
          </w:p>
          <w:p>
            <w:pPr>
              <w:spacing w:line="360" w:lineRule="auto"/>
              <w:ind w:firstLine="480" w:firstLineChars="200"/>
              <w:rPr>
                <w:rFonts w:ascii="宋体" w:hAnsi="宋体" w:cs="宋体"/>
                <w:sz w:val="24"/>
                <w:szCs w:val="24"/>
              </w:rPr>
            </w:pPr>
            <w:r>
              <w:rPr>
                <w:rFonts w:hint="eastAsia" w:ascii="宋体" w:hAnsi="宋体" w:cs="宋体"/>
                <w:sz w:val="24"/>
                <w:szCs w:val="24"/>
              </w:rPr>
              <w:t>国务院政府采购监督管理部门应当会同国务院有关部门，规定政府采购合同必须具备的条款。</w:t>
            </w:r>
            <w:r>
              <w:rPr>
                <w:rFonts w:hint="eastAsia" w:ascii="宋体" w:hAnsi="宋体" w:cs="宋体"/>
                <w:sz w:val="24"/>
                <w:szCs w:val="24"/>
              </w:rPr>
              <w:br w:type="textWrapping"/>
            </w:r>
            <w:r>
              <w:rPr>
                <w:rFonts w:hint="eastAsia" w:ascii="宋体" w:hAnsi="宋体" w:cs="宋体"/>
                <w:sz w:val="24"/>
                <w:szCs w:val="24"/>
              </w:rPr>
              <w:t xml:space="preserve">    采购人与中标、成交供应商应当在中标、成交通知书发出之日起三十日内，按照采购文件确定的事项签订政府采购合同。</w:t>
            </w:r>
            <w:r>
              <w:rPr>
                <w:rFonts w:hint="eastAsia" w:ascii="宋体" w:hAnsi="宋体" w:cs="宋体"/>
                <w:sz w:val="24"/>
                <w:szCs w:val="24"/>
              </w:rPr>
              <w:br w:type="textWrapping"/>
            </w:r>
            <w:r>
              <w:rPr>
                <w:rFonts w:hint="eastAsia" w:ascii="宋体" w:hAnsi="宋体" w:cs="宋体"/>
                <w:sz w:val="24"/>
                <w:szCs w:val="24"/>
              </w:rPr>
              <w:t xml:space="preserve">    中标、成交通知书对采购人和中标、成交供应商均具有法律效力。中标、成交通知书发出后，采购人改变中标、成交结果的，或者中标、成交供应商放弃中标、成交项目的，应当依法承担法律责任。</w:t>
            </w:r>
          </w:p>
          <w:p>
            <w:pPr>
              <w:pStyle w:val="14"/>
              <w:spacing w:line="360" w:lineRule="auto"/>
              <w:ind w:firstLine="480" w:firstLineChars="200"/>
              <w:rPr>
                <w:rFonts w:hAnsi="宋体"/>
                <w:sz w:val="24"/>
                <w:szCs w:val="24"/>
              </w:rPr>
            </w:pPr>
            <w:r>
              <w:rPr>
                <w:rFonts w:hint="eastAsia" w:hAnsi="宋体"/>
                <w:sz w:val="24"/>
                <w:szCs w:val="24"/>
              </w:rPr>
              <w:t>政府采购项目的采购合同自签订之日起七个工作日内，采购人应当将合同副本报同级政府采购监督管理部门和有关部门备案。</w:t>
            </w:r>
            <w:r>
              <w:rPr>
                <w:rFonts w:hint="eastAsia" w:hAnsi="宋体"/>
                <w:sz w:val="24"/>
                <w:szCs w:val="24"/>
              </w:rPr>
              <w:br w:type="textWrapping"/>
            </w:r>
            <w:r>
              <w:rPr>
                <w:rFonts w:hint="eastAsia" w:hAnsi="宋体"/>
                <w:sz w:val="24"/>
                <w:szCs w:val="24"/>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hAnsi="宋体"/>
                <w:sz w:val="24"/>
                <w:szCs w:val="24"/>
              </w:rPr>
              <w:br w:type="textWrapping"/>
            </w:r>
            <w:r>
              <w:rPr>
                <w:rFonts w:hint="eastAsia" w:hAnsi="宋体"/>
                <w:sz w:val="24"/>
                <w:szCs w:val="24"/>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sz w:val="24"/>
                <w:szCs w:val="24"/>
              </w:rPr>
              <w:br w:type="textWrapping"/>
            </w:r>
            <w:r>
              <w:rPr>
                <w:rFonts w:hint="eastAsia" w:hAnsi="宋体"/>
                <w:sz w:val="24"/>
                <w:szCs w:val="24"/>
              </w:rPr>
              <w:t xml:space="preserve">    政府采购合同的双方当事人不得擅自变更、中止或者终止合同。</w:t>
            </w:r>
            <w:r>
              <w:rPr>
                <w:rFonts w:hint="eastAsia" w:hAnsi="宋体"/>
                <w:sz w:val="24"/>
                <w:szCs w:val="24"/>
              </w:rPr>
              <w:br w:type="textWrapping"/>
            </w:r>
            <w:r>
              <w:rPr>
                <w:rFonts w:hint="eastAsia" w:hAnsi="宋体"/>
                <w:sz w:val="24"/>
                <w:szCs w:val="24"/>
              </w:rPr>
              <w:t>政府采购合同继续履行将损害国家利益和社会公共利益的，双方当事人应当变更、中止或者终止合同。有过错的一方应当承担赔偿责任，双方都有过错的，各自承担相应的责任。</w:t>
            </w:r>
          </w:p>
        </w:tc>
      </w:tr>
    </w:tbl>
    <w:p>
      <w:pPr>
        <w:spacing w:line="360" w:lineRule="auto"/>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br w:type="page"/>
      </w:r>
    </w:p>
    <w:p>
      <w:pPr>
        <w:jc w:val="center"/>
        <w:rPr>
          <w:rFonts w:ascii="华文仿宋" w:hAnsi="华文仿宋" w:eastAsia="华文仿宋" w:cs="华文仿宋"/>
          <w:b/>
          <w:sz w:val="52"/>
          <w:szCs w:val="52"/>
        </w:rPr>
      </w:pPr>
    </w:p>
    <w:p>
      <w:pPr>
        <w:jc w:val="center"/>
        <w:rPr>
          <w:rFonts w:ascii="华文仿宋" w:hAnsi="华文仿宋" w:eastAsia="华文仿宋" w:cs="华文仿宋"/>
          <w:b/>
          <w:sz w:val="52"/>
          <w:szCs w:val="52"/>
        </w:rPr>
      </w:pPr>
    </w:p>
    <w:p>
      <w:pPr>
        <w:jc w:val="center"/>
        <w:rPr>
          <w:rFonts w:ascii="华文仿宋" w:hAnsi="华文仿宋" w:eastAsia="华文仿宋" w:cs="华文仿宋"/>
          <w:b/>
          <w:sz w:val="52"/>
          <w:szCs w:val="52"/>
        </w:rPr>
      </w:pPr>
    </w:p>
    <w:p>
      <w:pPr>
        <w:jc w:val="center"/>
        <w:rPr>
          <w:rFonts w:ascii="华文仿宋" w:hAnsi="华文仿宋" w:eastAsia="华文仿宋" w:cs="华文仿宋"/>
          <w:b/>
          <w:sz w:val="52"/>
          <w:szCs w:val="52"/>
        </w:rPr>
      </w:pPr>
    </w:p>
    <w:p>
      <w:pPr>
        <w:jc w:val="center"/>
        <w:rPr>
          <w:rFonts w:ascii="华文仿宋" w:hAnsi="华文仿宋" w:eastAsia="华文仿宋" w:cs="华文仿宋"/>
          <w:b/>
          <w:sz w:val="52"/>
          <w:szCs w:val="52"/>
        </w:rPr>
      </w:pPr>
    </w:p>
    <w:p>
      <w:pPr>
        <w:jc w:val="center"/>
        <w:rPr>
          <w:b/>
          <w:sz w:val="32"/>
          <w:szCs w:val="32"/>
        </w:rPr>
      </w:pPr>
      <w:r>
        <w:rPr>
          <w:rFonts w:hint="eastAsia" w:ascii="华文仿宋" w:hAnsi="华文仿宋" w:eastAsia="华文仿宋" w:cs="华文仿宋"/>
          <w:b/>
          <w:sz w:val="40"/>
          <w:szCs w:val="40"/>
        </w:rPr>
        <w:t>商洛市秦岭中段（南麓）水源涵养与生物多样性保护恢复项目山阳县2023年退化林修复</w:t>
      </w:r>
    </w:p>
    <w:p>
      <w:pPr>
        <w:jc w:val="center"/>
        <w:rPr>
          <w:b/>
          <w:sz w:val="44"/>
          <w:szCs w:val="44"/>
          <w:highlight w:val="yellow"/>
        </w:rPr>
      </w:pPr>
    </w:p>
    <w:p>
      <w:pPr>
        <w:jc w:val="center"/>
        <w:rPr>
          <w:sz w:val="28"/>
          <w:szCs w:val="28"/>
        </w:rPr>
      </w:pPr>
      <w:r>
        <w:rPr>
          <w:rFonts w:hint="eastAsia"/>
          <w:b/>
          <w:sz w:val="44"/>
          <w:szCs w:val="44"/>
        </w:rPr>
        <w:t>（示范文本）</w:t>
      </w:r>
    </w:p>
    <w:p>
      <w:pPr>
        <w:jc w:val="center"/>
        <w:rPr>
          <w:sz w:val="28"/>
          <w:szCs w:val="28"/>
        </w:rPr>
      </w:pPr>
    </w:p>
    <w:p>
      <w:pPr>
        <w:jc w:val="cente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1960" w:firstLineChars="700"/>
        <w:rPr>
          <w:sz w:val="28"/>
          <w:szCs w:val="28"/>
          <w:u w:val="single"/>
        </w:rPr>
      </w:pPr>
    </w:p>
    <w:p>
      <w:pPr>
        <w:ind w:firstLine="1960" w:firstLineChars="700"/>
        <w:rPr>
          <w:sz w:val="28"/>
          <w:szCs w:val="28"/>
          <w:u w:val="single"/>
        </w:rPr>
      </w:pPr>
    </w:p>
    <w:p>
      <w:pPr>
        <w:pageBreakBefore/>
        <w:spacing w:afterLines="50" w:line="360" w:lineRule="auto"/>
        <w:jc w:val="center"/>
        <w:rPr>
          <w:rFonts w:hAnsi="宋体"/>
          <w:b/>
          <w:sz w:val="32"/>
          <w:szCs w:val="32"/>
        </w:rPr>
      </w:pPr>
      <w:bookmarkStart w:id="94" w:name="_Toc826"/>
      <w:bookmarkStart w:id="95" w:name="_Toc18407"/>
      <w:bookmarkStart w:id="96" w:name="_Toc27199"/>
      <w:r>
        <w:rPr>
          <w:rFonts w:hint="eastAsia" w:hAnsi="宋体"/>
          <w:b/>
          <w:sz w:val="32"/>
          <w:szCs w:val="32"/>
        </w:rPr>
        <w:t>第一部分  协议书</w:t>
      </w:r>
      <w:bookmarkEnd w:id="94"/>
      <w:bookmarkEnd w:id="95"/>
      <w:bookmarkEnd w:id="96"/>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发包人（全称）：</w:t>
      </w:r>
      <w:r>
        <w:rPr>
          <w:rFonts w:hint="eastAsia" w:ascii="宋体" w:hAnsi="宋体" w:cs="宋体"/>
          <w:sz w:val="24"/>
          <w:szCs w:val="24"/>
          <w:u w:val="single"/>
        </w:rPr>
        <w:t xml:space="preserve">                                  </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承包人（全称）：</w:t>
      </w:r>
      <w:r>
        <w:rPr>
          <w:rFonts w:hint="eastAsia" w:ascii="宋体" w:hAnsi="宋体" w:cs="宋体"/>
          <w:sz w:val="24"/>
          <w:szCs w:val="24"/>
          <w:u w:val="single"/>
        </w:rPr>
        <w:t xml:space="preserve">                                  </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 xml:space="preserve">依照《中华人民共和国民法典》及其他有关法律、行政法规，遵循平等、自愿、公平和诚实信用的原则，双方就本建设工程施工事项协商一致，订立本合同。 </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一、工程概况：</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工程名称：</w:t>
      </w:r>
      <w:r>
        <w:rPr>
          <w:rFonts w:hint="eastAsia" w:ascii="宋体" w:hAnsi="宋体" w:cs="宋体"/>
          <w:sz w:val="24"/>
          <w:szCs w:val="24"/>
          <w:u w:val="single"/>
        </w:rPr>
        <w:t xml:space="preserve">                                                          </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工程地点：</w:t>
      </w:r>
      <w:r>
        <w:rPr>
          <w:rFonts w:hint="eastAsia" w:ascii="宋体" w:hAnsi="宋体" w:cs="宋体"/>
          <w:sz w:val="24"/>
          <w:szCs w:val="24"/>
          <w:u w:val="single"/>
        </w:rPr>
        <w:t xml:space="preserve">                                                          </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资金来源：</w:t>
      </w:r>
      <w:r>
        <w:rPr>
          <w:rFonts w:hint="eastAsia" w:ascii="宋体" w:hAnsi="宋体" w:cs="宋体"/>
          <w:sz w:val="24"/>
          <w:szCs w:val="24"/>
          <w:u w:val="single"/>
        </w:rPr>
        <w:t xml:space="preserve">                                                          </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 xml:space="preserve">二、工程承包范围 </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承包范围：</w:t>
      </w:r>
      <w:r>
        <w:rPr>
          <w:rFonts w:hint="eastAsia" w:ascii="宋体" w:hAnsi="宋体" w:cs="宋体"/>
          <w:sz w:val="24"/>
          <w:szCs w:val="24"/>
          <w:u w:val="single"/>
        </w:rPr>
        <w:t xml:space="preserve">                                                          </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三、合同工期</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开工日期：</w:t>
      </w:r>
      <w:r>
        <w:rPr>
          <w:rFonts w:hint="eastAsia" w:ascii="宋体" w:hAnsi="宋体" w:cs="宋体"/>
          <w:sz w:val="24"/>
          <w:szCs w:val="24"/>
          <w:u w:val="single"/>
        </w:rPr>
        <w:t xml:space="preserve">           </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竣工日期：</w:t>
      </w:r>
      <w:r>
        <w:rPr>
          <w:rFonts w:hint="eastAsia" w:ascii="宋体" w:hAnsi="宋体" w:cs="宋体"/>
          <w:sz w:val="24"/>
          <w:szCs w:val="24"/>
          <w:u w:val="single"/>
        </w:rPr>
        <w:t xml:space="preserve">           </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合同工期总日历天数</w:t>
      </w:r>
      <w:r>
        <w:rPr>
          <w:rFonts w:hint="eastAsia" w:ascii="宋体" w:hAnsi="宋体" w:cs="宋体"/>
          <w:sz w:val="24"/>
          <w:szCs w:val="24"/>
          <w:u w:val="single"/>
        </w:rPr>
        <w:t xml:space="preserve">   </w:t>
      </w:r>
      <w:r>
        <w:rPr>
          <w:rFonts w:hint="eastAsia" w:ascii="宋体" w:hAnsi="宋体" w:cs="宋体"/>
          <w:sz w:val="24"/>
          <w:szCs w:val="24"/>
        </w:rPr>
        <w:t>日历日。</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四、质量标准</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工程质量标准：达到国家质量验收合格标准</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五、合同价款</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合同金额（大写）：</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合同总价即成交价，合同总价为总承包价，不受市场价变化或实际工作量变化的影响，合同价格为含税价，供应商提供本工程所发生的一切税（包括增值税）费等都已包含于合同价款中。</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六、组成合同的文件</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组成本合同的文件包括：</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1、本合同协议书</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2、本合同专用条款</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3、本合同通用条款</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4、中标通知书</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5、投标文件、工程报价单或预算书及其附件</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6、招标文件、答疑纪要</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7、标准、规范及有关技术文件</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双方为履行本合同的有关洽商、变更等书面协议或文件视为本合同的组成部分。</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七、本协议书中有关词语含义与本合同第二部分《通用条款》中分别赋予它们的定义相同。</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八、承包人向发包人承诺按照合同约定进行施工、竣工并在质量保修期内承担工程质量保修责任。</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九、发包人向承包人承诺按照合同约定的期限和方式支付合同价款及其他应当支付的款项。</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十、合同生效</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合同订立时间：          年            月            日</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 xml:space="preserve">合同订立地点：                                       </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本合同双方约定 双方签字盖章 后生效。</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发包人：          （公章）         承包人：         （公章）</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法定代表人：                         法定代表人：</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委托代理人：                         委托代理人：</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联系人：                             联系人：</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电话：                               电话：</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传真：                               传真：</w:t>
      </w:r>
    </w:p>
    <w:p>
      <w:pPr>
        <w:spacing w:beforeLines="100" w:afterLines="100" w:line="360" w:lineRule="auto"/>
        <w:ind w:firstLine="460" w:firstLineChars="192"/>
        <w:jc w:val="left"/>
        <w:rPr>
          <w:rFonts w:ascii="宋体" w:hAnsi="宋体" w:cs="宋体"/>
          <w:sz w:val="24"/>
          <w:szCs w:val="24"/>
        </w:rPr>
      </w:pPr>
      <w:r>
        <w:rPr>
          <w:rFonts w:hint="eastAsia" w:ascii="宋体" w:hAnsi="宋体" w:cs="宋体"/>
          <w:sz w:val="24"/>
          <w:szCs w:val="24"/>
        </w:rPr>
        <w:t>开户银行：                           开户银行：</w:t>
      </w:r>
    </w:p>
    <w:p>
      <w:pPr>
        <w:spacing w:beforeLines="100" w:afterLines="100" w:line="360" w:lineRule="auto"/>
        <w:ind w:firstLine="460" w:firstLineChars="192"/>
        <w:jc w:val="left"/>
        <w:rPr>
          <w:rFonts w:ascii="宋体" w:hAnsi="宋体" w:cs="宋体"/>
          <w:sz w:val="24"/>
          <w:szCs w:val="24"/>
        </w:rPr>
        <w:sectPr>
          <w:footerReference r:id="rId9" w:type="default"/>
          <w:pgSz w:w="11907" w:h="16840"/>
          <w:pgMar w:top="1304" w:right="1361" w:bottom="1304" w:left="1361" w:header="720" w:footer="720" w:gutter="0"/>
          <w:cols w:space="720" w:num="1"/>
        </w:sectPr>
      </w:pPr>
      <w:r>
        <w:rPr>
          <w:rFonts w:hint="eastAsia" w:ascii="宋体" w:hAnsi="宋体" w:cs="宋体"/>
          <w:sz w:val="24"/>
          <w:szCs w:val="24"/>
        </w:rPr>
        <w:t>账号：                               账号：</w:t>
      </w:r>
    </w:p>
    <w:p>
      <w:pPr>
        <w:spacing w:line="360" w:lineRule="auto"/>
        <w:ind w:firstLine="723" w:firstLineChars="200"/>
        <w:jc w:val="center"/>
        <w:rPr>
          <w:rFonts w:hAnsi="宋体"/>
        </w:rPr>
      </w:pPr>
      <w:r>
        <w:rPr>
          <w:rFonts w:hint="eastAsia" w:hAnsi="宋体"/>
          <w:b/>
          <w:bCs/>
          <w:sz w:val="36"/>
          <w:szCs w:val="36"/>
        </w:rPr>
        <w:t>第二部分  通用合同条款</w:t>
      </w:r>
    </w:p>
    <w:p>
      <w:pPr>
        <w:pStyle w:val="24"/>
        <w:spacing w:line="300" w:lineRule="auto"/>
        <w:jc w:val="center"/>
        <w:rPr>
          <w:rFonts w:cs="宋体"/>
          <w:b/>
          <w:bCs/>
          <w:color w:val="auto"/>
          <w:sz w:val="28"/>
          <w:szCs w:val="28"/>
        </w:rPr>
      </w:pPr>
      <w:r>
        <w:rPr>
          <w:rFonts w:hint="eastAsia" w:cs="宋体"/>
          <w:b/>
          <w:bCs/>
          <w:color w:val="auto"/>
          <w:sz w:val="28"/>
          <w:szCs w:val="28"/>
        </w:rPr>
        <w:t>执行《陕西省建设工程施工合同》（示范文本）</w:t>
      </w:r>
    </w:p>
    <w:p>
      <w:pPr>
        <w:pStyle w:val="24"/>
        <w:spacing w:line="300" w:lineRule="auto"/>
        <w:jc w:val="center"/>
        <w:rPr>
          <w:rFonts w:cs="宋体"/>
          <w:b/>
          <w:bCs/>
          <w:color w:val="auto"/>
          <w:sz w:val="28"/>
          <w:szCs w:val="28"/>
        </w:rPr>
      </w:pPr>
    </w:p>
    <w:p>
      <w:pPr>
        <w:pStyle w:val="24"/>
        <w:spacing w:line="300" w:lineRule="auto"/>
        <w:jc w:val="center"/>
        <w:rPr>
          <w:rFonts w:cs="宋体"/>
          <w:b/>
          <w:bCs/>
          <w:color w:val="auto"/>
          <w:sz w:val="28"/>
          <w:szCs w:val="28"/>
        </w:rPr>
        <w:sectPr>
          <w:pgSz w:w="11906" w:h="16838"/>
          <w:pgMar w:top="1304" w:right="1361" w:bottom="1304" w:left="1361" w:header="720" w:footer="720" w:gutter="0"/>
          <w:cols w:space="720" w:num="1"/>
        </w:sectPr>
      </w:pPr>
    </w:p>
    <w:p>
      <w:pPr>
        <w:jc w:val="center"/>
        <w:rPr>
          <w:rFonts w:ascii="黑体" w:eastAsia="黑体"/>
          <w:sz w:val="30"/>
          <w:szCs w:val="30"/>
        </w:rPr>
      </w:pPr>
      <w:r>
        <w:rPr>
          <w:rFonts w:hint="eastAsia" w:hAnsi="宋体"/>
          <w:b/>
          <w:bCs/>
          <w:sz w:val="36"/>
          <w:szCs w:val="36"/>
        </w:rPr>
        <w:t>第三部分  专用合同条款</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一、词语定义及合同文件</w:t>
      </w:r>
    </w:p>
    <w:p>
      <w:pPr>
        <w:spacing w:line="360" w:lineRule="auto"/>
        <w:ind w:firstLine="482" w:firstLineChars="200"/>
        <w:jc w:val="left"/>
        <w:rPr>
          <w:rFonts w:ascii="宋体" w:hAnsi="宋体" w:cs="宋体"/>
          <w:sz w:val="24"/>
          <w:szCs w:val="24"/>
        </w:rPr>
      </w:pPr>
      <w:r>
        <w:rPr>
          <w:rFonts w:hint="eastAsia" w:ascii="宋体" w:hAnsi="宋体" w:cs="宋体"/>
          <w:b/>
          <w:bCs/>
          <w:sz w:val="24"/>
          <w:szCs w:val="24"/>
        </w:rPr>
        <w:t>1、</w:t>
      </w:r>
      <w:r>
        <w:rPr>
          <w:rFonts w:hint="eastAsia" w:ascii="宋体" w:hAnsi="宋体" w:cs="宋体"/>
          <w:sz w:val="24"/>
          <w:szCs w:val="24"/>
          <w:u w:val="single"/>
        </w:rPr>
        <w:t>专用合同条款是对通用条款中相应条款内容的解释、补充、删除或修改，其序号与通用条款中条款一一对应，未作改动的条款按通用条款执行。</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2、合同文件及解释顺序</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合同文件组成及解释顺序：</w:t>
      </w:r>
      <w:r>
        <w:rPr>
          <w:rFonts w:hint="eastAsia" w:ascii="宋体" w:hAnsi="宋体" w:cs="宋体"/>
          <w:sz w:val="24"/>
          <w:szCs w:val="24"/>
          <w:u w:val="single"/>
        </w:rPr>
        <w:t>﹙1﹚本合同协议书；﹙2﹚本合同专用条款；﹙3﹚中标通知书；﹙4﹚招标文件答疑纪要；﹙5﹚本合同通用条款；﹙6﹚标准规范及有关技术文件；（7）其他。</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3、语言文字和适用法律语言文字和适用法律、标准及规范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  本合同除使用汉语外，还使用_________</w:t>
      </w:r>
      <w:r>
        <w:rPr>
          <w:rFonts w:hint="eastAsia" w:ascii="宋体" w:hAnsi="宋体" w:cs="宋体"/>
          <w:sz w:val="24"/>
          <w:szCs w:val="24"/>
          <w:u w:val="single"/>
        </w:rPr>
        <w:t>/</w:t>
      </w:r>
      <w:r>
        <w:rPr>
          <w:rFonts w:hint="eastAsia" w:ascii="宋体" w:hAnsi="宋体" w:cs="宋体"/>
          <w:sz w:val="24"/>
          <w:szCs w:val="24"/>
        </w:rPr>
        <w:t>__________语言文字。</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3.2  适用法律和法规需要明示的法律、行政法规：</w:t>
      </w:r>
      <w:r>
        <w:rPr>
          <w:rFonts w:hint="eastAsia" w:ascii="宋体" w:hAnsi="宋体" w:cs="宋体"/>
          <w:sz w:val="24"/>
          <w:szCs w:val="24"/>
          <w:u w:val="single"/>
        </w:rPr>
        <w:t>本合同适用于中华人民共和国法律，行政法规、陕西省地方法规。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3.3  适用标准、规范 </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适用标准、规范的名称：</w:t>
      </w:r>
      <w:r>
        <w:rPr>
          <w:rFonts w:hint="eastAsia" w:ascii="宋体" w:hAnsi="宋体" w:cs="宋体"/>
          <w:sz w:val="24"/>
          <w:szCs w:val="24"/>
          <w:u w:val="single"/>
        </w:rPr>
        <w:t>﹙1﹚国家现行和相关技术规程；﹙2﹚工程所在地建设主管部门的标准、规范；﹙3﹚工程所在地行业的标准、规范。</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发包人提供标准、规范的时间：</w:t>
      </w:r>
      <w:r>
        <w:rPr>
          <w:rFonts w:hint="eastAsia" w:ascii="宋体" w:hAnsi="宋体" w:cs="宋体"/>
          <w:sz w:val="24"/>
          <w:szCs w:val="24"/>
          <w:u w:val="single"/>
        </w:rPr>
        <w:t xml:space="preserve">               /                    _</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国内没有相应标准、规范时的约定：</w:t>
      </w:r>
      <w:r>
        <w:rPr>
          <w:rFonts w:hint="eastAsia" w:ascii="宋体" w:hAnsi="宋体" w:cs="宋体"/>
          <w:sz w:val="24"/>
          <w:szCs w:val="24"/>
          <w:u w:val="single"/>
        </w:rPr>
        <w:t xml:space="preserve">                              。</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4、图纸</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4.1发包人向承包人提供图纸日期和套数</w:t>
      </w:r>
      <w:r>
        <w:rPr>
          <w:rFonts w:hint="eastAsia" w:ascii="宋体" w:hAnsi="宋体" w:cs="宋体"/>
          <w:sz w:val="24"/>
          <w:szCs w:val="24"/>
          <w:u w:val="single"/>
        </w:rPr>
        <w:t>：    /                       。</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发包人对图纸的保密要求</w:t>
      </w:r>
      <w:r>
        <w:rPr>
          <w:rFonts w:hint="eastAsia" w:ascii="宋体" w:hAnsi="宋体" w:cs="宋体"/>
          <w:sz w:val="24"/>
          <w:szCs w:val="24"/>
          <w:u w:val="single"/>
        </w:rPr>
        <w:t>：         /           。</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使用国外图纸的要求及费用承担：</w:t>
      </w:r>
      <w:r>
        <w:rPr>
          <w:rFonts w:hint="eastAsia" w:ascii="宋体" w:hAnsi="宋体" w:cs="宋体"/>
          <w:sz w:val="24"/>
          <w:szCs w:val="24"/>
          <w:u w:val="single"/>
        </w:rPr>
        <w:t>____无_____</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二、双方一般权利和义务</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5、工程师</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5.2监理单位委派的工程师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姓名：______/_________职务：______/________</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发包人委托的职权：</w:t>
      </w:r>
      <w:r>
        <w:rPr>
          <w:rFonts w:hint="eastAsia" w:ascii="宋体" w:hAnsi="宋体" w:cs="宋体"/>
          <w:sz w:val="24"/>
          <w:szCs w:val="24"/>
          <w:u w:val="single"/>
        </w:rPr>
        <w:t xml:space="preserve">               /                   </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需要取得发包人批准才能行使的职权：</w:t>
      </w:r>
      <w:r>
        <w:rPr>
          <w:rFonts w:hint="eastAsia" w:ascii="宋体" w:hAnsi="宋体" w:cs="宋体"/>
          <w:sz w:val="24"/>
          <w:szCs w:val="24"/>
          <w:u w:val="single"/>
        </w:rPr>
        <w:t xml:space="preserve">         /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5.4发包人派驻的工程师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姓名：____________________职务：________________________________</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职权：</w:t>
      </w:r>
      <w:r>
        <w:rPr>
          <w:rFonts w:hint="eastAsia" w:ascii="宋体" w:hAnsi="宋体" w:cs="宋体"/>
          <w:sz w:val="24"/>
          <w:szCs w:val="24"/>
          <w:u w:val="single"/>
        </w:rPr>
        <w:t xml:space="preserve">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5.6不实行监理的，工程师的职权：________</w:t>
      </w:r>
      <w:r>
        <w:rPr>
          <w:rFonts w:hint="eastAsia" w:ascii="宋体" w:hAnsi="宋体" w:cs="宋体"/>
          <w:sz w:val="24"/>
          <w:szCs w:val="24"/>
          <w:u w:val="single"/>
        </w:rPr>
        <w:t>/_</w:t>
      </w:r>
      <w:r>
        <w:rPr>
          <w:rFonts w:hint="eastAsia" w:ascii="宋体" w:hAnsi="宋体" w:cs="宋体"/>
          <w:sz w:val="24"/>
          <w:szCs w:val="24"/>
        </w:rPr>
        <w:t>____________________</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6、项目经理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姓名：___________职务：___________________</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7、发包人工作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7.1发包人应按约定的时间和要求完成以下工作：</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（1）施工场地具备施工条件的要求及完成的时间：</w:t>
      </w:r>
      <w:r>
        <w:rPr>
          <w:rFonts w:hint="eastAsia" w:ascii="宋体" w:hAnsi="宋体" w:cs="宋体"/>
          <w:sz w:val="24"/>
          <w:szCs w:val="24"/>
          <w:u w:val="single"/>
        </w:rPr>
        <w:t>工程开工前五日内完成。</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（2）将施工所需的水、电、电讯线路接至施工场地的时间、地点和供应要求：</w:t>
      </w:r>
      <w:r>
        <w:rPr>
          <w:rFonts w:hint="eastAsia" w:ascii="宋体" w:hAnsi="宋体" w:cs="宋体"/>
          <w:sz w:val="24"/>
          <w:szCs w:val="24"/>
          <w:u w:val="single"/>
        </w:rPr>
        <w:t>本工程施工水源、电源、电讯均由承包人自行解决并承担费用。</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其计量和计价方法为：</w:t>
      </w:r>
      <w:r>
        <w:rPr>
          <w:rFonts w:hint="eastAsia" w:ascii="宋体" w:hAnsi="宋体" w:cs="宋体"/>
          <w:sz w:val="24"/>
          <w:szCs w:val="24"/>
          <w:u w:val="single"/>
        </w:rPr>
        <w:t>由承包人承担费用，按不同来源在投标时自主报价，结算时不再调整。</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（3）施工场地与公共道路的通道开通时间和要求：</w:t>
      </w:r>
      <w:r>
        <w:rPr>
          <w:rFonts w:hint="eastAsia" w:ascii="宋体" w:hAnsi="宋体" w:cs="宋体"/>
          <w:sz w:val="24"/>
          <w:szCs w:val="24"/>
          <w:u w:val="single"/>
        </w:rPr>
        <w:t xml:space="preserve">             </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（4）工程地质和地下管线资料的提供时间：</w:t>
      </w:r>
      <w:r>
        <w:rPr>
          <w:rFonts w:hint="eastAsia" w:ascii="宋体" w:hAnsi="宋体" w:cs="宋体"/>
          <w:sz w:val="24"/>
          <w:szCs w:val="24"/>
          <w:u w:val="single"/>
        </w:rPr>
        <w:t>合同签订七日内提供发包人已知的情况，其它由承包人自行勘测和解决。</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（5）由发包人办理的施工所需证件、批件的名称和完成时间：</w:t>
      </w:r>
      <w:r>
        <w:rPr>
          <w:rFonts w:hint="eastAsia" w:ascii="宋体" w:hAnsi="宋体" w:cs="宋体"/>
          <w:sz w:val="24"/>
          <w:szCs w:val="24"/>
          <w:u w:val="single"/>
        </w:rPr>
        <w:t>合同签订后发包人积极办理，需要承包人配合的承包人必须积极配合在开工前完成</w:t>
      </w:r>
      <w:r>
        <w:rPr>
          <w:rFonts w:hint="eastAsia" w:ascii="宋体" w:hAnsi="宋体" w:cs="宋体"/>
          <w:sz w:val="24"/>
          <w:szCs w:val="24"/>
        </w:rPr>
        <w:t>。</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（6）水准点与座标控制点交验要求：</w:t>
      </w:r>
      <w:r>
        <w:rPr>
          <w:rFonts w:hint="eastAsia" w:ascii="宋体" w:hAnsi="宋体" w:cs="宋体"/>
          <w:sz w:val="24"/>
          <w:szCs w:val="24"/>
          <w:u w:val="single"/>
        </w:rPr>
        <w:t>/。</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（7）施工交底时间：</w:t>
      </w:r>
      <w:r>
        <w:rPr>
          <w:rFonts w:hint="eastAsia" w:ascii="宋体" w:hAnsi="宋体" w:cs="宋体"/>
          <w:sz w:val="24"/>
          <w:szCs w:val="24"/>
          <w:u w:val="single"/>
        </w:rPr>
        <w:t xml:space="preserve">       。</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（8）协调处理施工场地周围地下管线和邻近建筑物、构筑物（含文物保护建筑）、古树名木的保护工作：</w:t>
      </w:r>
      <w:r>
        <w:rPr>
          <w:rFonts w:hint="eastAsia" w:ascii="宋体" w:hAnsi="宋体" w:cs="宋体"/>
          <w:sz w:val="24"/>
          <w:szCs w:val="24"/>
          <w:u w:val="single"/>
        </w:rPr>
        <w:t>由发包人和承包人协商确定。</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（9）双方约定发包人应做的其他工作：</w:t>
      </w:r>
      <w:r>
        <w:rPr>
          <w:rFonts w:hint="eastAsia" w:ascii="宋体" w:hAnsi="宋体" w:cs="宋体"/>
          <w:sz w:val="24"/>
          <w:szCs w:val="24"/>
          <w:u w:val="single"/>
        </w:rPr>
        <w:t>施工中的协调配合工作。</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7.2发包人委托承包人办理的工作：</w:t>
      </w:r>
      <w:r>
        <w:rPr>
          <w:rFonts w:hint="eastAsia" w:ascii="宋体" w:hAnsi="宋体" w:cs="宋体"/>
          <w:sz w:val="24"/>
          <w:szCs w:val="24"/>
          <w:u w:val="single"/>
        </w:rPr>
        <w:t>配合发包人办理施工许可证、质量监督备案手续。</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8、承包人工作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8.1承包人应按约定时间和要求，完成以下工作：</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（1）需由设计资质等级和业务范围允许的承包人完成的设计文件提交时间：</w:t>
      </w:r>
      <w:r>
        <w:rPr>
          <w:rFonts w:hint="eastAsia" w:ascii="宋体" w:hAnsi="宋体" w:cs="宋体"/>
          <w:sz w:val="24"/>
          <w:szCs w:val="24"/>
          <w:u w:val="single"/>
        </w:rPr>
        <w:t>按发包人的要求提供。</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（2）应提供计划、报表的名称及完成时间：</w:t>
      </w:r>
      <w:r>
        <w:rPr>
          <w:rFonts w:hint="eastAsia" w:ascii="宋体" w:hAnsi="宋体" w:cs="宋体"/>
          <w:sz w:val="24"/>
          <w:szCs w:val="24"/>
          <w:u w:val="single"/>
        </w:rPr>
        <w:t xml:space="preserve">        /          。</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（3）承担施工安全保卫工作及非夜间施工照明的责任和要求：</w:t>
      </w:r>
      <w:r>
        <w:rPr>
          <w:rFonts w:hint="eastAsia" w:ascii="宋体" w:hAnsi="宋体" w:cs="宋体"/>
          <w:sz w:val="24"/>
          <w:szCs w:val="24"/>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（4）向发包人提供的办公和生活房屋及设施的要求：</w:t>
      </w:r>
      <w:r>
        <w:rPr>
          <w:rFonts w:hint="eastAsia" w:ascii="宋体" w:hAnsi="宋体" w:cs="宋体"/>
          <w:sz w:val="24"/>
          <w:szCs w:val="24"/>
          <w:u w:val="single"/>
        </w:rPr>
        <w:t>/</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（5）需承包人办理的有关施工场地交通、环卫和施工噪音管理等手续：</w:t>
      </w:r>
      <w:r>
        <w:rPr>
          <w:rFonts w:hint="eastAsia" w:ascii="宋体" w:hAnsi="宋体" w:cs="宋体"/>
          <w:sz w:val="24"/>
          <w:szCs w:val="24"/>
          <w:u w:val="single"/>
        </w:rPr>
        <w:t>由承包人负责各项手续的办理并承担费用。</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（6）已完工程成品保护的特殊要求及费用承担：</w:t>
      </w:r>
      <w:r>
        <w:rPr>
          <w:rFonts w:hint="eastAsia" w:ascii="宋体" w:hAnsi="宋体" w:cs="宋体"/>
          <w:sz w:val="24"/>
          <w:szCs w:val="24"/>
          <w:u w:val="single"/>
        </w:rPr>
        <w:t>承包人负责，费用由承包人承担。</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（7）施工场地周围地下管线和邻近建筑物、构筑物（含文物保护建筑）、古树名木的保护要求及费用承担：</w:t>
      </w:r>
      <w:r>
        <w:rPr>
          <w:rFonts w:hint="eastAsia" w:ascii="宋体" w:hAnsi="宋体" w:cs="宋体"/>
          <w:sz w:val="24"/>
          <w:szCs w:val="24"/>
          <w:u w:val="single"/>
        </w:rPr>
        <w:t>由发包人和承包人负责协商确定。</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（8）施工场地清洁卫生的要求：</w:t>
      </w:r>
      <w:r>
        <w:rPr>
          <w:rFonts w:hint="eastAsia" w:ascii="宋体" w:hAnsi="宋体" w:cs="宋体"/>
          <w:sz w:val="24"/>
          <w:szCs w:val="24"/>
          <w:u w:val="single"/>
        </w:rPr>
        <w:t>由承包人负责。</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（9）双方约定承包人应做的其他工作：</w:t>
      </w:r>
      <w:r>
        <w:rPr>
          <w:rFonts w:hint="eastAsia" w:ascii="宋体" w:hAnsi="宋体" w:cs="宋体"/>
          <w:sz w:val="24"/>
          <w:szCs w:val="24"/>
          <w:u w:val="single"/>
        </w:rPr>
        <w:t>相关的对外协调工作。</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三、施工组织设计和工期</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9、进度计划</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9.1承包人提供施工组织设计（施工方案）和进度计划的时间：</w:t>
      </w:r>
      <w:r>
        <w:rPr>
          <w:rFonts w:hint="eastAsia" w:ascii="宋体" w:hAnsi="宋体" w:cs="宋体"/>
          <w:sz w:val="24"/>
          <w:szCs w:val="24"/>
          <w:u w:val="single"/>
        </w:rPr>
        <w:t>合同签订后15日内。</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工程师确认的时间：</w:t>
      </w:r>
      <w:r>
        <w:rPr>
          <w:rFonts w:hint="eastAsia" w:ascii="宋体" w:hAnsi="宋体" w:cs="宋体"/>
          <w:sz w:val="24"/>
          <w:szCs w:val="24"/>
          <w:u w:val="single"/>
        </w:rPr>
        <w:t>承包人接交之日起七日内。</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9.2群体工程中有关进度计划的要求：</w:t>
      </w:r>
      <w:r>
        <w:rPr>
          <w:rFonts w:hint="eastAsia" w:ascii="宋体" w:hAnsi="宋体" w:cs="宋体"/>
          <w:sz w:val="24"/>
          <w:szCs w:val="24"/>
          <w:u w:val="single"/>
        </w:rPr>
        <w:t>以发包人的要求为准。</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10、工期延误</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10.1双方约定工期顺延的其他情况：</w:t>
      </w:r>
      <w:r>
        <w:rPr>
          <w:rFonts w:hint="eastAsia" w:ascii="宋体" w:hAnsi="宋体" w:cs="宋体"/>
          <w:sz w:val="24"/>
          <w:szCs w:val="24"/>
          <w:u w:val="single"/>
        </w:rPr>
        <w:t>执行《通用条款》。</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四、质量与检验</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11、隐蔽工程和中间验收 </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11.1双方约定中间验收部位：</w:t>
      </w:r>
      <w:r>
        <w:rPr>
          <w:rFonts w:hint="eastAsia" w:ascii="宋体" w:hAnsi="宋体" w:cs="宋体"/>
          <w:sz w:val="24"/>
          <w:szCs w:val="24"/>
          <w:u w:val="single"/>
        </w:rPr>
        <w:t>执行《通用条款》。</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12、工程试车 </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12.1试车费用的承担：</w:t>
      </w:r>
      <w:r>
        <w:rPr>
          <w:rFonts w:hint="eastAsia" w:ascii="宋体" w:hAnsi="宋体" w:cs="宋体"/>
          <w:sz w:val="24"/>
          <w:szCs w:val="24"/>
          <w:u w:val="single"/>
        </w:rPr>
        <w:t>由承包人承担。</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五、安全生产</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13、项目实施单位履行安全生产监管责任，项目施工单位履行安全生产主体责任。（详见作业设计说明书）</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六、合同价款</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13、合同价款约定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13.1本合同价款采用</w:t>
      </w:r>
      <w:r>
        <w:rPr>
          <w:rFonts w:hint="eastAsia" w:ascii="宋体" w:hAnsi="宋体" w:cs="宋体"/>
          <w:sz w:val="24"/>
          <w:szCs w:val="24"/>
          <w:u w:val="single"/>
        </w:rPr>
        <w:t xml:space="preserve">  （1）_</w:t>
      </w:r>
      <w:r>
        <w:rPr>
          <w:rFonts w:hint="eastAsia" w:ascii="宋体" w:hAnsi="宋体" w:cs="宋体"/>
          <w:sz w:val="24"/>
          <w:szCs w:val="24"/>
        </w:rPr>
        <w:t>方式确定。</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（1）采用固定总价合同：</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（2）采用固定综合单价合同，综合单价中包括的风险范围：</w:t>
      </w:r>
      <w:r>
        <w:rPr>
          <w:rFonts w:hint="eastAsia" w:ascii="宋体" w:hAnsi="宋体" w:cs="宋体"/>
          <w:sz w:val="24"/>
          <w:szCs w:val="24"/>
          <w:u w:val="single"/>
        </w:rPr>
        <w:t xml:space="preserve">  /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（3）采用可调价格合同，合同价款调整方法：_______</w:t>
      </w:r>
      <w:r>
        <w:rPr>
          <w:rFonts w:hint="eastAsia" w:ascii="宋体" w:hAnsi="宋体" w:cs="宋体"/>
          <w:sz w:val="24"/>
          <w:szCs w:val="24"/>
          <w:u w:val="single"/>
        </w:rPr>
        <w:t>__/__</w:t>
      </w:r>
      <w:r>
        <w:rPr>
          <w:rFonts w:hint="eastAsia" w:ascii="宋体" w:hAnsi="宋体" w:cs="宋体"/>
          <w:sz w:val="24"/>
          <w:szCs w:val="24"/>
        </w:rPr>
        <w:t>___________</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14、合同价款调整</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14.1双方约定合同价款的其他调整因素：__________</w:t>
      </w:r>
      <w:r>
        <w:rPr>
          <w:rFonts w:hint="eastAsia" w:ascii="宋体" w:hAnsi="宋体" w:cs="宋体"/>
          <w:sz w:val="24"/>
          <w:szCs w:val="24"/>
          <w:u w:val="single"/>
        </w:rPr>
        <w:t>_/</w:t>
      </w:r>
      <w:r>
        <w:rPr>
          <w:rFonts w:hint="eastAsia" w:ascii="宋体" w:hAnsi="宋体" w:cs="宋体"/>
          <w:sz w:val="24"/>
          <w:szCs w:val="24"/>
        </w:rPr>
        <w:t>_______________</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15、工程预付款</w:t>
      </w:r>
    </w:p>
    <w:p>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发包人向承包人预付工程款的时间和金额或占合同价款总额的比例：</w:t>
      </w:r>
      <w:r>
        <w:rPr>
          <w:rFonts w:hint="eastAsia" w:ascii="宋体" w:hAnsi="宋体" w:cs="宋体"/>
          <w:sz w:val="24"/>
          <w:szCs w:val="24"/>
          <w:u w:val="single"/>
        </w:rPr>
        <w:t xml:space="preserve"> / </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预付安全防护、文明施工措施费用的比例和时间：</w:t>
      </w:r>
      <w:r>
        <w:rPr>
          <w:rFonts w:hint="eastAsia" w:ascii="宋体" w:hAnsi="宋体" w:cs="宋体"/>
          <w:sz w:val="24"/>
          <w:szCs w:val="24"/>
          <w:u w:val="single"/>
        </w:rPr>
        <w:t xml:space="preserve"> / </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16、工程量确认</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16.1承包人向工程师提交已完工程量报告的时间：</w:t>
      </w:r>
      <w:r>
        <w:rPr>
          <w:rFonts w:hint="eastAsia" w:ascii="宋体" w:hAnsi="宋体" w:cs="宋体"/>
          <w:sz w:val="24"/>
          <w:szCs w:val="24"/>
          <w:u w:val="single"/>
        </w:rPr>
        <w:t>每月的26日承包人向发包人提交25日以前已完工程量报告。</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17、工程进度款结算与支付</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双方约定的工程进度款支付的方式、时间和比例是：详见合同条款及格式前附表</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七、材料设备供应</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31发包人供应材料设备，承包人应按计划领取使用，在结算时发包人按暂定价从工程款中扣除。</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31.4发包人供应的材料设备与一览表不符时，双方约定发包人承担责任如下：</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（1）材料设备单价与一览表不符：</w:t>
      </w:r>
      <w:r>
        <w:rPr>
          <w:rFonts w:hint="eastAsia" w:ascii="宋体" w:hAnsi="宋体" w:cs="宋体"/>
          <w:sz w:val="24"/>
          <w:szCs w:val="24"/>
          <w:u w:val="single"/>
        </w:rPr>
        <w:t>执行《通用条款》31.4.（1）款。</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（2）材料设备的品种、规格、型号、质量等级与一览表不符：</w:t>
      </w:r>
      <w:r>
        <w:rPr>
          <w:rFonts w:hint="eastAsia" w:ascii="宋体" w:hAnsi="宋体" w:cs="宋体"/>
          <w:sz w:val="24"/>
          <w:szCs w:val="24"/>
          <w:u w:val="single"/>
        </w:rPr>
        <w:t>执行《通用条款》31.4(2)款。</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（3）承包人可代为调剂串换的材料：</w:t>
      </w:r>
      <w:r>
        <w:rPr>
          <w:rFonts w:hint="eastAsia" w:ascii="宋体" w:hAnsi="宋体" w:cs="宋体"/>
          <w:sz w:val="24"/>
          <w:szCs w:val="24"/>
          <w:u w:val="single"/>
        </w:rPr>
        <w:t>执行《通用条款》31.4.（3）款。</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（4）到货地点与一览表不符：</w:t>
      </w:r>
      <w:r>
        <w:rPr>
          <w:rFonts w:hint="eastAsia" w:ascii="宋体" w:hAnsi="宋体" w:cs="宋体"/>
          <w:sz w:val="24"/>
          <w:szCs w:val="24"/>
          <w:u w:val="single"/>
        </w:rPr>
        <w:t>执行《通用条款》31.4.（4）款。</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（5）供应数量与一览表不符：</w:t>
      </w:r>
      <w:r>
        <w:rPr>
          <w:rFonts w:hint="eastAsia" w:ascii="宋体" w:hAnsi="宋体" w:cs="宋体"/>
          <w:sz w:val="24"/>
          <w:szCs w:val="24"/>
          <w:u w:val="single"/>
        </w:rPr>
        <w:t>执行《通用条款》31.4.（5）款。</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（6）到货时间与一览表不符：</w:t>
      </w:r>
      <w:r>
        <w:rPr>
          <w:rFonts w:hint="eastAsia" w:ascii="宋体" w:hAnsi="宋体" w:cs="宋体"/>
          <w:sz w:val="24"/>
          <w:szCs w:val="24"/>
          <w:u w:val="single"/>
        </w:rPr>
        <w:t>执行《通用条款》31.4.（6）款。</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31.6发包人供应材料设备的结算方法：</w:t>
      </w:r>
      <w:r>
        <w:rPr>
          <w:rFonts w:hint="eastAsia" w:ascii="宋体" w:hAnsi="宋体" w:cs="宋体"/>
          <w:sz w:val="24"/>
          <w:szCs w:val="24"/>
          <w:u w:val="single"/>
        </w:rPr>
        <w:t xml:space="preserve">  无 </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32、承包人采购材料设备</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32.1承包人采购材料设备的约定：</w:t>
      </w:r>
      <w:r>
        <w:rPr>
          <w:rFonts w:hint="eastAsia" w:ascii="宋体" w:hAnsi="宋体" w:cs="宋体"/>
          <w:sz w:val="24"/>
          <w:szCs w:val="24"/>
          <w:u w:val="single"/>
        </w:rPr>
        <w:t>乙方自行采购的材料规格型号应与施工图设计相符，质量等级必须合格。</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八、工程变更</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33、在本工程实施过程中若发生变更，按下列各项执行：</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33.1</w:t>
      </w:r>
      <w:r>
        <w:rPr>
          <w:rFonts w:hint="eastAsia" w:ascii="宋体" w:hAnsi="宋体" w:cs="宋体"/>
          <w:sz w:val="24"/>
          <w:szCs w:val="24"/>
          <w:u w:val="single"/>
        </w:rPr>
        <w:t>合同中已有适用综合单价的，可参照类似综合单价调整；</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33.2</w:t>
      </w:r>
      <w:r>
        <w:rPr>
          <w:rFonts w:hint="eastAsia" w:ascii="宋体" w:hAnsi="宋体" w:cs="宋体"/>
          <w:sz w:val="24"/>
          <w:szCs w:val="24"/>
          <w:u w:val="single"/>
        </w:rPr>
        <w:t>合同中有类似综合单价的，可参照类似综合单价调整；</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33.3</w:t>
      </w:r>
      <w:r>
        <w:rPr>
          <w:rFonts w:hint="eastAsia" w:ascii="宋体" w:hAnsi="宋体" w:cs="宋体"/>
          <w:sz w:val="24"/>
          <w:szCs w:val="24"/>
          <w:u w:val="single"/>
        </w:rPr>
        <w:t>合同中没有适用或类似综合单价的承包人按照投标书人工工日、材料、机械台班单价进行组价，报发包人审核认可。</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九、竣工验收与结算</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36、竣工验收</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36.1承包人提供竣工图的约定：</w:t>
      </w:r>
      <w:r>
        <w:rPr>
          <w:rFonts w:hint="eastAsia" w:ascii="宋体" w:hAnsi="宋体" w:cs="宋体"/>
          <w:sz w:val="24"/>
          <w:szCs w:val="24"/>
          <w:u w:val="single"/>
        </w:rPr>
        <w:t>完整资料文件两套。</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36.6中间交工工程的范围和竣工时间：_______________</w:t>
      </w:r>
      <w:r>
        <w:rPr>
          <w:rFonts w:hint="eastAsia" w:ascii="宋体" w:hAnsi="宋体" w:cs="宋体"/>
          <w:sz w:val="24"/>
          <w:szCs w:val="24"/>
          <w:u w:val="single"/>
        </w:rPr>
        <w:t>/</w:t>
      </w:r>
      <w:r>
        <w:rPr>
          <w:rFonts w:hint="eastAsia" w:ascii="宋体" w:hAnsi="宋体" w:cs="宋体"/>
          <w:sz w:val="24"/>
          <w:szCs w:val="24"/>
        </w:rPr>
        <w:t>_______________</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37、竣工结算</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结算审查期限： </w:t>
      </w:r>
      <w:r>
        <w:rPr>
          <w:rFonts w:hint="eastAsia" w:ascii="宋体" w:hAnsi="宋体" w:cs="宋体"/>
          <w:sz w:val="24"/>
          <w:szCs w:val="24"/>
          <w:u w:val="single"/>
        </w:rPr>
        <w:t xml:space="preserve">  /   </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十、违约、索赔和争议</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39、违约</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 xml:space="preserve">39.1  本合同中关于发包人违约的具体责任如下： </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本合同通用条款第28.1条约定发包人违约应承担的违约责任：</w:t>
      </w:r>
      <w:r>
        <w:rPr>
          <w:rFonts w:hint="eastAsia" w:ascii="宋体" w:hAnsi="宋体" w:cs="宋体"/>
          <w:sz w:val="24"/>
          <w:szCs w:val="24"/>
          <w:u w:val="single"/>
        </w:rPr>
        <w:t xml:space="preserve">  _</w:t>
      </w:r>
      <w:r>
        <w:rPr>
          <w:rFonts w:hint="eastAsia" w:ascii="宋体" w:hAnsi="宋体" w:cs="宋体"/>
          <w:sz w:val="24"/>
          <w:szCs w:val="24"/>
        </w:rPr>
        <w:t>/_</w:t>
      </w:r>
      <w:r>
        <w:rPr>
          <w:rFonts w:hint="eastAsia" w:ascii="宋体" w:hAnsi="宋体" w:cs="宋体"/>
          <w:sz w:val="24"/>
          <w:szCs w:val="24"/>
          <w:u w:val="single"/>
        </w:rPr>
        <w:t xml:space="preserve">_   </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本合同通用条款第30.5款约定发包人违约应承担的违约责任：</w:t>
      </w:r>
      <w:r>
        <w:rPr>
          <w:rFonts w:hint="eastAsia" w:ascii="宋体" w:hAnsi="宋体" w:cs="宋体"/>
          <w:sz w:val="24"/>
          <w:szCs w:val="24"/>
          <w:u w:val="single"/>
        </w:rPr>
        <w:t>执行《通用条款》30.5款。</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本合同通用条款第37.6款约定发包人违约应承担的违约责任：</w:t>
      </w:r>
      <w:r>
        <w:rPr>
          <w:rFonts w:hint="eastAsia" w:ascii="宋体" w:hAnsi="宋体" w:cs="宋体"/>
          <w:sz w:val="24"/>
          <w:szCs w:val="24"/>
          <w:u w:val="single"/>
        </w:rPr>
        <w:t>执行《通用条款》37.6款。</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双方约定的发包人其他违约责任：__________/_________</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39.2  本合同中关于承包人违约的具体责任如下：本合同通用条款第14.2款约定承包人违约承担的违约责任：</w:t>
      </w:r>
      <w:r>
        <w:rPr>
          <w:rFonts w:hint="eastAsia" w:ascii="宋体" w:hAnsi="宋体" w:cs="宋体"/>
          <w:sz w:val="24"/>
          <w:szCs w:val="24"/>
          <w:u w:val="single"/>
        </w:rPr>
        <w:t>承包人工期每推迟一天罚款1000元，若影响到发包人使用另行赔偿给甲方造成的损失。</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本合同通用条款第15.1款约定承包人违约应承担的违约责任：</w:t>
      </w:r>
      <w:r>
        <w:rPr>
          <w:rFonts w:hint="eastAsia" w:ascii="宋体" w:hAnsi="宋体" w:cs="宋体"/>
          <w:sz w:val="24"/>
          <w:szCs w:val="24"/>
          <w:u w:val="single"/>
        </w:rPr>
        <w:t>承包方除按合同价款的2%承担违约金外，另按国务院279号令有关规定执行。</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双方约定的承包人其他违约责任：______</w:t>
      </w:r>
      <w:r>
        <w:rPr>
          <w:rFonts w:hint="eastAsia" w:ascii="宋体" w:hAnsi="宋体" w:cs="宋体"/>
          <w:sz w:val="24"/>
          <w:szCs w:val="24"/>
          <w:u w:val="single"/>
        </w:rPr>
        <w:t>/</w:t>
      </w:r>
      <w:r>
        <w:rPr>
          <w:rFonts w:hint="eastAsia" w:ascii="宋体" w:hAnsi="宋体" w:cs="宋体"/>
          <w:sz w:val="24"/>
          <w:szCs w:val="24"/>
        </w:rPr>
        <w:t>________</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41、争议</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41.1双方当事人约定，在履行合同过程中产生争议时：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（1）请_</w:t>
      </w:r>
      <w:r>
        <w:rPr>
          <w:rFonts w:hint="eastAsia" w:ascii="宋体" w:hAnsi="宋体" w:cs="宋体"/>
          <w:sz w:val="24"/>
          <w:szCs w:val="24"/>
          <w:u w:val="single"/>
        </w:rPr>
        <w:t>合同管理部门和其他有关部门</w:t>
      </w:r>
      <w:r>
        <w:rPr>
          <w:rFonts w:hint="eastAsia" w:ascii="宋体" w:hAnsi="宋体" w:cs="宋体"/>
          <w:sz w:val="24"/>
          <w:szCs w:val="24"/>
        </w:rPr>
        <w:t>_调解；</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（2）合同争议调解不成的，按下列第_</w:t>
      </w:r>
      <w:r>
        <w:rPr>
          <w:rFonts w:hint="eastAsia" w:ascii="宋体" w:hAnsi="宋体" w:cs="宋体"/>
          <w:sz w:val="24"/>
          <w:szCs w:val="24"/>
          <w:u w:val="single"/>
        </w:rPr>
        <w:t xml:space="preserve"> 1）</w:t>
      </w:r>
      <w:r>
        <w:rPr>
          <w:rFonts w:hint="eastAsia" w:ascii="宋体" w:hAnsi="宋体" w:cs="宋体"/>
          <w:sz w:val="24"/>
          <w:szCs w:val="24"/>
        </w:rPr>
        <w:t>_种方式解决：</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 xml:space="preserve">  1）提交</w:t>
      </w:r>
      <w:r>
        <w:rPr>
          <w:rFonts w:hint="eastAsia" w:ascii="宋体" w:hAnsi="宋体" w:cs="宋体"/>
          <w:sz w:val="24"/>
          <w:szCs w:val="24"/>
          <w:u w:val="single"/>
        </w:rPr>
        <w:t xml:space="preserve">     </w:t>
      </w:r>
      <w:r>
        <w:rPr>
          <w:rFonts w:hint="eastAsia" w:ascii="宋体" w:hAnsi="宋体" w:cs="宋体"/>
          <w:sz w:val="24"/>
          <w:szCs w:val="24"/>
        </w:rPr>
        <w:t xml:space="preserve">仲裁委员会申请仲裁； </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 xml:space="preserve">  2）依法</w:t>
      </w:r>
      <w:r>
        <w:rPr>
          <w:rFonts w:hint="eastAsia" w:ascii="宋体" w:hAnsi="宋体" w:cs="宋体"/>
          <w:sz w:val="24"/>
          <w:szCs w:val="24"/>
          <w:u w:val="single"/>
        </w:rPr>
        <w:t xml:space="preserve">向     </w:t>
      </w:r>
      <w:r>
        <w:rPr>
          <w:rFonts w:hint="eastAsia" w:ascii="宋体" w:hAnsi="宋体" w:cs="宋体"/>
          <w:sz w:val="24"/>
          <w:szCs w:val="24"/>
        </w:rPr>
        <w:t xml:space="preserve">人民法院提起诉讼。 </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十一、其他</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42、工程分包</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42.1本工程发包人同意承包人分包的专业工程：</w:t>
      </w:r>
      <w:r>
        <w:rPr>
          <w:rFonts w:hint="eastAsia" w:ascii="宋体" w:hAnsi="宋体" w:cs="宋体"/>
          <w:sz w:val="24"/>
          <w:szCs w:val="24"/>
          <w:u w:val="single"/>
        </w:rPr>
        <w:t xml:space="preserve">   无  </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分包施工单位为：___________</w:t>
      </w:r>
      <w:r>
        <w:rPr>
          <w:rFonts w:hint="eastAsia" w:ascii="宋体" w:hAnsi="宋体" w:cs="宋体"/>
          <w:sz w:val="24"/>
          <w:szCs w:val="24"/>
          <w:u w:val="single"/>
        </w:rPr>
        <w:t>/</w:t>
      </w:r>
      <w:r>
        <w:rPr>
          <w:rFonts w:hint="eastAsia" w:ascii="宋体" w:hAnsi="宋体" w:cs="宋体"/>
          <w:sz w:val="24"/>
          <w:szCs w:val="24"/>
        </w:rPr>
        <w:t>_____________</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43、不可抗力</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 xml:space="preserve">43.1双方关于不可抗力的约定： </w:t>
      </w:r>
      <w:r>
        <w:rPr>
          <w:rFonts w:hint="eastAsia" w:ascii="宋体" w:hAnsi="宋体" w:cs="宋体"/>
          <w:sz w:val="24"/>
          <w:szCs w:val="24"/>
          <w:u w:val="single"/>
        </w:rPr>
        <w:t>_根据国家的法律规定执行。</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44、保险</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44.6本工程双方约定投保内容如下：</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（1）发包人投保内容：</w:t>
      </w:r>
      <w:r>
        <w:rPr>
          <w:rFonts w:hint="eastAsia" w:ascii="宋体" w:hAnsi="宋体" w:cs="宋体"/>
          <w:sz w:val="24"/>
          <w:szCs w:val="24"/>
          <w:u w:val="single"/>
        </w:rPr>
        <w:t>执行《通用条款》44.1款，费用由发包人承担。</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发包人委托承包人办理的保险事项：____________/________________</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（2）承包人投保内容：</w:t>
      </w:r>
      <w:r>
        <w:rPr>
          <w:rFonts w:hint="eastAsia" w:ascii="宋体" w:hAnsi="宋体" w:cs="宋体"/>
          <w:sz w:val="24"/>
          <w:szCs w:val="24"/>
          <w:u w:val="single"/>
        </w:rPr>
        <w:t>执行《通用条款》44.4款，费用由承包人承担。</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45、担保</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 xml:space="preserve">45.3本工程双方约定担保事项如下： </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（1）发包人向承包人提供支付担保，担保方式为：</w:t>
      </w:r>
      <w:r>
        <w:rPr>
          <w:rFonts w:hint="eastAsia" w:ascii="宋体" w:hAnsi="宋体" w:cs="宋体"/>
          <w:sz w:val="24"/>
          <w:szCs w:val="24"/>
          <w:u w:val="single"/>
        </w:rPr>
        <w:t xml:space="preserve">      </w:t>
      </w:r>
      <w:r>
        <w:rPr>
          <w:rFonts w:hint="eastAsia" w:ascii="宋体" w:hAnsi="宋体" w:cs="宋体"/>
          <w:sz w:val="24"/>
          <w:szCs w:val="24"/>
        </w:rPr>
        <w:t>，担保金额：</w:t>
      </w:r>
      <w:r>
        <w:rPr>
          <w:rFonts w:hint="eastAsia" w:ascii="宋体" w:hAnsi="宋体" w:cs="宋体"/>
          <w:sz w:val="24"/>
          <w:szCs w:val="24"/>
          <w:u w:val="single"/>
        </w:rPr>
        <w:t xml:space="preserve">    </w:t>
      </w:r>
      <w:r>
        <w:rPr>
          <w:rFonts w:hint="eastAsia" w:ascii="宋体" w:hAnsi="宋体" w:cs="宋体"/>
          <w:sz w:val="24"/>
          <w:szCs w:val="24"/>
        </w:rPr>
        <w:t>，担保有效期：</w:t>
      </w:r>
      <w:r>
        <w:rPr>
          <w:rFonts w:hint="eastAsia" w:ascii="宋体" w:hAnsi="宋体" w:cs="宋体"/>
          <w:sz w:val="24"/>
          <w:szCs w:val="24"/>
          <w:u w:val="single"/>
        </w:rPr>
        <w:t xml:space="preserve">    _</w:t>
      </w:r>
      <w:r>
        <w:rPr>
          <w:rFonts w:hint="eastAsia" w:ascii="宋体" w:hAnsi="宋体" w:cs="宋体"/>
          <w:sz w:val="24"/>
          <w:szCs w:val="24"/>
        </w:rPr>
        <w:t>。</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（2）承包人向发包人提供履约担保，担保方式为：</w:t>
      </w:r>
      <w:r>
        <w:rPr>
          <w:rFonts w:hint="eastAsia" w:ascii="宋体" w:hAnsi="宋体" w:cs="宋体"/>
          <w:sz w:val="24"/>
          <w:szCs w:val="24"/>
          <w:u w:val="single"/>
        </w:rPr>
        <w:t xml:space="preserve"> / </w:t>
      </w:r>
      <w:r>
        <w:rPr>
          <w:rFonts w:hint="eastAsia" w:ascii="宋体" w:hAnsi="宋体" w:cs="宋体"/>
          <w:sz w:val="24"/>
          <w:szCs w:val="24"/>
        </w:rPr>
        <w:t>，担保金额：</w:t>
      </w:r>
      <w:r>
        <w:rPr>
          <w:rFonts w:hint="eastAsia" w:ascii="宋体" w:hAnsi="宋体" w:cs="宋体"/>
          <w:sz w:val="24"/>
          <w:szCs w:val="24"/>
          <w:u w:val="single"/>
        </w:rPr>
        <w:t>/</w:t>
      </w:r>
      <w:r>
        <w:rPr>
          <w:rFonts w:hint="eastAsia" w:ascii="宋体" w:hAnsi="宋体" w:cs="宋体"/>
          <w:sz w:val="24"/>
          <w:szCs w:val="24"/>
        </w:rPr>
        <w:t>，担保有效期：</w:t>
      </w:r>
      <w:r>
        <w:rPr>
          <w:rFonts w:hint="eastAsia" w:ascii="宋体" w:hAnsi="宋体" w:cs="宋体"/>
          <w:sz w:val="24"/>
          <w:szCs w:val="24"/>
          <w:u w:val="single"/>
        </w:rPr>
        <w:t>/</w:t>
      </w:r>
      <w:r>
        <w:rPr>
          <w:rFonts w:hint="eastAsia" w:ascii="宋体" w:hAnsi="宋体" w:cs="宋体"/>
          <w:sz w:val="24"/>
          <w:szCs w:val="24"/>
        </w:rPr>
        <w:t>。</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（3）双方约定的其他担保事项：_______________/________________</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50、合同份数</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50.2双方约定合同副本份数：</w:t>
      </w:r>
      <w:r>
        <w:rPr>
          <w:rFonts w:hint="eastAsia" w:ascii="宋体" w:hAnsi="宋体" w:cs="宋体"/>
          <w:sz w:val="24"/>
          <w:szCs w:val="24"/>
          <w:u w:val="thick"/>
        </w:rPr>
        <w:t>捌份。</w:t>
      </w:r>
    </w:p>
    <w:p>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51、补充条款</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51.1</w:t>
      </w:r>
      <w:r>
        <w:rPr>
          <w:rFonts w:hint="eastAsia" w:ascii="宋体" w:hAnsi="宋体" w:cs="宋体"/>
          <w:sz w:val="24"/>
          <w:szCs w:val="24"/>
          <w:u w:val="single"/>
        </w:rPr>
        <w:t>本工程禁止转包，若发现承包方私自转包和未经发包人许可私自分包，发包人有权终止合同，对已完工程不予结算，并由承包人赔偿因此给发包方造成的直接或间接的经济损失。</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51.2</w:t>
      </w:r>
      <w:r>
        <w:rPr>
          <w:rFonts w:hint="eastAsia" w:ascii="宋体" w:hAnsi="宋体" w:cs="宋体"/>
          <w:sz w:val="24"/>
          <w:szCs w:val="24"/>
          <w:u w:val="single"/>
        </w:rPr>
        <w:t>施工企业须承诺按国务院及当地政府的规定按时、足额、实名方式支付农民工工资，否则发包人在工程款中代扣支付，并在工程结算时扣除。</w:t>
      </w:r>
    </w:p>
    <w:p>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51.3</w:t>
      </w:r>
      <w:r>
        <w:rPr>
          <w:rFonts w:hint="eastAsia" w:ascii="宋体" w:hAnsi="宋体" w:cs="宋体"/>
          <w:sz w:val="24"/>
          <w:szCs w:val="24"/>
          <w:u w:val="single"/>
        </w:rPr>
        <w:t>本工程竣工后，应免费将建筑物周围和施工单位生活区周围内施工现场清除干净；无建筑材料、无建筑设备、无建筑垃圾、和施工垃圾，做到场地整洁。</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51.4</w:t>
      </w:r>
      <w:r>
        <w:rPr>
          <w:rFonts w:hint="eastAsia" w:ascii="宋体" w:hAnsi="宋体" w:cs="宋体"/>
          <w:sz w:val="24"/>
          <w:szCs w:val="24"/>
          <w:u w:val="single"/>
        </w:rPr>
        <w:t>承包人在施工过程中应服从、遵守发包人和当地政府职能部门的管理制度。关于安全防护、文明施工措施费用的其他约定如下：</w:t>
      </w:r>
    </w:p>
    <w:p>
      <w:pPr>
        <w:numPr>
          <w:ilvl w:val="0"/>
          <w:numId w:val="2"/>
        </w:num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承包人需提供安全防护、文明施工措施费用的支付计划落实情况；</w:t>
      </w:r>
    </w:p>
    <w:p>
      <w:pPr>
        <w:numPr>
          <w:ilvl w:val="0"/>
          <w:numId w:val="2"/>
        </w:num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工程师对承包人落实安全防护、文明施工措施分情况进行现场监理，若发现承包人为落实安全防护、文明施工措施的，有权责令其立即整改；</w:t>
      </w:r>
    </w:p>
    <w:p>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发包人和承包人应在财务管理中单独列支安全防护、文明施工措施项目费用的支付情况。</w:t>
      </w:r>
    </w:p>
    <w:p>
      <w:pPr>
        <w:spacing w:line="360" w:lineRule="auto"/>
        <w:rPr>
          <w:rFonts w:hAnsi="宋体"/>
          <w:szCs w:val="24"/>
        </w:rPr>
      </w:pPr>
      <w:r>
        <w:rPr>
          <w:rFonts w:hint="eastAsia" w:ascii="宋体" w:hAnsi="宋体" w:cs="宋体"/>
          <w:sz w:val="24"/>
          <w:szCs w:val="24"/>
        </w:rPr>
        <w:t>51.5</w:t>
      </w:r>
      <w:r>
        <w:rPr>
          <w:rFonts w:hint="eastAsia" w:ascii="宋体" w:hAnsi="宋体" w:cs="宋体"/>
          <w:sz w:val="24"/>
          <w:szCs w:val="24"/>
          <w:u w:val="single"/>
        </w:rPr>
        <w:t>以上未尽事宜，双方协商解决或另行签署补充协议并到建设行政主管部门备案。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bookmarkEnd w:id="86"/>
    <w:bookmarkEnd w:id="87"/>
    <w:bookmarkEnd w:id="88"/>
    <w:bookmarkEnd w:id="89"/>
    <w:bookmarkEnd w:id="90"/>
    <w:bookmarkEnd w:id="91"/>
    <w:bookmarkEnd w:id="92"/>
    <w:bookmarkEnd w:id="93"/>
    <w:p>
      <w:pPr>
        <w:pStyle w:val="4"/>
        <w:spacing w:line="360" w:lineRule="auto"/>
        <w:jc w:val="center"/>
        <w:rPr>
          <w:rFonts w:asciiTheme="minorEastAsia" w:hAnsiTheme="minorEastAsia" w:eastAsiaTheme="minorEastAsia" w:cstheme="minorEastAsia"/>
          <w:sz w:val="36"/>
          <w:szCs w:val="36"/>
        </w:rPr>
      </w:pPr>
      <w:bookmarkStart w:id="97" w:name="_Toc421778381"/>
      <w:bookmarkStart w:id="98" w:name="_Toc8858"/>
      <w:bookmarkStart w:id="99" w:name="_Toc410"/>
      <w:bookmarkStart w:id="100" w:name="_Toc344572156"/>
      <w:r>
        <w:rPr>
          <w:rFonts w:hint="eastAsia" w:asciiTheme="minorEastAsia" w:hAnsiTheme="minorEastAsia" w:eastAsiaTheme="minorEastAsia" w:cstheme="minorEastAsia"/>
          <w:sz w:val="36"/>
          <w:szCs w:val="36"/>
        </w:rPr>
        <w:t>第五章  项目概况及技术要求</w:t>
      </w:r>
      <w:bookmarkEnd w:id="97"/>
      <w:bookmarkEnd w:id="98"/>
      <w:bookmarkEnd w:id="99"/>
      <w:bookmarkStart w:id="101" w:name="_Toc8126"/>
    </w:p>
    <w:p>
      <w:pPr>
        <w:pStyle w:val="5"/>
        <w:spacing w:beforeLines="50" w:line="360" w:lineRule="auto"/>
        <w:jc w:val="both"/>
        <w:rPr>
          <w:rFonts w:ascii="宋体" w:hAnsi="宋体" w:cs="宋体"/>
          <w:sz w:val="24"/>
          <w:szCs w:val="24"/>
        </w:rPr>
      </w:pPr>
      <w:bookmarkStart w:id="102" w:name="_Toc30070"/>
      <w:r>
        <w:rPr>
          <w:rFonts w:hint="eastAsia" w:ascii="宋体" w:hAnsi="宋体" w:cs="宋体"/>
          <w:sz w:val="24"/>
          <w:szCs w:val="24"/>
        </w:rPr>
        <w:t>1</w:t>
      </w:r>
      <w:r>
        <w:rPr>
          <w:rFonts w:hint="eastAsia" w:ascii="宋体" w:hAnsi="宋体" w:cs="宋体"/>
          <w:sz w:val="24"/>
          <w:szCs w:val="24"/>
          <w:lang w:val="ca-ES"/>
        </w:rPr>
        <w:t xml:space="preserve">.1 </w:t>
      </w:r>
      <w:r>
        <w:rPr>
          <w:rFonts w:hint="eastAsia" w:ascii="宋体" w:hAnsi="宋体" w:cs="宋体"/>
          <w:sz w:val="24"/>
          <w:szCs w:val="24"/>
        </w:rPr>
        <w:t>自然地理条件</w:t>
      </w:r>
      <w:bookmarkEnd w:id="102"/>
    </w:p>
    <w:p>
      <w:pPr>
        <w:pStyle w:val="7"/>
        <w:spacing w:beforeLines="0" w:line="360" w:lineRule="auto"/>
        <w:ind w:firstLine="241" w:firstLineChars="100"/>
        <w:jc w:val="both"/>
        <w:rPr>
          <w:rFonts w:ascii="宋体" w:hAnsi="宋体" w:cs="宋体"/>
          <w:bCs w:val="0"/>
          <w:color w:val="000000"/>
        </w:rPr>
      </w:pPr>
      <w:r>
        <w:rPr>
          <w:rFonts w:hint="eastAsia" w:ascii="宋体" w:hAnsi="宋体" w:cs="宋体"/>
          <w:bCs w:val="0"/>
          <w:color w:val="000000"/>
        </w:rPr>
        <w:t>1.1.1</w:t>
      </w:r>
      <w:bookmarkStart w:id="103" w:name="_Toc22413"/>
      <w:r>
        <w:rPr>
          <w:rFonts w:hint="eastAsia" w:ascii="宋体" w:hAnsi="宋体" w:cs="宋体"/>
          <w:bCs w:val="0"/>
          <w:color w:val="000000"/>
        </w:rPr>
        <w:t xml:space="preserve"> </w:t>
      </w:r>
      <w:bookmarkEnd w:id="103"/>
      <w:r>
        <w:rPr>
          <w:rFonts w:hint="eastAsia" w:ascii="宋体" w:hAnsi="宋体" w:cs="宋体"/>
          <w:bCs w:val="0"/>
          <w:color w:val="000000"/>
        </w:rPr>
        <w:t>地理位置</w:t>
      </w:r>
    </w:p>
    <w:p>
      <w:pPr>
        <w:spacing w:line="360" w:lineRule="auto"/>
        <w:ind w:firstLine="480" w:firstLineChars="200"/>
        <w:rPr>
          <w:rFonts w:ascii="宋体" w:hAnsi="宋体" w:cs="宋体"/>
          <w:sz w:val="24"/>
          <w:szCs w:val="24"/>
        </w:rPr>
      </w:pPr>
      <w:r>
        <w:rPr>
          <w:rFonts w:hint="eastAsia" w:ascii="宋体" w:hAnsi="宋体" w:cs="宋体"/>
          <w:sz w:val="24"/>
          <w:szCs w:val="24"/>
        </w:rPr>
        <w:t>山阳县位于陕西省东南部，地处秦岭南麓，东与丹凤县、商南县为邻，西与镇安县、柞水县交界，北与商州区接壤，南与湖北省郧西县毗连。县域地理坐标东经109°32′40.76″～110°29′56.74″，北纬33°08′59.14″～33°42′33.76″。全县东西长87千米，南北宽61千米，国土总面积3535.6平方千米。县城距省城西安142千米。</w:t>
      </w:r>
    </w:p>
    <w:p>
      <w:pPr>
        <w:pStyle w:val="7"/>
        <w:spacing w:beforeLines="0" w:line="360" w:lineRule="auto"/>
        <w:ind w:firstLine="241" w:firstLineChars="100"/>
        <w:jc w:val="both"/>
        <w:rPr>
          <w:rFonts w:ascii="宋体" w:hAnsi="宋体" w:cs="宋体"/>
          <w:bCs w:val="0"/>
          <w:color w:val="000000"/>
        </w:rPr>
      </w:pPr>
      <w:r>
        <w:rPr>
          <w:rFonts w:hint="eastAsia" w:ascii="宋体" w:hAnsi="宋体" w:cs="宋体"/>
          <w:bCs w:val="0"/>
          <w:color w:val="000000"/>
        </w:rPr>
        <w:t>1.1.2地形地貌</w:t>
      </w:r>
    </w:p>
    <w:p>
      <w:pPr>
        <w:spacing w:line="360" w:lineRule="auto"/>
        <w:ind w:firstLine="480" w:firstLineChars="200"/>
        <w:rPr>
          <w:rFonts w:ascii="宋体" w:hAnsi="宋体" w:cs="宋体"/>
          <w:sz w:val="24"/>
          <w:szCs w:val="24"/>
        </w:rPr>
      </w:pPr>
      <w:r>
        <w:rPr>
          <w:rFonts w:hint="eastAsia" w:ascii="宋体" w:hAnsi="宋体" w:cs="宋体"/>
          <w:sz w:val="24"/>
          <w:szCs w:val="24"/>
        </w:rPr>
        <w:t>山阳县属秦岭东段，北部流岭、中部鹘岭和南部郧岭，三大干岭由西北向东南蜿蜒伸展；各干岭又派生出若干支脉，纵横分裂形成风格状山系。全县共有大小山峰1000余座，其中海拔2000m以上山峰1座，海拔1500m-2000m山峰60座，其余山峰多在海拔800m-1500m之间。境内最高海拔2074m（天竺山鹘岭主峰），最低海拔294m（漫川关镇金钱河河床）。由于受西北至东南断裂带的控制，全县北坡陡峻，南坡平缓。</w:t>
      </w:r>
    </w:p>
    <w:p>
      <w:pPr>
        <w:pStyle w:val="7"/>
        <w:spacing w:beforeLines="0" w:line="360" w:lineRule="auto"/>
        <w:ind w:firstLine="241" w:firstLineChars="100"/>
        <w:jc w:val="both"/>
        <w:rPr>
          <w:rFonts w:ascii="宋体" w:hAnsi="宋体" w:cs="宋体"/>
          <w:bCs w:val="0"/>
          <w:color w:val="000000"/>
        </w:rPr>
      </w:pPr>
      <w:r>
        <w:rPr>
          <w:rFonts w:hint="eastAsia" w:ascii="宋体" w:hAnsi="宋体" w:cs="宋体"/>
          <w:bCs w:val="0"/>
          <w:color w:val="000000"/>
        </w:rPr>
        <w:t>1.1.3水文条件</w:t>
      </w:r>
    </w:p>
    <w:p>
      <w:pPr>
        <w:spacing w:line="360" w:lineRule="auto"/>
        <w:ind w:firstLine="480" w:firstLineChars="200"/>
        <w:rPr>
          <w:rFonts w:ascii="宋体" w:hAnsi="宋体" w:cs="宋体"/>
          <w:sz w:val="24"/>
          <w:szCs w:val="24"/>
        </w:rPr>
      </w:pPr>
      <w:r>
        <w:rPr>
          <w:rFonts w:hint="eastAsia" w:ascii="宋体" w:hAnsi="宋体" w:cs="宋体"/>
          <w:sz w:val="24"/>
          <w:szCs w:val="24"/>
        </w:rPr>
        <w:t>山阳县河流属长江水系汉江支流，境内河网密布、沟壑交织，形成羽毛状或树枝状格型。全县共有流程1km以上河流696条，河网密度1.2km/km</w:t>
      </w:r>
      <w:r>
        <w:rPr>
          <w:rFonts w:hint="eastAsia" w:ascii="宋体" w:hAnsi="宋体" w:cs="宋体"/>
          <w:sz w:val="24"/>
          <w:szCs w:val="24"/>
          <w:vertAlign w:val="superscript"/>
        </w:rPr>
        <w:t>2</w:t>
      </w:r>
      <w:r>
        <w:rPr>
          <w:rFonts w:hint="eastAsia" w:ascii="宋体" w:hAnsi="宋体" w:cs="宋体"/>
          <w:sz w:val="24"/>
          <w:szCs w:val="24"/>
        </w:rPr>
        <w:t>。由于受气候控制，一年中4-10月为丰水期，11月至次年3月为枯水期。多数河流在冬春处于干涸状态，进入夏秋雨季往往山洪暴发，常泛滥成灾。</w:t>
      </w:r>
    </w:p>
    <w:p>
      <w:pPr>
        <w:pStyle w:val="7"/>
        <w:spacing w:beforeLines="0" w:line="360" w:lineRule="auto"/>
        <w:ind w:firstLine="241" w:firstLineChars="100"/>
        <w:jc w:val="both"/>
        <w:rPr>
          <w:rFonts w:ascii="宋体" w:hAnsi="宋体" w:cs="宋体"/>
          <w:bCs w:val="0"/>
          <w:color w:val="000000"/>
        </w:rPr>
      </w:pPr>
      <w:r>
        <w:rPr>
          <w:rFonts w:hint="eastAsia" w:ascii="宋体" w:hAnsi="宋体" w:cs="宋体"/>
          <w:bCs w:val="0"/>
          <w:color w:val="000000"/>
        </w:rPr>
        <w:t>1.1.4土壤</w:t>
      </w:r>
    </w:p>
    <w:p>
      <w:pPr>
        <w:pStyle w:val="14"/>
        <w:spacing w:line="360" w:lineRule="auto"/>
        <w:ind w:firstLine="480" w:firstLineChars="200"/>
        <w:rPr>
          <w:rFonts w:hAnsi="宋体"/>
          <w:b/>
          <w:color w:val="000000"/>
          <w:sz w:val="24"/>
          <w:szCs w:val="24"/>
        </w:rPr>
      </w:pPr>
      <w:r>
        <w:rPr>
          <w:rFonts w:hint="eastAsia" w:hAnsi="宋体"/>
          <w:sz w:val="24"/>
          <w:szCs w:val="24"/>
        </w:rPr>
        <w:t>土壤以棕壤、黄棕壤为主，具有明显的垂直分布规律，海拔1400米以下为黄棕壤；海拔1400—2000米之间为棕色森林土和碳酸盐棕色森林土。土层厚薄不一，一般台地、阶地和沟掌地带土层深厚，陡险坡面土层较薄。PH值5.5—6.5，呈中酸至微酸性反应。土质松软，肥力较高。</w:t>
      </w:r>
    </w:p>
    <w:p>
      <w:pPr>
        <w:pStyle w:val="7"/>
        <w:spacing w:beforeLines="0" w:line="360" w:lineRule="auto"/>
        <w:ind w:firstLine="241" w:firstLineChars="100"/>
        <w:jc w:val="both"/>
        <w:rPr>
          <w:rFonts w:ascii="宋体" w:hAnsi="宋体" w:cs="宋体"/>
          <w:bCs w:val="0"/>
          <w:color w:val="000000"/>
        </w:rPr>
      </w:pPr>
      <w:r>
        <w:rPr>
          <w:rFonts w:hint="eastAsia" w:ascii="宋体" w:hAnsi="宋体" w:cs="宋体"/>
          <w:bCs w:val="0"/>
          <w:color w:val="000000"/>
        </w:rPr>
        <w:t>1.1.5气候条件</w:t>
      </w:r>
    </w:p>
    <w:p>
      <w:pPr>
        <w:spacing w:line="360" w:lineRule="auto"/>
        <w:ind w:firstLine="480" w:firstLineChars="200"/>
        <w:rPr>
          <w:rFonts w:ascii="宋体" w:hAnsi="宋体" w:cs="宋体"/>
          <w:sz w:val="24"/>
          <w:szCs w:val="24"/>
        </w:rPr>
      </w:pPr>
      <w:r>
        <w:rPr>
          <w:rFonts w:hint="eastAsia" w:ascii="宋体" w:hAnsi="宋体" w:cs="宋体"/>
          <w:sz w:val="24"/>
          <w:szCs w:val="24"/>
        </w:rPr>
        <w:t>山阳县属季风性半湿润山地气候，兼有亚热带和暖湿带两种气候类型。全县年平均气温13.1℃，极端最高气温39.8℃（7月），极端最低气温-14.5℃（1月），年均降水量709mm，年均蒸发量1400mm-1600mm，无霜期207天，年日照时数2133.8h；主要灾害性天气有连阴雨、暴雨、冰雹和大风。</w:t>
      </w:r>
    </w:p>
    <w:p>
      <w:pPr>
        <w:pStyle w:val="7"/>
        <w:spacing w:beforeLines="0" w:line="360" w:lineRule="auto"/>
        <w:ind w:firstLine="241" w:firstLineChars="100"/>
        <w:jc w:val="both"/>
        <w:rPr>
          <w:rFonts w:ascii="宋体" w:hAnsi="宋体" w:cs="宋体"/>
          <w:bCs w:val="0"/>
          <w:color w:val="000000"/>
        </w:rPr>
      </w:pPr>
      <w:bookmarkStart w:id="104" w:name="_Toc19684"/>
      <w:r>
        <w:rPr>
          <w:rFonts w:hint="eastAsia" w:ascii="宋体" w:hAnsi="宋体" w:cs="宋体"/>
          <w:bCs w:val="0"/>
          <w:color w:val="000000"/>
        </w:rPr>
        <w:t>1.1.6森林资源</w:t>
      </w:r>
    </w:p>
    <w:p>
      <w:pPr>
        <w:spacing w:line="360" w:lineRule="auto"/>
        <w:ind w:firstLine="480" w:firstLineChars="200"/>
        <w:rPr>
          <w:rFonts w:ascii="宋体" w:hAnsi="宋体" w:cs="宋体"/>
          <w:sz w:val="24"/>
          <w:szCs w:val="24"/>
        </w:rPr>
      </w:pPr>
      <w:r>
        <w:rPr>
          <w:rFonts w:hint="eastAsia" w:ascii="宋体" w:hAnsi="宋体" w:cs="宋体"/>
          <w:sz w:val="24"/>
          <w:szCs w:val="24"/>
        </w:rPr>
        <w:t>全县林地总面积4744547.55亩，占土地总面积的89.54%。其中乔木林地面积42544.13亩、灌木林地面积271884.60亩、其他林地面积214649.25亩、竹林地面积3600.60亩。</w:t>
      </w:r>
    </w:p>
    <w:bookmarkEnd w:id="104"/>
    <w:p>
      <w:pPr>
        <w:pStyle w:val="7"/>
        <w:spacing w:beforeLines="0" w:line="360" w:lineRule="auto"/>
        <w:ind w:firstLine="241" w:firstLineChars="100"/>
        <w:jc w:val="both"/>
        <w:rPr>
          <w:rFonts w:ascii="宋体" w:hAnsi="宋体" w:cs="宋体"/>
          <w:bCs w:val="0"/>
          <w:color w:val="000000"/>
        </w:rPr>
      </w:pPr>
      <w:r>
        <w:rPr>
          <w:rFonts w:hint="eastAsia" w:ascii="宋体" w:hAnsi="宋体" w:cs="宋体"/>
          <w:bCs w:val="0"/>
          <w:color w:val="000000"/>
        </w:rPr>
        <w:t>1.1.7动植物资源</w:t>
      </w:r>
    </w:p>
    <w:p>
      <w:pPr>
        <w:spacing w:line="360" w:lineRule="auto"/>
        <w:ind w:firstLine="480" w:firstLineChars="200"/>
        <w:rPr>
          <w:rFonts w:ascii="宋体" w:hAnsi="宋体" w:cs="宋体"/>
          <w:sz w:val="24"/>
          <w:szCs w:val="24"/>
        </w:rPr>
      </w:pPr>
      <w:r>
        <w:rPr>
          <w:rFonts w:hint="eastAsia" w:ascii="宋体" w:hAnsi="宋体" w:cs="宋体"/>
          <w:sz w:val="24"/>
          <w:szCs w:val="24"/>
        </w:rPr>
        <w:t>山阳县野生植物资源复杂多样，呈现南北过渡的植被景观，全县共有高等植物300余科1600余种，其中乔木树种62科138属近300种。主要用材树种有油松、华山松、侧柏、泡桐、栓皮栎、香椿、臭椿、刺槐、桦树等；主要经济树种有核桃、板栗、柿子、油桐、杜仲、花椒等；全县珍稀树种有秦岭红豆杉、银杏、樟树、黄檀、梭罗树等。全县动物资源兽类尚存21种，常见鸟类50余种，水族近40种，其中野生鱼类28种，水生动物或两栖动物10余种。野生蛇类栖息条件优越。</w:t>
      </w:r>
    </w:p>
    <w:p>
      <w:pPr>
        <w:pStyle w:val="5"/>
        <w:spacing w:beforeLines="50" w:line="360" w:lineRule="auto"/>
        <w:jc w:val="both"/>
        <w:rPr>
          <w:rFonts w:ascii="宋体" w:hAnsi="宋体" w:cs="宋体"/>
          <w:sz w:val="24"/>
          <w:szCs w:val="24"/>
        </w:rPr>
      </w:pPr>
      <w:bookmarkStart w:id="105" w:name="_Toc6388"/>
      <w:r>
        <w:rPr>
          <w:rFonts w:hint="eastAsia" w:ascii="宋体" w:hAnsi="宋体" w:cs="宋体"/>
          <w:sz w:val="24"/>
          <w:szCs w:val="24"/>
        </w:rPr>
        <w:t>2.1 退化林状况</w:t>
      </w:r>
      <w:bookmarkEnd w:id="105"/>
    </w:p>
    <w:p>
      <w:pPr>
        <w:pStyle w:val="7"/>
        <w:spacing w:beforeLines="0" w:line="360" w:lineRule="auto"/>
        <w:ind w:firstLine="241" w:firstLineChars="100"/>
        <w:jc w:val="both"/>
        <w:rPr>
          <w:rFonts w:ascii="宋体" w:hAnsi="宋体" w:cs="宋体"/>
          <w:bCs w:val="0"/>
        </w:rPr>
      </w:pPr>
      <w:r>
        <w:rPr>
          <w:rFonts w:hint="eastAsia" w:ascii="宋体" w:hAnsi="宋体" w:cs="宋体"/>
          <w:bCs w:val="0"/>
        </w:rPr>
        <w:t>2.1.1全县退化林状况</w:t>
      </w:r>
    </w:p>
    <w:p>
      <w:pPr>
        <w:spacing w:line="360" w:lineRule="auto"/>
        <w:ind w:firstLine="560"/>
        <w:rPr>
          <w:rFonts w:ascii="宋体" w:hAnsi="宋体" w:cs="宋体"/>
          <w:sz w:val="24"/>
          <w:szCs w:val="24"/>
        </w:rPr>
      </w:pPr>
      <w:r>
        <w:rPr>
          <w:rFonts w:hint="eastAsia" w:ascii="宋体" w:hAnsi="宋体" w:cs="宋体"/>
          <w:sz w:val="24"/>
          <w:szCs w:val="24"/>
          <w:lang w:val="zh-CN"/>
        </w:rPr>
        <w:t>据调查，</w:t>
      </w:r>
      <w:r>
        <w:rPr>
          <w:rFonts w:hint="eastAsia" w:ascii="宋体" w:hAnsi="宋体" w:cs="宋体"/>
          <w:sz w:val="24"/>
          <w:szCs w:val="24"/>
        </w:rPr>
        <w:t>山阳县</w:t>
      </w:r>
      <w:r>
        <w:rPr>
          <w:rFonts w:hint="eastAsia" w:ascii="宋体" w:hAnsi="宋体" w:cs="宋体"/>
          <w:sz w:val="24"/>
          <w:szCs w:val="24"/>
          <w:lang w:val="zh-CN"/>
        </w:rPr>
        <w:t>现有退化</w:t>
      </w:r>
      <w:r>
        <w:rPr>
          <w:rFonts w:hint="eastAsia" w:ascii="宋体" w:hAnsi="宋体" w:cs="宋体"/>
          <w:sz w:val="24"/>
          <w:szCs w:val="24"/>
        </w:rPr>
        <w:t>20004.23公顷，</w:t>
      </w:r>
      <w:r>
        <w:rPr>
          <w:rFonts w:hint="eastAsia" w:ascii="宋体" w:hAnsi="宋体" w:cs="宋体"/>
          <w:sz w:val="24"/>
          <w:szCs w:val="24"/>
          <w:lang w:val="zh-CN"/>
        </w:rPr>
        <w:t>在全县各个乡镇均有分布，</w:t>
      </w:r>
      <w:r>
        <w:rPr>
          <w:rFonts w:hint="eastAsia" w:ascii="宋体" w:hAnsi="宋体" w:cs="宋体"/>
          <w:sz w:val="24"/>
          <w:szCs w:val="24"/>
        </w:rPr>
        <w:t>退化林主要以防护林为主，占全县退化林面积的53.26%，退化林</w:t>
      </w:r>
      <w:r>
        <w:rPr>
          <w:rFonts w:hint="eastAsia" w:ascii="宋体" w:hAnsi="宋体" w:cs="宋体"/>
          <w:sz w:val="24"/>
          <w:szCs w:val="24"/>
          <w:lang w:val="zh-CN"/>
        </w:rPr>
        <w:t>面积</w:t>
      </w:r>
      <w:r>
        <w:rPr>
          <w:rFonts w:hint="eastAsia" w:ascii="宋体" w:hAnsi="宋体" w:cs="宋体"/>
          <w:sz w:val="24"/>
          <w:szCs w:val="24"/>
        </w:rPr>
        <w:t>较大</w:t>
      </w:r>
      <w:r>
        <w:rPr>
          <w:rFonts w:hint="eastAsia" w:ascii="宋体" w:hAnsi="宋体" w:cs="宋体"/>
          <w:sz w:val="24"/>
          <w:szCs w:val="24"/>
          <w:lang w:val="zh-CN"/>
        </w:rPr>
        <w:t>、分布范围广、退化程度不一，部分区域退化严重。全县退化林</w:t>
      </w:r>
      <w:r>
        <w:rPr>
          <w:rFonts w:hint="eastAsia" w:ascii="宋体" w:hAnsi="宋体" w:cs="宋体"/>
          <w:sz w:val="24"/>
          <w:szCs w:val="24"/>
        </w:rPr>
        <w:t>退化程度以一般</w:t>
      </w:r>
      <w:r>
        <w:rPr>
          <w:rFonts w:hint="eastAsia" w:ascii="宋体" w:hAnsi="宋体" w:cs="宋体"/>
          <w:sz w:val="24"/>
          <w:szCs w:val="24"/>
          <w:lang w:val="zh-CN"/>
        </w:rPr>
        <w:t>为主，</w:t>
      </w:r>
      <w:r>
        <w:rPr>
          <w:rFonts w:hint="eastAsia" w:ascii="宋体" w:hAnsi="宋体" w:cs="宋体"/>
          <w:sz w:val="24"/>
          <w:szCs w:val="24"/>
        </w:rPr>
        <w:t>面积17513.70公顷，占退化林面积的87.55%</w:t>
      </w:r>
      <w:r>
        <w:rPr>
          <w:rFonts w:hint="eastAsia" w:ascii="宋体" w:hAnsi="宋体" w:cs="宋体"/>
          <w:sz w:val="24"/>
          <w:szCs w:val="24"/>
          <w:lang w:val="zh-CN"/>
        </w:rPr>
        <w:t>；重度退化</w:t>
      </w:r>
      <w:r>
        <w:rPr>
          <w:rFonts w:hint="eastAsia" w:ascii="宋体" w:hAnsi="宋体" w:cs="宋体"/>
          <w:sz w:val="24"/>
          <w:szCs w:val="24"/>
        </w:rPr>
        <w:t>面积2490.53公顷</w:t>
      </w:r>
      <w:r>
        <w:rPr>
          <w:rFonts w:hint="eastAsia" w:ascii="宋体" w:hAnsi="宋体" w:cs="宋体"/>
          <w:sz w:val="24"/>
          <w:szCs w:val="24"/>
          <w:lang w:val="zh-CN"/>
        </w:rPr>
        <w:t>，</w:t>
      </w:r>
      <w:r>
        <w:rPr>
          <w:rFonts w:hint="eastAsia" w:ascii="宋体" w:hAnsi="宋体" w:cs="宋体"/>
          <w:sz w:val="24"/>
          <w:szCs w:val="24"/>
        </w:rPr>
        <w:t>占退化林面积的12.45%</w:t>
      </w:r>
      <w:r>
        <w:rPr>
          <w:rFonts w:hint="eastAsia" w:ascii="宋体" w:hAnsi="宋体" w:cs="宋体"/>
          <w:sz w:val="24"/>
          <w:szCs w:val="24"/>
          <w:lang w:val="zh-CN"/>
        </w:rPr>
        <w:t>。退化树种主要以栎类、软</w:t>
      </w:r>
      <w:r>
        <w:rPr>
          <w:rFonts w:hint="eastAsia" w:ascii="宋体" w:hAnsi="宋体" w:cs="宋体"/>
          <w:sz w:val="24"/>
          <w:szCs w:val="24"/>
        </w:rPr>
        <w:t>(硬）阔、</w:t>
      </w:r>
      <w:r>
        <w:rPr>
          <w:rFonts w:hint="eastAsia" w:ascii="宋体" w:hAnsi="宋体" w:cs="宋体"/>
          <w:sz w:val="24"/>
          <w:szCs w:val="24"/>
          <w:lang w:val="zh-CN"/>
        </w:rPr>
        <w:t>松类、</w:t>
      </w:r>
      <w:r>
        <w:rPr>
          <w:rFonts w:hint="eastAsia" w:ascii="宋体" w:hAnsi="宋体" w:cs="宋体"/>
          <w:sz w:val="24"/>
          <w:szCs w:val="24"/>
        </w:rPr>
        <w:t>柏木</w:t>
      </w:r>
      <w:r>
        <w:rPr>
          <w:rFonts w:hint="eastAsia" w:ascii="宋体" w:hAnsi="宋体" w:cs="宋体"/>
          <w:sz w:val="24"/>
          <w:szCs w:val="24"/>
          <w:lang w:val="zh-CN"/>
        </w:rPr>
        <w:t>等为主，主要表现为部分</w:t>
      </w:r>
      <w:r>
        <w:rPr>
          <w:rFonts w:hint="eastAsia" w:ascii="宋体" w:hAnsi="宋体" w:cs="宋体"/>
          <w:sz w:val="24"/>
          <w:szCs w:val="24"/>
        </w:rPr>
        <w:t>林间空地过大、或</w:t>
      </w:r>
      <w:r>
        <w:rPr>
          <w:rFonts w:hint="eastAsia" w:ascii="宋体" w:hAnsi="宋体" w:cs="宋体"/>
          <w:sz w:val="24"/>
          <w:szCs w:val="24"/>
          <w:lang w:val="zh-CN"/>
        </w:rPr>
        <w:t>林木稀疏，部分林分密度</w:t>
      </w:r>
      <w:r>
        <w:rPr>
          <w:rFonts w:hint="eastAsia" w:ascii="宋体" w:hAnsi="宋体" w:cs="宋体"/>
          <w:sz w:val="24"/>
          <w:szCs w:val="24"/>
        </w:rPr>
        <w:t>又</w:t>
      </w:r>
      <w:r>
        <w:rPr>
          <w:rFonts w:hint="eastAsia" w:ascii="宋体" w:hAnsi="宋体" w:cs="宋体"/>
          <w:sz w:val="24"/>
          <w:szCs w:val="24"/>
          <w:lang w:val="zh-CN"/>
        </w:rPr>
        <w:t>较大；</w:t>
      </w:r>
      <w:r>
        <w:rPr>
          <w:rFonts w:hint="eastAsia" w:ascii="宋体" w:hAnsi="宋体" w:cs="宋体"/>
          <w:sz w:val="24"/>
          <w:szCs w:val="24"/>
        </w:rPr>
        <w:t>林木枯死、濒死、生长不良较多，个别林木出现逆生长，局部</w:t>
      </w:r>
      <w:r>
        <w:rPr>
          <w:rFonts w:hint="eastAsia" w:ascii="宋体" w:hAnsi="宋体" w:cs="宋体"/>
          <w:sz w:val="24"/>
          <w:szCs w:val="24"/>
          <w:lang w:val="zh-CN"/>
        </w:rPr>
        <w:t>枯死木、濒死木株树达到15%以上，且有逐年有扩大迹象</w:t>
      </w:r>
      <w:r>
        <w:rPr>
          <w:rFonts w:hint="eastAsia" w:ascii="宋体" w:hAnsi="宋体" w:cs="宋体"/>
          <w:sz w:val="24"/>
          <w:szCs w:val="24"/>
        </w:rPr>
        <w:t>；林间</w:t>
      </w:r>
      <w:r>
        <w:rPr>
          <w:rFonts w:hint="eastAsia" w:ascii="宋体" w:hAnsi="宋体" w:cs="宋体"/>
          <w:sz w:val="24"/>
          <w:szCs w:val="24"/>
          <w:lang w:val="zh-CN"/>
        </w:rPr>
        <w:t>透光性差，</w:t>
      </w:r>
      <w:r>
        <w:rPr>
          <w:rFonts w:hint="eastAsia" w:ascii="宋体" w:hAnsi="宋体" w:cs="宋体"/>
          <w:sz w:val="24"/>
          <w:szCs w:val="24"/>
        </w:rPr>
        <w:t>卫生状况差，植株个体分化局部较为明显，</w:t>
      </w:r>
      <w:r>
        <w:rPr>
          <w:rFonts w:hint="eastAsia" w:ascii="宋体" w:hAnsi="宋体" w:cs="宋体"/>
          <w:sz w:val="24"/>
          <w:szCs w:val="24"/>
          <w:lang w:val="zh-CN"/>
        </w:rPr>
        <w:t>林分提前或加速进入衰退阶段。</w:t>
      </w:r>
      <w:r>
        <w:rPr>
          <w:rFonts w:hint="eastAsia" w:ascii="宋体" w:hAnsi="宋体" w:cs="宋体"/>
          <w:sz w:val="24"/>
          <w:szCs w:val="24"/>
        </w:rPr>
        <w:t>结构失调，稳定性降低，功能下降，且难以自然恢复。退化原因主要由于区域立地条件较差、林木生理衰败；造林初期树种选择、初植密度和经营管护不当；遭受自然灾害、有害生物危害等，林分质量下降，生态功能降低。</w:t>
      </w:r>
    </w:p>
    <w:p>
      <w:pPr>
        <w:pStyle w:val="7"/>
        <w:spacing w:beforeLines="0" w:line="360" w:lineRule="auto"/>
        <w:ind w:firstLine="241" w:firstLineChars="100"/>
        <w:jc w:val="both"/>
        <w:rPr>
          <w:rFonts w:ascii="宋体" w:hAnsi="宋体" w:cs="宋体"/>
          <w:bCs w:val="0"/>
        </w:rPr>
      </w:pPr>
      <w:r>
        <w:rPr>
          <w:rFonts w:hint="eastAsia" w:ascii="宋体" w:hAnsi="宋体" w:cs="宋体"/>
          <w:bCs w:val="0"/>
        </w:rPr>
        <w:t>2.1.2项目区退化林状况</w:t>
      </w:r>
    </w:p>
    <w:p>
      <w:pPr>
        <w:spacing w:line="360" w:lineRule="auto"/>
        <w:ind w:firstLine="560"/>
        <w:rPr>
          <w:rFonts w:ascii="宋体" w:hAnsi="宋体" w:cs="宋体"/>
          <w:sz w:val="24"/>
          <w:szCs w:val="24"/>
          <w:lang w:val="zh-CN"/>
        </w:rPr>
      </w:pPr>
      <w:r>
        <w:rPr>
          <w:rFonts w:hint="eastAsia" w:ascii="宋体" w:hAnsi="宋体" w:cs="宋体"/>
          <w:sz w:val="24"/>
          <w:szCs w:val="24"/>
          <w:lang w:val="zh-CN"/>
        </w:rPr>
        <w:t>项目区退化林主要以天然起源的栎类、</w:t>
      </w:r>
      <w:r>
        <w:rPr>
          <w:rFonts w:hint="eastAsia" w:ascii="宋体" w:hAnsi="宋体" w:cs="宋体"/>
          <w:sz w:val="24"/>
          <w:szCs w:val="24"/>
        </w:rPr>
        <w:t>飞播造林起源的油松为主</w:t>
      </w:r>
      <w:r>
        <w:rPr>
          <w:rFonts w:hint="eastAsia" w:ascii="宋体" w:hAnsi="宋体" w:cs="宋体"/>
          <w:sz w:val="24"/>
          <w:szCs w:val="24"/>
          <w:lang w:val="zh-CN"/>
        </w:rPr>
        <w:t>，呈块状混交，局部地区分布有</w:t>
      </w:r>
      <w:r>
        <w:rPr>
          <w:rFonts w:hint="eastAsia" w:ascii="宋体" w:hAnsi="宋体" w:cs="宋体"/>
          <w:sz w:val="24"/>
          <w:szCs w:val="24"/>
        </w:rPr>
        <w:t>柏木</w:t>
      </w:r>
      <w:r>
        <w:rPr>
          <w:rFonts w:hint="eastAsia" w:ascii="宋体" w:hAnsi="宋体" w:cs="宋体"/>
          <w:sz w:val="24"/>
          <w:szCs w:val="24"/>
          <w:lang w:val="zh-CN"/>
        </w:rPr>
        <w:t>、</w:t>
      </w:r>
      <w:r>
        <w:rPr>
          <w:rFonts w:hint="eastAsia" w:ascii="宋体" w:hAnsi="宋体" w:cs="宋体"/>
          <w:sz w:val="24"/>
          <w:szCs w:val="24"/>
        </w:rPr>
        <w:t>板栗、核桃</w:t>
      </w:r>
      <w:r>
        <w:rPr>
          <w:rFonts w:hint="eastAsia" w:ascii="宋体" w:hAnsi="宋体" w:cs="宋体"/>
          <w:sz w:val="24"/>
          <w:szCs w:val="24"/>
          <w:lang w:val="zh-CN"/>
        </w:rPr>
        <w:t>等，龄组为中龄林及以上，树高6.5～</w:t>
      </w:r>
      <w:r>
        <w:rPr>
          <w:rFonts w:hint="eastAsia" w:ascii="宋体" w:hAnsi="宋体" w:cs="宋体"/>
          <w:sz w:val="24"/>
          <w:szCs w:val="24"/>
        </w:rPr>
        <w:t>10.5</w:t>
      </w:r>
      <w:r>
        <w:rPr>
          <w:rFonts w:hint="eastAsia" w:ascii="宋体" w:hAnsi="宋体" w:cs="宋体"/>
          <w:sz w:val="24"/>
          <w:szCs w:val="24"/>
          <w:lang w:val="zh-CN"/>
        </w:rPr>
        <w:t>米，平均胸径8～</w:t>
      </w:r>
      <w:r>
        <w:rPr>
          <w:rFonts w:hint="eastAsia" w:ascii="宋体" w:hAnsi="宋体" w:cs="宋体"/>
          <w:sz w:val="24"/>
          <w:szCs w:val="24"/>
        </w:rPr>
        <w:t>16</w:t>
      </w:r>
      <w:r>
        <w:rPr>
          <w:rFonts w:hint="eastAsia" w:ascii="宋体" w:hAnsi="宋体" w:cs="宋体"/>
          <w:sz w:val="24"/>
          <w:szCs w:val="24"/>
          <w:lang w:val="zh-CN"/>
        </w:rPr>
        <w:t>厘米,郁闭度0.</w:t>
      </w:r>
      <w:r>
        <w:rPr>
          <w:rFonts w:hint="eastAsia" w:ascii="宋体" w:hAnsi="宋体" w:cs="宋体"/>
          <w:sz w:val="24"/>
          <w:szCs w:val="24"/>
        </w:rPr>
        <w:t>3</w:t>
      </w:r>
      <w:r>
        <w:rPr>
          <w:rFonts w:hint="eastAsia" w:ascii="宋体" w:hAnsi="宋体" w:cs="宋体"/>
          <w:sz w:val="24"/>
          <w:szCs w:val="24"/>
          <w:lang w:val="zh-CN"/>
        </w:rPr>
        <w:t>～0.</w:t>
      </w:r>
      <w:r>
        <w:rPr>
          <w:rFonts w:hint="eastAsia" w:ascii="宋体" w:hAnsi="宋体" w:cs="宋体"/>
          <w:sz w:val="24"/>
          <w:szCs w:val="24"/>
        </w:rPr>
        <w:t>5，</w:t>
      </w:r>
      <w:r>
        <w:rPr>
          <w:rFonts w:hint="eastAsia" w:ascii="宋体" w:hAnsi="宋体" w:cs="宋体"/>
          <w:sz w:val="24"/>
          <w:szCs w:val="24"/>
          <w:lang w:val="zh-CN"/>
        </w:rPr>
        <w:t>株数</w:t>
      </w:r>
      <w:r>
        <w:rPr>
          <w:rFonts w:hint="eastAsia" w:ascii="宋体" w:hAnsi="宋体" w:cs="宋体"/>
          <w:sz w:val="24"/>
          <w:szCs w:val="24"/>
        </w:rPr>
        <w:t>25</w:t>
      </w:r>
      <w:r>
        <w:rPr>
          <w:rFonts w:hint="eastAsia" w:ascii="宋体" w:hAnsi="宋体" w:cs="宋体"/>
          <w:sz w:val="24"/>
          <w:szCs w:val="24"/>
          <w:lang w:val="zh-CN"/>
        </w:rPr>
        <w:t>～</w:t>
      </w:r>
      <w:r>
        <w:rPr>
          <w:rFonts w:hint="eastAsia" w:ascii="宋体" w:hAnsi="宋体" w:cs="宋体"/>
          <w:sz w:val="24"/>
          <w:szCs w:val="24"/>
        </w:rPr>
        <w:t>110</w:t>
      </w:r>
      <w:r>
        <w:rPr>
          <w:rFonts w:hint="eastAsia" w:ascii="宋体" w:hAnsi="宋体" w:cs="宋体"/>
          <w:sz w:val="24"/>
          <w:szCs w:val="24"/>
          <w:lang w:val="zh-CN"/>
        </w:rPr>
        <w:t>株/亩。灌木有黄栌、马桑、盐肤木等，盖度</w:t>
      </w:r>
      <w:r>
        <w:rPr>
          <w:rFonts w:hint="eastAsia" w:ascii="宋体" w:hAnsi="宋体" w:cs="宋体"/>
          <w:sz w:val="24"/>
          <w:szCs w:val="24"/>
        </w:rPr>
        <w:t>4</w:t>
      </w:r>
      <w:r>
        <w:rPr>
          <w:rFonts w:hint="eastAsia" w:ascii="宋体" w:hAnsi="宋体" w:cs="宋体"/>
          <w:sz w:val="24"/>
          <w:szCs w:val="24"/>
          <w:lang w:val="zh-CN"/>
        </w:rPr>
        <w:t>0%～</w:t>
      </w:r>
      <w:r>
        <w:rPr>
          <w:rFonts w:hint="eastAsia" w:ascii="宋体" w:hAnsi="宋体" w:cs="宋体"/>
          <w:sz w:val="24"/>
          <w:szCs w:val="24"/>
        </w:rPr>
        <w:t>60</w:t>
      </w:r>
      <w:r>
        <w:rPr>
          <w:rFonts w:hint="eastAsia" w:ascii="宋体" w:hAnsi="宋体" w:cs="宋体"/>
          <w:sz w:val="24"/>
          <w:szCs w:val="24"/>
          <w:lang w:val="zh-CN"/>
        </w:rPr>
        <w:t>%，多呈块状、团状分布，生长一般；草本有蒿类、茅草等，盖度</w:t>
      </w:r>
      <w:r>
        <w:rPr>
          <w:rFonts w:hint="eastAsia" w:ascii="宋体" w:hAnsi="宋体" w:cs="宋体"/>
          <w:sz w:val="24"/>
          <w:szCs w:val="24"/>
        </w:rPr>
        <w:t>35</w:t>
      </w:r>
      <w:r>
        <w:rPr>
          <w:rFonts w:hint="eastAsia" w:ascii="宋体" w:hAnsi="宋体" w:cs="宋体"/>
          <w:sz w:val="24"/>
          <w:szCs w:val="24"/>
          <w:lang w:val="zh-CN"/>
        </w:rPr>
        <w:t>%～</w:t>
      </w:r>
      <w:r>
        <w:rPr>
          <w:rFonts w:hint="eastAsia" w:ascii="宋体" w:hAnsi="宋体" w:cs="宋体"/>
          <w:sz w:val="24"/>
          <w:szCs w:val="24"/>
        </w:rPr>
        <w:t>60</w:t>
      </w:r>
      <w:r>
        <w:rPr>
          <w:rFonts w:hint="eastAsia" w:ascii="宋体" w:hAnsi="宋体" w:cs="宋体"/>
          <w:sz w:val="24"/>
          <w:szCs w:val="24"/>
          <w:lang w:val="zh-CN"/>
        </w:rPr>
        <w:t>%，分布较为均匀。灌草覆盖率</w:t>
      </w:r>
      <w:r>
        <w:rPr>
          <w:rFonts w:hint="eastAsia" w:ascii="宋体" w:hAnsi="宋体" w:cs="宋体"/>
          <w:sz w:val="24"/>
          <w:szCs w:val="24"/>
        </w:rPr>
        <w:t>40%</w:t>
      </w:r>
      <w:r>
        <w:rPr>
          <w:rFonts w:hint="eastAsia" w:ascii="宋体" w:hAnsi="宋体" w:cs="宋体"/>
          <w:sz w:val="24"/>
          <w:szCs w:val="24"/>
          <w:lang w:val="zh-CN"/>
        </w:rPr>
        <w:t>～</w:t>
      </w:r>
      <w:r>
        <w:rPr>
          <w:rFonts w:hint="eastAsia" w:ascii="宋体" w:hAnsi="宋体" w:cs="宋体"/>
          <w:sz w:val="24"/>
          <w:szCs w:val="24"/>
        </w:rPr>
        <w:t>65</w:t>
      </w:r>
      <w:r>
        <w:rPr>
          <w:rFonts w:hint="eastAsia" w:ascii="宋体" w:hAnsi="宋体" w:cs="宋体"/>
          <w:sz w:val="24"/>
          <w:szCs w:val="24"/>
          <w:lang w:val="zh-CN"/>
        </w:rPr>
        <w:t>%</w:t>
      </w:r>
      <w:r>
        <w:rPr>
          <w:rFonts w:hint="eastAsia" w:ascii="宋体" w:hAnsi="宋体" w:cs="宋体"/>
          <w:sz w:val="24"/>
          <w:szCs w:val="24"/>
        </w:rPr>
        <w:t>，</w:t>
      </w:r>
      <w:r>
        <w:rPr>
          <w:rFonts w:hint="eastAsia" w:ascii="宋体" w:hAnsi="宋体" w:cs="宋体"/>
          <w:sz w:val="24"/>
          <w:szCs w:val="24"/>
          <w:lang w:val="zh-CN"/>
        </w:rPr>
        <w:t>天然更新不良或中等。林间存在大于</w:t>
      </w:r>
      <w:r>
        <w:rPr>
          <w:rFonts w:hint="eastAsia" w:ascii="宋体" w:hAnsi="宋体" w:cs="宋体"/>
          <w:sz w:val="24"/>
          <w:szCs w:val="24"/>
        </w:rPr>
        <w:t>25平方米的林地空地，作业区</w:t>
      </w:r>
      <w:r>
        <w:rPr>
          <w:rFonts w:hint="eastAsia" w:ascii="宋体" w:hAnsi="宋体" w:cs="宋体"/>
          <w:sz w:val="24"/>
          <w:szCs w:val="24"/>
          <w:lang w:val="zh-CN"/>
        </w:rPr>
        <w:t>枯死木、濒死木株树达到</w:t>
      </w:r>
      <w:r>
        <w:rPr>
          <w:rFonts w:hint="eastAsia" w:ascii="宋体" w:hAnsi="宋体" w:cs="宋体"/>
          <w:sz w:val="24"/>
          <w:szCs w:val="24"/>
        </w:rPr>
        <w:t>15%-20%</w:t>
      </w:r>
      <w:r>
        <w:rPr>
          <w:rFonts w:hint="eastAsia" w:ascii="宋体" w:hAnsi="宋体" w:cs="宋体"/>
          <w:sz w:val="24"/>
          <w:szCs w:val="24"/>
          <w:lang w:val="zh-CN"/>
        </w:rPr>
        <w:t>，且有逐年扩大的趋势；栎类等自然整枝不良，纤细、发育不良</w:t>
      </w:r>
      <w:r>
        <w:rPr>
          <w:rFonts w:hint="eastAsia" w:ascii="宋体" w:hAnsi="宋体" w:cs="宋体"/>
          <w:sz w:val="24"/>
          <w:szCs w:val="24"/>
        </w:rPr>
        <w:t>植株</w:t>
      </w:r>
      <w:r>
        <w:rPr>
          <w:rFonts w:hint="eastAsia" w:ascii="宋体" w:hAnsi="宋体" w:cs="宋体"/>
          <w:sz w:val="24"/>
          <w:szCs w:val="24"/>
          <w:lang w:val="zh-CN"/>
        </w:rPr>
        <w:t>占比较大，林间卫生状况差。</w:t>
      </w:r>
    </w:p>
    <w:p>
      <w:pPr>
        <w:spacing w:line="360" w:lineRule="auto"/>
        <w:ind w:firstLine="560"/>
        <w:rPr>
          <w:rFonts w:ascii="宋体" w:hAnsi="宋体" w:cs="宋体"/>
          <w:sz w:val="24"/>
          <w:szCs w:val="24"/>
        </w:rPr>
      </w:pPr>
      <w:r>
        <w:rPr>
          <w:rFonts w:hint="eastAsia" w:ascii="宋体" w:hAnsi="宋体" w:cs="宋体"/>
          <w:sz w:val="24"/>
          <w:szCs w:val="24"/>
        </w:rPr>
        <w:t>油茶改培任务位于漫川关镇东寺村，漫川关镇为全县主要森林资源分布区域。项目区内林分密度较低，主要分布有栎类等乔木林地，现地林分质量较差，树高3.5-8.5米不等，密度20-45株/亩，林间空地多，林木分布不均。本次项目建设拟将项目区纳入到油茶改培任务中，项目建设主要对林间空地进行补植补播油茶，同时对项目区防护林进行抚育采伐，调整树种结构。项目建设人工补植油茶，达到“扩规模、丰品种、调结构、降成本、提质量”的目的。同时项目建设该区域为核心，有效促进项目区油茶产业发展向“园区化”转型，推动形成油茶种植集中连片，集约经营的产业发展格局，丰富农产品供给结构、助力国家粮油安全、促进林区山区群众稳定增收、实现资源永续利用。</w:t>
      </w:r>
    </w:p>
    <w:p>
      <w:pPr>
        <w:pStyle w:val="5"/>
        <w:spacing w:beforeLines="50" w:line="360" w:lineRule="auto"/>
        <w:jc w:val="both"/>
        <w:rPr>
          <w:rFonts w:ascii="宋体" w:hAnsi="宋体" w:cs="宋体"/>
          <w:sz w:val="24"/>
          <w:szCs w:val="24"/>
        </w:rPr>
      </w:pPr>
      <w:r>
        <w:rPr>
          <w:rFonts w:hint="eastAsia" w:ascii="宋体" w:hAnsi="宋体" w:cs="宋体"/>
          <w:sz w:val="24"/>
          <w:szCs w:val="24"/>
        </w:rPr>
        <w:t>3.1总体目标</w:t>
      </w:r>
    </w:p>
    <w:p>
      <w:pPr>
        <w:spacing w:line="360" w:lineRule="auto"/>
        <w:ind w:firstLine="560"/>
        <w:rPr>
          <w:rFonts w:ascii="宋体" w:hAnsi="宋体" w:cs="宋体"/>
          <w:sz w:val="24"/>
          <w:szCs w:val="24"/>
        </w:rPr>
      </w:pPr>
      <w:r>
        <w:rPr>
          <w:rFonts w:hint="eastAsia" w:ascii="宋体" w:hAnsi="宋体" w:cs="宋体"/>
          <w:sz w:val="24"/>
          <w:szCs w:val="24"/>
        </w:rPr>
        <w:t>根据全县退化林现状和生态安全要求，突出退化防护林修复主线，通过采取补植补播、采伐修复和辅助措施，促使林分形成正常生长发育趋势，并逐步恢复至接近于退化前状态或向更好的地带性森林顶级群落有序发展的森林状态，从而形成结构稳定、功能完善，生态、经济、社会效益有机结合的区域性防护林体系。</w:t>
      </w:r>
    </w:p>
    <w:p>
      <w:pPr>
        <w:pStyle w:val="5"/>
        <w:spacing w:beforeLines="50" w:line="360" w:lineRule="auto"/>
        <w:jc w:val="both"/>
        <w:rPr>
          <w:rFonts w:ascii="宋体" w:hAnsi="宋体" w:cs="宋体"/>
          <w:sz w:val="24"/>
          <w:szCs w:val="24"/>
        </w:rPr>
      </w:pPr>
      <w:bookmarkStart w:id="106" w:name="_Toc22238"/>
      <w:bookmarkStart w:id="107" w:name="_Toc23721"/>
      <w:r>
        <w:rPr>
          <w:rFonts w:hint="eastAsia" w:ascii="宋体" w:hAnsi="宋体" w:cs="宋体"/>
          <w:sz w:val="24"/>
          <w:szCs w:val="24"/>
        </w:rPr>
        <w:t>4.1 补植补播树种选择</w:t>
      </w:r>
      <w:bookmarkEnd w:id="106"/>
      <w:bookmarkEnd w:id="107"/>
    </w:p>
    <w:p>
      <w:pPr>
        <w:pStyle w:val="7"/>
        <w:spacing w:beforeLines="0" w:line="360" w:lineRule="auto"/>
        <w:ind w:firstLine="241" w:firstLineChars="100"/>
        <w:jc w:val="both"/>
        <w:rPr>
          <w:rFonts w:ascii="宋体" w:hAnsi="宋体" w:cs="宋体"/>
          <w:bCs w:val="0"/>
          <w:color w:val="000000"/>
        </w:rPr>
      </w:pPr>
      <w:r>
        <w:rPr>
          <w:rFonts w:hint="eastAsia" w:ascii="宋体" w:hAnsi="宋体" w:cs="宋体"/>
          <w:bCs w:val="0"/>
          <w:color w:val="000000"/>
        </w:rPr>
        <w:t>4.1.1选择原则</w:t>
      </w:r>
    </w:p>
    <w:p>
      <w:pPr>
        <w:spacing w:line="360" w:lineRule="auto"/>
        <w:ind w:firstLine="560"/>
        <w:rPr>
          <w:rFonts w:ascii="宋体" w:hAnsi="宋体" w:cs="宋体"/>
          <w:sz w:val="24"/>
          <w:szCs w:val="24"/>
        </w:rPr>
      </w:pPr>
      <w:r>
        <w:rPr>
          <w:rFonts w:hint="eastAsia" w:ascii="宋体" w:hAnsi="宋体" w:cs="宋体"/>
          <w:sz w:val="24"/>
          <w:szCs w:val="24"/>
          <w:lang w:val="zh-CN"/>
        </w:rPr>
        <w:t>补</w:t>
      </w:r>
      <w:r>
        <w:rPr>
          <w:rFonts w:hint="eastAsia" w:ascii="宋体" w:hAnsi="宋体" w:cs="宋体"/>
          <w:sz w:val="24"/>
          <w:szCs w:val="24"/>
        </w:rPr>
        <w:t>植</w:t>
      </w:r>
      <w:r>
        <w:rPr>
          <w:rFonts w:hint="eastAsia" w:ascii="宋体" w:hAnsi="宋体" w:cs="宋体"/>
          <w:sz w:val="24"/>
          <w:szCs w:val="24"/>
          <w:lang w:val="zh-CN"/>
        </w:rPr>
        <w:t>树种选择上，在因地适宜、适地适树的基础上，为了提高林分质量，补植树种应与原有树种不同，优先考虑适宜当地生长的耐干旱优良乡土树种，加大</w:t>
      </w:r>
      <w:r>
        <w:rPr>
          <w:rFonts w:hint="eastAsia" w:ascii="宋体" w:hAnsi="宋体" w:cs="宋体"/>
          <w:sz w:val="24"/>
          <w:szCs w:val="24"/>
        </w:rPr>
        <w:t>有色</w:t>
      </w:r>
      <w:r>
        <w:rPr>
          <w:rFonts w:hint="eastAsia" w:ascii="宋体" w:hAnsi="宋体" w:cs="宋体"/>
          <w:sz w:val="24"/>
          <w:szCs w:val="24"/>
          <w:lang w:val="zh-CN"/>
        </w:rPr>
        <w:t>树种比例，培育针阔混交林。树种选择上兼顾经济效益和生态效益，重点选择幼龄期耐荫性较强、能够在林冠下能正常发育的树种造林更新。补</w:t>
      </w:r>
      <w:r>
        <w:rPr>
          <w:rFonts w:hint="eastAsia" w:ascii="宋体" w:hAnsi="宋体" w:cs="宋体"/>
          <w:sz w:val="24"/>
          <w:szCs w:val="24"/>
        </w:rPr>
        <w:t>植</w:t>
      </w:r>
      <w:r>
        <w:rPr>
          <w:rFonts w:hint="eastAsia" w:ascii="宋体" w:hAnsi="宋体" w:cs="宋体"/>
          <w:sz w:val="24"/>
          <w:szCs w:val="24"/>
          <w:lang w:val="zh-CN"/>
        </w:rPr>
        <w:t>修复后形成林分结构稳定、生态功能较强的混交林，改纯林为混交林，改同龄林为异龄林，改单层林为复层林，达到提高林分质量，改善林分结构，增强森林生态功能，丰富生物多样性的目的。</w:t>
      </w:r>
    </w:p>
    <w:p>
      <w:pPr>
        <w:pStyle w:val="7"/>
        <w:spacing w:beforeLines="0" w:line="360" w:lineRule="auto"/>
        <w:ind w:firstLine="241" w:firstLineChars="100"/>
        <w:jc w:val="both"/>
        <w:rPr>
          <w:rFonts w:ascii="宋体" w:hAnsi="宋体" w:cs="宋体"/>
          <w:bCs w:val="0"/>
          <w:color w:val="000000"/>
        </w:rPr>
      </w:pPr>
      <w:r>
        <w:rPr>
          <w:rFonts w:hint="eastAsia" w:ascii="宋体" w:hAnsi="宋体" w:cs="宋体"/>
          <w:bCs w:val="0"/>
          <w:color w:val="000000"/>
        </w:rPr>
        <w:t>4.1.2</w:t>
      </w:r>
      <w:r>
        <w:rPr>
          <w:rFonts w:hint="eastAsia" w:ascii="宋体" w:hAnsi="宋体" w:cs="宋体"/>
          <w:bCs w:val="0"/>
          <w:color w:val="000000"/>
          <w:lang w:val="zh-CN"/>
        </w:rPr>
        <w:t>补</w:t>
      </w:r>
      <w:r>
        <w:rPr>
          <w:rFonts w:hint="eastAsia" w:ascii="宋体" w:hAnsi="宋体" w:cs="宋体"/>
          <w:bCs w:val="0"/>
          <w:color w:val="000000"/>
        </w:rPr>
        <w:t>植补播树种</w:t>
      </w:r>
    </w:p>
    <w:p>
      <w:pPr>
        <w:spacing w:line="360" w:lineRule="auto"/>
        <w:ind w:firstLine="560"/>
        <w:rPr>
          <w:rFonts w:ascii="宋体" w:hAnsi="宋体" w:cs="宋体"/>
          <w:sz w:val="24"/>
          <w:szCs w:val="24"/>
        </w:rPr>
      </w:pPr>
      <w:r>
        <w:rPr>
          <w:rFonts w:hint="eastAsia" w:ascii="宋体" w:hAnsi="宋体" w:cs="宋体"/>
          <w:sz w:val="24"/>
          <w:szCs w:val="24"/>
          <w:lang w:val="zh-CN"/>
        </w:rPr>
        <w:t>根据树种选择原则和树种的生物学特性，经过筛选，</w:t>
      </w:r>
      <w:r>
        <w:rPr>
          <w:rFonts w:hint="eastAsia" w:ascii="宋体" w:hAnsi="宋体" w:cs="宋体"/>
          <w:sz w:val="24"/>
          <w:szCs w:val="24"/>
        </w:rPr>
        <w:t>本次</w:t>
      </w:r>
      <w:r>
        <w:rPr>
          <w:rFonts w:hint="eastAsia" w:ascii="宋体" w:hAnsi="宋体" w:cs="宋体"/>
          <w:sz w:val="24"/>
          <w:szCs w:val="24"/>
          <w:lang w:val="zh-CN"/>
        </w:rPr>
        <w:t>退化林修复补</w:t>
      </w:r>
      <w:r>
        <w:rPr>
          <w:rFonts w:hint="eastAsia" w:ascii="宋体" w:hAnsi="宋体" w:cs="宋体"/>
          <w:sz w:val="24"/>
          <w:szCs w:val="24"/>
        </w:rPr>
        <w:t>植</w:t>
      </w:r>
      <w:r>
        <w:rPr>
          <w:rFonts w:hint="eastAsia" w:ascii="宋体" w:hAnsi="宋体" w:cs="宋体"/>
          <w:sz w:val="24"/>
          <w:szCs w:val="24"/>
          <w:lang w:val="zh-CN"/>
        </w:rPr>
        <w:t>树种主要为</w:t>
      </w:r>
      <w:r>
        <w:rPr>
          <w:rFonts w:hint="eastAsia" w:ascii="宋体" w:hAnsi="宋体" w:cs="宋体"/>
          <w:sz w:val="24"/>
          <w:szCs w:val="24"/>
        </w:rPr>
        <w:t>红豆杉、元宝枫、侧柏、油茶和连翘。</w:t>
      </w:r>
    </w:p>
    <w:p>
      <w:pPr>
        <w:spacing w:line="360" w:lineRule="auto"/>
        <w:ind w:firstLine="560"/>
        <w:rPr>
          <w:rFonts w:ascii="宋体" w:hAnsi="宋体" w:cs="宋体"/>
          <w:sz w:val="24"/>
          <w:szCs w:val="24"/>
        </w:rPr>
      </w:pPr>
      <w:r>
        <w:rPr>
          <w:rFonts w:hint="eastAsia" w:ascii="宋体" w:hAnsi="宋体" w:cs="宋体"/>
          <w:sz w:val="24"/>
          <w:szCs w:val="24"/>
        </w:rPr>
        <w:t>补播选择栓皮栎种子。</w:t>
      </w:r>
    </w:p>
    <w:p>
      <w:pPr>
        <w:pStyle w:val="5"/>
        <w:spacing w:beforeLines="50" w:line="360" w:lineRule="auto"/>
        <w:jc w:val="both"/>
        <w:rPr>
          <w:rFonts w:ascii="宋体" w:hAnsi="宋体" w:cs="宋体"/>
          <w:sz w:val="24"/>
          <w:szCs w:val="24"/>
        </w:rPr>
      </w:pPr>
      <w:bookmarkStart w:id="108" w:name="_Toc19367"/>
      <w:bookmarkStart w:id="109" w:name="_Toc13996"/>
      <w:r>
        <w:rPr>
          <w:rFonts w:hint="eastAsia" w:ascii="宋体" w:hAnsi="宋体" w:cs="宋体"/>
          <w:sz w:val="24"/>
          <w:szCs w:val="24"/>
        </w:rPr>
        <w:t>4.2 修复方案设计</w:t>
      </w:r>
      <w:bookmarkEnd w:id="108"/>
      <w:bookmarkEnd w:id="109"/>
    </w:p>
    <w:p>
      <w:pPr>
        <w:spacing w:line="360" w:lineRule="auto"/>
        <w:ind w:firstLine="560"/>
        <w:rPr>
          <w:rFonts w:ascii="宋体" w:hAnsi="宋体" w:cs="宋体"/>
          <w:sz w:val="24"/>
          <w:szCs w:val="24"/>
        </w:rPr>
      </w:pPr>
      <w:r>
        <w:rPr>
          <w:rFonts w:hint="eastAsia" w:ascii="宋体" w:hAnsi="宋体" w:cs="宋体"/>
          <w:sz w:val="24"/>
          <w:szCs w:val="24"/>
          <w:lang w:val="zh-CN"/>
        </w:rPr>
        <w:t>根据现地林分特点及项目有关要求，结合林分立体条件、退化类型、退化程度等因素，本项目退化林修复采用</w:t>
      </w:r>
      <w:r>
        <w:rPr>
          <w:rFonts w:hint="eastAsia" w:ascii="宋体" w:hAnsi="宋体" w:cs="宋体"/>
          <w:sz w:val="24"/>
          <w:szCs w:val="24"/>
        </w:rPr>
        <w:t>补植补播、采伐修复和辅助措施，修复方法采用补植补播、采伐修复、人工促进天然更新、修枝等作业方式，提高林分质量。</w:t>
      </w:r>
    </w:p>
    <w:p>
      <w:pPr>
        <w:pStyle w:val="7"/>
        <w:spacing w:beforeLines="0" w:line="360" w:lineRule="auto"/>
        <w:ind w:firstLine="241" w:firstLineChars="100"/>
        <w:jc w:val="both"/>
        <w:rPr>
          <w:rFonts w:ascii="宋体" w:hAnsi="宋体" w:cs="宋体"/>
          <w:bCs w:val="0"/>
          <w:color w:val="000000"/>
        </w:rPr>
      </w:pPr>
      <w:r>
        <w:rPr>
          <w:rFonts w:hint="eastAsia" w:ascii="宋体" w:hAnsi="宋体" w:cs="宋体"/>
          <w:bCs w:val="0"/>
          <w:color w:val="000000"/>
        </w:rPr>
        <w:t>4.2.1补植补播</w:t>
      </w:r>
    </w:p>
    <w:p>
      <w:pPr>
        <w:spacing w:line="360" w:lineRule="auto"/>
        <w:ind w:firstLine="560"/>
        <w:rPr>
          <w:rFonts w:ascii="宋体" w:hAnsi="宋体" w:cs="宋体"/>
          <w:sz w:val="24"/>
          <w:szCs w:val="24"/>
        </w:rPr>
      </w:pPr>
      <w:r>
        <w:rPr>
          <w:rFonts w:hint="eastAsia" w:ascii="宋体" w:hAnsi="宋体" w:cs="宋体"/>
          <w:sz w:val="24"/>
          <w:szCs w:val="24"/>
          <w:lang w:val="zh-CN"/>
        </w:rPr>
        <w:t>适用于</w:t>
      </w:r>
      <w:r>
        <w:rPr>
          <w:rFonts w:hint="eastAsia" w:ascii="宋体" w:hAnsi="宋体" w:cs="宋体"/>
          <w:sz w:val="24"/>
          <w:szCs w:val="24"/>
        </w:rPr>
        <w:t>退化乔木林、退化指标5，退化程度一般</w:t>
      </w:r>
      <w:r>
        <w:rPr>
          <w:rFonts w:hint="eastAsia" w:ascii="宋体" w:hAnsi="宋体" w:cs="宋体"/>
          <w:sz w:val="24"/>
          <w:szCs w:val="24"/>
          <w:lang w:val="zh-CN"/>
        </w:rPr>
        <w:t>的栎类纯林、栎类</w:t>
      </w:r>
      <w:r>
        <w:rPr>
          <w:rFonts w:hint="eastAsia" w:ascii="宋体" w:hAnsi="宋体" w:cs="宋体"/>
          <w:sz w:val="24"/>
          <w:szCs w:val="24"/>
        </w:rPr>
        <w:t>+软（硬）阔混交林、</w:t>
      </w:r>
      <w:r>
        <w:rPr>
          <w:rFonts w:hint="eastAsia" w:ascii="宋体" w:hAnsi="宋体" w:cs="宋体"/>
          <w:sz w:val="24"/>
          <w:szCs w:val="24"/>
          <w:lang w:val="zh-CN"/>
        </w:rPr>
        <w:t>栎类</w:t>
      </w:r>
      <w:r>
        <w:rPr>
          <w:rFonts w:hint="eastAsia" w:ascii="宋体" w:hAnsi="宋体" w:cs="宋体"/>
          <w:sz w:val="24"/>
          <w:szCs w:val="24"/>
        </w:rPr>
        <w:t>+油松（柏木）混交林。</w:t>
      </w:r>
    </w:p>
    <w:p>
      <w:pPr>
        <w:spacing w:line="360" w:lineRule="auto"/>
        <w:ind w:firstLine="560"/>
        <w:rPr>
          <w:rFonts w:ascii="宋体" w:hAnsi="宋体" w:cs="宋体"/>
          <w:sz w:val="24"/>
          <w:szCs w:val="24"/>
          <w:lang w:val="zh-CN"/>
        </w:rPr>
      </w:pPr>
      <w:r>
        <w:rPr>
          <w:rFonts w:hint="eastAsia" w:ascii="宋体" w:hAnsi="宋体" w:cs="宋体"/>
          <w:sz w:val="24"/>
          <w:szCs w:val="24"/>
          <w:lang w:val="zh-CN"/>
        </w:rPr>
        <w:t>对</w:t>
      </w:r>
      <w:r>
        <w:rPr>
          <w:rFonts w:hint="eastAsia" w:ascii="宋体" w:hAnsi="宋体" w:cs="宋体"/>
          <w:sz w:val="24"/>
          <w:szCs w:val="24"/>
        </w:rPr>
        <w:t>植株</w:t>
      </w:r>
      <w:r>
        <w:rPr>
          <w:rFonts w:hint="eastAsia" w:ascii="宋体" w:hAnsi="宋体" w:cs="宋体"/>
          <w:sz w:val="24"/>
          <w:szCs w:val="24"/>
          <w:lang w:val="zh-CN"/>
        </w:rPr>
        <w:t>株树低于该类未退化林分的合理密度，或择伐后郁闭度小于</w:t>
      </w:r>
      <w:r>
        <w:rPr>
          <w:rFonts w:hint="eastAsia" w:ascii="宋体" w:hAnsi="宋体" w:cs="宋体"/>
          <w:sz w:val="24"/>
          <w:szCs w:val="24"/>
        </w:rPr>
        <w:t>0.4，仅依靠天然更新难以达到相关密度标准成效要求，或林木分布不均，现地存在大于25平方米林中空地的修复小班，以补充目的树种、调整树种结构为目的，培育异龄复层混交林，</w:t>
      </w:r>
      <w:r>
        <w:rPr>
          <w:rFonts w:hint="eastAsia" w:ascii="宋体" w:hAnsi="宋体" w:cs="宋体"/>
          <w:sz w:val="24"/>
          <w:szCs w:val="24"/>
          <w:lang w:val="zh-CN"/>
        </w:rPr>
        <w:t>设计如下：</w:t>
      </w:r>
    </w:p>
    <w:p>
      <w:pPr>
        <w:spacing w:line="360" w:lineRule="auto"/>
        <w:ind w:firstLine="560"/>
        <w:rPr>
          <w:rFonts w:ascii="宋体" w:hAnsi="宋体" w:cs="宋体"/>
          <w:sz w:val="24"/>
          <w:szCs w:val="24"/>
        </w:rPr>
      </w:pPr>
      <w:r>
        <w:rPr>
          <w:rFonts w:hint="eastAsia" w:ascii="宋体" w:hAnsi="宋体" w:cs="宋体"/>
          <w:sz w:val="24"/>
          <w:szCs w:val="24"/>
          <w:lang w:val="zh-CN"/>
        </w:rPr>
        <w:t>——修复方式：</w:t>
      </w:r>
      <w:r>
        <w:rPr>
          <w:rFonts w:hint="eastAsia" w:ascii="宋体" w:hAnsi="宋体" w:cs="宋体"/>
          <w:sz w:val="24"/>
          <w:szCs w:val="24"/>
        </w:rPr>
        <w:t>补植补播</w:t>
      </w:r>
    </w:p>
    <w:p>
      <w:pPr>
        <w:spacing w:line="360" w:lineRule="auto"/>
        <w:ind w:firstLine="560"/>
        <w:rPr>
          <w:rFonts w:ascii="宋体" w:hAnsi="宋体" w:cs="宋体"/>
          <w:sz w:val="24"/>
          <w:szCs w:val="24"/>
        </w:rPr>
      </w:pPr>
      <w:r>
        <w:rPr>
          <w:rFonts w:hint="eastAsia" w:ascii="宋体" w:hAnsi="宋体" w:cs="宋体"/>
          <w:sz w:val="24"/>
          <w:szCs w:val="24"/>
          <w:lang w:val="zh-CN"/>
        </w:rPr>
        <w:t>——修复措施：</w:t>
      </w:r>
      <w:r>
        <w:rPr>
          <w:rFonts w:hint="eastAsia" w:ascii="宋体" w:hAnsi="宋体" w:cs="宋体"/>
          <w:sz w:val="24"/>
          <w:szCs w:val="24"/>
        </w:rPr>
        <w:t>人工补植、补播</w:t>
      </w:r>
    </w:p>
    <w:p>
      <w:pPr>
        <w:spacing w:line="360" w:lineRule="auto"/>
        <w:ind w:firstLine="560"/>
        <w:rPr>
          <w:rFonts w:ascii="宋体" w:hAnsi="宋体" w:cs="宋体"/>
          <w:sz w:val="24"/>
          <w:szCs w:val="24"/>
        </w:rPr>
      </w:pPr>
      <w:r>
        <w:rPr>
          <w:rFonts w:hint="eastAsia" w:ascii="宋体" w:hAnsi="宋体" w:cs="宋体"/>
          <w:sz w:val="24"/>
          <w:szCs w:val="24"/>
          <w:lang w:val="zh-CN"/>
        </w:rPr>
        <w:t>——补</w:t>
      </w:r>
      <w:r>
        <w:rPr>
          <w:rFonts w:hint="eastAsia" w:ascii="宋体" w:hAnsi="宋体" w:cs="宋体"/>
          <w:sz w:val="24"/>
          <w:szCs w:val="24"/>
        </w:rPr>
        <w:t>植</w:t>
      </w:r>
      <w:r>
        <w:rPr>
          <w:rFonts w:hint="eastAsia" w:ascii="宋体" w:hAnsi="宋体" w:cs="宋体"/>
          <w:sz w:val="24"/>
          <w:szCs w:val="24"/>
          <w:lang w:val="zh-CN"/>
        </w:rPr>
        <w:t>树种：</w:t>
      </w:r>
      <w:r>
        <w:rPr>
          <w:rFonts w:hint="eastAsia" w:ascii="宋体" w:hAnsi="宋体" w:cs="宋体"/>
          <w:sz w:val="24"/>
          <w:szCs w:val="24"/>
        </w:rPr>
        <w:t>采用人工植苗的方式，栽植苗木应均匀分布或群团状分布，具体分布方式根据保留林木分布特征、经营方式和种苗特性而定。</w:t>
      </w:r>
      <w:r>
        <w:rPr>
          <w:rFonts w:hint="eastAsia" w:ascii="宋体" w:hAnsi="宋体" w:cs="宋体"/>
          <w:sz w:val="24"/>
          <w:szCs w:val="24"/>
          <w:lang w:val="zh-CN"/>
        </w:rPr>
        <w:t>补</w:t>
      </w:r>
      <w:r>
        <w:rPr>
          <w:rFonts w:hint="eastAsia" w:ascii="宋体" w:hAnsi="宋体" w:cs="宋体"/>
          <w:sz w:val="24"/>
          <w:szCs w:val="24"/>
        </w:rPr>
        <w:t>植树种为红豆杉+连翘、元宝枫、侧柏和油茶。</w:t>
      </w:r>
    </w:p>
    <w:p>
      <w:pPr>
        <w:spacing w:line="360" w:lineRule="auto"/>
        <w:ind w:firstLine="560"/>
        <w:rPr>
          <w:rFonts w:ascii="宋体" w:hAnsi="宋体" w:cs="宋体"/>
          <w:sz w:val="24"/>
          <w:szCs w:val="24"/>
        </w:rPr>
      </w:pPr>
      <w:r>
        <w:rPr>
          <w:rFonts w:hint="eastAsia" w:ascii="宋体" w:hAnsi="宋体" w:cs="宋体"/>
          <w:sz w:val="24"/>
          <w:szCs w:val="24"/>
          <w:lang w:val="zh-CN"/>
        </w:rPr>
        <w:t>——补</w:t>
      </w:r>
      <w:r>
        <w:rPr>
          <w:rFonts w:hint="eastAsia" w:ascii="宋体" w:hAnsi="宋体" w:cs="宋体"/>
          <w:sz w:val="24"/>
          <w:szCs w:val="24"/>
        </w:rPr>
        <w:t>播</w:t>
      </w:r>
      <w:r>
        <w:rPr>
          <w:rFonts w:hint="eastAsia" w:ascii="宋体" w:hAnsi="宋体" w:cs="宋体"/>
          <w:sz w:val="24"/>
          <w:szCs w:val="24"/>
          <w:lang w:val="zh-CN"/>
        </w:rPr>
        <w:t>树种：</w:t>
      </w:r>
      <w:r>
        <w:rPr>
          <w:rFonts w:hint="eastAsia" w:ascii="宋体" w:hAnsi="宋体" w:cs="宋体"/>
          <w:sz w:val="24"/>
          <w:szCs w:val="24"/>
        </w:rPr>
        <w:t>采用人工播种的方式，在油松纯林中点播栓皮栎种子。</w:t>
      </w:r>
    </w:p>
    <w:p>
      <w:pPr>
        <w:spacing w:line="360" w:lineRule="auto"/>
        <w:ind w:firstLine="560"/>
        <w:rPr>
          <w:rFonts w:ascii="宋体" w:hAnsi="宋体" w:cs="宋体"/>
          <w:sz w:val="24"/>
          <w:szCs w:val="24"/>
        </w:rPr>
      </w:pPr>
      <w:r>
        <w:rPr>
          <w:rFonts w:hint="eastAsia" w:ascii="宋体" w:hAnsi="宋体" w:cs="宋体"/>
          <w:sz w:val="24"/>
          <w:szCs w:val="24"/>
          <w:lang w:val="zh-CN"/>
        </w:rPr>
        <w:t>——整地形式：</w:t>
      </w:r>
      <w:r>
        <w:rPr>
          <w:rFonts w:hint="eastAsia" w:ascii="宋体" w:hAnsi="宋体" w:cs="宋体"/>
          <w:sz w:val="24"/>
          <w:szCs w:val="24"/>
        </w:rPr>
        <w:t>补植采用</w:t>
      </w:r>
      <w:r>
        <w:rPr>
          <w:rFonts w:hint="eastAsia" w:ascii="宋体" w:hAnsi="宋体" w:cs="宋体"/>
          <w:sz w:val="24"/>
          <w:szCs w:val="24"/>
          <w:lang w:val="zh-CN"/>
        </w:rPr>
        <w:t>鱼鳞坑整地，规格长×宽×深为</w:t>
      </w:r>
      <w:r>
        <w:rPr>
          <w:rFonts w:hint="eastAsia" w:ascii="宋体" w:hAnsi="宋体" w:cs="宋体"/>
          <w:sz w:val="24"/>
          <w:szCs w:val="24"/>
        </w:rPr>
        <w:t>5</w:t>
      </w:r>
      <w:r>
        <w:rPr>
          <w:rFonts w:hint="eastAsia" w:ascii="宋体" w:hAnsi="宋体" w:cs="宋体"/>
          <w:sz w:val="24"/>
          <w:szCs w:val="24"/>
          <w:lang w:val="zh-CN"/>
        </w:rPr>
        <w:t>0</w:t>
      </w:r>
      <w:r>
        <w:rPr>
          <w:rFonts w:hint="eastAsia" w:ascii="宋体" w:hAnsi="宋体" w:cs="宋体"/>
          <w:sz w:val="24"/>
          <w:szCs w:val="24"/>
        </w:rPr>
        <w:t>cm</w:t>
      </w: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0</w:t>
      </w:r>
      <w:r>
        <w:rPr>
          <w:rFonts w:hint="eastAsia" w:ascii="宋体" w:hAnsi="宋体" w:cs="宋体"/>
          <w:sz w:val="24"/>
          <w:szCs w:val="24"/>
        </w:rPr>
        <w:t>cm</w:t>
      </w: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0cm；</w:t>
      </w:r>
      <w:r>
        <w:rPr>
          <w:rFonts w:hint="eastAsia" w:ascii="宋体" w:hAnsi="宋体" w:cs="宋体"/>
          <w:sz w:val="24"/>
          <w:szCs w:val="24"/>
        </w:rPr>
        <w:t>补播整地规格</w:t>
      </w:r>
      <w:r>
        <w:rPr>
          <w:rFonts w:hint="eastAsia" w:ascii="宋体" w:hAnsi="宋体" w:cs="宋体"/>
          <w:sz w:val="24"/>
          <w:szCs w:val="24"/>
          <w:lang w:val="zh-CN"/>
        </w:rPr>
        <w:t>长×宽×深为</w:t>
      </w:r>
      <w:r>
        <w:rPr>
          <w:rFonts w:hint="eastAsia" w:ascii="宋体" w:hAnsi="宋体" w:cs="宋体"/>
          <w:sz w:val="24"/>
          <w:szCs w:val="24"/>
        </w:rPr>
        <w:t>2</w:t>
      </w:r>
      <w:r>
        <w:rPr>
          <w:rFonts w:hint="eastAsia" w:ascii="宋体" w:hAnsi="宋体" w:cs="宋体"/>
          <w:sz w:val="24"/>
          <w:szCs w:val="24"/>
          <w:lang w:val="zh-CN"/>
        </w:rPr>
        <w:t>0</w:t>
      </w:r>
      <w:r>
        <w:rPr>
          <w:rFonts w:hint="eastAsia" w:ascii="宋体" w:hAnsi="宋体" w:cs="宋体"/>
          <w:sz w:val="24"/>
          <w:szCs w:val="24"/>
        </w:rPr>
        <w:t>cm</w:t>
      </w: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0</w:t>
      </w:r>
      <w:r>
        <w:rPr>
          <w:rFonts w:hint="eastAsia" w:ascii="宋体" w:hAnsi="宋体" w:cs="宋体"/>
          <w:sz w:val="24"/>
          <w:szCs w:val="24"/>
        </w:rPr>
        <w:t>cm</w:t>
      </w: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0cm。</w:t>
      </w:r>
    </w:p>
    <w:p>
      <w:pPr>
        <w:spacing w:line="360" w:lineRule="auto"/>
        <w:ind w:firstLine="560"/>
        <w:rPr>
          <w:rFonts w:ascii="宋体" w:hAnsi="宋体" w:cs="宋体"/>
          <w:sz w:val="24"/>
          <w:szCs w:val="24"/>
        </w:rPr>
      </w:pPr>
      <w:r>
        <w:rPr>
          <w:rFonts w:hint="eastAsia" w:ascii="宋体" w:hAnsi="宋体" w:cs="宋体"/>
          <w:sz w:val="24"/>
          <w:szCs w:val="24"/>
          <w:lang w:val="zh-CN"/>
        </w:rPr>
        <w:t>——混交方式：与原有栎类、</w:t>
      </w:r>
      <w:r>
        <w:rPr>
          <w:rFonts w:hint="eastAsia" w:ascii="宋体" w:hAnsi="宋体" w:cs="宋体"/>
          <w:sz w:val="24"/>
          <w:szCs w:val="24"/>
        </w:rPr>
        <w:t>油松、</w:t>
      </w:r>
      <w:r>
        <w:rPr>
          <w:rFonts w:hint="eastAsia" w:ascii="宋体" w:hAnsi="宋体" w:cs="宋体"/>
          <w:sz w:val="24"/>
          <w:szCs w:val="24"/>
          <w:lang w:val="zh-CN"/>
        </w:rPr>
        <w:t>柏类、软（硬）阔等树种形成混交林，</w:t>
      </w:r>
      <w:r>
        <w:rPr>
          <w:rFonts w:hint="eastAsia" w:ascii="宋体" w:hAnsi="宋体" w:cs="宋体"/>
          <w:sz w:val="24"/>
          <w:szCs w:val="24"/>
        </w:rPr>
        <w:t>品字形配置或自然配置。在大面积林种空地中采用品字形配置，补植树种栽植行沿等高线排列。在有裸露岩石、幼树或较大乔木树种分布中采用自然配置，在保障密度不改变的前提下，灵活布设栽植穴。</w:t>
      </w:r>
    </w:p>
    <w:p>
      <w:pPr>
        <w:spacing w:line="360" w:lineRule="auto"/>
        <w:ind w:firstLine="560"/>
        <w:rPr>
          <w:rFonts w:ascii="宋体" w:hAnsi="宋体" w:cs="宋体"/>
          <w:color w:val="000000" w:themeColor="text1"/>
          <w:sz w:val="24"/>
          <w:szCs w:val="24"/>
        </w:rPr>
      </w:pPr>
      <w:r>
        <w:rPr>
          <w:rFonts w:hint="eastAsia" w:ascii="宋体" w:hAnsi="宋体" w:cs="宋体"/>
          <w:sz w:val="24"/>
          <w:szCs w:val="24"/>
        </w:rPr>
        <w:t>——</w:t>
      </w:r>
      <w:r>
        <w:rPr>
          <w:rFonts w:hint="eastAsia" w:ascii="宋体" w:hAnsi="宋体" w:cs="宋体"/>
          <w:sz w:val="24"/>
          <w:szCs w:val="24"/>
          <w:lang w:val="zh-CN"/>
        </w:rPr>
        <w:t>补</w:t>
      </w:r>
      <w:r>
        <w:rPr>
          <w:rFonts w:hint="eastAsia" w:ascii="宋体" w:hAnsi="宋体" w:cs="宋体"/>
          <w:sz w:val="24"/>
          <w:szCs w:val="24"/>
        </w:rPr>
        <w:t>植补播密度：株行距采用2×3m-3×4m，具体根据作业小班现有林分密度确定，</w:t>
      </w:r>
      <w:r>
        <w:rPr>
          <w:rFonts w:hint="eastAsia" w:ascii="宋体" w:hAnsi="宋体" w:cs="宋体"/>
          <w:sz w:val="24"/>
          <w:szCs w:val="24"/>
          <w:lang w:val="zh-CN"/>
        </w:rPr>
        <w:t>补</w:t>
      </w:r>
      <w:r>
        <w:rPr>
          <w:rFonts w:hint="eastAsia" w:ascii="宋体" w:hAnsi="宋体" w:cs="宋体"/>
          <w:sz w:val="24"/>
          <w:szCs w:val="24"/>
        </w:rPr>
        <w:t>植后现地密度不少于111株/亩（含现有）；栓皮栎补播每亩20-35穴，每穴3-4粒种子。现地施工要加强区域生态多</w:t>
      </w:r>
      <w:r>
        <w:rPr>
          <w:rFonts w:hint="eastAsia" w:ascii="宋体" w:hAnsi="宋体" w:cs="宋体"/>
          <w:color w:val="000000" w:themeColor="text1"/>
          <w:sz w:val="24"/>
          <w:szCs w:val="24"/>
        </w:rPr>
        <w:t>样性保护，维护原生植被，保护野生动物栖息地，避免生境破碎化。</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rPr>
        <w:t>技术</w:t>
      </w:r>
      <w:r>
        <w:rPr>
          <w:rFonts w:hint="eastAsia" w:ascii="宋体" w:hAnsi="宋体" w:cs="宋体"/>
          <w:color w:val="000000" w:themeColor="text1"/>
          <w:sz w:val="24"/>
          <w:szCs w:val="24"/>
          <w:lang w:val="zh-CN"/>
        </w:rPr>
        <w:t>措施：</w:t>
      </w:r>
      <w:r>
        <w:rPr>
          <w:rFonts w:hint="eastAsia" w:ascii="宋体" w:hAnsi="宋体" w:cs="宋体"/>
          <w:color w:val="000000" w:themeColor="text1"/>
          <w:sz w:val="24"/>
          <w:szCs w:val="24"/>
        </w:rPr>
        <w:t>补植小班首先应视林分现状进行林地清理，清除</w:t>
      </w:r>
      <w:r>
        <w:rPr>
          <w:rFonts w:hint="eastAsia" w:ascii="宋体" w:hAnsi="宋体" w:cs="宋体"/>
          <w:color w:val="000000" w:themeColor="text1"/>
          <w:sz w:val="24"/>
          <w:szCs w:val="24"/>
          <w:lang w:val="zh-CN"/>
        </w:rPr>
        <w:t>林</w:t>
      </w:r>
      <w:r>
        <w:rPr>
          <w:rFonts w:hint="eastAsia" w:ascii="宋体" w:hAnsi="宋体" w:cs="宋体"/>
          <w:color w:val="000000" w:themeColor="text1"/>
          <w:sz w:val="24"/>
          <w:szCs w:val="24"/>
        </w:rPr>
        <w:t>间</w:t>
      </w:r>
      <w:r>
        <w:rPr>
          <w:rFonts w:hint="eastAsia" w:ascii="宋体" w:hAnsi="宋体" w:cs="宋体"/>
          <w:color w:val="000000" w:themeColor="text1"/>
          <w:sz w:val="24"/>
          <w:szCs w:val="24"/>
          <w:lang w:val="zh-CN"/>
        </w:rPr>
        <w:t>分布的枯死、濒死木、死亡的枝条，</w:t>
      </w:r>
      <w:r>
        <w:rPr>
          <w:rFonts w:hint="eastAsia" w:ascii="宋体" w:hAnsi="宋体" w:cs="宋体"/>
          <w:color w:val="000000" w:themeColor="text1"/>
          <w:sz w:val="24"/>
          <w:szCs w:val="24"/>
        </w:rPr>
        <w:t>并沿等高线水平割灌，种植行沿等高线环山排列，按照补植补播栽植穴大小整地。容器苗栽植前用刀划开容器袋，将苗木土坨植于穴中心，做到苗木放正、苗茎挺直，栽植深度比原容器土面根颈处深1～2cm。填土时，先将土块捣碎，回填土粒直径不得大于2cm，先填表土、壤土，当填土到土坨2/3左右，踩实后填土，分层压实，苗木应随起随运随栽植。栽植后将穴面成浅凹状，坡地保持鱼鳞坑外沿土埂的完整性，利于集水抗旱。栓皮栎种子点播播种后要及时覆土，盖度不宜过深；种子品质要饱满充实、纯净，无霉烂变质，无病虫害，千粒重大，富有生活力，无病虫害。</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——森林管护：退化林修复后，由山阳县林业局安排护林员巡山护林，保护工程建设成果。</w:t>
      </w:r>
    </w:p>
    <w:p>
      <w:pPr>
        <w:pStyle w:val="7"/>
        <w:spacing w:beforeLines="0" w:line="360" w:lineRule="auto"/>
        <w:ind w:firstLine="241" w:firstLineChars="100"/>
        <w:jc w:val="both"/>
        <w:rPr>
          <w:rFonts w:ascii="宋体" w:hAnsi="宋体" w:cs="宋体"/>
          <w:bCs w:val="0"/>
          <w:color w:val="000000" w:themeColor="text1"/>
        </w:rPr>
      </w:pPr>
      <w:r>
        <w:rPr>
          <w:rFonts w:hint="eastAsia" w:ascii="宋体" w:hAnsi="宋体" w:cs="宋体"/>
          <w:bCs w:val="0"/>
          <w:color w:val="000000" w:themeColor="text1"/>
        </w:rPr>
        <w:t>4.2.2采伐修复</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lang w:val="zh-CN"/>
        </w:rPr>
        <w:t>适用于</w:t>
      </w:r>
      <w:r>
        <w:rPr>
          <w:rFonts w:hint="eastAsia" w:ascii="宋体" w:hAnsi="宋体" w:cs="宋体"/>
          <w:color w:val="000000" w:themeColor="text1"/>
          <w:sz w:val="24"/>
          <w:szCs w:val="24"/>
        </w:rPr>
        <w:t>退化天然乔木林，退化指标2，退化等级一般</w:t>
      </w:r>
      <w:r>
        <w:rPr>
          <w:rFonts w:hint="eastAsia" w:ascii="宋体" w:hAnsi="宋体" w:cs="宋体"/>
          <w:color w:val="000000" w:themeColor="text1"/>
          <w:sz w:val="24"/>
          <w:szCs w:val="24"/>
          <w:lang w:val="zh-CN"/>
        </w:rPr>
        <w:t>的栎类纯林、栎类</w:t>
      </w:r>
      <w:r>
        <w:rPr>
          <w:rFonts w:hint="eastAsia" w:ascii="宋体" w:hAnsi="宋体" w:cs="宋体"/>
          <w:color w:val="000000" w:themeColor="text1"/>
          <w:sz w:val="24"/>
          <w:szCs w:val="24"/>
        </w:rPr>
        <w:t>+软（硬）阔混交林、</w:t>
      </w:r>
      <w:r>
        <w:rPr>
          <w:rFonts w:hint="eastAsia" w:ascii="宋体" w:hAnsi="宋体" w:cs="宋体"/>
          <w:color w:val="000000" w:themeColor="text1"/>
          <w:sz w:val="24"/>
          <w:szCs w:val="24"/>
          <w:lang w:val="zh-CN"/>
        </w:rPr>
        <w:t>栎类</w:t>
      </w:r>
      <w:r>
        <w:rPr>
          <w:rFonts w:hint="eastAsia" w:ascii="宋体" w:hAnsi="宋体" w:cs="宋体"/>
          <w:color w:val="000000" w:themeColor="text1"/>
          <w:sz w:val="24"/>
          <w:szCs w:val="24"/>
        </w:rPr>
        <w:t>+油松（柏木）混交林、软（硬）阔+油松（柏木）混交林。</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对修复小班内的枯死木、濒死木和受害木群状分布特征不明显且呈零散分布的区域进行</w:t>
      </w:r>
      <w:r>
        <w:rPr>
          <w:rFonts w:hint="eastAsia" w:ascii="宋体" w:hAnsi="宋体" w:cs="宋体"/>
          <w:color w:val="000000" w:themeColor="text1"/>
          <w:sz w:val="24"/>
          <w:szCs w:val="24"/>
        </w:rPr>
        <w:t>采伐</w:t>
      </w:r>
      <w:r>
        <w:rPr>
          <w:rFonts w:hint="eastAsia" w:ascii="宋体" w:hAnsi="宋体" w:cs="宋体"/>
          <w:color w:val="000000" w:themeColor="text1"/>
          <w:sz w:val="24"/>
          <w:szCs w:val="24"/>
          <w:lang w:val="zh-CN"/>
        </w:rPr>
        <w:t>，对染</w:t>
      </w:r>
      <w:r>
        <w:rPr>
          <w:rFonts w:hint="eastAsia" w:ascii="宋体" w:hAnsi="宋体" w:cs="宋体"/>
          <w:color w:val="000000" w:themeColor="text1"/>
          <w:sz w:val="24"/>
          <w:szCs w:val="24"/>
        </w:rPr>
        <w:t>松材线虫病</w:t>
      </w:r>
      <w:r>
        <w:rPr>
          <w:rFonts w:hint="eastAsia" w:ascii="宋体" w:hAnsi="宋体" w:cs="宋体"/>
          <w:color w:val="000000" w:themeColor="text1"/>
          <w:sz w:val="24"/>
          <w:szCs w:val="24"/>
          <w:lang w:val="zh-CN"/>
        </w:rPr>
        <w:t>的松</w:t>
      </w:r>
      <w:r>
        <w:rPr>
          <w:rFonts w:hint="eastAsia" w:ascii="宋体" w:hAnsi="宋体" w:cs="宋体"/>
          <w:color w:val="000000" w:themeColor="text1"/>
          <w:sz w:val="24"/>
          <w:szCs w:val="24"/>
        </w:rPr>
        <w:t>类</w:t>
      </w:r>
      <w:r>
        <w:rPr>
          <w:rFonts w:hint="eastAsia" w:ascii="宋体" w:hAnsi="宋体" w:cs="宋体"/>
          <w:color w:val="000000" w:themeColor="text1"/>
          <w:sz w:val="24"/>
          <w:szCs w:val="24"/>
          <w:lang w:val="zh-CN"/>
        </w:rPr>
        <w:t>等林木，</w:t>
      </w:r>
      <w:r>
        <w:rPr>
          <w:rFonts w:hint="eastAsia" w:ascii="宋体" w:hAnsi="宋体" w:cs="宋体"/>
          <w:color w:val="000000" w:themeColor="text1"/>
          <w:sz w:val="24"/>
          <w:szCs w:val="24"/>
        </w:rPr>
        <w:t>若现地单株出线，作业时一并处理，若现地株数较大，呈一定规模，及时上报山阳县林业局，由松材线虫病防治专项工程进行处理</w:t>
      </w: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rPr>
        <w:t>采伐</w:t>
      </w:r>
      <w:r>
        <w:rPr>
          <w:rFonts w:hint="eastAsia" w:ascii="宋体" w:hAnsi="宋体" w:cs="宋体"/>
          <w:color w:val="000000" w:themeColor="text1"/>
          <w:sz w:val="24"/>
          <w:szCs w:val="24"/>
          <w:lang w:val="zh-CN"/>
        </w:rPr>
        <w:t>优先伐除干扰木或IV级、V级木，一次</w:t>
      </w:r>
      <w:r>
        <w:rPr>
          <w:rFonts w:hint="eastAsia" w:ascii="宋体" w:hAnsi="宋体" w:cs="宋体"/>
          <w:color w:val="000000" w:themeColor="text1"/>
          <w:sz w:val="24"/>
          <w:szCs w:val="24"/>
        </w:rPr>
        <w:t>采伐</w:t>
      </w:r>
      <w:r>
        <w:rPr>
          <w:rFonts w:hint="eastAsia" w:ascii="宋体" w:hAnsi="宋体" w:cs="宋体"/>
          <w:color w:val="000000" w:themeColor="text1"/>
          <w:sz w:val="24"/>
          <w:szCs w:val="24"/>
          <w:lang w:val="zh-CN"/>
        </w:rPr>
        <w:t>强度不超过总株树的</w:t>
      </w:r>
      <w:r>
        <w:rPr>
          <w:rFonts w:hint="eastAsia" w:ascii="宋体" w:hAnsi="宋体" w:cs="宋体"/>
          <w:color w:val="000000" w:themeColor="text1"/>
          <w:sz w:val="24"/>
          <w:szCs w:val="24"/>
        </w:rPr>
        <w:t>15%，</w:t>
      </w:r>
      <w:r>
        <w:rPr>
          <w:rFonts w:hint="eastAsia" w:ascii="宋体" w:hAnsi="宋体" w:cs="宋体"/>
          <w:color w:val="000000" w:themeColor="text1"/>
          <w:sz w:val="24"/>
          <w:szCs w:val="24"/>
          <w:lang w:val="zh-CN"/>
        </w:rPr>
        <w:t>调整林分密度、树种组成和林分结构。</w:t>
      </w:r>
      <w:r>
        <w:rPr>
          <w:rFonts w:hint="eastAsia" w:ascii="宋体" w:hAnsi="宋体" w:cs="宋体"/>
          <w:color w:val="000000" w:themeColor="text1"/>
          <w:sz w:val="24"/>
          <w:szCs w:val="24"/>
        </w:rPr>
        <w:t>采伐</w:t>
      </w:r>
      <w:r>
        <w:rPr>
          <w:rFonts w:hint="eastAsia" w:ascii="宋体" w:hAnsi="宋体" w:cs="宋体"/>
          <w:color w:val="000000" w:themeColor="text1"/>
          <w:sz w:val="24"/>
          <w:szCs w:val="24"/>
          <w:lang w:val="zh-CN"/>
        </w:rPr>
        <w:t>后要依据林分状况和经营目标及时补植补</w:t>
      </w:r>
      <w:r>
        <w:rPr>
          <w:rFonts w:hint="eastAsia" w:ascii="宋体" w:hAnsi="宋体" w:cs="宋体"/>
          <w:color w:val="000000" w:themeColor="text1"/>
          <w:sz w:val="24"/>
          <w:szCs w:val="24"/>
        </w:rPr>
        <w:t>播</w:t>
      </w:r>
      <w:r>
        <w:rPr>
          <w:rFonts w:hint="eastAsia" w:ascii="宋体" w:hAnsi="宋体" w:cs="宋体"/>
          <w:color w:val="000000" w:themeColor="text1"/>
          <w:sz w:val="24"/>
          <w:szCs w:val="24"/>
          <w:lang w:val="zh-CN"/>
        </w:rPr>
        <w:t>，配以割灌、修枝等措施，培育混交林。对有天然落种或萌生能力强，或通过人工措施加强林地管理可恢复正常生产的林地，辅之促进复壮。设计如下：</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——修复方式：</w:t>
      </w:r>
      <w:r>
        <w:rPr>
          <w:rFonts w:hint="eastAsia" w:ascii="宋体" w:hAnsi="宋体" w:cs="宋体"/>
          <w:color w:val="000000" w:themeColor="text1"/>
          <w:sz w:val="24"/>
          <w:szCs w:val="24"/>
        </w:rPr>
        <w:t>采伐</w:t>
      </w:r>
      <w:r>
        <w:rPr>
          <w:rFonts w:hint="eastAsia" w:ascii="宋体" w:hAnsi="宋体" w:cs="宋体"/>
          <w:color w:val="000000" w:themeColor="text1"/>
          <w:sz w:val="24"/>
          <w:szCs w:val="24"/>
          <w:lang w:val="zh-CN"/>
        </w:rPr>
        <w:t>修复。</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lang w:val="zh-CN"/>
        </w:rPr>
        <w:t>——修复措施：</w:t>
      </w:r>
      <w:r>
        <w:rPr>
          <w:rFonts w:hint="eastAsia" w:ascii="宋体" w:hAnsi="宋体" w:cs="宋体"/>
          <w:color w:val="000000" w:themeColor="text1"/>
          <w:sz w:val="24"/>
          <w:szCs w:val="24"/>
        </w:rPr>
        <w:t>抚育采伐</w:t>
      </w:r>
    </w:p>
    <w:p>
      <w:pPr>
        <w:spacing w:line="360" w:lineRule="auto"/>
        <w:ind w:firstLine="560"/>
        <w:rPr>
          <w:rFonts w:ascii="宋体" w:hAnsi="宋体" w:cs="宋体"/>
          <w:color w:val="auto"/>
          <w:sz w:val="24"/>
          <w:szCs w:val="24"/>
          <w:lang w:val="zh-CN"/>
        </w:rPr>
      </w:pP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rPr>
        <w:t>采伐</w:t>
      </w:r>
      <w:r>
        <w:rPr>
          <w:rFonts w:hint="eastAsia" w:ascii="宋体" w:hAnsi="宋体" w:cs="宋体"/>
          <w:color w:val="000000" w:themeColor="text1"/>
          <w:sz w:val="24"/>
          <w:szCs w:val="24"/>
          <w:lang w:val="zh-CN"/>
        </w:rPr>
        <w:t>设计：对存在生长竞争关系的不良个体，伐除密度过大地块胸径5厘米以下纤细个体及不良个体，以栎类、软（硬）阔为主，平均</w:t>
      </w:r>
      <w:r>
        <w:rPr>
          <w:rFonts w:hint="eastAsia" w:ascii="宋体" w:hAnsi="宋体" w:cs="宋体"/>
          <w:color w:val="auto"/>
          <w:sz w:val="24"/>
          <w:szCs w:val="24"/>
          <w:lang w:val="zh-CN"/>
        </w:rPr>
        <w:t>每亩</w:t>
      </w:r>
      <w:r>
        <w:rPr>
          <w:rFonts w:hint="eastAsia" w:ascii="宋体" w:hAnsi="宋体" w:cs="宋体"/>
          <w:color w:val="auto"/>
          <w:sz w:val="24"/>
          <w:szCs w:val="24"/>
        </w:rPr>
        <w:t>5</w:t>
      </w:r>
      <w:r>
        <w:rPr>
          <w:rFonts w:hint="eastAsia" w:ascii="宋体" w:hAnsi="宋体" w:cs="宋体"/>
          <w:color w:val="auto"/>
          <w:sz w:val="24"/>
          <w:szCs w:val="24"/>
          <w:lang w:val="zh-CN"/>
        </w:rPr>
        <w:t>-</w:t>
      </w:r>
      <w:r>
        <w:rPr>
          <w:rFonts w:hint="eastAsia" w:ascii="宋体" w:hAnsi="宋体" w:cs="宋体"/>
          <w:color w:val="auto"/>
          <w:sz w:val="24"/>
          <w:szCs w:val="24"/>
        </w:rPr>
        <w:t>15</w:t>
      </w:r>
      <w:r>
        <w:rPr>
          <w:rFonts w:hint="eastAsia" w:ascii="宋体" w:hAnsi="宋体" w:cs="宋体"/>
          <w:color w:val="auto"/>
          <w:sz w:val="24"/>
          <w:szCs w:val="24"/>
          <w:lang w:val="zh-CN"/>
        </w:rPr>
        <w:t>株；对胸径连年生长量明显下降的不良植株，伐除纤细、自然整枝不良、非目的树种，平均每亩 10-15 株。</w:t>
      </w:r>
    </w:p>
    <w:p>
      <w:pPr>
        <w:spacing w:line="360" w:lineRule="auto"/>
        <w:ind w:firstLine="560"/>
        <w:rPr>
          <w:rFonts w:ascii="宋体" w:hAnsi="宋体" w:cs="宋体"/>
          <w:color w:val="000000" w:themeColor="text1"/>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技术</w:t>
      </w:r>
      <w:r>
        <w:rPr>
          <w:rFonts w:hint="eastAsia" w:ascii="宋体" w:hAnsi="宋体" w:cs="宋体"/>
          <w:color w:val="auto"/>
          <w:sz w:val="24"/>
          <w:szCs w:val="24"/>
          <w:lang w:val="zh-CN"/>
        </w:rPr>
        <w:t>措施：</w:t>
      </w:r>
      <w:r>
        <w:rPr>
          <w:rFonts w:hint="eastAsia" w:ascii="宋体" w:hAnsi="宋体" w:cs="宋体"/>
          <w:color w:val="auto"/>
          <w:sz w:val="24"/>
          <w:szCs w:val="24"/>
        </w:rPr>
        <w:t>清除</w:t>
      </w:r>
      <w:r>
        <w:rPr>
          <w:rFonts w:hint="eastAsia" w:ascii="宋体" w:hAnsi="宋体" w:cs="宋体"/>
          <w:color w:val="auto"/>
          <w:sz w:val="24"/>
          <w:szCs w:val="24"/>
          <w:lang w:val="zh-CN"/>
        </w:rPr>
        <w:t>林间块状分布的枯死、濒死木、死亡的枝条，</w:t>
      </w:r>
      <w:r>
        <w:rPr>
          <w:rFonts w:hint="eastAsia" w:ascii="宋体" w:hAnsi="宋体" w:cs="宋体"/>
          <w:color w:val="auto"/>
          <w:sz w:val="24"/>
          <w:szCs w:val="24"/>
        </w:rPr>
        <w:t>对遭受自然灾害、存在生长竞争关系、生长量连年下降的不良个体及纤细植株进行间伐，</w:t>
      </w:r>
      <w:r>
        <w:rPr>
          <w:rFonts w:hint="eastAsia" w:ascii="宋体" w:hAnsi="宋体" w:cs="宋体"/>
          <w:color w:val="auto"/>
          <w:sz w:val="24"/>
          <w:szCs w:val="24"/>
          <w:lang w:val="zh-CN"/>
        </w:rPr>
        <w:t>强</w:t>
      </w:r>
      <w:r>
        <w:rPr>
          <w:rFonts w:hint="eastAsia" w:ascii="宋体" w:hAnsi="宋体" w:cs="宋体"/>
          <w:color w:val="000000" w:themeColor="text1"/>
          <w:sz w:val="24"/>
          <w:szCs w:val="24"/>
          <w:lang w:val="zh-CN"/>
        </w:rPr>
        <w:t>度控制在</w:t>
      </w:r>
      <w:r>
        <w:rPr>
          <w:rFonts w:hint="eastAsia" w:ascii="宋体" w:hAnsi="宋体" w:cs="宋体"/>
          <w:color w:val="000000" w:themeColor="text1"/>
          <w:sz w:val="24"/>
          <w:szCs w:val="24"/>
        </w:rPr>
        <w:t>20%以内；同时对采伐后密度不足或存在林间空地的地块，进行人工补植，营造针阔异龄复层，</w:t>
      </w:r>
      <w:r>
        <w:rPr>
          <w:rFonts w:hint="eastAsia" w:ascii="宋体" w:hAnsi="宋体" w:cs="宋体"/>
          <w:color w:val="000000" w:themeColor="text1"/>
          <w:sz w:val="24"/>
          <w:szCs w:val="24"/>
          <w:lang w:val="zh-CN"/>
        </w:rPr>
        <w:t>补</w:t>
      </w:r>
      <w:r>
        <w:rPr>
          <w:rFonts w:hint="eastAsia" w:ascii="宋体" w:hAnsi="宋体" w:cs="宋体"/>
          <w:color w:val="000000" w:themeColor="text1"/>
          <w:sz w:val="24"/>
          <w:szCs w:val="24"/>
        </w:rPr>
        <w:t>植采取“见缝插针”的精准方式，按需补植，保证单位面积的密度达到标准；同时对自然整枝不良、枯死的枝条等进行修枝，对林间存在的针叶幼龄林进行扩盘培土，对影响目的树种幼树幼苗的高大灌草及缠绕主枝的藤本进行割灌（割藤），促进林木正常生长发育</w:t>
      </w:r>
      <w:r>
        <w:rPr>
          <w:rFonts w:hint="eastAsia" w:ascii="宋体" w:hAnsi="宋体" w:cs="宋体"/>
          <w:color w:val="000000" w:themeColor="text1"/>
          <w:sz w:val="24"/>
          <w:szCs w:val="24"/>
          <w:lang w:val="zh-CN"/>
        </w:rPr>
        <w:t>。坡度较缓的地段采用品字形配置，块状混交，株行距保持与现有树种一致，一般为 3×3m；在坡面破碎的地段，栽植坑的位置灵活掌握，不拘于株行距的规定，但要保证单位面积上的栽植点的数量，一般不低于 111 株（穴）/亩（补植后）。</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——剩余物处理：对砍除枯死木、濒死木、受害木、树枝、灌木、藤本、刺丛等，堆腐于林地内，堆集规格为堆高≤1.2m、堆长≤2.0m、堆宽≤1.5m，堆与堆间隔≥5m。</w:t>
      </w:r>
    </w:p>
    <w:p>
      <w:pPr>
        <w:pStyle w:val="7"/>
        <w:spacing w:beforeLines="0" w:line="360" w:lineRule="auto"/>
        <w:ind w:firstLine="241" w:firstLineChars="100"/>
        <w:jc w:val="both"/>
        <w:rPr>
          <w:rFonts w:ascii="宋体" w:hAnsi="宋体" w:cs="宋体"/>
          <w:bCs w:val="0"/>
          <w:color w:val="000000" w:themeColor="text1"/>
        </w:rPr>
      </w:pPr>
      <w:r>
        <w:rPr>
          <w:rFonts w:hint="eastAsia" w:ascii="宋体" w:hAnsi="宋体" w:cs="宋体"/>
          <w:bCs w:val="0"/>
          <w:color w:val="000000" w:themeColor="text1"/>
        </w:rPr>
        <w:t>4.2.3人工促进天然更新</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lang w:val="zh-CN"/>
        </w:rPr>
        <w:t>适用于</w:t>
      </w:r>
      <w:r>
        <w:rPr>
          <w:rFonts w:hint="eastAsia" w:ascii="宋体" w:hAnsi="宋体" w:cs="宋体"/>
          <w:color w:val="000000" w:themeColor="text1"/>
          <w:sz w:val="24"/>
          <w:szCs w:val="24"/>
        </w:rPr>
        <w:t>天然退化乔木林，退化指标2、5，退化等级一般</w:t>
      </w:r>
      <w:r>
        <w:rPr>
          <w:rFonts w:hint="eastAsia" w:ascii="宋体" w:hAnsi="宋体" w:cs="宋体"/>
          <w:color w:val="000000" w:themeColor="text1"/>
          <w:sz w:val="24"/>
          <w:szCs w:val="24"/>
          <w:lang w:val="zh-CN"/>
        </w:rPr>
        <w:t>的栎类纯林、栎类</w:t>
      </w:r>
      <w:r>
        <w:rPr>
          <w:rFonts w:hint="eastAsia" w:ascii="宋体" w:hAnsi="宋体" w:cs="宋体"/>
          <w:color w:val="000000" w:themeColor="text1"/>
          <w:sz w:val="24"/>
          <w:szCs w:val="24"/>
        </w:rPr>
        <w:t>+软（硬）阔混交林、</w:t>
      </w:r>
      <w:r>
        <w:rPr>
          <w:rFonts w:hint="eastAsia" w:ascii="宋体" w:hAnsi="宋体" w:cs="宋体"/>
          <w:color w:val="000000" w:themeColor="text1"/>
          <w:sz w:val="24"/>
          <w:szCs w:val="24"/>
          <w:lang w:val="zh-CN"/>
        </w:rPr>
        <w:t>栎类</w:t>
      </w:r>
      <w:r>
        <w:rPr>
          <w:rFonts w:hint="eastAsia" w:ascii="宋体" w:hAnsi="宋体" w:cs="宋体"/>
          <w:color w:val="000000" w:themeColor="text1"/>
          <w:sz w:val="24"/>
          <w:szCs w:val="24"/>
        </w:rPr>
        <w:t>+油松（柏木）混交林、软（硬）阔+油松（柏木）混交林，具有天然下种条件，但天然更新等级不良的地块。</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——修复方式：</w:t>
      </w:r>
      <w:r>
        <w:rPr>
          <w:rFonts w:hint="eastAsia" w:ascii="宋体" w:hAnsi="宋体" w:cs="宋体"/>
          <w:color w:val="000000" w:themeColor="text1"/>
          <w:sz w:val="24"/>
          <w:szCs w:val="24"/>
        </w:rPr>
        <w:t>人工促进天然更新</w:t>
      </w:r>
      <w:r>
        <w:rPr>
          <w:rFonts w:hint="eastAsia" w:ascii="宋体" w:hAnsi="宋体" w:cs="宋体"/>
          <w:color w:val="000000" w:themeColor="text1"/>
          <w:sz w:val="24"/>
          <w:szCs w:val="24"/>
          <w:lang w:val="zh-CN"/>
        </w:rPr>
        <w:t>。</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——修复措施：</w:t>
      </w:r>
      <w:r>
        <w:rPr>
          <w:rFonts w:hint="eastAsia" w:ascii="宋体" w:hAnsi="宋体" w:cs="宋体"/>
          <w:color w:val="000000" w:themeColor="text1"/>
          <w:sz w:val="24"/>
          <w:szCs w:val="24"/>
        </w:rPr>
        <w:t>破土、松土除草、割灌割藤</w:t>
      </w:r>
      <w:r>
        <w:rPr>
          <w:rFonts w:hint="eastAsia" w:ascii="宋体" w:hAnsi="宋体" w:cs="宋体"/>
          <w:color w:val="000000" w:themeColor="text1"/>
          <w:sz w:val="24"/>
          <w:szCs w:val="24"/>
          <w:lang w:val="zh-CN"/>
        </w:rPr>
        <w:t>。</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rPr>
        <w:t>技术</w:t>
      </w:r>
      <w:r>
        <w:rPr>
          <w:rFonts w:hint="eastAsia" w:ascii="宋体" w:hAnsi="宋体" w:cs="宋体"/>
          <w:color w:val="000000" w:themeColor="text1"/>
          <w:sz w:val="24"/>
          <w:szCs w:val="24"/>
          <w:lang w:val="zh-CN"/>
        </w:rPr>
        <w:t>措施：</w:t>
      </w:r>
      <w:r>
        <w:rPr>
          <w:rFonts w:hint="eastAsia" w:ascii="宋体" w:hAnsi="宋体" w:cs="宋体"/>
          <w:color w:val="000000" w:themeColor="text1"/>
          <w:sz w:val="24"/>
          <w:szCs w:val="24"/>
        </w:rPr>
        <w:t>采取破土、松土除草、割灌割藤的方式，围绕目的树种幼苗幼树局部割灌，对于因灌草覆盖度较大，而影响母树天然下种、幼苗幼树生长，需要采用人工促进更新的措施，促进幼苗幼树生长。对于灌草生长茂盛，幼苗幼树分布少，种子触土难度大的地块，采取人工带状或块状除草砍灌、破土整地等人为措施，为母树天然下种成苗创造条件。破土整地的规格为20cm×15cm×10cm，破土面积7243.1亩，松土除草穴数120725穴，砍灌、整地时要保护好已更新的幼苗幼树。对于林木密度相对较大的局部地段破土规格应不拘于密度的限制，以填空补缺的方式进行。同时结合破土整地在树种组成单一和结构层次简单的作业小班，对影响幼苗幼树生长的灌木、杂草等进行局部透光，以利于幼树幼苗。</w:t>
      </w:r>
    </w:p>
    <w:p>
      <w:pPr>
        <w:pStyle w:val="5"/>
        <w:spacing w:beforeLines="50" w:line="360" w:lineRule="auto"/>
        <w:jc w:val="both"/>
        <w:rPr>
          <w:rFonts w:ascii="宋体" w:hAnsi="宋体" w:cs="宋体"/>
          <w:color w:val="000000" w:themeColor="text1"/>
          <w:sz w:val="24"/>
          <w:szCs w:val="24"/>
        </w:rPr>
      </w:pPr>
      <w:bookmarkStart w:id="110" w:name="_Toc10496"/>
      <w:bookmarkStart w:id="111" w:name="_Toc3425"/>
      <w:r>
        <w:rPr>
          <w:rFonts w:hint="eastAsia" w:ascii="宋体" w:hAnsi="宋体" w:cs="宋体"/>
          <w:color w:val="000000" w:themeColor="text1"/>
          <w:sz w:val="24"/>
          <w:szCs w:val="24"/>
        </w:rPr>
        <w:t>4.3 主要技术措施</w:t>
      </w:r>
      <w:bookmarkEnd w:id="110"/>
      <w:bookmarkEnd w:id="111"/>
    </w:p>
    <w:p>
      <w:pPr>
        <w:pStyle w:val="7"/>
        <w:spacing w:beforeLines="0" w:line="360" w:lineRule="auto"/>
        <w:ind w:firstLine="241" w:firstLineChars="100"/>
        <w:jc w:val="both"/>
        <w:rPr>
          <w:rFonts w:ascii="宋体" w:hAnsi="宋体" w:cs="宋体"/>
          <w:bCs w:val="0"/>
          <w:color w:val="000000" w:themeColor="text1"/>
        </w:rPr>
      </w:pPr>
      <w:r>
        <w:rPr>
          <w:rFonts w:hint="eastAsia" w:ascii="宋体" w:hAnsi="宋体" w:cs="宋体"/>
          <w:bCs w:val="0"/>
          <w:color w:val="000000" w:themeColor="text1"/>
        </w:rPr>
        <w:t>4.3.1补植补播技术措施</w:t>
      </w:r>
    </w:p>
    <w:p>
      <w:pPr>
        <w:spacing w:line="360" w:lineRule="auto"/>
        <w:ind w:firstLine="560"/>
        <w:rPr>
          <w:rFonts w:ascii="宋体" w:hAnsi="宋体" w:cs="宋体"/>
          <w:color w:val="FF0000"/>
          <w:sz w:val="24"/>
          <w:szCs w:val="24"/>
          <w:lang w:val="zh-CN"/>
        </w:rPr>
      </w:pPr>
      <w:r>
        <w:rPr>
          <w:rFonts w:hint="eastAsia" w:ascii="宋体" w:hAnsi="宋体" w:cs="宋体"/>
          <w:color w:val="000000" w:themeColor="text1"/>
          <w:sz w:val="24"/>
          <w:szCs w:val="24"/>
        </w:rPr>
        <w:t>首先定点清除林间内的各类</w:t>
      </w:r>
      <w:r>
        <w:rPr>
          <w:rFonts w:hint="eastAsia" w:ascii="宋体" w:hAnsi="宋体" w:cs="宋体"/>
          <w:color w:val="000000" w:themeColor="text1"/>
          <w:sz w:val="24"/>
          <w:szCs w:val="24"/>
          <w:lang w:val="zh-CN"/>
        </w:rPr>
        <w:t>纤细个体、不良个体，及枯死木、濒死木和病原木，</w:t>
      </w:r>
      <w:r>
        <w:rPr>
          <w:rFonts w:hint="eastAsia" w:ascii="宋体" w:hAnsi="宋体" w:cs="宋体"/>
          <w:color w:val="000000" w:themeColor="text1"/>
          <w:sz w:val="24"/>
          <w:szCs w:val="24"/>
        </w:rPr>
        <w:t>然后对作业后</w:t>
      </w:r>
      <w:r>
        <w:rPr>
          <w:rFonts w:hint="eastAsia" w:ascii="宋体" w:hAnsi="宋体" w:cs="宋体"/>
          <w:color w:val="000000" w:themeColor="text1"/>
          <w:sz w:val="24"/>
          <w:szCs w:val="24"/>
          <w:lang w:val="zh-CN"/>
        </w:rPr>
        <w:t>的地块及大于</w:t>
      </w:r>
      <w:r>
        <w:rPr>
          <w:rFonts w:hint="eastAsia" w:ascii="宋体" w:hAnsi="宋体" w:cs="宋体"/>
          <w:color w:val="000000" w:themeColor="text1"/>
          <w:sz w:val="24"/>
          <w:szCs w:val="24"/>
        </w:rPr>
        <w:t>25平方米的林间空地进行补植补播，补植树种</w:t>
      </w:r>
      <w:r>
        <w:rPr>
          <w:rFonts w:hint="eastAsia" w:ascii="宋体" w:hAnsi="宋体" w:cs="宋体"/>
          <w:color w:val="000000" w:themeColor="text1"/>
          <w:sz w:val="24"/>
          <w:szCs w:val="24"/>
          <w:lang w:val="zh-CN"/>
        </w:rPr>
        <w:t>采取更换栽植其他适生树种，</w:t>
      </w:r>
      <w:r>
        <w:rPr>
          <w:rFonts w:hint="eastAsia" w:ascii="宋体" w:hAnsi="宋体" w:cs="宋体"/>
          <w:color w:val="000000" w:themeColor="text1"/>
          <w:sz w:val="24"/>
          <w:szCs w:val="24"/>
        </w:rPr>
        <w:t>遵循抽针（阔)补阔（针）、栽针（阔)保阔（针）的交叉补植原则，</w:t>
      </w:r>
      <w:r>
        <w:rPr>
          <w:rFonts w:hint="eastAsia" w:ascii="宋体" w:hAnsi="宋体" w:cs="宋体"/>
          <w:color w:val="000000" w:themeColor="text1"/>
          <w:sz w:val="24"/>
          <w:szCs w:val="24"/>
          <w:lang w:val="zh-CN"/>
        </w:rPr>
        <w:t>形成混交林，整地方式采取鱼鳞坑的整地方式，规格长径</w:t>
      </w:r>
      <w:r>
        <w:rPr>
          <w:rFonts w:hint="eastAsia" w:ascii="宋体" w:hAnsi="宋体" w:cs="宋体"/>
          <w:color w:val="000000" w:themeColor="text1"/>
          <w:sz w:val="24"/>
          <w:szCs w:val="24"/>
        </w:rPr>
        <w:t>50</w:t>
      </w: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rPr>
        <w:t>40</w:t>
      </w:r>
      <w:r>
        <w:rPr>
          <w:rFonts w:hint="eastAsia" w:ascii="宋体" w:hAnsi="宋体" w:cs="宋体"/>
          <w:color w:val="000000" w:themeColor="text1"/>
          <w:sz w:val="24"/>
          <w:szCs w:val="24"/>
          <w:lang w:val="zh-CN"/>
        </w:rPr>
        <w:t>×40</w:t>
      </w:r>
      <w:r>
        <w:rPr>
          <w:rFonts w:hint="eastAsia" w:ascii="宋体" w:hAnsi="宋体" w:cs="宋体"/>
          <w:color w:val="000000" w:themeColor="text1"/>
          <w:sz w:val="24"/>
          <w:szCs w:val="24"/>
        </w:rPr>
        <w:t>cm，株行距2</w:t>
      </w: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rPr>
        <w:t>3</w:t>
      </w:r>
      <w:r>
        <w:rPr>
          <w:rFonts w:hint="eastAsia" w:ascii="宋体" w:hAnsi="宋体" w:cs="宋体"/>
          <w:color w:val="000000" w:themeColor="text1"/>
          <w:sz w:val="24"/>
          <w:szCs w:val="24"/>
          <w:lang w:val="zh-CN"/>
        </w:rPr>
        <w:t>m</w:t>
      </w:r>
      <w:r>
        <w:rPr>
          <w:rFonts w:hint="eastAsia" w:ascii="宋体" w:hAnsi="宋体" w:cs="宋体"/>
          <w:color w:val="000000" w:themeColor="text1"/>
          <w:sz w:val="24"/>
          <w:szCs w:val="24"/>
        </w:rPr>
        <w:t>-3</w:t>
      </w: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rPr>
        <w:t>4</w:t>
      </w:r>
      <w:r>
        <w:rPr>
          <w:rFonts w:hint="eastAsia" w:ascii="宋体" w:hAnsi="宋体" w:cs="宋体"/>
          <w:color w:val="000000" w:themeColor="text1"/>
          <w:sz w:val="24"/>
          <w:szCs w:val="24"/>
          <w:lang w:val="zh-CN"/>
        </w:rPr>
        <w:t>m</w:t>
      </w:r>
      <w:r>
        <w:rPr>
          <w:rFonts w:hint="eastAsia" w:ascii="宋体" w:hAnsi="宋体" w:cs="宋体"/>
          <w:color w:val="000000" w:themeColor="text1"/>
          <w:sz w:val="24"/>
          <w:szCs w:val="24"/>
        </w:rPr>
        <w:t>，保证补植后现地密度111株/亩（含现地原有株数）</w:t>
      </w:r>
      <w:r>
        <w:rPr>
          <w:rFonts w:hint="eastAsia" w:ascii="宋体" w:hAnsi="宋体" w:cs="宋体"/>
          <w:color w:val="000000" w:themeColor="text1"/>
          <w:sz w:val="24"/>
          <w:szCs w:val="24"/>
          <w:lang w:val="zh-CN"/>
        </w:rPr>
        <w:t>。</w:t>
      </w:r>
    </w:p>
    <w:p>
      <w:pPr>
        <w:pStyle w:val="7"/>
        <w:spacing w:beforeLines="0" w:line="360" w:lineRule="auto"/>
        <w:ind w:firstLine="241" w:firstLineChars="100"/>
        <w:jc w:val="both"/>
        <w:rPr>
          <w:rFonts w:ascii="宋体" w:hAnsi="宋体" w:cs="宋体"/>
          <w:bCs w:val="0"/>
          <w:color w:val="000000" w:themeColor="text1"/>
        </w:rPr>
      </w:pPr>
      <w:r>
        <w:rPr>
          <w:rFonts w:hint="eastAsia" w:ascii="宋体" w:hAnsi="宋体" w:cs="宋体"/>
          <w:bCs w:val="0"/>
          <w:color w:val="000000" w:themeColor="text1"/>
        </w:rPr>
        <w:t>4.3.2采伐修复技术措施</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在中龄林阶段进行，定点伐除胸径连年生长明显下降的林木，减低对目标树或保留木生长的影响，促进林木径向生长。在中龄林至近成熟林阶段进行，伐除生长过密和生长不良的林木，将立木密度调整合理，使保留木具有较好的营养空间，促进林木的干形生长，培育优良木。对遭受病虫害、风折、风倒、雪压、森林火灾的林分，伐除已被危害、丧失培养前途、难以恢复或危及目标树或保留木的林木。</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伐后要及时将可利用的木材运走，同时清理采伐剩余物，可采取运出，或平铺在林内，或按一定间距均匀堆放在林内等方式处理；有条件时，可粉碎后堆放于目标树根部鱼鳞坑中。坡度较大情况下，可在目标树根部做反坡向的水肥坑（鱼鳞坑）并将采伐剩余物适当切碎堆埋于坑内。</w:t>
      </w:r>
    </w:p>
    <w:p>
      <w:pPr>
        <w:pStyle w:val="7"/>
        <w:spacing w:beforeLines="0" w:line="360" w:lineRule="auto"/>
        <w:ind w:firstLine="241" w:firstLineChars="100"/>
        <w:jc w:val="both"/>
        <w:rPr>
          <w:rFonts w:ascii="宋体" w:hAnsi="宋体" w:cs="宋体"/>
          <w:bCs w:val="0"/>
          <w:color w:val="000000" w:themeColor="text1"/>
        </w:rPr>
      </w:pPr>
      <w:r>
        <w:rPr>
          <w:rFonts w:hint="eastAsia" w:ascii="宋体" w:hAnsi="宋体" w:cs="宋体"/>
          <w:bCs w:val="0"/>
          <w:color w:val="000000" w:themeColor="text1"/>
        </w:rPr>
        <w:t>4.3.3辅助技术措施</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rPr>
        <w:t>修枝：</w:t>
      </w:r>
      <w:r>
        <w:rPr>
          <w:rFonts w:hint="eastAsia" w:ascii="宋体" w:hAnsi="宋体" w:cs="宋体"/>
          <w:color w:val="000000" w:themeColor="text1"/>
          <w:sz w:val="24"/>
          <w:szCs w:val="24"/>
          <w:lang w:val="zh-CN"/>
        </w:rPr>
        <w:t>主要适用于天然整枝不良的树木；掌握“轻修剪、留大冠、控制竞争、利用辅养”的原则。一般采取平切法，切口平滑，不撕裂树皮，重点针对枝条、死枝过多的林木；修去枯死枝和树冠下部1—2轮活枝，幼龄林阶段修枝后保留冠长不低于树高的2/3、枝桩尽量修平，剪口不能伤害树干的韧皮部和木质部，中龄林阶段修枝后保留冠长不低于树高的1/2、枝桩尽量修平，剪口不能伤害树干的韧皮部和木质部。以免防止一次修枝过重而影响到林木的生长和切口相连造成环状剥皮。</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rPr>
        <w:t>割灌割藤：</w:t>
      </w:r>
      <w:r>
        <w:rPr>
          <w:rFonts w:hint="eastAsia" w:ascii="宋体" w:hAnsi="宋体" w:cs="宋体"/>
          <w:color w:val="000000" w:themeColor="text1"/>
          <w:sz w:val="24"/>
          <w:szCs w:val="24"/>
          <w:lang w:val="zh-CN"/>
        </w:rPr>
        <w:t>对影响目的幼树生长的灌木、</w:t>
      </w:r>
      <w:r>
        <w:rPr>
          <w:rFonts w:hint="eastAsia" w:ascii="宋体" w:hAnsi="宋体" w:cs="宋体"/>
          <w:color w:val="000000" w:themeColor="text1"/>
          <w:sz w:val="24"/>
          <w:szCs w:val="24"/>
        </w:rPr>
        <w:t>藤本和</w:t>
      </w:r>
      <w:r>
        <w:rPr>
          <w:rFonts w:hint="eastAsia" w:ascii="宋体" w:hAnsi="宋体" w:cs="宋体"/>
          <w:color w:val="000000" w:themeColor="text1"/>
          <w:sz w:val="24"/>
          <w:szCs w:val="24"/>
          <w:lang w:val="zh-CN"/>
        </w:rPr>
        <w:t>草本采取割灌（</w:t>
      </w:r>
      <w:r>
        <w:rPr>
          <w:rFonts w:hint="eastAsia" w:ascii="宋体" w:hAnsi="宋体" w:cs="宋体"/>
          <w:color w:val="000000" w:themeColor="text1"/>
          <w:sz w:val="24"/>
          <w:szCs w:val="24"/>
        </w:rPr>
        <w:t>割藤</w:t>
      </w:r>
      <w:r>
        <w:rPr>
          <w:rFonts w:hint="eastAsia" w:ascii="宋体" w:hAnsi="宋体" w:cs="宋体"/>
          <w:color w:val="000000" w:themeColor="text1"/>
          <w:sz w:val="24"/>
          <w:szCs w:val="24"/>
          <w:lang w:val="zh-CN"/>
        </w:rPr>
        <w:t>）除草的措施。采取机割、人割等不同方式，割除目的树种周边1米范围内的灌草，不影响树木生长的灌木、藤条、杂草不进行割除，避免全面割灌。割灌同时进行培梗、扩穴，以促进幼苗幼树的正常生长。割灌后，灌根茬高度不得超过10厘米。割灌时必须保护好林内的幼树、幼苗，为保留木、幼苗和幼树创造良好生长空间。对局部生态脆弱地段如陡坡、岩石裸露地及滑坡地段的灌木予以保留。</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在进行割灌、割藤作业时，注重保护珍稀濒危树木，以及有生长潜力的幼树、幼苗，以有利调整林分密度和结构。</w:t>
      </w:r>
    </w:p>
    <w:p>
      <w:pPr>
        <w:rPr>
          <w:rFonts w:ascii="宋体" w:hAnsi="宋体" w:cs="宋体"/>
          <w:b/>
          <w:bCs/>
          <w:color w:val="000000" w:themeColor="text1"/>
          <w:sz w:val="24"/>
          <w:szCs w:val="24"/>
        </w:rPr>
      </w:pPr>
      <w:bookmarkStart w:id="112" w:name="_Toc9209"/>
      <w:bookmarkStart w:id="113" w:name="_Toc4420"/>
      <w:bookmarkStart w:id="114" w:name="_Toc17825"/>
      <w:bookmarkStart w:id="115" w:name="_Toc13761"/>
      <w:bookmarkStart w:id="116" w:name="_Toc8262"/>
      <w:r>
        <w:rPr>
          <w:rFonts w:hint="eastAsia" w:ascii="宋体" w:hAnsi="宋体" w:cs="宋体"/>
          <w:b/>
          <w:bCs/>
          <w:color w:val="000000" w:themeColor="text1"/>
          <w:sz w:val="24"/>
          <w:szCs w:val="24"/>
        </w:rPr>
        <w:br w:type="page"/>
      </w:r>
    </w:p>
    <w:p>
      <w:pPr>
        <w:pStyle w:val="5"/>
        <w:spacing w:beforeLines="50" w:line="360" w:lineRule="auto"/>
        <w:jc w:val="both"/>
        <w:rPr>
          <w:rFonts w:ascii="宋体" w:hAnsi="宋体" w:cs="宋体"/>
          <w:color w:val="000000" w:themeColor="text1"/>
          <w:sz w:val="24"/>
          <w:szCs w:val="24"/>
          <w:lang w:val="zh-CN"/>
        </w:rPr>
      </w:pPr>
      <w:r>
        <w:rPr>
          <w:rFonts w:hint="eastAsia" w:ascii="宋体" w:hAnsi="宋体" w:cs="宋体"/>
          <w:color w:val="000000" w:themeColor="text1"/>
          <w:sz w:val="24"/>
          <w:szCs w:val="24"/>
        </w:rPr>
        <w:t>4.4 苗木</w:t>
      </w:r>
      <w:bookmarkEnd w:id="112"/>
      <w:bookmarkEnd w:id="113"/>
      <w:bookmarkEnd w:id="114"/>
      <w:bookmarkEnd w:id="115"/>
      <w:bookmarkEnd w:id="116"/>
      <w:r>
        <w:rPr>
          <w:rFonts w:hint="eastAsia" w:ascii="宋体" w:hAnsi="宋体" w:cs="宋体"/>
          <w:color w:val="000000" w:themeColor="text1"/>
          <w:sz w:val="24"/>
          <w:szCs w:val="24"/>
        </w:rPr>
        <w:t>要求</w:t>
      </w:r>
    </w:p>
    <w:tbl>
      <w:tblPr>
        <w:tblStyle w:val="27"/>
        <w:tblW w:w="0" w:type="auto"/>
        <w:jc w:val="right"/>
        <w:tblLayout w:type="fixed"/>
        <w:tblCellMar>
          <w:top w:w="0" w:type="dxa"/>
          <w:left w:w="108" w:type="dxa"/>
          <w:bottom w:w="0" w:type="dxa"/>
          <w:right w:w="108" w:type="dxa"/>
        </w:tblCellMar>
      </w:tblPr>
      <w:tblGrid>
        <w:gridCol w:w="1390"/>
        <w:gridCol w:w="4474"/>
        <w:gridCol w:w="2507"/>
      </w:tblGrid>
      <w:tr>
        <w:tblPrEx>
          <w:tblCellMar>
            <w:top w:w="0" w:type="dxa"/>
            <w:left w:w="108" w:type="dxa"/>
            <w:bottom w:w="0" w:type="dxa"/>
            <w:right w:w="108" w:type="dxa"/>
          </w:tblCellMar>
        </w:tblPrEx>
        <w:trPr>
          <w:trHeight w:val="570" w:hRule="atLeast"/>
          <w:jc w:val="right"/>
        </w:trPr>
        <w:tc>
          <w:tcPr>
            <w:tcW w:w="8371" w:type="dxa"/>
            <w:gridSpan w:val="3"/>
            <w:tcBorders>
              <w:top w:val="nil"/>
              <w:left w:val="nil"/>
              <w:bottom w:val="nil"/>
              <w:right w:val="nil"/>
            </w:tcBorders>
            <w:vAlign w:val="center"/>
          </w:tcPr>
          <w:p>
            <w:pPr>
              <w:widowControl/>
              <w:spacing w:line="360" w:lineRule="auto"/>
              <w:jc w:val="center"/>
              <w:textAlignment w:val="center"/>
              <w:rPr>
                <w:rFonts w:ascii="宋体" w:hAnsi="宋体" w:cs="宋体"/>
                <w:b/>
                <w:bCs/>
                <w:color w:val="000000" w:themeColor="text1"/>
                <w:sz w:val="24"/>
                <w:szCs w:val="24"/>
              </w:rPr>
            </w:pPr>
            <w:r>
              <w:rPr>
                <w:rFonts w:hint="eastAsia" w:ascii="宋体" w:hAnsi="宋体" w:cs="宋体"/>
                <w:b/>
                <w:color w:val="000000" w:themeColor="text1"/>
                <w:sz w:val="24"/>
                <w:szCs w:val="24"/>
              </w:rPr>
              <w:t>表4-1 苗木规格一览表</w:t>
            </w:r>
          </w:p>
        </w:tc>
      </w:tr>
      <w:tr>
        <w:tblPrEx>
          <w:tblCellMar>
            <w:top w:w="0" w:type="dxa"/>
            <w:left w:w="108" w:type="dxa"/>
            <w:bottom w:w="0" w:type="dxa"/>
            <w:right w:w="108" w:type="dxa"/>
          </w:tblCellMar>
        </w:tblPrEx>
        <w:trPr>
          <w:trHeight w:val="695" w:hRule="atLeast"/>
          <w:jc w:val="right"/>
        </w:trPr>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苗木名称</w:t>
            </w:r>
          </w:p>
        </w:tc>
        <w:tc>
          <w:tcPr>
            <w:tcW w:w="44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规  格</w:t>
            </w:r>
          </w:p>
        </w:tc>
        <w:tc>
          <w:tcPr>
            <w:tcW w:w="25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备注</w:t>
            </w:r>
          </w:p>
        </w:tc>
      </w:tr>
      <w:tr>
        <w:tblPrEx>
          <w:tblCellMar>
            <w:top w:w="0" w:type="dxa"/>
            <w:left w:w="108" w:type="dxa"/>
            <w:bottom w:w="0" w:type="dxa"/>
            <w:right w:w="108" w:type="dxa"/>
          </w:tblCellMar>
        </w:tblPrEx>
        <w:trPr>
          <w:trHeight w:val="652" w:hRule="atLeast"/>
          <w:jc w:val="right"/>
        </w:trPr>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红豆杉</w:t>
            </w:r>
          </w:p>
        </w:tc>
        <w:tc>
          <w:tcPr>
            <w:tcW w:w="44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红豆杉容器苗，苗龄2年，地径≥1.2cm，苗高≥80cm，分枝数量大于等于5个。</w:t>
            </w:r>
          </w:p>
        </w:tc>
        <w:tc>
          <w:tcPr>
            <w:tcW w:w="25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品种：秦岭红豆杉或南方红豆杉。</w:t>
            </w:r>
          </w:p>
        </w:tc>
      </w:tr>
      <w:tr>
        <w:tblPrEx>
          <w:tblCellMar>
            <w:top w:w="0" w:type="dxa"/>
            <w:left w:w="108" w:type="dxa"/>
            <w:bottom w:w="0" w:type="dxa"/>
            <w:right w:w="108" w:type="dxa"/>
          </w:tblCellMar>
        </w:tblPrEx>
        <w:trPr>
          <w:trHeight w:val="532" w:hRule="atLeast"/>
          <w:jc w:val="right"/>
        </w:trPr>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元宝枫</w:t>
            </w:r>
          </w:p>
        </w:tc>
        <w:tc>
          <w:tcPr>
            <w:tcW w:w="44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元宝枫播种苗，苗龄1-2，地径≥0.8cm，苗高≥60cm，根系≥25cm，5cm长度以上Ⅰ级侧根数8根以上，无损伤</w:t>
            </w:r>
          </w:p>
        </w:tc>
        <w:tc>
          <w:tcPr>
            <w:tcW w:w="25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776" w:hRule="atLeast"/>
          <w:jc w:val="right"/>
        </w:trPr>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侧柏</w:t>
            </w:r>
          </w:p>
        </w:tc>
        <w:tc>
          <w:tcPr>
            <w:tcW w:w="44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侧柏容器苗，苗龄3年，地径≥1.2cm，苗高≥80.0cm，充分木质化，无枯梢现象。</w:t>
            </w:r>
          </w:p>
        </w:tc>
        <w:tc>
          <w:tcPr>
            <w:tcW w:w="25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776" w:hRule="atLeast"/>
          <w:jc w:val="right"/>
        </w:trPr>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连翘</w:t>
            </w:r>
          </w:p>
        </w:tc>
        <w:tc>
          <w:tcPr>
            <w:tcW w:w="44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连翘裸根苗，苗龄2年，地径≥0.80cm、苗高≥80cm，苗木高径比≤120。</w:t>
            </w:r>
          </w:p>
        </w:tc>
        <w:tc>
          <w:tcPr>
            <w:tcW w:w="25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776" w:hRule="atLeast"/>
          <w:jc w:val="right"/>
        </w:trPr>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油茶</w:t>
            </w:r>
          </w:p>
        </w:tc>
        <w:tc>
          <w:tcPr>
            <w:tcW w:w="44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容器苗，苗龄4年，地径≥0.6cm，苗高≥60cm，主根发达，侧根均匀舒展，无机械损伤。</w:t>
            </w:r>
          </w:p>
        </w:tc>
        <w:tc>
          <w:tcPr>
            <w:tcW w:w="25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品种：长林系列</w:t>
            </w:r>
          </w:p>
        </w:tc>
      </w:tr>
      <w:tr>
        <w:tblPrEx>
          <w:tblCellMar>
            <w:top w:w="0" w:type="dxa"/>
            <w:left w:w="108" w:type="dxa"/>
            <w:bottom w:w="0" w:type="dxa"/>
            <w:right w:w="108" w:type="dxa"/>
          </w:tblCellMar>
        </w:tblPrEx>
        <w:trPr>
          <w:trHeight w:val="776" w:hRule="atLeast"/>
          <w:jc w:val="right"/>
        </w:trPr>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栓皮栎（种子）</w:t>
            </w:r>
          </w:p>
        </w:tc>
        <w:tc>
          <w:tcPr>
            <w:tcW w:w="44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r>
              <w:rPr>
                <w:rFonts w:hint="eastAsia" w:ascii="宋体" w:hAnsi="宋体" w:cs="宋体"/>
                <w:color w:val="000000" w:themeColor="text1"/>
                <w:sz w:val="24"/>
                <w:szCs w:val="24"/>
              </w:rPr>
              <w:t>2级，净度大于97、发芽率大于65、生活率大于70、优良率大于75、含水量低于30。</w:t>
            </w:r>
          </w:p>
        </w:tc>
        <w:tc>
          <w:tcPr>
            <w:tcW w:w="25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themeColor="text1"/>
                <w:kern w:val="0"/>
                <w:sz w:val="24"/>
                <w:szCs w:val="24"/>
              </w:rPr>
            </w:pPr>
          </w:p>
        </w:tc>
      </w:tr>
    </w:tbl>
    <w:p>
      <w:pPr>
        <w:spacing w:line="360" w:lineRule="auto"/>
        <w:rPr>
          <w:rFonts w:ascii="宋体" w:hAnsi="宋体" w:cs="宋体"/>
          <w:b/>
          <w:bCs/>
          <w:color w:val="000000" w:themeColor="text1"/>
          <w:sz w:val="24"/>
          <w:szCs w:val="24"/>
        </w:rPr>
      </w:pPr>
      <w:bookmarkStart w:id="117" w:name="_Toc24396"/>
      <w:bookmarkStart w:id="118" w:name="_Toc5462"/>
      <w:bookmarkStart w:id="119" w:name="_Toc2417"/>
      <w:bookmarkStart w:id="120" w:name="_Toc103877269"/>
      <w:bookmarkStart w:id="121" w:name="_Toc14268"/>
      <w:bookmarkStart w:id="122" w:name="_Toc29354"/>
      <w:bookmarkStart w:id="123" w:name="_Toc25385"/>
    </w:p>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4.5环境</w:t>
      </w:r>
      <w:bookmarkEnd w:id="117"/>
      <w:bookmarkEnd w:id="118"/>
      <w:bookmarkEnd w:id="119"/>
      <w:bookmarkEnd w:id="120"/>
      <w:bookmarkEnd w:id="121"/>
      <w:bookmarkEnd w:id="122"/>
      <w:r>
        <w:rPr>
          <w:rFonts w:hint="eastAsia" w:ascii="宋体" w:hAnsi="宋体" w:cs="宋体"/>
          <w:b/>
          <w:bCs/>
          <w:color w:val="000000" w:themeColor="text1"/>
          <w:sz w:val="24"/>
          <w:szCs w:val="24"/>
        </w:rPr>
        <w:t>保护</w:t>
      </w:r>
      <w:bookmarkEnd w:id="123"/>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退化林修复实一项营林生产项目，项目本身是促进生态、社会、经济发展的需要。在退化林修复作业时短时间会对森林的生态功能有所降低，但不会造成生态功能大的变化。本次退化林修复主要采取的方式为补植补播、人工促进天然更新等，在施工过程中，会在短时间内使林地在局部范围内植被减少、郁闭度降低，对地表植被有轻度破坏，可能会在小范围内破坏涵养水源和水土保持的的生态效果，因此必须采取相应的环保保护措施。</w:t>
      </w:r>
    </w:p>
    <w:p>
      <w:pPr>
        <w:spacing w:line="360" w:lineRule="auto"/>
        <w:ind w:firstLine="560"/>
        <w:rPr>
          <w:rFonts w:ascii="宋体" w:hAnsi="宋体" w:cs="宋体"/>
          <w:sz w:val="24"/>
          <w:szCs w:val="24"/>
        </w:rPr>
      </w:pPr>
      <w:r>
        <w:rPr>
          <w:rFonts w:hint="eastAsia" w:ascii="宋体" w:hAnsi="宋体" w:cs="宋体"/>
          <w:sz w:val="24"/>
          <w:szCs w:val="24"/>
        </w:rPr>
        <w:t>（1）项目实施单位在施工作业过程中要切实加强管理，严格按照作业设计和退化林修复技术规程进行施工，合理安排施工季节，尽量避免在</w:t>
      </w:r>
      <w:bookmarkStart w:id="171" w:name="_GoBack"/>
      <w:r>
        <w:rPr>
          <w:rFonts w:hint="eastAsia" w:ascii="宋体" w:hAnsi="宋体" w:cs="宋体"/>
          <w:sz w:val="24"/>
          <w:szCs w:val="24"/>
        </w:rPr>
        <w:t>暴雨季节</w:t>
      </w:r>
      <w:bookmarkEnd w:id="171"/>
      <w:r>
        <w:rPr>
          <w:rFonts w:hint="eastAsia" w:ascii="宋体" w:hAnsi="宋体" w:cs="宋体"/>
          <w:sz w:val="24"/>
          <w:szCs w:val="24"/>
        </w:rPr>
        <w:t>、大风时段大规模开展整地等作业内容，严禁过度砍灌、过度修枝。</w:t>
      </w:r>
    </w:p>
    <w:p>
      <w:pPr>
        <w:spacing w:line="360" w:lineRule="auto"/>
        <w:ind w:firstLine="560"/>
        <w:rPr>
          <w:rFonts w:ascii="宋体" w:hAnsi="宋体" w:cs="宋体"/>
          <w:sz w:val="24"/>
          <w:szCs w:val="24"/>
        </w:rPr>
      </w:pPr>
      <w:r>
        <w:rPr>
          <w:rFonts w:hint="eastAsia" w:ascii="宋体" w:hAnsi="宋体" w:cs="宋体"/>
          <w:sz w:val="24"/>
          <w:szCs w:val="24"/>
        </w:rPr>
        <w:t>（2）每个作业区施工结束后，必须将施工人员产生的生活垃圾收集带走；清理所有临时性生活区的设施和机械设备，彻底清除或埋藏可降解的剩余杂物，移走易引发森林火灾的油料和各种废弃物。</w:t>
      </w:r>
    </w:p>
    <w:p>
      <w:pPr>
        <w:spacing w:line="360" w:lineRule="auto"/>
        <w:ind w:firstLine="560"/>
        <w:rPr>
          <w:rFonts w:ascii="宋体" w:hAnsi="宋体" w:cs="宋体"/>
          <w:sz w:val="24"/>
          <w:szCs w:val="24"/>
        </w:rPr>
      </w:pPr>
      <w:r>
        <w:rPr>
          <w:rFonts w:hint="eastAsia" w:ascii="宋体" w:hAnsi="宋体" w:cs="宋体"/>
          <w:sz w:val="24"/>
          <w:szCs w:val="24"/>
        </w:rPr>
        <w:t>（3）退化林修复的采伐剩余物分别截断、填埋，均匀分散铺在林种，自然降解、腐烂，以增加土壤肥力。作业废弃物及生活废弃物尽可能的收集带走。</w:t>
      </w:r>
    </w:p>
    <w:p>
      <w:pPr>
        <w:pStyle w:val="5"/>
        <w:spacing w:beforeLines="50" w:line="360" w:lineRule="auto"/>
        <w:jc w:val="both"/>
        <w:rPr>
          <w:rFonts w:ascii="宋体" w:hAnsi="宋体" w:cs="宋体"/>
          <w:sz w:val="24"/>
          <w:szCs w:val="24"/>
        </w:rPr>
      </w:pPr>
      <w:bookmarkStart w:id="124" w:name="_Toc20155"/>
      <w:r>
        <w:rPr>
          <w:rFonts w:hint="eastAsia" w:ascii="宋体" w:hAnsi="宋体" w:cs="宋体"/>
          <w:sz w:val="24"/>
          <w:szCs w:val="24"/>
        </w:rPr>
        <w:t>4.6生物多样性保护林业有害生物防治</w:t>
      </w:r>
      <w:bookmarkEnd w:id="124"/>
    </w:p>
    <w:p>
      <w:pPr>
        <w:pStyle w:val="7"/>
        <w:spacing w:beforeLines="0" w:line="360" w:lineRule="auto"/>
        <w:ind w:firstLine="241" w:firstLineChars="100"/>
        <w:jc w:val="both"/>
        <w:rPr>
          <w:rFonts w:ascii="宋体" w:hAnsi="宋体" w:cs="宋体"/>
          <w:bCs w:val="0"/>
          <w:color w:val="000000"/>
        </w:rPr>
      </w:pPr>
      <w:r>
        <w:rPr>
          <w:rFonts w:hint="eastAsia" w:ascii="宋体" w:hAnsi="宋体" w:cs="宋体"/>
          <w:bCs w:val="0"/>
          <w:color w:val="000000"/>
        </w:rPr>
        <w:t>4.6.1野生动物保护</w:t>
      </w:r>
    </w:p>
    <w:p>
      <w:pPr>
        <w:spacing w:line="360" w:lineRule="auto"/>
        <w:ind w:firstLine="560"/>
        <w:rPr>
          <w:rFonts w:ascii="宋体" w:hAnsi="宋体" w:cs="宋体"/>
          <w:sz w:val="24"/>
          <w:szCs w:val="24"/>
        </w:rPr>
      </w:pPr>
      <w:r>
        <w:rPr>
          <w:rFonts w:hint="eastAsia" w:ascii="宋体" w:hAnsi="宋体" w:cs="宋体"/>
          <w:sz w:val="24"/>
          <w:szCs w:val="24"/>
        </w:rPr>
        <w:t>（1）退化林修复实要保留国家、地方重点保护以及列入珍稀濒危植物名录的树种和植物种类。</w:t>
      </w:r>
    </w:p>
    <w:p>
      <w:pPr>
        <w:spacing w:line="360" w:lineRule="auto"/>
        <w:ind w:firstLine="560"/>
        <w:rPr>
          <w:rFonts w:ascii="宋体" w:hAnsi="宋体" w:cs="宋体"/>
          <w:sz w:val="24"/>
          <w:szCs w:val="24"/>
        </w:rPr>
      </w:pPr>
      <w:r>
        <w:rPr>
          <w:rFonts w:hint="eastAsia" w:ascii="宋体" w:hAnsi="宋体" w:cs="宋体"/>
          <w:sz w:val="24"/>
          <w:szCs w:val="24"/>
        </w:rPr>
        <w:t>（2）为了避免造成新的水土流失，陡坡地段限制割灌除草，应充分保留原生植被，严禁砍灌。</w:t>
      </w:r>
    </w:p>
    <w:p>
      <w:pPr>
        <w:spacing w:line="360" w:lineRule="auto"/>
        <w:ind w:firstLine="560"/>
        <w:rPr>
          <w:rFonts w:ascii="宋体" w:hAnsi="宋体" w:cs="宋体"/>
          <w:sz w:val="24"/>
          <w:szCs w:val="24"/>
        </w:rPr>
      </w:pPr>
      <w:r>
        <w:rPr>
          <w:rFonts w:hint="eastAsia" w:ascii="宋体" w:hAnsi="宋体" w:cs="宋体"/>
          <w:sz w:val="24"/>
          <w:szCs w:val="24"/>
        </w:rPr>
        <w:t>（3）补植补播及人工促进天然更新等整地宜采用对地表植被破坏少的穴状整地方式，严格限制使用大型机械整地，减少施工机械对原生植被和土壤反复碾压产生的破坏。</w:t>
      </w:r>
    </w:p>
    <w:p>
      <w:pPr>
        <w:pStyle w:val="7"/>
        <w:spacing w:beforeLines="0" w:line="360" w:lineRule="auto"/>
        <w:ind w:firstLine="241" w:firstLineChars="100"/>
        <w:jc w:val="both"/>
        <w:rPr>
          <w:rFonts w:ascii="宋体" w:hAnsi="宋体" w:cs="宋体"/>
          <w:bCs w:val="0"/>
          <w:color w:val="000000"/>
        </w:rPr>
      </w:pPr>
      <w:r>
        <w:rPr>
          <w:rFonts w:hint="eastAsia" w:ascii="宋体" w:hAnsi="宋体" w:cs="宋体"/>
          <w:bCs w:val="0"/>
          <w:color w:val="000000"/>
        </w:rPr>
        <w:t>4.6.2野生动物保护</w:t>
      </w:r>
    </w:p>
    <w:p>
      <w:pPr>
        <w:spacing w:line="360" w:lineRule="auto"/>
        <w:ind w:firstLine="560"/>
        <w:rPr>
          <w:rFonts w:ascii="宋体" w:hAnsi="宋体" w:cs="宋体"/>
          <w:sz w:val="24"/>
          <w:szCs w:val="24"/>
        </w:rPr>
      </w:pPr>
      <w:r>
        <w:rPr>
          <w:rFonts w:hint="eastAsia" w:ascii="宋体" w:hAnsi="宋体" w:cs="宋体"/>
          <w:sz w:val="24"/>
          <w:szCs w:val="24"/>
        </w:rPr>
        <w:t>（1）修复区内树冠上有鸟巢的林木，应注重保留。</w:t>
      </w:r>
    </w:p>
    <w:p>
      <w:pPr>
        <w:spacing w:line="360" w:lineRule="auto"/>
        <w:ind w:firstLine="560"/>
        <w:rPr>
          <w:rFonts w:ascii="宋体" w:hAnsi="宋体" w:cs="宋体"/>
          <w:sz w:val="24"/>
          <w:szCs w:val="24"/>
        </w:rPr>
      </w:pPr>
      <w:r>
        <w:rPr>
          <w:rFonts w:hint="eastAsia" w:ascii="宋体" w:hAnsi="宋体" w:cs="宋体"/>
          <w:sz w:val="24"/>
          <w:szCs w:val="24"/>
        </w:rPr>
        <w:t>（2）保护重点保护野生动物生活和迁移廊道，根据重点保护野生动物生活习性，合理安排修复活动和时间，减少对重点保护野生动物产生的惊扰。</w:t>
      </w:r>
    </w:p>
    <w:p>
      <w:pPr>
        <w:spacing w:line="360" w:lineRule="auto"/>
        <w:ind w:firstLine="560"/>
        <w:rPr>
          <w:rFonts w:ascii="宋体" w:hAnsi="宋体" w:cs="宋体"/>
          <w:sz w:val="24"/>
          <w:szCs w:val="24"/>
        </w:rPr>
      </w:pPr>
      <w:r>
        <w:rPr>
          <w:rFonts w:hint="eastAsia" w:ascii="宋体" w:hAnsi="宋体" w:cs="宋体"/>
          <w:sz w:val="24"/>
          <w:szCs w:val="24"/>
        </w:rPr>
        <w:t>（3）严格限制妨碍重点保护野生动物生息繁衍的活动，发现修复区内有重点保护野生动物时，应对其活动范围内的修复小班采用惊扰程度小的修复方式开展修复，避免其生境破碎化。</w:t>
      </w:r>
    </w:p>
    <w:p>
      <w:pPr>
        <w:spacing w:line="360" w:lineRule="auto"/>
        <w:ind w:firstLine="560"/>
        <w:rPr>
          <w:rFonts w:ascii="宋体" w:hAnsi="宋体" w:cs="宋体"/>
          <w:sz w:val="24"/>
          <w:szCs w:val="24"/>
        </w:rPr>
      </w:pPr>
      <w:r>
        <w:rPr>
          <w:rFonts w:hint="eastAsia" w:ascii="宋体" w:hAnsi="宋体" w:cs="宋体"/>
          <w:sz w:val="24"/>
          <w:szCs w:val="24"/>
        </w:rPr>
        <w:t>（4）在道路两侧修复区内建设人工鸟巢、“灌丛驿站”等设施，保护和引入野生动物，维护和提高生物多样性。</w:t>
      </w:r>
    </w:p>
    <w:p>
      <w:pPr>
        <w:pStyle w:val="7"/>
        <w:spacing w:beforeLines="0" w:line="360" w:lineRule="auto"/>
        <w:ind w:firstLine="241" w:firstLineChars="100"/>
        <w:jc w:val="both"/>
        <w:rPr>
          <w:rFonts w:ascii="宋体" w:hAnsi="宋体" w:cs="宋体"/>
        </w:rPr>
      </w:pPr>
      <w:r>
        <w:rPr>
          <w:rFonts w:hint="eastAsia" w:ascii="宋体" w:hAnsi="宋体" w:cs="宋体"/>
        </w:rPr>
        <w:t>4.6.3林业有害生物防治</w:t>
      </w:r>
    </w:p>
    <w:p>
      <w:pPr>
        <w:spacing w:line="360" w:lineRule="auto"/>
        <w:ind w:firstLine="560"/>
        <w:rPr>
          <w:rFonts w:ascii="宋体" w:hAnsi="宋体" w:cs="宋体"/>
          <w:sz w:val="24"/>
          <w:szCs w:val="24"/>
        </w:rPr>
      </w:pPr>
      <w:r>
        <w:rPr>
          <w:rFonts w:hint="eastAsia" w:ascii="宋体" w:hAnsi="宋体" w:cs="宋体"/>
          <w:sz w:val="24"/>
          <w:szCs w:val="24"/>
        </w:rPr>
        <w:t>严格执行《陕西省林业有害生物防治检疫条例》各项规定，严格控制病虫害源传播途径，进入修复区的苗木要做好检疫，修复区病虫害木及残余物及时隔离与处理。</w:t>
      </w:r>
    </w:p>
    <w:p>
      <w:pPr>
        <w:pStyle w:val="5"/>
        <w:spacing w:beforeLines="50" w:line="360" w:lineRule="auto"/>
        <w:jc w:val="both"/>
        <w:rPr>
          <w:rFonts w:ascii="宋体" w:hAnsi="宋体" w:cs="宋体"/>
          <w:sz w:val="24"/>
          <w:szCs w:val="24"/>
        </w:rPr>
      </w:pPr>
      <w:bookmarkStart w:id="125" w:name="_Toc26025"/>
      <w:r>
        <w:rPr>
          <w:rFonts w:hint="eastAsia" w:ascii="宋体" w:hAnsi="宋体" w:cs="宋体"/>
          <w:sz w:val="24"/>
          <w:szCs w:val="24"/>
        </w:rPr>
        <w:t>4.7安全生产</w:t>
      </w:r>
      <w:bookmarkEnd w:id="125"/>
    </w:p>
    <w:p>
      <w:pPr>
        <w:spacing w:line="360" w:lineRule="auto"/>
        <w:ind w:firstLine="560"/>
        <w:rPr>
          <w:rFonts w:ascii="宋体" w:hAnsi="宋体" w:cs="宋体"/>
          <w:color w:val="000000" w:themeColor="text1"/>
          <w:sz w:val="24"/>
          <w:szCs w:val="24"/>
        </w:rPr>
      </w:pPr>
      <w:r>
        <w:rPr>
          <w:rFonts w:hint="eastAsia" w:ascii="宋体" w:hAnsi="宋体" w:cs="宋体"/>
          <w:sz w:val="24"/>
          <w:szCs w:val="24"/>
          <w:lang w:val="zh-CN"/>
        </w:rPr>
        <w:t>项目建设要严格执</w:t>
      </w:r>
      <w:r>
        <w:rPr>
          <w:rFonts w:hint="eastAsia" w:ascii="宋体" w:hAnsi="宋体" w:cs="宋体"/>
          <w:color w:val="000000" w:themeColor="text1"/>
          <w:sz w:val="24"/>
          <w:szCs w:val="24"/>
          <w:lang w:val="zh-CN"/>
        </w:rPr>
        <w:t>行《建设项目(工程)劳动安全卫生监察规定》等有关劳动安全卫生的法规和规定，确保工程建设人员、职工和群众等的安全卫生，</w:t>
      </w:r>
      <w:r>
        <w:rPr>
          <w:rFonts w:hint="eastAsia" w:ascii="宋体" w:hAnsi="宋体" w:cs="宋体"/>
          <w:color w:val="000000" w:themeColor="text1"/>
          <w:sz w:val="24"/>
          <w:szCs w:val="24"/>
        </w:rPr>
        <w:t>首先要做到“安全第一”，保证作业人员的安全与健康，避免发生伤亡事故。</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（1）必须建立、健全劳动安全卫生保障制度，严格执行国家劳动安全卫生规程和标准，对劳动者进行教育，预防重大安全事故，减少对劳动者的危害。</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（2）劳动安全卫生设施必须符合国家规定的标准。</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（3）劳动者在劳动过程中必须严格遵守安全操作规程，劳动者对用人单位管理人员违章指挥、强令冒险作业，有权拒绝执行；对危害生命安全和身体健康的行为，有权提出批评、检举和控告。</w:t>
      </w:r>
    </w:p>
    <w:p>
      <w:pPr>
        <w:spacing w:line="360" w:lineRule="auto"/>
        <w:ind w:firstLine="5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（4）对一些具有危险性的设备和仪器，应该由专人负责操作，杜绝不安全事故发生。</w:t>
      </w:r>
    </w:p>
    <w:p>
      <w:pPr>
        <w:pStyle w:val="5"/>
        <w:spacing w:beforeLines="50" w:line="360" w:lineRule="auto"/>
        <w:jc w:val="both"/>
        <w:rPr>
          <w:rFonts w:ascii="宋体" w:hAnsi="宋体" w:cs="宋体"/>
          <w:color w:val="000000" w:themeColor="text1"/>
          <w:sz w:val="24"/>
          <w:szCs w:val="24"/>
        </w:rPr>
      </w:pPr>
      <w:bookmarkStart w:id="126" w:name="_Toc20577"/>
      <w:r>
        <w:rPr>
          <w:rFonts w:hint="eastAsia" w:ascii="宋体" w:hAnsi="宋体" w:cs="宋体"/>
          <w:color w:val="000000" w:themeColor="text1"/>
          <w:sz w:val="24"/>
          <w:szCs w:val="24"/>
        </w:rPr>
        <w:t>4.8森林防火</w:t>
      </w:r>
      <w:bookmarkEnd w:id="126"/>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森林防火要以预防为主。在退化林修复作业的全部活动中，都要严格执行相关防火规定，避免发生森林火灾。</w:t>
      </w:r>
    </w:p>
    <w:p>
      <w:pPr>
        <w:pStyle w:val="7"/>
        <w:spacing w:beforeLines="0" w:line="360" w:lineRule="auto"/>
        <w:jc w:val="both"/>
        <w:rPr>
          <w:rFonts w:ascii="宋体" w:hAnsi="宋体" w:cs="宋体"/>
          <w:color w:val="000000" w:themeColor="text1"/>
        </w:rPr>
      </w:pPr>
      <w:r>
        <w:rPr>
          <w:rFonts w:hint="eastAsia" w:ascii="宋体" w:hAnsi="宋体" w:cs="宋体"/>
          <w:color w:val="000000" w:themeColor="text1"/>
        </w:rPr>
        <w:t>4.9防火、灭火教育</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施工前对所有参与退化林修复作业的工作人员都要进行防火、灭火教育培训，培训考试合格后，才可进入林区作业。</w:t>
      </w:r>
    </w:p>
    <w:p>
      <w:pPr>
        <w:pStyle w:val="7"/>
        <w:spacing w:beforeLines="0" w:line="360" w:lineRule="auto"/>
        <w:ind w:firstLine="241" w:firstLineChars="100"/>
        <w:jc w:val="both"/>
        <w:rPr>
          <w:rFonts w:ascii="宋体" w:hAnsi="宋体" w:cs="宋体"/>
          <w:bCs w:val="0"/>
          <w:color w:val="000000" w:themeColor="text1"/>
        </w:rPr>
      </w:pPr>
      <w:r>
        <w:rPr>
          <w:rFonts w:hint="eastAsia" w:ascii="宋体" w:hAnsi="宋体" w:cs="宋体"/>
          <w:bCs w:val="0"/>
          <w:color w:val="000000" w:themeColor="text1"/>
        </w:rPr>
        <w:t>4.10临时居住场地防火</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（1）作业人员休息、吃饭所搭建的临时工棚、简易房屋或其附近的活动场地，都要设置防火隔离带，清除隔离带中的杂草、灌木、枯木、倒木，并配备消防器材。</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（2）用于取暖、做饭、照明的火源，必须有专人看管，火源周围不得有可燃物质。</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（3）吸烟时可在特定的地点进行，不要乱扔、乱放，相互监督，相互提醒，及时灭掉烟头。</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（4）工棚、房屋外的烟囱必须安装防火罩，并防止风向改变造成一氧化碳中毒。</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（5）及时清除容易引起火灾的油料、燃料、各种废弃物。</w:t>
      </w:r>
    </w:p>
    <w:p>
      <w:pPr>
        <w:pStyle w:val="7"/>
        <w:spacing w:beforeLines="0" w:line="360" w:lineRule="auto"/>
        <w:ind w:firstLine="241" w:firstLineChars="100"/>
        <w:jc w:val="both"/>
        <w:rPr>
          <w:rFonts w:ascii="宋体" w:hAnsi="宋体" w:cs="宋体"/>
          <w:bCs w:val="0"/>
          <w:color w:val="000000" w:themeColor="text1"/>
        </w:rPr>
      </w:pPr>
      <w:r>
        <w:rPr>
          <w:rFonts w:hint="eastAsia" w:ascii="宋体" w:hAnsi="宋体" w:cs="宋体"/>
          <w:bCs w:val="0"/>
          <w:color w:val="000000" w:themeColor="text1"/>
        </w:rPr>
        <w:t>4.11作业区防火</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施工期由于林区人为活动频繁，要严格要求施工人员野外用火，禁止将火带入林区，尤其是林区内严禁吸烟。如遇特殊情况必须用火时，要清理出场地，火源半径3m内不得有任何可燃物质，作业人员离开火源时，必须彻底将火熄灭。</w:t>
      </w:r>
    </w:p>
    <w:p>
      <w:pPr>
        <w:pStyle w:val="7"/>
        <w:spacing w:beforeLines="0" w:line="360" w:lineRule="auto"/>
        <w:ind w:firstLine="241" w:firstLineChars="100"/>
        <w:jc w:val="both"/>
        <w:rPr>
          <w:rFonts w:ascii="宋体" w:hAnsi="宋体" w:cs="宋体"/>
          <w:bCs w:val="0"/>
          <w:color w:val="000000" w:themeColor="text1"/>
        </w:rPr>
      </w:pPr>
      <w:r>
        <w:rPr>
          <w:rFonts w:hint="eastAsia" w:ascii="宋体" w:hAnsi="宋体" w:cs="宋体"/>
          <w:bCs w:val="0"/>
          <w:color w:val="000000" w:themeColor="text1"/>
        </w:rPr>
        <w:t>4.12机械设备防火</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（1）清除机械设备表面多余的油污，以防高温或遇明火而引起火灾。</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（2）机械加油时，应保证加油点3m内无任何可燃物质。</w:t>
      </w:r>
    </w:p>
    <w:p>
      <w:pPr>
        <w:spacing w:line="360" w:lineRule="auto"/>
        <w:ind w:firstLine="560"/>
        <w:rPr>
          <w:rFonts w:ascii="宋体" w:hAnsi="宋体" w:cs="宋体"/>
          <w:color w:val="000000" w:themeColor="text1"/>
          <w:sz w:val="24"/>
          <w:szCs w:val="24"/>
        </w:rPr>
      </w:pPr>
      <w:r>
        <w:rPr>
          <w:rFonts w:hint="eastAsia" w:ascii="宋体" w:hAnsi="宋体" w:cs="宋体"/>
          <w:color w:val="000000" w:themeColor="text1"/>
          <w:sz w:val="24"/>
          <w:szCs w:val="24"/>
        </w:rPr>
        <w:t>（3）机械的排气、点火或产生高温的系统，要安装防火装置或采取防火措施。</w:t>
      </w:r>
    </w:p>
    <w:p>
      <w:pPr>
        <w:pStyle w:val="7"/>
        <w:spacing w:beforeLines="0" w:line="360" w:lineRule="auto"/>
        <w:jc w:val="both"/>
        <w:rPr>
          <w:rFonts w:ascii="宋体" w:hAnsi="宋体" w:cs="宋体"/>
          <w:bCs w:val="0"/>
          <w:color w:val="000000" w:themeColor="text1"/>
        </w:rPr>
      </w:pPr>
      <w:r>
        <w:rPr>
          <w:rFonts w:hint="eastAsia" w:ascii="宋体" w:hAnsi="宋体" w:cs="宋体"/>
          <w:bCs w:val="0"/>
          <w:color w:val="000000" w:themeColor="text1"/>
        </w:rPr>
        <w:t>4.13火情处理</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一旦发生火情，必须立即停止作业，采取必要的灭火措施，并向防火指挥部门报告。火情处理时，要对火情进行危险性估计，以保证人身安全，力争“打早、打小、打了”，尽量减小火灾损失。</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4.14宣传牌</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采用不锈钢材质，版面长200cm、宽120cm、厚3-5mm；版面下沿距横杆10cm、两侧各距竖杆10cm。两侧竖杆每根长300cm、外径6.5cm，竖杆埋入地下深≥50cm。埋入土中的竖杆脚采用混凝土浇筑固定；竖杆顶端采用圆球形不锈钢焊接固定。</w:t>
      </w:r>
    </w:p>
    <w:p>
      <w:pPr>
        <w:spacing w:line="360" w:lineRule="auto"/>
        <w:outlineLvl w:val="1"/>
        <w:rPr>
          <w:rFonts w:ascii="宋体" w:hAnsi="宋体" w:cs="宋体"/>
          <w:color w:val="000000" w:themeColor="text1"/>
          <w:sz w:val="24"/>
          <w:szCs w:val="24"/>
        </w:rPr>
      </w:pPr>
      <w:r>
        <w:rPr>
          <w:rFonts w:hint="eastAsia" w:ascii="宋体" w:hAnsi="宋体" w:cs="宋体"/>
          <w:b/>
          <w:bCs/>
          <w:color w:val="000000" w:themeColor="text1"/>
          <w:sz w:val="24"/>
          <w:szCs w:val="24"/>
        </w:rPr>
        <w:t>5.1标段划分</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合同包1(1标段官坊村1-14小班)：</w:t>
      </w:r>
    </w:p>
    <w:p>
      <w:pPr>
        <w:pStyle w:val="2"/>
        <w:spacing w:line="360" w:lineRule="auto"/>
        <w:ind w:firstLine="480" w:firstLineChars="200"/>
        <w:rPr>
          <w:rFonts w:ascii="宋体" w:hAnsi="宋体" w:eastAsia="宋体" w:cs="宋体"/>
          <w:color w:val="000000" w:themeColor="text1"/>
          <w:spacing w:val="0"/>
          <w:sz w:val="24"/>
          <w:szCs w:val="24"/>
        </w:rPr>
      </w:pPr>
      <w:r>
        <w:rPr>
          <w:rFonts w:hint="eastAsia" w:ascii="宋体" w:hAnsi="宋体" w:eastAsia="宋体" w:cs="宋体"/>
          <w:color w:val="000000" w:themeColor="text1"/>
          <w:spacing w:val="0"/>
          <w:sz w:val="24"/>
          <w:szCs w:val="24"/>
        </w:rPr>
        <w:t>作业范围为官坊村的第1-14小班，有效作业面积1905亩。其中：采伐修复涉及12个小班1565亩，择伐胸径5厘米以下树木126株，择伐枯死木、濒死木86株、修枝17205株；割藤割灌强度为6%，割藤割灌范围为作业有效面积；辅助修复人工促进天然更新破土面积381亩，挖穴5851个；补植修复涉及5个小班235.1亩，按照1:1混交栽植红豆杉、连翘各6018株；补播修复涉及2个小班80.5亩，点播栓皮栎20.2㎏；保水剂117.7㎏，生根粉58.8g（红豆杉：容器苗，苗龄2年，地径≥1.2cm，苗高≥80cm，分枝数量大于等于5个，品种要求秦岭红豆杉或南方红豆杉；连翘：裸根苗，苗龄2年，地径≥0.80cm、苗高≥80cm，苗木高径比≤120；栓皮栎：2级，净度大于97、发芽率大于65、生活率大于70、优良率大于75、含水量低于30）。</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合同包2(2标段官坊村15-31小班)：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作业范围为官坊村的第15-31小班，有效作业面积1710亩。其中：采伐修复涉及5个小班480亩，择伐胸径5厘米以下树木50株，择伐枯死木、濒死木49株、修枝16415株；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342亩，挖穴5622个；补植修复涉及7个小班280.9亩，按照1:1混交栽植红豆杉、连翘各2461株，栽植元宝枫11857株；补播修复涉及9个小班623亩，点播栓皮栎155.9㎏；保水剂140.6㎏，生根粉70.3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制作安装宣传牌1块。</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合同包3(3标段官坊村32-40小班)：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作业范围为官坊村的第32-40小班，有效作业面积1835亩。其中：采伐修复涉及2个小班485亩，择伐胸径5厘米以下树木28株，择伐枯死木、濒死木19株、修枝18520株；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367亩，挖穴6045个；补植修复涉及4个小班311.1亩，按照1:1混交栽植红豆杉、连翘各3682株，栽植元宝枫7898株；补播修复涉及6个小班478.0亩，点播栓皮栎119.6㎏；保水剂155.7㎏，生根粉77.8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合同包4(4标段官坊村41-54小班)：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作业范围为官坊村的第41-54小班，有效作业面积1951亩。其中：采伐修复涉及4个小班430.0亩，择伐胸径5厘米以下树木39株，择伐枯死木、濒死木28株、修枝17595株；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390.2亩，挖穴6461个；补植修复涉及8个小班454.3亩，按照1:1混交栽植红豆杉、连翘各8237株，栽植元宝枫11677株；补播修复涉及8个小班462.5亩，点播栓皮栎115.9㎏；保水剂227.2㎏，生根粉113.6g（红豆杉：容器苗，苗龄2年，地径≥1.2cm，苗高≥80cm，分枝数量大于等于5个，品种为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合同包5(5标段官坊村55-78小班)：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作业范围为官坊村的第55-78小班，有效作业面积3280亩。其中：采伐修复涉及6个小班975亩，择伐胸径5厘米以下树木93株，择伐枯死木、濒死木51株、修枝27390株；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656亩，挖穴10762个；补植修复涉及16个小班834.2亩，按照1:1混交栽植红豆杉、连翘各19494株，栽植元宝枫11503株；补播修复涉及16个小班966亩，点播栓皮栎241.6㎏；保水剂417.3㎏，生根粉208.8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合同包6(6标段官坊村79-105小班)：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作业范围为官坊村的第79-105小班，有效作业面积2319亩。其中：采伐修复涉及2个小班185亩，择伐胸径5厘米以下树木34株，择伐枯死木、濒死木11株、修枝21413株；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463.8亩，挖穴7811个；补植修复涉及14个小班323.6亩，按照1:1混交栽植红豆杉、连翘各5814株，栽植元宝枫11067株；补播修复涉及15个小班998亩，点播栓皮栎249.6㎏；保水剂162.1㎏，生根粉81.1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合同包7(7标段伍竹园社区1-17小班)：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作业范围为伍竹园社区的第1-17小班，有效作业面积2175亩。其中：采伐修复涉及8个小班930亩，择伐胸径5厘米以下树木115株，择伐枯死木、濒死木76株、修枝21030株；</w:t>
      </w:r>
      <w:r>
        <w:rPr>
          <w:rFonts w:hint="eastAsia" w:ascii="宋体" w:hAnsi="宋体" w:eastAsia="宋体" w:cs="宋体"/>
          <w:color w:val="000000" w:themeColor="text1"/>
          <w:spacing w:val="0"/>
          <w:sz w:val="24"/>
          <w:szCs w:val="24"/>
        </w:rPr>
        <w:t>割藤割灌强度为7%，割藤割灌范围为作业有效面积；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435亩，挖穴7023个；补植修复涉及3个小班53.3亩，按照1:1混交栽植红豆杉、连翘各1528株；补播修复涉及9个小班849.5亩，点播栓皮栎212.5㎏；保水剂26.7㎏，生根粉13.4g（红豆杉：容器苗，苗龄2年，地径≥1.2cm，苗高≥80cm，分枝数量大于等于5个，品种要求秦岭红豆杉或南方红豆杉；连翘：裸根苗，苗龄2年，地径≥0.80cm、苗高≥80cm，苗木高径比≤120；栓皮栎：2级，净度大于97、发芽率大于65、生活率大于70、优良率大于75、含水量低于30）。</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合同包8(8标段伍竹园社区18-43小班)：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作业范围为伍竹园社区的第18-43小班，有效作业面积4325亩。其中：修枝37755株；</w:t>
      </w:r>
      <w:r>
        <w:rPr>
          <w:rFonts w:hint="eastAsia" w:ascii="宋体" w:hAnsi="宋体" w:eastAsia="宋体" w:cs="宋体"/>
          <w:color w:val="000000" w:themeColor="text1"/>
          <w:spacing w:val="0"/>
          <w:sz w:val="24"/>
          <w:szCs w:val="24"/>
        </w:rPr>
        <w:t>割藤割灌强度为7%，割藤割灌范围为作业有效面积；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865亩，挖穴14705个；补植修复涉及13个小班983.6亩，按照1:1混交栽植红豆杉、连翘各16287株，栽植元宝枫30560株；补播修复涉及24个小班1719亩，点播栓皮栎430.1㎏；保水剂492㎏，生根粉246.1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制作安装宣传牌1块。</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合同包9(9标段伍竹园社区44-55小班)：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作业范围为伍竹园社区的第44-55小班，有效作业面积1580亩。其中：采伐修复涉及2个小班155亩，择伐胸径5厘米以下树木29株，择伐枯死木、濒死木19株、修枝12615株；</w:t>
      </w:r>
      <w:r>
        <w:rPr>
          <w:rFonts w:hint="eastAsia" w:ascii="宋体" w:hAnsi="宋体" w:eastAsia="宋体" w:cs="宋体"/>
          <w:color w:val="000000" w:themeColor="text1"/>
          <w:spacing w:val="0"/>
          <w:sz w:val="24"/>
          <w:szCs w:val="24"/>
        </w:rPr>
        <w:t>割藤割灌强度为7%，割藤割灌范围为作业有效面积；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316亩，挖穴5310个；补植修复涉及7个小班426.1亩，按照1:1混交栽植红豆杉、连翘各3277株，栽植元宝枫23888株；补播修复涉及7个小班550亩，点播栓皮栎137.5㎏；保水剂213.2㎏，生根粉106.7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合同包10(10标段伍竹园社区56-68小班)：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作业范围为伍竹园社区的第56-68小班，有效作业面积2250亩。其中：修枝19220株；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450亩，挖穴7650个；补植修复涉及6个小班407.8亩，按照1:1混交栽植红豆杉、连翘各12860株，栽植元宝枫2321株；补播修复涉及12个小班1025.5亩，点播栓皮栎256.6㎏；保水剂204㎏，生根粉102.1g（红豆杉：容器苗，苗龄2年，地径</w:t>
      </w:r>
      <w:r>
        <w:rPr>
          <w:rFonts w:hint="eastAsia" w:ascii="宋体" w:hAnsi="宋体" w:eastAsia="宋体" w:cs="宋体"/>
          <w:color w:val="333333"/>
          <w:spacing w:val="0"/>
          <w:sz w:val="24"/>
          <w:szCs w:val="24"/>
          <w:shd w:val="clear" w:color="auto" w:fill="FFFFFF"/>
        </w:rPr>
        <w:t>≥1.2cm，</w:t>
      </w:r>
      <w:r>
        <w:rPr>
          <w:rFonts w:hint="eastAsia" w:ascii="宋体" w:hAnsi="宋体" w:eastAsia="宋体" w:cs="宋体"/>
          <w:color w:val="000000" w:themeColor="text1"/>
          <w:spacing w:val="0"/>
          <w:sz w:val="24"/>
          <w:szCs w:val="24"/>
          <w:shd w:val="clear" w:color="auto" w:fill="FFFFFF"/>
        </w:rPr>
        <w:t>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合同包11(11标段伍竹园社区69-80小班)：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作业范围为伍竹园社区的第69-80小班，有效作业面积1885亩。其中：修枝17400株；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356.1亩，挖穴6054个；补植修复涉及7个小班444.3亩，按照1:1混交栽植红豆杉、连翘各5379株，栽植元宝枫4046株，栽植侧柏13770；补播修复涉及11个小班863.0亩，点播栓皮栎216㎏；保水剂222.3㎏，生根粉111.1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侧柏容器苗，苗龄3年，地径≥1.2cm，苗高≥80.0cm，充分木质化，无枯梢现象）。</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合同包12(12标段伍竹园社区81-92小班)：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作业范围为伍竹园社区的第81-92小班，有效作业面积1935亩。其中：采伐修复涉及1个小班155亩，择伐胸径5厘米以下树木14株，择伐枯死木、濒死木7株、修枝16315株；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290.6亩，挖穴4896个；补植修复涉及7个小班766.1亩，按照1:1混交栽植红豆杉、连翘各7226株，栽植元宝枫34953株；补播修复涉及11个小班792亩，点播栓皮栎198.2㎏；保水剂383.2㎏，生根粉191.6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合同包13(13标段下河村1-39小班)：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作业范围为下河村的第1-39小班，有效作业面积5000亩。其中：采伐修复涉及4个小班420亩，择伐胸径5厘米以下树木55株，择伐枯死木、濒死木31株、修枝46760株；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751.1亩，挖穴12649个；补植修复涉及18个小班727.7亩，按照1:1混交栽植红豆杉、连翘各21101株，栽植元宝枫3094株；补播修复涉及25个小班2226亩，点播栓皮栎556.7㎏；保水剂364.3㎏，生根粉182.1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制作安装宣传牌1块。</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合同包14(14标段土桥村1-34小班)：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作业范围为土桥村的第1-34小班，有效作业面积4330亩。其中：采伐修复涉及1个小班175.0亩，择伐胸径5厘米以下树木13株，择伐枯死木、濒死木11株、修枝38495株；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650.3亩，挖穴11010个；补植修复涉及13个小班615.4亩，按照1:1混交栽植红豆杉、连翘各18568株，栽植元宝枫2891株；补播修复涉及31个小班2263亩，点播栓皮栎566.1㎏；保水剂307.9㎏，生根粉153.9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合同包15(15标段土桥村35-46小班)：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作业范围为土桥村的第35-46小班，有效作业面积1355亩。其中：采伐修复涉及3个小班290亩，择伐胸径5厘米以下树木40株，择伐枯死木、濒死木17株、修枝11075株；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203.6亩，挖穴3375个；补植修复涉及8个小班276.3亩，按照1:1混交栽植红豆杉、连翘各3429株，栽植元宝枫12876株；补播修复涉及8个小班550亩，点播栓皮栎137.7㎏；保水剂138.2㎏，生根粉69.3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合同包16(16标段土桥村47-63小班)：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作业范围为土桥村的第47-63小班，有效作业面积2165亩。其中：采伐修复涉及1个小班115亩，择伐胸径5厘米以下树木14株，择伐枯死木、濒死木7株、修枝19165株；</w:t>
      </w:r>
      <w:r>
        <w:rPr>
          <w:rFonts w:hint="eastAsia" w:ascii="宋体" w:hAnsi="宋体" w:eastAsia="宋体" w:cs="宋体"/>
          <w:color w:val="000000" w:themeColor="text1"/>
          <w:spacing w:val="0"/>
          <w:sz w:val="24"/>
          <w:szCs w:val="24"/>
        </w:rPr>
        <w:t>割藤割灌强度为6%，割藤割灌范围为作业有效面积；</w:t>
      </w:r>
      <w:r>
        <w:rPr>
          <w:rFonts w:hint="eastAsia" w:ascii="宋体" w:hAnsi="宋体" w:eastAsia="宋体" w:cs="宋体"/>
          <w:color w:val="000000" w:themeColor="text1"/>
          <w:spacing w:val="0"/>
          <w:sz w:val="24"/>
          <w:szCs w:val="24"/>
          <w:shd w:val="clear" w:color="auto" w:fill="FFFFFF"/>
        </w:rPr>
        <w:t>辅助修复人工促进天然更新破土面积325.4亩，挖穴5501个；补植修复涉及6个小班206.1亩，按照1:1混交栽植红豆杉、连翘各2572株，栽植元宝枫7846株；补播修复涉及16个小班1016亩，点播栓皮栎254.1㎏；保水剂103.1㎏，生根粉51.7g（红豆杉：容器苗，苗龄2年，地径≥1.2cm，苗高≥80cm，分枝数量大于等于5个，品种要求秦岭红豆杉或南方红豆杉；连翘：裸根苗，苗龄2年，地径≥0.80cm、苗高≥80cm，苗木高径比≤120；元宝枫播：苗龄1-2，地径≥0.8cm，苗高≥60cm，根系≥25cm，5cm长度以上Ⅰ级侧根数8根以上，无损伤；栓皮栎：2级，净度大于97、发芽率大于65、生活率大于70、优良率大于75、含水量低于30）。制作安装宣传牌1块。</w:t>
      </w:r>
    </w:p>
    <w:p>
      <w:pPr>
        <w:ind w:firstLine="482" w:firstLineChars="200"/>
        <w:rPr>
          <w:rFonts w:ascii="宋体" w:hAnsi="宋体" w:cs="宋体"/>
          <w:b/>
          <w:bCs/>
          <w:color w:val="000000" w:themeColor="text1"/>
          <w:sz w:val="24"/>
          <w:szCs w:val="24"/>
          <w:shd w:val="clear" w:color="auto" w:fill="FFFFFF"/>
        </w:rPr>
      </w:pPr>
      <w:r>
        <w:rPr>
          <w:rFonts w:hint="eastAsia" w:ascii="宋体" w:hAnsi="宋体" w:cs="宋体"/>
          <w:b/>
          <w:bCs/>
          <w:color w:val="000000" w:themeColor="text1"/>
          <w:sz w:val="24"/>
          <w:szCs w:val="24"/>
          <w:shd w:val="clear" w:color="auto" w:fill="FFFFFF"/>
        </w:rPr>
        <w:t>合同包17(17标段漫川关镇东寺村1-3小班）：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漫川关镇东寺村的第1-3小班，有效作业面积665亩。其中：采伐修复涉及3个小班665亩，择伐胸径5厘米以下树木25株，择伐枯死木、濒死木18株；补植修复涉及3个小班665亩，栽植油茶43015株；保水剂332.5㎏，生根粉166.3g（油茶：品种为长林系列，容器苗，苗龄4年，地径≥0.6cm，苗高≥60cm，主根发达，侧根均匀舒展，无机械损伤）。</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合同包18(18标段漫川关镇东寺村4-9小班)：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漫川关镇东寺村的第4-9小班，有效作业面积690亩。其中：采伐修复涉及6个小班690亩，择伐胸径5厘米以下树木58株，择伐枯死木、濒死木45株；补植修复涉及6个小班690亩，栽植油茶53400株；保水剂345.0㎏，生根粉172.7g（油茶：品种为长林系列，容器苗，苗龄4年，地径≥0.6cm，苗高≥60cm，主根发达，侧根均匀舒展，无机械损伤）。</w:t>
      </w:r>
    </w:p>
    <w:p>
      <w:pPr>
        <w:pStyle w:val="2"/>
        <w:spacing w:line="360" w:lineRule="auto"/>
        <w:ind w:firstLine="482"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合同包19(19标段漫川关镇东寺村10-13小班)：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漫川关镇东寺村的第10-13小班，有效作业面积845亩。其中：采伐修复涉及4个小班845亩，择伐胸径5厘米以下树木34株，择伐枯死木、濒死木34株；补植修复涉及4个小班845亩，栽植油茶61295株；保水剂422.5㎏，生根粉211.3g（油茶：品种为长林系列，容器苗，苗龄4年，地径≥0.6cm，苗高≥60cm，主根发达，侧根均匀舒展，无机械损伤）。</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合同包20(20标段漫川关镇东寺村14-17小班)：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漫川关镇东寺村的第14-17小班，有效作业面积865亩。其中：采伐修复涉及4个小班865亩，择伐胸径5厘米以下树木40株，择伐枯死木、濒死木32株；补植修复涉及4个小班865亩，栽植油茶66490株；保水剂432.5㎏，生根粉216.3g（油茶：品种为长林系列，容器苗，苗龄4年，地径≥0.6cm，苗高≥60cm，主根发达，侧根均匀舒展，无机械损伤）。</w:t>
      </w:r>
    </w:p>
    <w:p>
      <w:pPr>
        <w:pStyle w:val="2"/>
        <w:spacing w:line="360" w:lineRule="auto"/>
        <w:ind w:firstLine="482" w:firstLineChars="200"/>
        <w:rPr>
          <w:rFonts w:ascii="宋体" w:hAnsi="宋体" w:eastAsia="宋体" w:cs="宋体"/>
          <w:b/>
          <w:bCs/>
          <w:color w:val="000000" w:themeColor="text1"/>
          <w:spacing w:val="0"/>
          <w:sz w:val="24"/>
          <w:szCs w:val="24"/>
          <w:shd w:val="clear" w:color="auto" w:fill="FFFFFF"/>
        </w:rPr>
      </w:pPr>
      <w:r>
        <w:rPr>
          <w:rFonts w:hint="eastAsia" w:ascii="宋体" w:hAnsi="宋体" w:eastAsia="宋体" w:cs="宋体"/>
          <w:b/>
          <w:bCs/>
          <w:color w:val="000000" w:themeColor="text1"/>
          <w:spacing w:val="0"/>
          <w:sz w:val="24"/>
          <w:szCs w:val="24"/>
          <w:shd w:val="clear" w:color="auto" w:fill="FFFFFF"/>
        </w:rPr>
        <w:t>合同包21(21标段漫川关镇东寺村18-21小班)：</w:t>
      </w:r>
    </w:p>
    <w:p>
      <w:pPr>
        <w:pStyle w:val="2"/>
        <w:spacing w:line="360" w:lineRule="auto"/>
        <w:ind w:firstLine="480" w:firstLineChars="200"/>
        <w:rPr>
          <w:rFonts w:ascii="宋体" w:hAnsi="宋体" w:eastAsia="宋体" w:cs="宋体"/>
          <w:color w:val="000000" w:themeColor="text1"/>
          <w:spacing w:val="0"/>
          <w:sz w:val="24"/>
          <w:szCs w:val="24"/>
          <w:shd w:val="clear" w:color="auto" w:fill="FFFFFF"/>
        </w:rPr>
      </w:pPr>
      <w:r>
        <w:rPr>
          <w:rFonts w:hint="eastAsia" w:ascii="宋体" w:hAnsi="宋体" w:eastAsia="宋体" w:cs="宋体"/>
          <w:color w:val="000000" w:themeColor="text1"/>
          <w:spacing w:val="0"/>
          <w:sz w:val="24"/>
          <w:szCs w:val="24"/>
          <w:shd w:val="clear" w:color="auto" w:fill="FFFFFF"/>
        </w:rPr>
        <w:t>作业范围为漫川关镇东寺村的第18-21小班，有效作业面积935亩。其中：采伐修复涉及4个小班935亩，择伐胸径5厘米以下树木33株，择伐枯死木、濒死木27株；补植修复涉及4个小班935亩，栽植油茶67915株；保水剂467.5㎏，生根粉233.9g（油茶：品种为长林系列，容器苗，苗龄4年，地径≥0.6cm，苗高≥60cm，主根发达，侧根均匀舒展，无机械损伤）。制作安装宣传牌1块。</w:t>
      </w:r>
    </w:p>
    <w:p>
      <w:pPr>
        <w:spacing w:line="360" w:lineRule="auto"/>
        <w:ind w:firstLine="720" w:firstLineChars="200"/>
        <w:rPr>
          <w:rFonts w:asciiTheme="minorEastAsia" w:hAnsiTheme="minorEastAsia" w:eastAsiaTheme="minorEastAsia" w:cstheme="minorEastAsia"/>
          <w:bCs/>
          <w:color w:val="000000" w:themeColor="text1"/>
          <w:sz w:val="36"/>
          <w:szCs w:val="36"/>
        </w:rPr>
      </w:pPr>
      <w:r>
        <w:rPr>
          <w:rFonts w:hint="eastAsia" w:asciiTheme="minorEastAsia" w:hAnsiTheme="minorEastAsia" w:eastAsiaTheme="minorEastAsia" w:cstheme="minorEastAsia"/>
          <w:bCs/>
          <w:color w:val="000000" w:themeColor="text1"/>
          <w:sz w:val="36"/>
          <w:szCs w:val="36"/>
        </w:rPr>
        <w:br w:type="page"/>
      </w:r>
    </w:p>
    <w:p>
      <w:pPr>
        <w:spacing w:line="360" w:lineRule="auto"/>
        <w:ind w:firstLine="720" w:firstLineChars="200"/>
        <w:rPr>
          <w:rFonts w:asciiTheme="minorEastAsia" w:hAnsiTheme="minorEastAsia" w:eastAsiaTheme="minorEastAsia" w:cstheme="minorEastAsia"/>
          <w:bCs/>
          <w:sz w:val="36"/>
          <w:szCs w:val="36"/>
        </w:rPr>
      </w:pPr>
    </w:p>
    <w:p>
      <w:pPr>
        <w:pStyle w:val="4"/>
        <w:spacing w:line="360" w:lineRule="auto"/>
        <w:jc w:val="center"/>
        <w:rPr>
          <w:rFonts w:asciiTheme="minorEastAsia" w:hAnsiTheme="minorEastAsia" w:eastAsiaTheme="minorEastAsia" w:cstheme="minorEastAsia"/>
          <w:bCs/>
          <w:sz w:val="36"/>
          <w:szCs w:val="36"/>
        </w:rPr>
      </w:pPr>
      <w:bookmarkStart w:id="127" w:name="_Toc24769"/>
      <w:r>
        <w:rPr>
          <w:rFonts w:hint="eastAsia" w:asciiTheme="minorEastAsia" w:hAnsiTheme="minorEastAsia" w:eastAsiaTheme="minorEastAsia" w:cstheme="minorEastAsia"/>
          <w:bCs/>
          <w:sz w:val="36"/>
          <w:szCs w:val="36"/>
        </w:rPr>
        <w:t>第六章  投标文件构成及格式</w:t>
      </w:r>
      <w:bookmarkEnd w:id="101"/>
      <w:bookmarkEnd w:id="127"/>
    </w:p>
    <w:p>
      <w:pPr>
        <w:rPr>
          <w:rFonts w:asciiTheme="minorEastAsia" w:hAnsiTheme="minorEastAsia" w:eastAsiaTheme="minorEastAsia" w:cstheme="minorEastAsia"/>
        </w:rPr>
      </w:pPr>
    </w:p>
    <w:p>
      <w:pP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项目编号：SXZCZB2023-ZCGK-1111</w:t>
      </w:r>
    </w:p>
    <w:p>
      <w:pPr>
        <w:jc w:val="righ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（正本或副本）</w:t>
      </w:r>
    </w:p>
    <w:p>
      <w:pPr>
        <w:jc w:val="center"/>
        <w:rPr>
          <w:rFonts w:asciiTheme="minorEastAsia" w:hAnsiTheme="minorEastAsia" w:eastAsiaTheme="minorEastAsia" w:cstheme="minorEastAsia"/>
          <w:b/>
          <w:sz w:val="36"/>
          <w:szCs w:val="36"/>
        </w:rPr>
      </w:pPr>
    </w:p>
    <w:p>
      <w:pPr>
        <w:rPr>
          <w:rFonts w:asciiTheme="minorEastAsia" w:hAnsiTheme="minorEastAsia" w:eastAsiaTheme="minorEastAsia" w:cstheme="minorEastAsia"/>
          <w:b/>
          <w:sz w:val="52"/>
          <w:szCs w:val="52"/>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44"/>
          <w:szCs w:val="44"/>
        </w:rPr>
        <w:t>商洛市秦岭中段（南麓）水源涵养与生物多样性保护恢复项目山阳县2023年退化林修复</w:t>
      </w:r>
    </w:p>
    <w:p>
      <w:pPr>
        <w:pStyle w:val="2"/>
      </w:pPr>
    </w:p>
    <w:p>
      <w:pPr>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（第  包）</w:t>
      </w:r>
    </w:p>
    <w:p>
      <w:pPr>
        <w:rPr>
          <w:rFonts w:asciiTheme="minorEastAsia" w:hAnsiTheme="minorEastAsia" w:eastAsiaTheme="minorEastAsia" w:cstheme="minorEastAsia"/>
        </w:rPr>
      </w:pPr>
    </w:p>
    <w:p>
      <w:pPr>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jc w:val="center"/>
        <w:rPr>
          <w:rFonts w:asciiTheme="minorEastAsia" w:hAnsiTheme="minorEastAsia" w:eastAsiaTheme="minorEastAsia" w:cstheme="minorEastAsia"/>
          <w:b/>
          <w:sz w:val="72"/>
          <w:szCs w:val="72"/>
        </w:rPr>
      </w:pPr>
    </w:p>
    <w:p>
      <w:pPr>
        <w:rPr>
          <w:rFonts w:asciiTheme="minorEastAsia" w:hAnsiTheme="minorEastAsia" w:eastAsiaTheme="minorEastAsia" w:cstheme="minorEastAsia"/>
          <w:b/>
          <w:sz w:val="36"/>
          <w:szCs w:val="36"/>
        </w:rPr>
      </w:pPr>
    </w:p>
    <w:p>
      <w:pPr>
        <w:spacing w:line="360" w:lineRule="auto"/>
        <w:rPr>
          <w:rFonts w:asciiTheme="minorEastAsia" w:hAnsiTheme="minorEastAsia" w:eastAsiaTheme="minorEastAsia" w:cstheme="minorEastAsia"/>
          <w:b/>
          <w:bCs/>
          <w:sz w:val="28"/>
          <w:szCs w:val="28"/>
        </w:rPr>
      </w:pPr>
    </w:p>
    <w:p>
      <w:pPr>
        <w:spacing w:line="360" w:lineRule="auto"/>
        <w:rPr>
          <w:rFonts w:asciiTheme="minorEastAsia" w:hAnsiTheme="minorEastAsia" w:eastAsiaTheme="minorEastAsia" w:cstheme="minorEastAsia"/>
          <w:b/>
          <w:bCs/>
          <w:sz w:val="28"/>
          <w:szCs w:val="28"/>
        </w:rPr>
      </w:pPr>
    </w:p>
    <w:p>
      <w:pPr>
        <w:spacing w:line="360" w:lineRule="auto"/>
        <w:rPr>
          <w:rFonts w:asciiTheme="minorEastAsia" w:hAnsiTheme="minorEastAsia" w:eastAsiaTheme="minorEastAsia" w:cstheme="minorEastAsia"/>
          <w:b/>
          <w:bCs/>
          <w:sz w:val="28"/>
          <w:szCs w:val="28"/>
        </w:rPr>
      </w:pPr>
    </w:p>
    <w:p>
      <w:pPr>
        <w:spacing w:line="360" w:lineRule="auto"/>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投标人名称：（盖章）</w:t>
      </w:r>
      <w:r>
        <w:rPr>
          <w:rFonts w:hint="eastAsia" w:asciiTheme="minorEastAsia" w:hAnsiTheme="minorEastAsia" w:eastAsiaTheme="minorEastAsia" w:cstheme="minorEastAsia"/>
          <w:b/>
          <w:bCs/>
          <w:sz w:val="28"/>
          <w:szCs w:val="28"/>
          <w:u w:val="single"/>
        </w:rPr>
        <w:t xml:space="preserve">                     </w:t>
      </w:r>
    </w:p>
    <w:p>
      <w:pPr>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法定代表人或其委托代理人：（签字或盖章）</w:t>
      </w:r>
    </w:p>
    <w:p>
      <w:pPr>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年      月       日</w:t>
      </w:r>
    </w:p>
    <w:p>
      <w:pPr>
        <w:spacing w:line="360" w:lineRule="auto"/>
        <w:rPr>
          <w:rFonts w:asciiTheme="minorEastAsia" w:hAnsiTheme="minorEastAsia" w:eastAsiaTheme="minorEastAsia" w:cstheme="minorEastAsia"/>
        </w:rPr>
        <w:sectPr>
          <w:footerReference r:id="rId10" w:type="default"/>
          <w:pgSz w:w="11906" w:h="16838"/>
          <w:pgMar w:top="1304" w:right="1361" w:bottom="1304" w:left="1361" w:header="851" w:footer="992" w:gutter="0"/>
          <w:cols w:space="0" w:num="1"/>
          <w:docGrid w:type="lines" w:linePitch="312" w:charSpace="0"/>
        </w:sectPr>
      </w:pPr>
    </w:p>
    <w:p>
      <w:pPr>
        <w:spacing w:beforeLines="50" w:afterLines="50" w:line="360" w:lineRule="auto"/>
        <w:jc w:val="center"/>
        <w:rPr>
          <w:rFonts w:asciiTheme="minorEastAsia" w:hAnsiTheme="minorEastAsia" w:eastAsiaTheme="minorEastAsia" w:cstheme="minorEastAsia"/>
          <w:b/>
          <w:bCs/>
          <w:spacing w:val="4"/>
          <w:sz w:val="36"/>
          <w:szCs w:val="36"/>
        </w:rPr>
      </w:pPr>
      <w:r>
        <w:rPr>
          <w:rFonts w:hint="eastAsia" w:asciiTheme="minorEastAsia" w:hAnsiTheme="minorEastAsia" w:eastAsiaTheme="minorEastAsia" w:cstheme="minorEastAsia"/>
          <w:b/>
          <w:bCs/>
          <w:spacing w:val="4"/>
          <w:sz w:val="36"/>
          <w:szCs w:val="36"/>
        </w:rPr>
        <w:t>目 录</w:t>
      </w:r>
    </w:p>
    <w:p>
      <w:pPr>
        <w:tabs>
          <w:tab w:val="left" w:pos="7656"/>
        </w:tabs>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（一）投标函</w:t>
      </w:r>
    </w:p>
    <w:p>
      <w:pPr>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（二）开标一览表</w:t>
      </w:r>
    </w:p>
    <w:p>
      <w:pPr>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（三）商务响应偏离表</w:t>
      </w:r>
    </w:p>
    <w:p>
      <w:pPr>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（四）投标方案说明书</w:t>
      </w:r>
    </w:p>
    <w:p>
      <w:pPr>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（五）企业类似业绩</w:t>
      </w:r>
    </w:p>
    <w:p>
      <w:pPr>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（六）陕西省政府采购投标人拒绝政府采购领域商业贿赂承诺书</w:t>
      </w:r>
    </w:p>
    <w:p>
      <w:pPr>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（七）资格证明文件</w:t>
      </w:r>
    </w:p>
    <w:p>
      <w:pPr>
        <w:spacing w:line="480" w:lineRule="auto"/>
        <w:ind w:firstLine="496" w:firstLineChars="200"/>
        <w:rPr>
          <w:rFonts w:asciiTheme="minorEastAsia" w:hAnsiTheme="minorEastAsia" w:eastAsiaTheme="minorEastAsia" w:cstheme="minorEastAsia"/>
          <w:spacing w:val="4"/>
          <w:sz w:val="24"/>
          <w:szCs w:val="24"/>
        </w:rPr>
      </w:pPr>
    </w:p>
    <w:p>
      <w:pPr>
        <w:rPr>
          <w:rFonts w:asciiTheme="minorEastAsia" w:hAnsiTheme="minorEastAsia" w:eastAsiaTheme="minorEastAsia" w:cstheme="minorEastAsia"/>
          <w:sz w:val="28"/>
        </w:rPr>
      </w:pPr>
      <w:bookmarkStart w:id="128" w:name="_Toc22992"/>
      <w:r>
        <w:rPr>
          <w:rFonts w:hint="eastAsia" w:asciiTheme="minorEastAsia" w:hAnsiTheme="minorEastAsia" w:eastAsiaTheme="minorEastAsia" w:cstheme="minorEastAsia"/>
          <w:sz w:val="28"/>
        </w:rPr>
        <w:br w:type="page"/>
      </w:r>
    </w:p>
    <w:bookmarkEnd w:id="128"/>
    <w:p>
      <w:pPr>
        <w:pStyle w:val="7"/>
        <w:spacing w:beforeLines="100" w:line="360" w:lineRule="auto"/>
        <w:rPr>
          <w:rFonts w:asciiTheme="minorEastAsia" w:hAnsiTheme="minorEastAsia" w:eastAsiaTheme="minorEastAsia" w:cstheme="minorEastAsia"/>
          <w:sz w:val="32"/>
          <w:szCs w:val="32"/>
        </w:rPr>
      </w:pPr>
      <w:bookmarkStart w:id="129" w:name="_Toc6822"/>
      <w:bookmarkStart w:id="130" w:name="_Toc29539"/>
      <w:bookmarkStart w:id="131" w:name="_Toc4974"/>
      <w:bookmarkStart w:id="132" w:name="_Toc30488"/>
      <w:bookmarkStart w:id="133" w:name="_Toc11460"/>
      <w:r>
        <w:rPr>
          <w:rFonts w:hint="eastAsia" w:asciiTheme="minorEastAsia" w:hAnsiTheme="minorEastAsia" w:eastAsiaTheme="minorEastAsia" w:cstheme="minorEastAsia"/>
          <w:sz w:val="32"/>
          <w:szCs w:val="32"/>
        </w:rPr>
        <w:t>一、投标函</w:t>
      </w:r>
      <w:bookmarkEnd w:id="129"/>
      <w:bookmarkEnd w:id="130"/>
      <w:bookmarkEnd w:id="131"/>
      <w:bookmarkEnd w:id="132"/>
      <w:bookmarkEnd w:id="133"/>
    </w:p>
    <w:p>
      <w:pPr>
        <w:spacing w:line="360" w:lineRule="auto"/>
        <w:jc w:val="left"/>
        <w:rPr>
          <w:rFonts w:asciiTheme="minorEastAsia" w:hAnsiTheme="minorEastAsia" w:eastAsiaTheme="minorEastAsia" w:cstheme="minorEastAsia"/>
          <w:spacing w:val="4"/>
          <w:sz w:val="24"/>
          <w:szCs w:val="24"/>
          <w:u w:val="single"/>
        </w:rPr>
      </w:pPr>
      <w:r>
        <w:rPr>
          <w:rFonts w:hint="eastAsia" w:asciiTheme="minorEastAsia" w:hAnsiTheme="minorEastAsia" w:eastAsiaTheme="minorEastAsia" w:cstheme="minorEastAsia"/>
          <w:spacing w:val="4"/>
          <w:sz w:val="24"/>
          <w:szCs w:val="24"/>
        </w:rPr>
        <w:t xml:space="preserve">致：陕西至诚项目管理集团有限公司 </w:t>
      </w:r>
    </w:p>
    <w:p>
      <w:pPr>
        <w:spacing w:line="360" w:lineRule="auto"/>
        <w:ind w:firstLine="496" w:firstLineChars="200"/>
        <w:rPr>
          <w:rFonts w:asciiTheme="minorEastAsia" w:hAnsiTheme="minorEastAsia" w:eastAsiaTheme="minorEastAsia" w:cstheme="minorEastAsia"/>
          <w:spacing w:val="4"/>
          <w:sz w:val="24"/>
          <w:szCs w:val="24"/>
          <w:u w:val="single"/>
        </w:rPr>
      </w:pPr>
      <w:r>
        <w:rPr>
          <w:rFonts w:hint="eastAsia" w:asciiTheme="minorEastAsia" w:hAnsiTheme="minorEastAsia" w:eastAsiaTheme="minorEastAsia" w:cstheme="minorEastAsia"/>
          <w:spacing w:val="4"/>
          <w:sz w:val="24"/>
          <w:szCs w:val="24"/>
        </w:rPr>
        <w:t>根据贵方“</w:t>
      </w:r>
      <w:r>
        <w:rPr>
          <w:rFonts w:hint="eastAsia" w:asciiTheme="minorEastAsia" w:hAnsiTheme="minorEastAsia" w:eastAsiaTheme="minorEastAsia" w:cstheme="minorEastAsia"/>
          <w:spacing w:val="4"/>
          <w:sz w:val="24"/>
          <w:szCs w:val="24"/>
          <w:u w:val="single"/>
        </w:rPr>
        <w:t xml:space="preserve">                      </w:t>
      </w:r>
      <w:r>
        <w:rPr>
          <w:rFonts w:hint="eastAsia" w:asciiTheme="minorEastAsia" w:hAnsiTheme="minorEastAsia" w:eastAsiaTheme="minorEastAsia" w:cstheme="minorEastAsia"/>
          <w:spacing w:val="4"/>
          <w:sz w:val="24"/>
          <w:szCs w:val="24"/>
        </w:rPr>
        <w:t>”项目的投标邀请</w:t>
      </w:r>
      <w:r>
        <w:rPr>
          <w:rFonts w:hint="eastAsia" w:asciiTheme="minorEastAsia" w:hAnsiTheme="minorEastAsia" w:eastAsiaTheme="minorEastAsia" w:cstheme="minorEastAsia"/>
          <w:spacing w:val="4"/>
          <w:sz w:val="24"/>
          <w:szCs w:val="24"/>
          <w:u w:val="single"/>
        </w:rPr>
        <w:t>(编号：     包号：</w:t>
      </w:r>
    </w:p>
    <w:p>
      <w:pPr>
        <w:spacing w:line="36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u w:val="single"/>
        </w:rPr>
        <w:t xml:space="preserve"> 第 包   )</w:t>
      </w:r>
      <w:r>
        <w:rPr>
          <w:rFonts w:hint="eastAsia" w:asciiTheme="minorEastAsia" w:hAnsiTheme="minorEastAsia" w:eastAsiaTheme="minorEastAsia" w:cstheme="minorEastAsia"/>
          <w:spacing w:val="4"/>
          <w:sz w:val="24"/>
          <w:szCs w:val="24"/>
        </w:rPr>
        <w:t>，签字代表</w:t>
      </w:r>
      <w:r>
        <w:rPr>
          <w:rFonts w:hint="eastAsia" w:asciiTheme="minorEastAsia" w:hAnsiTheme="minorEastAsia" w:eastAsiaTheme="minorEastAsia" w:cstheme="minorEastAsia"/>
          <w:spacing w:val="4"/>
          <w:sz w:val="24"/>
          <w:szCs w:val="24"/>
          <w:u w:val="single"/>
        </w:rPr>
        <w:t>（全名、职务）</w:t>
      </w:r>
      <w:r>
        <w:rPr>
          <w:rFonts w:hint="eastAsia" w:asciiTheme="minorEastAsia" w:hAnsiTheme="minorEastAsia" w:eastAsiaTheme="minorEastAsia" w:cstheme="minorEastAsia"/>
          <w:spacing w:val="4"/>
          <w:sz w:val="24"/>
          <w:szCs w:val="24"/>
        </w:rPr>
        <w:t>经正式授权并代表投标人</w:t>
      </w:r>
      <w:r>
        <w:rPr>
          <w:rFonts w:hint="eastAsia" w:asciiTheme="minorEastAsia" w:hAnsiTheme="minorEastAsia" w:eastAsiaTheme="minorEastAsia" w:cstheme="minorEastAsia"/>
          <w:spacing w:val="4"/>
          <w:sz w:val="24"/>
          <w:szCs w:val="24"/>
          <w:u w:val="single"/>
        </w:rPr>
        <w:t>(投标人名称、地址)</w:t>
      </w:r>
      <w:r>
        <w:rPr>
          <w:rFonts w:hint="eastAsia" w:asciiTheme="minorEastAsia" w:hAnsiTheme="minorEastAsia" w:eastAsiaTheme="minorEastAsia" w:cstheme="minorEastAsia"/>
          <w:spacing w:val="4"/>
          <w:sz w:val="24"/>
          <w:szCs w:val="24"/>
        </w:rPr>
        <w:t xml:space="preserve"> 提交投标文件正本壹份、副本一式</w:t>
      </w:r>
      <w:r>
        <w:rPr>
          <w:rFonts w:hint="eastAsia" w:asciiTheme="minorEastAsia" w:hAnsiTheme="minorEastAsia" w:eastAsiaTheme="minorEastAsia" w:cstheme="minorEastAsia"/>
          <w:spacing w:val="4"/>
          <w:sz w:val="24"/>
          <w:szCs w:val="24"/>
          <w:u w:val="single"/>
        </w:rPr>
        <w:t xml:space="preserve">  </w:t>
      </w:r>
      <w:r>
        <w:rPr>
          <w:rFonts w:hint="eastAsia" w:asciiTheme="minorEastAsia" w:hAnsiTheme="minorEastAsia" w:eastAsiaTheme="minorEastAsia" w:cstheme="minorEastAsia"/>
          <w:spacing w:val="4"/>
          <w:sz w:val="24"/>
          <w:szCs w:val="24"/>
        </w:rPr>
        <w:t>份,电子版</w:t>
      </w:r>
      <w:r>
        <w:rPr>
          <w:rFonts w:hint="eastAsia" w:asciiTheme="minorEastAsia" w:hAnsiTheme="minorEastAsia" w:eastAsiaTheme="minorEastAsia" w:cstheme="minorEastAsia"/>
          <w:spacing w:val="4"/>
          <w:sz w:val="24"/>
          <w:szCs w:val="24"/>
          <w:u w:val="single"/>
        </w:rPr>
        <w:t xml:space="preserve">    </w:t>
      </w:r>
      <w:r>
        <w:rPr>
          <w:rFonts w:hint="eastAsia" w:asciiTheme="minorEastAsia" w:hAnsiTheme="minorEastAsia" w:eastAsiaTheme="minorEastAsia" w:cstheme="minorEastAsia"/>
          <w:spacing w:val="4"/>
          <w:sz w:val="24"/>
          <w:szCs w:val="24"/>
        </w:rPr>
        <w:t>份。</w:t>
      </w:r>
    </w:p>
    <w:p>
      <w:pPr>
        <w:spacing w:line="360" w:lineRule="auto"/>
        <w:ind w:left="549" w:leftChars="251" w:hanging="22" w:hangingChars="9"/>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我方承诺如下：</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1）投标总价为</w:t>
      </w:r>
      <w:r>
        <w:rPr>
          <w:rFonts w:hint="eastAsia" w:asciiTheme="minorEastAsia" w:hAnsiTheme="minorEastAsia" w:eastAsiaTheme="minorEastAsia" w:cstheme="minorEastAsia"/>
          <w:spacing w:val="4"/>
          <w:sz w:val="24"/>
          <w:szCs w:val="24"/>
          <w:u w:val="single"/>
        </w:rPr>
        <w:t xml:space="preserve">         </w:t>
      </w:r>
      <w:r>
        <w:rPr>
          <w:rFonts w:hint="eastAsia" w:asciiTheme="minorEastAsia" w:hAnsiTheme="minorEastAsia" w:eastAsiaTheme="minorEastAsia" w:cstheme="minorEastAsia"/>
          <w:spacing w:val="4"/>
          <w:sz w:val="24"/>
          <w:szCs w:val="24"/>
        </w:rPr>
        <w:t>（人民币）（用文字和数字表示的投标总价）。</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2）如果成交，我们根据公开招标文件的规定，履行合同的责任和义务。</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3）我们已详细阅读和审核全部公开招标文件（含修改部分，如有的话），及有关附件，我们知道必须放弃提出含糊不清或误解的问题的权利。</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4）我们同意在投标有效期内（</w:t>
      </w:r>
      <w:r>
        <w:rPr>
          <w:rFonts w:hint="eastAsia" w:asciiTheme="minorEastAsia" w:hAnsiTheme="minorEastAsia" w:eastAsiaTheme="minorEastAsia" w:cstheme="minorEastAsia"/>
          <w:spacing w:val="4"/>
          <w:sz w:val="24"/>
          <w:szCs w:val="24"/>
          <w:u w:val="single"/>
        </w:rPr>
        <w:t>自投标之日起  天内</w:t>
      </w:r>
      <w:r>
        <w:rPr>
          <w:rFonts w:hint="eastAsia" w:asciiTheme="minorEastAsia" w:hAnsiTheme="minorEastAsia" w:eastAsiaTheme="minorEastAsia" w:cstheme="minorEastAsia"/>
          <w:spacing w:val="4"/>
          <w:sz w:val="24"/>
          <w:szCs w:val="24"/>
        </w:rPr>
        <w:t>），本投标函对我方具有约束力。</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5）如果在投标后规定的投标有效期内撤回投标，我们的投标保证金可被贵方没收。</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6）同意提供贵方可能另外要求的与本投标有关的任何证据和资料。 </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7）我们同意，如果成交，向陕西至诚项目管理集团有限公司交纳招标代理服务费。</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8）与本投标有关的一切正式往来通讯为：</w:t>
      </w:r>
    </w:p>
    <w:p>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联系地址：</w:t>
      </w:r>
    </w:p>
    <w:p>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邮政编码：</w:t>
      </w:r>
    </w:p>
    <w:p>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电    话：</w:t>
      </w:r>
    </w:p>
    <w:p>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传    真：</w:t>
      </w:r>
    </w:p>
    <w:p>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投标人名称（盖章）：</w:t>
      </w:r>
    </w:p>
    <w:p>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投标人法定代表人签字或盖章：</w:t>
      </w:r>
    </w:p>
    <w:p>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日    期：</w:t>
      </w:r>
    </w:p>
    <w:p>
      <w:pPr>
        <w:pStyle w:val="7"/>
        <w:spacing w:beforeLines="1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rPr>
        <w:br w:type="page"/>
      </w:r>
      <w:bookmarkStart w:id="134" w:name="_Toc14574"/>
      <w:bookmarkStart w:id="135" w:name="_Toc31119"/>
      <w:bookmarkStart w:id="136" w:name="_Toc3285"/>
      <w:bookmarkStart w:id="137" w:name="_Toc4562"/>
      <w:bookmarkStart w:id="138" w:name="_Toc13504"/>
      <w:r>
        <w:rPr>
          <w:rFonts w:hint="eastAsia" w:asciiTheme="minorEastAsia" w:hAnsiTheme="minorEastAsia" w:eastAsiaTheme="minorEastAsia" w:cstheme="minorEastAsia"/>
          <w:sz w:val="32"/>
          <w:szCs w:val="32"/>
        </w:rPr>
        <w:t>二、开标一览表</w:t>
      </w:r>
      <w:bookmarkEnd w:id="134"/>
      <w:bookmarkEnd w:id="135"/>
      <w:bookmarkEnd w:id="136"/>
      <w:bookmarkEnd w:id="137"/>
      <w:bookmarkEnd w:id="138"/>
    </w:p>
    <w:p>
      <w:pPr>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2.1报价一览表</w:t>
      </w:r>
    </w:p>
    <w:p>
      <w:pPr>
        <w:tabs>
          <w:tab w:val="left" w:pos="7080"/>
          <w:tab w:val="left" w:pos="8504"/>
        </w:tabs>
        <w:spacing w:line="360" w:lineRule="auto"/>
        <w:ind w:right="-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p>
      <w:pPr>
        <w:tabs>
          <w:tab w:val="left" w:pos="7080"/>
          <w:tab w:val="left" w:pos="8504"/>
        </w:tabs>
        <w:spacing w:line="360" w:lineRule="auto"/>
        <w:ind w:right="-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项目编号、包号（第  包）：</w:t>
      </w:r>
    </w:p>
    <w:tbl>
      <w:tblPr>
        <w:tblStyle w:val="2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Merge w:val="restart"/>
            <w:vAlign w:val="center"/>
          </w:tcPr>
          <w:p>
            <w:pPr>
              <w:jc w:val="center"/>
              <w:rPr>
                <w:rFonts w:ascii="宋体"/>
                <w:sz w:val="24"/>
                <w:szCs w:val="24"/>
              </w:rPr>
            </w:pPr>
            <w:r>
              <w:rPr>
                <w:rFonts w:hint="eastAsia" w:ascii="宋体" w:hAnsi="宋体" w:cs="宋体"/>
                <w:sz w:val="24"/>
                <w:szCs w:val="24"/>
              </w:rPr>
              <w:t>投标总报价（元）</w:t>
            </w:r>
          </w:p>
        </w:tc>
        <w:tc>
          <w:tcPr>
            <w:tcW w:w="6593" w:type="dxa"/>
            <w:vAlign w:val="center"/>
          </w:tcPr>
          <w:p>
            <w:pPr>
              <w:rPr>
                <w:rFonts w:ascii="宋体"/>
                <w:sz w:val="24"/>
                <w:szCs w:val="24"/>
              </w:rPr>
            </w:pPr>
            <w:r>
              <w:rPr>
                <w:rFonts w:hint="eastAsia" w:ascii="宋体" w:hAnsi="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Merge w:val="continue"/>
            <w:vAlign w:val="center"/>
          </w:tcPr>
          <w:p/>
        </w:tc>
        <w:tc>
          <w:tcPr>
            <w:tcW w:w="6593" w:type="dxa"/>
            <w:vAlign w:val="center"/>
          </w:tcPr>
          <w:p>
            <w:pPr>
              <w:rPr>
                <w:rFonts w:ascii="宋体"/>
                <w:sz w:val="24"/>
                <w:szCs w:val="24"/>
              </w:rPr>
            </w:pPr>
            <w:r>
              <w:rPr>
                <w:rFonts w:hint="eastAsia" w:ascii="宋体" w:hAnsi="宋体" w:cs="宋体"/>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Align w:val="center"/>
          </w:tcPr>
          <w:p>
            <w:pPr>
              <w:jc w:val="center"/>
              <w:rPr>
                <w:rFonts w:ascii="宋体" w:hAnsi="宋体" w:cs="宋体"/>
                <w:sz w:val="24"/>
                <w:szCs w:val="24"/>
              </w:rPr>
            </w:pPr>
            <w:r>
              <w:rPr>
                <w:rFonts w:hint="eastAsia" w:ascii="宋体" w:hAnsi="宋体" w:cs="宋体"/>
                <w:sz w:val="24"/>
                <w:szCs w:val="24"/>
              </w:rPr>
              <w:t>工期</w:t>
            </w:r>
          </w:p>
        </w:tc>
        <w:tc>
          <w:tcPr>
            <w:tcW w:w="6593"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Align w:val="center"/>
          </w:tcPr>
          <w:p>
            <w:pPr>
              <w:jc w:val="center"/>
              <w:rPr>
                <w:rFonts w:ascii="宋体"/>
                <w:sz w:val="24"/>
                <w:szCs w:val="24"/>
              </w:rPr>
            </w:pPr>
            <w:r>
              <w:rPr>
                <w:rFonts w:hint="eastAsia" w:ascii="宋体" w:hAnsi="宋体" w:cs="宋体"/>
                <w:sz w:val="24"/>
                <w:szCs w:val="24"/>
              </w:rPr>
              <w:t>质量标准</w:t>
            </w:r>
          </w:p>
        </w:tc>
        <w:tc>
          <w:tcPr>
            <w:tcW w:w="6593"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Align w:val="center"/>
          </w:tcPr>
          <w:p>
            <w:pPr>
              <w:jc w:val="center"/>
              <w:rPr>
                <w:rFonts w:ascii="宋体"/>
                <w:sz w:val="24"/>
                <w:szCs w:val="24"/>
              </w:rPr>
            </w:pPr>
            <w:r>
              <w:rPr>
                <w:rFonts w:hint="eastAsia" w:ascii="宋体" w:hAnsi="宋体" w:cs="宋体"/>
                <w:sz w:val="24"/>
                <w:szCs w:val="24"/>
              </w:rPr>
              <w:t>备注</w:t>
            </w:r>
          </w:p>
        </w:tc>
        <w:tc>
          <w:tcPr>
            <w:tcW w:w="6593" w:type="dxa"/>
            <w:vAlign w:val="center"/>
          </w:tcPr>
          <w:p>
            <w:pPr>
              <w:rPr>
                <w:rFonts w:ascii="宋体"/>
                <w:sz w:val="24"/>
                <w:szCs w:val="24"/>
              </w:rPr>
            </w:pPr>
          </w:p>
        </w:tc>
      </w:tr>
    </w:tbl>
    <w:p>
      <w:pPr>
        <w:spacing w:line="120" w:lineRule="exact"/>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p>
    <w:p>
      <w:pPr>
        <w:spacing w:line="480" w:lineRule="auto"/>
        <w:ind w:right="540" w:rightChars="257"/>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w:t>
      </w:r>
      <w:r>
        <w:rPr>
          <w:rFonts w:hint="eastAsia" w:asciiTheme="minorEastAsia" w:hAnsiTheme="minorEastAsia" w:eastAsiaTheme="minorEastAsia" w:cstheme="minorEastAsia"/>
          <w:sz w:val="24"/>
          <w:szCs w:val="24"/>
          <w:u w:val="single"/>
        </w:rPr>
        <w:t xml:space="preserve">      （加盖投标人公章）      </w:t>
      </w:r>
    </w:p>
    <w:p>
      <w:pPr>
        <w:spacing w:line="480" w:lineRule="auto"/>
        <w:ind w:right="540" w:rightChars="257"/>
        <w:jc w:val="left"/>
        <w:rPr>
          <w:rFonts w:asciiTheme="minorEastAsia" w:hAnsiTheme="minorEastAsia" w:eastAsiaTheme="minorEastAsia" w:cstheme="minorEastAsia"/>
          <w:sz w:val="24"/>
          <w:szCs w:val="24"/>
        </w:rPr>
      </w:pPr>
    </w:p>
    <w:p>
      <w:pPr>
        <w:spacing w:line="480" w:lineRule="auto"/>
        <w:ind w:right="540" w:rightChars="257"/>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法定代表人/或被授权人签字或盖章：</w:t>
      </w:r>
    </w:p>
    <w:p>
      <w:pPr>
        <w:spacing w:line="480" w:lineRule="auto"/>
        <w:ind w:right="540" w:rightChars="257"/>
        <w:jc w:val="left"/>
        <w:rPr>
          <w:rFonts w:asciiTheme="minorEastAsia" w:hAnsiTheme="minorEastAsia" w:eastAsiaTheme="minorEastAsia" w:cstheme="minorEastAsia"/>
          <w:sz w:val="24"/>
          <w:szCs w:val="24"/>
        </w:rPr>
      </w:pPr>
    </w:p>
    <w:p>
      <w:pPr>
        <w:spacing w:line="480" w:lineRule="auto"/>
        <w:ind w:right="540" w:rightChars="25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pPr>
        <w:spacing w:beforeLines="50" w:afterLines="50" w:line="480" w:lineRule="auto"/>
        <w:ind w:firstLine="480" w:firstLineChars="200"/>
        <w:rPr>
          <w:rFonts w:asciiTheme="minorEastAsia" w:hAnsiTheme="minorEastAsia" w:eastAsiaTheme="minorEastAsia" w:cstheme="minorEastAsia"/>
          <w:sz w:val="24"/>
          <w:szCs w:val="24"/>
        </w:rPr>
        <w:sectPr>
          <w:pgSz w:w="11906" w:h="16838"/>
          <w:pgMar w:top="1304" w:right="1361" w:bottom="1304" w:left="1361" w:header="851" w:footer="992" w:gutter="0"/>
          <w:cols w:space="720" w:num="1"/>
          <w:docGrid w:type="lines" w:linePitch="312" w:charSpace="0"/>
        </w:sectPr>
      </w:pPr>
    </w:p>
    <w:p>
      <w:pPr>
        <w:rPr>
          <w:rFonts w:asciiTheme="minorEastAsia" w:hAnsiTheme="minorEastAsia" w:eastAsiaTheme="minorEastAsia" w:cstheme="minorEastAsia"/>
          <w:sz w:val="24"/>
        </w:rPr>
      </w:pPr>
      <w:r>
        <w:drawing>
          <wp:inline distT="0" distB="0" distL="114300" distR="114300">
            <wp:extent cx="9031605" cy="3425825"/>
            <wp:effectExtent l="0" t="0" r="171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stretch>
                      <a:fillRect/>
                    </a:stretch>
                  </pic:blipFill>
                  <pic:spPr>
                    <a:xfrm>
                      <a:off x="0" y="0"/>
                      <a:ext cx="9031605" cy="3425825"/>
                    </a:xfrm>
                    <a:prstGeom prst="rect">
                      <a:avLst/>
                    </a:prstGeom>
                    <a:noFill/>
                    <a:ln>
                      <a:noFill/>
                    </a:ln>
                  </pic:spPr>
                </pic:pic>
              </a:graphicData>
            </a:graphic>
          </wp:inline>
        </w:drawing>
      </w:r>
    </w:p>
    <w:p>
      <w:pPr>
        <w:rPr>
          <w:rFonts w:asciiTheme="minorEastAsia" w:hAnsiTheme="minorEastAsia" w:eastAsiaTheme="minorEastAsia" w:cstheme="minorEastAsia"/>
          <w:sz w:val="11"/>
          <w:szCs w:val="10"/>
        </w:rPr>
      </w:pPr>
      <w:r>
        <w:rPr>
          <w:rFonts w:hint="eastAsia" w:asciiTheme="minorEastAsia" w:hAnsiTheme="minorEastAsia" w:eastAsiaTheme="minorEastAsia" w:cstheme="minorEastAsia"/>
          <w:sz w:val="11"/>
          <w:szCs w:val="10"/>
        </w:rPr>
        <w:t>注：此表供应商只需填写所投标段报价，剩余部分均可删除。</w:t>
      </w:r>
    </w:p>
    <w:p>
      <w:pPr>
        <w:ind w:right="540" w:rightChars="257"/>
        <w:jc w:val="left"/>
        <w:rPr>
          <w:rFonts w:asciiTheme="minorEastAsia" w:hAnsiTheme="minorEastAsia" w:eastAsiaTheme="minorEastAsia" w:cstheme="minorEastAsia"/>
          <w:sz w:val="11"/>
          <w:szCs w:val="10"/>
        </w:rPr>
      </w:pPr>
      <w:r>
        <w:rPr>
          <w:rFonts w:hint="eastAsia" w:asciiTheme="minorEastAsia" w:hAnsiTheme="minorEastAsia" w:eastAsiaTheme="minorEastAsia" w:cstheme="minorEastAsia"/>
          <w:sz w:val="11"/>
          <w:szCs w:val="10"/>
        </w:rPr>
        <w:t>投标人名称：</w:t>
      </w:r>
      <w:r>
        <w:rPr>
          <w:rFonts w:hint="eastAsia" w:asciiTheme="minorEastAsia" w:hAnsiTheme="minorEastAsia" w:eastAsiaTheme="minorEastAsia" w:cstheme="minorEastAsia"/>
          <w:sz w:val="11"/>
          <w:szCs w:val="10"/>
          <w:u w:val="single"/>
        </w:rPr>
        <w:t xml:space="preserve">      （加盖投标人公章）      </w:t>
      </w:r>
    </w:p>
    <w:p>
      <w:pPr>
        <w:ind w:right="540" w:rightChars="257"/>
        <w:rPr>
          <w:rFonts w:asciiTheme="minorEastAsia" w:hAnsiTheme="minorEastAsia" w:eastAsiaTheme="minorEastAsia" w:cstheme="minorEastAsia"/>
          <w:sz w:val="11"/>
          <w:szCs w:val="10"/>
        </w:rPr>
      </w:pPr>
      <w:r>
        <w:rPr>
          <w:rFonts w:hint="eastAsia" w:asciiTheme="minorEastAsia" w:hAnsiTheme="minorEastAsia" w:eastAsiaTheme="minorEastAsia" w:cstheme="minorEastAsia"/>
          <w:sz w:val="11"/>
          <w:szCs w:val="10"/>
        </w:rPr>
        <w:t>日    期：</w:t>
      </w:r>
    </w:p>
    <w:p>
      <w:pPr>
        <w:rPr>
          <w:rFonts w:asciiTheme="minorEastAsia" w:hAnsiTheme="minorEastAsia" w:eastAsiaTheme="minorEastAsia" w:cstheme="minorEastAsia"/>
          <w:sz w:val="15"/>
          <w:szCs w:val="13"/>
          <w:highlight w:val="yellow"/>
        </w:rPr>
        <w:sectPr>
          <w:pgSz w:w="16838" w:h="11906" w:orient="landscape"/>
          <w:pgMar w:top="1361" w:right="1304" w:bottom="1361" w:left="1304" w:header="851" w:footer="992" w:gutter="0"/>
          <w:cols w:space="720" w:num="1"/>
          <w:docGrid w:type="lines" w:linePitch="312" w:charSpace="0"/>
        </w:sectPr>
      </w:pPr>
    </w:p>
    <w:p>
      <w:pPr>
        <w:spacing w:beforeLines="50" w:afterLines="50" w:line="480" w:lineRule="auto"/>
        <w:jc w:val="center"/>
        <w:rPr>
          <w:rFonts w:asciiTheme="minorEastAsia" w:hAnsiTheme="minorEastAsia" w:eastAsiaTheme="minorEastAsia" w:cstheme="minorEastAsia"/>
          <w:b/>
          <w:bCs/>
          <w:sz w:val="30"/>
          <w:szCs w:val="30"/>
        </w:rPr>
      </w:pPr>
    </w:p>
    <w:p>
      <w:pPr>
        <w:pStyle w:val="7"/>
        <w:tabs>
          <w:tab w:val="left" w:pos="4860"/>
        </w:tabs>
        <w:spacing w:beforeLines="0" w:afterLines="50"/>
        <w:rPr>
          <w:rFonts w:asciiTheme="minorEastAsia" w:hAnsiTheme="minorEastAsia" w:eastAsiaTheme="minorEastAsia" w:cstheme="minorEastAsia"/>
          <w:sz w:val="32"/>
          <w:szCs w:val="32"/>
        </w:rPr>
      </w:pPr>
      <w:bookmarkStart w:id="139" w:name="_Toc6360"/>
      <w:bookmarkStart w:id="140" w:name="_Toc31089"/>
      <w:bookmarkStart w:id="141" w:name="_Toc2477"/>
      <w:bookmarkStart w:id="142" w:name="_Toc10537"/>
      <w:bookmarkStart w:id="143" w:name="_Toc344572163"/>
      <w:r>
        <w:rPr>
          <w:rFonts w:hint="eastAsia" w:asciiTheme="minorEastAsia" w:hAnsiTheme="minorEastAsia" w:eastAsiaTheme="minorEastAsia" w:cstheme="minorEastAsia"/>
          <w:sz w:val="30"/>
          <w:szCs w:val="30"/>
        </w:rPr>
        <w:t>三、</w:t>
      </w:r>
      <w:r>
        <w:rPr>
          <w:rFonts w:hint="eastAsia" w:asciiTheme="minorEastAsia" w:hAnsiTheme="minorEastAsia" w:eastAsiaTheme="minorEastAsia" w:cstheme="minorEastAsia"/>
          <w:sz w:val="32"/>
          <w:szCs w:val="32"/>
        </w:rPr>
        <w:t>商务响应偏离表</w:t>
      </w:r>
      <w:bookmarkEnd w:id="139"/>
      <w:bookmarkEnd w:id="140"/>
      <w:bookmarkEnd w:id="141"/>
      <w:bookmarkEnd w:id="142"/>
    </w:p>
    <w:p>
      <w:pPr>
        <w:spacing w:after="120" w:line="276" w:lineRule="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项目名称</w:t>
      </w:r>
    </w:p>
    <w:p>
      <w:pPr>
        <w:spacing w:after="120" w:line="276" w:lineRule="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项目编号、包号（第  包）：</w:t>
      </w:r>
    </w:p>
    <w:tbl>
      <w:tblPr>
        <w:tblStyle w:val="27"/>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890"/>
        <w:gridCol w:w="1995"/>
        <w:gridCol w:w="2688"/>
        <w:gridCol w:w="1212"/>
        <w:gridCol w:w="1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890" w:type="dxa"/>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995" w:type="dxa"/>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招标文件商务要求</w:t>
            </w:r>
          </w:p>
        </w:tc>
        <w:tc>
          <w:tcPr>
            <w:tcW w:w="2688" w:type="dxa"/>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投标文件商务响应</w:t>
            </w:r>
          </w:p>
        </w:tc>
        <w:tc>
          <w:tcPr>
            <w:tcW w:w="1212" w:type="dxa"/>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偏离</w:t>
            </w:r>
          </w:p>
        </w:tc>
        <w:tc>
          <w:tcPr>
            <w:tcW w:w="1007" w:type="dxa"/>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tcPr>
          <w:p>
            <w:pPr>
              <w:spacing w:line="360" w:lineRule="auto"/>
              <w:jc w:val="center"/>
              <w:rPr>
                <w:rFonts w:asciiTheme="minorEastAsia" w:hAnsiTheme="minorEastAsia" w:eastAsiaTheme="minorEastAsia" w:cstheme="minorEastAsia"/>
                <w:sz w:val="24"/>
                <w:szCs w:val="24"/>
              </w:rPr>
            </w:pPr>
          </w:p>
        </w:tc>
        <w:tc>
          <w:tcPr>
            <w:tcW w:w="1995" w:type="dxa"/>
          </w:tcPr>
          <w:p>
            <w:pPr>
              <w:spacing w:line="360" w:lineRule="auto"/>
              <w:jc w:val="center"/>
              <w:rPr>
                <w:rFonts w:asciiTheme="minorEastAsia" w:hAnsiTheme="minorEastAsia" w:eastAsiaTheme="minorEastAsia" w:cstheme="minorEastAsia"/>
                <w:sz w:val="24"/>
                <w:szCs w:val="24"/>
              </w:rPr>
            </w:pPr>
          </w:p>
        </w:tc>
        <w:tc>
          <w:tcPr>
            <w:tcW w:w="2688" w:type="dxa"/>
          </w:tcPr>
          <w:p>
            <w:pPr>
              <w:spacing w:line="360" w:lineRule="auto"/>
              <w:jc w:val="center"/>
              <w:rPr>
                <w:rFonts w:asciiTheme="minorEastAsia" w:hAnsiTheme="minorEastAsia" w:eastAsiaTheme="minorEastAsia" w:cstheme="minorEastAsia"/>
                <w:sz w:val="24"/>
                <w:szCs w:val="24"/>
              </w:rPr>
            </w:pPr>
          </w:p>
        </w:tc>
        <w:tc>
          <w:tcPr>
            <w:tcW w:w="1212" w:type="dxa"/>
          </w:tcPr>
          <w:p>
            <w:pPr>
              <w:spacing w:line="360" w:lineRule="auto"/>
              <w:jc w:val="center"/>
              <w:rPr>
                <w:rFonts w:asciiTheme="minorEastAsia" w:hAnsiTheme="minorEastAsia" w:eastAsiaTheme="minorEastAsia" w:cstheme="minorEastAsia"/>
                <w:sz w:val="24"/>
                <w:szCs w:val="24"/>
              </w:rPr>
            </w:pPr>
          </w:p>
        </w:tc>
        <w:tc>
          <w:tcPr>
            <w:tcW w:w="1007" w:type="dxa"/>
          </w:tcPr>
          <w:p>
            <w:pPr>
              <w:spacing w:line="360" w:lineRule="auto"/>
              <w:jc w:val="center"/>
              <w:rPr>
                <w:rFonts w:asciiTheme="minorEastAsia" w:hAnsiTheme="minorEastAsia" w:eastAsiaTheme="minorEastAsia" w:cstheme="min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tcPr>
          <w:p>
            <w:pPr>
              <w:spacing w:line="360" w:lineRule="auto"/>
              <w:jc w:val="center"/>
              <w:rPr>
                <w:rFonts w:asciiTheme="minorEastAsia" w:hAnsiTheme="minorEastAsia" w:eastAsiaTheme="minorEastAsia" w:cstheme="minorEastAsia"/>
                <w:sz w:val="24"/>
                <w:szCs w:val="24"/>
              </w:rPr>
            </w:pPr>
          </w:p>
        </w:tc>
        <w:tc>
          <w:tcPr>
            <w:tcW w:w="1995" w:type="dxa"/>
          </w:tcPr>
          <w:p>
            <w:pPr>
              <w:spacing w:line="360" w:lineRule="auto"/>
              <w:jc w:val="center"/>
              <w:rPr>
                <w:rFonts w:asciiTheme="minorEastAsia" w:hAnsiTheme="minorEastAsia" w:eastAsiaTheme="minorEastAsia" w:cstheme="minorEastAsia"/>
                <w:sz w:val="24"/>
                <w:szCs w:val="24"/>
              </w:rPr>
            </w:pPr>
          </w:p>
        </w:tc>
        <w:tc>
          <w:tcPr>
            <w:tcW w:w="2688" w:type="dxa"/>
          </w:tcPr>
          <w:p>
            <w:pPr>
              <w:spacing w:line="360" w:lineRule="auto"/>
              <w:jc w:val="center"/>
              <w:rPr>
                <w:rFonts w:asciiTheme="minorEastAsia" w:hAnsiTheme="minorEastAsia" w:eastAsiaTheme="minorEastAsia" w:cstheme="minorEastAsia"/>
                <w:sz w:val="24"/>
                <w:szCs w:val="24"/>
              </w:rPr>
            </w:pPr>
          </w:p>
        </w:tc>
        <w:tc>
          <w:tcPr>
            <w:tcW w:w="1212" w:type="dxa"/>
          </w:tcPr>
          <w:p>
            <w:pPr>
              <w:spacing w:line="360" w:lineRule="auto"/>
              <w:jc w:val="center"/>
              <w:rPr>
                <w:rFonts w:asciiTheme="minorEastAsia" w:hAnsiTheme="minorEastAsia" w:eastAsiaTheme="minorEastAsia" w:cstheme="minorEastAsia"/>
                <w:sz w:val="24"/>
                <w:szCs w:val="24"/>
              </w:rPr>
            </w:pPr>
          </w:p>
        </w:tc>
        <w:tc>
          <w:tcPr>
            <w:tcW w:w="1007" w:type="dxa"/>
          </w:tcPr>
          <w:p>
            <w:pPr>
              <w:spacing w:line="360" w:lineRule="auto"/>
              <w:jc w:val="center"/>
              <w:rPr>
                <w:rFonts w:asciiTheme="minorEastAsia" w:hAnsiTheme="minorEastAsia" w:eastAsiaTheme="minorEastAsia" w:cstheme="min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995" w:type="dxa"/>
          </w:tcPr>
          <w:p>
            <w:pPr>
              <w:spacing w:line="360" w:lineRule="auto"/>
              <w:jc w:val="center"/>
              <w:rPr>
                <w:rFonts w:asciiTheme="minorEastAsia" w:hAnsiTheme="minorEastAsia" w:eastAsiaTheme="minorEastAsia" w:cstheme="minorEastAsia"/>
                <w:sz w:val="24"/>
                <w:szCs w:val="24"/>
              </w:rPr>
            </w:pPr>
          </w:p>
        </w:tc>
        <w:tc>
          <w:tcPr>
            <w:tcW w:w="2688" w:type="dxa"/>
          </w:tcPr>
          <w:p>
            <w:pPr>
              <w:spacing w:line="360" w:lineRule="auto"/>
              <w:jc w:val="center"/>
              <w:rPr>
                <w:rFonts w:asciiTheme="minorEastAsia" w:hAnsiTheme="minorEastAsia" w:eastAsiaTheme="minorEastAsia" w:cstheme="minorEastAsia"/>
                <w:sz w:val="24"/>
                <w:szCs w:val="24"/>
              </w:rPr>
            </w:pPr>
          </w:p>
        </w:tc>
        <w:tc>
          <w:tcPr>
            <w:tcW w:w="1212" w:type="dxa"/>
          </w:tcPr>
          <w:p>
            <w:pPr>
              <w:spacing w:line="360" w:lineRule="auto"/>
              <w:jc w:val="center"/>
              <w:rPr>
                <w:rFonts w:asciiTheme="minorEastAsia" w:hAnsiTheme="minorEastAsia" w:eastAsiaTheme="minorEastAsia" w:cstheme="minorEastAsia"/>
                <w:sz w:val="24"/>
                <w:szCs w:val="24"/>
              </w:rPr>
            </w:pPr>
          </w:p>
        </w:tc>
        <w:tc>
          <w:tcPr>
            <w:tcW w:w="1007" w:type="dxa"/>
          </w:tcPr>
          <w:p>
            <w:pPr>
              <w:spacing w:line="360" w:lineRule="auto"/>
              <w:jc w:val="center"/>
              <w:rPr>
                <w:rFonts w:asciiTheme="minorEastAsia" w:hAnsiTheme="minorEastAsia" w:eastAsiaTheme="minorEastAsia" w:cstheme="min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tcPr>
          <w:p>
            <w:pPr>
              <w:spacing w:line="360" w:lineRule="auto"/>
              <w:jc w:val="center"/>
              <w:rPr>
                <w:rFonts w:asciiTheme="minorEastAsia" w:hAnsiTheme="minorEastAsia" w:eastAsiaTheme="minorEastAsia" w:cstheme="minorEastAsia"/>
                <w:sz w:val="24"/>
                <w:szCs w:val="24"/>
              </w:rPr>
            </w:pPr>
          </w:p>
        </w:tc>
        <w:tc>
          <w:tcPr>
            <w:tcW w:w="1995" w:type="dxa"/>
          </w:tcPr>
          <w:p>
            <w:pPr>
              <w:spacing w:line="360" w:lineRule="auto"/>
              <w:jc w:val="center"/>
              <w:rPr>
                <w:rFonts w:asciiTheme="minorEastAsia" w:hAnsiTheme="minorEastAsia" w:eastAsiaTheme="minorEastAsia" w:cstheme="minorEastAsia"/>
                <w:sz w:val="24"/>
                <w:szCs w:val="24"/>
              </w:rPr>
            </w:pPr>
          </w:p>
        </w:tc>
        <w:tc>
          <w:tcPr>
            <w:tcW w:w="2688" w:type="dxa"/>
          </w:tcPr>
          <w:p>
            <w:pPr>
              <w:spacing w:line="360" w:lineRule="auto"/>
              <w:jc w:val="center"/>
              <w:rPr>
                <w:rFonts w:asciiTheme="minorEastAsia" w:hAnsiTheme="minorEastAsia" w:eastAsiaTheme="minorEastAsia" w:cstheme="minorEastAsia"/>
                <w:sz w:val="24"/>
                <w:szCs w:val="24"/>
              </w:rPr>
            </w:pPr>
          </w:p>
        </w:tc>
        <w:tc>
          <w:tcPr>
            <w:tcW w:w="1212" w:type="dxa"/>
          </w:tcPr>
          <w:p>
            <w:pPr>
              <w:spacing w:line="360" w:lineRule="auto"/>
              <w:jc w:val="center"/>
              <w:rPr>
                <w:rFonts w:asciiTheme="minorEastAsia" w:hAnsiTheme="minorEastAsia" w:eastAsiaTheme="minorEastAsia" w:cstheme="minorEastAsia"/>
                <w:sz w:val="24"/>
                <w:szCs w:val="24"/>
              </w:rPr>
            </w:pPr>
          </w:p>
        </w:tc>
        <w:tc>
          <w:tcPr>
            <w:tcW w:w="1007" w:type="dxa"/>
          </w:tcPr>
          <w:p>
            <w:pPr>
              <w:spacing w:line="360" w:lineRule="auto"/>
              <w:jc w:val="center"/>
              <w:rPr>
                <w:rFonts w:asciiTheme="minorEastAsia" w:hAnsiTheme="minorEastAsia" w:eastAsiaTheme="minorEastAsia" w:cstheme="min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tcPr>
          <w:p>
            <w:pPr>
              <w:spacing w:line="360" w:lineRule="auto"/>
              <w:jc w:val="center"/>
              <w:rPr>
                <w:rFonts w:asciiTheme="minorEastAsia" w:hAnsiTheme="minorEastAsia" w:eastAsiaTheme="minorEastAsia" w:cstheme="minorEastAsia"/>
                <w:sz w:val="24"/>
                <w:szCs w:val="24"/>
              </w:rPr>
            </w:pPr>
          </w:p>
        </w:tc>
        <w:tc>
          <w:tcPr>
            <w:tcW w:w="1995" w:type="dxa"/>
          </w:tcPr>
          <w:p>
            <w:pPr>
              <w:spacing w:line="360" w:lineRule="auto"/>
              <w:jc w:val="center"/>
              <w:rPr>
                <w:rFonts w:asciiTheme="minorEastAsia" w:hAnsiTheme="minorEastAsia" w:eastAsiaTheme="minorEastAsia" w:cstheme="minorEastAsia"/>
                <w:sz w:val="24"/>
                <w:szCs w:val="24"/>
              </w:rPr>
            </w:pPr>
          </w:p>
        </w:tc>
        <w:tc>
          <w:tcPr>
            <w:tcW w:w="2688" w:type="dxa"/>
          </w:tcPr>
          <w:p>
            <w:pPr>
              <w:spacing w:line="360" w:lineRule="auto"/>
              <w:jc w:val="center"/>
              <w:rPr>
                <w:rFonts w:asciiTheme="minorEastAsia" w:hAnsiTheme="minorEastAsia" w:eastAsiaTheme="minorEastAsia" w:cstheme="minorEastAsia"/>
                <w:sz w:val="24"/>
                <w:szCs w:val="24"/>
              </w:rPr>
            </w:pPr>
          </w:p>
        </w:tc>
        <w:tc>
          <w:tcPr>
            <w:tcW w:w="1212" w:type="dxa"/>
          </w:tcPr>
          <w:p>
            <w:pPr>
              <w:spacing w:line="360" w:lineRule="auto"/>
              <w:jc w:val="center"/>
              <w:rPr>
                <w:rFonts w:asciiTheme="minorEastAsia" w:hAnsiTheme="minorEastAsia" w:eastAsiaTheme="minorEastAsia" w:cstheme="minorEastAsia"/>
                <w:sz w:val="24"/>
                <w:szCs w:val="24"/>
              </w:rPr>
            </w:pPr>
          </w:p>
        </w:tc>
        <w:tc>
          <w:tcPr>
            <w:tcW w:w="1007" w:type="dxa"/>
          </w:tcPr>
          <w:p>
            <w:pPr>
              <w:spacing w:line="360" w:lineRule="auto"/>
              <w:jc w:val="center"/>
              <w:rPr>
                <w:rFonts w:asciiTheme="minorEastAsia" w:hAnsiTheme="minorEastAsia" w:eastAsiaTheme="minorEastAsia" w:cstheme="minorEastAsia"/>
                <w:sz w:val="24"/>
                <w:szCs w:val="24"/>
              </w:rPr>
            </w:pPr>
          </w:p>
        </w:tc>
      </w:tr>
    </w:tbl>
    <w:p>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声明：除本商务偏离表中所列的偏离项目外，其它所有商务均完全响应“招标文件”中的要求。</w:t>
      </w:r>
    </w:p>
    <w:bookmarkEnd w:id="143"/>
    <w:p>
      <w:pPr>
        <w:spacing w:line="312" w:lineRule="auto"/>
        <w:ind w:right="540" w:rightChars="257"/>
        <w:jc w:val="left"/>
        <w:rPr>
          <w:rFonts w:asciiTheme="minorEastAsia" w:hAnsiTheme="minorEastAsia" w:eastAsiaTheme="minorEastAsia" w:cstheme="minorEastAsia"/>
          <w:sz w:val="24"/>
        </w:rPr>
      </w:pPr>
    </w:p>
    <w:p>
      <w:pPr>
        <w:spacing w:line="312" w:lineRule="auto"/>
        <w:ind w:right="540" w:rightChars="257"/>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u w:val="single"/>
        </w:rPr>
        <w:t xml:space="preserve">      （加盖投标人公章）      </w:t>
      </w:r>
    </w:p>
    <w:p>
      <w:pPr>
        <w:spacing w:line="312" w:lineRule="auto"/>
        <w:ind w:right="540" w:rightChars="257"/>
        <w:jc w:val="left"/>
        <w:rPr>
          <w:rFonts w:asciiTheme="minorEastAsia" w:hAnsiTheme="minorEastAsia" w:eastAsiaTheme="minorEastAsia" w:cstheme="minorEastAsia"/>
          <w:sz w:val="24"/>
          <w:u w:val="single"/>
        </w:rPr>
      </w:pPr>
    </w:p>
    <w:p>
      <w:pPr>
        <w:spacing w:line="312" w:lineRule="auto"/>
        <w:ind w:right="540" w:right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法定代表人或被授权人签字或盖章：</w:t>
      </w:r>
    </w:p>
    <w:p>
      <w:pPr>
        <w:spacing w:line="312" w:lineRule="auto"/>
        <w:ind w:right="540" w:rightChars="257"/>
        <w:jc w:val="left"/>
        <w:rPr>
          <w:rFonts w:asciiTheme="minorEastAsia" w:hAnsiTheme="minorEastAsia" w:eastAsiaTheme="minorEastAsia" w:cstheme="minorEastAsia"/>
          <w:sz w:val="24"/>
        </w:rPr>
      </w:pPr>
    </w:p>
    <w:p>
      <w:pPr>
        <w:spacing w:line="312" w:lineRule="auto"/>
        <w:ind w:right="540" w:rightChars="25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pPr>
        <w:pStyle w:val="24"/>
        <w:rPr>
          <w:rFonts w:asciiTheme="minorEastAsia" w:hAnsiTheme="minorEastAsia" w:eastAsiaTheme="minorEastAsia" w:cstheme="minorEastAsia"/>
          <w:color w:val="auto"/>
        </w:rPr>
      </w:pPr>
    </w:p>
    <w:p>
      <w:pPr>
        <w:pStyle w:val="2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说明：</w:t>
      </w:r>
    </w:p>
    <w:p>
      <w:pPr>
        <w:pStyle w:val="24"/>
        <w:ind w:firstLine="48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1.本表只填写投标文件中与招标文件有偏离（包括正偏离和负偏离）的内容，投标文件中商务响应与招标文件要求完全一致的，不用在此表中列出，但必须提交空白表。</w:t>
      </w:r>
    </w:p>
    <w:p>
      <w:pPr>
        <w:pStyle w:val="24"/>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2.投标人必须据实填写，不得虚假响应，否则将取消其投标或中标资格，并按有关规定进处罚。</w:t>
      </w:r>
    </w:p>
    <w:p>
      <w:pPr>
        <w:pStyle w:val="24"/>
        <w:rPr>
          <w:rFonts w:asciiTheme="minorEastAsia" w:hAnsiTheme="minorEastAsia" w:eastAsiaTheme="minorEastAsia" w:cstheme="minorEastAsia"/>
          <w:color w:val="auto"/>
        </w:rPr>
      </w:pPr>
    </w:p>
    <w:p>
      <w:pPr>
        <w:rPr>
          <w:rFonts w:asciiTheme="minorEastAsia" w:hAnsiTheme="minorEastAsia" w:eastAsiaTheme="minorEastAsia" w:cstheme="minorEastAsia"/>
          <w:sz w:val="24"/>
        </w:rPr>
      </w:pPr>
    </w:p>
    <w:p>
      <w:pPr>
        <w:pStyle w:val="7"/>
        <w:spacing w:beforeLines="100"/>
        <w:rPr>
          <w:rFonts w:asciiTheme="minorEastAsia" w:hAnsiTheme="minorEastAsia" w:eastAsiaTheme="minorEastAsia" w:cstheme="minorEastAsia"/>
          <w:b w:val="0"/>
        </w:rPr>
      </w:pPr>
      <w:r>
        <w:rPr>
          <w:rFonts w:hint="eastAsia" w:asciiTheme="minorEastAsia" w:hAnsiTheme="minorEastAsia" w:eastAsiaTheme="minorEastAsia" w:cstheme="minorEastAsia"/>
          <w:sz w:val="32"/>
          <w:szCs w:val="32"/>
        </w:rPr>
        <w:br w:type="page"/>
      </w:r>
      <w:bookmarkStart w:id="144" w:name="_Toc28513"/>
      <w:bookmarkStart w:id="145" w:name="_Toc27879"/>
      <w:bookmarkStart w:id="146" w:name="_Toc9782"/>
      <w:bookmarkStart w:id="147" w:name="_Toc400"/>
      <w:bookmarkStart w:id="148" w:name="_Toc11699"/>
      <w:r>
        <w:rPr>
          <w:rFonts w:hint="eastAsia" w:asciiTheme="minorEastAsia" w:hAnsiTheme="minorEastAsia" w:eastAsiaTheme="minorEastAsia" w:cstheme="minorEastAsia"/>
          <w:sz w:val="32"/>
          <w:szCs w:val="32"/>
        </w:rPr>
        <w:t>四、投标方案说明书</w:t>
      </w:r>
      <w:bookmarkEnd w:id="144"/>
      <w:bookmarkEnd w:id="145"/>
      <w:bookmarkEnd w:id="146"/>
      <w:bookmarkEnd w:id="147"/>
      <w:bookmarkEnd w:id="148"/>
    </w:p>
    <w:p>
      <w:pPr>
        <w:rPr>
          <w:rFonts w:asciiTheme="minorEastAsia" w:hAnsiTheme="minorEastAsia" w:eastAsiaTheme="minorEastAsia" w:cstheme="minorEastAsia"/>
        </w:rPr>
      </w:pPr>
    </w:p>
    <w:p>
      <w:pPr>
        <w:adjustRightInd w:val="0"/>
        <w:spacing w:after="12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按照招标文件的要求编制，根据评审办法进行编制，主要内容包含但不限于以下内容：</w:t>
      </w:r>
    </w:p>
    <w:p>
      <w:pPr>
        <w:spacing w:line="480" w:lineRule="auto"/>
        <w:ind w:firstLine="480" w:firstLineChars="200"/>
        <w:rPr>
          <w:rFonts w:ascii="宋体" w:hAnsi="宋体" w:cs="宋体"/>
          <w:sz w:val="24"/>
          <w:szCs w:val="24"/>
        </w:rPr>
      </w:pPr>
      <w:r>
        <w:rPr>
          <w:rFonts w:hint="eastAsia" w:ascii="宋体" w:hAnsi="宋体" w:cs="宋体"/>
          <w:sz w:val="24"/>
          <w:szCs w:val="24"/>
        </w:rPr>
        <w:t>①项目管理部门及人员配备</w:t>
      </w:r>
    </w:p>
    <w:p>
      <w:pPr>
        <w:spacing w:line="480" w:lineRule="auto"/>
        <w:ind w:firstLine="480" w:firstLineChars="200"/>
        <w:rPr>
          <w:rFonts w:ascii="宋体" w:hAnsi="宋体" w:cs="宋体"/>
          <w:sz w:val="24"/>
          <w:szCs w:val="24"/>
        </w:rPr>
      </w:pPr>
      <w:r>
        <w:rPr>
          <w:rFonts w:hint="eastAsia" w:ascii="宋体" w:hAnsi="宋体" w:cs="宋体"/>
          <w:sz w:val="24"/>
          <w:szCs w:val="24"/>
        </w:rPr>
        <w:t>②项目实施方案</w:t>
      </w:r>
    </w:p>
    <w:p>
      <w:pPr>
        <w:spacing w:line="480" w:lineRule="auto"/>
        <w:ind w:firstLine="480" w:firstLineChars="200"/>
        <w:rPr>
          <w:rFonts w:ascii="宋体" w:hAnsi="宋体" w:cs="宋体"/>
          <w:sz w:val="24"/>
          <w:szCs w:val="24"/>
        </w:rPr>
      </w:pPr>
      <w:r>
        <w:rPr>
          <w:rFonts w:hint="eastAsia" w:ascii="宋体" w:hAnsi="宋体" w:cs="宋体"/>
          <w:sz w:val="24"/>
          <w:szCs w:val="24"/>
        </w:rPr>
        <w:t>③工程进度计划与保障措施</w:t>
      </w:r>
    </w:p>
    <w:p>
      <w:pPr>
        <w:pStyle w:val="26"/>
        <w:spacing w:line="480" w:lineRule="auto"/>
        <w:ind w:firstLine="480" w:firstLineChars="200"/>
        <w:rPr>
          <w:rFonts w:ascii="宋体" w:hAnsi="宋体" w:cs="宋体"/>
          <w:sz w:val="24"/>
          <w:szCs w:val="24"/>
        </w:rPr>
      </w:pPr>
      <w:r>
        <w:rPr>
          <w:rFonts w:hint="eastAsia" w:ascii="宋体" w:hAnsi="宋体" w:cs="宋体"/>
          <w:sz w:val="24"/>
          <w:szCs w:val="24"/>
        </w:rPr>
        <w:t>④确保工程质量</w:t>
      </w:r>
      <w:r>
        <w:rPr>
          <w:rFonts w:hint="eastAsia" w:hAnsi="宋体" w:cs="宋体"/>
          <w:sz w:val="24"/>
          <w:szCs w:val="24"/>
        </w:rPr>
        <w:t>的</w:t>
      </w:r>
      <w:r>
        <w:rPr>
          <w:rFonts w:hint="eastAsia" w:ascii="宋体" w:hAnsi="宋体" w:cs="宋体"/>
          <w:sz w:val="24"/>
          <w:szCs w:val="24"/>
        </w:rPr>
        <w:t>组织措施</w:t>
      </w:r>
    </w:p>
    <w:p>
      <w:pPr>
        <w:pStyle w:val="26"/>
        <w:spacing w:line="480" w:lineRule="auto"/>
        <w:ind w:firstLine="480" w:firstLineChars="200"/>
        <w:rPr>
          <w:rFonts w:ascii="宋体" w:hAnsi="宋体" w:cs="宋体"/>
          <w:sz w:val="24"/>
          <w:szCs w:val="24"/>
        </w:rPr>
      </w:pPr>
      <w:r>
        <w:rPr>
          <w:rFonts w:hint="eastAsia" w:ascii="宋体" w:hAnsi="宋体" w:cs="宋体"/>
          <w:sz w:val="24"/>
          <w:szCs w:val="24"/>
        </w:rPr>
        <w:t>⑤文明施工、环境保护管理体系与措施</w:t>
      </w:r>
    </w:p>
    <w:p>
      <w:pPr>
        <w:pStyle w:val="26"/>
        <w:spacing w:line="480" w:lineRule="auto"/>
        <w:ind w:firstLine="480" w:firstLineChars="200"/>
        <w:rPr>
          <w:rFonts w:ascii="宋体" w:hAnsi="宋体" w:cs="宋体"/>
          <w:sz w:val="24"/>
          <w:szCs w:val="24"/>
        </w:rPr>
      </w:pPr>
      <w:r>
        <w:rPr>
          <w:rFonts w:hint="eastAsia" w:ascii="宋体" w:hAnsi="宋体" w:cs="宋体"/>
          <w:sz w:val="24"/>
          <w:szCs w:val="24"/>
        </w:rPr>
        <w:t>⑥主要机具、设备和劳动力配备情况</w:t>
      </w:r>
    </w:p>
    <w:p>
      <w:pPr>
        <w:spacing w:line="480" w:lineRule="auto"/>
        <w:ind w:firstLine="480" w:firstLineChars="200"/>
        <w:rPr>
          <w:rFonts w:ascii="宋体" w:hAnsi="宋体" w:cs="宋体"/>
          <w:sz w:val="24"/>
          <w:szCs w:val="24"/>
        </w:rPr>
      </w:pPr>
      <w:r>
        <w:rPr>
          <w:rFonts w:hint="eastAsia" w:ascii="宋体" w:hAnsi="宋体" w:cs="宋体"/>
          <w:sz w:val="24"/>
          <w:szCs w:val="24"/>
        </w:rPr>
        <w:t>⑦安全保障方案及应急措施</w:t>
      </w:r>
    </w:p>
    <w:p>
      <w:pPr>
        <w:spacing w:line="480" w:lineRule="auto"/>
        <w:ind w:firstLine="480" w:firstLineChars="200"/>
        <w:rPr>
          <w:rFonts w:ascii="宋体" w:hAnsi="宋体" w:cs="宋体"/>
          <w:sz w:val="24"/>
          <w:szCs w:val="24"/>
        </w:rPr>
      </w:pPr>
      <w:r>
        <w:rPr>
          <w:rFonts w:hint="eastAsia" w:ascii="宋体" w:hAnsi="宋体" w:cs="宋体"/>
          <w:sz w:val="24"/>
          <w:szCs w:val="24"/>
        </w:rPr>
        <w:t>⑧质量承诺</w:t>
      </w:r>
    </w:p>
    <w:p>
      <w:pPr>
        <w:spacing w:line="580" w:lineRule="exact"/>
        <w:ind w:firstLine="480" w:firstLineChars="200"/>
        <w:rPr>
          <w:rFonts w:asciiTheme="minorEastAsia" w:hAnsiTheme="minorEastAsia" w:eastAsiaTheme="minorEastAsia" w:cstheme="minorEastAsia"/>
          <w:sz w:val="24"/>
          <w:szCs w:val="24"/>
        </w:rPr>
      </w:pPr>
    </w:p>
    <w:p>
      <w:pPr>
        <w:spacing w:line="580" w:lineRule="exact"/>
        <w:ind w:firstLine="480" w:firstLineChars="200"/>
        <w:rPr>
          <w:rFonts w:asciiTheme="minorEastAsia" w:hAnsiTheme="minorEastAsia" w:eastAsiaTheme="minorEastAsia" w:cstheme="minorEastAsia"/>
          <w:sz w:val="24"/>
          <w:szCs w:val="24"/>
        </w:rPr>
      </w:pPr>
    </w:p>
    <w:p>
      <w:pPr>
        <w:kinsoku w:val="0"/>
        <w:spacing w:line="580" w:lineRule="exact"/>
        <w:rPr>
          <w:rFonts w:asciiTheme="minorEastAsia" w:hAnsiTheme="minorEastAsia" w:eastAsiaTheme="minorEastAsia" w:cstheme="minorEastAsia"/>
          <w:sz w:val="24"/>
          <w:szCs w:val="24"/>
        </w:rPr>
      </w:pPr>
    </w:p>
    <w:p>
      <w:pPr>
        <w:spacing w:line="440" w:lineRule="exact"/>
        <w:ind w:left="3259" w:leftChars="155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法定代表人/或被授权人签字或盖章：</w:t>
      </w:r>
    </w:p>
    <w:p>
      <w:pPr>
        <w:spacing w:line="440" w:lineRule="exact"/>
        <w:ind w:left="3259" w:leftChars="155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      章：</w:t>
      </w:r>
    </w:p>
    <w:p>
      <w:pPr>
        <w:spacing w:line="440" w:lineRule="exact"/>
        <w:ind w:firstLine="3259" w:firstLineChars="135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pPr>
        <w:spacing w:line="440" w:lineRule="exact"/>
        <w:rPr>
          <w:rFonts w:asciiTheme="minorEastAsia" w:hAnsiTheme="minorEastAsia" w:eastAsiaTheme="minorEastAsia" w:cstheme="minorEastAsia"/>
          <w:sz w:val="24"/>
          <w:szCs w:val="24"/>
        </w:rPr>
      </w:pPr>
    </w:p>
    <w:p>
      <w:pPr>
        <w:rPr>
          <w:rFonts w:asciiTheme="minorEastAsia" w:hAnsiTheme="minorEastAsia" w:eastAsiaTheme="minorEastAsia" w:cstheme="minorEastAsia"/>
        </w:rPr>
      </w:pPr>
    </w:p>
    <w:p>
      <w:pPr>
        <w:spacing w:line="580" w:lineRule="exact"/>
        <w:rPr>
          <w:rFonts w:asciiTheme="minorEastAsia" w:hAnsiTheme="minorEastAsia" w:eastAsiaTheme="minorEastAsia" w:cstheme="minorEastAsia"/>
          <w:sz w:val="24"/>
          <w:szCs w:val="24"/>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b/>
          <w:sz w:val="36"/>
        </w:rPr>
        <w:br w:type="page"/>
      </w:r>
    </w:p>
    <w:p>
      <w:pPr>
        <w:pStyle w:val="7"/>
        <w:spacing w:beforeLines="100"/>
        <w:rPr>
          <w:rFonts w:asciiTheme="minorEastAsia" w:hAnsiTheme="minorEastAsia" w:eastAsiaTheme="minorEastAsia" w:cstheme="minorEastAsia"/>
          <w:spacing w:val="4"/>
          <w:sz w:val="28"/>
          <w:szCs w:val="28"/>
        </w:rPr>
      </w:pPr>
      <w:bookmarkStart w:id="149" w:name="_Toc14604"/>
      <w:bookmarkStart w:id="150" w:name="_Toc21059"/>
      <w:bookmarkStart w:id="151" w:name="_Toc13827"/>
      <w:bookmarkStart w:id="152" w:name="_Toc29611"/>
      <w:r>
        <w:rPr>
          <w:rFonts w:hint="eastAsia" w:asciiTheme="minorEastAsia" w:hAnsiTheme="minorEastAsia" w:eastAsiaTheme="minorEastAsia" w:cstheme="minorEastAsia"/>
          <w:spacing w:val="4"/>
          <w:sz w:val="28"/>
          <w:szCs w:val="28"/>
        </w:rPr>
        <w:t>五、企业类似业绩</w:t>
      </w:r>
      <w:bookmarkEnd w:id="149"/>
      <w:bookmarkEnd w:id="150"/>
      <w:bookmarkEnd w:id="151"/>
      <w:bookmarkEnd w:id="152"/>
    </w:p>
    <w:p>
      <w:pPr>
        <w:autoSpaceDE w:val="0"/>
        <w:autoSpaceDN w:val="0"/>
        <w:adjustRightInd w:val="0"/>
        <w:snapToGrid w:val="0"/>
        <w:spacing w:after="100" w:afterAutospacing="1" w:line="360" w:lineRule="exact"/>
        <w:rPr>
          <w:rFonts w:asciiTheme="minorEastAsia" w:hAnsiTheme="minorEastAsia" w:eastAsiaTheme="minorEastAsia" w:cstheme="minorEastAsia"/>
          <w:szCs w:val="21"/>
        </w:rPr>
      </w:pPr>
    </w:p>
    <w:p>
      <w:pPr>
        <w:rPr>
          <w:rFonts w:asciiTheme="minorEastAsia" w:hAnsiTheme="minorEastAsia" w:eastAsiaTheme="minorEastAsia" w:cstheme="minorEastAsia"/>
          <w:b/>
          <w:spacing w:val="4"/>
          <w:sz w:val="28"/>
          <w:szCs w:val="28"/>
        </w:rPr>
      </w:pPr>
      <w:r>
        <w:rPr>
          <w:rFonts w:hint="eastAsia" w:ascii="宋体" w:hAnsi="宋体" w:cs="宋体"/>
          <w:sz w:val="24"/>
          <w:szCs w:val="24"/>
        </w:rPr>
        <w:t>提供2020年以后得类似工程施工业绩（业绩以合同复印件或中标通知书为依据）。</w:t>
      </w:r>
    </w:p>
    <w:p>
      <w:pPr>
        <w:rPr>
          <w:rFonts w:asciiTheme="minorEastAsia" w:hAnsiTheme="minorEastAsia" w:eastAsiaTheme="minorEastAsia" w:cstheme="minorEastAsia"/>
          <w:b/>
          <w:sz w:val="28"/>
        </w:rPr>
      </w:pPr>
      <w:bookmarkStart w:id="153" w:name="_Toc24879"/>
      <w:bookmarkStart w:id="154" w:name="_Toc15893"/>
      <w:bookmarkStart w:id="155" w:name="_Toc27577"/>
      <w:bookmarkStart w:id="156" w:name="_Toc26309"/>
      <w:r>
        <w:rPr>
          <w:rFonts w:hint="eastAsia" w:asciiTheme="minorEastAsia" w:hAnsiTheme="minorEastAsia" w:eastAsiaTheme="minorEastAsia" w:cstheme="minorEastAsia"/>
          <w:b/>
          <w:sz w:val="28"/>
        </w:rPr>
        <w:br w:type="page"/>
      </w:r>
    </w:p>
    <w:p>
      <w:pPr>
        <w:pStyle w:val="7"/>
        <w:spacing w:beforeLines="100"/>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六、陕西省政府采购投标人</w:t>
      </w:r>
      <w:r>
        <w:rPr>
          <w:rFonts w:hint="eastAsia" w:asciiTheme="minorEastAsia" w:hAnsiTheme="minorEastAsia" w:eastAsiaTheme="minorEastAsia" w:cstheme="minorEastAsia"/>
          <w:spacing w:val="4"/>
          <w:sz w:val="28"/>
          <w:szCs w:val="28"/>
        </w:rPr>
        <w:t>拒绝政府采购领域商业贿赂承诺书</w:t>
      </w:r>
      <w:bookmarkEnd w:id="153"/>
      <w:bookmarkEnd w:id="154"/>
      <w:bookmarkEnd w:id="155"/>
      <w:bookmarkEnd w:id="156"/>
    </w:p>
    <w:p>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为响应党中央、国务院关于治理政府采购领域商业贿赂行为的号召，我公司在此庄严承诺：</w:t>
      </w:r>
    </w:p>
    <w:p>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1、在参与政府采购活动中遵纪守法、诚信经营、公平竞标。</w:t>
      </w:r>
    </w:p>
    <w:p>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2、不向政府采购人、采购代理机构和政府采购评审专家进行任何形式的商业贿赂以谋取交易机会。</w:t>
      </w:r>
    </w:p>
    <w:p>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3、不向政府采购代理机构和采购人提供虚假资质文件或采用虚假应标方式参与政府采购市场竞争并谋取成交、成交。</w:t>
      </w:r>
    </w:p>
    <w:p>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4、不采取“围标、陪标”等商业欺诈手段获得政府采购定单。</w:t>
      </w:r>
    </w:p>
    <w:p>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5、不采取不正当手段诋毁、排挤其他投标人。</w:t>
      </w:r>
    </w:p>
    <w:p>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6、不在提供商品和服务时“偷梁换柱、以次充好”损害采购人的合法权益。</w:t>
      </w:r>
    </w:p>
    <w:p>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7、不与采购人、采购代理机构政府采购评审专家或其它投标人恶意串通，进行质疑和投诉，维护政府采购市场秩序。</w:t>
      </w:r>
    </w:p>
    <w:p>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8、尊重和接受政府采购监督管理部门的监督和政府采购代理机构招标采购要求，承担因违约行为给采购人造成的损失。</w:t>
      </w:r>
    </w:p>
    <w:p>
      <w:pPr>
        <w:spacing w:line="600" w:lineRule="exact"/>
        <w:ind w:left="681" w:leftChars="267" w:hanging="120" w:hangingChars="5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9、不发生其他有悖于政府采购公开、公平、公正和诚信原则的行为。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承诺单位（盖章）：</w:t>
      </w:r>
    </w:p>
    <w:p>
      <w:pPr>
        <w:spacing w:line="600" w:lineRule="exact"/>
        <w:ind w:left="701" w:leftChars="334"/>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被授权代表（签字或盖章）：</w:t>
      </w:r>
    </w:p>
    <w:p>
      <w:pPr>
        <w:spacing w:line="600" w:lineRule="exact"/>
        <w:ind w:left="701" w:leftChars="334"/>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    址：</w:t>
      </w:r>
    </w:p>
    <w:p>
      <w:pPr>
        <w:spacing w:line="600" w:lineRule="exact"/>
        <w:ind w:left="659" w:leftChars="314"/>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    编：</w:t>
      </w:r>
    </w:p>
    <w:p>
      <w:pPr>
        <w:spacing w:line="600" w:lineRule="exact"/>
        <w:ind w:left="659" w:leftChars="314"/>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    话：</w:t>
      </w:r>
    </w:p>
    <w:p>
      <w:pPr>
        <w:spacing w:line="600" w:lineRule="exact"/>
        <w:ind w:left="659" w:leftChars="314"/>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年     月     日</w:t>
      </w:r>
    </w:p>
    <w:p>
      <w:pPr>
        <w:spacing w:line="360" w:lineRule="auto"/>
        <w:rPr>
          <w:rFonts w:asciiTheme="minorEastAsia" w:hAnsiTheme="minorEastAsia" w:eastAsiaTheme="minorEastAsia" w:cstheme="minorEastAsia"/>
          <w:b/>
          <w:kern w:val="0"/>
          <w:sz w:val="24"/>
          <w:szCs w:val="24"/>
        </w:rPr>
      </w:pPr>
    </w:p>
    <w:p>
      <w:pPr>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br w:type="page"/>
      </w:r>
    </w:p>
    <w:p>
      <w:pPr>
        <w:pStyle w:val="7"/>
        <w:spacing w:beforeLines="100" w:afterLines="100"/>
        <w:rPr>
          <w:rFonts w:asciiTheme="minorEastAsia" w:hAnsiTheme="minorEastAsia" w:eastAsiaTheme="minorEastAsia" w:cstheme="minorEastAsia"/>
          <w:sz w:val="32"/>
          <w:szCs w:val="32"/>
        </w:rPr>
      </w:pPr>
      <w:bookmarkStart w:id="157" w:name="_Toc12945"/>
      <w:bookmarkStart w:id="158" w:name="_Toc16808"/>
      <w:bookmarkStart w:id="159" w:name="_Toc11841"/>
      <w:bookmarkStart w:id="160" w:name="_Toc24556"/>
      <w:r>
        <w:rPr>
          <w:rFonts w:hint="eastAsia" w:asciiTheme="minorEastAsia" w:hAnsiTheme="minorEastAsia" w:eastAsiaTheme="minorEastAsia" w:cstheme="minorEastAsia"/>
          <w:sz w:val="32"/>
          <w:szCs w:val="32"/>
        </w:rPr>
        <w:t>七、资格证明文件</w:t>
      </w:r>
      <w:bookmarkEnd w:id="157"/>
      <w:bookmarkEnd w:id="158"/>
      <w:bookmarkEnd w:id="159"/>
      <w:bookmarkEnd w:id="160"/>
    </w:p>
    <w:p>
      <w:pPr>
        <w:pStyle w:val="24"/>
        <w:widowControl/>
        <w:spacing w:line="480" w:lineRule="auto"/>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（1）提供合格有效的法人或者其他组织的营业执照等证明文件，自然人的身份证明；</w:t>
      </w:r>
    </w:p>
    <w:p>
      <w:pPr>
        <w:pStyle w:val="24"/>
        <w:widowControl/>
        <w:spacing w:line="480" w:lineRule="auto"/>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（2）提供法定代表人授权书（附法定代表人、被授权人身份证复印件）及被授权人身份证原件（法定代表人直接参加投标，须提供法定代表人身份证明及身份证原件）；</w:t>
      </w:r>
    </w:p>
    <w:p>
      <w:pPr>
        <w:pStyle w:val="24"/>
        <w:widowControl/>
        <w:spacing w:line="480" w:lineRule="auto"/>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3）财务状况报告：提供2022年度的财务审计报告（至少包括资产负债表和利润表，成立时间至提交投标文件截止时间不足一年的可提供成立后任意时段的资产负债表），或开标时间前六个月内银行出具的资信证明；</w:t>
      </w:r>
    </w:p>
    <w:p>
      <w:pPr>
        <w:pStyle w:val="24"/>
        <w:widowControl/>
        <w:spacing w:line="480" w:lineRule="auto"/>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（4）税收缴纳证明：提供投标截止日前近一年内任意一个月的纳税证明或完税证明（任意税种），依法免税的单位应提供相关证明材料；</w:t>
      </w:r>
    </w:p>
    <w:p>
      <w:pPr>
        <w:pStyle w:val="24"/>
        <w:widowControl/>
        <w:spacing w:line="480" w:lineRule="auto"/>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24"/>
        <w:widowControl/>
        <w:spacing w:line="480" w:lineRule="auto"/>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（6）供应商应通过“信用中国”网站(www.creditchina.gov.cn)、中国政府采购网(www.ccgp.gov.cn)查询相关主体信用记录；</w:t>
      </w:r>
    </w:p>
    <w:p>
      <w:pPr>
        <w:pStyle w:val="24"/>
        <w:widowControl/>
        <w:spacing w:line="480" w:lineRule="auto"/>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（7）参加政府采购活动前3年内，在经营活动中没有重大违法记录的书面声明；</w:t>
      </w:r>
    </w:p>
    <w:p>
      <w:pPr>
        <w:pStyle w:val="24"/>
        <w:widowControl/>
        <w:spacing w:line="480" w:lineRule="auto"/>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（8）提供具有履行本合同所必需的设备和专业技术能力的声明；</w:t>
      </w:r>
    </w:p>
    <w:p>
      <w:pPr>
        <w:pStyle w:val="24"/>
        <w:widowControl/>
        <w:spacing w:line="480" w:lineRule="auto"/>
        <w:ind w:firstLine="482" w:firstLineChars="200"/>
        <w:rPr>
          <w:rFonts w:ascii="宋体" w:hAnsi="宋体" w:cs="宋体"/>
          <w:b/>
          <w:bCs/>
          <w:color w:val="auto"/>
          <w:szCs w:val="24"/>
          <w:shd w:val="clear" w:color="auto" w:fill="FFFFFF"/>
        </w:rPr>
      </w:pPr>
      <w:r>
        <w:rPr>
          <w:rFonts w:hint="eastAsia" w:ascii="宋体" w:hAnsi="宋体" w:cs="宋体"/>
          <w:b/>
          <w:bCs/>
          <w:color w:val="auto"/>
          <w:szCs w:val="24"/>
          <w:shd w:val="clear" w:color="auto" w:fill="FFFFFF"/>
        </w:rPr>
        <w:t>（9）供应商应提供中小企业声明函；</w:t>
      </w:r>
    </w:p>
    <w:p>
      <w:pPr>
        <w:pStyle w:val="24"/>
        <w:widowControl/>
        <w:spacing w:line="480" w:lineRule="auto"/>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（10）本项目不接受联合体投标。</w:t>
      </w:r>
    </w:p>
    <w:p>
      <w:pPr>
        <w:spacing w:line="56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后附相关格式：</w:t>
      </w:r>
    </w:p>
    <w:p>
      <w:pPr>
        <w:rPr>
          <w:rFonts w:asciiTheme="minorEastAsia" w:hAnsiTheme="minorEastAsia" w:eastAsiaTheme="minorEastAsia" w:cstheme="minorEastAsia"/>
          <w:b/>
          <w:bCs/>
          <w:sz w:val="30"/>
          <w:szCs w:val="30"/>
        </w:rPr>
      </w:pPr>
      <w:bookmarkStart w:id="161" w:name="_Toc426457701"/>
      <w:bookmarkStart w:id="162" w:name="_Toc30210"/>
      <w:bookmarkStart w:id="163" w:name="_Toc16097"/>
      <w:bookmarkStart w:id="164" w:name="_Toc4867"/>
      <w:bookmarkStart w:id="165" w:name="_Toc19075"/>
      <w:bookmarkStart w:id="166" w:name="_Toc25348"/>
      <w:bookmarkStart w:id="167" w:name="_Toc403077649"/>
      <w:bookmarkStart w:id="168" w:name="_Toc363474028"/>
      <w:r>
        <w:rPr>
          <w:rFonts w:hint="eastAsia" w:asciiTheme="minorEastAsia" w:hAnsiTheme="minorEastAsia" w:eastAsiaTheme="minorEastAsia" w:cstheme="minorEastAsia"/>
          <w:b/>
          <w:bCs/>
          <w:sz w:val="30"/>
          <w:szCs w:val="30"/>
        </w:rPr>
        <w:br w:type="page"/>
      </w:r>
    </w:p>
    <w:p>
      <w:pPr>
        <w:pStyle w:val="2"/>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附件1：</w:t>
      </w:r>
    </w:p>
    <w:p>
      <w:pPr>
        <w:spacing w:beforeLines="10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法定代表人身份证明/法定代表人授权书</w:t>
      </w:r>
    </w:p>
    <w:p>
      <w:pPr>
        <w:pStyle w:val="2"/>
        <w:spacing w:beforeLines="50"/>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法定代表人身份证明</w:t>
      </w:r>
    </w:p>
    <w:p>
      <w:pPr>
        <w:autoSpaceDE w:val="0"/>
        <w:autoSpaceDN w:val="0"/>
        <w:adjustRightInd w:val="0"/>
        <w:snapToGrid w:val="0"/>
        <w:spacing w:beforeLines="50"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投标人名称：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autoSpaceDE w:val="0"/>
        <w:autoSpaceDN w:val="0"/>
        <w:adjustRightInd w:val="0"/>
        <w:snapToGrid w:val="0"/>
        <w:spacing w:beforeLines="50"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统一社会信用代码：</w:t>
      </w:r>
      <w:r>
        <w:rPr>
          <w:rFonts w:hint="eastAsia" w:asciiTheme="minorEastAsia" w:hAnsiTheme="minorEastAsia" w:eastAsiaTheme="minorEastAsia" w:cstheme="minorEastAsia"/>
          <w:u w:val="single"/>
        </w:rPr>
        <w:t xml:space="preserve">                </w:t>
      </w:r>
    </w:p>
    <w:p>
      <w:pPr>
        <w:autoSpaceDE w:val="0"/>
        <w:autoSpaceDN w:val="0"/>
        <w:adjustRightInd w:val="0"/>
        <w:snapToGrid w:val="0"/>
        <w:spacing w:beforeLines="50"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注册地址：</w:t>
      </w:r>
      <w:r>
        <w:rPr>
          <w:rFonts w:hint="eastAsia" w:asciiTheme="minorEastAsia" w:hAnsiTheme="minorEastAsia" w:eastAsiaTheme="minorEastAsia" w:cstheme="minorEastAsia"/>
          <w:u w:val="single"/>
        </w:rPr>
        <w:t xml:space="preserve">                        </w:t>
      </w:r>
    </w:p>
    <w:p>
      <w:pPr>
        <w:autoSpaceDE w:val="0"/>
        <w:autoSpaceDN w:val="0"/>
        <w:adjustRightInd w:val="0"/>
        <w:snapToGrid w:val="0"/>
        <w:spacing w:beforeLines="50"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成立时间：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autoSpaceDE w:val="0"/>
        <w:autoSpaceDN w:val="0"/>
        <w:adjustRightInd w:val="0"/>
        <w:snapToGrid w:val="0"/>
        <w:spacing w:beforeLines="50" w:line="360" w:lineRule="auto"/>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经营期限：</w:t>
      </w:r>
      <w:r>
        <w:rPr>
          <w:rFonts w:hint="eastAsia" w:asciiTheme="minorEastAsia" w:hAnsiTheme="minorEastAsia" w:eastAsiaTheme="minorEastAsia" w:cstheme="minorEastAsia"/>
          <w:u w:val="single"/>
        </w:rPr>
        <w:t xml:space="preserve">                  </w:t>
      </w:r>
    </w:p>
    <w:p>
      <w:pPr>
        <w:autoSpaceDE w:val="0"/>
        <w:autoSpaceDN w:val="0"/>
        <w:adjustRightInd w:val="0"/>
        <w:snapToGrid w:val="0"/>
        <w:spacing w:beforeLines="50"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姓名：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系</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（投标人名称）的法定代表人。</w:t>
      </w:r>
    </w:p>
    <w:p>
      <w:pPr>
        <w:autoSpaceDE w:val="0"/>
        <w:autoSpaceDN w:val="0"/>
        <w:adjustRightInd w:val="0"/>
        <w:snapToGrid w:val="0"/>
        <w:spacing w:beforeLines="50"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特此证明。</w:t>
      </w:r>
    </w:p>
    <w:p>
      <w:pPr>
        <w:autoSpaceDE w:val="0"/>
        <w:autoSpaceDN w:val="0"/>
        <w:adjustRightInd w:val="0"/>
        <w:snapToGrid w:val="0"/>
        <w:spacing w:beforeLines="50"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附：法定代表人身份证复印件</w:t>
      </w:r>
    </w:p>
    <w:tbl>
      <w:tblPr>
        <w:tblStyle w:val="28"/>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asciiTheme="minorEastAsia" w:hAnsiTheme="minorEastAsia" w:eastAsiaTheme="minorEastAsia" w:cstheme="minorEastAsia"/>
                <w:szCs w:val="21"/>
              </w:rPr>
            </w:pPr>
          </w:p>
          <w:p>
            <w:pPr>
              <w:snapToGrid w:val="0"/>
              <w:spacing w:line="480" w:lineRule="auto"/>
              <w:jc w:val="center"/>
              <w:rPr>
                <w:rFonts w:asciiTheme="minorEastAsia" w:hAnsiTheme="minorEastAsia" w:eastAsiaTheme="minorEastAsia" w:cstheme="minorEastAsia"/>
                <w:szCs w:val="21"/>
              </w:rPr>
            </w:pPr>
          </w:p>
          <w:p>
            <w:pPr>
              <w:autoSpaceDE w:val="0"/>
              <w:autoSpaceDN w:val="0"/>
              <w:adjustRightInd w:val="0"/>
              <w:snapToGrid w:val="0"/>
              <w:spacing w:beforeLines="50"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法定代表人身份证复印件粘贴处</w:t>
            </w:r>
          </w:p>
          <w:p>
            <w:pPr>
              <w:pStyle w:val="2"/>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（正反面）</w:t>
            </w:r>
          </w:p>
          <w:p>
            <w:pPr>
              <w:snapToGrid w:val="0"/>
              <w:spacing w:line="480" w:lineRule="auto"/>
              <w:jc w:val="center"/>
              <w:rPr>
                <w:rFonts w:asciiTheme="minorEastAsia" w:hAnsiTheme="minorEastAsia" w:eastAsiaTheme="minorEastAsia" w:cstheme="minorEastAsia"/>
                <w:szCs w:val="21"/>
              </w:rPr>
            </w:pPr>
          </w:p>
          <w:p>
            <w:pPr>
              <w:snapToGrid w:val="0"/>
              <w:spacing w:line="480" w:lineRule="auto"/>
              <w:jc w:val="center"/>
              <w:rPr>
                <w:rFonts w:asciiTheme="minorEastAsia" w:hAnsiTheme="minorEastAsia" w:eastAsiaTheme="minorEastAsia" w:cstheme="minorEastAsia"/>
                <w:szCs w:val="21"/>
              </w:rPr>
            </w:pPr>
          </w:p>
        </w:tc>
      </w:tr>
    </w:tbl>
    <w:p>
      <w:pPr>
        <w:snapToGrid w:val="0"/>
        <w:spacing w:line="480" w:lineRule="auto"/>
        <w:rPr>
          <w:rFonts w:asciiTheme="minorEastAsia" w:hAnsiTheme="minorEastAsia" w:eastAsiaTheme="minorEastAsia" w:cstheme="minorEastAsia"/>
          <w:szCs w:val="21"/>
        </w:rPr>
      </w:pPr>
    </w:p>
    <w:p>
      <w:pPr>
        <w:snapToGrid w:val="0"/>
        <w:rPr>
          <w:rFonts w:asciiTheme="minorEastAsia" w:hAnsiTheme="minorEastAsia" w:eastAsiaTheme="minorEastAsia" w:cstheme="minorEastAsia"/>
          <w:szCs w:val="21"/>
        </w:rPr>
      </w:pPr>
    </w:p>
    <w:p>
      <w:pPr>
        <w:snapToGrid w:val="0"/>
        <w:rPr>
          <w:rFonts w:asciiTheme="minorEastAsia" w:hAnsiTheme="minorEastAsia" w:eastAsiaTheme="minorEastAsia" w:cstheme="minorEastAsia"/>
          <w:szCs w:val="21"/>
        </w:rPr>
      </w:pPr>
    </w:p>
    <w:p>
      <w:pPr>
        <w:snapToGrid w:val="0"/>
        <w:rPr>
          <w:rFonts w:asciiTheme="minorEastAsia" w:hAnsiTheme="minorEastAsia" w:eastAsiaTheme="minorEastAsia" w:cstheme="minorEastAsia"/>
          <w:szCs w:val="21"/>
        </w:rPr>
      </w:pPr>
    </w:p>
    <w:p>
      <w:pPr>
        <w:snapToGrid w:val="0"/>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rPr>
      </w:pPr>
    </w:p>
    <w:p>
      <w:pPr>
        <w:adjustRightInd w:val="0"/>
        <w:snapToGrid w:val="0"/>
        <w:spacing w:line="360" w:lineRule="auto"/>
        <w:ind w:right="420"/>
        <w:rPr>
          <w:rFonts w:asciiTheme="minorEastAsia" w:hAnsiTheme="minorEastAsia" w:eastAsiaTheme="minorEastAsia" w:cstheme="minorEastAsia"/>
        </w:rPr>
      </w:pPr>
    </w:p>
    <w:p>
      <w:pPr>
        <w:adjustRightInd w:val="0"/>
        <w:snapToGrid w:val="0"/>
        <w:spacing w:line="360" w:lineRule="auto"/>
        <w:ind w:right="420"/>
        <w:rPr>
          <w:rFonts w:asciiTheme="minorEastAsia" w:hAnsiTheme="minorEastAsia" w:eastAsiaTheme="minorEastAsia" w:cstheme="minorEastAsia"/>
        </w:rPr>
      </w:pPr>
    </w:p>
    <w:p>
      <w:pPr>
        <w:adjustRightInd w:val="0"/>
        <w:snapToGrid w:val="0"/>
        <w:spacing w:line="360" w:lineRule="auto"/>
        <w:ind w:right="420"/>
        <w:rPr>
          <w:rFonts w:asciiTheme="minorEastAsia" w:hAnsiTheme="minorEastAsia" w:eastAsiaTheme="minorEastAsia" w:cstheme="minorEastAsia"/>
        </w:rPr>
      </w:pPr>
    </w:p>
    <w:p>
      <w:pPr>
        <w:adjustRightInd w:val="0"/>
        <w:snapToGrid w:val="0"/>
        <w:spacing w:line="360" w:lineRule="auto"/>
        <w:ind w:right="420"/>
        <w:rPr>
          <w:rFonts w:asciiTheme="minorEastAsia" w:hAnsiTheme="minorEastAsia" w:eastAsiaTheme="minorEastAsia" w:cstheme="minorEastAsia"/>
        </w:rPr>
      </w:pPr>
    </w:p>
    <w:p>
      <w:pPr>
        <w:adjustRightInd w:val="0"/>
        <w:snapToGrid w:val="0"/>
        <w:spacing w:line="360" w:lineRule="auto"/>
        <w:ind w:right="420"/>
        <w:rPr>
          <w:rFonts w:asciiTheme="minorEastAsia" w:hAnsiTheme="minorEastAsia" w:eastAsiaTheme="minorEastAsia" w:cstheme="minorEastAsia"/>
        </w:rPr>
      </w:pPr>
      <w:r>
        <w:rPr>
          <w:rFonts w:hint="eastAsia" w:asciiTheme="minorEastAsia" w:hAnsiTheme="minorEastAsia" w:eastAsiaTheme="minorEastAsia" w:cstheme="minorEastAsia"/>
        </w:rPr>
        <w:t>投标人名称（公章）：</w:t>
      </w:r>
    </w:p>
    <w:p>
      <w:pPr>
        <w:adjustRightInd w:val="0"/>
        <w:snapToGrid w:val="0"/>
        <w:spacing w:line="360" w:lineRule="auto"/>
        <w:ind w:right="420"/>
        <w:rPr>
          <w:rFonts w:asciiTheme="minorEastAsia" w:hAnsiTheme="minorEastAsia" w:eastAsiaTheme="minorEastAsia" w:cstheme="minorEastAsia"/>
        </w:rPr>
      </w:pPr>
      <w:r>
        <w:rPr>
          <w:rFonts w:hint="eastAsia" w:asciiTheme="minorEastAsia" w:hAnsiTheme="minorEastAsia" w:eastAsiaTheme="minorEastAsia" w:cstheme="minorEastAsia"/>
        </w:rPr>
        <w:t>日期：    年  月  日</w:t>
      </w:r>
    </w:p>
    <w:p>
      <w:pPr>
        <w:adjustRightInd w:val="0"/>
        <w:snapToGrid w:val="0"/>
        <w:spacing w:line="360" w:lineRule="auto"/>
        <w:ind w:right="420"/>
        <w:rPr>
          <w:rFonts w:asciiTheme="minorEastAsia" w:hAnsiTheme="minorEastAsia" w:eastAsiaTheme="minorEastAsia" w:cstheme="minorEastAsia"/>
        </w:rPr>
      </w:pP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keepNext/>
        <w:spacing w:before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法定代表人授权书</w:t>
      </w:r>
      <w:bookmarkEnd w:id="161"/>
      <w:bookmarkEnd w:id="162"/>
      <w:bookmarkEnd w:id="163"/>
      <w:bookmarkEnd w:id="164"/>
      <w:bookmarkEnd w:id="165"/>
      <w:bookmarkEnd w:id="166"/>
      <w:bookmarkEnd w:id="167"/>
      <w:bookmarkEnd w:id="168"/>
    </w:p>
    <w:p>
      <w:pPr>
        <w:rPr>
          <w:rFonts w:asciiTheme="minorEastAsia" w:hAnsiTheme="minorEastAsia" w:eastAsiaTheme="minorEastAsia" w:cstheme="minorEastAsia"/>
          <w:b/>
          <w:bCs/>
          <w:szCs w:val="32"/>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32"/>
        </w:rPr>
        <w:t xml:space="preserve"> </w:t>
      </w:r>
    </w:p>
    <w:p>
      <w:pPr>
        <w:spacing w:line="56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b/>
          <w:spacing w:val="4"/>
          <w:szCs w:val="24"/>
        </w:rPr>
        <w:t>致：</w:t>
      </w:r>
      <w:r>
        <w:rPr>
          <w:rFonts w:hint="eastAsia" w:asciiTheme="minorEastAsia" w:hAnsiTheme="minorEastAsia" w:eastAsiaTheme="minorEastAsia" w:cstheme="minorEastAsia"/>
          <w:b/>
          <w:spacing w:val="4"/>
          <w:szCs w:val="24"/>
          <w:u w:val="single"/>
        </w:rPr>
        <w:t>陕西至诚项目管理集团有限公司</w:t>
      </w:r>
    </w:p>
    <w:p>
      <w:pPr>
        <w:spacing w:line="560" w:lineRule="exact"/>
        <w:ind w:firstLine="436" w:firstLineChars="200"/>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u w:val="single"/>
        </w:rPr>
        <w:t xml:space="preserve">(投标人名称)   </w:t>
      </w:r>
      <w:r>
        <w:rPr>
          <w:rFonts w:hint="eastAsia" w:asciiTheme="minorEastAsia" w:hAnsiTheme="minorEastAsia" w:eastAsiaTheme="minorEastAsia" w:cstheme="minorEastAsia"/>
          <w:spacing w:val="4"/>
          <w:szCs w:val="24"/>
        </w:rPr>
        <w:t>按中华人民共和国法律于</w:t>
      </w:r>
      <w:r>
        <w:rPr>
          <w:rFonts w:hint="eastAsia" w:asciiTheme="minorEastAsia" w:hAnsiTheme="minorEastAsia" w:eastAsiaTheme="minorEastAsia" w:cstheme="minorEastAsia"/>
          <w:spacing w:val="4"/>
          <w:szCs w:val="24"/>
          <w:u w:val="single"/>
        </w:rPr>
        <w:t xml:space="preserve">（  年  月  日 ）  </w:t>
      </w:r>
      <w:r>
        <w:rPr>
          <w:rFonts w:hint="eastAsia" w:asciiTheme="minorEastAsia" w:hAnsiTheme="minorEastAsia" w:eastAsiaTheme="minorEastAsia" w:cstheme="minorEastAsia"/>
          <w:spacing w:val="4"/>
          <w:szCs w:val="24"/>
        </w:rPr>
        <w:t>成立。</w:t>
      </w:r>
      <w:r>
        <w:rPr>
          <w:rFonts w:hint="eastAsia" w:asciiTheme="minorEastAsia" w:hAnsiTheme="minorEastAsia" w:eastAsiaTheme="minorEastAsia" w:cstheme="minorEastAsia"/>
          <w:spacing w:val="4"/>
          <w:szCs w:val="24"/>
          <w:u w:val="single"/>
        </w:rPr>
        <w:t>(</w:t>
      </w:r>
      <w:r>
        <w:rPr>
          <w:rFonts w:hint="eastAsia" w:asciiTheme="minorEastAsia" w:hAnsiTheme="minorEastAsia" w:eastAsiaTheme="minorEastAsia" w:cstheme="minorEastAsia"/>
          <w:szCs w:val="24"/>
          <w:u w:val="single"/>
        </w:rPr>
        <w:t>法定代表人</w:t>
      </w:r>
      <w:r>
        <w:rPr>
          <w:rFonts w:hint="eastAsia" w:asciiTheme="minorEastAsia" w:hAnsiTheme="minorEastAsia" w:eastAsiaTheme="minorEastAsia" w:cstheme="minorEastAsia"/>
          <w:spacing w:val="4"/>
          <w:szCs w:val="24"/>
          <w:u w:val="single"/>
        </w:rPr>
        <w:t>姓名)</w:t>
      </w:r>
      <w:r>
        <w:rPr>
          <w:rFonts w:hint="eastAsia" w:asciiTheme="minorEastAsia" w:hAnsiTheme="minorEastAsia" w:eastAsiaTheme="minorEastAsia" w:cstheme="minorEastAsia"/>
          <w:spacing w:val="4"/>
          <w:szCs w:val="24"/>
        </w:rPr>
        <w:t>特授权</w:t>
      </w:r>
      <w:r>
        <w:rPr>
          <w:rFonts w:hint="eastAsia" w:asciiTheme="minorEastAsia" w:hAnsiTheme="minorEastAsia" w:eastAsiaTheme="minorEastAsia" w:cstheme="minorEastAsia"/>
          <w:spacing w:val="4"/>
          <w:szCs w:val="24"/>
          <w:u w:val="single"/>
        </w:rPr>
        <w:t xml:space="preserve">（ </w:t>
      </w:r>
      <w:r>
        <w:rPr>
          <w:rFonts w:hint="eastAsia" w:asciiTheme="minorEastAsia" w:hAnsiTheme="minorEastAsia" w:eastAsiaTheme="minorEastAsia" w:cstheme="minorEastAsia"/>
          <w:szCs w:val="24"/>
          <w:u w:val="single"/>
        </w:rPr>
        <w:t>授权代表</w:t>
      </w:r>
      <w:r>
        <w:rPr>
          <w:rFonts w:hint="eastAsia" w:asciiTheme="minorEastAsia" w:hAnsiTheme="minorEastAsia" w:eastAsiaTheme="minorEastAsia" w:cstheme="minorEastAsia"/>
          <w:spacing w:val="4"/>
          <w:szCs w:val="24"/>
          <w:u w:val="single"/>
        </w:rPr>
        <w:t>姓名 ）</w:t>
      </w:r>
      <w:r>
        <w:rPr>
          <w:rFonts w:hint="eastAsia" w:asciiTheme="minorEastAsia" w:hAnsiTheme="minorEastAsia" w:eastAsiaTheme="minorEastAsia" w:cstheme="minorEastAsia"/>
          <w:spacing w:val="4"/>
          <w:szCs w:val="24"/>
        </w:rPr>
        <w:t xml:space="preserve">代表我公司全权办理针对本次 </w:t>
      </w:r>
      <w:r>
        <w:rPr>
          <w:rFonts w:hint="eastAsia" w:asciiTheme="minorEastAsia" w:hAnsiTheme="minorEastAsia" w:eastAsiaTheme="minorEastAsia" w:cstheme="minorEastAsia"/>
          <w:spacing w:val="4"/>
          <w:szCs w:val="24"/>
          <w:u w:val="single"/>
        </w:rPr>
        <w:t xml:space="preserve">（项目名称、项目编号、包号：第  包）    </w:t>
      </w:r>
      <w:r>
        <w:rPr>
          <w:rFonts w:hint="eastAsia" w:asciiTheme="minorEastAsia" w:hAnsiTheme="minorEastAsia" w:eastAsiaTheme="minorEastAsia" w:cstheme="minorEastAsia"/>
          <w:spacing w:val="4"/>
          <w:szCs w:val="24"/>
        </w:rPr>
        <w:t>投标、谈判、签约等具体工作，并签署全部有关的文件、协议及合同。</w:t>
      </w:r>
    </w:p>
    <w:p>
      <w:pPr>
        <w:spacing w:line="560" w:lineRule="exact"/>
        <w:ind w:firstLine="436" w:firstLineChars="200"/>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我公司对</w:t>
      </w:r>
      <w:r>
        <w:rPr>
          <w:rFonts w:hint="eastAsia" w:asciiTheme="minorEastAsia" w:hAnsiTheme="minorEastAsia" w:eastAsiaTheme="minorEastAsia" w:cstheme="minorEastAsia"/>
          <w:szCs w:val="24"/>
        </w:rPr>
        <w:t>授权代表</w:t>
      </w:r>
      <w:r>
        <w:rPr>
          <w:rFonts w:hint="eastAsia" w:asciiTheme="minorEastAsia" w:hAnsiTheme="minorEastAsia" w:eastAsiaTheme="minorEastAsia" w:cstheme="minorEastAsia"/>
          <w:spacing w:val="4"/>
          <w:szCs w:val="24"/>
        </w:rPr>
        <w:t>的签名负全部责任。</w:t>
      </w:r>
    </w:p>
    <w:p>
      <w:pPr>
        <w:spacing w:line="560" w:lineRule="exact"/>
        <w:ind w:right="540" w:rightChars="257" w:firstLine="42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委托期限：</w:t>
      </w:r>
      <w:r>
        <w:rPr>
          <w:rFonts w:hint="eastAsia" w:asciiTheme="minorEastAsia" w:hAnsiTheme="minorEastAsia" w:eastAsiaTheme="minorEastAsia" w:cstheme="minorEastAsia"/>
          <w:lang w:val="zh-CN"/>
        </w:rPr>
        <w:t>自开标之日起</w:t>
      </w:r>
      <w:r>
        <w:rPr>
          <w:rFonts w:hint="eastAsia" w:asciiTheme="minorEastAsia" w:hAnsiTheme="minorEastAsia" w:eastAsiaTheme="minorEastAsia" w:cstheme="minorEastAsia"/>
        </w:rPr>
        <w:t>90</w:t>
      </w:r>
      <w:r>
        <w:rPr>
          <w:rFonts w:hint="eastAsia" w:asciiTheme="minorEastAsia" w:hAnsiTheme="minorEastAsia" w:eastAsiaTheme="minorEastAsia" w:cstheme="minorEastAsia"/>
          <w:lang w:val="zh-CN"/>
        </w:rPr>
        <w:t>天。</w:t>
      </w:r>
    </w:p>
    <w:p>
      <w:pPr>
        <w:spacing w:line="560" w:lineRule="exact"/>
        <w:ind w:firstLine="436" w:firstLineChars="200"/>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本授权书于</w:t>
      </w:r>
      <w:r>
        <w:rPr>
          <w:rFonts w:hint="eastAsia" w:asciiTheme="minorEastAsia" w:hAnsiTheme="minorEastAsia" w:eastAsiaTheme="minorEastAsia" w:cstheme="minorEastAsia"/>
          <w:spacing w:val="4"/>
          <w:szCs w:val="24"/>
          <w:u w:val="single"/>
        </w:rPr>
        <w:t xml:space="preserve">      年   月   日</w:t>
      </w:r>
      <w:r>
        <w:rPr>
          <w:rFonts w:hint="eastAsia" w:asciiTheme="minorEastAsia" w:hAnsiTheme="minorEastAsia" w:eastAsiaTheme="minorEastAsia" w:cstheme="minorEastAsia"/>
          <w:spacing w:val="4"/>
          <w:szCs w:val="24"/>
        </w:rPr>
        <w:t>签章生效，特此证明。</w:t>
      </w:r>
    </w:p>
    <w:tbl>
      <w:tblPr>
        <w:tblStyle w:val="27"/>
        <w:tblW w:w="8190" w:type="dxa"/>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tcPr>
          <w:p>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被授权人签字或盖章：</w:t>
            </w:r>
          </w:p>
        </w:tc>
        <w:tc>
          <w:tcPr>
            <w:tcW w:w="3990" w:type="dxa"/>
          </w:tcPr>
          <w:p>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zCs w:val="24"/>
              </w:rPr>
              <w:t>法定代表人</w:t>
            </w:r>
            <w:r>
              <w:rPr>
                <w:rFonts w:hint="eastAsia" w:asciiTheme="minorEastAsia" w:hAnsiTheme="minorEastAsia" w:eastAsiaTheme="minorEastAsia" w:cstheme="minorEastAsia"/>
                <w:spacing w:val="4"/>
                <w:szCs w:val="24"/>
              </w:rPr>
              <w:t>签字或盖章：</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职务：</w:t>
            </w:r>
          </w:p>
        </w:tc>
        <w:tc>
          <w:tcPr>
            <w:tcW w:w="3990" w:type="dxa"/>
          </w:tcPr>
          <w:p>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职务：</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所在部门：</w:t>
            </w:r>
          </w:p>
        </w:tc>
        <w:tc>
          <w:tcPr>
            <w:tcW w:w="3990" w:type="dxa"/>
          </w:tcPr>
          <w:p>
            <w:pPr>
              <w:spacing w:line="520" w:lineRule="exact"/>
              <w:jc w:val="left"/>
              <w:rPr>
                <w:rFonts w:asciiTheme="minorEastAsia" w:hAnsiTheme="minorEastAsia" w:eastAsiaTheme="minorEastAsia" w:cstheme="minorEastAsia"/>
                <w:spacing w:val="4"/>
                <w:szCs w:val="24"/>
              </w:rPr>
            </w:pPr>
          </w:p>
        </w:tc>
      </w:tr>
    </w:tbl>
    <w:p>
      <w:pPr>
        <w:spacing w:line="520" w:lineRule="exact"/>
        <w:ind w:firstLine="436" w:firstLineChars="200"/>
        <w:jc w:val="left"/>
        <w:rPr>
          <w:rFonts w:asciiTheme="minorEastAsia" w:hAnsiTheme="minorEastAsia" w:eastAsiaTheme="minorEastAsia" w:cstheme="minorEastAsia"/>
          <w:spacing w:val="4"/>
          <w:szCs w:val="24"/>
        </w:rPr>
      </w:pPr>
    </w:p>
    <w:p>
      <w:pPr>
        <w:spacing w:before="240" w:line="360" w:lineRule="auto"/>
        <w:ind w:firstLine="840" w:firstLineChars="400"/>
        <w:rPr>
          <w:rFonts w:asciiTheme="minorEastAsia" w:hAnsiTheme="minorEastAsia" w:eastAsiaTheme="minorEastAsia" w:cstheme="minorEastAsia"/>
          <w:u w:val="single"/>
        </w:rPr>
      </w:pPr>
      <w:r>
        <w:rPr>
          <w:rFonts w:hint="eastAsia" w:asciiTheme="minorEastAsia" w:hAnsiTheme="minorEastAsia" w:eastAsiaTheme="minorEastAsia" w:cstheme="minorEastAsia"/>
          <w:lang w:val="zh-CN"/>
        </w:rPr>
        <w:t>附法定代表人</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授权代表身份证复印件</w:t>
      </w:r>
    </w:p>
    <w:tbl>
      <w:tblPr>
        <w:tblStyle w:val="27"/>
        <w:tblW w:w="8357" w:type="dxa"/>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法定代表人身份证复印件粘贴处</w:t>
            </w:r>
          </w:p>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Lines="50"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4"/>
              </w:rPr>
              <w:t>授权代表</w:t>
            </w:r>
            <w:r>
              <w:rPr>
                <w:rFonts w:hint="eastAsia" w:asciiTheme="minorEastAsia" w:hAnsiTheme="minorEastAsia" w:eastAsiaTheme="minorEastAsia" w:cstheme="minorEastAsia"/>
                <w:szCs w:val="21"/>
              </w:rPr>
              <w:t>身份证复印件粘贴处</w:t>
            </w:r>
          </w:p>
          <w:p>
            <w:pPr>
              <w:autoSpaceDE w:val="0"/>
              <w:autoSpaceDN w:val="0"/>
              <w:adjustRightInd w:val="0"/>
              <w:snapToGrid w:val="0"/>
              <w:spacing w:beforeLines="50" w:line="360" w:lineRule="auto"/>
              <w:jc w:val="center"/>
              <w:rPr>
                <w:rFonts w:asciiTheme="minorEastAsia" w:hAnsiTheme="minorEastAsia" w:eastAsiaTheme="minorEastAsia" w:cstheme="minorEastAsia"/>
                <w:u w:val="single"/>
              </w:rPr>
            </w:pPr>
            <w:r>
              <w:rPr>
                <w:rFonts w:hint="eastAsia" w:asciiTheme="minorEastAsia" w:hAnsiTheme="minorEastAsia" w:eastAsiaTheme="minorEastAsia" w:cstheme="minorEastAsia"/>
                <w:szCs w:val="21"/>
              </w:rPr>
              <w:t>（正反面）</w:t>
            </w:r>
          </w:p>
        </w:tc>
      </w:tr>
    </w:tbl>
    <w:p>
      <w:pPr>
        <w:spacing w:line="480" w:lineRule="auto"/>
        <w:ind w:left="424" w:leftChars="202" w:right="540" w:rightChars="257"/>
        <w:jc w:val="left"/>
        <w:rPr>
          <w:rFonts w:asciiTheme="minorEastAsia" w:hAnsiTheme="minorEastAsia" w:eastAsiaTheme="minorEastAsia" w:cstheme="minorEastAsia"/>
        </w:rPr>
      </w:pPr>
      <w:r>
        <w:rPr>
          <w:rFonts w:hint="eastAsia" w:asciiTheme="minorEastAsia" w:hAnsiTheme="minorEastAsia" w:eastAsiaTheme="minorEastAsia" w:cstheme="minorEastAsia"/>
        </w:rPr>
        <w:t>投标人名称：</w:t>
      </w:r>
      <w:r>
        <w:rPr>
          <w:rFonts w:hint="eastAsia" w:asciiTheme="minorEastAsia" w:hAnsiTheme="minorEastAsia" w:eastAsiaTheme="minorEastAsia" w:cstheme="minorEastAsia"/>
          <w:u w:val="single"/>
        </w:rPr>
        <w:t xml:space="preserve">      （加盖单位公章）      </w:t>
      </w:r>
    </w:p>
    <w:p>
      <w:pPr>
        <w:spacing w:line="440" w:lineRule="exact"/>
        <w:ind w:left="424" w:leftChars="202"/>
        <w:rPr>
          <w:rFonts w:asciiTheme="minorEastAsia" w:hAnsiTheme="minorEastAsia" w:eastAsiaTheme="minorEastAsia" w:cstheme="minorEastAsia"/>
          <w:spacing w:val="4"/>
          <w:szCs w:val="30"/>
        </w:rPr>
      </w:pPr>
      <w:r>
        <w:rPr>
          <w:rFonts w:hint="eastAsia" w:asciiTheme="minorEastAsia" w:hAnsiTheme="minorEastAsia" w:eastAsiaTheme="minorEastAsia" w:cstheme="minorEastAsia"/>
          <w:spacing w:val="4"/>
          <w:szCs w:val="30"/>
        </w:rPr>
        <w:t>日   期：</w:t>
      </w:r>
    </w:p>
    <w:p>
      <w:pPr>
        <w:ind w:firstLine="422" w:firstLineChars="200"/>
        <w:rPr>
          <w:rFonts w:asciiTheme="minorEastAsia" w:hAnsiTheme="minorEastAsia" w:eastAsiaTheme="minorEastAsia" w:cstheme="minorEastAsia"/>
          <w:b/>
          <w:bCs/>
          <w:lang w:val="zh-CN"/>
        </w:rPr>
      </w:pPr>
    </w:p>
    <w:p>
      <w:pPr>
        <w:ind w:firstLine="436" w:firstLineChars="200"/>
        <w:rPr>
          <w:rFonts w:asciiTheme="minorEastAsia" w:hAnsiTheme="minorEastAsia" w:eastAsiaTheme="minorEastAsia" w:cstheme="minorEastAsia"/>
        </w:rPr>
      </w:pPr>
      <w:bookmarkStart w:id="169" w:name="_Toc25905"/>
      <w:r>
        <w:rPr>
          <w:rFonts w:hint="eastAsia" w:asciiTheme="minorEastAsia" w:hAnsiTheme="minorEastAsia" w:eastAsiaTheme="minorEastAsia" w:cstheme="minorEastAsia"/>
          <w:spacing w:val="4"/>
          <w:szCs w:val="30"/>
        </w:rPr>
        <w:br w:type="page"/>
      </w:r>
      <w:bookmarkEnd w:id="169"/>
    </w:p>
    <w:p>
      <w:pPr>
        <w:widowControl/>
        <w:spacing w:line="360" w:lineRule="auto"/>
        <w:ind w:left="1" w:firstLine="281" w:firstLineChars="100"/>
        <w:rPr>
          <w:rFonts w:ascii="宋体" w:hAnsi="宋体" w:cs="宋体"/>
          <w:b/>
          <w:kern w:val="0"/>
          <w:sz w:val="28"/>
          <w:szCs w:val="28"/>
        </w:rPr>
      </w:pPr>
    </w:p>
    <w:p>
      <w:pPr>
        <w:widowControl/>
        <w:spacing w:line="360" w:lineRule="auto"/>
        <w:ind w:left="1" w:firstLine="241" w:firstLineChars="100"/>
        <w:jc w:val="center"/>
        <w:rPr>
          <w:rFonts w:ascii="宋体" w:hAnsi="宋体" w:cs="宋体"/>
          <w:b/>
          <w:kern w:val="0"/>
          <w:sz w:val="24"/>
          <w:szCs w:val="24"/>
        </w:rPr>
      </w:pPr>
      <w:r>
        <w:rPr>
          <w:rFonts w:hint="eastAsia" w:ascii="宋体" w:hAnsi="宋体" w:cs="宋体"/>
          <w:b/>
          <w:kern w:val="0"/>
          <w:sz w:val="24"/>
          <w:szCs w:val="24"/>
        </w:rPr>
        <w:t>参加政府采购活动前3年内在经营活动中没有重大违法纪录的书面声明</w:t>
      </w:r>
    </w:p>
    <w:p>
      <w:pPr>
        <w:widowControl/>
        <w:spacing w:line="360" w:lineRule="auto"/>
        <w:ind w:left="1"/>
        <w:jc w:val="center"/>
        <w:rPr>
          <w:rFonts w:ascii="宋体" w:hAnsi="宋体" w:cs="宋体"/>
          <w:b/>
          <w:kern w:val="0"/>
          <w:sz w:val="28"/>
          <w:szCs w:val="28"/>
        </w:rPr>
      </w:pPr>
      <w:r>
        <w:rPr>
          <w:rFonts w:hint="eastAsia" w:ascii="宋体" w:hAnsi="宋体" w:cs="宋体"/>
          <w:b/>
          <w:kern w:val="0"/>
          <w:sz w:val="28"/>
          <w:szCs w:val="28"/>
        </w:rPr>
        <w:t>（格式）</w:t>
      </w:r>
    </w:p>
    <w:p>
      <w:pPr>
        <w:pStyle w:val="24"/>
        <w:wordWrap w:val="0"/>
        <w:spacing w:line="560" w:lineRule="exact"/>
        <w:rPr>
          <w:rFonts w:ascii="宋体" w:hAnsi="宋体" w:cs="宋体"/>
          <w:color w:val="auto"/>
          <w:u w:val="single"/>
          <w:shd w:val="clear" w:color="auto" w:fill="FFFFFF"/>
        </w:rPr>
      </w:pPr>
      <w:r>
        <w:rPr>
          <w:rFonts w:hint="eastAsia" w:ascii="宋体" w:hAnsi="宋体" w:cs="宋体"/>
          <w:color w:val="auto"/>
          <w:u w:val="single"/>
          <w:shd w:val="clear" w:color="auto" w:fill="FFFFFF"/>
        </w:rPr>
        <w:t xml:space="preserve">      （采购人）           ：</w:t>
      </w:r>
    </w:p>
    <w:p>
      <w:pPr>
        <w:pStyle w:val="24"/>
        <w:wordWrap w:val="0"/>
        <w:spacing w:line="560" w:lineRule="exact"/>
        <w:ind w:firstLine="640"/>
        <w:rPr>
          <w:rFonts w:ascii="宋体" w:hAnsi="宋体" w:cs="宋体"/>
          <w:color w:val="auto"/>
        </w:rPr>
      </w:pPr>
      <w:r>
        <w:rPr>
          <w:rFonts w:hint="eastAsia" w:ascii="宋体" w:hAnsi="宋体" w:cs="宋体"/>
          <w:color w:val="auto"/>
          <w:shd w:val="clear" w:color="auto" w:fill="FFFFFF"/>
        </w:rPr>
        <w:t>我方作为项目名称</w:t>
      </w:r>
      <w:r>
        <w:rPr>
          <w:rFonts w:hint="eastAsia" w:ascii="宋体" w:hAnsi="宋体" w:cs="宋体"/>
          <w:color w:val="auto"/>
          <w:u w:val="single"/>
          <w:shd w:val="clear" w:color="auto" w:fill="FFFFFF"/>
        </w:rPr>
        <w:t xml:space="preserve">             </w:t>
      </w:r>
      <w:r>
        <w:rPr>
          <w:rFonts w:hint="eastAsia" w:ascii="宋体" w:hAnsi="宋体" w:cs="宋体"/>
          <w:color w:val="auto"/>
          <w:shd w:val="clear" w:color="auto" w:fill="FFFFFF"/>
        </w:rPr>
        <w:t>（项目编号</w:t>
      </w:r>
      <w:r>
        <w:rPr>
          <w:rFonts w:hint="eastAsia" w:cs="宋体"/>
          <w:color w:val="auto"/>
          <w:shd w:val="clear" w:color="auto" w:fill="FFFFFF"/>
        </w:rPr>
        <w:t>、包号</w:t>
      </w:r>
      <w:r>
        <w:rPr>
          <w:rFonts w:hint="eastAsia" w:ascii="宋体" w:hAnsi="宋体" w:cs="宋体"/>
          <w:color w:val="auto"/>
          <w:shd w:val="clear" w:color="auto" w:fill="FFFFFF"/>
        </w:rPr>
        <w:t>：</w:t>
      </w:r>
      <w:r>
        <w:rPr>
          <w:rFonts w:hint="eastAsia" w:ascii="宋体" w:hAnsi="宋体" w:cs="宋体"/>
          <w:i/>
          <w:iCs/>
          <w:color w:val="auto"/>
          <w:u w:val="single"/>
          <w:shd w:val="clear" w:color="auto" w:fill="FFFFFF"/>
        </w:rPr>
        <w:t xml:space="preserve">          </w:t>
      </w:r>
      <w:r>
        <w:rPr>
          <w:rFonts w:hint="eastAsia" w:ascii="宋体" w:hAnsi="宋体" w:cs="宋体"/>
          <w:color w:val="auto"/>
          <w:shd w:val="clear" w:color="auto" w:fill="FFFFFF"/>
        </w:rPr>
        <w:t xml:space="preserve">）的供应商，在此郑重声明： </w:t>
      </w:r>
    </w:p>
    <w:p>
      <w:pPr>
        <w:pStyle w:val="24"/>
        <w:wordWrap w:val="0"/>
        <w:spacing w:line="560" w:lineRule="exact"/>
        <w:ind w:firstLine="420"/>
        <w:rPr>
          <w:rFonts w:ascii="宋体" w:hAnsi="宋体" w:cs="宋体"/>
          <w:color w:val="auto"/>
        </w:rPr>
      </w:pPr>
      <w:r>
        <w:rPr>
          <w:rFonts w:hint="eastAsia" w:ascii="宋体" w:hAnsi="宋体" w:cs="宋体"/>
          <w:color w:val="auto"/>
          <w:shd w:val="clear" w:color="auto" w:fill="FFFFFF"/>
        </w:rPr>
        <w:t>在参加本次政府采购活动前3年内的经营活动中</w:t>
      </w:r>
      <w:r>
        <w:rPr>
          <w:rFonts w:hint="eastAsia" w:ascii="宋体" w:hAnsi="宋体" w:cs="宋体"/>
          <w:color w:val="auto"/>
          <w:u w:val="single"/>
          <w:shd w:val="clear" w:color="auto" w:fill="FFFFFF"/>
        </w:rPr>
        <w:t xml:space="preserve">          </w:t>
      </w:r>
      <w:r>
        <w:rPr>
          <w:rFonts w:hint="eastAsia" w:ascii="宋体" w:hAnsi="宋体" w:cs="宋体"/>
          <w:color w:val="auto"/>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pPr>
        <w:pStyle w:val="24"/>
        <w:wordWrap w:val="0"/>
        <w:spacing w:line="560" w:lineRule="exact"/>
        <w:ind w:firstLine="420"/>
        <w:rPr>
          <w:rFonts w:ascii="宋体" w:hAnsi="宋体" w:cs="宋体"/>
          <w:color w:val="auto"/>
        </w:rPr>
      </w:pPr>
      <w:r>
        <w:rPr>
          <w:rFonts w:hint="eastAsia" w:ascii="宋体" w:hAnsi="宋体" w:cs="宋体"/>
          <w:color w:val="auto"/>
          <w:shd w:val="clear" w:color="auto" w:fill="FFFFFF"/>
        </w:rPr>
        <w:t xml:space="preserve">如有不实，我方将无条件地退出本项目的采购活动，并遵照《政府采购法》有关“提供虚假材料的规定”接受处罚。 </w:t>
      </w:r>
    </w:p>
    <w:p>
      <w:pPr>
        <w:pStyle w:val="24"/>
        <w:wordWrap w:val="0"/>
        <w:spacing w:line="560" w:lineRule="exact"/>
        <w:ind w:firstLine="420"/>
        <w:rPr>
          <w:rFonts w:ascii="宋体" w:hAnsi="宋体" w:cs="宋体"/>
          <w:color w:val="auto"/>
          <w:shd w:val="clear" w:color="auto" w:fill="FFFFFF"/>
        </w:rPr>
      </w:pPr>
      <w:r>
        <w:rPr>
          <w:rFonts w:hint="eastAsia" w:ascii="宋体" w:hAnsi="宋体" w:cs="宋体"/>
          <w:color w:val="auto"/>
          <w:shd w:val="clear" w:color="auto" w:fill="FFFFFF"/>
        </w:rPr>
        <w:t>特此声明！</w:t>
      </w:r>
    </w:p>
    <w:p>
      <w:pPr>
        <w:pStyle w:val="24"/>
        <w:wordWrap w:val="0"/>
        <w:spacing w:line="560" w:lineRule="exact"/>
        <w:ind w:firstLine="420"/>
        <w:rPr>
          <w:rFonts w:ascii="宋体" w:hAnsi="宋体" w:cs="宋体"/>
          <w:color w:val="auto"/>
          <w:shd w:val="clear" w:color="auto" w:fill="FFFFFF"/>
        </w:rPr>
      </w:pPr>
    </w:p>
    <w:p>
      <w:pPr>
        <w:spacing w:line="480" w:lineRule="auto"/>
        <w:ind w:firstLine="3360" w:firstLineChars="1400"/>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（盖章）</w:t>
      </w:r>
    </w:p>
    <w:p>
      <w:pPr>
        <w:pStyle w:val="51"/>
        <w:spacing w:beforeLines="50"/>
        <w:ind w:firstLine="3360" w:firstLineChars="14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pPr>
        <w:adjustRightInd w:val="0"/>
        <w:snapToGrid w:val="0"/>
        <w:spacing w:line="360" w:lineRule="auto"/>
        <w:jc w:val="center"/>
        <w:rPr>
          <w:rFonts w:asciiTheme="minorEastAsia" w:hAnsiTheme="minorEastAsia" w:eastAsiaTheme="minorEastAsia" w:cstheme="minorEastAsia"/>
          <w:b/>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sz w:val="28"/>
          <w:szCs w:val="28"/>
        </w:rPr>
        <w:t>具有履行本合同所必需的设备和专业技术能力的书面声明</w:t>
      </w:r>
    </w:p>
    <w:p>
      <w:pPr>
        <w:widowControl/>
        <w:spacing w:line="360" w:lineRule="auto"/>
        <w:ind w:left="1"/>
        <w:jc w:val="center"/>
        <w:rPr>
          <w:rFonts w:ascii="宋体" w:hAnsi="宋体" w:cs="宋体"/>
          <w:b/>
          <w:kern w:val="0"/>
          <w:sz w:val="28"/>
          <w:szCs w:val="28"/>
        </w:rPr>
      </w:pPr>
      <w:r>
        <w:rPr>
          <w:rFonts w:hint="eastAsia" w:ascii="宋体" w:hAnsi="宋体" w:cs="宋体"/>
          <w:b/>
          <w:kern w:val="0"/>
          <w:sz w:val="28"/>
          <w:szCs w:val="28"/>
        </w:rPr>
        <w:t>（格式）</w:t>
      </w:r>
    </w:p>
    <w:p/>
    <w:p>
      <w:pPr>
        <w:pStyle w:val="14"/>
        <w:adjustRightInd w:val="0"/>
        <w:snapToGrid w:val="0"/>
        <w:spacing w:line="720" w:lineRule="exact"/>
        <w:jc w:val="center"/>
        <w:rPr>
          <w:rFonts w:hAnsi="宋体"/>
          <w:b/>
          <w:sz w:val="28"/>
          <w:szCs w:val="28"/>
        </w:rPr>
      </w:pPr>
    </w:p>
    <w:p>
      <w:pPr>
        <w:spacing w:line="720" w:lineRule="exact"/>
        <w:rPr>
          <w:rFonts w:ascii="宋体" w:hAnsi="宋体" w:cs="宋体"/>
          <w:spacing w:val="4"/>
          <w:sz w:val="24"/>
          <w:u w:val="single"/>
        </w:rPr>
      </w:pPr>
      <w:r>
        <w:rPr>
          <w:rFonts w:hint="eastAsia" w:ascii="宋体" w:hAnsi="宋体" w:cs="宋体"/>
          <w:spacing w:val="4"/>
          <w:sz w:val="24"/>
          <w:u w:val="single"/>
        </w:rPr>
        <w:t xml:space="preserve">     （采购人名称）    ：</w:t>
      </w:r>
    </w:p>
    <w:p>
      <w:pPr>
        <w:pStyle w:val="14"/>
        <w:adjustRightInd w:val="0"/>
        <w:snapToGrid w:val="0"/>
        <w:spacing w:line="720" w:lineRule="exact"/>
        <w:rPr>
          <w:rFonts w:hAnsi="宋体"/>
          <w:spacing w:val="4"/>
          <w:sz w:val="24"/>
          <w:szCs w:val="24"/>
        </w:rPr>
      </w:pPr>
      <w:r>
        <w:rPr>
          <w:rFonts w:hint="eastAsia" w:hAnsi="宋体"/>
          <w:spacing w:val="4"/>
          <w:sz w:val="24"/>
          <w:szCs w:val="24"/>
        </w:rPr>
        <w:t xml:space="preserve">   </w:t>
      </w:r>
      <w:r>
        <w:rPr>
          <w:rFonts w:hint="eastAsia" w:hAnsi="宋体"/>
          <w:spacing w:val="4"/>
          <w:sz w:val="24"/>
          <w:szCs w:val="24"/>
          <w:u w:val="single"/>
        </w:rPr>
        <w:t xml:space="preserve">      （供应商名称）    </w:t>
      </w:r>
      <w:r>
        <w:rPr>
          <w:rFonts w:hint="eastAsia" w:hAnsi="宋体"/>
          <w:spacing w:val="4"/>
          <w:sz w:val="24"/>
          <w:szCs w:val="24"/>
        </w:rPr>
        <w:t xml:space="preserve"> 于</w:t>
      </w:r>
      <w:r>
        <w:rPr>
          <w:rFonts w:hint="eastAsia" w:hAnsi="宋体"/>
          <w:spacing w:val="4"/>
          <w:sz w:val="24"/>
          <w:szCs w:val="24"/>
          <w:u w:val="single"/>
        </w:rPr>
        <w:t xml:space="preserve">     </w:t>
      </w:r>
      <w:r>
        <w:rPr>
          <w:rFonts w:hint="eastAsia" w:hAnsi="宋体"/>
          <w:spacing w:val="4"/>
          <w:sz w:val="24"/>
          <w:szCs w:val="24"/>
        </w:rPr>
        <w:t>年</w:t>
      </w:r>
      <w:r>
        <w:rPr>
          <w:rFonts w:hint="eastAsia" w:hAnsi="宋体"/>
          <w:spacing w:val="4"/>
          <w:sz w:val="24"/>
          <w:szCs w:val="24"/>
          <w:u w:val="single"/>
        </w:rPr>
        <w:t xml:space="preserve">    </w:t>
      </w:r>
      <w:r>
        <w:rPr>
          <w:rFonts w:hint="eastAsia" w:hAnsi="宋体"/>
          <w:spacing w:val="4"/>
          <w:sz w:val="24"/>
          <w:szCs w:val="24"/>
        </w:rPr>
        <w:t>月</w:t>
      </w:r>
      <w:r>
        <w:rPr>
          <w:rFonts w:hint="eastAsia" w:hAnsi="宋体"/>
          <w:spacing w:val="4"/>
          <w:sz w:val="24"/>
          <w:szCs w:val="24"/>
          <w:u w:val="single"/>
        </w:rPr>
        <w:t xml:space="preserve">   </w:t>
      </w:r>
      <w:r>
        <w:rPr>
          <w:rFonts w:hint="eastAsia" w:hAnsi="宋体"/>
          <w:spacing w:val="4"/>
          <w:sz w:val="24"/>
          <w:szCs w:val="24"/>
        </w:rPr>
        <w:t>日在中华人民共和国境内</w:t>
      </w:r>
      <w:r>
        <w:rPr>
          <w:rFonts w:hint="eastAsia" w:hAnsi="宋体"/>
          <w:spacing w:val="4"/>
          <w:sz w:val="24"/>
          <w:szCs w:val="24"/>
          <w:u w:val="single"/>
        </w:rPr>
        <w:t xml:space="preserve">               （详细注册地址）     </w:t>
      </w:r>
      <w:r>
        <w:rPr>
          <w:rFonts w:hint="eastAsia" w:hAnsi="宋体"/>
          <w:spacing w:val="4"/>
          <w:sz w:val="24"/>
          <w:szCs w:val="24"/>
        </w:rPr>
        <w:t>合法注册并经营，公司主营业务为</w:t>
      </w:r>
      <w:r>
        <w:rPr>
          <w:rFonts w:hint="eastAsia" w:hAnsi="宋体"/>
          <w:spacing w:val="4"/>
          <w:sz w:val="24"/>
          <w:szCs w:val="24"/>
          <w:u w:val="single"/>
        </w:rPr>
        <w:t xml:space="preserve">                        </w:t>
      </w:r>
      <w:r>
        <w:rPr>
          <w:rFonts w:hint="eastAsia" w:hAnsi="宋体"/>
          <w:spacing w:val="4"/>
          <w:sz w:val="24"/>
          <w:szCs w:val="24"/>
        </w:rPr>
        <w:t>。</w:t>
      </w:r>
    </w:p>
    <w:p>
      <w:pPr>
        <w:pStyle w:val="14"/>
        <w:adjustRightInd w:val="0"/>
        <w:snapToGrid w:val="0"/>
        <w:spacing w:line="720" w:lineRule="exact"/>
        <w:ind w:firstLine="550" w:firstLineChars="222"/>
        <w:rPr>
          <w:rFonts w:hAnsi="宋体"/>
          <w:spacing w:val="4"/>
          <w:sz w:val="24"/>
          <w:szCs w:val="24"/>
        </w:rPr>
      </w:pPr>
      <w:r>
        <w:rPr>
          <w:rFonts w:hint="eastAsia" w:hAnsi="宋体"/>
          <w:spacing w:val="4"/>
          <w:sz w:val="24"/>
          <w:szCs w:val="24"/>
        </w:rPr>
        <w:t>我公司郑重承诺，我公司具有履行本合同所必需的设备和专业技术能力，合同履约中将无条件增加相关设备、人员，直至满足项目需求。</w:t>
      </w:r>
    </w:p>
    <w:p>
      <w:pPr>
        <w:pStyle w:val="14"/>
        <w:adjustRightInd w:val="0"/>
        <w:snapToGrid w:val="0"/>
        <w:spacing w:line="720" w:lineRule="exact"/>
        <w:rPr>
          <w:rFonts w:hAnsi="宋体"/>
          <w:spacing w:val="4"/>
          <w:sz w:val="24"/>
          <w:szCs w:val="24"/>
        </w:rPr>
      </w:pPr>
    </w:p>
    <w:p>
      <w:pPr>
        <w:pStyle w:val="14"/>
        <w:adjustRightInd w:val="0"/>
        <w:snapToGrid w:val="0"/>
        <w:spacing w:line="720" w:lineRule="exact"/>
        <w:rPr>
          <w:rFonts w:hAnsi="宋体"/>
          <w:spacing w:val="4"/>
          <w:sz w:val="24"/>
          <w:szCs w:val="24"/>
        </w:rPr>
      </w:pPr>
    </w:p>
    <w:p>
      <w:pPr>
        <w:pStyle w:val="14"/>
        <w:adjustRightInd w:val="0"/>
        <w:snapToGrid w:val="0"/>
        <w:spacing w:line="720" w:lineRule="exact"/>
        <w:rPr>
          <w:rFonts w:hAnsi="宋体"/>
          <w:spacing w:val="4"/>
          <w:sz w:val="24"/>
          <w:szCs w:val="24"/>
        </w:rPr>
      </w:pPr>
    </w:p>
    <w:p>
      <w:pPr>
        <w:spacing w:line="480" w:lineRule="auto"/>
        <w:ind w:firstLine="3360" w:firstLineChars="14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pPr>
        <w:pStyle w:val="51"/>
        <w:spacing w:beforeLines="50"/>
        <w:ind w:firstLine="3360" w:firstLineChars="14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asciiTheme="minorEastAsia" w:hAnsiTheme="minorEastAsia" w:eastAsiaTheme="minorEastAsia" w:cstheme="minorEastAsia"/>
          <w:b/>
          <w:sz w:val="28"/>
          <w:szCs w:val="28"/>
        </w:rPr>
      </w:pPr>
    </w:p>
    <w:p>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p>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附件2：</w:t>
      </w:r>
    </w:p>
    <w:p>
      <w:pPr>
        <w:spacing w:beforeLines="50" w:afterLines="50" w:line="360" w:lineRule="auto"/>
        <w:jc w:val="center"/>
        <w:rPr>
          <w:rFonts w:hAnsi="宋体" w:cs="宋体"/>
          <w:szCs w:val="24"/>
        </w:rPr>
      </w:pPr>
      <w:r>
        <w:rPr>
          <w:rFonts w:hint="eastAsia" w:hAnsi="宋体" w:cs="宋体"/>
          <w:b/>
          <w:sz w:val="28"/>
          <w:szCs w:val="28"/>
        </w:rPr>
        <w:t>中小企业声明函</w:t>
      </w:r>
    </w:p>
    <w:p>
      <w:pPr>
        <w:tabs>
          <w:tab w:val="left" w:pos="1620"/>
          <w:tab w:val="left" w:pos="1800"/>
        </w:tabs>
        <w:spacing w:line="500" w:lineRule="exact"/>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采购活动，工程的施工单位全部为符合政策要求的中小企业（或者：服务全部由符合政策要求的中小企业承接）。相关企业的具体情况如下：</w:t>
      </w:r>
    </w:p>
    <w:p>
      <w:pPr>
        <w:tabs>
          <w:tab w:val="left" w:pos="1620"/>
          <w:tab w:val="left" w:pos="1800"/>
        </w:tabs>
        <w:spacing w:line="50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人，营业收入</w:t>
      </w:r>
      <w:r>
        <w:rPr>
          <w:rFonts w:hint="eastAsia" w:ascii="宋体" w:hAnsi="宋体" w:cs="宋体"/>
          <w:sz w:val="24"/>
          <w:szCs w:val="24"/>
          <w:u w:val="single"/>
        </w:rPr>
        <w:t xml:space="preserve">为 </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tabs>
          <w:tab w:val="left" w:pos="1620"/>
          <w:tab w:val="left" w:pos="1800"/>
        </w:tabs>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tabs>
          <w:tab w:val="left" w:pos="1620"/>
          <w:tab w:val="left" w:pos="1800"/>
        </w:tabs>
        <w:spacing w:line="500" w:lineRule="exact"/>
        <w:rPr>
          <w:rFonts w:ascii="宋体" w:hAnsi="宋体" w:cs="宋体"/>
          <w:sz w:val="24"/>
          <w:szCs w:val="24"/>
        </w:rPr>
      </w:pPr>
      <w:r>
        <w:rPr>
          <w:rFonts w:hint="eastAsia" w:ascii="宋体" w:hAnsi="宋体" w:cs="宋体"/>
          <w:sz w:val="24"/>
          <w:szCs w:val="24"/>
        </w:rPr>
        <w:t>……</w:t>
      </w:r>
    </w:p>
    <w:p>
      <w:pPr>
        <w:tabs>
          <w:tab w:val="left" w:pos="1620"/>
          <w:tab w:val="left" w:pos="1800"/>
        </w:tabs>
        <w:spacing w:line="500" w:lineRule="exact"/>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tabs>
          <w:tab w:val="left" w:pos="1620"/>
          <w:tab w:val="left" w:pos="1800"/>
        </w:tabs>
        <w:spacing w:line="500" w:lineRule="exact"/>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tabs>
          <w:tab w:val="left" w:pos="1620"/>
          <w:tab w:val="left" w:pos="1800"/>
        </w:tabs>
        <w:spacing w:line="500" w:lineRule="exact"/>
        <w:rPr>
          <w:rFonts w:ascii="宋体" w:hAnsi="宋体" w:cs="宋体"/>
          <w:sz w:val="24"/>
          <w:szCs w:val="24"/>
        </w:rPr>
      </w:pPr>
    </w:p>
    <w:p>
      <w:pPr>
        <w:tabs>
          <w:tab w:val="left" w:pos="1620"/>
          <w:tab w:val="left" w:pos="1800"/>
        </w:tabs>
        <w:spacing w:line="500" w:lineRule="exact"/>
        <w:rPr>
          <w:rFonts w:ascii="宋体" w:hAnsi="宋体" w:cs="宋体"/>
          <w:sz w:val="24"/>
          <w:szCs w:val="24"/>
        </w:rPr>
      </w:pPr>
    </w:p>
    <w:p>
      <w:pPr>
        <w:tabs>
          <w:tab w:val="left" w:pos="1620"/>
          <w:tab w:val="left" w:pos="1800"/>
        </w:tabs>
        <w:spacing w:line="500" w:lineRule="exact"/>
        <w:ind w:firstLine="4800" w:firstLineChars="2000"/>
        <w:rPr>
          <w:rFonts w:ascii="宋体" w:hAnsi="宋体" w:cs="宋体"/>
          <w:sz w:val="24"/>
          <w:szCs w:val="24"/>
        </w:rPr>
      </w:pPr>
      <w:r>
        <w:rPr>
          <w:rFonts w:hint="eastAsia" w:ascii="宋体" w:hAnsi="宋体" w:cs="宋体"/>
          <w:sz w:val="24"/>
          <w:szCs w:val="24"/>
        </w:rPr>
        <w:t>企业名称（盖章）：</w:t>
      </w:r>
    </w:p>
    <w:p>
      <w:pPr>
        <w:tabs>
          <w:tab w:val="left" w:pos="1620"/>
          <w:tab w:val="left" w:pos="1800"/>
        </w:tabs>
        <w:spacing w:line="500" w:lineRule="exact"/>
        <w:ind w:firstLine="4800" w:firstLineChars="2000"/>
        <w:rPr>
          <w:rFonts w:ascii="宋体" w:hAnsi="宋体" w:cs="宋体"/>
          <w:sz w:val="24"/>
          <w:szCs w:val="24"/>
        </w:rPr>
      </w:pPr>
      <w:r>
        <w:rPr>
          <w:rFonts w:hint="eastAsia" w:ascii="宋体" w:hAnsi="宋体" w:cs="宋体"/>
          <w:sz w:val="24"/>
          <w:szCs w:val="24"/>
        </w:rPr>
        <w:t>日期：</w:t>
      </w:r>
    </w:p>
    <w:p>
      <w:pPr>
        <w:rPr>
          <w:rFonts w:asciiTheme="minorEastAsia" w:hAnsiTheme="minorEastAsia" w:eastAsiaTheme="minorEastAsia" w:cstheme="minorEastAsia"/>
        </w:rPr>
      </w:pPr>
      <w:r>
        <w:rPr>
          <w:rFonts w:hint="eastAsia" w:asciiTheme="minorEastAsia" w:hAnsiTheme="minorEastAsia" w:eastAsiaTheme="minorEastAsia" w:cstheme="minorEastAsia"/>
          <w:b/>
          <w:sz w:val="28"/>
          <w:szCs w:val="28"/>
        </w:rPr>
        <w:br w:type="page"/>
      </w:r>
    </w:p>
    <w:bookmarkEnd w:id="100"/>
    <w:p>
      <w:pPr>
        <w:spacing w:line="360" w:lineRule="auto"/>
        <w:rPr>
          <w:rFonts w:hAnsi="宋体" w:cs="宋体"/>
          <w:b/>
          <w:sz w:val="28"/>
          <w:szCs w:val="28"/>
        </w:rPr>
      </w:pPr>
      <w:r>
        <w:rPr>
          <w:rFonts w:hint="eastAsia" w:hAnsi="宋体" w:cs="宋体"/>
          <w:b/>
          <w:sz w:val="28"/>
          <w:szCs w:val="28"/>
        </w:rPr>
        <w:t>附件3：</w:t>
      </w:r>
    </w:p>
    <w:p>
      <w:pPr>
        <w:jc w:val="center"/>
        <w:rPr>
          <w:rFonts w:hAnsi="宋体" w:cs="宋体"/>
          <w:b/>
          <w:bCs/>
          <w:sz w:val="44"/>
          <w:szCs w:val="44"/>
        </w:rPr>
      </w:pPr>
      <w:r>
        <w:rPr>
          <w:rFonts w:hint="eastAsia" w:hAnsi="宋体" w:cs="宋体"/>
          <w:b/>
          <w:bCs/>
          <w:sz w:val="44"/>
          <w:szCs w:val="44"/>
        </w:rPr>
        <w:t>质疑函范本</w:t>
      </w:r>
    </w:p>
    <w:p>
      <w:pPr>
        <w:adjustRightInd w:val="0"/>
        <w:snapToGrid w:val="0"/>
        <w:spacing w:beforeLines="100" w:line="360" w:lineRule="auto"/>
        <w:rPr>
          <w:rFonts w:hAnsi="宋体" w:cs="宋体"/>
          <w:bCs/>
          <w:szCs w:val="24"/>
        </w:rPr>
      </w:pPr>
      <w:r>
        <w:rPr>
          <w:rFonts w:hint="eastAsia" w:hAnsi="宋体" w:cs="宋体"/>
          <w:bCs/>
          <w:szCs w:val="24"/>
        </w:rPr>
        <w:t>一、质疑供应商基本信息</w:t>
      </w:r>
    </w:p>
    <w:p>
      <w:pPr>
        <w:adjustRightInd w:val="0"/>
        <w:snapToGrid w:val="0"/>
        <w:spacing w:line="360" w:lineRule="auto"/>
        <w:rPr>
          <w:rFonts w:hAnsi="宋体" w:cs="宋体"/>
          <w:szCs w:val="24"/>
          <w:u w:val="dotted"/>
        </w:rPr>
      </w:pPr>
      <w:r>
        <w:rPr>
          <w:rFonts w:hint="eastAsia" w:hAnsi="宋体" w:cs="宋体"/>
          <w:szCs w:val="24"/>
        </w:rPr>
        <w:t>质疑供应商：</w:t>
      </w:r>
      <w:r>
        <w:rPr>
          <w:rFonts w:hint="eastAsia" w:hAnsi="宋体" w:cs="宋体"/>
          <w:szCs w:val="24"/>
          <w:u w:val="dotted"/>
        </w:rPr>
        <w:t xml:space="preserve">                                        </w:t>
      </w:r>
    </w:p>
    <w:p>
      <w:pPr>
        <w:adjustRightInd w:val="0"/>
        <w:snapToGrid w:val="0"/>
        <w:spacing w:line="360" w:lineRule="auto"/>
        <w:rPr>
          <w:rFonts w:hAnsi="宋体" w:cs="宋体"/>
          <w:szCs w:val="24"/>
        </w:rPr>
      </w:pPr>
      <w:r>
        <w:rPr>
          <w:rFonts w:hint="eastAsia" w:hAnsi="宋体" w:cs="宋体"/>
          <w:szCs w:val="24"/>
        </w:rPr>
        <w:t>地址：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p>
    <w:p>
      <w:pPr>
        <w:adjustRightInd w:val="0"/>
        <w:snapToGrid w:val="0"/>
        <w:spacing w:line="360" w:lineRule="auto"/>
        <w:rPr>
          <w:rFonts w:hAnsi="宋体" w:cs="宋体"/>
          <w:szCs w:val="24"/>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p>
    <w:p>
      <w:pPr>
        <w:adjustRightInd w:val="0"/>
        <w:snapToGrid w:val="0"/>
        <w:spacing w:line="360" w:lineRule="auto"/>
        <w:rPr>
          <w:rFonts w:hAnsi="宋体" w:cs="宋体"/>
          <w:szCs w:val="24"/>
          <w:u w:val="dotted"/>
        </w:rPr>
      </w:pPr>
      <w:r>
        <w:rPr>
          <w:rFonts w:hint="eastAsia" w:hAnsi="宋体" w:cs="宋体"/>
          <w:szCs w:val="24"/>
        </w:rPr>
        <w:t>授权代表：</w:t>
      </w:r>
      <w:r>
        <w:rPr>
          <w:rFonts w:hint="eastAsia" w:hAnsi="宋体" w:cs="宋体"/>
          <w:szCs w:val="24"/>
          <w:u w:val="dotted"/>
        </w:rPr>
        <w:t xml:space="preserve">                                          </w:t>
      </w:r>
    </w:p>
    <w:p>
      <w:pPr>
        <w:adjustRightInd w:val="0"/>
        <w:snapToGrid w:val="0"/>
        <w:spacing w:line="360" w:lineRule="auto"/>
        <w:rPr>
          <w:rFonts w:hAnsi="宋体" w:cs="宋体"/>
          <w:szCs w:val="24"/>
        </w:rPr>
      </w:pPr>
      <w:r>
        <w:rPr>
          <w:rFonts w:hint="eastAsia" w:hAnsi="宋体" w:cs="宋体"/>
          <w:szCs w:val="24"/>
        </w:rPr>
        <w:t>联系电话：</w:t>
      </w:r>
      <w:r>
        <w:rPr>
          <w:rFonts w:hint="eastAsia" w:hAnsi="宋体" w:cs="宋体"/>
          <w:szCs w:val="24"/>
          <w:u w:val="dotted"/>
        </w:rPr>
        <w:t xml:space="preserve">                                           </w:t>
      </w:r>
      <w:r>
        <w:rPr>
          <w:rFonts w:hint="eastAsia" w:hAnsi="宋体" w:cs="宋体"/>
          <w:szCs w:val="24"/>
        </w:rPr>
        <w:t xml:space="preserve"> </w:t>
      </w:r>
    </w:p>
    <w:p>
      <w:pPr>
        <w:adjustRightInd w:val="0"/>
        <w:snapToGrid w:val="0"/>
        <w:spacing w:line="360" w:lineRule="auto"/>
        <w:rPr>
          <w:rFonts w:hAnsi="宋体" w:cs="宋体"/>
          <w:szCs w:val="24"/>
        </w:rPr>
      </w:pPr>
      <w:r>
        <w:rPr>
          <w:rFonts w:hint="eastAsia" w:hAnsi="宋体" w:cs="宋体"/>
          <w:szCs w:val="24"/>
        </w:rPr>
        <w:t xml:space="preserve">地址： </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p>
    <w:p>
      <w:pPr>
        <w:adjustRightInd w:val="0"/>
        <w:snapToGrid w:val="0"/>
        <w:spacing w:line="360" w:lineRule="auto"/>
        <w:rPr>
          <w:rFonts w:hAnsi="宋体" w:cs="宋体"/>
          <w:bCs/>
          <w:szCs w:val="24"/>
        </w:rPr>
      </w:pPr>
      <w:r>
        <w:rPr>
          <w:rFonts w:hint="eastAsia" w:hAnsi="宋体" w:cs="宋体"/>
          <w:bCs/>
          <w:szCs w:val="24"/>
        </w:rPr>
        <w:t>二、质疑项目基本情况</w:t>
      </w:r>
    </w:p>
    <w:p>
      <w:pPr>
        <w:adjustRightInd w:val="0"/>
        <w:snapToGrid w:val="0"/>
        <w:spacing w:line="360" w:lineRule="auto"/>
        <w:rPr>
          <w:rFonts w:hAnsi="宋体" w:cs="宋体"/>
          <w:szCs w:val="24"/>
        </w:rPr>
      </w:pPr>
      <w:r>
        <w:rPr>
          <w:rFonts w:hint="eastAsia" w:hAnsi="宋体" w:cs="宋体"/>
          <w:szCs w:val="24"/>
        </w:rPr>
        <w:t>质疑项目的名称：</w:t>
      </w:r>
      <w:r>
        <w:rPr>
          <w:rFonts w:hint="eastAsia" w:hAnsi="宋体" w:cs="宋体"/>
          <w:szCs w:val="24"/>
          <w:u w:val="dotted"/>
        </w:rPr>
        <w:t xml:space="preserve">                                      </w:t>
      </w:r>
    </w:p>
    <w:p>
      <w:pPr>
        <w:adjustRightInd w:val="0"/>
        <w:snapToGrid w:val="0"/>
        <w:spacing w:line="360" w:lineRule="auto"/>
        <w:rPr>
          <w:rFonts w:hAnsi="宋体" w:cs="宋体"/>
          <w:szCs w:val="24"/>
        </w:rPr>
      </w:pPr>
      <w:r>
        <w:rPr>
          <w:rFonts w:hint="eastAsia" w:hAnsi="宋体" w:cs="宋体"/>
          <w:szCs w:val="24"/>
        </w:rPr>
        <w:t>质疑项目的编号：</w:t>
      </w:r>
      <w:r>
        <w:rPr>
          <w:rFonts w:hint="eastAsia" w:hAnsi="宋体" w:cs="宋体"/>
          <w:szCs w:val="24"/>
          <w:u w:val="dotted"/>
        </w:rPr>
        <w:t xml:space="preserve">               </w:t>
      </w:r>
      <w:r>
        <w:rPr>
          <w:rFonts w:hint="eastAsia" w:hAnsi="宋体" w:cs="宋体"/>
          <w:szCs w:val="24"/>
        </w:rPr>
        <w:t>包号：</w:t>
      </w:r>
      <w:r>
        <w:rPr>
          <w:rFonts w:hint="eastAsia" w:hAnsi="宋体" w:cs="宋体"/>
          <w:szCs w:val="24"/>
          <w:u w:val="dotted"/>
        </w:rPr>
        <w:t xml:space="preserve">                 </w:t>
      </w:r>
    </w:p>
    <w:p>
      <w:pPr>
        <w:adjustRightInd w:val="0"/>
        <w:snapToGrid w:val="0"/>
        <w:spacing w:line="360" w:lineRule="auto"/>
        <w:rPr>
          <w:rFonts w:hAnsi="宋体" w:cs="宋体"/>
          <w:szCs w:val="24"/>
          <w:u w:val="dotted"/>
        </w:rPr>
      </w:pPr>
      <w:r>
        <w:rPr>
          <w:rFonts w:hint="eastAsia" w:hAnsi="宋体" w:cs="宋体"/>
          <w:szCs w:val="24"/>
        </w:rPr>
        <w:t>采购人名称：</w:t>
      </w:r>
      <w:r>
        <w:rPr>
          <w:rFonts w:hint="eastAsia" w:hAnsi="宋体" w:cs="宋体"/>
          <w:szCs w:val="24"/>
          <w:u w:val="dotted"/>
        </w:rPr>
        <w:t xml:space="preserve">                                         </w:t>
      </w:r>
    </w:p>
    <w:p>
      <w:pPr>
        <w:adjustRightInd w:val="0"/>
        <w:snapToGrid w:val="0"/>
        <w:spacing w:line="360" w:lineRule="auto"/>
        <w:rPr>
          <w:rFonts w:hAnsi="宋体" w:cs="宋体"/>
          <w:szCs w:val="24"/>
        </w:rPr>
      </w:pPr>
      <w:r>
        <w:rPr>
          <w:rFonts w:hint="eastAsia" w:hAnsi="宋体" w:cs="宋体"/>
          <w:szCs w:val="24"/>
        </w:rPr>
        <w:t>采购文件获取日期：</w:t>
      </w:r>
      <w:r>
        <w:rPr>
          <w:rFonts w:hint="eastAsia" w:hAnsi="宋体" w:cs="宋体"/>
          <w:szCs w:val="24"/>
          <w:u w:val="dotted"/>
        </w:rPr>
        <w:t xml:space="preserve">                                           </w:t>
      </w:r>
    </w:p>
    <w:p>
      <w:pPr>
        <w:adjustRightInd w:val="0"/>
        <w:snapToGrid w:val="0"/>
        <w:spacing w:line="360" w:lineRule="auto"/>
        <w:rPr>
          <w:rFonts w:hAnsi="宋体" w:cs="宋体"/>
          <w:bCs/>
          <w:szCs w:val="24"/>
        </w:rPr>
      </w:pPr>
      <w:r>
        <w:rPr>
          <w:rFonts w:hint="eastAsia" w:hAnsi="宋体" w:cs="宋体"/>
          <w:bCs/>
          <w:szCs w:val="24"/>
        </w:rPr>
        <w:t>三、质疑事项具体内容</w:t>
      </w:r>
    </w:p>
    <w:p>
      <w:pPr>
        <w:adjustRightInd w:val="0"/>
        <w:snapToGrid w:val="0"/>
        <w:spacing w:line="360" w:lineRule="auto"/>
        <w:rPr>
          <w:rFonts w:hAnsi="宋体" w:cs="宋体"/>
          <w:szCs w:val="24"/>
          <w:u w:val="dotted"/>
        </w:rPr>
      </w:pPr>
      <w:r>
        <w:rPr>
          <w:rFonts w:hint="eastAsia" w:hAnsi="宋体" w:cs="宋体"/>
          <w:szCs w:val="24"/>
        </w:rPr>
        <w:t>质疑事项1：</w:t>
      </w:r>
      <w:r>
        <w:rPr>
          <w:rFonts w:hint="eastAsia" w:hAnsi="宋体" w:cs="宋体"/>
          <w:szCs w:val="24"/>
          <w:u w:val="dotted"/>
        </w:rPr>
        <w:t xml:space="preserve">                                         </w:t>
      </w:r>
    </w:p>
    <w:p>
      <w:pPr>
        <w:adjustRightInd w:val="0"/>
        <w:snapToGrid w:val="0"/>
        <w:spacing w:line="360" w:lineRule="auto"/>
        <w:rPr>
          <w:rFonts w:hAnsi="宋体" w:cs="宋体"/>
          <w:szCs w:val="24"/>
          <w:u w:val="dotted"/>
        </w:rPr>
      </w:pPr>
      <w:r>
        <w:rPr>
          <w:rFonts w:hint="eastAsia" w:hAnsi="宋体" w:cs="宋体"/>
          <w:szCs w:val="24"/>
        </w:rPr>
        <w:t>事实依据：</w:t>
      </w:r>
      <w:r>
        <w:rPr>
          <w:rFonts w:hint="eastAsia" w:hAnsi="宋体" w:cs="宋体"/>
          <w:szCs w:val="24"/>
          <w:u w:val="dotted"/>
        </w:rPr>
        <w:t xml:space="preserve">                                          </w:t>
      </w:r>
    </w:p>
    <w:p>
      <w:pPr>
        <w:adjustRightInd w:val="0"/>
        <w:snapToGrid w:val="0"/>
        <w:spacing w:line="360" w:lineRule="auto"/>
        <w:rPr>
          <w:rFonts w:hAnsi="宋体" w:cs="宋体"/>
          <w:szCs w:val="24"/>
        </w:rPr>
      </w:pPr>
      <w:r>
        <w:rPr>
          <w:rFonts w:hint="eastAsia" w:hAnsi="宋体" w:cs="宋体"/>
          <w:szCs w:val="24"/>
          <w:u w:val="dotted"/>
        </w:rPr>
        <w:t xml:space="preserve">                                                       </w:t>
      </w:r>
    </w:p>
    <w:p>
      <w:pPr>
        <w:adjustRightInd w:val="0"/>
        <w:snapToGrid w:val="0"/>
        <w:spacing w:line="360" w:lineRule="auto"/>
        <w:rPr>
          <w:rFonts w:hAnsi="宋体" w:cs="宋体"/>
          <w:szCs w:val="24"/>
          <w:u w:val="dotted"/>
        </w:rPr>
      </w:pPr>
      <w:r>
        <w:rPr>
          <w:rFonts w:hint="eastAsia" w:hAnsi="宋体" w:cs="宋体"/>
          <w:szCs w:val="24"/>
        </w:rPr>
        <w:t>法律依据：</w:t>
      </w:r>
      <w:r>
        <w:rPr>
          <w:rFonts w:hint="eastAsia" w:hAnsi="宋体" w:cs="宋体"/>
          <w:szCs w:val="24"/>
          <w:u w:val="dotted"/>
        </w:rPr>
        <w:t xml:space="preserve">                                          </w:t>
      </w:r>
    </w:p>
    <w:p>
      <w:pPr>
        <w:adjustRightInd w:val="0"/>
        <w:snapToGrid w:val="0"/>
        <w:spacing w:line="360" w:lineRule="auto"/>
        <w:rPr>
          <w:rFonts w:hAnsi="宋体" w:cs="宋体"/>
          <w:szCs w:val="24"/>
          <w:u w:val="dotted"/>
        </w:rPr>
      </w:pPr>
      <w:r>
        <w:rPr>
          <w:rFonts w:hint="eastAsia" w:hAnsi="宋体" w:cs="宋体"/>
          <w:szCs w:val="24"/>
          <w:u w:val="dotted"/>
        </w:rPr>
        <w:t xml:space="preserve">                                                     </w:t>
      </w:r>
    </w:p>
    <w:p>
      <w:pPr>
        <w:adjustRightInd w:val="0"/>
        <w:snapToGrid w:val="0"/>
        <w:spacing w:line="360" w:lineRule="auto"/>
        <w:rPr>
          <w:rFonts w:hAnsi="宋体" w:cs="宋体"/>
          <w:szCs w:val="24"/>
          <w:u w:val="dotted"/>
        </w:rPr>
      </w:pPr>
      <w:r>
        <w:rPr>
          <w:rFonts w:hint="eastAsia" w:hAnsi="宋体" w:cs="宋体"/>
          <w:szCs w:val="24"/>
        </w:rPr>
        <w:t>质疑事项2</w:t>
      </w:r>
    </w:p>
    <w:p>
      <w:pPr>
        <w:adjustRightInd w:val="0"/>
        <w:snapToGrid w:val="0"/>
        <w:spacing w:line="360" w:lineRule="auto"/>
        <w:rPr>
          <w:rFonts w:hAnsi="宋体" w:cs="宋体"/>
          <w:szCs w:val="24"/>
        </w:rPr>
      </w:pPr>
      <w:r>
        <w:rPr>
          <w:rFonts w:hint="eastAsia" w:hAnsi="宋体" w:cs="宋体"/>
          <w:szCs w:val="24"/>
        </w:rPr>
        <w:t>……</w:t>
      </w:r>
    </w:p>
    <w:p>
      <w:pPr>
        <w:adjustRightInd w:val="0"/>
        <w:snapToGrid w:val="0"/>
        <w:spacing w:line="360" w:lineRule="auto"/>
        <w:rPr>
          <w:rFonts w:hAnsi="宋体" w:cs="宋体"/>
          <w:bCs/>
          <w:szCs w:val="24"/>
        </w:rPr>
      </w:pPr>
      <w:r>
        <w:rPr>
          <w:rFonts w:hint="eastAsia" w:hAnsi="宋体" w:cs="宋体"/>
          <w:bCs/>
          <w:szCs w:val="24"/>
        </w:rPr>
        <w:t>四、与质疑事项相关的质疑请求</w:t>
      </w:r>
    </w:p>
    <w:p>
      <w:pPr>
        <w:adjustRightInd w:val="0"/>
        <w:snapToGrid w:val="0"/>
        <w:spacing w:line="360" w:lineRule="auto"/>
        <w:rPr>
          <w:rFonts w:hAnsi="宋体" w:cs="宋体"/>
          <w:szCs w:val="24"/>
          <w:u w:val="dotted"/>
        </w:rPr>
      </w:pPr>
      <w:r>
        <w:rPr>
          <w:rFonts w:hint="eastAsia" w:hAnsi="宋体" w:cs="宋体"/>
          <w:szCs w:val="24"/>
        </w:rPr>
        <w:t>请求：</w:t>
      </w:r>
      <w:r>
        <w:rPr>
          <w:rFonts w:hint="eastAsia" w:hAnsi="宋体" w:cs="宋体"/>
          <w:szCs w:val="24"/>
          <w:u w:val="dotted"/>
        </w:rPr>
        <w:t xml:space="preserve">                                               </w:t>
      </w:r>
    </w:p>
    <w:p>
      <w:pPr>
        <w:rPr>
          <w:rFonts w:hAnsi="宋体" w:cs="宋体"/>
          <w:szCs w:val="24"/>
        </w:rPr>
      </w:pPr>
      <w:r>
        <w:rPr>
          <w:rFonts w:hint="eastAsia" w:hAnsi="宋体" w:cs="宋体"/>
          <w:szCs w:val="24"/>
        </w:rPr>
        <w:t xml:space="preserve">签字(签章)：                   公章：                      </w:t>
      </w:r>
    </w:p>
    <w:p>
      <w:pPr>
        <w:rPr>
          <w:rFonts w:hAnsi="宋体" w:cs="宋体"/>
          <w:szCs w:val="24"/>
        </w:rPr>
      </w:pPr>
      <w:r>
        <w:rPr>
          <w:rFonts w:hint="eastAsia" w:hAnsi="宋体" w:cs="宋体"/>
          <w:szCs w:val="24"/>
        </w:rPr>
        <w:t xml:space="preserve">日期：    </w:t>
      </w:r>
    </w:p>
    <w:p>
      <w:pPr>
        <w:jc w:val="center"/>
        <w:rPr>
          <w:rFonts w:hAnsi="宋体" w:cs="宋体"/>
          <w:b/>
          <w:sz w:val="44"/>
          <w:szCs w:val="44"/>
        </w:rPr>
      </w:pPr>
    </w:p>
    <w:p>
      <w:pPr>
        <w:rPr>
          <w:rFonts w:hAnsi="宋体" w:cs="宋体"/>
          <w:b/>
          <w:sz w:val="44"/>
          <w:szCs w:val="44"/>
        </w:rPr>
      </w:pPr>
      <w:r>
        <w:rPr>
          <w:rFonts w:hAnsi="宋体" w:cs="宋体"/>
          <w:b/>
          <w:sz w:val="44"/>
          <w:szCs w:val="44"/>
        </w:rPr>
        <w:br w:type="page"/>
      </w:r>
    </w:p>
    <w:p>
      <w:pPr>
        <w:jc w:val="center"/>
        <w:rPr>
          <w:rFonts w:hAnsi="宋体" w:cs="宋体"/>
          <w:b/>
          <w:sz w:val="44"/>
          <w:szCs w:val="44"/>
        </w:rPr>
      </w:pPr>
      <w:r>
        <w:rPr>
          <w:rFonts w:hint="eastAsia" w:hAnsi="宋体" w:cs="宋体"/>
          <w:b/>
          <w:sz w:val="44"/>
          <w:szCs w:val="44"/>
        </w:rPr>
        <w:t>投诉书范本</w:t>
      </w:r>
    </w:p>
    <w:p>
      <w:pPr>
        <w:rPr>
          <w:rFonts w:hAnsi="宋体" w:cs="宋体"/>
          <w:szCs w:val="24"/>
        </w:rPr>
      </w:pPr>
      <w:r>
        <w:rPr>
          <w:rFonts w:hint="eastAsia" w:hAnsi="宋体" w:cs="宋体"/>
          <w:szCs w:val="24"/>
        </w:rPr>
        <w:t>一、投诉相关主体基本情况</w:t>
      </w:r>
    </w:p>
    <w:p>
      <w:pPr>
        <w:rPr>
          <w:rFonts w:hAnsi="宋体" w:cs="宋体"/>
          <w:szCs w:val="24"/>
          <w:u w:val="dotted"/>
        </w:rPr>
      </w:pPr>
      <w:r>
        <w:rPr>
          <w:rFonts w:hint="eastAsia" w:hAnsi="宋体" w:cs="宋体"/>
          <w:szCs w:val="24"/>
        </w:rPr>
        <w:t>投诉人：</w:t>
      </w:r>
      <w:r>
        <w:rPr>
          <w:rFonts w:hint="eastAsia" w:hAnsi="宋体" w:cs="宋体"/>
          <w:szCs w:val="24"/>
          <w:u w:val="dotted"/>
        </w:rPr>
        <w:t xml:space="preserve">                                               </w:t>
      </w:r>
    </w:p>
    <w:p>
      <w:pPr>
        <w:rPr>
          <w:rFonts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pPr>
        <w:tabs>
          <w:tab w:val="left" w:pos="6510"/>
        </w:tabs>
        <w:jc w:val="left"/>
        <w:rPr>
          <w:rFonts w:hAnsi="宋体" w:cs="宋体"/>
          <w:szCs w:val="24"/>
        </w:rPr>
      </w:pPr>
      <w:r>
        <w:rPr>
          <w:rFonts w:hint="eastAsia" w:hAnsi="宋体" w:cs="宋体"/>
          <w:szCs w:val="24"/>
        </w:rPr>
        <w:t>法定代表人/主要负责人：</w:t>
      </w:r>
      <w:r>
        <w:rPr>
          <w:rFonts w:hint="eastAsia" w:hAnsi="宋体" w:cs="宋体"/>
          <w:szCs w:val="24"/>
          <w:u w:val="dotted"/>
        </w:rPr>
        <w:t xml:space="preserve">                                   </w:t>
      </w:r>
      <w:r>
        <w:rPr>
          <w:rFonts w:hint="eastAsia" w:hAnsi="宋体" w:cs="宋体"/>
          <w:szCs w:val="24"/>
        </w:rPr>
        <w:t xml:space="preserve">  </w:t>
      </w:r>
    </w:p>
    <w:p>
      <w:pPr>
        <w:tabs>
          <w:tab w:val="left" w:pos="6510"/>
        </w:tabs>
        <w:rPr>
          <w:rFonts w:hAnsi="宋体" w:cs="宋体"/>
          <w:szCs w:val="24"/>
          <w:u w:val="dotted"/>
        </w:rPr>
      </w:pPr>
      <w:r>
        <w:rPr>
          <w:rFonts w:hint="eastAsia" w:hAnsi="宋体" w:cs="宋体"/>
          <w:szCs w:val="24"/>
        </w:rPr>
        <w:t>联系电话：</w:t>
      </w:r>
      <w:r>
        <w:rPr>
          <w:rFonts w:hint="eastAsia" w:hAnsi="宋体" w:cs="宋体"/>
          <w:szCs w:val="24"/>
          <w:u w:val="dotted"/>
        </w:rPr>
        <w:t xml:space="preserve">                                             </w:t>
      </w:r>
    </w:p>
    <w:p>
      <w:pPr>
        <w:rPr>
          <w:rFonts w:hAnsi="宋体" w:cs="宋体"/>
          <w:szCs w:val="24"/>
          <w:u w:val="dotted"/>
        </w:rPr>
      </w:pPr>
      <w:r>
        <w:rPr>
          <w:rFonts w:hint="eastAsia" w:hAnsi="宋体" w:cs="宋体"/>
          <w:szCs w:val="24"/>
        </w:rPr>
        <w:t>授权代表：</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p>
    <w:p>
      <w:pPr>
        <w:rPr>
          <w:rFonts w:hAnsi="宋体" w:cs="宋体"/>
          <w:szCs w:val="24"/>
          <w:u w:val="dotted"/>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r>
        <w:rPr>
          <w:rFonts w:hint="eastAsia" w:hAnsi="宋体" w:cs="宋体"/>
          <w:szCs w:val="24"/>
          <w:u w:val="dotted"/>
        </w:rPr>
        <w:t xml:space="preserve">                   </w:t>
      </w:r>
    </w:p>
    <w:p>
      <w:pPr>
        <w:rPr>
          <w:rFonts w:hAnsi="宋体" w:cs="宋体"/>
          <w:szCs w:val="24"/>
          <w:u w:val="single"/>
        </w:rPr>
      </w:pPr>
      <w:r>
        <w:rPr>
          <w:rFonts w:hint="eastAsia" w:hAnsi="宋体" w:cs="宋体"/>
          <w:szCs w:val="24"/>
        </w:rPr>
        <w:t>被投诉人1：</w:t>
      </w:r>
      <w:r>
        <w:rPr>
          <w:rFonts w:hint="eastAsia" w:hAnsi="宋体" w:cs="宋体"/>
          <w:szCs w:val="24"/>
          <w:u w:val="dotted"/>
        </w:rPr>
        <w:t xml:space="preserve">                                           </w:t>
      </w:r>
      <w:r>
        <w:rPr>
          <w:rFonts w:hint="eastAsia" w:hAnsi="宋体" w:cs="宋体"/>
          <w:szCs w:val="24"/>
          <w:u w:val="single"/>
        </w:rPr>
        <w:t xml:space="preserve">  </w:t>
      </w:r>
    </w:p>
    <w:p>
      <w:pPr>
        <w:rPr>
          <w:rFonts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pPr>
        <w:rPr>
          <w:rFonts w:hAnsi="宋体" w:cs="宋体"/>
          <w:szCs w:val="24"/>
          <w:u w:val="single"/>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r>
        <w:rPr>
          <w:rFonts w:hint="eastAsia" w:hAnsi="宋体" w:cs="宋体"/>
          <w:szCs w:val="24"/>
          <w:u w:val="single"/>
        </w:rPr>
        <w:t xml:space="preserve"> </w:t>
      </w:r>
    </w:p>
    <w:p>
      <w:pPr>
        <w:rPr>
          <w:rFonts w:hAnsi="宋体" w:cs="宋体"/>
          <w:szCs w:val="24"/>
        </w:rPr>
      </w:pPr>
      <w:r>
        <w:rPr>
          <w:rFonts w:hint="eastAsia" w:hAnsi="宋体" w:cs="宋体"/>
          <w:szCs w:val="24"/>
        </w:rPr>
        <w:t>被投诉人2</w:t>
      </w:r>
    </w:p>
    <w:p>
      <w:pPr>
        <w:rPr>
          <w:rFonts w:hAnsi="宋体" w:cs="宋体"/>
          <w:szCs w:val="24"/>
          <w:u w:val="dotted"/>
        </w:rPr>
      </w:pPr>
      <w:r>
        <w:rPr>
          <w:rFonts w:hint="eastAsia" w:hAnsi="宋体" w:cs="宋体"/>
          <w:szCs w:val="24"/>
        </w:rPr>
        <w:t>……</w:t>
      </w:r>
    </w:p>
    <w:p>
      <w:pPr>
        <w:rPr>
          <w:rFonts w:hAnsi="宋体" w:cs="宋体"/>
          <w:szCs w:val="24"/>
          <w:u w:val="single"/>
        </w:rPr>
      </w:pPr>
      <w:r>
        <w:rPr>
          <w:rFonts w:hint="eastAsia" w:hAnsi="宋体" w:cs="宋体"/>
          <w:szCs w:val="24"/>
        </w:rPr>
        <w:t>相关供应商：</w:t>
      </w:r>
      <w:r>
        <w:rPr>
          <w:rFonts w:hint="eastAsia" w:hAnsi="宋体" w:cs="宋体"/>
          <w:szCs w:val="24"/>
          <w:u w:val="dotted"/>
        </w:rPr>
        <w:t xml:space="preserve">                                           </w:t>
      </w:r>
      <w:r>
        <w:rPr>
          <w:rFonts w:hint="eastAsia" w:hAnsi="宋体" w:cs="宋体"/>
          <w:szCs w:val="24"/>
          <w:u w:val="single"/>
        </w:rPr>
        <w:t xml:space="preserve">    </w:t>
      </w:r>
    </w:p>
    <w:p>
      <w:pPr>
        <w:rPr>
          <w:rFonts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pPr>
        <w:rPr>
          <w:rFonts w:hAnsi="宋体" w:cs="宋体"/>
          <w:szCs w:val="24"/>
          <w:u w:val="single"/>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r>
        <w:rPr>
          <w:rFonts w:hint="eastAsia" w:hAnsi="宋体" w:cs="宋体"/>
          <w:szCs w:val="24"/>
          <w:u w:val="single"/>
        </w:rPr>
        <w:t xml:space="preserve">      </w:t>
      </w:r>
    </w:p>
    <w:p>
      <w:pPr>
        <w:rPr>
          <w:rFonts w:hAnsi="宋体" w:cs="宋体"/>
          <w:szCs w:val="24"/>
        </w:rPr>
      </w:pPr>
      <w:r>
        <w:rPr>
          <w:rFonts w:hint="eastAsia" w:hAnsi="宋体" w:cs="宋体"/>
          <w:szCs w:val="24"/>
        </w:rPr>
        <w:t>二、投诉项目基本情况</w:t>
      </w:r>
    </w:p>
    <w:p>
      <w:pPr>
        <w:rPr>
          <w:rFonts w:hAnsi="宋体" w:cs="宋体"/>
          <w:szCs w:val="24"/>
          <w:u w:val="dotted"/>
        </w:rPr>
      </w:pPr>
      <w:r>
        <w:rPr>
          <w:rFonts w:hint="eastAsia" w:hAnsi="宋体" w:cs="宋体"/>
          <w:szCs w:val="24"/>
        </w:rPr>
        <w:t>采购项目名称：</w:t>
      </w:r>
      <w:r>
        <w:rPr>
          <w:rFonts w:hint="eastAsia" w:hAnsi="宋体" w:cs="宋体"/>
          <w:szCs w:val="24"/>
          <w:u w:val="dotted"/>
        </w:rPr>
        <w:t xml:space="preserve">                                        </w:t>
      </w:r>
    </w:p>
    <w:p>
      <w:pPr>
        <w:rPr>
          <w:rFonts w:hAnsi="宋体" w:cs="宋体"/>
          <w:szCs w:val="24"/>
          <w:u w:val="single"/>
        </w:rPr>
      </w:pPr>
      <w:r>
        <w:rPr>
          <w:rFonts w:hint="eastAsia" w:hAnsi="宋体" w:cs="宋体"/>
          <w:szCs w:val="24"/>
        </w:rPr>
        <w:t>采购项目编号：</w:t>
      </w:r>
      <w:r>
        <w:rPr>
          <w:rFonts w:hint="eastAsia" w:hAnsi="宋体" w:cs="宋体"/>
          <w:szCs w:val="24"/>
          <w:u w:val="dotted"/>
        </w:rPr>
        <w:t xml:space="preserve">                 </w:t>
      </w:r>
      <w:r>
        <w:rPr>
          <w:rFonts w:hint="eastAsia" w:hAnsi="宋体" w:cs="宋体"/>
          <w:szCs w:val="24"/>
        </w:rPr>
        <w:t>包号：</w:t>
      </w:r>
      <w:r>
        <w:rPr>
          <w:rFonts w:hint="eastAsia" w:hAnsi="宋体" w:cs="宋体"/>
          <w:szCs w:val="24"/>
          <w:u w:val="dotted"/>
        </w:rPr>
        <w:t xml:space="preserve">              </w:t>
      </w:r>
    </w:p>
    <w:p>
      <w:pPr>
        <w:rPr>
          <w:rFonts w:hAnsi="宋体" w:cs="宋体"/>
          <w:szCs w:val="24"/>
        </w:rPr>
      </w:pPr>
      <w:r>
        <w:rPr>
          <w:rFonts w:hint="eastAsia" w:hAnsi="宋体" w:cs="宋体"/>
          <w:szCs w:val="24"/>
        </w:rPr>
        <w:t>采购人名称：</w:t>
      </w:r>
      <w:r>
        <w:rPr>
          <w:rFonts w:hint="eastAsia" w:hAnsi="宋体" w:cs="宋体"/>
          <w:szCs w:val="24"/>
          <w:u w:val="dotted"/>
        </w:rPr>
        <w:t xml:space="preserve">                                           </w:t>
      </w:r>
      <w:r>
        <w:rPr>
          <w:rFonts w:hint="eastAsia" w:hAnsi="宋体" w:cs="宋体"/>
          <w:szCs w:val="24"/>
          <w:u w:val="single"/>
        </w:rPr>
        <w:t xml:space="preserve">  </w:t>
      </w:r>
    </w:p>
    <w:p>
      <w:pPr>
        <w:rPr>
          <w:rFonts w:hAnsi="宋体" w:cs="宋体"/>
          <w:szCs w:val="24"/>
          <w:u w:val="single"/>
        </w:rPr>
      </w:pPr>
      <w:r>
        <w:rPr>
          <w:rFonts w:hint="eastAsia" w:hAnsi="宋体" w:cs="宋体"/>
          <w:szCs w:val="24"/>
        </w:rPr>
        <w:t>代理机构名称：</w:t>
      </w:r>
      <w:r>
        <w:rPr>
          <w:rFonts w:hint="eastAsia" w:hAnsi="宋体" w:cs="宋体"/>
          <w:szCs w:val="24"/>
          <w:u w:val="dotted"/>
        </w:rPr>
        <w:t xml:space="preserve">                                         </w:t>
      </w:r>
    </w:p>
    <w:p>
      <w:pPr>
        <w:rPr>
          <w:rFonts w:hAnsi="宋体" w:cs="宋体"/>
          <w:szCs w:val="24"/>
          <w:u w:val="dotted"/>
        </w:rPr>
      </w:pPr>
      <w:r>
        <w:rPr>
          <w:rFonts w:hint="eastAsia" w:hAnsi="宋体" w:cs="宋体"/>
          <w:szCs w:val="24"/>
        </w:rPr>
        <w:t>采购文件公告:</w:t>
      </w:r>
      <w:r>
        <w:rPr>
          <w:rFonts w:hint="eastAsia" w:hAnsi="宋体" w:cs="宋体"/>
          <w:szCs w:val="24"/>
          <w:u w:val="dotted"/>
        </w:rPr>
        <w:t xml:space="preserve">是/否 </w:t>
      </w:r>
      <w:r>
        <w:rPr>
          <w:rFonts w:hint="eastAsia" w:hAnsi="宋体" w:cs="宋体"/>
          <w:szCs w:val="24"/>
        </w:rPr>
        <w:t>公告期限：</w:t>
      </w:r>
      <w:r>
        <w:rPr>
          <w:rFonts w:hint="eastAsia" w:hAnsi="宋体" w:cs="宋体"/>
          <w:szCs w:val="24"/>
          <w:u w:val="dotted"/>
        </w:rPr>
        <w:t xml:space="preserve">                                 </w:t>
      </w:r>
    </w:p>
    <w:p>
      <w:pPr>
        <w:rPr>
          <w:rFonts w:hAnsi="宋体" w:cs="宋体"/>
          <w:szCs w:val="24"/>
          <w:u w:val="single"/>
        </w:rPr>
      </w:pPr>
      <w:r>
        <w:rPr>
          <w:rFonts w:hint="eastAsia" w:hAnsi="宋体" w:cs="宋体"/>
          <w:szCs w:val="24"/>
        </w:rPr>
        <w:t>采购结果公告:</w:t>
      </w:r>
      <w:r>
        <w:rPr>
          <w:rFonts w:hint="eastAsia" w:hAnsi="宋体" w:cs="宋体"/>
          <w:szCs w:val="24"/>
          <w:u w:val="dotted"/>
        </w:rPr>
        <w:t xml:space="preserve">是/否 </w:t>
      </w:r>
      <w:r>
        <w:rPr>
          <w:rFonts w:hint="eastAsia" w:hAnsi="宋体" w:cs="宋体"/>
          <w:szCs w:val="24"/>
        </w:rPr>
        <w:t>公告期限：</w:t>
      </w:r>
      <w:r>
        <w:rPr>
          <w:rFonts w:hint="eastAsia" w:hAnsi="宋体" w:cs="宋体"/>
          <w:szCs w:val="24"/>
          <w:u w:val="dotted"/>
        </w:rPr>
        <w:t xml:space="preserve">                        </w:t>
      </w:r>
    </w:p>
    <w:p>
      <w:pPr>
        <w:rPr>
          <w:rFonts w:hAnsi="宋体" w:cs="宋体"/>
          <w:szCs w:val="24"/>
        </w:rPr>
      </w:pPr>
      <w:r>
        <w:rPr>
          <w:rFonts w:hint="eastAsia" w:hAnsi="宋体" w:cs="宋体"/>
          <w:szCs w:val="24"/>
        </w:rPr>
        <w:t>三、质疑基本情况</w:t>
      </w:r>
    </w:p>
    <w:p>
      <w:pPr>
        <w:ind w:firstLine="420" w:firstLineChars="200"/>
        <w:rPr>
          <w:rFonts w:hAnsi="宋体" w:cs="宋体"/>
          <w:szCs w:val="24"/>
          <w:u w:val="dotted"/>
        </w:rPr>
      </w:pPr>
      <w:r>
        <w:rPr>
          <w:rFonts w:hint="eastAsia" w:hAnsi="宋体" w:cs="宋体"/>
          <w:szCs w:val="24"/>
        </w:rPr>
        <w:t>投诉人于</w:t>
      </w:r>
      <w:r>
        <w:rPr>
          <w:rFonts w:hint="eastAsia" w:hAnsi="宋体" w:cs="宋体"/>
          <w:szCs w:val="24"/>
          <w:u w:val="dotted"/>
        </w:rPr>
        <w:t xml:space="preserve">   </w:t>
      </w:r>
      <w:r>
        <w:rPr>
          <w:rFonts w:hint="eastAsia" w:hAnsi="宋体" w:cs="宋体"/>
          <w:szCs w:val="24"/>
        </w:rPr>
        <w:t>年</w:t>
      </w:r>
      <w:r>
        <w:rPr>
          <w:rFonts w:hint="eastAsia" w:hAnsi="宋体" w:cs="宋体"/>
          <w:szCs w:val="24"/>
          <w:u w:val="dotted"/>
        </w:rPr>
        <w:t xml:space="preserve">   </w:t>
      </w:r>
      <w:r>
        <w:rPr>
          <w:rFonts w:hint="eastAsia" w:hAnsi="宋体" w:cs="宋体"/>
          <w:szCs w:val="24"/>
        </w:rPr>
        <w:t>月</w:t>
      </w:r>
      <w:r>
        <w:rPr>
          <w:rFonts w:hint="eastAsia" w:hAnsi="宋体" w:cs="宋体"/>
          <w:szCs w:val="24"/>
          <w:u w:val="dotted"/>
        </w:rPr>
        <w:t xml:space="preserve">  </w:t>
      </w:r>
      <w:r>
        <w:rPr>
          <w:rFonts w:hint="eastAsia" w:hAnsi="宋体" w:cs="宋体"/>
          <w:szCs w:val="24"/>
        </w:rPr>
        <w:t>日,向</w:t>
      </w:r>
      <w:r>
        <w:rPr>
          <w:rFonts w:hint="eastAsia" w:hAnsi="宋体" w:cs="宋体"/>
          <w:szCs w:val="24"/>
          <w:u w:val="dotted"/>
        </w:rPr>
        <w:t xml:space="preserve">                   </w:t>
      </w:r>
      <w:r>
        <w:rPr>
          <w:rFonts w:hint="eastAsia" w:hAnsi="宋体" w:cs="宋体"/>
          <w:szCs w:val="24"/>
        </w:rPr>
        <w:t>提出质疑，质疑事项为：</w:t>
      </w:r>
      <w:r>
        <w:rPr>
          <w:rFonts w:hint="eastAsia" w:hAnsi="宋体" w:cs="宋体"/>
          <w:szCs w:val="24"/>
          <w:u w:val="dotted"/>
        </w:rPr>
        <w:t xml:space="preserve">                                </w:t>
      </w:r>
    </w:p>
    <w:p>
      <w:pPr>
        <w:rPr>
          <w:rFonts w:hAnsi="宋体" w:cs="宋体"/>
          <w:szCs w:val="24"/>
          <w:u w:val="dotted"/>
        </w:rPr>
      </w:pPr>
      <w:r>
        <w:rPr>
          <w:rFonts w:hint="eastAsia" w:hAnsi="宋体" w:cs="宋体"/>
          <w:szCs w:val="24"/>
          <w:u w:val="dotted"/>
        </w:rPr>
        <w:t xml:space="preserve">                                                     </w:t>
      </w:r>
      <w:r>
        <w:rPr>
          <w:rFonts w:hint="eastAsia" w:hAnsi="宋体" w:cs="宋体"/>
          <w:szCs w:val="24"/>
        </w:rPr>
        <w:t xml:space="preserve">  </w:t>
      </w:r>
    </w:p>
    <w:p>
      <w:pPr>
        <w:ind w:firstLine="315" w:firstLineChars="150"/>
        <w:rPr>
          <w:rFonts w:hAnsi="宋体" w:cs="宋体"/>
          <w:szCs w:val="24"/>
        </w:rPr>
      </w:pPr>
      <w:r>
        <w:rPr>
          <w:rFonts w:hint="eastAsia" w:hAnsi="宋体" w:cs="宋体"/>
          <w:szCs w:val="24"/>
          <w:u w:val="dotted"/>
        </w:rPr>
        <w:t>采购人/代理机构</w:t>
      </w:r>
      <w:r>
        <w:rPr>
          <w:rFonts w:hint="eastAsia" w:hAnsi="宋体" w:cs="宋体"/>
          <w:szCs w:val="24"/>
        </w:rPr>
        <w:t>于</w:t>
      </w:r>
      <w:r>
        <w:rPr>
          <w:rFonts w:hint="eastAsia" w:hAnsi="宋体" w:cs="宋体"/>
          <w:szCs w:val="24"/>
          <w:u w:val="dotted"/>
        </w:rPr>
        <w:t xml:space="preserve">   </w:t>
      </w:r>
      <w:r>
        <w:rPr>
          <w:rFonts w:hint="eastAsia" w:hAnsi="宋体" w:cs="宋体"/>
          <w:szCs w:val="24"/>
        </w:rPr>
        <w:t>年</w:t>
      </w:r>
      <w:r>
        <w:rPr>
          <w:rFonts w:hint="eastAsia" w:hAnsi="宋体" w:cs="宋体"/>
          <w:szCs w:val="24"/>
          <w:u w:val="dotted"/>
        </w:rPr>
        <w:t xml:space="preserve">   </w:t>
      </w:r>
      <w:r>
        <w:rPr>
          <w:rFonts w:hint="eastAsia" w:hAnsi="宋体" w:cs="宋体"/>
          <w:szCs w:val="24"/>
        </w:rPr>
        <w:t>月</w:t>
      </w:r>
      <w:r>
        <w:rPr>
          <w:rFonts w:hint="eastAsia" w:hAnsi="宋体" w:cs="宋体"/>
          <w:szCs w:val="24"/>
          <w:u w:val="dotted"/>
        </w:rPr>
        <w:t xml:space="preserve">   </w:t>
      </w:r>
      <w:r>
        <w:rPr>
          <w:rFonts w:hint="eastAsia" w:hAnsi="宋体" w:cs="宋体"/>
          <w:szCs w:val="24"/>
        </w:rPr>
        <w:t>日,就质疑事项作出了答复/没有在法定期限内作出答复。</w:t>
      </w:r>
    </w:p>
    <w:p>
      <w:pPr>
        <w:rPr>
          <w:rFonts w:hAnsi="宋体" w:cs="宋体"/>
          <w:szCs w:val="24"/>
        </w:rPr>
      </w:pPr>
      <w:r>
        <w:rPr>
          <w:rFonts w:hint="eastAsia" w:hAnsi="宋体" w:cs="宋体"/>
          <w:szCs w:val="24"/>
        </w:rPr>
        <w:t>四、投诉事项具体内容</w:t>
      </w:r>
    </w:p>
    <w:p>
      <w:pPr>
        <w:rPr>
          <w:rFonts w:hAnsi="宋体" w:cs="宋体"/>
          <w:szCs w:val="24"/>
          <w:u w:val="single"/>
        </w:rPr>
      </w:pPr>
      <w:r>
        <w:rPr>
          <w:rFonts w:hint="eastAsia" w:hAnsi="宋体" w:cs="宋体"/>
          <w:szCs w:val="24"/>
        </w:rPr>
        <w:t>投诉事项 1：</w:t>
      </w:r>
      <w:r>
        <w:rPr>
          <w:rFonts w:hint="eastAsia" w:hAnsi="宋体" w:cs="宋体"/>
          <w:szCs w:val="24"/>
          <w:u w:val="dotted"/>
        </w:rPr>
        <w:t xml:space="preserve">                                       </w:t>
      </w:r>
    </w:p>
    <w:p>
      <w:pPr>
        <w:rPr>
          <w:rFonts w:hAnsi="宋体" w:cs="宋体"/>
          <w:szCs w:val="24"/>
        </w:rPr>
      </w:pPr>
      <w:r>
        <w:rPr>
          <w:rFonts w:hint="eastAsia" w:hAnsi="宋体" w:cs="宋体"/>
          <w:szCs w:val="24"/>
        </w:rPr>
        <w:t>事实依据：</w:t>
      </w:r>
      <w:r>
        <w:rPr>
          <w:rFonts w:hint="eastAsia" w:hAnsi="宋体" w:cs="宋体"/>
          <w:szCs w:val="24"/>
          <w:u w:val="dotted"/>
        </w:rPr>
        <w:t xml:space="preserve">                                         </w:t>
      </w:r>
    </w:p>
    <w:p>
      <w:pPr>
        <w:rPr>
          <w:rFonts w:hAnsi="宋体" w:cs="宋体"/>
          <w:szCs w:val="24"/>
          <w:u w:val="dotted"/>
        </w:rPr>
      </w:pPr>
      <w:r>
        <w:rPr>
          <w:rFonts w:hint="eastAsia" w:hAnsi="宋体" w:cs="宋体"/>
          <w:szCs w:val="24"/>
          <w:u w:val="dotted"/>
        </w:rPr>
        <w:t xml:space="preserve">                                                      </w:t>
      </w:r>
    </w:p>
    <w:p>
      <w:pPr>
        <w:rPr>
          <w:rFonts w:hAnsi="宋体" w:cs="宋体"/>
          <w:szCs w:val="24"/>
          <w:u w:val="single"/>
        </w:rPr>
      </w:pPr>
      <w:r>
        <w:rPr>
          <w:rFonts w:hint="eastAsia" w:hAnsi="宋体" w:cs="宋体"/>
          <w:szCs w:val="24"/>
        </w:rPr>
        <w:t>法律依据：</w:t>
      </w:r>
      <w:r>
        <w:rPr>
          <w:rFonts w:hint="eastAsia" w:hAnsi="宋体" w:cs="宋体"/>
          <w:szCs w:val="24"/>
          <w:u w:val="dotted"/>
        </w:rPr>
        <w:t xml:space="preserve">                                          </w:t>
      </w:r>
    </w:p>
    <w:p>
      <w:pPr>
        <w:rPr>
          <w:rFonts w:hAnsi="宋体" w:cs="宋体"/>
          <w:szCs w:val="24"/>
          <w:u w:val="dotted"/>
        </w:rPr>
      </w:pPr>
      <w:r>
        <w:rPr>
          <w:rFonts w:hint="eastAsia" w:hAnsi="宋体" w:cs="宋体"/>
          <w:szCs w:val="24"/>
          <w:u w:val="dotted"/>
        </w:rPr>
        <w:t xml:space="preserve">                                                      </w:t>
      </w:r>
    </w:p>
    <w:p>
      <w:pPr>
        <w:rPr>
          <w:rFonts w:hAnsi="宋体" w:cs="宋体"/>
          <w:szCs w:val="24"/>
        </w:rPr>
      </w:pPr>
      <w:r>
        <w:rPr>
          <w:rFonts w:hint="eastAsia" w:hAnsi="宋体" w:cs="宋体"/>
          <w:szCs w:val="24"/>
        </w:rPr>
        <w:t>投诉事项2</w:t>
      </w:r>
    </w:p>
    <w:p>
      <w:pPr>
        <w:rPr>
          <w:rFonts w:hAnsi="宋体" w:cs="宋体"/>
          <w:szCs w:val="24"/>
          <w:u w:val="dotted"/>
        </w:rPr>
      </w:pPr>
      <w:r>
        <w:rPr>
          <w:rFonts w:hint="eastAsia" w:hAnsi="宋体" w:cs="宋体"/>
          <w:szCs w:val="24"/>
        </w:rPr>
        <w:t>……</w:t>
      </w:r>
    </w:p>
    <w:p>
      <w:pPr>
        <w:rPr>
          <w:rFonts w:hAnsi="宋体" w:cs="宋体"/>
          <w:szCs w:val="24"/>
        </w:rPr>
      </w:pPr>
      <w:r>
        <w:rPr>
          <w:rFonts w:hint="eastAsia" w:hAnsi="宋体" w:cs="宋体"/>
          <w:szCs w:val="24"/>
        </w:rPr>
        <w:t>五、与投诉事项相关的投诉请求</w:t>
      </w:r>
    </w:p>
    <w:p>
      <w:pPr>
        <w:rPr>
          <w:rFonts w:hAnsi="宋体" w:cs="宋体"/>
          <w:szCs w:val="24"/>
        </w:rPr>
      </w:pPr>
      <w:r>
        <w:rPr>
          <w:rFonts w:hint="eastAsia" w:hAnsi="宋体" w:cs="宋体"/>
          <w:szCs w:val="24"/>
        </w:rPr>
        <w:t>请求：</w:t>
      </w:r>
      <w:r>
        <w:rPr>
          <w:rFonts w:hint="eastAsia" w:hAnsi="宋体" w:cs="宋体"/>
          <w:szCs w:val="24"/>
          <w:u w:val="dotted"/>
        </w:rPr>
        <w:t xml:space="preserve">                                              </w:t>
      </w:r>
      <w:r>
        <w:rPr>
          <w:rFonts w:hint="eastAsia" w:hAnsi="宋体" w:cs="宋体"/>
          <w:szCs w:val="24"/>
        </w:rPr>
        <w:t xml:space="preserve"> </w:t>
      </w:r>
    </w:p>
    <w:p>
      <w:pPr>
        <w:rPr>
          <w:rFonts w:hAnsi="宋体" w:cs="宋体"/>
          <w:szCs w:val="24"/>
          <w:u w:val="single"/>
        </w:rPr>
      </w:pPr>
      <w:r>
        <w:rPr>
          <w:rFonts w:hint="eastAsia" w:hAnsi="宋体" w:cs="宋体"/>
          <w:szCs w:val="24"/>
        </w:rPr>
        <w:t xml:space="preserve">                                                                                                    </w:t>
      </w:r>
    </w:p>
    <w:p>
      <w:pPr>
        <w:rPr>
          <w:rFonts w:hAnsi="宋体" w:cs="宋体"/>
          <w:szCs w:val="24"/>
        </w:rPr>
      </w:pPr>
      <w:r>
        <w:rPr>
          <w:rFonts w:hint="eastAsia" w:hAnsi="宋体" w:cs="宋体"/>
          <w:szCs w:val="24"/>
        </w:rPr>
        <w:t xml:space="preserve">签字(签章)：                   公章：                      </w:t>
      </w:r>
    </w:p>
    <w:p>
      <w:pPr>
        <w:rPr>
          <w:rFonts w:hAnsi="宋体" w:cs="宋体"/>
          <w:szCs w:val="24"/>
        </w:rPr>
      </w:pPr>
      <w:r>
        <w:rPr>
          <w:rFonts w:hint="eastAsia" w:hAnsi="宋体" w:cs="宋体"/>
          <w:szCs w:val="24"/>
        </w:rPr>
        <w:t xml:space="preserve">日期：                      </w:t>
      </w:r>
      <w:r>
        <w:rPr>
          <w:rFonts w:hint="eastAsia" w:hAnsi="宋体" w:cs="宋体"/>
          <w:szCs w:val="24"/>
        </w:rPr>
        <w:tab/>
      </w:r>
    </w:p>
    <w:p>
      <w:pPr>
        <w:rPr>
          <w:rFonts w:asciiTheme="minorEastAsia" w:hAnsiTheme="minorEastAsia" w:eastAsiaTheme="minorEastAsia" w:cstheme="minorEastAsia"/>
          <w:sz w:val="32"/>
          <w:szCs w:val="32"/>
        </w:rPr>
      </w:pPr>
    </w:p>
    <w:sectPr>
      <w:pgSz w:w="11906" w:h="16838"/>
      <w:pgMar w:top="1304" w:right="1361" w:bottom="130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rPr>
      <w:t xml:space="preserve">陕西至诚项目管理集团有限公司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35</w:t>
                </w:r>
                <w:r>
                  <w:fldChar w:fldCharType="end"/>
                </w:r>
              </w:p>
            </w:txbxContent>
          </v:textbox>
        </v:shape>
      </w:pict>
    </w:r>
    <w:r>
      <w:rPr>
        <w:rFonts w:hint="eastAsia"/>
      </w:rPr>
      <w:t xml:space="preserve">陕西至诚项目管理集团有限公司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029"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50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pict>
        <v:shape id="文本框 1030"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81</w:t>
                </w:r>
                <w:r>
                  <w:fldChar w:fldCharType="end"/>
                </w:r>
              </w:p>
            </w:txbxContent>
          </v:textbox>
        </v:shape>
      </w:pict>
    </w:r>
    <w:r>
      <w:rPr>
        <w:rFonts w:hint="eastAsia"/>
      </w:rPr>
      <w:t xml:space="preserve">陕西至诚项目管理集团有限公司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szCs w:val="20"/>
      </w:rPr>
    </w:pPr>
    <w:bookmarkStart w:id="170" w:name="OLE_LINK16"/>
  </w:p>
  <w:bookmarkEnd w:id="170"/>
  <w:p>
    <w:pPr>
      <w:pStyle w:val="18"/>
      <w:ind w:left="7040" w:hanging="7040" w:hangingChars="4400"/>
      <w:jc w:val="both"/>
      <w:rPr>
        <w:rFonts w:ascii="宋体" w:hAnsi="宋体"/>
        <w:szCs w:val="20"/>
      </w:rPr>
    </w:pPr>
    <w:r>
      <w:rPr>
        <w:rFonts w:hint="eastAsia" w:ascii="宋体" w:hAnsi="宋体"/>
        <w:sz w:val="16"/>
      </w:rPr>
      <w:t xml:space="preserve">商洛市秦岭中段（南麓）水源涵养与生物多样性保护恢复项目山阳县2023年退化林修复       </w:t>
    </w:r>
    <w:r>
      <w:rPr>
        <w:rFonts w:hint="eastAsia" w:ascii="宋体" w:hAnsi="宋体"/>
        <w:szCs w:val="20"/>
      </w:rPr>
      <w:t xml:space="preserve">                  </w:t>
    </w:r>
    <w:r>
      <w:rPr>
        <w:rFonts w:hint="eastAsia" w:ascii="宋体" w:hAnsi="宋体"/>
        <w:sz w:val="16"/>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DF9E"/>
    <w:multiLevelType w:val="singleLevel"/>
    <w:tmpl w:val="BBFEDF9E"/>
    <w:lvl w:ilvl="0" w:tentative="0">
      <w:start w:val="1"/>
      <w:numFmt w:val="decimal"/>
      <w:suff w:val="nothing"/>
      <w:lvlText w:val="%1、"/>
      <w:lvlJc w:val="left"/>
    </w:lvl>
  </w:abstractNum>
  <w:abstractNum w:abstractNumId="1">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2MmExZmM3MjhmNDhmZjI1MDBiNWQ3ODkxODIzZGEifQ=="/>
  </w:docVars>
  <w:rsids>
    <w:rsidRoot w:val="00172A27"/>
    <w:rsid w:val="00067DD7"/>
    <w:rsid w:val="00075362"/>
    <w:rsid w:val="00092A0E"/>
    <w:rsid w:val="000E02AD"/>
    <w:rsid w:val="00127453"/>
    <w:rsid w:val="00143875"/>
    <w:rsid w:val="00156141"/>
    <w:rsid w:val="00164F97"/>
    <w:rsid w:val="00172A27"/>
    <w:rsid w:val="0019127F"/>
    <w:rsid w:val="001D165F"/>
    <w:rsid w:val="001E2A55"/>
    <w:rsid w:val="0024067A"/>
    <w:rsid w:val="00243199"/>
    <w:rsid w:val="00295E6A"/>
    <w:rsid w:val="002F588F"/>
    <w:rsid w:val="002F78A0"/>
    <w:rsid w:val="00373AA4"/>
    <w:rsid w:val="003C1454"/>
    <w:rsid w:val="00413044"/>
    <w:rsid w:val="00455193"/>
    <w:rsid w:val="00473028"/>
    <w:rsid w:val="00490FFC"/>
    <w:rsid w:val="004D7F07"/>
    <w:rsid w:val="005010CF"/>
    <w:rsid w:val="00540F52"/>
    <w:rsid w:val="0054336A"/>
    <w:rsid w:val="005869CD"/>
    <w:rsid w:val="00605D5C"/>
    <w:rsid w:val="006109C6"/>
    <w:rsid w:val="0062509C"/>
    <w:rsid w:val="00632D09"/>
    <w:rsid w:val="00634DB8"/>
    <w:rsid w:val="00637068"/>
    <w:rsid w:val="00665BD9"/>
    <w:rsid w:val="00681549"/>
    <w:rsid w:val="006D4D82"/>
    <w:rsid w:val="006F10CE"/>
    <w:rsid w:val="00747E33"/>
    <w:rsid w:val="007517B5"/>
    <w:rsid w:val="007A5351"/>
    <w:rsid w:val="007B0A1F"/>
    <w:rsid w:val="00806027"/>
    <w:rsid w:val="0081730D"/>
    <w:rsid w:val="00821E5A"/>
    <w:rsid w:val="00824545"/>
    <w:rsid w:val="00827E45"/>
    <w:rsid w:val="00834FBA"/>
    <w:rsid w:val="008A653E"/>
    <w:rsid w:val="008B71B0"/>
    <w:rsid w:val="00901771"/>
    <w:rsid w:val="00936646"/>
    <w:rsid w:val="009946C8"/>
    <w:rsid w:val="009D62FB"/>
    <w:rsid w:val="00A13DE2"/>
    <w:rsid w:val="00A15FAA"/>
    <w:rsid w:val="00A539B1"/>
    <w:rsid w:val="00A603A5"/>
    <w:rsid w:val="00A91C13"/>
    <w:rsid w:val="00A96DA3"/>
    <w:rsid w:val="00AF3108"/>
    <w:rsid w:val="00B02C39"/>
    <w:rsid w:val="00B37D6B"/>
    <w:rsid w:val="00B5776E"/>
    <w:rsid w:val="00B96CCE"/>
    <w:rsid w:val="00BC05F2"/>
    <w:rsid w:val="00BF4B25"/>
    <w:rsid w:val="00C1512E"/>
    <w:rsid w:val="00C26C9B"/>
    <w:rsid w:val="00C36AB8"/>
    <w:rsid w:val="00C61893"/>
    <w:rsid w:val="00CB0C3B"/>
    <w:rsid w:val="00CB767A"/>
    <w:rsid w:val="00CC5894"/>
    <w:rsid w:val="00D10014"/>
    <w:rsid w:val="00D642EA"/>
    <w:rsid w:val="00D704DD"/>
    <w:rsid w:val="00D8028D"/>
    <w:rsid w:val="00DB1A1E"/>
    <w:rsid w:val="00DC7CC3"/>
    <w:rsid w:val="00DE5928"/>
    <w:rsid w:val="00E30694"/>
    <w:rsid w:val="00E72F85"/>
    <w:rsid w:val="00EB4B2A"/>
    <w:rsid w:val="01BC6535"/>
    <w:rsid w:val="020E00B4"/>
    <w:rsid w:val="021F1A11"/>
    <w:rsid w:val="0236335D"/>
    <w:rsid w:val="02613983"/>
    <w:rsid w:val="02B773A4"/>
    <w:rsid w:val="02D97BAA"/>
    <w:rsid w:val="044E2916"/>
    <w:rsid w:val="04E23328"/>
    <w:rsid w:val="04E2543C"/>
    <w:rsid w:val="05BE1FE7"/>
    <w:rsid w:val="061571D6"/>
    <w:rsid w:val="067D52DB"/>
    <w:rsid w:val="068A7924"/>
    <w:rsid w:val="078D4DA5"/>
    <w:rsid w:val="07964574"/>
    <w:rsid w:val="07DF7F74"/>
    <w:rsid w:val="08561B2D"/>
    <w:rsid w:val="093733E1"/>
    <w:rsid w:val="098B0B6C"/>
    <w:rsid w:val="09D37127"/>
    <w:rsid w:val="0A715AED"/>
    <w:rsid w:val="0A9477F6"/>
    <w:rsid w:val="0AA63A70"/>
    <w:rsid w:val="0AEF3BF8"/>
    <w:rsid w:val="0AF96D8D"/>
    <w:rsid w:val="0B1B1342"/>
    <w:rsid w:val="0B6E13BF"/>
    <w:rsid w:val="0BE7390B"/>
    <w:rsid w:val="0BE77AE1"/>
    <w:rsid w:val="0C025E77"/>
    <w:rsid w:val="0C750A2F"/>
    <w:rsid w:val="0C932991"/>
    <w:rsid w:val="0CC770D4"/>
    <w:rsid w:val="0D8C5C5C"/>
    <w:rsid w:val="0DD762A4"/>
    <w:rsid w:val="0DEC2BF3"/>
    <w:rsid w:val="0E2274C2"/>
    <w:rsid w:val="0E547045"/>
    <w:rsid w:val="0E5A6BAA"/>
    <w:rsid w:val="0E7610EC"/>
    <w:rsid w:val="0EBB7BFD"/>
    <w:rsid w:val="0F58722E"/>
    <w:rsid w:val="107B6893"/>
    <w:rsid w:val="10D20E9D"/>
    <w:rsid w:val="1147751F"/>
    <w:rsid w:val="11DE3370"/>
    <w:rsid w:val="11DE3DA6"/>
    <w:rsid w:val="121C6938"/>
    <w:rsid w:val="12B55AA0"/>
    <w:rsid w:val="12C15F07"/>
    <w:rsid w:val="13102E15"/>
    <w:rsid w:val="131B0F17"/>
    <w:rsid w:val="133F6E84"/>
    <w:rsid w:val="1343740D"/>
    <w:rsid w:val="137529DA"/>
    <w:rsid w:val="13900552"/>
    <w:rsid w:val="13AA0B25"/>
    <w:rsid w:val="14051D6D"/>
    <w:rsid w:val="140D6614"/>
    <w:rsid w:val="14161181"/>
    <w:rsid w:val="145C535D"/>
    <w:rsid w:val="148B7473"/>
    <w:rsid w:val="151450A9"/>
    <w:rsid w:val="151B2394"/>
    <w:rsid w:val="15752BB9"/>
    <w:rsid w:val="15817CF1"/>
    <w:rsid w:val="15A308B2"/>
    <w:rsid w:val="17473BF1"/>
    <w:rsid w:val="17B2155B"/>
    <w:rsid w:val="18355116"/>
    <w:rsid w:val="18954A05"/>
    <w:rsid w:val="18DD474A"/>
    <w:rsid w:val="191424EE"/>
    <w:rsid w:val="19720386"/>
    <w:rsid w:val="19DB7B23"/>
    <w:rsid w:val="1A491727"/>
    <w:rsid w:val="1A5E600C"/>
    <w:rsid w:val="1A7D057D"/>
    <w:rsid w:val="1AC2559A"/>
    <w:rsid w:val="1ACA778D"/>
    <w:rsid w:val="1AD877F4"/>
    <w:rsid w:val="1AED14DC"/>
    <w:rsid w:val="1B38680B"/>
    <w:rsid w:val="1B447BB6"/>
    <w:rsid w:val="1B514392"/>
    <w:rsid w:val="1C602EC4"/>
    <w:rsid w:val="1C93305A"/>
    <w:rsid w:val="1D520676"/>
    <w:rsid w:val="1DDE2DFC"/>
    <w:rsid w:val="1E6E3BEA"/>
    <w:rsid w:val="1E7F7CE4"/>
    <w:rsid w:val="1EBE7F7F"/>
    <w:rsid w:val="1EC3782A"/>
    <w:rsid w:val="1F0E5D1E"/>
    <w:rsid w:val="1F1A7531"/>
    <w:rsid w:val="1F3A20FF"/>
    <w:rsid w:val="1F6126BC"/>
    <w:rsid w:val="1F903BF6"/>
    <w:rsid w:val="202D6F14"/>
    <w:rsid w:val="202E7C7A"/>
    <w:rsid w:val="205B7610"/>
    <w:rsid w:val="207615D5"/>
    <w:rsid w:val="207B7CB2"/>
    <w:rsid w:val="20AD2256"/>
    <w:rsid w:val="21004DD9"/>
    <w:rsid w:val="21B5378E"/>
    <w:rsid w:val="21EF67C9"/>
    <w:rsid w:val="22196A1F"/>
    <w:rsid w:val="2221450D"/>
    <w:rsid w:val="224909C3"/>
    <w:rsid w:val="233B1878"/>
    <w:rsid w:val="23624540"/>
    <w:rsid w:val="23686ACB"/>
    <w:rsid w:val="23E84E31"/>
    <w:rsid w:val="24042151"/>
    <w:rsid w:val="24294678"/>
    <w:rsid w:val="24CB595D"/>
    <w:rsid w:val="25A1715D"/>
    <w:rsid w:val="25D268A7"/>
    <w:rsid w:val="26047265"/>
    <w:rsid w:val="261A0E1D"/>
    <w:rsid w:val="265C0A8A"/>
    <w:rsid w:val="2673111B"/>
    <w:rsid w:val="26E9382C"/>
    <w:rsid w:val="274664DC"/>
    <w:rsid w:val="274A6BAA"/>
    <w:rsid w:val="27C070A1"/>
    <w:rsid w:val="285E1D92"/>
    <w:rsid w:val="28A42EBB"/>
    <w:rsid w:val="29296871"/>
    <w:rsid w:val="29326CF6"/>
    <w:rsid w:val="29566CD7"/>
    <w:rsid w:val="29A26CD6"/>
    <w:rsid w:val="29B91BA6"/>
    <w:rsid w:val="29D5599D"/>
    <w:rsid w:val="2AAD745B"/>
    <w:rsid w:val="2ADB5882"/>
    <w:rsid w:val="2AE83537"/>
    <w:rsid w:val="2BAD70FD"/>
    <w:rsid w:val="2BB94533"/>
    <w:rsid w:val="2BEE61D7"/>
    <w:rsid w:val="2C4715CE"/>
    <w:rsid w:val="2C506768"/>
    <w:rsid w:val="2D1A7C83"/>
    <w:rsid w:val="2D2D2C04"/>
    <w:rsid w:val="2DD91AAB"/>
    <w:rsid w:val="2DEA6FFB"/>
    <w:rsid w:val="2E1D04B8"/>
    <w:rsid w:val="2E453B2A"/>
    <w:rsid w:val="2F4875FA"/>
    <w:rsid w:val="2F984B4F"/>
    <w:rsid w:val="306D7693"/>
    <w:rsid w:val="30EE7385"/>
    <w:rsid w:val="31017A4B"/>
    <w:rsid w:val="318614E1"/>
    <w:rsid w:val="32434D44"/>
    <w:rsid w:val="326714C1"/>
    <w:rsid w:val="336D6E92"/>
    <w:rsid w:val="338A49CA"/>
    <w:rsid w:val="33B82D95"/>
    <w:rsid w:val="34364998"/>
    <w:rsid w:val="34365D32"/>
    <w:rsid w:val="348F397D"/>
    <w:rsid w:val="34CB7A86"/>
    <w:rsid w:val="355C7E64"/>
    <w:rsid w:val="35710369"/>
    <w:rsid w:val="36212568"/>
    <w:rsid w:val="36652F3F"/>
    <w:rsid w:val="371E406C"/>
    <w:rsid w:val="37727C90"/>
    <w:rsid w:val="37BB447E"/>
    <w:rsid w:val="37C52E2A"/>
    <w:rsid w:val="37D30AEB"/>
    <w:rsid w:val="38583268"/>
    <w:rsid w:val="387C6615"/>
    <w:rsid w:val="398C3550"/>
    <w:rsid w:val="39EA027C"/>
    <w:rsid w:val="3ABA4320"/>
    <w:rsid w:val="3B822415"/>
    <w:rsid w:val="3B9D543B"/>
    <w:rsid w:val="3BBC17D1"/>
    <w:rsid w:val="3BCB5591"/>
    <w:rsid w:val="3C330DEA"/>
    <w:rsid w:val="3CD734DF"/>
    <w:rsid w:val="3EDD3ACE"/>
    <w:rsid w:val="3F461B07"/>
    <w:rsid w:val="3F4866A7"/>
    <w:rsid w:val="3F594E23"/>
    <w:rsid w:val="3F7C478F"/>
    <w:rsid w:val="405C4B2A"/>
    <w:rsid w:val="40F128AC"/>
    <w:rsid w:val="410138D0"/>
    <w:rsid w:val="41365A22"/>
    <w:rsid w:val="41AD4734"/>
    <w:rsid w:val="43831A2F"/>
    <w:rsid w:val="43CF4837"/>
    <w:rsid w:val="43E876F6"/>
    <w:rsid w:val="43FF5F3D"/>
    <w:rsid w:val="44366C11"/>
    <w:rsid w:val="44526E5A"/>
    <w:rsid w:val="44857F97"/>
    <w:rsid w:val="448C236A"/>
    <w:rsid w:val="44AB08E1"/>
    <w:rsid w:val="44D957F5"/>
    <w:rsid w:val="44EA4663"/>
    <w:rsid w:val="45675258"/>
    <w:rsid w:val="458034AA"/>
    <w:rsid w:val="45BE4637"/>
    <w:rsid w:val="460803A8"/>
    <w:rsid w:val="461810FC"/>
    <w:rsid w:val="46665B57"/>
    <w:rsid w:val="46680A55"/>
    <w:rsid w:val="466B3B11"/>
    <w:rsid w:val="469D0831"/>
    <w:rsid w:val="471E63F5"/>
    <w:rsid w:val="47353BED"/>
    <w:rsid w:val="473571BC"/>
    <w:rsid w:val="48F2082A"/>
    <w:rsid w:val="48FC34FC"/>
    <w:rsid w:val="4911473F"/>
    <w:rsid w:val="491D3A13"/>
    <w:rsid w:val="49282FCC"/>
    <w:rsid w:val="4937360E"/>
    <w:rsid w:val="494E57BD"/>
    <w:rsid w:val="495A5060"/>
    <w:rsid w:val="498B0D6A"/>
    <w:rsid w:val="49AA6EE4"/>
    <w:rsid w:val="49B00420"/>
    <w:rsid w:val="49E135D9"/>
    <w:rsid w:val="4A9768D8"/>
    <w:rsid w:val="4AEB7055"/>
    <w:rsid w:val="4B0F34BE"/>
    <w:rsid w:val="4B274486"/>
    <w:rsid w:val="4B405527"/>
    <w:rsid w:val="4B4F7A37"/>
    <w:rsid w:val="4BA479F4"/>
    <w:rsid w:val="4C5379A4"/>
    <w:rsid w:val="4CA50292"/>
    <w:rsid w:val="4CE74F4D"/>
    <w:rsid w:val="4D3320F2"/>
    <w:rsid w:val="4D9E0950"/>
    <w:rsid w:val="4DD13DB7"/>
    <w:rsid w:val="4E3E294A"/>
    <w:rsid w:val="4E541B72"/>
    <w:rsid w:val="4EA6517F"/>
    <w:rsid w:val="4EC445FF"/>
    <w:rsid w:val="4FDC34DE"/>
    <w:rsid w:val="5122082A"/>
    <w:rsid w:val="5132266D"/>
    <w:rsid w:val="518237D8"/>
    <w:rsid w:val="52105F6D"/>
    <w:rsid w:val="529201E3"/>
    <w:rsid w:val="536B7208"/>
    <w:rsid w:val="53B61356"/>
    <w:rsid w:val="53BE2640"/>
    <w:rsid w:val="54167AFF"/>
    <w:rsid w:val="54383293"/>
    <w:rsid w:val="544955B5"/>
    <w:rsid w:val="546654FD"/>
    <w:rsid w:val="54932A0B"/>
    <w:rsid w:val="54B77366"/>
    <w:rsid w:val="54FD2C72"/>
    <w:rsid w:val="55C76018"/>
    <w:rsid w:val="55C847A2"/>
    <w:rsid w:val="562C5F96"/>
    <w:rsid w:val="562F377B"/>
    <w:rsid w:val="56B57E6A"/>
    <w:rsid w:val="57443C4F"/>
    <w:rsid w:val="57B50DB0"/>
    <w:rsid w:val="57D85BBE"/>
    <w:rsid w:val="57DB71F6"/>
    <w:rsid w:val="58FD4D1C"/>
    <w:rsid w:val="599747E8"/>
    <w:rsid w:val="5A03237D"/>
    <w:rsid w:val="5A062A70"/>
    <w:rsid w:val="5B553294"/>
    <w:rsid w:val="5BBC56DC"/>
    <w:rsid w:val="5BF979BC"/>
    <w:rsid w:val="5C076030"/>
    <w:rsid w:val="5C39779C"/>
    <w:rsid w:val="5CA359AC"/>
    <w:rsid w:val="5D086F45"/>
    <w:rsid w:val="5D302F64"/>
    <w:rsid w:val="5D603594"/>
    <w:rsid w:val="5DFF721C"/>
    <w:rsid w:val="5EB66EE4"/>
    <w:rsid w:val="5EB83AD6"/>
    <w:rsid w:val="5ED76084"/>
    <w:rsid w:val="5F790AC3"/>
    <w:rsid w:val="5F9D525C"/>
    <w:rsid w:val="5FCE2CE8"/>
    <w:rsid w:val="5FEA1C45"/>
    <w:rsid w:val="60160FF8"/>
    <w:rsid w:val="60400EFA"/>
    <w:rsid w:val="60937D28"/>
    <w:rsid w:val="60967A11"/>
    <w:rsid w:val="60C92B1C"/>
    <w:rsid w:val="61531164"/>
    <w:rsid w:val="61886EF5"/>
    <w:rsid w:val="61907D1A"/>
    <w:rsid w:val="61CD4A79"/>
    <w:rsid w:val="6223294C"/>
    <w:rsid w:val="62303C57"/>
    <w:rsid w:val="633A3BD0"/>
    <w:rsid w:val="63476EDC"/>
    <w:rsid w:val="63747632"/>
    <w:rsid w:val="63861052"/>
    <w:rsid w:val="63943A5A"/>
    <w:rsid w:val="63E63E74"/>
    <w:rsid w:val="6427480A"/>
    <w:rsid w:val="64475E7D"/>
    <w:rsid w:val="648B546D"/>
    <w:rsid w:val="649F2933"/>
    <w:rsid w:val="64CE16D2"/>
    <w:rsid w:val="64F1663F"/>
    <w:rsid w:val="64F73135"/>
    <w:rsid w:val="655565F0"/>
    <w:rsid w:val="657C2DD4"/>
    <w:rsid w:val="65C47053"/>
    <w:rsid w:val="666B5E35"/>
    <w:rsid w:val="68325815"/>
    <w:rsid w:val="68876088"/>
    <w:rsid w:val="691D5F89"/>
    <w:rsid w:val="694126E9"/>
    <w:rsid w:val="696739C1"/>
    <w:rsid w:val="6A8037E4"/>
    <w:rsid w:val="6A8D7A7E"/>
    <w:rsid w:val="6AE83140"/>
    <w:rsid w:val="6AEF4F2E"/>
    <w:rsid w:val="6AFE5050"/>
    <w:rsid w:val="6C432E6D"/>
    <w:rsid w:val="6C4E6153"/>
    <w:rsid w:val="6C65594D"/>
    <w:rsid w:val="6CA1310D"/>
    <w:rsid w:val="6CA44400"/>
    <w:rsid w:val="6CA65F4E"/>
    <w:rsid w:val="6CE5519E"/>
    <w:rsid w:val="6CEE47AC"/>
    <w:rsid w:val="6D2C731E"/>
    <w:rsid w:val="6D365028"/>
    <w:rsid w:val="6D715243"/>
    <w:rsid w:val="6D8039C3"/>
    <w:rsid w:val="6D9B2D1F"/>
    <w:rsid w:val="6DC70686"/>
    <w:rsid w:val="6DDD1A9E"/>
    <w:rsid w:val="6E1903DA"/>
    <w:rsid w:val="6E661BB9"/>
    <w:rsid w:val="6E665F1E"/>
    <w:rsid w:val="6F0B7E5B"/>
    <w:rsid w:val="6F5412F4"/>
    <w:rsid w:val="6FBB0530"/>
    <w:rsid w:val="6FC0544C"/>
    <w:rsid w:val="6FDE756B"/>
    <w:rsid w:val="700D7E81"/>
    <w:rsid w:val="70573900"/>
    <w:rsid w:val="70930445"/>
    <w:rsid w:val="70F822E3"/>
    <w:rsid w:val="713E3AFB"/>
    <w:rsid w:val="71675C25"/>
    <w:rsid w:val="717F3F2C"/>
    <w:rsid w:val="726036A6"/>
    <w:rsid w:val="73437A25"/>
    <w:rsid w:val="734952E7"/>
    <w:rsid w:val="73E14111"/>
    <w:rsid w:val="73F5728B"/>
    <w:rsid w:val="7415067E"/>
    <w:rsid w:val="74460DDF"/>
    <w:rsid w:val="74B17A6A"/>
    <w:rsid w:val="74C52498"/>
    <w:rsid w:val="74C74C01"/>
    <w:rsid w:val="75147188"/>
    <w:rsid w:val="754E350B"/>
    <w:rsid w:val="75B17B55"/>
    <w:rsid w:val="75D80178"/>
    <w:rsid w:val="76024771"/>
    <w:rsid w:val="76290C74"/>
    <w:rsid w:val="76335D64"/>
    <w:rsid w:val="764030D7"/>
    <w:rsid w:val="76B0418D"/>
    <w:rsid w:val="77742A87"/>
    <w:rsid w:val="77E23352"/>
    <w:rsid w:val="782E42F7"/>
    <w:rsid w:val="78482187"/>
    <w:rsid w:val="784C4775"/>
    <w:rsid w:val="7852762D"/>
    <w:rsid w:val="7858377C"/>
    <w:rsid w:val="78EE4629"/>
    <w:rsid w:val="79694470"/>
    <w:rsid w:val="79821002"/>
    <w:rsid w:val="79960744"/>
    <w:rsid w:val="7A1E1F2C"/>
    <w:rsid w:val="7A250C81"/>
    <w:rsid w:val="7AEE2E6C"/>
    <w:rsid w:val="7C24670B"/>
    <w:rsid w:val="7C5840AD"/>
    <w:rsid w:val="7CFA0562"/>
    <w:rsid w:val="7D0629E6"/>
    <w:rsid w:val="7D14649C"/>
    <w:rsid w:val="7D1E661D"/>
    <w:rsid w:val="7D4755BE"/>
    <w:rsid w:val="7D4E1F2C"/>
    <w:rsid w:val="7D4F1987"/>
    <w:rsid w:val="7D764FDD"/>
    <w:rsid w:val="7E015E6B"/>
    <w:rsid w:val="7E0643FD"/>
    <w:rsid w:val="7EB553C3"/>
    <w:rsid w:val="7ED25666"/>
    <w:rsid w:val="7F014E71"/>
    <w:rsid w:val="7F1E36D7"/>
    <w:rsid w:val="7F5020C4"/>
    <w:rsid w:val="7F904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6"/>
    <w:qFormat/>
    <w:uiPriority w:val="99"/>
    <w:pPr>
      <w:keepNext/>
      <w:keepLines/>
      <w:spacing w:before="260" w:after="260" w:line="416" w:lineRule="auto"/>
      <w:jc w:val="left"/>
      <w:outlineLvl w:val="1"/>
    </w:pPr>
    <w:rPr>
      <w:rFonts w:ascii="Cambria" w:hAnsi="Cambria" w:cs="Cambria"/>
      <w:b/>
      <w:bCs/>
      <w:sz w:val="32"/>
      <w:szCs w:val="32"/>
    </w:rPr>
  </w:style>
  <w:style w:type="paragraph" w:styleId="7">
    <w:name w:val="heading 3"/>
    <w:basedOn w:val="1"/>
    <w:next w:val="1"/>
    <w:qFormat/>
    <w:uiPriority w:val="0"/>
    <w:pPr>
      <w:keepNext/>
      <w:spacing w:beforeLines="200" w:line="400" w:lineRule="exact"/>
      <w:jc w:val="center"/>
      <w:outlineLvl w:val="2"/>
    </w:pPr>
    <w:rPr>
      <w:b/>
      <w:bCs/>
      <w:sz w:val="24"/>
      <w:szCs w:val="24"/>
    </w:rPr>
  </w:style>
  <w:style w:type="paragraph" w:styleId="8">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9">
    <w:name w:val="heading 6"/>
    <w:basedOn w:val="1"/>
    <w:next w:val="1"/>
    <w:qFormat/>
    <w:uiPriority w:val="0"/>
    <w:pPr>
      <w:spacing w:beforeAutospacing="1" w:afterAutospacing="1"/>
      <w:jc w:val="left"/>
      <w:outlineLvl w:val="5"/>
    </w:pPr>
    <w:rPr>
      <w:rFonts w:hint="eastAsia" w:ascii="宋体" w:hAnsi="宋体"/>
      <w:b/>
      <w:bCs/>
      <w:kern w:val="0"/>
      <w:sz w:val="15"/>
      <w:szCs w:val="15"/>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pacing w:val="-20"/>
      <w:sz w:val="28"/>
      <w:szCs w:val="20"/>
    </w:rPr>
  </w:style>
  <w:style w:type="paragraph" w:styleId="3">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qFormat/>
    <w:uiPriority w:val="0"/>
    <w:pPr>
      <w:spacing w:line="300" w:lineRule="auto"/>
      <w:ind w:firstLine="420" w:firstLineChars="200"/>
    </w:pPr>
    <w:rPr>
      <w:szCs w:val="24"/>
    </w:rPr>
  </w:style>
  <w:style w:type="paragraph" w:styleId="10">
    <w:name w:val="annotation text"/>
    <w:basedOn w:val="1"/>
    <w:qFormat/>
    <w:uiPriority w:val="0"/>
    <w:pPr>
      <w:jc w:val="left"/>
    </w:pPr>
  </w:style>
  <w:style w:type="paragraph" w:styleId="11">
    <w:name w:val="Body Text 3"/>
    <w:basedOn w:val="1"/>
    <w:qFormat/>
    <w:uiPriority w:val="0"/>
    <w:pPr>
      <w:spacing w:after="120"/>
    </w:pPr>
    <w:rPr>
      <w:sz w:val="16"/>
      <w:szCs w:val="16"/>
    </w:rPr>
  </w:style>
  <w:style w:type="paragraph" w:styleId="12">
    <w:name w:val="Body Text Indent"/>
    <w:basedOn w:val="1"/>
    <w:qFormat/>
    <w:uiPriority w:val="0"/>
    <w:pPr>
      <w:widowControl/>
      <w:ind w:firstLine="652" w:firstLineChars="233"/>
    </w:pPr>
    <w:rPr>
      <w:kern w:val="0"/>
      <w:sz w:val="28"/>
    </w:r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hAnsi="Courier New" w:cs="宋体"/>
    </w:rPr>
  </w:style>
  <w:style w:type="paragraph" w:styleId="15">
    <w:name w:val="Date"/>
    <w:basedOn w:val="1"/>
    <w:next w:val="1"/>
    <w:qFormat/>
    <w:uiPriority w:val="0"/>
    <w:rPr>
      <w:sz w:val="28"/>
    </w:rPr>
  </w:style>
  <w:style w:type="paragraph" w:styleId="16">
    <w:name w:val="Balloon Text"/>
    <w:basedOn w:val="1"/>
    <w:link w:val="54"/>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4"/>
    <w:basedOn w:val="1"/>
    <w:next w:val="1"/>
    <w:qFormat/>
    <w:uiPriority w:val="0"/>
    <w:pPr>
      <w:ind w:left="1260" w:leftChars="600"/>
    </w:pPr>
  </w:style>
  <w:style w:type="paragraph" w:styleId="21">
    <w:name w:val="Body Text Indent 3"/>
    <w:basedOn w:val="1"/>
    <w:qFormat/>
    <w:uiPriority w:val="99"/>
    <w:pPr>
      <w:spacing w:line="360" w:lineRule="auto"/>
      <w:ind w:left="420" w:firstLine="480"/>
    </w:pPr>
    <w:rPr>
      <w:rFonts w:ascii="宋体" w:hAnsi="宋体" w:cs="宋体"/>
      <w:sz w:val="24"/>
      <w:szCs w:val="24"/>
    </w:rPr>
  </w:style>
  <w:style w:type="paragraph" w:styleId="22">
    <w:name w:val="toc 2"/>
    <w:basedOn w:val="1"/>
    <w:next w:val="1"/>
    <w:unhideWhenUsed/>
    <w:qFormat/>
    <w:uiPriority w:val="39"/>
    <w:pPr>
      <w:ind w:left="420" w:leftChars="200"/>
    </w:pPr>
  </w:style>
  <w:style w:type="paragraph" w:styleId="23">
    <w:name w:val="Body Text 2"/>
    <w:basedOn w:val="1"/>
    <w:qFormat/>
    <w:uiPriority w:val="0"/>
    <w:pPr>
      <w:adjustRightInd w:val="0"/>
      <w:snapToGrid w:val="0"/>
      <w:spacing w:line="480" w:lineRule="atLeast"/>
    </w:pPr>
    <w:rPr>
      <w:rFonts w:ascii="宋体" w:hAnsi="宋体"/>
      <w:sz w:val="28"/>
    </w:rPr>
  </w:style>
  <w:style w:type="paragraph" w:styleId="24">
    <w:name w:val="Normal (Web)"/>
    <w:basedOn w:val="1"/>
    <w:qFormat/>
    <w:uiPriority w:val="0"/>
    <w:pPr>
      <w:jc w:val="left"/>
    </w:pPr>
    <w:rPr>
      <w:color w:val="3D3D3D"/>
      <w:kern w:val="0"/>
      <w:sz w:val="24"/>
    </w:rPr>
  </w:style>
  <w:style w:type="paragraph" w:styleId="25">
    <w:name w:val="Body Text First Indent"/>
    <w:basedOn w:val="2"/>
    <w:qFormat/>
    <w:uiPriority w:val="0"/>
    <w:pPr>
      <w:ind w:firstLine="420" w:firstLineChars="100"/>
    </w:pPr>
    <w:rPr>
      <w:rFonts w:ascii="Times New Roman" w:eastAsia="宋体"/>
    </w:rPr>
  </w:style>
  <w:style w:type="paragraph" w:styleId="26">
    <w:name w:val="Body Text First Indent 2"/>
    <w:basedOn w:val="12"/>
    <w:qFormat/>
    <w:uiPriority w:val="99"/>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Cs/>
    </w:rPr>
  </w:style>
  <w:style w:type="character" w:styleId="31">
    <w:name w:val="FollowedHyperlink"/>
    <w:basedOn w:val="29"/>
    <w:qFormat/>
    <w:uiPriority w:val="0"/>
    <w:rPr>
      <w:color w:val="800080"/>
      <w:u w:val="none"/>
    </w:rPr>
  </w:style>
  <w:style w:type="character" w:styleId="32">
    <w:name w:val="Emphasis"/>
    <w:basedOn w:val="29"/>
    <w:qFormat/>
    <w:uiPriority w:val="0"/>
  </w:style>
  <w:style w:type="character" w:styleId="33">
    <w:name w:val="Hyperlink"/>
    <w:basedOn w:val="29"/>
    <w:qFormat/>
    <w:uiPriority w:val="0"/>
    <w:rPr>
      <w:color w:val="0000FF"/>
      <w:u w:val="none"/>
    </w:rPr>
  </w:style>
  <w:style w:type="paragraph" w:customStyle="1" w:styleId="34">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List Paragraph1"/>
    <w:qFormat/>
    <w:uiPriority w:val="0"/>
    <w:pPr>
      <w:ind w:firstLine="420" w:firstLineChars="200"/>
    </w:pPr>
    <w:rPr>
      <w:rFonts w:ascii="Calibri" w:hAnsi="Calibri" w:eastAsia="宋体" w:cs="Times New Roman"/>
      <w:sz w:val="21"/>
      <w:szCs w:val="22"/>
      <w:lang w:val="en-US" w:eastAsia="zh-CN" w:bidi="ar-SA"/>
    </w:rPr>
  </w:style>
  <w:style w:type="paragraph" w:customStyle="1" w:styleId="37">
    <w:name w:val="样式 标题 2 Char + (西文) 黑体 段前: 6 磅 段后: 0.5 行 行距: 1.5 倍行距"/>
    <w:basedOn w:val="5"/>
    <w:qFormat/>
    <w:uiPriority w:val="0"/>
    <w:pPr>
      <w:spacing w:before="120" w:line="360" w:lineRule="auto"/>
    </w:pPr>
    <w:rPr>
      <w:rFonts w:ascii="黑体" w:hAnsi="黑体" w:cs="宋体"/>
      <w:sz w:val="28"/>
      <w:szCs w:val="20"/>
    </w:rPr>
  </w:style>
  <w:style w:type="paragraph" w:customStyle="1" w:styleId="38">
    <w:name w:val="样式1"/>
    <w:next w:val="3"/>
    <w:qFormat/>
    <w:uiPriority w:val="0"/>
    <w:pPr>
      <w:widowControl w:val="0"/>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39">
    <w:name w:val="p0"/>
    <w:basedOn w:val="1"/>
    <w:qFormat/>
    <w:uiPriority w:val="0"/>
    <w:pPr>
      <w:widowControl/>
    </w:pPr>
    <w:rPr>
      <w:kern w:val="0"/>
      <w:sz w:val="32"/>
      <w:szCs w:val="21"/>
    </w:rPr>
  </w:style>
  <w:style w:type="paragraph" w:customStyle="1" w:styleId="40">
    <w:name w:val="List Paragraph_2b5ace25-7929-4310-8a1a-2bf2c1be16a7"/>
    <w:basedOn w:val="1"/>
    <w:qFormat/>
    <w:uiPriority w:val="34"/>
    <w:pPr>
      <w:ind w:firstLine="420" w:firstLineChars="200"/>
    </w:pPr>
  </w:style>
  <w:style w:type="paragraph" w:customStyle="1" w:styleId="41">
    <w:name w:val="Char1"/>
    <w:basedOn w:val="1"/>
    <w:qFormat/>
    <w:uiPriority w:val="0"/>
    <w:pPr>
      <w:tabs>
        <w:tab w:val="left" w:pos="360"/>
      </w:tabs>
      <w:ind w:left="360" w:hanging="360" w:hangingChars="200"/>
    </w:pPr>
    <w:rPr>
      <w:szCs w:val="24"/>
    </w:rPr>
  </w:style>
  <w:style w:type="character" w:customStyle="1" w:styleId="42">
    <w:name w:val="font01"/>
    <w:basedOn w:val="29"/>
    <w:qFormat/>
    <w:uiPriority w:val="0"/>
    <w:rPr>
      <w:rFonts w:hint="eastAsia" w:ascii="宋体" w:hAnsi="宋体" w:eastAsia="宋体" w:cs="宋体"/>
      <w:color w:val="000000"/>
      <w:sz w:val="20"/>
      <w:szCs w:val="20"/>
      <w:u w:val="none"/>
    </w:rPr>
  </w:style>
  <w:style w:type="character" w:customStyle="1" w:styleId="43">
    <w:name w:val="proollist"/>
    <w:basedOn w:val="29"/>
    <w:qFormat/>
    <w:uiPriority w:val="0"/>
  </w:style>
  <w:style w:type="character" w:customStyle="1" w:styleId="44">
    <w:name w:val="beforeinfotext"/>
    <w:basedOn w:val="29"/>
    <w:qFormat/>
    <w:uiPriority w:val="0"/>
    <w:rPr>
      <w:color w:val="666666"/>
    </w:rPr>
  </w:style>
  <w:style w:type="character" w:customStyle="1" w:styleId="45">
    <w:name w:val="phone"/>
    <w:basedOn w:val="29"/>
    <w:qFormat/>
    <w:uiPriority w:val="0"/>
    <w:rPr>
      <w:color w:val="FF8833"/>
      <w:sz w:val="18"/>
      <w:szCs w:val="18"/>
    </w:rPr>
  </w:style>
  <w:style w:type="character" w:customStyle="1" w:styleId="46">
    <w:name w:val="number"/>
    <w:basedOn w:val="29"/>
    <w:qFormat/>
    <w:uiPriority w:val="0"/>
    <w:rPr>
      <w:color w:val="FF8833"/>
      <w:sz w:val="18"/>
      <w:szCs w:val="18"/>
    </w:rPr>
  </w:style>
  <w:style w:type="paragraph" w:customStyle="1" w:styleId="47">
    <w:name w:val="title11"/>
    <w:basedOn w:val="1"/>
    <w:qFormat/>
    <w:uiPriority w:val="0"/>
    <w:pPr>
      <w:spacing w:before="150"/>
      <w:jc w:val="left"/>
    </w:pPr>
    <w:rPr>
      <w:b/>
      <w:kern w:val="0"/>
      <w:sz w:val="22"/>
    </w:rPr>
  </w:style>
  <w:style w:type="paragraph" w:customStyle="1" w:styleId="48">
    <w:name w:val="title13"/>
    <w:basedOn w:val="1"/>
    <w:qFormat/>
    <w:uiPriority w:val="0"/>
    <w:pPr>
      <w:spacing w:before="150"/>
      <w:jc w:val="left"/>
    </w:pPr>
    <w:rPr>
      <w:b/>
      <w:kern w:val="0"/>
      <w:sz w:val="22"/>
    </w:rPr>
  </w:style>
  <w:style w:type="character" w:customStyle="1" w:styleId="49">
    <w:name w:val="stclosebtn"/>
    <w:basedOn w:val="29"/>
    <w:qFormat/>
    <w:uiPriority w:val="0"/>
  </w:style>
  <w:style w:type="paragraph" w:customStyle="1" w:styleId="50">
    <w:name w:val="样式 样式 样式 (中文) 仿宋_GB2312 四号 黑色 行距: 固定值 28.5 磅 首行缩进:  1.92 字符 + 首行..."/>
    <w:basedOn w:val="1"/>
    <w:qFormat/>
    <w:uiPriority w:val="0"/>
    <w:pPr>
      <w:widowControl/>
      <w:ind w:firstLine="200" w:firstLineChars="200"/>
      <w:jc w:val="left"/>
    </w:pPr>
    <w:rPr>
      <w:rFonts w:eastAsia="仿宋_GB2312" w:cs="宋体"/>
      <w:color w:val="000000"/>
      <w:kern w:val="0"/>
      <w:sz w:val="28"/>
      <w:szCs w:val="20"/>
    </w:rPr>
  </w:style>
  <w:style w:type="paragraph" w:customStyle="1" w:styleId="51">
    <w:name w:val="列出段落11"/>
    <w:basedOn w:val="1"/>
    <w:qFormat/>
    <w:uiPriority w:val="34"/>
    <w:pPr>
      <w:ind w:firstLine="420" w:firstLineChars="200"/>
    </w:pPr>
    <w:rPr>
      <w:rFonts w:ascii="Calibri" w:hAnsi="Calibri"/>
    </w:rPr>
  </w:style>
  <w:style w:type="paragraph" w:customStyle="1" w:styleId="52">
    <w:name w:val="Body text|1"/>
    <w:basedOn w:val="1"/>
    <w:qFormat/>
    <w:uiPriority w:val="0"/>
    <w:pPr>
      <w:spacing w:line="454" w:lineRule="auto"/>
      <w:ind w:firstLine="400"/>
    </w:pPr>
    <w:rPr>
      <w:rFonts w:ascii="宋体" w:hAnsi="宋体" w:cs="宋体"/>
      <w:sz w:val="26"/>
      <w:szCs w:val="26"/>
      <w:lang w:val="zh-TW" w:eastAsia="zh-TW" w:bidi="zh-TW"/>
    </w:rPr>
  </w:style>
  <w:style w:type="paragraph" w:customStyle="1" w:styleId="53">
    <w:name w:val="标题 21"/>
    <w:basedOn w:val="34"/>
    <w:next w:val="34"/>
    <w:qFormat/>
    <w:uiPriority w:val="0"/>
    <w:pPr>
      <w:ind w:left="270" w:hanging="270"/>
      <w:jc w:val="left"/>
      <w:outlineLvl w:val="1"/>
    </w:pPr>
    <w:rPr>
      <w:rFonts w:ascii="Arial" w:hAnsi="Arial" w:cs="宋体"/>
      <w:kern w:val="0"/>
      <w:sz w:val="32"/>
      <w:szCs w:val="32"/>
      <w:lang w:val="zh-CN"/>
    </w:rPr>
  </w:style>
  <w:style w:type="character" w:customStyle="1" w:styleId="54">
    <w:name w:val="批注框文本 Char"/>
    <w:basedOn w:val="29"/>
    <w:link w:val="1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76F0C-4DDF-4ED7-B905-3AD6FC10F830}">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93</Pages>
  <Words>8670</Words>
  <Characters>49420</Characters>
  <Lines>411</Lines>
  <Paragraphs>115</Paragraphs>
  <TotalTime>11</TotalTime>
  <ScaleCrop>false</ScaleCrop>
  <LinksUpToDate>false</LinksUpToDate>
  <CharactersWithSpaces>57975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2023-11-13T06:24:00Z</dcterms:created>
  <dc:creator>天海1415003450</dc:creator>
  <cp:lastModifiedBy>文档存本地丢失不负责</cp:lastModifiedBy>
  <cp:lastPrinted>2018-10-16T02:20:00Z</cp:lastPrinted>
  <dcterms:modified xsi:type="dcterms:W3CDTF">2023-11-23T11:58:21Z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E1A06406AAF945CE94068A698B576647_13</vt:lpwstr>
  </property>
</Properties>
</file>