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14" w:rsidRDefault="00542814" w:rsidP="00542814">
      <w:pPr>
        <w:spacing w:before="338" w:line="224" w:lineRule="auto"/>
        <w:ind w:firstLineChars="834" w:firstLine="2736"/>
        <w:rPr>
          <w:rFonts w:ascii="方正小标宋简体" w:eastAsia="方正小标宋简体" w:hAnsi="方正小标宋简体" w:cs="方正小标宋简体"/>
          <w:color w:val="auto"/>
          <w:sz w:val="31"/>
          <w:szCs w:val="31"/>
          <w:lang w:eastAsia="zh-CN"/>
        </w:rPr>
      </w:pPr>
      <w:r>
        <w:rPr>
          <w:rFonts w:ascii="方正小标宋简体" w:eastAsia="方正小标宋简体" w:hAnsi="方正小标宋简体" w:cs="方正小标宋简体" w:hint="eastAsia"/>
          <w:color w:val="auto"/>
          <w:spacing w:val="9"/>
          <w:sz w:val="31"/>
          <w:szCs w:val="31"/>
          <w:lang w:eastAsia="zh-CN"/>
        </w:rPr>
        <w:t>采购内容及商务要求</w:t>
      </w:r>
    </w:p>
    <w:p w:rsidR="00542814" w:rsidRDefault="00542814" w:rsidP="00542814">
      <w:pPr>
        <w:spacing w:line="500" w:lineRule="exact"/>
        <w:rPr>
          <w:rFonts w:ascii="黑体" w:eastAsia="黑体" w:hAnsi="黑体" w:cs="黑体"/>
          <w:bCs/>
          <w:color w:val="auto"/>
          <w:sz w:val="32"/>
          <w:szCs w:val="32"/>
          <w:shd w:val="clear" w:color="auto" w:fill="FFFFFF"/>
          <w:lang w:eastAsia="zh-CN"/>
        </w:rPr>
      </w:pPr>
      <w:r>
        <w:rPr>
          <w:rFonts w:ascii="黑体" w:eastAsia="黑体" w:hAnsi="黑体" w:cs="黑体" w:hint="eastAsia"/>
          <w:bCs/>
          <w:color w:val="auto"/>
          <w:sz w:val="32"/>
          <w:szCs w:val="32"/>
          <w:shd w:val="clear" w:color="auto" w:fill="FFFFFF"/>
          <w:lang w:eastAsia="zh-CN"/>
        </w:rPr>
        <w:t>一、主要依据</w:t>
      </w:r>
    </w:p>
    <w:p w:rsidR="00542814" w:rsidRDefault="00542814" w:rsidP="00542814">
      <w:pPr>
        <w:spacing w:line="500" w:lineRule="exact"/>
        <w:ind w:leftChars="262" w:left="550" w:firstLineChars="200" w:firstLine="640"/>
        <w:rPr>
          <w:rFonts w:ascii="仿宋_GB2312" w:eastAsia="仿宋_GB2312" w:hAnsi="仿宋" w:cs="仿宋"/>
          <w:color w:val="auto"/>
          <w:sz w:val="32"/>
          <w:szCs w:val="32"/>
          <w:lang w:eastAsia="zh-CN"/>
        </w:rPr>
      </w:pPr>
      <w:r>
        <w:rPr>
          <w:rFonts w:ascii="仿宋_GB2312" w:eastAsia="仿宋_GB2312" w:hAnsi="仿宋" w:cs="仿宋" w:hint="eastAsia"/>
          <w:color w:val="auto"/>
          <w:sz w:val="32"/>
          <w:szCs w:val="32"/>
          <w:lang w:eastAsia="zh-CN"/>
        </w:rPr>
        <w:t>依据（陕政发【</w:t>
      </w:r>
      <w:r>
        <w:rPr>
          <w:rFonts w:ascii="仿宋_GB2312" w:eastAsia="仿宋_GB2312" w:hAnsi="仿宋" w:cs="仿宋"/>
          <w:color w:val="auto"/>
          <w:sz w:val="32"/>
          <w:szCs w:val="32"/>
          <w:lang w:eastAsia="zh-CN"/>
        </w:rPr>
        <w:t>2018</w:t>
      </w:r>
      <w:r>
        <w:rPr>
          <w:rFonts w:ascii="仿宋_GB2312" w:eastAsia="仿宋_GB2312" w:hAnsi="仿宋" w:cs="仿宋" w:hint="eastAsia"/>
          <w:color w:val="auto"/>
          <w:sz w:val="32"/>
          <w:szCs w:val="32"/>
          <w:lang w:eastAsia="zh-CN"/>
        </w:rPr>
        <w:t>】</w:t>
      </w:r>
      <w:r>
        <w:rPr>
          <w:rFonts w:ascii="仿宋_GB2312" w:eastAsia="仿宋_GB2312" w:hAnsi="仿宋" w:cs="仿宋"/>
          <w:color w:val="auto"/>
          <w:sz w:val="32"/>
          <w:szCs w:val="32"/>
          <w:lang w:eastAsia="zh-CN"/>
        </w:rPr>
        <w:t>6</w:t>
      </w:r>
      <w:r>
        <w:rPr>
          <w:rFonts w:ascii="仿宋_GB2312" w:eastAsia="仿宋_GB2312" w:hAnsi="仿宋" w:cs="仿宋" w:hint="eastAsia"/>
          <w:color w:val="auto"/>
          <w:sz w:val="32"/>
          <w:szCs w:val="32"/>
          <w:lang w:eastAsia="zh-CN"/>
        </w:rPr>
        <w:t>号）；（陕教规范【</w:t>
      </w:r>
      <w:r>
        <w:rPr>
          <w:rFonts w:ascii="仿宋_GB2312" w:eastAsia="仿宋_GB2312" w:hAnsi="仿宋" w:cs="仿宋"/>
          <w:color w:val="auto"/>
          <w:sz w:val="32"/>
          <w:szCs w:val="32"/>
          <w:lang w:eastAsia="zh-CN"/>
        </w:rPr>
        <w:t>2017</w:t>
      </w:r>
      <w:r>
        <w:rPr>
          <w:rFonts w:ascii="仿宋_GB2312" w:eastAsia="仿宋_GB2312" w:hAnsi="仿宋" w:cs="仿宋" w:hint="eastAsia"/>
          <w:color w:val="auto"/>
          <w:sz w:val="32"/>
          <w:szCs w:val="32"/>
          <w:lang w:eastAsia="zh-CN"/>
        </w:rPr>
        <w:t>】</w:t>
      </w:r>
      <w:r>
        <w:rPr>
          <w:rFonts w:ascii="仿宋_GB2312" w:eastAsia="仿宋_GB2312" w:hAnsi="仿宋" w:cs="仿宋"/>
          <w:color w:val="auto"/>
          <w:sz w:val="32"/>
          <w:szCs w:val="32"/>
          <w:lang w:eastAsia="zh-CN"/>
        </w:rPr>
        <w:t>7</w:t>
      </w:r>
      <w:r>
        <w:rPr>
          <w:rFonts w:ascii="仿宋_GB2312" w:eastAsia="仿宋_GB2312" w:hAnsi="仿宋" w:cs="仿宋" w:hint="eastAsia"/>
          <w:color w:val="auto"/>
          <w:sz w:val="32"/>
          <w:szCs w:val="32"/>
          <w:lang w:eastAsia="zh-CN"/>
        </w:rPr>
        <w:t>号）；（国办发【</w:t>
      </w:r>
      <w:r>
        <w:rPr>
          <w:rFonts w:ascii="仿宋_GB2312" w:eastAsia="仿宋_GB2312" w:hAnsi="仿宋" w:cs="仿宋"/>
          <w:color w:val="auto"/>
          <w:sz w:val="32"/>
          <w:szCs w:val="32"/>
          <w:lang w:eastAsia="zh-CN"/>
        </w:rPr>
        <w:t>2017</w:t>
      </w:r>
      <w:r>
        <w:rPr>
          <w:rFonts w:ascii="仿宋_GB2312" w:eastAsia="仿宋_GB2312" w:hAnsi="仿宋" w:cs="仿宋" w:hint="eastAsia"/>
          <w:color w:val="auto"/>
          <w:sz w:val="32"/>
          <w:szCs w:val="32"/>
          <w:lang w:eastAsia="zh-CN"/>
        </w:rPr>
        <w:t>】</w:t>
      </w:r>
      <w:r>
        <w:rPr>
          <w:rFonts w:ascii="仿宋_GB2312" w:eastAsia="仿宋_GB2312" w:hAnsi="仿宋" w:cs="仿宋"/>
          <w:color w:val="auto"/>
          <w:sz w:val="32"/>
          <w:szCs w:val="32"/>
          <w:lang w:eastAsia="zh-CN"/>
        </w:rPr>
        <w:t>35</w:t>
      </w:r>
      <w:r>
        <w:rPr>
          <w:rFonts w:ascii="仿宋_GB2312" w:eastAsia="仿宋_GB2312" w:hAnsi="仿宋" w:cs="仿宋" w:hint="eastAsia"/>
          <w:color w:val="auto"/>
          <w:sz w:val="32"/>
          <w:szCs w:val="32"/>
          <w:lang w:eastAsia="zh-CN"/>
        </w:rPr>
        <w:t>号）；（陕教规范【</w:t>
      </w:r>
      <w:r>
        <w:rPr>
          <w:rFonts w:ascii="仿宋_GB2312" w:eastAsia="仿宋_GB2312" w:hAnsi="仿宋" w:cs="仿宋"/>
          <w:color w:val="auto"/>
          <w:sz w:val="32"/>
          <w:szCs w:val="32"/>
          <w:lang w:eastAsia="zh-CN"/>
        </w:rPr>
        <w:t>2018</w:t>
      </w:r>
      <w:r>
        <w:rPr>
          <w:rFonts w:ascii="仿宋_GB2312" w:eastAsia="仿宋_GB2312" w:hAnsi="仿宋" w:cs="仿宋" w:hint="eastAsia"/>
          <w:color w:val="auto"/>
          <w:sz w:val="32"/>
          <w:szCs w:val="32"/>
          <w:lang w:eastAsia="zh-CN"/>
        </w:rPr>
        <w:t>】</w:t>
      </w:r>
      <w:r>
        <w:rPr>
          <w:rFonts w:ascii="仿宋_GB2312" w:eastAsia="仿宋_GB2312" w:hAnsi="仿宋" w:cs="仿宋"/>
          <w:color w:val="auto"/>
          <w:sz w:val="32"/>
          <w:szCs w:val="32"/>
          <w:lang w:eastAsia="zh-CN"/>
        </w:rPr>
        <w:t>4</w:t>
      </w:r>
      <w:r>
        <w:rPr>
          <w:rFonts w:ascii="仿宋_GB2312" w:eastAsia="仿宋_GB2312" w:hAnsi="仿宋" w:cs="仿宋" w:hint="eastAsia"/>
          <w:color w:val="auto"/>
          <w:sz w:val="32"/>
          <w:szCs w:val="32"/>
          <w:lang w:eastAsia="zh-CN"/>
        </w:rPr>
        <w:t>号）、《柞水县县长办公会议纪要》【</w:t>
      </w:r>
      <w:r>
        <w:rPr>
          <w:rFonts w:ascii="仿宋_GB2312" w:eastAsia="仿宋_GB2312" w:hAnsi="仿宋" w:cs="仿宋"/>
          <w:color w:val="auto"/>
          <w:sz w:val="32"/>
          <w:szCs w:val="32"/>
          <w:lang w:eastAsia="zh-CN"/>
        </w:rPr>
        <w:t>2019</w:t>
      </w:r>
      <w:r>
        <w:rPr>
          <w:rFonts w:ascii="仿宋_GB2312" w:eastAsia="仿宋_GB2312" w:hAnsi="仿宋" w:cs="仿宋" w:hint="eastAsia"/>
          <w:color w:val="auto"/>
          <w:sz w:val="32"/>
          <w:szCs w:val="32"/>
          <w:lang w:eastAsia="zh-CN"/>
        </w:rPr>
        <w:t>】</w:t>
      </w:r>
      <w:r>
        <w:rPr>
          <w:rFonts w:ascii="仿宋_GB2312" w:eastAsia="仿宋_GB2312" w:hAnsi="仿宋" w:cs="仿宋"/>
          <w:color w:val="auto"/>
          <w:sz w:val="32"/>
          <w:szCs w:val="32"/>
          <w:lang w:eastAsia="zh-CN"/>
        </w:rPr>
        <w:t>1</w:t>
      </w:r>
      <w:r>
        <w:rPr>
          <w:rFonts w:ascii="仿宋_GB2312" w:eastAsia="仿宋_GB2312" w:hAnsi="仿宋" w:cs="仿宋" w:hint="eastAsia"/>
          <w:color w:val="auto"/>
          <w:sz w:val="32"/>
          <w:szCs w:val="32"/>
          <w:lang w:eastAsia="zh-CN"/>
        </w:rPr>
        <w:t>号）等相关文件精神。</w:t>
      </w:r>
    </w:p>
    <w:p w:rsidR="00542814" w:rsidRDefault="00542814" w:rsidP="00542814">
      <w:pPr>
        <w:spacing w:line="500" w:lineRule="exact"/>
        <w:rPr>
          <w:rFonts w:ascii="黑体" w:eastAsia="黑体" w:hAnsi="黑体" w:cs="黑体"/>
          <w:bCs/>
          <w:color w:val="auto"/>
          <w:sz w:val="32"/>
          <w:szCs w:val="32"/>
          <w:lang w:val="zh-CN"/>
        </w:rPr>
      </w:pPr>
      <w:r>
        <w:rPr>
          <w:rFonts w:ascii="黑体" w:eastAsia="黑体" w:hAnsi="黑体" w:cs="黑体" w:hint="eastAsia"/>
          <w:bCs/>
          <w:color w:val="auto"/>
          <w:sz w:val="32"/>
          <w:szCs w:val="32"/>
          <w:lang w:val="zh-CN"/>
        </w:rPr>
        <w:t>二、管理原则</w:t>
      </w:r>
    </w:p>
    <w:p w:rsidR="00542814" w:rsidRDefault="00542814" w:rsidP="00542814">
      <w:pPr>
        <w:widowControl w:val="0"/>
        <w:numPr>
          <w:ilvl w:val="0"/>
          <w:numId w:val="1"/>
        </w:numPr>
        <w:kinsoku/>
        <w:autoSpaceDE/>
        <w:autoSpaceDN/>
        <w:adjustRightInd/>
        <w:snapToGrid/>
        <w:spacing w:line="500" w:lineRule="exact"/>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pacing w:val="-14"/>
          <w:sz w:val="32"/>
          <w:szCs w:val="32"/>
          <w:lang w:eastAsia="zh-CN"/>
        </w:rPr>
        <w:t>按照中省市有关文件精神要求，结合我县实际，</w:t>
      </w:r>
      <w:r>
        <w:rPr>
          <w:rFonts w:ascii="仿宋_GB2312" w:eastAsia="仿宋_GB2312" w:hAnsi="仿宋_GB2312" w:cs="仿宋_GB2312" w:hint="eastAsia"/>
          <w:color w:val="auto"/>
          <w:sz w:val="32"/>
          <w:szCs w:val="32"/>
          <w:lang w:eastAsia="zh-CN"/>
        </w:rPr>
        <w:t>采用“政府购买服务，保安公司派驻，教育部门管理”的模式运行。</w:t>
      </w:r>
    </w:p>
    <w:p w:rsidR="00542814" w:rsidRDefault="00542814" w:rsidP="00542814">
      <w:pPr>
        <w:pStyle w:val="a3"/>
        <w:widowControl w:val="0"/>
        <w:shd w:val="clear" w:color="auto" w:fill="FFFFFF"/>
        <w:spacing w:before="0" w:beforeAutospacing="0" w:after="0" w:afterAutospacing="0" w:line="500" w:lineRule="exact"/>
        <w:rPr>
          <w:rFonts w:ascii="黑体" w:eastAsia="黑体" w:hAnsi="黑体" w:cs="黑体"/>
          <w:bCs/>
          <w:sz w:val="32"/>
          <w:szCs w:val="32"/>
          <w:shd w:val="clear" w:color="auto" w:fill="FFFFFF"/>
        </w:rPr>
      </w:pPr>
      <w:r>
        <w:rPr>
          <w:rFonts w:ascii="黑体" w:eastAsia="黑体" w:hAnsi="黑体" w:cs="黑体" w:hint="eastAsia"/>
          <w:bCs/>
          <w:sz w:val="32"/>
          <w:szCs w:val="32"/>
          <w:shd w:val="clear" w:color="auto" w:fill="FFFFFF"/>
        </w:rPr>
        <w:t>三、采购内容</w:t>
      </w:r>
    </w:p>
    <w:p w:rsidR="00542814" w:rsidRDefault="00542814" w:rsidP="00542814">
      <w:pPr>
        <w:pStyle w:val="a3"/>
        <w:widowControl w:val="0"/>
        <w:shd w:val="clear" w:color="auto" w:fill="FFFFFF"/>
        <w:spacing w:before="0" w:beforeAutospacing="0" w:after="0" w:afterAutospacing="0" w:line="500" w:lineRule="exact"/>
        <w:ind w:left="551"/>
        <w:rPr>
          <w:rFonts w:ascii="仿宋_GB2312" w:eastAsia="仿宋_GB2312" w:hAnsi="仿宋_GB2312" w:cs="仿宋_GB2312"/>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通过政府公开招标采购程序进行，选定一家</w:t>
      </w:r>
      <w:r>
        <w:rPr>
          <w:rFonts w:ascii="仿宋_GB2312" w:eastAsia="仿宋_GB2312" w:hAnsi="仿宋_GB2312" w:cs="仿宋_GB2312" w:hint="eastAsia"/>
          <w:sz w:val="32"/>
          <w:szCs w:val="32"/>
        </w:rPr>
        <w:t>有实力的保安公司管理。</w:t>
      </w:r>
    </w:p>
    <w:p w:rsidR="00542814" w:rsidRDefault="00542814" w:rsidP="00542814">
      <w:pPr>
        <w:pStyle w:val="a3"/>
        <w:widowControl w:val="0"/>
        <w:shd w:val="clear" w:color="auto" w:fill="FFFFFF"/>
        <w:spacing w:before="0" w:beforeAutospacing="0" w:after="0" w:afterAutospacing="0" w:line="500" w:lineRule="exact"/>
        <w:ind w:firstLineChars="150" w:firstLine="480"/>
        <w:rPr>
          <w:rFonts w:ascii="仿宋_GB2312" w:eastAsia="仿宋_GB2312" w:hAnsi="仿宋_GB2312" w:cs="仿宋_GB2312"/>
          <w:spacing w:val="-4"/>
          <w:sz w:val="32"/>
          <w:szCs w:val="32"/>
        </w:rPr>
      </w:pPr>
      <w:r>
        <w:rPr>
          <w:rFonts w:ascii="仿宋_GB2312" w:eastAsia="仿宋_GB2312" w:hAnsi="仿宋_GB2312" w:cs="仿宋_GB2312"/>
          <w:sz w:val="32"/>
          <w:szCs w:val="32"/>
        </w:rPr>
        <w:t>2</w:t>
      </w:r>
      <w:r>
        <w:rPr>
          <w:rFonts w:ascii="仿宋_GB2312" w:eastAsia="仿宋_GB2312" w:hAnsi="方正小标宋简体" w:cs="方正小标宋简体"/>
          <w:bCs/>
          <w:sz w:val="32"/>
          <w:szCs w:val="32"/>
        </w:rPr>
        <w:t>.</w:t>
      </w:r>
      <w:r>
        <w:rPr>
          <w:rFonts w:ascii="仿宋_GB2312" w:eastAsia="仿宋_GB2312" w:hAnsi="仿宋_GB2312" w:cs="仿宋_GB2312" w:hint="eastAsia"/>
          <w:sz w:val="32"/>
          <w:szCs w:val="32"/>
        </w:rPr>
        <w:t>服务地点：</w:t>
      </w:r>
      <w:r>
        <w:rPr>
          <w:rFonts w:ascii="仿宋_GB2312" w:eastAsia="仿宋_GB2312" w:hAnsi="仿宋_GB2312" w:cs="仿宋_GB2312" w:hint="eastAsia"/>
          <w:spacing w:val="-4"/>
          <w:sz w:val="32"/>
          <w:szCs w:val="32"/>
        </w:rPr>
        <w:t>柞水中学、柞水职专、城区一中、城区二中、城区一小、城区一幼、城区二小、城区三小、城区三幼、凤凰镇中心小学、实验中学。</w:t>
      </w:r>
    </w:p>
    <w:p w:rsidR="00542814" w:rsidRDefault="00542814" w:rsidP="00542814">
      <w:pPr>
        <w:pStyle w:val="a3"/>
        <w:widowControl w:val="0"/>
        <w:shd w:val="clear" w:color="auto" w:fill="FFFFFF"/>
        <w:spacing w:before="0" w:beforeAutospacing="0" w:after="0" w:afterAutospacing="0" w:line="500" w:lineRule="exact"/>
        <w:ind w:firstLineChars="100" w:firstLine="320"/>
        <w:rPr>
          <w:rFonts w:ascii="仿宋_GB2312" w:eastAsia="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服务时限：两年。</w:t>
      </w:r>
    </w:p>
    <w:p w:rsidR="00542814" w:rsidRDefault="00542814" w:rsidP="00542814">
      <w:pPr>
        <w:pStyle w:val="a3"/>
        <w:widowControl w:val="0"/>
        <w:spacing w:before="0" w:beforeAutospacing="0" w:after="0" w:afterAutospacing="0" w:line="500" w:lineRule="exact"/>
        <w:ind w:firstLineChars="100" w:firstLine="320"/>
        <w:rPr>
          <w:rFonts w:ascii="仿宋_GB2312" w:eastAsia="仿宋_GB2312" w:hAnsi="方正小标宋简体" w:cs="方正小标宋简体"/>
          <w:bCs/>
          <w:sz w:val="32"/>
          <w:szCs w:val="32"/>
        </w:rPr>
      </w:pPr>
      <w:r>
        <w:rPr>
          <w:rFonts w:ascii="仿宋_GB2312" w:eastAsia="仿宋_GB2312" w:hAnsi="方正小标宋简体" w:cs="方正小标宋简体"/>
          <w:bCs/>
          <w:sz w:val="32"/>
          <w:szCs w:val="32"/>
        </w:rPr>
        <w:t>4.</w:t>
      </w:r>
      <w:r>
        <w:rPr>
          <w:rFonts w:ascii="仿宋_GB2312" w:eastAsia="仿宋_GB2312" w:hAnsi="方正小标宋简体" w:cs="方正小标宋简体" w:hint="eastAsia"/>
          <w:bCs/>
          <w:sz w:val="32"/>
          <w:szCs w:val="32"/>
        </w:rPr>
        <w:t>服务内容：</w:t>
      </w:r>
    </w:p>
    <w:p w:rsidR="00542814" w:rsidRDefault="00542814" w:rsidP="00542814">
      <w:pPr>
        <w:pStyle w:val="a3"/>
        <w:widowControl w:val="0"/>
        <w:spacing w:before="0" w:beforeAutospacing="0" w:after="0" w:afterAutospacing="0" w:line="500" w:lineRule="exact"/>
        <w:ind w:firstLineChars="200" w:firstLine="640"/>
        <w:rPr>
          <w:rFonts w:ascii="仿宋_GB2312" w:eastAsia="仿宋_GB2312" w:hAnsi="仿宋_GB2312" w:cs="仿宋_GB2312"/>
          <w:sz w:val="32"/>
          <w:szCs w:val="32"/>
        </w:rPr>
      </w:pPr>
      <w:r>
        <w:rPr>
          <w:rFonts w:ascii="仿宋_GB2312" w:eastAsia="仿宋_GB2312" w:hAnsi="方正小标宋简体" w:cs="方正小标宋简体" w:hint="eastAsia"/>
          <w:bCs/>
          <w:sz w:val="32"/>
          <w:szCs w:val="32"/>
        </w:rPr>
        <w:t>①</w:t>
      </w:r>
      <w:r>
        <w:rPr>
          <w:rFonts w:ascii="仿宋_GB2312" w:eastAsia="仿宋_GB2312" w:hAnsi="仿宋" w:cs="仿宋" w:hint="eastAsia"/>
          <w:bCs/>
          <w:sz w:val="32"/>
          <w:szCs w:val="32"/>
        </w:rPr>
        <w:t>负责</w:t>
      </w:r>
      <w:r>
        <w:rPr>
          <w:rFonts w:ascii="仿宋_GB2312" w:eastAsia="仿宋_GB2312" w:hAnsi="仿宋_GB2312" w:cs="仿宋_GB2312" w:hint="eastAsia"/>
          <w:sz w:val="32"/>
          <w:szCs w:val="32"/>
        </w:rPr>
        <w:t>参与校内突发事件处置、灾害预防、火灾扑救、大型活动安保等任务。</w:t>
      </w:r>
    </w:p>
    <w:p w:rsidR="00542814" w:rsidRDefault="00542814" w:rsidP="00542814">
      <w:pPr>
        <w:pStyle w:val="a3"/>
        <w:widowControl w:val="0"/>
        <w:spacing w:before="0" w:beforeAutospacing="0" w:after="0" w:afterAutospacing="0" w:line="500" w:lineRule="exact"/>
        <w:ind w:firstLineChars="200" w:firstLine="640"/>
        <w:rPr>
          <w:rFonts w:ascii="仿宋_GB2312" w:eastAsia="仿宋_GB2312" w:hAnsi="仿宋_GB2312" w:cs="仿宋_GB2312"/>
          <w:sz w:val="32"/>
          <w:szCs w:val="32"/>
        </w:rPr>
      </w:pPr>
      <w:r>
        <w:rPr>
          <w:rFonts w:ascii="仿宋_GB2312" w:eastAsia="仿宋_GB2312" w:hAnsi="仿宋" w:cs="仿宋" w:hint="eastAsia"/>
          <w:bCs/>
          <w:sz w:val="32"/>
          <w:szCs w:val="32"/>
        </w:rPr>
        <w:t>②</w:t>
      </w:r>
      <w:r>
        <w:rPr>
          <w:rFonts w:ascii="仿宋_GB2312" w:eastAsia="仿宋_GB2312" w:hAnsi="仿宋_GB2312" w:cs="仿宋_GB2312" w:hint="eastAsia"/>
          <w:sz w:val="32"/>
          <w:szCs w:val="32"/>
        </w:rPr>
        <w:t>坚持</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小时门卫、巡逻等安保工作；坚持上放学等重点时段持械在岗。</w:t>
      </w:r>
    </w:p>
    <w:p w:rsidR="00542814" w:rsidRDefault="00542814" w:rsidP="00542814">
      <w:pPr>
        <w:pStyle w:val="a3"/>
        <w:widowControl w:val="0"/>
        <w:spacing w:before="0" w:beforeAutospacing="0" w:after="0" w:afterAutospacing="0" w:line="500" w:lineRule="exact"/>
        <w:ind w:firstLineChars="200" w:firstLine="640"/>
        <w:rPr>
          <w:rFonts w:ascii="仿宋_GB2312" w:eastAsia="仿宋_GB2312" w:hAnsi="方正小标宋简体" w:cs="方正小标宋简体"/>
          <w:bCs/>
          <w:sz w:val="32"/>
          <w:szCs w:val="32"/>
        </w:rPr>
      </w:pPr>
      <w:r>
        <w:rPr>
          <w:rFonts w:ascii="仿宋_GB2312" w:eastAsia="仿宋_GB2312" w:hAnsi="仿宋" w:cs="仿宋" w:hint="eastAsia"/>
          <w:bCs/>
          <w:sz w:val="32"/>
          <w:szCs w:val="32"/>
        </w:rPr>
        <w:t>③</w:t>
      </w:r>
      <w:r>
        <w:rPr>
          <w:rFonts w:ascii="仿宋_GB2312" w:eastAsia="仿宋_GB2312" w:hAnsi="仿宋_GB2312" w:cs="仿宋_GB2312" w:hint="eastAsia"/>
          <w:sz w:val="32"/>
          <w:szCs w:val="32"/>
        </w:rPr>
        <w:t>其他属于保安服务范围内的工作及学校临时交办的其他任务。</w:t>
      </w:r>
    </w:p>
    <w:p w:rsidR="00542814" w:rsidRDefault="00542814" w:rsidP="00542814">
      <w:pPr>
        <w:spacing w:line="500" w:lineRule="exact"/>
        <w:rPr>
          <w:rFonts w:ascii="仿宋_GB2312" w:eastAsia="仿宋_GB2312" w:hAnsi="仿宋_GB2312" w:cs="仿宋_GB2312"/>
          <w:bCs/>
          <w:color w:val="auto"/>
          <w:sz w:val="32"/>
          <w:szCs w:val="32"/>
          <w:lang w:eastAsia="zh-CN"/>
        </w:rPr>
      </w:pPr>
      <w:r>
        <w:rPr>
          <w:rFonts w:ascii="黑体" w:eastAsia="黑体" w:hAnsi="黑体" w:cs="黑体" w:hint="eastAsia"/>
          <w:b/>
          <w:bCs/>
          <w:color w:val="auto"/>
          <w:sz w:val="32"/>
          <w:szCs w:val="32"/>
          <w:lang w:eastAsia="zh-CN"/>
        </w:rPr>
        <w:t>四、基本要求。</w:t>
      </w:r>
      <w:r>
        <w:rPr>
          <w:rFonts w:ascii="仿宋_GB2312" w:eastAsia="仿宋_GB2312" w:hAnsi="仿宋_GB2312" w:cs="仿宋_GB2312" w:hint="eastAsia"/>
          <w:bCs/>
          <w:color w:val="auto"/>
          <w:sz w:val="32"/>
          <w:szCs w:val="32"/>
          <w:lang w:eastAsia="zh-CN"/>
        </w:rPr>
        <w:t>共需保安人数60人。</w:t>
      </w:r>
    </w:p>
    <w:p w:rsidR="00542814" w:rsidRDefault="00542814" w:rsidP="00542814">
      <w:pPr>
        <w:spacing w:line="500" w:lineRule="exact"/>
        <w:ind w:left="551"/>
        <w:rPr>
          <w:rFonts w:ascii="仿宋_GB2312" w:eastAsia="仿宋_GB2312" w:hAnsi="仿宋_GB2312" w:cs="仿宋_GB2312"/>
          <w:b/>
          <w:bCs/>
          <w:color w:val="auto"/>
          <w:sz w:val="32"/>
          <w:szCs w:val="32"/>
          <w:lang w:eastAsia="zh-CN"/>
        </w:rPr>
      </w:pPr>
      <w:r>
        <w:rPr>
          <w:rFonts w:ascii="仿宋_GB2312" w:eastAsia="仿宋_GB2312" w:hAnsi="仿宋_GB2312" w:cs="仿宋_GB2312"/>
          <w:b/>
          <w:bCs/>
          <w:color w:val="auto"/>
          <w:sz w:val="32"/>
          <w:szCs w:val="32"/>
          <w:lang w:eastAsia="zh-CN"/>
        </w:rPr>
        <w:t>1.</w:t>
      </w:r>
      <w:r>
        <w:rPr>
          <w:rFonts w:ascii="仿宋_GB2312" w:eastAsia="仿宋_GB2312" w:hAnsi="仿宋_GB2312" w:cs="仿宋_GB2312" w:hint="eastAsia"/>
          <w:b/>
          <w:bCs/>
          <w:color w:val="auto"/>
          <w:sz w:val="32"/>
          <w:szCs w:val="32"/>
          <w:lang w:eastAsia="zh-CN"/>
        </w:rPr>
        <w:t>对保安人员要求：</w:t>
      </w:r>
    </w:p>
    <w:p w:rsidR="00542814" w:rsidRDefault="00542814" w:rsidP="00542814">
      <w:pPr>
        <w:spacing w:line="500" w:lineRule="exact"/>
        <w:ind w:left="551"/>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①初中以上文化程度，身体健康、体貌端正，品行良好，年龄在</w:t>
      </w:r>
      <w:r w:rsidRPr="00542814">
        <w:rPr>
          <w:rFonts w:ascii="仿宋_GB2312" w:eastAsia="仿宋_GB2312" w:hAnsi="仿宋_GB2312" w:cs="仿宋_GB2312" w:hint="eastAsia"/>
          <w:color w:val="000000" w:themeColor="text1"/>
          <w:sz w:val="32"/>
          <w:szCs w:val="32"/>
          <w:lang w:eastAsia="zh-CN"/>
        </w:rPr>
        <w:t>18</w:t>
      </w:r>
      <w:r w:rsidRPr="00542814">
        <w:rPr>
          <w:rFonts w:ascii="仿宋_GB2312" w:eastAsia="仿宋_GB2312" w:hAnsi="仿宋_GB2312" w:cs="仿宋_GB2312"/>
          <w:color w:val="000000" w:themeColor="text1"/>
          <w:sz w:val="32"/>
          <w:szCs w:val="32"/>
          <w:lang w:eastAsia="zh-CN"/>
        </w:rPr>
        <w:t>—</w:t>
      </w:r>
      <w:r w:rsidRPr="00542814">
        <w:rPr>
          <w:rFonts w:ascii="仿宋_GB2312" w:eastAsia="仿宋_GB2312" w:hAnsi="仿宋_GB2312" w:cs="仿宋_GB2312" w:hint="eastAsia"/>
          <w:color w:val="000000" w:themeColor="text1"/>
          <w:sz w:val="32"/>
          <w:szCs w:val="32"/>
          <w:lang w:eastAsia="zh-CN"/>
        </w:rPr>
        <w:t>6</w:t>
      </w:r>
      <w:r w:rsidRPr="00542814">
        <w:rPr>
          <w:rFonts w:ascii="仿宋_GB2312" w:eastAsia="仿宋_GB2312" w:hAnsi="仿宋_GB2312" w:cs="仿宋_GB2312"/>
          <w:color w:val="000000" w:themeColor="text1"/>
          <w:sz w:val="32"/>
          <w:szCs w:val="32"/>
          <w:lang w:eastAsia="zh-CN"/>
        </w:rPr>
        <w:t>0</w:t>
      </w:r>
      <w:r>
        <w:rPr>
          <w:rFonts w:ascii="仿宋_GB2312" w:eastAsia="仿宋_GB2312" w:hAnsi="仿宋_GB2312" w:cs="仿宋_GB2312" w:hint="eastAsia"/>
          <w:color w:val="auto"/>
          <w:sz w:val="32"/>
          <w:szCs w:val="32"/>
          <w:lang w:eastAsia="zh-CN"/>
        </w:rPr>
        <w:t>周岁、身高</w:t>
      </w:r>
      <w:r>
        <w:rPr>
          <w:rFonts w:ascii="仿宋_GB2312" w:eastAsia="仿宋_GB2312" w:hAnsi="仿宋_GB2312" w:cs="仿宋_GB2312"/>
          <w:color w:val="auto"/>
          <w:sz w:val="32"/>
          <w:szCs w:val="32"/>
          <w:lang w:eastAsia="zh-CN"/>
        </w:rPr>
        <w:t>1.65</w:t>
      </w:r>
      <w:r>
        <w:rPr>
          <w:rFonts w:ascii="仿宋_GB2312" w:eastAsia="仿宋_GB2312" w:hAnsi="仿宋_GB2312" w:cs="仿宋_GB2312" w:hint="eastAsia"/>
          <w:color w:val="auto"/>
          <w:sz w:val="32"/>
          <w:szCs w:val="32"/>
          <w:lang w:eastAsia="zh-CN"/>
        </w:rPr>
        <w:t>米以上的健康男性。</w:t>
      </w:r>
    </w:p>
    <w:p w:rsidR="00542814" w:rsidRDefault="00542814" w:rsidP="00542814">
      <w:pPr>
        <w:spacing w:line="500" w:lineRule="exact"/>
        <w:ind w:left="551"/>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②无吸毒史，五年内无犯罪记录。</w:t>
      </w:r>
    </w:p>
    <w:p w:rsidR="00542814" w:rsidRDefault="00542814" w:rsidP="00542814">
      <w:pPr>
        <w:spacing w:line="500" w:lineRule="exact"/>
        <w:ind w:left="551"/>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③</w:t>
      </w:r>
      <w:r>
        <w:rPr>
          <w:rFonts w:ascii="仿宋_GB2312" w:eastAsia="仿宋_GB2312" w:hAnsi="仿宋_GB2312" w:cs="仿宋_GB2312" w:hint="eastAsia"/>
          <w:color w:val="auto"/>
          <w:spacing w:val="-14"/>
          <w:sz w:val="32"/>
          <w:szCs w:val="32"/>
          <w:lang w:eastAsia="zh-CN"/>
        </w:rPr>
        <w:t>无抑郁症、</w:t>
      </w:r>
      <w:r>
        <w:rPr>
          <w:rFonts w:ascii="仿宋_GB2312" w:eastAsia="仿宋_GB2312" w:hAnsi="仿宋_GB2312" w:cs="仿宋_GB2312" w:hint="eastAsia"/>
          <w:color w:val="auto"/>
          <w:sz w:val="32"/>
          <w:szCs w:val="32"/>
          <w:lang w:eastAsia="zh-CN"/>
        </w:rPr>
        <w:t>精神病等病史。</w:t>
      </w:r>
    </w:p>
    <w:p w:rsidR="00542814" w:rsidRDefault="00542814" w:rsidP="00542814">
      <w:pPr>
        <w:spacing w:line="500" w:lineRule="exact"/>
        <w:ind w:left="551"/>
        <w:rPr>
          <w:rFonts w:ascii="仿宋_GB2312" w:eastAsia="仿宋_GB2312" w:hAnsi="仿宋"/>
          <w:color w:val="auto"/>
          <w:sz w:val="32"/>
          <w:szCs w:val="32"/>
          <w:lang w:eastAsia="zh-CN"/>
        </w:rPr>
      </w:pPr>
      <w:r>
        <w:rPr>
          <w:rFonts w:ascii="仿宋_GB2312" w:eastAsia="仿宋_GB2312" w:hAnsi="仿宋" w:hint="eastAsia"/>
          <w:color w:val="auto"/>
          <w:sz w:val="32"/>
          <w:szCs w:val="32"/>
          <w:lang w:eastAsia="zh-CN"/>
        </w:rPr>
        <w:t>④上岗前持县级医院体检表和《健康证》，无传染病、心脏病、癫痫病等</w:t>
      </w:r>
      <w:r>
        <w:rPr>
          <w:rFonts w:ascii="仿宋_GB2312" w:eastAsia="仿宋_GB2312" w:hAnsi="仿宋_GB2312" w:cs="仿宋_GB2312" w:hint="eastAsia"/>
          <w:color w:val="auto"/>
          <w:sz w:val="32"/>
          <w:szCs w:val="32"/>
          <w:lang w:eastAsia="zh-CN"/>
        </w:rPr>
        <w:t>病史</w:t>
      </w:r>
      <w:r>
        <w:rPr>
          <w:rFonts w:ascii="仿宋_GB2312" w:eastAsia="仿宋_GB2312" w:hAnsi="仿宋" w:hint="eastAsia"/>
          <w:color w:val="auto"/>
          <w:sz w:val="32"/>
          <w:szCs w:val="32"/>
          <w:lang w:eastAsia="zh-CN"/>
        </w:rPr>
        <w:t>。</w:t>
      </w:r>
    </w:p>
    <w:p w:rsidR="00542814" w:rsidRDefault="00542814" w:rsidP="00542814">
      <w:pPr>
        <w:spacing w:line="500" w:lineRule="exact"/>
        <w:ind w:left="551"/>
        <w:rPr>
          <w:rFonts w:ascii="仿宋_GB2312" w:eastAsia="仿宋_GB2312" w:hAnsi="仿宋_GB2312" w:cs="仿宋_GB2312"/>
          <w:color w:val="auto"/>
          <w:spacing w:val="-14"/>
          <w:sz w:val="32"/>
          <w:szCs w:val="32"/>
          <w:lang w:eastAsia="zh-CN"/>
        </w:rPr>
      </w:pPr>
      <w:r>
        <w:rPr>
          <w:rFonts w:ascii="仿宋_GB2312" w:eastAsia="仿宋_GB2312" w:hAnsi="仿宋_GB2312" w:cs="仿宋_GB2312" w:hint="eastAsia"/>
          <w:color w:val="auto"/>
          <w:spacing w:val="-14"/>
          <w:sz w:val="32"/>
          <w:szCs w:val="32"/>
          <w:lang w:eastAsia="zh-CN"/>
        </w:rPr>
        <w:t>⑤持证上岗，保安上岗前要有市级以上公安部门颁发的《保安员证》。本项目持证上岗证不少于60</w:t>
      </w:r>
      <w:r w:rsidR="00DA6B7E">
        <w:rPr>
          <w:rFonts w:ascii="仿宋_GB2312" w:eastAsia="仿宋_GB2312" w:hAnsi="仿宋_GB2312" w:cs="仿宋_GB2312" w:hint="eastAsia"/>
          <w:color w:val="auto"/>
          <w:spacing w:val="-14"/>
          <w:sz w:val="32"/>
          <w:szCs w:val="32"/>
          <w:lang w:eastAsia="zh-CN"/>
        </w:rPr>
        <w:t>个，本证投标时必须提</w:t>
      </w:r>
      <w:r>
        <w:rPr>
          <w:rFonts w:ascii="仿宋_GB2312" w:eastAsia="仿宋_GB2312" w:hAnsi="仿宋_GB2312" w:cs="仿宋_GB2312" w:hint="eastAsia"/>
          <w:color w:val="auto"/>
          <w:spacing w:val="-14"/>
          <w:sz w:val="32"/>
          <w:szCs w:val="32"/>
          <w:lang w:eastAsia="zh-CN"/>
        </w:rPr>
        <w:t>。</w:t>
      </w:r>
    </w:p>
    <w:p w:rsidR="00542814" w:rsidRDefault="00542814" w:rsidP="00542814">
      <w:pPr>
        <w:spacing w:line="500" w:lineRule="exact"/>
        <w:ind w:left="551"/>
        <w:rPr>
          <w:rFonts w:ascii="仿宋_GB2312" w:eastAsia="仿宋_GB2312" w:hAnsi="仿宋_GB2312" w:cs="仿宋_GB2312"/>
          <w:color w:val="auto"/>
          <w:spacing w:val="-14"/>
          <w:sz w:val="32"/>
          <w:szCs w:val="32"/>
          <w:lang w:eastAsia="zh-CN"/>
        </w:rPr>
      </w:pPr>
      <w:r>
        <w:rPr>
          <w:rFonts w:ascii="仿宋_GB2312" w:eastAsia="仿宋_GB2312" w:hAnsi="仿宋_GB2312" w:cs="仿宋_GB2312" w:hint="eastAsia"/>
          <w:color w:val="auto"/>
          <w:spacing w:val="-14"/>
          <w:sz w:val="32"/>
          <w:szCs w:val="32"/>
          <w:lang w:eastAsia="zh-CN"/>
        </w:rPr>
        <w:t>⑥保安人员要有吃苦耐劳的精神和高度的责任感，并熟知甲方的管理制度，能严格认真履行岗位职责，善于发现各类问题，具备一定的管理经验和处置突发事件的能力；及时发现学校安全隐患；参与校内突发事件处置、灾害预防、火灾扑救、大型活动安保等任务；服从用人单位的管理。</w:t>
      </w:r>
    </w:p>
    <w:p w:rsidR="00542814" w:rsidRDefault="00542814" w:rsidP="00542814">
      <w:pPr>
        <w:spacing w:line="500" w:lineRule="exact"/>
        <w:ind w:left="551"/>
        <w:rPr>
          <w:rFonts w:ascii="仿宋_GB2312" w:eastAsia="仿宋_GB2312" w:hAnsi="仿宋_GB2312" w:cs="仿宋_GB2312"/>
          <w:color w:val="auto"/>
          <w:spacing w:val="-14"/>
          <w:sz w:val="32"/>
          <w:szCs w:val="32"/>
          <w:lang w:eastAsia="zh-CN"/>
        </w:rPr>
      </w:pPr>
      <w:r>
        <w:rPr>
          <w:rFonts w:ascii="仿宋_GB2312" w:eastAsia="仿宋_GB2312" w:hAnsi="仿宋_GB2312" w:cs="仿宋_GB2312" w:hint="eastAsia"/>
          <w:color w:val="auto"/>
          <w:spacing w:val="-14"/>
          <w:sz w:val="32"/>
          <w:szCs w:val="32"/>
          <w:lang w:eastAsia="zh-CN"/>
        </w:rPr>
        <w:t>⑦坚持</w:t>
      </w:r>
      <w:r>
        <w:rPr>
          <w:rFonts w:ascii="仿宋_GB2312" w:eastAsia="仿宋_GB2312" w:hAnsi="仿宋_GB2312" w:cs="仿宋_GB2312"/>
          <w:color w:val="auto"/>
          <w:spacing w:val="-14"/>
          <w:sz w:val="32"/>
          <w:szCs w:val="32"/>
          <w:lang w:eastAsia="zh-CN"/>
        </w:rPr>
        <w:t>24</w:t>
      </w:r>
      <w:r>
        <w:rPr>
          <w:rFonts w:ascii="仿宋_GB2312" w:eastAsia="仿宋_GB2312" w:hAnsi="仿宋_GB2312" w:cs="仿宋_GB2312" w:hint="eastAsia"/>
          <w:color w:val="auto"/>
          <w:spacing w:val="-14"/>
          <w:sz w:val="32"/>
          <w:szCs w:val="32"/>
          <w:lang w:eastAsia="zh-CN"/>
        </w:rPr>
        <w:t>小时门卫、巡逻等安保工作；坚持上放学等重点时段着装持械上岗。</w:t>
      </w:r>
    </w:p>
    <w:p w:rsidR="00542814" w:rsidRPr="00DA6B7E" w:rsidRDefault="00542814" w:rsidP="00542814">
      <w:pPr>
        <w:spacing w:line="500" w:lineRule="exact"/>
        <w:ind w:left="551"/>
        <w:rPr>
          <w:rFonts w:ascii="仿宋_GB2312" w:eastAsia="仿宋_GB2312" w:hAnsi="仿宋_GB2312" w:cs="仿宋_GB2312"/>
          <w:color w:val="auto"/>
          <w:spacing w:val="-14"/>
          <w:sz w:val="30"/>
          <w:szCs w:val="30"/>
          <w:lang w:eastAsia="zh-CN"/>
        </w:rPr>
      </w:pPr>
      <w:r>
        <w:rPr>
          <w:rFonts w:ascii="仿宋_GB2312" w:eastAsia="仿宋_GB2312" w:hAnsi="仿宋_GB2312" w:cs="仿宋_GB2312" w:hint="eastAsia"/>
          <w:color w:val="auto"/>
          <w:spacing w:val="-14"/>
          <w:sz w:val="32"/>
          <w:szCs w:val="32"/>
          <w:lang w:eastAsia="zh-CN"/>
        </w:rPr>
        <w:t>⑧</w:t>
      </w:r>
      <w:r w:rsidRPr="00DA6B7E">
        <w:rPr>
          <w:rFonts w:ascii="仿宋_GB2312" w:eastAsia="仿宋_GB2312" w:hAnsi="仿宋_GB2312" w:cs="仿宋_GB2312" w:hint="eastAsia"/>
          <w:color w:val="auto"/>
          <w:spacing w:val="-14"/>
          <w:sz w:val="30"/>
          <w:szCs w:val="30"/>
          <w:lang w:eastAsia="zh-CN"/>
        </w:rPr>
        <w:t>其他属于保安服务范围内的工作及学校临时交办的其他任务。</w:t>
      </w:r>
    </w:p>
    <w:p w:rsidR="00542814" w:rsidRDefault="00542814" w:rsidP="00542814">
      <w:pPr>
        <w:spacing w:line="500" w:lineRule="exact"/>
        <w:ind w:left="551"/>
        <w:rPr>
          <w:rFonts w:ascii="仿宋_GB2312" w:eastAsia="仿宋_GB2312" w:hAnsi="黑体" w:cs="仿宋_GB2312"/>
          <w:color w:val="auto"/>
          <w:sz w:val="32"/>
          <w:szCs w:val="32"/>
          <w:lang w:eastAsia="zh-CN"/>
        </w:rPr>
      </w:pPr>
      <w:r>
        <w:rPr>
          <w:rFonts w:ascii="仿宋_GB2312" w:eastAsia="仿宋_GB2312" w:hAnsi="仿宋_GB2312" w:cs="仿宋_GB2312" w:hint="eastAsia"/>
          <w:color w:val="auto"/>
          <w:spacing w:val="-14"/>
          <w:sz w:val="32"/>
          <w:szCs w:val="32"/>
          <w:lang w:eastAsia="zh-CN"/>
        </w:rPr>
        <w:t>⑨其他有明文规定的，</w:t>
      </w:r>
      <w:r>
        <w:rPr>
          <w:rFonts w:ascii="仿宋_GB2312" w:eastAsia="仿宋_GB2312" w:hAnsi="宋体" w:hint="eastAsia"/>
          <w:color w:val="auto"/>
          <w:sz w:val="32"/>
          <w:szCs w:val="32"/>
          <w:lang w:eastAsia="zh-CN"/>
        </w:rPr>
        <w:t>曾违反甲方规章制度被辞退、调换的或被吊销保安员证的不得在学校工作。</w:t>
      </w:r>
    </w:p>
    <w:p w:rsidR="00542814" w:rsidRDefault="00542814" w:rsidP="00542814">
      <w:pPr>
        <w:spacing w:line="500" w:lineRule="exact"/>
        <w:ind w:left="551"/>
        <w:rPr>
          <w:rFonts w:ascii="仿宋_GB2312" w:eastAsia="仿宋_GB2312" w:hAnsi="仿宋_GB2312" w:cs="仿宋_GB2312"/>
          <w:b/>
          <w:color w:val="auto"/>
          <w:sz w:val="32"/>
          <w:szCs w:val="32"/>
          <w:lang w:eastAsia="zh-CN"/>
        </w:rPr>
      </w:pPr>
      <w:r>
        <w:rPr>
          <w:rFonts w:ascii="仿宋_GB2312" w:eastAsia="仿宋_GB2312" w:hAnsi="黑体" w:cs="仿宋_GB2312"/>
          <w:b/>
          <w:color w:val="auto"/>
          <w:sz w:val="32"/>
          <w:szCs w:val="32"/>
          <w:lang w:eastAsia="zh-CN"/>
        </w:rPr>
        <w:t>2</w:t>
      </w:r>
      <w:r>
        <w:rPr>
          <w:rFonts w:ascii="仿宋_GB2312" w:eastAsia="仿宋_GB2312" w:hAnsi="黑体" w:cs="仿宋_GB2312" w:hint="eastAsia"/>
          <w:b/>
          <w:color w:val="auto"/>
          <w:sz w:val="32"/>
          <w:szCs w:val="32"/>
          <w:lang w:eastAsia="zh-CN"/>
        </w:rPr>
        <w:t>、投标人要求</w:t>
      </w:r>
      <w:r>
        <w:rPr>
          <w:rFonts w:ascii="仿宋_GB2312" w:eastAsia="仿宋_GB2312" w:hAnsi="仿宋_GB2312" w:cs="仿宋_GB2312" w:hint="eastAsia"/>
          <w:b/>
          <w:color w:val="auto"/>
          <w:sz w:val="32"/>
          <w:szCs w:val="32"/>
          <w:lang w:eastAsia="zh-CN"/>
        </w:rPr>
        <w:t>：</w:t>
      </w:r>
    </w:p>
    <w:p w:rsidR="00542814" w:rsidRDefault="00542814" w:rsidP="00542814">
      <w:pPr>
        <w:pStyle w:val="a3"/>
        <w:widowControl w:val="0"/>
        <w:spacing w:before="0" w:beforeAutospacing="0" w:after="0" w:afterAutospacing="0" w:line="500" w:lineRule="exact"/>
        <w:ind w:left="551"/>
        <w:rPr>
          <w:rFonts w:ascii="仿宋_GB2312" w:eastAsia="仿宋_GB2312" w:hAnsi="仿宋_GB2312" w:cs="仿宋_GB2312"/>
          <w:spacing w:val="-14"/>
          <w:sz w:val="32"/>
          <w:szCs w:val="32"/>
        </w:rPr>
      </w:pPr>
      <w:r>
        <w:rPr>
          <w:rFonts w:ascii="仿宋_GB2312" w:eastAsia="仿宋_GB2312" w:hAnsi="仿宋_GB2312" w:cs="仿宋_GB2312" w:hint="eastAsia"/>
          <w:sz w:val="32"/>
          <w:szCs w:val="32"/>
        </w:rPr>
        <w:t>①投标单位</w:t>
      </w:r>
      <w:r>
        <w:rPr>
          <w:rFonts w:ascii="仿宋_GB2312" w:eastAsia="仿宋_GB2312" w:hAnsi="仿宋_GB2312" w:cs="仿宋_GB2312" w:hint="eastAsia"/>
          <w:spacing w:val="-14"/>
          <w:sz w:val="32"/>
          <w:szCs w:val="32"/>
        </w:rPr>
        <w:t>必须是具备独立的法人资格，并持有市级以上公安部门颁发的《保安服务许可证》的专业保安公司，且具备良好的从业信誉和安全保卫经验，有完善的管理体系和健全的内部管理制度，具有校园保安服务经历及经验的单位优先。</w:t>
      </w:r>
    </w:p>
    <w:p w:rsidR="00542814" w:rsidRDefault="00542814" w:rsidP="00542814">
      <w:pPr>
        <w:spacing w:line="500" w:lineRule="exact"/>
        <w:ind w:firstLineChars="200" w:firstLine="584"/>
        <w:rPr>
          <w:rFonts w:ascii="仿宋_GB2312" w:eastAsia="仿宋_GB2312" w:hAnsi="仿宋_GB2312" w:cs="仿宋_GB2312"/>
          <w:color w:val="auto"/>
          <w:spacing w:val="-14"/>
          <w:sz w:val="32"/>
          <w:szCs w:val="32"/>
          <w:lang w:eastAsia="zh-CN"/>
        </w:rPr>
      </w:pPr>
      <w:r>
        <w:rPr>
          <w:rFonts w:ascii="仿宋_GB2312" w:eastAsia="仿宋_GB2312" w:hAnsi="仿宋_GB2312" w:cs="仿宋_GB2312" w:hint="eastAsia"/>
          <w:color w:val="auto"/>
          <w:spacing w:val="-14"/>
          <w:sz w:val="32"/>
          <w:szCs w:val="32"/>
          <w:lang w:eastAsia="zh-CN"/>
        </w:rPr>
        <w:t>②具有《劳务派遣经营许可证》的专业公司。</w:t>
      </w:r>
    </w:p>
    <w:p w:rsidR="00542814" w:rsidRDefault="00542814" w:rsidP="00542814">
      <w:pPr>
        <w:spacing w:line="500" w:lineRule="exact"/>
        <w:ind w:left="551"/>
        <w:rPr>
          <w:rFonts w:ascii="仿宋_GB2312" w:eastAsia="仿宋_GB2312" w:hAnsi="仿宋_GB2312" w:cs="仿宋_GB2312"/>
          <w:color w:val="auto"/>
          <w:spacing w:val="-14"/>
          <w:sz w:val="32"/>
          <w:szCs w:val="32"/>
          <w:lang w:eastAsia="zh-CN"/>
        </w:rPr>
      </w:pPr>
      <w:r>
        <w:rPr>
          <w:rFonts w:ascii="仿宋_GB2312" w:eastAsia="仿宋_GB2312" w:hAnsi="仿宋_GB2312" w:cs="仿宋_GB2312" w:hint="eastAsia"/>
          <w:color w:val="auto"/>
          <w:spacing w:val="-14"/>
          <w:sz w:val="32"/>
          <w:szCs w:val="32"/>
          <w:lang w:eastAsia="zh-CN"/>
        </w:rPr>
        <w:t>③参加本次政府采购活动前3年内在经营活动中没有重大违法记录，以及未被列入失信被执行人、重大税收违法案件当事人名单、政府采购严重违法失信行为记录名单保安公司。</w:t>
      </w:r>
    </w:p>
    <w:p w:rsidR="00542814" w:rsidRDefault="00542814" w:rsidP="00542814">
      <w:pPr>
        <w:spacing w:line="500" w:lineRule="exact"/>
        <w:ind w:left="551"/>
        <w:rPr>
          <w:rFonts w:ascii="仿宋_GB2312" w:eastAsia="仿宋_GB2312" w:hAnsi="仿宋_GB2312" w:cs="仿宋_GB2312"/>
          <w:color w:val="auto"/>
          <w:spacing w:val="-14"/>
          <w:sz w:val="32"/>
          <w:szCs w:val="32"/>
          <w:lang w:eastAsia="zh-CN"/>
        </w:rPr>
      </w:pPr>
      <w:r>
        <w:rPr>
          <w:rFonts w:ascii="仿宋_GB2312" w:eastAsia="仿宋_GB2312" w:hAnsi="仿宋_GB2312" w:cs="仿宋_GB2312" w:hint="eastAsia"/>
          <w:color w:val="auto"/>
          <w:spacing w:val="-14"/>
          <w:sz w:val="32"/>
          <w:szCs w:val="32"/>
          <w:lang w:eastAsia="zh-CN"/>
        </w:rPr>
        <w:lastRenderedPageBreak/>
        <w:t>④按国家政策规定为保安人员办理相应的社会保险，配备服装和相应标志等。</w:t>
      </w:r>
    </w:p>
    <w:p w:rsidR="00542814" w:rsidRDefault="00542814" w:rsidP="00542814">
      <w:pPr>
        <w:spacing w:line="500" w:lineRule="exact"/>
        <w:ind w:firstLineChars="150" w:firstLine="438"/>
        <w:rPr>
          <w:rFonts w:ascii="仿宋_GB2312" w:eastAsia="仿宋_GB2312" w:hAnsi="仿宋_GB2312" w:cs="仿宋_GB2312"/>
          <w:color w:val="auto"/>
          <w:spacing w:val="-14"/>
          <w:sz w:val="32"/>
          <w:szCs w:val="32"/>
          <w:lang w:eastAsia="zh-CN"/>
        </w:rPr>
      </w:pPr>
      <w:r>
        <w:rPr>
          <w:rFonts w:ascii="仿宋_GB2312" w:eastAsia="仿宋_GB2312" w:hAnsi="仿宋_GB2312" w:cs="仿宋_GB2312" w:hint="eastAsia"/>
          <w:color w:val="auto"/>
          <w:spacing w:val="-14"/>
          <w:sz w:val="32"/>
          <w:szCs w:val="32"/>
          <w:lang w:eastAsia="zh-CN"/>
        </w:rPr>
        <w:t>⑤保安人员在岗工作期间，发生的一切人身伤亡均由中标公司负责处理并承担经济和道义上的责任，用人单位不承担任何责任</w:t>
      </w:r>
      <w:r>
        <w:rPr>
          <w:rFonts w:ascii="仿宋_GB2312" w:eastAsia="仿宋_GB2312" w:hAnsi="仿宋_GB2312" w:cs="仿宋_GB2312"/>
          <w:color w:val="auto"/>
          <w:spacing w:val="-14"/>
          <w:sz w:val="32"/>
          <w:szCs w:val="32"/>
          <w:lang w:eastAsia="zh-CN"/>
        </w:rPr>
        <w:t>;</w:t>
      </w:r>
      <w:r>
        <w:rPr>
          <w:rFonts w:ascii="仿宋_GB2312" w:eastAsia="仿宋_GB2312" w:hAnsi="仿宋_GB2312" w:cs="仿宋_GB2312" w:hint="eastAsia"/>
          <w:color w:val="auto"/>
          <w:spacing w:val="-14"/>
          <w:sz w:val="32"/>
          <w:szCs w:val="32"/>
          <w:lang w:eastAsia="zh-CN"/>
        </w:rPr>
        <w:t>用人单位对保安员服务不满意，保安公司应无条件换人</w:t>
      </w:r>
      <w:r>
        <w:rPr>
          <w:rFonts w:ascii="仿宋_GB2312" w:eastAsia="仿宋_GB2312" w:hAnsi="仿宋_GB2312" w:cs="仿宋_GB2312"/>
          <w:color w:val="auto"/>
          <w:spacing w:val="-14"/>
          <w:sz w:val="32"/>
          <w:szCs w:val="32"/>
          <w:lang w:eastAsia="zh-CN"/>
        </w:rPr>
        <w:t>;</w:t>
      </w:r>
      <w:r>
        <w:rPr>
          <w:rFonts w:ascii="仿宋_GB2312" w:eastAsia="仿宋_GB2312" w:hAnsi="仿宋_GB2312" w:cs="仿宋_GB2312" w:hint="eastAsia"/>
          <w:color w:val="auto"/>
          <w:spacing w:val="-14"/>
          <w:sz w:val="32"/>
          <w:szCs w:val="32"/>
          <w:lang w:eastAsia="zh-CN"/>
        </w:rPr>
        <w:t>若造成用人单位损失的，保安公司应承担全部赔偿责任。</w:t>
      </w:r>
    </w:p>
    <w:tbl>
      <w:tblPr>
        <w:tblpPr w:leftFromText="180" w:rightFromText="180" w:vertAnchor="page" w:horzAnchor="margin" w:tblpY="8503"/>
        <w:tblW w:w="8765" w:type="dxa"/>
        <w:tblLayout w:type="fixed"/>
        <w:tblCellMar>
          <w:top w:w="15" w:type="dxa"/>
          <w:bottom w:w="15" w:type="dxa"/>
        </w:tblCellMar>
        <w:tblLook w:val="04A0"/>
      </w:tblPr>
      <w:tblGrid>
        <w:gridCol w:w="2827"/>
        <w:gridCol w:w="1040"/>
        <w:gridCol w:w="2495"/>
        <w:gridCol w:w="963"/>
        <w:gridCol w:w="1440"/>
      </w:tblGrid>
      <w:tr w:rsidR="00DA6B7E" w:rsidTr="00DA6B7E">
        <w:trPr>
          <w:trHeight w:val="496"/>
        </w:trPr>
        <w:tc>
          <w:tcPr>
            <w:tcW w:w="2827"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360" w:lineRule="exact"/>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学校名称</w:t>
            </w:r>
          </w:p>
        </w:tc>
        <w:tc>
          <w:tcPr>
            <w:tcW w:w="10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360" w:lineRule="exact"/>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应配人数</w:t>
            </w:r>
          </w:p>
        </w:tc>
        <w:tc>
          <w:tcPr>
            <w:tcW w:w="2495"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360" w:lineRule="exact"/>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学校名称</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360" w:lineRule="exact"/>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应配人数</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360" w:lineRule="exact"/>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备注</w:t>
            </w:r>
          </w:p>
        </w:tc>
      </w:tr>
      <w:tr w:rsidR="00DA6B7E" w:rsidTr="00DA6B7E">
        <w:trPr>
          <w:trHeight w:val="496"/>
        </w:trPr>
        <w:tc>
          <w:tcPr>
            <w:tcW w:w="2827"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柞水中学</w:t>
            </w:r>
          </w:p>
        </w:tc>
        <w:tc>
          <w:tcPr>
            <w:tcW w:w="10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11</w:t>
            </w:r>
          </w:p>
        </w:tc>
        <w:tc>
          <w:tcPr>
            <w:tcW w:w="2495"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柞水职专</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7</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p>
        </w:tc>
      </w:tr>
      <w:tr w:rsidR="00DA6B7E" w:rsidTr="00DA6B7E">
        <w:trPr>
          <w:trHeight w:val="496"/>
        </w:trPr>
        <w:tc>
          <w:tcPr>
            <w:tcW w:w="2827"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城区一小</w:t>
            </w:r>
          </w:p>
        </w:tc>
        <w:tc>
          <w:tcPr>
            <w:tcW w:w="10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8</w:t>
            </w:r>
          </w:p>
        </w:tc>
        <w:tc>
          <w:tcPr>
            <w:tcW w:w="2495"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城区一幼</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color w:val="auto"/>
                <w:sz w:val="28"/>
                <w:szCs w:val="28"/>
              </w:rPr>
              <w:t>4</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p>
        </w:tc>
      </w:tr>
      <w:tr w:rsidR="00DA6B7E" w:rsidTr="00DA6B7E">
        <w:trPr>
          <w:trHeight w:val="496"/>
        </w:trPr>
        <w:tc>
          <w:tcPr>
            <w:tcW w:w="2827"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城区二小</w:t>
            </w:r>
          </w:p>
        </w:tc>
        <w:tc>
          <w:tcPr>
            <w:tcW w:w="10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2495"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城区三小</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6</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p>
        </w:tc>
      </w:tr>
      <w:tr w:rsidR="00DA6B7E" w:rsidTr="00DA6B7E">
        <w:trPr>
          <w:trHeight w:val="496"/>
        </w:trPr>
        <w:tc>
          <w:tcPr>
            <w:tcW w:w="2827"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城区一中</w:t>
            </w:r>
          </w:p>
        </w:tc>
        <w:tc>
          <w:tcPr>
            <w:tcW w:w="10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4</w:t>
            </w:r>
          </w:p>
        </w:tc>
        <w:tc>
          <w:tcPr>
            <w:tcW w:w="2495"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城区二中</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p>
        </w:tc>
      </w:tr>
      <w:tr w:rsidR="00DA6B7E" w:rsidTr="00DA6B7E">
        <w:trPr>
          <w:trHeight w:val="496"/>
        </w:trPr>
        <w:tc>
          <w:tcPr>
            <w:tcW w:w="2827"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城区三幼</w:t>
            </w:r>
          </w:p>
        </w:tc>
        <w:tc>
          <w:tcPr>
            <w:tcW w:w="10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4</w:t>
            </w:r>
          </w:p>
        </w:tc>
        <w:tc>
          <w:tcPr>
            <w:tcW w:w="2495"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凤凰镇中心小学</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3</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p>
        </w:tc>
      </w:tr>
      <w:tr w:rsidR="00DA6B7E" w:rsidTr="00DA6B7E">
        <w:trPr>
          <w:trHeight w:val="496"/>
        </w:trPr>
        <w:tc>
          <w:tcPr>
            <w:tcW w:w="2827"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实验中学</w:t>
            </w:r>
          </w:p>
        </w:tc>
        <w:tc>
          <w:tcPr>
            <w:tcW w:w="10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3</w:t>
            </w:r>
          </w:p>
        </w:tc>
        <w:tc>
          <w:tcPr>
            <w:tcW w:w="2495"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p>
        </w:tc>
        <w:tc>
          <w:tcPr>
            <w:tcW w:w="963"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p>
        </w:tc>
      </w:tr>
      <w:tr w:rsidR="00DA6B7E" w:rsidTr="00DA6B7E">
        <w:trPr>
          <w:trHeight w:val="496"/>
        </w:trPr>
        <w:tc>
          <w:tcPr>
            <w:tcW w:w="2827" w:type="dxa"/>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合计</w:t>
            </w:r>
          </w:p>
        </w:tc>
        <w:tc>
          <w:tcPr>
            <w:tcW w:w="5938" w:type="dxa"/>
            <w:gridSpan w:val="4"/>
            <w:tcBorders>
              <w:top w:val="single" w:sz="4" w:space="0" w:color="000000"/>
              <w:left w:val="single" w:sz="4" w:space="0" w:color="000000"/>
              <w:bottom w:val="single" w:sz="4" w:space="0" w:color="000000"/>
              <w:right w:val="single" w:sz="4" w:space="0" w:color="000000"/>
            </w:tcBorders>
            <w:noWrap/>
            <w:vAlign w:val="center"/>
          </w:tcPr>
          <w:p w:rsidR="00DA6B7E" w:rsidRDefault="00DA6B7E" w:rsidP="00DA6B7E">
            <w:pPr>
              <w:spacing w:line="540" w:lineRule="exa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60</w:t>
            </w:r>
          </w:p>
        </w:tc>
      </w:tr>
    </w:tbl>
    <w:p w:rsidR="00542814" w:rsidRDefault="00542814" w:rsidP="00542814">
      <w:pPr>
        <w:spacing w:line="500" w:lineRule="exact"/>
        <w:rPr>
          <w:rFonts w:ascii="仿宋_GB2312" w:eastAsia="仿宋_GB2312" w:hAnsi="仿宋_GB2312" w:cs="仿宋_GB2312"/>
          <w:bCs/>
          <w:color w:val="auto"/>
          <w:sz w:val="32"/>
          <w:szCs w:val="32"/>
          <w:lang w:eastAsia="zh-CN"/>
        </w:rPr>
      </w:pPr>
      <w:r>
        <w:rPr>
          <w:rFonts w:ascii="黑体" w:eastAsia="黑体" w:hAnsi="黑体" w:cs="黑体" w:hint="eastAsia"/>
          <w:bCs/>
          <w:color w:val="auto"/>
          <w:sz w:val="32"/>
          <w:szCs w:val="32"/>
          <w:lang w:eastAsia="zh-CN"/>
        </w:rPr>
        <w:t>五、</w:t>
      </w:r>
      <w:r>
        <w:rPr>
          <w:rFonts w:ascii="黑体" w:eastAsia="黑体" w:hAnsi="黑体" w:cs="黑体" w:hint="eastAsia"/>
          <w:bCs/>
          <w:color w:val="auto"/>
          <w:sz w:val="32"/>
          <w:szCs w:val="32"/>
          <w:lang w:val="zh-CN" w:eastAsia="zh-CN"/>
        </w:rPr>
        <w:t>工资待遇：</w:t>
      </w:r>
      <w:r>
        <w:rPr>
          <w:rFonts w:ascii="仿宋_GB2312" w:eastAsia="仿宋_GB2312" w:hAnsi="仿宋_GB2312" w:cs="仿宋_GB2312" w:hint="eastAsia"/>
          <w:bCs/>
          <w:color w:val="auto"/>
          <w:sz w:val="32"/>
          <w:szCs w:val="32"/>
          <w:lang w:eastAsia="zh-CN"/>
        </w:rPr>
        <w:t>全县500名学生以上学校共需60名保安，按每年12月、</w:t>
      </w:r>
      <w:r>
        <w:rPr>
          <w:rFonts w:ascii="仿宋_GB2312" w:eastAsia="仿宋_GB2312" w:hAnsi="仿宋_GB2312" w:cs="仿宋_GB2312" w:hint="eastAsia"/>
          <w:bCs/>
          <w:color w:val="auto"/>
          <w:sz w:val="32"/>
          <w:szCs w:val="32"/>
          <w:lang w:val="zh-CN" w:eastAsia="zh-CN"/>
        </w:rPr>
        <w:t>每人每月按</w:t>
      </w:r>
      <w:r>
        <w:rPr>
          <w:rFonts w:ascii="仿宋_GB2312" w:eastAsia="仿宋_GB2312" w:hAnsi="仿宋_GB2312" w:cs="仿宋_GB2312" w:hint="eastAsia"/>
          <w:bCs/>
          <w:color w:val="auto"/>
          <w:sz w:val="32"/>
          <w:szCs w:val="32"/>
          <w:lang w:eastAsia="zh-CN"/>
        </w:rPr>
        <w:t>3152元预算（</w:t>
      </w:r>
      <w:r>
        <w:rPr>
          <w:rFonts w:ascii="仿宋_GB2312" w:eastAsia="仿宋_GB2312" w:hAnsi="仿宋_GB2312" w:cs="仿宋_GB2312" w:hint="eastAsia"/>
          <w:color w:val="auto"/>
          <w:spacing w:val="-14"/>
          <w:sz w:val="32"/>
          <w:szCs w:val="32"/>
          <w:lang w:eastAsia="zh-CN"/>
        </w:rPr>
        <w:t>其中人员工资1950元，社保缴费1002元，管理费用</w:t>
      </w:r>
      <w:r>
        <w:rPr>
          <w:rFonts w:ascii="仿宋_GB2312" w:eastAsia="仿宋_GB2312" w:hAnsi="仿宋_GB2312" w:cs="仿宋_GB2312"/>
          <w:color w:val="auto"/>
          <w:spacing w:val="-14"/>
          <w:sz w:val="32"/>
          <w:szCs w:val="32"/>
          <w:lang w:eastAsia="zh-CN"/>
        </w:rPr>
        <w:t>200</w:t>
      </w:r>
      <w:r>
        <w:rPr>
          <w:rFonts w:ascii="仿宋_GB2312" w:eastAsia="仿宋_GB2312" w:hAnsi="仿宋_GB2312" w:cs="仿宋_GB2312" w:hint="eastAsia"/>
          <w:color w:val="auto"/>
          <w:spacing w:val="-14"/>
          <w:sz w:val="32"/>
          <w:szCs w:val="32"/>
          <w:lang w:eastAsia="zh-CN"/>
        </w:rPr>
        <w:t>元</w:t>
      </w:r>
      <w:r>
        <w:rPr>
          <w:rFonts w:ascii="仿宋_GB2312" w:eastAsia="仿宋_GB2312" w:hAnsi="仿宋_GB2312" w:cs="仿宋_GB2312" w:hint="eastAsia"/>
          <w:bCs/>
          <w:color w:val="auto"/>
          <w:sz w:val="32"/>
          <w:szCs w:val="32"/>
          <w:lang w:eastAsia="zh-CN"/>
        </w:rPr>
        <w:t>），总计费用226.944万元。</w:t>
      </w:r>
    </w:p>
    <w:p w:rsidR="00542814" w:rsidRDefault="00542814" w:rsidP="00542814">
      <w:pPr>
        <w:spacing w:line="500" w:lineRule="exact"/>
        <w:rPr>
          <w:rFonts w:ascii="仿宋_GB2312" w:eastAsia="仿宋_GB2312" w:hAnsi="仿宋_GB2312" w:cs="仿宋_GB2312"/>
          <w:b/>
          <w:color w:val="auto"/>
          <w:sz w:val="32"/>
          <w:szCs w:val="32"/>
          <w:lang w:eastAsia="zh-CN"/>
        </w:rPr>
      </w:pPr>
      <w:r>
        <w:rPr>
          <w:rFonts w:ascii="黑体" w:eastAsia="黑体" w:hAnsi="黑体" w:cs="黑体" w:hint="eastAsia"/>
          <w:bCs/>
          <w:color w:val="auto"/>
          <w:sz w:val="32"/>
          <w:szCs w:val="32"/>
          <w:lang w:val="zh-CN" w:eastAsia="zh-CN"/>
        </w:rPr>
        <w:t>六、资金来源</w:t>
      </w:r>
      <w:r>
        <w:rPr>
          <w:rFonts w:ascii="仿宋_GB2312" w:eastAsia="仿宋_GB2312" w:hAnsi="宋体" w:cs="宋体" w:hint="eastAsia"/>
          <w:b/>
          <w:color w:val="auto"/>
          <w:sz w:val="32"/>
          <w:szCs w:val="32"/>
          <w:lang w:val="zh-CN" w:eastAsia="zh-CN"/>
        </w:rPr>
        <w:t>：</w:t>
      </w:r>
      <w:r>
        <w:rPr>
          <w:rFonts w:ascii="仿宋_GB2312" w:eastAsia="仿宋_GB2312" w:hAnsi="宋体" w:cs="宋体" w:hint="eastAsia"/>
          <w:color w:val="auto"/>
          <w:sz w:val="32"/>
          <w:szCs w:val="32"/>
          <w:lang w:val="zh-CN" w:eastAsia="zh-CN"/>
        </w:rPr>
        <w:t>财政拨款。</w:t>
      </w:r>
    </w:p>
    <w:p w:rsidR="00542814" w:rsidRDefault="00542814" w:rsidP="00542814">
      <w:pPr>
        <w:spacing w:line="500" w:lineRule="exact"/>
        <w:rPr>
          <w:rFonts w:ascii="仿宋_GB2312" w:eastAsia="仿宋_GB2312" w:hAnsi="仿宋_GB2312" w:cs="仿宋_GB2312"/>
          <w:color w:val="auto"/>
          <w:sz w:val="32"/>
          <w:szCs w:val="32"/>
          <w:lang w:eastAsia="zh-CN"/>
        </w:rPr>
      </w:pPr>
      <w:r>
        <w:rPr>
          <w:rFonts w:ascii="黑体" w:eastAsia="黑体" w:hAnsi="黑体" w:cs="黑体" w:hint="eastAsia"/>
          <w:bCs/>
          <w:color w:val="auto"/>
          <w:sz w:val="32"/>
          <w:szCs w:val="32"/>
          <w:lang w:eastAsia="zh-CN"/>
        </w:rPr>
        <w:t>七、付款办法</w:t>
      </w:r>
      <w:r>
        <w:rPr>
          <w:rFonts w:ascii="仿宋_GB2312" w:eastAsia="仿宋_GB2312" w:hAnsi="仿宋_GB2312" w:cs="仿宋_GB2312" w:hint="eastAsia"/>
          <w:color w:val="auto"/>
          <w:sz w:val="32"/>
          <w:szCs w:val="32"/>
          <w:lang w:eastAsia="zh-CN"/>
        </w:rPr>
        <w:t>：</w:t>
      </w:r>
      <w:r>
        <w:rPr>
          <w:rFonts w:ascii="仿宋_GB2312" w:eastAsia="仿宋_GB2312" w:hint="eastAsia"/>
          <w:color w:val="auto"/>
          <w:sz w:val="32"/>
          <w:szCs w:val="32"/>
          <w:lang w:eastAsia="zh-CN"/>
        </w:rPr>
        <w:t>每学期末5日内通过转账</w:t>
      </w:r>
      <w:r>
        <w:rPr>
          <w:rFonts w:ascii="仿宋_GB2312" w:eastAsia="仿宋_GB2312" w:hAnsi="仿宋_GB2312" w:cs="仿宋_GB2312" w:hint="eastAsia"/>
          <w:color w:val="auto"/>
          <w:sz w:val="32"/>
          <w:szCs w:val="32"/>
          <w:lang w:eastAsia="zh-CN"/>
        </w:rPr>
        <w:t>全额拨付保安人员工资，其中</w:t>
      </w:r>
      <w:r>
        <w:rPr>
          <w:rFonts w:ascii="仿宋_GB2312" w:eastAsia="仿宋_GB2312" w:hAnsi="Calibri" w:hint="eastAsia"/>
          <w:color w:val="auto"/>
          <w:sz w:val="32"/>
          <w:szCs w:val="32"/>
          <w:lang w:eastAsia="zh-CN"/>
        </w:rPr>
        <w:t>保安人员的养老、工伤、医疗保险和大额医疗费用统筹保险由中标方协调解决</w:t>
      </w:r>
      <w:r>
        <w:rPr>
          <w:rFonts w:ascii="仿宋_GB2312" w:eastAsia="仿宋_GB2312" w:hAnsi="仿宋_GB2312" w:cs="仿宋_GB2312" w:hint="eastAsia"/>
          <w:color w:val="auto"/>
          <w:sz w:val="32"/>
          <w:szCs w:val="32"/>
          <w:lang w:eastAsia="zh-CN"/>
        </w:rPr>
        <w:t>。</w:t>
      </w:r>
    </w:p>
    <w:p w:rsidR="00542814" w:rsidRDefault="00542814" w:rsidP="00542814">
      <w:pPr>
        <w:spacing w:line="500" w:lineRule="exact"/>
        <w:rPr>
          <w:rFonts w:ascii="黑体" w:eastAsia="黑体" w:hAnsi="黑体" w:cs="黑体"/>
          <w:bCs/>
          <w:color w:val="auto"/>
          <w:sz w:val="32"/>
          <w:szCs w:val="32"/>
          <w:lang w:eastAsia="zh-CN"/>
        </w:rPr>
      </w:pPr>
      <w:r>
        <w:rPr>
          <w:rFonts w:ascii="黑体" w:eastAsia="黑体" w:hAnsi="黑体" w:cs="黑体" w:hint="eastAsia"/>
          <w:bCs/>
          <w:color w:val="auto"/>
          <w:sz w:val="32"/>
          <w:szCs w:val="32"/>
          <w:lang w:eastAsia="zh-CN"/>
        </w:rPr>
        <w:t>八、应配保安人数清单</w:t>
      </w:r>
    </w:p>
    <w:p w:rsidR="00676E07" w:rsidRPr="006E238F" w:rsidRDefault="00676E07">
      <w:pPr>
        <w:rPr>
          <w:rFonts w:eastAsiaTheme="minorEastAsia"/>
          <w:lang w:eastAsia="zh-CN"/>
        </w:rPr>
      </w:pPr>
    </w:p>
    <w:sectPr w:rsidR="00676E07" w:rsidRPr="006E238F" w:rsidSect="00676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CE7" w:rsidRDefault="00C94CE7" w:rsidP="006E238F">
      <w:r>
        <w:separator/>
      </w:r>
    </w:p>
  </w:endnote>
  <w:endnote w:type="continuationSeparator" w:id="1">
    <w:p w:rsidR="00C94CE7" w:rsidRDefault="00C94CE7" w:rsidP="006E2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CE7" w:rsidRDefault="00C94CE7" w:rsidP="006E238F">
      <w:r>
        <w:separator/>
      </w:r>
    </w:p>
  </w:footnote>
  <w:footnote w:type="continuationSeparator" w:id="1">
    <w:p w:rsidR="00C94CE7" w:rsidRDefault="00C94CE7" w:rsidP="006E2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5676A"/>
    <w:multiLevelType w:val="multilevel"/>
    <w:tmpl w:val="6C45676A"/>
    <w:lvl w:ilvl="0">
      <w:start w:val="1"/>
      <w:numFmt w:val="japaneseCounting"/>
      <w:lvlText w:val="%1、"/>
      <w:lvlJc w:val="left"/>
      <w:pPr>
        <w:ind w:left="1271" w:hanging="720"/>
      </w:pPr>
      <w:rPr>
        <w:rFonts w:hint="default"/>
        <w:lang w:val="en-US"/>
      </w:rPr>
    </w:lvl>
    <w:lvl w:ilvl="1">
      <w:start w:val="1"/>
      <w:numFmt w:val="lowerLetter"/>
      <w:lvlText w:val="%2)"/>
      <w:lvlJc w:val="left"/>
      <w:pPr>
        <w:ind w:left="1391" w:hanging="420"/>
      </w:pPr>
    </w:lvl>
    <w:lvl w:ilvl="2">
      <w:start w:val="1"/>
      <w:numFmt w:val="lowerRoman"/>
      <w:lvlText w:val="%3."/>
      <w:lvlJc w:val="right"/>
      <w:pPr>
        <w:ind w:left="1811" w:hanging="420"/>
      </w:pPr>
    </w:lvl>
    <w:lvl w:ilvl="3">
      <w:start w:val="1"/>
      <w:numFmt w:val="decimal"/>
      <w:lvlText w:val="%4."/>
      <w:lvlJc w:val="left"/>
      <w:pPr>
        <w:ind w:left="2231" w:hanging="420"/>
      </w:pPr>
    </w:lvl>
    <w:lvl w:ilvl="4">
      <w:start w:val="1"/>
      <w:numFmt w:val="lowerLetter"/>
      <w:lvlText w:val="%5)"/>
      <w:lvlJc w:val="left"/>
      <w:pPr>
        <w:ind w:left="2651" w:hanging="420"/>
      </w:pPr>
    </w:lvl>
    <w:lvl w:ilvl="5">
      <w:start w:val="1"/>
      <w:numFmt w:val="lowerRoman"/>
      <w:lvlText w:val="%6."/>
      <w:lvlJc w:val="right"/>
      <w:pPr>
        <w:ind w:left="3071" w:hanging="420"/>
      </w:pPr>
    </w:lvl>
    <w:lvl w:ilvl="6">
      <w:start w:val="1"/>
      <w:numFmt w:val="decimal"/>
      <w:lvlText w:val="%7."/>
      <w:lvlJc w:val="left"/>
      <w:pPr>
        <w:ind w:left="3491" w:hanging="420"/>
      </w:pPr>
    </w:lvl>
    <w:lvl w:ilvl="7">
      <w:start w:val="1"/>
      <w:numFmt w:val="lowerLetter"/>
      <w:lvlText w:val="%8)"/>
      <w:lvlJc w:val="left"/>
      <w:pPr>
        <w:ind w:left="3911" w:hanging="420"/>
      </w:pPr>
    </w:lvl>
    <w:lvl w:ilvl="8">
      <w:start w:val="1"/>
      <w:numFmt w:val="lowerRoman"/>
      <w:lvlText w:val="%9."/>
      <w:lvlJc w:val="right"/>
      <w:pPr>
        <w:ind w:left="433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814"/>
    <w:rsid w:val="00542814"/>
    <w:rsid w:val="00635708"/>
    <w:rsid w:val="00676E07"/>
    <w:rsid w:val="006E238F"/>
    <w:rsid w:val="00941FFB"/>
    <w:rsid w:val="00C94CE7"/>
    <w:rsid w:val="00DA6B7E"/>
    <w:rsid w:val="00DB6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81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542814"/>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a4">
    <w:name w:val="header"/>
    <w:basedOn w:val="a"/>
    <w:link w:val="Char"/>
    <w:uiPriority w:val="99"/>
    <w:semiHidden/>
    <w:unhideWhenUsed/>
    <w:rsid w:val="006E238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6E238F"/>
    <w:rPr>
      <w:rFonts w:ascii="Arial" w:eastAsia="Arial" w:hAnsi="Arial" w:cs="Arial"/>
      <w:snapToGrid w:val="0"/>
      <w:color w:val="000000"/>
      <w:kern w:val="0"/>
      <w:sz w:val="18"/>
      <w:szCs w:val="18"/>
      <w:lang w:eastAsia="en-US"/>
    </w:rPr>
  </w:style>
  <w:style w:type="paragraph" w:styleId="a5">
    <w:name w:val="footer"/>
    <w:basedOn w:val="a"/>
    <w:link w:val="Char0"/>
    <w:uiPriority w:val="99"/>
    <w:semiHidden/>
    <w:unhideWhenUsed/>
    <w:rsid w:val="006E238F"/>
    <w:pPr>
      <w:tabs>
        <w:tab w:val="center" w:pos="4153"/>
        <w:tab w:val="right" w:pos="8306"/>
      </w:tabs>
    </w:pPr>
    <w:rPr>
      <w:sz w:val="18"/>
      <w:szCs w:val="18"/>
    </w:rPr>
  </w:style>
  <w:style w:type="character" w:customStyle="1" w:styleId="Char0">
    <w:name w:val="页脚 Char"/>
    <w:basedOn w:val="a0"/>
    <w:link w:val="a5"/>
    <w:uiPriority w:val="99"/>
    <w:semiHidden/>
    <w:rsid w:val="006E238F"/>
    <w:rPr>
      <w:rFonts w:ascii="Arial" w:eastAsia="Arial" w:hAnsi="Arial" w:cs="Arial"/>
      <w:snapToGrid w:val="0"/>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2023-10-27T06:19:00Z</dcterms:created>
  <dcterms:modified xsi:type="dcterms:W3CDTF">2023-10-30T01:35:00Z</dcterms:modified>
</cp:coreProperties>
</file>