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成交单价：</w:t>
      </w:r>
      <w:bookmarkStart w:id="0" w:name="_GoBack"/>
      <w:bookmarkEnd w:id="0"/>
    </w:p>
    <w:tbl>
      <w:tblPr>
        <w:tblStyle w:val="5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3670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9" w:type="dxa"/>
            <w:gridSpan w:val="2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分类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中标单价（元）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9" w:type="dxa"/>
            <w:gridSpan w:val="2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  <w:t>宅基地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1200.00元/报告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vMerge w:val="restart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  <w:t>企业及地上附着物</w:t>
            </w:r>
          </w:p>
        </w:tc>
        <w:tc>
          <w:tcPr>
            <w:tcW w:w="36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  <w:t>评估值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1000元以下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80.00元/报告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36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  <w:t>评估值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1000-5000元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160.00元/报告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36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  <w:t>评估值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5000-30000元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240.00元/报告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9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36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zh-CN" w:eastAsia="zh-CN"/>
              </w:rPr>
              <w:t>评估值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30000元以上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详见下表</w:t>
            </w:r>
          </w:p>
        </w:tc>
      </w:tr>
    </w:tbl>
    <w:tbl>
      <w:tblPr>
        <w:tblStyle w:val="5"/>
        <w:tblpPr w:leftFromText="180" w:rightFromText="180" w:vertAnchor="text" w:horzAnchor="page" w:tblpX="1959" w:tblpY="679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79"/>
        <w:gridCol w:w="1211"/>
        <w:gridCol w:w="1377"/>
        <w:gridCol w:w="1293"/>
        <w:gridCol w:w="144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5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评估值</w:t>
            </w:r>
          </w:p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100以下（含100）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101以上至1000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1001以上至5000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5001以上至10000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10001以上至100000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100000以上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成交</w:t>
            </w:r>
          </w:p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费率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7.20‰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2.91‰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0.96‰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0.59‰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0.12‰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0.08‰</w:t>
            </w:r>
          </w:p>
        </w:tc>
      </w:tr>
    </w:tbl>
    <w:p>
      <w:pPr>
        <w:jc w:val="both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TY0MzFjMzU0MDRhZTA0MzJkYTZkZjIzODE1ZTQifQ=="/>
  </w:docVars>
  <w:rsids>
    <w:rsidRoot w:val="2BF4175F"/>
    <w:rsid w:val="2BF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hint="eastAsia" w:ascii="Arial" w:hAnsi="Arial" w:eastAsia="宋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jc w:val="center"/>
    </w:p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2023-12-06T01:20:00Z</dcterms:created>
  <dc:creator>余生太长。</dc:creator>
  <cp:lastModifiedBy>余生太长。</cp:lastModifiedBy>
  <dcterms:modified xsi:type="dcterms:W3CDTF">2023-12-06T01:27:21Z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D9CC1CB553CA4153876DC78C4D137828_11</vt:lpwstr>
  </property>
</Properties>
</file>