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color w:val="auto"/>
          <w:kern w:val="0"/>
          <w:sz w:val="28"/>
          <w:szCs w:val="28"/>
          <w:highlight w:val="none"/>
          <w:shd w:val="clear" w:color="auto" w:fill="FFFFFF"/>
          <w:lang w:eastAsia="zh-CN"/>
        </w:rPr>
      </w:pPr>
      <w:r>
        <w:rPr>
          <w:rFonts w:hint="eastAsia" w:ascii="宋体" w:hAnsi="宋体" w:eastAsia="宋体" w:cs="宋体"/>
          <w:b/>
          <w:color w:val="auto"/>
          <w:kern w:val="0"/>
          <w:sz w:val="28"/>
          <w:szCs w:val="28"/>
          <w:highlight w:val="none"/>
          <w:shd w:val="clear" w:color="auto" w:fill="FFFFFF"/>
        </w:rPr>
        <w:t>项目编号：</w:t>
      </w:r>
      <w:r>
        <w:rPr>
          <w:rFonts w:hint="eastAsia" w:ascii="宋体" w:hAnsi="宋体" w:cs="宋体"/>
          <w:b/>
          <w:color w:val="auto"/>
          <w:kern w:val="0"/>
          <w:sz w:val="28"/>
          <w:szCs w:val="28"/>
          <w:highlight w:val="none"/>
          <w:shd w:val="clear" w:color="auto" w:fill="FFFFFF"/>
          <w:lang w:eastAsia="zh-CN"/>
        </w:rPr>
        <w:t>HRC-ZBDL-2023-01207</w:t>
      </w:r>
    </w:p>
    <w:p>
      <w:pPr>
        <w:spacing w:line="360" w:lineRule="auto"/>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2"/>
          <w:szCs w:val="32"/>
          <w:highlight w:val="none"/>
        </w:rPr>
      </w:pPr>
    </w:p>
    <w:p>
      <w:pPr>
        <w:pStyle w:val="12"/>
        <w:rPr>
          <w:rFonts w:hint="eastAsia" w:ascii="宋体" w:hAnsi="宋体" w:eastAsia="宋体" w:cs="宋体"/>
          <w:b/>
          <w:color w:val="auto"/>
          <w:sz w:val="32"/>
          <w:szCs w:val="32"/>
          <w:highlight w:val="none"/>
        </w:rPr>
      </w:pPr>
    </w:p>
    <w:p>
      <w:pPr>
        <w:pStyle w:val="13"/>
        <w:rPr>
          <w:rFonts w:hint="eastAsia"/>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cs="宋体"/>
          <w:b/>
          <w:color w:val="auto"/>
          <w:kern w:val="0"/>
          <w:sz w:val="40"/>
          <w:szCs w:val="40"/>
          <w:highlight w:val="none"/>
          <w:shd w:val="clear" w:color="auto" w:fill="FFFFFF"/>
          <w:lang w:eastAsia="zh-CN"/>
        </w:rPr>
        <w:t>2023年马王街道人行道改造东农行桥头工程</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竞争性磋商文件</w:t>
      </w:r>
    </w:p>
    <w:p>
      <w:pPr>
        <w:spacing w:line="360" w:lineRule="auto"/>
        <w:jc w:val="center"/>
        <w:rPr>
          <w:rFonts w:hint="eastAsia" w:ascii="宋体" w:hAnsi="宋体" w:eastAsia="宋体" w:cs="宋体"/>
          <w:b/>
          <w:color w:val="auto"/>
          <w:sz w:val="32"/>
          <w:szCs w:val="32"/>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spacing w:line="360" w:lineRule="auto"/>
        <w:ind w:right="252" w:rightChars="120"/>
        <w:jc w:val="both"/>
        <w:rPr>
          <w:rFonts w:hint="eastAsia" w:ascii="宋体" w:hAnsi="宋体" w:eastAsia="宋体" w:cs="宋体"/>
          <w:b/>
          <w:color w:val="auto"/>
          <w:kern w:val="0"/>
          <w:sz w:val="28"/>
          <w:szCs w:val="28"/>
          <w:highlight w:val="none"/>
          <w:shd w:val="clear" w:color="auto" w:fill="FFFFFF"/>
        </w:rPr>
      </w:pPr>
    </w:p>
    <w:p>
      <w:pPr>
        <w:tabs>
          <w:tab w:val="left" w:pos="525"/>
        </w:tabs>
        <w:spacing w:line="360" w:lineRule="auto"/>
        <w:jc w:val="center"/>
        <w:rPr>
          <w:rFonts w:hint="eastAsia" w:ascii="宋体" w:hAnsi="宋体" w:eastAsia="宋体" w:cs="宋体"/>
          <w:b/>
          <w:color w:val="auto"/>
          <w:kern w:val="0"/>
          <w:sz w:val="28"/>
          <w:szCs w:val="28"/>
          <w:highlight w:val="none"/>
          <w:shd w:val="clear" w:color="auto" w:fill="FFFFFF"/>
        </w:rPr>
      </w:pPr>
    </w:p>
    <w:p>
      <w:pPr>
        <w:tabs>
          <w:tab w:val="left" w:pos="525"/>
        </w:tabs>
        <w:spacing w:line="360" w:lineRule="auto"/>
        <w:jc w:val="center"/>
        <w:rPr>
          <w:rFonts w:hint="eastAsia" w:ascii="宋体" w:hAnsi="宋体" w:eastAsia="宋体" w:cs="宋体"/>
          <w:b/>
          <w:color w:val="auto"/>
          <w:kern w:val="0"/>
          <w:sz w:val="28"/>
          <w:szCs w:val="28"/>
          <w:highlight w:val="none"/>
          <w:shd w:val="clear" w:color="auto" w:fill="FFFFFF"/>
        </w:rPr>
      </w:pPr>
    </w:p>
    <w:p>
      <w:pPr>
        <w:tabs>
          <w:tab w:val="left" w:pos="525"/>
        </w:tabs>
        <w:spacing w:line="360" w:lineRule="auto"/>
        <w:ind w:left="1260" w:leftChars="0" w:firstLine="420" w:firstLineChars="0"/>
        <w:jc w:val="left"/>
        <w:rPr>
          <w:rFonts w:hint="eastAsia" w:ascii="宋体" w:hAnsi="宋体" w:eastAsia="宋体" w:cs="宋体"/>
          <w:b/>
          <w:color w:val="auto"/>
          <w:kern w:val="0"/>
          <w:sz w:val="28"/>
          <w:szCs w:val="28"/>
          <w:highlight w:val="none"/>
          <w:shd w:val="clear" w:color="auto" w:fill="FFFFFF"/>
          <w:lang w:eastAsia="zh-CN"/>
        </w:rPr>
      </w:pPr>
      <w:r>
        <w:rPr>
          <w:rFonts w:hint="eastAsia" w:ascii="宋体" w:hAnsi="宋体" w:eastAsia="宋体" w:cs="宋体"/>
          <w:b/>
          <w:color w:val="auto"/>
          <w:kern w:val="0"/>
          <w:sz w:val="28"/>
          <w:szCs w:val="28"/>
          <w:highlight w:val="none"/>
          <w:shd w:val="clear" w:color="auto" w:fill="FFFFFF"/>
        </w:rPr>
        <w:t>采 购 人：</w:t>
      </w:r>
      <w:r>
        <w:rPr>
          <w:rFonts w:hint="eastAsia" w:ascii="宋体" w:hAnsi="宋体" w:eastAsia="宋体" w:cs="宋体"/>
          <w:b/>
          <w:color w:val="auto"/>
          <w:kern w:val="0"/>
          <w:sz w:val="28"/>
          <w:szCs w:val="28"/>
          <w:highlight w:val="none"/>
          <w:shd w:val="clear" w:color="auto" w:fill="FFFFFF"/>
          <w:lang w:eastAsia="zh-CN"/>
        </w:rPr>
        <w:t>西安市长安区马王街道办事处</w:t>
      </w:r>
    </w:p>
    <w:p>
      <w:pPr>
        <w:tabs>
          <w:tab w:val="left" w:pos="525"/>
        </w:tabs>
        <w:spacing w:line="360" w:lineRule="auto"/>
        <w:ind w:left="1678" w:leftChars="799" w:firstLine="1"/>
        <w:jc w:val="left"/>
        <w:rPr>
          <w:rFonts w:hint="eastAsia" w:ascii="宋体" w:hAnsi="宋体" w:eastAsia="宋体" w:cs="宋体"/>
          <w:b/>
          <w:bCs/>
          <w:color w:val="auto"/>
          <w:sz w:val="28"/>
          <w:szCs w:val="28"/>
          <w:highlight w:val="none"/>
          <w:shd w:val="clear" w:color="auto" w:fill="FFFFFF"/>
          <w:lang w:eastAsia="zh-CN"/>
        </w:rPr>
      </w:pPr>
      <w:r>
        <w:rPr>
          <w:rFonts w:hint="eastAsia" w:ascii="宋体" w:hAnsi="宋体" w:cs="宋体"/>
          <w:b/>
          <w:color w:val="auto"/>
          <w:kern w:val="0"/>
          <w:sz w:val="28"/>
          <w:szCs w:val="28"/>
          <w:highlight w:val="none"/>
          <w:shd w:val="clear" w:color="auto" w:fill="FFFFFF"/>
          <w:lang w:val="en-US" w:eastAsia="zh-CN"/>
        </w:rPr>
        <w:t>代理机构：</w:t>
      </w:r>
      <w:r>
        <w:rPr>
          <w:rFonts w:hint="eastAsia" w:ascii="宋体" w:hAnsi="宋体" w:eastAsia="宋体" w:cs="宋体"/>
          <w:b/>
          <w:bCs/>
          <w:color w:val="auto"/>
          <w:sz w:val="28"/>
          <w:szCs w:val="28"/>
          <w:highlight w:val="none"/>
          <w:shd w:val="clear" w:color="auto" w:fill="FFFFFF"/>
          <w:lang w:eastAsia="zh-CN"/>
        </w:rPr>
        <w:t>华睿诚项目管理有限公司</w:t>
      </w:r>
    </w:p>
    <w:p>
      <w:pPr>
        <w:spacing w:before="120" w:beforeLines="50" w:line="360" w:lineRule="auto"/>
        <w:jc w:val="center"/>
        <w:rPr>
          <w:rFonts w:hint="eastAsia" w:ascii="宋体" w:hAnsi="宋体" w:eastAsia="宋体" w:cs="宋体"/>
          <w:b/>
          <w:bCs/>
          <w:color w:val="auto"/>
          <w:sz w:val="28"/>
          <w:szCs w:val="28"/>
          <w:highlight w:val="none"/>
          <w:shd w:val="clear" w:color="auto" w:fill="FFFFFF"/>
        </w:rPr>
      </w:pPr>
    </w:p>
    <w:p>
      <w:pPr>
        <w:spacing w:before="120" w:beforeLines="50" w:line="360" w:lineRule="auto"/>
        <w:jc w:val="center"/>
        <w:rPr>
          <w:rFonts w:hint="eastAsia" w:ascii="宋体" w:hAnsi="宋体" w:eastAsia="宋体" w:cs="宋体"/>
          <w:b/>
          <w:bCs/>
          <w:color w:val="auto"/>
          <w:sz w:val="28"/>
          <w:szCs w:val="28"/>
          <w:highlight w:val="none"/>
          <w:shd w:val="clear" w:color="auto" w:fill="FFFFFF"/>
        </w:rPr>
      </w:pPr>
    </w:p>
    <w:p>
      <w:pPr>
        <w:spacing w:before="120" w:beforeLines="50" w:line="360" w:lineRule="auto"/>
        <w:jc w:val="center"/>
        <w:rPr>
          <w:rFonts w:hint="eastAsia" w:ascii="宋体" w:hAnsi="宋体" w:eastAsia="宋体" w:cs="宋体"/>
          <w:b/>
          <w:bCs/>
          <w:color w:val="auto"/>
          <w:sz w:val="28"/>
          <w:szCs w:val="28"/>
          <w:highlight w:val="none"/>
          <w:shd w:val="clear" w:color="auto" w:fill="FFFFFF"/>
        </w:rPr>
      </w:pPr>
    </w:p>
    <w:p>
      <w:pPr>
        <w:spacing w:before="120" w:beforeLines="50"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28"/>
          <w:szCs w:val="28"/>
          <w:highlight w:val="none"/>
          <w:shd w:val="clear" w:color="auto" w:fill="FFFFFF"/>
        </w:rPr>
        <w:t>二○二</w:t>
      </w:r>
      <w:r>
        <w:rPr>
          <w:rFonts w:hint="eastAsia" w:ascii="宋体" w:hAnsi="宋体" w:eastAsia="宋体" w:cs="宋体"/>
          <w:b/>
          <w:bCs/>
          <w:color w:val="auto"/>
          <w:sz w:val="28"/>
          <w:szCs w:val="28"/>
          <w:highlight w:val="none"/>
          <w:shd w:val="clear" w:color="auto" w:fill="FFFFFF"/>
          <w:lang w:val="en-US" w:eastAsia="zh-CN"/>
        </w:rPr>
        <w:t>三</w:t>
      </w:r>
      <w:r>
        <w:rPr>
          <w:rFonts w:hint="eastAsia" w:ascii="宋体" w:hAnsi="宋体" w:eastAsia="宋体" w:cs="宋体"/>
          <w:b/>
          <w:bCs/>
          <w:color w:val="auto"/>
          <w:sz w:val="28"/>
          <w:szCs w:val="28"/>
          <w:highlight w:val="none"/>
          <w:shd w:val="clear" w:color="auto" w:fill="FFFFFF"/>
        </w:rPr>
        <w:t>年</w:t>
      </w:r>
      <w:r>
        <w:rPr>
          <w:rFonts w:hint="eastAsia" w:ascii="宋体" w:hAnsi="宋体" w:cs="宋体"/>
          <w:b/>
          <w:bCs/>
          <w:color w:val="auto"/>
          <w:sz w:val="28"/>
          <w:szCs w:val="28"/>
          <w:highlight w:val="none"/>
          <w:shd w:val="clear" w:color="auto" w:fill="FFFFFF"/>
          <w:lang w:val="en-US" w:eastAsia="zh-CN"/>
        </w:rPr>
        <w:t>九</w:t>
      </w:r>
      <w:r>
        <w:rPr>
          <w:rFonts w:hint="eastAsia" w:ascii="宋体" w:hAnsi="宋体" w:eastAsia="宋体" w:cs="宋体"/>
          <w:b/>
          <w:bCs/>
          <w:color w:val="auto"/>
          <w:sz w:val="28"/>
          <w:szCs w:val="28"/>
          <w:highlight w:val="none"/>
          <w:shd w:val="clear" w:color="auto" w:fill="FFFFFF"/>
        </w:rPr>
        <w:t>月</w:t>
      </w:r>
    </w:p>
    <w:p>
      <w:pPr>
        <w:spacing w:before="120" w:beforeLines="50" w:line="360" w:lineRule="auto"/>
        <w:jc w:val="center"/>
        <w:rPr>
          <w:rFonts w:hint="eastAsia" w:ascii="宋体" w:hAnsi="宋体" w:eastAsia="宋体" w:cs="宋体"/>
          <w:b/>
          <w:bCs/>
          <w:color w:val="auto"/>
          <w:sz w:val="30"/>
          <w:szCs w:val="30"/>
          <w:highlight w:val="none"/>
        </w:rPr>
      </w:pPr>
    </w:p>
    <w:p>
      <w:pPr>
        <w:spacing w:before="0" w:beforeLines="0" w:after="0" w:afterLines="0" w:line="360" w:lineRule="auto"/>
        <w:ind w:left="0" w:leftChars="0" w:right="0" w:rightChars="0" w:firstLine="0" w:firstLineChars="0"/>
        <w:jc w:val="center"/>
        <w:rPr>
          <w:rFonts w:hint="eastAsia" w:ascii="宋体" w:hAnsi="宋体" w:eastAsia="宋体" w:cs="宋体"/>
          <w:color w:val="auto"/>
          <w:highlight w:val="none"/>
        </w:rPr>
      </w:pPr>
      <w:bookmarkStart w:id="0" w:name="_Toc50152734"/>
      <w:r>
        <w:rPr>
          <w:rFonts w:hint="eastAsia" w:ascii="宋体" w:hAnsi="宋体" w:eastAsia="宋体" w:cs="宋体"/>
          <w:b/>
          <w:bCs/>
          <w:color w:val="auto"/>
          <w:sz w:val="36"/>
          <w:szCs w:val="32"/>
          <w:highlight w:val="none"/>
        </w:rPr>
        <w:br w:type="page"/>
      </w:r>
      <w:r>
        <w:rPr>
          <w:rFonts w:hint="eastAsia" w:ascii="宋体" w:hAnsi="宋体" w:eastAsia="宋体" w:cs="宋体"/>
          <w:b/>
          <w:bCs/>
          <w:color w:val="auto"/>
          <w:sz w:val="36"/>
          <w:szCs w:val="32"/>
          <w:highlight w:val="none"/>
        </w:rPr>
        <w:t>目</w:t>
      </w:r>
      <w:r>
        <w:rPr>
          <w:rFonts w:hint="eastAsia" w:ascii="宋体" w:hAnsi="宋体" w:eastAsia="宋体" w:cs="宋体"/>
          <w:b/>
          <w:bCs/>
          <w:color w:val="auto"/>
          <w:sz w:val="36"/>
          <w:szCs w:val="32"/>
          <w:highlight w:val="none"/>
          <w:lang w:val="en-US" w:eastAsia="zh-CN"/>
        </w:rPr>
        <w:t xml:space="preserve">   </w:t>
      </w:r>
      <w:r>
        <w:rPr>
          <w:rFonts w:hint="eastAsia" w:ascii="宋体" w:hAnsi="宋体" w:eastAsia="宋体" w:cs="宋体"/>
          <w:b/>
          <w:bCs/>
          <w:color w:val="auto"/>
          <w:sz w:val="36"/>
          <w:szCs w:val="32"/>
          <w:highlight w:val="none"/>
        </w:rPr>
        <w:t>录</w:t>
      </w:r>
    </w:p>
    <w:p>
      <w:pPr>
        <w:pStyle w:val="8"/>
        <w:tabs>
          <w:tab w:val="right" w:leader="dot" w:pos="8900"/>
        </w:tabs>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_Toc28507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36"/>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_Toc28507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tabs>
          <w:tab w:val="right" w:leader="dot" w:pos="8900"/>
        </w:tabs>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_Toc15186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36"/>
          <w:highlight w:val="none"/>
        </w:rPr>
        <w:t>第二章  磋商须知及前附表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_Toc15186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tabs>
          <w:tab w:val="right" w:leader="dot" w:pos="8900"/>
        </w:tabs>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_Toc19768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36"/>
          <w:highlight w:val="none"/>
        </w:rPr>
        <w:t>第</w:t>
      </w:r>
      <w:r>
        <w:rPr>
          <w:rFonts w:hint="eastAsia" w:ascii="宋体" w:hAnsi="宋体" w:eastAsia="宋体" w:cs="宋体"/>
          <w:color w:val="auto"/>
          <w:sz w:val="28"/>
          <w:szCs w:val="36"/>
          <w:highlight w:val="none"/>
          <w:lang w:val="en-US" w:eastAsia="zh-CN"/>
        </w:rPr>
        <w:t>三</w:t>
      </w:r>
      <w:r>
        <w:rPr>
          <w:rFonts w:hint="eastAsia" w:ascii="宋体" w:hAnsi="宋体" w:eastAsia="宋体" w:cs="宋体"/>
          <w:color w:val="auto"/>
          <w:sz w:val="28"/>
          <w:szCs w:val="36"/>
          <w:highlight w:val="none"/>
        </w:rPr>
        <w:t>章  磋商内容及技术规范</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_Toc19768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tabs>
          <w:tab w:val="right" w:leader="dot" w:pos="8900"/>
        </w:tabs>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_Toc7074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36"/>
          <w:highlight w:val="none"/>
        </w:rPr>
        <w:t>第</w:t>
      </w:r>
      <w:r>
        <w:rPr>
          <w:rFonts w:hint="eastAsia" w:ascii="宋体" w:hAnsi="宋体" w:eastAsia="宋体" w:cs="宋体"/>
          <w:color w:val="auto"/>
          <w:sz w:val="28"/>
          <w:szCs w:val="36"/>
          <w:highlight w:val="none"/>
          <w:lang w:val="en-US" w:eastAsia="zh-CN"/>
        </w:rPr>
        <w:t>四</w:t>
      </w:r>
      <w:r>
        <w:rPr>
          <w:rFonts w:hint="eastAsia" w:ascii="宋体" w:hAnsi="宋体" w:eastAsia="宋体" w:cs="宋体"/>
          <w:color w:val="auto"/>
          <w:sz w:val="28"/>
          <w:szCs w:val="36"/>
          <w:highlight w:val="none"/>
        </w:rPr>
        <w:t>章  评审方法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_Toc7074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tabs>
          <w:tab w:val="right" w:leader="dot" w:pos="8900"/>
        </w:tabs>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36"/>
          <w:highlight w:val="none"/>
        </w:rPr>
        <w:t>第</w:t>
      </w:r>
      <w:r>
        <w:rPr>
          <w:rFonts w:hint="eastAsia" w:ascii="宋体" w:hAnsi="宋体" w:eastAsia="宋体" w:cs="宋体"/>
          <w:color w:val="auto"/>
          <w:sz w:val="28"/>
          <w:szCs w:val="36"/>
          <w:highlight w:val="none"/>
          <w:lang w:val="en-US" w:eastAsia="zh-CN"/>
        </w:rPr>
        <w:t>五</w:t>
      </w:r>
      <w:r>
        <w:rPr>
          <w:rFonts w:hint="eastAsia" w:ascii="宋体" w:hAnsi="宋体" w:eastAsia="宋体" w:cs="宋体"/>
          <w:color w:val="auto"/>
          <w:sz w:val="28"/>
          <w:szCs w:val="36"/>
          <w:highlight w:val="none"/>
        </w:rPr>
        <w:t>章  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tabs>
          <w:tab w:val="right" w:leader="dot" w:pos="8900"/>
        </w:tabs>
        <w:spacing w:line="72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_Toc17412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36"/>
          <w:highlight w:val="none"/>
        </w:rPr>
        <w:t>第</w:t>
      </w:r>
      <w:r>
        <w:rPr>
          <w:rFonts w:hint="eastAsia" w:ascii="宋体" w:hAnsi="宋体" w:eastAsia="宋体" w:cs="宋体"/>
          <w:color w:val="auto"/>
          <w:sz w:val="28"/>
          <w:szCs w:val="36"/>
          <w:highlight w:val="none"/>
          <w:lang w:val="en-US" w:eastAsia="zh-CN"/>
        </w:rPr>
        <w:t>六</w:t>
      </w:r>
      <w:r>
        <w:rPr>
          <w:rFonts w:hint="eastAsia" w:ascii="宋体" w:hAnsi="宋体" w:eastAsia="宋体" w:cs="宋体"/>
          <w:color w:val="auto"/>
          <w:sz w:val="28"/>
          <w:szCs w:val="36"/>
          <w:highlight w:val="none"/>
        </w:rPr>
        <w:t>章  磋商响应文件格式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_Toc17412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spacing w:line="360" w:lineRule="auto"/>
        <w:jc w:val="center"/>
        <w:rPr>
          <w:rFonts w:hint="eastAsia" w:ascii="宋体" w:hAnsi="宋体" w:eastAsia="宋体" w:cs="宋体"/>
          <w:color w:val="auto"/>
          <w:highlight w:val="none"/>
        </w:rPr>
        <w:sectPr>
          <w:headerReference r:id="rId4" w:type="first"/>
          <w:headerReference r:id="rId3" w:type="default"/>
          <w:pgSz w:w="11906" w:h="16838"/>
          <w:pgMar w:top="1418" w:right="1418" w:bottom="1418" w:left="1588" w:header="851" w:footer="992" w:gutter="0"/>
          <w:pgNumType w:fmt="decimal" w:start="1"/>
          <w:cols w:space="720" w:num="1"/>
          <w:titlePg/>
          <w:docGrid w:linePitch="312" w:charSpace="0"/>
        </w:sectPr>
      </w:pPr>
      <w:r>
        <w:rPr>
          <w:rFonts w:hint="eastAsia" w:ascii="宋体" w:hAnsi="宋体" w:eastAsia="宋体" w:cs="宋体"/>
          <w:color w:val="auto"/>
          <w:highlight w:val="none"/>
        </w:rPr>
        <w:fldChar w:fldCharType="end"/>
      </w:r>
      <w:bookmarkStart w:id="1" w:name="_Toc28507"/>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bCs w:val="0"/>
          <w:color w:val="auto"/>
          <w:sz w:val="32"/>
          <w:szCs w:val="32"/>
          <w:highlight w:val="none"/>
        </w:rPr>
        <w:t>第一章  竞争性磋商公告</w:t>
      </w:r>
      <w:bookmarkEnd w:id="0"/>
      <w:bookmarkEnd w:id="1"/>
    </w:p>
    <w:tbl>
      <w:tblPr>
        <w:tblStyle w:val="15"/>
        <w:tblW w:w="9232"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232" w:type="dxa"/>
            <w:noWrap w:val="0"/>
            <w:vAlign w:val="top"/>
          </w:tcPr>
          <w:p>
            <w:pPr>
              <w:spacing w:line="360" w:lineRule="auto"/>
              <w:rPr>
                <w:rFonts w:hint="eastAsia" w:ascii="宋体" w:hAnsi="宋体" w:eastAsia="宋体" w:cs="宋体"/>
                <w:b/>
                <w:color w:val="auto"/>
                <w:kern w:val="0"/>
                <w:sz w:val="24"/>
                <w:szCs w:val="22"/>
                <w:highlight w:val="none"/>
                <w:lang w:eastAsia="zh-CN"/>
              </w:rPr>
            </w:pPr>
            <w:r>
              <w:rPr>
                <w:rFonts w:hint="eastAsia" w:ascii="宋体" w:hAnsi="宋体" w:eastAsia="宋体" w:cs="宋体"/>
                <w:b/>
                <w:color w:val="auto"/>
                <w:kern w:val="0"/>
                <w:sz w:val="24"/>
                <w:szCs w:val="22"/>
                <w:highlight w:val="none"/>
                <w:lang w:eastAsia="zh-CN"/>
              </w:rPr>
              <w:t>项目概况</w:t>
            </w:r>
          </w:p>
          <w:p>
            <w:pPr>
              <w:spacing w:line="360" w:lineRule="auto"/>
              <w:ind w:firstLine="472" w:firstLineChars="196"/>
              <w:rPr>
                <w:rFonts w:hint="eastAsia" w:ascii="宋体" w:hAnsi="宋体" w:eastAsia="宋体" w:cs="宋体"/>
                <w:b/>
                <w:color w:val="auto"/>
                <w:kern w:val="0"/>
                <w:highlight w:val="none"/>
                <w:vertAlign w:val="baseline"/>
                <w:lang w:eastAsia="zh-CN"/>
              </w:rPr>
            </w:pPr>
            <w:r>
              <w:rPr>
                <w:rFonts w:hint="eastAsia" w:ascii="宋体" w:hAnsi="宋体" w:cs="宋体"/>
                <w:b/>
                <w:color w:val="auto"/>
                <w:kern w:val="0"/>
                <w:sz w:val="24"/>
                <w:szCs w:val="22"/>
                <w:highlight w:val="none"/>
                <w:lang w:eastAsia="zh-CN"/>
              </w:rPr>
              <w:t>2023年马王街道人行道改造东农行桥头工程</w:t>
            </w:r>
            <w:r>
              <w:rPr>
                <w:rFonts w:hint="eastAsia" w:ascii="宋体" w:hAnsi="宋体" w:eastAsia="宋体" w:cs="宋体"/>
                <w:b/>
                <w:color w:val="auto"/>
                <w:kern w:val="0"/>
                <w:sz w:val="24"/>
                <w:szCs w:val="22"/>
                <w:highlight w:val="none"/>
              </w:rPr>
              <w:t>潜在的供应商可在全国公共资源交易平台（陕西省•西咸新区）获取采购文件，并于</w:t>
            </w:r>
            <w:r>
              <w:rPr>
                <w:rFonts w:hint="eastAsia" w:ascii="宋体" w:hAnsi="宋体" w:eastAsia="宋体" w:cs="宋体"/>
                <w:b/>
                <w:color w:val="auto"/>
                <w:kern w:val="0"/>
                <w:sz w:val="24"/>
                <w:szCs w:val="22"/>
                <w:highlight w:val="none"/>
                <w:u w:val="none"/>
                <w:lang w:eastAsia="zh-CN"/>
              </w:rPr>
              <w:t>2023年</w:t>
            </w:r>
            <w:r>
              <w:rPr>
                <w:rFonts w:hint="eastAsia" w:ascii="宋体" w:hAnsi="宋体" w:cs="宋体"/>
                <w:b/>
                <w:color w:val="auto"/>
                <w:kern w:val="0"/>
                <w:sz w:val="24"/>
                <w:szCs w:val="22"/>
                <w:highlight w:val="none"/>
                <w:u w:val="none"/>
                <w:lang w:val="en-US" w:eastAsia="zh-CN"/>
              </w:rPr>
              <w:t>9</w:t>
            </w:r>
            <w:r>
              <w:rPr>
                <w:rFonts w:hint="eastAsia" w:ascii="宋体" w:hAnsi="宋体" w:eastAsia="宋体" w:cs="宋体"/>
                <w:b/>
                <w:color w:val="auto"/>
                <w:kern w:val="0"/>
                <w:sz w:val="24"/>
                <w:szCs w:val="22"/>
                <w:highlight w:val="none"/>
                <w:u w:val="none"/>
                <w:lang w:eastAsia="zh-CN"/>
              </w:rPr>
              <w:t>月</w:t>
            </w:r>
            <w:r>
              <w:rPr>
                <w:rFonts w:hint="eastAsia" w:ascii="宋体" w:hAnsi="宋体" w:cs="宋体"/>
                <w:b/>
                <w:color w:val="auto"/>
                <w:kern w:val="0"/>
                <w:sz w:val="24"/>
                <w:szCs w:val="22"/>
                <w:highlight w:val="none"/>
                <w:u w:val="none"/>
                <w:lang w:val="en-US" w:eastAsia="zh-CN"/>
              </w:rPr>
              <w:t>19</w:t>
            </w:r>
            <w:r>
              <w:rPr>
                <w:rFonts w:hint="eastAsia" w:ascii="宋体" w:hAnsi="宋体" w:eastAsia="宋体" w:cs="宋体"/>
                <w:b/>
                <w:color w:val="auto"/>
                <w:kern w:val="0"/>
                <w:sz w:val="24"/>
                <w:szCs w:val="22"/>
                <w:highlight w:val="none"/>
                <w:u w:val="none"/>
                <w:lang w:eastAsia="zh-CN"/>
              </w:rPr>
              <w:t>日</w:t>
            </w:r>
            <w:r>
              <w:rPr>
                <w:rFonts w:hint="eastAsia" w:ascii="宋体" w:hAnsi="宋体" w:cs="宋体"/>
                <w:b/>
                <w:color w:val="auto"/>
                <w:kern w:val="0"/>
                <w:sz w:val="24"/>
                <w:szCs w:val="22"/>
                <w:highlight w:val="none"/>
                <w:u w:val="none"/>
                <w:lang w:val="en-US" w:eastAsia="zh-CN"/>
              </w:rPr>
              <w:t>14</w:t>
            </w:r>
            <w:r>
              <w:rPr>
                <w:rFonts w:hint="eastAsia" w:ascii="宋体" w:hAnsi="宋体" w:eastAsia="宋体" w:cs="宋体"/>
                <w:b/>
                <w:color w:val="auto"/>
                <w:kern w:val="0"/>
                <w:sz w:val="24"/>
                <w:szCs w:val="22"/>
                <w:highlight w:val="none"/>
              </w:rPr>
              <w:t>时</w:t>
            </w:r>
            <w:r>
              <w:rPr>
                <w:rFonts w:hint="eastAsia" w:ascii="宋体" w:hAnsi="宋体" w:cs="宋体"/>
                <w:b/>
                <w:color w:val="auto"/>
                <w:kern w:val="0"/>
                <w:sz w:val="24"/>
                <w:szCs w:val="22"/>
                <w:highlight w:val="none"/>
                <w:u w:val="none"/>
                <w:lang w:val="en-US" w:eastAsia="zh-CN"/>
              </w:rPr>
              <w:t>00</w:t>
            </w:r>
            <w:r>
              <w:rPr>
                <w:rFonts w:hint="eastAsia" w:ascii="宋体" w:hAnsi="宋体" w:eastAsia="宋体" w:cs="宋体"/>
                <w:b/>
                <w:color w:val="auto"/>
                <w:kern w:val="0"/>
                <w:sz w:val="24"/>
                <w:szCs w:val="22"/>
                <w:highlight w:val="none"/>
              </w:rPr>
              <w:t>分（北京时间）前提交响应文件。</w:t>
            </w:r>
          </w:p>
        </w:tc>
      </w:tr>
    </w:tbl>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一、项目基本情况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项目编号：</w:t>
      </w:r>
      <w:r>
        <w:rPr>
          <w:rFonts w:hint="eastAsia" w:cs="宋体"/>
          <w:color w:val="auto"/>
          <w:kern w:val="2"/>
          <w:sz w:val="24"/>
          <w:szCs w:val="24"/>
          <w:highlight w:val="none"/>
          <w:shd w:val="clear" w:color="auto" w:fill="FFFFFF"/>
          <w:lang w:val="en-US" w:eastAsia="zh-CN" w:bidi="ar-SA"/>
        </w:rPr>
        <w:t>HRC-ZBDL-2023-01207</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项目名称：</w:t>
      </w:r>
      <w:r>
        <w:rPr>
          <w:rFonts w:hint="eastAsia" w:cs="宋体"/>
          <w:color w:val="auto"/>
          <w:kern w:val="2"/>
          <w:sz w:val="24"/>
          <w:szCs w:val="24"/>
          <w:highlight w:val="none"/>
          <w:shd w:val="clear" w:color="auto" w:fill="FFFFFF"/>
          <w:lang w:val="en-US" w:eastAsia="zh-CN" w:bidi="ar-SA"/>
        </w:rPr>
        <w:t>2023年马王街道人行道改造东农行桥头工程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采购方式：竞争性磋商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预算金额：2,807,734.91元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20" w:firstLineChars="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采购需求：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57" w:firstLineChars="274"/>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合同包1(</w:t>
      </w:r>
      <w:r>
        <w:rPr>
          <w:rFonts w:hint="eastAsia" w:cs="宋体"/>
          <w:color w:val="auto"/>
          <w:kern w:val="2"/>
          <w:sz w:val="24"/>
          <w:szCs w:val="24"/>
          <w:highlight w:val="none"/>
          <w:shd w:val="clear" w:color="auto" w:fill="FFFFFF"/>
          <w:lang w:val="en-US" w:eastAsia="zh-CN" w:bidi="ar-SA"/>
        </w:rPr>
        <w:t>2023年马王街道人行道改造东农行桥头工程</w:t>
      </w:r>
      <w:r>
        <w:rPr>
          <w:rFonts w:hint="eastAsia" w:ascii="宋体" w:hAnsi="宋体" w:eastAsia="宋体" w:cs="宋体"/>
          <w:color w:val="auto"/>
          <w:kern w:val="2"/>
          <w:sz w:val="24"/>
          <w:szCs w:val="24"/>
          <w:highlight w:val="none"/>
          <w:shd w:val="clear" w:color="auto" w:fill="FFFFFF"/>
          <w:lang w:val="en-US" w:eastAsia="zh-CN" w:bidi="ar-SA"/>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57" w:firstLineChars="274"/>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合同包预算金额：2,807,734.91元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57" w:firstLineChars="274"/>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合同包最高限价：2,807,734.91元</w:t>
      </w:r>
    </w:p>
    <w:tbl>
      <w:tblPr>
        <w:tblStyle w:val="14"/>
        <w:tblW w:w="9647" w:type="dxa"/>
        <w:tblInd w:w="-9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36"/>
        <w:gridCol w:w="1322"/>
        <w:gridCol w:w="1268"/>
        <w:gridCol w:w="1096"/>
        <w:gridCol w:w="1472"/>
        <w:gridCol w:w="1750"/>
        <w:gridCol w:w="17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7" w:hRule="atLeast"/>
          <w:tblHeader/>
        </w:trPr>
        <w:tc>
          <w:tcPr>
            <w:tcW w:w="10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3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4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7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7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13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其他建筑工程</w:t>
            </w:r>
          </w:p>
        </w:tc>
        <w:tc>
          <w:tcPr>
            <w:tcW w:w="1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2023年马王街道人行道改造东农行桥头工程</w:t>
            </w:r>
          </w:p>
        </w:tc>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4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详见采购</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文件</w:t>
            </w:r>
          </w:p>
        </w:tc>
        <w:tc>
          <w:tcPr>
            <w:tcW w:w="17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2,807,734.91</w:t>
            </w:r>
            <w:r>
              <w:rPr>
                <w:rFonts w:hint="eastAsia" w:ascii="宋体" w:hAnsi="宋体" w:eastAsia="宋体" w:cs="宋体"/>
                <w:color w:val="auto"/>
                <w:sz w:val="24"/>
                <w:szCs w:val="24"/>
                <w:highlight w:val="none"/>
              </w:rPr>
              <w:tab/>
            </w:r>
          </w:p>
        </w:tc>
        <w:tc>
          <w:tcPr>
            <w:tcW w:w="17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2,807,734.91</w:t>
            </w:r>
            <w:r>
              <w:rPr>
                <w:rFonts w:hint="eastAsia" w:ascii="宋体" w:hAnsi="宋体" w:eastAsia="宋体" w:cs="宋体"/>
                <w:color w:val="auto"/>
                <w:sz w:val="24"/>
                <w:szCs w:val="24"/>
                <w:highlight w:val="none"/>
              </w:rPr>
              <w:tab/>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本合同包不接受联合体投标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default"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合同履行期限：</w:t>
      </w:r>
      <w:r>
        <w:rPr>
          <w:rFonts w:hint="eastAsia" w:cs="宋体"/>
          <w:color w:val="auto"/>
          <w:kern w:val="2"/>
          <w:sz w:val="24"/>
          <w:szCs w:val="24"/>
          <w:highlight w:val="none"/>
          <w:shd w:val="clear" w:color="auto" w:fill="FFFFFF"/>
          <w:lang w:val="en-US" w:eastAsia="zh-CN" w:bidi="ar-SA"/>
        </w:rPr>
        <w:t>自合同签订之日起4个月</w:t>
      </w:r>
    </w:p>
    <w:p>
      <w:pPr>
        <w:spacing w:line="360" w:lineRule="auto"/>
        <w:ind w:firstLine="472" w:firstLineChars="196"/>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二、申请人的资格要求：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899" w:firstLineChars="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1.满足《中华人民共和国政府采购法》第二十二条规定;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899" w:firstLineChars="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2.落实政府采购政策需满足的资格要求：本项目专门面向中小企业采购。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899" w:firstLineChars="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3.本项目的特定资格要求：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899" w:firstLineChars="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合同包1(</w:t>
      </w:r>
      <w:r>
        <w:rPr>
          <w:rFonts w:hint="eastAsia" w:cs="宋体"/>
          <w:color w:val="auto"/>
          <w:kern w:val="2"/>
          <w:sz w:val="24"/>
          <w:szCs w:val="24"/>
          <w:highlight w:val="none"/>
          <w:shd w:val="clear" w:color="auto" w:fill="FFFFFF"/>
          <w:lang w:val="en-US" w:eastAsia="zh-CN" w:bidi="ar-SA"/>
        </w:rPr>
        <w:t>2023年马王街道人行道改造东农行桥头工程</w:t>
      </w:r>
      <w:r>
        <w:rPr>
          <w:rFonts w:hint="eastAsia" w:ascii="宋体" w:hAnsi="宋体" w:eastAsia="宋体" w:cs="宋体"/>
          <w:color w:val="auto"/>
          <w:kern w:val="2"/>
          <w:sz w:val="24"/>
          <w:szCs w:val="24"/>
          <w:highlight w:val="none"/>
          <w:shd w:val="clear" w:color="auto" w:fill="FFFFFF"/>
          <w:lang w:val="en-US" w:eastAsia="zh-CN" w:bidi="ar-SA"/>
        </w:rPr>
        <w:t>)特定资格要求如下: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3.1法定代表人授权委托书：法定代表人参加磋商的，须出示身份证明和身份证原件；法定代表人授权他人参加磋商的，须提供法定代表人授权委托书及被授权人身份证；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3.2供应商须具备市政公用工程施工总承包三级及以上资质，具有有效的安全生产许可证；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3.3拟派项目经理须具备市政公用工程专业二级及以上注册建造师执业资格和有效的安全生产考核合格证书（建安 B 证），且未担任其他在建设工程的项目经理；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3.4供应商负责人为同一人或者存在直接控股、管理关系的不同单位不得同时参与同一合同下的磋商。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3.5供应商不得为“信用中国”网站（www.creditchina.gov.cn）中列入“失信被执行人”（中国执行信息公开网http://zxgk.court.gov.cn/shixin/）和“重大税收违法案件”当事人名单的供应商，不得为中国政府采购网（www.ccgp.gov.cn）政府采购“严重违法失信行为记录名单”中被财政部门禁止参加政府采购活动的供应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both"/>
        <w:rPr>
          <w:rFonts w:hint="eastAsia" w:ascii="宋体" w:hAnsi="宋体" w:eastAsia="宋体" w:cs="宋体"/>
          <w:b/>
          <w:bCs w:val="0"/>
          <w:color w:val="auto"/>
          <w:kern w:val="0"/>
          <w:sz w:val="24"/>
          <w:szCs w:val="22"/>
          <w:highlight w:val="none"/>
          <w:lang w:val="en-US" w:eastAsia="zh-CN" w:bidi="ar-SA"/>
        </w:rPr>
      </w:pPr>
      <w:r>
        <w:rPr>
          <w:rFonts w:hint="eastAsia" w:ascii="宋体" w:hAnsi="宋体" w:eastAsia="宋体" w:cs="宋体"/>
          <w:b/>
          <w:bCs w:val="0"/>
          <w:color w:val="auto"/>
          <w:kern w:val="0"/>
          <w:sz w:val="24"/>
          <w:szCs w:val="22"/>
          <w:highlight w:val="none"/>
          <w:lang w:val="en-US" w:eastAsia="zh-CN" w:bidi="ar-SA"/>
        </w:rPr>
        <w:t>三、获取采购文件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时间：2023年09月07日 至 2023年09月13日 ，每天上午 00:00:00 至 12:00:00 ，下午 12:00:00 至 23:59:59 （北京时间）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途径：全国公共资源交易平台（陕西省·西咸新区）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方式：在线获取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售价：0元</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四、响应文件递交</w:t>
      </w:r>
    </w:p>
    <w:p>
      <w:pPr>
        <w:spacing w:line="360" w:lineRule="auto"/>
        <w:ind w:firstLine="480" w:firstLineChars="200"/>
        <w:rPr>
          <w:rFonts w:hint="eastAsia" w:ascii="宋体" w:hAnsi="宋体" w:eastAsia="宋体" w:cs="宋体"/>
          <w:color w:val="auto"/>
          <w:sz w:val="24"/>
          <w:szCs w:val="24"/>
          <w:highlight w:val="none"/>
          <w:u w:val="none"/>
          <w:shd w:val="clear" w:color="auto" w:fill="FFFFFF"/>
        </w:rPr>
      </w:pPr>
      <w:r>
        <w:rPr>
          <w:rFonts w:hint="eastAsia" w:ascii="宋体" w:hAnsi="宋体" w:eastAsia="宋体" w:cs="宋体"/>
          <w:color w:val="auto"/>
          <w:sz w:val="24"/>
          <w:szCs w:val="24"/>
          <w:highlight w:val="none"/>
          <w:shd w:val="clear" w:color="auto" w:fill="FFFFFF"/>
        </w:rPr>
        <w:t>1．截止时间：2023年9月19日14时00分（北京时间）</w:t>
      </w:r>
    </w:p>
    <w:p>
      <w:pPr>
        <w:spacing w:line="360" w:lineRule="auto"/>
        <w:ind w:firstLine="470" w:firstLineChars="196"/>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 地点：全国公共资源交易平台（陕西省·西咸新区）网上递交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五、响应文件开启</w:t>
      </w:r>
      <w:r>
        <w:rPr>
          <w:rFonts w:hint="eastAsia" w:ascii="宋体" w:hAnsi="宋体" w:eastAsia="宋体" w:cs="宋体"/>
          <w:color w:val="auto"/>
          <w:sz w:val="24"/>
          <w:szCs w:val="24"/>
          <w:highlight w:val="none"/>
        </w:rPr>
        <w:t>：</w:t>
      </w:r>
    </w:p>
    <w:p>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1、时间：2023年9月19日14时00分（北京时间）</w:t>
      </w:r>
    </w:p>
    <w:p>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2、地点：全国公共资源交易平台（陕西省·西咸新区）-电子交易平台-西咸新区公共资源交易不见面开标系统</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六、公告期限</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本磋商公告期限为自发布之日起3个工作日。</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1.采购标的对应的中小企业划分标准所属行业为建筑业。</w:t>
      </w:r>
    </w:p>
    <w:p>
      <w:pPr>
        <w:pStyle w:val="12"/>
        <w:keepNext w:val="0"/>
        <w:keepLines w:val="0"/>
        <w:pageBreakBefore w:val="0"/>
        <w:widowControl w:val="0"/>
        <w:kinsoku/>
        <w:wordWrap/>
        <w:overflowPunct/>
        <w:topLinePunct w:val="0"/>
        <w:autoSpaceDE/>
        <w:autoSpaceDN/>
        <w:bidi w:val="0"/>
        <w:adjustRightInd/>
        <w:snapToGrid/>
        <w:spacing w:line="360" w:lineRule="auto"/>
        <w:ind w:left="216" w:leftChars="103" w:firstLine="240" w:firstLineChars="1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2.按照陕西省财政厅《关于政府采购供应商注册登记有关事项的通知》中的要求,</w:t>
      </w:r>
      <w:r>
        <w:rPr>
          <w:rFonts w:hint="eastAsia" w:ascii="宋体" w:hAnsi="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供应商应通过陕西省政府采购网 (http://www.ccgp shaanxi.gov.cn/)注册登记 ,加</w:t>
      </w:r>
      <w:r>
        <w:rPr>
          <w:rFonts w:hint="eastAsia" w:ascii="宋体" w:hAnsi="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入陕西省政府采购供应商库</w:t>
      </w:r>
      <w:r>
        <w:rPr>
          <w:rFonts w:hint="eastAsia" w:ascii="宋体" w:hAnsi="宋体" w:cs="宋体"/>
          <w:color w:val="auto"/>
          <w:kern w:val="0"/>
          <w:sz w:val="24"/>
          <w:szCs w:val="24"/>
          <w:highlight w:val="none"/>
          <w:lang w:val="en-US" w:eastAsia="zh-CN" w:bidi="ar-SA"/>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right="0" w:rightChars="0" w:firstLine="418"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3.本项目采购活动执行下列政府采购政策（具体办法详见竞争性磋商文件）：1、《财政部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发展改革委生态环境部市场监管总局关于调整优化节能产品、环境标志产品政府采购执行机制的通知》（财库〔2019〕9号）；7、《关于运用政府采购政策支持乡村产业振兴的通知》（财库〔2021〕19号）；8、《政府采购促进中小企业发展管理办法》（财库〔2020〕46号）；9、《陕西省中小企业政府采购信用融资办法》（陕财办采〔2018〕23号）；10、陕西省财政厅《关于进一步加强政府绿色采购有关问题的通知》陕财办采〔2021〕29号；11）《关于进一步加大政府采购支持中小企业力度的通知》（财库〔2022〕19号</w:t>
      </w:r>
      <w:r>
        <w:rPr>
          <w:rFonts w:hint="eastAsia" w:ascii="宋体" w:hAnsi="宋体" w:cs="宋体"/>
          <w:color w:val="auto"/>
          <w:kern w:val="0"/>
          <w:sz w:val="24"/>
          <w:szCs w:val="24"/>
          <w:highlight w:val="none"/>
          <w:lang w:val="en-US" w:eastAsia="zh-CN" w:bidi="ar-SA"/>
        </w:rPr>
        <w:t>；12）其他需要落实的政府采购政策</w:t>
      </w:r>
      <w:r>
        <w:rPr>
          <w:rFonts w:hint="eastAsia" w:ascii="宋体" w:hAnsi="宋体" w:eastAsia="宋体" w:cs="宋体"/>
          <w:color w:val="auto"/>
          <w:kern w:val="0"/>
          <w:sz w:val="24"/>
          <w:szCs w:val="24"/>
          <w:highlight w:val="none"/>
          <w:lang w:val="en-US" w:eastAsia="zh-CN" w:bidi="ar-SA"/>
        </w:rPr>
        <w:t>。</w:t>
      </w:r>
    </w:p>
    <w:p>
      <w:pPr>
        <w:spacing w:line="360" w:lineRule="auto"/>
        <w:ind w:firstLine="710" w:firstLineChars="296"/>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特别提醒：1.网上确认流程：登录全国公共资源交易平台（陕西省·西咸新区）（http://xxxq.sxggzyjy.cn/），选择“电子交易平台-陕西政府采购交易系统”进行登录，登录后选择“交易乙方”，选择本项目，选择“我要投标”填写相关信息后提交确认。2.获取采购文件方式：选择本项目点击“项目流程”进入采购文件下载页面，点击“交易文件下载”即可下载该项目发布的电子采购文件。供应商须在获取采购文件时限内（即发售时间内）登录陕西省西咸新区公共资源交易中心平台系统，直接下载采购文件（后缀为SXSZF的文件）。逾期下载通道将关闭，如因未及时下载采购文件影响后续开评标活动，后果供应商自负。3、本项目采用“不见面开标”方式，各供应商可登录全国公共资源交易平台（陕西省·西咸新区）（http://ggzyjy.xixianxinqu.gov.cn/xwzx/002002/20210721/d7421699-e891-4f40-b441-dccc415e05b3.html）下载操作手册,并在磋商响应文件递交截止时间前通过全国公共资源交易平台（陕西省·西咸新区）递交电子磋商响应文件。因供应商自身设施故障或自身原因导致无法完成签到或响应的，由供应商自行承担后果。</w:t>
      </w:r>
    </w:p>
    <w:p>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八、对本次采购提出询问，请按以下方式联系。</w:t>
      </w:r>
    </w:p>
    <w:p>
      <w:pPr>
        <w:spacing w:line="360" w:lineRule="auto"/>
        <w:ind w:firstLine="888" w:firstLineChars="3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spacing w:line="360" w:lineRule="auto"/>
        <w:ind w:left="420" w:leftChars="0" w:firstLine="42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名称：西安市长安区马王街道办事处</w:t>
      </w:r>
    </w:p>
    <w:p>
      <w:pPr>
        <w:spacing w:line="360" w:lineRule="auto"/>
        <w:ind w:left="420" w:leftChars="0" w:firstLine="42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地址：西安市长安区马王街道沣京中路8号</w:t>
      </w:r>
    </w:p>
    <w:p>
      <w:pPr>
        <w:spacing w:line="360" w:lineRule="auto"/>
        <w:ind w:left="420" w:leftChars="0" w:firstLine="42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联系方式：029-85853416</w:t>
      </w:r>
    </w:p>
    <w:p>
      <w:pPr>
        <w:spacing w:line="360" w:lineRule="auto"/>
        <w:ind w:firstLine="888" w:firstLineChars="3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spacing w:line="360" w:lineRule="auto"/>
        <w:ind w:firstLine="888" w:firstLineChars="37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名称：华睿诚项目管理有限公司</w:t>
      </w:r>
    </w:p>
    <w:p>
      <w:pPr>
        <w:spacing w:line="360" w:lineRule="auto"/>
        <w:ind w:firstLine="888" w:firstLineChars="37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地址：陕西省西安市曲江新区雁翔路3269号旺座曲江E座29层2901号</w:t>
      </w:r>
    </w:p>
    <w:p>
      <w:pPr>
        <w:spacing w:line="360" w:lineRule="auto"/>
        <w:ind w:firstLine="888" w:firstLineChars="37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联系方式：029-85393806</w:t>
      </w:r>
    </w:p>
    <w:p>
      <w:pPr>
        <w:spacing w:line="360" w:lineRule="auto"/>
        <w:ind w:firstLine="897" w:firstLineChars="374"/>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3.项目联系方式</w:t>
      </w:r>
    </w:p>
    <w:p>
      <w:pPr>
        <w:spacing w:line="360" w:lineRule="auto"/>
        <w:ind w:firstLine="888" w:firstLineChars="370"/>
        <w:rPr>
          <w:rFonts w:hint="eastAsia" w:ascii="宋体" w:hAnsi="宋体" w:eastAsia="宋体" w:cs="宋体"/>
          <w:color w:val="auto"/>
          <w:sz w:val="24"/>
          <w:szCs w:val="24"/>
          <w:highlight w:val="none"/>
          <w:lang w:eastAsia="zh-CN"/>
        </w:rPr>
      </w:pPr>
      <w:bookmarkStart w:id="2" w:name="_Toc480470710"/>
      <w:bookmarkStart w:id="3" w:name="_Toc50152735"/>
      <w:r>
        <w:rPr>
          <w:rFonts w:hint="eastAsia" w:ascii="宋体" w:hAnsi="宋体" w:eastAsia="宋体" w:cs="宋体"/>
          <w:color w:val="auto"/>
          <w:sz w:val="24"/>
          <w:szCs w:val="24"/>
          <w:highlight w:val="none"/>
          <w:lang w:eastAsia="zh-CN"/>
        </w:rPr>
        <w:t>项目联系人：王琛</w:t>
      </w:r>
    </w:p>
    <w:p>
      <w:pPr>
        <w:spacing w:line="360" w:lineRule="auto"/>
        <w:ind w:firstLine="888" w:firstLineChars="37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电话：18681802917</w:t>
      </w:r>
    </w:p>
    <w:p>
      <w:pPr>
        <w:pStyle w:val="12"/>
        <w:spacing w:line="360" w:lineRule="auto"/>
        <w:ind w:left="0" w:leftChars="0" w:firstLine="0" w:firstLine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Start w:id="4" w:name="_Toc15186"/>
      <w:r>
        <w:rPr>
          <w:rFonts w:hint="eastAsia" w:ascii="宋体" w:hAnsi="宋体" w:eastAsia="宋体" w:cs="宋体"/>
          <w:b/>
          <w:color w:val="auto"/>
          <w:sz w:val="32"/>
          <w:szCs w:val="32"/>
          <w:highlight w:val="none"/>
        </w:rPr>
        <w:t>第二章  磋商须知及前附表</w:t>
      </w:r>
      <w:bookmarkEnd w:id="2"/>
      <w:bookmarkEnd w:id="3"/>
      <w:bookmarkEnd w:id="4"/>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磋商须知前附表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（本表是对磋商须知的提示、补充和修改，如有矛盾，应以本表为准。）</w:t>
      </w:r>
    </w:p>
    <w:tbl>
      <w:tblPr>
        <w:tblStyle w:val="14"/>
        <w:tblW w:w="10484"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2"/>
        <w:gridCol w:w="2722"/>
        <w:gridCol w:w="6900"/>
      </w:tblGrid>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blHeader/>
          <w:jc w:val="center"/>
        </w:trPr>
        <w:tc>
          <w:tcPr>
            <w:tcW w:w="862" w:type="dxa"/>
            <w:tcBorders>
              <w:top w:val="single" w:color="auto" w:sz="6" w:space="0"/>
              <w:left w:val="single" w:color="auto" w:sz="6"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722" w:type="dxa"/>
            <w:tcBorders>
              <w:top w:val="single" w:color="auto" w:sz="6"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 款 名 称</w:t>
            </w:r>
          </w:p>
        </w:tc>
        <w:tc>
          <w:tcPr>
            <w:tcW w:w="6900" w:type="dxa"/>
            <w:tcBorders>
              <w:top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 列 内 容</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722" w:type="dxa"/>
            <w:noWrap w:val="0"/>
            <w:vAlign w:val="center"/>
          </w:tcPr>
          <w:p>
            <w:pPr>
              <w:spacing w:line="360" w:lineRule="auto"/>
              <w:ind w:firstLine="120" w:firstLine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w:t>
            </w:r>
          </w:p>
        </w:tc>
        <w:tc>
          <w:tcPr>
            <w:tcW w:w="6900" w:type="dxa"/>
            <w:tcBorders>
              <w:right w:val="single" w:color="auto" w:sz="6" w:space="0"/>
            </w:tcBorders>
            <w:noWrap w:val="0"/>
            <w:vAlign w:val="center"/>
          </w:tcPr>
          <w:p>
            <w:pPr>
              <w:spacing w:line="360" w:lineRule="auto"/>
              <w:ind w:left="57" w:leftChars="27" w:right="80" w:rightChars="3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西安市长安区马王街道办事处</w:t>
            </w:r>
          </w:p>
          <w:p>
            <w:pPr>
              <w:spacing w:line="360" w:lineRule="auto"/>
              <w:ind w:left="57" w:leftChars="27" w:right="80" w:rightChars="3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西安市长安区马王街道沣京中路8号</w:t>
            </w:r>
          </w:p>
          <w:p>
            <w:pPr>
              <w:spacing w:line="360" w:lineRule="auto"/>
              <w:ind w:left="57" w:leftChars="27" w:right="80" w:rightChars="3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029-85853416</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722" w:type="dxa"/>
            <w:noWrap w:val="0"/>
            <w:vAlign w:val="center"/>
          </w:tcPr>
          <w:p>
            <w:pPr>
              <w:spacing w:line="360" w:lineRule="auto"/>
              <w:ind w:left="122" w:leftChars="5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900" w:type="dxa"/>
            <w:tcBorders>
              <w:right w:val="single" w:color="auto" w:sz="6" w:space="0"/>
            </w:tcBorders>
            <w:noWrap w:val="0"/>
            <w:vAlign w:val="center"/>
          </w:tcPr>
          <w:p>
            <w:pPr>
              <w:spacing w:line="360" w:lineRule="auto"/>
              <w:ind w:left="57" w:leftChars="27" w:right="80" w:rightChars="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名称：华睿诚项目管理有限公司</w:t>
            </w:r>
          </w:p>
          <w:p>
            <w:pPr>
              <w:spacing w:line="360" w:lineRule="auto"/>
              <w:ind w:left="57" w:leftChars="27" w:right="80" w:rightChars="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地址：陕西省西安市雁塔区曲江新区雁翔路3269号旺座曲江E座29层2901号</w:t>
            </w:r>
          </w:p>
          <w:p>
            <w:pPr>
              <w:spacing w:line="360" w:lineRule="auto"/>
              <w:ind w:left="57" w:leftChars="27" w:right="80" w:rightChars="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联系方式：18681802917</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vMerge w:val="restart"/>
            <w:tcBorders>
              <w:lef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2722" w:type="dxa"/>
            <w:tcBorders>
              <w:bottom w:val="single" w:color="auto" w:sz="4" w:space="0"/>
            </w:tcBorders>
            <w:noWrap w:val="0"/>
            <w:vAlign w:val="center"/>
          </w:tcPr>
          <w:p>
            <w:pPr>
              <w:spacing w:line="360" w:lineRule="auto"/>
              <w:ind w:left="122" w:leftChars="5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中华人民共和国法律、行政法规规定的其他条件</w:t>
            </w:r>
          </w:p>
        </w:tc>
        <w:tc>
          <w:tcPr>
            <w:tcW w:w="6900" w:type="dxa"/>
            <w:tcBorders>
              <w:bottom w:val="single" w:color="auto" w:sz="4" w:space="0"/>
              <w:right w:val="single" w:color="auto" w:sz="6" w:space="0"/>
            </w:tcBorders>
            <w:noWrap w:val="0"/>
            <w:vAlign w:val="center"/>
          </w:tcPr>
          <w:p>
            <w:pPr>
              <w:spacing w:line="360" w:lineRule="auto"/>
              <w:ind w:firstLine="240" w:firstLineChars="1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无</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vMerge w:val="continue"/>
            <w:tcBorders>
              <w:lef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2722" w:type="dxa"/>
            <w:tcBorders>
              <w:top w:val="single" w:color="auto" w:sz="4" w:space="0"/>
            </w:tcBorders>
            <w:noWrap w:val="0"/>
            <w:vAlign w:val="center"/>
          </w:tcPr>
          <w:p>
            <w:pPr>
              <w:spacing w:line="360" w:lineRule="auto"/>
              <w:ind w:left="122" w:leftChars="5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合格供应商特殊条件</w:t>
            </w:r>
          </w:p>
        </w:tc>
        <w:tc>
          <w:tcPr>
            <w:tcW w:w="6900" w:type="dxa"/>
            <w:tcBorders>
              <w:top w:val="single" w:color="auto" w:sz="4" w:space="0"/>
              <w:right w:val="single" w:color="auto" w:sz="6" w:space="0"/>
            </w:tcBorders>
            <w:noWrap w:val="0"/>
            <w:vAlign w:val="center"/>
          </w:tcPr>
          <w:p>
            <w:pPr>
              <w:spacing w:line="360" w:lineRule="auto"/>
              <w:ind w:firstLine="240" w:firstLineChars="1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本项目专门面向中小企业采购，仅限符合《政府采购促进中小企业发展暂行办法》（财库〔2020〕46号）条件的中小企业参与，供应商应填写中小企业声明函并对真实性负责。（残疾人福利性企业及监狱企业视同为小型、微型企业）。</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2722" w:type="dxa"/>
            <w:tcBorders>
              <w:top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是否接受联合体磋商</w:t>
            </w:r>
          </w:p>
        </w:tc>
        <w:tc>
          <w:tcPr>
            <w:tcW w:w="6900" w:type="dxa"/>
            <w:tcBorders>
              <w:top w:val="single" w:color="auto" w:sz="4" w:space="0"/>
              <w:right w:val="single" w:color="auto" w:sz="6" w:space="0"/>
            </w:tcBorders>
            <w:noWrap w:val="0"/>
            <w:vAlign w:val="center"/>
          </w:tcPr>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2722" w:type="dxa"/>
            <w:tcBorders>
              <w:top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供应商信用信息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w:t>
            </w:r>
          </w:p>
        </w:tc>
        <w:tc>
          <w:tcPr>
            <w:tcW w:w="6900" w:type="dxa"/>
            <w:tcBorders>
              <w:top w:val="single" w:color="auto" w:sz="4" w:space="0"/>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网站（www.creditchina.gov.cn）和“中国政府采购网”（www.ccgp.gov.cn）对供应商信用信息进行查询，如果供应商被查实在磋商截止时间前已列入失信被执行人、重大税收违法案件当事人名单、政府采购严重违法失信行为记录名单，其磋商响应为无效。</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p>
        </w:tc>
        <w:tc>
          <w:tcPr>
            <w:tcW w:w="2722"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供应商提出询问和质疑的时间</w:t>
            </w:r>
          </w:p>
        </w:tc>
        <w:tc>
          <w:tcPr>
            <w:tcW w:w="6900" w:type="dxa"/>
            <w:tcBorders>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w:t>
            </w:r>
            <w:r>
              <w:rPr>
                <w:rFonts w:hint="eastAsia" w:ascii="宋体" w:hAnsi="宋体" w:cs="宋体"/>
                <w:color w:val="auto"/>
                <w:sz w:val="24"/>
                <w:szCs w:val="24"/>
                <w:highlight w:val="none"/>
                <w:lang w:val="en-US" w:eastAsia="zh-CN"/>
              </w:rPr>
              <w:t>获取</w:t>
            </w:r>
            <w:r>
              <w:rPr>
                <w:rFonts w:hint="eastAsia" w:ascii="宋体" w:hAnsi="宋体" w:eastAsia="宋体" w:cs="宋体"/>
                <w:color w:val="auto"/>
                <w:sz w:val="24"/>
                <w:szCs w:val="24"/>
                <w:highlight w:val="none"/>
              </w:rPr>
              <w:t>磋商文件的供应商对磋商文件有询问或者质疑的，可以在本项目磋商文件公告期限届满之日起七个工作日内，以书面形式向采购代理机构一次性提出，在此之后提出的询问和质疑均为无效，采购代理机构不予受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2、接收质疑函的方式：书面形式</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格式：见“中国政府采购网（www.ccgp.gov.cn）下载专区”</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w:t>
            </w:r>
          </w:p>
        </w:tc>
        <w:tc>
          <w:tcPr>
            <w:tcW w:w="2722"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采购代理机构答疑的时间</w:t>
            </w:r>
          </w:p>
        </w:tc>
        <w:tc>
          <w:tcPr>
            <w:tcW w:w="6900" w:type="dxa"/>
            <w:tcBorders>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对于在规定时间内收到的供应商依法提出的询问或者质疑，采购代理机构将按程序及时作出答复，若对磋商文件做出实质性变动，则按照相关规定延长磋商响应截止时间。</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w:t>
            </w:r>
          </w:p>
        </w:tc>
        <w:tc>
          <w:tcPr>
            <w:tcW w:w="2722"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质疑内容要求</w:t>
            </w:r>
          </w:p>
        </w:tc>
        <w:tc>
          <w:tcPr>
            <w:tcW w:w="6900" w:type="dxa"/>
            <w:tcBorders>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供应商提出质疑应当提交质疑函和必要的证明材料原件，代理机构不接受传真、电子邮件、复印件等形式的质疑材料。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质疑函应当包括下列内容：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（一）供应商的姓名或者名称、地址、邮编、联系人及联系电话；</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（三）具体、明确的质疑事项和与质疑事项相关的请求；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（五）必要的法律依据；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供应商为自然人的，应当由本人签字；供应商为法人或者其他组织的，应当由法定代表人、主要负责人，或者其授权代表（附法人代表授权书）签字或者盖章（鲜章），并加盖公章（鲜章）。</w:t>
            </w:r>
          </w:p>
          <w:p>
            <w:pPr>
              <w:spacing w:line="360" w:lineRule="auto"/>
              <w:ind w:left="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质疑函格式应符合“政府采购供应商质疑函范本”要求，详见“中国政府采购网（www.ccgp.gov.cn）”下载专区。</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w:t>
            </w:r>
          </w:p>
        </w:tc>
        <w:tc>
          <w:tcPr>
            <w:tcW w:w="2722"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6900" w:type="dxa"/>
            <w:tcBorders>
              <w:right w:val="single" w:color="auto" w:sz="6" w:space="0"/>
            </w:tcBorders>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报价要求：分项报价及总价。</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磋商报价总价不得超过采购预算价总价</w:t>
            </w:r>
            <w:r>
              <w:rPr>
                <w:rFonts w:hint="eastAsia" w:ascii="宋体" w:hAnsi="宋体" w:eastAsia="宋体" w:cs="宋体"/>
                <w:color w:val="auto"/>
                <w:sz w:val="24"/>
                <w:szCs w:val="24"/>
                <w:highlight w:val="none"/>
                <w:u w:val="single"/>
              </w:rPr>
              <w:t>2,807,734.91</w:t>
            </w:r>
            <w:r>
              <w:rPr>
                <w:rFonts w:hint="eastAsia" w:ascii="宋体" w:hAnsi="宋体" w:cs="宋体"/>
                <w:color w:val="auto"/>
                <w:sz w:val="24"/>
                <w:szCs w:val="24"/>
                <w:highlight w:val="none"/>
                <w:u w:val="single"/>
                <w:lang w:val="en-US" w:eastAsia="zh-CN"/>
              </w:rPr>
              <w:t>元</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2722" w:type="dxa"/>
            <w:noWrap w:val="0"/>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质量标准</w:t>
            </w:r>
          </w:p>
        </w:tc>
        <w:tc>
          <w:tcPr>
            <w:tcW w:w="6900" w:type="dxa"/>
            <w:tcBorders>
              <w:right w:val="single" w:color="auto" w:sz="6" w:space="0"/>
            </w:tcBorders>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符合国家现行有关施工质量验收规范“合格”要求</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2722" w:type="dxa"/>
            <w:noWrap w:val="0"/>
            <w:vAlign w:val="center"/>
          </w:tcPr>
          <w:p>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工期</w:t>
            </w:r>
          </w:p>
        </w:tc>
        <w:tc>
          <w:tcPr>
            <w:tcW w:w="6900" w:type="dxa"/>
            <w:tcBorders>
              <w:right w:val="single" w:color="auto" w:sz="6" w:space="0"/>
            </w:tcBorders>
            <w:noWrap w:val="0"/>
            <w:vAlign w:val="center"/>
          </w:tcPr>
          <w:p>
            <w:pPr>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cs="宋体"/>
                <w:color w:val="auto"/>
                <w:kern w:val="2"/>
                <w:sz w:val="24"/>
                <w:szCs w:val="24"/>
                <w:highlight w:val="none"/>
                <w:shd w:val="clear" w:color="auto" w:fill="FFFFFF"/>
                <w:lang w:val="en-US" w:eastAsia="zh-CN" w:bidi="ar-SA"/>
              </w:rPr>
              <w:t>自合同签订之日起4个月</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2722" w:type="dxa"/>
            <w:noWrap w:val="0"/>
            <w:vAlign w:val="center"/>
          </w:tcPr>
          <w:p>
            <w:pPr>
              <w:spacing w:line="360" w:lineRule="auto"/>
              <w:ind w:left="122" w:leftChars="5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w:t>
            </w:r>
          </w:p>
        </w:tc>
        <w:tc>
          <w:tcPr>
            <w:tcW w:w="6900" w:type="dxa"/>
            <w:tcBorders>
              <w:right w:val="single" w:color="auto" w:sz="6" w:space="0"/>
            </w:tcBorders>
            <w:noWrap w:val="0"/>
            <w:vAlign w:val="center"/>
          </w:tcPr>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营业执照等主体资格证明文件：提供合格有效的法人或者其他组织的营业执照等证明文件，自然人的身份证明；供应商是法人或其他组织的应提供营业执照等证明文件，供应商是自然人的应提供有效的自然人身份证明；</w:t>
            </w:r>
          </w:p>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财务状况报告：提供2021或2022年度经审计的财务会计报告，或其磋商前三个月内基本存款账户开户银行出具的资信证明及基本存款账户开户证明，或财政部门认可的政府采购专业担保机构出具的磋商担保函（以上三种形式的资料提供任何一种即可）；</w:t>
            </w:r>
          </w:p>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（3）履行合同所必需的设备和专业技术能力：供应商须提供具有履行合同所必需的设备和专业技术能力的承诺；（格式自拟）</w:t>
            </w:r>
          </w:p>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（4）税收缴纳证明：提供开标截止日前一年内已缴纳的至少一个月的纳税证明或完税证明，依法免税的单位应提供相关证明材料；</w:t>
            </w:r>
          </w:p>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（6）无重大违法记录声明：参加政府采购活动前3年内，在经营活动中没有重大违法记录的书面声明。（格式自拟）</w:t>
            </w:r>
          </w:p>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p>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仅限符合《政府采购促进中小企业发展管理办法》（财库〔2020〕46号）条件的中小企业参与，供应商应填写中小企业声明函并对真实性负责（残疾人福利性单位及监狱企业视同为小型、微型企业）。</w:t>
            </w:r>
          </w:p>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（1）法定代表人授权委托书：法定代表人参加磋商的，须出示身份证明和身份证原件；法定代表人授权他人参加磋商的，须提供法定代表人授权委托书及被授权人身份证；</w:t>
            </w:r>
          </w:p>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（2）供应商须具备市政公用工程施工总承包三级及以上资质，具有有效的安全生产许可证；</w:t>
            </w:r>
          </w:p>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（3）拟派项目经理须具备市政公用工程专业二级及以上注册建造师执业资格和有效的安全生产考核合格证书（建安 B 证），且未担任其他在建设工程的项目经理；</w:t>
            </w:r>
          </w:p>
          <w:p>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（4）供应商负责人为同一人或者存在直接控股、管理关系的不同单位不得同时参与同一合同下的磋商。</w:t>
            </w:r>
          </w:p>
          <w:p>
            <w:pPr>
              <w:pStyle w:val="12"/>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供应商不得为“信用中国”网站（www.creditchina.gov.cn）中列入“失信被执行人”（中国执行信息公开网http://zxgk.court.gov.cn/shixin/）和“重大税收违法案件”当事人名单的供应商，不得为中国政府采购网（www.ccgp.gov.cn）政府采购“严重违法失信行为记录名单”中被财政部门禁止参加政府采购活动的供应商。 </w:t>
            </w:r>
          </w:p>
          <w:p>
            <w:pPr>
              <w:spacing w:line="360" w:lineRule="auto"/>
              <w:ind w:left="113" w:leftChars="54" w:right="172" w:rightChars="82" w:firstLine="354" w:firstLineChars="147"/>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注：1、以上资格证明文件供应商必须完全提供，一项不合格即按照无效响应处理。</w:t>
            </w:r>
          </w:p>
          <w:p>
            <w:pPr>
              <w:spacing w:line="360" w:lineRule="auto"/>
              <w:ind w:left="57" w:leftChars="27" w:right="80" w:rightChars="38"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2、除注明原件外，均为复印件并须加盖供应商公章。</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w:t>
            </w:r>
          </w:p>
        </w:tc>
        <w:tc>
          <w:tcPr>
            <w:tcW w:w="2722" w:type="dxa"/>
            <w:noWrap w:val="0"/>
            <w:vAlign w:val="center"/>
          </w:tcPr>
          <w:p>
            <w:pPr>
              <w:spacing w:line="360" w:lineRule="auto"/>
              <w:ind w:left="122" w:leftChars="5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要求单独密封并与磋商响应文件一并提交的证明文件原件</w:t>
            </w:r>
          </w:p>
        </w:tc>
        <w:tc>
          <w:tcPr>
            <w:tcW w:w="6900" w:type="dxa"/>
            <w:tcBorders>
              <w:right w:val="single" w:color="auto" w:sz="6" w:space="0"/>
            </w:tcBorders>
            <w:noWrap w:val="0"/>
            <w:vAlign w:val="center"/>
          </w:tcPr>
          <w:p>
            <w:pPr>
              <w:spacing w:line="360" w:lineRule="auto"/>
              <w:ind w:right="80" w:rightChars="38"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w:t>
            </w:r>
          </w:p>
        </w:tc>
        <w:tc>
          <w:tcPr>
            <w:tcW w:w="2722" w:type="dxa"/>
            <w:noWrap w:val="0"/>
            <w:vAlign w:val="center"/>
          </w:tcPr>
          <w:p>
            <w:pPr>
              <w:spacing w:line="360" w:lineRule="auto"/>
              <w:ind w:left="122" w:leftChars="5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本次采购特别要求的合格性证明文件</w:t>
            </w:r>
          </w:p>
        </w:tc>
        <w:tc>
          <w:tcPr>
            <w:tcW w:w="6900" w:type="dxa"/>
            <w:tcBorders>
              <w:right w:val="single" w:color="auto" w:sz="6" w:space="0"/>
            </w:tcBorders>
            <w:noWrap w:val="0"/>
            <w:vAlign w:val="center"/>
          </w:tcPr>
          <w:p>
            <w:pPr>
              <w:widowControl/>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w:t>
            </w:r>
          </w:p>
        </w:tc>
        <w:tc>
          <w:tcPr>
            <w:tcW w:w="2722" w:type="dxa"/>
            <w:noWrap w:val="0"/>
            <w:vAlign w:val="center"/>
          </w:tcPr>
          <w:p>
            <w:pPr>
              <w:spacing w:line="360" w:lineRule="auto"/>
              <w:ind w:left="122" w:leftChars="5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是否要求磋商保证金</w:t>
            </w:r>
          </w:p>
        </w:tc>
        <w:tc>
          <w:tcPr>
            <w:tcW w:w="6900" w:type="dxa"/>
            <w:tcBorders>
              <w:right w:val="single" w:color="auto" w:sz="6" w:space="0"/>
            </w:tcBorders>
            <w:noWrap w:val="0"/>
            <w:vAlign w:val="center"/>
          </w:tcPr>
          <w:p>
            <w:pPr>
              <w:spacing w:line="360" w:lineRule="auto"/>
              <w:ind w:right="80" w:rightChars="38"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不需要</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w:t>
            </w:r>
          </w:p>
        </w:tc>
        <w:tc>
          <w:tcPr>
            <w:tcW w:w="2722" w:type="dxa"/>
            <w:noWrap w:val="0"/>
            <w:vAlign w:val="center"/>
          </w:tcPr>
          <w:p>
            <w:pPr>
              <w:spacing w:line="360" w:lineRule="auto"/>
              <w:ind w:left="122" w:leftChars="5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磋商保证金的相关要求</w:t>
            </w:r>
          </w:p>
        </w:tc>
        <w:tc>
          <w:tcPr>
            <w:tcW w:w="6900" w:type="dxa"/>
            <w:tcBorders>
              <w:right w:val="single" w:color="auto" w:sz="6" w:space="0"/>
            </w:tcBorders>
            <w:noWrap w:val="0"/>
            <w:vAlign w:val="center"/>
          </w:tcPr>
          <w:p>
            <w:pPr>
              <w:spacing w:line="360" w:lineRule="auto"/>
              <w:ind w:right="80" w:rightChars="38"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w:t>
            </w:r>
          </w:p>
        </w:tc>
        <w:tc>
          <w:tcPr>
            <w:tcW w:w="2722" w:type="dxa"/>
            <w:noWrap w:val="0"/>
            <w:vAlign w:val="center"/>
          </w:tcPr>
          <w:p>
            <w:pPr>
              <w:spacing w:line="360" w:lineRule="auto"/>
              <w:ind w:left="122" w:leftChars="5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磋商报价有效期</w:t>
            </w:r>
          </w:p>
        </w:tc>
        <w:tc>
          <w:tcPr>
            <w:tcW w:w="6900" w:type="dxa"/>
            <w:tcBorders>
              <w:right w:val="single" w:color="auto" w:sz="6" w:space="0"/>
            </w:tcBorders>
            <w:noWrap w:val="0"/>
            <w:vAlign w:val="center"/>
          </w:tcPr>
          <w:p>
            <w:pPr>
              <w:spacing w:line="360" w:lineRule="auto"/>
              <w:ind w:left="57" w:leftChars="27" w:right="80" w:rightChars="3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磋商后90天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w:t>
            </w:r>
          </w:p>
        </w:tc>
        <w:tc>
          <w:tcPr>
            <w:tcW w:w="2722" w:type="dxa"/>
            <w:noWrap w:val="0"/>
            <w:vAlign w:val="center"/>
          </w:tcPr>
          <w:p>
            <w:pPr>
              <w:spacing w:line="360" w:lineRule="auto"/>
              <w:ind w:left="122" w:leftChars="58"/>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rPr>
              <w:t>法定代表人（单位负责人）授权书</w:t>
            </w:r>
            <w:r>
              <w:rPr>
                <w:rFonts w:hint="eastAsia" w:ascii="宋体" w:hAnsi="宋体" w:eastAsia="宋体" w:cs="宋体"/>
                <w:color w:val="auto"/>
                <w:sz w:val="24"/>
                <w:szCs w:val="24"/>
                <w:highlight w:val="none"/>
              </w:rPr>
              <w:t>签字盖章要求</w:t>
            </w:r>
          </w:p>
        </w:tc>
        <w:tc>
          <w:tcPr>
            <w:tcW w:w="6900" w:type="dxa"/>
            <w:tcBorders>
              <w:right w:val="single" w:color="auto" w:sz="6" w:space="0"/>
            </w:tcBorders>
            <w:noWrap w:val="0"/>
            <w:vAlign w:val="center"/>
          </w:tcPr>
          <w:p>
            <w:pPr>
              <w:spacing w:line="360" w:lineRule="auto"/>
              <w:ind w:left="57" w:leftChars="27" w:right="80" w:rightChars="3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所有要求法人代表签字（名）处，均须由签字（名）者本人用不褪色的蓝(黑)色墨水(汁)书写，也可以加盖法人代表名章代替签名。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w:t>
            </w:r>
          </w:p>
        </w:tc>
        <w:tc>
          <w:tcPr>
            <w:tcW w:w="2722" w:type="dxa"/>
            <w:noWrap w:val="0"/>
            <w:vAlign w:val="center"/>
          </w:tcPr>
          <w:p>
            <w:pPr>
              <w:spacing w:line="360" w:lineRule="auto"/>
              <w:ind w:left="122" w:leftChars="58"/>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磋商响应文件递交的截止时间和磋商地点</w:t>
            </w:r>
          </w:p>
        </w:tc>
        <w:tc>
          <w:tcPr>
            <w:tcW w:w="6900" w:type="dxa"/>
            <w:tcBorders>
              <w:right w:val="single" w:color="auto" w:sz="6" w:space="0"/>
            </w:tcBorders>
            <w:noWrap w:val="0"/>
            <w:vAlign w:val="center"/>
          </w:tcPr>
          <w:p>
            <w:pPr>
              <w:spacing w:line="360" w:lineRule="auto"/>
              <w:ind w:left="57" w:leftChars="27" w:right="80" w:rightChars="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响应文件递交地址：全国公共资源交易平台（陕西省·西咸新区）</w:t>
            </w:r>
          </w:p>
          <w:p>
            <w:pPr>
              <w:spacing w:line="360" w:lineRule="auto"/>
              <w:ind w:left="57" w:leftChars="27" w:right="80" w:rightChars="3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响应文件递交截止时间：</w:t>
            </w:r>
            <w:r>
              <w:rPr>
                <w:rFonts w:hint="eastAsia" w:ascii="宋体" w:hAnsi="宋体" w:eastAsia="宋体" w:cs="宋体"/>
                <w:color w:val="auto"/>
                <w:sz w:val="24"/>
                <w:szCs w:val="24"/>
                <w:highlight w:val="none"/>
                <w:lang w:eastAsia="zh-CN"/>
              </w:rPr>
              <w:t>2023年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w:t>
            </w:r>
          </w:p>
        </w:tc>
        <w:tc>
          <w:tcPr>
            <w:tcW w:w="2722" w:type="dxa"/>
            <w:noWrap w:val="0"/>
            <w:vAlign w:val="center"/>
          </w:tcPr>
          <w:p>
            <w:pPr>
              <w:spacing w:line="360" w:lineRule="auto"/>
              <w:ind w:left="122" w:leftChars="58"/>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磋商时间和地点</w:t>
            </w:r>
          </w:p>
        </w:tc>
        <w:tc>
          <w:tcPr>
            <w:tcW w:w="6900" w:type="dxa"/>
            <w:tcBorders>
              <w:right w:val="single" w:color="auto" w:sz="6" w:space="0"/>
            </w:tcBorders>
            <w:noWrap w:val="0"/>
            <w:vAlign w:val="center"/>
          </w:tcPr>
          <w:p>
            <w:pPr>
              <w:spacing w:line="360" w:lineRule="auto"/>
              <w:ind w:left="57" w:leftChars="27" w:right="80" w:rightChars="3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磋商开始时间：同响应文件递交截止时间</w:t>
            </w:r>
            <w:r>
              <w:rPr>
                <w:rFonts w:hint="eastAsia" w:ascii="宋体" w:hAnsi="宋体" w:cs="宋体"/>
                <w:color w:val="auto"/>
                <w:sz w:val="24"/>
                <w:szCs w:val="24"/>
                <w:highlight w:val="none"/>
                <w:lang w:eastAsia="zh-CN"/>
              </w:rPr>
              <w:t>。</w:t>
            </w:r>
          </w:p>
          <w:p>
            <w:pPr>
              <w:spacing w:line="360" w:lineRule="auto"/>
              <w:ind w:left="57" w:leftChars="27" w:right="80" w:rightChars="3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磋商地点：登录“西咸新区公共资源交易不见面开标系统” 实行网上响应及磋商。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w:t>
            </w:r>
          </w:p>
        </w:tc>
        <w:tc>
          <w:tcPr>
            <w:tcW w:w="2722" w:type="dxa"/>
            <w:noWrap w:val="0"/>
            <w:vAlign w:val="center"/>
          </w:tcPr>
          <w:p>
            <w:pPr>
              <w:spacing w:line="360" w:lineRule="auto"/>
              <w:ind w:left="122" w:leftChars="58"/>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磋商报价</w:t>
            </w:r>
          </w:p>
        </w:tc>
        <w:tc>
          <w:tcPr>
            <w:tcW w:w="6900" w:type="dxa"/>
            <w:tcBorders>
              <w:right w:val="single" w:color="auto" w:sz="6" w:space="0"/>
            </w:tcBorders>
            <w:noWrap w:val="0"/>
            <w:vAlign w:val="center"/>
          </w:tcPr>
          <w:p>
            <w:pPr>
              <w:spacing w:line="360" w:lineRule="auto"/>
              <w:ind w:left="57" w:leftChars="27" w:right="80" w:rightChars="3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本次磋商</w:t>
            </w:r>
            <w:r>
              <w:rPr>
                <w:rFonts w:hint="eastAsia" w:ascii="宋体" w:hAnsi="宋体" w:eastAsia="宋体" w:cs="宋体"/>
                <w:color w:val="auto"/>
                <w:sz w:val="24"/>
                <w:szCs w:val="24"/>
                <w:highlight w:val="none"/>
                <w:lang w:eastAsia="zh-CN"/>
              </w:rPr>
              <w:t>以最终报价为准</w:t>
            </w:r>
            <w:r>
              <w:rPr>
                <w:rFonts w:hint="eastAsia" w:ascii="宋体" w:hAnsi="宋体" w:eastAsia="宋体" w:cs="宋体"/>
                <w:b/>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c>
          <w:tcPr>
            <w:tcW w:w="2722" w:type="dxa"/>
            <w:noWrap w:val="0"/>
            <w:vAlign w:val="center"/>
          </w:tcPr>
          <w:p>
            <w:pPr>
              <w:spacing w:line="360" w:lineRule="auto"/>
              <w:ind w:left="122" w:leftChars="58"/>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推荐成交候选人数量</w:t>
            </w:r>
          </w:p>
        </w:tc>
        <w:tc>
          <w:tcPr>
            <w:tcW w:w="6900" w:type="dxa"/>
            <w:tcBorders>
              <w:right w:val="single" w:color="auto" w:sz="6" w:space="0"/>
            </w:tcBorders>
            <w:noWrap w:val="0"/>
            <w:vAlign w:val="center"/>
          </w:tcPr>
          <w:p>
            <w:pPr>
              <w:spacing w:line="360" w:lineRule="auto"/>
              <w:ind w:left="57" w:leftChars="27" w:right="80" w:rightChars="3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推荐</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名成交候选人。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440" w:hRule="atLeast"/>
          <w:jc w:val="center"/>
        </w:trPr>
        <w:tc>
          <w:tcPr>
            <w:tcW w:w="862" w:type="dxa"/>
            <w:tcBorders>
              <w:left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16.1</w:t>
            </w:r>
          </w:p>
        </w:tc>
        <w:tc>
          <w:tcPr>
            <w:tcW w:w="2722" w:type="dxa"/>
            <w:noWrap w:val="0"/>
            <w:vAlign w:val="center"/>
          </w:tcPr>
          <w:p>
            <w:pPr>
              <w:spacing w:line="360" w:lineRule="auto"/>
              <w:ind w:left="122" w:leftChars="58"/>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采购代理服务费</w:t>
            </w:r>
          </w:p>
        </w:tc>
        <w:tc>
          <w:tcPr>
            <w:tcW w:w="6900" w:type="dxa"/>
            <w:tcBorders>
              <w:right w:val="single" w:color="auto" w:sz="6" w:space="0"/>
            </w:tcBorders>
            <w:noWrap w:val="0"/>
            <w:vAlign w:val="center"/>
          </w:tcPr>
          <w:p>
            <w:pPr>
              <w:spacing w:line="360" w:lineRule="auto"/>
              <w:ind w:left="57" w:leftChars="27" w:right="80" w:rightChars="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代理服务费的计取方式为：根据成交金额按差额定率累进法计算</w:t>
            </w:r>
            <w:r>
              <w:rPr>
                <w:rFonts w:hint="eastAsia" w:ascii="宋体" w:hAnsi="宋体" w:eastAsia="宋体" w:cs="宋体"/>
                <w:color w:val="auto"/>
                <w:sz w:val="24"/>
                <w:szCs w:val="24"/>
                <w:highlight w:val="none"/>
                <w:lang w:eastAsia="zh-CN"/>
              </w:rPr>
              <w:t>，成交供应商在领取中标通知书前</w:t>
            </w:r>
            <w:r>
              <w:rPr>
                <w:rFonts w:hint="eastAsia" w:ascii="宋体" w:hAnsi="宋体" w:eastAsia="宋体" w:cs="宋体"/>
                <w:color w:val="auto"/>
                <w:sz w:val="24"/>
                <w:szCs w:val="24"/>
                <w:highlight w:val="none"/>
              </w:rPr>
              <w:t>向采购代理机构一次付清采购代理服务费。（计算方法详见后附表一）</w:t>
            </w:r>
          </w:p>
          <w:p>
            <w:pPr>
              <w:spacing w:before="120" w:before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附表一：</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代理服务收费标准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67"/>
              <w:gridCol w:w="1488"/>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555" w:type="dxa"/>
                  <w:noWrap w:val="0"/>
                  <w:vAlign w:val="top"/>
                </w:tcPr>
                <w:p>
                  <w:pPr>
                    <w:spacing w:line="360" w:lineRule="auto"/>
                    <w:ind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254000</wp:posOffset>
                            </wp:positionH>
                            <wp:positionV relativeFrom="paragraph">
                              <wp:posOffset>13335</wp:posOffset>
                            </wp:positionV>
                            <wp:extent cx="654685" cy="1774825"/>
                            <wp:effectExtent l="4445" t="1905" r="7620" b="13970"/>
                            <wp:wrapNone/>
                            <wp:docPr id="1" name="直接连接符 1"/>
                            <wp:cNvGraphicFramePr/>
                            <a:graphic xmlns:a="http://schemas.openxmlformats.org/drawingml/2006/main">
                              <a:graphicData uri="http://schemas.microsoft.com/office/word/2010/wordprocessingShape">
                                <wps:wsp>
                                  <wps:cNvCnPr/>
                                  <wps:spPr>
                                    <a:xfrm flipH="1" flipV="1">
                                      <a:off x="0" y="0"/>
                                      <a:ext cx="1143000" cy="11887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20pt;margin-top:1.05pt;height:139.75pt;width:51.55pt;z-index:251662336;mso-width-relative:page;mso-height-relative:page;" filled="f" stroked="t" coordsize="21600,21600" o:gfxdata="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&#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WZo8NMAAAAIAQAADwAAAAAAAAABACAAAAAiAAAA&#10;ZHJzL2Rvd25yZXYueG1sUEsBAhQAFAAAAAgAh07iQLS03g4MAgAADAQAAA4AAAAAAAAAAQAgAAAA&#10;IgEAAGRycy9lMm9Eb2MueG1sUEsFBgAAAAAGAAYAWQEAAKAFAAAAAA==&#10;">
                            <v:fill on="f" focussize="0,0"/>
                            <v:stroke color="#000000" joinstyle="round"/>
                            <v:imagedata o:title=""/>
                            <o:lock v:ext="edit" aspectratio="f"/>
                          </v:line>
                        </w:pict>
                      </mc:Fallback>
                    </mc:AlternateContent>
                  </w:r>
                  <w:r>
                    <w:rPr>
                      <w:rFonts w:hint="eastAsia" w:ascii="宋体" w:hAnsi="宋体" w:eastAsia="宋体" w:cs="宋体"/>
                      <w:b/>
                      <w:color w:val="auto"/>
                      <w:sz w:val="24"/>
                      <w:szCs w:val="24"/>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E/qvDb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b/>
                      <w:color w:val="auto"/>
                      <w:sz w:val="24"/>
                      <w:szCs w:val="24"/>
                      <w:highlight w:val="none"/>
                    </w:rPr>
                    <w:t>服</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费　　　务</w:t>
                  </w:r>
                </w:p>
                <w:p>
                  <w:pPr>
                    <w:spacing w:line="360" w:lineRule="auto"/>
                    <w:ind w:firstLine="1205" w:firstLineChars="5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10160</wp:posOffset>
                            </wp:positionV>
                            <wp:extent cx="988060" cy="1183005"/>
                            <wp:effectExtent l="3810" t="3175" r="17780" b="13970"/>
                            <wp:wrapNone/>
                            <wp:docPr id="4" name="直接连接符 4"/>
                            <wp:cNvGraphicFramePr/>
                            <a:graphic xmlns:a="http://schemas.openxmlformats.org/drawingml/2006/main">
                              <a:graphicData uri="http://schemas.microsoft.com/office/word/2010/wordprocessingShape">
                                <wps:wsp>
                                  <wps:cNvCnPr/>
                                  <wps:spPr>
                                    <a:xfrm flipH="1" flipV="1">
                                      <a:off x="0" y="0"/>
                                      <a:ext cx="1598930" cy="988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35pt;margin-top:0.8pt;height:93.15pt;width:77.8pt;z-index:251661312;mso-width-relative:page;mso-height-relative:page;" filled="f" stroked="t" coordsize="21600,21600" o:gfxdata="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&#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QWKQdMAAAAJAQAADwAAAAAAAAABACAAAAAiAAAA&#10;ZHJzL2Rvd25yZXYueG1sUEsBAhQAFAAAAAgAh07iQBJEd3gMAgAACwQAAA4AAAAAAAAAAQAgAAAA&#10;IgEAAGRycy9lMm9Eb2MueG1sUEsFBgAAAAAGAAYAWQEAAKAFAAAAAA==&#10;">
                            <v:fill on="f" focussize="0,0"/>
                            <v:stroke color="#000000" joinstyle="round"/>
                            <v:imagedata o:title=""/>
                            <o:lock v:ext="edit" aspectratio="f"/>
                          </v:line>
                        </w:pict>
                      </mc:Fallback>
                    </mc:AlternateContent>
                  </w:r>
                  <w:r>
                    <w:rPr>
                      <w:rFonts w:hint="eastAsia" w:ascii="宋体" w:hAnsi="宋体" w:eastAsia="宋体" w:cs="宋体"/>
                      <w:b/>
                      <w:color w:val="auto"/>
                      <w:sz w:val="24"/>
                      <w:szCs w:val="24"/>
                      <w:highlight w:val="none"/>
                    </w:rPr>
                    <w:t>类</w:t>
                  </w:r>
                </w:p>
                <w:p>
                  <w:pPr>
                    <w:spacing w:line="360" w:lineRule="auto"/>
                    <w:ind w:left="1258" w:leftChars="255" w:hanging="723" w:hangingChars="300"/>
                    <w:rPr>
                      <w:rFonts w:hint="eastAsia" w:ascii="宋体" w:hAnsi="宋体" w:eastAsia="宋体" w:cs="宋体"/>
                      <w:b/>
                      <w:color w:val="auto"/>
                      <w:spacing w:val="-20"/>
                      <w:sz w:val="24"/>
                      <w:szCs w:val="24"/>
                      <w:highlight w:val="none"/>
                    </w:rPr>
                  </w:pPr>
                  <w:r>
                    <w:rPr>
                      <w:rFonts w:hint="eastAsia" w:ascii="宋体" w:hAnsi="宋体" w:eastAsia="宋体" w:cs="宋体"/>
                      <w:b/>
                      <w:color w:val="auto"/>
                      <w:sz w:val="24"/>
                      <w:szCs w:val="24"/>
                      <w:highlight w:val="none"/>
                    </w:rPr>
                    <w:t>率   型</w:t>
                  </w:r>
                </w:p>
                <w:p>
                  <w:pPr>
                    <w:spacing w:line="360" w:lineRule="auto"/>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中标（成交）</w:t>
                  </w:r>
                </w:p>
                <w:p>
                  <w:pPr>
                    <w:spacing w:line="360" w:lineRule="auto"/>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金额（万元）</w:t>
                  </w:r>
                </w:p>
              </w:tc>
              <w:tc>
                <w:tcPr>
                  <w:tcW w:w="1267"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货物招标</w:t>
                  </w:r>
                </w:p>
              </w:tc>
              <w:tc>
                <w:tcPr>
                  <w:tcW w:w="1488"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服务招标</w:t>
                  </w:r>
                </w:p>
              </w:tc>
              <w:tc>
                <w:tcPr>
                  <w:tcW w:w="1187"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126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488"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18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126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88"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18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126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488"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118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126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1488"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118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126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1488"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118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10000-50000</w:t>
                  </w:r>
                </w:p>
              </w:tc>
              <w:tc>
                <w:tcPr>
                  <w:tcW w:w="1267"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0.0</w:t>
                  </w:r>
                  <w:r>
                    <w:rPr>
                      <w:rFonts w:hint="eastAsia" w:ascii="宋体" w:hAnsi="宋体" w:cs="宋体"/>
                      <w:color w:val="auto"/>
                      <w:sz w:val="24"/>
                      <w:szCs w:val="24"/>
                      <w:highlight w:val="none"/>
                      <w:lang w:val="en-US" w:eastAsia="zh-CN"/>
                    </w:rPr>
                    <w:t>5%</w:t>
                  </w:r>
                </w:p>
              </w:tc>
              <w:tc>
                <w:tcPr>
                  <w:tcW w:w="1488"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w:t>
                  </w:r>
                </w:p>
              </w:tc>
              <w:tc>
                <w:tcPr>
                  <w:tcW w:w="118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r>
          </w:tbl>
          <w:p>
            <w:pPr>
              <w:spacing w:line="360" w:lineRule="auto"/>
              <w:ind w:left="57" w:leftChars="27" w:right="80" w:rightChars="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numPr>
                <w:ilvl w:val="0"/>
                <w:numId w:val="1"/>
              </w:numPr>
              <w:spacing w:line="360" w:lineRule="auto"/>
              <w:ind w:left="57" w:leftChars="27" w:right="80" w:rightChars="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代理服务收费按差额定率累进法计算。</w:t>
            </w:r>
          </w:p>
          <w:p>
            <w:pPr>
              <w:spacing w:line="360" w:lineRule="auto"/>
              <w:ind w:left="57" w:leftChars="27" w:right="80" w:rightChars="38"/>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本项目类别：</w:t>
            </w:r>
            <w:r>
              <w:rPr>
                <w:rFonts w:hint="eastAsia" w:ascii="宋体" w:hAnsi="宋体" w:cs="宋体"/>
                <w:color w:val="auto"/>
                <w:sz w:val="24"/>
                <w:szCs w:val="24"/>
                <w:highlight w:val="none"/>
                <w:lang w:val="en-US" w:eastAsia="zh-CN"/>
              </w:rPr>
              <w:t>工程招标</w:t>
            </w:r>
            <w:r>
              <w:rPr>
                <w:rFonts w:hint="eastAsia" w:ascii="宋体" w:hAnsi="宋体" w:eastAsia="宋体" w:cs="宋体"/>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62" w:type="dxa"/>
            <w:tcBorders>
              <w:top w:val="single" w:color="auto" w:sz="6" w:space="0"/>
              <w:left w:val="single" w:color="auto" w:sz="6" w:space="0"/>
              <w:bottom w:val="single" w:color="auto" w:sz="6"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17.1</w:t>
            </w:r>
          </w:p>
        </w:tc>
        <w:tc>
          <w:tcPr>
            <w:tcW w:w="2722" w:type="dxa"/>
            <w:tcBorders>
              <w:top w:val="single" w:color="auto" w:sz="6" w:space="0"/>
              <w:bottom w:val="single" w:color="auto" w:sz="6" w:space="0"/>
            </w:tcBorders>
            <w:noWrap w:val="0"/>
            <w:vAlign w:val="center"/>
          </w:tcPr>
          <w:p>
            <w:pPr>
              <w:spacing w:line="360" w:lineRule="auto"/>
              <w:ind w:left="122" w:leftChars="5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需要补充说明的其他事宜</w:t>
            </w:r>
          </w:p>
        </w:tc>
        <w:tc>
          <w:tcPr>
            <w:tcW w:w="6900" w:type="dxa"/>
            <w:tcBorders>
              <w:top w:val="single" w:color="auto" w:sz="6" w:space="0"/>
              <w:bottom w:val="single" w:color="auto" w:sz="6" w:space="0"/>
              <w:right w:val="single" w:color="auto" w:sz="6" w:space="0"/>
            </w:tcBorders>
            <w:noWrap w:val="0"/>
            <w:vAlign w:val="center"/>
          </w:tcPr>
          <w:p>
            <w:pPr>
              <w:spacing w:line="360" w:lineRule="auto"/>
              <w:ind w:left="57" w:leftChars="27" w:right="80" w:rightChars="38"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1、供应商须在响应文件递交截止时间前成功在“陕西省西咸新区公共资源交易中心平台（http://xxxq.sxggzyjy.cn/）”提交电子版响应文件。逾期未上传提交电子响应文件的，否决其响应。</w:t>
            </w:r>
          </w:p>
          <w:p>
            <w:pPr>
              <w:spacing w:line="360" w:lineRule="auto"/>
              <w:ind w:left="57" w:leftChars="27" w:right="80" w:rightChars="38"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（1）制作电子响应文件：供应商须在“陕西省西咸新区公共资源交易中心平台（http://xxxq.sxggzyjy.cn/）”的“服务指南”栏目“下载专区”中免费下载</w:t>
            </w:r>
            <w:bookmarkStart w:id="199" w:name="_GoBack"/>
            <w:bookmarkEnd w:id="199"/>
            <w:r>
              <w:rPr>
                <w:rFonts w:hint="eastAsia" w:ascii="宋体" w:hAnsi="宋体" w:eastAsia="宋体" w:cs="宋体"/>
                <w:b/>
                <w:color w:val="auto"/>
                <w:sz w:val="24"/>
                <w:szCs w:val="24"/>
                <w:highlight w:val="none"/>
              </w:rPr>
              <w:t>。</w:t>
            </w:r>
          </w:p>
          <w:p>
            <w:pPr>
              <w:spacing w:line="360" w:lineRule="auto"/>
              <w:ind w:left="57" w:leftChars="27" w:right="80" w:rightChars="38"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递交电子响应文件：登录陕西省西咸新区公共资源交易中心平台（http://xxxq.sxggzyjy.cn/），选择“电子交易平台-陕西政府采购交易系统-陕西省西咸新区公共资源交易平台-供应商”进行登录，登录后选择“交易乙方”身份进入，选择“上传响应文件”菜单页面，上传加密的电子响应文件。上传成功后，电子化平台将予以记录。</w:t>
            </w:r>
          </w:p>
          <w:p>
            <w:pPr>
              <w:spacing w:line="360" w:lineRule="auto"/>
              <w:ind w:left="57" w:leftChars="27" w:right="80" w:rightChars="38"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（3）因供应商自身原因造成电子磋商响应文件在规定的时间（60分钟）内无法解密或无法现场报价的，按无效响应对待。</w:t>
            </w:r>
          </w:p>
          <w:p>
            <w:pPr>
              <w:spacing w:line="360" w:lineRule="auto"/>
              <w:ind w:left="57" w:leftChars="27" w:right="80" w:rightChars="38"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本项目采用电子化方式，供应商须使用数字认证证书对响应文件进行签封、加密、递交及磋商时解密等相关事宜。各供应商可登录全国公共资源交易平台（陕西省•西咸新区）（http://ggzyjy.xixianxinqu.gov.cn/xwzx/002002/20210721/d7421699-e891-4f40-b441-dccc415e05b3.html）下载操作手册,并在磋商响应文件递交截止时间前通过全国公共资源交易平台（陕西省•西咸新区）递交电子磋商响应文件。3、在线参与竞争性磋商的方式：打开西咸新区公共资源交易网站（http://xxxq.sxggzyjy.cn/），点击【电子交易平台】--【不见面开标系统】进入不见面开标大厅登陆首页。在我的项目里面找到等待开标的项目，点击进入不见面开标会议室。供应商阅读开标流程，并在开标倒计时结束前完成在线签到。</w:t>
            </w:r>
          </w:p>
          <w:p>
            <w:pPr>
              <w:spacing w:line="360" w:lineRule="auto"/>
              <w:ind w:left="57" w:leftChars="27" w:right="80" w:rightChars="38"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不见面磋商注意事项：</w:t>
            </w:r>
          </w:p>
          <w:p>
            <w:pPr>
              <w:spacing w:line="360" w:lineRule="auto"/>
              <w:ind w:left="57" w:leftChars="27" w:right="80" w:rightChars="38"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（1）为顺利实现本项目竞争性磋商的远程交互，建议供应商提前调试好硬件设备。</w:t>
            </w:r>
          </w:p>
          <w:p>
            <w:pPr>
              <w:spacing w:line="360" w:lineRule="auto"/>
              <w:ind w:left="57" w:leftChars="27" w:right="80" w:rightChars="38"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（2）建议供应商在响应文件递交截止时间前1小时内登录不见面开标大厅，并及时签到（响应文件递交截止时间前 60 分钟开始签到），否则将无法参与不见面磋商。</w:t>
            </w:r>
          </w:p>
          <w:p>
            <w:pPr>
              <w:spacing w:line="360" w:lineRule="auto"/>
              <w:ind w:left="57" w:leftChars="27" w:right="80" w:rightChars="38"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（3）供应商需注意 CA 锁一定要提前准备好，并确保 CA 锁为制作响应文件的 CA 锁。</w:t>
            </w:r>
          </w:p>
          <w:p>
            <w:pPr>
              <w:spacing w:line="360" w:lineRule="auto"/>
              <w:ind w:left="57" w:leftChars="27" w:right="80" w:rightChars="38"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（4）及时关注右侧公告及互动栏目信息，并尽快做出响应。</w:t>
            </w:r>
          </w:p>
          <w:p>
            <w:pPr>
              <w:spacing w:line="360" w:lineRule="auto"/>
              <w:ind w:right="80" w:rightChars="38"/>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3、成交单位</w:t>
            </w:r>
            <w:r>
              <w:rPr>
                <w:rFonts w:hint="eastAsia" w:ascii="宋体" w:hAnsi="宋体" w:eastAsia="宋体" w:cs="宋体"/>
                <w:b/>
                <w:color w:val="auto"/>
                <w:sz w:val="24"/>
                <w:szCs w:val="24"/>
                <w:highlight w:val="none"/>
              </w:rPr>
              <w:t>递交纸质文件</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成交单位</w:t>
            </w:r>
            <w:r>
              <w:rPr>
                <w:rFonts w:hint="eastAsia" w:ascii="宋体" w:hAnsi="宋体" w:eastAsia="宋体" w:cs="宋体"/>
                <w:b/>
                <w:color w:val="auto"/>
                <w:sz w:val="24"/>
                <w:szCs w:val="24"/>
                <w:highlight w:val="none"/>
                <w:lang w:eastAsia="zh-CN"/>
              </w:rPr>
              <w:t>在领取中标通知书前将纸质版投标文件</w:t>
            </w:r>
            <w:r>
              <w:rPr>
                <w:rFonts w:hint="eastAsia" w:ascii="宋体" w:hAnsi="宋体" w:cs="宋体"/>
                <w:b/>
                <w:color w:val="auto"/>
                <w:sz w:val="24"/>
                <w:szCs w:val="24"/>
                <w:highlight w:val="none"/>
                <w:lang w:val="en-US" w:eastAsia="zh-CN"/>
              </w:rPr>
              <w:t>按照甲方需求份数盖</w:t>
            </w:r>
            <w:r>
              <w:rPr>
                <w:rFonts w:hint="eastAsia" w:ascii="宋体" w:hAnsi="宋体" w:eastAsia="宋体" w:cs="宋体"/>
                <w:b/>
                <w:color w:val="auto"/>
                <w:sz w:val="24"/>
                <w:szCs w:val="24"/>
                <w:highlight w:val="none"/>
                <w:lang w:eastAsia="zh-CN"/>
              </w:rPr>
              <w:t>章后提交至采购代理机构处，以便采购人进行留存备案等工作，</w:t>
            </w:r>
            <w:r>
              <w:rPr>
                <w:rFonts w:hint="eastAsia" w:ascii="宋体" w:hAnsi="宋体" w:eastAsia="宋体" w:cs="宋体"/>
                <w:b/>
                <w:color w:val="auto"/>
                <w:sz w:val="24"/>
                <w:szCs w:val="24"/>
                <w:highlight w:val="none"/>
                <w:lang w:val="en-US" w:eastAsia="zh-CN"/>
              </w:rPr>
              <w:t>成交单位</w:t>
            </w:r>
            <w:r>
              <w:rPr>
                <w:rFonts w:hint="eastAsia" w:ascii="宋体" w:hAnsi="宋体" w:eastAsia="宋体" w:cs="宋体"/>
                <w:b/>
                <w:color w:val="auto"/>
                <w:sz w:val="24"/>
                <w:szCs w:val="24"/>
                <w:highlight w:val="none"/>
                <w:lang w:eastAsia="zh-CN"/>
              </w:rPr>
              <w:t>应保持投标文件纸质版内容与电子版内容完全一致，否则将承担一切法律责任。纸质投标文件一律采用书籍（胶装）方式装订）。</w:t>
            </w:r>
          </w:p>
          <w:p>
            <w:pPr>
              <w:pStyle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采购标的对应的中小企业划分标准所属行业为</w:t>
            </w:r>
            <w:r>
              <w:rPr>
                <w:rFonts w:hint="eastAsia" w:ascii="宋体" w:hAnsi="宋体" w:eastAsia="宋体" w:cs="宋体"/>
                <w:b/>
                <w:color w:val="auto"/>
                <w:sz w:val="24"/>
                <w:szCs w:val="24"/>
                <w:highlight w:val="none"/>
                <w:u w:val="single"/>
                <w:lang w:eastAsia="zh-CN"/>
              </w:rPr>
              <w:t>建筑业</w:t>
            </w:r>
            <w:r>
              <w:rPr>
                <w:rFonts w:hint="eastAsia" w:ascii="宋体" w:hAnsi="宋体" w:eastAsia="宋体" w:cs="宋体"/>
                <w:b/>
                <w:color w:val="auto"/>
                <w:sz w:val="24"/>
                <w:szCs w:val="24"/>
                <w:highlight w:val="none"/>
                <w:lang w:eastAsia="zh-CN"/>
              </w:rPr>
              <w:t>。</w:t>
            </w:r>
          </w:p>
          <w:p>
            <w:pPr>
              <w:rPr>
                <w:rFonts w:hint="eastAsia"/>
                <w:lang w:val="en-US" w:eastAsia="zh-CN"/>
              </w:rPr>
            </w:pPr>
          </w:p>
        </w:tc>
      </w:tr>
    </w:tbl>
    <w:p>
      <w:pPr>
        <w:spacing w:before="120" w:beforeLines="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磋商须知</w:t>
      </w:r>
    </w:p>
    <w:p>
      <w:pPr>
        <w:spacing w:before="240" w:beforeLines="100" w:line="360" w:lineRule="auto"/>
        <w:jc w:val="center"/>
        <w:outlineLvl w:val="1"/>
        <w:rPr>
          <w:rFonts w:hint="eastAsia" w:ascii="宋体" w:hAnsi="宋体" w:eastAsia="宋体" w:cs="宋体"/>
          <w:b/>
          <w:color w:val="auto"/>
          <w:sz w:val="24"/>
          <w:szCs w:val="24"/>
          <w:highlight w:val="none"/>
        </w:rPr>
      </w:pPr>
      <w:bookmarkStart w:id="5" w:name="_Toc21366"/>
      <w:r>
        <w:rPr>
          <w:rFonts w:hint="eastAsia" w:ascii="宋体" w:hAnsi="宋体" w:eastAsia="宋体" w:cs="宋体"/>
          <w:b/>
          <w:color w:val="auto"/>
          <w:sz w:val="30"/>
          <w:szCs w:val="30"/>
          <w:highlight w:val="none"/>
        </w:rPr>
        <w:t>一.总  则</w:t>
      </w:r>
      <w:bookmarkEnd w:id="5"/>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1.采购人和资金来源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1.1采购人名称、地址见前附表。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1.2本次磋商采购所签订合同将使用财政性资金支付，资金已落实到位。</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2.采购代理机构及合格的供应商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组织本次磋商的采购代理机构为</w:t>
      </w:r>
      <w:r>
        <w:rPr>
          <w:rFonts w:hint="eastAsia" w:ascii="宋体" w:hAnsi="宋体" w:eastAsia="宋体" w:cs="宋体"/>
          <w:color w:val="auto"/>
          <w:szCs w:val="21"/>
          <w:highlight w:val="none"/>
          <w:lang w:eastAsia="zh-CN"/>
        </w:rPr>
        <w:t>华睿诚项目管理有限公司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华睿诚项目管理有限公司</w:t>
      </w:r>
      <w:r>
        <w:rPr>
          <w:rFonts w:hint="eastAsia" w:ascii="宋体" w:hAnsi="宋体" w:eastAsia="宋体" w:cs="宋体"/>
          <w:color w:val="auto"/>
          <w:szCs w:val="21"/>
          <w:highlight w:val="none"/>
        </w:rPr>
        <w:t>具有中华人民共和国财政部授予的中华人民共和国政府采购代理机构甲级资格，在陕西省政府采购网登记备案。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2.2合格的供应商：</w:t>
      </w:r>
    </w:p>
    <w:p>
      <w:pPr>
        <w:spacing w:line="360" w:lineRule="auto"/>
        <w:ind w:firstLine="308" w:firstLineChars="147"/>
        <w:rPr>
          <w:rFonts w:hint="eastAsia" w:ascii="宋体" w:hAnsi="宋体" w:eastAsia="宋体" w:cs="宋体"/>
          <w:b w:val="0"/>
          <w:bCs/>
          <w:color w:val="auto"/>
          <w:szCs w:val="21"/>
          <w:highlight w:val="none"/>
        </w:rPr>
      </w:pPr>
      <w:bookmarkStart w:id="6" w:name="_Hlk36454126"/>
      <w:r>
        <w:rPr>
          <w:rFonts w:hint="eastAsia" w:ascii="宋体" w:hAnsi="宋体" w:eastAsia="宋体" w:cs="宋体"/>
          <w:b w:val="0"/>
          <w:bCs/>
          <w:color w:val="auto"/>
          <w:szCs w:val="21"/>
          <w:highlight w:val="none"/>
        </w:rPr>
        <w:t>2.2.1</w:t>
      </w:r>
      <w:r>
        <w:rPr>
          <w:rFonts w:hint="eastAsia" w:ascii="宋体" w:hAnsi="宋体" w:eastAsia="宋体" w:cs="宋体"/>
          <w:b w:val="0"/>
          <w:bCs/>
          <w:color w:val="auto"/>
          <w:szCs w:val="21"/>
          <w:highlight w:val="none"/>
          <w:lang w:eastAsia="zh-CN"/>
        </w:rPr>
        <w:t>符合磋商须知前附表</w:t>
      </w:r>
      <w:r>
        <w:rPr>
          <w:rFonts w:hint="eastAsia" w:ascii="宋体" w:hAnsi="宋体" w:eastAsia="宋体" w:cs="宋体"/>
          <w:b w:val="0"/>
          <w:bCs/>
          <w:color w:val="auto"/>
          <w:szCs w:val="21"/>
          <w:highlight w:val="none"/>
          <w:lang w:val="en-US" w:eastAsia="zh-CN"/>
        </w:rPr>
        <w:t>8.1条款要求。</w:t>
      </w:r>
    </w:p>
    <w:p>
      <w:pPr>
        <w:spacing w:line="360" w:lineRule="auto"/>
        <w:ind w:firstLine="308" w:firstLineChars="147"/>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2.2.2参加本次磋商的供应商不得直接或间接地与采购单位（包括</w:t>
      </w:r>
      <w:r>
        <w:rPr>
          <w:rFonts w:hint="eastAsia" w:ascii="宋体" w:hAnsi="宋体" w:eastAsia="宋体" w:cs="宋体"/>
          <w:b w:val="0"/>
          <w:bCs/>
          <w:color w:val="auto"/>
          <w:szCs w:val="21"/>
          <w:highlight w:val="none"/>
          <w:lang w:eastAsia="zh-CN"/>
        </w:rPr>
        <w:t>华睿诚项目管理有限公司</w:t>
      </w:r>
      <w:r>
        <w:rPr>
          <w:rFonts w:hint="eastAsia" w:ascii="宋体" w:hAnsi="宋体" w:eastAsia="宋体" w:cs="宋体"/>
          <w:b w:val="0"/>
          <w:bCs/>
          <w:color w:val="auto"/>
          <w:szCs w:val="21"/>
          <w:highlight w:val="none"/>
        </w:rPr>
        <w:t>、采购人及用户）有任何关联，亦不得是采购单位的附属机构。如果供应商在磋商中隐瞒了上述关系，其磋商响应文件按照无效处理。</w:t>
      </w:r>
    </w:p>
    <w:p>
      <w:pPr>
        <w:spacing w:line="360" w:lineRule="auto"/>
        <w:ind w:firstLine="308" w:firstLineChars="147"/>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2.2.3单位负责人为同一人或者存在直接控股、管理关系的不同供应商，不得参加本项目同一合同项下的磋商。如果供应商在磋商中隐瞒了上述关系，其磋商响应文件按照无效处理。</w:t>
      </w:r>
    </w:p>
    <w:p>
      <w:pPr>
        <w:spacing w:line="360" w:lineRule="auto"/>
        <w:ind w:firstLine="308" w:firstLineChars="147"/>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2.2.4为本采购项目提供整体设计、规范编制或者项目管理、监理、检测等服务的供应商，不得再参加本采购项目的磋商报价。如果供应商在磋商中隐瞒了上述事实，其磋商响应文件按照无效处理。</w:t>
      </w:r>
    </w:p>
    <w:p>
      <w:pPr>
        <w:spacing w:line="360" w:lineRule="auto"/>
        <w:ind w:firstLine="308" w:firstLineChars="147"/>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2.2.5如果在磋商文件中接受联合体报价（见磋商须知前附表），则两个以上供应商可以组成一个磋商联合体，以一个供应商的身份磋商报价。以联合体形式参加磋商报价的，联合体各方均应当符合政府采购法第二十二条第一款规定的条件。采购人根据采购项目的特殊要求规定供应商特定条件的，联合体各方中至少应当有一方符合采购人规定的特定条件。</w:t>
      </w:r>
    </w:p>
    <w:p>
      <w:pPr>
        <w:spacing w:line="360" w:lineRule="auto"/>
        <w:ind w:firstLine="308" w:firstLineChars="147"/>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联合体各方之间应当签订共同磋商报价协议，明确约定联合体各方承担的工作和相应的责任，并将共同磋商报价协议附在磋商响应文件中一并提交。联合体各方签订共同磋商报价协议后，不得再以自己名义单独在同一项目中进行磋商报价，也不得组成新的联合体参加同一项目磋商报价。</w:t>
      </w:r>
    </w:p>
    <w:p>
      <w:pPr>
        <w:spacing w:line="360" w:lineRule="auto"/>
        <w:ind w:firstLine="308" w:firstLineChars="147"/>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2.2.6磋商费用自理。不论磋商的结果如何，供应商均应自行承担所有与参加磋商有关的费用。</w:t>
      </w:r>
    </w:p>
    <w:p>
      <w:pPr>
        <w:spacing w:line="360" w:lineRule="auto"/>
        <w:ind w:firstLine="308" w:firstLineChars="147"/>
        <w:rPr>
          <w:rFonts w:hint="eastAsia" w:ascii="宋体" w:hAnsi="宋体" w:eastAsia="宋体" w:cs="宋体"/>
          <w:b w:val="0"/>
          <w:bCs/>
          <w:color w:val="auto"/>
          <w:szCs w:val="21"/>
          <w:highlight w:val="none"/>
        </w:rPr>
      </w:pPr>
      <w:bookmarkStart w:id="7" w:name="_Hlk36458457"/>
      <w:r>
        <w:rPr>
          <w:rFonts w:hint="eastAsia" w:ascii="宋体" w:hAnsi="宋体" w:eastAsia="宋体" w:cs="宋体"/>
          <w:b w:val="0"/>
          <w:bCs/>
          <w:color w:val="auto"/>
          <w:szCs w:val="21"/>
          <w:highlight w:val="none"/>
        </w:rPr>
        <w:t>2.2.</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供应商信用记录查询及使用</w:t>
      </w:r>
    </w:p>
    <w:bookmarkEnd w:id="7"/>
    <w:p>
      <w:pPr>
        <w:spacing w:line="360" w:lineRule="auto"/>
        <w:ind w:firstLine="308" w:firstLineChars="147"/>
        <w:rPr>
          <w:rFonts w:hint="eastAsia" w:ascii="宋体" w:hAnsi="宋体" w:eastAsia="宋体" w:cs="宋体"/>
          <w:b/>
          <w:color w:val="auto"/>
          <w:szCs w:val="21"/>
          <w:highlight w:val="none"/>
        </w:rPr>
      </w:pPr>
      <w:r>
        <w:rPr>
          <w:rFonts w:hint="eastAsia" w:ascii="宋体" w:hAnsi="宋体" w:eastAsia="宋体" w:cs="宋体"/>
          <w:b w:val="0"/>
          <w:bCs/>
          <w:color w:val="auto"/>
          <w:szCs w:val="21"/>
          <w:highlight w:val="none"/>
        </w:rPr>
        <w:t>供应商不得为“信用中国”网站（www.creditchina.gov.cn）中列入“失信被执行人”（中国执行信息公开网http://zxgk.court.gov.cn/shixin/）和“重大税收违法案件”当事人名单的供应商，不得为中国政府采购网（www.ccgp.gov.cn）政府采购“严重违法失信行为记录名单”中被财政部门禁止参加政府采购活动的供应商。采购代理机构将打印查询记录作为证据留存。</w:t>
      </w:r>
      <w:r>
        <w:rPr>
          <w:rFonts w:hint="eastAsia" w:ascii="宋体" w:hAnsi="宋体" w:eastAsia="宋体" w:cs="宋体"/>
          <w:b/>
          <w:color w:val="auto"/>
          <w:szCs w:val="21"/>
          <w:highlight w:val="none"/>
        </w:rPr>
        <w:t xml:space="preserve"> </w:t>
      </w:r>
    </w:p>
    <w:bookmarkEnd w:id="6"/>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Cs w:val="21"/>
          <w:highlight w:val="none"/>
        </w:rPr>
        <w:t>提供服务的合格性和合法性</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3.1供应商提供的服务应满足磋商文件的要求，并应符合国家法律法规、行业管理部门所要求的其他强制性标准。</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4.磋商响应文件内容的真实性</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供应商应保证其磋商响应文件中所提供的所有有关磋商报价的资料、信息是真实的，并且来源于合法的渠道。因磋商响应文件中所提供的有关磋商报价的资料、信息不真实，或者其来源不合法而导致的所有法律责任，由供应商自行承担。</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5.磋商过程的监督和管理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5.1同级人民政府财政部门及有关部门依法履行对磋商过程的监督管理职责。</w:t>
      </w:r>
      <w:r>
        <w:rPr>
          <w:rFonts w:hint="eastAsia" w:ascii="宋体" w:hAnsi="宋体" w:eastAsia="宋体" w:cs="宋体"/>
          <w:color w:val="auto"/>
          <w:sz w:val="24"/>
          <w:szCs w:val="24"/>
          <w:highlight w:val="none"/>
        </w:rPr>
        <w:t xml:space="preserve">   </w:t>
      </w:r>
    </w:p>
    <w:p>
      <w:pPr>
        <w:spacing w:before="240" w:beforeLines="100" w:line="360" w:lineRule="auto"/>
        <w:jc w:val="center"/>
        <w:outlineLvl w:val="1"/>
        <w:rPr>
          <w:rFonts w:hint="eastAsia" w:ascii="宋体" w:hAnsi="宋体" w:eastAsia="宋体" w:cs="宋体"/>
          <w:b/>
          <w:color w:val="auto"/>
          <w:sz w:val="30"/>
          <w:szCs w:val="30"/>
          <w:highlight w:val="none"/>
        </w:rPr>
      </w:pPr>
      <w:bookmarkStart w:id="8" w:name="_Toc14053"/>
      <w:r>
        <w:rPr>
          <w:rFonts w:hint="eastAsia" w:ascii="宋体" w:hAnsi="宋体" w:eastAsia="宋体" w:cs="宋体"/>
          <w:b/>
          <w:color w:val="auto"/>
          <w:sz w:val="30"/>
          <w:szCs w:val="30"/>
          <w:highlight w:val="none"/>
        </w:rPr>
        <w:t>二.磋商文件</w:t>
      </w:r>
      <w:bookmarkEnd w:id="8"/>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6.磋商文件构成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磋商文件规定了要求提供的</w:t>
      </w:r>
      <w:r>
        <w:rPr>
          <w:rFonts w:hint="eastAsia" w:ascii="宋体" w:hAnsi="宋体" w:cs="宋体"/>
          <w:color w:val="auto"/>
          <w:szCs w:val="21"/>
          <w:highlight w:val="none"/>
          <w:lang w:val="en-US" w:eastAsia="zh-CN"/>
        </w:rPr>
        <w:t>内容</w:t>
      </w:r>
      <w:r>
        <w:rPr>
          <w:rFonts w:hint="eastAsia" w:ascii="宋体" w:hAnsi="宋体" w:eastAsia="宋体" w:cs="宋体"/>
          <w:color w:val="auto"/>
          <w:szCs w:val="21"/>
          <w:highlight w:val="none"/>
        </w:rPr>
        <w:t>。磋商程序和合同条件在磋商文件中均有说明。磋商文件共</w:t>
      </w:r>
      <w:r>
        <w:rPr>
          <w:rFonts w:hint="eastAsia" w:ascii="宋体" w:hAnsi="宋体" w:cs="宋体"/>
          <w:color w:val="auto"/>
          <w:szCs w:val="21"/>
          <w:highlight w:val="none"/>
          <w:lang w:eastAsia="zh-CN"/>
        </w:rPr>
        <w:t>六</w:t>
      </w:r>
      <w:r>
        <w:rPr>
          <w:rFonts w:hint="eastAsia" w:ascii="宋体" w:hAnsi="宋体" w:eastAsia="宋体" w:cs="宋体"/>
          <w:color w:val="auto"/>
          <w:szCs w:val="21"/>
          <w:highlight w:val="none"/>
        </w:rPr>
        <w:t>章，内容如下：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磋商须知及前附表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评审办法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磋商内容及技术规范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合同格式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磋商响应文件格式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供应商应认真阅读磋商文件中所有的事项、格式、条款和规范等要求。如果供应商没有按照磋商文件要求提交全部资料，或者磋商响应文件没有对磋商文件在各方面都做出实质性响应，由此带来的不利于供应商的评审结果，其风险由供应商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6.3本磋商文件的解释权归</w:t>
      </w:r>
      <w:r>
        <w:rPr>
          <w:rFonts w:hint="eastAsia" w:ascii="宋体" w:hAnsi="宋体" w:eastAsia="宋体" w:cs="宋体"/>
          <w:color w:val="auto"/>
          <w:szCs w:val="21"/>
          <w:highlight w:val="none"/>
          <w:lang w:eastAsia="zh-CN"/>
        </w:rPr>
        <w:t>华睿诚项目管理有限公司</w:t>
      </w:r>
      <w:r>
        <w:rPr>
          <w:rFonts w:hint="eastAsia" w:ascii="宋体" w:hAnsi="宋体" w:eastAsia="宋体" w:cs="宋体"/>
          <w:color w:val="auto"/>
          <w:szCs w:val="21"/>
          <w:highlight w:val="none"/>
        </w:rPr>
        <w:t>。</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7.磋商文件的澄清修改和质疑答复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7.1磋商采购单位如果对已发出的磋商文件进行必要的澄清或者修改，将在磋商文件要求提交首次磋商响应文件截止时间3个工作日前，以书面形式通知所有</w:t>
      </w:r>
      <w:r>
        <w:rPr>
          <w:rFonts w:hint="eastAsia" w:ascii="宋体" w:hAnsi="宋体" w:cs="宋体"/>
          <w:color w:val="auto"/>
          <w:szCs w:val="21"/>
          <w:highlight w:val="none"/>
          <w:lang w:eastAsia="zh-CN"/>
        </w:rPr>
        <w:t>获取</w:t>
      </w:r>
      <w:r>
        <w:rPr>
          <w:rFonts w:hint="eastAsia" w:ascii="宋体" w:hAnsi="宋体" w:eastAsia="宋体" w:cs="宋体"/>
          <w:color w:val="auto"/>
          <w:szCs w:val="21"/>
          <w:highlight w:val="none"/>
        </w:rPr>
        <w:t>磋商文件的供应商，不足3个工作日的，将顺延提交首次磋商响应文件截止时间。该澄清或者修改的内容作为磋商文件的组成部分。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已经</w:t>
      </w:r>
      <w:r>
        <w:rPr>
          <w:rFonts w:hint="eastAsia" w:ascii="宋体" w:hAnsi="宋体" w:cs="宋体"/>
          <w:color w:val="auto"/>
          <w:szCs w:val="21"/>
          <w:highlight w:val="none"/>
          <w:lang w:eastAsia="zh-CN"/>
        </w:rPr>
        <w:t>获取</w:t>
      </w:r>
      <w:r>
        <w:rPr>
          <w:rFonts w:hint="eastAsia" w:ascii="宋体" w:hAnsi="宋体" w:eastAsia="宋体" w:cs="宋体"/>
          <w:color w:val="auto"/>
          <w:szCs w:val="21"/>
          <w:highlight w:val="none"/>
        </w:rPr>
        <w:t>磋商文件的供应商对磋商文件有质疑的，应当在“磋商须知前附表”规定的时间内以书面形式向采购代理机构提出，在此之后提出的质疑为无效质疑，采购代理机构不予受理。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7.3对于在规定时间内收到的供应商依法提出的询问或者质疑，采购代理机构将按质疑程序及时作出答复，若对磋商文件做出实质性变动，则按照相关规定延长磋商报价截止时间。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7.4供应商提出质疑应当有明确的请求和必要的证明材料。</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8.磋商响应截止时间和磋商时间的延长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8.1采购代理机构可以视采购具体情况延长磋商截止时间和磋商时间，并以书面形式通知所有获取磋商文件的供应商。</w:t>
      </w:r>
    </w:p>
    <w:p>
      <w:pPr>
        <w:spacing w:before="240" w:beforeLines="100" w:line="360" w:lineRule="auto"/>
        <w:jc w:val="center"/>
        <w:outlineLvl w:val="1"/>
        <w:rPr>
          <w:rFonts w:hint="eastAsia" w:ascii="宋体" w:hAnsi="宋体" w:eastAsia="宋体" w:cs="宋体"/>
          <w:b/>
          <w:color w:val="auto"/>
          <w:sz w:val="30"/>
          <w:szCs w:val="30"/>
          <w:highlight w:val="none"/>
        </w:rPr>
      </w:pPr>
      <w:bookmarkStart w:id="9" w:name="_Toc26936"/>
      <w:r>
        <w:rPr>
          <w:rFonts w:hint="eastAsia" w:ascii="宋体" w:hAnsi="宋体" w:eastAsia="宋体" w:cs="宋体"/>
          <w:b/>
          <w:color w:val="auto"/>
          <w:sz w:val="30"/>
          <w:szCs w:val="30"/>
          <w:highlight w:val="none"/>
        </w:rPr>
        <w:t>三.磋商响应文件的编制</w:t>
      </w:r>
      <w:bookmarkEnd w:id="9"/>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9.磋商报价语言和磋商报价货币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9.1供应商提交的磋商响应文件以及供应商与采购代理机构就有关磋商的所有来往函电均应使用中文。对不同文字文本磋商响应文件的解释发生异议的，以中文文本为准。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9.2磋商报价应以人民币报价。任何包含非人民币报价的磋商响应文件均按无效处理。</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10.磋商响应文件的构成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供应商提交的磋商响应文件应包括下列部分的内容：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10.1.1按照磋商须知的要求和磋商响应文件规定格式填写的磋商报价书，磋商报价表，按要求格式出具的</w:t>
      </w:r>
      <w:r>
        <w:rPr>
          <w:rFonts w:hint="eastAsia" w:ascii="宋体" w:hAnsi="宋体" w:eastAsia="宋体" w:cs="宋体"/>
          <w:color w:val="auto"/>
          <w:kern w:val="0"/>
          <w:szCs w:val="21"/>
          <w:highlight w:val="none"/>
          <w:shd w:val="clear" w:color="auto" w:fill="FFFFFF"/>
        </w:rPr>
        <w:t>法定代表人（单位负责人）授权书</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10.1.2按照磋商文件的要求编制的响应方案说明书，内容应包括详细说明，</w:t>
      </w:r>
      <w:r>
        <w:rPr>
          <w:rFonts w:hint="eastAsia" w:ascii="宋体" w:hAnsi="宋体" w:cs="宋体"/>
          <w:color w:val="auto"/>
          <w:szCs w:val="21"/>
          <w:highlight w:val="none"/>
          <w:lang w:val="en-US" w:eastAsia="zh-CN"/>
        </w:rPr>
        <w:t>工期</w:t>
      </w:r>
      <w:r>
        <w:rPr>
          <w:rFonts w:hint="eastAsia" w:ascii="宋体" w:hAnsi="宋体" w:eastAsia="宋体" w:cs="宋体"/>
          <w:color w:val="auto"/>
          <w:szCs w:val="21"/>
          <w:highlight w:val="none"/>
        </w:rPr>
        <w:t>、程序设计和实施方案，质量保证和后续承诺等。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10.1.3按照磋商文件的要求提交的资质证明文件和其他证明文件；</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11.磋商响应文件格式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供应商应按照磋商文件中“磋商响应文件格式”所提供的格式和要求制作磋商响应文件，明确表达磋商响应意愿，详细说明磋商响应方案和报价。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供应商应完整地提供磋商文件要求的所有数据和资料。</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12.磋商报价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12.1供应商应按照“磋商须知前附表”中规定的要求报价，按照磋商报价表的内容标明磋商报价的所有单项价格和总价。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12.2最后磋商报价是供应商响应文件的有效组成部分。</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13.证明供应商合格和资格的文件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13.1供应商应按照磋商文件“磋商须知前附表”的要求，在磋商响应文件中提交证明其资格合格的文件。如果资格证明文件不齐全或不合格的，其磋商响应文件按照无效处理。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13.2如果“磋商须知前附表”有要求，供应商还应按照要求提交证明文件的原件。如果未能提供原件或者提供原件不全的，其磋商响应文件按照无效处理。</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 证明合格性和符合磋商文件要求的文件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供应商应在响应文件中提交满足磋商文件要求并符合国家法律法规、行业管理部门要求的其他强制性标准的证明文件。缺少证明文件或证明文件不合格的响应文件，与磋商文件要求有重大偏离的响应文件，不符合国家法律法规、行业管理部门要求的其他强制性标准的响应文件将按照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14.2上述证明文件可以是文字资料、图纸、图片和数据，它包括：</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 本次采购特别要求的合格性证明文件（见“磋商须知前附表”）；</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2）逐条对磋商文件提出的技术要求和商务要求进行应答，说明所提供的</w:t>
      </w:r>
      <w:r>
        <w:rPr>
          <w:rFonts w:hint="eastAsia" w:ascii="宋体" w:hAnsi="宋体" w:cs="宋体"/>
          <w:color w:val="auto"/>
          <w:szCs w:val="21"/>
          <w:highlight w:val="none"/>
          <w:lang w:val="en-US" w:eastAsia="zh-CN"/>
        </w:rPr>
        <w:t>内容</w:t>
      </w:r>
      <w:r>
        <w:rPr>
          <w:rFonts w:hint="eastAsia" w:ascii="宋体" w:hAnsi="宋体" w:eastAsia="宋体" w:cs="宋体"/>
          <w:color w:val="auto"/>
          <w:szCs w:val="21"/>
          <w:highlight w:val="none"/>
        </w:rPr>
        <w:t>对磋商要求的技术和商务要求是否做出了实质性响应并提供支持文件；</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3）内容、程序设计和实施方案的详细说明。</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15.磋商保证金</w:t>
      </w:r>
    </w:p>
    <w:p>
      <w:pPr>
        <w:spacing w:line="360" w:lineRule="auto"/>
        <w:ind w:left="187" w:leftChars="8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15.1如果磋商文件有要求，供应商应按照“磋商须知前附表”的要求，在参加磋商时交纳磋商保证金,其有效期与磋商报价有效期一致，并作为其磋商响应的一部分。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15.2磋商保证金的数额、形式、交纳办法和交纳时间见“磋商须知前附表”。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15.3磋商后经审查，未按照“磋商须知前附表”的要求交纳磋商保证金的、已交纳的磋商保证金金额不足的或有效期不足的，其磋商响应文件将按照无效处理。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15.4未成交人的磋商保证金，在成交通知书发出后五个工作日内退还；成交人的磋商保证金，在采购合同签订并按规定交纳代理服务费后五个工作日内退还。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15.5有下列情形之一的，保证金不予退还：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15.5.1供应商在提交响应文件截止时间后撤回响应文件的；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15.5.2供应商在响应文件中提供虚假材料的；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15.5.3除因不可抗力或磋商文件认可的情形以外，成交供应商不与采购人签订合同的；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15.5.4供应商与采购人、其他供应商或者采购代理机构恶意串通的；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15.5.5供应商未能按规定交纳代理服务费的。</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16.磋商报价有效期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16.1磋商报价应在 “磋商须知前附表”中规定的磋商报价有效期内保持有效。磋商报价不满足规定有效期的，其磋商响应文件将按照无效处理。</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17.磋商响应文件的式样和签署</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17.1供应商应按照磋商须知的要求, 将电子磋商响应文件上传至全国公共资源交易平台（陕西省·西咸新区）（http://xxxq.sxggzyjy.cn/）。</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17.2如果磋商文件有要求，还应按照“磋商须知前附表”的要求准备相应格式和载体的电子版文件。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17.3磋商响应文件应由供应商法人代表或经法人代表正式授权的代表签字。授权代表须将按磋商文件规定的格式出具的“</w:t>
      </w:r>
      <w:r>
        <w:rPr>
          <w:rFonts w:hint="eastAsia" w:ascii="宋体" w:hAnsi="宋体" w:eastAsia="宋体" w:cs="宋体"/>
          <w:color w:val="auto"/>
          <w:kern w:val="0"/>
          <w:szCs w:val="21"/>
          <w:highlight w:val="none"/>
          <w:shd w:val="clear" w:color="auto" w:fill="FFFFFF"/>
        </w:rPr>
        <w:t>法定代表人（单位负责人）授权书</w:t>
      </w:r>
      <w:r>
        <w:rPr>
          <w:rFonts w:hint="eastAsia" w:ascii="宋体" w:hAnsi="宋体" w:eastAsia="宋体" w:cs="宋体"/>
          <w:color w:val="auto"/>
          <w:szCs w:val="21"/>
          <w:highlight w:val="none"/>
        </w:rPr>
        <w:t>”附在磋商响应文件中。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17.4任何行间插字、涂改和增删，必须由磋商响应文件的签字人在旁边签字才有效。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17.5因字迹潦草、表述不清或不按磋商文件格式编制的磋商响应文件，所引起的对供应商不利的后果，由供应商自行负责。</w:t>
      </w:r>
    </w:p>
    <w:p>
      <w:pPr>
        <w:spacing w:before="240" w:beforeLines="100" w:line="360" w:lineRule="auto"/>
        <w:jc w:val="center"/>
        <w:outlineLvl w:val="1"/>
        <w:rPr>
          <w:rFonts w:hint="eastAsia" w:ascii="宋体" w:hAnsi="宋体" w:eastAsia="宋体" w:cs="宋体"/>
          <w:b/>
          <w:color w:val="auto"/>
          <w:sz w:val="30"/>
          <w:szCs w:val="30"/>
          <w:highlight w:val="none"/>
        </w:rPr>
      </w:pPr>
      <w:bookmarkStart w:id="10" w:name="_Toc23498"/>
      <w:r>
        <w:rPr>
          <w:rFonts w:hint="eastAsia" w:ascii="宋体" w:hAnsi="宋体" w:eastAsia="宋体" w:cs="宋体"/>
          <w:b/>
          <w:color w:val="auto"/>
          <w:sz w:val="30"/>
          <w:szCs w:val="30"/>
          <w:highlight w:val="none"/>
        </w:rPr>
        <w:t>四.磋商响应文件的递交</w:t>
      </w:r>
      <w:bookmarkEnd w:id="10"/>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18.磋商响应文件的加密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磋商响应文件的应当使用使用全国公共资源交易平台（陕西省•西咸新区）加密锁（CA锁）加密，符合“全国公共资源交易平台（陕西省•西咸新区）”的数字证书认证要求。</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19．磋商响应文件递交方式和磋商截止时间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19.1供应商必须在“磋商须知前附表”规定的磋商响应文件递交截止时间前，将全部磋商响应文件和磋商报价资料递交至磋商地点。磋商地点见“磋商须知前附表”指明的地址或采购代理机构另行通知的地址。</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19.2在规定的磋商响应文件递交截止时间后递交的磋商响应文件和磋商报价资料无效。</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20．磋商报价的修改与撤回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在递交磋商响应文件后，可以修改或撤回其磋商响应文件，也可以提出价格变动声明，但供应商必须在规定的磋商响应文件递交截止时间之前将修改或撤回或变动价格的书面通知文件递交到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供应商的修改或撤回或变动价格的通知应按本须知第17条和18条的规定编制、密封、标记和递交。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在磋商响应文件递交截止时间之后，供应商不得对其磋商报价做任何修改或撤回。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在磋商结束之后，对于供应商正常经营活动必须的资质和证明文件原件（包括但不限于：营业执照、税务登记证、经营许可证、资质等级证书、成交通知书、经济合同等），经审查后予以退还。其他磋商响应文件和资料一律不予退还。</w:t>
      </w:r>
    </w:p>
    <w:p>
      <w:pPr>
        <w:spacing w:before="240" w:beforeLines="100" w:line="360" w:lineRule="auto"/>
        <w:jc w:val="center"/>
        <w:outlineLvl w:val="1"/>
        <w:rPr>
          <w:rFonts w:hint="eastAsia" w:ascii="宋体" w:hAnsi="宋体" w:eastAsia="宋体" w:cs="宋体"/>
          <w:b/>
          <w:color w:val="auto"/>
          <w:sz w:val="30"/>
          <w:szCs w:val="30"/>
          <w:highlight w:val="none"/>
        </w:rPr>
      </w:pPr>
      <w:bookmarkStart w:id="11" w:name="_Toc18720"/>
      <w:r>
        <w:rPr>
          <w:rFonts w:hint="eastAsia" w:ascii="宋体" w:hAnsi="宋体" w:eastAsia="宋体" w:cs="宋体"/>
          <w:b/>
          <w:color w:val="auto"/>
          <w:sz w:val="30"/>
          <w:szCs w:val="30"/>
          <w:highlight w:val="none"/>
        </w:rPr>
        <w:t>五.磋商与评审</w:t>
      </w:r>
      <w:bookmarkEnd w:id="11"/>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21.磋商小组和磋商评审原则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按照《中华人民共和国政府采购法》、《中华人民共和国政府采购法实施条例》和《政府采购竞争性磋商采购方式管理暂行办法》财库〔2014〕214号的规定，采购机构将依法组建竞争性磋商小组，依法进行磋商和评审工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21.2磋商文件和供应商的响应文件是评审的依据。</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22.磋商及评审程序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22.1采购代理机构在规定的时间和地点组织磋商。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22.2本次磋商的报价次数、磋商程序和最终报价的产生原则见“磋商须知前附表”的规定。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22.4磋商小组所有成员集中与单一供应商分别进行磋商，并给予所有参加磋商的供应商平等的磋商机会。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22.5在磋商过程中，磋商小组可以根据磋商文件和磋商情况实质性变动采购需求中的技术、</w:t>
      </w:r>
      <w:r>
        <w:rPr>
          <w:rFonts w:hint="eastAsia" w:ascii="宋体" w:hAnsi="宋体" w:cs="宋体"/>
          <w:color w:val="auto"/>
          <w:szCs w:val="21"/>
          <w:highlight w:val="none"/>
          <w:lang w:val="en-US" w:eastAsia="zh-CN"/>
        </w:rPr>
        <w:t>采购内容</w:t>
      </w:r>
      <w:r>
        <w:rPr>
          <w:rFonts w:hint="eastAsia" w:ascii="宋体" w:hAnsi="宋体" w:eastAsia="宋体" w:cs="宋体"/>
          <w:color w:val="auto"/>
          <w:szCs w:val="21"/>
          <w:highlight w:val="none"/>
        </w:rPr>
        <w:t>以及合同草案条款。所有变动内容均是磋商文件的有效组成部分，磋商小组将以书面形式同时通知所有参加磋商的供应商。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22.6参加磋商的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22.7磋商结束后，磋商小组要求所有继续参加磋商的供应商在规定时间内提交最后报价，最后报价是供应商响应文件的有效组成部分。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22.8已提交响应文件的供应商，在提交最后报价之前，可以根据磋商情况退出磋商。采购机构将退还退出磋商的供应商的保证金。</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23．评审过程的保密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23.1竞争性磋商小组成员和与评审活动有关的工作人员不得泄露有关磋商响应文件的评审和比较、成交候选人的推荐以及与评审有关的其他情况。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23.2在评审过程中，如果供应商试图在磋商响应文件的评审和比较、成交候选人的推荐以及与评审有关的其他方面，向磋商小组、采购人和采购代理机构施加任何影响，其磋商响应文件将按照无效处理。</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24．评审方法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按照《中华人民共和国政府采购法》、《中华人民共和国政府采购法实施条例》和《政府采购竞争性磋商采购方式管理暂行办法》财库〔2014〕214号的规定，磋商小组根据综合评分情况，按照评审得分由高到低顺序推荐3名成交候选供应商。</w:t>
      </w:r>
    </w:p>
    <w:p>
      <w:pPr>
        <w:spacing w:before="240" w:beforeLines="100" w:line="360" w:lineRule="auto"/>
        <w:jc w:val="center"/>
        <w:outlineLvl w:val="1"/>
        <w:rPr>
          <w:rFonts w:hint="eastAsia" w:ascii="宋体" w:hAnsi="宋体" w:eastAsia="宋体" w:cs="宋体"/>
          <w:b/>
          <w:color w:val="auto"/>
          <w:sz w:val="24"/>
          <w:szCs w:val="24"/>
          <w:highlight w:val="none"/>
        </w:rPr>
      </w:pPr>
      <w:bookmarkStart w:id="12" w:name="_Toc19696"/>
      <w:r>
        <w:rPr>
          <w:rFonts w:hint="eastAsia" w:ascii="宋体" w:hAnsi="宋体" w:eastAsia="宋体" w:cs="宋体"/>
          <w:b/>
          <w:color w:val="auto"/>
          <w:sz w:val="30"/>
          <w:szCs w:val="30"/>
          <w:highlight w:val="none"/>
        </w:rPr>
        <w:t>六.确定成交人、成交通知与签约</w:t>
      </w:r>
      <w:bookmarkEnd w:id="12"/>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25．确定成交人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25.1磋商小组根据评审方法的规定对供应商进行评审排序，推荐成交候选人，形成评审报告。评审报告由磋商小组成员签字确认。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25.2采购人从评审报告提出的成交候选人中，根据质量和服务均能满足采购文件实质性响应要求且评分最高的原则确定成交供应商。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25.3采购人也可以书面授权磋商小组直接确定成交供应商。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25.4成交供应商确定之后，成交结果将在财政部门指定的政府采购信息发布媒体上公告。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25.5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25.6成交供应商拒绝与采购人签订合同的，采购人可以按照评审报告推荐的成交候选人名单排序，确定下一候选人为成交供应商，也可以重新开展政府采购活动。</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26．成交通知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 成交供应商确定之后，</w:t>
      </w:r>
      <w:r>
        <w:rPr>
          <w:rFonts w:hint="eastAsia" w:ascii="宋体" w:hAnsi="宋体" w:eastAsia="宋体" w:cs="宋体"/>
          <w:color w:val="auto"/>
          <w:szCs w:val="21"/>
          <w:highlight w:val="none"/>
          <w:lang w:eastAsia="zh-CN"/>
        </w:rPr>
        <w:t>华睿诚项目管理有限公司</w:t>
      </w:r>
      <w:r>
        <w:rPr>
          <w:rFonts w:hint="eastAsia" w:ascii="宋体" w:hAnsi="宋体" w:eastAsia="宋体" w:cs="宋体"/>
          <w:color w:val="auto"/>
          <w:szCs w:val="21"/>
          <w:highlight w:val="none"/>
        </w:rPr>
        <w:t xml:space="preserve">将发出《成交通知书》。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26.2成交通知书对采购人和成交供应商具有同等法律效力。成交通知书发出之后，采购人改变成交结果，或者成交供应商放弃成交，应当承担相应的法律责任。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成交通知书发出后五个工作日内，</w:t>
      </w:r>
      <w:r>
        <w:rPr>
          <w:rFonts w:hint="eastAsia" w:ascii="宋体" w:hAnsi="宋体" w:eastAsia="宋体" w:cs="宋体"/>
          <w:color w:val="auto"/>
          <w:szCs w:val="21"/>
          <w:highlight w:val="none"/>
          <w:lang w:eastAsia="zh-CN"/>
        </w:rPr>
        <w:t>华睿诚项目管理有限公司</w:t>
      </w:r>
      <w:r>
        <w:rPr>
          <w:rFonts w:hint="eastAsia" w:ascii="宋体" w:hAnsi="宋体" w:eastAsia="宋体" w:cs="宋体"/>
          <w:color w:val="auto"/>
          <w:szCs w:val="21"/>
          <w:highlight w:val="none"/>
        </w:rPr>
        <w:t>将通知未成交的供应商，并退还其磋商保证金。</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 成交合同的签订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27.1采购人应当自成交通知书发出之日起三十日内，按照磋商文件和成交供应商的响应文件（包括磋商评审中形成的最后报价等补充文件），与成交供应商签订书面合同。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27.2采购人自政府采购合同签订之日起2个工作日内，将政府采购合同在省级以上人民政府财政部门指定的媒体上公告，但政府采购合同中涉及国家秘密、商业秘密的内容除外。</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28．成交合同的履约验收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28.1采购人按照政府采购合同规定的技术、服务、安全标准组织对供应商履约情况进行验收，并出具验收书。验收书应当包括每一项技术、服务、安全标准的履约情况。</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29．采购代理服务费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采购代理服务费的金额见前附表。</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30.其他</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30.1磋商开始后，出现下列情形之一的，采购代理机构将终止竞争性磋商采购活动，发布项目终止公告并说明原因，重新开展采购活动：</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（一）因情况变化，不再符合规定的竞争性磋商采购方式适用情形的；</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（二）出现影响采购公正的违法、违规行为的；</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（三）在采购过程中符合要求的供应商不足3家的 ；</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（四）报价未超过采购预算的供应商不足3家的。</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（五）法律规定其它情形除外。</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 提交最后报价的供应商为2家时，可以继续进行磋商的情形：</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（一）市场竞争不充分的科研项目，以及需要扶持的科技成果转化项目；</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（二）根据《关于政府采购竞争性磋商采购方式管理暂行办法有关问题的补充通知》（财库〔2015〕124号）文件的相关规定，在采购过程中符合要求的供应商（社会资本）只有2家的。</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30.3落实优先采购节能、环保产品的政策</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w:t>
      </w:r>
      <w:r>
        <w:rPr>
          <w:rFonts w:hint="eastAsia" w:ascii="宋体" w:hAnsi="宋体" w:cs="宋体"/>
          <w:color w:val="auto"/>
          <w:szCs w:val="21"/>
          <w:highlight w:val="none"/>
          <w:lang w:val="en-US" w:eastAsia="zh-CN"/>
        </w:rPr>
        <w:t>内容</w:t>
      </w:r>
      <w:r>
        <w:rPr>
          <w:rFonts w:hint="eastAsia" w:ascii="宋体" w:hAnsi="宋体" w:eastAsia="宋体" w:cs="宋体"/>
          <w:color w:val="auto"/>
          <w:szCs w:val="21"/>
          <w:highlight w:val="none"/>
        </w:rPr>
        <w:t>涉及的采购产品进入“节能产品政府采购品目清单”的；符合相关文件精神，进入“环境标志产品政府采购品目清单”的，提供证明文件，在评审方法中享受报价优惠折扣（详见评审方法）。采购产品符合财库〔2019〕9号文件精神，进入节能产品、环境标志产品政府采购清单（有效期内）的。</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30.4落实促进支持小微企业、监狱企业、残疾人企业发展的政策</w:t>
      </w:r>
      <w:r>
        <w:rPr>
          <w:rFonts w:hint="eastAsia" w:ascii="宋体" w:hAnsi="宋体" w:eastAsia="宋体" w:cs="宋体"/>
          <w:b/>
          <w:color w:val="auto"/>
          <w:szCs w:val="21"/>
          <w:highlight w:val="none"/>
        </w:rPr>
        <w:t>（本项目专门面向中小企业采购，不再执行价格评审优惠的扶持政策。供应商提供的《中小企业声明函》资料必须真实，否则，按照有关规定予以处理。（残疾人福利性企业及监狱企业视同为小型、微型企业））</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按照政府采购政策，在评审中对于符合文件要求的小微企业响应的产品和服务，给予价格折扣优惠 (详见评审方法)。供应商属于（财库〔2020〕46号）文件规定的小微企业的，提供中小企业声明函；供应商属于（财库〔2014〕68号）文件规定的监狱企业的，提供由省级以上监狱管理局、戒毒管理局（含新疆生产建设兵团）出具的属于监狱企业的证明文件，视同小微企业；供应商属于（财库〔2017〕141号）文件规定的残疾人福利性单位的，提供《残疾人福利性单位声明函》，视同小微企业。</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30.5 需要说明的其他事宜：见供应商须知前附表。</w:t>
      </w:r>
      <w:bookmarkStart w:id="13" w:name="_Toc50152740"/>
    </w:p>
    <w:p>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Cs w:val="21"/>
          <w:highlight w:val="none"/>
        </w:rPr>
        <w:br w:type="page"/>
      </w:r>
      <w:bookmarkStart w:id="14" w:name="_Toc19768"/>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rPr>
        <w:t>章  磋商内容及技术规范</w:t>
      </w:r>
      <w:bookmarkEnd w:id="13"/>
      <w:bookmarkEnd w:id="14"/>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一、工程概况</w:t>
      </w:r>
    </w:p>
    <w:p>
      <w:pPr>
        <w:numPr>
          <w:ilvl w:val="0"/>
          <w:numId w:val="0"/>
        </w:numPr>
        <w:spacing w:line="480" w:lineRule="exact"/>
        <w:ind w:firstLine="42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工程名称：</w:t>
      </w:r>
      <w:r>
        <w:rPr>
          <w:rFonts w:hint="eastAsia" w:ascii="宋体" w:hAnsi="宋体" w:cs="宋体"/>
          <w:color w:val="auto"/>
          <w:sz w:val="24"/>
          <w:szCs w:val="24"/>
          <w:highlight w:val="none"/>
          <w:lang w:eastAsia="zh-CN"/>
        </w:rPr>
        <w:t>2023年马王街道人行道改造东农行桥头工程</w:t>
      </w:r>
      <w:r>
        <w:rPr>
          <w:rFonts w:hint="eastAsia" w:ascii="宋体" w:hAnsi="宋体" w:eastAsia="宋体" w:cs="宋体"/>
          <w:color w:val="auto"/>
          <w:sz w:val="24"/>
          <w:szCs w:val="24"/>
          <w:highlight w:val="none"/>
          <w:lang w:eastAsia="zh-CN"/>
        </w:rPr>
        <w:t>。</w:t>
      </w:r>
    </w:p>
    <w:p>
      <w:pPr>
        <w:numPr>
          <w:ilvl w:val="0"/>
          <w:numId w:val="0"/>
        </w:numPr>
        <w:spacing w:line="480" w:lineRule="exact"/>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lang w:val="en-US" w:eastAsia="zh-CN"/>
        </w:rPr>
        <w:t>马王街道</w:t>
      </w:r>
      <w:r>
        <w:rPr>
          <w:rFonts w:hint="eastAsia" w:ascii="宋体" w:hAnsi="宋体" w:cs="宋体"/>
          <w:color w:val="auto"/>
          <w:sz w:val="24"/>
          <w:szCs w:val="24"/>
          <w:highlight w:val="none"/>
          <w:lang w:val="en-US" w:eastAsia="zh-CN"/>
        </w:rPr>
        <w:t>。</w:t>
      </w:r>
    </w:p>
    <w:p>
      <w:pPr>
        <w:numPr>
          <w:ilvl w:val="0"/>
          <w:numId w:val="0"/>
        </w:numPr>
        <w:spacing w:line="480" w:lineRule="exact"/>
        <w:ind w:firstLine="42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工程内容及概况：本次设计铺装面积约:5333.00</w:t>
      </w:r>
      <w:r>
        <w:rPr>
          <w:rFonts w:hint="eastAsia" w:ascii="宋体" w:hAnsi="宋体" w:eastAsia="宋体" w:cs="宋体"/>
          <w:sz w:val="28"/>
          <w:szCs w:val="28"/>
          <w:highlight w:val="none"/>
          <w:lang w:val="en-US" w:eastAsia="zh-CN"/>
        </w:rPr>
        <w:t>m</w:t>
      </w:r>
      <w:r>
        <w:rPr>
          <w:rFonts w:hint="eastAsia" w:ascii="宋体" w:hAnsi="宋体" w:eastAsia="宋体" w:cs="宋体"/>
          <w:sz w:val="28"/>
          <w:szCs w:val="28"/>
          <w:highlight w:val="none"/>
          <w:vertAlign w:val="superscript"/>
          <w:lang w:val="en-US" w:eastAsia="zh-CN"/>
        </w:rPr>
        <w:t>2</w:t>
      </w:r>
      <w:r>
        <w:rPr>
          <w:rFonts w:hint="eastAsia" w:ascii="宋体" w:hAnsi="宋体" w:eastAsia="宋体" w:cs="宋体"/>
          <w:color w:val="auto"/>
          <w:sz w:val="24"/>
          <w:szCs w:val="24"/>
          <w:highlight w:val="none"/>
        </w:rPr>
        <w:t>，主要施工内容包含拆除地面、人行道铺设、混凝土路面铺设、新建道牙、树池、原有水表井修缮等</w:t>
      </w:r>
      <w:r>
        <w:rPr>
          <w:rFonts w:hint="eastAsia" w:ascii="宋体" w:hAnsi="宋体" w:cs="宋体"/>
          <w:color w:val="auto"/>
          <w:sz w:val="24"/>
          <w:szCs w:val="24"/>
          <w:highlight w:val="none"/>
          <w:lang w:eastAsia="zh-CN"/>
        </w:rPr>
        <w:t>。</w:t>
      </w:r>
    </w:p>
    <w:p>
      <w:pPr>
        <w:numPr>
          <w:ilvl w:val="0"/>
          <w:numId w:val="0"/>
        </w:numPr>
        <w:spacing w:line="480" w:lineRule="exact"/>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4、工期：</w:t>
      </w:r>
      <w:r>
        <w:rPr>
          <w:rFonts w:hint="eastAsia" w:ascii="宋体" w:hAnsi="宋体" w:cs="宋体"/>
          <w:color w:val="auto"/>
          <w:sz w:val="24"/>
          <w:szCs w:val="24"/>
          <w:highlight w:val="none"/>
          <w:lang w:val="en-US" w:eastAsia="zh-CN"/>
        </w:rPr>
        <w:t>自合同签订之日起4个月</w:t>
      </w:r>
      <w:r>
        <w:rPr>
          <w:rFonts w:hint="eastAsia" w:ascii="宋体" w:hAnsi="宋体" w:eastAsia="宋体" w:cs="宋体"/>
          <w:color w:val="auto"/>
          <w:sz w:val="24"/>
          <w:szCs w:val="24"/>
          <w:highlight w:val="none"/>
          <w:lang w:val="en-US" w:eastAsia="zh-CN"/>
        </w:rPr>
        <w:t>。</w:t>
      </w:r>
    </w:p>
    <w:p>
      <w:pPr>
        <w:numPr>
          <w:ilvl w:val="0"/>
          <w:numId w:val="0"/>
        </w:numPr>
        <w:spacing w:line="480" w:lineRule="exact"/>
        <w:ind w:firstLine="42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5、质量标准：</w:t>
      </w:r>
      <w:r>
        <w:rPr>
          <w:rFonts w:hint="eastAsia" w:ascii="宋体" w:hAnsi="宋体" w:eastAsia="宋体" w:cs="宋体"/>
          <w:b w:val="0"/>
          <w:bCs w:val="0"/>
          <w:color w:val="auto"/>
          <w:kern w:val="2"/>
          <w:sz w:val="24"/>
          <w:szCs w:val="24"/>
          <w:highlight w:val="none"/>
          <w:lang w:val="en-US" w:eastAsia="zh-CN" w:bidi="ar-SA"/>
        </w:rPr>
        <w:t>符合国家现行有关施工质量验收规范“合格”要求</w:t>
      </w:r>
      <w:r>
        <w:rPr>
          <w:rFonts w:hint="eastAsia" w:ascii="宋体" w:hAnsi="宋体" w:cs="宋体"/>
          <w:b w:val="0"/>
          <w:bCs w:val="0"/>
          <w:color w:val="auto"/>
          <w:kern w:val="2"/>
          <w:sz w:val="24"/>
          <w:szCs w:val="24"/>
          <w:highlight w:val="none"/>
          <w:lang w:val="en-US" w:eastAsia="zh-CN" w:bidi="ar-SA"/>
        </w:rPr>
        <w:t>。</w:t>
      </w:r>
    </w:p>
    <w:p>
      <w:pPr>
        <w:numPr>
          <w:ilvl w:val="0"/>
          <w:numId w:val="0"/>
        </w:numPr>
        <w:spacing w:line="48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二、工程量清单</w:t>
      </w:r>
    </w:p>
    <w:p>
      <w:pPr>
        <w:numPr>
          <w:ilvl w:val="0"/>
          <w:numId w:val="0"/>
        </w:numPr>
        <w:spacing w:line="480" w:lineRule="exact"/>
        <w:ind w:firstLine="420" w:firstLineChars="0"/>
        <w:rPr>
          <w:rFonts w:hint="eastAsia" w:ascii="宋体" w:hAnsi="宋体" w:eastAsia="宋体" w:cs="宋体"/>
          <w:color w:val="auto"/>
          <w:sz w:val="24"/>
          <w:szCs w:val="24"/>
          <w:highlight w:val="none"/>
        </w:rPr>
      </w:pPr>
      <w:bookmarkStart w:id="15" w:name="_Toc30916"/>
      <w:bookmarkStart w:id="16" w:name="_Toc17709"/>
      <w:r>
        <w:rPr>
          <w:rFonts w:hint="eastAsia" w:ascii="宋体" w:hAnsi="宋体" w:eastAsia="宋体" w:cs="宋体"/>
          <w:color w:val="auto"/>
          <w:sz w:val="24"/>
          <w:szCs w:val="24"/>
          <w:highlight w:val="none"/>
          <w:lang w:val="en-US" w:eastAsia="zh-CN"/>
        </w:rPr>
        <w:t>另附</w:t>
      </w:r>
      <w:bookmarkEnd w:id="15"/>
      <w:bookmarkEnd w:id="16"/>
    </w:p>
    <w:p>
      <w:pPr>
        <w:spacing w:line="360" w:lineRule="auto"/>
        <w:ind w:firstLine="643" w:firstLineChars="200"/>
        <w:jc w:val="center"/>
        <w:outlineLvl w:val="0"/>
        <w:rPr>
          <w:rFonts w:hint="eastAsia" w:ascii="宋体" w:hAnsi="宋体" w:eastAsia="宋体" w:cs="宋体"/>
          <w:b/>
          <w:color w:val="auto"/>
          <w:sz w:val="36"/>
          <w:szCs w:val="36"/>
          <w:highlight w:val="none"/>
        </w:rPr>
      </w:pPr>
      <w:bookmarkStart w:id="17" w:name="_Toc480470711"/>
      <w:bookmarkStart w:id="18" w:name="_Toc50152741"/>
      <w:r>
        <w:rPr>
          <w:rFonts w:hint="eastAsia" w:ascii="宋体" w:hAnsi="宋体" w:eastAsia="宋体" w:cs="宋体"/>
          <w:b/>
          <w:color w:val="auto"/>
          <w:sz w:val="32"/>
          <w:szCs w:val="32"/>
          <w:highlight w:val="none"/>
        </w:rPr>
        <w:br w:type="page"/>
      </w:r>
      <w:bookmarkStart w:id="19" w:name="_Toc7074"/>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章  评审方法</w:t>
      </w:r>
      <w:bookmarkEnd w:id="17"/>
      <w:bookmarkEnd w:id="18"/>
      <w:bookmarkEnd w:id="19"/>
    </w:p>
    <w:p>
      <w:pPr>
        <w:spacing w:before="120" w:beforeLines="50" w:after="120" w:afterLines="50" w:line="360" w:lineRule="auto"/>
        <w:ind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中华人民共和国政府采购法》、《中华人民共和国政府采购法实施条例》、《政府采购竞争性磋商采购方式管理暂行办法》财库〔2014〕214号文件的规定，竞争性磋商小组采用综合评分法对提交最后报价的供应商的响应文件和最后报价进行综合评分，按照评审得分由高到低顺序推荐3名成交候选供应商。</w:t>
      </w:r>
    </w:p>
    <w:p>
      <w:pPr>
        <w:spacing w:before="120" w:beforeLines="50" w:after="120" w:afterLines="50" w:line="360" w:lineRule="auto"/>
        <w:ind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二、评审程序</w:t>
      </w:r>
    </w:p>
    <w:p>
      <w:pPr>
        <w:pStyle w:val="11"/>
        <w:spacing w:line="360" w:lineRule="auto"/>
        <w:jc w:val="both"/>
        <w:outlineLvl w:val="9"/>
        <w:rPr>
          <w:rFonts w:hint="eastAsia" w:ascii="宋体" w:hAnsi="宋体" w:eastAsia="宋体" w:cs="宋体"/>
          <w:b w:val="0"/>
          <w:bCs w:val="0"/>
          <w:color w:val="auto"/>
          <w:sz w:val="21"/>
          <w:szCs w:val="21"/>
          <w:highlight w:val="none"/>
        </w:rPr>
      </w:pPr>
      <w:bookmarkStart w:id="20" w:name="_Toc30558"/>
      <w:bookmarkStart w:id="21" w:name="_Toc17884"/>
      <w:bookmarkStart w:id="22" w:name="_Toc17724"/>
      <w:bookmarkStart w:id="23" w:name="_Toc7462"/>
      <w:bookmarkStart w:id="24" w:name="_Toc1064"/>
      <w:bookmarkStart w:id="25" w:name="_Toc11086"/>
      <w:bookmarkStart w:id="26" w:name="_Toc15956"/>
      <w:r>
        <w:rPr>
          <w:rFonts w:hint="eastAsia" w:ascii="宋体" w:hAnsi="宋体" w:eastAsia="宋体" w:cs="宋体"/>
          <w:b w:val="0"/>
          <w:bCs w:val="0"/>
          <w:color w:val="auto"/>
          <w:sz w:val="24"/>
          <w:szCs w:val="24"/>
          <w:highlight w:val="none"/>
        </w:rPr>
        <w:t>按照资格审查、符合性审查、详细评审、排序的顺序分步骤进行评审</w:t>
      </w:r>
      <w:r>
        <w:rPr>
          <w:rFonts w:hint="eastAsia" w:ascii="宋体" w:hAnsi="宋体" w:eastAsia="宋体" w:cs="宋体"/>
          <w:b w:val="0"/>
          <w:bCs w:val="0"/>
          <w:color w:val="auto"/>
          <w:sz w:val="21"/>
          <w:szCs w:val="21"/>
          <w:highlight w:val="none"/>
        </w:rPr>
        <w:t>。</w:t>
      </w:r>
      <w:bookmarkEnd w:id="20"/>
      <w:bookmarkEnd w:id="21"/>
      <w:bookmarkEnd w:id="22"/>
      <w:bookmarkEnd w:id="23"/>
      <w:bookmarkEnd w:id="24"/>
      <w:bookmarkEnd w:id="25"/>
      <w:bookmarkEnd w:id="26"/>
    </w:p>
    <w:p>
      <w:pPr>
        <w:pStyle w:val="11"/>
        <w:spacing w:line="360" w:lineRule="auto"/>
        <w:jc w:val="both"/>
        <w:outlineLvl w:val="9"/>
        <w:rPr>
          <w:rFonts w:hint="eastAsia" w:ascii="宋体" w:hAnsi="宋体" w:eastAsia="宋体" w:cs="宋体"/>
          <w:b w:val="0"/>
          <w:bCs w:val="0"/>
          <w:color w:val="auto"/>
          <w:sz w:val="24"/>
          <w:szCs w:val="24"/>
          <w:highlight w:val="none"/>
        </w:rPr>
      </w:pPr>
      <w:bookmarkStart w:id="27" w:name="_Toc4481"/>
      <w:bookmarkStart w:id="28" w:name="_Toc26060"/>
      <w:bookmarkStart w:id="29" w:name="_Toc7823"/>
      <w:bookmarkStart w:id="30" w:name="_Toc2639"/>
      <w:bookmarkStart w:id="31" w:name="_Toc1252"/>
      <w:bookmarkStart w:id="32" w:name="_Toc22442"/>
      <w:bookmarkStart w:id="33" w:name="_Toc17303"/>
      <w:r>
        <w:rPr>
          <w:rFonts w:hint="eastAsia" w:ascii="宋体" w:hAnsi="宋体" w:eastAsia="宋体" w:cs="宋体"/>
          <w:b w:val="0"/>
          <w:bCs w:val="0"/>
          <w:color w:val="auto"/>
          <w:sz w:val="24"/>
          <w:szCs w:val="24"/>
          <w:highlight w:val="none"/>
        </w:rPr>
        <w:t>1.1评标委员会首先对各供应商资格进行审查，见下表；</w:t>
      </w:r>
      <w:bookmarkEnd w:id="27"/>
      <w:bookmarkEnd w:id="28"/>
      <w:bookmarkEnd w:id="29"/>
      <w:bookmarkEnd w:id="30"/>
      <w:bookmarkEnd w:id="31"/>
      <w:bookmarkEnd w:id="32"/>
      <w:bookmarkEnd w:id="33"/>
    </w:p>
    <w:tbl>
      <w:tblPr>
        <w:tblStyle w:val="14"/>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57"/>
        <w:gridCol w:w="6473"/>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6" w:type="dxa"/>
            <w:noWrap w:val="0"/>
            <w:vAlign w:val="center"/>
          </w:tcPr>
          <w:p>
            <w:pPr>
              <w:pageBreakBefore w:val="0"/>
              <w:kinsoku/>
              <w:wordWrap/>
              <w:overflowPunct/>
              <w:topLinePunct w:val="0"/>
              <w:bidi w:val="0"/>
              <w:spacing w:line="360" w:lineRule="auto"/>
              <w:jc w:val="center"/>
              <w:textAlignment w:val="auto"/>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序号</w:t>
            </w:r>
          </w:p>
        </w:tc>
        <w:tc>
          <w:tcPr>
            <w:tcW w:w="1657" w:type="dxa"/>
            <w:noWrap w:val="0"/>
            <w:vAlign w:val="center"/>
          </w:tcPr>
          <w:p>
            <w:pPr>
              <w:pageBreakBefore w:val="0"/>
              <w:kinsoku/>
              <w:wordWrap/>
              <w:overflowPunct/>
              <w:topLinePunct w:val="0"/>
              <w:bidi w:val="0"/>
              <w:spacing w:line="360" w:lineRule="auto"/>
              <w:jc w:val="center"/>
              <w:textAlignment w:val="auto"/>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资格审查项</w:t>
            </w:r>
          </w:p>
        </w:tc>
        <w:tc>
          <w:tcPr>
            <w:tcW w:w="6473" w:type="dxa"/>
            <w:noWrap w:val="0"/>
            <w:vAlign w:val="center"/>
          </w:tcPr>
          <w:p>
            <w:pPr>
              <w:pageBreakBefore w:val="0"/>
              <w:kinsoku/>
              <w:wordWrap/>
              <w:overflowPunct/>
              <w:topLinePunct w:val="0"/>
              <w:bidi w:val="0"/>
              <w:spacing w:line="360" w:lineRule="auto"/>
              <w:jc w:val="center"/>
              <w:textAlignment w:val="auto"/>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通过条件</w:t>
            </w:r>
          </w:p>
        </w:tc>
        <w:tc>
          <w:tcPr>
            <w:tcW w:w="690" w:type="dxa"/>
            <w:noWrap w:val="0"/>
            <w:vAlign w:val="center"/>
          </w:tcPr>
          <w:p>
            <w:pPr>
              <w:pageBreakBefore w:val="0"/>
              <w:kinsoku/>
              <w:wordWrap/>
              <w:overflowPunct/>
              <w:topLinePunct w:val="0"/>
              <w:bidi w:val="0"/>
              <w:spacing w:line="360" w:lineRule="auto"/>
              <w:jc w:val="center"/>
              <w:textAlignment w:val="auto"/>
              <w:rPr>
                <w:rFonts w:hint="eastAsia" w:ascii="宋体" w:hAnsi="宋体" w:eastAsia="宋体" w:cs="宋体"/>
                <w:b/>
                <w:bCs/>
                <w:color w:val="auto"/>
                <w:kern w:val="0"/>
                <w:sz w:val="24"/>
                <w:szCs w:val="24"/>
                <w:highlight w:val="none"/>
                <w:shd w:val="clear" w:color="FFFFFF" w:fill="D9D9D9"/>
                <w:lang w:eastAsia="zh-CN"/>
              </w:rPr>
            </w:pPr>
            <w:r>
              <w:rPr>
                <w:rFonts w:hint="eastAsia" w:ascii="宋体" w:hAnsi="宋体" w:eastAsia="宋体" w:cs="宋体"/>
                <w:b/>
                <w:bCs/>
                <w:color w:val="auto"/>
                <w:kern w:val="0"/>
                <w:sz w:val="24"/>
                <w:szCs w:val="24"/>
                <w:highlight w:val="none"/>
                <w:shd w:val="clear" w:color="auto" w:fil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营业执照等主体资格证明</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文件</w:t>
            </w:r>
          </w:p>
        </w:tc>
        <w:tc>
          <w:tcPr>
            <w:tcW w:w="647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提供合格有效的法人或者其他组织的营业执照等证明文件，自然人的身份证明；供应商是法人或其他组织的应提供营业执照等证明文件，供应商是自然人的应提供有效的自然人身份证明；</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财务状况报告</w:t>
            </w:r>
          </w:p>
        </w:tc>
        <w:tc>
          <w:tcPr>
            <w:tcW w:w="6473" w:type="dxa"/>
            <w:noWrap w:val="0"/>
            <w:vAlign w:val="center"/>
          </w:tcPr>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2021或2022年度经审计的财务会计报告，或其磋商前三个月内基本存款账户开户银行出具的资信证明及基本存款账户开户证明，或财政部门认可的政府采购专业担保机构出具的磋商担保函（以上三种形式的资料提供任何一种即可）；</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sz w:val="24"/>
                <w:szCs w:val="24"/>
                <w:highlight w:val="none"/>
                <w:lang w:val="en-US" w:eastAsia="zh-CN"/>
              </w:rPr>
              <w:t>履行合同所必需的设备和专业技术能力</w:t>
            </w:r>
          </w:p>
        </w:tc>
        <w:tc>
          <w:tcPr>
            <w:tcW w:w="647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供应商须提供具有履行合同所必需的设备和专业技术能力的承诺；（格式自拟）</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税收缴纳证明</w:t>
            </w:r>
          </w:p>
        </w:tc>
        <w:tc>
          <w:tcPr>
            <w:tcW w:w="6473" w:type="dxa"/>
            <w:noWrap w:val="0"/>
            <w:vAlign w:val="center"/>
          </w:tcPr>
          <w:p>
            <w:pPr>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sz w:val="24"/>
                <w:szCs w:val="24"/>
                <w:highlight w:val="none"/>
                <w:lang w:val="en-US" w:eastAsia="zh-CN"/>
              </w:rPr>
              <w:t>提供开标截止日前一年内已缴纳的至少一个月的纳税证明或完税证明，依法免税的单位应提供相关证明材料；</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8"/>
                <w:sz w:val="24"/>
                <w:szCs w:val="24"/>
                <w:highlight w:val="none"/>
                <w:lang w:eastAsia="zh-CN"/>
              </w:rPr>
            </w:pPr>
            <w:r>
              <w:rPr>
                <w:rFonts w:hint="eastAsia" w:ascii="宋体" w:hAnsi="宋体" w:eastAsia="宋体" w:cs="宋体"/>
                <w:color w:val="auto"/>
                <w:sz w:val="24"/>
                <w:szCs w:val="24"/>
                <w:highlight w:val="none"/>
                <w:lang w:val="en-US" w:eastAsia="zh-CN"/>
              </w:rPr>
              <w:t>社会保障资金缴纳证明</w:t>
            </w:r>
          </w:p>
        </w:tc>
        <w:tc>
          <w:tcPr>
            <w:tcW w:w="6473"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提供开标截止日前一年内已缴存的至少一个月的社会保障资金缴存单据或社保机构开具的社会保险参保缴费情况证明，依法不需要缴纳社会保障资金的单位应提供相关证明材料；</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无重大违法记录声明</w:t>
            </w:r>
          </w:p>
        </w:tc>
        <w:tc>
          <w:tcPr>
            <w:tcW w:w="6473" w:type="dxa"/>
            <w:noWrap w:val="0"/>
            <w:vAlign w:val="center"/>
          </w:tcPr>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参加政府采购活动前3年内，在经营活动中没有重大违法记录的书面声明。（格式自拟）</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法定代表人授权委托书</w:t>
            </w:r>
          </w:p>
        </w:tc>
        <w:tc>
          <w:tcPr>
            <w:tcW w:w="6473" w:type="dxa"/>
            <w:noWrap w:val="0"/>
            <w:vAlign w:val="center"/>
          </w:tcPr>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法定代表人参加磋商的，须出示身份证明和身份证原件；法定代表人授权他人参加磋商的，须提供法定代表人授权委托书及被授权人身份证；</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资质证书</w:t>
            </w:r>
          </w:p>
        </w:tc>
        <w:tc>
          <w:tcPr>
            <w:tcW w:w="6473" w:type="dxa"/>
            <w:noWrap w:val="0"/>
            <w:vAlign w:val="center"/>
          </w:tcPr>
          <w:p>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供应商须具备市政公用工程施工总承包三级及以上资质，具有有效的安全生产许可证；</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项目经理</w:t>
            </w:r>
          </w:p>
        </w:tc>
        <w:tc>
          <w:tcPr>
            <w:tcW w:w="647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拟派项目经理须具备市政公用工程专业二级及以上注册建造师执业资格和有效的安全生产考核合格证书（建安 B 证），且未担任其他在建设工程的项目经理；</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bookmarkStart w:id="34" w:name="_Toc3990"/>
            <w:bookmarkStart w:id="35" w:name="_Toc9221"/>
            <w:bookmarkStart w:id="36" w:name="_Toc10585"/>
            <w:bookmarkStart w:id="37" w:name="_Toc16333"/>
            <w:r>
              <w:rPr>
                <w:rFonts w:hint="eastAsia" w:ascii="宋体" w:hAnsi="宋体" w:eastAsia="宋体" w:cs="宋体"/>
                <w:bCs/>
                <w:color w:val="auto"/>
                <w:sz w:val="24"/>
                <w:szCs w:val="24"/>
                <w:highlight w:val="none"/>
                <w:lang w:val="en-US" w:eastAsia="zh-CN"/>
              </w:rPr>
              <w:t>10</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企业关联关系</w:t>
            </w:r>
          </w:p>
        </w:tc>
        <w:tc>
          <w:tcPr>
            <w:tcW w:w="647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供应商负责人为同一人或者存在直接控股、管理关系的不同单位不得同时参与同一合同下的磋商</w:t>
            </w:r>
            <w:r>
              <w:rPr>
                <w:rFonts w:hint="eastAsia" w:ascii="宋体" w:hAnsi="宋体" w:cs="宋体"/>
                <w:color w:val="auto"/>
                <w:sz w:val="24"/>
                <w:szCs w:val="24"/>
                <w:highlight w:val="none"/>
                <w:lang w:val="en-US" w:eastAsia="zh-CN"/>
              </w:rPr>
              <w:t>；</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信用查询</w:t>
            </w:r>
          </w:p>
        </w:tc>
        <w:tc>
          <w:tcPr>
            <w:tcW w:w="647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为“信用中国”网站（www.creditchina.gov.cn）中列入“失信被执行人”（中国执行信息公开网http://zxgk.court.gov.cn/shixin/）和“重大税收违法案件”当事人名单的供应商，不得为中国政府采购网（www.ccgp.gov.cn）政府采购“严重违法失信行为记录名单”中被财政部门禁止参加政府采购活动的供应商。</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注：信用查询以代理机构现场查询为准，供应商可不提供</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中小企业声明</w:t>
            </w:r>
          </w:p>
        </w:tc>
        <w:tc>
          <w:tcPr>
            <w:tcW w:w="6473" w:type="dxa"/>
            <w:noWrap w:val="0"/>
            <w:vAlign w:val="center"/>
          </w:tcPr>
          <w:p>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专门面向中小企业采购，仅限符合《政府采购促进中小企业发展管理办法》（财库〔2020〕46号）条件的中小企业参与，供应商应填写中小企业声明函并对真实性负责（残疾人福利性单位及监狱企业视同为小型、微型企业）。</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p>
        </w:tc>
      </w:tr>
    </w:tbl>
    <w:p>
      <w:pPr>
        <w:pStyle w:val="11"/>
        <w:spacing w:line="360" w:lineRule="auto"/>
        <w:jc w:val="both"/>
        <w:outlineLvl w:val="9"/>
        <w:rPr>
          <w:rFonts w:hint="eastAsia" w:ascii="宋体" w:hAnsi="宋体" w:eastAsia="宋体" w:cs="宋体"/>
          <w:color w:val="auto"/>
          <w:sz w:val="24"/>
          <w:szCs w:val="24"/>
          <w:highlight w:val="none"/>
        </w:rPr>
      </w:pPr>
      <w:bookmarkStart w:id="38" w:name="_Toc19829"/>
      <w:bookmarkStart w:id="39" w:name="_Toc9099"/>
      <w:bookmarkStart w:id="40" w:name="_Toc1428"/>
      <w:r>
        <w:rPr>
          <w:rFonts w:hint="eastAsia" w:ascii="宋体" w:hAnsi="宋体" w:eastAsia="宋体" w:cs="宋体"/>
          <w:color w:val="auto"/>
          <w:sz w:val="24"/>
          <w:szCs w:val="24"/>
          <w:highlight w:val="none"/>
        </w:rPr>
        <w:t>注：资格审查结论为“合格”或“不合格”，以上任有一项不合格的即为不合格供应商，不再进入下一步评审（以磋商响应文件中所附资料为评审依据）。</w:t>
      </w:r>
      <w:bookmarkEnd w:id="34"/>
      <w:bookmarkEnd w:id="35"/>
      <w:bookmarkEnd w:id="36"/>
      <w:bookmarkEnd w:id="37"/>
      <w:bookmarkEnd w:id="38"/>
      <w:bookmarkEnd w:id="39"/>
      <w:bookmarkEnd w:id="40"/>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2.1符合性审查</w:t>
      </w:r>
      <w:r>
        <w:rPr>
          <w:rFonts w:hint="eastAsia" w:ascii="宋体" w:hAnsi="宋体" w:eastAsia="宋体" w:cs="宋体"/>
          <w:color w:val="auto"/>
          <w:sz w:val="24"/>
          <w:szCs w:val="24"/>
          <w:highlight w:val="none"/>
        </w:rPr>
        <w:t>：依据磋商文件的规定，由磋商小组对磋商响应文件的有效性、完整性和对磋商文件的响应程度进行审查，以确定是否对磋商文件的实质性内容作出响应。未出现下列情况者（但不限于），才能提交磋商小组进行评审。</w:t>
      </w:r>
    </w:p>
    <w:tbl>
      <w:tblPr>
        <w:tblStyle w:val="14"/>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066"/>
        <w:gridCol w:w="1434"/>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61"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1066"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审查项</w:t>
            </w:r>
          </w:p>
        </w:tc>
        <w:tc>
          <w:tcPr>
            <w:tcW w:w="1434"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评审内容</w:t>
            </w:r>
          </w:p>
        </w:tc>
        <w:tc>
          <w:tcPr>
            <w:tcW w:w="6197"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961"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1066" w:type="dxa"/>
            <w:vMerge w:val="restart"/>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有效性审查</w:t>
            </w:r>
          </w:p>
        </w:tc>
        <w:tc>
          <w:tcPr>
            <w:tcW w:w="1434" w:type="dxa"/>
            <w:noWrap w:val="0"/>
            <w:vAlign w:val="center"/>
          </w:tcPr>
          <w:p>
            <w:pPr>
              <w:tabs>
                <w:tab w:val="left" w:pos="0"/>
              </w:tabs>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的签署盖章</w:t>
            </w:r>
          </w:p>
        </w:tc>
        <w:tc>
          <w:tcPr>
            <w:tcW w:w="6197" w:type="dxa"/>
            <w:noWrap w:val="0"/>
            <w:vAlign w:val="center"/>
          </w:tcPr>
          <w:p>
            <w:pPr>
              <w:tabs>
                <w:tab w:val="left" w:pos="0"/>
              </w:tabs>
              <w:adjustRightInd w:val="0"/>
              <w:snapToGri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上</w:t>
            </w:r>
            <w:r>
              <w:rPr>
                <w:rFonts w:hint="eastAsia" w:ascii="宋体" w:hAnsi="宋体" w:eastAsia="宋体" w:cs="宋体"/>
                <w:b w:val="0"/>
                <w:bCs/>
                <w:color w:val="auto"/>
                <w:sz w:val="24"/>
                <w:szCs w:val="24"/>
                <w:highlight w:val="none"/>
                <w:lang w:eastAsia="zh-CN"/>
              </w:rPr>
              <w:t>法定代表人</w:t>
            </w:r>
            <w:r>
              <w:rPr>
                <w:rFonts w:hint="eastAsia" w:ascii="宋体" w:hAnsi="宋体" w:eastAsia="宋体" w:cs="宋体"/>
                <w:b w:val="0"/>
                <w:bCs/>
                <w:color w:val="auto"/>
                <w:sz w:val="24"/>
                <w:szCs w:val="24"/>
                <w:highlight w:val="none"/>
              </w:rPr>
              <w:t>或其授权代表人的签字齐全并加盖公章</w:t>
            </w:r>
            <w:r>
              <w:rPr>
                <w:rFonts w:hint="eastAsia" w:ascii="宋体" w:hAnsi="宋体" w:cs="宋体"/>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61"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1066" w:type="dxa"/>
            <w:vMerge w:val="continue"/>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rPr>
            </w:pPr>
          </w:p>
        </w:tc>
        <w:tc>
          <w:tcPr>
            <w:tcW w:w="1434" w:type="dxa"/>
            <w:noWrap w:val="0"/>
            <w:vAlign w:val="center"/>
          </w:tcPr>
          <w:p>
            <w:pPr>
              <w:tabs>
                <w:tab w:val="left" w:pos="0"/>
              </w:tabs>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格式</w:t>
            </w:r>
          </w:p>
        </w:tc>
        <w:tc>
          <w:tcPr>
            <w:tcW w:w="6197" w:type="dxa"/>
            <w:noWrap w:val="0"/>
            <w:vAlign w:val="center"/>
          </w:tcPr>
          <w:p>
            <w:pPr>
              <w:tabs>
                <w:tab w:val="left" w:pos="0"/>
              </w:tabs>
              <w:adjustRightInd w:val="0"/>
              <w:snapToGri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b w:val="0"/>
                <w:bCs/>
                <w:color w:val="auto"/>
                <w:sz w:val="24"/>
                <w:szCs w:val="24"/>
                <w:highlight w:val="none"/>
              </w:rPr>
              <w:t>应符合“</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格式”要求</w:t>
            </w:r>
            <w:r>
              <w:rPr>
                <w:rFonts w:hint="eastAsia" w:ascii="宋体" w:hAnsi="宋体" w:cs="宋体"/>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961"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1066" w:type="dxa"/>
            <w:vMerge w:val="continue"/>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rPr>
            </w:pPr>
          </w:p>
        </w:tc>
        <w:tc>
          <w:tcPr>
            <w:tcW w:w="1434" w:type="dxa"/>
            <w:noWrap w:val="0"/>
            <w:vAlign w:val="center"/>
          </w:tcPr>
          <w:p>
            <w:pPr>
              <w:tabs>
                <w:tab w:val="left" w:pos="0"/>
              </w:tabs>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val="0"/>
                <w:bCs/>
                <w:color w:val="auto"/>
                <w:sz w:val="24"/>
                <w:szCs w:val="24"/>
                <w:highlight w:val="none"/>
              </w:rPr>
              <w:t>报价唯一</w:t>
            </w:r>
          </w:p>
        </w:tc>
        <w:tc>
          <w:tcPr>
            <w:tcW w:w="6197" w:type="dxa"/>
            <w:noWrap w:val="0"/>
            <w:vAlign w:val="center"/>
          </w:tcPr>
          <w:p>
            <w:pPr>
              <w:tabs>
                <w:tab w:val="left" w:pos="0"/>
              </w:tabs>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val="0"/>
                <w:bCs/>
                <w:color w:val="auto"/>
                <w:sz w:val="24"/>
                <w:szCs w:val="24"/>
                <w:highlight w:val="none"/>
              </w:rPr>
              <w:t>只能有一个有效报价，不得提交选择性报价，</w:t>
            </w:r>
            <w:r>
              <w:rPr>
                <w:rFonts w:hint="eastAsia" w:ascii="宋体" w:hAnsi="宋体" w:eastAsia="宋体" w:cs="宋体"/>
                <w:b w:val="0"/>
                <w:bCs/>
                <w:color w:val="auto"/>
                <w:sz w:val="24"/>
                <w:szCs w:val="24"/>
                <w:highlight w:val="none"/>
                <w:lang w:eastAsia="zh-CN"/>
              </w:rPr>
              <w:t>按要求提交二次或多次报价，</w:t>
            </w:r>
            <w:r>
              <w:rPr>
                <w:rFonts w:hint="eastAsia" w:ascii="宋体" w:hAnsi="宋体" w:eastAsia="宋体" w:cs="宋体"/>
                <w:b w:val="0"/>
                <w:bCs/>
                <w:color w:val="auto"/>
                <w:sz w:val="24"/>
                <w:szCs w:val="24"/>
                <w:highlight w:val="none"/>
              </w:rPr>
              <w:t>且</w:t>
            </w:r>
            <w:r>
              <w:rPr>
                <w:rFonts w:hint="eastAsia" w:ascii="宋体" w:hAnsi="宋体" w:eastAsia="宋体" w:cs="宋体"/>
                <w:b w:val="0"/>
                <w:bCs/>
                <w:color w:val="auto"/>
                <w:sz w:val="24"/>
                <w:szCs w:val="24"/>
                <w:highlight w:val="none"/>
                <w:lang w:eastAsia="zh-CN"/>
              </w:rPr>
              <w:t>每轮</w:t>
            </w:r>
            <w:r>
              <w:rPr>
                <w:rFonts w:hint="eastAsia" w:ascii="宋体" w:hAnsi="宋体" w:eastAsia="宋体" w:cs="宋体"/>
                <w:b w:val="0"/>
                <w:bCs/>
                <w:color w:val="auto"/>
                <w:sz w:val="24"/>
                <w:szCs w:val="24"/>
                <w:highlight w:val="none"/>
              </w:rPr>
              <w:t>报价不超过采购预算金额或最高限价</w:t>
            </w:r>
            <w:r>
              <w:rPr>
                <w:rFonts w:hint="eastAsia" w:ascii="宋体" w:hAnsi="宋体" w:eastAsia="宋体" w:cs="宋体"/>
                <w:b w:val="0"/>
                <w:bCs/>
                <w:color w:val="auto"/>
                <w:sz w:val="24"/>
                <w:szCs w:val="24"/>
                <w:highlight w:val="none"/>
                <w:lang w:val="en-US" w:eastAsia="zh-CN"/>
              </w:rPr>
              <w:t>或磋商小组认为低于成本价的报价</w:t>
            </w:r>
            <w:r>
              <w:rPr>
                <w:rFonts w:hint="eastAsia" w:ascii="宋体" w:hAnsi="宋体" w:eastAsia="宋体" w:cs="宋体"/>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61"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p>
        </w:tc>
        <w:tc>
          <w:tcPr>
            <w:tcW w:w="1066" w:type="dxa"/>
            <w:vMerge w:val="restart"/>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完整性审查</w:t>
            </w:r>
          </w:p>
        </w:tc>
        <w:tc>
          <w:tcPr>
            <w:tcW w:w="1434" w:type="dxa"/>
            <w:noWrap w:val="0"/>
            <w:vAlign w:val="center"/>
          </w:tcPr>
          <w:p>
            <w:pPr>
              <w:tabs>
                <w:tab w:val="left" w:pos="0"/>
              </w:tabs>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内容</w:t>
            </w:r>
          </w:p>
        </w:tc>
        <w:tc>
          <w:tcPr>
            <w:tcW w:w="6197" w:type="dxa"/>
            <w:noWrap w:val="0"/>
            <w:vAlign w:val="center"/>
          </w:tcPr>
          <w:p>
            <w:pPr>
              <w:tabs>
                <w:tab w:val="left" w:pos="0"/>
              </w:tabs>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内容</w:t>
            </w:r>
            <w:r>
              <w:rPr>
                <w:rFonts w:hint="eastAsia" w:ascii="宋体" w:hAnsi="宋体" w:eastAsia="宋体" w:cs="宋体"/>
                <w:b w:val="0"/>
                <w:bCs/>
                <w:color w:val="auto"/>
                <w:sz w:val="24"/>
                <w:szCs w:val="24"/>
                <w:highlight w:val="none"/>
                <w:lang w:val="en-US" w:eastAsia="zh-CN"/>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961"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5</w:t>
            </w:r>
          </w:p>
        </w:tc>
        <w:tc>
          <w:tcPr>
            <w:tcW w:w="1066" w:type="dxa"/>
            <w:vMerge w:val="restart"/>
            <w:noWrap w:val="0"/>
            <w:vAlign w:val="center"/>
          </w:tcPr>
          <w:p>
            <w:pPr>
              <w:tabs>
                <w:tab w:val="left" w:pos="0"/>
              </w:tabs>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响应性审查</w:t>
            </w:r>
          </w:p>
        </w:tc>
        <w:tc>
          <w:tcPr>
            <w:tcW w:w="1434" w:type="dxa"/>
            <w:noWrap w:val="0"/>
            <w:vAlign w:val="center"/>
          </w:tcPr>
          <w:p>
            <w:pPr>
              <w:tabs>
                <w:tab w:val="left" w:pos="0"/>
              </w:tabs>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color w:val="auto"/>
                <w:sz w:val="24"/>
                <w:szCs w:val="24"/>
                <w:highlight w:val="none"/>
              </w:rPr>
              <w:t>对</w:t>
            </w:r>
            <w:r>
              <w:rPr>
                <w:rFonts w:hint="eastAsia" w:ascii="宋体" w:hAnsi="宋体" w:eastAsia="宋体" w:cs="宋体"/>
                <w:b w:val="0"/>
                <w:bCs/>
                <w:color w:val="auto"/>
                <w:sz w:val="24"/>
                <w:szCs w:val="24"/>
                <w:highlight w:val="none"/>
                <w:lang w:eastAsia="zh-CN"/>
              </w:rPr>
              <w:t>磋商文件</w:t>
            </w:r>
            <w:r>
              <w:rPr>
                <w:rFonts w:hint="eastAsia" w:ascii="宋体" w:hAnsi="宋体" w:eastAsia="宋体" w:cs="宋体"/>
                <w:b w:val="0"/>
                <w:bCs/>
                <w:color w:val="auto"/>
                <w:sz w:val="24"/>
                <w:szCs w:val="24"/>
                <w:highlight w:val="none"/>
              </w:rPr>
              <w:t>响应程度</w:t>
            </w:r>
          </w:p>
        </w:tc>
        <w:tc>
          <w:tcPr>
            <w:tcW w:w="6197" w:type="dxa"/>
            <w:noWrap w:val="0"/>
            <w:vAlign w:val="center"/>
          </w:tcPr>
          <w:p>
            <w:pPr>
              <w:tabs>
                <w:tab w:val="left" w:pos="0"/>
              </w:tabs>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color w:val="auto"/>
                <w:sz w:val="24"/>
                <w:szCs w:val="24"/>
                <w:highlight w:val="none"/>
              </w:rPr>
              <w:t>要求</w:t>
            </w:r>
            <w:r>
              <w:rPr>
                <w:rFonts w:hint="eastAsia" w:ascii="宋体" w:hAnsi="宋体" w:eastAsia="宋体" w:cs="宋体"/>
                <w:b w:val="0"/>
                <w:bCs/>
                <w:color w:val="auto"/>
                <w:sz w:val="24"/>
                <w:szCs w:val="24"/>
                <w:highlight w:val="none"/>
                <w:lang w:eastAsia="zh-CN"/>
              </w:rPr>
              <w:t>实质性条款全部</w:t>
            </w:r>
            <w:r>
              <w:rPr>
                <w:rFonts w:hint="eastAsia" w:ascii="宋体" w:hAnsi="宋体" w:eastAsia="宋体" w:cs="宋体"/>
                <w:b w:val="0"/>
                <w:bCs/>
                <w:color w:val="auto"/>
                <w:sz w:val="24"/>
                <w:szCs w:val="24"/>
                <w:highlight w:val="none"/>
              </w:rPr>
              <w:t>响应，不能有采购人不能接受的附加条件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61"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66" w:type="dxa"/>
            <w:vMerge w:val="continue"/>
            <w:noWrap w:val="0"/>
            <w:vAlign w:val="top"/>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434" w:type="dxa"/>
            <w:noWrap w:val="0"/>
            <w:vAlign w:val="center"/>
          </w:tcPr>
          <w:p>
            <w:pPr>
              <w:tabs>
                <w:tab w:val="left" w:pos="0"/>
              </w:tabs>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color w:val="auto"/>
                <w:sz w:val="24"/>
                <w:szCs w:val="24"/>
                <w:highlight w:val="none"/>
                <w:lang w:eastAsia="zh-CN"/>
              </w:rPr>
              <w:t>工期</w:t>
            </w:r>
          </w:p>
        </w:tc>
        <w:tc>
          <w:tcPr>
            <w:tcW w:w="6197" w:type="dxa"/>
            <w:noWrap w:val="0"/>
            <w:vAlign w:val="center"/>
          </w:tcPr>
          <w:p>
            <w:pPr>
              <w:tabs>
                <w:tab w:val="left" w:pos="0"/>
              </w:tabs>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color w:val="auto"/>
                <w:sz w:val="24"/>
                <w:szCs w:val="24"/>
                <w:highlight w:val="none"/>
              </w:rPr>
              <w:t>应满足</w:t>
            </w:r>
            <w:r>
              <w:rPr>
                <w:rFonts w:hint="eastAsia" w:ascii="宋体" w:hAnsi="宋体" w:eastAsia="宋体" w:cs="宋体"/>
                <w:b w:val="0"/>
                <w:bCs/>
                <w:color w:val="auto"/>
                <w:sz w:val="24"/>
                <w:szCs w:val="24"/>
                <w:highlight w:val="none"/>
                <w:lang w:eastAsia="zh-CN"/>
              </w:rPr>
              <w:t>磋商文件</w:t>
            </w:r>
            <w:r>
              <w:rPr>
                <w:rFonts w:hint="eastAsia" w:ascii="宋体" w:hAnsi="宋体" w:eastAsia="宋体" w:cs="宋体"/>
                <w:b w:val="0"/>
                <w:bCs/>
                <w:color w:val="auto"/>
                <w:sz w:val="24"/>
                <w:szCs w:val="24"/>
                <w:highlight w:val="none"/>
              </w:rPr>
              <w:t>中要求的</w:t>
            </w:r>
            <w:r>
              <w:rPr>
                <w:rFonts w:hint="eastAsia" w:ascii="宋体" w:hAnsi="宋体" w:eastAsia="宋体" w:cs="宋体"/>
                <w:b w:val="0"/>
                <w:bCs/>
                <w:color w:val="auto"/>
                <w:sz w:val="24"/>
                <w:szCs w:val="24"/>
                <w:highlight w:val="none"/>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61"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066" w:type="dxa"/>
            <w:vMerge w:val="continue"/>
            <w:noWrap w:val="0"/>
            <w:vAlign w:val="top"/>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434" w:type="dxa"/>
            <w:noWrap w:val="0"/>
            <w:vAlign w:val="center"/>
          </w:tcPr>
          <w:p>
            <w:pPr>
              <w:tabs>
                <w:tab w:val="left" w:pos="0"/>
              </w:tabs>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有效期</w:t>
            </w:r>
          </w:p>
        </w:tc>
        <w:tc>
          <w:tcPr>
            <w:tcW w:w="6197" w:type="dxa"/>
            <w:noWrap w:val="0"/>
            <w:vAlign w:val="center"/>
          </w:tcPr>
          <w:p>
            <w:pPr>
              <w:tabs>
                <w:tab w:val="left" w:pos="0"/>
              </w:tabs>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color w:val="auto"/>
                <w:sz w:val="24"/>
                <w:szCs w:val="24"/>
                <w:highlight w:val="none"/>
              </w:rPr>
              <w:t>应满足</w:t>
            </w:r>
            <w:r>
              <w:rPr>
                <w:rFonts w:hint="eastAsia" w:ascii="宋体" w:hAnsi="宋体" w:eastAsia="宋体" w:cs="宋体"/>
                <w:b w:val="0"/>
                <w:bCs/>
                <w:color w:val="auto"/>
                <w:sz w:val="24"/>
                <w:szCs w:val="24"/>
                <w:highlight w:val="none"/>
                <w:lang w:eastAsia="zh-CN"/>
              </w:rPr>
              <w:t>磋商文件</w:t>
            </w:r>
            <w:r>
              <w:rPr>
                <w:rFonts w:hint="eastAsia" w:ascii="宋体" w:hAnsi="宋体" w:eastAsia="宋体" w:cs="宋体"/>
                <w:b w:val="0"/>
                <w:bCs/>
                <w:color w:val="auto"/>
                <w:sz w:val="24"/>
                <w:szCs w:val="24"/>
                <w:highlight w:val="none"/>
              </w:rPr>
              <w:t>中的规定</w:t>
            </w:r>
          </w:p>
        </w:tc>
      </w:tr>
    </w:tbl>
    <w:p>
      <w:pPr>
        <w:widowControl/>
        <w:tabs>
          <w:tab w:val="left" w:pos="1620"/>
        </w:tabs>
        <w:spacing w:line="360" w:lineRule="auto"/>
        <w:ind w:right="-197" w:rightChars="-9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有一项因素不符合审查标准的，不能通过符合性审查。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3.1磋商小组对通过符合性审查的供应商响应文件进行详细评审</w:t>
      </w:r>
      <w:r>
        <w:rPr>
          <w:rFonts w:hint="eastAsia" w:ascii="宋体" w:hAnsi="宋体" w:eastAsia="宋体" w:cs="宋体"/>
          <w:color w:val="auto"/>
          <w:sz w:val="24"/>
          <w:szCs w:val="24"/>
          <w:highlight w:val="none"/>
        </w:rPr>
        <w:t>。</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满分：100分，各分项分值分配如下：</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581"/>
        <w:gridCol w:w="926"/>
        <w:gridCol w:w="6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磋商报价</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（30分）</w:t>
            </w:r>
          </w:p>
        </w:tc>
        <w:tc>
          <w:tcPr>
            <w:tcW w:w="7088" w:type="dxa"/>
            <w:gridSpan w:val="2"/>
            <w:noWrap w:val="0"/>
            <w:vAlign w:val="top"/>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价格分统一采用低价优先法计算，即满足磋商文件要求且磋商价格最低的磋商报价为磋商基准价，其价格分为满分。其他供应商的价格分统一按照下列公式计算：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磋商报价得分=(磋商基准价／磋商报价)×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62" w:type="dxa"/>
            <w:vMerge w:val="restart"/>
            <w:noWrap w:val="0"/>
            <w:vAlign w:val="center"/>
          </w:tcPr>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施工组织设计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60</w:t>
            </w:r>
            <w:r>
              <w:rPr>
                <w:rFonts w:hint="eastAsia" w:ascii="宋体" w:hAnsi="宋体" w:eastAsia="宋体" w:cs="宋体"/>
                <w:b/>
                <w:bCs/>
                <w:color w:val="auto"/>
                <w:sz w:val="24"/>
                <w:szCs w:val="24"/>
                <w:highlight w:val="none"/>
              </w:rPr>
              <w:t>分）</w:t>
            </w:r>
          </w:p>
        </w:tc>
        <w:tc>
          <w:tcPr>
            <w:tcW w:w="58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p>
        </w:tc>
        <w:tc>
          <w:tcPr>
            <w:tcW w:w="926" w:type="dxa"/>
            <w:noWrap w:val="0"/>
            <w:vAlign w:val="center"/>
          </w:tcPr>
          <w:p>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162"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施工方案与技术措施：完全符合要求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7-10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分；基本满足要求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分；不满足要求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62" w:type="dxa"/>
            <w:vMerge w:val="continue"/>
            <w:noWrap w:val="0"/>
            <w:vAlign w:val="center"/>
          </w:tcPr>
          <w:p>
            <w:pPr>
              <w:spacing w:line="360" w:lineRule="auto"/>
              <w:jc w:val="center"/>
              <w:rPr>
                <w:rFonts w:hint="eastAsia" w:ascii="宋体" w:hAnsi="宋体" w:eastAsia="宋体" w:cs="宋体"/>
                <w:b/>
                <w:color w:val="auto"/>
                <w:sz w:val="24"/>
                <w:szCs w:val="24"/>
                <w:highlight w:val="none"/>
              </w:rPr>
            </w:pPr>
          </w:p>
        </w:tc>
        <w:tc>
          <w:tcPr>
            <w:tcW w:w="58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p>
        </w:tc>
        <w:tc>
          <w:tcPr>
            <w:tcW w:w="926" w:type="dxa"/>
            <w:noWrap w:val="0"/>
            <w:vAlign w:val="center"/>
          </w:tcPr>
          <w:p>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162"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确保安全</w:t>
            </w:r>
            <w:r>
              <w:rPr>
                <w:rFonts w:hint="eastAsia" w:ascii="宋体" w:hAnsi="宋体" w:eastAsia="宋体" w:cs="宋体"/>
                <w:color w:val="auto"/>
                <w:sz w:val="24"/>
                <w:szCs w:val="24"/>
                <w:highlight w:val="none"/>
                <w:lang w:eastAsia="zh-CN"/>
              </w:rPr>
              <w:t>和工程质量</w:t>
            </w:r>
            <w:r>
              <w:rPr>
                <w:rFonts w:hint="eastAsia" w:ascii="宋体" w:hAnsi="宋体" w:eastAsia="宋体" w:cs="宋体"/>
                <w:color w:val="auto"/>
                <w:sz w:val="24"/>
                <w:szCs w:val="24"/>
                <w:highlight w:val="none"/>
              </w:rPr>
              <w:t>的技术组织措施：完全符合要求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7-10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分；基本满足要求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分；不满足要求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62"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58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p>
        </w:tc>
        <w:tc>
          <w:tcPr>
            <w:tcW w:w="926" w:type="dxa"/>
            <w:noWrap w:val="0"/>
            <w:vAlign w:val="center"/>
          </w:tcPr>
          <w:p>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162"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文明施工、环境保护及现场扬尘治污防治措施：完全符合要求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7-10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分；基本满足要求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分；不满足要求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62"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581"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rPr>
              <w:fldChar w:fldCharType="end"/>
            </w:r>
          </w:p>
        </w:tc>
        <w:tc>
          <w:tcPr>
            <w:tcW w:w="926"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162" w:type="dxa"/>
            <w:noWrap w:val="0"/>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施工进度计划及工期保证措施：完全符合要求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7-10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分；基本满足要求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分；不满足要求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62"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581"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p>
        </w:tc>
        <w:tc>
          <w:tcPr>
            <w:tcW w:w="926" w:type="dxa"/>
            <w:noWrap w:val="0"/>
            <w:vAlign w:val="center"/>
          </w:tcPr>
          <w:p>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162"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施工机械配备和材料投入计划：完全符合要求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7-10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分；基本满足要求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分；不满足要求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62"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581"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6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⑥</w:t>
            </w:r>
            <w:r>
              <w:rPr>
                <w:rFonts w:hint="eastAsia" w:ascii="宋体" w:hAnsi="宋体" w:eastAsia="宋体" w:cs="宋体"/>
                <w:color w:val="auto"/>
                <w:sz w:val="24"/>
                <w:szCs w:val="24"/>
                <w:highlight w:val="none"/>
              </w:rPr>
              <w:fldChar w:fldCharType="end"/>
            </w:r>
          </w:p>
        </w:tc>
        <w:tc>
          <w:tcPr>
            <w:tcW w:w="926" w:type="dxa"/>
            <w:noWrap w:val="0"/>
            <w:vAlign w:val="center"/>
          </w:tcPr>
          <w:p>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162" w:type="dxa"/>
            <w:noWrap w:val="0"/>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项目管理及技术力量配备：完全符合要求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7-10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分；基本满足要求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分；不满足要求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1843" w:type="dxa"/>
            <w:gridSpan w:val="2"/>
            <w:vMerge w:val="restart"/>
            <w:noWrap w:val="0"/>
            <w:vAlign w:val="center"/>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业绩及服务</w:t>
            </w:r>
          </w:p>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承诺</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（10分）</w:t>
            </w:r>
          </w:p>
        </w:tc>
        <w:tc>
          <w:tcPr>
            <w:tcW w:w="926" w:type="dxa"/>
            <w:noWrap w:val="0"/>
            <w:vAlign w:val="center"/>
          </w:tcPr>
          <w:p>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6分</w:t>
            </w:r>
          </w:p>
        </w:tc>
        <w:tc>
          <w:tcPr>
            <w:tcW w:w="6162"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2020年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1日</w:t>
            </w:r>
            <w:r>
              <w:rPr>
                <w:rFonts w:hint="eastAsia" w:ascii="宋体" w:hAnsi="宋体" w:eastAsia="宋体" w:cs="宋体"/>
                <w:color w:val="auto"/>
                <w:sz w:val="24"/>
                <w:szCs w:val="24"/>
                <w:highlight w:val="none"/>
              </w:rPr>
              <w:t>至开标截止之日内同类项目实施业绩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每提供一份得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分。（以</w:t>
            </w:r>
            <w:r>
              <w:rPr>
                <w:rFonts w:hint="eastAsia" w:ascii="宋体" w:hAnsi="宋体" w:eastAsia="宋体" w:cs="宋体"/>
                <w:color w:val="auto"/>
                <w:sz w:val="24"/>
                <w:szCs w:val="24"/>
                <w:highlight w:val="none"/>
                <w:lang w:eastAsia="zh-CN"/>
              </w:rPr>
              <w:t>响应文件中所附合同复印件加盖公章</w:t>
            </w:r>
            <w:r>
              <w:rPr>
                <w:rFonts w:hint="eastAsia" w:ascii="宋体" w:hAnsi="宋体" w:eastAsia="宋体" w:cs="宋体"/>
                <w:color w:val="auto"/>
                <w:sz w:val="24"/>
                <w:szCs w:val="24"/>
                <w:highlight w:val="none"/>
              </w:rPr>
              <w:t>为准，弄虚作假者取消其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843" w:type="dxa"/>
            <w:gridSpan w:val="2"/>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926" w:type="dxa"/>
            <w:noWrap w:val="0"/>
            <w:vAlign w:val="center"/>
          </w:tcPr>
          <w:p>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4分</w:t>
            </w:r>
          </w:p>
        </w:tc>
        <w:tc>
          <w:tcPr>
            <w:tcW w:w="6162"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sz w:val="24"/>
                <w:szCs w:val="24"/>
                <w:highlight w:val="none"/>
              </w:rPr>
              <w:t>有具体可行的服务承诺，</w:t>
            </w:r>
            <w:r>
              <w:rPr>
                <w:rFonts w:hint="eastAsia" w:ascii="宋体" w:hAnsi="宋体" w:eastAsia="宋体" w:cs="宋体"/>
                <w:color w:val="auto"/>
                <w:sz w:val="24"/>
                <w:szCs w:val="24"/>
                <w:highlight w:val="none"/>
                <w:lang w:val="en-US" w:eastAsia="zh-CN"/>
              </w:rPr>
              <w:t>依据承诺的合理性及可行性，计(0-4]</w:t>
            </w:r>
            <w:r>
              <w:rPr>
                <w:rFonts w:hint="eastAsia" w:ascii="宋体" w:hAnsi="宋体" w:eastAsia="宋体" w:cs="宋体"/>
                <w:color w:val="auto"/>
                <w:sz w:val="24"/>
                <w:szCs w:val="24"/>
                <w:highlight w:val="none"/>
              </w:rPr>
              <w:t>分。</w:t>
            </w:r>
          </w:p>
        </w:tc>
      </w:tr>
    </w:tbl>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特殊情况的处理及评标规则：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认为供应商的报价明显低于其他通过符合性审查供应商的报价，有可能影响工程质量或者不能诚信履约的，应当要求其在评标现场合理的时间内提供书面说明，必要时提交相关证明材料；供应商不能证明其报价合理性的，磋商小组应当将其视作为无效磋商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.评委打分超过得分界限或未按本方法赋分时，该评委的打分按</w:t>
      </w:r>
      <w:r>
        <w:rPr>
          <w:rFonts w:hint="eastAsia" w:ascii="宋体" w:hAnsi="宋体" w:eastAsia="宋体" w:cs="宋体"/>
          <w:color w:val="auto"/>
          <w:sz w:val="24"/>
          <w:szCs w:val="24"/>
          <w:highlight w:val="none"/>
          <w:lang w:val="en-US" w:eastAsia="zh-CN"/>
        </w:rPr>
        <w:t>无效</w:t>
      </w:r>
      <w:r>
        <w:rPr>
          <w:rFonts w:hint="eastAsia" w:ascii="宋体" w:hAnsi="宋体" w:eastAsia="宋体" w:cs="宋体"/>
          <w:color w:val="auto"/>
          <w:sz w:val="24"/>
          <w:szCs w:val="24"/>
          <w:highlight w:val="none"/>
        </w:rPr>
        <w:t>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．评审后得分由高到低顺序排列。得分相同的，按最终报价由低到高顺序排列。得分且最终报价相同的，按技术部分得分由高到低顺序排列。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．响应文件中缺少某分项时，该分项为0分。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．评标过程中，各种数字计算均精确至小数点后二位。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．政府采购相关政策按照招标文件</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执行。</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符合招标文件规定的小微企业，价格给予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%的扣除，用扣除后的价格参与评审</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4、政府采购</w:t>
      </w:r>
      <w:r>
        <w:rPr>
          <w:rFonts w:hint="eastAsia" w:ascii="宋体" w:hAnsi="宋体" w:eastAsia="宋体" w:cs="宋体"/>
          <w:b w:val="0"/>
          <w:bCs w:val="0"/>
          <w:color w:val="auto"/>
          <w:sz w:val="24"/>
          <w:szCs w:val="24"/>
          <w:highlight w:val="none"/>
          <w:lang w:eastAsia="zh-CN"/>
        </w:rPr>
        <w:t>相关政策</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1《政府采购促进中小企业发展管理办法》（财库〔2020〕46号）</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根据规定，参加政府采购活动的中小企业应当提供《中小企业声明函》。供应商提供的《中小企业声明函》资料必须真实，否则，按照有关规定予以处理。</w:t>
      </w:r>
    </w:p>
    <w:p>
      <w:p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评标委员会对供应商提供的《中小企业声明函》进行核实后，根据《</w:t>
      </w:r>
      <w:r>
        <w:rPr>
          <w:rFonts w:hint="eastAsia" w:ascii="宋体" w:hAnsi="宋体" w:eastAsia="宋体" w:cs="宋体"/>
          <w:color w:val="auto"/>
          <w:kern w:val="2"/>
          <w:sz w:val="24"/>
          <w:szCs w:val="24"/>
          <w:highlight w:val="none"/>
          <w:lang w:eastAsia="zh-CN"/>
        </w:rPr>
        <w:t>政府采购促进中小企业发展管理办法</w:t>
      </w:r>
      <w:r>
        <w:rPr>
          <w:rFonts w:hint="eastAsia" w:ascii="宋体" w:hAnsi="宋体" w:eastAsia="宋体" w:cs="宋体"/>
          <w:color w:val="auto"/>
          <w:kern w:val="2"/>
          <w:sz w:val="24"/>
          <w:szCs w:val="24"/>
          <w:highlight w:val="none"/>
        </w:rPr>
        <w:t>》的相关规定</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对小型和微型企业制造（生产）的价格给予</w:t>
      </w:r>
      <w:r>
        <w:rPr>
          <w:rFonts w:hint="eastAsia" w:ascii="宋体" w:hAnsi="宋体" w:eastAsia="宋体" w:cs="宋体"/>
          <w:color w:val="auto"/>
          <w:kern w:val="2"/>
          <w:sz w:val="24"/>
          <w:szCs w:val="24"/>
          <w:highlight w:val="none"/>
          <w:lang w:val="en-US" w:eastAsia="zh-CN"/>
        </w:rPr>
        <w:t>优惠评审。</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小企业（含小微、微型企业）应当同时符合以下条件：（1）供应商为小企业，且符合中小企业划分标准；（2）提供本企业制造的货物、承担的工程或者服务，或者提供其他小企业制造的货物。如果提供的货物为大、中型企业注册商标的货物，视同大中型企业。</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 xml:space="preserve">.2、财政部司法部关于政府采购支持监狱企业发展有关问题的通知--财库〔2014〕68号 </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根据《关于政府采购支持监狱企业发展有关问题的通知》（财库（2014）68号）规定，在政府采购活动中，监狱企业视同小型、微型企业，享受政府采购促进中小企业发展的政府采购政策。</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评标委员会对监狱企业的价格给予</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%的扣除，用扣除后的价格参与评审。</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、《国务院办公厅关于建立政府强制采购节能产品制度的通知》--国办发〔2007〕51号</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 xml:space="preserve">、《节能产品政府采购实施意见》--（财库[2004]185号） </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根据《节能产品政府采购实施意见》--（财库[2004]185号）规定，政府采购属于节能清单中产品时，在技术、服务等指标同等条件下，应当优先采购节能清单所列的节能产品。</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w:t>
      </w:r>
      <w:r>
        <w:rPr>
          <w:rFonts w:hint="eastAsia" w:ascii="宋体" w:hAnsi="宋体" w:eastAsia="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时供应商应提供有效证明材料（证明材料须加盖供应商红色公章）。（注：产品属于品目清单范围中实施政府强制采购的，需提供依据国家确定的认证机构出具的、处于有效期之内的节能产品，属于品目清单范围中实施政府优先采购的，依据提供的品目清单和认证证书实施政府优先采购）。</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、《环境标志产品政府采购实施的意见》--财库[2006]90号</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根据《环境标志产品政府采购实施的意见》--财库[2006]90号规定，采购人采购的产品属于清单中品目的，在性能、技术、服务等指标同等条件下，应当优先采购清单中的产品。</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w:t>
      </w:r>
      <w:r>
        <w:rPr>
          <w:rFonts w:hint="eastAsia" w:ascii="宋体" w:hAnsi="宋体" w:eastAsia="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时供应商应提供有效证明材料（证明材料须加盖供应商红色公章）。（注：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、《关于促进残疾人就业政府采购政策的通知》--财库〔2017〕141号</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符合条件的残疾人福利性单位在参加政府采购活动时，应提供本通知规定的《残疾人福利性单位声明函》，并对声明的真实性负责。</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4.7</w:t>
      </w:r>
      <w:r>
        <w:rPr>
          <w:rFonts w:hint="eastAsia" w:ascii="宋体" w:hAnsi="宋体" w:eastAsia="宋体" w:cs="宋体"/>
          <w:color w:val="auto"/>
          <w:kern w:val="2"/>
          <w:sz w:val="24"/>
          <w:szCs w:val="24"/>
          <w:highlight w:val="none"/>
        </w:rPr>
        <w:t>、政府采购支持脱贫攻坚政策</w:t>
      </w:r>
    </w:p>
    <w:p>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优先采购贫困地区农副产品和物业服务、采购农副产品的，同等条件下应优先采购贫困地区农副产品。使用财政资金采购物业服务的，有条件的应当优先采购注册地在832个国家级贫困县域内，且聘用建档立卡贫困县人员物业公司提供的物业服务。</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信用中国”网站（www.creditchina.gov.cn）和“中国政府采购网”（www.ccgp.gov.cn）为供应商信用信息查询渠道，如果供应商被查实在磋商截止时间前已列入失信被执行人、重大税收违法案件当事人名单、政府采购严重违法失信行为记录名单，其磋商为无效，采购代理机构将打印查询记录作为证据留存。</w:t>
      </w:r>
    </w:p>
    <w:p>
      <w:pPr>
        <w:pStyle w:val="9"/>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lang w:val="zh-CN"/>
        </w:rPr>
        <w:t>磋商评审纪律</w:t>
      </w:r>
    </w:p>
    <w:p>
      <w:pPr>
        <w:pStyle w:val="9"/>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6.1磋商小组成员</w:t>
      </w:r>
      <w:r>
        <w:rPr>
          <w:rFonts w:hint="eastAsia" w:ascii="宋体" w:hAnsi="宋体" w:eastAsia="宋体" w:cs="宋体"/>
          <w:b w:val="0"/>
          <w:bCs w:val="0"/>
          <w:color w:val="auto"/>
          <w:sz w:val="24"/>
          <w:szCs w:val="24"/>
          <w:highlight w:val="none"/>
          <w:lang w:val="zh-CN"/>
        </w:rPr>
        <w:t>内部讨论的情况和意见必须保密，任何人不得以任何形式透露给供应商或与供应商有关的单位或个人；</w:t>
      </w:r>
    </w:p>
    <w:p>
      <w:pPr>
        <w:pStyle w:val="9"/>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6.2</w:t>
      </w:r>
      <w:r>
        <w:rPr>
          <w:rFonts w:hint="eastAsia" w:ascii="宋体" w:hAnsi="宋体" w:eastAsia="宋体" w:cs="宋体"/>
          <w:b w:val="0"/>
          <w:bCs w:val="0"/>
          <w:color w:val="auto"/>
          <w:sz w:val="24"/>
          <w:szCs w:val="24"/>
          <w:highlight w:val="none"/>
          <w:lang w:val="zh-CN"/>
        </w:rPr>
        <w:t>在磋商过程中，供应商不得以任何形式对磋商小组成员进行旨在影响磋商结果的私下接触，否则取消其磋商资格；</w:t>
      </w:r>
    </w:p>
    <w:p>
      <w:pPr>
        <w:pStyle w:val="9"/>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6.3</w:t>
      </w:r>
      <w:r>
        <w:rPr>
          <w:rFonts w:hint="eastAsia" w:ascii="宋体" w:hAnsi="宋体" w:eastAsia="宋体" w:cs="宋体"/>
          <w:b w:val="0"/>
          <w:bCs w:val="0"/>
          <w:color w:val="auto"/>
          <w:sz w:val="24"/>
          <w:szCs w:val="24"/>
          <w:highlight w:val="none"/>
          <w:lang w:val="zh-CN"/>
        </w:rPr>
        <w:t>磋商小组以及与磋商有关的人员应当对评审情况和评审过程中获悉的国家秘密、商业秘密予以保密。</w:t>
      </w:r>
    </w:p>
    <w:p>
      <w:pPr>
        <w:pStyle w:val="9"/>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7．无效磋商情况说明</w:t>
      </w:r>
    </w:p>
    <w:p>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响应文件有下列情形之一的，应当按照无效响应文件处理： </w:t>
      </w:r>
    </w:p>
    <w:p>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7.1报价超过采购预算</w:t>
      </w:r>
      <w:r>
        <w:rPr>
          <w:rFonts w:hint="eastAsia" w:ascii="宋体" w:hAnsi="宋体" w:eastAsia="宋体" w:cs="宋体"/>
          <w:color w:val="auto"/>
          <w:sz w:val="24"/>
          <w:szCs w:val="24"/>
          <w:highlight w:val="none"/>
          <w:lang w:eastAsia="zh-CN"/>
        </w:rPr>
        <w:t>或最高限价</w:t>
      </w:r>
      <w:r>
        <w:rPr>
          <w:rFonts w:hint="eastAsia" w:ascii="宋体" w:hAnsi="宋体" w:eastAsia="宋体" w:cs="宋体"/>
          <w:color w:val="auto"/>
          <w:sz w:val="24"/>
          <w:szCs w:val="24"/>
          <w:highlight w:val="none"/>
        </w:rPr>
        <w:t>的；</w:t>
      </w:r>
    </w:p>
    <w:p>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7.2不具备采购文件中规定的资格要求的； </w:t>
      </w:r>
    </w:p>
    <w:p>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7.3未按磋商文件要求提供证明文件的； </w:t>
      </w:r>
    </w:p>
    <w:p>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7.4未全部响应采购文件规定的实质性要求的； </w:t>
      </w:r>
    </w:p>
    <w:p>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供应商之间存在直接控股，或之间互为管理单位的。</w:t>
      </w:r>
    </w:p>
    <w:p>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不符合法律、法规规定的其他情形。</w:t>
      </w:r>
    </w:p>
    <w:p>
      <w:pPr>
        <w:pStyle w:val="9"/>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单位负责人为同一人或者存在直接控股、管理关系的不同供应商，不得参加</w:t>
      </w:r>
      <w:r>
        <w:rPr>
          <w:rFonts w:hint="eastAsia" w:ascii="宋体" w:hAnsi="宋体" w:eastAsia="宋体" w:cs="宋体"/>
          <w:b w:val="0"/>
          <w:bCs w:val="0"/>
          <w:color w:val="auto"/>
          <w:sz w:val="24"/>
          <w:szCs w:val="24"/>
          <w:highlight w:val="none"/>
        </w:rPr>
        <w:t>同一合同项下的政府采购活动。</w:t>
      </w:r>
    </w:p>
    <w:p>
      <w:pPr>
        <w:pStyle w:val="9"/>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8．对响应文件的修正</w:t>
      </w:r>
    </w:p>
    <w:p>
      <w:pPr>
        <w:pStyle w:val="9"/>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8.1磋商中，对价格的计算错误按下述原则修正：</w:t>
      </w:r>
    </w:p>
    <w:p>
      <w:pPr>
        <w:pStyle w:val="9"/>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（1）磋商时，响应文件正本与副本不一致的，以正本为准。</w:t>
      </w:r>
    </w:p>
    <w:p>
      <w:pPr>
        <w:pStyle w:val="9"/>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（2）响应文件的大写和小写金额不一致的，以大写金额为准；响应文件的单价和总价金额不一致的，以单价修订总价； “磋商报价一览表”与“磋商函”报价不一致时，以“磋商报价一览表”为准。对不同文字文本磋商文件的解释发生异议的，以中文文本为准。</w:t>
      </w:r>
    </w:p>
    <w:p>
      <w:pPr>
        <w:tabs>
          <w:tab w:val="center" w:pos="5181"/>
        </w:tabs>
        <w:adjustRightInd w:val="0"/>
        <w:snapToGrid w:val="0"/>
        <w:spacing w:line="360" w:lineRule="auto"/>
        <w:ind w:firstLine="480" w:firstLineChars="200"/>
        <w:outlineLvl w:val="9"/>
        <w:rPr>
          <w:rFonts w:hint="eastAsia" w:ascii="宋体" w:hAnsi="宋体" w:eastAsia="宋体" w:cs="宋体"/>
          <w:b w:val="0"/>
          <w:bCs w:val="0"/>
          <w:color w:val="auto"/>
          <w:sz w:val="24"/>
          <w:szCs w:val="24"/>
          <w:highlight w:val="none"/>
        </w:rPr>
      </w:pPr>
      <w:bookmarkStart w:id="41" w:name="_Toc4994"/>
      <w:bookmarkStart w:id="42" w:name="_Toc9683"/>
      <w:bookmarkStart w:id="43" w:name="_Toc22719"/>
      <w:bookmarkStart w:id="44" w:name="_Toc29957"/>
      <w:bookmarkStart w:id="45" w:name="_Toc19203"/>
      <w:bookmarkStart w:id="46" w:name="_Toc5727"/>
      <w:r>
        <w:rPr>
          <w:rFonts w:hint="eastAsia" w:ascii="宋体" w:hAnsi="宋体" w:eastAsia="宋体" w:cs="宋体"/>
          <w:b w:val="0"/>
          <w:bCs w:val="0"/>
          <w:color w:val="auto"/>
          <w:sz w:val="24"/>
          <w:szCs w:val="24"/>
          <w:highlight w:val="none"/>
        </w:rPr>
        <w:t>（3）供应商不同意以上修正，则其响应文件将被拒绝。</w:t>
      </w:r>
      <w:bookmarkEnd w:id="41"/>
      <w:bookmarkEnd w:id="42"/>
      <w:bookmarkEnd w:id="43"/>
      <w:bookmarkEnd w:id="44"/>
      <w:bookmarkEnd w:id="45"/>
      <w:bookmarkEnd w:id="46"/>
    </w:p>
    <w:p>
      <w:pPr>
        <w:pStyle w:val="9"/>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 定标</w:t>
      </w:r>
    </w:p>
    <w:p>
      <w:pPr>
        <w:pStyle w:val="9"/>
        <w:spacing w:line="360" w:lineRule="auto"/>
        <w:ind w:firstLine="470" w:firstLineChars="196"/>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9.1采购代理机构应当在评审结束后2个工作日内将评审报告送采购人确认。</w:t>
      </w:r>
    </w:p>
    <w:p>
      <w:pPr>
        <w:pStyle w:val="9"/>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采购人应当在收到评审报告后5个工作日内，从评审报告提出的成交候选供应商</w:t>
      </w:r>
      <w:r>
        <w:rPr>
          <w:rFonts w:hint="eastAsia" w:ascii="宋体" w:hAnsi="宋体" w:eastAsia="宋体" w:cs="宋体"/>
          <w:color w:val="auto"/>
          <w:kern w:val="0"/>
          <w:sz w:val="24"/>
          <w:szCs w:val="24"/>
          <w:highlight w:val="none"/>
        </w:rPr>
        <w:t>中，按照排序由高到低的原则确定成交供应商。</w:t>
      </w:r>
    </w:p>
    <w:p>
      <w:pPr>
        <w:pStyle w:val="9"/>
        <w:spacing w:line="360" w:lineRule="auto"/>
        <w:ind w:firstLine="470" w:firstLineChars="196"/>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rPr>
        <w:t>9.2采购人逾期未确定成交供应商且不提出异议的，视为确定评审报告提出的排序</w:t>
      </w:r>
      <w:r>
        <w:rPr>
          <w:rFonts w:hint="eastAsia" w:ascii="宋体" w:hAnsi="宋体" w:eastAsia="宋体" w:cs="宋体"/>
          <w:b w:val="0"/>
          <w:bCs w:val="0"/>
          <w:color w:val="auto"/>
          <w:kern w:val="0"/>
          <w:sz w:val="24"/>
          <w:szCs w:val="24"/>
          <w:highlight w:val="none"/>
        </w:rPr>
        <w:t>第一的供应商为成交供应商。</w:t>
      </w:r>
    </w:p>
    <w:p>
      <w:pPr>
        <w:pStyle w:val="9"/>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10.成交公告</w:t>
      </w:r>
    </w:p>
    <w:p>
      <w:pPr>
        <w:pStyle w:val="9"/>
        <w:spacing w:line="360" w:lineRule="auto"/>
        <w:ind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成交公告内容应当包括采购人和采购代理机构的名称、地址、联系方式，项目名称和项目编号，成交供应商名称、地址和成交金额，主要成交标的的名称以及磋商小组成员。</w:t>
      </w:r>
    </w:p>
    <w:p>
      <w:pPr>
        <w:pStyle w:val="9"/>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11.成交通知  </w:t>
      </w:r>
    </w:p>
    <w:p>
      <w:pPr>
        <w:tabs>
          <w:tab w:val="center" w:pos="5181"/>
        </w:tabs>
        <w:adjustRightInd w:val="0"/>
        <w:snapToGrid w:val="0"/>
        <w:spacing w:line="360" w:lineRule="auto"/>
        <w:ind w:firstLine="480" w:firstLineChars="200"/>
        <w:outlineLvl w:val="9"/>
        <w:rPr>
          <w:rFonts w:hint="eastAsia" w:ascii="宋体" w:hAnsi="宋体" w:eastAsia="宋体" w:cs="宋体"/>
          <w:b w:val="0"/>
          <w:bCs w:val="0"/>
          <w:color w:val="auto"/>
          <w:sz w:val="24"/>
          <w:szCs w:val="24"/>
          <w:highlight w:val="none"/>
        </w:rPr>
      </w:pPr>
      <w:bookmarkStart w:id="47" w:name="_Toc29341"/>
      <w:bookmarkStart w:id="48" w:name="_Toc4518"/>
      <w:bookmarkStart w:id="49" w:name="_Toc4212"/>
      <w:bookmarkStart w:id="50" w:name="_Toc31654"/>
      <w:bookmarkStart w:id="51" w:name="_Toc30337"/>
      <w:bookmarkStart w:id="52" w:name="_Toc9276"/>
      <w:r>
        <w:rPr>
          <w:rFonts w:hint="eastAsia" w:ascii="宋体" w:hAnsi="宋体" w:eastAsia="宋体" w:cs="宋体"/>
          <w:b w:val="0"/>
          <w:bCs w:val="0"/>
          <w:color w:val="auto"/>
          <w:sz w:val="24"/>
          <w:szCs w:val="24"/>
          <w:highlight w:val="none"/>
        </w:rPr>
        <w:t>11.1在磋商有效期内，采购代理机构以书面形式通知所选定的成交供应商。</w:t>
      </w:r>
      <w:bookmarkEnd w:id="47"/>
      <w:bookmarkEnd w:id="48"/>
      <w:bookmarkEnd w:id="49"/>
      <w:bookmarkEnd w:id="50"/>
      <w:bookmarkEnd w:id="51"/>
      <w:bookmarkEnd w:id="52"/>
      <w:r>
        <w:rPr>
          <w:rFonts w:hint="eastAsia" w:ascii="宋体" w:hAnsi="宋体" w:eastAsia="宋体" w:cs="宋体"/>
          <w:b w:val="0"/>
          <w:bCs w:val="0"/>
          <w:color w:val="auto"/>
          <w:sz w:val="24"/>
          <w:szCs w:val="24"/>
          <w:highlight w:val="none"/>
        </w:rPr>
        <w:t xml:space="preserve"> </w:t>
      </w:r>
    </w:p>
    <w:p>
      <w:pPr>
        <w:tabs>
          <w:tab w:val="center" w:pos="5181"/>
        </w:tabs>
        <w:adjustRightInd w:val="0"/>
        <w:snapToGrid w:val="0"/>
        <w:spacing w:line="360" w:lineRule="auto"/>
        <w:ind w:firstLine="480" w:firstLineChars="200"/>
        <w:outlineLvl w:val="9"/>
        <w:rPr>
          <w:rFonts w:hint="eastAsia" w:ascii="宋体" w:hAnsi="宋体" w:eastAsia="宋体" w:cs="宋体"/>
          <w:b w:val="0"/>
          <w:bCs w:val="0"/>
          <w:color w:val="auto"/>
          <w:sz w:val="24"/>
          <w:szCs w:val="24"/>
          <w:highlight w:val="none"/>
        </w:rPr>
      </w:pPr>
      <w:bookmarkStart w:id="53" w:name="_Toc26881"/>
      <w:bookmarkStart w:id="54" w:name="_Toc8727"/>
      <w:bookmarkStart w:id="55" w:name="_Toc17542"/>
      <w:bookmarkStart w:id="56" w:name="_Toc15205"/>
      <w:bookmarkStart w:id="57" w:name="_Toc6483"/>
      <w:bookmarkStart w:id="58" w:name="_Toc6638"/>
      <w:r>
        <w:rPr>
          <w:rFonts w:hint="eastAsia" w:ascii="宋体" w:hAnsi="宋体" w:eastAsia="宋体" w:cs="宋体"/>
          <w:b w:val="0"/>
          <w:bCs w:val="0"/>
          <w:color w:val="auto"/>
          <w:sz w:val="24"/>
          <w:szCs w:val="24"/>
          <w:highlight w:val="none"/>
        </w:rPr>
        <w:t>11.2成交供应商</w:t>
      </w:r>
      <w:r>
        <w:rPr>
          <w:rFonts w:hint="eastAsia" w:ascii="宋体" w:hAnsi="宋体" w:eastAsia="宋体" w:cs="宋体"/>
          <w:b w:val="0"/>
          <w:bCs w:val="0"/>
          <w:color w:val="auto"/>
          <w:sz w:val="24"/>
          <w:szCs w:val="24"/>
          <w:highlight w:val="none"/>
          <w:lang w:eastAsia="zh-CN"/>
        </w:rPr>
        <w:t>应</w:t>
      </w:r>
      <w:r>
        <w:rPr>
          <w:rFonts w:hint="eastAsia" w:ascii="宋体" w:hAnsi="宋体" w:eastAsia="宋体" w:cs="宋体"/>
          <w:b w:val="0"/>
          <w:bCs w:val="0"/>
          <w:color w:val="auto"/>
          <w:sz w:val="24"/>
          <w:szCs w:val="24"/>
          <w:highlight w:val="none"/>
        </w:rPr>
        <w:t>按规定与采购人签订合同，采购代理机构对落标的供应商不作落标原因的解释。</w:t>
      </w:r>
      <w:bookmarkEnd w:id="53"/>
      <w:bookmarkEnd w:id="54"/>
      <w:bookmarkEnd w:id="55"/>
      <w:bookmarkEnd w:id="56"/>
      <w:bookmarkEnd w:id="57"/>
      <w:bookmarkEnd w:id="58"/>
    </w:p>
    <w:p>
      <w:pPr>
        <w:tabs>
          <w:tab w:val="center" w:pos="5181"/>
        </w:tabs>
        <w:adjustRightInd w:val="0"/>
        <w:snapToGrid w:val="0"/>
        <w:spacing w:line="360" w:lineRule="auto"/>
        <w:ind w:firstLine="480" w:firstLineChars="200"/>
        <w:outlineLvl w:val="9"/>
        <w:rPr>
          <w:rFonts w:hint="eastAsia" w:ascii="宋体" w:hAnsi="宋体" w:eastAsia="宋体" w:cs="宋体"/>
          <w:b w:val="0"/>
          <w:bCs w:val="0"/>
          <w:color w:val="auto"/>
          <w:sz w:val="24"/>
          <w:szCs w:val="24"/>
          <w:highlight w:val="none"/>
        </w:rPr>
      </w:pPr>
      <w:bookmarkStart w:id="59" w:name="_Toc20280"/>
      <w:bookmarkStart w:id="60" w:name="_Toc30546"/>
      <w:bookmarkStart w:id="61" w:name="_Toc13993"/>
      <w:bookmarkStart w:id="62" w:name="_Toc20040"/>
      <w:bookmarkStart w:id="63" w:name="_Toc13674"/>
      <w:bookmarkStart w:id="64" w:name="_Toc25518"/>
      <w:r>
        <w:rPr>
          <w:rFonts w:hint="eastAsia" w:ascii="宋体" w:hAnsi="宋体" w:eastAsia="宋体" w:cs="宋体"/>
          <w:b w:val="0"/>
          <w:bCs w:val="0"/>
          <w:color w:val="auto"/>
          <w:sz w:val="24"/>
          <w:szCs w:val="24"/>
          <w:highlight w:val="none"/>
        </w:rPr>
        <w:t>11.3成交通知书将是合同的一个组成部分。</w:t>
      </w:r>
      <w:bookmarkEnd w:id="59"/>
      <w:bookmarkEnd w:id="60"/>
      <w:bookmarkEnd w:id="61"/>
      <w:bookmarkEnd w:id="62"/>
      <w:bookmarkEnd w:id="63"/>
      <w:bookmarkEnd w:id="64"/>
    </w:p>
    <w:p>
      <w:pPr>
        <w:tabs>
          <w:tab w:val="center" w:pos="5181"/>
        </w:tabs>
        <w:adjustRightInd w:val="0"/>
        <w:snapToGrid w:val="0"/>
        <w:spacing w:line="360" w:lineRule="auto"/>
        <w:ind w:firstLine="480" w:firstLineChars="200"/>
        <w:outlineLvl w:val="9"/>
        <w:rPr>
          <w:rFonts w:hint="eastAsia" w:ascii="宋体" w:hAnsi="宋体" w:eastAsia="宋体" w:cs="宋体"/>
          <w:b w:val="0"/>
          <w:bCs w:val="0"/>
          <w:color w:val="auto"/>
          <w:sz w:val="24"/>
          <w:szCs w:val="24"/>
          <w:highlight w:val="none"/>
        </w:rPr>
      </w:pPr>
      <w:bookmarkStart w:id="65" w:name="_Toc7140"/>
      <w:bookmarkStart w:id="66" w:name="_Toc24213"/>
      <w:bookmarkStart w:id="67" w:name="_Toc8803"/>
      <w:bookmarkStart w:id="68" w:name="_Toc13436"/>
      <w:bookmarkStart w:id="69" w:name="_Toc20711"/>
      <w:bookmarkStart w:id="70" w:name="_Toc23910"/>
      <w:r>
        <w:rPr>
          <w:rFonts w:hint="eastAsia" w:ascii="宋体" w:hAnsi="宋体" w:eastAsia="宋体" w:cs="宋体"/>
          <w:b w:val="0"/>
          <w:bCs w:val="0"/>
          <w:color w:val="auto"/>
          <w:sz w:val="24"/>
          <w:szCs w:val="24"/>
          <w:highlight w:val="none"/>
        </w:rPr>
        <w:t>12．合同授予</w:t>
      </w:r>
      <w:bookmarkEnd w:id="65"/>
      <w:bookmarkEnd w:id="66"/>
      <w:bookmarkEnd w:id="67"/>
      <w:bookmarkEnd w:id="68"/>
      <w:bookmarkEnd w:id="69"/>
      <w:bookmarkEnd w:id="70"/>
    </w:p>
    <w:p>
      <w:pPr>
        <w:tabs>
          <w:tab w:val="center" w:pos="5181"/>
        </w:tabs>
        <w:adjustRightInd w:val="0"/>
        <w:snapToGrid w:val="0"/>
        <w:spacing w:line="360" w:lineRule="auto"/>
        <w:ind w:firstLine="480" w:firstLineChars="200"/>
        <w:outlineLvl w:val="9"/>
        <w:rPr>
          <w:rFonts w:hint="eastAsia" w:ascii="宋体" w:hAnsi="宋体" w:eastAsia="宋体" w:cs="宋体"/>
          <w:b w:val="0"/>
          <w:bCs w:val="0"/>
          <w:color w:val="auto"/>
          <w:sz w:val="24"/>
          <w:szCs w:val="24"/>
          <w:highlight w:val="none"/>
        </w:rPr>
      </w:pPr>
      <w:bookmarkStart w:id="71" w:name="_Toc13832"/>
      <w:bookmarkStart w:id="72" w:name="_Toc21405"/>
      <w:bookmarkStart w:id="73" w:name="_Toc21652"/>
      <w:bookmarkStart w:id="74" w:name="_Toc29853"/>
      <w:bookmarkStart w:id="75" w:name="_Toc31035"/>
      <w:bookmarkStart w:id="76" w:name="_Toc12358"/>
      <w:r>
        <w:rPr>
          <w:rFonts w:hint="eastAsia" w:ascii="宋体" w:hAnsi="宋体" w:eastAsia="宋体" w:cs="宋体"/>
          <w:b w:val="0"/>
          <w:bCs w:val="0"/>
          <w:color w:val="auto"/>
          <w:sz w:val="24"/>
          <w:szCs w:val="24"/>
          <w:highlight w:val="none"/>
        </w:rPr>
        <w:t>12.1 磋商文件、响应文件及磋商过程中有关补充文件均作为合同附件，并与合同具有相同的法律效力。</w:t>
      </w:r>
      <w:bookmarkEnd w:id="71"/>
      <w:bookmarkEnd w:id="72"/>
      <w:bookmarkEnd w:id="73"/>
      <w:bookmarkEnd w:id="74"/>
      <w:bookmarkEnd w:id="75"/>
      <w:bookmarkEnd w:id="76"/>
    </w:p>
    <w:p>
      <w:pPr>
        <w:tabs>
          <w:tab w:val="center" w:pos="5181"/>
        </w:tabs>
        <w:adjustRightInd w:val="0"/>
        <w:snapToGrid w:val="0"/>
        <w:spacing w:line="360" w:lineRule="auto"/>
        <w:ind w:firstLine="480" w:firstLineChars="200"/>
        <w:outlineLvl w:val="9"/>
        <w:rPr>
          <w:rFonts w:hint="eastAsia" w:ascii="宋体" w:hAnsi="宋体" w:eastAsia="宋体" w:cs="宋体"/>
          <w:b w:val="0"/>
          <w:bCs w:val="0"/>
          <w:color w:val="auto"/>
          <w:sz w:val="24"/>
          <w:szCs w:val="24"/>
          <w:highlight w:val="none"/>
        </w:rPr>
      </w:pPr>
      <w:bookmarkStart w:id="77" w:name="_Toc14523"/>
      <w:bookmarkStart w:id="78" w:name="_Toc11"/>
      <w:bookmarkStart w:id="79" w:name="_Toc11477"/>
      <w:bookmarkStart w:id="80" w:name="_Toc22635"/>
      <w:bookmarkStart w:id="81" w:name="_Toc11787"/>
      <w:bookmarkStart w:id="82" w:name="_Toc18645"/>
      <w:r>
        <w:rPr>
          <w:rFonts w:hint="eastAsia" w:ascii="宋体" w:hAnsi="宋体" w:eastAsia="宋体" w:cs="宋体"/>
          <w:b w:val="0"/>
          <w:bCs w:val="0"/>
          <w:color w:val="auto"/>
          <w:sz w:val="24"/>
          <w:szCs w:val="24"/>
          <w:highlight w:val="none"/>
        </w:rPr>
        <w:t>12.2当按照合同履行义务，完成磋商项目。未经采购人同意，成交供应商不得向他人转让成交项目。</w:t>
      </w:r>
      <w:bookmarkEnd w:id="77"/>
      <w:bookmarkEnd w:id="78"/>
      <w:bookmarkEnd w:id="79"/>
      <w:bookmarkEnd w:id="80"/>
      <w:bookmarkEnd w:id="81"/>
      <w:bookmarkEnd w:id="82"/>
    </w:p>
    <w:p>
      <w:pPr>
        <w:tabs>
          <w:tab w:val="center" w:pos="5181"/>
        </w:tabs>
        <w:adjustRightInd w:val="0"/>
        <w:snapToGrid w:val="0"/>
        <w:spacing w:line="360" w:lineRule="auto"/>
        <w:ind w:firstLine="480" w:firstLineChars="200"/>
        <w:outlineLvl w:val="9"/>
        <w:rPr>
          <w:rFonts w:hint="eastAsia" w:ascii="宋体" w:hAnsi="宋体" w:eastAsia="宋体" w:cs="宋体"/>
          <w:b w:val="0"/>
          <w:bCs w:val="0"/>
          <w:color w:val="auto"/>
          <w:sz w:val="24"/>
          <w:szCs w:val="24"/>
          <w:highlight w:val="none"/>
        </w:rPr>
      </w:pPr>
      <w:bookmarkStart w:id="83" w:name="_Toc12869"/>
      <w:bookmarkStart w:id="84" w:name="_Toc22880"/>
      <w:bookmarkStart w:id="85" w:name="_Toc19137"/>
      <w:bookmarkStart w:id="86" w:name="_Toc7283"/>
      <w:bookmarkStart w:id="87" w:name="_Toc5222"/>
      <w:bookmarkStart w:id="88" w:name="_Toc12021"/>
      <w:r>
        <w:rPr>
          <w:rFonts w:hint="eastAsia" w:ascii="宋体" w:hAnsi="宋体" w:eastAsia="宋体" w:cs="宋体"/>
          <w:b w:val="0"/>
          <w:bCs w:val="0"/>
          <w:color w:val="auto"/>
          <w:sz w:val="24"/>
          <w:szCs w:val="24"/>
          <w:highlight w:val="none"/>
        </w:rPr>
        <w:t>13．本项目磋商有效期为自磋商截止之日起</w:t>
      </w:r>
      <w:r>
        <w:rPr>
          <w:rFonts w:hint="eastAsia" w:ascii="宋体" w:hAnsi="宋体" w:eastAsia="宋体" w:cs="宋体"/>
          <w:b w:val="0"/>
          <w:bCs w:val="0"/>
          <w:color w:val="auto"/>
          <w:sz w:val="24"/>
          <w:szCs w:val="24"/>
          <w:highlight w:val="none"/>
          <w:u w:val="single"/>
        </w:rPr>
        <w:t>90</w:t>
      </w:r>
      <w:r>
        <w:rPr>
          <w:rFonts w:hint="eastAsia" w:ascii="宋体" w:hAnsi="宋体" w:eastAsia="宋体" w:cs="宋体"/>
          <w:b w:val="0"/>
          <w:bCs w:val="0"/>
          <w:color w:val="auto"/>
          <w:sz w:val="24"/>
          <w:szCs w:val="24"/>
          <w:highlight w:val="none"/>
        </w:rPr>
        <w:t>个日历天。</w:t>
      </w:r>
      <w:bookmarkEnd w:id="83"/>
      <w:bookmarkEnd w:id="84"/>
      <w:bookmarkEnd w:id="85"/>
      <w:bookmarkEnd w:id="86"/>
      <w:bookmarkEnd w:id="87"/>
      <w:bookmarkEnd w:id="88"/>
    </w:p>
    <w:p>
      <w:pPr>
        <w:spacing w:line="360" w:lineRule="auto"/>
        <w:ind w:firstLine="315" w:firstLineChars="150"/>
        <w:rPr>
          <w:rFonts w:hint="eastAsia" w:ascii="宋体" w:hAnsi="宋体" w:eastAsia="宋体" w:cs="宋体"/>
          <w:color w:val="auto"/>
          <w:szCs w:val="21"/>
          <w:highlight w:val="none"/>
        </w:rPr>
      </w:pPr>
    </w:p>
    <w:p>
      <w:pPr>
        <w:spacing w:before="360" w:beforeLines="150" w:after="120" w:afterLines="50" w:line="360" w:lineRule="auto"/>
        <w:outlineLvl w:val="0"/>
        <w:rPr>
          <w:rFonts w:hint="eastAsia" w:ascii="宋体" w:hAnsi="宋体" w:eastAsia="宋体" w:cs="宋体"/>
          <w:color w:val="auto"/>
          <w:kern w:val="0"/>
          <w:szCs w:val="21"/>
          <w:highlight w:val="none"/>
        </w:rPr>
        <w:sectPr>
          <w:footerReference r:id="rId6" w:type="first"/>
          <w:footerReference r:id="rId5" w:type="default"/>
          <w:pgSz w:w="11906" w:h="16838"/>
          <w:pgMar w:top="1418" w:right="1418" w:bottom="1418" w:left="1588" w:header="851" w:footer="992" w:gutter="0"/>
          <w:pgNumType w:fmt="decimal" w:start="1"/>
          <w:cols w:space="720" w:num="1"/>
          <w:titlePg/>
          <w:docGrid w:linePitch="312" w:charSpace="0"/>
        </w:sectPr>
      </w:pPr>
    </w:p>
    <w:p>
      <w:pPr>
        <w:tabs>
          <w:tab w:val="left" w:pos="2595"/>
          <w:tab w:val="center" w:pos="4207"/>
        </w:tabs>
        <w:spacing w:before="318" w:beforeLines="100" w:after="159" w:afterLines="50" w:line="360" w:lineRule="auto"/>
        <w:jc w:val="center"/>
        <w:outlineLvl w:val="0"/>
        <w:rPr>
          <w:rFonts w:hint="eastAsia" w:ascii="宋体" w:hAnsi="宋体" w:eastAsia="宋体" w:cs="宋体"/>
          <w:b/>
          <w:color w:val="auto"/>
          <w:sz w:val="32"/>
          <w:szCs w:val="32"/>
          <w:highlight w:val="none"/>
        </w:rPr>
      </w:pPr>
      <w:bookmarkStart w:id="89" w:name="_Toc50152738"/>
      <w:bookmarkStart w:id="90" w:name="_Toc863"/>
      <w:bookmarkStart w:id="91" w:name="_Toc480470713"/>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章  合同格式</w:t>
      </w:r>
      <w:bookmarkEnd w:id="89"/>
      <w:bookmarkEnd w:id="90"/>
    </w:p>
    <w:p>
      <w:pPr>
        <w:widowControl/>
        <w:snapToGrid w:val="0"/>
        <w:spacing w:line="360" w:lineRule="auto"/>
        <w:ind w:firstLine="480" w:firstLineChars="200"/>
        <w:jc w:val="center"/>
        <w:outlineLvl w:val="9"/>
        <w:rPr>
          <w:rFonts w:hint="eastAsia" w:ascii="宋体" w:hAnsi="宋体" w:eastAsia="宋体" w:cs="宋体"/>
          <w:b/>
          <w:bCs/>
          <w:color w:val="auto"/>
          <w:kern w:val="0"/>
          <w:sz w:val="24"/>
          <w:highlight w:val="none"/>
        </w:rPr>
      </w:pPr>
      <w:bookmarkStart w:id="92" w:name="_Toc18521"/>
      <w:bookmarkStart w:id="93" w:name="_Toc17041"/>
      <w:bookmarkStart w:id="94" w:name="_Toc16594"/>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rPr>
        <w:t>本格式条款供双方签订合同参考，采购人可根据项目的实际情况增减条款和内容</w:t>
      </w:r>
      <w:r>
        <w:rPr>
          <w:rFonts w:hint="eastAsia" w:ascii="宋体" w:hAnsi="宋体" w:eastAsia="宋体" w:cs="宋体"/>
          <w:b/>
          <w:bCs/>
          <w:color w:val="auto"/>
          <w:kern w:val="0"/>
          <w:sz w:val="24"/>
          <w:highlight w:val="none"/>
        </w:rPr>
        <w:t>）</w:t>
      </w:r>
      <w:bookmarkEnd w:id="92"/>
      <w:bookmarkEnd w:id="93"/>
      <w:bookmarkEnd w:id="94"/>
    </w:p>
    <w:p>
      <w:pPr>
        <w:spacing w:line="360" w:lineRule="auto"/>
        <w:outlineLvl w:val="9"/>
        <w:rPr>
          <w:rFonts w:hint="eastAsia" w:ascii="宋体" w:hAnsi="宋体" w:eastAsia="宋体" w:cs="宋体"/>
          <w:color w:val="auto"/>
          <w:highlight w:val="none"/>
        </w:rPr>
      </w:pPr>
    </w:p>
    <w:p>
      <w:pPr>
        <w:spacing w:line="360" w:lineRule="auto"/>
        <w:outlineLvl w:val="9"/>
        <w:rPr>
          <w:rFonts w:hint="eastAsia" w:ascii="宋体" w:hAnsi="宋体" w:eastAsia="宋体" w:cs="宋体"/>
          <w:color w:val="auto"/>
          <w:highlight w:val="none"/>
        </w:rPr>
      </w:pPr>
    </w:p>
    <w:p>
      <w:pPr>
        <w:spacing w:line="360" w:lineRule="auto"/>
        <w:outlineLvl w:val="9"/>
        <w:rPr>
          <w:rFonts w:hint="eastAsia" w:ascii="宋体" w:hAnsi="宋体" w:eastAsia="宋体" w:cs="宋体"/>
          <w:color w:val="auto"/>
          <w:highlight w:val="none"/>
        </w:rPr>
      </w:pPr>
    </w:p>
    <w:p>
      <w:pPr>
        <w:spacing w:line="360" w:lineRule="auto"/>
        <w:jc w:val="center"/>
        <w:outlineLvl w:val="9"/>
        <w:rPr>
          <w:rFonts w:hint="eastAsia" w:ascii="宋体" w:hAnsi="宋体" w:eastAsia="宋体" w:cs="宋体"/>
          <w:b/>
          <w:color w:val="auto"/>
          <w:spacing w:val="20"/>
          <w:sz w:val="44"/>
          <w:szCs w:val="48"/>
          <w:highlight w:val="none"/>
          <w:lang w:eastAsia="zh-CN"/>
        </w:rPr>
      </w:pPr>
      <w:bookmarkStart w:id="95" w:name="_Toc28948"/>
    </w:p>
    <w:p>
      <w:pPr>
        <w:spacing w:line="360" w:lineRule="auto"/>
        <w:jc w:val="center"/>
        <w:outlineLvl w:val="9"/>
        <w:rPr>
          <w:rFonts w:hint="eastAsia" w:ascii="宋体" w:hAnsi="宋体" w:eastAsia="宋体" w:cs="宋体"/>
          <w:b/>
          <w:color w:val="auto"/>
          <w:spacing w:val="20"/>
          <w:sz w:val="40"/>
          <w:szCs w:val="44"/>
          <w:highlight w:val="none"/>
          <w:lang w:eastAsia="zh-CN"/>
        </w:rPr>
      </w:pPr>
      <w:r>
        <w:rPr>
          <w:rFonts w:hint="eastAsia" w:ascii="宋体" w:hAnsi="宋体" w:cs="宋体"/>
          <w:b/>
          <w:color w:val="auto"/>
          <w:spacing w:val="20"/>
          <w:sz w:val="40"/>
          <w:szCs w:val="44"/>
          <w:highlight w:val="none"/>
          <w:lang w:eastAsia="zh-CN"/>
        </w:rPr>
        <w:t>2023年马王街道人行道改造东农行桥头工程</w:t>
      </w:r>
    </w:p>
    <w:p>
      <w:pPr>
        <w:spacing w:line="360" w:lineRule="auto"/>
        <w:jc w:val="center"/>
        <w:outlineLvl w:val="9"/>
        <w:rPr>
          <w:rFonts w:hint="eastAsia" w:ascii="宋体" w:hAnsi="宋体" w:eastAsia="宋体" w:cs="宋体"/>
          <w:b/>
          <w:color w:val="auto"/>
          <w:spacing w:val="20"/>
          <w:sz w:val="48"/>
          <w:szCs w:val="52"/>
          <w:highlight w:val="none"/>
          <w:lang w:eastAsia="zh-CN"/>
        </w:rPr>
      </w:pPr>
    </w:p>
    <w:p>
      <w:pPr>
        <w:spacing w:line="360" w:lineRule="auto"/>
        <w:jc w:val="center"/>
        <w:outlineLvl w:val="9"/>
        <w:rPr>
          <w:rFonts w:hint="eastAsia" w:ascii="宋体" w:hAnsi="宋体" w:eastAsia="宋体" w:cs="宋体"/>
          <w:b/>
          <w:color w:val="auto"/>
          <w:spacing w:val="20"/>
          <w:sz w:val="44"/>
          <w:szCs w:val="48"/>
          <w:highlight w:val="none"/>
          <w:lang w:eastAsia="zh-CN"/>
        </w:rPr>
      </w:pPr>
      <w:bookmarkStart w:id="96" w:name="_Toc14519"/>
      <w:bookmarkStart w:id="97" w:name="_Toc13218"/>
      <w:r>
        <w:rPr>
          <w:rFonts w:hint="eastAsia" w:ascii="宋体" w:hAnsi="宋体" w:eastAsia="宋体" w:cs="宋体"/>
          <w:b/>
          <w:color w:val="auto"/>
          <w:spacing w:val="20"/>
          <w:sz w:val="44"/>
          <w:szCs w:val="48"/>
          <w:highlight w:val="none"/>
          <w:lang w:eastAsia="zh-CN"/>
        </w:rPr>
        <w:t>施工合同</w:t>
      </w:r>
      <w:bookmarkEnd w:id="95"/>
      <w:bookmarkEnd w:id="96"/>
      <w:bookmarkEnd w:id="97"/>
    </w:p>
    <w:p>
      <w:pPr>
        <w:spacing w:line="360" w:lineRule="auto"/>
        <w:outlineLvl w:val="9"/>
        <w:rPr>
          <w:rFonts w:hint="eastAsia" w:ascii="宋体" w:hAnsi="宋体" w:eastAsia="宋体" w:cs="宋体"/>
          <w:color w:val="auto"/>
          <w:highlight w:val="none"/>
        </w:rPr>
      </w:pPr>
    </w:p>
    <w:p>
      <w:pPr>
        <w:spacing w:line="360" w:lineRule="auto"/>
        <w:outlineLvl w:val="9"/>
        <w:rPr>
          <w:rFonts w:hint="eastAsia" w:ascii="宋体" w:hAnsi="宋体" w:eastAsia="宋体" w:cs="宋体"/>
          <w:color w:val="auto"/>
          <w:highlight w:val="none"/>
        </w:rPr>
      </w:pPr>
    </w:p>
    <w:p>
      <w:pPr>
        <w:spacing w:line="360" w:lineRule="auto"/>
        <w:outlineLvl w:val="9"/>
        <w:rPr>
          <w:rFonts w:hint="eastAsia" w:ascii="宋体" w:hAnsi="宋体" w:eastAsia="宋体" w:cs="宋体"/>
          <w:color w:val="auto"/>
          <w:highlight w:val="none"/>
        </w:rPr>
      </w:pPr>
    </w:p>
    <w:p>
      <w:pPr>
        <w:widowControl/>
        <w:snapToGrid w:val="0"/>
        <w:spacing w:line="360" w:lineRule="auto"/>
        <w:ind w:firstLine="750" w:firstLineChars="250"/>
        <w:jc w:val="left"/>
        <w:outlineLvl w:val="9"/>
        <w:rPr>
          <w:rFonts w:hint="eastAsia" w:ascii="宋体" w:hAnsi="宋体" w:eastAsia="宋体" w:cs="宋体"/>
          <w:bCs/>
          <w:color w:val="auto"/>
          <w:sz w:val="30"/>
          <w:szCs w:val="30"/>
          <w:highlight w:val="none"/>
        </w:rPr>
      </w:pPr>
      <w:bookmarkStart w:id="98" w:name="_Toc16919"/>
    </w:p>
    <w:p>
      <w:pPr>
        <w:pStyle w:val="12"/>
        <w:spacing w:line="360" w:lineRule="auto"/>
        <w:outlineLvl w:val="9"/>
        <w:rPr>
          <w:rFonts w:hint="eastAsia" w:ascii="宋体" w:hAnsi="宋体" w:eastAsia="宋体" w:cs="宋体"/>
          <w:bCs/>
          <w:color w:val="auto"/>
          <w:sz w:val="30"/>
          <w:szCs w:val="30"/>
          <w:highlight w:val="none"/>
        </w:rPr>
      </w:pPr>
    </w:p>
    <w:p>
      <w:pPr>
        <w:pStyle w:val="13"/>
        <w:spacing w:line="360" w:lineRule="auto"/>
        <w:outlineLvl w:val="9"/>
        <w:rPr>
          <w:rFonts w:hint="eastAsia" w:ascii="宋体" w:hAnsi="宋体" w:eastAsia="宋体" w:cs="宋体"/>
          <w:color w:val="auto"/>
          <w:highlight w:val="none"/>
        </w:rPr>
      </w:pPr>
    </w:p>
    <w:p>
      <w:pPr>
        <w:widowControl/>
        <w:snapToGrid w:val="0"/>
        <w:spacing w:line="360" w:lineRule="auto"/>
        <w:ind w:firstLine="750" w:firstLineChars="250"/>
        <w:jc w:val="left"/>
        <w:outlineLvl w:val="9"/>
        <w:rPr>
          <w:rFonts w:hint="eastAsia" w:ascii="宋体" w:hAnsi="宋体" w:eastAsia="宋体" w:cs="宋体"/>
          <w:bCs/>
          <w:color w:val="auto"/>
          <w:sz w:val="30"/>
          <w:szCs w:val="30"/>
          <w:highlight w:val="none"/>
        </w:rPr>
      </w:pPr>
    </w:p>
    <w:p>
      <w:pPr>
        <w:widowControl/>
        <w:snapToGrid w:val="0"/>
        <w:spacing w:line="360" w:lineRule="auto"/>
        <w:ind w:firstLine="750" w:firstLineChars="250"/>
        <w:jc w:val="left"/>
        <w:outlineLvl w:val="9"/>
        <w:rPr>
          <w:rFonts w:hint="eastAsia" w:ascii="宋体" w:hAnsi="宋体" w:eastAsia="宋体" w:cs="宋体"/>
          <w:bCs/>
          <w:color w:val="auto"/>
          <w:spacing w:val="-6"/>
          <w:sz w:val="30"/>
          <w:szCs w:val="30"/>
          <w:highlight w:val="none"/>
          <w:u w:val="single"/>
          <w:lang w:val="en-US" w:eastAsia="zh-CN"/>
        </w:rPr>
      </w:pPr>
      <w:bookmarkStart w:id="99" w:name="_Toc805"/>
      <w:bookmarkStart w:id="100" w:name="_Toc22468"/>
      <w:r>
        <w:rPr>
          <w:rFonts w:hint="eastAsia" w:ascii="宋体" w:hAnsi="宋体" w:eastAsia="宋体" w:cs="宋体"/>
          <w:bCs/>
          <w:color w:val="auto"/>
          <w:sz w:val="30"/>
          <w:szCs w:val="30"/>
          <w:highlight w:val="none"/>
        </w:rPr>
        <w:t>发包人：</w:t>
      </w:r>
      <w:r>
        <w:rPr>
          <w:rFonts w:hint="eastAsia" w:ascii="宋体" w:hAnsi="宋体" w:eastAsia="宋体" w:cs="宋体"/>
          <w:bCs/>
          <w:color w:val="auto"/>
          <w:sz w:val="30"/>
          <w:szCs w:val="30"/>
          <w:highlight w:val="none"/>
          <w:u w:val="single"/>
        </w:rPr>
        <w:t xml:space="preserve">  </w:t>
      </w:r>
      <w:r>
        <w:rPr>
          <w:rFonts w:hint="eastAsia" w:ascii="宋体" w:hAnsi="宋体" w:eastAsia="宋体" w:cs="宋体"/>
          <w:bCs/>
          <w:color w:val="auto"/>
          <w:spacing w:val="-6"/>
          <w:sz w:val="30"/>
          <w:szCs w:val="30"/>
          <w:highlight w:val="none"/>
          <w:u w:val="single"/>
          <w:lang w:val="en-US" w:eastAsia="zh-CN"/>
        </w:rPr>
        <w:t xml:space="preserve">                                  .</w:t>
      </w:r>
      <w:bookmarkEnd w:id="98"/>
      <w:bookmarkEnd w:id="99"/>
      <w:bookmarkEnd w:id="100"/>
    </w:p>
    <w:p>
      <w:pPr>
        <w:widowControl/>
        <w:snapToGrid w:val="0"/>
        <w:spacing w:line="360" w:lineRule="auto"/>
        <w:ind w:firstLine="750" w:firstLineChars="250"/>
        <w:jc w:val="left"/>
        <w:outlineLvl w:val="9"/>
        <w:rPr>
          <w:rFonts w:hint="eastAsia" w:ascii="宋体" w:hAnsi="宋体" w:eastAsia="宋体" w:cs="宋体"/>
          <w:bCs/>
          <w:color w:val="auto"/>
          <w:sz w:val="30"/>
          <w:szCs w:val="30"/>
          <w:highlight w:val="none"/>
          <w:u w:val="single"/>
        </w:rPr>
      </w:pPr>
      <w:bookmarkStart w:id="101" w:name="_Toc16680"/>
      <w:bookmarkStart w:id="102" w:name="_Toc9994"/>
      <w:bookmarkStart w:id="103" w:name="_Toc12075"/>
      <w:r>
        <w:rPr>
          <w:rFonts w:hint="eastAsia" w:ascii="宋体" w:hAnsi="宋体" w:eastAsia="宋体" w:cs="宋体"/>
          <w:bCs/>
          <w:color w:val="auto"/>
          <w:sz w:val="30"/>
          <w:szCs w:val="30"/>
          <w:highlight w:val="none"/>
        </w:rPr>
        <w:t xml:space="preserve">承包人： </w:t>
      </w:r>
      <w:r>
        <w:rPr>
          <w:rFonts w:hint="eastAsia" w:ascii="宋体" w:hAnsi="宋体" w:eastAsia="宋体" w:cs="宋体"/>
          <w:bCs/>
          <w:color w:val="auto"/>
          <w:sz w:val="30"/>
          <w:szCs w:val="30"/>
          <w:highlight w:val="none"/>
          <w:u w:val="single"/>
        </w:rPr>
        <w:t xml:space="preserve">                       </w:t>
      </w:r>
      <w:r>
        <w:rPr>
          <w:rFonts w:hint="eastAsia" w:ascii="宋体" w:hAnsi="宋体" w:eastAsia="宋体" w:cs="宋体"/>
          <w:bCs/>
          <w:color w:val="auto"/>
          <w:sz w:val="30"/>
          <w:szCs w:val="30"/>
          <w:highlight w:val="none"/>
          <w:u w:val="single"/>
          <w:lang w:val="en-US" w:eastAsia="zh-CN"/>
        </w:rPr>
        <w:t xml:space="preserve">         </w:t>
      </w:r>
      <w:r>
        <w:rPr>
          <w:rFonts w:hint="eastAsia" w:ascii="宋体" w:hAnsi="宋体" w:eastAsia="宋体" w:cs="宋体"/>
          <w:bCs/>
          <w:color w:val="auto"/>
          <w:sz w:val="30"/>
          <w:szCs w:val="30"/>
          <w:highlight w:val="none"/>
          <w:u w:val="single"/>
        </w:rPr>
        <w:t xml:space="preserve"> .</w:t>
      </w:r>
      <w:bookmarkEnd w:id="101"/>
      <w:bookmarkEnd w:id="102"/>
      <w:bookmarkEnd w:id="103"/>
    </w:p>
    <w:p>
      <w:pPr>
        <w:spacing w:line="360" w:lineRule="auto"/>
        <w:outlineLvl w:val="9"/>
        <w:rPr>
          <w:rFonts w:hint="eastAsia" w:ascii="宋体" w:hAnsi="宋体" w:eastAsia="宋体" w:cs="宋体"/>
          <w:color w:val="auto"/>
          <w:highlight w:val="none"/>
        </w:rPr>
      </w:pPr>
    </w:p>
    <w:p>
      <w:pPr>
        <w:widowControl/>
        <w:snapToGrid w:val="0"/>
        <w:spacing w:line="360" w:lineRule="auto"/>
        <w:ind w:firstLine="2550" w:firstLineChars="850"/>
        <w:jc w:val="left"/>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合同签订日期：</w:t>
      </w:r>
      <w:r>
        <w:rPr>
          <w:rFonts w:hint="eastAsia" w:ascii="宋体" w:hAnsi="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年  月   日</w:t>
      </w:r>
    </w:p>
    <w:p>
      <w:pPr>
        <w:pStyle w:val="3"/>
        <w:spacing w:line="360" w:lineRule="auto"/>
        <w:outlineLvl w:val="9"/>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pacing w:val="20"/>
          <w:sz w:val="36"/>
          <w:szCs w:val="40"/>
          <w:highlight w:val="none"/>
          <w:lang w:eastAsia="zh-CN"/>
        </w:rPr>
      </w:pPr>
      <w:r>
        <w:rPr>
          <w:rFonts w:hint="eastAsia" w:ascii="宋体" w:hAnsi="宋体" w:eastAsia="宋体" w:cs="宋体"/>
          <w:color w:val="auto"/>
          <w:highlight w:val="none"/>
        </w:rPr>
        <w:br w:type="page"/>
      </w:r>
      <w:r>
        <w:rPr>
          <w:rFonts w:hint="eastAsia" w:ascii="宋体" w:hAnsi="宋体" w:cs="宋体"/>
          <w:b/>
          <w:color w:val="auto"/>
          <w:spacing w:val="20"/>
          <w:sz w:val="36"/>
          <w:szCs w:val="40"/>
          <w:highlight w:val="none"/>
          <w:lang w:eastAsia="zh-CN"/>
        </w:rPr>
        <w:t>2023年马王街道人行道改造东农行桥头工程</w:t>
      </w:r>
    </w:p>
    <w:p>
      <w:pPr>
        <w:keepNext w:val="0"/>
        <w:keepLines w:val="0"/>
        <w:pageBreakBefore w:val="0"/>
        <w:kinsoku/>
        <w:wordWrap/>
        <w:overflowPunct/>
        <w:topLinePunct w:val="0"/>
        <w:autoSpaceDE/>
        <w:autoSpaceDN/>
        <w:bidi w:val="0"/>
        <w:spacing w:before="312" w:beforeLines="100"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p>
    <w:p>
      <w:pPr>
        <w:keepNext w:val="0"/>
        <w:keepLines w:val="0"/>
        <w:pageBreakBefore w:val="0"/>
        <w:kinsoku/>
        <w:wordWrap/>
        <w:overflowPunct/>
        <w:topLinePunct w:val="0"/>
        <w:autoSpaceDE/>
        <w:autoSpaceDN/>
        <w:bidi w:val="0"/>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w:t>
      </w:r>
    </w:p>
    <w:p>
      <w:pPr>
        <w:keepNext w:val="0"/>
        <w:keepLines w:val="0"/>
        <w:pageBreakBefore w:val="0"/>
        <w:kinsoku/>
        <w:wordWrap/>
        <w:overflowPunct/>
        <w:topLinePunct w:val="0"/>
        <w:autoSpaceDE/>
        <w:autoSpaceDN/>
        <w:bidi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双方根据《</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》、《中华人民共和国建筑法》、《中华人民共和国招标投标法》《中华人民共和国政府采购法》等法律法规，本着平等、自愿、公平、互利和诚实信用的原则，经双方协商一致，同意签订本合同：</w:t>
      </w:r>
    </w:p>
    <w:p>
      <w:pPr>
        <w:keepNext w:val="0"/>
        <w:keepLines w:val="0"/>
        <w:pageBreakBefore w:val="0"/>
        <w:kinsoku/>
        <w:wordWrap/>
        <w:overflowPunct/>
        <w:topLinePunct w:val="0"/>
        <w:autoSpaceDE/>
        <w:autoSpaceDN/>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104" w:name="_Toc351203481"/>
      <w:r>
        <w:rPr>
          <w:rFonts w:hint="eastAsia" w:ascii="宋体" w:hAnsi="宋体" w:eastAsia="宋体" w:cs="宋体"/>
          <w:bCs/>
          <w:color w:val="auto"/>
          <w:sz w:val="24"/>
          <w:szCs w:val="24"/>
          <w:highlight w:val="none"/>
        </w:rPr>
        <w:t xml:space="preserve"> </w:t>
      </w:r>
      <w:r>
        <w:rPr>
          <w:rFonts w:hint="eastAsia" w:ascii="宋体" w:hAnsi="宋体" w:eastAsia="宋体" w:cs="宋体"/>
          <w:b/>
          <w:bCs/>
          <w:color w:val="auto"/>
          <w:sz w:val="24"/>
          <w:szCs w:val="24"/>
          <w:highlight w:val="none"/>
        </w:rPr>
        <w:t>一、工程概况</w:t>
      </w:r>
      <w:bookmarkEnd w:id="104"/>
    </w:p>
    <w:p>
      <w:pPr>
        <w:keepNext w:val="0"/>
        <w:keepLines w:val="0"/>
        <w:pageBreakBefore w:val="0"/>
        <w:kinsoku/>
        <w:wordWrap/>
        <w:overflowPunct/>
        <w:topLinePunct w:val="0"/>
        <w:autoSpaceDE/>
        <w:autoSpaceDN/>
        <w:bidi w:val="0"/>
        <w:spacing w:line="360" w:lineRule="auto"/>
        <w:ind w:firstLine="42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p>
    <w:p>
      <w:pPr>
        <w:keepNext w:val="0"/>
        <w:keepLines w:val="0"/>
        <w:pageBreakBefore w:val="0"/>
        <w:kinsoku/>
        <w:wordWrap/>
        <w:overflowPunct/>
        <w:topLinePunct w:val="0"/>
        <w:autoSpaceDE/>
        <w:autoSpaceDN/>
        <w:bidi w:val="0"/>
        <w:spacing w:line="360" w:lineRule="auto"/>
        <w:ind w:firstLine="420" w:firstLineChars="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2、工程地点：</w:t>
      </w:r>
      <w:r>
        <w:rPr>
          <w:rFonts w:hint="eastAsia" w:ascii="宋体" w:hAnsi="宋体" w:cs="宋体"/>
          <w:color w:val="auto"/>
          <w:sz w:val="24"/>
          <w:szCs w:val="24"/>
          <w:highlight w:val="none"/>
          <w:u w:val="single"/>
          <w:lang w:val="en-US" w:eastAsia="zh-CN"/>
        </w:rPr>
        <w:t xml:space="preserve">             </w:t>
      </w:r>
    </w:p>
    <w:p>
      <w:pPr>
        <w:keepNext w:val="0"/>
        <w:keepLines w:val="0"/>
        <w:pageBreakBefore w:val="0"/>
        <w:kinsoku/>
        <w:wordWrap/>
        <w:overflowPunct/>
        <w:topLinePunct w:val="0"/>
        <w:autoSpaceDE/>
        <w:autoSpaceDN/>
        <w:bidi w:val="0"/>
        <w:spacing w:line="360" w:lineRule="auto"/>
        <w:ind w:firstLine="420" w:firstLineChars="0"/>
        <w:rPr>
          <w:rFonts w:hint="eastAsia" w:ascii="宋体" w:hAnsi="宋体" w:cs="宋体"/>
          <w:color w:val="auto"/>
          <w:sz w:val="24"/>
          <w:szCs w:val="24"/>
          <w:highlight w:val="none"/>
          <w:u w:val="singl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、工程内容及概况：</w:t>
      </w:r>
      <w:bookmarkStart w:id="105" w:name="_Toc351203482"/>
      <w:r>
        <w:rPr>
          <w:rFonts w:hint="eastAsia" w:ascii="宋体" w:hAnsi="宋体" w:cs="宋体"/>
          <w:color w:val="auto"/>
          <w:sz w:val="24"/>
          <w:szCs w:val="24"/>
          <w:highlight w:val="none"/>
          <w:u w:val="single"/>
          <w:lang w:val="en-US" w:eastAsia="zh-CN"/>
        </w:rPr>
        <w:t xml:space="preserve">             </w:t>
      </w:r>
    </w:p>
    <w:p>
      <w:pPr>
        <w:keepNext w:val="0"/>
        <w:keepLines w:val="0"/>
        <w:pageBreakBefore w:val="0"/>
        <w:kinsoku/>
        <w:wordWrap/>
        <w:overflowPunct/>
        <w:topLinePunct w:val="0"/>
        <w:autoSpaceDE/>
        <w:autoSpaceDN/>
        <w:bidi w:val="0"/>
        <w:spacing w:line="360" w:lineRule="auto"/>
        <w:ind w:firstLine="420" w:firstLineChars="0"/>
        <w:rPr>
          <w:rFonts w:hint="default"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highlight w:val="none"/>
        </w:rPr>
        <w:t>二、工期</w:t>
      </w:r>
      <w:bookmarkEnd w:id="105"/>
      <w:bookmarkStart w:id="106" w:name="_Toc351203483"/>
      <w:r>
        <w:rPr>
          <w:rFonts w:hint="eastAsia" w:ascii="宋体" w:hAnsi="宋体" w:cs="宋体"/>
          <w:color w:val="auto"/>
          <w:sz w:val="24"/>
          <w:szCs w:val="24"/>
          <w:highlight w:val="none"/>
          <w:u w:val="single"/>
          <w:lang w:val="en-US" w:eastAsia="zh-CN"/>
        </w:rPr>
        <w:t xml:space="preserve">            </w:t>
      </w:r>
    </w:p>
    <w:p>
      <w:pPr>
        <w:keepNext w:val="0"/>
        <w:keepLines w:val="0"/>
        <w:pageBreakBefore w:val="0"/>
        <w:kinsoku/>
        <w:wordWrap/>
        <w:overflowPunct/>
        <w:topLinePunct w:val="0"/>
        <w:autoSpaceDE/>
        <w:autoSpaceDN/>
        <w:bidi w:val="0"/>
        <w:spacing w:line="360" w:lineRule="auto"/>
        <w:ind w:firstLine="420" w:firstLineChars="0"/>
        <w:rPr>
          <w:rFonts w:hint="eastAsia" w:ascii="宋体" w:hAnsi="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、质量标准</w:t>
      </w:r>
      <w:bookmarkEnd w:id="106"/>
      <w:bookmarkStart w:id="107" w:name="_Toc351203484"/>
      <w:r>
        <w:rPr>
          <w:rFonts w:hint="eastAsia" w:ascii="宋体" w:hAnsi="宋体" w:cs="宋体"/>
          <w:color w:val="auto"/>
          <w:sz w:val="24"/>
          <w:szCs w:val="24"/>
          <w:highlight w:val="none"/>
          <w:u w:val="single"/>
          <w:lang w:val="en-US" w:eastAsia="zh-CN"/>
        </w:rPr>
        <w:t xml:space="preserve">            </w:t>
      </w:r>
    </w:p>
    <w:p>
      <w:pPr>
        <w:keepNext w:val="0"/>
        <w:keepLines w:val="0"/>
        <w:pageBreakBefore w:val="0"/>
        <w:kinsoku/>
        <w:wordWrap/>
        <w:overflowPunct/>
        <w:topLinePunct w:val="0"/>
        <w:autoSpaceDE/>
        <w:autoSpaceDN/>
        <w:bidi w:val="0"/>
        <w:spacing w:line="360" w:lineRule="auto"/>
        <w:ind w:firstLine="42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w:t>
      </w:r>
      <w:bookmarkEnd w:id="107"/>
      <w:r>
        <w:rPr>
          <w:rFonts w:hint="eastAsia" w:ascii="宋体" w:hAnsi="宋体" w:eastAsia="宋体" w:cs="宋体"/>
          <w:b/>
          <w:bCs/>
          <w:color w:val="auto"/>
          <w:kern w:val="2"/>
          <w:sz w:val="24"/>
          <w:szCs w:val="24"/>
          <w:highlight w:val="none"/>
          <w:lang w:val="en-US" w:eastAsia="zh-CN" w:bidi="ar-SA"/>
        </w:rPr>
        <w:t>合同价款</w:t>
      </w:r>
    </w:p>
    <w:p>
      <w:pPr>
        <w:keepNext w:val="0"/>
        <w:keepLines w:val="0"/>
        <w:pageBreakBefore w:val="0"/>
        <w:kinsoku/>
        <w:wordWrap/>
        <w:overflowPunct/>
        <w:topLinePunct w:val="0"/>
        <w:autoSpaceDE/>
        <w:autoSpaceDN/>
        <w:bidi w:val="0"/>
        <w:spacing w:line="360" w:lineRule="auto"/>
        <w:ind w:firstLine="420" w:firstLineChars="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1、合</w:t>
      </w:r>
      <w:r>
        <w:rPr>
          <w:rFonts w:hint="eastAsia" w:ascii="宋体" w:hAnsi="宋体" w:eastAsia="宋体" w:cs="宋体"/>
          <w:bCs/>
          <w:color w:val="auto"/>
          <w:sz w:val="24"/>
          <w:szCs w:val="24"/>
          <w:highlight w:val="none"/>
        </w:rPr>
        <w:t>同总价（大写）：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（人民币）</w:t>
      </w:r>
    </w:p>
    <w:p>
      <w:pPr>
        <w:keepNext w:val="0"/>
        <w:keepLines w:val="0"/>
        <w:pageBreakBefore w:val="0"/>
        <w:kinsoku/>
        <w:wordWrap/>
        <w:overflowPunct/>
        <w:topLinePunct w:val="0"/>
        <w:autoSpaceDE/>
        <w:autoSpaceDN/>
        <w:bidi w:val="0"/>
        <w:spacing w:line="360" w:lineRule="auto"/>
        <w:ind w:left="1260" w:leftChars="0" w:firstLine="42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p>
    <w:p>
      <w:pPr>
        <w:keepNext w:val="0"/>
        <w:keepLines w:val="0"/>
        <w:pageBreakBefore w:val="0"/>
        <w:kinsoku/>
        <w:wordWrap/>
        <w:overflowPunct/>
        <w:topLinePunct w:val="0"/>
        <w:autoSpaceDE/>
        <w:autoSpaceDN/>
        <w:bidi w:val="0"/>
        <w:spacing w:line="360" w:lineRule="auto"/>
        <w:ind w:firstLine="42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综合单价：详见承包人的报价书</w:t>
      </w:r>
      <w:r>
        <w:rPr>
          <w:rFonts w:hint="eastAsia" w:ascii="宋体" w:hAnsi="宋体" w:eastAsia="宋体" w:cs="宋体"/>
          <w:bCs/>
          <w:color w:val="auto"/>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、承包方式</w:t>
      </w:r>
    </w:p>
    <w:p>
      <w:pPr>
        <w:keepNext w:val="0"/>
        <w:keepLines w:val="0"/>
        <w:pageBreakBefore w:val="0"/>
        <w:widowControl/>
        <w:numPr>
          <w:ilvl w:val="0"/>
          <w:numId w:val="0"/>
        </w:numPr>
        <w:kinsoku/>
        <w:wordWrap/>
        <w:overflowPunct/>
        <w:topLinePunct w:val="0"/>
        <w:autoSpaceDE/>
        <w:autoSpaceDN/>
        <w:bidi w:val="0"/>
        <w:adjustRightInd/>
        <w:snapToGrid/>
        <w:spacing w:before="120" w:beforeLines="50" w:after="120" w:afterLines="50" w:line="360" w:lineRule="auto"/>
        <w:ind w:firstLine="42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包工包料、包安全、包协调。承包价格以全费用含税综合单价形式一次包死，工程施工完毕，验收合格后，按实结算</w:t>
      </w:r>
      <w:r>
        <w:rPr>
          <w:rFonts w:hint="eastAsia" w:ascii="宋体" w:hAnsi="宋体" w:eastAsia="宋体" w:cs="宋体"/>
          <w:color w:val="auto"/>
          <w:kern w:val="0"/>
          <w:sz w:val="24"/>
          <w:szCs w:val="24"/>
          <w:highlight w:val="none"/>
          <w:lang w:eastAsia="zh-CN"/>
        </w:rPr>
        <w:t>，不得超过合同暂定总价</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付款方式</w:t>
      </w:r>
    </w:p>
    <w:p>
      <w:pPr>
        <w:keepNext w:val="0"/>
        <w:keepLines w:val="0"/>
        <w:pageBreakBefore w:val="0"/>
        <w:kinsoku/>
        <w:wordWrap/>
        <w:overflowPunct/>
        <w:topLinePunct w:val="0"/>
        <w:autoSpaceDE/>
        <w:autoSpaceDN/>
        <w:bidi w:val="0"/>
        <w:spacing w:line="480" w:lineRule="exact"/>
        <w:ind w:firstLine="420" w:firstLineChars="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双方约定的工程进度款支付的方式、时间和比例是：①在合同签订后，待人员、设备进场施工后预付合同价的 30%预付款；②按照工程进度大于付款进度的原则，承包人完成工程量的50％后支付至合同暂定总价的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％，完成总工程量</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％后，承包人按照本合同约定的工程项目和计价依据报送本工程的结算报告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发包人依据财政评审报告为最终付款依据，付款至工程结算价款的97％，剩余3％做为工程质保金。竣工验收合格质保期【缺陷责任期】满后无息退还（扣除相关应扣费用）</w:t>
      </w:r>
      <w:r>
        <w:rPr>
          <w:rFonts w:hint="eastAsia" w:ascii="宋体" w:hAnsi="宋体" w:eastAsia="宋体" w:cs="宋体"/>
          <w:color w:val="auto"/>
          <w:sz w:val="24"/>
          <w:szCs w:val="24"/>
          <w:highlight w:val="none"/>
          <w:lang w:eastAsia="zh-CN"/>
        </w:rPr>
        <w:t>。</w:t>
      </w:r>
    </w:p>
    <w:p>
      <w:pPr>
        <w:keepNext w:val="0"/>
        <w:keepLines w:val="0"/>
        <w:pageBreakBefore w:val="0"/>
        <w:numPr>
          <w:ilvl w:val="0"/>
          <w:numId w:val="2"/>
        </w:numPr>
        <w:kinsoku/>
        <w:wordWrap/>
        <w:overflowPunct/>
        <w:topLinePunct w:val="0"/>
        <w:autoSpaceDE/>
        <w:autoSpaceDN/>
        <w:bidi w:val="0"/>
        <w:spacing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质保期</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质保期：一年。</w:t>
      </w:r>
    </w:p>
    <w:p>
      <w:pPr>
        <w:keepNext w:val="0"/>
        <w:keepLines w:val="0"/>
        <w:pageBreakBefore w:val="0"/>
        <w:numPr>
          <w:ilvl w:val="0"/>
          <w:numId w:val="0"/>
        </w:numPr>
        <w:kinsoku/>
        <w:wordWrap/>
        <w:overflowPunct/>
        <w:topLinePunct w:val="0"/>
        <w:autoSpaceDE/>
        <w:autoSpaceDN/>
        <w:bidi w:val="0"/>
        <w:spacing w:line="360" w:lineRule="auto"/>
        <w:ind w:firstLine="42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八、项目经理</w:t>
      </w:r>
    </w:p>
    <w:p>
      <w:pPr>
        <w:keepNext w:val="0"/>
        <w:keepLines w:val="0"/>
        <w:pageBreakBefore w:val="0"/>
        <w:numPr>
          <w:ilvl w:val="0"/>
          <w:numId w:val="0"/>
        </w:numPr>
        <w:kinsoku/>
        <w:wordWrap/>
        <w:overflowPunct/>
        <w:topLinePunct w:val="0"/>
        <w:autoSpaceDE/>
        <w:autoSpaceDN/>
        <w:bidi w:val="0"/>
        <w:spacing w:line="36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，注册证号：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、双方责任、权利和义务</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（一）发包人责任、权利和义务</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1、根据项目情况，确定施工任务。</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2、委派指定代表与承包人联系，发包人更换代表应及时通知承包人。</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2、按本合同的约定办理工程结算审核和支付工程款。</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3、负责向承包人明确具体工程承包范围、工作内容及工期安排。</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4、有对工程实际数量的确认权</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5、有权随时检查、监督现场及工程进度、质量和安全。</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6、对于承包人的违约行为以及其它不利于实现本承包合同目的的行为，有权责令其限期改正，并依法保留依照本承包合同采取进一步法律措施的权利。</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7、向承包人发出相关指令或要求。</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有权要求承包人更换不能胜任工作或玩忽职守的人员，承包人应在1周内将上述人员撤离现场并补报能够胜任的人员到岗。如上述人员不撤离现场或补报的人员仍不能胜任工作或玩忽职守，发包人将视同承包人无能力履行本合同，有权单方终止合同，由此给发包人造成的所有损失由承包人承担。</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9、承包人在工程质量、项目管理、安全文明施工等方面未按发包人及监理单位要求进行施工及管理，发包人有权要求承包人支付违约金并在以书面形式通知承包人后直接从工程款中扣除。 </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10、如承包人不按发包人、监理单位要求进行施工，发包人有权勒令承包人暂停施工并进行整改，待整改完毕后报监理单位及发包人验收并同意后方可复工，由此造成的损失由承包人负责。</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11、负责组织工程验收。</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（二）承包人责任、权利和义务</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1、全面履行本合同，接受发包人、监理单位和各级建设主管部门的监督和管理，在发包人指定时间内，保质保量完成施工任务。</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2、负责临时设施的搭建、大型机械及施工设备的进出场、临时水电的接引。</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须全面协调、统筹及管理承包范围内所含所有内容的施工，办理政府有关部门规定的本工程施工所需全部手续（如施工许可、园林绿化协调、市政协调、施工用水电协调、占道、占地、排污等，此处仅为列举，包括但不仅限于以上内容）；协调处理施工现场周围所涉及的政府部门、企业、地方组织或个人的关系，不得因此影响施工进展，此项工作为承包人合同义务，发包人不另增加任何费用。</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负责协调当地村民关系，不得由于村民的阻挠而影响工期，承担因村民阻挠而发生的全部费用。</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4、承包人必须保证周边村民、企业等的正常生活和出入通行，并采取必要的安全防护措施。</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5、承包人应维护周边环境，确保行人及过往车辆安全，保证交通顺畅，不得因施工而阻塞交通要道，需要占道施工或临时借用施工道路时应采取有力措施保证通行效果，且应设置安全提醒标志。</w:t>
      </w:r>
    </w:p>
    <w:p>
      <w:pPr>
        <w:keepNext w:val="0"/>
        <w:keepLines w:val="0"/>
        <w:pageBreakBefore w:val="0"/>
        <w:tabs>
          <w:tab w:val="left" w:pos="7665"/>
        </w:tabs>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6、必须服从发包人、监理单位对</w:t>
      </w:r>
      <w:r>
        <w:rPr>
          <w:rFonts w:hint="eastAsia" w:ascii="宋体" w:hAnsi="宋体" w:eastAsia="宋体" w:cs="宋体"/>
          <w:color w:val="auto"/>
          <w:kern w:val="0"/>
          <w:sz w:val="24"/>
          <w:szCs w:val="24"/>
          <w:highlight w:val="none"/>
          <w:lang w:bidi="en-US"/>
        </w:rPr>
        <w:t>对质量、安全、文明施工、治污减霾、治安等工程建设的统一管理。</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7、承包人必须自行施工，不得转包，确需分包时，需征得发包人同意。</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8、承包人必须保证安全生产，文明施工、环保施工，特别是冬季和高温季节作业，要确保作业工人保温、防暑和身体健康，严禁带病工作。</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承包人应确保施工现场的清洁卫生，建筑垃圾必须当日清理干净，不得留在现场过夜。保证施工现场清洁符合环境卫生管理的有关规定,达到西安市“创卫”要求，交工前保证施工现场清洁符合环境卫生管理的有关规定清理现场达到建筑物无污染，现场无建筑垃圾。</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10、必须做好周围道路、人行道、路灯、管线、管沟、绿化植物及草坪等的成品保护，如有损毁必须及时修复，并承担相应的维修费用。</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11、承包人在施工过程中，如遇到需与外部相关的单位协调的问题时，应自行解决，发包人只负责协助。</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12、承包人必须注意施工安全，做好安全文明施工工作，如因措施不当造成人身安全或工伤死亡事故，一切责任由承包人负责。工程施工要求以安全第一、安全设施自备自负、应达到安全标准要求。</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做好安全生产、文明施工，杜绝安全事故发生，承担事故的责任和因此发生的费用。负责对其在施工场地的工作人员进行安全教育，并对他们的安全负责。</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做好消防、环保、应急预案，全面、充的分考虑的各种突发事件。</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13、承包人必须严格按照已经确认的施工方案组织施工，并接受发包人、监理单位对工程质量、工期、安全、文明施工、环保及工地纪律的监督和管理。</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承包人在工程施工期间，须严格遵守政府职能部门的各项规定，接受政府职能部门的监督和检查，由于管理不善，导致政府职能部门的罚款或停工整改，由此发生的费用与损失由承包人自行承担，且发包人保留暂缓支付工程款的权利，以确保文明施工有效实施。</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15、承包人在工程施工期间，</w:t>
      </w:r>
      <w:r>
        <w:rPr>
          <w:rFonts w:hint="eastAsia" w:ascii="宋体" w:hAnsi="宋体" w:eastAsia="宋体" w:cs="宋体"/>
          <w:color w:val="auto"/>
          <w:kern w:val="0"/>
          <w:sz w:val="24"/>
          <w:szCs w:val="24"/>
          <w:highlight w:val="none"/>
          <w:lang w:val="zh-CN"/>
        </w:rPr>
        <w:t>必须按照国家相关规定配备专职安全员，建立健全安全管理制度。</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16、在施工期间，承包人必须建立施工安全用电制度，确保施工用电设备的完好无损，并设置漏电保护装置。</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17、承包人必须确保农民工工资支付到位，不因发包人任何原因不予支付或迟缓支付。</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18、承包人应维护周边环境，确保行人及过往车辆安全，保证交通顺畅，不得因施工而阻塞交通要道，需要占道施工或临时借用施工道路时应采取有力措施保证通行效果，且应设置安全提醒标志。</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19、防止火灾险情发生，并采取一切可能的预防措施及提供一切必需的灭火设备和配备训练有素的员工。</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承包人严格应遵守工程建设安全生产有关规定，严格按照安全标准、规范、操作规程等组织施工，并随时接受相关部门安全检查人员依法实施的监督检查，采取必要的安全防护措施，消除事故隐患。如承包人未履行上述义务而造成工程、财产和人身伤害，由承包人承担责任及所发生的费用。因承包人施工现场安全措施不力而引起的安全事故，其责任及经济赔偿等由承包人承担。</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21、按相关规定和合同约定采取施工安全和环境保护措施，办理工伤保险，确保工程及人员、材料、设备和设施的安全。</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22、在垃圾外运过程中，应严格遵守关于治污减霾相关规定，服从相关部门管理，严格做好治污减霾工作。</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冬防期、重污染应急响应期间，承包人必须严格按照相关规定执行。若因治污减霾工作不力导致受到处罚，发包人将按承包人违约处理，主管部门做出的任何处罚均由承包人承担，直至合同解除。</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23、垃圾清运车辆应按规定装载，遮盖严密，沿途不得遗落、抛洒。设置专人清理车身及车轮泥土，确保车辆不带泥上路。</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24、垃圾清运完毕后，应及时维护现场，采取4针绿色防尘网遮盖已清理完毕现场，保持场地平整和防尘网遮盖直至通过发包人验收。</w:t>
      </w:r>
    </w:p>
    <w:p>
      <w:pPr>
        <w:keepNext w:val="0"/>
        <w:keepLines w:val="0"/>
        <w:pageBreakBefore w:val="0"/>
        <w:kinsoku/>
        <w:wordWrap/>
        <w:overflowPunct/>
        <w:topLinePunct w:val="0"/>
        <w:autoSpaceDE/>
        <w:autoSpaceDN/>
        <w:bidi w:val="0"/>
        <w:spacing w:line="360" w:lineRule="auto"/>
        <w:ind w:left="315" w:leftChars="150" w:firstLine="120" w:firstLineChar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十、履约保证金</w:t>
      </w:r>
    </w:p>
    <w:p>
      <w:pPr>
        <w:keepNext w:val="0"/>
        <w:keepLines w:val="0"/>
        <w:pageBreakBefore w:val="0"/>
        <w:kinsoku/>
        <w:wordWrap/>
        <w:overflowPunct/>
        <w:topLinePunct w:val="0"/>
        <w:autoSpaceDE/>
        <w:autoSpaceDN/>
        <w:bidi w:val="0"/>
        <w:spacing w:line="360" w:lineRule="auto"/>
        <w:ind w:left="315" w:leftChars="150" w:firstLine="120" w:firstLineChars="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autoSpaceDE/>
        <w:autoSpaceDN/>
        <w:bidi w:val="0"/>
        <w:spacing w:line="360" w:lineRule="auto"/>
        <w:ind w:left="315" w:leftChars="150" w:firstLine="120" w:firstLineChar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、违约、索赔</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1、违约</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不能及时给出必要指令、确认、批准，不按合同约定履行自己的各项责任、权利和义务及发生其它使合同无法履行的行为，应承担违约责任(包括支付因其违约导致承包人增加的经济支出和从应支付之日起计算的应支付款项的利息等)相应顺延工程。</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由于中标人原因造成工期延迟视同中标人违约，则中标人赔付采购人违约金工程整体拆除、垃圾清运及场地平整价的5％／天。</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施工质量达不到要求，承包人必须返工重建，直至质量符合发包人要求。</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除非双方协议将合同终止，或因一方违约使合同无法履行，违约方承担上述违约责任后仍应继续履行合同。</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因一方违约使合同不能履行，另一方欲中止或解除全部合同，应提前10天通知违约方后，方可中止或解除合同，由违约方承担违约责任。</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2、索赔，发包人未能按合同约定支付各种费用，顺延工期，赔偿损失，承包人可按以下规定书面向发包人索赔：</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（1）有正当索赔理由，且有索赔事件发生的有效证据：</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（2）索赔事件发生后28天内，向发包人发出要求索赔的通知：</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（3）发包人在接到索赔通知后28天内给予批准，或要求承包人进一步补充索赔理由和证据，发包人在28天内未予答复，应视为该项索赔已经批准。</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承包人未能按合同约定履行自己的各项义务或发生错误，给发包人造成经济损失，发包人可按上述规定向承包人提出索赔。</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、合同纠纷或争议</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因本合同或与本合同有关的一切事项发生争议，由双方友好协商解决。协商不成的，任何一方均可选择以下方式解决：</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1、向发包人所在地仲裁委员会申请仲裁。</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2、向发包人所在地人民法院提起诉讼。</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、不可抗力事件处理</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本合同中的不可抗力指不能预见、不能避免并不能克服的客观情况。不可抗力应以国家和本市有关部门正式发布为准，不可抗力是指战争、严重火灾、水灾、台风、地震等人力不可抗拒的因素引起的延误和影响。 </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、违约解除合同</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1、在承包人违约的情况下，发包人可向承包人发出书面通知，部分或全部终止本合同，同时保留向对方追诉的权利。</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2、承包人有转让或未经发包人同意的分包行为，发包人可以单方解除合同。</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3、承包人未能履行本合同规定的责任、权利、义务的，发包人可以单方解除合同</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4、在本合同履行过程中，承包人有腐败、欺诈、违法行为的，发包人可以单方解除合同。</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、合同的生效</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本合同经双方法定代表人（负责人）或授权代表签字并加盖公章（或合同专用章），并经本鉴证单位盖章后，即开始生效，在合同完全履行完毕终止。</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1、本合同未尽事宜，双方协商解决，签订补充合同，补充合同与本合同具有同等法律效力。</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2、本合同正本一式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份，双方各执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分，双方各执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发包人：__________（盖章）          承包人：___________（盖章） </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法定代表人或其授权的                法定代表人或其授权的</w:t>
      </w:r>
    </w:p>
    <w:p>
      <w:pPr>
        <w:pStyle w:val="29"/>
        <w:keepNext w:val="0"/>
        <w:keepLines w:val="0"/>
        <w:pageBreakBefore w:val="0"/>
        <w:kinsoku/>
        <w:wordWrap/>
        <w:overflowPunct/>
        <w:topLinePunct w:val="0"/>
        <w:autoSpaceDE/>
        <w:autoSpaceDN/>
        <w:bidi w:val="0"/>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委托代理人：_________（签字或盖章） 委托代理人：_________（签字或盖章）         </w:t>
      </w:r>
    </w:p>
    <w:p>
      <w:pPr>
        <w:pStyle w:val="29"/>
        <w:keepNext w:val="0"/>
        <w:keepLines w:val="0"/>
        <w:pageBreakBefore w:val="0"/>
        <w:kinsoku/>
        <w:wordWrap/>
        <w:overflowPunct/>
        <w:topLinePunct w:val="0"/>
        <w:autoSpaceDE/>
        <w:autoSpaceDN/>
        <w:bidi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                          住    所：</w:t>
      </w:r>
    </w:p>
    <w:p>
      <w:pPr>
        <w:pStyle w:val="29"/>
        <w:keepNext w:val="0"/>
        <w:keepLines w:val="0"/>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                          开户银行：</w:t>
      </w:r>
    </w:p>
    <w:p>
      <w:pPr>
        <w:pStyle w:val="29"/>
        <w:keepNext w:val="0"/>
        <w:keepLines w:val="0"/>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pStyle w:val="29"/>
        <w:keepNext w:val="0"/>
        <w:keepLines w:val="0"/>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                          电子信箱：</w:t>
      </w:r>
    </w:p>
    <w:p>
      <w:pPr>
        <w:pStyle w:val="29"/>
        <w:keepNext w:val="0"/>
        <w:keepLines w:val="0"/>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年   月    日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   月    日</w:t>
      </w:r>
    </w:p>
    <w:p>
      <w:pPr>
        <w:spacing w:line="360" w:lineRule="auto"/>
        <w:outlineLvl w:val="9"/>
        <w:rPr>
          <w:rFonts w:hint="eastAsia" w:ascii="宋体" w:hAnsi="宋体" w:eastAsia="宋体" w:cs="宋体"/>
          <w:color w:val="auto"/>
          <w:sz w:val="24"/>
          <w:szCs w:val="24"/>
          <w:highlight w:val="none"/>
        </w:rPr>
      </w:pPr>
      <w:bookmarkStart w:id="108" w:name="_Toc13909"/>
      <w:bookmarkStart w:id="109" w:name="_Toc29536"/>
      <w:bookmarkStart w:id="110" w:name="_Toc25712"/>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111" w:name="_Toc296346733"/>
      <w:bookmarkStart w:id="112" w:name="_Toc296503232"/>
      <w:bookmarkStart w:id="113" w:name="_Toc296944571"/>
      <w:bookmarkStart w:id="114" w:name="_Toc296891272"/>
      <w:bookmarkStart w:id="115" w:name="_Toc296891060"/>
      <w:bookmarkStart w:id="116" w:name="_Toc296347231"/>
      <w:bookmarkStart w:id="117" w:name="_Toc267261702"/>
      <w:r>
        <w:rPr>
          <w:rFonts w:hint="eastAsia" w:ascii="宋体" w:hAnsi="宋体" w:eastAsia="宋体" w:cs="宋体"/>
          <w:color w:val="auto"/>
          <w:sz w:val="24"/>
          <w:szCs w:val="24"/>
          <w:highlight w:val="none"/>
        </w:rPr>
        <w:t>件1</w:t>
      </w:r>
      <w:bookmarkEnd w:id="108"/>
      <w:bookmarkEnd w:id="109"/>
      <w:bookmarkEnd w:id="110"/>
    </w:p>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施工安全生产责任书</w:t>
      </w:r>
    </w:p>
    <w:p>
      <w:pPr>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承包人（乙方）：</w:t>
      </w:r>
      <w:r>
        <w:rPr>
          <w:rFonts w:hint="eastAsia" w:ascii="宋体" w:hAnsi="宋体" w:eastAsia="宋体" w:cs="宋体"/>
          <w:b/>
          <w:color w:val="auto"/>
          <w:sz w:val="24"/>
          <w:szCs w:val="24"/>
          <w:highlight w:val="none"/>
          <w:u w:val="single"/>
        </w:rPr>
        <w:t xml:space="preserve">                                           </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建设工程安全生产管理，落实安全生产责任，防止和减少生产安全事故，经甲乙丙各方在平等、自愿的基础上协商一致，根据《中华人民共和国安全生产法》、《建设工程安全生产管理条例》及相关法律、法规的规定，达成如下合同：</w:t>
      </w:r>
    </w:p>
    <w:p>
      <w:pPr>
        <w:widowControl/>
        <w:snapToGrid w:val="0"/>
        <w:spacing w:line="360" w:lineRule="auto"/>
        <w:ind w:firstLine="480" w:firstLineChars="200"/>
        <w:rPr>
          <w:rFonts w:hint="eastAsia" w:ascii="宋体" w:hAnsi="宋体" w:eastAsia="宋体" w:cs="宋体"/>
          <w:color w:val="auto"/>
          <w:sz w:val="24"/>
          <w:szCs w:val="24"/>
          <w:highlight w:val="none"/>
        </w:rPr>
      </w:pPr>
      <w:bookmarkStart w:id="118" w:name="_Toc419886958"/>
      <w:bookmarkStart w:id="119" w:name="_Toc359913019"/>
      <w:r>
        <w:rPr>
          <w:rFonts w:hint="eastAsia" w:ascii="宋体" w:hAnsi="宋体" w:eastAsia="宋体" w:cs="宋体"/>
          <w:color w:val="auto"/>
          <w:sz w:val="24"/>
          <w:szCs w:val="24"/>
          <w:highlight w:val="none"/>
        </w:rPr>
        <w:t>一、建设工程安全生产管理目标及必须达到的安全事故控制指标</w:t>
      </w:r>
      <w:bookmarkEnd w:id="118"/>
      <w:bookmarkEnd w:id="119"/>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遵守《建设工程安全生产管理条例》的规定，实现安全生产管理目标：无重伤、无死亡、无施工坍塌、无高处坠落、无滑坡、无火灾、无用电事故、无重大机械事故等各类安全生产事故。即：</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1、因工死亡率为零；</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2、因工重伤率为零；</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3、因工轻伤事故率不高于5%；</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4、不发生损失额1万元以上的机械、设备、交通和火灾事故。</w:t>
      </w:r>
    </w:p>
    <w:p>
      <w:pPr>
        <w:widowControl/>
        <w:snapToGrid w:val="0"/>
        <w:spacing w:line="360" w:lineRule="auto"/>
        <w:ind w:firstLine="480" w:firstLineChars="200"/>
        <w:rPr>
          <w:rFonts w:hint="eastAsia" w:ascii="宋体" w:hAnsi="宋体" w:eastAsia="宋体" w:cs="宋体"/>
          <w:color w:val="auto"/>
          <w:sz w:val="24"/>
          <w:szCs w:val="24"/>
          <w:highlight w:val="none"/>
        </w:rPr>
      </w:pPr>
      <w:bookmarkStart w:id="120" w:name="_Toc359913020"/>
      <w:bookmarkStart w:id="121" w:name="_Toc419886959"/>
      <w:r>
        <w:rPr>
          <w:rFonts w:hint="eastAsia" w:ascii="宋体" w:hAnsi="宋体" w:eastAsia="宋体" w:cs="宋体"/>
          <w:color w:val="auto"/>
          <w:sz w:val="24"/>
          <w:szCs w:val="24"/>
          <w:highlight w:val="none"/>
        </w:rPr>
        <w:t>二、本合同有效期限</w:t>
      </w:r>
      <w:bookmarkEnd w:id="120"/>
      <w:bookmarkEnd w:id="121"/>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自承包人入驻施工场地之日起，至工程竣工验收合格交付发包人使用时止。</w:t>
      </w:r>
    </w:p>
    <w:p>
      <w:pPr>
        <w:widowControl/>
        <w:snapToGrid w:val="0"/>
        <w:spacing w:line="360" w:lineRule="auto"/>
        <w:ind w:firstLine="480" w:firstLineChars="200"/>
        <w:rPr>
          <w:rFonts w:hint="eastAsia" w:ascii="宋体" w:hAnsi="宋体" w:eastAsia="宋体" w:cs="宋体"/>
          <w:color w:val="auto"/>
          <w:sz w:val="24"/>
          <w:szCs w:val="24"/>
          <w:highlight w:val="none"/>
        </w:rPr>
      </w:pPr>
      <w:bookmarkStart w:id="122" w:name="_Toc419886960"/>
      <w:bookmarkStart w:id="123" w:name="_Toc359913021"/>
      <w:r>
        <w:rPr>
          <w:rFonts w:hint="eastAsia" w:ascii="宋体" w:hAnsi="宋体" w:eastAsia="宋体" w:cs="宋体"/>
          <w:color w:val="auto"/>
          <w:sz w:val="24"/>
          <w:szCs w:val="24"/>
          <w:highlight w:val="none"/>
        </w:rPr>
        <w:t>三、发包人的安全生产管理权利</w:t>
      </w:r>
      <w:bookmarkEnd w:id="122"/>
      <w:bookmarkEnd w:id="123"/>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1、监督检查承包人的各项安全生产工作，对建筑工地现场实施日常检查和定期、不定期的巡查。</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2、在实施检查、巡查过程中，发现建设工程存在安全事故隐患的，有权要求承包人暂时停止施工进行整改，直至消除安全事故隐患。</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3、查阅与检查、巡查事项有关的文件、资料。并可根据实际情况，对施工现场进行检测、拍照、录音、摄像等。</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4、承包人违反安全生产约定或规定时，发包人有权要求其支付违约金，并承担其他违约责任。</w:t>
      </w:r>
    </w:p>
    <w:p>
      <w:pPr>
        <w:widowControl/>
        <w:snapToGrid w:val="0"/>
        <w:spacing w:line="360" w:lineRule="auto"/>
        <w:ind w:firstLine="480" w:firstLineChars="200"/>
        <w:rPr>
          <w:rFonts w:hint="eastAsia" w:ascii="宋体" w:hAnsi="宋体" w:eastAsia="宋体" w:cs="宋体"/>
          <w:color w:val="auto"/>
          <w:sz w:val="24"/>
          <w:szCs w:val="24"/>
          <w:highlight w:val="none"/>
        </w:rPr>
      </w:pPr>
      <w:bookmarkStart w:id="124" w:name="_Toc419886961"/>
      <w:bookmarkStart w:id="125" w:name="_Toc359913022"/>
      <w:r>
        <w:rPr>
          <w:rFonts w:hint="eastAsia" w:ascii="宋体" w:hAnsi="宋体" w:eastAsia="宋体" w:cs="宋体"/>
          <w:color w:val="auto"/>
          <w:sz w:val="24"/>
          <w:szCs w:val="24"/>
          <w:highlight w:val="none"/>
        </w:rPr>
        <w:t>四、发包人的安全生产管理义务</w:t>
      </w:r>
      <w:bookmarkEnd w:id="124"/>
      <w:bookmarkEnd w:id="125"/>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1、发包人不得对承包人提出不符合建设工程安全生产法律、法规和强制性标准的要求。</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2、发包人不得明示或暗示承包人购买、租赁、使用不符合安全施工要求的安全防护用具、机械设备、施工机具及配件、消防设施和器材。</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3、对承包人施工现场采取的安全施工技术措施，根据承包人的请求，提供必要的协助。</w:t>
      </w:r>
    </w:p>
    <w:p>
      <w:pPr>
        <w:widowControl/>
        <w:snapToGrid w:val="0"/>
        <w:spacing w:line="360" w:lineRule="auto"/>
        <w:ind w:firstLine="480" w:firstLineChars="200"/>
        <w:rPr>
          <w:rFonts w:hint="eastAsia" w:ascii="宋体" w:hAnsi="宋体" w:eastAsia="宋体" w:cs="宋体"/>
          <w:color w:val="auto"/>
          <w:sz w:val="24"/>
          <w:szCs w:val="24"/>
          <w:highlight w:val="none"/>
        </w:rPr>
      </w:pPr>
      <w:bookmarkStart w:id="126" w:name="_Toc419886962"/>
      <w:bookmarkStart w:id="127" w:name="_Toc359913023"/>
      <w:r>
        <w:rPr>
          <w:rFonts w:hint="eastAsia" w:ascii="宋体" w:hAnsi="宋体" w:eastAsia="宋体" w:cs="宋体"/>
          <w:color w:val="auto"/>
          <w:sz w:val="24"/>
          <w:szCs w:val="24"/>
          <w:highlight w:val="none"/>
        </w:rPr>
        <w:t>五、承包人的安全生产责任与义务</w:t>
      </w:r>
      <w:bookmarkEnd w:id="126"/>
      <w:bookmarkEnd w:id="127"/>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1、承包人应当在其资质等级许可范围内，并具备安全生产许可证的条件下承揽工程。</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当严格按照建设工程安全生产的法律、法规、规章及安全生产的标准、规程的有关规定，组织工程施工，并对工程建设施工的安全生产工作全面负责。因承包人安全生产措施不力造成事故的责任和因此发生的费用由承包人承担。</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3、建立、健全与落实安全生产责任制度、安全生产教育培训制度、安全生产规章制度和操作规程。</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4、设立安全生产管理机构，配备专职安全生产管理人员。</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5、根据工程特点组织制定安全施工措施，消除安全事故隐患。强化对基坑开挖、起重吊装、模板工程等危险性较大的工程施工的监控和安全防护措施的落实，严防高空坠落、施工坍塌等安全事故的发生。</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6、随时接受发包人实施的安全检查、巡查、并按照发包人的要求进行整改，消除安全事故隐患，确保安全生产。</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7、承包人应当在施工现场入口处、施工起重机械、临时用电设施、脚手架、出入通道口、基坑边沿等危险部位，设置明显的安全警示标志，安全警示标志必须符合国家标准。</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8、承包人应根据不同施工阶段和周围环境及季节、气候气象的变化，在施工现场采取相应的安全施工措施。确保雨季等特殊气候气象情况下的施工安全。</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9、对建设工程施工进行定期和专项安全自检，并做好安全检查记录，及时发现并消除安全生产事故隐患。</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10、在施工现场建立消防安全责任制度，确定消防安全责任人，制定用火、用电等各项消防安全管理制度和操作规程。</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11、制定实施工程现场生产安全事故应急救援预案，并定期组织演练。</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12、根据安全生产法律、法规、规章及相关标准、规程的规定，承包人应承担的其它责任与义务。</w:t>
      </w:r>
    </w:p>
    <w:p>
      <w:pPr>
        <w:widowControl/>
        <w:snapToGrid w:val="0"/>
        <w:spacing w:line="360" w:lineRule="auto"/>
        <w:ind w:firstLine="480" w:firstLineChars="200"/>
        <w:rPr>
          <w:rFonts w:hint="eastAsia" w:ascii="宋体" w:hAnsi="宋体" w:eastAsia="宋体" w:cs="宋体"/>
          <w:color w:val="auto"/>
          <w:sz w:val="24"/>
          <w:szCs w:val="24"/>
          <w:highlight w:val="none"/>
        </w:rPr>
      </w:pPr>
      <w:bookmarkStart w:id="128" w:name="_Toc419886963"/>
      <w:bookmarkStart w:id="129" w:name="_Toc359913024"/>
      <w:r>
        <w:rPr>
          <w:rFonts w:hint="eastAsia" w:ascii="宋体" w:hAnsi="宋体" w:eastAsia="宋体" w:cs="宋体"/>
          <w:color w:val="auto"/>
          <w:sz w:val="24"/>
          <w:szCs w:val="24"/>
          <w:highlight w:val="none"/>
        </w:rPr>
        <w:t>六、现场停工整改约定</w:t>
      </w:r>
      <w:bookmarkEnd w:id="128"/>
      <w:bookmarkEnd w:id="129"/>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在承包人施工现场检查、巡查过程中，发现存在安全事故隐患，认为必须暂停施工的，应以书面形式下达停工整改通知。承包人对发包人的停工整改通知应予以执行，并按照发包人要求停止施工进行整改，妥善保护已完工程。</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2、承包人进行整改后，经发包人检查已消除安全事故隐患的，可以进行复工。</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3、若在一个月内由于承包人出现安全事故隐患，被发包人下达停工整改通知累计两次的，则承包人同意发包人暂不支付其当月的工程进度款，该月工程进度款延期至工程竣工验收合格后再行支付。</w:t>
      </w:r>
    </w:p>
    <w:p>
      <w:pPr>
        <w:widowControl/>
        <w:snapToGrid w:val="0"/>
        <w:spacing w:line="360" w:lineRule="auto"/>
        <w:ind w:firstLine="480" w:firstLineChars="200"/>
        <w:rPr>
          <w:rFonts w:hint="eastAsia" w:ascii="宋体" w:hAnsi="宋体" w:eastAsia="宋体" w:cs="宋体"/>
          <w:color w:val="auto"/>
          <w:sz w:val="24"/>
          <w:szCs w:val="24"/>
          <w:highlight w:val="none"/>
        </w:rPr>
      </w:pPr>
      <w:bookmarkStart w:id="130" w:name="_Toc419886964"/>
      <w:bookmarkStart w:id="131" w:name="_Toc359913025"/>
      <w:r>
        <w:rPr>
          <w:rFonts w:hint="eastAsia" w:ascii="宋体" w:hAnsi="宋体" w:eastAsia="宋体" w:cs="宋体"/>
          <w:color w:val="auto"/>
          <w:sz w:val="24"/>
          <w:szCs w:val="24"/>
          <w:highlight w:val="none"/>
        </w:rPr>
        <w:t>七、安全生产违约责任</w:t>
      </w:r>
      <w:bookmarkEnd w:id="130"/>
      <w:bookmarkEnd w:id="131"/>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承包人未能实现本合同约定的安全生产管理目标，发生安全生产事故的，承包人同意，发包人从工程费中扣除一定金额作为违约金；承包人并承诺愿意承担因此造成的一切责任及费用。违约金扣除办法以下述约定为准。承包人对此不持异议。</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在进行安全生产检查与巡查过程中，若发现承包人违反本合同约定，发包人有权从工程费中扣除一定金额作为违约金。违约金金额由发包人根据承包人违约的事实、性质、情节及危害程度等因素综合计算确定，但每次违约金金额最高不超过承包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总价的2%。</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3、发包人从工程费中扣除一定金额作为违约金时，应当以书面形式通知承包人。其中：</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（1）承包人有下列行为之一的，每次违约金金额为按承包人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总价的1%扣除安全生产保证金。</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发生人员死亡的生产安全事故；</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发生人员重伤的生产安全事故。</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（2）承包人有下列行为之一的，每次违约金金额为按承包人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总价的0.5%扣除安全生产保证金。</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发生人员轻伤的生产安全事故累计超过三次或一个月内连续发生两次；</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发生1万元以上的机械、设备、交通和火灾生产安全事故。</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4、发包人按本合同约定从工程费中扣除一定金额作为违约金，并不能免除承包人应承担的有关国家机关行政处罚与民事赔偿责任，以及应负的其他法律责任。</w:t>
      </w:r>
    </w:p>
    <w:p>
      <w:pPr>
        <w:widowControl/>
        <w:snapToGrid w:val="0"/>
        <w:spacing w:line="360" w:lineRule="auto"/>
        <w:ind w:firstLine="480" w:firstLineChars="200"/>
        <w:rPr>
          <w:rFonts w:hint="eastAsia" w:ascii="宋体" w:hAnsi="宋体" w:eastAsia="宋体" w:cs="宋体"/>
          <w:color w:val="auto"/>
          <w:sz w:val="24"/>
          <w:szCs w:val="24"/>
          <w:highlight w:val="none"/>
        </w:rPr>
      </w:pPr>
      <w:bookmarkStart w:id="132" w:name="_Toc359913026"/>
      <w:bookmarkStart w:id="133" w:name="_Toc419886965"/>
      <w:r>
        <w:rPr>
          <w:rFonts w:hint="eastAsia" w:ascii="宋体" w:hAnsi="宋体" w:eastAsia="宋体" w:cs="宋体"/>
          <w:color w:val="auto"/>
          <w:sz w:val="24"/>
          <w:szCs w:val="24"/>
          <w:highlight w:val="none"/>
        </w:rPr>
        <w:t>八、附则</w:t>
      </w:r>
      <w:bookmarkEnd w:id="132"/>
      <w:bookmarkEnd w:id="133"/>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1、本合同自各方签字、盖章、后即生效。</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2、本合同同合同份数相同，具有同等法律效力。</w:t>
      </w:r>
    </w:p>
    <w:p>
      <w:pPr>
        <w:widowControl/>
        <w:tabs>
          <w:tab w:val="left" w:pos="0"/>
        </w:tabs>
        <w:spacing w:line="360" w:lineRule="auto"/>
        <w:ind w:firstLine="424" w:firstLineChars="17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发包人（盖章）：                      承包人（盖章）：         </w:t>
      </w:r>
    </w:p>
    <w:p>
      <w:pPr>
        <w:widowControl/>
        <w:tabs>
          <w:tab w:val="left" w:pos="0"/>
        </w:tabs>
        <w:spacing w:line="360" w:lineRule="auto"/>
        <w:ind w:firstLine="424" w:firstLineChars="17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法定代表人或委托代理人：              法定代表人或委托代理人   </w:t>
      </w:r>
    </w:p>
    <w:p>
      <w:pPr>
        <w:widowControl/>
        <w:tabs>
          <w:tab w:val="left" w:pos="0"/>
        </w:tabs>
        <w:spacing w:line="360" w:lineRule="auto"/>
        <w:ind w:firstLine="424" w:firstLineChars="177"/>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（签字）：__________                 （签字）：___________      </w:t>
      </w:r>
    </w:p>
    <w:p>
      <w:pPr>
        <w:widowControl/>
        <w:tabs>
          <w:tab w:val="left" w:pos="0"/>
        </w:tabs>
        <w:spacing w:line="360" w:lineRule="auto"/>
        <w:ind w:firstLine="600" w:firstLineChars="2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日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日   </w:t>
      </w:r>
    </w:p>
    <w:p>
      <w:pPr>
        <w:widowControl/>
        <w:tabs>
          <w:tab w:val="left" w:pos="0"/>
        </w:tabs>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bookmarkEnd w:id="111"/>
    <w:bookmarkEnd w:id="112"/>
    <w:bookmarkEnd w:id="113"/>
    <w:bookmarkEnd w:id="114"/>
    <w:bookmarkEnd w:id="115"/>
    <w:bookmarkEnd w:id="116"/>
    <w:bookmarkEnd w:id="117"/>
    <w:p>
      <w:pPr>
        <w:spacing w:line="360" w:lineRule="auto"/>
        <w:outlineLvl w:val="9"/>
        <w:rPr>
          <w:rFonts w:hint="eastAsia" w:ascii="宋体" w:hAnsi="宋体" w:eastAsia="宋体" w:cs="宋体"/>
          <w:color w:val="auto"/>
          <w:sz w:val="24"/>
          <w:szCs w:val="24"/>
          <w:highlight w:val="none"/>
        </w:rPr>
      </w:pPr>
      <w:bookmarkStart w:id="134" w:name="_Toc26012"/>
      <w:bookmarkStart w:id="135" w:name="_Toc31212"/>
      <w:bookmarkStart w:id="136" w:name="_Toc20758"/>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137" w:name="_Toc296891273"/>
      <w:bookmarkStart w:id="138" w:name="_Toc296891061"/>
      <w:bookmarkStart w:id="139" w:name="_Toc296346734"/>
      <w:bookmarkStart w:id="140" w:name="_Toc296503233"/>
      <w:bookmarkStart w:id="141" w:name="_Toc296347232"/>
      <w:bookmarkStart w:id="142" w:name="_Toc296944572"/>
      <w:r>
        <w:rPr>
          <w:rFonts w:hint="eastAsia" w:ascii="宋体" w:hAnsi="宋体" w:eastAsia="宋体" w:cs="宋体"/>
          <w:color w:val="auto"/>
          <w:sz w:val="24"/>
          <w:szCs w:val="24"/>
          <w:highlight w:val="none"/>
        </w:rPr>
        <w:t>件2:</w:t>
      </w:r>
      <w:bookmarkEnd w:id="134"/>
      <w:bookmarkEnd w:id="135"/>
      <w:bookmarkEnd w:id="136"/>
      <w:r>
        <w:rPr>
          <w:rFonts w:hint="eastAsia" w:ascii="宋体" w:hAnsi="宋体" w:eastAsia="宋体" w:cs="宋体"/>
          <w:color w:val="auto"/>
          <w:sz w:val="24"/>
          <w:szCs w:val="24"/>
          <w:highlight w:val="none"/>
        </w:rPr>
        <w:t xml:space="preserve">  </w:t>
      </w:r>
    </w:p>
    <w:bookmarkEnd w:id="137"/>
    <w:bookmarkEnd w:id="138"/>
    <w:bookmarkEnd w:id="139"/>
    <w:bookmarkEnd w:id="140"/>
    <w:bookmarkEnd w:id="141"/>
    <w:bookmarkEnd w:id="142"/>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工程建设项目廉政合同书</w:t>
      </w:r>
    </w:p>
    <w:p>
      <w:pPr>
        <w:adjustRightInd w:val="0"/>
        <w:snapToGrid w:val="0"/>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对本项目管理，预防腐败现象的发生，规范工程建设项目承包人、发包人及监理人等的各项活动，防止各种谋取不正当利益的违法乱纪行为，保护国家、集体和当事人的合法权益并确保合同能够得到高效、严格的履行，根据工程建设和廉政建设的有关规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（以下简称发包人)与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（以下简称承包人)，特签订本廉政合同书。</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第一条：各方的权利和义务</w:t>
      </w:r>
    </w:p>
    <w:p>
      <w:pPr>
        <w:pStyle w:val="4"/>
        <w:spacing w:before="156" w:beforeLines="50" w:after="156"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各方同意并声明，在业务活动中：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(一)严格、自觉的遵守和执行国家关于市场准入、工程建设、和市场活动的有关法律、法规、相关政策以及党和国家关于党风廉政建设的各项规定。严格执行合同文件，执行工程建设管理制度。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(二)各方的业务活动坚持公开、公正、诚信的原则(除法律认定的商业秘密和合同文件另有规定之外)，严格、自觉按照合同办事，不得损害国家和甲乙各方的利益。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认真落实党风廉政建设责任制，按照谁主管谁负责的原则，建立和健全廉政制度，经常开展廉政教育，加强对本单位工作人员职务行为的监督和管理，加强其廉政意识、守法意识和守约意识。实行重大工程廉政承诺，并认真监督查处违法违纪行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(四)倡导相互监督，发现对方在业务活动中有违反廉政规定行为的，有及时提醒对方纠正的权利和义务。发现对方违反承诺条款的，有向其上级有关部门举报并要求告知处理结果的权利。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(五)不以损害国家、集体或第三人利益为代价获取不正当的利益。</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第二条：发包人的承诺</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发包人工作人员在工程建设中应遵守如下规定：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(一)不得索要或接受承包人钱物(现金、有价证券、信用卡、礼金、奖金、补贴、物品等)，不得在承包人报销任何应由发包人或个人支付的费用。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(二)不得接受承包人安排的可能影响公务的住宿、宴请娱乐及出国（境）、旅游观光活动；不得接受承包人提供的合同规定外的通讯工具、交通工具和高档办公用品等。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(三)不得要求或者接受承包人为其及家庭成员在住房装修、婚丧嫁娶、配偶子女的工作安排及出国、出境、旅游等方面提供方便。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(四)工作人员及其配偶、子女、亲属不得从事与工程有关的材料设备供应、工程分包、劳务等经济活动。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(五)不得违反规定向承包人推荐分包单位和设备、材料供应商，不得要求承包人购买合同规定外的材料和设备等。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(六)不得为获取承包人回扣或其他谋取私利目的而多签或多算工程量、多结工程款；不得从承包人承包的工程中收受回扣，谋取私利。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(七)不得因承包人拒绝本人的不合理要求，而故意刁难承包人。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(八)其它有关违反廉政规定的行为。</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第三条：承包人的承诺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承包人应与发包人和监理保持正常的业务来往，按照有关法律、法规和工作程序开展业务工作并遵守以下规定：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(一)不得以任何理由向发包人、监理人赠送钱物(现金、有价证券、信用卡、礼金、奖金、补贴、物品等)。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(二)不得以任何名义为发包人、监理人报销应由发包人、监理人或个人支付的任何费用。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(三)不准以任何理由为发包人、监理人和其它相关单位及其工作人员提供有可能影响执行公务的宴请、健身和娱乐等活动。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(四)不得为发包人和监理人的相关人员购置或提供合同规定外的通讯工具、交通工具和高档办公用品等。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(五)不准接受或暗示为发包人、监理人和其它相关单位及其工作人员装修房屋、婚丧嫁娶、配偶子女的工作安排以及出国（境）、旅游观光活动提供方便。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(六)不准利用黄、赌、贿等各种手段拉拢腐蚀发包人工作人员。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(七)其它有关违反廉政规定的行为。</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第四条：责任追究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发包人若违反本承诺规定，按照干部管理权限，依据《中国共产党党内纪律处分条例》、《中华人民共和国公务员法》，属于一般错误的，对其实施警示训诫；违纪违规的，给予党纪、政纪处分；涉嫌犯罪的，移交司法机关追究刑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(二)承包人若违反本承诺规定，发包人有权要求承包人对责任人进行处理。情节严重的，申请相关部门禁止承包人进入本区工程建设市场；在新闻媒体曝光并报承包人上级或行业主管部门。</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第五条：其他约定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（一）本合同书由各方单位或上级主管单位的纪检、监察部门负责监督执行。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（二）本合同书作为承包合同的组成部分，各方签字、盖章后即生效，有效期为各方签署之日起至该工程项目竣工验收合格并办理完毕工程结算时止。</w:t>
      </w:r>
    </w:p>
    <w:p>
      <w:pPr>
        <w:spacing w:line="360" w:lineRule="auto"/>
        <w:ind w:firstLine="480" w:firstLineChars="200"/>
        <w:rPr>
          <w:rFonts w:hint="eastAsia" w:ascii="宋体" w:hAnsi="宋体" w:eastAsia="宋体" w:cs="宋体"/>
          <w:b/>
          <w:color w:val="auto"/>
          <w:sz w:val="24"/>
          <w:szCs w:val="24"/>
          <w:highlight w:val="none"/>
        </w:rPr>
      </w:pPr>
    </w:p>
    <w:p>
      <w:pPr>
        <w:spacing w:line="360" w:lineRule="auto"/>
        <w:ind w:firstLine="480" w:firstLineChars="200"/>
        <w:rPr>
          <w:rFonts w:hint="eastAsia" w:ascii="宋体" w:hAnsi="宋体" w:eastAsia="宋体" w:cs="宋体"/>
          <w:b/>
          <w:color w:val="auto"/>
          <w:sz w:val="24"/>
          <w:szCs w:val="24"/>
          <w:highlight w:val="none"/>
        </w:rPr>
      </w:pPr>
    </w:p>
    <w:p>
      <w:pPr>
        <w:widowControl/>
        <w:tabs>
          <w:tab w:val="left" w:pos="0"/>
        </w:tabs>
        <w:spacing w:line="360" w:lineRule="auto"/>
        <w:ind w:firstLine="424" w:firstLineChars="17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发包人（盖章）：                      承包人（盖章）：         </w:t>
      </w:r>
    </w:p>
    <w:p>
      <w:pPr>
        <w:widowControl/>
        <w:tabs>
          <w:tab w:val="left" w:pos="0"/>
        </w:tabs>
        <w:spacing w:line="360" w:lineRule="auto"/>
        <w:ind w:firstLine="424" w:firstLineChars="17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法定代表人或委托代理人：              法定代表人或委托代理人   </w:t>
      </w:r>
    </w:p>
    <w:p>
      <w:pPr>
        <w:widowControl/>
        <w:tabs>
          <w:tab w:val="left" w:pos="0"/>
        </w:tabs>
        <w:spacing w:line="360" w:lineRule="auto"/>
        <w:ind w:firstLine="424" w:firstLineChars="177"/>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（签字）：__________                 （签字）：___________      </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日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日     </w:t>
      </w:r>
    </w:p>
    <w:p>
      <w:pPr>
        <w:spacing w:line="360" w:lineRule="auto"/>
        <w:ind w:right="150"/>
        <w:jc w:val="left"/>
        <w:outlineLvl w:val="9"/>
        <w:rPr>
          <w:rFonts w:hint="eastAsia" w:ascii="宋体" w:hAnsi="宋体" w:eastAsia="宋体" w:cs="宋体"/>
          <w:color w:val="auto"/>
          <w:sz w:val="24"/>
          <w:szCs w:val="24"/>
          <w:highlight w:val="none"/>
        </w:rPr>
      </w:pPr>
      <w:bookmarkStart w:id="143" w:name="_Toc8452"/>
      <w:bookmarkStart w:id="144" w:name="_Toc29161"/>
      <w:bookmarkStart w:id="145" w:name="_Toc14734"/>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附件3</w:t>
      </w:r>
      <w:bookmarkEnd w:id="143"/>
      <w:bookmarkEnd w:id="144"/>
      <w:bookmarkEnd w:id="145"/>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现场施工环境综合整治及扬尘污染治理、创卫承诺书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更好的贯彻落实国家及西安市人民政府《关于做好建筑工地环境卫生综合整治工作的通知》、《西安市关于控制扬尘污染的实施方案》及创建国家级卫生城市的相关要求和规定，营造一个良好的生活、工作环境，我公司对所管辖范围内的实际情况进行查看后，就施工现场环境卫生综合整治及扬尘污染治理、创卫工作郑重做出以下承诺：</w:t>
      </w:r>
    </w:p>
    <w:p>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我公司自进入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施工现场施工之日起，将在施工现场积极开展以“整顿、整理、清扫、清洁和素养”为主题的“创卫”活动；积极行动，创建国家及卫生城市，组织有关人员对施工场地、通行道路及责任区的环境卫生、扬尘污染进行综合整治，完善和加强各项清洁、保洁及扬尘污染治理措施，落实责任人，建立相关管理制度，并按相关规定制定完善的创卫管理资料。</w:t>
      </w:r>
    </w:p>
    <w:p>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施工场地的大门、临时围墙等进行保洁、整固并采取相应的美化措施，做到整洁美观。按照建筑工地门前及责任区“三保”的要求，清扫和保持工地现场、道路及责任区卫生。硬化工地出入口道路，建立并完善车辆冲洗设施，并配备道路清洒车。</w:t>
      </w:r>
    </w:p>
    <w:p>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全面及时清理工地内的建筑垃圾和废弃物；合理、整齐的摆放各类建筑材料和设施；确保排水系统畅通，杜绝场内积水和废水横流的现象发生。</w:t>
      </w:r>
    </w:p>
    <w:p>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加强各类车辆管理，车辆驶出工地及责任区前对车轮、车厢侧帮进行清扫冲洗除尘，严密封闭拉运渣土的车辆，各类运输车辆场内行驶速度不得超过每小时20公里。</w:t>
      </w:r>
    </w:p>
    <w:p>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对扬尘污染的渣土、煤堆、沙堆、灰土、粉煤灰等易飞颗粒物料，我们将用高效防尘网进行覆盖并安排专人看管，采用清扫车及洒水等措施，严格控制施工过程中土、灰等的飞扬。</w:t>
      </w:r>
    </w:p>
    <w:p>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对行车过人道路、施工现场及责任区等进行定时清扫、洒水，清除地面浮土避免二次扬尘。</w:t>
      </w:r>
    </w:p>
    <w:p>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工地现场的临建、围墙的布置、标准以及场内道路等严格按照文明工地和创卫规定的要求进行。对场地内不需要硬化的部位，我们将采取绿化措施，确保施工现场不出现黄土裸露。</w:t>
      </w:r>
    </w:p>
    <w:p>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承诺对于外界关系协调，由我们全面负责并建立良好的关系，如：市容、环保、创卫办、质监站等部门，确保在施工过程中不将因此类问题而引发的施工中断、停工责任推卸给建设单位，否则我们将接受因工作主动性不够，协调不及时所引发的投诉每一处给予10000元的处罚。</w:t>
      </w:r>
    </w:p>
    <w:p>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我们将对施工现场环境整治和扬尘污染治理及创卫工作常抓不懈；自觉接受发包人及发监理人的检查管理，对查出的问题及时进行有效整改，我们愿意接受每次10000元的违约处罚。</w:t>
      </w:r>
    </w:p>
    <w:p>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过程中我们若被铁腕治霾办公室、质监站、住建局等单位点名批评、通报或评比位于倒数后三名时，除接受上级的处罚外，还接收发包人每次20000-50000元的违约处罚；若连续两次（含两次）以上被通报批评时，承包人将主动撤换不合格的项目经理，并自愿接受任意金额的处罚。</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施工单位：（公章）</w:t>
      </w:r>
    </w:p>
    <w:p>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color w:val="auto"/>
          <w:sz w:val="24"/>
          <w:szCs w:val="24"/>
          <w:highlight w:val="none"/>
        </w:rPr>
        <w:t xml:space="preserve">                             日期：    年    月    日</w:t>
      </w:r>
      <w:r>
        <w:rPr>
          <w:rFonts w:hint="eastAsia" w:ascii="宋体" w:hAnsi="宋体" w:eastAsia="宋体" w:cs="宋体"/>
          <w:b/>
          <w:bCs/>
          <w:color w:val="auto"/>
          <w:sz w:val="30"/>
          <w:szCs w:val="30"/>
          <w:highlight w:val="none"/>
        </w:rPr>
        <w:br w:type="page"/>
      </w:r>
      <w:bookmarkEnd w:id="91"/>
      <w:bookmarkStart w:id="146" w:name="_Toc480470720"/>
      <w:bookmarkStart w:id="147" w:name="_Toc50152739"/>
    </w:p>
    <w:p>
      <w:pPr>
        <w:spacing w:line="360" w:lineRule="auto"/>
        <w:jc w:val="center"/>
        <w:outlineLvl w:val="0"/>
        <w:rPr>
          <w:rFonts w:hint="eastAsia" w:ascii="宋体" w:hAnsi="宋体" w:eastAsia="宋体" w:cs="宋体"/>
          <w:color w:val="auto"/>
          <w:highlight w:val="none"/>
        </w:rPr>
      </w:pPr>
      <w:bookmarkStart w:id="148" w:name="_Toc17412"/>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章  磋商响应文件格式</w:t>
      </w:r>
      <w:bookmarkEnd w:id="146"/>
      <w:bookmarkEnd w:id="147"/>
      <w:bookmarkEnd w:id="148"/>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磋商响应文件</w:t>
      </w: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color w:val="auto"/>
          <w:sz w:val="36"/>
          <w:szCs w:val="36"/>
          <w:highlight w:val="none"/>
        </w:rPr>
      </w:pPr>
    </w:p>
    <w:p>
      <w:pPr>
        <w:tabs>
          <w:tab w:val="left" w:pos="2628"/>
        </w:tabs>
        <w:spacing w:line="360" w:lineRule="auto"/>
        <w:ind w:left="2383" w:leftChars="535" w:hanging="1260" w:hangingChars="45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pPr>
        <w:tabs>
          <w:tab w:val="left" w:pos="2628"/>
        </w:tabs>
        <w:spacing w:line="360" w:lineRule="auto"/>
        <w:ind w:firstLine="1120" w:firstLineChars="4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pPr>
        <w:spacing w:line="360" w:lineRule="auto"/>
        <w:jc w:val="center"/>
        <w:rPr>
          <w:rFonts w:hint="eastAsia" w:ascii="宋体" w:hAnsi="宋体" w:eastAsia="宋体" w:cs="宋体"/>
          <w:color w:val="auto"/>
          <w:sz w:val="44"/>
          <w:szCs w:val="44"/>
          <w:highlight w:val="none"/>
        </w:rPr>
      </w:pPr>
    </w:p>
    <w:p>
      <w:pPr>
        <w:spacing w:line="360" w:lineRule="auto"/>
        <w:jc w:val="center"/>
        <w:rPr>
          <w:rFonts w:hint="eastAsia" w:ascii="宋体" w:hAnsi="宋体" w:eastAsia="宋体" w:cs="宋体"/>
          <w:color w:val="auto"/>
          <w:sz w:val="44"/>
          <w:szCs w:val="44"/>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（公章）</w:t>
      </w:r>
    </w:p>
    <w:p>
      <w:pPr>
        <w:spacing w:line="360" w:lineRule="auto"/>
        <w:ind w:firstLine="2086" w:firstLineChars="74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pPr>
        <w:spacing w:line="360" w:lineRule="auto"/>
        <w:jc w:val="center"/>
        <w:rPr>
          <w:rFonts w:hint="eastAsia" w:ascii="宋体" w:hAnsi="宋体" w:eastAsia="宋体" w:cs="宋体"/>
          <w:b/>
          <w:bCs/>
          <w:color w:val="auto"/>
          <w:spacing w:val="4"/>
          <w:sz w:val="36"/>
          <w:szCs w:val="36"/>
          <w:highlight w:val="none"/>
        </w:rPr>
      </w:pPr>
      <w:r>
        <w:rPr>
          <w:rFonts w:hint="eastAsia" w:ascii="宋体" w:hAnsi="宋体" w:eastAsia="宋体" w:cs="宋体"/>
          <w:b/>
          <w:bCs/>
          <w:color w:val="auto"/>
          <w:spacing w:val="4"/>
          <w:sz w:val="30"/>
          <w:szCs w:val="30"/>
          <w:highlight w:val="none"/>
        </w:rPr>
        <w:br w:type="page"/>
      </w:r>
      <w:r>
        <w:rPr>
          <w:rFonts w:hint="eastAsia" w:ascii="宋体" w:hAnsi="宋体" w:eastAsia="宋体" w:cs="宋体"/>
          <w:b/>
          <w:bCs/>
          <w:color w:val="auto"/>
          <w:spacing w:val="4"/>
          <w:sz w:val="36"/>
          <w:szCs w:val="36"/>
          <w:highlight w:val="none"/>
        </w:rPr>
        <w:t>目  录</w:t>
      </w:r>
    </w:p>
    <w:p>
      <w:pPr>
        <w:spacing w:line="360" w:lineRule="auto"/>
        <w:ind w:firstLine="576" w:firstLineChars="200"/>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一、磋商函</w:t>
      </w:r>
    </w:p>
    <w:p>
      <w:pPr>
        <w:spacing w:line="360" w:lineRule="auto"/>
        <w:ind w:firstLine="576" w:firstLineChars="200"/>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二、法定代表人身份证明/法定代表人授权书</w:t>
      </w:r>
    </w:p>
    <w:p>
      <w:pPr>
        <w:spacing w:line="360" w:lineRule="auto"/>
        <w:ind w:firstLine="576" w:firstLineChars="200"/>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三、磋商</w:t>
      </w:r>
      <w:r>
        <w:rPr>
          <w:rFonts w:hint="eastAsia" w:ascii="宋体" w:hAnsi="宋体" w:eastAsia="宋体" w:cs="宋体"/>
          <w:color w:val="auto"/>
          <w:spacing w:val="4"/>
          <w:sz w:val="28"/>
          <w:szCs w:val="28"/>
          <w:highlight w:val="none"/>
          <w:lang w:eastAsia="zh-CN"/>
        </w:rPr>
        <w:t>报价表</w:t>
      </w:r>
    </w:p>
    <w:p>
      <w:pPr>
        <w:spacing w:line="360" w:lineRule="auto"/>
        <w:ind w:firstLine="576" w:firstLineChars="200"/>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lang w:eastAsia="zh-CN"/>
        </w:rPr>
        <w:t>四、</w:t>
      </w:r>
      <w:r>
        <w:rPr>
          <w:rFonts w:hint="eastAsia" w:ascii="宋体" w:hAnsi="宋体" w:eastAsia="宋体" w:cs="宋体"/>
          <w:color w:val="auto"/>
          <w:spacing w:val="4"/>
          <w:sz w:val="28"/>
          <w:szCs w:val="28"/>
          <w:highlight w:val="none"/>
        </w:rPr>
        <w:t>供应商资格审查资料</w:t>
      </w:r>
    </w:p>
    <w:p>
      <w:pPr>
        <w:spacing w:line="360" w:lineRule="auto"/>
        <w:ind w:firstLine="576" w:firstLineChars="200"/>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lang w:val="en-US" w:eastAsia="zh-CN"/>
        </w:rPr>
        <w:t>五</w:t>
      </w:r>
      <w:r>
        <w:rPr>
          <w:rFonts w:hint="eastAsia" w:ascii="宋体" w:hAnsi="宋体" w:eastAsia="宋体" w:cs="宋体"/>
          <w:color w:val="auto"/>
          <w:spacing w:val="4"/>
          <w:sz w:val="28"/>
          <w:szCs w:val="28"/>
          <w:highlight w:val="none"/>
        </w:rPr>
        <w:t>、技术响应</w:t>
      </w:r>
    </w:p>
    <w:p>
      <w:pPr>
        <w:spacing w:line="360" w:lineRule="auto"/>
        <w:ind w:firstLine="576" w:firstLineChars="200"/>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lang w:val="en-US" w:eastAsia="zh-CN"/>
        </w:rPr>
        <w:t>六</w:t>
      </w:r>
      <w:r>
        <w:rPr>
          <w:rFonts w:hint="eastAsia" w:ascii="宋体" w:hAnsi="宋体" w:eastAsia="宋体" w:cs="宋体"/>
          <w:color w:val="auto"/>
          <w:spacing w:val="4"/>
          <w:sz w:val="28"/>
          <w:szCs w:val="28"/>
          <w:highlight w:val="none"/>
        </w:rPr>
        <w:t>、商务条款响应偏离表</w:t>
      </w:r>
    </w:p>
    <w:p>
      <w:pPr>
        <w:spacing w:line="360" w:lineRule="auto"/>
        <w:ind w:firstLine="576" w:firstLineChars="200"/>
        <w:rPr>
          <w:rFonts w:hint="eastAsia" w:ascii="宋体" w:hAnsi="宋体" w:eastAsia="宋体" w:cs="宋体"/>
          <w:color w:val="auto"/>
          <w:spacing w:val="4"/>
          <w:sz w:val="28"/>
          <w:szCs w:val="28"/>
          <w:highlight w:val="none"/>
          <w:lang w:val="en-US" w:eastAsia="zh-CN"/>
        </w:rPr>
      </w:pPr>
      <w:r>
        <w:rPr>
          <w:rFonts w:hint="eastAsia" w:ascii="宋体" w:hAnsi="宋体" w:eastAsia="宋体" w:cs="宋体"/>
          <w:color w:val="auto"/>
          <w:spacing w:val="4"/>
          <w:sz w:val="28"/>
          <w:szCs w:val="28"/>
          <w:highlight w:val="none"/>
          <w:lang w:val="en-US" w:eastAsia="zh-CN"/>
        </w:rPr>
        <w:t>七</w:t>
      </w:r>
      <w:r>
        <w:rPr>
          <w:rFonts w:hint="eastAsia" w:ascii="宋体" w:hAnsi="宋体" w:eastAsia="宋体" w:cs="宋体"/>
          <w:color w:val="auto"/>
          <w:spacing w:val="4"/>
          <w:sz w:val="28"/>
          <w:szCs w:val="28"/>
          <w:highlight w:val="none"/>
        </w:rPr>
        <w:t>、其它</w:t>
      </w:r>
      <w:r>
        <w:rPr>
          <w:rFonts w:hint="eastAsia" w:ascii="宋体" w:hAnsi="宋体" w:eastAsia="宋体" w:cs="宋体"/>
          <w:color w:val="auto"/>
          <w:spacing w:val="4"/>
          <w:sz w:val="28"/>
          <w:szCs w:val="28"/>
          <w:highlight w:val="none"/>
          <w:lang w:val="en-US" w:eastAsia="zh-CN"/>
        </w:rPr>
        <w:t>补充资料</w:t>
      </w:r>
    </w:p>
    <w:p>
      <w:pPr>
        <w:spacing w:line="360" w:lineRule="auto"/>
        <w:ind w:firstLine="576" w:firstLineChars="200"/>
        <w:rPr>
          <w:rFonts w:hint="eastAsia" w:ascii="宋体" w:hAnsi="宋体" w:eastAsia="宋体" w:cs="宋体"/>
          <w:color w:val="auto"/>
          <w:spacing w:val="4"/>
          <w:sz w:val="28"/>
          <w:szCs w:val="28"/>
          <w:highlight w:val="none"/>
        </w:rPr>
      </w:pPr>
    </w:p>
    <w:p>
      <w:pPr>
        <w:spacing w:line="360" w:lineRule="auto"/>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pStyle w:val="3"/>
        <w:spacing w:line="360" w:lineRule="auto"/>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 xml:space="preserve"> 磋商函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pPr>
        <w:numPr>
          <w:ilvl w:val="0"/>
          <w:numId w:val="4"/>
        </w:num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根据收到的招标编号为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（项目名称）竞争性磋商文件，我方经考察现场和研究上述工程磋商文件后，愿意以总价（人民币大写）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元）,工期为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，质量标准：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，按上述合同条件、技术规范的有关支付规定和要求承担上述工程的施工任务。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2、如果贵方接受我方的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，我方保证根据合同规定安排完成全部施工任务。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3、我方同意所递交的响应文件有效期为:自磋商截止之日起90个日历天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在此期间我方郑重承诺不改变磋商文件的实质性内容及报价，我方如有可能中标，我方将受此约束。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4、在正式合同订立之前，本响应文件同贵方的成交通知书、双方签订的补充和修正文件以及其他文件和附件为约束双方的合同。</w:t>
      </w:r>
    </w:p>
    <w:p>
      <w:pPr>
        <w:pStyle w:val="30"/>
        <w:spacing w:line="360" w:lineRule="auto"/>
        <w:rPr>
          <w:rFonts w:hint="eastAsia" w:ascii="宋体" w:hAnsi="宋体" w:eastAsia="宋体" w:cs="宋体"/>
          <w:color w:val="auto"/>
          <w:sz w:val="24"/>
          <w:szCs w:val="24"/>
          <w:highlight w:val="none"/>
        </w:rPr>
      </w:pPr>
    </w:p>
    <w:p>
      <w:pPr>
        <w:pStyle w:val="30"/>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法定代表人或其被授权人：（签字或盖章）</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开户银行名称：</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银行帐号：</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开户行地址：</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pStyle w:val="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spacing w:line="360" w:lineRule="auto"/>
        <w:jc w:val="right"/>
        <w:rPr>
          <w:rFonts w:hint="eastAsia" w:ascii="宋体" w:hAnsi="宋体" w:eastAsia="宋体" w:cs="宋体"/>
          <w:color w:val="auto"/>
          <w:spacing w:val="4"/>
          <w:sz w:val="24"/>
          <w:highlight w:val="none"/>
        </w:rPr>
      </w:pPr>
    </w:p>
    <w:p>
      <w:pPr>
        <w:spacing w:line="360" w:lineRule="auto"/>
        <w:jc w:val="right"/>
        <w:rPr>
          <w:rFonts w:hint="eastAsia" w:ascii="宋体" w:hAnsi="宋体" w:eastAsia="宋体" w:cs="宋体"/>
          <w:color w:val="auto"/>
          <w:spacing w:val="4"/>
          <w:sz w:val="24"/>
          <w:highlight w:val="none"/>
        </w:rPr>
      </w:pPr>
    </w:p>
    <w:p>
      <w:pPr>
        <w:pStyle w:val="3"/>
        <w:spacing w:line="360" w:lineRule="auto"/>
        <w:rPr>
          <w:rFonts w:hint="eastAsia" w:ascii="宋体" w:hAnsi="宋体" w:eastAsia="宋体" w:cs="宋体"/>
          <w:color w:val="auto"/>
          <w:spacing w:val="4"/>
          <w:sz w:val="24"/>
          <w:highlight w:val="none"/>
        </w:rPr>
      </w:pPr>
    </w:p>
    <w:p>
      <w:pPr>
        <w:spacing w:line="360" w:lineRule="auto"/>
        <w:rPr>
          <w:rFonts w:hint="eastAsia" w:ascii="宋体" w:hAnsi="宋体" w:eastAsia="宋体" w:cs="宋体"/>
          <w:color w:val="auto"/>
          <w:spacing w:val="4"/>
          <w:sz w:val="24"/>
          <w:highlight w:val="none"/>
        </w:rPr>
      </w:pPr>
    </w:p>
    <w:p>
      <w:pPr>
        <w:pStyle w:val="3"/>
        <w:spacing w:line="360" w:lineRule="auto"/>
        <w:rPr>
          <w:rFonts w:hint="eastAsia" w:ascii="宋体" w:hAnsi="宋体" w:eastAsia="宋体" w:cs="宋体"/>
          <w:color w:val="auto"/>
          <w:spacing w:val="4"/>
          <w:sz w:val="24"/>
          <w:highlight w:val="none"/>
        </w:rPr>
      </w:pPr>
    </w:p>
    <w:p>
      <w:pPr>
        <w:spacing w:line="360" w:lineRule="auto"/>
        <w:rPr>
          <w:rFonts w:hint="eastAsia" w:ascii="宋体" w:hAnsi="宋体" w:eastAsia="宋体" w:cs="宋体"/>
          <w:color w:val="auto"/>
          <w:spacing w:val="4"/>
          <w:sz w:val="24"/>
          <w:highlight w:val="none"/>
        </w:rPr>
      </w:pPr>
    </w:p>
    <w:p>
      <w:pPr>
        <w:spacing w:line="360" w:lineRule="auto"/>
        <w:jc w:val="right"/>
        <w:rPr>
          <w:rFonts w:hint="eastAsia" w:ascii="宋体" w:hAnsi="宋体" w:eastAsia="宋体" w:cs="宋体"/>
          <w:color w:val="auto"/>
          <w:spacing w:val="4"/>
          <w:sz w:val="24"/>
          <w:highlight w:val="none"/>
        </w:rPr>
      </w:pPr>
    </w:p>
    <w:p>
      <w:pPr>
        <w:pStyle w:val="5"/>
        <w:spacing w:line="360" w:lineRule="auto"/>
        <w:jc w:val="center"/>
        <w:outlineLvl w:val="9"/>
        <w:rPr>
          <w:rFonts w:hint="eastAsia" w:ascii="宋体" w:hAnsi="宋体" w:eastAsia="宋体" w:cs="宋体"/>
          <w:b/>
          <w:color w:val="auto"/>
          <w:sz w:val="32"/>
          <w:szCs w:val="32"/>
          <w:highlight w:val="none"/>
        </w:rPr>
      </w:pPr>
      <w:bookmarkStart w:id="149" w:name="_Toc21202"/>
      <w:bookmarkStart w:id="150" w:name="_Toc2854"/>
      <w:r>
        <w:rPr>
          <w:rFonts w:hint="eastAsia" w:ascii="宋体" w:hAnsi="宋体" w:eastAsia="宋体" w:cs="宋体"/>
          <w:b/>
          <w:color w:val="auto"/>
          <w:sz w:val="32"/>
          <w:szCs w:val="32"/>
          <w:highlight w:val="none"/>
        </w:rPr>
        <w:t>二、法定代表人身份证明/法定代表人授权书</w:t>
      </w:r>
      <w:bookmarkEnd w:id="149"/>
      <w:bookmarkEnd w:id="150"/>
    </w:p>
    <w:p>
      <w:pPr>
        <w:spacing w:line="360" w:lineRule="auto"/>
        <w:rPr>
          <w:rFonts w:hint="eastAsia" w:ascii="宋体" w:hAnsi="宋体" w:eastAsia="宋体" w:cs="宋体"/>
          <w:color w:val="auto"/>
          <w:sz w:val="24"/>
          <w:highlight w:val="none"/>
        </w:rPr>
      </w:pPr>
    </w:p>
    <w:p>
      <w:pPr>
        <w:pStyle w:val="2"/>
        <w:keepLines w:val="0"/>
        <w:pageBreakBefore w:val="0"/>
        <w:widowControl w:val="0"/>
        <w:kinsoku/>
        <w:wordWrap/>
        <w:overflowPunct/>
        <w:topLinePunct w:val="0"/>
        <w:bidi w:val="0"/>
        <w:spacing w:line="360" w:lineRule="auto"/>
        <w:jc w:val="center"/>
        <w:textAlignment w:val="auto"/>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法定代表人身份证明</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统一社会信用代码：</w:t>
      </w:r>
      <w:r>
        <w:rPr>
          <w:rFonts w:hint="eastAsia" w:ascii="宋体" w:hAnsi="宋体" w:eastAsia="宋体" w:cs="宋体"/>
          <w:color w:val="auto"/>
          <w:kern w:val="0"/>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注册地址：</w:t>
      </w:r>
      <w:r>
        <w:rPr>
          <w:rFonts w:hint="eastAsia" w:ascii="宋体" w:hAnsi="宋体" w:eastAsia="宋体" w:cs="宋体"/>
          <w:color w:val="auto"/>
          <w:kern w:val="0"/>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年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日</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经营期限：</w:t>
      </w:r>
      <w:r>
        <w:rPr>
          <w:rFonts w:hint="eastAsia" w:ascii="宋体" w:hAnsi="宋体" w:eastAsia="宋体" w:cs="宋体"/>
          <w:color w:val="auto"/>
          <w:kern w:val="0"/>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性别：</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年龄：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系</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名称）的</w:t>
      </w:r>
      <w:r>
        <w:rPr>
          <w:rFonts w:hint="eastAsia" w:ascii="宋体" w:hAnsi="宋体" w:eastAsia="宋体" w:cs="宋体"/>
          <w:color w:val="auto"/>
          <w:kern w:val="0"/>
          <w:sz w:val="24"/>
          <w:highlight w:val="none"/>
          <w:lang w:eastAsia="zh-CN"/>
        </w:rPr>
        <w:t>法定代表人</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附：</w:t>
      </w:r>
      <w:r>
        <w:rPr>
          <w:rFonts w:hint="eastAsia" w:ascii="宋体" w:hAnsi="宋体" w:eastAsia="宋体" w:cs="宋体"/>
          <w:color w:val="auto"/>
          <w:szCs w:val="21"/>
          <w:highlight w:val="none"/>
          <w:lang w:eastAsia="zh-CN"/>
        </w:rPr>
        <w:t>法定代表人</w:t>
      </w:r>
      <w:r>
        <w:rPr>
          <w:rFonts w:hint="eastAsia" w:ascii="宋体" w:hAnsi="宋体" w:eastAsia="宋体" w:cs="宋体"/>
          <w:color w:val="auto"/>
          <w:szCs w:val="21"/>
          <w:highlight w:val="none"/>
        </w:rPr>
        <w:t>身份证复印件</w:t>
      </w:r>
    </w:p>
    <w:tbl>
      <w:tblPr>
        <w:tblStyle w:val="15"/>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5880" w:type="dxa"/>
            <w:noWrap w:val="0"/>
            <w:vAlign w:val="center"/>
          </w:tcPr>
          <w:p>
            <w:pPr>
              <w:snapToGrid w:val="0"/>
              <w:spacing w:line="360" w:lineRule="auto"/>
              <w:jc w:val="center"/>
              <w:rPr>
                <w:rFonts w:hint="eastAsia" w:ascii="宋体" w:hAnsi="宋体" w:eastAsia="宋体" w:cs="宋体"/>
                <w:color w:val="auto"/>
                <w:szCs w:val="21"/>
                <w:highlight w:val="none"/>
              </w:rPr>
            </w:pPr>
          </w:p>
          <w:p>
            <w:pPr>
              <w:snapToGrid w:val="0"/>
              <w:spacing w:line="360" w:lineRule="auto"/>
              <w:jc w:val="center"/>
              <w:rPr>
                <w:rFonts w:hint="eastAsia" w:ascii="宋体" w:hAnsi="宋体" w:eastAsia="宋体" w:cs="宋体"/>
                <w:color w:val="auto"/>
                <w:szCs w:val="21"/>
                <w:highlight w:val="none"/>
              </w:rPr>
            </w:pPr>
          </w:p>
          <w:p>
            <w:pPr>
              <w:autoSpaceDE w:val="0"/>
              <w:autoSpaceDN w:val="0"/>
              <w:adjustRightInd w:val="0"/>
              <w:snapToGrid w:val="0"/>
              <w:spacing w:before="120"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w:t>
            </w:r>
            <w:r>
              <w:rPr>
                <w:rFonts w:hint="eastAsia" w:ascii="宋体" w:hAnsi="宋体" w:eastAsia="宋体" w:cs="宋体"/>
                <w:color w:val="auto"/>
                <w:szCs w:val="21"/>
                <w:highlight w:val="none"/>
              </w:rPr>
              <w:t>身份证复印件</w:t>
            </w:r>
            <w:r>
              <w:rPr>
                <w:rFonts w:hint="eastAsia" w:ascii="宋体" w:hAnsi="宋体" w:eastAsia="宋体" w:cs="宋体"/>
                <w:color w:val="auto"/>
                <w:szCs w:val="21"/>
                <w:highlight w:val="none"/>
                <w:lang w:eastAsia="zh-CN"/>
              </w:rPr>
              <w:t>粘</w:t>
            </w:r>
            <w:r>
              <w:rPr>
                <w:rFonts w:hint="eastAsia" w:ascii="宋体" w:hAnsi="宋体" w:eastAsia="宋体" w:cs="宋体"/>
                <w:color w:val="auto"/>
                <w:szCs w:val="21"/>
                <w:highlight w:val="none"/>
              </w:rPr>
              <w:t>贴处</w:t>
            </w:r>
          </w:p>
          <w:p>
            <w:pPr>
              <w:pStyle w:val="2"/>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（正反面）</w:t>
            </w:r>
          </w:p>
          <w:p>
            <w:pPr>
              <w:snapToGrid w:val="0"/>
              <w:spacing w:line="360" w:lineRule="auto"/>
              <w:jc w:val="center"/>
              <w:rPr>
                <w:rFonts w:hint="eastAsia" w:ascii="宋体" w:hAnsi="宋体" w:eastAsia="宋体" w:cs="宋体"/>
                <w:color w:val="auto"/>
                <w:szCs w:val="21"/>
                <w:highlight w:val="none"/>
              </w:rPr>
            </w:pPr>
          </w:p>
          <w:p>
            <w:pPr>
              <w:snapToGrid w:val="0"/>
              <w:spacing w:line="360" w:lineRule="auto"/>
              <w:jc w:val="center"/>
              <w:rPr>
                <w:rFonts w:hint="eastAsia" w:ascii="宋体" w:hAnsi="宋体" w:eastAsia="宋体" w:cs="宋体"/>
                <w:color w:val="auto"/>
                <w:szCs w:val="21"/>
                <w:highlight w:val="none"/>
              </w:rPr>
            </w:pPr>
          </w:p>
        </w:tc>
      </w:tr>
    </w:tbl>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 w:val="24"/>
          <w:highlight w:val="none"/>
        </w:rPr>
      </w:pPr>
    </w:p>
    <w:p>
      <w:pPr>
        <w:adjustRightInd w:val="0"/>
        <w:snapToGrid w:val="0"/>
        <w:spacing w:line="360" w:lineRule="auto"/>
        <w:ind w:right="420"/>
        <w:rPr>
          <w:rFonts w:hint="eastAsia" w:ascii="宋体" w:hAnsi="宋体" w:eastAsia="宋体" w:cs="宋体"/>
          <w:color w:val="auto"/>
          <w:sz w:val="24"/>
          <w:highlight w:val="none"/>
        </w:rPr>
      </w:pPr>
    </w:p>
    <w:p>
      <w:pPr>
        <w:adjustRightInd w:val="0"/>
        <w:snapToGrid w:val="0"/>
        <w:spacing w:line="360" w:lineRule="auto"/>
        <w:ind w:right="420"/>
        <w:rPr>
          <w:rFonts w:hint="eastAsia" w:ascii="宋体" w:hAnsi="宋体" w:eastAsia="宋体" w:cs="宋体"/>
          <w:color w:val="auto"/>
          <w:sz w:val="24"/>
          <w:highlight w:val="none"/>
        </w:rPr>
      </w:pPr>
    </w:p>
    <w:p>
      <w:pPr>
        <w:adjustRightInd w:val="0"/>
        <w:snapToGrid w:val="0"/>
        <w:spacing w:line="360" w:lineRule="auto"/>
        <w:ind w:right="420"/>
        <w:rPr>
          <w:rFonts w:hint="eastAsia" w:ascii="宋体" w:hAnsi="宋体" w:eastAsia="宋体" w:cs="宋体"/>
          <w:color w:val="auto"/>
          <w:sz w:val="24"/>
          <w:highlight w:val="none"/>
        </w:rPr>
      </w:pPr>
    </w:p>
    <w:p>
      <w:pPr>
        <w:adjustRightInd w:val="0"/>
        <w:snapToGrid w:val="0"/>
        <w:spacing w:line="360" w:lineRule="auto"/>
        <w:ind w:right="420"/>
        <w:rPr>
          <w:rFonts w:hint="eastAsia" w:ascii="宋体" w:hAnsi="宋体" w:eastAsia="宋体" w:cs="宋体"/>
          <w:color w:val="auto"/>
          <w:sz w:val="24"/>
          <w:highlight w:val="none"/>
        </w:rPr>
      </w:pPr>
    </w:p>
    <w:p>
      <w:pPr>
        <w:adjustRightInd w:val="0"/>
        <w:snapToGrid w:val="0"/>
        <w:spacing w:line="360" w:lineRule="auto"/>
        <w:ind w:right="420" w:firstLine="4320" w:firstLineChars="18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公章</w:t>
      </w:r>
      <w:r>
        <w:rPr>
          <w:rFonts w:hint="eastAsia" w:ascii="宋体" w:hAnsi="宋体" w:eastAsia="宋体" w:cs="宋体"/>
          <w:color w:val="auto"/>
          <w:sz w:val="24"/>
          <w:highlight w:val="none"/>
        </w:rPr>
        <w:t>）</w:t>
      </w:r>
    </w:p>
    <w:p>
      <w:pPr>
        <w:adjustRightInd w:val="0"/>
        <w:snapToGrid w:val="0"/>
        <w:spacing w:line="360" w:lineRule="auto"/>
        <w:ind w:right="420" w:firstLine="4320" w:firstLineChars="1800"/>
        <w:rPr>
          <w:rFonts w:hint="eastAsia" w:ascii="宋体" w:hAnsi="宋体" w:eastAsia="宋体" w:cs="宋体"/>
          <w:color w:val="auto"/>
          <w:highlight w:val="none"/>
        </w:rPr>
      </w:pPr>
      <w:r>
        <w:rPr>
          <w:rFonts w:hint="eastAsia" w:ascii="宋体" w:hAnsi="宋体" w:eastAsia="宋体" w:cs="宋体"/>
          <w:color w:val="auto"/>
          <w:sz w:val="24"/>
          <w:highlight w:val="none"/>
        </w:rPr>
        <w:t>日期：    年  月  日</w:t>
      </w:r>
    </w:p>
    <w:p>
      <w:pPr>
        <w:pStyle w:val="5"/>
        <w:spacing w:line="360" w:lineRule="auto"/>
        <w:jc w:val="center"/>
        <w:rPr>
          <w:rFonts w:hint="eastAsia" w:ascii="宋体" w:hAnsi="宋体" w:eastAsia="宋体" w:cs="宋体"/>
          <w:color w:val="auto"/>
          <w:sz w:val="24"/>
          <w:highlight w:val="none"/>
          <w:u w:val="single"/>
        </w:rPr>
      </w:pPr>
    </w:p>
    <w:p>
      <w:pPr>
        <w:pStyle w:val="5"/>
        <w:spacing w:line="360" w:lineRule="auto"/>
        <w:jc w:val="center"/>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p>
    <w:p>
      <w:pPr>
        <w:keepNext/>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法定代表人</w:t>
      </w:r>
      <w:r>
        <w:rPr>
          <w:rFonts w:hint="eastAsia" w:ascii="宋体" w:hAnsi="宋体" w:eastAsia="宋体" w:cs="宋体"/>
          <w:b/>
          <w:bCs/>
          <w:color w:val="auto"/>
          <w:sz w:val="32"/>
          <w:szCs w:val="32"/>
          <w:highlight w:val="none"/>
        </w:rPr>
        <w:t>授权书</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注册于（工商行政管理局名称）之（供应商全称）（法人代表人姓名、职务）</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（被授权人姓名、职务）为全权代表，参加贵公司组织的</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招标活动，全权处理招标活动中的一切事宜。</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我公司对被授权人的签名负全部责任。</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授权期限：自委托之日起生效至磋商之日后不少于90日历日。</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                  被授权人签字：</w:t>
      </w:r>
    </w:p>
    <w:p>
      <w:pPr>
        <w:spacing w:line="360" w:lineRule="auto"/>
        <w:ind w:firstLine="360" w:firstLineChars="150"/>
        <w:outlineLvl w:val="9"/>
        <w:rPr>
          <w:rFonts w:hint="eastAsia" w:ascii="宋体" w:hAnsi="宋体" w:eastAsia="宋体" w:cs="宋体"/>
          <w:color w:val="auto"/>
          <w:sz w:val="24"/>
          <w:highlight w:val="none"/>
        </w:rPr>
      </w:pPr>
      <w:bookmarkStart w:id="151" w:name="_Toc12764"/>
      <w:bookmarkStart w:id="152" w:name="_Toc17386"/>
      <w:bookmarkStart w:id="153" w:name="_Toc1523"/>
      <w:bookmarkStart w:id="154" w:name="_Toc3831"/>
      <w:bookmarkStart w:id="155" w:name="_Toc32245"/>
      <w:r>
        <w:rPr>
          <w:rFonts w:hint="eastAsia" w:ascii="宋体" w:hAnsi="宋体" w:eastAsia="宋体" w:cs="宋体"/>
          <w:color w:val="auto"/>
          <w:sz w:val="24"/>
          <w:highlight w:val="none"/>
        </w:rPr>
        <w:t>身  份  证  号：                        身 份 证  号 ：</w:t>
      </w:r>
      <w:bookmarkEnd w:id="151"/>
      <w:bookmarkEnd w:id="152"/>
      <w:bookmarkEnd w:id="153"/>
      <w:bookmarkEnd w:id="154"/>
      <w:bookmarkEnd w:id="155"/>
    </w:p>
    <w:p>
      <w:pPr>
        <w:spacing w:line="360" w:lineRule="auto"/>
        <w:rPr>
          <w:rFonts w:hint="eastAsia" w:ascii="宋体" w:hAnsi="宋体" w:eastAsia="宋体" w:cs="宋体"/>
          <w:color w:val="auto"/>
          <w:sz w:val="18"/>
          <w:szCs w:val="18"/>
          <w:highlight w:val="none"/>
        </w:rPr>
      </w:pPr>
    </w:p>
    <w:p>
      <w:pPr>
        <w:spacing w:line="360" w:lineRule="auto"/>
        <w:ind w:firstLine="105" w:firstLineChars="50"/>
        <w:outlineLvl w:val="9"/>
        <w:rPr>
          <w:rFonts w:hint="eastAsia" w:ascii="宋体" w:hAnsi="宋体" w:eastAsia="宋体" w:cs="宋体"/>
          <w:color w:val="auto"/>
          <w:szCs w:val="21"/>
          <w:highlight w:val="none"/>
        </w:rPr>
      </w:pPr>
      <w:bookmarkStart w:id="156" w:name="_Toc12024"/>
      <w:bookmarkStart w:id="157" w:name="_Toc2835"/>
      <w:bookmarkStart w:id="158" w:name="_Toc8410"/>
      <w:bookmarkStart w:id="159" w:name="_Toc27065"/>
      <w:bookmarkStart w:id="160" w:name="_Toc29730"/>
      <w:r>
        <w:rPr>
          <w:rFonts w:hint="eastAsia" w:ascii="宋体" w:hAnsi="宋体" w:eastAsia="宋体" w:cs="宋体"/>
          <w:color w:val="auto"/>
          <w:szCs w:val="21"/>
          <w:highlight w:val="none"/>
        </w:rPr>
        <w:t>附：法定代表人、被授权人身份证复印件（正反面）。</w:t>
      </w:r>
      <w:bookmarkEnd w:id="156"/>
      <w:bookmarkEnd w:id="157"/>
      <w:bookmarkEnd w:id="158"/>
      <w:bookmarkEnd w:id="159"/>
      <w:bookmarkEnd w:id="160"/>
    </w:p>
    <w:p>
      <w:pPr>
        <w:spacing w:line="360" w:lineRule="auto"/>
        <w:ind w:firstLine="4320" w:firstLineChars="1800"/>
        <w:rPr>
          <w:rFonts w:hint="eastAsia" w:ascii="宋体" w:hAnsi="宋体" w:eastAsia="宋体" w:cs="宋体"/>
          <w:color w:val="auto"/>
          <w:sz w:val="24"/>
          <w:szCs w:val="24"/>
          <w:highlight w:val="none"/>
        </w:rPr>
      </w:pPr>
    </w:p>
    <w:p>
      <w:pPr>
        <w:spacing w:line="360" w:lineRule="auto"/>
        <w:ind w:firstLine="4320" w:firstLineChars="1800"/>
        <w:rPr>
          <w:rFonts w:hint="eastAsia" w:ascii="宋体" w:hAnsi="宋体" w:eastAsia="宋体" w:cs="宋体"/>
          <w:color w:val="auto"/>
          <w:sz w:val="24"/>
          <w:szCs w:val="24"/>
          <w:highlight w:val="none"/>
        </w:rPr>
      </w:pPr>
    </w:p>
    <w:p>
      <w:pPr>
        <w:spacing w:line="360" w:lineRule="auto"/>
        <w:ind w:firstLine="4320" w:firstLineChars="1800"/>
        <w:rPr>
          <w:rFonts w:hint="eastAsia" w:ascii="宋体" w:hAnsi="宋体" w:eastAsia="宋体" w:cs="宋体"/>
          <w:color w:val="auto"/>
          <w:sz w:val="24"/>
          <w:szCs w:val="24"/>
          <w:highlight w:val="none"/>
        </w:rPr>
      </w:pPr>
    </w:p>
    <w:p>
      <w:pPr>
        <w:spacing w:line="360" w:lineRule="auto"/>
        <w:ind w:firstLine="4320" w:firstLineChars="18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供应商名称（公章）：</w:t>
      </w:r>
      <w:r>
        <w:rPr>
          <w:rFonts w:hint="eastAsia" w:ascii="宋体" w:hAnsi="宋体" w:eastAsia="宋体" w:cs="宋体"/>
          <w:color w:val="auto"/>
          <w:sz w:val="24"/>
          <w:szCs w:val="24"/>
          <w:highlight w:val="none"/>
          <w:u w:val="single"/>
        </w:rPr>
        <w:t xml:space="preserve">                     </w:t>
      </w:r>
    </w:p>
    <w:p>
      <w:pPr>
        <w:spacing w:line="360" w:lineRule="auto"/>
        <w:ind w:firstLine="4320" w:firstLineChars="18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日</w:t>
      </w:r>
    </w:p>
    <w:p>
      <w:pPr>
        <w:spacing w:line="360" w:lineRule="auto"/>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sz w:val="24"/>
          <w:szCs w:val="24"/>
          <w:highlight w:val="none"/>
          <w:u w:val="single"/>
        </w:rPr>
      </w:pPr>
    </w:p>
    <w:p>
      <w:pPr>
        <w:pStyle w:val="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说明：法定代表人直接磋商时无需提供。</w:t>
      </w:r>
    </w:p>
    <w:p>
      <w:pPr>
        <w:pStyle w:val="5"/>
        <w:spacing w:line="360" w:lineRule="auto"/>
        <w:jc w:val="center"/>
        <w:rPr>
          <w:rFonts w:hint="eastAsia" w:ascii="宋体" w:hAnsi="宋体" w:eastAsia="宋体" w:cs="宋体"/>
          <w:b/>
          <w:color w:val="auto"/>
          <w:sz w:val="32"/>
          <w:szCs w:val="32"/>
          <w:highlight w:val="none"/>
        </w:rPr>
        <w:sectPr>
          <w:pgSz w:w="11906" w:h="16838"/>
          <w:pgMar w:top="1134" w:right="1304" w:bottom="1134" w:left="1304" w:header="851" w:footer="1214" w:gutter="0"/>
          <w:pgNumType w:fmt="decimal"/>
          <w:cols w:space="720" w:num="1"/>
          <w:titlePg/>
          <w:docGrid w:type="linesAndChars" w:linePitch="312" w:charSpace="0"/>
        </w:sectPr>
      </w:pPr>
    </w:p>
    <w:p>
      <w:pPr>
        <w:numPr>
          <w:ilvl w:val="0"/>
          <w:numId w:val="0"/>
        </w:numPr>
        <w:spacing w:line="360" w:lineRule="auto"/>
        <w:ind w:leftChars="0"/>
        <w:jc w:val="center"/>
        <w:outlineLvl w:val="9"/>
        <w:rPr>
          <w:rFonts w:hint="eastAsia" w:ascii="宋体" w:hAnsi="宋体" w:eastAsia="宋体" w:cs="宋体"/>
          <w:b/>
          <w:color w:val="auto"/>
          <w:sz w:val="32"/>
          <w:szCs w:val="32"/>
          <w:highlight w:val="none"/>
          <w:lang w:eastAsia="zh-CN"/>
        </w:rPr>
      </w:pPr>
      <w:bookmarkStart w:id="161" w:name="_Toc18739"/>
      <w:bookmarkStart w:id="162" w:name="_Toc3271"/>
      <w:bookmarkStart w:id="163" w:name="_Toc25314"/>
      <w:r>
        <w:rPr>
          <w:rFonts w:hint="eastAsia" w:ascii="宋体" w:hAnsi="宋体" w:eastAsia="宋体" w:cs="宋体"/>
          <w:b/>
          <w:color w:val="auto"/>
          <w:sz w:val="32"/>
          <w:szCs w:val="32"/>
          <w:highlight w:val="none"/>
          <w:lang w:eastAsia="zh-CN"/>
        </w:rPr>
        <w:t>三、</w:t>
      </w:r>
      <w:r>
        <w:rPr>
          <w:rFonts w:hint="eastAsia" w:ascii="宋体" w:hAnsi="宋体" w:eastAsia="宋体" w:cs="宋体"/>
          <w:b/>
          <w:color w:val="auto"/>
          <w:sz w:val="32"/>
          <w:szCs w:val="32"/>
          <w:highlight w:val="none"/>
        </w:rPr>
        <w:t>磋商</w:t>
      </w:r>
      <w:bookmarkEnd w:id="161"/>
      <w:r>
        <w:rPr>
          <w:rFonts w:hint="eastAsia" w:ascii="宋体" w:hAnsi="宋体" w:eastAsia="宋体" w:cs="宋体"/>
          <w:b/>
          <w:color w:val="auto"/>
          <w:sz w:val="32"/>
          <w:szCs w:val="32"/>
          <w:highlight w:val="none"/>
          <w:lang w:eastAsia="zh-CN"/>
        </w:rPr>
        <w:t>报价表</w:t>
      </w:r>
      <w:bookmarkEnd w:id="162"/>
      <w:bookmarkEnd w:id="163"/>
    </w:p>
    <w:p>
      <w:pPr>
        <w:numPr>
          <w:ilvl w:val="0"/>
          <w:numId w:val="0"/>
        </w:numPr>
        <w:spacing w:line="360" w:lineRule="auto"/>
        <w:ind w:leftChars="0"/>
        <w:outlineLvl w:val="9"/>
        <w:rPr>
          <w:rFonts w:hint="eastAsia" w:ascii="宋体" w:hAnsi="宋体" w:eastAsia="宋体" w:cs="宋体"/>
          <w:b/>
          <w:bCs w:val="0"/>
          <w:color w:val="auto"/>
          <w:kern w:val="2"/>
          <w:sz w:val="30"/>
          <w:szCs w:val="30"/>
          <w:highlight w:val="none"/>
          <w:lang w:val="en-US" w:eastAsia="zh-CN" w:bidi="ar-SA"/>
        </w:rPr>
      </w:pPr>
      <w:r>
        <w:rPr>
          <w:rFonts w:hint="eastAsia" w:ascii="宋体" w:hAnsi="宋体" w:eastAsia="宋体" w:cs="宋体"/>
          <w:b/>
          <w:bCs w:val="0"/>
          <w:color w:val="auto"/>
          <w:kern w:val="2"/>
          <w:sz w:val="30"/>
          <w:szCs w:val="30"/>
          <w:highlight w:val="none"/>
          <w:lang w:val="en-US" w:eastAsia="zh-CN" w:bidi="ar-SA"/>
        </w:rPr>
        <w:t>3.1磋商报价表</w:t>
      </w:r>
    </w:p>
    <w:p>
      <w:pPr>
        <w:spacing w:line="360" w:lineRule="auto"/>
        <w:rPr>
          <w:rFonts w:hint="eastAsia" w:ascii="宋体" w:hAnsi="宋体" w:eastAsia="宋体" w:cs="宋体"/>
          <w:color w:val="auto"/>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2405"/>
        <w:gridCol w:w="2219"/>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946" w:type="dxa"/>
            <w:noWrap w:val="0"/>
            <w:vAlign w:val="center"/>
          </w:tcPr>
          <w:p>
            <w:pPr>
              <w:shd w:val="solid" w:color="FFFFFF" w:fill="auto"/>
              <w:autoSpaceDN w:val="0"/>
              <w:spacing w:line="360" w:lineRule="auto"/>
              <w:ind w:right="420"/>
              <w:jc w:val="center"/>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b/>
                <w:bCs w:val="0"/>
                <w:color w:val="auto"/>
                <w:sz w:val="24"/>
                <w:szCs w:val="24"/>
                <w:highlight w:val="none"/>
                <w:shd w:val="clear" w:color="auto" w:fill="FFFFFF"/>
              </w:rPr>
              <w:t>项目名称</w:t>
            </w:r>
          </w:p>
        </w:tc>
        <w:tc>
          <w:tcPr>
            <w:tcW w:w="2405" w:type="dxa"/>
            <w:noWrap w:val="0"/>
            <w:vAlign w:val="center"/>
          </w:tcPr>
          <w:p>
            <w:pPr>
              <w:shd w:val="solid" w:color="FFFFFF" w:fill="auto"/>
              <w:autoSpaceDN w:val="0"/>
              <w:spacing w:line="360" w:lineRule="auto"/>
              <w:ind w:right="420"/>
              <w:rPr>
                <w:rFonts w:hint="eastAsia" w:ascii="宋体" w:hAnsi="宋体" w:eastAsia="宋体" w:cs="宋体"/>
                <w:b/>
                <w:bCs w:val="0"/>
                <w:color w:val="auto"/>
                <w:sz w:val="24"/>
                <w:szCs w:val="24"/>
                <w:highlight w:val="none"/>
                <w:shd w:val="clear" w:color="auto" w:fill="FFFFFF"/>
              </w:rPr>
            </w:pPr>
          </w:p>
        </w:tc>
        <w:tc>
          <w:tcPr>
            <w:tcW w:w="2219" w:type="dxa"/>
            <w:noWrap w:val="0"/>
            <w:vAlign w:val="center"/>
          </w:tcPr>
          <w:p>
            <w:pPr>
              <w:shd w:val="solid" w:color="FFFFFF" w:fill="auto"/>
              <w:autoSpaceDN w:val="0"/>
              <w:spacing w:line="360" w:lineRule="auto"/>
              <w:ind w:right="420"/>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b/>
                <w:bCs w:val="0"/>
                <w:color w:val="auto"/>
                <w:sz w:val="24"/>
                <w:szCs w:val="24"/>
                <w:highlight w:val="none"/>
                <w:shd w:val="clear" w:color="auto" w:fill="FFFFFF"/>
                <w:lang w:val="en-US" w:eastAsia="zh-CN"/>
              </w:rPr>
              <w:t>项目</w:t>
            </w:r>
            <w:r>
              <w:rPr>
                <w:rFonts w:hint="eastAsia" w:ascii="宋体" w:hAnsi="宋体" w:eastAsia="宋体" w:cs="宋体"/>
                <w:b/>
                <w:bCs w:val="0"/>
                <w:color w:val="auto"/>
                <w:sz w:val="24"/>
                <w:szCs w:val="24"/>
                <w:highlight w:val="none"/>
                <w:shd w:val="clear" w:color="auto" w:fill="FFFFFF"/>
              </w:rPr>
              <w:t>编号</w:t>
            </w:r>
          </w:p>
        </w:tc>
        <w:tc>
          <w:tcPr>
            <w:tcW w:w="2315" w:type="dxa"/>
            <w:noWrap w:val="0"/>
            <w:vAlign w:val="center"/>
          </w:tcPr>
          <w:p>
            <w:pPr>
              <w:shd w:val="solid" w:color="FFFFFF" w:fill="auto"/>
              <w:autoSpaceDN w:val="0"/>
              <w:spacing w:line="360" w:lineRule="auto"/>
              <w:ind w:right="420"/>
              <w:rPr>
                <w:rFonts w:hint="eastAsia" w:ascii="宋体" w:hAnsi="宋体" w:eastAsia="宋体" w:cs="宋体"/>
                <w:b/>
                <w:bCs w:val="0"/>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3" w:hRule="atLeast"/>
          <w:jc w:val="center"/>
        </w:trPr>
        <w:tc>
          <w:tcPr>
            <w:tcW w:w="1946" w:type="dxa"/>
            <w:noWrap w:val="0"/>
            <w:vAlign w:val="center"/>
          </w:tcPr>
          <w:p>
            <w:pPr>
              <w:shd w:val="solid" w:color="FFFFFF" w:fill="auto"/>
              <w:autoSpaceDN w:val="0"/>
              <w:spacing w:line="360" w:lineRule="auto"/>
              <w:ind w:right="420"/>
              <w:jc w:val="center"/>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b/>
                <w:bCs w:val="0"/>
                <w:color w:val="auto"/>
                <w:sz w:val="24"/>
                <w:szCs w:val="24"/>
                <w:highlight w:val="none"/>
                <w:shd w:val="clear" w:color="auto" w:fill="FFFFFF"/>
              </w:rPr>
              <w:t>磋商总报价</w:t>
            </w:r>
          </w:p>
        </w:tc>
        <w:tc>
          <w:tcPr>
            <w:tcW w:w="6939" w:type="dxa"/>
            <w:gridSpan w:val="3"/>
            <w:noWrap w:val="0"/>
            <w:vAlign w:val="center"/>
          </w:tcPr>
          <w:p>
            <w:pPr>
              <w:shd w:val="solid" w:color="FFFFFF" w:fill="auto"/>
              <w:autoSpaceDN w:val="0"/>
              <w:spacing w:line="360" w:lineRule="auto"/>
              <w:ind w:right="420"/>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b/>
                <w:bCs w:val="0"/>
                <w:color w:val="auto"/>
                <w:sz w:val="24"/>
                <w:szCs w:val="24"/>
                <w:highlight w:val="none"/>
                <w:shd w:val="clear" w:color="auto" w:fill="FFFFFF"/>
              </w:rPr>
              <w:t>大写：</w:t>
            </w:r>
            <w:r>
              <w:rPr>
                <w:rFonts w:hint="eastAsia" w:ascii="宋体" w:hAnsi="宋体" w:eastAsia="宋体" w:cs="宋体"/>
                <w:b/>
                <w:bCs w:val="0"/>
                <w:color w:val="auto"/>
                <w:sz w:val="24"/>
                <w:szCs w:val="24"/>
                <w:highlight w:val="none"/>
                <w:u w:val="single"/>
                <w:shd w:val="clear" w:color="auto" w:fill="FFFFFF"/>
              </w:rPr>
              <w:t xml:space="preserve">                 </w:t>
            </w:r>
          </w:p>
          <w:p>
            <w:pPr>
              <w:shd w:val="solid" w:color="FFFFFF" w:fill="auto"/>
              <w:autoSpaceDN w:val="0"/>
              <w:spacing w:line="360" w:lineRule="auto"/>
              <w:ind w:right="420"/>
              <w:rPr>
                <w:rFonts w:hint="eastAsia" w:ascii="宋体" w:hAnsi="宋体" w:eastAsia="宋体" w:cs="宋体"/>
                <w:b/>
                <w:bCs w:val="0"/>
                <w:color w:val="auto"/>
                <w:sz w:val="24"/>
                <w:szCs w:val="24"/>
                <w:highlight w:val="none"/>
                <w:shd w:val="clear" w:color="auto" w:fill="FFFFFF"/>
              </w:rPr>
            </w:pPr>
          </w:p>
          <w:p>
            <w:pPr>
              <w:shd w:val="solid" w:color="FFFFFF" w:fill="auto"/>
              <w:autoSpaceDN w:val="0"/>
              <w:spacing w:line="360" w:lineRule="auto"/>
              <w:ind w:right="420"/>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b/>
                <w:bCs w:val="0"/>
                <w:color w:val="auto"/>
                <w:sz w:val="24"/>
                <w:szCs w:val="24"/>
                <w:highlight w:val="none"/>
                <w:shd w:val="clear" w:color="auto" w:fill="FFFFFF"/>
              </w:rPr>
              <w:t>小写：</w:t>
            </w:r>
            <w:r>
              <w:rPr>
                <w:rFonts w:hint="eastAsia" w:ascii="宋体" w:hAnsi="宋体" w:eastAsia="宋体" w:cs="宋体"/>
                <w:b/>
                <w:bCs w:val="0"/>
                <w:color w:val="auto"/>
                <w:sz w:val="24"/>
                <w:szCs w:val="24"/>
                <w:highlight w:val="none"/>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946" w:type="dxa"/>
            <w:noWrap w:val="0"/>
            <w:vAlign w:val="center"/>
          </w:tcPr>
          <w:p>
            <w:pPr>
              <w:shd w:val="solid" w:color="FFFFFF" w:fill="auto"/>
              <w:autoSpaceDN w:val="0"/>
              <w:spacing w:line="360" w:lineRule="auto"/>
              <w:ind w:right="420"/>
              <w:jc w:val="center"/>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b/>
                <w:bCs w:val="0"/>
                <w:color w:val="auto"/>
                <w:sz w:val="24"/>
                <w:szCs w:val="24"/>
                <w:highlight w:val="none"/>
                <w:shd w:val="clear" w:color="auto" w:fill="FFFFFF"/>
              </w:rPr>
              <w:t>工期</w:t>
            </w:r>
          </w:p>
        </w:tc>
        <w:tc>
          <w:tcPr>
            <w:tcW w:w="6939" w:type="dxa"/>
            <w:gridSpan w:val="3"/>
            <w:noWrap w:val="0"/>
            <w:vAlign w:val="center"/>
          </w:tcPr>
          <w:p>
            <w:pPr>
              <w:shd w:val="solid" w:color="FFFFFF" w:fill="auto"/>
              <w:autoSpaceDN w:val="0"/>
              <w:spacing w:line="360" w:lineRule="auto"/>
              <w:ind w:right="420"/>
              <w:rPr>
                <w:rFonts w:hint="default" w:ascii="宋体" w:hAnsi="宋体" w:eastAsia="宋体" w:cs="宋体"/>
                <w:b/>
                <w:bCs w:val="0"/>
                <w:color w:val="auto"/>
                <w:sz w:val="24"/>
                <w:szCs w:val="24"/>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946" w:type="dxa"/>
            <w:noWrap w:val="0"/>
            <w:vAlign w:val="center"/>
          </w:tcPr>
          <w:p>
            <w:pPr>
              <w:shd w:val="solid" w:color="FFFFFF" w:fill="auto"/>
              <w:autoSpaceDN w:val="0"/>
              <w:spacing w:line="360" w:lineRule="auto"/>
              <w:ind w:right="420"/>
              <w:jc w:val="center"/>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b/>
                <w:bCs w:val="0"/>
                <w:color w:val="auto"/>
                <w:sz w:val="24"/>
                <w:szCs w:val="24"/>
                <w:highlight w:val="none"/>
                <w:shd w:val="clear" w:color="auto" w:fill="FFFFFF"/>
              </w:rPr>
              <w:t>质量标准</w:t>
            </w:r>
          </w:p>
        </w:tc>
        <w:tc>
          <w:tcPr>
            <w:tcW w:w="6939" w:type="dxa"/>
            <w:gridSpan w:val="3"/>
            <w:noWrap w:val="0"/>
            <w:vAlign w:val="center"/>
          </w:tcPr>
          <w:p>
            <w:pPr>
              <w:shd w:val="solid" w:color="FFFFFF" w:fill="auto"/>
              <w:autoSpaceDN w:val="0"/>
              <w:spacing w:line="360" w:lineRule="auto"/>
              <w:ind w:right="420"/>
              <w:jc w:val="center"/>
              <w:rPr>
                <w:rFonts w:hint="eastAsia" w:ascii="宋体" w:hAnsi="宋体" w:eastAsia="宋体" w:cs="宋体"/>
                <w:b/>
                <w:bCs w:val="0"/>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946" w:type="dxa"/>
            <w:noWrap w:val="0"/>
            <w:vAlign w:val="center"/>
          </w:tcPr>
          <w:p>
            <w:pPr>
              <w:shd w:val="solid" w:color="FFFFFF" w:fill="auto"/>
              <w:autoSpaceDN w:val="0"/>
              <w:spacing w:line="360" w:lineRule="auto"/>
              <w:ind w:right="420"/>
              <w:jc w:val="center"/>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b/>
                <w:bCs w:val="0"/>
                <w:color w:val="auto"/>
                <w:sz w:val="24"/>
                <w:szCs w:val="24"/>
                <w:highlight w:val="none"/>
                <w:shd w:val="clear" w:color="auto" w:fill="FFFFFF"/>
              </w:rPr>
              <w:t>备注</w:t>
            </w:r>
          </w:p>
        </w:tc>
        <w:tc>
          <w:tcPr>
            <w:tcW w:w="6939" w:type="dxa"/>
            <w:gridSpan w:val="3"/>
            <w:noWrap w:val="0"/>
            <w:vAlign w:val="center"/>
          </w:tcPr>
          <w:p>
            <w:pPr>
              <w:spacing w:line="360" w:lineRule="auto"/>
              <w:jc w:val="center"/>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color w:val="auto"/>
                <w:sz w:val="24"/>
                <w:szCs w:val="24"/>
                <w:highlight w:val="none"/>
              </w:rPr>
              <w:t>报价内容以元为单位，保留小数点后两位。</w:t>
            </w:r>
          </w:p>
        </w:tc>
      </w:tr>
    </w:tbl>
    <w:p>
      <w:pPr>
        <w:shd w:val="solid" w:color="FFFFFF" w:fill="auto"/>
        <w:autoSpaceDN w:val="0"/>
        <w:spacing w:line="360" w:lineRule="auto"/>
        <w:ind w:right="420"/>
        <w:rPr>
          <w:rFonts w:hint="eastAsia" w:ascii="宋体" w:hAnsi="宋体" w:eastAsia="宋体" w:cs="宋体"/>
          <w:color w:val="auto"/>
          <w:sz w:val="24"/>
          <w:szCs w:val="24"/>
          <w:highlight w:val="none"/>
          <w:shd w:val="clear" w:color="auto" w:fill="FFFFFF"/>
        </w:rPr>
      </w:pPr>
    </w:p>
    <w:p>
      <w:pPr>
        <w:shd w:val="solid" w:color="FFFFFF" w:fill="auto"/>
        <w:autoSpaceDN w:val="0"/>
        <w:spacing w:line="360" w:lineRule="auto"/>
        <w:ind w:firstLine="240" w:firstLineChars="100"/>
        <w:jc w:val="righ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供应商名称：</w:t>
      </w:r>
      <w:r>
        <w:rPr>
          <w:rFonts w:hint="eastAsia" w:ascii="宋体" w:hAnsi="宋体" w:eastAsia="宋体" w:cs="宋体"/>
          <w:color w:val="auto"/>
          <w:sz w:val="24"/>
          <w:szCs w:val="24"/>
          <w:highlight w:val="none"/>
          <w:u w:val="single"/>
          <w:shd w:val="clear" w:color="auto" w:fill="FFFFFF"/>
        </w:rPr>
        <w:t xml:space="preserve">                      （公章）</w:t>
      </w:r>
      <w:r>
        <w:rPr>
          <w:rFonts w:hint="eastAsia" w:ascii="宋体" w:hAnsi="宋体" w:eastAsia="宋体" w:cs="宋体"/>
          <w:color w:val="auto"/>
          <w:sz w:val="24"/>
          <w:szCs w:val="24"/>
          <w:highlight w:val="none"/>
          <w:shd w:val="clear" w:color="auto" w:fill="FFFFFF"/>
        </w:rPr>
        <w:t xml:space="preserve">                        </w:t>
      </w:r>
    </w:p>
    <w:p>
      <w:pPr>
        <w:shd w:val="solid" w:color="FFFFFF" w:fill="auto"/>
        <w:wordWrap w:val="0"/>
        <w:autoSpaceDN w:val="0"/>
        <w:spacing w:line="360" w:lineRule="auto"/>
        <w:ind w:firstLine="240" w:firstLineChars="100"/>
        <w:jc w:val="right"/>
        <w:rPr>
          <w:rFonts w:hint="eastAsia" w:ascii="宋体" w:hAnsi="宋体" w:eastAsia="宋体" w:cs="宋体"/>
          <w:color w:val="auto"/>
          <w:sz w:val="24"/>
          <w:szCs w:val="24"/>
          <w:highlight w:val="none"/>
          <w:shd w:val="clear" w:color="auto" w:fill="FFFFFF"/>
        </w:rPr>
      </w:pPr>
    </w:p>
    <w:p>
      <w:pPr>
        <w:shd w:val="solid" w:color="FFFFFF" w:fill="auto"/>
        <w:autoSpaceDN w:val="0"/>
        <w:spacing w:line="360" w:lineRule="auto"/>
        <w:ind w:firstLine="240" w:firstLineChars="100"/>
        <w:jc w:val="righ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法定代表人或被授权代表签字：</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(签字或盖章)</w:t>
      </w:r>
    </w:p>
    <w:p>
      <w:pPr>
        <w:shd w:val="solid" w:color="FFFFFF" w:fill="auto"/>
        <w:autoSpaceDN w:val="0"/>
        <w:spacing w:line="360" w:lineRule="auto"/>
        <w:ind w:firstLine="211"/>
        <w:jc w:val="right"/>
        <w:rPr>
          <w:rFonts w:hint="eastAsia" w:ascii="宋体" w:hAnsi="宋体" w:eastAsia="宋体" w:cs="宋体"/>
          <w:color w:val="auto"/>
          <w:sz w:val="24"/>
          <w:szCs w:val="24"/>
          <w:highlight w:val="none"/>
          <w:shd w:val="clear" w:color="auto" w:fill="FFFFFF"/>
        </w:rPr>
      </w:pPr>
    </w:p>
    <w:p>
      <w:pPr>
        <w:shd w:val="solid" w:color="FFFFFF" w:fill="auto"/>
        <w:autoSpaceDN w:val="0"/>
        <w:spacing w:line="360" w:lineRule="auto"/>
        <w:ind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日期：  年   月  日</w:t>
      </w:r>
    </w:p>
    <w:p>
      <w:pPr>
        <w:adjustRightInd w:val="0"/>
        <w:snapToGrid w:val="0"/>
        <w:spacing w:line="360" w:lineRule="auto"/>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lang w:val="en-US" w:eastAsia="zh-CN"/>
        </w:rPr>
        <w:t>3.2</w:t>
      </w:r>
      <w:r>
        <w:rPr>
          <w:rFonts w:hint="eastAsia" w:ascii="宋体" w:hAnsi="宋体" w:eastAsia="宋体" w:cs="宋体"/>
          <w:b/>
          <w:color w:val="auto"/>
          <w:sz w:val="30"/>
          <w:szCs w:val="30"/>
          <w:highlight w:val="none"/>
          <w:lang w:eastAsia="zh-CN"/>
        </w:rPr>
        <w:t>已标价工程量清单</w:t>
      </w: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bidi w:val="0"/>
        <w:spacing w:line="360" w:lineRule="auto"/>
        <w:rPr>
          <w:rFonts w:hint="eastAsia" w:ascii="宋体" w:hAnsi="宋体" w:eastAsia="宋体" w:cs="宋体"/>
          <w:color w:val="auto"/>
          <w:highlight w:val="none"/>
        </w:rPr>
      </w:pPr>
    </w:p>
    <w:p>
      <w:pPr>
        <w:keepNext w:val="0"/>
        <w:keepLines w:val="0"/>
        <w:pageBreakBefore w:val="0"/>
        <w:widowControl w:val="0"/>
        <w:numPr>
          <w:ilvl w:val="0"/>
          <w:numId w:val="5"/>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供应商资格审查资料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供应商基本情况表</w:t>
      </w:r>
    </w:p>
    <w:tbl>
      <w:tblPr>
        <w:tblStyle w:val="14"/>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3144"/>
        <w:gridCol w:w="195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单位全称</w:t>
            </w:r>
          </w:p>
        </w:tc>
        <w:tc>
          <w:tcPr>
            <w:tcW w:w="717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法定代表人</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职   务</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单位地址</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邮政编码</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电话</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    真</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成立日期</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职员人数</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9560" w:type="dxa"/>
            <w:gridSpan w:val="4"/>
            <w:tcBorders>
              <w:top w:val="single" w:color="auto" w:sz="4" w:space="0"/>
              <w:left w:val="single" w:color="auto" w:sz="4" w:space="0"/>
              <w:bottom w:val="single" w:color="auto" w:sz="4" w:space="0"/>
              <w:right w:val="single" w:color="auto" w:sz="4" w:space="0"/>
            </w:tcBorders>
            <w:noWrap w:val="0"/>
            <w:vAlign w:val="top"/>
          </w:tcPr>
          <w:p>
            <w:pPr>
              <w:spacing w:before="156" w:beforeLines="50"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单位简介：</w:t>
            </w: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tc>
      </w:tr>
    </w:tbl>
    <w:p>
      <w:pPr>
        <w:pStyle w:val="3"/>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根据第四章评审方法的资格审查项提供资料。</w:t>
      </w:r>
    </w:p>
    <w:p>
      <w:pPr>
        <w:spacing w:line="360" w:lineRule="auto"/>
        <w:rPr>
          <w:rFonts w:hint="eastAsia" w:ascii="宋体" w:hAnsi="宋体" w:eastAsia="宋体" w:cs="宋体"/>
          <w:color w:val="auto"/>
          <w:highlight w:val="none"/>
          <w:lang w:eastAsia="zh-CN"/>
        </w:rPr>
      </w:pPr>
    </w:p>
    <w:p>
      <w:pPr>
        <w:spacing w:line="360" w:lineRule="auto"/>
        <w:jc w:val="left"/>
        <w:outlineLvl w:val="9"/>
        <w:rPr>
          <w:rFonts w:hint="eastAsia" w:ascii="宋体" w:hAnsi="宋体" w:eastAsia="宋体" w:cs="宋体"/>
          <w:color w:val="auto"/>
          <w:spacing w:val="6"/>
          <w:sz w:val="30"/>
          <w:szCs w:val="30"/>
          <w:highlight w:val="none"/>
        </w:rPr>
      </w:pPr>
      <w:bookmarkStart w:id="164" w:name="_Toc16236"/>
      <w:bookmarkStart w:id="165" w:name="_Toc12144"/>
      <w:r>
        <w:rPr>
          <w:rFonts w:hint="eastAsia" w:ascii="宋体" w:hAnsi="宋体" w:eastAsia="宋体" w:cs="宋体"/>
          <w:color w:val="auto"/>
          <w:spacing w:val="6"/>
          <w:sz w:val="30"/>
          <w:szCs w:val="30"/>
          <w:highlight w:val="none"/>
        </w:rPr>
        <w:br w:type="page"/>
      </w:r>
      <w:r>
        <w:rPr>
          <w:rFonts w:hint="eastAsia" w:ascii="宋体" w:hAnsi="宋体" w:eastAsia="宋体" w:cs="宋体"/>
          <w:color w:val="auto"/>
          <w:spacing w:val="6"/>
          <w:sz w:val="30"/>
          <w:szCs w:val="30"/>
          <w:highlight w:val="none"/>
        </w:rPr>
        <w:t>附件</w:t>
      </w:r>
      <w:r>
        <w:rPr>
          <w:rFonts w:hint="eastAsia" w:ascii="宋体" w:hAnsi="宋体" w:eastAsia="宋体" w:cs="宋体"/>
          <w:color w:val="auto"/>
          <w:spacing w:val="6"/>
          <w:sz w:val="30"/>
          <w:szCs w:val="30"/>
          <w:highlight w:val="none"/>
          <w:lang w:val="en-US" w:eastAsia="zh-CN"/>
        </w:rPr>
        <w:t>1</w:t>
      </w:r>
      <w:r>
        <w:rPr>
          <w:rFonts w:hint="eastAsia" w:ascii="宋体" w:hAnsi="宋体" w:eastAsia="宋体" w:cs="宋体"/>
          <w:color w:val="auto"/>
          <w:spacing w:val="6"/>
          <w:sz w:val="30"/>
          <w:szCs w:val="30"/>
          <w:highlight w:val="none"/>
        </w:rPr>
        <w:t>：</w:t>
      </w:r>
      <w:bookmarkEnd w:id="164"/>
      <w:bookmarkEnd w:id="165"/>
    </w:p>
    <w:p>
      <w:pPr>
        <w:autoSpaceDE w:val="0"/>
        <w:autoSpaceDN w:val="0"/>
        <w:adjustRightInd w:val="0"/>
        <w:spacing w:line="36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zh-CN"/>
        </w:rPr>
        <w:t>供应商</w:t>
      </w:r>
      <w:r>
        <w:rPr>
          <w:rFonts w:hint="eastAsia" w:ascii="宋体" w:hAnsi="宋体" w:eastAsia="宋体" w:cs="宋体"/>
          <w:b/>
          <w:bCs/>
          <w:color w:val="auto"/>
          <w:kern w:val="0"/>
          <w:sz w:val="32"/>
          <w:szCs w:val="32"/>
          <w:highlight w:val="none"/>
          <w:lang w:val="en-US" w:eastAsia="zh-CN"/>
        </w:rPr>
        <w:t>声明函</w:t>
      </w:r>
    </w:p>
    <w:p>
      <w:pPr>
        <w:autoSpaceDE w:val="0"/>
        <w:autoSpaceDN w:val="0"/>
        <w:adjustRightInd w:val="0"/>
        <w:spacing w:line="360" w:lineRule="auto"/>
        <w:jc w:val="center"/>
        <w:rPr>
          <w:rFonts w:hint="eastAsia" w:ascii="宋体" w:hAnsi="宋体" w:eastAsia="宋体" w:cs="宋体"/>
          <w:color w:val="auto"/>
          <w:kern w:val="0"/>
          <w:sz w:val="36"/>
          <w:szCs w:val="36"/>
          <w:highlight w:val="none"/>
          <w:lang w:val="zh-CN"/>
        </w:rPr>
      </w:pPr>
    </w:p>
    <w:p>
      <w:pPr>
        <w:autoSpaceDE w:val="0"/>
        <w:autoSpaceDN w:val="0"/>
        <w:adjustRightInd w:val="0"/>
        <w:spacing w:line="360" w:lineRule="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val="zh-CN"/>
        </w:rPr>
        <w:t>致：</w:t>
      </w:r>
      <w:r>
        <w:rPr>
          <w:rFonts w:hint="eastAsia" w:ascii="宋体" w:hAnsi="宋体" w:eastAsia="宋体" w:cs="宋体"/>
          <w:color w:val="auto"/>
          <w:kern w:val="0"/>
          <w:sz w:val="24"/>
          <w:szCs w:val="24"/>
          <w:highlight w:val="none"/>
          <w:u w:val="single"/>
          <w:lang w:val="en-US" w:eastAsia="zh-CN"/>
        </w:rPr>
        <w:t xml:space="preserve">                                   </w:t>
      </w:r>
    </w:p>
    <w:p>
      <w:pPr>
        <w:autoSpaceDE w:val="0"/>
        <w:autoSpaceDN w:val="0"/>
        <w:adjustRightIn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关于贵方</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日</w:t>
      </w:r>
      <w:r>
        <w:rPr>
          <w:rFonts w:hint="eastAsia" w:ascii="宋体" w:hAnsi="宋体" w:eastAsia="宋体" w:cs="宋体"/>
          <w:color w:val="auto"/>
          <w:kern w:val="0"/>
          <w:sz w:val="24"/>
          <w:szCs w:val="24"/>
          <w:highlight w:val="none"/>
          <w:u w:val="single"/>
          <w:lang w:val="zh-CN"/>
        </w:rPr>
        <w:t>（项目名称）（项目编号）</w:t>
      </w:r>
      <w:r>
        <w:rPr>
          <w:rFonts w:hint="eastAsia" w:ascii="宋体" w:hAnsi="宋体" w:eastAsia="宋体" w:cs="宋体"/>
          <w:color w:val="auto"/>
          <w:kern w:val="0"/>
          <w:sz w:val="24"/>
          <w:szCs w:val="24"/>
          <w:highlight w:val="none"/>
          <w:lang w:val="zh-CN"/>
        </w:rPr>
        <w:t>采购项目，本签字人愿意参加本次</w:t>
      </w:r>
      <w:r>
        <w:rPr>
          <w:rFonts w:hint="eastAsia" w:ascii="宋体" w:hAnsi="宋体" w:eastAsia="宋体" w:cs="宋体"/>
          <w:color w:val="auto"/>
          <w:kern w:val="0"/>
          <w:sz w:val="24"/>
          <w:szCs w:val="24"/>
          <w:highlight w:val="none"/>
        </w:rPr>
        <w:t>竞争性磋商</w:t>
      </w:r>
      <w:r>
        <w:rPr>
          <w:rFonts w:hint="eastAsia" w:ascii="宋体" w:hAnsi="宋体" w:eastAsia="宋体" w:cs="宋体"/>
          <w:color w:val="auto"/>
          <w:kern w:val="0"/>
          <w:sz w:val="24"/>
          <w:szCs w:val="24"/>
          <w:highlight w:val="none"/>
          <w:lang w:val="zh-CN"/>
        </w:rPr>
        <w:t>，提供采购项目要求中要求的所有</w:t>
      </w:r>
      <w:r>
        <w:rPr>
          <w:rFonts w:hint="eastAsia" w:ascii="宋体" w:hAnsi="宋体" w:cs="宋体"/>
          <w:color w:val="auto"/>
          <w:kern w:val="0"/>
          <w:sz w:val="24"/>
          <w:szCs w:val="24"/>
          <w:highlight w:val="none"/>
          <w:lang w:val="en-US" w:eastAsia="zh-CN"/>
        </w:rPr>
        <w:t>内容</w:t>
      </w:r>
      <w:r>
        <w:rPr>
          <w:rFonts w:hint="eastAsia" w:ascii="宋体" w:hAnsi="宋体" w:eastAsia="宋体" w:cs="宋体"/>
          <w:color w:val="auto"/>
          <w:kern w:val="0"/>
          <w:sz w:val="24"/>
          <w:szCs w:val="24"/>
          <w:highlight w:val="none"/>
          <w:lang w:val="zh-CN"/>
        </w:rPr>
        <w:t>，并证实递交的所有资料是准确的和真实的。同时，我代表</w:t>
      </w:r>
      <w:r>
        <w:rPr>
          <w:rFonts w:hint="eastAsia" w:ascii="宋体" w:hAnsi="宋体" w:eastAsia="宋体" w:cs="宋体"/>
          <w:color w:val="auto"/>
          <w:kern w:val="0"/>
          <w:sz w:val="24"/>
          <w:szCs w:val="24"/>
          <w:highlight w:val="none"/>
          <w:u w:val="single"/>
          <w:lang w:val="zh-CN"/>
        </w:rPr>
        <w:t>（供应商名称）</w:t>
      </w:r>
      <w:r>
        <w:rPr>
          <w:rFonts w:hint="eastAsia" w:ascii="宋体" w:hAnsi="宋体" w:eastAsia="宋体" w:cs="宋体"/>
          <w:color w:val="auto"/>
          <w:kern w:val="0"/>
          <w:sz w:val="24"/>
          <w:szCs w:val="24"/>
          <w:highlight w:val="none"/>
          <w:lang w:val="zh-CN"/>
        </w:rPr>
        <w:t>，在此作如下承诺：</w:t>
      </w:r>
    </w:p>
    <w:p>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1.完全理解和接受磋商文件的一切规定和要求；</w:t>
      </w:r>
    </w:p>
    <w:p>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2.若成交，我方将按照磋商文件的具体规定与采购人签订采购合同，并且严格履行合同义务，按时提供优质的服务。如果在合同执行过程中，发现质量出现问题，我方一定尽快更正，并承担相应的经济责任；</w:t>
      </w:r>
    </w:p>
    <w:p>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3.在参加本次政府采购活动前3年内的经营活动中____（填“没有”或“有”）重大违法记录。供应</w:t>
      </w:r>
      <w:r>
        <w:rPr>
          <w:rFonts w:hint="eastAsia" w:ascii="宋体" w:hAnsi="宋体" w:eastAsia="宋体" w:cs="宋体"/>
          <w:b/>
          <w:bCs/>
          <w:color w:val="auto"/>
          <w:kern w:val="0"/>
          <w:sz w:val="24"/>
          <w:szCs w:val="24"/>
          <w:highlight w:val="none"/>
        </w:rPr>
        <w:t>商在参加政府采购活动前3年内因违法经营被禁止在一定期限内参加政府采购活动，期限届满的，可以参加政府采购活动，但应提供期限届满的证明材料。</w:t>
      </w:r>
    </w:p>
    <w:p>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4.我方______（填“未被列入”或“被列入”）失信被执行人名单。</w:t>
      </w:r>
    </w:p>
    <w:p>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5.我方______（填“未被列入”或“被列入”）重大税收违法案件当事人名单。</w:t>
      </w:r>
    </w:p>
    <w:p>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6.我方______（填“未被列入”或“被列入”）政府采购严重违法失信行为记录名单。</w:t>
      </w:r>
    </w:p>
    <w:p>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如有不实，我方将无条件地退出本项目的采购活动，并遵照《政府采购法》有关“提供虚假材料的规定”接受处罚。</w:t>
      </w:r>
    </w:p>
    <w:p>
      <w:pPr>
        <w:autoSpaceDE w:val="0"/>
        <w:autoSpaceDN w:val="0"/>
        <w:adjustRightInd w:val="0"/>
        <w:spacing w:line="360" w:lineRule="auto"/>
        <w:ind w:firstLine="480"/>
        <w:rPr>
          <w:rFonts w:hint="eastAsia" w:ascii="宋体" w:hAnsi="宋体" w:eastAsia="宋体" w:cs="宋体"/>
          <w:color w:val="auto"/>
          <w:kern w:val="0"/>
          <w:sz w:val="24"/>
          <w:szCs w:val="24"/>
          <w:highlight w:val="none"/>
          <w:lang w:val="zh-CN"/>
        </w:rPr>
      </w:pPr>
    </w:p>
    <w:p>
      <w:pPr>
        <w:autoSpaceDE w:val="0"/>
        <w:autoSpaceDN w:val="0"/>
        <w:adjustRightInd w:val="0"/>
        <w:spacing w:line="360" w:lineRule="auto"/>
        <w:ind w:firstLine="480"/>
        <w:rPr>
          <w:rFonts w:hint="eastAsia" w:ascii="宋体" w:hAnsi="宋体" w:eastAsia="宋体" w:cs="宋体"/>
          <w:color w:val="auto"/>
          <w:kern w:val="0"/>
          <w:sz w:val="24"/>
          <w:szCs w:val="24"/>
          <w:highlight w:val="none"/>
          <w:lang w:val="zh-CN"/>
        </w:rPr>
      </w:pPr>
    </w:p>
    <w:p>
      <w:pPr>
        <w:spacing w:line="360" w:lineRule="auto"/>
        <w:ind w:right="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wordWrap w:val="0"/>
        <w:spacing w:line="360" w:lineRule="auto"/>
        <w:ind w:right="210"/>
        <w:jc w:val="right"/>
        <w:rPr>
          <w:rFonts w:hint="eastAsia" w:ascii="宋体" w:hAnsi="宋体" w:eastAsia="宋体" w:cs="宋体"/>
          <w:color w:val="auto"/>
          <w:sz w:val="24"/>
          <w:szCs w:val="24"/>
          <w:highlight w:val="none"/>
        </w:rPr>
      </w:pPr>
    </w:p>
    <w:p>
      <w:pPr>
        <w:spacing w:line="360" w:lineRule="auto"/>
        <w:ind w:right="63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法定代表人或其被授权代表：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jc w:val="right"/>
        <w:rPr>
          <w:rFonts w:hint="eastAsia" w:ascii="宋体" w:hAnsi="宋体" w:eastAsia="宋体" w:cs="宋体"/>
          <w:color w:val="auto"/>
          <w:sz w:val="24"/>
          <w:szCs w:val="24"/>
          <w:highlight w:val="none"/>
        </w:rPr>
      </w:pPr>
    </w:p>
    <w:p>
      <w:pPr>
        <w:pStyle w:val="3"/>
        <w:spacing w:line="360" w:lineRule="auto"/>
        <w:jc w:val="center"/>
        <w:rPr>
          <w:rFonts w:hint="eastAsia" w:ascii="宋体" w:hAnsi="宋体" w:eastAsia="宋体" w:cs="宋体"/>
          <w:b/>
          <w:color w:val="auto"/>
          <w:sz w:val="56"/>
          <w:szCs w:val="56"/>
          <w:highlight w:val="none"/>
        </w:rPr>
      </w:pPr>
      <w:r>
        <w:rPr>
          <w:rFonts w:hint="eastAsia" w:ascii="宋体" w:hAnsi="宋体" w:eastAsia="宋体" w:cs="宋体"/>
          <w:color w:val="auto"/>
          <w:sz w:val="16"/>
          <w:szCs w:val="24"/>
          <w:highlight w:val="none"/>
        </w:rPr>
        <w:t xml:space="preserve">                                       </w:t>
      </w:r>
      <w:r>
        <w:rPr>
          <w:rFonts w:hint="eastAsia" w:ascii="宋体" w:hAnsi="宋体" w:eastAsia="宋体" w:cs="宋体"/>
          <w:color w:val="auto"/>
          <w:sz w:val="21"/>
          <w:szCs w:val="36"/>
          <w:highlight w:val="none"/>
        </w:rPr>
        <w:t xml:space="preserve">  </w:t>
      </w:r>
      <w:r>
        <w:rPr>
          <w:rFonts w:hint="eastAsia" w:ascii="宋体" w:hAnsi="宋体" w:eastAsia="宋体" w:cs="宋体"/>
          <w:color w:val="auto"/>
          <w:sz w:val="24"/>
          <w:szCs w:val="44"/>
          <w:highlight w:val="none"/>
        </w:rPr>
        <w:t xml:space="preserve">   </w:t>
      </w:r>
      <w:r>
        <w:rPr>
          <w:rFonts w:hint="eastAsia" w:ascii="宋体" w:hAnsi="宋体" w:eastAsia="宋体" w:cs="宋体"/>
          <w:color w:val="auto"/>
          <w:sz w:val="24"/>
          <w:szCs w:val="44"/>
          <w:highlight w:val="none"/>
          <w:u w:val="single"/>
        </w:rPr>
        <w:t xml:space="preserve">         </w:t>
      </w:r>
      <w:r>
        <w:rPr>
          <w:rFonts w:hint="eastAsia" w:ascii="宋体" w:hAnsi="宋体" w:eastAsia="宋体" w:cs="宋体"/>
          <w:color w:val="auto"/>
          <w:sz w:val="24"/>
          <w:szCs w:val="44"/>
          <w:highlight w:val="none"/>
        </w:rPr>
        <w:t>年</w:t>
      </w:r>
      <w:r>
        <w:rPr>
          <w:rFonts w:hint="eastAsia" w:ascii="宋体" w:hAnsi="宋体" w:eastAsia="宋体" w:cs="宋体"/>
          <w:color w:val="auto"/>
          <w:sz w:val="24"/>
          <w:szCs w:val="44"/>
          <w:highlight w:val="none"/>
          <w:u w:val="single"/>
        </w:rPr>
        <w:t xml:space="preserve">       </w:t>
      </w:r>
      <w:r>
        <w:rPr>
          <w:rFonts w:hint="eastAsia" w:ascii="宋体" w:hAnsi="宋体" w:eastAsia="宋体" w:cs="宋体"/>
          <w:color w:val="auto"/>
          <w:sz w:val="24"/>
          <w:szCs w:val="44"/>
          <w:highlight w:val="none"/>
        </w:rPr>
        <w:t>月</w:t>
      </w:r>
      <w:r>
        <w:rPr>
          <w:rFonts w:hint="eastAsia" w:ascii="宋体" w:hAnsi="宋体" w:eastAsia="宋体" w:cs="宋体"/>
          <w:color w:val="auto"/>
          <w:sz w:val="24"/>
          <w:szCs w:val="44"/>
          <w:highlight w:val="none"/>
          <w:u w:val="single"/>
        </w:rPr>
        <w:t xml:space="preserve">       </w:t>
      </w:r>
      <w:r>
        <w:rPr>
          <w:rFonts w:hint="eastAsia" w:ascii="宋体" w:hAnsi="宋体" w:eastAsia="宋体" w:cs="宋体"/>
          <w:color w:val="auto"/>
          <w:sz w:val="24"/>
          <w:szCs w:val="44"/>
          <w:highlight w:val="none"/>
        </w:rPr>
        <w:t>日</w:t>
      </w:r>
    </w:p>
    <w:p>
      <w:pPr>
        <w:spacing w:line="360" w:lineRule="auto"/>
        <w:jc w:val="left"/>
        <w:outlineLvl w:val="9"/>
        <w:rPr>
          <w:rFonts w:hint="eastAsia" w:ascii="宋体" w:hAnsi="宋体" w:eastAsia="宋体" w:cs="宋体"/>
          <w:color w:val="auto"/>
          <w:spacing w:val="6"/>
          <w:sz w:val="30"/>
          <w:szCs w:val="30"/>
          <w:highlight w:val="none"/>
        </w:rPr>
      </w:pPr>
    </w:p>
    <w:p>
      <w:pPr>
        <w:pStyle w:val="3"/>
        <w:spacing w:line="360" w:lineRule="auto"/>
        <w:rPr>
          <w:rFonts w:hint="eastAsia" w:ascii="宋体" w:hAnsi="宋体" w:eastAsia="宋体" w:cs="宋体"/>
          <w:color w:val="auto"/>
          <w:spacing w:val="6"/>
          <w:sz w:val="30"/>
          <w:szCs w:val="30"/>
          <w:highlight w:val="none"/>
        </w:rPr>
      </w:pPr>
    </w:p>
    <w:p>
      <w:pPr>
        <w:spacing w:line="360" w:lineRule="auto"/>
        <w:jc w:val="left"/>
        <w:outlineLvl w:val="9"/>
        <w:rPr>
          <w:rFonts w:hint="eastAsia" w:ascii="宋体" w:hAnsi="宋体" w:eastAsia="宋体" w:cs="宋体"/>
          <w:color w:val="auto"/>
          <w:spacing w:val="6"/>
          <w:sz w:val="30"/>
          <w:szCs w:val="30"/>
          <w:highlight w:val="none"/>
        </w:rPr>
      </w:pPr>
      <w:bookmarkStart w:id="166" w:name="_Toc10095"/>
      <w:bookmarkStart w:id="167" w:name="_Toc3763"/>
      <w:r>
        <w:rPr>
          <w:rFonts w:hint="eastAsia" w:ascii="宋体" w:hAnsi="宋体" w:eastAsia="宋体" w:cs="宋体"/>
          <w:color w:val="auto"/>
          <w:spacing w:val="6"/>
          <w:sz w:val="30"/>
          <w:szCs w:val="30"/>
          <w:highlight w:val="none"/>
        </w:rPr>
        <w:t>附件</w:t>
      </w:r>
      <w:r>
        <w:rPr>
          <w:rFonts w:hint="eastAsia" w:ascii="宋体" w:hAnsi="宋体" w:eastAsia="宋体" w:cs="宋体"/>
          <w:color w:val="auto"/>
          <w:spacing w:val="6"/>
          <w:sz w:val="30"/>
          <w:szCs w:val="30"/>
          <w:highlight w:val="none"/>
          <w:lang w:val="en-US" w:eastAsia="zh-CN"/>
        </w:rPr>
        <w:t>2</w:t>
      </w:r>
      <w:r>
        <w:rPr>
          <w:rFonts w:hint="eastAsia" w:ascii="宋体" w:hAnsi="宋体" w:eastAsia="宋体" w:cs="宋体"/>
          <w:color w:val="auto"/>
          <w:spacing w:val="6"/>
          <w:sz w:val="30"/>
          <w:szCs w:val="30"/>
          <w:highlight w:val="none"/>
        </w:rPr>
        <w:t>：</w:t>
      </w:r>
      <w:bookmarkEnd w:id="166"/>
      <w:bookmarkEnd w:id="167"/>
    </w:p>
    <w:p>
      <w:pPr>
        <w:spacing w:line="360" w:lineRule="auto"/>
        <w:jc w:val="center"/>
        <w:outlineLvl w:val="9"/>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拟派项目经理承诺书</w:t>
      </w:r>
    </w:p>
    <w:p>
      <w:pPr>
        <w:pStyle w:val="3"/>
        <w:spacing w:line="360" w:lineRule="auto"/>
        <w:ind w:firstLine="602"/>
        <w:jc w:val="center"/>
        <w:rPr>
          <w:rFonts w:hint="eastAsia" w:ascii="宋体" w:hAnsi="宋体" w:eastAsia="宋体" w:cs="宋体"/>
          <w:b/>
          <w:color w:val="auto"/>
          <w:sz w:val="30"/>
          <w:szCs w:val="30"/>
          <w:highlight w:val="none"/>
        </w:rPr>
      </w:pPr>
    </w:p>
    <w:p>
      <w:pPr>
        <w:spacing w:after="312" w:afterLines="10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我方在此声明，我方拟派往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（招标项目名称）（以下简称“本工程”）的项目经理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（项目经理姓名）</w:t>
      </w:r>
      <w:r>
        <w:rPr>
          <w:rFonts w:hint="eastAsia" w:ascii="宋体" w:hAnsi="宋体" w:eastAsia="宋体" w:cs="宋体"/>
          <w:color w:val="auto"/>
          <w:sz w:val="24"/>
          <w:szCs w:val="24"/>
          <w:highlight w:val="none"/>
          <w:lang w:val="en-US" w:eastAsia="zh-CN"/>
        </w:rPr>
        <w:t>,无不良记录、</w:t>
      </w:r>
      <w:r>
        <w:rPr>
          <w:rFonts w:hint="eastAsia" w:ascii="宋体" w:hAnsi="宋体" w:eastAsia="宋体" w:cs="宋体"/>
          <w:color w:val="auto"/>
          <w:sz w:val="24"/>
          <w:szCs w:val="24"/>
          <w:highlight w:val="none"/>
        </w:rPr>
        <w:t>没有担任任何在建设工程项目</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所有内容和资料均真实、有效、准确，并愿意承担因我方就此弄虚作假所引起的一切法律后果。</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right="420"/>
        <w:jc w:val="cente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4"/>
          <w:highlight w:val="none"/>
        </w:rPr>
        <w:t xml:space="preserve"> 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wordWrap w:val="0"/>
        <w:spacing w:line="360" w:lineRule="auto"/>
        <w:ind w:right="210"/>
        <w:jc w:val="right"/>
        <w:rPr>
          <w:rFonts w:hint="eastAsia" w:ascii="宋体" w:hAnsi="宋体" w:eastAsia="宋体" w:cs="宋体"/>
          <w:color w:val="auto"/>
          <w:sz w:val="24"/>
          <w:szCs w:val="24"/>
          <w:highlight w:val="none"/>
        </w:rPr>
      </w:pPr>
    </w:p>
    <w:p>
      <w:pPr>
        <w:spacing w:line="360" w:lineRule="auto"/>
        <w:ind w:right="63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法定代表人或其被授权代表：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jc w:val="right"/>
        <w:rPr>
          <w:rFonts w:hint="eastAsia" w:ascii="宋体" w:hAnsi="宋体" w:eastAsia="宋体" w:cs="宋体"/>
          <w:color w:val="auto"/>
          <w:sz w:val="24"/>
          <w:szCs w:val="24"/>
          <w:highlight w:val="none"/>
        </w:rPr>
      </w:pPr>
    </w:p>
    <w:p>
      <w:pPr>
        <w:pStyle w:val="3"/>
        <w:spacing w:line="360" w:lineRule="auto"/>
        <w:jc w:val="center"/>
        <w:rPr>
          <w:rFonts w:hint="eastAsia" w:ascii="宋体" w:hAnsi="宋体" w:eastAsia="宋体" w:cs="宋体"/>
          <w:b/>
          <w:color w:val="auto"/>
          <w:sz w:val="56"/>
          <w:szCs w:val="56"/>
          <w:highlight w:val="none"/>
        </w:rPr>
      </w:pPr>
      <w:r>
        <w:rPr>
          <w:rFonts w:hint="eastAsia" w:ascii="宋体" w:hAnsi="宋体" w:eastAsia="宋体" w:cs="宋体"/>
          <w:color w:val="auto"/>
          <w:sz w:val="16"/>
          <w:szCs w:val="24"/>
          <w:highlight w:val="none"/>
        </w:rPr>
        <w:t xml:space="preserve">                                       </w:t>
      </w:r>
      <w:r>
        <w:rPr>
          <w:rFonts w:hint="eastAsia" w:ascii="宋体" w:hAnsi="宋体" w:eastAsia="宋体" w:cs="宋体"/>
          <w:color w:val="auto"/>
          <w:sz w:val="21"/>
          <w:szCs w:val="36"/>
          <w:highlight w:val="none"/>
        </w:rPr>
        <w:t xml:space="preserve">  </w:t>
      </w:r>
      <w:r>
        <w:rPr>
          <w:rFonts w:hint="eastAsia" w:ascii="宋体" w:hAnsi="宋体" w:eastAsia="宋体" w:cs="宋体"/>
          <w:color w:val="auto"/>
          <w:sz w:val="24"/>
          <w:szCs w:val="44"/>
          <w:highlight w:val="none"/>
        </w:rPr>
        <w:t xml:space="preserve">   </w:t>
      </w:r>
      <w:r>
        <w:rPr>
          <w:rFonts w:hint="eastAsia" w:ascii="宋体" w:hAnsi="宋体" w:eastAsia="宋体" w:cs="宋体"/>
          <w:color w:val="auto"/>
          <w:sz w:val="24"/>
          <w:szCs w:val="44"/>
          <w:highlight w:val="none"/>
          <w:u w:val="single"/>
        </w:rPr>
        <w:t xml:space="preserve">         </w:t>
      </w:r>
      <w:r>
        <w:rPr>
          <w:rFonts w:hint="eastAsia" w:ascii="宋体" w:hAnsi="宋体" w:eastAsia="宋体" w:cs="宋体"/>
          <w:color w:val="auto"/>
          <w:sz w:val="24"/>
          <w:szCs w:val="44"/>
          <w:highlight w:val="none"/>
        </w:rPr>
        <w:t>年</w:t>
      </w:r>
      <w:r>
        <w:rPr>
          <w:rFonts w:hint="eastAsia" w:ascii="宋体" w:hAnsi="宋体" w:eastAsia="宋体" w:cs="宋体"/>
          <w:color w:val="auto"/>
          <w:sz w:val="24"/>
          <w:szCs w:val="44"/>
          <w:highlight w:val="none"/>
          <w:u w:val="single"/>
        </w:rPr>
        <w:t xml:space="preserve">       </w:t>
      </w:r>
      <w:r>
        <w:rPr>
          <w:rFonts w:hint="eastAsia" w:ascii="宋体" w:hAnsi="宋体" w:eastAsia="宋体" w:cs="宋体"/>
          <w:color w:val="auto"/>
          <w:sz w:val="24"/>
          <w:szCs w:val="44"/>
          <w:highlight w:val="none"/>
        </w:rPr>
        <w:t>月</w:t>
      </w:r>
      <w:r>
        <w:rPr>
          <w:rFonts w:hint="eastAsia" w:ascii="宋体" w:hAnsi="宋体" w:eastAsia="宋体" w:cs="宋体"/>
          <w:color w:val="auto"/>
          <w:sz w:val="24"/>
          <w:szCs w:val="44"/>
          <w:highlight w:val="none"/>
          <w:u w:val="single"/>
        </w:rPr>
        <w:t xml:space="preserve">       </w:t>
      </w:r>
      <w:r>
        <w:rPr>
          <w:rFonts w:hint="eastAsia" w:ascii="宋体" w:hAnsi="宋体" w:eastAsia="宋体" w:cs="宋体"/>
          <w:color w:val="auto"/>
          <w:sz w:val="24"/>
          <w:szCs w:val="44"/>
          <w:highlight w:val="none"/>
        </w:rPr>
        <w:t>日</w:t>
      </w:r>
    </w:p>
    <w:p>
      <w:pPr>
        <w:spacing w:line="360" w:lineRule="auto"/>
        <w:jc w:val="left"/>
        <w:outlineLvl w:val="9"/>
        <w:rPr>
          <w:rFonts w:hint="eastAsia" w:ascii="宋体" w:hAnsi="宋体" w:eastAsia="宋体" w:cs="宋体"/>
          <w:color w:val="auto"/>
          <w:spacing w:val="6"/>
          <w:sz w:val="30"/>
          <w:szCs w:val="30"/>
          <w:highlight w:val="none"/>
        </w:rPr>
      </w:pPr>
    </w:p>
    <w:p>
      <w:pPr>
        <w:spacing w:line="360" w:lineRule="auto"/>
        <w:jc w:val="left"/>
        <w:outlineLvl w:val="9"/>
        <w:rPr>
          <w:rFonts w:hint="eastAsia" w:ascii="宋体" w:hAnsi="宋体" w:eastAsia="宋体" w:cs="宋体"/>
          <w:color w:val="auto"/>
          <w:spacing w:val="6"/>
          <w:sz w:val="30"/>
          <w:szCs w:val="30"/>
          <w:highlight w:val="none"/>
        </w:rPr>
      </w:pPr>
    </w:p>
    <w:p>
      <w:pPr>
        <w:spacing w:line="360" w:lineRule="auto"/>
        <w:jc w:val="left"/>
        <w:outlineLvl w:val="9"/>
        <w:rPr>
          <w:rFonts w:hint="eastAsia" w:ascii="宋体" w:hAnsi="宋体" w:eastAsia="宋体" w:cs="宋体"/>
          <w:color w:val="auto"/>
          <w:spacing w:val="6"/>
          <w:sz w:val="30"/>
          <w:szCs w:val="30"/>
          <w:highlight w:val="none"/>
        </w:rPr>
      </w:pPr>
    </w:p>
    <w:p>
      <w:pPr>
        <w:pStyle w:val="3"/>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3"/>
        <w:spacing w:line="360" w:lineRule="auto"/>
        <w:rPr>
          <w:rFonts w:hint="eastAsia" w:ascii="宋体" w:hAnsi="宋体" w:eastAsia="宋体" w:cs="宋体"/>
          <w:color w:val="auto"/>
          <w:highlight w:val="none"/>
        </w:rPr>
      </w:pPr>
    </w:p>
    <w:p>
      <w:pPr>
        <w:rPr>
          <w:rFonts w:hint="eastAsia"/>
          <w:highlight w:val="none"/>
        </w:rPr>
      </w:pPr>
    </w:p>
    <w:p>
      <w:pPr>
        <w:spacing w:line="360" w:lineRule="auto"/>
        <w:jc w:val="left"/>
        <w:outlineLvl w:val="9"/>
        <w:rPr>
          <w:rFonts w:hint="eastAsia" w:ascii="宋体" w:hAnsi="宋体" w:eastAsia="宋体" w:cs="宋体"/>
          <w:color w:val="auto"/>
          <w:spacing w:val="6"/>
          <w:sz w:val="30"/>
          <w:szCs w:val="30"/>
          <w:highlight w:val="none"/>
        </w:rPr>
      </w:pPr>
      <w:bookmarkStart w:id="168" w:name="_Toc25171"/>
      <w:bookmarkStart w:id="169" w:name="_Toc14853"/>
      <w:r>
        <w:rPr>
          <w:rFonts w:hint="eastAsia" w:ascii="宋体" w:hAnsi="宋体" w:eastAsia="宋体" w:cs="宋体"/>
          <w:color w:val="auto"/>
          <w:spacing w:val="6"/>
          <w:sz w:val="30"/>
          <w:szCs w:val="30"/>
          <w:highlight w:val="none"/>
        </w:rPr>
        <w:t>附件</w:t>
      </w:r>
      <w:r>
        <w:rPr>
          <w:rFonts w:hint="eastAsia" w:ascii="宋体" w:hAnsi="宋体" w:eastAsia="宋体" w:cs="宋体"/>
          <w:color w:val="auto"/>
          <w:spacing w:val="6"/>
          <w:sz w:val="30"/>
          <w:szCs w:val="30"/>
          <w:highlight w:val="none"/>
          <w:lang w:val="en-US" w:eastAsia="zh-CN"/>
        </w:rPr>
        <w:t>3</w:t>
      </w:r>
      <w:r>
        <w:rPr>
          <w:rFonts w:hint="eastAsia" w:ascii="宋体" w:hAnsi="宋体" w:eastAsia="宋体" w:cs="宋体"/>
          <w:color w:val="auto"/>
          <w:spacing w:val="6"/>
          <w:sz w:val="30"/>
          <w:szCs w:val="30"/>
          <w:highlight w:val="none"/>
        </w:rPr>
        <w:t>：</w:t>
      </w:r>
      <w:bookmarkEnd w:id="168"/>
      <w:bookmarkEnd w:id="169"/>
    </w:p>
    <w:p>
      <w:pPr>
        <w:spacing w:line="360" w:lineRule="auto"/>
        <w:jc w:val="center"/>
        <w:outlineLvl w:val="9"/>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供应商企业关系关联承诺书</w:t>
      </w:r>
    </w:p>
    <w:p>
      <w:pPr>
        <w:autoSpaceDE w:val="0"/>
        <w:autoSpaceDN w:val="0"/>
        <w:adjustRightInd w:val="0"/>
        <w:spacing w:line="360" w:lineRule="auto"/>
        <w:rPr>
          <w:rFonts w:hint="eastAsia" w:ascii="宋体" w:hAnsi="宋体" w:eastAsia="宋体" w:cs="宋体"/>
          <w:color w:val="auto"/>
          <w:sz w:val="24"/>
          <w:szCs w:val="24"/>
          <w:highlight w:val="none"/>
        </w:rPr>
      </w:pPr>
    </w:p>
    <w:p>
      <w:pPr>
        <w:numPr>
          <w:ilvl w:val="0"/>
          <w:numId w:val="6"/>
        </w:num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供应商在本项目</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中，不存在与其它供应商负责人为同一人，有控股、管理等关联关系承诺。</w:t>
      </w:r>
    </w:p>
    <w:p>
      <w:pPr>
        <w:snapToGrid w:val="0"/>
        <w:spacing w:line="360" w:lineRule="auto"/>
        <w:outlineLvl w:val="9"/>
        <w:rPr>
          <w:rFonts w:hint="eastAsia" w:ascii="宋体" w:hAnsi="宋体" w:eastAsia="宋体" w:cs="宋体"/>
          <w:color w:val="auto"/>
          <w:sz w:val="24"/>
          <w:szCs w:val="24"/>
          <w:highlight w:val="none"/>
        </w:rPr>
      </w:pPr>
      <w:bookmarkStart w:id="170" w:name="_Toc9128"/>
      <w:bookmarkStart w:id="171" w:name="_Toc786"/>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-1、管理关系说明：</w:t>
      </w:r>
      <w:bookmarkEnd w:id="170"/>
      <w:bookmarkEnd w:id="171"/>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outlineLvl w:val="9"/>
        <w:rPr>
          <w:rFonts w:hint="eastAsia" w:ascii="宋体" w:hAnsi="宋体" w:eastAsia="宋体" w:cs="宋体"/>
          <w:color w:val="auto"/>
          <w:sz w:val="24"/>
          <w:szCs w:val="24"/>
          <w:highlight w:val="none"/>
        </w:rPr>
      </w:pPr>
      <w:bookmarkStart w:id="172" w:name="_Toc17264"/>
      <w:bookmarkStart w:id="173" w:name="_Toc14782"/>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-2、股权关系说明：</w:t>
      </w:r>
      <w:bookmarkEnd w:id="172"/>
      <w:bookmarkEnd w:id="173"/>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 xml:space="preserve">、 </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（是或否） </w:t>
      </w:r>
      <w:r>
        <w:rPr>
          <w:rFonts w:hint="eastAsia" w:ascii="宋体" w:hAnsi="宋体" w:eastAsia="宋体" w:cs="宋体"/>
          <w:bCs/>
          <w:color w:val="auto"/>
          <w:sz w:val="24"/>
          <w:szCs w:val="24"/>
          <w:highlight w:val="none"/>
        </w:rPr>
        <w:t>为采购项目提供整体设计、规范编制或者项目管理、监理、检测等服务的供应商。</w:t>
      </w:r>
    </w:p>
    <w:p>
      <w:pPr>
        <w:autoSpaceDE w:val="0"/>
        <w:autoSpaceDN w:val="0"/>
        <w:adjustRightInd w:val="0"/>
        <w:spacing w:line="360" w:lineRule="auto"/>
        <w:rPr>
          <w:rFonts w:hint="eastAsia" w:ascii="宋体" w:hAnsi="宋体" w:eastAsia="宋体" w:cs="宋体"/>
          <w:color w:val="auto"/>
          <w:sz w:val="24"/>
          <w:szCs w:val="24"/>
          <w:highlight w:val="none"/>
        </w:rPr>
      </w:pP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pPr>
        <w:autoSpaceDE w:val="0"/>
        <w:autoSpaceDN w:val="0"/>
        <w:adjustRightInd w:val="0"/>
        <w:spacing w:line="360" w:lineRule="auto"/>
        <w:rPr>
          <w:rFonts w:hint="eastAsia" w:ascii="宋体" w:hAnsi="宋体" w:eastAsia="宋体" w:cs="宋体"/>
          <w:color w:val="auto"/>
          <w:sz w:val="24"/>
          <w:szCs w:val="24"/>
          <w:highlight w:val="none"/>
        </w:rPr>
      </w:pPr>
    </w:p>
    <w:p>
      <w:pPr>
        <w:spacing w:line="360" w:lineRule="auto"/>
        <w:ind w:right="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wordWrap w:val="0"/>
        <w:spacing w:line="360" w:lineRule="auto"/>
        <w:ind w:right="210"/>
        <w:jc w:val="right"/>
        <w:rPr>
          <w:rFonts w:hint="eastAsia" w:ascii="宋体" w:hAnsi="宋体" w:eastAsia="宋体" w:cs="宋体"/>
          <w:color w:val="auto"/>
          <w:sz w:val="24"/>
          <w:szCs w:val="24"/>
          <w:highlight w:val="none"/>
        </w:rPr>
      </w:pPr>
    </w:p>
    <w:p>
      <w:pPr>
        <w:spacing w:line="360" w:lineRule="auto"/>
        <w:ind w:right="63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法定代表人或其被授权代表：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jc w:val="right"/>
        <w:rPr>
          <w:rFonts w:hint="eastAsia" w:ascii="宋体" w:hAnsi="宋体" w:eastAsia="宋体" w:cs="宋体"/>
          <w:color w:val="auto"/>
          <w:sz w:val="24"/>
          <w:szCs w:val="24"/>
          <w:highlight w:val="none"/>
        </w:rPr>
      </w:pPr>
    </w:p>
    <w:p>
      <w:pPr>
        <w:pStyle w:val="3"/>
        <w:spacing w:line="360" w:lineRule="auto"/>
        <w:jc w:val="center"/>
        <w:rPr>
          <w:rFonts w:hint="eastAsia" w:ascii="宋体" w:hAnsi="宋体" w:eastAsia="宋体" w:cs="宋体"/>
          <w:b/>
          <w:color w:val="auto"/>
          <w:sz w:val="56"/>
          <w:szCs w:val="56"/>
          <w:highlight w:val="none"/>
        </w:rPr>
      </w:pPr>
      <w:r>
        <w:rPr>
          <w:rFonts w:hint="eastAsia" w:ascii="宋体" w:hAnsi="宋体" w:eastAsia="宋体" w:cs="宋体"/>
          <w:color w:val="auto"/>
          <w:sz w:val="16"/>
          <w:szCs w:val="24"/>
          <w:highlight w:val="none"/>
        </w:rPr>
        <w:t xml:space="preserve">                                       </w:t>
      </w:r>
      <w:r>
        <w:rPr>
          <w:rFonts w:hint="eastAsia" w:ascii="宋体" w:hAnsi="宋体" w:eastAsia="宋体" w:cs="宋体"/>
          <w:color w:val="auto"/>
          <w:sz w:val="21"/>
          <w:szCs w:val="36"/>
          <w:highlight w:val="none"/>
        </w:rPr>
        <w:t xml:space="preserve">  </w:t>
      </w:r>
      <w:r>
        <w:rPr>
          <w:rFonts w:hint="eastAsia" w:ascii="宋体" w:hAnsi="宋体" w:eastAsia="宋体" w:cs="宋体"/>
          <w:color w:val="auto"/>
          <w:sz w:val="24"/>
          <w:szCs w:val="44"/>
          <w:highlight w:val="none"/>
        </w:rPr>
        <w:t xml:space="preserve">   </w:t>
      </w:r>
      <w:r>
        <w:rPr>
          <w:rFonts w:hint="eastAsia" w:ascii="宋体" w:hAnsi="宋体" w:eastAsia="宋体" w:cs="宋体"/>
          <w:color w:val="auto"/>
          <w:sz w:val="24"/>
          <w:szCs w:val="44"/>
          <w:highlight w:val="none"/>
          <w:u w:val="single"/>
        </w:rPr>
        <w:t xml:space="preserve">         </w:t>
      </w:r>
      <w:r>
        <w:rPr>
          <w:rFonts w:hint="eastAsia" w:ascii="宋体" w:hAnsi="宋体" w:eastAsia="宋体" w:cs="宋体"/>
          <w:color w:val="auto"/>
          <w:sz w:val="24"/>
          <w:szCs w:val="44"/>
          <w:highlight w:val="none"/>
        </w:rPr>
        <w:t>年</w:t>
      </w:r>
      <w:r>
        <w:rPr>
          <w:rFonts w:hint="eastAsia" w:ascii="宋体" w:hAnsi="宋体" w:eastAsia="宋体" w:cs="宋体"/>
          <w:color w:val="auto"/>
          <w:sz w:val="24"/>
          <w:szCs w:val="44"/>
          <w:highlight w:val="none"/>
          <w:u w:val="single"/>
        </w:rPr>
        <w:t xml:space="preserve">       </w:t>
      </w:r>
      <w:r>
        <w:rPr>
          <w:rFonts w:hint="eastAsia" w:ascii="宋体" w:hAnsi="宋体" w:eastAsia="宋体" w:cs="宋体"/>
          <w:color w:val="auto"/>
          <w:sz w:val="24"/>
          <w:szCs w:val="44"/>
          <w:highlight w:val="none"/>
        </w:rPr>
        <w:t>月</w:t>
      </w:r>
      <w:r>
        <w:rPr>
          <w:rFonts w:hint="eastAsia" w:ascii="宋体" w:hAnsi="宋体" w:eastAsia="宋体" w:cs="宋体"/>
          <w:color w:val="auto"/>
          <w:sz w:val="24"/>
          <w:szCs w:val="44"/>
          <w:highlight w:val="none"/>
          <w:u w:val="single"/>
        </w:rPr>
        <w:t xml:space="preserve">       </w:t>
      </w:r>
      <w:r>
        <w:rPr>
          <w:rFonts w:hint="eastAsia" w:ascii="宋体" w:hAnsi="宋体" w:eastAsia="宋体" w:cs="宋体"/>
          <w:color w:val="auto"/>
          <w:sz w:val="24"/>
          <w:szCs w:val="44"/>
          <w:highlight w:val="none"/>
        </w:rPr>
        <w:t>日</w:t>
      </w:r>
    </w:p>
    <w:p>
      <w:pPr>
        <w:pStyle w:val="3"/>
        <w:spacing w:line="360" w:lineRule="auto"/>
        <w:ind w:firstLine="602"/>
        <w:jc w:val="left"/>
        <w:rPr>
          <w:rFonts w:hint="eastAsia" w:ascii="宋体" w:hAnsi="宋体" w:eastAsia="宋体" w:cs="宋体"/>
          <w:b/>
          <w:color w:val="auto"/>
          <w:sz w:val="30"/>
          <w:szCs w:val="30"/>
          <w:highlight w:val="none"/>
          <w:lang w:eastAsia="zh-CN"/>
        </w:rPr>
      </w:pPr>
    </w:p>
    <w:p>
      <w:pPr>
        <w:pStyle w:val="3"/>
        <w:spacing w:line="360" w:lineRule="auto"/>
        <w:ind w:firstLine="602"/>
        <w:jc w:val="left"/>
        <w:rPr>
          <w:rFonts w:hint="eastAsia" w:ascii="宋体" w:hAnsi="宋体" w:eastAsia="宋体" w:cs="宋体"/>
          <w:b/>
          <w:color w:val="auto"/>
          <w:sz w:val="30"/>
          <w:szCs w:val="30"/>
          <w:highlight w:val="none"/>
          <w:lang w:eastAsia="zh-CN"/>
        </w:rPr>
      </w:pPr>
    </w:p>
    <w:p>
      <w:pPr>
        <w:spacing w:line="360" w:lineRule="auto"/>
        <w:rPr>
          <w:rFonts w:hint="eastAsia" w:ascii="宋体" w:hAnsi="宋体" w:eastAsia="宋体" w:cs="宋体"/>
          <w:b/>
          <w:color w:val="auto"/>
          <w:sz w:val="30"/>
          <w:szCs w:val="30"/>
          <w:highlight w:val="none"/>
          <w:lang w:eastAsia="zh-CN"/>
        </w:rPr>
      </w:pPr>
    </w:p>
    <w:p>
      <w:pPr>
        <w:pStyle w:val="3"/>
        <w:spacing w:line="360" w:lineRule="auto"/>
        <w:rPr>
          <w:rFonts w:hint="eastAsia" w:ascii="宋体" w:hAnsi="宋体" w:eastAsia="宋体" w:cs="宋体"/>
          <w:b/>
          <w:color w:val="auto"/>
          <w:sz w:val="30"/>
          <w:szCs w:val="30"/>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jc w:val="left"/>
        <w:outlineLvl w:val="9"/>
        <w:rPr>
          <w:rFonts w:hint="eastAsia" w:ascii="宋体" w:hAnsi="宋体" w:eastAsia="宋体" w:cs="宋体"/>
          <w:color w:val="auto"/>
          <w:spacing w:val="6"/>
          <w:sz w:val="30"/>
          <w:szCs w:val="30"/>
          <w:highlight w:val="none"/>
        </w:rPr>
      </w:pPr>
      <w:bookmarkStart w:id="174" w:name="_Toc17597"/>
    </w:p>
    <w:p>
      <w:pPr>
        <w:pStyle w:val="13"/>
        <w:ind w:left="0" w:leftChars="0" w:firstLine="0" w:firstLineChars="0"/>
        <w:rPr>
          <w:rFonts w:hint="eastAsia"/>
          <w:highlight w:val="none"/>
        </w:rPr>
      </w:pPr>
    </w:p>
    <w:p>
      <w:pPr>
        <w:spacing w:line="360" w:lineRule="auto"/>
        <w:jc w:val="left"/>
        <w:outlineLvl w:val="9"/>
        <w:rPr>
          <w:rFonts w:hint="eastAsia" w:ascii="宋体" w:hAnsi="宋体" w:eastAsia="宋体" w:cs="宋体"/>
          <w:b/>
          <w:color w:val="auto"/>
          <w:sz w:val="30"/>
          <w:szCs w:val="30"/>
          <w:highlight w:val="none"/>
          <w:lang w:eastAsia="zh-CN"/>
        </w:rPr>
      </w:pPr>
      <w:bookmarkStart w:id="175" w:name="_Toc5626"/>
      <w:bookmarkStart w:id="176" w:name="_Toc32046"/>
      <w:r>
        <w:rPr>
          <w:rFonts w:hint="eastAsia" w:ascii="宋体" w:hAnsi="宋体" w:eastAsia="宋体" w:cs="宋体"/>
          <w:color w:val="auto"/>
          <w:spacing w:val="6"/>
          <w:sz w:val="30"/>
          <w:szCs w:val="30"/>
          <w:highlight w:val="none"/>
        </w:rPr>
        <w:t>附件</w:t>
      </w:r>
      <w:r>
        <w:rPr>
          <w:rFonts w:hint="eastAsia" w:ascii="宋体" w:hAnsi="宋体" w:eastAsia="宋体" w:cs="宋体"/>
          <w:color w:val="auto"/>
          <w:spacing w:val="6"/>
          <w:sz w:val="30"/>
          <w:szCs w:val="30"/>
          <w:highlight w:val="none"/>
          <w:lang w:val="en-US" w:eastAsia="zh-CN"/>
        </w:rPr>
        <w:t>4</w:t>
      </w:r>
      <w:bookmarkEnd w:id="175"/>
      <w:bookmarkEnd w:id="176"/>
    </w:p>
    <w:p>
      <w:pPr>
        <w:spacing w:line="360" w:lineRule="auto"/>
        <w:jc w:val="center"/>
        <w:outlineLvl w:val="9"/>
        <w:rPr>
          <w:rFonts w:hint="eastAsia" w:ascii="宋体" w:hAnsi="宋体" w:eastAsia="宋体" w:cs="宋体"/>
          <w:b/>
          <w:bCs/>
          <w:color w:val="auto"/>
          <w:kern w:val="0"/>
          <w:sz w:val="32"/>
          <w:szCs w:val="32"/>
          <w:highlight w:val="none"/>
          <w:lang w:val="zh-CN" w:eastAsia="zh-CN" w:bidi="ar-SA"/>
        </w:rPr>
      </w:pPr>
      <w:bookmarkStart w:id="177" w:name="_Toc2270"/>
      <w:r>
        <w:rPr>
          <w:rFonts w:hint="eastAsia" w:ascii="宋体" w:hAnsi="宋体" w:eastAsia="宋体" w:cs="宋体"/>
          <w:b/>
          <w:bCs/>
          <w:color w:val="auto"/>
          <w:kern w:val="0"/>
          <w:sz w:val="32"/>
          <w:szCs w:val="32"/>
          <w:highlight w:val="none"/>
          <w:lang w:val="zh-CN" w:eastAsia="zh-CN" w:bidi="ar-SA"/>
        </w:rPr>
        <w:t>中小企业声明函（工程、服务）</w:t>
      </w:r>
      <w:bookmarkEnd w:id="177"/>
    </w:p>
    <w:p>
      <w:pPr>
        <w:pStyle w:val="2"/>
        <w:spacing w:before="55" w:after="0" w:line="360" w:lineRule="auto"/>
        <w:ind w:firstLine="640"/>
        <w:jc w:val="left"/>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2"/>
          <w:sz w:val="24"/>
          <w:szCs w:val="24"/>
          <w:highlight w:val="none"/>
          <w:u w:val="single"/>
        </w:rPr>
        <w:t>（单位名称）</w:t>
      </w:r>
      <w:r>
        <w:rPr>
          <w:rFonts w:hint="eastAsia" w:ascii="宋体" w:hAnsi="宋体" w:eastAsia="宋体" w:cs="宋体"/>
          <w:color w:val="auto"/>
          <w:spacing w:val="-2"/>
          <w:sz w:val="24"/>
          <w:szCs w:val="24"/>
          <w:highlight w:val="none"/>
        </w:rPr>
        <w:t>的</w:t>
      </w:r>
      <w:r>
        <w:rPr>
          <w:rFonts w:hint="eastAsia" w:ascii="宋体" w:hAnsi="宋体" w:eastAsia="宋体" w:cs="宋体"/>
          <w:color w:val="auto"/>
          <w:spacing w:val="-2"/>
          <w:sz w:val="24"/>
          <w:szCs w:val="24"/>
          <w:highlight w:val="none"/>
          <w:u w:val="single"/>
        </w:rPr>
        <w:t>（项目名称）</w:t>
      </w:r>
      <w:r>
        <w:rPr>
          <w:rFonts w:hint="eastAsia" w:ascii="宋体" w:hAnsi="宋体" w:eastAsia="宋体" w:cs="宋体"/>
          <w:color w:val="auto"/>
          <w:spacing w:val="-2"/>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31"/>
        <w:numPr>
          <w:ilvl w:val="0"/>
          <w:numId w:val="0"/>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u w:val="single"/>
          <w:lang w:val="zh-CN"/>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31"/>
        <w:numPr>
          <w:ilvl w:val="0"/>
          <w:numId w:val="0"/>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u w:val="single"/>
          <w:lang w:val="zh-CN"/>
        </w:rPr>
        <w:t>（标的名称）</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31"/>
        <w:spacing w:line="360" w:lineRule="auto"/>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pPr>
        <w:pStyle w:val="31"/>
        <w:spacing w:line="360" w:lineRule="auto"/>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pPr>
        <w:pStyle w:val="31"/>
        <w:spacing w:line="360" w:lineRule="auto"/>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本企业对上述声明内容的真实性负责。如有虚假，将依法承担相应责任。</w:t>
      </w:r>
    </w:p>
    <w:p>
      <w:pPr>
        <w:tabs>
          <w:tab w:val="left" w:pos="4860"/>
        </w:tabs>
        <w:spacing w:line="360" w:lineRule="auto"/>
        <w:ind w:right="1560" w:firstLine="504" w:firstLineChars="200"/>
        <w:jc w:val="right"/>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 xml:space="preserve"> 单位名称：</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（盖章）</w:t>
      </w:r>
    </w:p>
    <w:p>
      <w:pPr>
        <w:adjustRightInd w:val="0"/>
        <w:snapToGrid w:val="0"/>
        <w:spacing w:line="360" w:lineRule="auto"/>
        <w:ind w:firstLine="2880" w:firstLineChars="120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31"/>
        <w:spacing w:line="360" w:lineRule="auto"/>
        <w:ind w:firstLine="480"/>
        <w:outlineLvl w:val="9"/>
        <w:rPr>
          <w:rFonts w:hint="eastAsia" w:ascii="宋体" w:hAnsi="宋体" w:eastAsia="宋体" w:cs="宋体"/>
          <w:color w:val="auto"/>
          <w:sz w:val="24"/>
          <w:szCs w:val="24"/>
          <w:highlight w:val="none"/>
        </w:rPr>
      </w:pPr>
    </w:p>
    <w:p>
      <w:pPr>
        <w:pStyle w:val="31"/>
        <w:spacing w:line="360" w:lineRule="auto"/>
        <w:ind w:left="-2" w:leftChars="0" w:firstLine="0" w:firstLineChars="0"/>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备注：1、</w:t>
      </w:r>
      <w:r>
        <w:rPr>
          <w:rFonts w:hint="eastAsia" w:ascii="宋体" w:hAnsi="宋体" w:eastAsia="宋体" w:cs="宋体"/>
          <w:color w:val="auto"/>
          <w:spacing w:val="-8"/>
          <w:sz w:val="24"/>
          <w:szCs w:val="24"/>
          <w:highlight w:val="none"/>
        </w:rPr>
        <w:t>中小企业参加政府采购活动，应当按照《政府采购促进中小企业发展管理办法》（财库〔2020〕46号）规定和《中小企业划型标准规定》（工信部联企业〔2011〕300号），如实填写并提交本《中小企业声明函》。</w:t>
      </w:r>
    </w:p>
    <w:p>
      <w:pPr>
        <w:pStyle w:val="31"/>
        <w:numPr>
          <w:ilvl w:val="0"/>
          <w:numId w:val="0"/>
        </w:numPr>
        <w:spacing w:line="360" w:lineRule="auto"/>
        <w:ind w:left="0" w:leftChars="0" w:firstLine="448" w:firstLineChars="200"/>
        <w:outlineLvl w:val="9"/>
        <w:rPr>
          <w:rFonts w:hint="eastAsia" w:ascii="宋体" w:hAnsi="宋体" w:eastAsia="宋体" w:cs="宋体"/>
          <w:color w:val="auto"/>
          <w:spacing w:val="-8"/>
          <w:sz w:val="24"/>
          <w:szCs w:val="24"/>
          <w:highlight w:val="none"/>
        </w:rPr>
      </w:pPr>
      <w:r>
        <w:rPr>
          <w:rFonts w:hint="eastAsia" w:ascii="宋体" w:hAnsi="宋体" w:cs="宋体"/>
          <w:color w:val="auto"/>
          <w:spacing w:val="-8"/>
          <w:kern w:val="2"/>
          <w:sz w:val="24"/>
          <w:szCs w:val="24"/>
          <w:highlight w:val="none"/>
          <w:lang w:val="en-US" w:eastAsia="zh-CN" w:bidi="ar-SA"/>
        </w:rPr>
        <w:t>2</w:t>
      </w:r>
      <w:r>
        <w:rPr>
          <w:rFonts w:hint="eastAsia" w:ascii="宋体" w:hAnsi="宋体" w:eastAsia="宋体" w:cs="宋体"/>
          <w:color w:val="auto"/>
          <w:spacing w:val="-8"/>
          <w:kern w:val="2"/>
          <w:sz w:val="24"/>
          <w:szCs w:val="24"/>
          <w:highlight w:val="none"/>
          <w:lang w:val="en-US" w:eastAsia="zh-CN" w:bidi="ar-SA"/>
        </w:rPr>
        <w:t>、</w:t>
      </w:r>
      <w:r>
        <w:rPr>
          <w:rFonts w:hint="eastAsia" w:ascii="宋体" w:hAnsi="宋体" w:eastAsia="宋体" w:cs="宋体"/>
          <w:color w:val="auto"/>
          <w:spacing w:val="-8"/>
          <w:sz w:val="24"/>
          <w:szCs w:val="24"/>
          <w:highlight w:val="none"/>
        </w:rPr>
        <w:t>从业人员、营业收入、资产总额填报上一年度数据，无上一年度数据的新成立企业可不填报。</w:t>
      </w:r>
    </w:p>
    <w:p>
      <w:pPr>
        <w:pStyle w:val="31"/>
        <w:widowControl w:val="0"/>
        <w:numPr>
          <w:ilvl w:val="0"/>
          <w:numId w:val="0"/>
        </w:numPr>
        <w:spacing w:line="360" w:lineRule="auto"/>
        <w:jc w:val="both"/>
        <w:outlineLvl w:val="9"/>
        <w:rPr>
          <w:rFonts w:hint="eastAsia" w:ascii="宋体" w:hAnsi="宋体" w:eastAsia="宋体" w:cs="宋体"/>
          <w:color w:val="auto"/>
          <w:spacing w:val="-8"/>
          <w:sz w:val="24"/>
          <w:szCs w:val="24"/>
          <w:highlight w:val="none"/>
        </w:rPr>
      </w:pPr>
    </w:p>
    <w:p>
      <w:pPr>
        <w:pStyle w:val="31"/>
        <w:widowControl w:val="0"/>
        <w:numPr>
          <w:ilvl w:val="0"/>
          <w:numId w:val="0"/>
        </w:numPr>
        <w:spacing w:line="360" w:lineRule="auto"/>
        <w:jc w:val="both"/>
        <w:outlineLvl w:val="9"/>
        <w:rPr>
          <w:rFonts w:hint="eastAsia" w:ascii="宋体" w:hAnsi="宋体" w:eastAsia="宋体" w:cs="宋体"/>
          <w:color w:val="auto"/>
          <w:spacing w:val="-8"/>
          <w:sz w:val="24"/>
          <w:szCs w:val="24"/>
          <w:highlight w:val="none"/>
        </w:rPr>
      </w:pPr>
    </w:p>
    <w:p>
      <w:pPr>
        <w:spacing w:line="360" w:lineRule="auto"/>
        <w:outlineLvl w:val="9"/>
        <w:rPr>
          <w:rFonts w:hint="eastAsia" w:ascii="宋体" w:hAnsi="宋体" w:eastAsia="宋体" w:cs="宋体"/>
          <w:color w:val="auto"/>
          <w:spacing w:val="6"/>
          <w:sz w:val="30"/>
          <w:szCs w:val="30"/>
          <w:highlight w:val="none"/>
          <w:lang w:eastAsia="zh-CN"/>
        </w:rPr>
      </w:pPr>
      <w:bookmarkStart w:id="178" w:name="_Toc28893"/>
      <w:bookmarkStart w:id="179" w:name="_Toc9716"/>
      <w:r>
        <w:rPr>
          <w:rFonts w:hint="eastAsia" w:ascii="宋体" w:hAnsi="宋体" w:eastAsia="宋体" w:cs="宋体"/>
          <w:color w:val="auto"/>
          <w:spacing w:val="6"/>
          <w:sz w:val="30"/>
          <w:szCs w:val="30"/>
          <w:highlight w:val="none"/>
        </w:rPr>
        <w:br w:type="page"/>
      </w:r>
      <w:r>
        <w:rPr>
          <w:rFonts w:hint="eastAsia" w:ascii="宋体" w:hAnsi="宋体" w:eastAsia="宋体" w:cs="宋体"/>
          <w:color w:val="auto"/>
          <w:spacing w:val="6"/>
          <w:sz w:val="30"/>
          <w:szCs w:val="30"/>
          <w:highlight w:val="none"/>
        </w:rPr>
        <w:t>附件</w:t>
      </w:r>
      <w:r>
        <w:rPr>
          <w:rFonts w:hint="eastAsia" w:ascii="宋体" w:hAnsi="宋体" w:eastAsia="宋体" w:cs="宋体"/>
          <w:color w:val="auto"/>
          <w:spacing w:val="6"/>
          <w:sz w:val="30"/>
          <w:szCs w:val="30"/>
          <w:highlight w:val="none"/>
          <w:lang w:val="en-US" w:eastAsia="zh-CN"/>
        </w:rPr>
        <w:t>5</w:t>
      </w:r>
      <w:r>
        <w:rPr>
          <w:rFonts w:hint="eastAsia" w:ascii="宋体" w:hAnsi="宋体" w:eastAsia="宋体" w:cs="宋体"/>
          <w:color w:val="auto"/>
          <w:spacing w:val="6"/>
          <w:sz w:val="30"/>
          <w:szCs w:val="30"/>
          <w:highlight w:val="none"/>
          <w:lang w:eastAsia="zh-CN"/>
        </w:rPr>
        <w:t>（如有）</w:t>
      </w:r>
      <w:bookmarkEnd w:id="178"/>
      <w:bookmarkEnd w:id="179"/>
    </w:p>
    <w:p>
      <w:pPr>
        <w:spacing w:line="360" w:lineRule="auto"/>
        <w:jc w:val="center"/>
        <w:outlineLvl w:val="9"/>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残疾人福利性单位声明函</w:t>
      </w:r>
    </w:p>
    <w:p>
      <w:pPr>
        <w:spacing w:before="480" w:beforeLines="200"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人，其中残疾人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人，为符合条件的残疾人福利性单位，且本单位参加（</w:t>
      </w:r>
      <w:r>
        <w:rPr>
          <w:rFonts w:hint="eastAsia" w:ascii="宋体" w:hAnsi="宋体" w:eastAsia="宋体" w:cs="宋体"/>
          <w:color w:val="auto"/>
          <w:spacing w:val="6"/>
          <w:sz w:val="24"/>
          <w:szCs w:val="24"/>
          <w:highlight w:val="none"/>
          <w:u w:val="single"/>
        </w:rPr>
        <w:t xml:space="preserve">采 购 人 名 称） </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项 目 名  称</w:t>
      </w:r>
      <w:r>
        <w:rPr>
          <w:rFonts w:hint="eastAsia" w:ascii="宋体" w:hAnsi="宋体" w:eastAsia="宋体" w:cs="宋体"/>
          <w:color w:val="auto"/>
          <w:spacing w:val="6"/>
          <w:sz w:val="24"/>
          <w:szCs w:val="24"/>
          <w:highlight w:val="none"/>
        </w:rPr>
        <w:t>）采购活动由本单位承担工程。</w:t>
      </w:r>
    </w:p>
    <w:p>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p>
      <w:pPr>
        <w:spacing w:line="360" w:lineRule="auto"/>
        <w:ind w:firstLine="504" w:firstLineChars="200"/>
        <w:rPr>
          <w:rFonts w:hint="eastAsia" w:ascii="宋体" w:hAnsi="宋体" w:eastAsia="宋体" w:cs="宋体"/>
          <w:color w:val="auto"/>
          <w:spacing w:val="6"/>
          <w:sz w:val="24"/>
          <w:szCs w:val="24"/>
          <w:highlight w:val="none"/>
        </w:rPr>
      </w:pPr>
    </w:p>
    <w:p>
      <w:pPr>
        <w:spacing w:line="360" w:lineRule="auto"/>
        <w:ind w:firstLine="504" w:firstLineChars="200"/>
        <w:rPr>
          <w:rFonts w:hint="eastAsia" w:ascii="宋体" w:hAnsi="宋体" w:eastAsia="宋体" w:cs="宋体"/>
          <w:color w:val="auto"/>
          <w:spacing w:val="6"/>
          <w:sz w:val="24"/>
          <w:szCs w:val="24"/>
          <w:highlight w:val="none"/>
        </w:rPr>
      </w:pPr>
    </w:p>
    <w:p>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pacing w:line="360" w:lineRule="auto"/>
        <w:ind w:firstLine="504" w:firstLineChars="200"/>
        <w:rPr>
          <w:rFonts w:hint="eastAsia" w:ascii="宋体" w:hAnsi="宋体" w:eastAsia="宋体" w:cs="宋体"/>
          <w:color w:val="auto"/>
          <w:spacing w:val="6"/>
          <w:sz w:val="24"/>
          <w:szCs w:val="24"/>
          <w:highlight w:val="none"/>
        </w:rPr>
      </w:pPr>
    </w:p>
    <w:p>
      <w:pPr>
        <w:spacing w:line="360" w:lineRule="auto"/>
        <w:ind w:firstLine="504" w:firstLineChars="200"/>
        <w:rPr>
          <w:rFonts w:hint="eastAsia" w:ascii="宋体" w:hAnsi="宋体" w:eastAsia="宋体" w:cs="宋体"/>
          <w:color w:val="auto"/>
          <w:spacing w:val="6"/>
          <w:sz w:val="24"/>
          <w:szCs w:val="24"/>
          <w:highlight w:val="none"/>
        </w:rPr>
      </w:pPr>
    </w:p>
    <w:p>
      <w:pPr>
        <w:tabs>
          <w:tab w:val="left" w:pos="4860"/>
        </w:tabs>
        <w:spacing w:line="360" w:lineRule="auto"/>
        <w:ind w:right="1560"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单位名称：</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（盖单位章）</w:t>
      </w:r>
    </w:p>
    <w:p>
      <w:pPr>
        <w:tabs>
          <w:tab w:val="left" w:pos="4860"/>
        </w:tabs>
        <w:spacing w:line="360" w:lineRule="auto"/>
        <w:ind w:right="1560"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pPr>
        <w:tabs>
          <w:tab w:val="left" w:pos="4860"/>
        </w:tabs>
        <w:spacing w:line="360" w:lineRule="auto"/>
        <w:ind w:right="1560"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pPr>
        <w:tabs>
          <w:tab w:val="left" w:pos="4860"/>
        </w:tabs>
        <w:spacing w:line="360" w:lineRule="auto"/>
        <w:ind w:right="1560" w:firstLine="504" w:firstLineChars="200"/>
        <w:jc w:val="left"/>
        <w:rPr>
          <w:rFonts w:hint="eastAsia" w:ascii="宋体" w:hAnsi="宋体" w:eastAsia="宋体" w:cs="宋体"/>
          <w:color w:val="auto"/>
          <w:spacing w:val="6"/>
          <w:sz w:val="24"/>
          <w:szCs w:val="24"/>
          <w:highlight w:val="none"/>
        </w:rPr>
      </w:pPr>
    </w:p>
    <w:p>
      <w:pPr>
        <w:tabs>
          <w:tab w:val="left" w:pos="4860"/>
        </w:tabs>
        <w:spacing w:line="360" w:lineRule="auto"/>
        <w:ind w:right="1560" w:firstLine="504" w:firstLineChars="200"/>
        <w:jc w:val="left"/>
        <w:rPr>
          <w:rFonts w:hint="eastAsia" w:ascii="宋体" w:hAnsi="宋体" w:eastAsia="宋体" w:cs="宋体"/>
          <w:color w:val="auto"/>
          <w:spacing w:val="6"/>
          <w:sz w:val="24"/>
          <w:szCs w:val="24"/>
          <w:highlight w:val="none"/>
        </w:rPr>
      </w:pPr>
    </w:p>
    <w:p>
      <w:pPr>
        <w:tabs>
          <w:tab w:val="left" w:pos="4860"/>
        </w:tabs>
        <w:spacing w:line="360" w:lineRule="auto"/>
        <w:ind w:right="1560" w:firstLine="504" w:firstLineChars="200"/>
        <w:jc w:val="left"/>
        <w:rPr>
          <w:rFonts w:hint="eastAsia" w:ascii="宋体" w:hAnsi="宋体" w:eastAsia="宋体" w:cs="宋体"/>
          <w:color w:val="auto"/>
          <w:spacing w:val="6"/>
          <w:sz w:val="24"/>
          <w:szCs w:val="24"/>
          <w:highlight w:val="none"/>
        </w:rPr>
      </w:pPr>
    </w:p>
    <w:p>
      <w:pPr>
        <w:tabs>
          <w:tab w:val="left" w:pos="4860"/>
        </w:tabs>
        <w:spacing w:line="360" w:lineRule="auto"/>
        <w:ind w:right="1560"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注：非残疾人福利性单位不填写此声明函。</w:t>
      </w:r>
    </w:p>
    <w:p>
      <w:pPr>
        <w:spacing w:line="360" w:lineRule="auto"/>
        <w:rPr>
          <w:rFonts w:hint="eastAsia" w:ascii="宋体" w:hAnsi="宋体" w:eastAsia="宋体" w:cs="宋体"/>
          <w:color w:val="auto"/>
          <w:spacing w:val="15"/>
          <w:sz w:val="18"/>
          <w:szCs w:val="18"/>
          <w:highlight w:val="none"/>
          <w:shd w:val="clear" w:color="auto" w:fill="FFFFFF"/>
        </w:rPr>
      </w:pPr>
      <w:r>
        <w:rPr>
          <w:rFonts w:hint="eastAsia" w:ascii="宋体" w:hAnsi="宋体" w:eastAsia="宋体" w:cs="宋体"/>
          <w:color w:val="auto"/>
          <w:spacing w:val="6"/>
          <w:szCs w:val="21"/>
          <w:highlight w:val="none"/>
          <w:u w:val="single"/>
        </w:rPr>
        <w:t xml:space="preserve">                                                                             </w:t>
      </w:r>
    </w:p>
    <w:p>
      <w:pPr>
        <w:tabs>
          <w:tab w:val="left" w:pos="4860"/>
        </w:tabs>
        <w:spacing w:line="360" w:lineRule="auto"/>
        <w:ind w:right="15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adjustRightInd w:val="0"/>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（1）填报前请认真阅读</w:t>
      </w:r>
      <w:r>
        <w:rPr>
          <w:rFonts w:hint="eastAsia" w:ascii="宋体" w:hAnsi="宋体" w:eastAsia="宋体" w:cs="宋体"/>
          <w:color w:val="auto"/>
          <w:spacing w:val="6"/>
          <w:szCs w:val="21"/>
          <w:highlight w:val="none"/>
        </w:rPr>
        <w:t>《财政部、民政部、中国残疾人联合会关于促进残疾人就业政府采购政策的通知》（财库</w:t>
      </w:r>
      <w:r>
        <w:rPr>
          <w:rFonts w:hint="eastAsia" w:ascii="宋体" w:hAnsi="宋体" w:eastAsia="宋体" w:cs="宋体"/>
          <w:color w:val="auto"/>
          <w:szCs w:val="21"/>
          <w:highlight w:val="none"/>
        </w:rPr>
        <w:t>〔2017〕141</w:t>
      </w:r>
      <w:r>
        <w:rPr>
          <w:rFonts w:hint="eastAsia" w:ascii="宋体" w:hAnsi="宋体" w:eastAsia="宋体" w:cs="宋体"/>
          <w:color w:val="auto"/>
          <w:spacing w:val="6"/>
          <w:szCs w:val="21"/>
          <w:highlight w:val="none"/>
        </w:rPr>
        <w:t>号）的规定。</w:t>
      </w:r>
    </w:p>
    <w:p>
      <w:pPr>
        <w:adjustRightInd w:val="0"/>
        <w:snapToGrid w:val="0"/>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（2）供应商属于残疾人福利性单位的，必须填报有关数据，</w:t>
      </w:r>
      <w:r>
        <w:rPr>
          <w:rFonts w:hint="eastAsia" w:ascii="宋体" w:hAnsi="宋体" w:eastAsia="宋体" w:cs="宋体"/>
          <w:bCs/>
          <w:color w:val="auto"/>
          <w:szCs w:val="21"/>
          <w:highlight w:val="none"/>
        </w:rPr>
        <w:t>未按要求提供的，不享受报价扣除优惠政策。</w:t>
      </w:r>
    </w:p>
    <w:p>
      <w:pPr>
        <w:adjustRightInd w:val="0"/>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（3）横线以下只做填报说明，响应文件可不要。</w:t>
      </w:r>
    </w:p>
    <w:p>
      <w:pPr>
        <w:spacing w:line="360" w:lineRule="auto"/>
        <w:outlineLvl w:val="9"/>
        <w:rPr>
          <w:rFonts w:hint="eastAsia" w:ascii="宋体" w:hAnsi="宋体" w:eastAsia="宋体" w:cs="宋体"/>
          <w:color w:val="auto"/>
          <w:spacing w:val="6"/>
          <w:sz w:val="30"/>
          <w:szCs w:val="30"/>
          <w:highlight w:val="none"/>
        </w:rPr>
      </w:pPr>
    </w:p>
    <w:p>
      <w:pPr>
        <w:pStyle w:val="3"/>
        <w:spacing w:line="360" w:lineRule="auto"/>
        <w:rPr>
          <w:rFonts w:hint="eastAsia" w:ascii="宋体" w:hAnsi="宋体" w:eastAsia="宋体" w:cs="宋体"/>
          <w:color w:val="auto"/>
          <w:spacing w:val="6"/>
          <w:sz w:val="30"/>
          <w:szCs w:val="30"/>
          <w:highlight w:val="none"/>
        </w:rPr>
      </w:pPr>
    </w:p>
    <w:p>
      <w:pPr>
        <w:spacing w:line="360" w:lineRule="auto"/>
        <w:outlineLvl w:val="9"/>
        <w:rPr>
          <w:rFonts w:hint="eastAsia" w:ascii="宋体" w:hAnsi="宋体" w:eastAsia="宋体" w:cs="宋体"/>
          <w:b/>
          <w:color w:val="auto"/>
          <w:sz w:val="30"/>
          <w:szCs w:val="30"/>
          <w:highlight w:val="none"/>
          <w:lang w:eastAsia="zh-CN"/>
        </w:rPr>
      </w:pPr>
      <w:bookmarkStart w:id="180" w:name="_Toc1489"/>
      <w:bookmarkStart w:id="181" w:name="_Toc94"/>
      <w:r>
        <w:rPr>
          <w:rFonts w:hint="eastAsia" w:ascii="宋体" w:hAnsi="宋体" w:eastAsia="宋体" w:cs="宋体"/>
          <w:color w:val="auto"/>
          <w:spacing w:val="6"/>
          <w:sz w:val="30"/>
          <w:szCs w:val="30"/>
          <w:highlight w:val="none"/>
        </w:rPr>
        <w:t>附件</w:t>
      </w:r>
      <w:r>
        <w:rPr>
          <w:rFonts w:hint="eastAsia" w:ascii="宋体" w:hAnsi="宋体" w:eastAsia="宋体" w:cs="宋体"/>
          <w:color w:val="auto"/>
          <w:spacing w:val="6"/>
          <w:sz w:val="30"/>
          <w:szCs w:val="30"/>
          <w:highlight w:val="none"/>
          <w:lang w:val="en-US" w:eastAsia="zh-CN"/>
        </w:rPr>
        <w:t>6</w:t>
      </w:r>
      <w:r>
        <w:rPr>
          <w:rFonts w:hint="eastAsia" w:ascii="宋体" w:hAnsi="宋体" w:eastAsia="宋体" w:cs="宋体"/>
          <w:color w:val="auto"/>
          <w:spacing w:val="6"/>
          <w:sz w:val="30"/>
          <w:szCs w:val="30"/>
          <w:highlight w:val="none"/>
          <w:lang w:eastAsia="zh-CN"/>
        </w:rPr>
        <w:t>（如有）</w:t>
      </w:r>
      <w:bookmarkEnd w:id="180"/>
      <w:bookmarkEnd w:id="181"/>
    </w:p>
    <w:p>
      <w:pPr>
        <w:spacing w:line="360" w:lineRule="auto"/>
        <w:jc w:val="center"/>
        <w:outlineLvl w:val="9"/>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监狱企业声明函</w:t>
      </w:r>
    </w:p>
    <w:p>
      <w:pPr>
        <w:widowControl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本单位郑重声明，根据《财政部、司法部关于政府采购支持监狱企业发展有关问题的通知》（财库〔2014〕68号）的规定。因本单位</w:t>
      </w:r>
      <w:r>
        <w:rPr>
          <w:rFonts w:hint="eastAsia" w:ascii="宋体" w:hAnsi="宋体" w:eastAsia="宋体" w:cs="宋体"/>
          <w:b w:val="0"/>
          <w:bCs w:val="0"/>
          <w:color w:val="auto"/>
          <w:sz w:val="24"/>
          <w:szCs w:val="24"/>
          <w:highlight w:val="none"/>
          <w:u w:val="single"/>
        </w:rPr>
        <w:t>（符合/不符合）</w:t>
      </w:r>
      <w:r>
        <w:rPr>
          <w:rFonts w:hint="eastAsia" w:ascii="宋体" w:hAnsi="宋体" w:eastAsia="宋体" w:cs="宋体"/>
          <w:b w:val="0"/>
          <w:bCs w:val="0"/>
          <w:color w:val="auto"/>
          <w:sz w:val="24"/>
          <w:szCs w:val="24"/>
          <w:highlight w:val="none"/>
        </w:rPr>
        <w:t>条件，故本单位为</w:t>
      </w:r>
      <w:r>
        <w:rPr>
          <w:rFonts w:hint="eastAsia" w:ascii="宋体" w:hAnsi="宋体" w:eastAsia="宋体" w:cs="宋体"/>
          <w:b w:val="0"/>
          <w:bCs w:val="0"/>
          <w:color w:val="auto"/>
          <w:sz w:val="24"/>
          <w:szCs w:val="24"/>
          <w:highlight w:val="none"/>
          <w:u w:val="single"/>
        </w:rPr>
        <w:t>（监狱/非监狱）</w:t>
      </w:r>
      <w:r>
        <w:rPr>
          <w:rFonts w:hint="eastAsia" w:ascii="宋体" w:hAnsi="宋体" w:eastAsia="宋体" w:cs="宋体"/>
          <w:b w:val="0"/>
          <w:bCs w:val="0"/>
          <w:color w:val="auto"/>
          <w:sz w:val="24"/>
          <w:szCs w:val="24"/>
          <w:highlight w:val="none"/>
        </w:rPr>
        <w:t xml:space="preserve">企业。 </w:t>
      </w:r>
    </w:p>
    <w:p>
      <w:pPr>
        <w:widowControl w:val="0"/>
        <w:spacing w:line="360" w:lineRule="auto"/>
        <w:ind w:firstLine="600" w:firstLineChars="2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本单位对上述声明的真实性负责。如有虚假，将依法承担相应责任。</w:t>
      </w:r>
    </w:p>
    <w:p>
      <w:pPr>
        <w:widowControl w:val="0"/>
        <w:spacing w:line="360" w:lineRule="auto"/>
        <w:ind w:firstLine="600" w:firstLineChars="2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注：监狱企业参加政府采购活动时，应当提供由省级以上监狱管理局、戒毒管理局（含新疆生产建设兵团）出具的属于监狱企业的证明文件。</w:t>
      </w:r>
    </w:p>
    <w:p>
      <w:pPr>
        <w:widowControl w:val="0"/>
        <w:spacing w:line="360" w:lineRule="auto"/>
        <w:jc w:val="center"/>
        <w:rPr>
          <w:rFonts w:hint="eastAsia" w:ascii="宋体" w:hAnsi="宋体" w:eastAsia="宋体" w:cs="宋体"/>
          <w:b w:val="0"/>
          <w:bCs w:val="0"/>
          <w:color w:val="auto"/>
          <w:sz w:val="24"/>
          <w:szCs w:val="24"/>
          <w:highlight w:val="none"/>
        </w:rPr>
      </w:pPr>
    </w:p>
    <w:p>
      <w:pPr>
        <w:spacing w:line="360" w:lineRule="auto"/>
        <w:ind w:firstLine="5280" w:firstLineChars="2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pPr>
        <w:spacing w:line="360" w:lineRule="auto"/>
        <w:ind w:firstLine="5280" w:firstLineChars="2200"/>
        <w:rPr>
          <w:rFonts w:hint="eastAsia" w:ascii="宋体" w:hAnsi="宋体" w:eastAsia="宋体" w:cs="宋体"/>
          <w:b w:val="0"/>
          <w:bCs w:val="0"/>
          <w:color w:val="auto"/>
          <w:sz w:val="24"/>
          <w:szCs w:val="24"/>
          <w:highlight w:val="none"/>
        </w:rPr>
      </w:pPr>
    </w:p>
    <w:p>
      <w:pPr>
        <w:spacing w:line="360" w:lineRule="auto"/>
        <w:ind w:firstLine="5280" w:firstLineChars="2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名称（公章）：</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 xml:space="preserve">       </w:t>
      </w:r>
    </w:p>
    <w:p>
      <w:pPr>
        <w:spacing w:line="360" w:lineRule="auto"/>
        <w:ind w:firstLine="5280" w:firstLineChars="2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eastAsia="zh-CN"/>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eastAsia="zh-CN"/>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eastAsia="zh-CN"/>
        </w:rPr>
        <w:t>日</w:t>
      </w:r>
    </w:p>
    <w:p>
      <w:pPr>
        <w:spacing w:line="360" w:lineRule="auto"/>
        <w:rPr>
          <w:rFonts w:hint="eastAsia" w:ascii="宋体" w:hAnsi="宋体" w:eastAsia="宋体" w:cs="宋体"/>
          <w:b w:val="0"/>
          <w:bCs w:val="0"/>
          <w:color w:val="auto"/>
          <w:sz w:val="24"/>
          <w:szCs w:val="24"/>
          <w:highlight w:val="none"/>
        </w:rPr>
      </w:pPr>
    </w:p>
    <w:p>
      <w:pPr>
        <w:spacing w:line="360" w:lineRule="auto"/>
        <w:jc w:val="center"/>
        <w:rPr>
          <w:rFonts w:hint="eastAsia" w:ascii="宋体" w:hAnsi="宋体" w:eastAsia="宋体" w:cs="宋体"/>
          <w:b w:val="0"/>
          <w:bCs w:val="0"/>
          <w:color w:val="auto"/>
          <w:sz w:val="24"/>
          <w:szCs w:val="24"/>
          <w:highlight w:val="none"/>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p>
    <w:p>
      <w:pPr>
        <w:tabs>
          <w:tab w:val="left" w:pos="4860"/>
        </w:tabs>
        <w:spacing w:line="360" w:lineRule="auto"/>
        <w:ind w:right="1560" w:firstLine="444"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注：非监狱企业不填写此声明函。</w:t>
      </w:r>
    </w:p>
    <w:p>
      <w:pPr>
        <w:spacing w:line="360" w:lineRule="auto"/>
        <w:jc w:val="center"/>
        <w:rPr>
          <w:rFonts w:hint="eastAsia" w:ascii="宋体" w:hAnsi="宋体" w:eastAsia="宋体" w:cs="宋体"/>
          <w:b/>
          <w:color w:val="auto"/>
          <w:sz w:val="30"/>
          <w:szCs w:val="30"/>
          <w:highlight w:val="none"/>
        </w:rPr>
      </w:pPr>
    </w:p>
    <w:p>
      <w:pPr>
        <w:pStyle w:val="1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b/>
          <w:color w:val="auto"/>
          <w:sz w:val="30"/>
          <w:szCs w:val="30"/>
          <w:highlight w:val="none"/>
        </w:rPr>
        <w:br w:type="page"/>
      </w:r>
      <w:bookmarkEnd w:id="174"/>
      <w:bookmarkStart w:id="182" w:name="_Toc27213"/>
      <w:bookmarkStart w:id="183" w:name="_Toc32096"/>
      <w:bookmarkStart w:id="184" w:name="_Toc29237_WPSOffice_Level1"/>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、技术响应</w:t>
      </w:r>
      <w:bookmarkEnd w:id="182"/>
      <w:bookmarkEnd w:id="183"/>
      <w:r>
        <w:rPr>
          <w:rFonts w:hint="eastAsia" w:ascii="宋体" w:hAnsi="宋体" w:eastAsia="宋体" w:cs="宋体"/>
          <w:color w:val="auto"/>
          <w:sz w:val="24"/>
          <w:highlight w:val="none"/>
        </w:rPr>
        <w:t xml:space="preserve">              </w:t>
      </w:r>
    </w:p>
    <w:p>
      <w:pPr>
        <w:adjustRightInd w:val="0"/>
        <w:snapToGrid w:val="0"/>
        <w:spacing w:line="360" w:lineRule="auto"/>
        <w:ind w:firstLine="315" w:firstLineChars="150"/>
        <w:rPr>
          <w:rFonts w:hint="eastAsia" w:ascii="宋体" w:hAnsi="宋体" w:eastAsia="宋体" w:cs="宋体"/>
          <w:bCs/>
          <w:szCs w:val="21"/>
          <w:highlight w:val="none"/>
        </w:rPr>
      </w:pPr>
      <w:r>
        <w:rPr>
          <w:rFonts w:hint="eastAsia" w:ascii="宋体" w:hAnsi="宋体" w:eastAsia="宋体" w:cs="宋体"/>
          <w:b/>
          <w:szCs w:val="21"/>
          <w:highlight w:val="none"/>
        </w:rPr>
        <w:t>注意：</w:t>
      </w:r>
      <w:r>
        <w:rPr>
          <w:rFonts w:hint="eastAsia" w:ascii="宋体" w:hAnsi="宋体" w:eastAsia="宋体" w:cs="宋体"/>
          <w:b/>
          <w:spacing w:val="4"/>
          <w:szCs w:val="21"/>
          <w:highlight w:val="none"/>
        </w:rPr>
        <w:t>技术服务大纲由各供应商根据本次采购内容应编制的技术方案及评审办法中评审因素综合考虑进行编制。</w:t>
      </w:r>
    </w:p>
    <w:p>
      <w:pPr>
        <w:bidi w:val="0"/>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8"/>
          <w:szCs w:val="28"/>
          <w:highlight w:val="none"/>
        </w:rPr>
      </w:pPr>
    </w:p>
    <w:p>
      <w:pPr>
        <w:spacing w:line="360" w:lineRule="auto"/>
        <w:rPr>
          <w:rFonts w:hint="eastAsia" w:ascii="宋体" w:hAnsi="宋体" w:eastAsia="宋体" w:cs="宋体"/>
          <w:b/>
          <w:bCs/>
          <w:color w:val="auto"/>
          <w:sz w:val="28"/>
          <w:szCs w:val="28"/>
          <w:highlight w:val="none"/>
        </w:rPr>
      </w:pPr>
    </w:p>
    <w:p>
      <w:pPr>
        <w:spacing w:line="360" w:lineRule="auto"/>
        <w:rPr>
          <w:rFonts w:hint="eastAsia" w:ascii="宋体" w:hAnsi="宋体" w:eastAsia="宋体" w:cs="宋体"/>
          <w:b/>
          <w:bCs/>
          <w:color w:val="auto"/>
          <w:sz w:val="28"/>
          <w:szCs w:val="28"/>
          <w:highlight w:val="none"/>
        </w:rPr>
      </w:pPr>
    </w:p>
    <w:p>
      <w:pPr>
        <w:spacing w:line="360" w:lineRule="auto"/>
        <w:rPr>
          <w:rFonts w:hint="eastAsia" w:ascii="宋体" w:hAnsi="宋体" w:eastAsia="宋体" w:cs="宋体"/>
          <w:b/>
          <w:bCs/>
          <w:color w:val="auto"/>
          <w:sz w:val="28"/>
          <w:szCs w:val="28"/>
          <w:highlight w:val="none"/>
        </w:rPr>
      </w:pPr>
    </w:p>
    <w:p>
      <w:pPr>
        <w:pStyle w:val="3"/>
        <w:spacing w:line="360" w:lineRule="auto"/>
        <w:rPr>
          <w:rFonts w:hint="eastAsia" w:ascii="宋体" w:hAnsi="宋体" w:eastAsia="宋体" w:cs="宋体"/>
          <w:b/>
          <w:bCs/>
          <w:color w:val="auto"/>
          <w:sz w:val="28"/>
          <w:szCs w:val="28"/>
          <w:highlight w:val="none"/>
        </w:rPr>
      </w:pPr>
    </w:p>
    <w:p>
      <w:pPr>
        <w:spacing w:line="360" w:lineRule="auto"/>
        <w:rPr>
          <w:rFonts w:hint="eastAsia" w:ascii="宋体" w:hAnsi="宋体" w:eastAsia="宋体" w:cs="宋体"/>
          <w:b/>
          <w:bCs/>
          <w:color w:val="auto"/>
          <w:sz w:val="28"/>
          <w:szCs w:val="28"/>
          <w:highlight w:val="none"/>
        </w:rPr>
      </w:pPr>
    </w:p>
    <w:p>
      <w:pPr>
        <w:pStyle w:val="12"/>
        <w:spacing w:line="360" w:lineRule="auto"/>
        <w:rPr>
          <w:rFonts w:hint="eastAsia" w:ascii="宋体" w:hAnsi="宋体" w:eastAsia="宋体" w:cs="宋体"/>
          <w:b/>
          <w:bCs/>
          <w:color w:val="auto"/>
          <w:sz w:val="28"/>
          <w:szCs w:val="28"/>
          <w:highlight w:val="none"/>
        </w:rPr>
      </w:pPr>
    </w:p>
    <w:p>
      <w:pPr>
        <w:pStyle w:val="13"/>
        <w:spacing w:line="360" w:lineRule="auto"/>
        <w:rPr>
          <w:rFonts w:hint="eastAsia" w:ascii="宋体" w:hAnsi="宋体" w:eastAsia="宋体" w:cs="宋体"/>
          <w:color w:val="auto"/>
          <w:highlight w:val="none"/>
        </w:rPr>
      </w:pPr>
    </w:p>
    <w:p>
      <w:pPr>
        <w:spacing w:line="360" w:lineRule="auto"/>
        <w:jc w:val="left"/>
        <w:rPr>
          <w:rFonts w:hint="eastAsia" w:ascii="宋体" w:hAnsi="宋体" w:eastAsia="宋体" w:cs="宋体"/>
          <w:b/>
          <w:color w:val="auto"/>
          <w:sz w:val="28"/>
          <w:szCs w:val="28"/>
          <w:highlight w:val="none"/>
        </w:rPr>
      </w:pPr>
      <w:bookmarkStart w:id="185" w:name="_Toc11590"/>
      <w:r>
        <w:rPr>
          <w:rFonts w:hint="eastAsia" w:ascii="宋体" w:hAnsi="宋体" w:eastAsia="宋体" w:cs="宋体"/>
          <w:b/>
          <w:color w:val="auto"/>
          <w:sz w:val="28"/>
          <w:szCs w:val="28"/>
          <w:highlight w:val="none"/>
          <w:lang w:eastAsia="zh-CN"/>
        </w:rPr>
        <w:br w:type="page"/>
      </w:r>
      <w:r>
        <w:rPr>
          <w:rFonts w:hint="eastAsia" w:ascii="宋体" w:hAnsi="宋体" w:eastAsia="宋体" w:cs="宋体"/>
          <w:b/>
          <w:color w:val="auto"/>
          <w:sz w:val="28"/>
          <w:szCs w:val="28"/>
          <w:highlight w:val="none"/>
          <w:lang w:eastAsia="zh-CN"/>
        </w:rPr>
        <w:t>附</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w:t>
      </w:r>
      <w:bookmarkEnd w:id="185"/>
      <w:r>
        <w:rPr>
          <w:rFonts w:hint="eastAsia" w:ascii="宋体" w:hAnsi="宋体" w:eastAsia="宋体" w:cs="宋体"/>
          <w:b/>
          <w:color w:val="auto"/>
          <w:sz w:val="28"/>
          <w:szCs w:val="28"/>
          <w:highlight w:val="none"/>
        </w:rPr>
        <w:t>项目经理简历表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5"/>
        <w:gridCol w:w="345"/>
        <w:gridCol w:w="720"/>
        <w:gridCol w:w="900"/>
        <w:gridCol w:w="45"/>
        <w:gridCol w:w="945"/>
        <w:gridCol w:w="1530"/>
        <w:gridCol w:w="9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440"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p>
        </w:tc>
        <w:tc>
          <w:tcPr>
            <w:tcW w:w="1620" w:type="dxa"/>
            <w:gridSpan w:val="3"/>
            <w:noWrap w:val="0"/>
            <w:vAlign w:val="center"/>
          </w:tcPr>
          <w:p>
            <w:pPr>
              <w:spacing w:line="360" w:lineRule="auto"/>
              <w:jc w:val="center"/>
              <w:rPr>
                <w:rFonts w:hint="eastAsia" w:ascii="宋体" w:hAnsi="宋体" w:eastAsia="宋体" w:cs="宋体"/>
                <w:color w:val="auto"/>
                <w:sz w:val="24"/>
                <w:highlight w:val="none"/>
              </w:rPr>
            </w:pPr>
          </w:p>
        </w:tc>
        <w:tc>
          <w:tcPr>
            <w:tcW w:w="945" w:type="dxa"/>
            <w:gridSpan w:val="2"/>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 别</w:t>
            </w:r>
          </w:p>
        </w:tc>
        <w:tc>
          <w:tcPr>
            <w:tcW w:w="945" w:type="dxa"/>
            <w:noWrap w:val="0"/>
            <w:vAlign w:val="center"/>
          </w:tcPr>
          <w:p>
            <w:pPr>
              <w:spacing w:line="360" w:lineRule="auto"/>
              <w:jc w:val="center"/>
              <w:rPr>
                <w:rFonts w:hint="eastAsia" w:ascii="宋体" w:hAnsi="宋体" w:eastAsia="宋体" w:cs="宋体"/>
                <w:color w:val="auto"/>
                <w:sz w:val="24"/>
                <w:highlight w:val="none"/>
              </w:rPr>
            </w:pPr>
          </w:p>
        </w:tc>
        <w:tc>
          <w:tcPr>
            <w:tcW w:w="1530"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出生日期</w:t>
            </w:r>
          </w:p>
        </w:tc>
        <w:tc>
          <w:tcPr>
            <w:tcW w:w="2520" w:type="dxa"/>
            <w:gridSpan w:val="2"/>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1440"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毕业院校及专业</w:t>
            </w:r>
          </w:p>
        </w:tc>
        <w:tc>
          <w:tcPr>
            <w:tcW w:w="3510" w:type="dxa"/>
            <w:gridSpan w:val="6"/>
            <w:noWrap w:val="0"/>
            <w:vAlign w:val="center"/>
          </w:tcPr>
          <w:p>
            <w:pPr>
              <w:spacing w:line="360" w:lineRule="auto"/>
              <w:jc w:val="center"/>
              <w:rPr>
                <w:rFonts w:hint="eastAsia" w:ascii="宋体" w:hAnsi="宋体" w:eastAsia="宋体" w:cs="宋体"/>
                <w:color w:val="auto"/>
                <w:sz w:val="24"/>
                <w:highlight w:val="none"/>
              </w:rPr>
            </w:pPr>
          </w:p>
        </w:tc>
        <w:tc>
          <w:tcPr>
            <w:tcW w:w="1530" w:type="dxa"/>
            <w:noWrap w:val="0"/>
            <w:vAlign w:val="center"/>
          </w:tcPr>
          <w:p>
            <w:pPr>
              <w:spacing w:line="360" w:lineRule="auto"/>
              <w:ind w:left="-1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2520" w:type="dxa"/>
            <w:gridSpan w:val="2"/>
            <w:noWrap w:val="0"/>
            <w:vAlign w:val="center"/>
          </w:tcPr>
          <w:p>
            <w:pPr>
              <w:spacing w:line="360" w:lineRule="auto"/>
              <w:ind w:left="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40" w:type="dxa"/>
            <w:gridSpan w:val="3"/>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从事本专业时间</w:t>
            </w:r>
          </w:p>
        </w:tc>
        <w:tc>
          <w:tcPr>
            <w:tcW w:w="1620" w:type="dxa"/>
            <w:gridSpan w:val="2"/>
            <w:noWrap w:val="0"/>
            <w:vAlign w:val="center"/>
          </w:tcPr>
          <w:p>
            <w:pPr>
              <w:spacing w:line="360" w:lineRule="auto"/>
              <w:rPr>
                <w:rFonts w:hint="eastAsia" w:ascii="宋体" w:hAnsi="宋体" w:eastAsia="宋体" w:cs="宋体"/>
                <w:color w:val="auto"/>
                <w:sz w:val="24"/>
                <w:highlight w:val="none"/>
              </w:rPr>
            </w:pPr>
          </w:p>
        </w:tc>
        <w:tc>
          <w:tcPr>
            <w:tcW w:w="2520" w:type="dxa"/>
            <w:gridSpan w:val="3"/>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服务时间</w:t>
            </w:r>
          </w:p>
        </w:tc>
        <w:tc>
          <w:tcPr>
            <w:tcW w:w="2520" w:type="dxa"/>
            <w:gridSpan w:val="2"/>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000" w:type="dxa"/>
            <w:gridSpan w:val="10"/>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5" w:type="dxa"/>
            <w:gridSpan w:val="2"/>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   间</w:t>
            </w:r>
          </w:p>
        </w:tc>
        <w:tc>
          <w:tcPr>
            <w:tcW w:w="4575" w:type="dxa"/>
            <w:gridSpan w:val="7"/>
            <w:noWrap w:val="0"/>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参加过的类似项目名称及规模</w:t>
            </w:r>
          </w:p>
        </w:tc>
        <w:tc>
          <w:tcPr>
            <w:tcW w:w="2430"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995" w:type="dxa"/>
            <w:gridSpan w:val="2"/>
            <w:noWrap w:val="0"/>
            <w:vAlign w:val="top"/>
          </w:tcPr>
          <w:p>
            <w:pPr>
              <w:spacing w:line="360" w:lineRule="auto"/>
              <w:rPr>
                <w:rFonts w:hint="eastAsia" w:ascii="宋体" w:hAnsi="宋体" w:eastAsia="宋体" w:cs="宋体"/>
                <w:color w:val="auto"/>
                <w:highlight w:val="none"/>
              </w:rPr>
            </w:pPr>
          </w:p>
        </w:tc>
        <w:tc>
          <w:tcPr>
            <w:tcW w:w="4575" w:type="dxa"/>
            <w:gridSpan w:val="7"/>
            <w:noWrap w:val="0"/>
            <w:vAlign w:val="top"/>
          </w:tcPr>
          <w:p>
            <w:pPr>
              <w:spacing w:line="360" w:lineRule="auto"/>
              <w:rPr>
                <w:rFonts w:hint="eastAsia" w:ascii="宋体" w:hAnsi="宋体" w:eastAsia="宋体" w:cs="宋体"/>
                <w:color w:val="auto"/>
                <w:highlight w:val="none"/>
              </w:rPr>
            </w:pPr>
          </w:p>
        </w:tc>
        <w:tc>
          <w:tcPr>
            <w:tcW w:w="2430"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995" w:type="dxa"/>
            <w:gridSpan w:val="2"/>
            <w:noWrap w:val="0"/>
            <w:vAlign w:val="top"/>
          </w:tcPr>
          <w:p>
            <w:pPr>
              <w:spacing w:line="360" w:lineRule="auto"/>
              <w:rPr>
                <w:rFonts w:hint="eastAsia" w:ascii="宋体" w:hAnsi="宋体" w:eastAsia="宋体" w:cs="宋体"/>
                <w:color w:val="auto"/>
                <w:highlight w:val="none"/>
              </w:rPr>
            </w:pPr>
          </w:p>
        </w:tc>
        <w:tc>
          <w:tcPr>
            <w:tcW w:w="4575" w:type="dxa"/>
            <w:gridSpan w:val="7"/>
            <w:noWrap w:val="0"/>
            <w:vAlign w:val="top"/>
          </w:tcPr>
          <w:p>
            <w:pPr>
              <w:spacing w:line="360" w:lineRule="auto"/>
              <w:rPr>
                <w:rFonts w:hint="eastAsia" w:ascii="宋体" w:hAnsi="宋体" w:eastAsia="宋体" w:cs="宋体"/>
                <w:color w:val="auto"/>
                <w:highlight w:val="none"/>
              </w:rPr>
            </w:pPr>
          </w:p>
        </w:tc>
        <w:tc>
          <w:tcPr>
            <w:tcW w:w="2430"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995" w:type="dxa"/>
            <w:gridSpan w:val="2"/>
            <w:noWrap w:val="0"/>
            <w:vAlign w:val="top"/>
          </w:tcPr>
          <w:p>
            <w:pPr>
              <w:spacing w:line="360" w:lineRule="auto"/>
              <w:rPr>
                <w:rFonts w:hint="eastAsia" w:ascii="宋体" w:hAnsi="宋体" w:eastAsia="宋体" w:cs="宋体"/>
                <w:color w:val="auto"/>
                <w:highlight w:val="none"/>
              </w:rPr>
            </w:pPr>
          </w:p>
        </w:tc>
        <w:tc>
          <w:tcPr>
            <w:tcW w:w="4575" w:type="dxa"/>
            <w:gridSpan w:val="7"/>
            <w:noWrap w:val="0"/>
            <w:vAlign w:val="top"/>
          </w:tcPr>
          <w:p>
            <w:pPr>
              <w:spacing w:line="360" w:lineRule="auto"/>
              <w:rPr>
                <w:rFonts w:hint="eastAsia" w:ascii="宋体" w:hAnsi="宋体" w:eastAsia="宋体" w:cs="宋体"/>
                <w:color w:val="auto"/>
                <w:highlight w:val="none"/>
              </w:rPr>
            </w:pPr>
          </w:p>
        </w:tc>
        <w:tc>
          <w:tcPr>
            <w:tcW w:w="2430"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995" w:type="dxa"/>
            <w:gridSpan w:val="2"/>
            <w:noWrap w:val="0"/>
            <w:vAlign w:val="top"/>
          </w:tcPr>
          <w:p>
            <w:pPr>
              <w:spacing w:line="360" w:lineRule="auto"/>
              <w:rPr>
                <w:rFonts w:hint="eastAsia" w:ascii="宋体" w:hAnsi="宋体" w:eastAsia="宋体" w:cs="宋体"/>
                <w:color w:val="auto"/>
                <w:highlight w:val="none"/>
              </w:rPr>
            </w:pPr>
          </w:p>
        </w:tc>
        <w:tc>
          <w:tcPr>
            <w:tcW w:w="4575" w:type="dxa"/>
            <w:gridSpan w:val="7"/>
            <w:noWrap w:val="0"/>
            <w:vAlign w:val="top"/>
          </w:tcPr>
          <w:p>
            <w:pPr>
              <w:spacing w:line="360" w:lineRule="auto"/>
              <w:rPr>
                <w:rFonts w:hint="eastAsia" w:ascii="宋体" w:hAnsi="宋体" w:eastAsia="宋体" w:cs="宋体"/>
                <w:color w:val="auto"/>
                <w:highlight w:val="none"/>
              </w:rPr>
            </w:pPr>
          </w:p>
        </w:tc>
        <w:tc>
          <w:tcPr>
            <w:tcW w:w="2430" w:type="dxa"/>
            <w:noWrap w:val="0"/>
            <w:vAlign w:val="top"/>
          </w:tcPr>
          <w:p>
            <w:pPr>
              <w:spacing w:line="360" w:lineRule="auto"/>
              <w:rPr>
                <w:rFonts w:hint="eastAsia" w:ascii="宋体" w:hAnsi="宋体" w:eastAsia="宋体" w:cs="宋体"/>
                <w:color w:val="auto"/>
                <w:highlight w:val="none"/>
              </w:rPr>
            </w:pPr>
          </w:p>
        </w:tc>
      </w:tr>
    </w:tbl>
    <w:p>
      <w:pPr>
        <w:spacing w:line="360" w:lineRule="auto"/>
        <w:ind w:right="420"/>
        <w:rPr>
          <w:rFonts w:hint="eastAsia" w:ascii="宋体" w:hAnsi="宋体" w:eastAsia="宋体" w:cs="宋体"/>
          <w:b/>
          <w:color w:val="auto"/>
          <w:highlight w:val="none"/>
        </w:rPr>
      </w:pPr>
    </w:p>
    <w:p>
      <w:pPr>
        <w:spacing w:line="360" w:lineRule="auto"/>
        <w:ind w:right="420"/>
        <w:rPr>
          <w:rFonts w:hint="eastAsia" w:ascii="宋体" w:hAnsi="宋体" w:eastAsia="宋体" w:cs="宋体"/>
          <w:b/>
          <w:color w:val="auto"/>
          <w:highlight w:val="none"/>
        </w:rPr>
      </w:pPr>
      <w:r>
        <w:rPr>
          <w:rFonts w:hint="eastAsia" w:ascii="宋体" w:hAnsi="宋体" w:eastAsia="宋体" w:cs="宋体"/>
          <w:b/>
          <w:color w:val="auto"/>
          <w:highlight w:val="none"/>
        </w:rPr>
        <w:t>注：</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需随此表附上项目负责人的资格证、安全生产考核合格证（B证）</w:t>
      </w:r>
    </w:p>
    <w:p>
      <w:pPr>
        <w:spacing w:line="360" w:lineRule="auto"/>
        <w:ind w:right="420" w:firstLine="420" w:firstLineChars="200"/>
        <w:rPr>
          <w:rFonts w:hint="eastAsia" w:ascii="宋体" w:hAnsi="宋体" w:eastAsia="宋体" w:cs="宋体"/>
          <w:b/>
          <w:color w:val="auto"/>
          <w:sz w:val="30"/>
          <w:szCs w:val="30"/>
          <w:highlight w:val="none"/>
          <w:lang w:val="zh-CN"/>
        </w:rPr>
      </w:pP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lang w:val="en-US" w:eastAsia="zh-CN"/>
        </w:rPr>
        <w:t>可</w:t>
      </w:r>
      <w:r>
        <w:rPr>
          <w:rFonts w:hint="eastAsia" w:ascii="宋体" w:hAnsi="宋体" w:eastAsia="宋体" w:cs="宋体"/>
          <w:b/>
          <w:color w:val="auto"/>
          <w:highlight w:val="none"/>
        </w:rPr>
        <w:t>随此表附上职称证、获奖等相关资料的复印件。</w:t>
      </w:r>
    </w:p>
    <w:p>
      <w:pPr>
        <w:spacing w:line="360" w:lineRule="auto"/>
        <w:ind w:firstLine="4080" w:firstLineChars="1700"/>
        <w:rPr>
          <w:rFonts w:hint="eastAsia" w:ascii="宋体" w:hAnsi="宋体" w:eastAsia="宋体" w:cs="宋体"/>
          <w:color w:val="auto"/>
          <w:sz w:val="24"/>
          <w:szCs w:val="24"/>
          <w:highlight w:val="none"/>
        </w:rPr>
      </w:pPr>
    </w:p>
    <w:p>
      <w:pPr>
        <w:spacing w:line="360" w:lineRule="auto"/>
        <w:ind w:firstLine="4080" w:firstLineChars="17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pPr>
        <w:spacing w:line="360" w:lineRule="auto"/>
        <w:ind w:firstLine="4080" w:firstLineChars="17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法定代表人或被授权代表（盖章或签字）：</w:t>
      </w:r>
      <w:r>
        <w:rPr>
          <w:rFonts w:hint="eastAsia" w:ascii="宋体" w:hAnsi="宋体" w:eastAsia="宋体" w:cs="宋体"/>
          <w:color w:val="auto"/>
          <w:sz w:val="24"/>
          <w:szCs w:val="24"/>
          <w:highlight w:val="none"/>
          <w:u w:val="single"/>
        </w:rPr>
        <w:t xml:space="preserve">                     </w:t>
      </w:r>
    </w:p>
    <w:p>
      <w:pPr>
        <w:tabs>
          <w:tab w:val="left" w:pos="1680"/>
        </w:tabs>
        <w:spacing w:line="360" w:lineRule="auto"/>
        <w:ind w:firstLine="4020" w:firstLineChars="1675"/>
        <w:rPr>
          <w:rFonts w:hint="eastAsia" w:ascii="宋体" w:hAnsi="宋体" w:eastAsia="宋体" w:cs="宋体"/>
          <w:color w:val="auto"/>
          <w:sz w:val="24"/>
          <w:szCs w:val="24"/>
          <w:highlight w:val="none"/>
        </w:rPr>
      </w:pPr>
    </w:p>
    <w:p>
      <w:pPr>
        <w:spacing w:line="360" w:lineRule="auto"/>
        <w:ind w:left="420" w:leftChars="200"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5"/>
        <w:spacing w:line="360" w:lineRule="auto"/>
        <w:jc w:val="center"/>
        <w:rPr>
          <w:rFonts w:hint="eastAsia" w:ascii="宋体" w:hAnsi="宋体" w:eastAsia="宋体" w:cs="宋体"/>
          <w:color w:val="auto"/>
          <w:highlight w:val="none"/>
        </w:rPr>
      </w:pPr>
    </w:p>
    <w:p>
      <w:pPr>
        <w:pStyle w:val="5"/>
        <w:spacing w:line="360" w:lineRule="auto"/>
        <w:jc w:val="center"/>
        <w:rPr>
          <w:rFonts w:hint="eastAsia" w:ascii="宋体" w:hAnsi="宋体" w:eastAsia="宋体" w:cs="宋体"/>
          <w:color w:val="auto"/>
          <w:highlight w:val="none"/>
        </w:rPr>
      </w:pPr>
    </w:p>
    <w:p>
      <w:pPr>
        <w:spacing w:line="360" w:lineRule="auto"/>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eastAsia="zh-CN"/>
        </w:rPr>
        <w:br w:type="page"/>
      </w:r>
      <w:r>
        <w:rPr>
          <w:rFonts w:hint="eastAsia" w:ascii="宋体" w:hAnsi="宋体" w:eastAsia="宋体" w:cs="宋体"/>
          <w:b/>
          <w:color w:val="auto"/>
          <w:sz w:val="28"/>
          <w:szCs w:val="28"/>
          <w:highlight w:val="none"/>
          <w:lang w:eastAsia="zh-CN"/>
        </w:rPr>
        <w:t>附</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lang w:eastAsia="zh-CN"/>
        </w:rPr>
        <w:t>项目部组成</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54"/>
        <w:gridCol w:w="1040"/>
        <w:gridCol w:w="824"/>
        <w:gridCol w:w="993"/>
        <w:gridCol w:w="824"/>
        <w:gridCol w:w="890"/>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15" w:type="dxa"/>
            <w:noWrap w:val="0"/>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序号                    </w:t>
            </w:r>
          </w:p>
        </w:tc>
        <w:tc>
          <w:tcPr>
            <w:tcW w:w="1454" w:type="dxa"/>
            <w:noWrap w:val="0"/>
            <w:vAlign w:val="center"/>
          </w:tcPr>
          <w:p>
            <w:pPr>
              <w:spacing w:line="360" w:lineRule="auto"/>
              <w:ind w:firstLine="240"/>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040"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824"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993"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学 历</w:t>
            </w:r>
          </w:p>
        </w:tc>
        <w:tc>
          <w:tcPr>
            <w:tcW w:w="824"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890"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2803"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pPr>
              <w:spacing w:line="360" w:lineRule="auto"/>
              <w:jc w:val="center"/>
              <w:rPr>
                <w:rFonts w:hint="eastAsia" w:ascii="宋体" w:hAnsi="宋体" w:eastAsia="宋体" w:cs="宋体"/>
                <w:color w:val="auto"/>
                <w:highlight w:val="none"/>
              </w:rPr>
            </w:pPr>
          </w:p>
        </w:tc>
        <w:tc>
          <w:tcPr>
            <w:tcW w:w="1454" w:type="dxa"/>
            <w:noWrap w:val="0"/>
            <w:vAlign w:val="top"/>
          </w:tcPr>
          <w:p>
            <w:pPr>
              <w:spacing w:line="360" w:lineRule="auto"/>
              <w:jc w:val="center"/>
              <w:rPr>
                <w:rFonts w:hint="eastAsia" w:ascii="宋体" w:hAnsi="宋体" w:eastAsia="宋体" w:cs="宋体"/>
                <w:color w:val="auto"/>
                <w:highlight w:val="none"/>
              </w:rPr>
            </w:pPr>
          </w:p>
        </w:tc>
        <w:tc>
          <w:tcPr>
            <w:tcW w:w="1040"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993" w:type="dxa"/>
            <w:noWrap w:val="0"/>
            <w:vAlign w:val="top"/>
          </w:tcPr>
          <w:p>
            <w:pPr>
              <w:spacing w:line="360" w:lineRule="auto"/>
              <w:jc w:val="center"/>
              <w:rPr>
                <w:rFonts w:hint="eastAsia" w:ascii="宋体" w:hAnsi="宋体" w:eastAsia="宋体" w:cs="宋体"/>
                <w:color w:val="auto"/>
                <w:highlight w:val="none"/>
              </w:rPr>
            </w:pPr>
          </w:p>
        </w:tc>
        <w:tc>
          <w:tcPr>
            <w:tcW w:w="824" w:type="dxa"/>
            <w:noWrap w:val="0"/>
            <w:vAlign w:val="top"/>
          </w:tcPr>
          <w:p>
            <w:pPr>
              <w:spacing w:line="360" w:lineRule="auto"/>
              <w:jc w:val="center"/>
              <w:rPr>
                <w:rFonts w:hint="eastAsia" w:ascii="宋体" w:hAnsi="宋体" w:eastAsia="宋体" w:cs="宋体"/>
                <w:color w:val="auto"/>
                <w:highlight w:val="none"/>
              </w:rPr>
            </w:pPr>
          </w:p>
        </w:tc>
        <w:tc>
          <w:tcPr>
            <w:tcW w:w="890" w:type="dxa"/>
            <w:noWrap w:val="0"/>
            <w:vAlign w:val="top"/>
          </w:tcPr>
          <w:p>
            <w:pPr>
              <w:spacing w:line="360" w:lineRule="auto"/>
              <w:jc w:val="center"/>
              <w:rPr>
                <w:rFonts w:hint="eastAsia" w:ascii="宋体" w:hAnsi="宋体" w:eastAsia="宋体" w:cs="宋体"/>
                <w:color w:val="auto"/>
                <w:highlight w:val="none"/>
              </w:rPr>
            </w:pPr>
          </w:p>
        </w:tc>
        <w:tc>
          <w:tcPr>
            <w:tcW w:w="2803" w:type="dxa"/>
            <w:noWrap w:val="0"/>
            <w:vAlign w:val="top"/>
          </w:tcPr>
          <w:p>
            <w:pPr>
              <w:spacing w:line="360" w:lineRule="auto"/>
              <w:jc w:val="center"/>
              <w:rPr>
                <w:rFonts w:hint="eastAsia" w:ascii="宋体" w:hAnsi="宋体" w:eastAsia="宋体" w:cs="宋体"/>
                <w:color w:val="auto"/>
                <w:highlight w:val="none"/>
              </w:rPr>
            </w:pPr>
          </w:p>
        </w:tc>
      </w:tr>
    </w:tbl>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ind w:firstLine="4080" w:firstLineChars="17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pPr>
        <w:spacing w:line="360" w:lineRule="auto"/>
        <w:ind w:firstLine="4080" w:firstLineChars="17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法定代表人或被授权代（盖章或签字）：</w:t>
      </w:r>
      <w:r>
        <w:rPr>
          <w:rFonts w:hint="eastAsia" w:ascii="宋体" w:hAnsi="宋体" w:eastAsia="宋体" w:cs="宋体"/>
          <w:color w:val="auto"/>
          <w:sz w:val="24"/>
          <w:szCs w:val="24"/>
          <w:highlight w:val="none"/>
          <w:u w:val="single"/>
        </w:rPr>
        <w:t xml:space="preserve">                     </w:t>
      </w:r>
    </w:p>
    <w:p>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5"/>
        <w:spacing w:line="360" w:lineRule="auto"/>
        <w:jc w:val="center"/>
        <w:rPr>
          <w:rFonts w:hint="eastAsia" w:ascii="宋体" w:hAnsi="宋体" w:eastAsia="宋体" w:cs="宋体"/>
          <w:b/>
          <w:color w:val="auto"/>
          <w:sz w:val="32"/>
          <w:szCs w:val="32"/>
          <w:highlight w:val="none"/>
        </w:rPr>
        <w:sectPr>
          <w:pgSz w:w="11906" w:h="16838"/>
          <w:pgMar w:top="1134" w:right="1304" w:bottom="1134" w:left="1304" w:header="851" w:footer="992" w:gutter="0"/>
          <w:pgNumType w:fmt="decimal"/>
          <w:cols w:space="720" w:num="1"/>
          <w:titlePg/>
          <w:docGrid w:type="linesAndChars" w:linePitch="312" w:charSpace="0"/>
        </w:sectPr>
      </w:pP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eastAsia="zh-CN"/>
        </w:rPr>
        <w:t>附</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val="zh-CN"/>
        </w:rPr>
        <w:t>拟投入本项目的其他人员简历表</w:t>
      </w:r>
    </w:p>
    <w:p>
      <w:pPr>
        <w:spacing w:line="360" w:lineRule="auto"/>
        <w:jc w:val="center"/>
        <w:rPr>
          <w:rFonts w:hint="eastAsia" w:ascii="宋体" w:hAnsi="宋体" w:eastAsia="宋体" w:cs="宋体"/>
          <w:b/>
          <w:color w:val="auto"/>
          <w:highlight w:val="none"/>
        </w:r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5"/>
        <w:gridCol w:w="345"/>
        <w:gridCol w:w="720"/>
        <w:gridCol w:w="900"/>
        <w:gridCol w:w="45"/>
        <w:gridCol w:w="945"/>
        <w:gridCol w:w="1530"/>
        <w:gridCol w:w="9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440"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p>
        </w:tc>
        <w:tc>
          <w:tcPr>
            <w:tcW w:w="1620" w:type="dxa"/>
            <w:gridSpan w:val="3"/>
            <w:noWrap w:val="0"/>
            <w:vAlign w:val="center"/>
          </w:tcPr>
          <w:p>
            <w:pPr>
              <w:spacing w:line="360" w:lineRule="auto"/>
              <w:jc w:val="center"/>
              <w:rPr>
                <w:rFonts w:hint="eastAsia" w:ascii="宋体" w:hAnsi="宋体" w:eastAsia="宋体" w:cs="宋体"/>
                <w:color w:val="auto"/>
                <w:sz w:val="24"/>
                <w:highlight w:val="none"/>
              </w:rPr>
            </w:pPr>
          </w:p>
        </w:tc>
        <w:tc>
          <w:tcPr>
            <w:tcW w:w="945" w:type="dxa"/>
            <w:gridSpan w:val="2"/>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 别</w:t>
            </w:r>
          </w:p>
        </w:tc>
        <w:tc>
          <w:tcPr>
            <w:tcW w:w="945" w:type="dxa"/>
            <w:noWrap w:val="0"/>
            <w:vAlign w:val="center"/>
          </w:tcPr>
          <w:p>
            <w:pPr>
              <w:spacing w:line="360" w:lineRule="auto"/>
              <w:jc w:val="center"/>
              <w:rPr>
                <w:rFonts w:hint="eastAsia" w:ascii="宋体" w:hAnsi="宋体" w:eastAsia="宋体" w:cs="宋体"/>
                <w:color w:val="auto"/>
                <w:sz w:val="24"/>
                <w:highlight w:val="none"/>
              </w:rPr>
            </w:pPr>
          </w:p>
        </w:tc>
        <w:tc>
          <w:tcPr>
            <w:tcW w:w="1530"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出生日期</w:t>
            </w:r>
          </w:p>
        </w:tc>
        <w:tc>
          <w:tcPr>
            <w:tcW w:w="2520" w:type="dxa"/>
            <w:gridSpan w:val="2"/>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1440"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毕业院校及专业</w:t>
            </w:r>
          </w:p>
        </w:tc>
        <w:tc>
          <w:tcPr>
            <w:tcW w:w="3510" w:type="dxa"/>
            <w:gridSpan w:val="6"/>
            <w:noWrap w:val="0"/>
            <w:vAlign w:val="center"/>
          </w:tcPr>
          <w:p>
            <w:pPr>
              <w:spacing w:line="360" w:lineRule="auto"/>
              <w:jc w:val="center"/>
              <w:rPr>
                <w:rFonts w:hint="eastAsia" w:ascii="宋体" w:hAnsi="宋体" w:eastAsia="宋体" w:cs="宋体"/>
                <w:color w:val="auto"/>
                <w:sz w:val="24"/>
                <w:highlight w:val="none"/>
              </w:rPr>
            </w:pPr>
          </w:p>
        </w:tc>
        <w:tc>
          <w:tcPr>
            <w:tcW w:w="1530" w:type="dxa"/>
            <w:noWrap w:val="0"/>
            <w:vAlign w:val="center"/>
          </w:tcPr>
          <w:p>
            <w:pPr>
              <w:spacing w:line="360" w:lineRule="auto"/>
              <w:ind w:left="-1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2520" w:type="dxa"/>
            <w:gridSpan w:val="2"/>
            <w:noWrap w:val="0"/>
            <w:vAlign w:val="center"/>
          </w:tcPr>
          <w:p>
            <w:pPr>
              <w:spacing w:line="360" w:lineRule="auto"/>
              <w:ind w:left="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40" w:type="dxa"/>
            <w:gridSpan w:val="3"/>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从事本专业时间</w:t>
            </w:r>
          </w:p>
        </w:tc>
        <w:tc>
          <w:tcPr>
            <w:tcW w:w="1620" w:type="dxa"/>
            <w:gridSpan w:val="2"/>
            <w:noWrap w:val="0"/>
            <w:vAlign w:val="center"/>
          </w:tcPr>
          <w:p>
            <w:pPr>
              <w:spacing w:line="360" w:lineRule="auto"/>
              <w:rPr>
                <w:rFonts w:hint="eastAsia" w:ascii="宋体" w:hAnsi="宋体" w:eastAsia="宋体" w:cs="宋体"/>
                <w:color w:val="auto"/>
                <w:sz w:val="24"/>
                <w:highlight w:val="none"/>
              </w:rPr>
            </w:pPr>
          </w:p>
        </w:tc>
        <w:tc>
          <w:tcPr>
            <w:tcW w:w="2520" w:type="dxa"/>
            <w:gridSpan w:val="3"/>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服务时间</w:t>
            </w:r>
          </w:p>
        </w:tc>
        <w:tc>
          <w:tcPr>
            <w:tcW w:w="2520" w:type="dxa"/>
            <w:gridSpan w:val="2"/>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000" w:type="dxa"/>
            <w:gridSpan w:val="10"/>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5" w:type="dxa"/>
            <w:gridSpan w:val="2"/>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   间</w:t>
            </w:r>
          </w:p>
        </w:tc>
        <w:tc>
          <w:tcPr>
            <w:tcW w:w="4575" w:type="dxa"/>
            <w:gridSpan w:val="7"/>
            <w:noWrap w:val="0"/>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参加过的类似项目名称及规模</w:t>
            </w:r>
          </w:p>
        </w:tc>
        <w:tc>
          <w:tcPr>
            <w:tcW w:w="2430"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995" w:type="dxa"/>
            <w:gridSpan w:val="2"/>
            <w:noWrap w:val="0"/>
            <w:vAlign w:val="top"/>
          </w:tcPr>
          <w:p>
            <w:pPr>
              <w:spacing w:line="360" w:lineRule="auto"/>
              <w:rPr>
                <w:rFonts w:hint="eastAsia" w:ascii="宋体" w:hAnsi="宋体" w:eastAsia="宋体" w:cs="宋体"/>
                <w:color w:val="auto"/>
                <w:highlight w:val="none"/>
              </w:rPr>
            </w:pPr>
          </w:p>
        </w:tc>
        <w:tc>
          <w:tcPr>
            <w:tcW w:w="4575" w:type="dxa"/>
            <w:gridSpan w:val="7"/>
            <w:noWrap w:val="0"/>
            <w:vAlign w:val="top"/>
          </w:tcPr>
          <w:p>
            <w:pPr>
              <w:spacing w:line="360" w:lineRule="auto"/>
              <w:rPr>
                <w:rFonts w:hint="eastAsia" w:ascii="宋体" w:hAnsi="宋体" w:eastAsia="宋体" w:cs="宋体"/>
                <w:color w:val="auto"/>
                <w:highlight w:val="none"/>
              </w:rPr>
            </w:pPr>
          </w:p>
        </w:tc>
        <w:tc>
          <w:tcPr>
            <w:tcW w:w="2430"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995" w:type="dxa"/>
            <w:gridSpan w:val="2"/>
            <w:noWrap w:val="0"/>
            <w:vAlign w:val="top"/>
          </w:tcPr>
          <w:p>
            <w:pPr>
              <w:spacing w:line="360" w:lineRule="auto"/>
              <w:rPr>
                <w:rFonts w:hint="eastAsia" w:ascii="宋体" w:hAnsi="宋体" w:eastAsia="宋体" w:cs="宋体"/>
                <w:color w:val="auto"/>
                <w:highlight w:val="none"/>
              </w:rPr>
            </w:pPr>
          </w:p>
        </w:tc>
        <w:tc>
          <w:tcPr>
            <w:tcW w:w="4575" w:type="dxa"/>
            <w:gridSpan w:val="7"/>
            <w:noWrap w:val="0"/>
            <w:vAlign w:val="top"/>
          </w:tcPr>
          <w:p>
            <w:pPr>
              <w:spacing w:line="360" w:lineRule="auto"/>
              <w:rPr>
                <w:rFonts w:hint="eastAsia" w:ascii="宋体" w:hAnsi="宋体" w:eastAsia="宋体" w:cs="宋体"/>
                <w:color w:val="auto"/>
                <w:highlight w:val="none"/>
              </w:rPr>
            </w:pPr>
          </w:p>
        </w:tc>
        <w:tc>
          <w:tcPr>
            <w:tcW w:w="2430"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995" w:type="dxa"/>
            <w:gridSpan w:val="2"/>
            <w:noWrap w:val="0"/>
            <w:vAlign w:val="top"/>
          </w:tcPr>
          <w:p>
            <w:pPr>
              <w:spacing w:line="360" w:lineRule="auto"/>
              <w:rPr>
                <w:rFonts w:hint="eastAsia" w:ascii="宋体" w:hAnsi="宋体" w:eastAsia="宋体" w:cs="宋体"/>
                <w:color w:val="auto"/>
                <w:highlight w:val="none"/>
              </w:rPr>
            </w:pPr>
          </w:p>
        </w:tc>
        <w:tc>
          <w:tcPr>
            <w:tcW w:w="4575" w:type="dxa"/>
            <w:gridSpan w:val="7"/>
            <w:noWrap w:val="0"/>
            <w:vAlign w:val="top"/>
          </w:tcPr>
          <w:p>
            <w:pPr>
              <w:spacing w:line="360" w:lineRule="auto"/>
              <w:rPr>
                <w:rFonts w:hint="eastAsia" w:ascii="宋体" w:hAnsi="宋体" w:eastAsia="宋体" w:cs="宋体"/>
                <w:color w:val="auto"/>
                <w:highlight w:val="none"/>
              </w:rPr>
            </w:pPr>
          </w:p>
        </w:tc>
        <w:tc>
          <w:tcPr>
            <w:tcW w:w="2430"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995" w:type="dxa"/>
            <w:gridSpan w:val="2"/>
            <w:noWrap w:val="0"/>
            <w:vAlign w:val="top"/>
          </w:tcPr>
          <w:p>
            <w:pPr>
              <w:spacing w:line="360" w:lineRule="auto"/>
              <w:rPr>
                <w:rFonts w:hint="eastAsia" w:ascii="宋体" w:hAnsi="宋体" w:eastAsia="宋体" w:cs="宋体"/>
                <w:color w:val="auto"/>
                <w:highlight w:val="none"/>
              </w:rPr>
            </w:pPr>
          </w:p>
        </w:tc>
        <w:tc>
          <w:tcPr>
            <w:tcW w:w="4575" w:type="dxa"/>
            <w:gridSpan w:val="7"/>
            <w:noWrap w:val="0"/>
            <w:vAlign w:val="top"/>
          </w:tcPr>
          <w:p>
            <w:pPr>
              <w:spacing w:line="360" w:lineRule="auto"/>
              <w:rPr>
                <w:rFonts w:hint="eastAsia" w:ascii="宋体" w:hAnsi="宋体" w:eastAsia="宋体" w:cs="宋体"/>
                <w:color w:val="auto"/>
                <w:highlight w:val="none"/>
              </w:rPr>
            </w:pPr>
          </w:p>
        </w:tc>
        <w:tc>
          <w:tcPr>
            <w:tcW w:w="2430" w:type="dxa"/>
            <w:noWrap w:val="0"/>
            <w:vAlign w:val="top"/>
          </w:tcPr>
          <w:p>
            <w:pPr>
              <w:spacing w:line="360" w:lineRule="auto"/>
              <w:rPr>
                <w:rFonts w:hint="eastAsia" w:ascii="宋体" w:hAnsi="宋体" w:eastAsia="宋体" w:cs="宋体"/>
                <w:color w:val="auto"/>
                <w:highlight w:val="none"/>
              </w:rPr>
            </w:pPr>
          </w:p>
        </w:tc>
      </w:tr>
    </w:tbl>
    <w:p>
      <w:pPr>
        <w:spacing w:line="360" w:lineRule="auto"/>
        <w:ind w:right="420"/>
        <w:rPr>
          <w:rFonts w:hint="eastAsia" w:ascii="宋体" w:hAnsi="宋体" w:eastAsia="宋体" w:cs="宋体"/>
          <w:b/>
          <w:color w:val="auto"/>
          <w:highlight w:val="none"/>
        </w:rPr>
      </w:pPr>
    </w:p>
    <w:p>
      <w:pPr>
        <w:spacing w:line="360" w:lineRule="auto"/>
        <w:ind w:right="420"/>
        <w:rPr>
          <w:rFonts w:hint="eastAsia" w:ascii="宋体" w:hAnsi="宋体" w:eastAsia="宋体" w:cs="宋体"/>
          <w:b/>
          <w:color w:val="auto"/>
          <w:sz w:val="30"/>
          <w:szCs w:val="30"/>
          <w:highlight w:val="none"/>
          <w:lang w:val="zh-CN"/>
        </w:rPr>
      </w:pPr>
      <w:r>
        <w:rPr>
          <w:rFonts w:hint="eastAsia" w:ascii="宋体" w:hAnsi="宋体" w:eastAsia="宋体" w:cs="宋体"/>
          <w:b/>
          <w:color w:val="auto"/>
          <w:highlight w:val="none"/>
        </w:rPr>
        <w:t>注：</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需随此表附上其他团队成员的资格证、职称证等相关资料的复印件。</w:t>
      </w:r>
    </w:p>
    <w:p>
      <w:pPr>
        <w:spacing w:line="360" w:lineRule="auto"/>
        <w:ind w:firstLine="4080" w:firstLineChars="1700"/>
        <w:rPr>
          <w:rFonts w:hint="eastAsia" w:ascii="宋体" w:hAnsi="宋体" w:eastAsia="宋体" w:cs="宋体"/>
          <w:color w:val="auto"/>
          <w:sz w:val="24"/>
          <w:szCs w:val="24"/>
          <w:highlight w:val="none"/>
        </w:rPr>
      </w:pPr>
    </w:p>
    <w:p>
      <w:pPr>
        <w:spacing w:line="360" w:lineRule="auto"/>
        <w:ind w:firstLine="4080" w:firstLineChars="17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pPr>
        <w:spacing w:line="360" w:lineRule="auto"/>
        <w:ind w:firstLine="4080" w:firstLineChars="17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法定代表人或被授权代表（盖章或签字）：</w:t>
      </w:r>
      <w:r>
        <w:rPr>
          <w:rFonts w:hint="eastAsia" w:ascii="宋体" w:hAnsi="宋体" w:eastAsia="宋体" w:cs="宋体"/>
          <w:color w:val="auto"/>
          <w:sz w:val="24"/>
          <w:szCs w:val="24"/>
          <w:highlight w:val="none"/>
          <w:u w:val="single"/>
        </w:rPr>
        <w:t xml:space="preserve">                     </w:t>
      </w:r>
    </w:p>
    <w:p>
      <w:pPr>
        <w:tabs>
          <w:tab w:val="left" w:pos="1680"/>
        </w:tabs>
        <w:spacing w:line="360" w:lineRule="auto"/>
        <w:ind w:firstLine="4020" w:firstLineChars="1675"/>
        <w:rPr>
          <w:rFonts w:hint="eastAsia" w:ascii="宋体" w:hAnsi="宋体" w:eastAsia="宋体" w:cs="宋体"/>
          <w:color w:val="auto"/>
          <w:sz w:val="24"/>
          <w:szCs w:val="24"/>
          <w:highlight w:val="none"/>
        </w:rPr>
      </w:pPr>
    </w:p>
    <w:p>
      <w:pPr>
        <w:tabs>
          <w:tab w:val="left" w:pos="1680"/>
        </w:tabs>
        <w:spacing w:line="360" w:lineRule="auto"/>
        <w:ind w:firstLine="4020" w:firstLineChars="16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tabs>
          <w:tab w:val="left" w:pos="1680"/>
        </w:tabs>
        <w:spacing w:line="360" w:lineRule="auto"/>
        <w:ind w:firstLine="4020" w:firstLineChars="1675"/>
        <w:rPr>
          <w:rFonts w:hint="eastAsia" w:ascii="宋体" w:hAnsi="宋体" w:eastAsia="宋体" w:cs="宋体"/>
          <w:color w:val="auto"/>
          <w:sz w:val="24"/>
          <w:szCs w:val="24"/>
          <w:highlight w:val="none"/>
        </w:rPr>
      </w:pPr>
    </w:p>
    <w:p>
      <w:pPr>
        <w:spacing w:before="120" w:beforeLines="50" w:after="240" w:afterLines="100" w:line="360" w:lineRule="auto"/>
        <w:jc w:val="left"/>
        <w:outlineLvl w:val="2"/>
        <w:rPr>
          <w:rFonts w:hint="eastAsia" w:ascii="宋体" w:hAnsi="宋体" w:eastAsia="宋体" w:cs="宋体"/>
          <w:b/>
          <w:spacing w:val="4"/>
          <w:sz w:val="28"/>
          <w:szCs w:val="28"/>
          <w:highlight w:val="none"/>
        </w:rPr>
      </w:pPr>
      <w:bookmarkStart w:id="186" w:name="_Toc31943"/>
      <w:bookmarkStart w:id="187" w:name="_Toc27368"/>
      <w:bookmarkStart w:id="188" w:name="_Toc14422"/>
      <w:bookmarkStart w:id="189" w:name="_Toc9145"/>
      <w:bookmarkStart w:id="190" w:name="_Toc8238"/>
      <w:bookmarkStart w:id="191" w:name="_Toc17530"/>
      <w:r>
        <w:rPr>
          <w:rFonts w:hint="eastAsia" w:ascii="宋体" w:hAnsi="宋体" w:eastAsia="宋体" w:cs="宋体"/>
          <w:b/>
          <w:color w:val="auto"/>
          <w:sz w:val="32"/>
          <w:szCs w:val="32"/>
          <w:highlight w:val="none"/>
          <w:lang w:val="en-US" w:eastAsia="zh-CN"/>
        </w:rPr>
        <w:br w:type="page"/>
      </w:r>
      <w:bookmarkStart w:id="192" w:name="_Toc19676"/>
      <w:r>
        <w:rPr>
          <w:rFonts w:hint="eastAsia" w:ascii="宋体" w:hAnsi="宋体" w:eastAsia="宋体" w:cs="宋体"/>
          <w:b/>
          <w:spacing w:val="4"/>
          <w:sz w:val="28"/>
          <w:szCs w:val="28"/>
          <w:highlight w:val="none"/>
          <w:lang w:eastAsia="zh-CN"/>
        </w:rPr>
        <w:t>附</w:t>
      </w:r>
      <w:r>
        <w:rPr>
          <w:rFonts w:hint="eastAsia" w:ascii="宋体" w:hAnsi="宋体" w:eastAsia="宋体" w:cs="宋体"/>
          <w:b/>
          <w:spacing w:val="4"/>
          <w:sz w:val="28"/>
          <w:szCs w:val="28"/>
          <w:highlight w:val="none"/>
          <w:lang w:val="en-US" w:eastAsia="zh-CN"/>
        </w:rPr>
        <w:t>4.</w:t>
      </w:r>
      <w:r>
        <w:rPr>
          <w:rFonts w:hint="eastAsia" w:ascii="宋体" w:hAnsi="宋体" w:eastAsia="宋体" w:cs="宋体"/>
          <w:b/>
          <w:spacing w:val="4"/>
          <w:sz w:val="28"/>
          <w:szCs w:val="28"/>
          <w:highlight w:val="none"/>
          <w:lang w:eastAsia="zh-CN"/>
        </w:rPr>
        <w:t>类似业绩</w:t>
      </w:r>
      <w:r>
        <w:rPr>
          <w:rFonts w:hint="eastAsia" w:ascii="宋体" w:hAnsi="宋体" w:eastAsia="宋体" w:cs="宋体"/>
          <w:b/>
          <w:spacing w:val="4"/>
          <w:sz w:val="28"/>
          <w:szCs w:val="28"/>
          <w:highlight w:val="none"/>
        </w:rPr>
        <w:t>情况</w:t>
      </w:r>
      <w:bookmarkEnd w:id="192"/>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业绩序号</w:t>
            </w:r>
          </w:p>
        </w:tc>
        <w:tc>
          <w:tcPr>
            <w:tcW w:w="6050"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第   项 / 共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项目名称</w:t>
            </w:r>
          </w:p>
        </w:tc>
        <w:tc>
          <w:tcPr>
            <w:tcW w:w="6050"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项目所在地</w:t>
            </w:r>
          </w:p>
        </w:tc>
        <w:tc>
          <w:tcPr>
            <w:tcW w:w="6050"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发包人名称</w:t>
            </w:r>
          </w:p>
        </w:tc>
        <w:tc>
          <w:tcPr>
            <w:tcW w:w="6050"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发包人地址</w:t>
            </w:r>
          </w:p>
        </w:tc>
        <w:tc>
          <w:tcPr>
            <w:tcW w:w="6050"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发包人联系人及电话</w:t>
            </w:r>
          </w:p>
        </w:tc>
        <w:tc>
          <w:tcPr>
            <w:tcW w:w="6050"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合同价格</w:t>
            </w:r>
          </w:p>
        </w:tc>
        <w:tc>
          <w:tcPr>
            <w:tcW w:w="6050"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服务期限</w:t>
            </w:r>
          </w:p>
        </w:tc>
        <w:tc>
          <w:tcPr>
            <w:tcW w:w="6050"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承担的工作</w:t>
            </w:r>
          </w:p>
        </w:tc>
        <w:tc>
          <w:tcPr>
            <w:tcW w:w="6050"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服务质量</w:t>
            </w:r>
          </w:p>
        </w:tc>
        <w:tc>
          <w:tcPr>
            <w:tcW w:w="6050"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6050"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2411"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项目描述</w:t>
            </w:r>
          </w:p>
        </w:tc>
        <w:tc>
          <w:tcPr>
            <w:tcW w:w="6050" w:type="dxa"/>
            <w:noWrap w:val="0"/>
            <w:vAlign w:val="center"/>
          </w:tcPr>
          <w:p>
            <w:pPr>
              <w:spacing w:line="360" w:lineRule="auto"/>
              <w:jc w:val="center"/>
              <w:rPr>
                <w:rFonts w:hint="eastAsia" w:ascii="宋体" w:hAnsi="宋体" w:eastAsia="宋体" w:cs="宋体"/>
                <w:szCs w:val="21"/>
                <w:highlight w:val="none"/>
              </w:rPr>
            </w:pPr>
          </w:p>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6050" w:type="dxa"/>
            <w:noWrap w:val="0"/>
            <w:vAlign w:val="center"/>
          </w:tcPr>
          <w:p>
            <w:pPr>
              <w:spacing w:line="360" w:lineRule="auto"/>
              <w:jc w:val="center"/>
              <w:rPr>
                <w:rFonts w:hint="eastAsia" w:ascii="宋体" w:hAnsi="宋体" w:eastAsia="宋体" w:cs="宋体"/>
                <w:szCs w:val="21"/>
                <w:highlight w:val="none"/>
              </w:rPr>
            </w:pPr>
          </w:p>
        </w:tc>
      </w:tr>
    </w:tbl>
    <w:p>
      <w:pPr>
        <w:spacing w:line="360" w:lineRule="auto"/>
        <w:ind w:firstLine="310" w:firstLineChars="147"/>
        <w:rPr>
          <w:rFonts w:hint="eastAsia" w:ascii="宋体" w:hAnsi="宋体" w:eastAsia="宋体" w:cs="宋体"/>
          <w:b/>
          <w:szCs w:val="21"/>
          <w:highlight w:val="none"/>
        </w:rPr>
      </w:pPr>
    </w:p>
    <w:p>
      <w:pPr>
        <w:spacing w:line="360" w:lineRule="auto"/>
        <w:ind w:firstLine="310" w:firstLineChars="147"/>
        <w:rPr>
          <w:rFonts w:hint="eastAsia" w:ascii="宋体" w:hAnsi="宋体" w:eastAsia="宋体" w:cs="宋体"/>
          <w:b/>
          <w:szCs w:val="21"/>
          <w:highlight w:val="none"/>
        </w:rPr>
      </w:pPr>
      <w:r>
        <w:rPr>
          <w:rFonts w:hint="eastAsia" w:ascii="宋体" w:hAnsi="宋体" w:eastAsia="宋体" w:cs="宋体"/>
          <w:b/>
          <w:szCs w:val="21"/>
          <w:highlight w:val="none"/>
        </w:rPr>
        <w:t>备注：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本表后附类似业绩证明材料复印件（加盖单位公章）。每张表格只填写一个项目，并标明序号。</w:t>
      </w:r>
    </w:p>
    <w:p>
      <w:pPr>
        <w:numPr>
          <w:ilvl w:val="0"/>
          <w:numId w:val="0"/>
        </w:numPr>
        <w:spacing w:line="360" w:lineRule="auto"/>
        <w:ind w:leftChars="0"/>
        <w:jc w:val="center"/>
        <w:outlineLvl w:val="9"/>
        <w:rPr>
          <w:rFonts w:hint="eastAsia" w:ascii="宋体" w:hAnsi="宋体" w:eastAsia="宋体" w:cs="宋体"/>
          <w:b/>
          <w:color w:val="auto"/>
          <w:sz w:val="32"/>
          <w:szCs w:val="32"/>
          <w:highlight w:val="none"/>
          <w:lang w:val="en-US" w:eastAsia="zh-CN"/>
        </w:rPr>
      </w:pPr>
    </w:p>
    <w:p>
      <w:pPr>
        <w:numPr>
          <w:ilvl w:val="0"/>
          <w:numId w:val="0"/>
        </w:numPr>
        <w:spacing w:line="360" w:lineRule="auto"/>
        <w:ind w:leftChars="0"/>
        <w:jc w:val="center"/>
        <w:outlineLvl w:val="9"/>
        <w:rPr>
          <w:rFonts w:hint="eastAsia" w:ascii="宋体" w:hAnsi="宋体" w:eastAsia="宋体" w:cs="宋体"/>
          <w:b/>
          <w:color w:val="auto"/>
          <w:sz w:val="32"/>
          <w:szCs w:val="32"/>
          <w:highlight w:val="none"/>
          <w:lang w:val="en-US" w:eastAsia="zh-CN"/>
        </w:rPr>
      </w:pPr>
    </w:p>
    <w:p>
      <w:pPr>
        <w:numPr>
          <w:ilvl w:val="0"/>
          <w:numId w:val="0"/>
        </w:numPr>
        <w:spacing w:line="360" w:lineRule="auto"/>
        <w:ind w:leftChars="0"/>
        <w:jc w:val="center"/>
        <w:outlineLvl w:val="9"/>
        <w:rPr>
          <w:rFonts w:hint="eastAsia" w:ascii="宋体" w:hAnsi="宋体" w:eastAsia="宋体" w:cs="宋体"/>
          <w:b/>
          <w:color w:val="auto"/>
          <w:sz w:val="32"/>
          <w:szCs w:val="32"/>
          <w:highlight w:val="none"/>
          <w:lang w:val="en-US" w:eastAsia="zh-CN"/>
        </w:rPr>
      </w:pPr>
    </w:p>
    <w:p>
      <w:pPr>
        <w:numPr>
          <w:ilvl w:val="0"/>
          <w:numId w:val="0"/>
        </w:numPr>
        <w:spacing w:line="360" w:lineRule="auto"/>
        <w:ind w:leftChars="0"/>
        <w:jc w:val="center"/>
        <w:outlineLvl w:val="9"/>
        <w:rPr>
          <w:rFonts w:hint="eastAsia" w:ascii="宋体" w:hAnsi="宋体" w:eastAsia="宋体" w:cs="宋体"/>
          <w:b/>
          <w:color w:val="auto"/>
          <w:sz w:val="32"/>
          <w:szCs w:val="32"/>
          <w:highlight w:val="none"/>
          <w:lang w:val="en-US" w:eastAsia="zh-CN"/>
        </w:rPr>
      </w:pPr>
    </w:p>
    <w:p>
      <w:pPr>
        <w:numPr>
          <w:ilvl w:val="0"/>
          <w:numId w:val="0"/>
        </w:numPr>
        <w:spacing w:line="360" w:lineRule="auto"/>
        <w:ind w:leftChars="0"/>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、商务条款响应偏离表</w:t>
      </w:r>
      <w:bookmarkEnd w:id="186"/>
      <w:bookmarkEnd w:id="187"/>
      <w:bookmarkEnd w:id="188"/>
      <w:bookmarkEnd w:id="189"/>
      <w:bookmarkEnd w:id="190"/>
      <w:bookmarkEnd w:id="191"/>
    </w:p>
    <w:p>
      <w:pPr>
        <w:spacing w:line="360" w:lineRule="auto"/>
        <w:ind w:firstLine="211"/>
        <w:jc w:val="center"/>
        <w:rPr>
          <w:rFonts w:hint="eastAsia" w:ascii="宋体" w:hAnsi="宋体" w:eastAsia="宋体" w:cs="宋体"/>
          <w:b/>
          <w:color w:val="auto"/>
          <w:sz w:val="32"/>
          <w:szCs w:val="32"/>
          <w:highlight w:val="none"/>
        </w:rPr>
      </w:pPr>
    </w:p>
    <w:p>
      <w:pPr>
        <w:spacing w:line="360" w:lineRule="auto"/>
        <w:ind w:firstLine="211"/>
        <w:jc w:val="center"/>
        <w:rPr>
          <w:rFonts w:hint="eastAsia" w:ascii="宋体" w:hAnsi="宋体" w:eastAsia="宋体" w:cs="宋体"/>
          <w:b/>
          <w:color w:val="auto"/>
          <w:sz w:val="32"/>
          <w:szCs w:val="32"/>
          <w:highlight w:val="none"/>
        </w:rPr>
      </w:pPr>
    </w:p>
    <w:p>
      <w:pPr>
        <w:spacing w:line="360" w:lineRule="auto"/>
        <w:ind w:firstLine="211"/>
        <w:jc w:val="center"/>
        <w:rPr>
          <w:rFonts w:hint="eastAsia" w:ascii="宋体" w:hAnsi="宋体" w:eastAsia="宋体" w:cs="宋体"/>
          <w:color w:val="auto"/>
          <w:sz w:val="24"/>
          <w:highlight w:val="none"/>
        </w:rPr>
      </w:pPr>
    </w:p>
    <w:p>
      <w:pPr>
        <w:spacing w:line="360" w:lineRule="auto"/>
        <w:ind w:firstLine="1080" w:firstLineChars="450"/>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rPr>
        <w:t>（格式内容自拟，若无偏离，则填写：“商务条款完全响应，无偏离”）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920" w:firstLineChars="2050"/>
        <w:rPr>
          <w:rFonts w:hint="eastAsia" w:ascii="宋体" w:hAnsi="宋体" w:eastAsia="宋体" w:cs="宋体"/>
          <w:color w:val="auto"/>
          <w:sz w:val="24"/>
          <w:highlight w:val="none"/>
        </w:rPr>
      </w:pPr>
    </w:p>
    <w:p>
      <w:pPr>
        <w:spacing w:line="360" w:lineRule="auto"/>
        <w:ind w:firstLine="4920" w:firstLineChars="2050"/>
        <w:rPr>
          <w:rFonts w:hint="eastAsia" w:ascii="宋体" w:hAnsi="宋体" w:eastAsia="宋体" w:cs="宋体"/>
          <w:color w:val="auto"/>
          <w:sz w:val="24"/>
          <w:highlight w:val="none"/>
        </w:rPr>
      </w:pPr>
    </w:p>
    <w:p>
      <w:pPr>
        <w:spacing w:line="360" w:lineRule="auto"/>
        <w:ind w:firstLine="4920" w:firstLineChars="2050"/>
        <w:rPr>
          <w:rFonts w:hint="eastAsia" w:ascii="宋体" w:hAnsi="宋体" w:eastAsia="宋体" w:cs="宋体"/>
          <w:color w:val="auto"/>
          <w:sz w:val="24"/>
          <w:highlight w:val="none"/>
        </w:rPr>
      </w:pPr>
    </w:p>
    <w:p>
      <w:pPr>
        <w:spacing w:line="360" w:lineRule="auto"/>
        <w:ind w:firstLine="4920" w:firstLineChars="20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供应商名称（公章）： </w:t>
      </w:r>
    </w:p>
    <w:p>
      <w:pPr>
        <w:spacing w:line="360" w:lineRule="auto"/>
        <w:ind w:firstLine="540" w:firstLineChars="300"/>
        <w:rPr>
          <w:rFonts w:hint="eastAsia" w:ascii="宋体" w:hAnsi="宋体" w:eastAsia="宋体" w:cs="宋体"/>
          <w:color w:val="auto"/>
          <w:sz w:val="18"/>
          <w:szCs w:val="18"/>
          <w:highlight w:val="none"/>
        </w:rPr>
      </w:pPr>
    </w:p>
    <w:p>
      <w:pPr>
        <w:spacing w:line="360" w:lineRule="auto"/>
        <w:ind w:firstLine="720" w:firstLineChars="300"/>
        <w:rPr>
          <w:rFonts w:hint="eastAsia" w:ascii="宋体" w:hAnsi="宋体" w:eastAsia="宋体" w:cs="宋体"/>
          <w:color w:val="auto"/>
          <w:sz w:val="24"/>
          <w:highlight w:val="none"/>
        </w:rPr>
      </w:pPr>
    </w:p>
    <w:p>
      <w:pPr>
        <w:spacing w:line="360" w:lineRule="auto"/>
        <w:ind w:firstLine="4920" w:firstLineChars="2050"/>
        <w:rPr>
          <w:rFonts w:hint="eastAsia" w:ascii="宋体" w:hAnsi="宋体" w:eastAsia="宋体" w:cs="宋体"/>
          <w:b/>
          <w:bCs/>
          <w:color w:val="auto"/>
          <w:sz w:val="36"/>
          <w:szCs w:val="36"/>
          <w:highlight w:val="none"/>
        </w:rPr>
      </w:pPr>
      <w:r>
        <w:rPr>
          <w:rFonts w:hint="eastAsia" w:ascii="宋体" w:hAnsi="宋体" w:eastAsia="宋体" w:cs="宋体"/>
          <w:color w:val="auto"/>
          <w:sz w:val="24"/>
          <w:highlight w:val="none"/>
        </w:rPr>
        <w:t>法定代表人或授权代表签字或盖章：</w:t>
      </w:r>
    </w:p>
    <w:p>
      <w:pPr>
        <w:spacing w:line="360" w:lineRule="auto"/>
        <w:ind w:firstLine="1084" w:firstLineChars="300"/>
        <w:rPr>
          <w:rFonts w:hint="eastAsia" w:ascii="宋体" w:hAnsi="宋体" w:eastAsia="宋体" w:cs="宋体"/>
          <w:b/>
          <w:bCs/>
          <w:color w:val="auto"/>
          <w:sz w:val="36"/>
          <w:szCs w:val="36"/>
          <w:highlight w:val="none"/>
        </w:rPr>
      </w:pPr>
    </w:p>
    <w:p>
      <w:pPr>
        <w:spacing w:line="360" w:lineRule="auto"/>
        <w:ind w:firstLine="542" w:firstLineChars="300"/>
        <w:rPr>
          <w:rFonts w:hint="eastAsia" w:ascii="宋体" w:hAnsi="宋体" w:eastAsia="宋体" w:cs="宋体"/>
          <w:b/>
          <w:bCs/>
          <w:color w:val="auto"/>
          <w:sz w:val="18"/>
          <w:szCs w:val="18"/>
          <w:highlight w:val="none"/>
        </w:rPr>
      </w:pPr>
    </w:p>
    <w:p>
      <w:pPr>
        <w:spacing w:line="360" w:lineRule="auto"/>
        <w:ind w:firstLine="4920" w:firstLineChars="20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pStyle w:val="5"/>
        <w:spacing w:line="360" w:lineRule="auto"/>
        <w:jc w:val="center"/>
        <w:rPr>
          <w:rFonts w:hint="eastAsia" w:ascii="宋体" w:hAnsi="宋体" w:eastAsia="宋体" w:cs="宋体"/>
          <w:b/>
          <w:bCs/>
          <w:color w:val="auto"/>
          <w:sz w:val="32"/>
          <w:szCs w:val="32"/>
          <w:highlight w:val="none"/>
        </w:rPr>
      </w:pPr>
    </w:p>
    <w:p>
      <w:pPr>
        <w:pStyle w:val="5"/>
        <w:spacing w:line="360" w:lineRule="auto"/>
        <w:jc w:val="center"/>
        <w:rPr>
          <w:rFonts w:hint="eastAsia" w:ascii="宋体" w:hAnsi="宋体" w:eastAsia="宋体" w:cs="宋体"/>
          <w:b/>
          <w:bCs/>
          <w:color w:val="auto"/>
          <w:sz w:val="32"/>
          <w:szCs w:val="32"/>
          <w:highlight w:val="none"/>
        </w:rPr>
      </w:pPr>
    </w:p>
    <w:p>
      <w:pPr>
        <w:pStyle w:val="5"/>
        <w:spacing w:line="360" w:lineRule="auto"/>
        <w:jc w:val="center"/>
        <w:rPr>
          <w:rFonts w:hint="eastAsia" w:ascii="宋体" w:hAnsi="宋体" w:eastAsia="宋体" w:cs="宋体"/>
          <w:b/>
          <w:bCs/>
          <w:color w:val="auto"/>
          <w:sz w:val="32"/>
          <w:szCs w:val="32"/>
          <w:highlight w:val="none"/>
        </w:rPr>
      </w:pPr>
    </w:p>
    <w:p>
      <w:pPr>
        <w:pStyle w:val="5"/>
        <w:spacing w:line="360" w:lineRule="auto"/>
        <w:jc w:val="center"/>
        <w:rPr>
          <w:rFonts w:hint="eastAsia" w:ascii="宋体" w:hAnsi="宋体" w:eastAsia="宋体" w:cs="宋体"/>
          <w:b/>
          <w:bCs/>
          <w:color w:val="auto"/>
          <w:sz w:val="32"/>
          <w:szCs w:val="32"/>
          <w:highlight w:val="none"/>
        </w:rPr>
      </w:pPr>
    </w:p>
    <w:p>
      <w:pPr>
        <w:pStyle w:val="5"/>
        <w:spacing w:line="360" w:lineRule="auto"/>
        <w:jc w:val="center"/>
        <w:rPr>
          <w:rFonts w:hint="eastAsia" w:ascii="宋体" w:hAnsi="宋体" w:eastAsia="宋体" w:cs="宋体"/>
          <w:b/>
          <w:bCs/>
          <w:color w:val="auto"/>
          <w:sz w:val="32"/>
          <w:szCs w:val="32"/>
          <w:highlight w:val="none"/>
        </w:rPr>
      </w:pPr>
    </w:p>
    <w:p>
      <w:pPr>
        <w:spacing w:line="360" w:lineRule="auto"/>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br w:type="page"/>
      </w:r>
      <w:bookmarkStart w:id="193" w:name="_Toc31397"/>
      <w:bookmarkStart w:id="194" w:name="_Toc16013"/>
      <w:bookmarkStart w:id="195" w:name="_Toc6388"/>
      <w:bookmarkStart w:id="196" w:name="_Toc27128"/>
      <w:bookmarkStart w:id="197" w:name="_Toc28292"/>
      <w:bookmarkStart w:id="198" w:name="_Toc27436"/>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、其它</w:t>
      </w:r>
      <w:bookmarkEnd w:id="193"/>
      <w:bookmarkEnd w:id="194"/>
      <w:bookmarkEnd w:id="195"/>
      <w:bookmarkEnd w:id="196"/>
      <w:r>
        <w:rPr>
          <w:rFonts w:hint="eastAsia" w:ascii="宋体" w:hAnsi="宋体" w:eastAsia="宋体" w:cs="宋体"/>
          <w:b/>
          <w:bCs/>
          <w:color w:val="auto"/>
          <w:sz w:val="32"/>
          <w:szCs w:val="32"/>
          <w:highlight w:val="none"/>
          <w:lang w:val="en-US" w:eastAsia="zh-CN"/>
        </w:rPr>
        <w:t>补充资料</w:t>
      </w:r>
      <w:bookmarkEnd w:id="197"/>
      <w:bookmarkEnd w:id="198"/>
    </w:p>
    <w:p>
      <w:pPr>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其它供应商认为应该提供的</w:t>
      </w:r>
      <w:r>
        <w:rPr>
          <w:rFonts w:hint="eastAsia" w:ascii="宋体" w:hAnsi="宋体" w:eastAsia="宋体" w:cs="宋体"/>
          <w:bCs/>
          <w:color w:val="auto"/>
          <w:sz w:val="24"/>
          <w:szCs w:val="24"/>
          <w:highlight w:val="none"/>
          <w:lang w:val="en-US" w:eastAsia="zh-CN"/>
        </w:rPr>
        <w:t>补充</w:t>
      </w:r>
      <w:r>
        <w:rPr>
          <w:rFonts w:hint="eastAsia" w:ascii="宋体" w:hAnsi="宋体" w:eastAsia="宋体" w:cs="宋体"/>
          <w:bCs/>
          <w:color w:val="auto"/>
          <w:sz w:val="24"/>
          <w:szCs w:val="24"/>
          <w:highlight w:val="none"/>
        </w:rPr>
        <w:t>资料</w:t>
      </w:r>
      <w:r>
        <w:rPr>
          <w:rFonts w:hint="eastAsia" w:ascii="宋体" w:hAnsi="宋体" w:eastAsia="宋体" w:cs="宋体"/>
          <w:bCs/>
          <w:color w:val="auto"/>
          <w:sz w:val="24"/>
          <w:szCs w:val="24"/>
          <w:highlight w:val="none"/>
          <w:lang w:eastAsia="zh-CN"/>
        </w:rPr>
        <w:t>。</w:t>
      </w: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pStyle w:val="3"/>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jc w:val="left"/>
        <w:rPr>
          <w:rFonts w:hint="eastAsia" w:ascii="宋体" w:hAnsi="宋体" w:eastAsia="宋体" w:cs="宋体"/>
          <w:bCs/>
          <w:color w:val="auto"/>
          <w:sz w:val="24"/>
          <w:szCs w:val="24"/>
          <w:highlight w:val="none"/>
          <w:lang w:eastAsia="zh-CN"/>
        </w:rPr>
      </w:pPr>
    </w:p>
    <w:p>
      <w:pPr>
        <w:spacing w:line="360" w:lineRule="auto"/>
        <w:jc w:val="left"/>
        <w:rPr>
          <w:rFonts w:hint="eastAsia" w:ascii="宋体" w:hAnsi="宋体" w:eastAsia="宋体" w:cs="宋体"/>
          <w:color w:val="auto"/>
          <w:spacing w:val="6"/>
          <w:sz w:val="30"/>
          <w:szCs w:val="30"/>
          <w:highlight w:val="none"/>
          <w:lang w:val="en-US" w:eastAsia="zh-CN"/>
        </w:rPr>
      </w:pPr>
      <w:r>
        <w:rPr>
          <w:rFonts w:hint="eastAsia" w:ascii="宋体" w:hAnsi="宋体" w:eastAsia="宋体" w:cs="宋体"/>
          <w:bCs/>
          <w:color w:val="auto"/>
          <w:sz w:val="24"/>
          <w:szCs w:val="24"/>
          <w:highlight w:val="none"/>
          <w:lang w:eastAsia="zh-CN"/>
        </w:rPr>
        <w:br w:type="page"/>
      </w:r>
      <w:r>
        <w:rPr>
          <w:rFonts w:hint="eastAsia" w:ascii="宋体" w:hAnsi="宋体" w:eastAsia="宋体" w:cs="宋体"/>
          <w:color w:val="auto"/>
          <w:spacing w:val="6"/>
          <w:sz w:val="30"/>
          <w:szCs w:val="30"/>
          <w:highlight w:val="none"/>
        </w:rPr>
        <w:t>附件</w:t>
      </w:r>
      <w:r>
        <w:rPr>
          <w:rFonts w:hint="eastAsia" w:ascii="宋体" w:hAnsi="宋体" w:eastAsia="宋体" w:cs="宋体"/>
          <w:color w:val="auto"/>
          <w:spacing w:val="6"/>
          <w:sz w:val="30"/>
          <w:szCs w:val="30"/>
          <w:highlight w:val="none"/>
          <w:lang w:val="en-US" w:eastAsia="zh-CN"/>
        </w:rPr>
        <w:t>1</w:t>
      </w: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政府采购</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拒绝政府采购领域商业贿赂承诺书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为响应党中央、国务院关于治理政府采购领域商业贿赂行为的号召，我公司在此承诺：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1、在参与政府采购活动中遵纪守法、诚信经营、公平竞标。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2、不向政府招标人、招标代理机构和政府采购评审专家进行任何形式的商业贿赂以谋取交易机会。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3、不向政府招标代理机构和招标人提供虚假资质文件或采用虚假应标方式参与政府采购市场竞争并谋取中标、成交。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4、不采取“围标、陪标”等商业欺诈手段获得政府采购定单。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5、不采取不正当手段诋毁、排挤其他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6、不在提供商品和服务时“偷梁换柱、以次充好”损害招标人的合法权益。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7、不与招标人、招标代理机构政府采购评审专家或其他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恶意串通，进行质疑和投诉，维护政府采购市场秩序。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8、尊重和接受政府采购监督管理部门的监督和政府招标代理机构招标采购要求，承担因违约行为给招标人造成的损失。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9、不发生其他有悖于政府采购公开、公平、公正和诚实信用原则的行为。</w:t>
      </w:r>
    </w:p>
    <w:p>
      <w:pPr>
        <w:pStyle w:val="3"/>
        <w:spacing w:line="360" w:lineRule="auto"/>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承诺单位：（盖章）                  全权代表：（签字）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邮编：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 xml:space="preserve">                                                   年   月   日</w:t>
      </w:r>
      <w:bookmarkEnd w:id="184"/>
    </w:p>
    <w:p>
      <w:pPr>
        <w:rPr>
          <w:highlight w:val="none"/>
        </w:rPr>
      </w:pPr>
    </w:p>
    <w:sectPr>
      <w:headerReference r:id="rId8" w:type="first"/>
      <w:footerReference r:id="rId10" w:type="first"/>
      <w:headerReference r:id="rId7" w:type="default"/>
      <w:footerReference r:id="rId9" w:type="default"/>
      <w:pgSz w:w="11906" w:h="16838"/>
      <w:pgMar w:top="1418" w:right="1418" w:bottom="1418" w:left="158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bidi w:val="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bidi w:val="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3025"/>
        <w:tab w:val="clear" w:pos="4153"/>
      </w:tabs>
      <w:jc w:val="left"/>
      <w:rPr>
        <w:rFonts w:hint="eastAsia" w:ascii="Cambria" w:hAnsi="Cambria" w:eastAsia="宋体"/>
        <w:sz w:val="32"/>
        <w:szCs w:val="32"/>
        <w:lang w:eastAsia="zh-CN"/>
      </w:rPr>
    </w:pPr>
    <w:r>
      <w:rPr>
        <w:rFonts w:hint="eastAsia" w:ascii="Cambria" w:hAnsi="Cambria"/>
        <w:sz w:val="32"/>
        <w:szCs w:val="32"/>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jc w:val="center"/>
      <w:rPr>
        <w:rFonts w:hint="eastAsia" w:ascii="Cambria" w:hAnsi="Cambria"/>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ascii="Cambria" w:hAnsi="Cambria"/>
        <w:sz w:val="32"/>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ascii="Cambria" w:hAnsi="Cambria"/>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BBC92"/>
    <w:multiLevelType w:val="singleLevel"/>
    <w:tmpl w:val="F6FBBC92"/>
    <w:lvl w:ilvl="0" w:tentative="0">
      <w:start w:val="4"/>
      <w:numFmt w:val="chineseCounting"/>
      <w:suff w:val="nothing"/>
      <w:lvlText w:val="%1、"/>
      <w:lvlJc w:val="left"/>
      <w:rPr>
        <w:rFonts w:hint="eastAsia"/>
      </w:rPr>
    </w:lvl>
  </w:abstractNum>
  <w:abstractNum w:abstractNumId="1">
    <w:nsid w:val="0335E417"/>
    <w:multiLevelType w:val="singleLevel"/>
    <w:tmpl w:val="0335E417"/>
    <w:lvl w:ilvl="0" w:tentative="0">
      <w:start w:val="7"/>
      <w:numFmt w:val="chineseCounting"/>
      <w:suff w:val="nothing"/>
      <w:lvlText w:val="%1、"/>
      <w:lvlJc w:val="left"/>
      <w:rPr>
        <w:rFonts w:hint="eastAsia"/>
      </w:rPr>
    </w:lvl>
  </w:abstractNum>
  <w:abstractNum w:abstractNumId="2">
    <w:nsid w:val="55570FC6"/>
    <w:multiLevelType w:val="singleLevel"/>
    <w:tmpl w:val="55570FC6"/>
    <w:lvl w:ilvl="0" w:tentative="0">
      <w:start w:val="1"/>
      <w:numFmt w:val="decimal"/>
      <w:suff w:val="nothing"/>
      <w:lvlText w:val="%1、"/>
      <w:lvlJc w:val="left"/>
    </w:lvl>
  </w:abstractNum>
  <w:abstractNum w:abstractNumId="3">
    <w:nsid w:val="56D83B5F"/>
    <w:multiLevelType w:val="singleLevel"/>
    <w:tmpl w:val="56D83B5F"/>
    <w:lvl w:ilvl="0" w:tentative="0">
      <w:start w:val="1"/>
      <w:numFmt w:val="chineseCounting"/>
      <w:suff w:val="nothing"/>
      <w:lvlText w:val="%1、"/>
      <w:lvlJc w:val="left"/>
      <w:rPr>
        <w:rFonts w:cs="Times New Roman"/>
      </w:rPr>
    </w:lvl>
  </w:abstractNum>
  <w:abstractNum w:abstractNumId="4">
    <w:nsid w:val="580E47D8"/>
    <w:multiLevelType w:val="singleLevel"/>
    <w:tmpl w:val="580E47D8"/>
    <w:lvl w:ilvl="0" w:tentative="0">
      <w:start w:val="1"/>
      <w:numFmt w:val="decimal"/>
      <w:suff w:val="nothing"/>
      <w:lvlText w:val="%1、"/>
      <w:lvlJc w:val="left"/>
    </w:lvl>
  </w:abstractNum>
  <w:abstractNum w:abstractNumId="5">
    <w:nsid w:val="665E3A28"/>
    <w:multiLevelType w:val="singleLevel"/>
    <w:tmpl w:val="665E3A28"/>
    <w:lvl w:ilvl="0" w:tentative="0">
      <w:start w:val="1"/>
      <w:numFmt w:val="decimal"/>
      <w:suff w:val="nothing"/>
      <w:lvlText w:val="%1、"/>
      <w:lvlJc w:val="left"/>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YzliMzkxNmFhMzBiNzRkYjQzMmI5NzBlMDI5NTEifQ=="/>
  </w:docVars>
  <w:rsids>
    <w:rsidRoot w:val="7D8776C1"/>
    <w:rsid w:val="00817622"/>
    <w:rsid w:val="01B428A1"/>
    <w:rsid w:val="0E4806A0"/>
    <w:rsid w:val="0F3477A2"/>
    <w:rsid w:val="124111C7"/>
    <w:rsid w:val="153B0F5F"/>
    <w:rsid w:val="197F329C"/>
    <w:rsid w:val="1A137A90"/>
    <w:rsid w:val="1C4701E9"/>
    <w:rsid w:val="1DAD0520"/>
    <w:rsid w:val="22622D26"/>
    <w:rsid w:val="29041EF0"/>
    <w:rsid w:val="2E9A0E53"/>
    <w:rsid w:val="2FD13077"/>
    <w:rsid w:val="30007134"/>
    <w:rsid w:val="32BC3287"/>
    <w:rsid w:val="3301513E"/>
    <w:rsid w:val="33A45AC9"/>
    <w:rsid w:val="34B146CB"/>
    <w:rsid w:val="43707199"/>
    <w:rsid w:val="456B1EEC"/>
    <w:rsid w:val="49FE3D2D"/>
    <w:rsid w:val="4DBE3EFF"/>
    <w:rsid w:val="50027A78"/>
    <w:rsid w:val="52784B9C"/>
    <w:rsid w:val="530F411B"/>
    <w:rsid w:val="53907354"/>
    <w:rsid w:val="541A5C08"/>
    <w:rsid w:val="54882C6B"/>
    <w:rsid w:val="5AD934B8"/>
    <w:rsid w:val="5B160BF2"/>
    <w:rsid w:val="6105554A"/>
    <w:rsid w:val="627040B3"/>
    <w:rsid w:val="682810BA"/>
    <w:rsid w:val="698A37EF"/>
    <w:rsid w:val="6CE07597"/>
    <w:rsid w:val="7027728A"/>
    <w:rsid w:val="72417A5F"/>
    <w:rsid w:val="74D07EF1"/>
    <w:rsid w:val="75A31161"/>
    <w:rsid w:val="7AC83F67"/>
    <w:rsid w:val="7D8776C1"/>
    <w:rsid w:val="7E0829F9"/>
    <w:rsid w:val="7EB0669D"/>
    <w:rsid w:val="7EED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Normal Indent"/>
    <w:basedOn w:val="1"/>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4">
    <w:name w:val="Body Text Indent"/>
    <w:basedOn w:val="1"/>
    <w:next w:val="1"/>
    <w:qFormat/>
    <w:uiPriority w:val="0"/>
    <w:pPr>
      <w:ind w:firstLine="552"/>
    </w:pPr>
    <w:rPr>
      <w:rFonts w:ascii="宋体"/>
      <w:sz w:val="28"/>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rPr>
      <w:b/>
      <w:sz w:val="24"/>
      <w:szCs w:val="24"/>
    </w:rPr>
  </w:style>
  <w:style w:type="paragraph" w:styleId="9">
    <w:name w:val="Body Text 2"/>
    <w:basedOn w:val="1"/>
    <w:qFormat/>
    <w:uiPriority w:val="0"/>
    <w:pPr>
      <w:adjustRightInd w:val="0"/>
      <w:snapToGrid w:val="0"/>
      <w:spacing w:line="480" w:lineRule="atLeast"/>
    </w:pPr>
    <w:rPr>
      <w:rFonts w:ascii="宋体" w:hAnsi="宋体"/>
      <w:sz w:val="2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1">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styleId="12">
    <w:name w:val="Body Text First Indent"/>
    <w:basedOn w:val="2"/>
    <w:next w:val="13"/>
    <w:qFormat/>
    <w:uiPriority w:val="0"/>
    <w:pPr>
      <w:ind w:firstLine="420" w:firstLineChars="100"/>
    </w:pPr>
    <w:rPr>
      <w:rFonts w:ascii="Calibri" w:hAnsi="Calibri"/>
      <w:kern w:val="0"/>
      <w:sz w:val="20"/>
      <w:szCs w:val="24"/>
    </w:rPr>
  </w:style>
  <w:style w:type="paragraph" w:styleId="13">
    <w:name w:val="Body Text First Indent 2"/>
    <w:basedOn w:val="4"/>
    <w:next w:val="1"/>
    <w:qFormat/>
    <w:uiPriority w:val="99"/>
    <w:pPr>
      <w:spacing w:after="120"/>
      <w:ind w:left="420" w:leftChars="200" w:right="0" w:rightChars="0" w:firstLine="420" w:firstLineChars="200"/>
    </w:pPr>
    <w:rPr>
      <w:rFonts w:ascii="Times New Roman" w:hAnsi="Times New Roman"/>
      <w:sz w:val="21"/>
      <w:szCs w:val="24"/>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Emphasis"/>
    <w:basedOn w:val="16"/>
    <w:qFormat/>
    <w:uiPriority w:val="0"/>
    <w:rPr>
      <w:b/>
      <w:bCs/>
    </w:rPr>
  </w:style>
  <w:style w:type="character" w:styleId="20">
    <w:name w:val="HTML Definition"/>
    <w:basedOn w:val="16"/>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uiPriority w:val="0"/>
  </w:style>
  <w:style w:type="character" w:styleId="24">
    <w:name w:val="Hyperlink"/>
    <w:basedOn w:val="16"/>
    <w:qFormat/>
    <w:uiPriority w:val="0"/>
    <w:rPr>
      <w:color w:val="0000FF"/>
      <w:u w:val="none"/>
    </w:rPr>
  </w:style>
  <w:style w:type="character" w:styleId="25">
    <w:name w:val="HTML Code"/>
    <w:basedOn w:val="16"/>
    <w:qFormat/>
    <w:uiPriority w:val="0"/>
    <w:rPr>
      <w:rFonts w:hint="default" w:ascii="monospace" w:hAnsi="monospace" w:eastAsia="monospace" w:cs="monospace"/>
      <w:sz w:val="20"/>
    </w:rPr>
  </w:style>
  <w:style w:type="character" w:styleId="26">
    <w:name w:val="HTML Cite"/>
    <w:basedOn w:val="16"/>
    <w:uiPriority w:val="0"/>
  </w:style>
  <w:style w:type="character" w:styleId="27">
    <w:name w:val="HTML Keyboard"/>
    <w:basedOn w:val="16"/>
    <w:qFormat/>
    <w:uiPriority w:val="0"/>
    <w:rPr>
      <w:rFonts w:hint="default" w:ascii="monospace" w:hAnsi="monospace" w:eastAsia="monospace" w:cs="monospace"/>
      <w:sz w:val="20"/>
    </w:rPr>
  </w:style>
  <w:style w:type="character" w:styleId="28">
    <w:name w:val="HTML Sample"/>
    <w:basedOn w:val="16"/>
    <w:qFormat/>
    <w:uiPriority w:val="0"/>
    <w:rPr>
      <w:rFonts w:ascii="monospace" w:hAnsi="monospace" w:eastAsia="monospace" w:cs="monospace"/>
    </w:rPr>
  </w:style>
  <w:style w:type="paragraph" w:customStyle="1" w:styleId="29">
    <w:name w:val="p0"/>
    <w:basedOn w:val="1"/>
    <w:qFormat/>
    <w:uiPriority w:val="0"/>
    <w:pPr>
      <w:widowControl/>
    </w:pPr>
    <w:rPr>
      <w:kern w:val="0"/>
      <w:szCs w:val="21"/>
    </w:rPr>
  </w:style>
  <w:style w:type="paragraph" w:customStyle="1" w:styleId="3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1">
    <w:name w:val="正文缩进1"/>
    <w:basedOn w:val="1"/>
    <w:qFormat/>
    <w:uiPriority w:val="0"/>
    <w:pPr>
      <w:ind w:firstLine="420" w:firstLineChars="200"/>
    </w:pPr>
  </w:style>
  <w:style w:type="character" w:customStyle="1" w:styleId="32">
    <w:name w:val="mini-outputtext1"/>
    <w:basedOn w:val="16"/>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2023-08-29T08:03:00Z</dcterms:created>
  <dc:creator>猛男</dc:creator>
  <cp:lastModifiedBy>WPS_1605933551</cp:lastModifiedBy>
  <dcterms:modified xsi:type="dcterms:W3CDTF">2023-09-06T07:34:13Z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C115E6D3724E47B39D91011129079B23_11</vt:lpwstr>
  </property>
</Properties>
</file>