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陕西省知识产权保护中心信息化建设业务数字化集成项目招标公告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信息化建设业务数字化集成项目</w:t>
      </w:r>
      <w:r>
        <w:rPr>
          <w:rFonts w:hint="eastAsia" w:ascii="微软雅黑" w:hAnsi="微软雅黑" w:eastAsia="微软雅黑" w:cs="微软雅黑"/>
          <w:i w:val="0"/>
          <w:iCs w:val="0"/>
          <w:caps w:val="0"/>
          <w:color w:val="333333"/>
          <w:spacing w:val="0"/>
          <w:sz w:val="21"/>
          <w:szCs w:val="21"/>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shd w:val="clear" w:fill="FFFFFF"/>
        </w:rPr>
        <w:t> 2023年11月27日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项目编号：NCXD2023-GK115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项目名称：信息化建设业务数字化集成项目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预算金额：5,000,000.00元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采购包1：自合同签订之日起30个日历日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合同包1(陕西省知识产权保护中心信息化建设业务数字化集成项目)特定资格要求如下: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投标人是法人的，提供近三年（2020-2022年）年度任意一年经审计的财务审计报告（成立时间至提交响应文件截止时间不足一年的单位，可提供成立后任意时间段的资产负债表）或其基本存款账户开户银行出具的本年度资信证明，部分其他组织和自然人，没有经审计的财务报告，应提供银行出具的资信证明；或财政部门认可的政府采购专业担保机构出具的投标担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(2)提供2022年1月1日以来任意一个月税收缴纳证明（至少包含增值税或企业所得税其中一种），依法免税的单位应提供相关证明材料；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(3)提供2022年1月1日以来任意一个月的社会保障资金缴存单据或社保机构开具的社会保险参保缴费情况证明，依法不需要缴纳社会保障资金的单位应提供相关证明材料；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(4)具备履行合同所必需的设备和专业技术能力的证明材料（书面声明）；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(5)参加政府采购活动前3年内在经营活动中没有重大违法记录的书面声明；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(6)企业法人具有有效的营业执照（具备统一社会信用代码）；事业法人应具有有效的事业单位法人证；其他组织应具有合法证明文件；自然人具有身份证明文件；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(7)投标人代表应提供法定代表人（单位负责人）授权书（附法定代表人（单位负责人）及被授权人身份证复印件）并提供被授权人身份证原件，（法定代表人（单位负责人）直接参加只须提供法定代表人（单位负责人）身份证）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(8)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(9)本项目不接受联合体投标，单位负责人为同一人或者存在直接控股、管理关系的不同单位，不得参加同一合同项下的政府采购活动，为采购项目提供整体设计、规范编制或者项目管理、监理、检测等服务的供应商，不得再参加该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2023年11月07日 至 2023年11月13日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2023年11月27日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六）注意事项：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（七）落实政府采购政策：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(2)、关于印发《政府采购促进中小企业发展管理办法》的通知（财库〔2020〕46号）；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(3)、《财政部司法部关于政府采购支持监狱企业发展有关问题的通知》（财库〔2014〕68号）；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(4)、《国务院办公厅关于建立政府强制采购节能产品制度的通知》（国办发〔2007〕51号）；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(5)、《环境标志产品政府采购实施的意见》（财库[2006]90号）；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(6)、《节能产品政府采购实施意见》（财库[2004]185号）；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(7)、《关于促进残疾人就业政府采购政策的通知》（财库〔2017〕141号）；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(8)、《财政部、发展改革委、生态环境部、市场监管总局关于调整优化节能产品、环境标志产品政府采购执行机制的通知》(财库〔2019〕9号文件)；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(9)、《陕西省中小企业政府采购信用融资办法》（陕财办采〔2018〕23号）；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(10)、《陕西省财政厅关于加快推进我省中小企业政府采购信用融资工作的通知》（陕财办采〔2020〕15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(11)、《财政部农业农村部国家乡村振兴局关于运用政府采购政策支持乡村产业振兴的通知》（财库〔2021〕19 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(12)、《财政部农业农村部国家乡村振兴局中华全国供销合作总社关于印发&lt;关于深入开展政府采购脱贫地区农副产品工作推进乡村产业振兴的实施意见&gt;的通知》（财库〔2021〕20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(13)、《陕西省财政厅关于进一步落实政府采购支持中小企业相关政策的通知》；陕财办采〔2023〕3号；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(14)、《陕西省财政厅关于进一步优化政府采购营商环境有关事项的通知》（陕财办采〔2023〕4号）；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(15)、其他需要落实的政府采购政策。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八）特别注意：为顺利推进政府采购电子化交易平台试点应用工作，投标人需要在线提交所有通过电子化交易平台实施的政府采购项目的投标文件，同时，线下提交投标文件正本壹份、副本贰份、电子版壹份（纸质投标文件正副本分别胶装，标明投标人名称密封递交，电子版U盘一套标明投标人名称，随正本密封）。若电子投标文件内容与纸质投标文件不一致的，以电子投标文件为准。 线下递交文件截止时间：</w:t>
      </w:r>
      <w:r>
        <w:rPr>
          <w:rFonts w:hint="eastAsia" w:ascii="宋体" w:hAnsi="宋体" w:eastAsia="宋体" w:cs="宋体"/>
          <w:i w:val="0"/>
          <w:iCs w:val="0"/>
          <w:caps w:val="0"/>
          <w:color w:val="0A82E5"/>
          <w:spacing w:val="0"/>
          <w:sz w:val="21"/>
          <w:szCs w:val="21"/>
          <w:shd w:val="clear" w:fill="FFFFFF"/>
        </w:rPr>
        <w:t>2023年1</w:t>
      </w:r>
      <w:r>
        <w:rPr>
          <w:rFonts w:hint="eastAsia" w:ascii="宋体" w:hAnsi="宋体" w:eastAsia="宋体" w:cs="宋体"/>
          <w:i w:val="0"/>
          <w:iCs w:val="0"/>
          <w:caps w:val="0"/>
          <w:color w:val="0A82E5"/>
          <w:spacing w:val="0"/>
          <w:sz w:val="21"/>
          <w:szCs w:val="21"/>
          <w:shd w:val="clear" w:fill="FFFFFF"/>
          <w:lang w:val="en-US" w:eastAsia="zh-CN"/>
        </w:rPr>
        <w:t>1</w:t>
      </w:r>
      <w:bookmarkStart w:id="0" w:name="_GoBack"/>
      <w:bookmarkEnd w:id="0"/>
      <w:r>
        <w:rPr>
          <w:rFonts w:hint="eastAsia" w:ascii="宋体" w:hAnsi="宋体" w:eastAsia="宋体" w:cs="宋体"/>
          <w:i w:val="0"/>
          <w:iCs w:val="0"/>
          <w:caps w:val="0"/>
          <w:color w:val="0A82E5"/>
          <w:spacing w:val="0"/>
          <w:sz w:val="21"/>
          <w:szCs w:val="21"/>
          <w:shd w:val="clear" w:fill="FFFFFF"/>
        </w:rPr>
        <w:t>月27日14时30分前</w:t>
      </w:r>
      <w:r>
        <w:rPr>
          <w:rFonts w:hint="eastAsia" w:ascii="宋体" w:hAnsi="宋体" w:eastAsia="宋体" w:cs="宋体"/>
          <w:i w:val="0"/>
          <w:iCs w:val="0"/>
          <w:caps w:val="0"/>
          <w:color w:val="333333"/>
          <w:spacing w:val="0"/>
          <w:sz w:val="21"/>
          <w:szCs w:val="21"/>
          <w:shd w:val="clear" w:fill="FFFFFF"/>
        </w:rPr>
        <w:t>；线下递交文件地点：陕西省西安市莲湖区高新三路财富中心二期B座18层21811室。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陕西省知识产权保护中心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西安市未央区沣东自贸新天地2A座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029-81101916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陕西诺诚鑫达招标代理有限公司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陕西省西安市莲湖区高新三路财富中心二期B座18层21811室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029-68805822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赵芸莉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029-68805822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陕西诺诚鑫达招标代理有限公司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2023年11月06日</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ZjlkYmJlZGI4YmQ2ZGY4OGVmMjFhNjkxZDYzODUifQ=="/>
  </w:docVars>
  <w:rsids>
    <w:rsidRoot w:val="00000000"/>
    <w:rsid w:val="248D4C07"/>
    <w:rsid w:val="3B4B604E"/>
    <w:rsid w:val="4E8B7F69"/>
    <w:rsid w:val="5B7C2D04"/>
    <w:rsid w:val="69126A56"/>
    <w:rsid w:val="70B26F83"/>
    <w:rsid w:val="71A2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2023-11-06T09:44:00Z</dcterms:created>
  <dc:creator>Administrator</dc:creator>
  <cp:lastModifiedBy>Administrator</cp:lastModifiedBy>
  <dcterms:modified xsi:type="dcterms:W3CDTF">2023-11-06T10:29:48Z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92C3EDF20E3C4957B481FBFF425F905A_12</vt:lpwstr>
  </property>
</Properties>
</file>