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outlineLvl w:val="0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sz w:val="36"/>
          <w:szCs w:val="36"/>
          <w:lang w:val="en-US" w:eastAsia="zh-CN"/>
        </w:rPr>
        <w:t>商务及合同主要条款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本表是对合同条款的具体补充和修改，如有矛盾，应以本资料表为准。</w:t>
      </w:r>
    </w:p>
    <w:tbl>
      <w:tblPr>
        <w:tblStyle w:val="5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3"/>
        <w:gridCol w:w="87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条款号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内      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服务地点：甲方指定地点。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服务期：自合同生效之日起，至提交项目工可研技术审查报告，且项目工可研技术审查报告取得审批部门批复止（具体以合同签订为准）。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1.结算单位：银行转账，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负责结算。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甲方付款前，乙方须向甲方开具合同全额合格增值税普通发票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若乙方开具的发票不合格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甲方有权迟延支付款项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且不承担逾期付款的违约责任，附详细清单。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2.付款方式：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自本合同生效之日起 30 日历天内，甲方收到乙方开具的合法发票后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甲方向乙方一次性支付合同全部价款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成果要求：提供项目工可研技术审查报告。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89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知识产权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315" w:hanging="420" w:hangingChars="15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违约责任：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（1）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依据《中华人民共和国民法典》《中华人民共和国政府采购法》《中华人民共和国政府采购法实施条例》的相关条款和本合同约定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执行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（2）未按合同要求提供的服务，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会同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采购代理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组织机构有权终止合同和对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乙方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的违约行为进行追究。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（3）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br w:type="page"/>
      </w:r>
    </w:p>
    <w:p>
      <w:pPr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政府采购合同                        合同编号：</w:t>
      </w:r>
    </w:p>
    <w:p>
      <w:pPr>
        <w:pStyle w:val="4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4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4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u w:val="none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  <w:t>项目</w:t>
      </w:r>
    </w:p>
    <w:p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>
      <w:pPr>
        <w:pStyle w:val="4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4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  <w:t>（示范文本</w:t>
      </w: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val="en-US" w:eastAsia="zh-CN"/>
        </w:rPr>
        <w:t>仅供参考</w:t>
      </w: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  <w:t>）</w:t>
      </w:r>
    </w:p>
    <w:p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>
      <w:pPr>
        <w:spacing w:before="163" w:beforeLines="50" w:line="360" w:lineRule="auto"/>
        <w:rPr>
          <w:rFonts w:hint="eastAsia" w:ascii="仿宋" w:hAnsi="仿宋" w:eastAsia="仿宋" w:cs="仿宋"/>
          <w:bCs/>
          <w:color w:val="auto"/>
          <w:sz w:val="52"/>
          <w:szCs w:val="52"/>
          <w:highlight w:val="none"/>
        </w:rPr>
      </w:pPr>
    </w:p>
    <w:p>
      <w:pPr>
        <w:spacing w:before="163" w:beforeLines="50" w:line="360" w:lineRule="auto"/>
        <w:ind w:left="0" w:leftChars="0" w:firstLine="1782" w:firstLineChars="493"/>
        <w:jc w:val="left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采购人：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  <w:t xml:space="preserve">                     </w:t>
      </w:r>
    </w:p>
    <w:p>
      <w:pPr>
        <w:spacing w:before="163" w:beforeLines="50" w:line="360" w:lineRule="auto"/>
        <w:ind w:left="0" w:leftChars="0" w:firstLine="1782" w:firstLineChars="493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供应商：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 xml:space="preserve">        </w:t>
      </w:r>
    </w:p>
    <w:p>
      <w:pPr>
        <w:pStyle w:val="4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二〇二三年  月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br w:type="page"/>
      </w:r>
    </w:p>
    <w:p>
      <w:pPr>
        <w:spacing w:before="158" w:beforeLines="50" w:line="360" w:lineRule="auto"/>
        <w:jc w:val="center"/>
        <w:rPr>
          <w:rFonts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第一部分  协议书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根据《中华人民共和国民法典》及其他有关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法律法规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，遵循平等、自愿、公平和诚信的原则，双方就下述项目范围与相关服务事项协商一致，订立本合同。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一、项目概况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2.采 购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.项目地点：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二、组成本合同的文件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协议书；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成交通知书、响应文件、竞争性磋商文件、澄清、措施补充文件；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相关服务建议书；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4. 附录，即：附表内相关服务的范围和内容；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本合同签订后，双方依法签订的补充协议也是本合同文件的组成部分。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三、合同金额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合同总价（含税金额）：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成交价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，为一次性报价，不受市场价变化影响。合同总价为含税价，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供应商提供服务所发生的一切税（包括增值税）费等都已包含于合同总价中。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四、结算方式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1.结算单位：银行转账，由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负责结算。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甲方付款前，乙方须向甲方开具合同全额合格增值税普通发票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若乙方开具的发票不合格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甲方有权迟延支付款项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且不承担逾期付款的违约责任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2.付款方式：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自本合同生效之日起30日历天内，甲方收到乙方开具的合法发票后，甲方向乙方一次性支付合同全部价款。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3.乙方收款账户信息：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（1）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 xml:space="preserve">户名： 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 xml:space="preserve">账号： 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default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（3）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>开户行：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期  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自合同生效之日起，至提交项目工可研技术审查报告，且项目工可研技术审查报告取得审批部门批复止（具体以合同签订为准）。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六、内容及要求</w:t>
      </w:r>
    </w:p>
    <w:p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详见磋商文件第三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、保密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360" w:lineRule="auto"/>
        <w:ind w:firstLine="420" w:firstLineChars="1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对工作中了解到的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的机密等进行严格保密，不得向他人泄漏。本合同的解除或终止不免除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应承担的保密义务。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、知识产权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应对所供服务具有或已取得合法知识产权，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应保证所供服务不会出现因第三方提出侵犯其专利权、商标权或其它知识产权而引发法律或经济纠纷，否则由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负责解决并承担全部责任；如因此影响到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的正常使用，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有权单方解除本合同，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应无条件向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退回已收取的全部合同价款，给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造成损失的，由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一并赔偿。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乙方完成项目工可研技术审查咨询工作，并经甲方组织内部验收通过后，向甲方提交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份项目可研技术审查咨询意见（含电子版），报告须加盖单位公章。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、不可抗力情况下的免责约定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双方权利和义务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（一）甲方的权利和义务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1.甲方负责向乙方提供项目可研报告等基础资料，组织相关单位开展项目现场踏勘调研、召开审查会议等工作。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2.甲方应当对乙方提交的相关成果文件及时进行确认，以保证项目按照进度实施。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（二）乙方的权利和义务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咨询审查意见，以及需满足的质量、服务、安全、时限等要求。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审查咨询相关成果应当重点突出、数据翔实、结论明确，能够为下阶段开展工作提供决策依据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、合同争议的解决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合同执行中发生争议的，当事人双方应协商解决。协商达不成一致时，可向甲方住所地有管辖权的人民法院提起诉讼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（在合同中具体明确）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合同订立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自双方法定代表人或授权代理人签字并加盖公章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（或合同专用章）之日起生效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，未尽事宜，双方协商解决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。</w:t>
      </w:r>
    </w:p>
    <w:p>
      <w:pPr>
        <w:pStyle w:val="4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   </w:t>
      </w:r>
    </w:p>
    <w:p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p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法定代表人或其授权                   法定代表人或其授权 </w:t>
      </w:r>
    </w:p>
    <w:p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     </w:t>
      </w:r>
    </w:p>
    <w:p>
      <w:pPr>
        <w:adjustRightInd w:val="0"/>
        <w:snapToGrid w:val="0"/>
        <w:spacing w:line="460" w:lineRule="exact"/>
        <w:ind w:firstLine="554" w:firstLineChars="198"/>
        <w:rPr>
          <w:rFonts w:ascii="仿宋" w:hAnsi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/>
    <w:sectPr>
      <w:pgSz w:w="11906" w:h="16838"/>
      <w:pgMar w:top="1157" w:right="1080" w:bottom="1157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43E73DA3"/>
    <w:rsid w:val="0199245E"/>
    <w:rsid w:val="0616597F"/>
    <w:rsid w:val="10F605B7"/>
    <w:rsid w:val="1598015F"/>
    <w:rsid w:val="1B0E2C71"/>
    <w:rsid w:val="265F0465"/>
    <w:rsid w:val="32E93950"/>
    <w:rsid w:val="371E6574"/>
    <w:rsid w:val="3DE11DF4"/>
    <w:rsid w:val="43E73DA3"/>
    <w:rsid w:val="4F082F58"/>
    <w:rsid w:val="5F8F73F1"/>
    <w:rsid w:val="64E42046"/>
    <w:rsid w:val="6526103F"/>
    <w:rsid w:val="6AA3170B"/>
    <w:rsid w:val="6C3F3C55"/>
    <w:rsid w:val="6DBF7223"/>
    <w:rsid w:val="732D2E0A"/>
    <w:rsid w:val="73D85C78"/>
    <w:rsid w:val="781F337D"/>
    <w:rsid w:val="788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7">
    <w:name w:val="标题 1 Char"/>
    <w:link w:val="3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2023-07-07T05:59:00Z</dcterms:created>
  <dc:creator>123</dc:creator>
  <cp:lastModifiedBy>R 13</cp:lastModifiedBy>
  <dcterms:modified xsi:type="dcterms:W3CDTF">2023-11-03T01:07:24Z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11F605E1BD3844A8B939FA3FD6A1FA5F_11</vt:lpwstr>
  </property>
</Properties>
</file>