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center"/>
        <w:textAlignment w:val="auto"/>
        <w:outlineLvl w:val="4"/>
        <w:rPr>
          <w:rFonts w:hint="eastAsia" w:ascii="宋体" w:hAnsi="宋体" w:eastAsia="宋体"/>
          <w:b/>
          <w:bCs/>
          <w:sz w:val="32"/>
          <w:szCs w:val="30"/>
          <w:shd w:val="clear" w:color="auto" w:fill="FFFFFF"/>
          <w:lang w:val="en-US" w:eastAsia="zh-CN"/>
        </w:rPr>
      </w:pPr>
      <w:r>
        <w:rPr>
          <w:rFonts w:hint="eastAsia" w:ascii="宋体" w:hAnsi="宋体" w:eastAsia="宋体"/>
          <w:b/>
          <w:bCs/>
          <w:sz w:val="32"/>
          <w:szCs w:val="30"/>
          <w:shd w:val="clear" w:color="auto" w:fill="FFFFFF"/>
        </w:rPr>
        <w:t>主要商务条</w:t>
      </w:r>
      <w:r>
        <w:rPr>
          <w:rFonts w:hint="eastAsia" w:ascii="宋体" w:hAnsi="宋体"/>
          <w:b/>
          <w:bCs/>
          <w:sz w:val="32"/>
          <w:szCs w:val="30"/>
          <w:shd w:val="clear" w:color="auto" w:fill="FFFFFF"/>
        </w:rPr>
        <w:t>款响应</w:t>
      </w:r>
      <w:r>
        <w:rPr>
          <w:rFonts w:hint="eastAsia" w:ascii="宋体" w:hAnsi="宋体"/>
          <w:b/>
          <w:bCs/>
          <w:sz w:val="32"/>
          <w:szCs w:val="30"/>
          <w:shd w:val="clear" w:color="auto" w:fill="FFFFFF"/>
          <w:lang w:val="en-US" w:eastAsia="zh-CN"/>
        </w:rPr>
        <w:t>偏离表</w:t>
      </w:r>
    </w:p>
    <w:tbl>
      <w:tblPr>
        <w:tblStyle w:val="7"/>
        <w:tblW w:w="499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"/>
        <w:gridCol w:w="1656"/>
        <w:gridCol w:w="5934"/>
        <w:gridCol w:w="15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265" w:type="pct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861" w:type="pc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主要条款</w:t>
            </w:r>
          </w:p>
        </w:tc>
        <w:tc>
          <w:tcPr>
            <w:tcW w:w="3085" w:type="pc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商务要求</w:t>
            </w:r>
          </w:p>
        </w:tc>
        <w:tc>
          <w:tcPr>
            <w:tcW w:w="788" w:type="pc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偏离说明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265" w:type="pct"/>
            <w:noWrap w:val="0"/>
            <w:vAlign w:val="center"/>
          </w:tcPr>
          <w:p>
            <w:pPr>
              <w:numPr>
                <w:ilvl w:val="0"/>
                <w:numId w:val="0"/>
              </w:numPr>
              <w:adjustRightInd w:val="0"/>
              <w:snapToGrid w:val="0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861" w:type="pct"/>
            <w:noWrap w:val="0"/>
            <w:vAlign w:val="center"/>
          </w:tcPr>
          <w:p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/>
                <w:sz w:val="24"/>
                <w:szCs w:val="24"/>
                <w:highlight w:val="none"/>
                <w:lang w:val="en-US" w:eastAsia="zh-CN"/>
              </w:rPr>
              <w:t>服务期</w:t>
            </w:r>
          </w:p>
        </w:tc>
        <w:tc>
          <w:tcPr>
            <w:tcW w:w="3085" w:type="pct"/>
            <w:noWrap w:val="0"/>
            <w:vAlign w:val="center"/>
          </w:tcPr>
          <w:p>
            <w:pPr>
              <w:overflowPunct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/>
                <w:sz w:val="24"/>
                <w:szCs w:val="24"/>
                <w:highlight w:val="none"/>
                <w:lang w:val="en-US" w:eastAsia="zh-CN"/>
              </w:rPr>
              <w:t>自合同签订之日起12个月内完成</w:t>
            </w:r>
          </w:p>
        </w:tc>
        <w:tc>
          <w:tcPr>
            <w:tcW w:w="788" w:type="pct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265" w:type="pct"/>
            <w:noWrap w:val="0"/>
            <w:vAlign w:val="center"/>
          </w:tcPr>
          <w:p>
            <w:pPr>
              <w:numPr>
                <w:ilvl w:val="0"/>
                <w:numId w:val="0"/>
              </w:numPr>
              <w:adjustRightInd w:val="0"/>
              <w:snapToGrid w:val="0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861" w:type="pct"/>
            <w:noWrap w:val="0"/>
            <w:vAlign w:val="center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服务地点</w:t>
            </w:r>
          </w:p>
        </w:tc>
        <w:tc>
          <w:tcPr>
            <w:tcW w:w="3085" w:type="pct"/>
            <w:noWrap w:val="0"/>
            <w:vAlign w:val="center"/>
          </w:tcPr>
          <w:p>
            <w:pPr>
              <w:overflowPunct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采购人指定地点</w:t>
            </w:r>
          </w:p>
        </w:tc>
        <w:tc>
          <w:tcPr>
            <w:tcW w:w="788" w:type="pc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265" w:type="pct"/>
            <w:noWrap w:val="0"/>
            <w:vAlign w:val="center"/>
          </w:tcPr>
          <w:p>
            <w:pPr>
              <w:numPr>
                <w:ilvl w:val="0"/>
                <w:numId w:val="0"/>
              </w:numPr>
              <w:adjustRightInd w:val="0"/>
              <w:snapToGrid w:val="0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861" w:type="pc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价款支付进度</w:t>
            </w:r>
          </w:p>
        </w:tc>
        <w:tc>
          <w:tcPr>
            <w:tcW w:w="3085" w:type="pct"/>
            <w:noWrap w:val="0"/>
            <w:vAlign w:val="center"/>
          </w:tcPr>
          <w:p>
            <w:pPr>
              <w:tabs>
                <w:tab w:val="left" w:pos="1701"/>
              </w:tabs>
              <w:overflowPunct w:val="0"/>
              <w:topLinePunct/>
              <w:adjustRightInd w:val="0"/>
              <w:snapToGrid w:val="0"/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合同签订后15日内，支付合同总金额的50.00%，项目成果基本完成后15日内，支付合同总金额的30.00%，项目结题后15日内，支付合同总金额的20.00%</w:t>
            </w:r>
          </w:p>
        </w:tc>
        <w:tc>
          <w:tcPr>
            <w:tcW w:w="788" w:type="pct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0" w:hRule="atLeast"/>
        </w:trPr>
        <w:tc>
          <w:tcPr>
            <w:tcW w:w="265" w:type="pct"/>
            <w:noWrap w:val="0"/>
            <w:vAlign w:val="center"/>
          </w:tcPr>
          <w:p>
            <w:pPr>
              <w:numPr>
                <w:ilvl w:val="0"/>
                <w:numId w:val="0"/>
              </w:numPr>
              <w:adjustRightInd w:val="0"/>
              <w:snapToGrid w:val="0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861" w:type="pc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支付方式</w:t>
            </w:r>
          </w:p>
        </w:tc>
        <w:tc>
          <w:tcPr>
            <w:tcW w:w="3085" w:type="pct"/>
            <w:noWrap w:val="0"/>
            <w:vAlign w:val="center"/>
          </w:tcPr>
          <w:p>
            <w:pPr>
              <w:tabs>
                <w:tab w:val="left" w:pos="1701"/>
              </w:tabs>
              <w:overflowPunct w:val="0"/>
              <w:topLinePunct/>
              <w:adjustRightInd w:val="0"/>
              <w:snapToGrid w:val="0"/>
              <w:spacing w:line="400" w:lineRule="exact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1.支付方式：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对公转账。</w:t>
            </w:r>
          </w:p>
          <w:p>
            <w:pPr>
              <w:tabs>
                <w:tab w:val="left" w:pos="1701"/>
              </w:tabs>
              <w:overflowPunct w:val="0"/>
              <w:topLinePunct/>
              <w:adjustRightInd w:val="0"/>
              <w:snapToGrid w:val="0"/>
              <w:spacing w:line="400" w:lineRule="exact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2.货币单位：人民币。</w:t>
            </w:r>
          </w:p>
          <w:p>
            <w:pPr>
              <w:tabs>
                <w:tab w:val="left" w:pos="1701"/>
              </w:tabs>
              <w:overflowPunct w:val="0"/>
              <w:topLinePunct/>
              <w:adjustRightInd w:val="0"/>
              <w:snapToGrid w:val="0"/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3.供应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商提出支付申请，并按采购人要求开具</w:t>
            </w:r>
            <w:r>
              <w:rPr>
                <w:rFonts w:hint="eastAsia" w:cs="宋体"/>
                <w:color w:val="000000" w:themeColor="text1"/>
                <w:kern w:val="1"/>
                <w:sz w:val="24"/>
                <w14:textFill>
                  <w14:solidFill>
                    <w14:schemeClr w14:val="tx1"/>
                  </w14:solidFill>
                </w14:textFill>
              </w:rPr>
              <w:t>增值税专用发票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后，采购人按合同付款。</w:t>
            </w:r>
          </w:p>
        </w:tc>
        <w:tc>
          <w:tcPr>
            <w:tcW w:w="788" w:type="pct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265" w:type="pct"/>
            <w:noWrap w:val="0"/>
            <w:vAlign w:val="center"/>
          </w:tcPr>
          <w:p>
            <w:pPr>
              <w:numPr>
                <w:ilvl w:val="0"/>
                <w:numId w:val="0"/>
              </w:numPr>
              <w:adjustRightInd w:val="0"/>
              <w:snapToGrid w:val="0"/>
              <w:ind w:leftChars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861" w:type="pc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合同签订</w:t>
            </w:r>
          </w:p>
        </w:tc>
        <w:tc>
          <w:tcPr>
            <w:tcW w:w="3085" w:type="pc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中标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供应商应在收到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中标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通知书后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3 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工作日内与采购人联系并洽谈合同事宜，并在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日内签订合同。</w:t>
            </w:r>
          </w:p>
        </w:tc>
        <w:tc>
          <w:tcPr>
            <w:tcW w:w="788" w:type="pct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</w:tbl>
    <w:p>
      <w:pPr>
        <w:overflowPunct w:val="0"/>
        <w:adjustRightInd w:val="0"/>
        <w:snapToGrid w:val="0"/>
        <w:spacing w:line="400" w:lineRule="exact"/>
        <w:rPr>
          <w:rFonts w:ascii="楷体_GB2312" w:eastAsia="楷体_GB2312" w:cs="仿宋_GB2312" w:hAnsiTheme="minorEastAsia"/>
          <w:sz w:val="22"/>
        </w:rPr>
      </w:pPr>
      <w:r>
        <w:rPr>
          <w:rFonts w:hint="eastAsia" w:ascii="楷体_GB2312" w:eastAsia="楷体_GB2312" w:cs="仿宋_GB2312" w:hAnsiTheme="minorEastAsia"/>
          <w:sz w:val="22"/>
        </w:rPr>
        <w:t>说明：</w:t>
      </w:r>
    </w:p>
    <w:p>
      <w:pPr>
        <w:overflowPunct w:val="0"/>
        <w:adjustRightInd w:val="0"/>
        <w:snapToGrid w:val="0"/>
        <w:spacing w:line="400" w:lineRule="exact"/>
        <w:rPr>
          <w:rFonts w:ascii="楷体_GB2312" w:eastAsia="楷体_GB2312" w:cs="仿宋_GB2312" w:hAnsiTheme="minorEastAsia"/>
          <w:sz w:val="22"/>
        </w:rPr>
      </w:pPr>
      <w:r>
        <w:rPr>
          <w:rFonts w:hint="eastAsia" w:ascii="楷体_GB2312" w:eastAsia="楷体_GB2312" w:cs="仿宋_GB2312" w:hAnsiTheme="minorEastAsia"/>
          <w:sz w:val="22"/>
        </w:rPr>
        <w:t>1.</w:t>
      </w:r>
      <w:r>
        <w:rPr>
          <w:rFonts w:hint="eastAsia" w:ascii="楷体_GB2312" w:eastAsia="楷体_GB2312" w:cs="仿宋_GB2312" w:hAnsiTheme="minorEastAsia"/>
          <w:sz w:val="22"/>
          <w:lang w:val="en-US" w:eastAsia="zh-CN"/>
        </w:rPr>
        <w:t>供应商</w:t>
      </w:r>
      <w:r>
        <w:rPr>
          <w:rFonts w:hint="eastAsia" w:ascii="楷体_GB2312" w:eastAsia="楷体_GB2312" w:cs="仿宋_GB2312" w:hAnsiTheme="minorEastAsia"/>
          <w:sz w:val="22"/>
        </w:rPr>
        <w:t>须对主要商务条款逐条响应，并保证响应的真实性。</w:t>
      </w:r>
    </w:p>
    <w:p>
      <w:pPr>
        <w:overflowPunct w:val="0"/>
        <w:adjustRightInd w:val="0"/>
        <w:snapToGrid w:val="0"/>
        <w:spacing w:line="400" w:lineRule="exact"/>
        <w:rPr>
          <w:rFonts w:ascii="楷体_GB2312" w:eastAsia="楷体_GB2312" w:cs="仿宋_GB2312" w:hAnsiTheme="minorEastAsia"/>
          <w:sz w:val="22"/>
        </w:rPr>
      </w:pPr>
      <w:r>
        <w:rPr>
          <w:rFonts w:hint="eastAsia" w:ascii="楷体_GB2312" w:eastAsia="楷体_GB2312" w:cs="仿宋_GB2312" w:hAnsiTheme="minorEastAsia"/>
          <w:sz w:val="22"/>
        </w:rPr>
        <w:t>2.偏离说明填写：优于、相同、低于。未填写视为低于。</w:t>
      </w:r>
    </w:p>
    <w:p>
      <w:pPr>
        <w:overflowPunct w:val="0"/>
        <w:adjustRightInd w:val="0"/>
        <w:snapToGrid w:val="0"/>
        <w:spacing w:line="400" w:lineRule="exact"/>
        <w:rPr>
          <w:rFonts w:ascii="楷体_GB2312" w:eastAsia="楷体_GB2312" w:cs="仿宋_GB2312" w:hAnsiTheme="minorEastAsia"/>
          <w:sz w:val="22"/>
        </w:rPr>
      </w:pPr>
      <w:r>
        <w:rPr>
          <w:rFonts w:hint="eastAsia" w:ascii="楷体_GB2312" w:eastAsia="楷体_GB2312" w:cs="仿宋_GB2312" w:hAnsiTheme="minorEastAsia"/>
          <w:b/>
          <w:sz w:val="22"/>
        </w:rPr>
        <w:t>3.主要商务条款不允许负偏离（低于）。</w:t>
      </w:r>
    </w:p>
    <w:p>
      <w:pPr>
        <w:overflowPunct w:val="0"/>
        <w:adjustRightInd w:val="0"/>
        <w:snapToGrid w:val="0"/>
        <w:spacing w:line="400" w:lineRule="exact"/>
        <w:ind w:firstLine="480"/>
        <w:rPr>
          <w:rFonts w:ascii="宋体" w:hAnsi="宋体"/>
          <w:b/>
          <w:sz w:val="24"/>
        </w:rPr>
      </w:pPr>
    </w:p>
    <w:p>
      <w:pPr>
        <w:overflowPunct w:val="0"/>
        <w:adjustRightInd w:val="0"/>
        <w:snapToGrid w:val="0"/>
        <w:spacing w:line="400" w:lineRule="exact"/>
        <w:ind w:firstLine="480"/>
        <w:rPr>
          <w:rFonts w:ascii="宋体" w:hAnsi="宋体"/>
          <w:sz w:val="24"/>
        </w:rPr>
      </w:pPr>
    </w:p>
    <w:p>
      <w:pPr>
        <w:overflowPunct w:val="0"/>
        <w:adjustRightInd w:val="0"/>
        <w:snapToGrid w:val="0"/>
        <w:spacing w:line="500" w:lineRule="exact"/>
        <w:jc w:val="both"/>
        <w:rPr>
          <w:rFonts w:cs="仿宋_GB2312" w:asciiTheme="minorEastAsia" w:hAnsiTheme="minorEastAsia" w:eastAsiaTheme="minorEastAsia"/>
          <w:kern w:val="28"/>
          <w:sz w:val="24"/>
          <w:szCs w:val="28"/>
        </w:rPr>
      </w:pPr>
      <w:r>
        <w:rPr>
          <w:rFonts w:hint="eastAsia" w:cs="仿宋_GB2312" w:asciiTheme="minorEastAsia" w:hAnsiTheme="minorEastAsia" w:eastAsiaTheme="minorEastAsia"/>
          <w:kern w:val="28"/>
          <w:sz w:val="24"/>
          <w:szCs w:val="28"/>
          <w:lang w:val="en-US" w:eastAsia="zh-CN"/>
        </w:rPr>
        <w:t>供应商</w:t>
      </w:r>
      <w:r>
        <w:rPr>
          <w:rFonts w:hint="eastAsia" w:cs="仿宋_GB2312" w:asciiTheme="minorEastAsia" w:hAnsiTheme="minorEastAsia" w:eastAsiaTheme="minorEastAsia"/>
          <w:kern w:val="28"/>
          <w:sz w:val="24"/>
          <w:szCs w:val="28"/>
          <w:lang w:eastAsia="zh-CN"/>
        </w:rPr>
        <w:t>：</w:t>
      </w:r>
      <w:r>
        <w:rPr>
          <w:rFonts w:hint="eastAsia" w:cs="仿宋_GB2312" w:asciiTheme="minorEastAsia" w:hAnsiTheme="minorEastAsia" w:eastAsiaTheme="minorEastAsia"/>
          <w:kern w:val="28"/>
          <w:sz w:val="24"/>
          <w:szCs w:val="28"/>
        </w:rPr>
        <w:t>（盖公章）</w:t>
      </w:r>
    </w:p>
    <w:p>
      <w:pPr>
        <w:ind w:right="0" w:rightChars="0"/>
        <w:jc w:val="both"/>
        <w:rPr>
          <w:rFonts w:hint="eastAsia" w:eastAsia="宋体"/>
          <w:lang w:val="en-US" w:eastAsia="zh-CN"/>
        </w:rPr>
      </w:pPr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007F2229"/>
    <w:rsid w:val="007F2229"/>
    <w:rsid w:val="0442423B"/>
    <w:rsid w:val="067B57E2"/>
    <w:rsid w:val="0B786794"/>
    <w:rsid w:val="11FC011F"/>
    <w:rsid w:val="192D0BBE"/>
    <w:rsid w:val="1C1E6EE4"/>
    <w:rsid w:val="276265D8"/>
    <w:rsid w:val="2901562F"/>
    <w:rsid w:val="2AC60E73"/>
    <w:rsid w:val="300E1A5B"/>
    <w:rsid w:val="301D4CA6"/>
    <w:rsid w:val="31411253"/>
    <w:rsid w:val="3257389C"/>
    <w:rsid w:val="39047736"/>
    <w:rsid w:val="391608EF"/>
    <w:rsid w:val="3FF9428E"/>
    <w:rsid w:val="44B32010"/>
    <w:rsid w:val="461D1C28"/>
    <w:rsid w:val="4C3B2131"/>
    <w:rsid w:val="5481728A"/>
    <w:rsid w:val="59A53727"/>
    <w:rsid w:val="752D4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paragraph" w:styleId="3">
    <w:name w:val="heading 5"/>
    <w:next w:val="1"/>
    <w:qFormat/>
    <w:uiPriority w:val="0"/>
    <w:pPr>
      <w:keepNext/>
      <w:keepLines/>
      <w:widowControl w:val="0"/>
      <w:adjustRightInd w:val="0"/>
      <w:snapToGrid w:val="0"/>
      <w:spacing w:line="480" w:lineRule="auto"/>
      <w:jc w:val="center"/>
      <w:outlineLvl w:val="4"/>
    </w:pPr>
    <w:rPr>
      <w:rFonts w:ascii="Times New Roman" w:hAnsi="Times New Roman" w:eastAsia="宋体" w:cs="Times New Roman"/>
      <w:b/>
      <w:bCs/>
      <w:kern w:val="2"/>
      <w:sz w:val="28"/>
      <w:szCs w:val="28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unhideWhenUsed/>
    <w:qFormat/>
    <w:uiPriority w:val="99"/>
    <w:pPr>
      <w:widowControl w:val="0"/>
      <w:spacing w:after="12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5">
    <w:name w:val="Plain Text"/>
    <w:qFormat/>
    <w:uiPriority w:val="0"/>
    <w:pPr>
      <w:widowControl w:val="0"/>
      <w:jc w:val="both"/>
    </w:pPr>
    <w:rPr>
      <w:rFonts w:ascii="宋体" w:hAnsi="Courier New" w:eastAsia="华文仿宋" w:cs="Times New Roman"/>
      <w:kern w:val="2"/>
      <w:sz w:val="28"/>
      <w:szCs w:val="21"/>
      <w:lang w:val="en-US" w:eastAsia="zh-CN" w:bidi="ar-SA"/>
    </w:rPr>
  </w:style>
  <w:style w:type="paragraph" w:styleId="6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  <w:style w:type="paragraph" w:customStyle="1" w:styleId="9">
    <w:name w:val="样式 仿宋_GB2312 四号 行距: 1.5 倍行距"/>
    <w:basedOn w:val="1"/>
    <w:qFormat/>
    <w:uiPriority w:val="0"/>
    <w:pPr>
      <w:spacing w:line="360" w:lineRule="auto"/>
      <w:ind w:firstLine="560" w:firstLineChars="200"/>
    </w:pPr>
    <w:rPr>
      <w:rFonts w:ascii="仿宋_GB2312" w:eastAsia="仿宋_GB2312" w:cs="宋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359</Words>
  <Characters>372</Characters>
  <Lines>0</Lines>
  <Paragraphs>0</Paragraphs>
  <TotalTime>0</TotalTime>
  <ScaleCrop>false</ScaleCrop>
  <LinksUpToDate>false</LinksUpToDate>
  <CharactersWithSpaces>374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2023-07-27T02:29:00Z</dcterms:created>
  <dc:creator>新昱</dc:creator>
  <cp:lastModifiedBy>新昱</cp:lastModifiedBy>
  <dcterms:modified xsi:type="dcterms:W3CDTF">2023-10-31T08:42:08Z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2969973DEA0041C0A58877740E3109A0_13</vt:lpwstr>
  </property>
</Properties>
</file>