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单一来源采购文件</w:t>
      </w:r>
      <w:r>
        <w:br/>
      </w:r>
      <w:r>
        <w:br/>
      </w:r>
      <w:r>
        <w:br/>
      </w:r>
    </w:p>
    <w:p>
      <w:pPr>
        <w:pStyle w:val="null3"/>
        <w:jc w:val="center"/>
        <w:outlineLvl w:val="5"/>
      </w:pPr>
      <w:r>
        <w:rPr>
          <w:b/>
          <w:sz w:val="15"/>
        </w:rPr>
        <w:t>（货物类）</w:t>
      </w:r>
      <w:r>
        <w:br/>
      </w:r>
      <w:r>
        <w:br/>
      </w:r>
      <w:r>
        <w:br/>
      </w:r>
      <w:r>
        <w:br/>
      </w:r>
      <w:r>
        <w:br/>
      </w:r>
      <w:r>
        <w:br/>
      </w:r>
      <w:r>
        <w:br/>
      </w:r>
      <w:r>
        <w:br/>
      </w:r>
      <w:r>
        <w:br/>
      </w:r>
      <w:r>
        <w:br/>
      </w:r>
      <w:r>
        <w:br/>
      </w:r>
    </w:p>
    <w:p>
      <w:pPr>
        <w:pStyle w:val="null3"/>
        <w:jc w:val="center"/>
        <w:outlineLvl w:val="5"/>
      </w:pPr>
      <w:r>
        <w:rPr>
          <w:b/>
          <w:sz w:val="15"/>
        </w:rPr>
        <w:t>项目名称：</w:t>
      </w:r>
      <w:r>
        <w:rPr>
          <w:b/>
          <w:sz w:val="15"/>
        </w:rPr>
        <w:t>材料学院挤出成型3D打印成套装置</w:t>
      </w:r>
    </w:p>
    <w:p>
      <w:pPr>
        <w:pStyle w:val="null3"/>
        <w:jc w:val="center"/>
        <w:outlineLvl w:val="5"/>
      </w:pPr>
      <w:r>
        <w:rPr>
          <w:b/>
          <w:sz w:val="15"/>
        </w:rPr>
        <w:t xml:space="preserve">项目编号: </w:t>
      </w:r>
      <w:r>
        <w:rPr>
          <w:b/>
          <w:sz w:val="15"/>
        </w:rPr>
        <w:t>RH采字【20231202】号</w:t>
      </w:r>
      <w:r>
        <w:br/>
      </w:r>
      <w:r>
        <w:br/>
      </w:r>
      <w:r>
        <w:br/>
      </w:r>
      <w:r>
        <w:br/>
      </w:r>
      <w:r>
        <w:br/>
      </w:r>
    </w:p>
    <w:p>
      <w:pPr>
        <w:pStyle w:val="null3"/>
        <w:jc w:val="center"/>
        <w:outlineLvl w:val="5"/>
      </w:pPr>
      <w:r>
        <w:rPr>
          <w:b/>
          <w:sz w:val="15"/>
        </w:rPr>
        <w:t>西安理工大学</w:t>
      </w:r>
    </w:p>
    <w:p>
      <w:pPr>
        <w:pStyle w:val="null3"/>
        <w:jc w:val="center"/>
        <w:outlineLvl w:val="5"/>
      </w:pPr>
      <w:r>
        <w:rPr>
          <w:b/>
          <w:sz w:val="15"/>
        </w:rPr>
        <w:t>瑞恒项目管理有限公司</w:t>
      </w:r>
      <w:r>
        <w:rPr>
          <w:b/>
          <w:sz w:val="15"/>
        </w:rPr>
        <w:t>共同编制</w:t>
      </w:r>
    </w:p>
    <w:p>
      <w:pPr>
        <w:pStyle w:val="null3"/>
        <w:jc w:val="center"/>
        <w:outlineLvl w:val="5"/>
      </w:pPr>
      <w:r>
        <w:rPr>
          <w:b/>
          <w:sz w:val="15"/>
        </w:rPr>
        <w:t>2023年12月18日</w:t>
      </w:r>
    </w:p>
    <w:p>
      <w:pPr>
        <w:pStyle w:val="null3"/>
      </w:pPr>
      <w:r>
        <w:rPr/>
        <w:t xml:space="preserve"> </w:t>
      </w:r>
    </w:p>
    <w:p>
      <w:pPr>
        <w:pStyle w:val="null3"/>
        <w:jc w:val="center"/>
        <w:outlineLvl w:val="1"/>
      </w:pPr>
      <w:r>
        <w:rPr>
          <w:b/>
          <w:sz w:val="36"/>
        </w:rPr>
        <w:t>第一章 协商邀请</w:t>
      </w:r>
    </w:p>
    <w:p>
      <w:pPr>
        <w:pStyle w:val="null3"/>
        <w:outlineLvl w:val="2"/>
      </w:pPr>
      <w:r>
        <w:rPr>
          <w:b/>
          <w:sz w:val="28"/>
        </w:rPr>
        <w:t>单一来源受邀供应商：</w:t>
      </w:r>
    </w:p>
    <w:p>
      <w:pPr>
        <w:pStyle w:val="null3"/>
        <w:ind w:firstLine="480"/>
      </w:pPr>
      <w:r>
        <w:rPr/>
        <w:t>瑞恒项目管理有限公司</w:t>
      </w:r>
      <w:r>
        <w:rPr/>
        <w:t>（以下简称“代理机构”）受</w:t>
      </w:r>
      <w:r>
        <w:rPr/>
        <w:t>西安理工大学</w:t>
      </w:r>
      <w:r>
        <w:rPr/>
        <w:t>委托，拟对</w:t>
      </w:r>
      <w:r>
        <w:rPr/>
        <w:t>材料学院挤出成型3D打印成套装置</w:t>
      </w:r>
      <w:r>
        <w:rPr/>
        <w:t>采用单一来源方式进行采购，现邀请贵公司参加该项目的协商。</w:t>
      </w:r>
    </w:p>
    <w:p>
      <w:pPr>
        <w:pStyle w:val="null3"/>
        <w:outlineLvl w:val="2"/>
      </w:pPr>
      <w:r>
        <w:rPr>
          <w:b/>
          <w:sz w:val="28"/>
        </w:rPr>
        <w:t>一、采购项目编号：</w:t>
      </w:r>
      <w:r>
        <w:rPr>
          <w:b/>
          <w:sz w:val="28"/>
        </w:rPr>
        <w:t>RH采字【20231202】号</w:t>
      </w:r>
    </w:p>
    <w:p>
      <w:pPr>
        <w:pStyle w:val="null3"/>
        <w:outlineLvl w:val="2"/>
      </w:pPr>
      <w:r>
        <w:rPr>
          <w:b/>
          <w:sz w:val="28"/>
        </w:rPr>
        <w:t>二、采购项目名称：</w:t>
      </w:r>
      <w:r>
        <w:rPr>
          <w:b/>
          <w:sz w:val="28"/>
        </w:rPr>
        <w:t>材料学院挤出成型3D打印成套装置</w:t>
      </w:r>
    </w:p>
    <w:p>
      <w:pPr>
        <w:pStyle w:val="null3"/>
        <w:outlineLvl w:val="2"/>
      </w:pPr>
      <w:r>
        <w:rPr>
          <w:b/>
          <w:sz w:val="28"/>
        </w:rPr>
        <w:t>三、协商项目简介：</w:t>
      </w:r>
    </w:p>
    <w:p>
      <w:pPr>
        <w:pStyle w:val="null3"/>
        <w:ind w:firstLine="480"/>
      </w:pPr>
      <w:r>
        <w:rPr/>
        <w:t>西安理工大学材料学院研究相关课题购置挤出成型3D打印成套装置</w:t>
      </w:r>
    </w:p>
    <w:p>
      <w:pPr>
        <w:pStyle w:val="null3"/>
        <w:outlineLvl w:val="2"/>
      </w:pPr>
      <w:r>
        <w:rPr>
          <w:b/>
          <w:sz w:val="28"/>
        </w:rPr>
        <w:t>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采购包1（材料学院挤出成型3D打印成套装置）：属于专门面向中小企业采购。</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1、具有独立承担民事责任能力的法人、其他组织或自然人，提供合法有效的统一社会信用代码营业执照：（事业单位提供法人证书，自然人提供身份证）</w:t>
      </w:r>
    </w:p>
    <w:p>
      <w:pPr>
        <w:pStyle w:val="null3"/>
      </w:pPr>
      <w:r>
        <w:rPr/>
        <w:t>2、财务状况报告：法人提供经审计的2022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p>
      <w:pPr>
        <w:pStyle w:val="null3"/>
      </w:pPr>
      <w:r>
        <w:rPr/>
        <w:t>3、税收缴纳证明：法人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p>
      <w:pPr>
        <w:pStyle w:val="null3"/>
      </w:pPr>
      <w:r>
        <w:rPr/>
        <w:t>4、社会保障资金缴纳证明：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p>
      <w:pPr>
        <w:pStyle w:val="null3"/>
      </w:pPr>
      <w:r>
        <w:rPr/>
        <w:t>5、说明及承诺：说明及承诺</w:t>
      </w:r>
    </w:p>
    <w:p>
      <w:pPr>
        <w:pStyle w:val="null3"/>
      </w:pPr>
      <w:r>
        <w:rPr/>
        <w:t>6、声明：提供参加本次政府采购活动前三年内在经营活动中没有重大违法记录的书面声明；</w:t>
      </w:r>
    </w:p>
    <w:p>
      <w:pPr>
        <w:pStyle w:val="null3"/>
      </w:pPr>
      <w:r>
        <w:rPr/>
        <w:t>7、授权书：法定代表人授权书（附法定代表人、被授权人身份证复印件）、被授权人身份证（法定代表人直接参加投标，须提供法定代表人身份证明）；</w:t>
      </w:r>
    </w:p>
    <w:p>
      <w:pPr>
        <w:pStyle w:val="null3"/>
      </w:pPr>
      <w:r>
        <w:rPr/>
        <w:t>8、承诺书：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承诺）。</w:t>
      </w:r>
    </w:p>
    <w:p>
      <w:pPr>
        <w:pStyle w:val="null3"/>
        <w:ind w:firstLine="480"/>
      </w:pPr>
      <w:r>
        <w:rPr/>
        <w:t>说明：邀请参加该项目协商的供应商为采购人资格审查合格的供应商。</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t xml:space="preserve"> 注：获取的单一来源采购文件主体格式包括pdf、word两种格式版本，其中以pdf格式为准。</w:t>
      </w:r>
    </w:p>
    <w:p>
      <w:pPr>
        <w:pStyle w:val="null3"/>
        <w:outlineLvl w:val="2"/>
      </w:pPr>
      <w:r>
        <w:rPr>
          <w:b/>
          <w:sz w:val="28"/>
        </w:rPr>
        <w:t>七、 响应文件提交截止时间及开启时间、方式、地点</w:t>
      </w:r>
    </w:p>
    <w:p>
      <w:pPr>
        <w:pStyle w:val="null3"/>
        <w:ind w:firstLine="480"/>
      </w:pPr>
      <w:r>
        <w:rPr/>
        <w:t>（一）响应文件提交截止时间及开启时间：详见邀请书。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（三）本项目采取网上开标，即采购人或代理机构通过项目电子化交易系统“开标/开启大厅”组织在线开启。</w:t>
      </w:r>
    </w:p>
    <w:p>
      <w:pPr>
        <w:pStyle w:val="null3"/>
        <w:outlineLvl w:val="2"/>
      </w:pPr>
      <w:r>
        <w:rPr>
          <w:b/>
          <w:sz w:val="28"/>
        </w:rPr>
        <w:t>八、本次协商邀请由代理机构通过项目电子化交易系统发送邀请书和单一来源采购文件。</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西安理工大学</w:t>
      </w:r>
    </w:p>
    <w:p>
      <w:pPr>
        <w:pStyle w:val="null3"/>
      </w:pPr>
      <w:r>
        <w:rPr/>
        <w:t xml:space="preserve"> 地址： </w:t>
      </w:r>
      <w:r>
        <w:rPr/>
        <w:t>西安市金花南路5号</w:t>
      </w:r>
    </w:p>
    <w:p>
      <w:pPr>
        <w:pStyle w:val="null3"/>
      </w:pPr>
      <w:r>
        <w:rPr/>
        <w:t xml:space="preserve"> 邮编： </w:t>
      </w:r>
      <w:r>
        <w:rPr/>
        <w:t>710048</w:t>
      </w:r>
    </w:p>
    <w:p>
      <w:pPr>
        <w:pStyle w:val="null3"/>
      </w:pPr>
      <w:r>
        <w:rPr/>
        <w:t xml:space="preserve"> 联系人： </w:t>
      </w:r>
      <w:r>
        <w:rPr/>
        <w:t>西安理工大学经办</w:t>
      </w:r>
    </w:p>
    <w:p>
      <w:pPr>
        <w:pStyle w:val="null3"/>
      </w:pPr>
      <w:r>
        <w:rPr/>
        <w:t xml:space="preserve"> 联系电话： </w:t>
      </w:r>
      <w:r>
        <w:rPr/>
        <w:t>02961125883</w:t>
      </w:r>
    </w:p>
    <w:p>
      <w:pPr>
        <w:pStyle w:val="null3"/>
        <w:outlineLvl w:val="2"/>
      </w:pPr>
      <w:r>
        <w:rPr>
          <w:b/>
          <w:sz w:val="28"/>
        </w:rPr>
        <w:t>代理机构：</w:t>
      </w:r>
      <w:r>
        <w:rPr>
          <w:b/>
          <w:sz w:val="28"/>
        </w:rPr>
        <w:t>瑞恒项目管理有限公司</w:t>
      </w:r>
    </w:p>
    <w:p>
      <w:pPr>
        <w:pStyle w:val="null3"/>
      </w:pPr>
      <w:r>
        <w:rPr/>
        <w:t xml:space="preserve"> 地址： </w:t>
      </w:r>
      <w:r>
        <w:rPr/>
        <w:t>陕西省西安市曲江新区雁翔路3269号旺座曲江D座30层</w:t>
      </w:r>
    </w:p>
    <w:p>
      <w:pPr>
        <w:pStyle w:val="null3"/>
      </w:pPr>
      <w:r>
        <w:rPr/>
        <w:t xml:space="preserve"> 邮编： </w:t>
      </w:r>
      <w:r>
        <w:rPr/>
        <w:t>710000</w:t>
      </w:r>
    </w:p>
    <w:p>
      <w:pPr>
        <w:pStyle w:val="null3"/>
      </w:pPr>
      <w:r>
        <w:rPr/>
        <w:t xml:space="preserve"> 联系人： </w:t>
      </w:r>
      <w:r>
        <w:rPr/>
        <w:t>石雨鑫、张丰利、刘菲、李瑜</w:t>
      </w:r>
    </w:p>
    <w:p>
      <w:pPr>
        <w:pStyle w:val="null3"/>
      </w:pPr>
      <w:r>
        <w:rPr/>
        <w:t xml:space="preserve"> 联系电话： </w:t>
      </w:r>
      <w:r>
        <w:rPr/>
        <w:t>15091632950</w:t>
      </w:r>
    </w:p>
    <w:p>
      <w:pPr>
        <w:pStyle w:val="null3"/>
        <w:outlineLvl w:val="2"/>
      </w:pPr>
      <w:r>
        <w:rPr>
          <w:b/>
          <w:sz w:val="28"/>
        </w:rPr>
        <w:t>采购监督机构：</w:t>
      </w:r>
      <w:r>
        <w:rPr>
          <w:b/>
          <w:sz w:val="28"/>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本项目各包预算金额如下：</w:t>
            </w:r>
          </w:p>
          <w:p>
            <w:pPr>
              <w:pStyle w:val="null3"/>
            </w:pPr>
            <w:r>
              <w:rPr/>
              <w:t>采购包1：660,000.00元</w:t>
            </w:r>
            <w:r>
              <w:rPr/>
              <w:t>供应商的包件采购报价高于包件采购预算的，其响应文件将按无效处理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本项目各包最高限价详见第三章。</w:t>
            </w:r>
          </w:p>
          <w:p>
            <w:pPr>
              <w:pStyle w:val="null3"/>
            </w:pPr>
            <w:r>
              <w:rPr/>
              <w:t>采购包1：660,000.00元</w:t>
            </w:r>
            <w:r>
              <w:rPr/>
              <w:t xml:space="preserve"> 供应商的包件报价高于最高限价的，其响应文件将按无效处理。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缴交方式：否</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tc>
      </w:tr>
      <w:tr>
        <w:tc>
          <w:tcPr>
            <w:tcW w:type="dxa" w:w="1051"/>
          </w:tcPr>
          <w:p>
            <w:pPr>
              <w:pStyle w:val="null3"/>
            </w:pPr>
            <w:r>
              <w:rPr/>
              <w:t>7</w:t>
            </w:r>
          </w:p>
        </w:tc>
        <w:tc>
          <w:tcPr>
            <w:tcW w:type="dxa" w:w="2252"/>
          </w:tcPr>
          <w:p>
            <w:pPr>
              <w:pStyle w:val="null3"/>
            </w:pPr>
            <w:r>
              <w:rPr/>
              <w:t>落实节能、环保、无线局域网认证产品政策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p>
            <w:pPr>
              <w:pStyle w:val="null3"/>
            </w:pPr>
            <w:r>
              <w:rPr/>
              <w:t>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8</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发的《招标代理服务收费管理暂行办法》（计价格[2002]1980号）和国家发展改革委员会办公厅颁发的《关于招标代理服务收费有关问题的通知》（发改办价格[2003]857号）的有关规定下浮40%收取。</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w:t>
            </w:r>
          </w:p>
          <w:p>
            <w:pPr>
              <w:pStyle w:val="null3"/>
            </w:pPr>
            <w:r>
              <w:rPr/>
              <w:t>可以待上述情形消除后继续组织采购活动；影响或者可能影响采购公平、公正的，采购人或代理机构应当依法终止采购活动。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西安理工大学</w:t>
      </w:r>
      <w:r>
        <w:rPr/>
        <w:t>和</w:t>
      </w:r>
      <w:r>
        <w:rPr/>
        <w:t>瑞恒项目管理有限公司</w:t>
      </w:r>
      <w:r>
        <w:rPr/>
        <w:t>享有。对采购文件中供应商参加本次政府采购活动应当具备的条件、项目技术、服务、商务及其他要求，评审标准由采购人负责解释。除上述采购文件内容，其他内容由</w:t>
      </w:r>
      <w:r>
        <w:rPr/>
        <w:t>瑞恒项目管理有限公司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一、“采购人”是指依法进行政府采购的各级国家机关、事业单位、团体组织。本次协商的采购人是</w:t>
      </w:r>
      <w:r>
        <w:rPr/>
        <w:t>西安理工大学</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瑞恒项目管理有限公司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b/>
          <w:sz w:val="28"/>
        </w:rPr>
        <w:t>2.3采购文件</w:t>
      </w:r>
    </w:p>
    <w:p>
      <w:pPr>
        <w:pStyle w:val="null3"/>
        <w:outlineLvl w:val="3"/>
      </w:pPr>
      <w:r>
        <w:rPr>
          <w:b/>
          <w:sz w:val="24"/>
        </w:rPr>
        <w:t xml:space="preserve"> 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（四）资格审查</w:t>
      </w:r>
    </w:p>
    <w:p>
      <w:pPr>
        <w:pStyle w:val="null3"/>
        <w:ind w:firstLine="480"/>
      </w:pPr>
      <w:r>
        <w:rPr/>
        <w:t>（五）协商办法</w:t>
      </w:r>
    </w:p>
    <w:p>
      <w:pPr>
        <w:pStyle w:val="null3"/>
        <w:ind w:firstLine="480"/>
      </w:pPr>
      <w:r>
        <w:rPr/>
        <w:t>（六）响应文件格式</w:t>
      </w:r>
    </w:p>
    <w:p>
      <w:pPr>
        <w:pStyle w:val="null3"/>
        <w:ind w:firstLine="480"/>
      </w:pPr>
      <w:r>
        <w:rPr/>
        <w:t>（七）拟签订采购的合同文本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b/>
          <w:sz w:val="24"/>
        </w:rPr>
        <w:t>2.3.2采购文件的澄清和修改</w:t>
      </w:r>
    </w:p>
    <w:p>
      <w:pPr>
        <w:pStyle w:val="null3"/>
        <w:ind w:firstLine="480"/>
      </w:pPr>
      <w:r>
        <w:rPr/>
        <w:t>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除采购文件中另有规定外，本项目均采用国家法定的计量单位。</w:t>
      </w:r>
    </w:p>
    <w:p>
      <w:pPr>
        <w:pStyle w:val="null3"/>
        <w:outlineLvl w:val="3"/>
      </w:pPr>
      <w:r>
        <w:rPr>
          <w:b/>
          <w:sz w:val="24"/>
        </w:rPr>
        <w:t>2.4.3响应货币</w:t>
      </w:r>
    </w:p>
    <w:p>
      <w:pPr>
        <w:pStyle w:val="null3"/>
        <w:ind w:firstLine="480"/>
      </w:pPr>
      <w:r>
        <w:rPr/>
        <w:t>本项目均以人民币报价。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三、若采用成交供应商所不拥有的知识产权，则在响应报价中必须包括合法使用该知识产权的相关费用。</w:t>
      </w:r>
    </w:p>
    <w:p>
      <w:pPr>
        <w:pStyle w:val="null3"/>
        <w:outlineLvl w:val="3"/>
      </w:pPr>
      <w:r>
        <w:rPr>
          <w:b/>
          <w:sz w:val="24"/>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b/>
          <w:sz w:val="24"/>
        </w:rPr>
        <w:t xml:space="preserve"> 2.4.6响应文件格式</w:t>
      </w:r>
    </w:p>
    <w:p>
      <w:pPr>
        <w:pStyle w:val="null3"/>
        <w:ind w:firstLine="480"/>
      </w:pPr>
      <w:r>
        <w:rPr/>
        <w:t>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b/>
          <w:sz w:val="24"/>
        </w:rPr>
        <w:t>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一、响应文件应当根据采购文件进行编制。供应商应通过陕西省政府采购网-服务专区-CA及签章服务下载投标(响应)客户端，使用客户端编制响应文件。</w:t>
      </w:r>
    </w:p>
    <w:p>
      <w:pPr>
        <w:pStyle w:val="null3"/>
        <w:ind w:firstLine="480"/>
      </w:pPr>
      <w:r>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b/>
          <w:sz w:val="24"/>
        </w:rPr>
        <w:t>2.4.10响应文件的提交</w:t>
      </w:r>
    </w:p>
    <w:p>
      <w:pPr>
        <w:pStyle w:val="null3"/>
        <w:ind w:firstLine="480"/>
      </w:pPr>
      <w:r>
        <w:rPr/>
        <w:t>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b/>
          <w:sz w:val="24"/>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2.5.开启、资格审查、协商和成交</w:t>
      </w:r>
    </w:p>
    <w:p>
      <w:pPr>
        <w:pStyle w:val="null3"/>
        <w:outlineLvl w:val="3"/>
      </w:pPr>
      <w:r>
        <w:rPr>
          <w:b/>
          <w:sz w:val="24"/>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供应商完成响应文件解密后，自主决定是否参加网上在线开启，未参加的，视同认可开启结果。</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详见单一来源采购文件第四章。</w:t>
      </w:r>
    </w:p>
    <w:p>
      <w:pPr>
        <w:pStyle w:val="null3"/>
        <w:outlineLvl w:val="3"/>
      </w:pPr>
      <w:r>
        <w:rPr>
          <w:b/>
          <w:sz w:val="24"/>
        </w:rPr>
        <w:t>2.5.4协商</w:t>
      </w:r>
    </w:p>
    <w:p>
      <w:pPr>
        <w:pStyle w:val="null3"/>
        <w:ind w:firstLine="480"/>
      </w:pPr>
      <w:r>
        <w:rPr/>
        <w:t>详见单一来源采购文件第五章。</w:t>
      </w:r>
    </w:p>
    <w:p>
      <w:pPr>
        <w:pStyle w:val="null3"/>
        <w:outlineLvl w:val="3"/>
      </w:pPr>
      <w:r>
        <w:rPr>
          <w:b/>
          <w:sz w:val="24"/>
        </w:rPr>
        <w:t xml:space="preserve"> 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二、采购人和成交供应商签订的采购合同不得对采购文件确定的事项以及成交供应商的响应文件作实质性修改。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2.6.5履约验收方案</w:t>
      </w:r>
    </w:p>
    <w:p>
      <w:pPr>
        <w:pStyle w:val="null3"/>
      </w:pPr>
      <w:r>
        <w:rPr/>
        <w:t>采购包1：</w:t>
      </w:r>
    </w:p>
    <w:p>
      <w:pPr>
        <w:pStyle w:val="null3"/>
      </w:pPr>
      <w:r>
        <w:rPr/>
        <w:t>根据单一来源谈判文件要求及合同约定执行</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（九）拒绝有关部门的监督检查或者向监督检查部门提供虚假情况；</w:t>
      </w:r>
    </w:p>
    <w:p>
      <w:pPr>
        <w:pStyle w:val="null3"/>
        <w:ind w:firstLine="480"/>
      </w:pPr>
      <w:r>
        <w:rPr/>
        <w:t>（十）法律法规规定的其他禁止情形。</w:t>
      </w:r>
    </w:p>
    <w:p>
      <w:pPr>
        <w:pStyle w:val="null3"/>
        <w:ind w:firstLine="480"/>
      </w:pPr>
      <w:r>
        <w:rPr/>
        <w:t>供应商有上述情形的，按照规定追究法律责任，具备一至十条情形之一的，其响应文件无效。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瑞恒项目管理有限公司</w:t>
      </w:r>
      <w:r>
        <w:rPr/>
        <w:t xml:space="preserve"> 负责答复；供应商对除采购需求外的采购文件的询问、质疑由</w:t>
      </w:r>
      <w:r>
        <w:rPr/>
        <w:t>瑞恒项目管理有限公司</w:t>
      </w:r>
      <w:r>
        <w:rPr/>
        <w:t xml:space="preserve"> 负责答复；供应商对采购过程、采购结果的询问、质疑由 </w:t>
      </w:r>
      <w:r>
        <w:rPr/>
        <w:t>瑞恒项目管理有限公司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3.1项目概况</w:t>
      </w:r>
    </w:p>
    <w:p>
      <w:pPr>
        <w:pStyle w:val="null3"/>
        <w:ind w:firstLine="480"/>
      </w:pPr>
      <w:r>
        <w:rPr/>
        <w:t>西安理工大学材料学院研究相关课题购置挤出成型3D打印成套装置</w:t>
      </w:r>
    </w:p>
    <w:p>
      <w:pPr>
        <w:pStyle w:val="null3"/>
        <w:outlineLvl w:val="2"/>
      </w:pPr>
      <w:r>
        <w:rPr>
          <w:b/>
          <w:sz w:val="28"/>
        </w:rPr>
        <w:t>3.2采购内容</w:t>
      </w:r>
    </w:p>
    <w:p>
      <w:pPr>
        <w:pStyle w:val="null3"/>
      </w:pPr>
      <w:r>
        <w:rPr/>
        <w:t>采购包1：</w:t>
      </w:r>
    </w:p>
    <w:p>
      <w:pPr>
        <w:pStyle w:val="null3"/>
      </w:pPr>
      <w:r>
        <w:rPr/>
        <w:t>采购包预算金额（元）: 660,000.00</w:t>
      </w:r>
    </w:p>
    <w:p>
      <w:pPr>
        <w:pStyle w:val="null3"/>
      </w:pPr>
      <w:r>
        <w:rPr/>
        <w:t>采购包最高限价（元）: 660,000.00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挤出成型3D打印成套装置</w:t>
            </w:r>
          </w:p>
        </w:tc>
        <w:tc>
          <w:tcPr>
            <w:tcW w:type="dxa" w:w="831"/>
          </w:tcPr>
          <w:p>
            <w:pPr>
              <w:pStyle w:val="null3"/>
              <w:jc w:val="right"/>
            </w:pPr>
            <w:r>
              <w:rPr/>
              <w:t>1.00</w:t>
            </w:r>
          </w:p>
        </w:tc>
        <w:tc>
          <w:tcPr>
            <w:tcW w:type="dxa" w:w="831"/>
          </w:tcPr>
          <w:p>
            <w:pPr>
              <w:pStyle w:val="null3"/>
              <w:jc w:val="right"/>
            </w:pPr>
            <w:r>
              <w:rPr/>
              <w:t>660,000.00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标的名称：挤出成型3D打印成套装置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60" w:after="60"/>
              <w:jc w:val="both"/>
            </w:pPr>
            <w:r>
              <w:rPr>
                <w:rFonts w:ascii="仿宋" w:hAnsi="仿宋" w:cs="仿宋" w:eastAsia="仿宋"/>
                <w:sz w:val="21"/>
              </w:rPr>
              <w:t>1.3D打印材料制备系统</w:t>
            </w:r>
          </w:p>
          <w:p>
            <w:pPr>
              <w:pStyle w:val="null3"/>
              <w:spacing w:before="60" w:after="60"/>
              <w:jc w:val="both"/>
            </w:pPr>
            <w:r>
              <w:rPr>
                <w:rFonts w:ascii="仿宋" w:hAnsi="仿宋" w:cs="仿宋" w:eastAsia="仿宋"/>
                <w:sz w:val="21"/>
              </w:rPr>
              <w:t>3D打印材料制备系统腔体积不小于1L</w:t>
            </w:r>
          </w:p>
          <w:p>
            <w:pPr>
              <w:pStyle w:val="null3"/>
              <w:spacing w:before="60" w:after="60"/>
              <w:jc w:val="both"/>
            </w:pPr>
            <w:r>
              <w:rPr>
                <w:rFonts w:ascii="仿宋" w:hAnsi="仿宋" w:cs="仿宋" w:eastAsia="仿宋"/>
                <w:sz w:val="21"/>
              </w:rPr>
              <w:t>混炼系统材质为耐磨合金喷涂碳化钨</w:t>
            </w:r>
          </w:p>
          <w:p>
            <w:pPr>
              <w:pStyle w:val="null3"/>
              <w:spacing w:before="60" w:after="60"/>
              <w:jc w:val="both"/>
            </w:pPr>
            <w:r>
              <w:rPr>
                <w:rFonts w:ascii="仿宋" w:hAnsi="仿宋" w:cs="仿宋" w:eastAsia="仿宋"/>
                <w:sz w:val="21"/>
              </w:rPr>
              <w:t>可将混合材料造粒</w:t>
            </w:r>
          </w:p>
          <w:p>
            <w:pPr>
              <w:pStyle w:val="null3"/>
              <w:spacing w:before="60" w:after="60"/>
              <w:jc w:val="both"/>
            </w:pPr>
            <w:r>
              <w:rPr/>
              <w:t>2.</w:t>
            </w:r>
            <w:r>
              <w:rPr>
                <w:rFonts w:ascii="仿宋" w:hAnsi="仿宋" w:cs="仿宋" w:eastAsia="仿宋"/>
                <w:sz w:val="21"/>
              </w:rPr>
              <w:t>双组份梯度材料</w:t>
            </w:r>
            <w:r>
              <w:rPr>
                <w:rFonts w:ascii="仿宋" w:hAnsi="仿宋" w:cs="仿宋" w:eastAsia="仿宋"/>
                <w:sz w:val="21"/>
              </w:rPr>
              <w:t>3D打印成型系统</w:t>
            </w:r>
          </w:p>
          <w:p>
            <w:pPr>
              <w:pStyle w:val="null3"/>
              <w:spacing w:before="60" w:after="60"/>
              <w:jc w:val="both"/>
            </w:pPr>
            <w:r>
              <w:rPr>
                <w:rFonts w:ascii="仿宋" w:hAnsi="仿宋" w:cs="仿宋" w:eastAsia="仿宋"/>
                <w:sz w:val="21"/>
              </w:rPr>
              <w:t>成型方式：粉末挤出成形，可实现单一方向和多方向梯度双组份梯度结构的打印</w:t>
            </w:r>
          </w:p>
          <w:p>
            <w:pPr>
              <w:pStyle w:val="null3"/>
              <w:spacing w:before="60" w:after="60"/>
              <w:jc w:val="both"/>
            </w:pPr>
            <w:r>
              <w:rPr>
                <w:rFonts w:ascii="仿宋" w:hAnsi="仿宋" w:cs="仿宋" w:eastAsia="仿宋"/>
                <w:sz w:val="21"/>
              </w:rPr>
              <w:t>打印尺寸（长</w:t>
            </w:r>
            <w:r>
              <w:rPr>
                <w:rFonts w:ascii="仿宋" w:hAnsi="仿宋" w:cs="仿宋" w:eastAsia="仿宋"/>
                <w:sz w:val="21"/>
              </w:rPr>
              <w:t>*宽*高）150 × 200 × 140mm</w:t>
            </w:r>
          </w:p>
          <w:p>
            <w:pPr>
              <w:pStyle w:val="null3"/>
              <w:spacing w:before="60" w:after="60"/>
              <w:jc w:val="both"/>
            </w:pPr>
            <w:r>
              <w:rPr>
                <w:rFonts w:ascii="仿宋" w:hAnsi="仿宋" w:cs="仿宋" w:eastAsia="仿宋"/>
                <w:sz w:val="21"/>
              </w:rPr>
              <w:t>喷嘴</w:t>
            </w:r>
            <w:r>
              <w:rPr>
                <w:rFonts w:ascii="仿宋" w:hAnsi="仿宋" w:cs="仿宋" w:eastAsia="仿宋"/>
                <w:sz w:val="21"/>
              </w:rPr>
              <w:t>类型：三螺杆双组份单喷嘴，可通过改变螺杆转速实现挤出材料组分的实时调整</w:t>
            </w:r>
          </w:p>
          <w:p>
            <w:pPr>
              <w:pStyle w:val="null3"/>
              <w:spacing w:before="60" w:after="60"/>
              <w:jc w:val="both"/>
            </w:pPr>
            <w:r>
              <w:rPr>
                <w:rFonts w:ascii="仿宋" w:hAnsi="仿宋" w:cs="仿宋" w:eastAsia="仿宋"/>
                <w:sz w:val="21"/>
              </w:rPr>
              <w:t>喷嘴直径：</w:t>
            </w:r>
            <w:r>
              <w:rPr>
                <w:rFonts w:ascii="仿宋" w:hAnsi="仿宋" w:cs="仿宋" w:eastAsia="仿宋"/>
                <w:sz w:val="21"/>
              </w:rPr>
              <w:t>≤0</w:t>
            </w:r>
            <w:r>
              <w:rPr>
                <w:rFonts w:ascii="仿宋" w:hAnsi="仿宋" w:cs="仿宋" w:eastAsia="仿宋"/>
                <w:sz w:val="21"/>
              </w:rPr>
              <w:t>.5</w:t>
            </w:r>
            <w:r>
              <w:rPr>
                <w:rFonts w:ascii="仿宋" w:hAnsi="仿宋" w:cs="仿宋" w:eastAsia="仿宋"/>
                <w:sz w:val="21"/>
              </w:rPr>
              <w:t>mm</w:t>
            </w:r>
          </w:p>
          <w:p>
            <w:pPr>
              <w:pStyle w:val="null3"/>
              <w:spacing w:before="60" w:after="60"/>
              <w:jc w:val="both"/>
            </w:pPr>
            <w:r>
              <w:rPr>
                <w:rFonts w:ascii="仿宋" w:hAnsi="仿宋" w:cs="仿宋" w:eastAsia="仿宋"/>
                <w:sz w:val="21"/>
              </w:rPr>
              <w:t>打印速度：</w:t>
            </w:r>
            <w:r>
              <w:rPr>
                <w:rFonts w:ascii="仿宋" w:hAnsi="仿宋" w:cs="仿宋" w:eastAsia="仿宋"/>
                <w:sz w:val="21"/>
              </w:rPr>
              <w:t>≥5</w:t>
            </w:r>
            <w:r>
              <w:rPr>
                <w:rFonts w:ascii="仿宋" w:hAnsi="仿宋" w:cs="仿宋" w:eastAsia="仿宋"/>
                <w:sz w:val="21"/>
              </w:rPr>
              <w:t>0</w:t>
            </w:r>
            <w:r>
              <w:rPr>
                <w:rFonts w:ascii="仿宋" w:hAnsi="仿宋" w:cs="仿宋" w:eastAsia="仿宋"/>
                <w:sz w:val="21"/>
              </w:rPr>
              <w:t>mm/</w:t>
            </w:r>
            <w:r>
              <w:rPr>
                <w:rFonts w:ascii="仿宋" w:hAnsi="仿宋" w:cs="仿宋" w:eastAsia="仿宋"/>
                <w:sz w:val="21"/>
              </w:rPr>
              <w:t>s</w:t>
            </w:r>
          </w:p>
          <w:p>
            <w:pPr>
              <w:pStyle w:val="null3"/>
              <w:spacing w:before="60" w:after="60"/>
              <w:jc w:val="both"/>
            </w:pPr>
            <w:r>
              <w:rPr>
                <w:rFonts w:ascii="仿宋" w:hAnsi="仿宋" w:cs="仿宋" w:eastAsia="仿宋"/>
                <w:sz w:val="21"/>
              </w:rPr>
              <w:t>X/Y/Z轴定位精度±0.08mm</w:t>
            </w:r>
            <w:r>
              <w:rPr>
                <w:rFonts w:ascii="仿宋" w:hAnsi="仿宋" w:cs="仿宋" w:eastAsia="仿宋"/>
                <w:sz w:val="21"/>
              </w:rPr>
              <w:t>，</w:t>
            </w:r>
            <w:r>
              <w:rPr>
                <w:rFonts w:ascii="仿宋" w:hAnsi="仿宋" w:cs="仿宋" w:eastAsia="仿宋"/>
                <w:sz w:val="21"/>
              </w:rPr>
              <w:t>X/Y/Z轴重复定位精度±0.05mm</w:t>
            </w:r>
          </w:p>
          <w:p>
            <w:pPr>
              <w:pStyle w:val="null3"/>
              <w:spacing w:before="60" w:after="60"/>
              <w:jc w:val="both"/>
            </w:pPr>
            <w:r>
              <w:rPr>
                <w:rFonts w:ascii="仿宋" w:hAnsi="仿宋" w:cs="仿宋" w:eastAsia="仿宋"/>
                <w:sz w:val="21"/>
              </w:rPr>
              <w:t>材料形状</w:t>
            </w:r>
            <w:r>
              <w:rPr>
                <w:rFonts w:ascii="仿宋" w:hAnsi="仿宋" w:cs="仿宋" w:eastAsia="仿宋"/>
                <w:sz w:val="21"/>
              </w:rPr>
              <w:t>为规则颗粒料，材料种类为金属材料和陶瓷材料</w:t>
            </w:r>
          </w:p>
          <w:p>
            <w:pPr>
              <w:pStyle w:val="null3"/>
              <w:spacing w:before="60" w:after="60"/>
              <w:jc w:val="both"/>
            </w:pPr>
            <w:r>
              <w:rPr>
                <w:rFonts w:ascii="仿宋" w:hAnsi="仿宋" w:cs="仿宋" w:eastAsia="仿宋"/>
                <w:sz w:val="21"/>
              </w:rPr>
              <w:t>切片软件：厂商随机器定制自主研发，软件终身免费升级</w:t>
            </w:r>
          </w:p>
          <w:p>
            <w:pPr>
              <w:pStyle w:val="null3"/>
              <w:spacing w:before="60" w:after="60"/>
              <w:jc w:val="both"/>
            </w:pPr>
            <w:r>
              <w:rPr>
                <w:rFonts w:ascii="仿宋" w:hAnsi="仿宋" w:cs="仿宋" w:eastAsia="仿宋"/>
                <w:sz w:val="21"/>
              </w:rPr>
              <w:t>支持自动进料（自动料仓储料</w:t>
            </w:r>
            <w:r>
              <w:rPr>
                <w:rFonts w:ascii="仿宋" w:hAnsi="仿宋" w:cs="仿宋" w:eastAsia="仿宋"/>
                <w:sz w:val="21"/>
              </w:rPr>
              <w:t>1L）</w:t>
            </w:r>
          </w:p>
          <w:p>
            <w:pPr>
              <w:pStyle w:val="null3"/>
              <w:jc w:val="both"/>
            </w:pPr>
            <w:r>
              <w:rPr>
                <w:rFonts w:ascii="仿宋" w:hAnsi="仿宋" w:cs="仿宋" w:eastAsia="仿宋"/>
                <w:sz w:val="21"/>
              </w:rPr>
              <w:t>支持自动关机</w:t>
            </w:r>
          </w:p>
        </w:tc>
      </w:tr>
    </w:tbl>
    <w:p>
      <w:pPr>
        <w:pStyle w:val="null3"/>
        <w:outlineLvl w:val="2"/>
      </w:pPr>
      <w:r>
        <w:rPr>
          <w:b/>
          <w:sz w:val="28"/>
        </w:rPr>
        <w:t>3.4商务要求</w:t>
      </w:r>
    </w:p>
    <w:p>
      <w:pPr>
        <w:pStyle w:val="null3"/>
        <w:outlineLvl w:val="3"/>
      </w:pPr>
      <w:r>
        <w:rPr>
          <w:b/>
          <w:sz w:val="24"/>
        </w:rPr>
        <w:t>3.4.1交货时间</w:t>
      </w:r>
    </w:p>
    <w:p>
      <w:pPr>
        <w:pStyle w:val="null3"/>
      </w:pPr>
      <w:r>
        <w:rPr/>
        <w:t>采购包1：</w:t>
      </w:r>
    </w:p>
    <w:p>
      <w:pPr>
        <w:pStyle w:val="null3"/>
      </w:pPr>
      <w:r>
        <w:rPr/>
        <w:t>90天</w:t>
      </w:r>
    </w:p>
    <w:p>
      <w:pPr>
        <w:pStyle w:val="null3"/>
        <w:outlineLvl w:val="3"/>
      </w:pPr>
      <w:r>
        <w:rPr>
          <w:b/>
          <w:sz w:val="24"/>
        </w:rPr>
        <w:t>3.4.2交货地点</w:t>
      </w:r>
    </w:p>
    <w:p>
      <w:pPr>
        <w:pStyle w:val="null3"/>
      </w:pPr>
      <w:r>
        <w:rPr/>
        <w:t>采购包1：</w:t>
      </w:r>
    </w:p>
    <w:p>
      <w:pPr>
        <w:pStyle w:val="null3"/>
      </w:pPr>
      <w:r>
        <w:rPr/>
        <w:t>采购人指定地点</w:t>
      </w:r>
    </w:p>
    <w:p>
      <w:pPr>
        <w:pStyle w:val="null3"/>
        <w:outlineLvl w:val="3"/>
      </w:pPr>
      <w:r>
        <w:rPr>
          <w:b/>
          <w:sz w:val="24"/>
        </w:rPr>
        <w:t>3.4.3支付方式</w:t>
      </w:r>
    </w:p>
    <w:p>
      <w:pPr>
        <w:pStyle w:val="null3"/>
      </w:pPr>
      <w:r>
        <w:rPr/>
        <w:t>采购包1：</w:t>
      </w:r>
    </w:p>
    <w:p>
      <w:pPr>
        <w:pStyle w:val="null3"/>
      </w:pPr>
      <w:r>
        <w:rPr/>
        <w:t>分期付款</w:t>
      </w:r>
    </w:p>
    <w:p>
      <w:pPr>
        <w:pStyle w:val="null3"/>
        <w:outlineLvl w:val="3"/>
      </w:pPr>
      <w:r>
        <w:rPr>
          <w:b/>
          <w:sz w:val="24"/>
        </w:rPr>
        <w:t>3.4.4.支付约定</w:t>
      </w:r>
    </w:p>
    <w:p>
      <w:pPr>
        <w:pStyle w:val="null3"/>
      </w:pPr>
      <w:r>
        <w:rPr/>
        <w:t>采购包1：</w:t>
      </w:r>
      <w:r>
        <w:rPr/>
        <w:t xml:space="preserve"> 付款条件说明： </w:t>
      </w:r>
      <w:r>
        <w:rPr/>
        <w:t>签订合同后</w:t>
      </w:r>
      <w:r>
        <w:rPr/>
        <w:t xml:space="preserve"> ，达到付款条件起 </w:t>
      </w:r>
      <w:r>
        <w:rPr/>
        <w:t>15</w:t>
      </w:r>
      <w:r>
        <w:rPr/>
        <w:t xml:space="preserve"> 日内，支付合同总金额的 </w:t>
      </w:r>
      <w:r>
        <w:rPr/>
        <w:t>50.00</w:t>
      </w:r>
      <w:r>
        <w:rPr/>
        <w:t>%。</w:t>
      </w:r>
    </w:p>
    <w:p>
      <w:pPr>
        <w:pStyle w:val="null3"/>
      </w:pPr>
      <w:r>
        <w:rPr/>
        <w:t>采购包1：</w:t>
      </w:r>
      <w:r>
        <w:rPr/>
        <w:t xml:space="preserve"> 付款条件说明： </w:t>
      </w:r>
      <w:r>
        <w:rPr/>
        <w:t>验收调试合格后</w:t>
      </w:r>
      <w:r>
        <w:rPr/>
        <w:t xml:space="preserve"> ，达到付款条件起 </w:t>
      </w:r>
      <w:r>
        <w:rPr/>
        <w:t>15</w:t>
      </w:r>
      <w:r>
        <w:rPr/>
        <w:t xml:space="preserve"> 日内，支付合同总金额的 </w:t>
      </w:r>
      <w:r>
        <w:rPr/>
        <w:t>50.00</w:t>
      </w:r>
      <w:r>
        <w:rPr/>
        <w:t>%。</w:t>
      </w:r>
    </w:p>
    <w:p>
      <w:pPr>
        <w:pStyle w:val="null3"/>
        <w:jc w:val="left"/>
        <w:outlineLvl w:val="3"/>
      </w:pPr>
      <w:r>
        <w:rPr>
          <w:b/>
          <w:sz w:val="24"/>
        </w:rPr>
        <w:t>3.4.5.验收标准和方法</w:t>
      </w:r>
    </w:p>
    <w:p>
      <w:pPr>
        <w:pStyle w:val="null3"/>
      </w:pPr>
      <w:r>
        <w:rPr/>
        <w:t>采购包1：</w:t>
      </w:r>
    </w:p>
    <w:p>
      <w:pPr>
        <w:pStyle w:val="null3"/>
      </w:pPr>
      <w:r>
        <w:rPr/>
        <w:t>根据单一来源谈判文件要求及合同约定执行</w:t>
      </w:r>
    </w:p>
    <w:p>
      <w:pPr>
        <w:pStyle w:val="null3"/>
        <w:outlineLvl w:val="3"/>
      </w:pPr>
      <w:r>
        <w:rPr>
          <w:b/>
          <w:sz w:val="24"/>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r>
        <w:rPr/>
        <w:t>采购包1：</w:t>
      </w:r>
    </w:p>
    <w:p>
      <w:pPr>
        <w:pStyle w:val="null3"/>
      </w:pPr>
      <w:r>
        <w:rPr/>
        <w:t>根据单一来源谈判文件要求及合同约定执行</w:t>
      </w:r>
    </w:p>
    <w:p>
      <w:pPr>
        <w:pStyle w:val="null3"/>
        <w:outlineLvl w:val="3"/>
      </w:pPr>
      <w:r>
        <w:rPr>
          <w:b/>
          <w:sz w:val="24"/>
        </w:rPr>
        <w:t>3.4.8.违约责任与解决争议的方法</w:t>
      </w:r>
    </w:p>
    <w:p>
      <w:pPr>
        <w:pStyle w:val="null3"/>
      </w:pPr>
      <w:r>
        <w:rPr/>
        <w:t>采购包1：</w:t>
      </w:r>
    </w:p>
    <w:p>
      <w:pPr>
        <w:pStyle w:val="null3"/>
      </w:pPr>
      <w:r>
        <w:rPr/>
        <w:t>1、违约责任：（1)甲方或乙方因过失造成本合同不能履行或不能完全履行，并给对方造成损失的，由有过失的一方承担违约责任；如双方均有过失，根据实际情况，由双方分别承担各自应负的违约责任，遇有不可抗力的情形除外。(2)违约责任以违约方给对方造成的实际损失为限。2、争议解决方式：(1)本合同的签订、解释受中国现行有效的法律、法规、规范性文件等的约束。 (2)在本 合同履行过程中，若出现与本合同有关的争议，由双方协商解决；若协商不成，则任何 一方有权向人民法院起诉。(3)在诉讼过程中，除有争议的事项外，本合同应继续履行。</w:t>
      </w:r>
    </w:p>
    <w:p>
      <w:pPr>
        <w:pStyle w:val="null3"/>
        <w:outlineLvl w:val="2"/>
      </w:pPr>
      <w:r>
        <w:rPr>
          <w:b/>
          <w:sz w:val="28"/>
        </w:rPr>
        <w:t>3.5其他要求</w:t>
      </w:r>
    </w:p>
    <w:p>
      <w:pPr>
        <w:pStyle w:val="null3"/>
      </w:pPr>
      <w:r>
        <w:rPr/>
        <w:t>采购包1：</w:t>
      </w:r>
    </w:p>
    <w:p>
      <w:pPr>
        <w:pStyle w:val="null3"/>
      </w:pPr>
      <w:r>
        <w:rPr/>
        <w:t>无</w:t>
      </w:r>
    </w:p>
    <w:p>
      <w:pPr>
        <w:pStyle w:val="null3"/>
      </w:pPr>
      <w:r>
        <w:rPr/>
        <w:t xml:space="preserve"> </w:t>
      </w:r>
    </w:p>
    <w:p>
      <w:pPr>
        <w:pStyle w:val="null3"/>
        <w:jc w:val="center"/>
        <w:outlineLvl w:val="1"/>
      </w:pPr>
      <w:r>
        <w:rPr>
          <w:b/>
          <w:sz w:val="36"/>
        </w:rPr>
        <w:t>第四章 资格审查</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响应文件封面 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响应文件封面 供应商应提交的相关资格证明材料</w:t>
            </w:r>
          </w:p>
        </w:tc>
      </w:tr>
    </w:tbl>
    <w:p>
      <w:pPr>
        <w:pStyle w:val="null3"/>
        <w:outlineLvl w:val="3"/>
      </w:pPr>
      <w:r>
        <w:rPr>
          <w:b/>
          <w:sz w:val="24"/>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具有独立承担民事责任能力的法人、其他组织或自然人，提供合法有效的统一社会信用代码营业执照</w:t>
            </w:r>
          </w:p>
        </w:tc>
        <w:tc>
          <w:tcPr>
            <w:tcW w:type="dxa" w:w="3322"/>
          </w:tcPr>
          <w:p>
            <w:pPr>
              <w:pStyle w:val="null3"/>
            </w:pPr>
            <w:r>
              <w:rPr/>
              <w:t>（事业单位提供法人证书，自然人提供身份证）</w:t>
            </w:r>
          </w:p>
        </w:tc>
        <w:tc>
          <w:tcPr>
            <w:tcW w:type="dxa" w:w="1661"/>
          </w:tcPr>
          <w:p>
            <w:pPr>
              <w:pStyle w:val="null3"/>
            </w:pPr>
            <w:r>
              <w:rPr/>
              <w:t>特定资格证明文件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法人提供经审计的2022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tc>
        <w:tc>
          <w:tcPr>
            <w:tcW w:type="dxa" w:w="1661"/>
          </w:tcPr>
          <w:p>
            <w:pPr>
              <w:pStyle w:val="null3"/>
            </w:pPr>
            <w:r>
              <w:rPr/>
              <w:t>特定资格证明文件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法人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tc>
        <w:tc>
          <w:tcPr>
            <w:tcW w:type="dxa" w:w="1661"/>
          </w:tcPr>
          <w:p>
            <w:pPr>
              <w:pStyle w:val="null3"/>
            </w:pPr>
            <w:r>
              <w:rPr/>
              <w:t>特定资格证明文件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tc>
        <w:tc>
          <w:tcPr>
            <w:tcW w:type="dxa" w:w="1661"/>
          </w:tcPr>
          <w:p>
            <w:pPr>
              <w:pStyle w:val="null3"/>
            </w:pPr>
            <w:r>
              <w:rPr/>
              <w:t>特定资格证明文件</w:t>
            </w:r>
          </w:p>
        </w:tc>
      </w:tr>
      <w:tr>
        <w:tc>
          <w:tcPr>
            <w:tcW w:type="dxa" w:w="831"/>
          </w:tcPr>
          <w:p>
            <w:pPr>
              <w:pStyle w:val="null3"/>
            </w:pPr>
            <w:r>
              <w:rPr/>
              <w:t>5</w:t>
            </w:r>
          </w:p>
        </w:tc>
        <w:tc>
          <w:tcPr>
            <w:tcW w:type="dxa" w:w="2492"/>
          </w:tcPr>
          <w:p>
            <w:pPr>
              <w:pStyle w:val="null3"/>
            </w:pPr>
            <w:r>
              <w:rPr/>
              <w:t>说明及承诺</w:t>
            </w:r>
          </w:p>
        </w:tc>
        <w:tc>
          <w:tcPr>
            <w:tcW w:type="dxa" w:w="3322"/>
          </w:tcPr>
          <w:p>
            <w:pPr>
              <w:pStyle w:val="null3"/>
            </w:pPr>
            <w:r>
              <w:rPr/>
              <w:t>说明及承诺</w:t>
            </w:r>
          </w:p>
        </w:tc>
        <w:tc>
          <w:tcPr>
            <w:tcW w:type="dxa" w:w="1661"/>
          </w:tcPr>
          <w:p>
            <w:pPr>
              <w:pStyle w:val="null3"/>
            </w:pPr>
            <w:r>
              <w:rPr/>
              <w:t>特定资格证明文件</w:t>
            </w:r>
          </w:p>
        </w:tc>
      </w:tr>
      <w:tr>
        <w:tc>
          <w:tcPr>
            <w:tcW w:type="dxa" w:w="831"/>
          </w:tcPr>
          <w:p>
            <w:pPr>
              <w:pStyle w:val="null3"/>
            </w:pPr>
            <w:r>
              <w:rPr/>
              <w:t>6</w:t>
            </w:r>
          </w:p>
        </w:tc>
        <w:tc>
          <w:tcPr>
            <w:tcW w:type="dxa" w:w="2492"/>
          </w:tcPr>
          <w:p>
            <w:pPr>
              <w:pStyle w:val="null3"/>
            </w:pPr>
            <w:r>
              <w:rPr/>
              <w:t>声明</w:t>
            </w:r>
          </w:p>
        </w:tc>
        <w:tc>
          <w:tcPr>
            <w:tcW w:type="dxa" w:w="3322"/>
          </w:tcPr>
          <w:p>
            <w:pPr>
              <w:pStyle w:val="null3"/>
            </w:pPr>
            <w:r>
              <w:rPr/>
              <w:t>提供参加本次政府采购活动前三年内在经营活动中没有重大违法记录的书面声明；</w:t>
            </w:r>
          </w:p>
        </w:tc>
        <w:tc>
          <w:tcPr>
            <w:tcW w:type="dxa" w:w="1661"/>
          </w:tcPr>
          <w:p>
            <w:pPr>
              <w:pStyle w:val="null3"/>
            </w:pPr>
            <w:r>
              <w:rPr/>
              <w:t>特定资格证明文件</w:t>
            </w:r>
          </w:p>
        </w:tc>
      </w:tr>
      <w:tr>
        <w:tc>
          <w:tcPr>
            <w:tcW w:type="dxa" w:w="831"/>
          </w:tcPr>
          <w:p>
            <w:pPr>
              <w:pStyle w:val="null3"/>
            </w:pPr>
            <w:r>
              <w:rPr/>
              <w:t>7</w:t>
            </w:r>
          </w:p>
        </w:tc>
        <w:tc>
          <w:tcPr>
            <w:tcW w:type="dxa" w:w="2492"/>
          </w:tcPr>
          <w:p>
            <w:pPr>
              <w:pStyle w:val="null3"/>
            </w:pPr>
            <w:r>
              <w:rPr/>
              <w:t>授权书</w:t>
            </w:r>
          </w:p>
        </w:tc>
        <w:tc>
          <w:tcPr>
            <w:tcW w:type="dxa" w:w="3322"/>
          </w:tcPr>
          <w:p>
            <w:pPr>
              <w:pStyle w:val="null3"/>
            </w:pPr>
            <w:r>
              <w:rPr/>
              <w:t>法定代表人授权书（附法定代表人、被授权人身份证复印件）、被授权人身份证（法定代表人直接参加投标，须提供法定代表人身份证明）；</w:t>
            </w:r>
          </w:p>
        </w:tc>
        <w:tc>
          <w:tcPr>
            <w:tcW w:type="dxa" w:w="1661"/>
          </w:tcPr>
          <w:p>
            <w:pPr>
              <w:pStyle w:val="null3"/>
            </w:pPr>
            <w:r>
              <w:rPr/>
              <w:t>特定资格证明文件</w:t>
            </w:r>
          </w:p>
        </w:tc>
      </w:tr>
      <w:tr>
        <w:tc>
          <w:tcPr>
            <w:tcW w:type="dxa" w:w="831"/>
          </w:tcPr>
          <w:p>
            <w:pPr>
              <w:pStyle w:val="null3"/>
            </w:pPr>
            <w:r>
              <w:rPr/>
              <w:t>8</w:t>
            </w:r>
          </w:p>
        </w:tc>
        <w:tc>
          <w:tcPr>
            <w:tcW w:type="dxa" w:w="2492"/>
          </w:tcPr>
          <w:p>
            <w:pPr>
              <w:pStyle w:val="null3"/>
            </w:pPr>
            <w:r>
              <w:rPr/>
              <w:t>承诺书</w:t>
            </w:r>
          </w:p>
        </w:tc>
        <w:tc>
          <w:tcPr>
            <w:tcW w:type="dxa" w:w="3322"/>
          </w:tcPr>
          <w:p>
            <w:pPr>
              <w:pStyle w:val="null3"/>
            </w:pPr>
            <w:r>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承诺）。</w:t>
            </w:r>
          </w:p>
        </w:tc>
        <w:tc>
          <w:tcPr>
            <w:tcW w:type="dxa" w:w="1661"/>
          </w:tcPr>
          <w:p>
            <w:pPr>
              <w:pStyle w:val="null3"/>
            </w:pPr>
            <w:r>
              <w:rPr/>
              <w:t>特定资格证明文件</w:t>
            </w:r>
          </w:p>
        </w:tc>
      </w:tr>
    </w:tbl>
    <w:p>
      <w:pPr>
        <w:pStyle w:val="null3"/>
        <w:outlineLvl w:val="3"/>
      </w:pPr>
      <w:r>
        <w:rPr>
          <w:b/>
          <w:sz w:val="24"/>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本项目专门面向中小企业</w:t>
            </w:r>
          </w:p>
        </w:tc>
        <w:tc>
          <w:tcPr>
            <w:tcW w:type="dxa" w:w="3322"/>
          </w:tcPr>
          <w:p>
            <w:pPr>
              <w:pStyle w:val="null3"/>
            </w:pPr>
            <w:r>
              <w:rPr/>
              <w:t>提供中小企业声明函</w:t>
            </w:r>
          </w:p>
        </w:tc>
        <w:tc>
          <w:tcPr>
            <w:tcW w:type="dxa" w:w="1661"/>
          </w:tcPr>
          <w:p>
            <w:pPr>
              <w:pStyle w:val="null3"/>
            </w:pPr>
            <w:r>
              <w:rPr/>
              <w:t>中小企业声明函 残疾人福利性单位声明函 监狱企业的证明文件</w:t>
            </w:r>
          </w:p>
        </w:tc>
      </w:tr>
    </w:tbl>
    <w:p>
      <w:pPr>
        <w:pStyle w:val="null3"/>
      </w:pPr>
      <w:r>
        <w:rPr/>
        <w:t xml:space="preserve"> </w:t>
      </w:r>
    </w:p>
    <w:p>
      <w:pPr>
        <w:pStyle w:val="null3"/>
        <w:jc w:val="center"/>
        <w:outlineLvl w:val="1"/>
      </w:pPr>
      <w:r>
        <w:rPr>
          <w:b/>
          <w:sz w:val="36"/>
        </w:rPr>
        <w:t>第五章 协商办法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b/>
          <w:sz w:val="28"/>
        </w:rPr>
        <w:t>5.2协商程序</w:t>
      </w:r>
    </w:p>
    <w:p>
      <w:pPr>
        <w:pStyle w:val="null3"/>
        <w:outlineLvl w:val="3"/>
      </w:pPr>
      <w:r>
        <w:rPr>
          <w:b/>
          <w:sz w:val="24"/>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jc w:val="left"/>
      </w:pPr>
      <w:r>
        <w:rPr/>
        <w:t>（一）熟悉和理解单一来源采购文件；</w:t>
      </w:r>
    </w:p>
    <w:p>
      <w:pPr>
        <w:pStyle w:val="null3"/>
        <w:ind w:firstLine="480"/>
        <w:jc w:val="left"/>
      </w:pPr>
      <w:r>
        <w:rPr/>
        <w:t xml:space="preserve"> （二）审查供应商响应文件等是否满足单一来源采购文件要求，并作出评价；</w:t>
      </w:r>
    </w:p>
    <w:p>
      <w:pPr>
        <w:pStyle w:val="null3"/>
        <w:ind w:firstLine="480"/>
        <w:jc w:val="left"/>
      </w:pPr>
      <w:r>
        <w:rPr/>
        <w:t xml:space="preserve"> （三）根据需要要求采购组织单位对单一来源采购文件作出解释；根据需要要求供应商对响应文件有关事项作出澄清、说明或者更正；</w:t>
      </w:r>
    </w:p>
    <w:p>
      <w:pPr>
        <w:pStyle w:val="null3"/>
        <w:ind w:firstLine="480"/>
        <w:jc w:val="left"/>
      </w:pPr>
      <w:r>
        <w:rPr/>
        <w:t>（四）推荐成交候选供应商，或者受采购人委托确定成交供应商；</w:t>
      </w:r>
    </w:p>
    <w:p>
      <w:pPr>
        <w:pStyle w:val="null3"/>
        <w:ind w:firstLine="480"/>
        <w:jc w:val="left"/>
      </w:pPr>
      <w:r>
        <w:rPr/>
        <w:t>（五）起草评审报告并进行签署；</w:t>
      </w:r>
    </w:p>
    <w:p>
      <w:pPr>
        <w:pStyle w:val="null3"/>
        <w:ind w:firstLine="480"/>
        <w:jc w:val="left"/>
      </w:pPr>
      <w:r>
        <w:rPr/>
        <w:t xml:space="preserve"> （六）向采购组织单位、财政部门或者其他监督部门报告非法干预评审工作的行为；</w:t>
      </w:r>
    </w:p>
    <w:p>
      <w:pPr>
        <w:pStyle w:val="null3"/>
        <w:ind w:firstLine="480"/>
        <w:jc w:val="left"/>
      </w:pPr>
      <w:r>
        <w:rPr/>
        <w:t>（七）法律、法规和规章规定的其他职责。</w:t>
      </w:r>
    </w:p>
    <w:p>
      <w:pPr>
        <w:pStyle w:val="null3"/>
        <w:jc w:val="left"/>
        <w:outlineLvl w:val="3"/>
      </w:pPr>
      <w:r>
        <w:rPr>
          <w:b/>
          <w:sz w:val="24"/>
        </w:rPr>
        <w:t>5.2.2.熟悉和理解采购文件和停止评审</w:t>
      </w:r>
    </w:p>
    <w:p>
      <w:pPr>
        <w:pStyle w:val="null3"/>
        <w:ind w:firstLine="480"/>
        <w:jc w:val="left"/>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t>二、本采购文件有下列情形之一的，协商小组应当停止评审：</w:t>
      </w:r>
    </w:p>
    <w:p>
      <w:pPr>
        <w:pStyle w:val="null3"/>
        <w:ind w:firstLine="480"/>
        <w:jc w:val="left"/>
      </w:pPr>
      <w:r>
        <w:rPr/>
        <w:t>（一）采购文件的规定存在歧义、重大缺陷的；</w:t>
      </w:r>
    </w:p>
    <w:p>
      <w:pPr>
        <w:pStyle w:val="null3"/>
        <w:ind w:firstLine="480"/>
        <w:jc w:val="left"/>
      </w:pPr>
      <w:r>
        <w:rPr/>
        <w:t>（二）采购文件明显以不合理条件对供应商实行差别待遇或者歧视待遇的；</w:t>
      </w:r>
    </w:p>
    <w:p>
      <w:pPr>
        <w:pStyle w:val="null3"/>
        <w:ind w:firstLine="480"/>
        <w:jc w:val="left"/>
      </w:pPr>
      <w:r>
        <w:rPr/>
        <w:t xml:space="preserve"> （三）采购项目属于国家规定的优先、强制采购范围，但是采购文件未依法体现优先、强制采购相关规定的；</w:t>
      </w:r>
    </w:p>
    <w:p>
      <w:pPr>
        <w:pStyle w:val="null3"/>
        <w:ind w:firstLine="480"/>
        <w:jc w:val="left"/>
      </w:pPr>
      <w:r>
        <w:rPr/>
        <w:t xml:space="preserve"> （四）采购项目属于政府采购促进中小企业发展的范围，但是采购文件未依法体现促进中小企业发展相关规定的；</w:t>
      </w:r>
    </w:p>
    <w:p>
      <w:pPr>
        <w:pStyle w:val="null3"/>
        <w:ind w:firstLine="480"/>
        <w:jc w:val="left"/>
      </w:pPr>
      <w:r>
        <w:rPr/>
        <w:t>（五）采购文件将供应商的资格条件列为评分因素的；</w:t>
      </w:r>
    </w:p>
    <w:p>
      <w:pPr>
        <w:pStyle w:val="null3"/>
        <w:ind w:firstLine="480"/>
        <w:jc w:val="left"/>
      </w:pPr>
      <w:r>
        <w:rPr/>
        <w:t>（六）采购文件载明的成交原则不合法的；</w:t>
      </w:r>
    </w:p>
    <w:p>
      <w:pPr>
        <w:pStyle w:val="null3"/>
        <w:ind w:firstLine="480"/>
        <w:jc w:val="left"/>
      </w:pPr>
      <w:r>
        <w:rPr/>
        <w:t>（七）采购文件有违反国家其他有关强制性规定的情形。</w:t>
      </w:r>
    </w:p>
    <w:p>
      <w:pPr>
        <w:pStyle w:val="null3"/>
        <w:ind w:firstLine="480"/>
        <w:jc w:val="left"/>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b/>
          <w:sz w:val="24"/>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协商报价</w:t>
            </w:r>
          </w:p>
        </w:tc>
        <w:tc>
          <w:tcPr>
            <w:tcW w:type="dxa" w:w="3322"/>
          </w:tcPr>
          <w:p>
            <w:pPr>
              <w:pStyle w:val="null3"/>
            </w:pPr>
            <w:r>
              <w:rPr/>
              <w:t>协商报价未超过采购预算或最高限价（合格），协商报价超过采购预算或最高限价（不合格）</w:t>
            </w:r>
          </w:p>
        </w:tc>
        <w:tc>
          <w:tcPr>
            <w:tcW w:type="dxa" w:w="1661"/>
          </w:tcPr>
          <w:p>
            <w:pPr>
              <w:pStyle w:val="null3"/>
            </w:pPr>
            <w:r>
              <w:rPr/>
              <w:t>标的清单 报价表 响应函</w:t>
            </w:r>
          </w:p>
        </w:tc>
      </w:tr>
      <w:tr>
        <w:tc>
          <w:tcPr>
            <w:tcW w:type="dxa" w:w="831"/>
          </w:tcPr>
          <w:p>
            <w:pPr>
              <w:pStyle w:val="null3"/>
            </w:pPr>
            <w:r>
              <w:rPr/>
              <w:t>2</w:t>
            </w:r>
          </w:p>
        </w:tc>
        <w:tc>
          <w:tcPr>
            <w:tcW w:type="dxa" w:w="2492"/>
          </w:tcPr>
          <w:p>
            <w:pPr>
              <w:pStyle w:val="null3"/>
            </w:pPr>
            <w:r>
              <w:rPr/>
              <w:t>符合招标文件的实质性要求</w:t>
            </w:r>
          </w:p>
        </w:tc>
        <w:tc>
          <w:tcPr>
            <w:tcW w:type="dxa" w:w="3322"/>
          </w:tcPr>
          <w:p>
            <w:pPr>
              <w:pStyle w:val="null3"/>
            </w:pPr>
            <w:r>
              <w:rPr/>
              <w:t>供应商按照采购文件要求上传响应文件</w:t>
            </w:r>
          </w:p>
        </w:tc>
        <w:tc>
          <w:tcPr>
            <w:tcW w:type="dxa" w:w="1661"/>
          </w:tcPr>
          <w:p>
            <w:pPr>
              <w:pStyle w:val="null3"/>
            </w:pPr>
            <w:r>
              <w:rPr/>
              <w:t>产品技术参数表 商务应答表 标的清单 报价表 项目实施方案 响应函</w:t>
            </w:r>
          </w:p>
        </w:tc>
      </w:tr>
      <w:tr>
        <w:tc>
          <w:tcPr>
            <w:tcW w:type="dxa" w:w="831"/>
          </w:tcPr>
          <w:p>
            <w:pPr>
              <w:pStyle w:val="null3"/>
            </w:pPr>
            <w:r>
              <w:rPr/>
              <w:t>3</w:t>
            </w:r>
          </w:p>
        </w:tc>
        <w:tc>
          <w:tcPr>
            <w:tcW w:type="dxa" w:w="2492"/>
          </w:tcPr>
          <w:p>
            <w:pPr>
              <w:pStyle w:val="null3"/>
            </w:pPr>
            <w:r>
              <w:rPr/>
              <w:t>不正当竞争预防措施（实质性要求）</w:t>
            </w:r>
          </w:p>
        </w:tc>
        <w:tc>
          <w:tcPr>
            <w:tcW w:type="dxa" w:w="3322"/>
          </w:tcPr>
          <w:p>
            <w:pPr>
              <w:pStyle w:val="null3"/>
            </w:pPr>
            <w:r>
              <w:rPr/>
              <w:t>在协商过程中，协商小组认为供应商响应报价明显低于其他通过符合性审查供应商的响应报价，有可能影响产品质量或者不能诚信履约的，协商小组应当要求其在合理的时间内在项目电子化交易系统中上传说明材料，必要时提交相关证明材料。供应商提交的相关证明材料，应当加盖供应商（法定名称）电子印章，在协商小组要求的时间内通过项目电子化交易系统进行提交，否则提交的相关证明材料无效。供应商不能证明其响应报价合理性的，协商小组应当将其响应文件作为无效处理。</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服务期限</w:t>
            </w:r>
          </w:p>
        </w:tc>
        <w:tc>
          <w:tcPr>
            <w:tcW w:type="dxa" w:w="3322"/>
          </w:tcPr>
          <w:p>
            <w:pPr>
              <w:pStyle w:val="null3"/>
            </w:pPr>
            <w:r>
              <w:rPr/>
              <w:t>服务期限满足文件最低要求(合格)，服务期限不满足文件最低要求(不合格)</w:t>
            </w:r>
          </w:p>
        </w:tc>
        <w:tc>
          <w:tcPr>
            <w:tcW w:type="dxa" w:w="1661"/>
          </w:tcPr>
          <w:p>
            <w:pPr>
              <w:pStyle w:val="null3"/>
            </w:pPr>
            <w:r>
              <w:rPr/>
              <w:t>标的清单 报价表 响应函</w:t>
            </w:r>
          </w:p>
        </w:tc>
      </w:tr>
      <w:tr>
        <w:tc>
          <w:tcPr>
            <w:tcW w:type="dxa" w:w="831"/>
          </w:tcPr>
          <w:p>
            <w:pPr>
              <w:pStyle w:val="null3"/>
            </w:pPr>
            <w:r>
              <w:rPr/>
              <w:t>5</w:t>
            </w:r>
          </w:p>
        </w:tc>
        <w:tc>
          <w:tcPr>
            <w:tcW w:type="dxa" w:w="2492"/>
          </w:tcPr>
          <w:p>
            <w:pPr>
              <w:pStyle w:val="null3"/>
            </w:pPr>
            <w:r>
              <w:rPr/>
              <w:t>签署、盖章</w:t>
            </w:r>
          </w:p>
        </w:tc>
        <w:tc>
          <w:tcPr>
            <w:tcW w:type="dxa" w:w="3322"/>
          </w:tcPr>
          <w:p>
            <w:pPr>
              <w:pStyle w:val="null3"/>
            </w:pPr>
            <w:r>
              <w:rPr/>
              <w:t>响应文件的签署、盖章符合文件要求(合格)，响应文件的签署、盖章不符合文件要求 (不合格)</w:t>
            </w:r>
          </w:p>
        </w:tc>
        <w:tc>
          <w:tcPr>
            <w:tcW w:type="dxa" w:w="1661"/>
          </w:tcPr>
          <w:p>
            <w:pPr>
              <w:pStyle w:val="null3"/>
            </w:pPr>
            <w:r>
              <w:rPr/>
              <w:t>响应文件封面 产品技术参数表 中小企业声明函 残疾人福利性单位声明函 商务应答表 供应商应提交的相关资格证明材料 标的清单 报价表 特定资格证明文件 项目实施方案 响应函 监狱企业的证明文件</w:t>
            </w:r>
          </w:p>
        </w:tc>
      </w:tr>
      <w:tr>
        <w:tc>
          <w:tcPr>
            <w:tcW w:type="dxa" w:w="831"/>
          </w:tcPr>
          <w:p>
            <w:pPr>
              <w:pStyle w:val="null3"/>
            </w:pPr>
            <w:r>
              <w:rPr/>
              <w:t>6</w:t>
            </w:r>
          </w:p>
        </w:tc>
        <w:tc>
          <w:tcPr>
            <w:tcW w:type="dxa" w:w="2492"/>
          </w:tcPr>
          <w:p>
            <w:pPr>
              <w:pStyle w:val="null3"/>
            </w:pPr>
            <w:r>
              <w:rPr/>
              <w:t>不属于招标文件规定的无效情形</w:t>
            </w:r>
          </w:p>
        </w:tc>
        <w:tc>
          <w:tcPr>
            <w:tcW w:type="dxa" w:w="3322"/>
          </w:tcPr>
          <w:p>
            <w:pPr>
              <w:pStyle w:val="null3"/>
            </w:pPr>
            <w:r>
              <w:rPr/>
              <w:t>供应商按照采购文件要求上传响应文件</w:t>
            </w:r>
          </w:p>
        </w:tc>
        <w:tc>
          <w:tcPr>
            <w:tcW w:type="dxa" w:w="1661"/>
          </w:tcPr>
          <w:p>
            <w:pPr>
              <w:pStyle w:val="null3"/>
            </w:pPr>
            <w:r>
              <w:rPr/>
              <w:t>响应函</w:t>
            </w:r>
          </w:p>
        </w:tc>
      </w:tr>
      <w:tr>
        <w:tc>
          <w:tcPr>
            <w:tcW w:type="dxa" w:w="831"/>
          </w:tcPr>
          <w:p>
            <w:pPr>
              <w:pStyle w:val="null3"/>
            </w:pPr>
            <w:r>
              <w:rPr/>
              <w:t>7</w:t>
            </w:r>
          </w:p>
        </w:tc>
        <w:tc>
          <w:tcPr>
            <w:tcW w:type="dxa" w:w="2492"/>
          </w:tcPr>
          <w:p>
            <w:pPr>
              <w:pStyle w:val="null3"/>
            </w:pPr>
            <w:r>
              <w:rPr/>
              <w:t>投标有效期</w:t>
            </w:r>
          </w:p>
        </w:tc>
        <w:tc>
          <w:tcPr>
            <w:tcW w:type="dxa" w:w="3322"/>
          </w:tcPr>
          <w:p>
            <w:pPr>
              <w:pStyle w:val="null3"/>
            </w:pPr>
            <w:r>
              <w:rPr/>
              <w:t>响应文件投标有效期符合文件要求的(合格)，响应文件无投标有效期或有效期达不到文件要求的(不合格)</w:t>
            </w:r>
          </w:p>
        </w:tc>
        <w:tc>
          <w:tcPr>
            <w:tcW w:type="dxa" w:w="1661"/>
          </w:tcPr>
          <w:p>
            <w:pPr>
              <w:pStyle w:val="null3"/>
            </w:pPr>
            <w:r>
              <w:rPr/>
              <w:t>响应函</w:t>
            </w:r>
          </w:p>
        </w:tc>
      </w:tr>
    </w:tbl>
    <w:p>
      <w:pPr>
        <w:pStyle w:val="null3"/>
        <w:outlineLvl w:val="3"/>
      </w:pPr>
      <w:r>
        <w:rPr>
          <w:b/>
          <w:sz w:val="24"/>
        </w:rPr>
        <w:t>5.2.4协商</w:t>
      </w:r>
    </w:p>
    <w:p>
      <w:pPr>
        <w:pStyle w:val="null3"/>
        <w:ind w:firstLine="480"/>
      </w:pPr>
      <w:r>
        <w:rPr/>
        <w:t>一、协商会议在项目电子化交易系统进行。协商会议由代理机构在线主持，供应商代表在线参加。</w:t>
      </w:r>
    </w:p>
    <w:p>
      <w:pPr>
        <w:pStyle w:val="null3"/>
        <w:ind w:firstLine="480"/>
      </w:pPr>
      <w:r>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b/>
          <w:sz w:val="24"/>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七、供应商最后报价无效的，本次采购活动终止，并发布终止公告。</w:t>
      </w:r>
    </w:p>
    <w:p>
      <w:pPr>
        <w:pStyle w:val="null3"/>
        <w:outlineLvl w:val="3"/>
      </w:pPr>
      <w:r>
        <w:rPr>
          <w:b/>
          <w:sz w:val="24"/>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四、协商小组应当积极履行澄清、说明或者更正的职责，不得滥用权力。</w:t>
      </w:r>
    </w:p>
    <w:p>
      <w:pPr>
        <w:pStyle w:val="null3"/>
        <w:outlineLvl w:val="3"/>
      </w:pPr>
      <w:r>
        <w:rPr>
          <w:b/>
          <w:sz w:val="24"/>
        </w:rPr>
        <w:t>5.2.7编写协商报告</w:t>
      </w:r>
    </w:p>
    <w:p>
      <w:pPr>
        <w:pStyle w:val="null3"/>
        <w:ind w:firstLine="480"/>
      </w:pPr>
      <w:r>
        <w:rPr/>
        <w:t>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（三）供应商提供的采购标的成本、同类项目合同价格以及相关专利、专有技术等情况说明；</w:t>
      </w:r>
    </w:p>
    <w:p>
      <w:pPr>
        <w:pStyle w:val="null3"/>
        <w:ind w:firstLine="480"/>
      </w:pPr>
      <w:r>
        <w:rPr/>
        <w:t>（四）合同主要条款及价格商定情况。</w:t>
      </w:r>
    </w:p>
    <w:p>
      <w:pPr>
        <w:pStyle w:val="null3"/>
        <w:ind w:firstLine="480"/>
        <w:jc w:val="left"/>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t>依据本办法第四十三条 出现下列情形之一的，采购人或者采购代理机构应当终止采购活动，发布项目终止公告并说明原因，重新开展采购活动：</w:t>
      </w:r>
    </w:p>
    <w:p>
      <w:pPr>
        <w:pStyle w:val="null3"/>
        <w:jc w:val="left"/>
      </w:pPr>
      <w:r>
        <w:rPr/>
        <w:t>（一）因情况变化，不再符合规定的单一来源采购方式适用情形的；</w:t>
      </w:r>
    </w:p>
    <w:p>
      <w:pPr>
        <w:pStyle w:val="null3"/>
        <w:jc w:val="left"/>
      </w:pPr>
      <w:r>
        <w:rPr/>
        <w:t>（二）出现影响采购公正的违法、违规行为的；</w:t>
      </w:r>
    </w:p>
    <w:p>
      <w:pPr>
        <w:pStyle w:val="null3"/>
        <w:jc w:val="left"/>
      </w:pPr>
      <w:r>
        <w:rPr/>
        <w:t>（三）报价超过采购预算的。</w:t>
      </w:r>
    </w:p>
    <w:p>
      <w:pPr>
        <w:pStyle w:val="null3"/>
        <w:ind w:firstLine="480"/>
      </w:pPr>
      <w:r>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b/>
          <w:sz w:val="24"/>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b/>
          <w:sz w:val="24"/>
        </w:rPr>
        <w:t>5.2.9终止采购活动情形</w:t>
      </w:r>
    </w:p>
    <w:p>
      <w:pPr>
        <w:pStyle w:val="null3"/>
        <w:ind w:firstLine="480"/>
      </w:pPr>
      <w:r>
        <w:rPr/>
        <w:t>出现下列情况之一的，协商小组应当终止采购活动，发布项目终止公告并说明原因，重新开展采购活动：</w:t>
      </w:r>
    </w:p>
    <w:p>
      <w:pPr>
        <w:pStyle w:val="null3"/>
        <w:ind w:firstLine="480"/>
      </w:pPr>
      <w:r>
        <w:rPr/>
        <w:t>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jc w:val="left"/>
        <w:outlineLvl w:val="3"/>
      </w:pPr>
      <w:r>
        <w:rPr>
          <w:b/>
          <w:sz w:val="24"/>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b/>
          <w:sz w:val="24"/>
        </w:rPr>
        <w:t>5.2.11协商小组成员义务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b/>
          <w:sz w:val="24"/>
        </w:rPr>
        <w:t xml:space="preserve"> 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详见附件：项目实施方案</w:t>
      </w:r>
    </w:p>
    <w:p>
      <w:pPr>
        <w:pStyle w:val="null3"/>
        <w:ind w:firstLine="960"/>
      </w:pPr>
      <w:r>
        <w:rPr/>
        <w:t>详见附件：报价表</w:t>
      </w:r>
    </w:p>
    <w:p>
      <w:pPr>
        <w:pStyle w:val="null3"/>
        <w:ind w:firstLine="960"/>
      </w:pPr>
      <w:r>
        <w:rPr/>
        <w:t>详见附件：标的清单</w:t>
      </w:r>
    </w:p>
    <w:p>
      <w:pPr>
        <w:pStyle w:val="null3"/>
        <w:ind w:firstLine="960"/>
      </w:pPr>
      <w:r>
        <w:rPr/>
        <w:t>详见附件：特定资格证明文件</w:t>
      </w:r>
    </w:p>
    <w:p>
      <w:pPr>
        <w:pStyle w:val="null3"/>
      </w:pPr>
      <w:r>
        <w:rPr/>
        <w:t xml:space="preserve"> </w:t>
      </w:r>
    </w:p>
    <w:p>
      <w:pPr>
        <w:pStyle w:val="null3"/>
        <w:jc w:val="center"/>
        <w:outlineLvl w:val="1"/>
      </w:pPr>
      <w:r>
        <w:rPr>
          <w:b/>
          <w:sz w:val="36"/>
        </w:rPr>
        <w:t>第七章 拟签订采购合同文本</w:t>
      </w:r>
    </w:p>
    <w:p>
      <w:pPr>
        <w:pStyle w:val="null3"/>
      </w:pPr>
      <w:r>
        <w:rPr/>
        <w:t>详见附件：西安理工大学采购合同.docx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