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数字校园平台与信息化升级改造项目一期</w:t>
      </w:r>
    </w:p>
    <w:p>
      <w:pPr>
        <w:pStyle w:val="null3"/>
        <w:jc w:val="center"/>
        <w:outlineLvl w:val="2"/>
      </w:pPr>
      <w:r>
        <w:rPr>
          <w:b/>
          <w:sz w:val="28"/>
        </w:rPr>
        <w:t>采购项目编号：</w:t>
      </w:r>
      <w:r>
        <w:rPr>
          <w:b/>
          <w:sz w:val="28"/>
        </w:rPr>
        <w:t>SLGJ-C-2023-144</w:t>
      </w:r>
      <w:r>
        <w:br/>
      </w:r>
      <w:r>
        <w:br/>
      </w:r>
      <w:r>
        <w:br/>
      </w:r>
    </w:p>
    <w:p>
      <w:pPr>
        <w:pStyle w:val="null3"/>
        <w:jc w:val="center"/>
        <w:outlineLvl w:val="2"/>
      </w:pPr>
      <w:r>
        <w:rPr>
          <w:b/>
          <w:sz w:val="28"/>
        </w:rPr>
        <w:t>延安大学</w:t>
      </w:r>
    </w:p>
    <w:p>
      <w:pPr>
        <w:pStyle w:val="null3"/>
        <w:jc w:val="center"/>
        <w:outlineLvl w:val="2"/>
      </w:pPr>
      <w:r>
        <w:rPr>
          <w:b/>
          <w:sz w:val="28"/>
        </w:rPr>
        <w:t>丝路国际咨询有限公司</w:t>
      </w:r>
      <w:r>
        <w:rPr>
          <w:b/>
          <w:sz w:val="28"/>
        </w:rPr>
        <w:t>共同编制</w:t>
      </w:r>
    </w:p>
    <w:p>
      <w:pPr>
        <w:pStyle w:val="null3"/>
        <w:jc w:val="center"/>
        <w:outlineLvl w:val="2"/>
      </w:pPr>
      <w:r>
        <w:rPr>
          <w:b/>
          <w:sz w:val="28"/>
        </w:rPr>
        <w:t>2023年12月18日</w:t>
      </w:r>
    </w:p>
    <w:p>
      <w:pPr>
        <w:pStyle w:val="null3"/>
      </w:pPr>
      <w:r>
        <w:rPr/>
        <w:t xml:space="preserve"> </w:t>
      </w:r>
    </w:p>
    <w:p>
      <w:pPr>
        <w:pStyle w:val="null3"/>
        <w:jc w:val="center"/>
        <w:outlineLvl w:val="1"/>
      </w:pPr>
      <w:r>
        <w:rPr>
          <w:b/>
          <w:sz w:val="36"/>
        </w:rPr>
        <w:t>第一章 竞争性磋商邀请</w:t>
      </w:r>
    </w:p>
    <w:p>
      <w:pPr>
        <w:pStyle w:val="null3"/>
        <w:ind w:firstLine="480"/>
      </w:pPr>
      <w:r>
        <w:rPr/>
        <w:t>丝路国际咨询有限公司</w:t>
      </w:r>
      <w:r>
        <w:rPr/>
        <w:t>（以下简称“代理机构”）受</w:t>
      </w:r>
      <w:r>
        <w:rPr/>
        <w:t>延安大学</w:t>
      </w:r>
      <w:r>
        <w:rPr/>
        <w:t>委托，拟对</w:t>
      </w:r>
      <w:r>
        <w:rPr/>
        <w:t>数字校园平台与信息化升级改造项目一期</w:t>
      </w:r>
      <w:r>
        <w:rPr/>
        <w:t>采用竞争性磋商采购方式进行采购，兹邀请供应商参加本项目的竞争性磋商。</w:t>
      </w:r>
    </w:p>
    <w:p>
      <w:pPr>
        <w:pStyle w:val="null3"/>
        <w:outlineLvl w:val="2"/>
      </w:pPr>
      <w:r>
        <w:rPr>
          <w:b/>
          <w:sz w:val="28"/>
        </w:rPr>
        <w:t>一、项目编号：</w:t>
      </w:r>
      <w:r>
        <w:rPr>
          <w:b/>
          <w:sz w:val="28"/>
        </w:rPr>
        <w:t>SLGJ-C-2023-144</w:t>
      </w:r>
    </w:p>
    <w:p>
      <w:pPr>
        <w:pStyle w:val="null3"/>
        <w:outlineLvl w:val="2"/>
      </w:pPr>
      <w:r>
        <w:rPr>
          <w:b/>
          <w:sz w:val="28"/>
        </w:rPr>
        <w:t>二、项目名称：</w:t>
      </w:r>
      <w:r>
        <w:rPr>
          <w:b/>
          <w:sz w:val="28"/>
        </w:rPr>
        <w:t>数字校园平台与信息化升级改造项目一期</w:t>
      </w:r>
    </w:p>
    <w:p>
      <w:pPr>
        <w:pStyle w:val="null3"/>
        <w:outlineLvl w:val="2"/>
      </w:pPr>
      <w:r>
        <w:rPr>
          <w:b/>
          <w:sz w:val="28"/>
        </w:rPr>
        <w:t>三、磋商项目简介</w:t>
      </w:r>
    </w:p>
    <w:p>
      <w:pPr>
        <w:pStyle w:val="null3"/>
        <w:ind w:firstLine="480"/>
      </w:pPr>
      <w:r>
        <w:rPr/>
        <w:t>包 1：根据《政府机关使用正版软件管理办法》和《正版软件管理工作指南》等文件要求， 延安大学严格按照陕西省教育厅、陕西省版权局对于软件正版化工作要求，2020 年开始，学 校投入资金积极推进学校软件正版化工作。为进一步贯彻落实上级文件要求，持续推进学校软 件正版化工作，保证全校师生正常使用正版软件开展教学、科研工作，网络信息中心拟启动延 安大学软件正版化采购服务项目，采购内容主要包含操作系统许可授权服务、办公软件许可授权服务、国产办公软件许可授权服务、国产操作系统许可授权服务、正版软件管理平台及售后服务等正版化产品。 包 2：延安大学网络信息资产综合管理平台，是对学校现有信息资产信息进行采集和梳理， 搭建信息资产数据中心，形成部门级、校级信息资产数据仓库，向学校各部门系统管理员和网 络安全管理员提供线上信息化服务，推进部门协同，提高办事效率。平台按照《中华人民共和 国网络安全法》等法律法规要求，明确学校各部门安全责任人和安全管理员，做到定人定责， 建立网络安全责任体系，实现线上安全事件预警，安全事件处置。同时能够向各部门负责人及 校级领导提供全面的资产信息统计，提供安全事件的情况分析。 包 3：延安大学数据中心现有 H3C 服务器台、H3C 超融合平台、H3C 核心交换机及 3PAR 存储，为全校网站群、校办、人事、财务、教务等多个部门及学院的重要业务信息系统提供服 务器资源和存储资源。维保已到期、需给以上设备及系统购买维保提供原厂质保及技术服务。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采购包1（延安大学软件正版化采购服务项目）：属于专门面向中小企业采购。</w:t>
      </w:r>
    </w:p>
    <w:p>
      <w:pPr>
        <w:pStyle w:val="null3"/>
      </w:pPr>
      <w:r>
        <w:rPr/>
        <w:t>采购包2（延安大学网络信息资产综合管理平台）：属于专门面向中小企业采购。</w:t>
      </w:r>
    </w:p>
    <w:p>
      <w:pPr>
        <w:pStyle w:val="null3"/>
      </w:pPr>
      <w:r>
        <w:rPr/>
        <w:t>采购包3（延安大学数据中心 H3C 设备维保项目）：属于专门面向中小企业采购。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1、具有独立承担民事责任能力的法人、其他组织或自然人，并出具合法有效的营业执照（附2022年度报告）或事业单位法人证书等国家规定的相关证明，自然人参与的提供其身份证明：营业执照（附2022年度报告）</w:t>
      </w:r>
    </w:p>
    <w:p>
      <w:pPr>
        <w:pStyle w:val="null3"/>
      </w:pPr>
      <w:r>
        <w:rPr/>
        <w:t>2、法定代表人授权书及被授权人身份证（法定代表人直接投标只须提交其身份证）：法定代表人授权书及被授权人身份证（法定代表人直接投标只须提交其身份证）</w:t>
      </w:r>
    </w:p>
    <w:p>
      <w:pPr>
        <w:pStyle w:val="null3"/>
      </w:pPr>
      <w:r>
        <w:rPr/>
        <w:t>3、提供缴费所属日期为谈判截止时间6个月内任一个月谈判截止时间当月不计入）的增值税（或企业所得税）缴费凭据或税务机关出具的完税证明/在法规范围内不需提供的应出具书面说明和证明文件：提供缴费所属日期为谈判截止时间6个月内任一个月谈判截止时间当月不计入）的增值税（或企业所得税）缴费凭据或税务机关出具的完税证明/在法规范围内不需提供的应出具书面说明和证明文件</w:t>
      </w:r>
    </w:p>
    <w:p>
      <w:pPr>
        <w:pStyle w:val="null3"/>
      </w:pPr>
      <w:r>
        <w:rPr/>
        <w:t>4、社会保障资金缴纳证明：提供缴费所属日期为投标截止时间前6个月内任一个月（投标截止时间当月不计入）的缴费凭据或社保机关出具的缴费证明/在法规范围内不需提供的应出具书面说明和证明文件：社会保障资金缴纳证明：提供缴费所属日期为投标截止时间前6个月内任一个月（投标截止时间当月不计入）的缴费凭据或社保机关出具的缴费证明/在法规范围内不需提供的应出具书面说明和证明文件</w:t>
      </w:r>
    </w:p>
    <w:p>
      <w:pPr>
        <w:pStyle w:val="null3"/>
      </w:pPr>
      <w:r>
        <w:rPr/>
        <w:t>5、财务状况报告：提供2022年度经审计的财务报告；或开标时间前六个月内银行出具的资信证明：财务状况报告：提供2022年度经审计的财务报告；或开标时间前六个月内银行出具的资信证明</w:t>
      </w:r>
    </w:p>
    <w:p>
      <w:pPr>
        <w:pStyle w:val="null3"/>
      </w:pPr>
      <w:r>
        <w:rPr/>
        <w:t>6、书面声明：参加本次政府采购活动前三年内在经营活动中没有重大违纪的书面声明：书面声明：参加本次政府采购活动前三年内在经营活动中没有重大违纪的书面声明</w:t>
      </w:r>
    </w:p>
    <w:p>
      <w:pPr>
        <w:pStyle w:val="null3"/>
      </w:pPr>
      <w:r>
        <w:rPr/>
        <w:t>7、提供具有履行本项目所必需的设备和专业技术能力的承诺函：提供具有履行本项目所必需的设备和专业技术能力的承诺函</w:t>
      </w:r>
    </w:p>
    <w:p>
      <w:pPr>
        <w:pStyle w:val="null3"/>
      </w:pPr>
      <w:r>
        <w:rPr/>
        <w:t>8、本项目专门面向中小企业采购，供应商需提供中小企业声明函。（按《政府采购促进中小企业发展管理办法》(财库〔2020〕46号附件1格式提供)：本项目专门面向中小企业采购，供应商需提供中小企业声明函。（按《政府采购促进中小企业发展管理办法》(财库〔2020〕46号附件1格式提供)</w:t>
      </w:r>
    </w:p>
    <w:p>
      <w:pPr>
        <w:pStyle w:val="null3"/>
      </w:pPr>
      <w:r>
        <w:rPr/>
        <w:t>采购包2：</w:t>
      </w:r>
    </w:p>
    <w:p>
      <w:pPr>
        <w:pStyle w:val="null3"/>
      </w:pPr>
      <w:r>
        <w:rPr/>
        <w:t>1、具有独立承担民事责任能力的法人、其他组织或自然人，并出具合法有效的营业执照（附2022年度报告）或事业单位法人证书等国家规定的相关证明，自然人参与的提供其身份证明：营业执照（附2022年度报告）</w:t>
      </w:r>
    </w:p>
    <w:p>
      <w:pPr>
        <w:pStyle w:val="null3"/>
      </w:pPr>
      <w:r>
        <w:rPr/>
        <w:t>2、法定代表人授权书及被授权人身份证（法定代表人直接投标只须提交其身份证）：法定代表人授权书及被授权人身份证（法定代表人直接投标只须提交其身份证）</w:t>
      </w:r>
    </w:p>
    <w:p>
      <w:pPr>
        <w:pStyle w:val="null3"/>
      </w:pPr>
      <w:r>
        <w:rPr/>
        <w:t>3、提供缴费所属日期为谈判截止时间6个月内任一个月谈判截止时间当月不计入）的增值税（或企业所得税）缴费凭据或税务机关出具的完税证明/在法规范围内不需提供的应出具书面说明和证明文件：提供缴费所属日期为谈判截止时间6个月内任一个月谈判截止时间当月不计入）的增值税（或企业所得税）缴费凭据或税务机关出具的完税证明/在法规范围内不需提供的应出具书面说明和证明文件</w:t>
      </w:r>
    </w:p>
    <w:p>
      <w:pPr>
        <w:pStyle w:val="null3"/>
      </w:pPr>
      <w:r>
        <w:rPr/>
        <w:t>4、社会保障资金缴纳证明：提供缴费所属日期为投标截止时间前6个月内任一个月（投标截止时间当月不计入）的缴费凭据或社保机关出具的缴费证明/在法规范围内不需提供的应出具书面说明和证明文件：社会保障资金缴纳证明：提供缴费所属日期为投标截止时间前6个月内任一个月（投标截止时间当月不计入）的缴费凭据或社保机关出具的缴费证明/在法规范围内不需提供的应出具书面说明和证明文件</w:t>
      </w:r>
    </w:p>
    <w:p>
      <w:pPr>
        <w:pStyle w:val="null3"/>
      </w:pPr>
      <w:r>
        <w:rPr/>
        <w:t>5、财务状况报告：提供2022年度经审计的财务报告；或开标时间前六个月内银行出具的资信证明：财务状况报告：提供2022年度经审计的财务报告；或开标时间前六个月内银行出具的资信证明</w:t>
      </w:r>
    </w:p>
    <w:p>
      <w:pPr>
        <w:pStyle w:val="null3"/>
      </w:pPr>
      <w:r>
        <w:rPr/>
        <w:t>6、书面声明：参加本次政府采购活动前三年内在经营活动中没有重大违纪的书面声明：书面声明：参加本次政府采购活动前三年内在经营活动中没有重大违纪的书面声明</w:t>
      </w:r>
    </w:p>
    <w:p>
      <w:pPr>
        <w:pStyle w:val="null3"/>
      </w:pPr>
      <w:r>
        <w:rPr/>
        <w:t>7、提供具有履行本项目所必需的设备和专业技术能力的承诺函：提供具有履行本项目所必需的设备和专业技术能力的承诺函</w:t>
      </w:r>
    </w:p>
    <w:p>
      <w:pPr>
        <w:pStyle w:val="null3"/>
      </w:pPr>
      <w:r>
        <w:rPr/>
        <w:t>8、本项目专门面向中小企业采购，供应商需提供中小企业声明函。（按《政府采购促进中小企业发展管理办法》(财库〔2020〕46号附件1格式提供)：本项目专门面向中小企业采购，供应商需提供中小企业声明函。（按《政府采购促进中小企业发展管理办法》(财库〔2020〕46号附件1格式提供)</w:t>
      </w:r>
    </w:p>
    <w:p>
      <w:pPr>
        <w:pStyle w:val="null3"/>
      </w:pPr>
      <w:r>
        <w:rPr/>
        <w:t>采购包3：</w:t>
      </w:r>
    </w:p>
    <w:p>
      <w:pPr>
        <w:pStyle w:val="null3"/>
      </w:pPr>
      <w:r>
        <w:rPr/>
        <w:t>1、具有独立承担民事责任能力的法人、其他组织或自然人，并出具合法有效的营业执照（附2022年度报告）或事业单位法人证书等国家规定的相关证明，自然人参与的提供其身份证明：营业执照（附2022年度报告）</w:t>
      </w:r>
    </w:p>
    <w:p>
      <w:pPr>
        <w:pStyle w:val="null3"/>
      </w:pPr>
      <w:r>
        <w:rPr/>
        <w:t>2、法定代表人授权书及被授权人身份证（法定代表人直接投标只须提交其身份证）：法定代表人授权书及被授权人身份证（法定代表人直接投标只须提交其身份证）</w:t>
      </w:r>
    </w:p>
    <w:p>
      <w:pPr>
        <w:pStyle w:val="null3"/>
      </w:pPr>
      <w:r>
        <w:rPr/>
        <w:t>3、提供缴费所属日期为谈判截止时间6个月内任一个月谈判截止时间当月不计入）的增值税（或企业所得税）缴费凭据或税务机关出具的完税证明/在法规范围内不需提供的应出具书面说明和证明文件：提供缴费所属日期为谈判截止时间6个月内任一个月谈判截止时间当月不计入）的增值税（或企业所得税）缴费凭据或税务机关出具的完税证明/在法规范围内不需提供的应出具书面说明和证明文件</w:t>
      </w:r>
    </w:p>
    <w:p>
      <w:pPr>
        <w:pStyle w:val="null3"/>
      </w:pPr>
      <w:r>
        <w:rPr/>
        <w:t>4、社会保障资金缴纳证明：提供缴费所属日期为投标截止时间前6个月内任一个月（投标截止时间当月不计入）的缴费凭据或社保机关出具的缴费证明/在法规范围内不需提供的应出具书面说明和证明文件：社会保障资金缴纳证明：提供缴费所属日期为投标截止时间前6个月内任一个月（投标截止时间当月不计入）的缴费凭据或社保机关出具的缴费证明/在法规范围内不需提供的应出具书面说明和证明文件</w:t>
      </w:r>
    </w:p>
    <w:p>
      <w:pPr>
        <w:pStyle w:val="null3"/>
      </w:pPr>
      <w:r>
        <w:rPr/>
        <w:t>5、财务状况报告：提供2022年度经审计的财务报告；或开标时间前六个月内银行出具的资信证明：财务状况报告：提供2022年度经审计的财务报告；或开标时间前六个月内银行出具的资信证明</w:t>
      </w:r>
    </w:p>
    <w:p>
      <w:pPr>
        <w:pStyle w:val="null3"/>
      </w:pPr>
      <w:r>
        <w:rPr/>
        <w:t>6、书面声明：参加本次政府采购活动前三年内在经营活动中没有重大违纪的书面声明：书面声明：参加本次政府采购活动前三年内在经营活动中没有重大违纪的书面声明</w:t>
      </w:r>
    </w:p>
    <w:p>
      <w:pPr>
        <w:pStyle w:val="null3"/>
      </w:pPr>
      <w:r>
        <w:rPr/>
        <w:t>7、提供具有履行本项目所必需的设备和专业技术能力的承诺函：提供具有履行本项目所必需的设备和专业技术能力的承诺函</w:t>
      </w:r>
    </w:p>
    <w:p>
      <w:pPr>
        <w:pStyle w:val="null3"/>
      </w:pPr>
      <w:r>
        <w:rPr/>
        <w:t>8、本项目专门面向中小企业采购，供应商需提供中小企业声明函。（按《政府采购促进中小企业发展管理办法》(财库〔2020〕46号附件1格式提供)：本项目专门面向中小企业采购，供应商需提供中小企业声明函。（按《政府采购促进中小企业发展管理办法》(财库〔2020〕46号附件1格式提供)</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张老师</w:t>
      </w:r>
    </w:p>
    <w:p>
      <w:pPr>
        <w:pStyle w:val="null3"/>
      </w:pPr>
      <w:r>
        <w:rPr/>
        <w:t xml:space="preserve"> 联系电话： </w:t>
      </w:r>
      <w:r>
        <w:rPr/>
        <w:t>0911-2650182</w:t>
      </w:r>
    </w:p>
    <w:p>
      <w:pPr>
        <w:pStyle w:val="null3"/>
        <w:outlineLvl w:val="3"/>
      </w:pPr>
      <w:r>
        <w:rPr>
          <w:b/>
          <w:sz w:val="24"/>
        </w:rPr>
        <w:t>代理机构：</w:t>
      </w:r>
      <w:r>
        <w:rPr>
          <w:b/>
          <w:sz w:val="24"/>
        </w:rPr>
        <w:t>丝路国际咨询有限公司</w:t>
      </w:r>
    </w:p>
    <w:p>
      <w:pPr>
        <w:pStyle w:val="null3"/>
      </w:pPr>
      <w:r>
        <w:rPr/>
        <w:t xml:space="preserve"> 地址： </w:t>
      </w:r>
      <w:r>
        <w:rPr/>
        <w:t>陕西省西安市莲湖区陕西省西安市莲湖区唐延路北段20号太和时代广场A座2106室</w:t>
      </w:r>
    </w:p>
    <w:p>
      <w:pPr>
        <w:pStyle w:val="null3"/>
      </w:pPr>
      <w:r>
        <w:rPr/>
        <w:t xml:space="preserve"> 邮编： </w:t>
      </w:r>
      <w:r>
        <w:rPr/>
        <w:t>716000</w:t>
      </w:r>
    </w:p>
    <w:p>
      <w:pPr>
        <w:pStyle w:val="null3"/>
      </w:pPr>
      <w:r>
        <w:rPr/>
        <w:t xml:space="preserve"> 联系人： </w:t>
      </w:r>
      <w:r>
        <w:rPr/>
        <w:t>王鹏、张梦娜</w:t>
      </w:r>
    </w:p>
    <w:p>
      <w:pPr>
        <w:pStyle w:val="null3"/>
      </w:pPr>
      <w:r>
        <w:rPr/>
        <w:t xml:space="preserve"> 联系电话： </w:t>
      </w:r>
      <w:r>
        <w:rPr/>
        <w:t>0911-8105018</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采购包2：150,000.00元</w:t>
            </w:r>
          </w:p>
          <w:p>
            <w:pPr>
              <w:pStyle w:val="null3"/>
            </w:pPr>
            <w:r>
              <w:rPr/>
              <w:t>采购包3：250,000.00元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采购包1保证金金额：8,000.00元</w:t>
            </w:r>
          </w:p>
          <w:p>
            <w:pPr>
              <w:pStyle w:val="null3"/>
            </w:pPr>
            <w:r>
              <w:rPr/>
              <w:t>采购包2保证金金额：3,000.00元</w:t>
            </w:r>
          </w:p>
          <w:p>
            <w:pPr>
              <w:pStyle w:val="null3"/>
            </w:pPr>
            <w:r>
              <w:rPr/>
              <w:t>采购包3保证金金额：5,000.00元</w:t>
            </w:r>
          </w:p>
          <w:p>
            <w:pPr>
              <w:pStyle w:val="null3"/>
            </w:pPr>
            <w:r>
              <w:rPr/>
              <w:t>缴交渠道：转账、支票、汇票等（需通过实体账户、户名及开户行信息）,电子保函</w:t>
            </w:r>
          </w:p>
          <w:p>
            <w:pPr>
              <w:pStyle w:val="null3"/>
            </w:pPr>
            <w:r>
              <w:rPr/>
              <w:t>开户名称：丝路国际咨询有限公司</w:t>
            </w:r>
          </w:p>
          <w:p>
            <w:pPr>
              <w:pStyle w:val="null3"/>
            </w:pPr>
            <w:r>
              <w:rPr/>
              <w:t>开户银行：中国银行延安分行营业部</w:t>
            </w:r>
          </w:p>
          <w:p>
            <w:pPr>
              <w:pStyle w:val="null3"/>
            </w:pPr>
            <w:r>
              <w:rPr/>
              <w:t>银行账号：103671639351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说明：中标人需在签订合同前向采购人以公对公的方式缴纳；（户名：延安大学；纳税人识别 号：126100004364513209；账 号：102085448994；联行号：104804000067；开户行 ：中国银行延安延大支行；地址：陕西省延安市圣地路580号）</w:t>
            </w:r>
          </w:p>
          <w:p>
            <w:pPr>
              <w:pStyle w:val="null3"/>
            </w:pPr>
            <w:r>
              <w:rPr/>
              <w:t>采购包2：缴纳</w:t>
            </w:r>
          </w:p>
          <w:p>
            <w:pPr>
              <w:pStyle w:val="null3"/>
            </w:pPr>
            <w:r>
              <w:rPr/>
              <w:t>本采购包履约保证金为合同金额的5.0%</w:t>
            </w:r>
          </w:p>
          <w:p>
            <w:pPr>
              <w:pStyle w:val="null3"/>
            </w:pPr>
            <w:r>
              <w:rPr/>
              <w:t>说明：中标人需在签订合同前向采购人以公对公的方式缴纳；（户名：延安大学；纳税人识别号：126100004364513209；账号：102085448994；联行号：104804000067；开户行：中国银行延安延大支行；地址：陕西省延安市圣地路580号）</w:t>
            </w:r>
          </w:p>
          <w:p>
            <w:pPr>
              <w:pStyle w:val="null3"/>
            </w:pPr>
            <w:r>
              <w:rPr/>
              <w:t>采购包3：缴纳</w:t>
            </w:r>
          </w:p>
          <w:p>
            <w:pPr>
              <w:pStyle w:val="null3"/>
            </w:pPr>
            <w:r>
              <w:rPr/>
              <w:t>本采购包履约保证金为合同金额的5.0%</w:t>
            </w:r>
          </w:p>
          <w:p>
            <w:pPr>
              <w:pStyle w:val="null3"/>
            </w:pPr>
            <w:r>
              <w:rPr/>
              <w:t>说明：中标人需在签订合同前向采购人以公对公的方式缴纳；（户名：延安大学；纳税人识别号：126100004364513209；账号：102085448994；联行号：104804000067；开户行：中国银行延安延大支行；地址：陕西省延安市圣地路580号）</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代理服务费收费标准：招标代理服务费参照国家计委颁布的《招标代理服务收费管理暂行办法 》（计价格『2002』1980号）、发改办价格『2003』857号、发改价格『2011』534号收费 标准中规定。向成交供应商收取招标代理服务费用，由成交单位向采购代理机构一次性支付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延安大学</w:t>
      </w:r>
      <w:r>
        <w:rPr/>
        <w:t>和</w:t>
      </w:r>
      <w:r>
        <w:rPr/>
        <w:t>丝路国际咨询有限公司</w:t>
      </w:r>
      <w:r>
        <w:rPr/>
        <w:t>享有。对磋商文件中供应商参加本次政府采购活动应当具备的条件，磋商项目技术、服务、商务及其他要求，评审细则及标准由</w:t>
      </w:r>
      <w:r>
        <w:rPr/>
        <w:t>延安大学</w:t>
      </w:r>
      <w:r>
        <w:rPr/>
        <w:t>负责解释。除上述磋商文件内容，其他内容由</w:t>
      </w:r>
      <w:r>
        <w:rPr/>
        <w:t>丝路国际咨询有限公司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延安大学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丝路国际咨询有限公司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以采购文件规定和合同约定为准</w:t>
      </w:r>
    </w:p>
    <w:p>
      <w:pPr>
        <w:pStyle w:val="null3"/>
      </w:pPr>
      <w:r>
        <w:rPr/>
        <w:t>采购包2：</w:t>
      </w:r>
    </w:p>
    <w:p>
      <w:pPr>
        <w:pStyle w:val="null3"/>
      </w:pPr>
      <w:r>
        <w:rPr/>
        <w:t>在本项目的开发过程中和交付使用后，需将各个阶段产生的全面、规范的成果和文档资料交付给 采购方，并提供明确的交付清单。同时，成果和文档资料必须符合软件工程的相关要求。交付的成果和文档资料需要包括但不限于可运行的系统、定制开发的所有源代码、技术文档、管理文档、操作手册等。 验收依据： 1 、合同文本、合同附件。 2 、国内相应的标准、规范。 3 、其他相关资料。</w:t>
      </w:r>
    </w:p>
    <w:p>
      <w:pPr>
        <w:pStyle w:val="null3"/>
      </w:pPr>
      <w:r>
        <w:rPr/>
        <w:t>采购包3：</w:t>
      </w:r>
    </w:p>
    <w:p>
      <w:pPr>
        <w:pStyle w:val="null3"/>
      </w:pPr>
      <w:r>
        <w:rPr/>
        <w:t>以采购文件规定和合同约定为准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丝路国际咨询有限公司</w:t>
      </w:r>
      <w:r>
        <w:rPr/>
        <w:t xml:space="preserve"> 负责答复；供应商对除采购需求外的采购文件的询问、质疑由</w:t>
      </w:r>
      <w:r>
        <w:rPr/>
        <w:t>丝路国际咨询有限公司</w:t>
      </w:r>
      <w:r>
        <w:rPr/>
        <w:t xml:space="preserve"> 负责答复；供应商对采购过程、采购结果的询问、质疑由 </w:t>
      </w:r>
      <w:r>
        <w:rPr/>
        <w:t>丝路国际咨询有限公司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联系人：王鹏、张梦娜</w:t>
      </w:r>
    </w:p>
    <w:p>
      <w:pPr>
        <w:pStyle w:val="null3"/>
      </w:pPr>
      <w:r>
        <w:rPr/>
        <w:t>联系电话：0911-8105018</w:t>
      </w:r>
    </w:p>
    <w:p>
      <w:pPr>
        <w:pStyle w:val="null3"/>
      </w:pPr>
      <w:r>
        <w:rPr/>
        <w:t>地址：延安市新区锦绣东方A 座11层</w:t>
      </w:r>
    </w:p>
    <w:p>
      <w:pPr>
        <w:pStyle w:val="null3"/>
      </w:pPr>
      <w:r>
        <w:rPr/>
        <w:t>邮编：716000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第1包采购内容主要包含操作系统许可授权服务、办公软件许可授权服务、国产办公软件许可授权服务、国产操作系统许可授权服务、正版软件管理平台及售后服务等正版化产品；第2包采购网络信息资产综合管理平台；第3包采购数据中心现有 H3C 服务器台、H3C 超融合平台、H3C 核心交换机及 3PAR 存储设备维保。</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操作系统许可授权服务1</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办公软件许可授权服务2</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办公软件许可授权服务2</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操作系统许可授权服务2</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正版软件管理平台及售后服 务</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网络息资产合管理平台</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服务器维保</w:t>
            </w:r>
          </w:p>
        </w:tc>
        <w:tc>
          <w:tcPr>
            <w:tcW w:type="dxa" w:w="831"/>
          </w:tcPr>
          <w:p>
            <w:pPr>
              <w:pStyle w:val="null3"/>
              <w:jc w:val="right"/>
            </w:pPr>
            <w:r>
              <w:rPr/>
              <w:t>1.00</w:t>
            </w:r>
          </w:p>
        </w:tc>
        <w:tc>
          <w:tcPr>
            <w:tcW w:type="dxa" w:w="831"/>
          </w:tcPr>
          <w:p>
            <w:pPr>
              <w:pStyle w:val="null3"/>
              <w:jc w:val="right"/>
            </w:pPr>
            <w:r>
              <w:rPr/>
              <w:t>87,000.00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超融合软件</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核心交换机维保服务</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存储设备维保服务</w:t>
            </w:r>
          </w:p>
        </w:tc>
        <w:tc>
          <w:tcPr>
            <w:tcW w:type="dxa" w:w="831"/>
          </w:tcPr>
          <w:p>
            <w:pPr>
              <w:pStyle w:val="null3"/>
              <w:jc w:val="right"/>
            </w:pPr>
            <w:r>
              <w:rPr/>
              <w:t>1.00</w:t>
            </w:r>
          </w:p>
        </w:tc>
        <w:tc>
          <w:tcPr>
            <w:tcW w:type="dxa" w:w="831"/>
          </w:tcPr>
          <w:p>
            <w:pPr>
              <w:pStyle w:val="null3"/>
              <w:jc w:val="right"/>
            </w:pPr>
            <w:r>
              <w:rPr/>
              <w:t>49,000.00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标的名称：操作系统许可授权服务1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授权方式：涵盖学校办公室、教室、实验室和图书馆等场所的计算机，包括教职工电脑和笔记本。</w:t>
            </w:r>
          </w:p>
        </w:tc>
      </w:tr>
      <w:tr>
        <w:tc>
          <w:tcPr>
            <w:tcW w:type="dxa" w:w="2769"/>
          </w:tcPr>
          <w:p/>
        </w:tc>
        <w:tc>
          <w:tcPr>
            <w:tcW w:type="dxa" w:w="2769"/>
          </w:tcPr>
          <w:p>
            <w:pPr>
              <w:pStyle w:val="null3"/>
            </w:pPr>
            <w:r>
              <w:rPr/>
              <w:t>2</w:t>
            </w:r>
          </w:p>
        </w:tc>
        <w:tc>
          <w:tcPr>
            <w:tcW w:type="dxa" w:w="2769"/>
          </w:tcPr>
          <w:p>
            <w:pPr>
              <w:pStyle w:val="null3"/>
            </w:pPr>
            <w:r>
              <w:rPr/>
              <w:t>FTE数不低于400点。</w:t>
            </w:r>
          </w:p>
        </w:tc>
      </w:tr>
      <w:tr>
        <w:tc>
          <w:tcPr>
            <w:tcW w:type="dxa" w:w="2769"/>
          </w:tcPr>
          <w:p/>
        </w:tc>
        <w:tc>
          <w:tcPr>
            <w:tcW w:type="dxa" w:w="2769"/>
          </w:tcPr>
          <w:p>
            <w:pPr>
              <w:pStyle w:val="null3"/>
            </w:pPr>
            <w:r>
              <w:rPr/>
              <w:t>3</w:t>
            </w:r>
          </w:p>
        </w:tc>
        <w:tc>
          <w:tcPr>
            <w:tcW w:type="dxa" w:w="2769"/>
          </w:tcPr>
          <w:p>
            <w:pPr>
              <w:pStyle w:val="null3"/>
            </w:pPr>
            <w:r>
              <w:rPr/>
              <w:t>合约有效期内，软件如有升级版本，授权对升级版本同样有效，新增计算机不再加收任何费用。</w:t>
            </w:r>
          </w:p>
        </w:tc>
      </w:tr>
      <w:tr>
        <w:tc>
          <w:tcPr>
            <w:tcW w:type="dxa" w:w="2769"/>
          </w:tcPr>
          <w:p/>
        </w:tc>
        <w:tc>
          <w:tcPr>
            <w:tcW w:type="dxa" w:w="2769"/>
          </w:tcPr>
          <w:p>
            <w:pPr>
              <w:pStyle w:val="null3"/>
            </w:pPr>
            <w:r>
              <w:rPr/>
              <w:t>4</w:t>
            </w:r>
          </w:p>
        </w:tc>
        <w:tc>
          <w:tcPr>
            <w:tcW w:type="dxa" w:w="2769"/>
          </w:tcPr>
          <w:p>
            <w:pPr>
              <w:pStyle w:val="null3"/>
            </w:pPr>
            <w:r>
              <w:rPr/>
              <w:t>授权产品：要求提供厂家提供还在运维服务的所有系列桌面操作系统，包括专业版、教育版、企业版等，包括上述软件的当前版本、升级版本和降级版本。合约有效期内，软件如有升级版本，授权对升级版本同样有效。具有以上版本软件的所有功能，包括32位、64位的操作系统。</w:t>
            </w:r>
          </w:p>
        </w:tc>
      </w:tr>
      <w:tr>
        <w:tc>
          <w:tcPr>
            <w:tcW w:type="dxa" w:w="2769"/>
          </w:tcPr>
          <w:p/>
        </w:tc>
        <w:tc>
          <w:tcPr>
            <w:tcW w:type="dxa" w:w="2769"/>
          </w:tcPr>
          <w:p>
            <w:pPr>
              <w:pStyle w:val="null3"/>
            </w:pPr>
            <w:r>
              <w:rPr/>
              <w:t>5</w:t>
            </w:r>
          </w:p>
        </w:tc>
        <w:tc>
          <w:tcPr>
            <w:tcW w:type="dxa" w:w="2769"/>
          </w:tcPr>
          <w:p>
            <w:pPr>
              <w:pStyle w:val="null3"/>
            </w:pPr>
            <w:r>
              <w:rPr/>
              <w:t>产品语言：至少包括简体中文和英文版本。</w:t>
            </w:r>
          </w:p>
        </w:tc>
      </w:tr>
      <w:tr>
        <w:tc>
          <w:tcPr>
            <w:tcW w:type="dxa" w:w="2769"/>
          </w:tcPr>
          <w:p/>
        </w:tc>
        <w:tc>
          <w:tcPr>
            <w:tcW w:type="dxa" w:w="2769"/>
          </w:tcPr>
          <w:p>
            <w:pPr>
              <w:pStyle w:val="null3"/>
            </w:pPr>
            <w:r>
              <w:rPr/>
              <w:t>6</w:t>
            </w:r>
          </w:p>
        </w:tc>
        <w:tc>
          <w:tcPr>
            <w:tcW w:type="dxa" w:w="2769"/>
          </w:tcPr>
          <w:p>
            <w:pPr>
              <w:pStyle w:val="null3"/>
            </w:pPr>
            <w:r>
              <w:rPr/>
              <w:t>桌面操作系统要能够支持系统之间轻松传送，可以将原有低版本系统上的文件、文件夹、程序设置和系统设置从旧 PC 转移到新 PC。</w:t>
            </w:r>
          </w:p>
        </w:tc>
      </w:tr>
      <w:tr>
        <w:tc>
          <w:tcPr>
            <w:tcW w:type="dxa" w:w="2769"/>
          </w:tcPr>
          <w:p/>
        </w:tc>
        <w:tc>
          <w:tcPr>
            <w:tcW w:type="dxa" w:w="2769"/>
          </w:tcPr>
          <w:p>
            <w:pPr>
              <w:pStyle w:val="null3"/>
            </w:pPr>
            <w:r>
              <w:rPr/>
              <w:t>7</w:t>
            </w:r>
          </w:p>
        </w:tc>
        <w:tc>
          <w:tcPr>
            <w:tcW w:type="dxa" w:w="2769"/>
          </w:tcPr>
          <w:p>
            <w:pPr>
              <w:pStyle w:val="null3"/>
            </w:pPr>
            <w:r>
              <w:rPr/>
              <w:t>提供自适应性显示器亮度功能。</w:t>
            </w:r>
          </w:p>
        </w:tc>
      </w:tr>
      <w:tr>
        <w:tc>
          <w:tcPr>
            <w:tcW w:type="dxa" w:w="2769"/>
          </w:tcPr>
          <w:p/>
        </w:tc>
        <w:tc>
          <w:tcPr>
            <w:tcW w:type="dxa" w:w="2769"/>
          </w:tcPr>
          <w:p>
            <w:pPr>
              <w:pStyle w:val="null3"/>
            </w:pPr>
            <w:r>
              <w:rPr/>
              <w:t>8</w:t>
            </w:r>
          </w:p>
        </w:tc>
        <w:tc>
          <w:tcPr>
            <w:tcW w:type="dxa" w:w="2769"/>
          </w:tcPr>
          <w:p>
            <w:pPr>
              <w:pStyle w:val="null3"/>
            </w:pPr>
            <w:r>
              <w:rPr/>
              <w:t>提供用户帐户控制。</w:t>
            </w:r>
          </w:p>
        </w:tc>
      </w:tr>
      <w:tr>
        <w:tc>
          <w:tcPr>
            <w:tcW w:type="dxa" w:w="2769"/>
          </w:tcPr>
          <w:p/>
        </w:tc>
        <w:tc>
          <w:tcPr>
            <w:tcW w:type="dxa" w:w="2769"/>
          </w:tcPr>
          <w:p>
            <w:pPr>
              <w:pStyle w:val="null3"/>
            </w:pPr>
            <w:r>
              <w:rPr/>
              <w:t>9</w:t>
            </w:r>
          </w:p>
        </w:tc>
        <w:tc>
          <w:tcPr>
            <w:tcW w:type="dxa" w:w="2769"/>
          </w:tcPr>
          <w:p>
            <w:pPr>
              <w:pStyle w:val="null3"/>
            </w:pPr>
            <w:r>
              <w:rPr/>
              <w:t>提供家长控制功能，可以指定能玩哪些计算机游戏，并且能设置使用计算机的时间。</w:t>
            </w:r>
          </w:p>
        </w:tc>
      </w:tr>
      <w:tr>
        <w:tc>
          <w:tcPr>
            <w:tcW w:type="dxa" w:w="2769"/>
          </w:tcPr>
          <w:p/>
        </w:tc>
        <w:tc>
          <w:tcPr>
            <w:tcW w:type="dxa" w:w="2769"/>
          </w:tcPr>
          <w:p>
            <w:pPr>
              <w:pStyle w:val="null3"/>
            </w:pPr>
            <w:r>
              <w:rPr/>
              <w:t>10</w:t>
            </w:r>
          </w:p>
        </w:tc>
        <w:tc>
          <w:tcPr>
            <w:tcW w:type="dxa" w:w="2769"/>
          </w:tcPr>
          <w:p>
            <w:pPr>
              <w:pStyle w:val="null3"/>
            </w:pPr>
            <w:r>
              <w:rPr/>
              <w:t>平台安全稳定。具有基本的安全功能（如内核修补程序保护、服务强化、数据执行保护、地址空间布局随机选择和强制完整性级别），并针对恶意软件和攻击提供增强的防护。</w:t>
            </w:r>
          </w:p>
        </w:tc>
      </w:tr>
      <w:tr>
        <w:tc>
          <w:tcPr>
            <w:tcW w:type="dxa" w:w="2769"/>
          </w:tcPr>
          <w:p/>
        </w:tc>
        <w:tc>
          <w:tcPr>
            <w:tcW w:type="dxa" w:w="2769"/>
          </w:tcPr>
          <w:p>
            <w:pPr>
              <w:pStyle w:val="null3"/>
            </w:pPr>
            <w:r>
              <w:rPr/>
              <w:t>11</w:t>
            </w:r>
          </w:p>
        </w:tc>
        <w:tc>
          <w:tcPr>
            <w:tcW w:type="dxa" w:w="2769"/>
          </w:tcPr>
          <w:p>
            <w:pPr>
              <w:pStyle w:val="null3"/>
            </w:pPr>
            <w:r>
              <w:rPr/>
              <w:t>具备系统还原。系统还原点在备份中也可用，可以从一个更大的还原点列表中进行选择，并且可能覆盖很长一段时间。</w:t>
            </w:r>
          </w:p>
        </w:tc>
      </w:tr>
      <w:tr>
        <w:tc>
          <w:tcPr>
            <w:tcW w:type="dxa" w:w="2769"/>
          </w:tcPr>
          <w:p/>
        </w:tc>
        <w:tc>
          <w:tcPr>
            <w:tcW w:type="dxa" w:w="2769"/>
          </w:tcPr>
          <w:p>
            <w:pPr>
              <w:pStyle w:val="null3"/>
            </w:pPr>
            <w:r>
              <w:rPr/>
              <w:t>12</w:t>
            </w:r>
          </w:p>
        </w:tc>
        <w:tc>
          <w:tcPr>
            <w:tcW w:type="dxa" w:w="2769"/>
          </w:tcPr>
          <w:p>
            <w:pPr>
              <w:pStyle w:val="null3"/>
            </w:pPr>
            <w:r>
              <w:rPr/>
              <w:t>具备操作系统疑难解答功能，可以诊断并解决常见的操作系统和硬件问题，针对一些不同类型的问题提供了内置的疑难解答程序。</w:t>
            </w:r>
          </w:p>
        </w:tc>
      </w:tr>
      <w:tr>
        <w:tc>
          <w:tcPr>
            <w:tcW w:type="dxa" w:w="2769"/>
          </w:tcPr>
          <w:p/>
        </w:tc>
        <w:tc>
          <w:tcPr>
            <w:tcW w:type="dxa" w:w="2769"/>
          </w:tcPr>
          <w:p>
            <w:pPr>
              <w:pStyle w:val="null3"/>
            </w:pPr>
            <w:r>
              <w:rPr/>
              <w:t>13</w:t>
            </w:r>
          </w:p>
        </w:tc>
        <w:tc>
          <w:tcPr>
            <w:tcW w:type="dxa" w:w="2769"/>
          </w:tcPr>
          <w:p>
            <w:pPr>
              <w:pStyle w:val="null3"/>
            </w:pPr>
            <w:r>
              <w:rPr/>
              <w:t>提供自动化的启动修复工具来诊断和恢复无法启动的系统。如果遇到无法成功启动的情况，操作系统会自动加载启动修复，扫描 PC 中的问题（比如注册表损坏、系统文件丢失或启动配置数据无效），并在可能的情况下自动修复。</w:t>
            </w:r>
          </w:p>
        </w:tc>
      </w:tr>
      <w:tr>
        <w:tc>
          <w:tcPr>
            <w:tcW w:type="dxa" w:w="2769"/>
          </w:tcPr>
          <w:p/>
        </w:tc>
        <w:tc>
          <w:tcPr>
            <w:tcW w:type="dxa" w:w="2769"/>
          </w:tcPr>
          <w:p>
            <w:pPr>
              <w:pStyle w:val="null3"/>
            </w:pPr>
            <w:r>
              <w:rPr/>
              <w:t>14</w:t>
            </w:r>
          </w:p>
        </w:tc>
        <w:tc>
          <w:tcPr>
            <w:tcW w:type="dxa" w:w="2769"/>
          </w:tcPr>
          <w:p>
            <w:pPr>
              <w:pStyle w:val="null3"/>
            </w:pPr>
            <w:r>
              <w:rPr/>
              <w:t>具备从其他电脑远程访问某台电脑上的文件和程序的功能。能够进行脱机操作，自动将电脑和网络上的内容同步。</w:t>
            </w:r>
          </w:p>
        </w:tc>
      </w:tr>
      <w:tr>
        <w:tc>
          <w:tcPr>
            <w:tcW w:type="dxa" w:w="2769"/>
          </w:tcPr>
          <w:p/>
        </w:tc>
        <w:tc>
          <w:tcPr>
            <w:tcW w:type="dxa" w:w="2769"/>
          </w:tcPr>
          <w:p>
            <w:pPr>
              <w:pStyle w:val="null3"/>
            </w:pPr>
            <w:r>
              <w:rPr/>
              <w:t>15</w:t>
            </w:r>
          </w:p>
        </w:tc>
        <w:tc>
          <w:tcPr>
            <w:tcW w:type="dxa" w:w="2769"/>
          </w:tcPr>
          <w:p>
            <w:pPr>
              <w:pStyle w:val="null3"/>
            </w:pPr>
            <w:r>
              <w:rPr/>
              <w:t>提供智能输入和最近搜索。可以根据之前的搜索呈现输入建议，并动态过滤这些建议来帮助缩小结果。</w:t>
            </w:r>
          </w:p>
        </w:tc>
      </w:tr>
      <w:tr>
        <w:tc>
          <w:tcPr>
            <w:tcW w:type="dxa" w:w="2769"/>
          </w:tcPr>
          <w:p/>
        </w:tc>
        <w:tc>
          <w:tcPr>
            <w:tcW w:type="dxa" w:w="2769"/>
          </w:tcPr>
          <w:p>
            <w:pPr>
              <w:pStyle w:val="null3"/>
            </w:pPr>
            <w:r>
              <w:rPr/>
              <w:t>16</w:t>
            </w:r>
          </w:p>
        </w:tc>
        <w:tc>
          <w:tcPr>
            <w:tcW w:type="dxa" w:w="2769"/>
          </w:tcPr>
          <w:p>
            <w:pPr>
              <w:pStyle w:val="null3"/>
            </w:pPr>
            <w:r>
              <w:rPr/>
              <w:t>提供操作系统内置支持的本地全局搜索。只需在搜索框中输入少许字母，就会显示匹配的文档、图片、音乐、电子邮件和其他文件的列表，所有内容都排列在相应的类别下。还可以直接在开始菜单中搜索控制面板任务，以便快速调整计算机设置。</w:t>
            </w:r>
          </w:p>
        </w:tc>
      </w:tr>
      <w:tr>
        <w:tc>
          <w:tcPr>
            <w:tcW w:type="dxa" w:w="2769"/>
          </w:tcPr>
          <w:p/>
        </w:tc>
        <w:tc>
          <w:tcPr>
            <w:tcW w:type="dxa" w:w="2769"/>
          </w:tcPr>
          <w:p>
            <w:pPr>
              <w:pStyle w:val="null3"/>
            </w:pPr>
            <w:r>
              <w:rPr/>
              <w:t>17</w:t>
            </w:r>
          </w:p>
        </w:tc>
        <w:tc>
          <w:tcPr>
            <w:tcW w:type="dxa" w:w="2769"/>
          </w:tcPr>
          <w:p>
            <w:pPr>
              <w:pStyle w:val="null3"/>
            </w:pPr>
            <w:r>
              <w:rPr/>
              <w:t>提供软件补丁更新和技术支持（包括电话支持和在线支持）。</w:t>
            </w:r>
          </w:p>
        </w:tc>
      </w:tr>
    </w:tbl>
    <w:p>
      <w:pPr>
        <w:pStyle w:val="null3"/>
      </w:pPr>
      <w:r>
        <w:rPr/>
        <w:t>标的名称：办公软件许可授权服务2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授权方式：涵盖学校办公室、教室、实验室和图书馆等场所的计算机，包括教职工电脑和笔记本。</w:t>
            </w:r>
          </w:p>
        </w:tc>
      </w:tr>
      <w:tr>
        <w:tc>
          <w:tcPr>
            <w:tcW w:type="dxa" w:w="2769"/>
          </w:tcPr>
          <w:p/>
        </w:tc>
        <w:tc>
          <w:tcPr>
            <w:tcW w:type="dxa" w:w="2769"/>
          </w:tcPr>
          <w:p>
            <w:pPr>
              <w:pStyle w:val="null3"/>
            </w:pPr>
            <w:r>
              <w:rPr/>
              <w:t>2</w:t>
            </w:r>
          </w:p>
        </w:tc>
        <w:tc>
          <w:tcPr>
            <w:tcW w:type="dxa" w:w="2769"/>
          </w:tcPr>
          <w:p>
            <w:pPr>
              <w:pStyle w:val="null3"/>
            </w:pPr>
            <w:r>
              <w:rPr/>
              <w:t>FTE数不低于400点。</w:t>
            </w:r>
          </w:p>
        </w:tc>
      </w:tr>
      <w:tr>
        <w:tc>
          <w:tcPr>
            <w:tcW w:type="dxa" w:w="2769"/>
          </w:tcPr>
          <w:p/>
        </w:tc>
        <w:tc>
          <w:tcPr>
            <w:tcW w:type="dxa" w:w="2769"/>
          </w:tcPr>
          <w:p>
            <w:pPr>
              <w:pStyle w:val="null3"/>
            </w:pPr>
            <w:r>
              <w:rPr/>
              <w:t>3</w:t>
            </w:r>
          </w:p>
        </w:tc>
        <w:tc>
          <w:tcPr>
            <w:tcW w:type="dxa" w:w="2769"/>
          </w:tcPr>
          <w:p>
            <w:pPr>
              <w:pStyle w:val="null3"/>
            </w:pPr>
            <w:r>
              <w:rPr/>
              <w:t>合约有效期内，软件如有升级版本，授权对升级版本同样有效，新增计算机不再加收任何费用。</w:t>
            </w:r>
          </w:p>
        </w:tc>
      </w:tr>
      <w:tr>
        <w:tc>
          <w:tcPr>
            <w:tcW w:type="dxa" w:w="2769"/>
          </w:tcPr>
          <w:p/>
        </w:tc>
        <w:tc>
          <w:tcPr>
            <w:tcW w:type="dxa" w:w="2769"/>
          </w:tcPr>
          <w:p>
            <w:pPr>
              <w:pStyle w:val="null3"/>
            </w:pPr>
            <w:r>
              <w:rPr/>
              <w:t>4</w:t>
            </w:r>
          </w:p>
        </w:tc>
        <w:tc>
          <w:tcPr>
            <w:tcW w:type="dxa" w:w="2769"/>
          </w:tcPr>
          <w:p>
            <w:pPr>
              <w:pStyle w:val="null3"/>
            </w:pPr>
            <w:r>
              <w:rPr/>
              <w:t>授权产品：要求提供厂家还在运维服务的所有桌面办公软件系列，包括专业版及专业增强版。包括上述软件的当前版本、升级版本和降级版本。合约有效期内，软件如有升级版本，授权对升级版本同样有效。具有以上版本软件的所有功能。</w:t>
            </w:r>
          </w:p>
        </w:tc>
      </w:tr>
      <w:tr>
        <w:tc>
          <w:tcPr>
            <w:tcW w:type="dxa" w:w="2769"/>
          </w:tcPr>
          <w:p/>
        </w:tc>
        <w:tc>
          <w:tcPr>
            <w:tcW w:type="dxa" w:w="2769"/>
          </w:tcPr>
          <w:p>
            <w:pPr>
              <w:pStyle w:val="null3"/>
            </w:pPr>
            <w:r>
              <w:rPr/>
              <w:t>5</w:t>
            </w:r>
          </w:p>
        </w:tc>
        <w:tc>
          <w:tcPr>
            <w:tcW w:type="dxa" w:w="2769"/>
          </w:tcPr>
          <w:p>
            <w:pPr>
              <w:pStyle w:val="null3"/>
            </w:pPr>
            <w:r>
              <w:rPr/>
              <w:t>产品包含文字处理软件：Word；电子表格软件：Excel；PPT演示软件：PowerPoint；电子邮件访问软件：Outlook；电子笔记本软件：OneNote；关系型数据库软件Access；桌面出版应用软件：Publisher。</w:t>
            </w:r>
          </w:p>
        </w:tc>
      </w:tr>
      <w:tr>
        <w:tc>
          <w:tcPr>
            <w:tcW w:type="dxa" w:w="2769"/>
          </w:tcPr>
          <w:p/>
        </w:tc>
        <w:tc>
          <w:tcPr>
            <w:tcW w:type="dxa" w:w="2769"/>
          </w:tcPr>
          <w:p>
            <w:pPr>
              <w:pStyle w:val="null3"/>
            </w:pPr>
            <w:r>
              <w:rPr/>
              <w:t>6</w:t>
            </w:r>
          </w:p>
        </w:tc>
        <w:tc>
          <w:tcPr>
            <w:tcW w:type="dxa" w:w="2769"/>
          </w:tcPr>
          <w:p>
            <w:pPr>
              <w:pStyle w:val="null3"/>
            </w:pPr>
            <w:r>
              <w:rPr/>
              <w:t>提供以结果为导向的用户界面，让操作更为流畅、简洁。1）“上下文选项卡”可智能感知用户操作，并将所需命令全盘奉上；2）智能标记等可以出现在所有应用程序中，快速帮助用户完成所需的工作；3）必须提供智能文档（SmartDoc）的操作，使文档的制作更加智能化；4）必须提供智能图形（SmartArt）的制作，使信息以更加直观、生动的方式展现出来；5）应用程序组件之间可以相互沟通，最大限度地实现数据再利用。</w:t>
            </w:r>
          </w:p>
        </w:tc>
      </w:tr>
      <w:tr>
        <w:tc>
          <w:tcPr>
            <w:tcW w:type="dxa" w:w="2769"/>
          </w:tcPr>
          <w:p/>
        </w:tc>
        <w:tc>
          <w:tcPr>
            <w:tcW w:type="dxa" w:w="2769"/>
          </w:tcPr>
          <w:p>
            <w:pPr>
              <w:pStyle w:val="null3"/>
            </w:pPr>
            <w:r>
              <w:rPr/>
              <w:t>7</w:t>
            </w:r>
          </w:p>
        </w:tc>
        <w:tc>
          <w:tcPr>
            <w:tcW w:type="dxa" w:w="2769"/>
          </w:tcPr>
          <w:p>
            <w:pPr>
              <w:pStyle w:val="null3"/>
            </w:pPr>
            <w:r>
              <w:rPr/>
              <w:t>必须包含12类不同应用领域的300多个函数。</w:t>
            </w:r>
          </w:p>
        </w:tc>
      </w:tr>
      <w:tr>
        <w:tc>
          <w:tcPr>
            <w:tcW w:type="dxa" w:w="2769"/>
          </w:tcPr>
          <w:p/>
        </w:tc>
        <w:tc>
          <w:tcPr>
            <w:tcW w:type="dxa" w:w="2769"/>
          </w:tcPr>
          <w:p>
            <w:pPr>
              <w:pStyle w:val="null3"/>
            </w:pPr>
            <w:r>
              <w:rPr/>
              <w:t>8</w:t>
            </w:r>
          </w:p>
        </w:tc>
        <w:tc>
          <w:tcPr>
            <w:tcW w:type="dxa" w:w="2769"/>
          </w:tcPr>
          <w:p>
            <w:pPr>
              <w:pStyle w:val="null3"/>
            </w:pPr>
            <w:r>
              <w:rPr/>
              <w:t>必须提供强大的数据分析和处理能力，包括筛选数据、分类汇总、规划求解、最优化方案统计。</w:t>
            </w:r>
          </w:p>
        </w:tc>
      </w:tr>
      <w:tr>
        <w:tc>
          <w:tcPr>
            <w:tcW w:type="dxa" w:w="2769"/>
          </w:tcPr>
          <w:p/>
        </w:tc>
        <w:tc>
          <w:tcPr>
            <w:tcW w:type="dxa" w:w="2769"/>
          </w:tcPr>
          <w:p>
            <w:pPr>
              <w:pStyle w:val="null3"/>
            </w:pPr>
            <w:r>
              <w:rPr/>
              <w:t>9</w:t>
            </w:r>
          </w:p>
        </w:tc>
        <w:tc>
          <w:tcPr>
            <w:tcW w:type="dxa" w:w="2769"/>
          </w:tcPr>
          <w:p>
            <w:pPr>
              <w:pStyle w:val="null3"/>
            </w:pPr>
            <w:r>
              <w:rPr/>
              <w:t>必须提供专业化的数据分析工具库，如回归分析。</w:t>
            </w:r>
          </w:p>
        </w:tc>
      </w:tr>
      <w:tr>
        <w:tc>
          <w:tcPr>
            <w:tcW w:type="dxa" w:w="2769"/>
          </w:tcPr>
          <w:p/>
        </w:tc>
        <w:tc>
          <w:tcPr>
            <w:tcW w:type="dxa" w:w="2769"/>
          </w:tcPr>
          <w:p>
            <w:pPr>
              <w:pStyle w:val="null3"/>
            </w:pPr>
            <w:r>
              <w:rPr/>
              <w:t>10</w:t>
            </w:r>
          </w:p>
        </w:tc>
        <w:tc>
          <w:tcPr>
            <w:tcW w:type="dxa" w:w="2769"/>
          </w:tcPr>
          <w:p>
            <w:pPr>
              <w:pStyle w:val="null3"/>
            </w:pPr>
            <w:r>
              <w:rPr/>
              <w:t>必须提供数据透视分析功能和切片器功能。</w:t>
            </w:r>
          </w:p>
        </w:tc>
      </w:tr>
      <w:tr>
        <w:tc>
          <w:tcPr>
            <w:tcW w:type="dxa" w:w="2769"/>
          </w:tcPr>
          <w:p/>
        </w:tc>
        <w:tc>
          <w:tcPr>
            <w:tcW w:type="dxa" w:w="2769"/>
          </w:tcPr>
          <w:p>
            <w:pPr>
              <w:pStyle w:val="null3"/>
            </w:pPr>
            <w:r>
              <w:rPr/>
              <w:t>11</w:t>
            </w:r>
          </w:p>
        </w:tc>
        <w:tc>
          <w:tcPr>
            <w:tcW w:type="dxa" w:w="2769"/>
          </w:tcPr>
          <w:p>
            <w:pPr>
              <w:pStyle w:val="null3"/>
            </w:pPr>
            <w:r>
              <w:rPr/>
              <w:t>必须提供数据分析的迷你图设计。</w:t>
            </w:r>
          </w:p>
        </w:tc>
      </w:tr>
      <w:tr>
        <w:tc>
          <w:tcPr>
            <w:tcW w:type="dxa" w:w="2769"/>
          </w:tcPr>
          <w:p/>
        </w:tc>
        <w:tc>
          <w:tcPr>
            <w:tcW w:type="dxa" w:w="2769"/>
          </w:tcPr>
          <w:p>
            <w:pPr>
              <w:pStyle w:val="null3"/>
            </w:pPr>
            <w:r>
              <w:rPr/>
              <w:t>12</w:t>
            </w:r>
          </w:p>
        </w:tc>
        <w:tc>
          <w:tcPr>
            <w:tcW w:type="dxa" w:w="2769"/>
          </w:tcPr>
          <w:p>
            <w:pPr>
              <w:pStyle w:val="null3"/>
            </w:pPr>
            <w:r>
              <w:rPr/>
              <w:t>提供增强的条件格式功能让数据展现更为精彩。</w:t>
            </w:r>
          </w:p>
        </w:tc>
      </w:tr>
      <w:tr>
        <w:tc>
          <w:tcPr>
            <w:tcW w:type="dxa" w:w="2769"/>
          </w:tcPr>
          <w:p/>
        </w:tc>
        <w:tc>
          <w:tcPr>
            <w:tcW w:type="dxa" w:w="2769"/>
          </w:tcPr>
          <w:p>
            <w:pPr>
              <w:pStyle w:val="null3"/>
            </w:pPr>
            <w:r>
              <w:rPr/>
              <w:t>13</w:t>
            </w:r>
          </w:p>
        </w:tc>
        <w:tc>
          <w:tcPr>
            <w:tcW w:type="dxa" w:w="2769"/>
          </w:tcPr>
          <w:p>
            <w:pPr>
              <w:pStyle w:val="null3"/>
            </w:pPr>
            <w:r>
              <w:rPr/>
              <w:t>提供电子邮件组件，方便地管理电子邮件、联系人信息、任务、个人日程安排、小组工作计划、日志等。</w:t>
            </w:r>
          </w:p>
        </w:tc>
      </w:tr>
      <w:tr>
        <w:tc>
          <w:tcPr>
            <w:tcW w:type="dxa" w:w="2769"/>
          </w:tcPr>
          <w:p/>
        </w:tc>
        <w:tc>
          <w:tcPr>
            <w:tcW w:type="dxa" w:w="2769"/>
          </w:tcPr>
          <w:p>
            <w:pPr>
              <w:pStyle w:val="null3"/>
            </w:pPr>
            <w:r>
              <w:rPr/>
              <w:t>14</w:t>
            </w:r>
          </w:p>
        </w:tc>
        <w:tc>
          <w:tcPr>
            <w:tcW w:type="dxa" w:w="2769"/>
          </w:tcPr>
          <w:p>
            <w:pPr>
              <w:pStyle w:val="null3"/>
            </w:pPr>
            <w:r>
              <w:rPr/>
              <w:t>提供面向工作成果的用户界面，可使用户从收集预定义样式、表格格式、列表格式、图形效果等内容的库中进行挑选。</w:t>
            </w:r>
          </w:p>
        </w:tc>
      </w:tr>
      <w:tr>
        <w:tc>
          <w:tcPr>
            <w:tcW w:type="dxa" w:w="2769"/>
          </w:tcPr>
          <w:p/>
        </w:tc>
        <w:tc>
          <w:tcPr>
            <w:tcW w:type="dxa" w:w="2769"/>
          </w:tcPr>
          <w:p>
            <w:pPr>
              <w:pStyle w:val="null3"/>
            </w:pPr>
            <w:r>
              <w:rPr/>
              <w:t>15</w:t>
            </w:r>
          </w:p>
        </w:tc>
        <w:tc>
          <w:tcPr>
            <w:tcW w:type="dxa" w:w="2769"/>
          </w:tcPr>
          <w:p>
            <w:pPr>
              <w:pStyle w:val="null3"/>
            </w:pPr>
            <w:r>
              <w:rPr/>
              <w:t>能够将网上的模板嵌入各种应用程序中，使用户可以在新建文档时，快速创建并使用。</w:t>
            </w:r>
          </w:p>
        </w:tc>
      </w:tr>
      <w:tr>
        <w:tc>
          <w:tcPr>
            <w:tcW w:type="dxa" w:w="2769"/>
          </w:tcPr>
          <w:p/>
        </w:tc>
        <w:tc>
          <w:tcPr>
            <w:tcW w:type="dxa" w:w="2769"/>
          </w:tcPr>
          <w:p>
            <w:pPr>
              <w:pStyle w:val="null3"/>
            </w:pPr>
            <w:r>
              <w:rPr/>
              <w:t>16</w:t>
            </w:r>
          </w:p>
        </w:tc>
        <w:tc>
          <w:tcPr>
            <w:tcW w:type="dxa" w:w="2769"/>
          </w:tcPr>
          <w:p>
            <w:pPr>
              <w:pStyle w:val="null3"/>
            </w:pPr>
            <w:r>
              <w:rPr/>
              <w:t>采用基于Open XML的文件格式，可提高文件的安全性，减少文件损坏的几率。</w:t>
            </w:r>
          </w:p>
        </w:tc>
      </w:tr>
      <w:tr>
        <w:tc>
          <w:tcPr>
            <w:tcW w:type="dxa" w:w="2769"/>
          </w:tcPr>
          <w:p/>
        </w:tc>
        <w:tc>
          <w:tcPr>
            <w:tcW w:type="dxa" w:w="2769"/>
          </w:tcPr>
          <w:p>
            <w:pPr>
              <w:pStyle w:val="null3"/>
            </w:pPr>
            <w:r>
              <w:rPr/>
              <w:t>17</w:t>
            </w:r>
          </w:p>
        </w:tc>
        <w:tc>
          <w:tcPr>
            <w:tcW w:type="dxa" w:w="2769"/>
          </w:tcPr>
          <w:p>
            <w:pPr>
              <w:pStyle w:val="null3"/>
            </w:pPr>
            <w:r>
              <w:rPr/>
              <w:t>提供文档检查器，可自动删除文档中的个人标识性信息，有效保护私人信息。</w:t>
            </w:r>
          </w:p>
        </w:tc>
      </w:tr>
      <w:tr>
        <w:tc>
          <w:tcPr>
            <w:tcW w:type="dxa" w:w="2769"/>
          </w:tcPr>
          <w:p/>
        </w:tc>
        <w:tc>
          <w:tcPr>
            <w:tcW w:type="dxa" w:w="2769"/>
          </w:tcPr>
          <w:p>
            <w:pPr>
              <w:pStyle w:val="null3"/>
            </w:pPr>
            <w:r>
              <w:rPr/>
              <w:t>18</w:t>
            </w:r>
          </w:p>
        </w:tc>
        <w:tc>
          <w:tcPr>
            <w:tcW w:type="dxa" w:w="2769"/>
          </w:tcPr>
          <w:p>
            <w:pPr>
              <w:pStyle w:val="null3"/>
            </w:pPr>
            <w:r>
              <w:rPr/>
              <w:t>提供文字处理软件文档的分段保护功能，使得不同用户对文档的不同部分拥有不同的编辑权限。</w:t>
            </w:r>
          </w:p>
        </w:tc>
      </w:tr>
      <w:tr>
        <w:tc>
          <w:tcPr>
            <w:tcW w:type="dxa" w:w="2769"/>
          </w:tcPr>
          <w:p/>
        </w:tc>
        <w:tc>
          <w:tcPr>
            <w:tcW w:type="dxa" w:w="2769"/>
          </w:tcPr>
          <w:p>
            <w:pPr>
              <w:pStyle w:val="null3"/>
            </w:pPr>
            <w:r>
              <w:rPr/>
              <w:t>19</w:t>
            </w:r>
          </w:p>
        </w:tc>
        <w:tc>
          <w:tcPr>
            <w:tcW w:type="dxa" w:w="2769"/>
          </w:tcPr>
          <w:p>
            <w:pPr>
              <w:pStyle w:val="null3"/>
            </w:pPr>
            <w:r>
              <w:rPr/>
              <w:t>提供严格的文档密保机制，提高机密文档和信息的安全性。提供共同创作功能，允许多人在同一时刻，利用多个办公软件应用程序，对同一服务器文档的不同章节进行编辑，并可同步更新。</w:t>
            </w:r>
          </w:p>
        </w:tc>
      </w:tr>
      <w:tr>
        <w:tc>
          <w:tcPr>
            <w:tcW w:type="dxa" w:w="2769"/>
          </w:tcPr>
          <w:p/>
        </w:tc>
        <w:tc>
          <w:tcPr>
            <w:tcW w:type="dxa" w:w="2769"/>
          </w:tcPr>
          <w:p>
            <w:pPr>
              <w:pStyle w:val="null3"/>
            </w:pPr>
            <w:r>
              <w:rPr/>
              <w:t>20</w:t>
            </w:r>
          </w:p>
        </w:tc>
        <w:tc>
          <w:tcPr>
            <w:tcW w:type="dxa" w:w="2769"/>
          </w:tcPr>
          <w:p>
            <w:pPr>
              <w:pStyle w:val="null3"/>
            </w:pPr>
            <w:r>
              <w:rPr/>
              <w:t>提供丰富的扩展和开发能力。</w:t>
            </w:r>
          </w:p>
        </w:tc>
      </w:tr>
      <w:tr>
        <w:tc>
          <w:tcPr>
            <w:tcW w:type="dxa" w:w="2769"/>
          </w:tcPr>
          <w:p/>
        </w:tc>
        <w:tc>
          <w:tcPr>
            <w:tcW w:type="dxa" w:w="2769"/>
          </w:tcPr>
          <w:p>
            <w:pPr>
              <w:pStyle w:val="null3"/>
            </w:pPr>
            <w:r>
              <w:rPr/>
              <w:t>21</w:t>
            </w:r>
          </w:p>
        </w:tc>
        <w:tc>
          <w:tcPr>
            <w:tcW w:type="dxa" w:w="2769"/>
          </w:tcPr>
          <w:p>
            <w:pPr>
              <w:pStyle w:val="null3"/>
            </w:pPr>
            <w:r>
              <w:rPr/>
              <w:t>可以通过VBA技术、XML技术、VS.net开发定制。</w:t>
            </w:r>
          </w:p>
        </w:tc>
      </w:tr>
      <w:tr>
        <w:tc>
          <w:tcPr>
            <w:tcW w:type="dxa" w:w="2769"/>
          </w:tcPr>
          <w:p/>
        </w:tc>
        <w:tc>
          <w:tcPr>
            <w:tcW w:type="dxa" w:w="2769"/>
          </w:tcPr>
          <w:p>
            <w:pPr>
              <w:pStyle w:val="null3"/>
            </w:pPr>
            <w:r>
              <w:rPr/>
              <w:t>22</w:t>
            </w:r>
          </w:p>
        </w:tc>
        <w:tc>
          <w:tcPr>
            <w:tcW w:type="dxa" w:w="2769"/>
          </w:tcPr>
          <w:p>
            <w:pPr>
              <w:pStyle w:val="null3"/>
            </w:pPr>
            <w:r>
              <w:rPr/>
              <w:t>提供跨越手机、电脑、浏览器的使用。</w:t>
            </w:r>
          </w:p>
        </w:tc>
      </w:tr>
    </w:tbl>
    <w:p>
      <w:pPr>
        <w:pStyle w:val="null3"/>
      </w:pPr>
      <w:r>
        <w:rPr/>
        <w:t>标的名称：办公软件许可授权服务2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授权方式：办公软件年场地授权，满足我校教职工、在校学生及固定资产设备合法使用。(提供证明文件)。</w:t>
            </w:r>
          </w:p>
        </w:tc>
      </w:tr>
      <w:tr>
        <w:tc>
          <w:tcPr>
            <w:tcW w:type="dxa" w:w="2769"/>
          </w:tcPr>
          <w:p/>
        </w:tc>
        <w:tc>
          <w:tcPr>
            <w:tcW w:type="dxa" w:w="2769"/>
          </w:tcPr>
          <w:p>
            <w:pPr>
              <w:pStyle w:val="null3"/>
            </w:pPr>
            <w:r>
              <w:rPr/>
              <w:t>2</w:t>
            </w:r>
          </w:p>
        </w:tc>
        <w:tc>
          <w:tcPr>
            <w:tcW w:type="dxa" w:w="2769"/>
          </w:tcPr>
          <w:p>
            <w:pPr>
              <w:pStyle w:val="null3"/>
            </w:pPr>
            <w:r>
              <w:rPr/>
              <w:t>提供不少于1200个企业云服务成员账号，授权方式：用户订阅许可。每用户100G云存储空间，企业空间总空间100G*用户数，支持企业空间自定义分配。</w:t>
            </w:r>
          </w:p>
        </w:tc>
      </w:tr>
      <w:tr>
        <w:tc>
          <w:tcPr>
            <w:tcW w:type="dxa" w:w="2769"/>
          </w:tcPr>
          <w:p/>
        </w:tc>
        <w:tc>
          <w:tcPr>
            <w:tcW w:type="dxa" w:w="2769"/>
          </w:tcPr>
          <w:p>
            <w:pPr>
              <w:pStyle w:val="null3"/>
            </w:pPr>
            <w:r>
              <w:rPr/>
              <w:t>3</w:t>
            </w:r>
          </w:p>
        </w:tc>
        <w:tc>
          <w:tcPr>
            <w:tcW w:type="dxa" w:w="2769"/>
          </w:tcPr>
          <w:p>
            <w:pPr>
              <w:pStyle w:val="null3"/>
            </w:pPr>
            <w:r>
              <w:rPr/>
              <w:t>授权产品：要求提供厂家还在运维服务的教育版和教育应用版办公软件系列。包括上述软件的当前版本、升级版本和降级版本。具有以上版本软件的所有功能。合约有效期内，软件如有升级版本，授权对升级版本同样有效，合约有效期间，新增计算机不再加收任何费用，云账号使用数量超过1200个，厂家申请增加账号数量，不收取任何费用。</w:t>
            </w:r>
          </w:p>
        </w:tc>
      </w:tr>
      <w:tr>
        <w:tc>
          <w:tcPr>
            <w:tcW w:type="dxa" w:w="2769"/>
          </w:tcPr>
          <w:p/>
        </w:tc>
        <w:tc>
          <w:tcPr>
            <w:tcW w:type="dxa" w:w="2769"/>
          </w:tcPr>
          <w:p>
            <w:pPr>
              <w:pStyle w:val="null3"/>
            </w:pPr>
            <w:r>
              <w:rPr/>
              <w:t>4</w:t>
            </w:r>
          </w:p>
        </w:tc>
        <w:tc>
          <w:tcPr>
            <w:tcW w:type="dxa" w:w="2769"/>
          </w:tcPr>
          <w:p>
            <w:pPr>
              <w:pStyle w:val="null3"/>
            </w:pPr>
            <w:r>
              <w:rPr/>
              <w:t>投标产品提供运行在操作系统上运行的办公软件产品，包含文字处理、表格计算、幻灯片演示三个组件。</w:t>
            </w:r>
          </w:p>
        </w:tc>
      </w:tr>
      <w:tr>
        <w:tc>
          <w:tcPr>
            <w:tcW w:type="dxa" w:w="2769"/>
          </w:tcPr>
          <w:p/>
        </w:tc>
        <w:tc>
          <w:tcPr>
            <w:tcW w:type="dxa" w:w="2769"/>
          </w:tcPr>
          <w:p>
            <w:pPr>
              <w:pStyle w:val="null3"/>
            </w:pPr>
            <w:r>
              <w:rPr/>
              <w:t>5</w:t>
            </w:r>
          </w:p>
        </w:tc>
        <w:tc>
          <w:tcPr>
            <w:tcW w:type="dxa" w:w="2769"/>
          </w:tcPr>
          <w:p>
            <w:pPr>
              <w:pStyle w:val="null3"/>
            </w:pPr>
            <w:r>
              <w:rPr/>
              <w:t>投标产品支持窗口多组件/整合模式，支持进行单窗口多标签的拆分与组合，在多窗口模式下支持在系统任务栏显示多主窗口，可以通过ALT+TAB快捷键来回切换查看多个文档。</w:t>
            </w:r>
          </w:p>
        </w:tc>
      </w:tr>
      <w:tr>
        <w:tc>
          <w:tcPr>
            <w:tcW w:type="dxa" w:w="2769"/>
          </w:tcPr>
          <w:p/>
        </w:tc>
        <w:tc>
          <w:tcPr>
            <w:tcW w:type="dxa" w:w="2769"/>
          </w:tcPr>
          <w:p>
            <w:pPr>
              <w:pStyle w:val="null3"/>
            </w:pPr>
            <w:r>
              <w:rPr/>
              <w:t>6</w:t>
            </w:r>
          </w:p>
        </w:tc>
        <w:tc>
          <w:tcPr>
            <w:tcW w:type="dxa" w:w="2769"/>
          </w:tcPr>
          <w:p>
            <w:pPr>
              <w:pStyle w:val="null3"/>
            </w:pPr>
            <w:r>
              <w:rPr/>
              <w:t>投标产品支持灾难恢复功能，当突然发生如断电、死机等灾难性故障，系统重起后可通过备份管理功能找到灾难前的备份内容。</w:t>
            </w:r>
          </w:p>
        </w:tc>
      </w:tr>
      <w:tr>
        <w:tc>
          <w:tcPr>
            <w:tcW w:type="dxa" w:w="2769"/>
          </w:tcPr>
          <w:p/>
        </w:tc>
        <w:tc>
          <w:tcPr>
            <w:tcW w:type="dxa" w:w="2769"/>
          </w:tcPr>
          <w:p>
            <w:pPr>
              <w:pStyle w:val="null3"/>
            </w:pPr>
            <w:r>
              <w:rPr/>
              <w:t>7</w:t>
            </w:r>
          </w:p>
        </w:tc>
        <w:tc>
          <w:tcPr>
            <w:tcW w:type="dxa" w:w="2769"/>
          </w:tcPr>
          <w:p>
            <w:pPr>
              <w:pStyle w:val="null3"/>
            </w:pPr>
            <w:r>
              <w:rPr/>
              <w:t>投标产品支持PDF类型文件阅读，办公人员能投在办公软件中打开PDF文件。</w:t>
            </w:r>
          </w:p>
        </w:tc>
      </w:tr>
      <w:tr>
        <w:tc>
          <w:tcPr>
            <w:tcW w:type="dxa" w:w="2769"/>
          </w:tcPr>
          <w:p/>
        </w:tc>
        <w:tc>
          <w:tcPr>
            <w:tcW w:type="dxa" w:w="2769"/>
          </w:tcPr>
          <w:p>
            <w:pPr>
              <w:pStyle w:val="null3"/>
            </w:pPr>
            <w:r>
              <w:rPr/>
              <w:t>8</w:t>
            </w:r>
          </w:p>
        </w:tc>
        <w:tc>
          <w:tcPr>
            <w:tcW w:type="dxa" w:w="2769"/>
          </w:tcPr>
          <w:p>
            <w:pPr>
              <w:pStyle w:val="null3"/>
            </w:pPr>
            <w:r>
              <w:rPr/>
              <w:t>投标产品支持文字、表格、演示模块对图形图片设置颜色支持取色器功能，有效的进行颜色适配填充。</w:t>
            </w:r>
          </w:p>
        </w:tc>
      </w:tr>
      <w:tr>
        <w:tc>
          <w:tcPr>
            <w:tcW w:type="dxa" w:w="2769"/>
          </w:tcPr>
          <w:p/>
        </w:tc>
        <w:tc>
          <w:tcPr>
            <w:tcW w:type="dxa" w:w="2769"/>
          </w:tcPr>
          <w:p>
            <w:pPr>
              <w:pStyle w:val="null3"/>
            </w:pPr>
            <w:r>
              <w:rPr/>
              <w:t>9</w:t>
            </w:r>
          </w:p>
        </w:tc>
        <w:tc>
          <w:tcPr>
            <w:tcW w:type="dxa" w:w="2769"/>
          </w:tcPr>
          <w:p>
            <w:pPr>
              <w:pStyle w:val="null3"/>
            </w:pPr>
            <w:r>
              <w:rPr/>
              <w:t>文字模块智能目录导航，自动识别文档结构，实时调整文档目录；标题格式不用调整样式，也可智能自动生成目录。</w:t>
            </w:r>
          </w:p>
        </w:tc>
      </w:tr>
      <w:tr>
        <w:tc>
          <w:tcPr>
            <w:tcW w:type="dxa" w:w="2769"/>
          </w:tcPr>
          <w:p/>
        </w:tc>
        <w:tc>
          <w:tcPr>
            <w:tcW w:type="dxa" w:w="2769"/>
          </w:tcPr>
          <w:p>
            <w:pPr>
              <w:pStyle w:val="null3"/>
            </w:pPr>
            <w:r>
              <w:rPr/>
              <w:t>10</w:t>
            </w:r>
          </w:p>
        </w:tc>
        <w:tc>
          <w:tcPr>
            <w:tcW w:type="dxa" w:w="2769"/>
          </w:tcPr>
          <w:p>
            <w:pPr>
              <w:pStyle w:val="null3"/>
            </w:pPr>
            <w:r>
              <w:rPr/>
              <w:t>文字模块支持“翻译”功能，能支持多种语言（至少包括中文，英语，韩语，日语，法语）互相翻译转换，同时支持“划词翻译”功能。</w:t>
            </w:r>
          </w:p>
        </w:tc>
      </w:tr>
      <w:tr>
        <w:tc>
          <w:tcPr>
            <w:tcW w:type="dxa" w:w="2769"/>
          </w:tcPr>
          <w:p/>
        </w:tc>
        <w:tc>
          <w:tcPr>
            <w:tcW w:type="dxa" w:w="2769"/>
          </w:tcPr>
          <w:p>
            <w:pPr>
              <w:pStyle w:val="null3"/>
            </w:pPr>
            <w:r>
              <w:rPr/>
              <w:t>11</w:t>
            </w:r>
          </w:p>
        </w:tc>
        <w:tc>
          <w:tcPr>
            <w:tcW w:type="dxa" w:w="2769"/>
          </w:tcPr>
          <w:p>
            <w:pPr>
              <w:pStyle w:val="null3"/>
            </w:pPr>
            <w:r>
              <w:rPr/>
              <w:t>符合国家课证融通规划，软件入围国家计算机等级一、二级考试体系，同时入围教育部1+X职业技能认证考试体系。(提供证明文件)。</w:t>
            </w:r>
          </w:p>
        </w:tc>
      </w:tr>
      <w:tr>
        <w:tc>
          <w:tcPr>
            <w:tcW w:type="dxa" w:w="2769"/>
          </w:tcPr>
          <w:p/>
        </w:tc>
        <w:tc>
          <w:tcPr>
            <w:tcW w:type="dxa" w:w="2769"/>
          </w:tcPr>
          <w:p>
            <w:pPr>
              <w:pStyle w:val="null3"/>
            </w:pPr>
            <w:r>
              <w:rPr/>
              <w:t>12</w:t>
            </w:r>
          </w:p>
        </w:tc>
        <w:tc>
          <w:tcPr>
            <w:tcW w:type="dxa" w:w="2769"/>
          </w:tcPr>
          <w:p>
            <w:pPr>
              <w:pStyle w:val="null3"/>
            </w:pPr>
            <w:r>
              <w:rPr/>
              <w:t>支持在线文档应用：在内容创建过程中，支持@引用云文档、联系人、时间等信息，支持插入表格、电子表格、思维导图、流程图、分割线、超链接等素材，支持引入地图、视频、音乐平台链接地址，以富文本形式显示。</w:t>
            </w:r>
          </w:p>
        </w:tc>
      </w:tr>
      <w:tr>
        <w:tc>
          <w:tcPr>
            <w:tcW w:type="dxa" w:w="2769"/>
          </w:tcPr>
          <w:p/>
        </w:tc>
        <w:tc>
          <w:tcPr>
            <w:tcW w:type="dxa" w:w="2769"/>
          </w:tcPr>
          <w:p>
            <w:pPr>
              <w:pStyle w:val="null3"/>
            </w:pPr>
            <w:r>
              <w:rPr/>
              <w:t>13</w:t>
            </w:r>
          </w:p>
        </w:tc>
        <w:tc>
          <w:tcPr>
            <w:tcW w:type="dxa" w:w="2769"/>
          </w:tcPr>
          <w:p>
            <w:pPr>
              <w:pStyle w:val="null3"/>
            </w:pPr>
            <w:r>
              <w:rPr/>
              <w:t>云文档具备安全管控功能，支持团队文档水印，团队文档分享范围管控，文档流转安全管控（禁止分享到企业/团队外）。</w:t>
            </w:r>
          </w:p>
        </w:tc>
      </w:tr>
      <w:tr>
        <w:tc>
          <w:tcPr>
            <w:tcW w:type="dxa" w:w="2769"/>
          </w:tcPr>
          <w:p/>
        </w:tc>
        <w:tc>
          <w:tcPr>
            <w:tcW w:type="dxa" w:w="2769"/>
          </w:tcPr>
          <w:p>
            <w:pPr>
              <w:pStyle w:val="null3"/>
            </w:pPr>
            <w:r>
              <w:rPr/>
              <w:t>14</w:t>
            </w:r>
          </w:p>
        </w:tc>
        <w:tc>
          <w:tcPr>
            <w:tcW w:type="dxa" w:w="2769"/>
          </w:tcPr>
          <w:p>
            <w:pPr>
              <w:pStyle w:val="null3"/>
            </w:pPr>
            <w:r>
              <w:rPr/>
              <w:t>企业云服务支持企业通讯录可见性自定义设置，有效保障组织架构信息不被任意查看。</w:t>
            </w:r>
          </w:p>
        </w:tc>
      </w:tr>
      <w:tr>
        <w:tc>
          <w:tcPr>
            <w:tcW w:type="dxa" w:w="2769"/>
          </w:tcPr>
          <w:p/>
        </w:tc>
        <w:tc>
          <w:tcPr>
            <w:tcW w:type="dxa" w:w="2769"/>
          </w:tcPr>
          <w:p>
            <w:pPr>
              <w:pStyle w:val="null3"/>
            </w:pPr>
            <w:r>
              <w:rPr/>
              <w:t>15</w:t>
            </w:r>
          </w:p>
        </w:tc>
        <w:tc>
          <w:tcPr>
            <w:tcW w:type="dxa" w:w="2769"/>
          </w:tcPr>
          <w:p>
            <w:pPr>
              <w:pStyle w:val="null3"/>
            </w:pPr>
            <w:r>
              <w:rPr/>
              <w:t>提供文档安全管控能力，支持团队文档水印、团队文档分享范围管控、文档流转安全管控（禁止分享到学校/团队外）的能力；支持IP访问限制，可实现内网禁止个人账号登录，外网访问企业文档受权限限制，形成数据安全屏障。</w:t>
            </w:r>
          </w:p>
        </w:tc>
      </w:tr>
      <w:tr>
        <w:tc>
          <w:tcPr>
            <w:tcW w:type="dxa" w:w="2769"/>
          </w:tcPr>
          <w:p/>
        </w:tc>
        <w:tc>
          <w:tcPr>
            <w:tcW w:type="dxa" w:w="2769"/>
          </w:tcPr>
          <w:p>
            <w:pPr>
              <w:pStyle w:val="null3"/>
            </w:pPr>
            <w:r>
              <w:rPr/>
              <w:t>16</w:t>
            </w:r>
          </w:p>
        </w:tc>
        <w:tc>
          <w:tcPr>
            <w:tcW w:type="dxa" w:w="2769"/>
          </w:tcPr>
          <w:p>
            <w:pPr>
              <w:pStyle w:val="null3"/>
            </w:pPr>
            <w:r>
              <w:rPr/>
              <w:t>支持PDF版式文件格式互转功能，可与Word、Excel、PPT格式文档相互转换。（需提供有效证明文件或者截图进行证明）。支持PDF编辑、压缩、拆分、合并、水印的能力。</w:t>
            </w:r>
          </w:p>
        </w:tc>
      </w:tr>
      <w:tr>
        <w:tc>
          <w:tcPr>
            <w:tcW w:type="dxa" w:w="2769"/>
          </w:tcPr>
          <w:p/>
        </w:tc>
        <w:tc>
          <w:tcPr>
            <w:tcW w:type="dxa" w:w="2769"/>
          </w:tcPr>
          <w:p>
            <w:pPr>
              <w:pStyle w:val="null3"/>
            </w:pPr>
            <w:r>
              <w:rPr/>
              <w:t>17</w:t>
            </w:r>
          </w:p>
        </w:tc>
        <w:tc>
          <w:tcPr>
            <w:tcW w:type="dxa" w:w="2769"/>
          </w:tcPr>
          <w:p>
            <w:pPr>
              <w:pStyle w:val="null3"/>
            </w:pPr>
            <w:r>
              <w:rPr/>
              <w:t>支持实时通讯能力，支持一对一单聊会话和创建群聊会话；会话支持设置消息免打扰、聊天列表置顶等功能（需提供有效证明文件或者截图进行证明）。</w:t>
            </w:r>
          </w:p>
        </w:tc>
      </w:tr>
      <w:tr>
        <w:tc>
          <w:tcPr>
            <w:tcW w:type="dxa" w:w="2769"/>
          </w:tcPr>
          <w:p/>
        </w:tc>
        <w:tc>
          <w:tcPr>
            <w:tcW w:type="dxa" w:w="2769"/>
          </w:tcPr>
          <w:p>
            <w:pPr>
              <w:pStyle w:val="null3"/>
            </w:pPr>
            <w:r>
              <w:rPr/>
              <w:t>18</w:t>
            </w:r>
          </w:p>
        </w:tc>
        <w:tc>
          <w:tcPr>
            <w:tcW w:type="dxa" w:w="2769"/>
          </w:tcPr>
          <w:p>
            <w:pPr>
              <w:pStyle w:val="null3"/>
            </w:pPr>
            <w:r>
              <w:rPr/>
              <w:t>提供可以共享协作的日历服务，可以将日历分享给其他人，其他人可以根据分享者配置的编辑、查看、仅查看忙闲权限，对于分享者的日历进行管理和查看。日程可以分享到聊天，选择参与人。</w:t>
            </w:r>
          </w:p>
        </w:tc>
      </w:tr>
      <w:tr>
        <w:tc>
          <w:tcPr>
            <w:tcW w:type="dxa" w:w="2769"/>
          </w:tcPr>
          <w:p/>
        </w:tc>
        <w:tc>
          <w:tcPr>
            <w:tcW w:type="dxa" w:w="2769"/>
          </w:tcPr>
          <w:p>
            <w:pPr>
              <w:pStyle w:val="null3"/>
            </w:pPr>
            <w:r>
              <w:rPr/>
              <w:t>19</w:t>
            </w:r>
          </w:p>
        </w:tc>
        <w:tc>
          <w:tcPr>
            <w:tcW w:type="dxa" w:w="2769"/>
          </w:tcPr>
          <w:p>
            <w:pPr>
              <w:pStyle w:val="null3"/>
            </w:pPr>
            <w:r>
              <w:rPr/>
              <w:t>支持会议功能，可基于文档发起会议功能，并邀请其他成员参与；支持单独创建会议，通过会议ID或者链接可进行在线会议，可提供云文档共享、屏幕共享多种内容共享方式（需提供有效证明文件或者截图进行证明）。</w:t>
            </w:r>
          </w:p>
        </w:tc>
      </w:tr>
    </w:tbl>
    <w:p>
      <w:pPr>
        <w:pStyle w:val="null3"/>
      </w:pPr>
      <w:r>
        <w:rPr/>
        <w:t>标的名称：操作系统许可授权服务2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国产桌面操作系统：50套。</w:t>
            </w:r>
          </w:p>
        </w:tc>
      </w:tr>
      <w:tr>
        <w:tc>
          <w:tcPr>
            <w:tcW w:type="dxa" w:w="2769"/>
          </w:tcPr>
          <w:p/>
        </w:tc>
        <w:tc>
          <w:tcPr>
            <w:tcW w:type="dxa" w:w="2769"/>
          </w:tcPr>
          <w:p>
            <w:pPr>
              <w:pStyle w:val="null3"/>
            </w:pPr>
            <w:r>
              <w:rPr/>
              <w:t>2</w:t>
            </w:r>
          </w:p>
        </w:tc>
        <w:tc>
          <w:tcPr>
            <w:tcW w:type="dxa" w:w="2769"/>
          </w:tcPr>
          <w:p>
            <w:pPr>
              <w:pStyle w:val="null3"/>
            </w:pPr>
            <w:r>
              <w:rPr/>
              <w:t>服务器操作系统及适配平台：1套。</w:t>
            </w:r>
          </w:p>
        </w:tc>
      </w:tr>
      <w:tr>
        <w:tc>
          <w:tcPr>
            <w:tcW w:type="dxa" w:w="2769"/>
          </w:tcPr>
          <w:p/>
        </w:tc>
        <w:tc>
          <w:tcPr>
            <w:tcW w:type="dxa" w:w="2769"/>
          </w:tcPr>
          <w:p>
            <w:pPr>
              <w:pStyle w:val="null3"/>
            </w:pPr>
            <w:r>
              <w:rPr/>
              <w:t>3</w:t>
            </w:r>
          </w:p>
        </w:tc>
        <w:tc>
          <w:tcPr>
            <w:tcW w:type="dxa" w:w="2769"/>
          </w:tcPr>
          <w:p>
            <w:pPr>
              <w:pStyle w:val="null3"/>
            </w:pPr>
            <w:r>
              <w:rPr/>
              <w:t>合约期限：永久。</w:t>
            </w:r>
          </w:p>
        </w:tc>
      </w:tr>
      <w:tr>
        <w:tc>
          <w:tcPr>
            <w:tcW w:type="dxa" w:w="2769"/>
          </w:tcPr>
          <w:p/>
        </w:tc>
        <w:tc>
          <w:tcPr>
            <w:tcW w:type="dxa" w:w="2769"/>
          </w:tcPr>
          <w:p>
            <w:pPr>
              <w:pStyle w:val="null3"/>
            </w:pPr>
            <w:r>
              <w:rPr/>
              <w:t>4</w:t>
            </w:r>
          </w:p>
        </w:tc>
        <w:tc>
          <w:tcPr>
            <w:tcW w:type="dxa" w:w="2769"/>
          </w:tcPr>
          <w:p>
            <w:pPr>
              <w:pStyle w:val="null3"/>
            </w:pPr>
            <w:r>
              <w:rPr/>
              <w:t>操作系统产品支持无人值守安装系统和系统配置，自动迁移原系统桌面文件，自动激活系统，需提供系统截屏证明。</w:t>
            </w:r>
          </w:p>
        </w:tc>
      </w:tr>
      <w:tr>
        <w:tc>
          <w:tcPr>
            <w:tcW w:type="dxa" w:w="2769"/>
          </w:tcPr>
          <w:p/>
        </w:tc>
        <w:tc>
          <w:tcPr>
            <w:tcW w:type="dxa" w:w="2769"/>
          </w:tcPr>
          <w:p>
            <w:pPr>
              <w:pStyle w:val="null3"/>
            </w:pPr>
            <w:r>
              <w:rPr/>
              <w:t>5</w:t>
            </w:r>
          </w:p>
        </w:tc>
        <w:tc>
          <w:tcPr>
            <w:tcW w:type="dxa" w:w="2769"/>
          </w:tcPr>
          <w:p>
            <w:pPr>
              <w:pStyle w:val="null3"/>
            </w:pPr>
            <w:r>
              <w:rPr/>
              <w:t>操作系统产品支持保障安全升级的自动主/备双根分区，在系统升级后支持还原到之前的状态，需提供系统截屏证明。</w:t>
            </w:r>
          </w:p>
        </w:tc>
      </w:tr>
      <w:tr>
        <w:tc>
          <w:tcPr>
            <w:tcW w:type="dxa" w:w="2769"/>
          </w:tcPr>
          <w:p/>
        </w:tc>
        <w:tc>
          <w:tcPr>
            <w:tcW w:type="dxa" w:w="2769"/>
          </w:tcPr>
          <w:p>
            <w:pPr>
              <w:pStyle w:val="null3"/>
            </w:pPr>
            <w:r>
              <w:rPr/>
              <w:t>6</w:t>
            </w:r>
          </w:p>
        </w:tc>
        <w:tc>
          <w:tcPr>
            <w:tcW w:type="dxa" w:w="2769"/>
          </w:tcPr>
          <w:p>
            <w:pPr>
              <w:pStyle w:val="null3"/>
            </w:pPr>
            <w:r>
              <w:rPr/>
              <w:t>操作系统产品支持无需安装、插入可移动存储介质即可使用操作系统，此时系统运行不占用本地磁盘，不影响原有系统，需提供系统截屏证明。</w:t>
            </w:r>
          </w:p>
        </w:tc>
      </w:tr>
      <w:tr>
        <w:tc>
          <w:tcPr>
            <w:tcW w:type="dxa" w:w="2769"/>
          </w:tcPr>
          <w:p/>
        </w:tc>
        <w:tc>
          <w:tcPr>
            <w:tcW w:type="dxa" w:w="2769"/>
          </w:tcPr>
          <w:p>
            <w:pPr>
              <w:pStyle w:val="null3"/>
            </w:pPr>
            <w:r>
              <w:rPr/>
              <w:t>7</w:t>
            </w:r>
          </w:p>
        </w:tc>
        <w:tc>
          <w:tcPr>
            <w:tcW w:type="dxa" w:w="2769"/>
          </w:tcPr>
          <w:p>
            <w:pPr>
              <w:pStyle w:val="null3"/>
            </w:pPr>
            <w:r>
              <w:rPr/>
              <w:t>为保障网页浏览体验和网页兼容性，操作系统产品需预装原厂浏览器而非第三方浏览器。操作系统与预装浏览器需由一个厂商提供。提供预装浏览器截图并提供浏览器软件著作登记证书。</w:t>
            </w:r>
          </w:p>
        </w:tc>
      </w:tr>
      <w:tr>
        <w:tc>
          <w:tcPr>
            <w:tcW w:type="dxa" w:w="2769"/>
          </w:tcPr>
          <w:p/>
        </w:tc>
        <w:tc>
          <w:tcPr>
            <w:tcW w:type="dxa" w:w="2769"/>
          </w:tcPr>
          <w:p>
            <w:pPr>
              <w:pStyle w:val="null3"/>
            </w:pPr>
            <w:r>
              <w:rPr/>
              <w:t>8</w:t>
            </w:r>
          </w:p>
        </w:tc>
        <w:tc>
          <w:tcPr>
            <w:tcW w:type="dxa" w:w="2769"/>
          </w:tcPr>
          <w:p>
            <w:pPr>
              <w:pStyle w:val="null3"/>
            </w:pPr>
            <w:r>
              <w:rPr/>
              <w:t>操作系统产品具有应用商店，应用商店可针对不同行业提供专属应用商店（如：教育行业），可提供系统截图证明。</w:t>
            </w:r>
          </w:p>
        </w:tc>
      </w:tr>
      <w:tr>
        <w:tc>
          <w:tcPr>
            <w:tcW w:type="dxa" w:w="2769"/>
          </w:tcPr>
          <w:p/>
        </w:tc>
        <w:tc>
          <w:tcPr>
            <w:tcW w:type="dxa" w:w="2769"/>
          </w:tcPr>
          <w:p>
            <w:pPr>
              <w:pStyle w:val="null3"/>
            </w:pPr>
            <w:r>
              <w:rPr/>
              <w:t>9</w:t>
            </w:r>
          </w:p>
        </w:tc>
        <w:tc>
          <w:tcPr>
            <w:tcW w:type="dxa" w:w="2769"/>
          </w:tcPr>
          <w:p>
            <w:pPr>
              <w:pStyle w:val="null3"/>
            </w:pPr>
            <w:r>
              <w:rPr/>
              <w:t>为保障系统不被恶意软件破坏，保障系统安全，操作系统产品需支持开发者模式，用以限制root、sudo权限和安装未签名的软件，需提供系统截屏证明。</w:t>
            </w:r>
          </w:p>
        </w:tc>
      </w:tr>
      <w:tr>
        <w:tc>
          <w:tcPr>
            <w:tcW w:type="dxa" w:w="2769"/>
          </w:tcPr>
          <w:p/>
        </w:tc>
        <w:tc>
          <w:tcPr>
            <w:tcW w:type="dxa" w:w="2769"/>
          </w:tcPr>
          <w:p>
            <w:pPr>
              <w:pStyle w:val="null3"/>
            </w:pPr>
            <w:r>
              <w:rPr/>
              <w:t>10</w:t>
            </w:r>
          </w:p>
        </w:tc>
        <w:tc>
          <w:tcPr>
            <w:tcW w:type="dxa" w:w="2769"/>
          </w:tcPr>
          <w:p>
            <w:pPr>
              <w:pStyle w:val="null3"/>
            </w:pPr>
            <w:r>
              <w:rPr/>
              <w:t>操作系统产品可以实现恢复出厂设置功能，可提供系统截屏证明。</w:t>
            </w:r>
          </w:p>
        </w:tc>
      </w:tr>
      <w:tr>
        <w:tc>
          <w:tcPr>
            <w:tcW w:type="dxa" w:w="2769"/>
          </w:tcPr>
          <w:p/>
        </w:tc>
        <w:tc>
          <w:tcPr>
            <w:tcW w:type="dxa" w:w="2769"/>
          </w:tcPr>
          <w:p>
            <w:pPr>
              <w:pStyle w:val="null3"/>
            </w:pPr>
            <w:r>
              <w:rPr/>
              <w:t>11</w:t>
            </w:r>
          </w:p>
        </w:tc>
        <w:tc>
          <w:tcPr>
            <w:tcW w:type="dxa" w:w="2769"/>
          </w:tcPr>
          <w:p>
            <w:pPr>
              <w:pStyle w:val="null3"/>
            </w:pPr>
            <w:r>
              <w:rPr/>
              <w:t>操作系统产品提供云同步功能，支持本机配置轻松同步到云端，可提供系统截屏证明。</w:t>
            </w:r>
          </w:p>
        </w:tc>
      </w:tr>
      <w:tr>
        <w:tc>
          <w:tcPr>
            <w:tcW w:type="dxa" w:w="2769"/>
          </w:tcPr>
          <w:p/>
        </w:tc>
        <w:tc>
          <w:tcPr>
            <w:tcW w:type="dxa" w:w="2769"/>
          </w:tcPr>
          <w:p>
            <w:pPr>
              <w:pStyle w:val="null3"/>
            </w:pPr>
            <w:r>
              <w:rPr/>
              <w:t>12</w:t>
            </w:r>
          </w:p>
        </w:tc>
        <w:tc>
          <w:tcPr>
            <w:tcW w:type="dxa" w:w="2769"/>
          </w:tcPr>
          <w:p>
            <w:pPr>
              <w:pStyle w:val="null3"/>
            </w:pPr>
            <w:r>
              <w:rPr/>
              <w:t>操作系统产品同源异构方式支持龙芯、鲲鹏、兆芯、海光、飞腾、申威等国产主流芯片处理器，并在不同硬件平台上提供版本一致的内核、系统服务、开发和运行环境。</w:t>
            </w:r>
          </w:p>
        </w:tc>
      </w:tr>
      <w:tr>
        <w:tc>
          <w:tcPr>
            <w:tcW w:type="dxa" w:w="2769"/>
          </w:tcPr>
          <w:p/>
        </w:tc>
        <w:tc>
          <w:tcPr>
            <w:tcW w:type="dxa" w:w="2769"/>
          </w:tcPr>
          <w:p>
            <w:pPr>
              <w:pStyle w:val="null3"/>
            </w:pPr>
            <w:r>
              <w:rPr/>
              <w:t>13</w:t>
            </w:r>
          </w:p>
        </w:tc>
        <w:tc>
          <w:tcPr>
            <w:tcW w:type="dxa" w:w="2769"/>
          </w:tcPr>
          <w:p>
            <w:pPr>
              <w:pStyle w:val="null3"/>
            </w:pPr>
            <w:r>
              <w:rPr/>
              <w:t>操作系统产品具备中文运行环境，系统内置中文输入法，符合GB18030-2005标准。支持全拼、双拼、五笔等多种主流输入方案。</w:t>
            </w:r>
          </w:p>
        </w:tc>
      </w:tr>
      <w:tr>
        <w:tc>
          <w:tcPr>
            <w:tcW w:type="dxa" w:w="2769"/>
          </w:tcPr>
          <w:p/>
        </w:tc>
        <w:tc>
          <w:tcPr>
            <w:tcW w:type="dxa" w:w="2769"/>
          </w:tcPr>
          <w:p>
            <w:pPr>
              <w:pStyle w:val="null3"/>
            </w:pPr>
            <w:r>
              <w:rPr/>
              <w:t>14</w:t>
            </w:r>
          </w:p>
        </w:tc>
        <w:tc>
          <w:tcPr>
            <w:tcW w:type="dxa" w:w="2769"/>
          </w:tcPr>
          <w:p>
            <w:pPr>
              <w:pStyle w:val="null3"/>
            </w:pPr>
            <w:r>
              <w:rPr/>
              <w:t>操作系统产品支持不同CPU架构平台提供自主研发的统一桌面环境，保障用户体验的一致性。</w:t>
            </w:r>
          </w:p>
        </w:tc>
      </w:tr>
      <w:tr>
        <w:tc>
          <w:tcPr>
            <w:tcW w:type="dxa" w:w="2769"/>
          </w:tcPr>
          <w:p/>
        </w:tc>
        <w:tc>
          <w:tcPr>
            <w:tcW w:type="dxa" w:w="2769"/>
          </w:tcPr>
          <w:p>
            <w:pPr>
              <w:pStyle w:val="null3"/>
            </w:pPr>
            <w:r>
              <w:rPr/>
              <w:t>15</w:t>
            </w:r>
          </w:p>
        </w:tc>
        <w:tc>
          <w:tcPr>
            <w:tcW w:type="dxa" w:w="2769"/>
          </w:tcPr>
          <w:p>
            <w:pPr>
              <w:pStyle w:val="null3"/>
            </w:pPr>
            <w:r>
              <w:rPr/>
              <w:t>操作系统产品支持多种桌面应用：QQ、微信、自研邮件客户端、画图工具、截图工具、图片查看器、音频播放器、视频播放器、文件管理器、压缩工具、刻录软件、应用商店等。</w:t>
            </w:r>
          </w:p>
        </w:tc>
      </w:tr>
      <w:tr>
        <w:tc>
          <w:tcPr>
            <w:tcW w:type="dxa" w:w="2769"/>
          </w:tcPr>
          <w:p/>
        </w:tc>
        <w:tc>
          <w:tcPr>
            <w:tcW w:type="dxa" w:w="2769"/>
          </w:tcPr>
          <w:p>
            <w:pPr>
              <w:pStyle w:val="null3"/>
            </w:pPr>
            <w:r>
              <w:rPr/>
              <w:t>16</w:t>
            </w:r>
          </w:p>
        </w:tc>
        <w:tc>
          <w:tcPr>
            <w:tcW w:type="dxa" w:w="2769"/>
          </w:tcPr>
          <w:p>
            <w:pPr>
              <w:pStyle w:val="null3"/>
            </w:pPr>
            <w:r>
              <w:rPr/>
              <w:t>操作系统产品支持360安全浏览器、奇安信可信浏览器、红莲花安全浏览器、火狐浏览器、QQ浏览器等。</w:t>
            </w:r>
          </w:p>
        </w:tc>
      </w:tr>
      <w:tr>
        <w:tc>
          <w:tcPr>
            <w:tcW w:type="dxa" w:w="2769"/>
          </w:tcPr>
          <w:p/>
        </w:tc>
        <w:tc>
          <w:tcPr>
            <w:tcW w:type="dxa" w:w="2769"/>
          </w:tcPr>
          <w:p>
            <w:pPr>
              <w:pStyle w:val="null3"/>
            </w:pPr>
            <w:r>
              <w:rPr/>
              <w:t>17</w:t>
            </w:r>
          </w:p>
        </w:tc>
        <w:tc>
          <w:tcPr>
            <w:tcW w:type="dxa" w:w="2769"/>
          </w:tcPr>
          <w:p>
            <w:pPr>
              <w:pStyle w:val="null3"/>
            </w:pPr>
            <w:r>
              <w:rPr/>
              <w:t>操作系统产品提供分区管理、文件系统管理、系统监视器、备份还原、安全中心、系统更新等系统工具。</w:t>
            </w:r>
          </w:p>
        </w:tc>
      </w:tr>
      <w:tr>
        <w:tc>
          <w:tcPr>
            <w:tcW w:type="dxa" w:w="2769"/>
          </w:tcPr>
          <w:p/>
        </w:tc>
        <w:tc>
          <w:tcPr>
            <w:tcW w:type="dxa" w:w="2769"/>
          </w:tcPr>
          <w:p>
            <w:pPr>
              <w:pStyle w:val="null3"/>
            </w:pPr>
            <w:r>
              <w:rPr/>
              <w:t>18</w:t>
            </w:r>
          </w:p>
        </w:tc>
        <w:tc>
          <w:tcPr>
            <w:tcW w:type="dxa" w:w="2769"/>
          </w:tcPr>
          <w:p>
            <w:pPr>
              <w:pStyle w:val="null3"/>
            </w:pPr>
            <w:r>
              <w:rPr/>
              <w:t>操作系统产品支持2K及以上高分屏应用，可提供系统截屏证明。</w:t>
            </w:r>
          </w:p>
        </w:tc>
      </w:tr>
      <w:tr>
        <w:tc>
          <w:tcPr>
            <w:tcW w:type="dxa" w:w="2769"/>
          </w:tcPr>
          <w:p/>
        </w:tc>
        <w:tc>
          <w:tcPr>
            <w:tcW w:type="dxa" w:w="2769"/>
          </w:tcPr>
          <w:p>
            <w:pPr>
              <w:pStyle w:val="null3"/>
            </w:pPr>
            <w:r>
              <w:rPr/>
              <w:t>19</w:t>
            </w:r>
          </w:p>
        </w:tc>
        <w:tc>
          <w:tcPr>
            <w:tcW w:type="dxa" w:w="2769"/>
          </w:tcPr>
          <w:p>
            <w:pPr>
              <w:pStyle w:val="null3"/>
            </w:pPr>
            <w:r>
              <w:rPr/>
              <w:t>操作系统产品提供智能语音助手功能，并支持语音和文字输入，提供系统截屏证明。</w:t>
            </w:r>
          </w:p>
        </w:tc>
      </w:tr>
      <w:tr>
        <w:tc>
          <w:tcPr>
            <w:tcW w:type="dxa" w:w="2769"/>
          </w:tcPr>
          <w:p/>
        </w:tc>
        <w:tc>
          <w:tcPr>
            <w:tcW w:type="dxa" w:w="2769"/>
          </w:tcPr>
          <w:p>
            <w:pPr>
              <w:pStyle w:val="null3"/>
            </w:pPr>
            <w:r>
              <w:rPr/>
              <w:t>20</w:t>
            </w:r>
          </w:p>
        </w:tc>
        <w:tc>
          <w:tcPr>
            <w:tcW w:type="dxa" w:w="2769"/>
          </w:tcPr>
          <w:p>
            <w:pPr>
              <w:pStyle w:val="null3"/>
            </w:pPr>
            <w:r>
              <w:rPr/>
              <w:t>操作系统产品支持跨端协同。自主开发跨端协同软件，支持安卓手机端和电脑文件高效传输、文件查看和管理。需提供系统截图证明。</w:t>
            </w:r>
          </w:p>
        </w:tc>
      </w:tr>
      <w:tr>
        <w:tc>
          <w:tcPr>
            <w:tcW w:type="dxa" w:w="2769"/>
          </w:tcPr>
          <w:p/>
        </w:tc>
        <w:tc>
          <w:tcPr>
            <w:tcW w:type="dxa" w:w="2769"/>
          </w:tcPr>
          <w:p>
            <w:pPr>
              <w:pStyle w:val="null3"/>
            </w:pPr>
            <w:r>
              <w:rPr/>
              <w:t>21</w:t>
            </w:r>
          </w:p>
        </w:tc>
        <w:tc>
          <w:tcPr>
            <w:tcW w:type="dxa" w:w="2769"/>
          </w:tcPr>
          <w:p>
            <w:pPr>
              <w:pStyle w:val="null3"/>
            </w:pPr>
            <w:r>
              <w:rPr/>
              <w:t>操作系统产品默认安装青少年上网保护插件，对低俗垃圾广告拦截、不良内容拦截、跨网站跟踪用户信息链接。需提供系统截图证明。</w:t>
            </w:r>
          </w:p>
        </w:tc>
      </w:tr>
      <w:tr>
        <w:tc>
          <w:tcPr>
            <w:tcW w:type="dxa" w:w="2769"/>
          </w:tcPr>
          <w:p/>
        </w:tc>
        <w:tc>
          <w:tcPr>
            <w:tcW w:type="dxa" w:w="2769"/>
          </w:tcPr>
          <w:p>
            <w:pPr>
              <w:pStyle w:val="null3"/>
            </w:pPr>
            <w:r>
              <w:rPr/>
              <w:t>22</w:t>
            </w:r>
          </w:p>
        </w:tc>
        <w:tc>
          <w:tcPr>
            <w:tcW w:type="dxa" w:w="2769"/>
          </w:tcPr>
          <w:p>
            <w:pPr>
              <w:pStyle w:val="null3"/>
            </w:pPr>
            <w:r>
              <w:rPr/>
              <w:t>适配国产CPU：支持AMD64、ARM64、Mips64、SW64、LoongArch CPU架构，支持飞腾、鲲鹏、海光、兆芯、龙芯、申威品牌CPU芯片，提供互认证证书。</w:t>
            </w:r>
          </w:p>
        </w:tc>
      </w:tr>
      <w:tr>
        <w:tc>
          <w:tcPr>
            <w:tcW w:type="dxa" w:w="2769"/>
          </w:tcPr>
          <w:p/>
        </w:tc>
        <w:tc>
          <w:tcPr>
            <w:tcW w:type="dxa" w:w="2769"/>
          </w:tcPr>
          <w:p>
            <w:pPr>
              <w:pStyle w:val="null3"/>
            </w:pPr>
            <w:r>
              <w:rPr/>
              <w:t>23</w:t>
            </w:r>
          </w:p>
        </w:tc>
        <w:tc>
          <w:tcPr>
            <w:tcW w:type="dxa" w:w="2769"/>
          </w:tcPr>
          <w:p>
            <w:pPr>
              <w:pStyle w:val="null3"/>
            </w:pPr>
            <w:r>
              <w:rPr/>
              <w:t>网关软件：系统支持同品牌自研API网关软件，提供有效证明材料。</w:t>
            </w:r>
          </w:p>
        </w:tc>
      </w:tr>
      <w:tr>
        <w:tc>
          <w:tcPr>
            <w:tcW w:type="dxa" w:w="2769"/>
          </w:tcPr>
          <w:p/>
        </w:tc>
        <w:tc>
          <w:tcPr>
            <w:tcW w:type="dxa" w:w="2769"/>
          </w:tcPr>
          <w:p>
            <w:pPr>
              <w:pStyle w:val="null3"/>
            </w:pPr>
            <w:r>
              <w:rPr/>
              <w:t>24</w:t>
            </w:r>
          </w:p>
        </w:tc>
        <w:tc>
          <w:tcPr>
            <w:tcW w:type="dxa" w:w="2769"/>
          </w:tcPr>
          <w:p>
            <w:pPr>
              <w:pStyle w:val="null3"/>
            </w:pPr>
            <w:r>
              <w:rPr/>
              <w:t>系统运维：系统支持自研的服务器运维管理工具，支持漏洞识别、漏洞批量下发、防火墙策略调整功能，提供有效证明材料。</w:t>
            </w:r>
          </w:p>
        </w:tc>
      </w:tr>
      <w:tr>
        <w:tc>
          <w:tcPr>
            <w:tcW w:type="dxa" w:w="2769"/>
          </w:tcPr>
          <w:p/>
        </w:tc>
        <w:tc>
          <w:tcPr>
            <w:tcW w:type="dxa" w:w="2769"/>
          </w:tcPr>
          <w:p>
            <w:pPr>
              <w:pStyle w:val="null3"/>
            </w:pPr>
            <w:r>
              <w:rPr/>
              <w:t>25</w:t>
            </w:r>
          </w:p>
        </w:tc>
        <w:tc>
          <w:tcPr>
            <w:tcW w:type="dxa" w:w="2769"/>
          </w:tcPr>
          <w:p>
            <w:pPr>
              <w:pStyle w:val="null3"/>
            </w:pPr>
            <w:r>
              <w:rPr/>
              <w:t>系统迁移：系统支持同品牌自研CentOS迁移工具，支持CentOS向同品牌服务器操作系统迁移，支持图形化操作。提供有效证明材料和第三方出具的软件产品测评报告。</w:t>
            </w:r>
          </w:p>
        </w:tc>
      </w:tr>
      <w:tr>
        <w:tc>
          <w:tcPr>
            <w:tcW w:type="dxa" w:w="2769"/>
          </w:tcPr>
          <w:p/>
        </w:tc>
        <w:tc>
          <w:tcPr>
            <w:tcW w:type="dxa" w:w="2769"/>
          </w:tcPr>
          <w:p>
            <w:pPr>
              <w:pStyle w:val="null3"/>
            </w:pPr>
            <w:r>
              <w:rPr/>
              <w:t>26</w:t>
            </w:r>
          </w:p>
        </w:tc>
        <w:tc>
          <w:tcPr>
            <w:tcW w:type="dxa" w:w="2769"/>
          </w:tcPr>
          <w:p>
            <w:pPr>
              <w:pStyle w:val="null3"/>
            </w:pPr>
            <w:r>
              <w:rPr/>
              <w:t>性能评估软件：系统支持同品牌国产Linux系统通用性能评分套件软件，提供有效证明材料。</w:t>
            </w:r>
          </w:p>
        </w:tc>
      </w:tr>
      <w:tr>
        <w:tc>
          <w:tcPr>
            <w:tcW w:type="dxa" w:w="2769"/>
          </w:tcPr>
          <w:p/>
        </w:tc>
        <w:tc>
          <w:tcPr>
            <w:tcW w:type="dxa" w:w="2769"/>
          </w:tcPr>
          <w:p>
            <w:pPr>
              <w:pStyle w:val="null3"/>
            </w:pPr>
            <w:r>
              <w:rPr/>
              <w:t>27</w:t>
            </w:r>
          </w:p>
        </w:tc>
        <w:tc>
          <w:tcPr>
            <w:tcW w:type="dxa" w:w="2769"/>
          </w:tcPr>
          <w:p>
            <w:pPr>
              <w:pStyle w:val="null3"/>
            </w:pPr>
            <w:r>
              <w:rPr/>
              <w:t>安全要求：产品需满足国家密码管理局商用密码检测中心《密码模块安全技术要求》第二级要求，提供《商用密码产品认证证书》。</w:t>
            </w:r>
          </w:p>
        </w:tc>
      </w:tr>
      <w:tr>
        <w:tc>
          <w:tcPr>
            <w:tcW w:type="dxa" w:w="2769"/>
          </w:tcPr>
          <w:p/>
        </w:tc>
        <w:tc>
          <w:tcPr>
            <w:tcW w:type="dxa" w:w="2769"/>
          </w:tcPr>
          <w:p>
            <w:pPr>
              <w:pStyle w:val="null3"/>
            </w:pPr>
            <w:r>
              <w:rPr/>
              <w:t>28</w:t>
            </w:r>
          </w:p>
        </w:tc>
        <w:tc>
          <w:tcPr>
            <w:tcW w:type="dxa" w:w="2769"/>
          </w:tcPr>
          <w:p>
            <w:pPr>
              <w:pStyle w:val="null3"/>
            </w:pPr>
            <w:r>
              <w:rPr/>
              <w:t>基础功能：系统配置图形化工具（用户帐户管理、用户权限设置、网络配置、打印机配置、显示配置、桌面配置、键盘鼠标设置、输入法设置、日期时间设置、 自动更新设置）；系统运维图形化工具（系统监视器、 日志查看管理、设备管理器、磁盘管理器）。</w:t>
            </w:r>
          </w:p>
        </w:tc>
      </w:tr>
      <w:tr>
        <w:tc>
          <w:tcPr>
            <w:tcW w:type="dxa" w:w="2769"/>
          </w:tcPr>
          <w:p/>
        </w:tc>
        <w:tc>
          <w:tcPr>
            <w:tcW w:type="dxa" w:w="2769"/>
          </w:tcPr>
          <w:p>
            <w:pPr>
              <w:pStyle w:val="null3"/>
            </w:pPr>
            <w:r>
              <w:rPr/>
              <w:t>29</w:t>
            </w:r>
          </w:p>
        </w:tc>
        <w:tc>
          <w:tcPr>
            <w:tcW w:type="dxa" w:w="2769"/>
          </w:tcPr>
          <w:p>
            <w:pPr>
              <w:pStyle w:val="null3"/>
            </w:pPr>
            <w:r>
              <w:rPr/>
              <w:t>适配国产CPU：支持AMD64、ARM64、Mips64、SW64、LoongArch CPU架构，支持飞腾、鲲鹏、海光、兆芯、龙芯、申威品牌CPU芯片，提供互认证证书。</w:t>
            </w:r>
          </w:p>
        </w:tc>
      </w:tr>
      <w:tr>
        <w:tc>
          <w:tcPr>
            <w:tcW w:type="dxa" w:w="2769"/>
          </w:tcPr>
          <w:p/>
        </w:tc>
        <w:tc>
          <w:tcPr>
            <w:tcW w:type="dxa" w:w="2769"/>
          </w:tcPr>
          <w:p>
            <w:pPr>
              <w:pStyle w:val="null3"/>
            </w:pPr>
            <w:r>
              <w:rPr/>
              <w:t>30</w:t>
            </w:r>
          </w:p>
        </w:tc>
        <w:tc>
          <w:tcPr>
            <w:tcW w:type="dxa" w:w="2769"/>
          </w:tcPr>
          <w:p>
            <w:pPr>
              <w:pStyle w:val="null3"/>
            </w:pPr>
            <w:r>
              <w:rPr/>
              <w:t>网关软件：系统支持同品牌自研API网关软件，提供有效证明材料。</w:t>
            </w:r>
          </w:p>
        </w:tc>
      </w:tr>
      <w:tr>
        <w:tc>
          <w:tcPr>
            <w:tcW w:type="dxa" w:w="2769"/>
          </w:tcPr>
          <w:p/>
        </w:tc>
        <w:tc>
          <w:tcPr>
            <w:tcW w:type="dxa" w:w="2769"/>
          </w:tcPr>
          <w:p>
            <w:pPr>
              <w:pStyle w:val="null3"/>
            </w:pPr>
            <w:r>
              <w:rPr/>
              <w:t>31</w:t>
            </w:r>
          </w:p>
        </w:tc>
        <w:tc>
          <w:tcPr>
            <w:tcW w:type="dxa" w:w="2769"/>
          </w:tcPr>
          <w:p>
            <w:pPr>
              <w:pStyle w:val="null3"/>
            </w:pPr>
            <w:r>
              <w:rPr/>
              <w:t>系统运维：系统支持自研的服务器运维管理工具，支持漏洞识别、漏洞批量下发、防火墙策略调整功能，提供有效证明材料。</w:t>
            </w:r>
          </w:p>
        </w:tc>
      </w:tr>
      <w:tr>
        <w:tc>
          <w:tcPr>
            <w:tcW w:type="dxa" w:w="2769"/>
          </w:tcPr>
          <w:p/>
        </w:tc>
        <w:tc>
          <w:tcPr>
            <w:tcW w:type="dxa" w:w="2769"/>
          </w:tcPr>
          <w:p>
            <w:pPr>
              <w:pStyle w:val="null3"/>
            </w:pPr>
            <w:r>
              <w:rPr/>
              <w:t>32</w:t>
            </w:r>
          </w:p>
        </w:tc>
        <w:tc>
          <w:tcPr>
            <w:tcW w:type="dxa" w:w="2769"/>
          </w:tcPr>
          <w:p>
            <w:pPr>
              <w:pStyle w:val="null3"/>
            </w:pPr>
            <w:r>
              <w:rPr/>
              <w:t>系统迁移：系统支持同品牌自研CentOS迁移工具，支持CentOS向同品牌服务器操作系统迁移，支持图形化操作。提供有效证明材料和第三方出具的软件产品测评报告。</w:t>
            </w:r>
          </w:p>
        </w:tc>
      </w:tr>
      <w:tr>
        <w:tc>
          <w:tcPr>
            <w:tcW w:type="dxa" w:w="2769"/>
          </w:tcPr>
          <w:p/>
        </w:tc>
        <w:tc>
          <w:tcPr>
            <w:tcW w:type="dxa" w:w="2769"/>
          </w:tcPr>
          <w:p>
            <w:pPr>
              <w:pStyle w:val="null3"/>
            </w:pPr>
            <w:r>
              <w:rPr/>
              <w:t>33</w:t>
            </w:r>
          </w:p>
        </w:tc>
        <w:tc>
          <w:tcPr>
            <w:tcW w:type="dxa" w:w="2769"/>
          </w:tcPr>
          <w:p>
            <w:pPr>
              <w:pStyle w:val="null3"/>
            </w:pPr>
            <w:r>
              <w:rPr/>
              <w:t>性能评估软件：系统支持同品牌国产Linux系统通用性能评分套件软件，提供有效证明材料。</w:t>
            </w:r>
          </w:p>
        </w:tc>
      </w:tr>
      <w:tr>
        <w:tc>
          <w:tcPr>
            <w:tcW w:type="dxa" w:w="2769"/>
          </w:tcPr>
          <w:p/>
        </w:tc>
        <w:tc>
          <w:tcPr>
            <w:tcW w:type="dxa" w:w="2769"/>
          </w:tcPr>
          <w:p>
            <w:pPr>
              <w:pStyle w:val="null3"/>
            </w:pPr>
            <w:r>
              <w:rPr/>
              <w:t>34</w:t>
            </w:r>
          </w:p>
        </w:tc>
        <w:tc>
          <w:tcPr>
            <w:tcW w:type="dxa" w:w="2769"/>
          </w:tcPr>
          <w:p>
            <w:pPr>
              <w:pStyle w:val="null3"/>
            </w:pPr>
            <w:r>
              <w:rPr/>
              <w:t>安全要求：产品需满足国家密码管理局商用密码检测中心《密码模块安全技术要求》第二级要求，提供《商用密码产品认证证书》。</w:t>
            </w:r>
          </w:p>
        </w:tc>
      </w:tr>
      <w:tr>
        <w:tc>
          <w:tcPr>
            <w:tcW w:type="dxa" w:w="2769"/>
          </w:tcPr>
          <w:p/>
        </w:tc>
        <w:tc>
          <w:tcPr>
            <w:tcW w:type="dxa" w:w="2769"/>
          </w:tcPr>
          <w:p>
            <w:pPr>
              <w:pStyle w:val="null3"/>
            </w:pPr>
            <w:r>
              <w:rPr/>
              <w:t>35</w:t>
            </w:r>
          </w:p>
        </w:tc>
        <w:tc>
          <w:tcPr>
            <w:tcW w:type="dxa" w:w="2769"/>
          </w:tcPr>
          <w:p>
            <w:pPr>
              <w:pStyle w:val="null3"/>
            </w:pPr>
            <w:r>
              <w:rPr/>
              <w:t>基础功能：系统配置图形化工具（用户帐户管理、用户权限设置、网络配置、打印机配置、显示配置、桌面配置、键盘鼠标设置、输入法设置、日期时间设置、 自动更新设置）；系统运维图形化工具（系统监视器、 日志查看管理、设备管理器、磁盘管理器）。</w:t>
            </w:r>
          </w:p>
        </w:tc>
      </w:tr>
    </w:tbl>
    <w:p>
      <w:pPr>
        <w:pStyle w:val="null3"/>
      </w:pPr>
      <w:r>
        <w:rPr/>
        <w:t>标的名称：正版软件管理平台及售后服 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正版软件管理平台应当支持部署在学校，且支持私有云平台部署。</w:t>
            </w:r>
          </w:p>
        </w:tc>
      </w:tr>
      <w:tr>
        <w:tc>
          <w:tcPr>
            <w:tcW w:type="dxa" w:w="2769"/>
          </w:tcPr>
          <w:p/>
        </w:tc>
        <w:tc>
          <w:tcPr>
            <w:tcW w:type="dxa" w:w="2769"/>
          </w:tcPr>
          <w:p>
            <w:pPr>
              <w:pStyle w:val="null3"/>
            </w:pPr>
            <w:r>
              <w:rPr/>
              <w:t>2</w:t>
            </w:r>
          </w:p>
        </w:tc>
        <w:tc>
          <w:tcPr>
            <w:tcW w:type="dxa" w:w="2769"/>
          </w:tcPr>
          <w:p>
            <w:pPr>
              <w:pStyle w:val="null3"/>
            </w:pPr>
            <w:r>
              <w:rPr/>
              <w:t>平台必须同时支持IPV4和IPV6。</w:t>
            </w:r>
          </w:p>
        </w:tc>
      </w:tr>
      <w:tr>
        <w:tc>
          <w:tcPr>
            <w:tcW w:type="dxa" w:w="2769"/>
          </w:tcPr>
          <w:p/>
        </w:tc>
        <w:tc>
          <w:tcPr>
            <w:tcW w:type="dxa" w:w="2769"/>
          </w:tcPr>
          <w:p>
            <w:pPr>
              <w:pStyle w:val="null3"/>
            </w:pPr>
            <w:r>
              <w:rPr/>
              <w:t>3</w:t>
            </w:r>
          </w:p>
        </w:tc>
        <w:tc>
          <w:tcPr>
            <w:tcW w:type="dxa" w:w="2769"/>
          </w:tcPr>
          <w:p>
            <w:pPr>
              <w:pStyle w:val="null3"/>
            </w:pPr>
            <w:r>
              <w:rPr/>
              <w:t>正版软件管理平台应是基于 B/S 技术架构，为了降低维护成本和系统代码层的安全，编程语言应当使用 C++、QT、PHP、NodeJs等主流编程语言。</w:t>
            </w:r>
          </w:p>
        </w:tc>
      </w:tr>
      <w:tr>
        <w:tc>
          <w:tcPr>
            <w:tcW w:type="dxa" w:w="2769"/>
          </w:tcPr>
          <w:p/>
        </w:tc>
        <w:tc>
          <w:tcPr>
            <w:tcW w:type="dxa" w:w="2769"/>
          </w:tcPr>
          <w:p>
            <w:pPr>
              <w:pStyle w:val="null3"/>
            </w:pPr>
            <w:r>
              <w:rPr/>
              <w:t>4</w:t>
            </w:r>
          </w:p>
        </w:tc>
        <w:tc>
          <w:tcPr>
            <w:tcW w:type="dxa" w:w="2769"/>
          </w:tcPr>
          <w:p>
            <w:pPr>
              <w:pStyle w:val="null3"/>
            </w:pPr>
            <w:r>
              <w:rPr/>
              <w:t>正版软件管理平台需要采用统一的标准接口开发，需要能与本校的统一身份认证系统进行对接，对接方式包括（但不限于）单点登录，支持中间表方式对用户信息进行对接。</w:t>
            </w:r>
          </w:p>
        </w:tc>
      </w:tr>
      <w:tr>
        <w:tc>
          <w:tcPr>
            <w:tcW w:type="dxa" w:w="2769"/>
          </w:tcPr>
          <w:p/>
        </w:tc>
        <w:tc>
          <w:tcPr>
            <w:tcW w:type="dxa" w:w="2769"/>
          </w:tcPr>
          <w:p>
            <w:pPr>
              <w:pStyle w:val="null3"/>
            </w:pPr>
            <w:r>
              <w:rPr/>
              <w:t>5</w:t>
            </w:r>
          </w:p>
        </w:tc>
        <w:tc>
          <w:tcPr>
            <w:tcW w:type="dxa" w:w="2769"/>
          </w:tcPr>
          <w:p>
            <w:pPr>
              <w:pStyle w:val="null3"/>
            </w:pPr>
            <w:r>
              <w:rPr/>
              <w:t>正版软件管理平台需要自带独立的用户管理系统，以便在正版软件管理平台内可以实现独立设置用户在正版软件管理平台中的使用权限。能支持在软件资源管理与服务平台内对用户信息进行编辑。</w:t>
            </w:r>
          </w:p>
        </w:tc>
      </w:tr>
      <w:tr>
        <w:tc>
          <w:tcPr>
            <w:tcW w:type="dxa" w:w="2769"/>
          </w:tcPr>
          <w:p/>
        </w:tc>
        <w:tc>
          <w:tcPr>
            <w:tcW w:type="dxa" w:w="2769"/>
          </w:tcPr>
          <w:p>
            <w:pPr>
              <w:pStyle w:val="null3"/>
            </w:pPr>
            <w:r>
              <w:rPr/>
              <w:t>6</w:t>
            </w:r>
          </w:p>
        </w:tc>
        <w:tc>
          <w:tcPr>
            <w:tcW w:type="dxa" w:w="2769"/>
          </w:tcPr>
          <w:p>
            <w:pPr>
              <w:pStyle w:val="null3"/>
            </w:pPr>
            <w:r>
              <w:rPr/>
              <w:t>权限管理：要求具有统一的权限管理中心，支持权限的分级授权管理。具有完备的权限控制体系，包括组织授权、用户授权、角色授权、岗位授权、功能授权、操作权限、字段权限以及多维度的数据授权。提供截图证明。</w:t>
            </w:r>
          </w:p>
        </w:tc>
      </w:tr>
      <w:tr>
        <w:tc>
          <w:tcPr>
            <w:tcW w:type="dxa" w:w="2769"/>
          </w:tcPr>
          <w:p/>
        </w:tc>
        <w:tc>
          <w:tcPr>
            <w:tcW w:type="dxa" w:w="2769"/>
          </w:tcPr>
          <w:p>
            <w:pPr>
              <w:pStyle w:val="null3"/>
            </w:pPr>
            <w:r>
              <w:rPr/>
              <w:t>7</w:t>
            </w:r>
          </w:p>
        </w:tc>
        <w:tc>
          <w:tcPr>
            <w:tcW w:type="dxa" w:w="2769"/>
          </w:tcPr>
          <w:p>
            <w:pPr>
              <w:pStyle w:val="null3"/>
            </w:pPr>
            <w:r>
              <w:rPr/>
              <w:t>激活方式，在用户使用统一身份认证系统账号密码登录以后，直接通过点击即可完成整个激活操作。且一旦发生激活问题，激活客户端应当给出简单快捷的解决方案。</w:t>
            </w:r>
          </w:p>
        </w:tc>
      </w:tr>
      <w:tr>
        <w:tc>
          <w:tcPr>
            <w:tcW w:type="dxa" w:w="2769"/>
          </w:tcPr>
          <w:p/>
        </w:tc>
        <w:tc>
          <w:tcPr>
            <w:tcW w:type="dxa" w:w="2769"/>
          </w:tcPr>
          <w:p>
            <w:pPr>
              <w:pStyle w:val="null3"/>
            </w:pPr>
            <w:r>
              <w:rPr/>
              <w:t>8</w:t>
            </w:r>
          </w:p>
        </w:tc>
        <w:tc>
          <w:tcPr>
            <w:tcW w:type="dxa" w:w="2769"/>
          </w:tcPr>
          <w:p>
            <w:pPr>
              <w:pStyle w:val="null3"/>
            </w:pPr>
            <w:r>
              <w:rPr/>
              <w:t>使用技巧：在本地资源发布使用说明，内容包括平台或要求的使用技巧，形式包括视频或文件。</w:t>
            </w:r>
          </w:p>
        </w:tc>
      </w:tr>
      <w:tr>
        <w:tc>
          <w:tcPr>
            <w:tcW w:type="dxa" w:w="2769"/>
          </w:tcPr>
          <w:p/>
        </w:tc>
        <w:tc>
          <w:tcPr>
            <w:tcW w:type="dxa" w:w="2769"/>
          </w:tcPr>
          <w:p>
            <w:pPr>
              <w:pStyle w:val="null3"/>
            </w:pPr>
            <w:r>
              <w:rPr/>
              <w:t>9</w:t>
            </w:r>
          </w:p>
        </w:tc>
        <w:tc>
          <w:tcPr>
            <w:tcW w:type="dxa" w:w="2769"/>
          </w:tcPr>
          <w:p>
            <w:pPr>
              <w:pStyle w:val="null3"/>
            </w:pPr>
            <w:r>
              <w:rPr/>
              <w:t>支持移动端问题处理：面向用户提供移动端微信自助问题搜索，能快速查找并解决问题。</w:t>
            </w:r>
          </w:p>
        </w:tc>
      </w:tr>
      <w:tr>
        <w:tc>
          <w:tcPr>
            <w:tcW w:type="dxa" w:w="2769"/>
          </w:tcPr>
          <w:p/>
        </w:tc>
        <w:tc>
          <w:tcPr>
            <w:tcW w:type="dxa" w:w="2769"/>
          </w:tcPr>
          <w:p>
            <w:pPr>
              <w:pStyle w:val="null3"/>
            </w:pPr>
            <w:r>
              <w:rPr/>
              <w:t>10</w:t>
            </w:r>
          </w:p>
        </w:tc>
        <w:tc>
          <w:tcPr>
            <w:tcW w:type="dxa" w:w="2769"/>
          </w:tcPr>
          <w:p>
            <w:pPr>
              <w:pStyle w:val="null3"/>
            </w:pPr>
            <w:r>
              <w:rPr/>
              <w:t>正版软件管理平台应当支持实验室、机房等大批量的计算机激活，激活过程中，机房的客户机需要能在无人干预的情况下自动完成激活操作。</w:t>
            </w:r>
          </w:p>
        </w:tc>
      </w:tr>
      <w:tr>
        <w:tc>
          <w:tcPr>
            <w:tcW w:type="dxa" w:w="2769"/>
          </w:tcPr>
          <w:p/>
        </w:tc>
        <w:tc>
          <w:tcPr>
            <w:tcW w:type="dxa" w:w="2769"/>
          </w:tcPr>
          <w:p>
            <w:pPr>
              <w:pStyle w:val="null3"/>
            </w:pPr>
            <w:r>
              <w:rPr/>
              <w:t>11</w:t>
            </w:r>
          </w:p>
        </w:tc>
        <w:tc>
          <w:tcPr>
            <w:tcW w:type="dxa" w:w="2769"/>
          </w:tcPr>
          <w:p>
            <w:pPr>
              <w:pStyle w:val="null3"/>
            </w:pPr>
            <w:r>
              <w:rPr/>
              <w:t>整个激活过程，应当保证不泄露（包括秘钥在内）任何的涉密信息。 激活客户端应当保证无法被反编译，以避免因为激活客户端被反编译而导致的关键数据或参数的泄露。</w:t>
            </w:r>
          </w:p>
        </w:tc>
      </w:tr>
      <w:tr>
        <w:tc>
          <w:tcPr>
            <w:tcW w:type="dxa" w:w="2769"/>
          </w:tcPr>
          <w:p/>
        </w:tc>
        <w:tc>
          <w:tcPr>
            <w:tcW w:type="dxa" w:w="2769"/>
          </w:tcPr>
          <w:p>
            <w:pPr>
              <w:pStyle w:val="null3"/>
            </w:pPr>
            <w:r>
              <w:rPr/>
              <w:t>12</w:t>
            </w:r>
          </w:p>
        </w:tc>
        <w:tc>
          <w:tcPr>
            <w:tcW w:type="dxa" w:w="2769"/>
          </w:tcPr>
          <w:p>
            <w:pPr>
              <w:pStyle w:val="null3"/>
            </w:pPr>
            <w:r>
              <w:rPr/>
              <w:t>激活客户端：定制激活客户端，须免安装、用户自助激活，激活过程用户无须输入密钥，保障密钥安全。</w:t>
            </w:r>
          </w:p>
        </w:tc>
      </w:tr>
      <w:tr>
        <w:tc>
          <w:tcPr>
            <w:tcW w:type="dxa" w:w="2769"/>
          </w:tcPr>
          <w:p/>
        </w:tc>
        <w:tc>
          <w:tcPr>
            <w:tcW w:type="dxa" w:w="2769"/>
          </w:tcPr>
          <w:p>
            <w:pPr>
              <w:pStyle w:val="null3"/>
            </w:pPr>
            <w:r>
              <w:rPr/>
              <w:t>13</w:t>
            </w:r>
          </w:p>
        </w:tc>
        <w:tc>
          <w:tcPr>
            <w:tcW w:type="dxa" w:w="2769"/>
          </w:tcPr>
          <w:p>
            <w:pPr>
              <w:pStyle w:val="null3"/>
            </w:pPr>
            <w:r>
              <w:rPr/>
              <w:t>补丁更新：要求平台集成补丁服务器功能，提供软件补丁的分析检测和下载安装；实现平台与补丁更新服务器数据的实时同步。</w:t>
            </w:r>
          </w:p>
        </w:tc>
      </w:tr>
      <w:tr>
        <w:tc>
          <w:tcPr>
            <w:tcW w:type="dxa" w:w="2769"/>
          </w:tcPr>
          <w:p/>
        </w:tc>
        <w:tc>
          <w:tcPr>
            <w:tcW w:type="dxa" w:w="2769"/>
          </w:tcPr>
          <w:p>
            <w:pPr>
              <w:pStyle w:val="null3"/>
            </w:pPr>
            <w:r>
              <w:rPr/>
              <w:t>14</w:t>
            </w:r>
          </w:p>
        </w:tc>
        <w:tc>
          <w:tcPr>
            <w:tcW w:type="dxa" w:w="2769"/>
          </w:tcPr>
          <w:p>
            <w:pPr>
              <w:pStyle w:val="null3"/>
            </w:pPr>
            <w:r>
              <w:rPr/>
              <w:t>正版软件管理平台提供商一年应当提供不少于 4 次的更新服务，服务内容应当包括：软件、文档、视频资料更新；正版软件管理平台定制开发；身份认证地接；正版软件管理平台系统优化。</w:t>
            </w:r>
          </w:p>
        </w:tc>
      </w:tr>
      <w:tr>
        <w:tc>
          <w:tcPr>
            <w:tcW w:type="dxa" w:w="2769"/>
          </w:tcPr>
          <w:p/>
        </w:tc>
        <w:tc>
          <w:tcPr>
            <w:tcW w:type="dxa" w:w="2769"/>
          </w:tcPr>
          <w:p>
            <w:pPr>
              <w:pStyle w:val="null3"/>
            </w:pPr>
            <w:r>
              <w:rPr/>
              <w:t>15</w:t>
            </w:r>
          </w:p>
        </w:tc>
        <w:tc>
          <w:tcPr>
            <w:tcW w:type="dxa" w:w="2769"/>
          </w:tcPr>
          <w:p>
            <w:pPr>
              <w:pStyle w:val="null3"/>
            </w:pPr>
            <w:r>
              <w:rPr/>
              <w:t>监控管理功能：监控平台服务器、激活服务器、补丁服务器等运行状况，实时了解服务器健康状态，监控内容不限于 CPU、内存使用率、硬盘使用空间检测、服务器补丁安装提醒、服务器攻击智能提醒等，所有监控数据都在平台中可查。</w:t>
            </w:r>
          </w:p>
        </w:tc>
      </w:tr>
      <w:tr>
        <w:tc>
          <w:tcPr>
            <w:tcW w:type="dxa" w:w="2769"/>
          </w:tcPr>
          <w:p/>
        </w:tc>
        <w:tc>
          <w:tcPr>
            <w:tcW w:type="dxa" w:w="2769"/>
          </w:tcPr>
          <w:p>
            <w:pPr>
              <w:pStyle w:val="null3"/>
            </w:pPr>
            <w:r>
              <w:rPr/>
              <w:t>16</w:t>
            </w:r>
          </w:p>
        </w:tc>
        <w:tc>
          <w:tcPr>
            <w:tcW w:type="dxa" w:w="2769"/>
          </w:tcPr>
          <w:p>
            <w:pPr>
              <w:pStyle w:val="null3"/>
            </w:pPr>
            <w:r>
              <w:rPr/>
              <w:t>要求平台可统计算机信息，包括但不限于 MAC 地址、版本号、安装时间、所属人等。</w:t>
            </w:r>
          </w:p>
        </w:tc>
      </w:tr>
      <w:tr>
        <w:tc>
          <w:tcPr>
            <w:tcW w:type="dxa" w:w="2769"/>
          </w:tcPr>
          <w:p/>
        </w:tc>
        <w:tc>
          <w:tcPr>
            <w:tcW w:type="dxa" w:w="2769"/>
          </w:tcPr>
          <w:p>
            <w:pPr>
              <w:pStyle w:val="null3"/>
            </w:pPr>
            <w:r>
              <w:rPr/>
              <w:t>17</w:t>
            </w:r>
          </w:p>
        </w:tc>
        <w:tc>
          <w:tcPr>
            <w:tcW w:type="dxa" w:w="2769"/>
          </w:tcPr>
          <w:p>
            <w:pPr>
              <w:pStyle w:val="null3"/>
            </w:pPr>
            <w:r>
              <w:rPr/>
              <w:t>正版软件管理平台的系统网站（包括管理后台），应当兼容不同的浏览器，并且可以根据本校的需求进行一定的定制，以便于本校的一贯风格保持一致。</w:t>
            </w:r>
          </w:p>
        </w:tc>
      </w:tr>
      <w:tr>
        <w:tc>
          <w:tcPr>
            <w:tcW w:type="dxa" w:w="2769"/>
          </w:tcPr>
          <w:p/>
        </w:tc>
        <w:tc>
          <w:tcPr>
            <w:tcW w:type="dxa" w:w="2769"/>
          </w:tcPr>
          <w:p>
            <w:pPr>
              <w:pStyle w:val="null3"/>
            </w:pPr>
            <w:r>
              <w:rPr/>
              <w:t>18</w:t>
            </w:r>
          </w:p>
        </w:tc>
        <w:tc>
          <w:tcPr>
            <w:tcW w:type="dxa" w:w="2769"/>
          </w:tcPr>
          <w:p>
            <w:pPr>
              <w:pStyle w:val="null3"/>
            </w:pPr>
            <w:r>
              <w:rPr/>
              <w:t>正版软件管理平台提供的服务，应当符合第三方软件提供公司的使用管理规范，以避免本校因为在系统和软件的使用过程中，因为不符合第三方软件提供商的软件使用规定而产生的软件使用规范问题。</w:t>
            </w:r>
          </w:p>
        </w:tc>
      </w:tr>
      <w:tr>
        <w:tc>
          <w:tcPr>
            <w:tcW w:type="dxa" w:w="2769"/>
          </w:tcPr>
          <w:p/>
        </w:tc>
        <w:tc>
          <w:tcPr>
            <w:tcW w:type="dxa" w:w="2769"/>
          </w:tcPr>
          <w:p>
            <w:pPr>
              <w:pStyle w:val="null3"/>
            </w:pPr>
            <w:r>
              <w:rPr/>
              <w:t>19</w:t>
            </w:r>
          </w:p>
        </w:tc>
        <w:tc>
          <w:tcPr>
            <w:tcW w:type="dxa" w:w="2769"/>
          </w:tcPr>
          <w:p>
            <w:pPr>
              <w:pStyle w:val="null3"/>
            </w:pPr>
            <w:r>
              <w:rPr/>
              <w:t>数据的存储和传输，正版软件管理平台的关键数据须进行加密存储和传输，以避免数据在存储和传输的过程中可能产生的安全隐患。</w:t>
            </w:r>
          </w:p>
        </w:tc>
      </w:tr>
      <w:tr>
        <w:tc>
          <w:tcPr>
            <w:tcW w:type="dxa" w:w="2769"/>
          </w:tcPr>
          <w:p/>
        </w:tc>
        <w:tc>
          <w:tcPr>
            <w:tcW w:type="dxa" w:w="2769"/>
          </w:tcPr>
          <w:p>
            <w:pPr>
              <w:pStyle w:val="null3"/>
            </w:pPr>
            <w:r>
              <w:rPr/>
              <w:t>20</w:t>
            </w:r>
          </w:p>
        </w:tc>
        <w:tc>
          <w:tcPr>
            <w:tcW w:type="dxa" w:w="2769"/>
          </w:tcPr>
          <w:p>
            <w:pPr>
              <w:pStyle w:val="null3"/>
            </w:pPr>
            <w:r>
              <w:rPr/>
              <w:t>正版软件管理平台提供商，应当提供完备的正版软件管理平台数据（包括软件和镜像、数据资料、日志）等在内的数据备份策略和故障恢复策略。在可能的情况下，正版软件管理平台提供商需要进行服务器负载均衡和主从服务器的部署。</w:t>
            </w:r>
          </w:p>
        </w:tc>
      </w:tr>
      <w:tr>
        <w:tc>
          <w:tcPr>
            <w:tcW w:type="dxa" w:w="2769"/>
          </w:tcPr>
          <w:p/>
        </w:tc>
        <w:tc>
          <w:tcPr>
            <w:tcW w:type="dxa" w:w="2769"/>
          </w:tcPr>
          <w:p>
            <w:pPr>
              <w:pStyle w:val="null3"/>
            </w:pPr>
            <w:r>
              <w:rPr/>
              <w:t>21</w:t>
            </w:r>
          </w:p>
        </w:tc>
        <w:tc>
          <w:tcPr>
            <w:tcW w:type="dxa" w:w="2769"/>
          </w:tcPr>
          <w:p>
            <w:pPr>
              <w:pStyle w:val="null3"/>
            </w:pPr>
            <w:r>
              <w:rPr/>
              <w:t>满足并发处理要求：保证正版授权管理平台在大规模用户访问的情况下仍然能够提供高速的服务，支持至少 500 人并发访问、下载。</w:t>
            </w:r>
          </w:p>
        </w:tc>
      </w:tr>
      <w:tr>
        <w:tc>
          <w:tcPr>
            <w:tcW w:type="dxa" w:w="2769"/>
          </w:tcPr>
          <w:p/>
        </w:tc>
        <w:tc>
          <w:tcPr>
            <w:tcW w:type="dxa" w:w="2769"/>
          </w:tcPr>
          <w:p>
            <w:pPr>
              <w:pStyle w:val="null3"/>
            </w:pPr>
            <w:r>
              <w:rPr/>
              <w:t>22</w:t>
            </w:r>
          </w:p>
        </w:tc>
        <w:tc>
          <w:tcPr>
            <w:tcW w:type="dxa" w:w="2769"/>
          </w:tcPr>
          <w:p>
            <w:pPr>
              <w:pStyle w:val="null3"/>
            </w:pPr>
            <w:r>
              <w:rPr/>
              <w:t>本校管理员可以通过正版软件管理平台的管理后台对系统的以下数据进行自主管理和维护：a)正版软件管理平台网站的 banner、通告、技术支持联系信息；b)新增、编辑、删除常见问题、帮助文档、学习资源（包括文档资源和视频资源）、通知公告等内容；c)新增软件资源和手机 APP，编辑、禁用、启用、删除已有软件资源和手机 APP。</w:t>
            </w:r>
          </w:p>
        </w:tc>
      </w:tr>
      <w:tr>
        <w:tc>
          <w:tcPr>
            <w:tcW w:type="dxa" w:w="2769"/>
          </w:tcPr>
          <w:p/>
        </w:tc>
        <w:tc>
          <w:tcPr>
            <w:tcW w:type="dxa" w:w="2769"/>
          </w:tcPr>
          <w:p>
            <w:pPr>
              <w:pStyle w:val="null3"/>
            </w:pPr>
            <w:r>
              <w:rPr/>
              <w:t>23</w:t>
            </w:r>
          </w:p>
        </w:tc>
        <w:tc>
          <w:tcPr>
            <w:tcW w:type="dxa" w:w="2769"/>
          </w:tcPr>
          <w:p>
            <w:pPr>
              <w:pStyle w:val="null3"/>
            </w:pPr>
            <w:r>
              <w:rPr/>
              <w:t>日志管理：提供日志功能（登录日志、操作日志），该模块可查看用户在系统内的操作。包含业务数据录入、修改、提交、删除等操作，日志信息不可删除、不可修改。日志保存至少六个月。</w:t>
            </w:r>
          </w:p>
        </w:tc>
      </w:tr>
      <w:tr>
        <w:tc>
          <w:tcPr>
            <w:tcW w:type="dxa" w:w="2769"/>
          </w:tcPr>
          <w:p/>
        </w:tc>
        <w:tc>
          <w:tcPr>
            <w:tcW w:type="dxa" w:w="2769"/>
          </w:tcPr>
          <w:p>
            <w:pPr>
              <w:pStyle w:val="null3"/>
            </w:pPr>
            <w:r>
              <w:rPr/>
              <w:t>24</w:t>
            </w:r>
          </w:p>
        </w:tc>
        <w:tc>
          <w:tcPr>
            <w:tcW w:type="dxa" w:w="2769"/>
          </w:tcPr>
          <w:p>
            <w:pPr>
              <w:pStyle w:val="null3"/>
            </w:pPr>
            <w:r>
              <w:rPr/>
              <w:t>数据统计管理：包含平台访问量、软件下载量、软件激活量等数据分析及平台使用报告，能够针对一种和多种软件安装情况对用户下载量和软件下载量进行相应实时统计，并可以以浏览器模式查看分类统计；能以各种格式导出或打印软件使用报告；支持数据大屏输出（需提供截图证明）。</w:t>
            </w:r>
          </w:p>
        </w:tc>
      </w:tr>
      <w:tr>
        <w:tc>
          <w:tcPr>
            <w:tcW w:type="dxa" w:w="2769"/>
          </w:tcPr>
          <w:p/>
        </w:tc>
        <w:tc>
          <w:tcPr>
            <w:tcW w:type="dxa" w:w="2769"/>
          </w:tcPr>
          <w:p>
            <w:pPr>
              <w:pStyle w:val="null3"/>
            </w:pPr>
            <w:r>
              <w:rPr/>
              <w:t>25</w:t>
            </w:r>
          </w:p>
        </w:tc>
        <w:tc>
          <w:tcPr>
            <w:tcW w:type="dxa" w:w="2769"/>
          </w:tcPr>
          <w:p>
            <w:pPr>
              <w:pStyle w:val="null3"/>
            </w:pPr>
            <w:r>
              <w:rPr/>
              <w:t>须提供软件检查工具，自行采集操作系统、杀毒软件、办公软件等信息；根据用户需求，可以在平台后台添加检查的软件；并提供自主知识产权的软件著作权登记证书。</w:t>
            </w:r>
          </w:p>
        </w:tc>
      </w:tr>
      <w:tr>
        <w:tc>
          <w:tcPr>
            <w:tcW w:type="dxa" w:w="2769"/>
          </w:tcPr>
          <w:p/>
        </w:tc>
        <w:tc>
          <w:tcPr>
            <w:tcW w:type="dxa" w:w="2769"/>
          </w:tcPr>
          <w:p>
            <w:pPr>
              <w:pStyle w:val="null3"/>
            </w:pPr>
            <w:r>
              <w:rPr/>
              <w:t>26</w:t>
            </w:r>
          </w:p>
        </w:tc>
        <w:tc>
          <w:tcPr>
            <w:tcW w:type="dxa" w:w="2769"/>
          </w:tcPr>
          <w:p>
            <w:pPr>
              <w:pStyle w:val="null3"/>
            </w:pPr>
            <w:r>
              <w:rPr/>
              <w:t>须提供台账统计工具，要求数据统计格式必须和版权格式内容一致；提供由陕西省版权协会盖章的正版软件检查认证证书。</w:t>
            </w:r>
          </w:p>
        </w:tc>
      </w:tr>
      <w:tr>
        <w:tc>
          <w:tcPr>
            <w:tcW w:type="dxa" w:w="2769"/>
          </w:tcPr>
          <w:p/>
        </w:tc>
        <w:tc>
          <w:tcPr>
            <w:tcW w:type="dxa" w:w="2769"/>
          </w:tcPr>
          <w:p>
            <w:pPr>
              <w:pStyle w:val="null3"/>
            </w:pPr>
            <w:r>
              <w:rPr/>
              <w:t>27</w:t>
            </w:r>
          </w:p>
        </w:tc>
        <w:tc>
          <w:tcPr>
            <w:tcW w:type="dxa" w:w="2769"/>
          </w:tcPr>
          <w:p>
            <w:pPr>
              <w:pStyle w:val="null3"/>
            </w:pPr>
            <w:r>
              <w:rPr/>
              <w:t>内容分析服务：支持统计网内用户使用终端类型数目，终端使用分布。支持终端操作系统种类区分及数量统计。</w:t>
            </w:r>
          </w:p>
        </w:tc>
      </w:tr>
      <w:tr>
        <w:tc>
          <w:tcPr>
            <w:tcW w:type="dxa" w:w="2769"/>
          </w:tcPr>
          <w:p/>
        </w:tc>
        <w:tc>
          <w:tcPr>
            <w:tcW w:type="dxa" w:w="2769"/>
          </w:tcPr>
          <w:p>
            <w:pPr>
              <w:pStyle w:val="null3"/>
            </w:pPr>
            <w:r>
              <w:rPr/>
              <w:t>28</w:t>
            </w:r>
          </w:p>
        </w:tc>
        <w:tc>
          <w:tcPr>
            <w:tcW w:type="dxa" w:w="2769"/>
          </w:tcPr>
          <w:p>
            <w:pPr>
              <w:pStyle w:val="null3"/>
            </w:pPr>
            <w:r>
              <w:rPr/>
              <w:t>日志分析服务要求：支持“应用明细”统计；支持“协议定制”功能，跟踪统计指定的协议应用情况；针对并发连接数的指定时段应用明细统计；帐号登陆事件日志，支持图片等查询；访问事件日志。</w:t>
            </w:r>
          </w:p>
        </w:tc>
      </w:tr>
      <w:tr>
        <w:tc>
          <w:tcPr>
            <w:tcW w:type="dxa" w:w="2769"/>
          </w:tcPr>
          <w:p/>
        </w:tc>
        <w:tc>
          <w:tcPr>
            <w:tcW w:type="dxa" w:w="2769"/>
          </w:tcPr>
          <w:p>
            <w:pPr>
              <w:pStyle w:val="null3"/>
            </w:pPr>
            <w:r>
              <w:rPr/>
              <w:t>29</w:t>
            </w:r>
          </w:p>
        </w:tc>
        <w:tc>
          <w:tcPr>
            <w:tcW w:type="dxa" w:w="2769"/>
          </w:tcPr>
          <w:p>
            <w:pPr>
              <w:pStyle w:val="null3"/>
            </w:pPr>
            <w:r>
              <w:rPr/>
              <w:t>配合采购人进行正版化检查工作，规划、牵头实施软件正版化检查，确保校内办公终端操作系统、办公软件、杀毒软件符合正版化工作要求。</w:t>
            </w:r>
          </w:p>
        </w:tc>
      </w:tr>
      <w:tr>
        <w:tc>
          <w:tcPr>
            <w:tcW w:type="dxa" w:w="2769"/>
          </w:tcPr>
          <w:p/>
        </w:tc>
        <w:tc>
          <w:tcPr>
            <w:tcW w:type="dxa" w:w="2769"/>
          </w:tcPr>
          <w:p>
            <w:pPr>
              <w:pStyle w:val="null3"/>
            </w:pPr>
            <w:r>
              <w:rPr/>
              <w:t>30</w:t>
            </w:r>
          </w:p>
        </w:tc>
        <w:tc>
          <w:tcPr>
            <w:tcW w:type="dxa" w:w="2769"/>
          </w:tcPr>
          <w:p>
            <w:pPr>
              <w:pStyle w:val="null3"/>
            </w:pPr>
            <w:r>
              <w:rPr/>
              <w:t>要求依照采购人统一身份认证平台的接口规范，实现单点登陆升级，并集成到统一身份认证系统中或根据学校相关集成要求，实现其它方式集成。</w:t>
            </w:r>
          </w:p>
        </w:tc>
      </w:tr>
      <w:tr>
        <w:tc>
          <w:tcPr>
            <w:tcW w:type="dxa" w:w="2769"/>
          </w:tcPr>
          <w:p/>
        </w:tc>
        <w:tc>
          <w:tcPr>
            <w:tcW w:type="dxa" w:w="2769"/>
          </w:tcPr>
          <w:p>
            <w:pPr>
              <w:pStyle w:val="null3"/>
            </w:pPr>
            <w:r>
              <w:rPr/>
              <w:t>31</w:t>
            </w:r>
          </w:p>
        </w:tc>
        <w:tc>
          <w:tcPr>
            <w:tcW w:type="dxa" w:w="2769"/>
          </w:tcPr>
          <w:p>
            <w:pPr>
              <w:pStyle w:val="null3"/>
            </w:pPr>
            <w:r>
              <w:rPr/>
              <w:t>软件管理：可通过该模块对校内提供的各项软件服务进行管理和维护，通过上传和发布功能在软件库中更新和维护软件的信息。</w:t>
            </w:r>
          </w:p>
        </w:tc>
      </w:tr>
      <w:tr>
        <w:tc>
          <w:tcPr>
            <w:tcW w:type="dxa" w:w="2769"/>
          </w:tcPr>
          <w:p/>
        </w:tc>
        <w:tc>
          <w:tcPr>
            <w:tcW w:type="dxa" w:w="2769"/>
          </w:tcPr>
          <w:p>
            <w:pPr>
              <w:pStyle w:val="null3"/>
            </w:pPr>
            <w:r>
              <w:rPr/>
              <w:t>32</w:t>
            </w:r>
          </w:p>
        </w:tc>
        <w:tc>
          <w:tcPr>
            <w:tcW w:type="dxa" w:w="2769"/>
          </w:tcPr>
          <w:p>
            <w:pPr>
              <w:pStyle w:val="null3"/>
            </w:pPr>
            <w:r>
              <w:rPr/>
              <w:t>要求金山WPS可对接学校OA系统，实现OA对WPS OFFICE的直接调用功能（需提供截图证明）。</w:t>
            </w:r>
          </w:p>
        </w:tc>
      </w:tr>
      <w:tr>
        <w:tc>
          <w:tcPr>
            <w:tcW w:type="dxa" w:w="2769"/>
          </w:tcPr>
          <w:p/>
        </w:tc>
        <w:tc>
          <w:tcPr>
            <w:tcW w:type="dxa" w:w="2769"/>
          </w:tcPr>
          <w:p>
            <w:pPr>
              <w:pStyle w:val="null3"/>
            </w:pPr>
            <w:r>
              <w:rPr/>
              <w:t>33</w:t>
            </w:r>
          </w:p>
        </w:tc>
        <w:tc>
          <w:tcPr>
            <w:tcW w:type="dxa" w:w="2769"/>
          </w:tcPr>
          <w:p>
            <w:pPr>
              <w:pStyle w:val="null3"/>
            </w:pPr>
            <w:r>
              <w:rPr/>
              <w:t>要求平台可集成其他正版工具类软件的功能。如在服务期期内提供其它正版工具类软件使用，如MATLAB、ADOBE、ATUOACD、UOS国产操作系统、杀毒软件等，可提供详细方案。</w:t>
            </w:r>
          </w:p>
        </w:tc>
      </w:tr>
      <w:tr>
        <w:tc>
          <w:tcPr>
            <w:tcW w:type="dxa" w:w="2769"/>
          </w:tcPr>
          <w:p/>
        </w:tc>
        <w:tc>
          <w:tcPr>
            <w:tcW w:type="dxa" w:w="2769"/>
          </w:tcPr>
          <w:p>
            <w:pPr>
              <w:pStyle w:val="null3"/>
            </w:pPr>
            <w:r>
              <w:rPr/>
              <w:t>34</w:t>
            </w:r>
          </w:p>
        </w:tc>
        <w:tc>
          <w:tcPr>
            <w:tcW w:type="dxa" w:w="2769"/>
          </w:tcPr>
          <w:p>
            <w:pPr>
              <w:pStyle w:val="null3"/>
            </w:pPr>
            <w:r>
              <w:rPr/>
              <w:t>提供客户服务支持服务，24小时响应，提供定期巡检、平台升级、数据导入、更新服务、技术支持等服务。</w:t>
            </w:r>
          </w:p>
        </w:tc>
      </w:tr>
      <w:tr>
        <w:tc>
          <w:tcPr>
            <w:tcW w:type="dxa" w:w="2769"/>
          </w:tcPr>
          <w:p/>
        </w:tc>
        <w:tc>
          <w:tcPr>
            <w:tcW w:type="dxa" w:w="2769"/>
          </w:tcPr>
          <w:p>
            <w:pPr>
              <w:pStyle w:val="null3"/>
            </w:pPr>
            <w:r>
              <w:rPr/>
              <w:t>35</w:t>
            </w:r>
          </w:p>
        </w:tc>
        <w:tc>
          <w:tcPr>
            <w:tcW w:type="dxa" w:w="2769"/>
          </w:tcPr>
          <w:p>
            <w:pPr>
              <w:pStyle w:val="null3"/>
            </w:pPr>
            <w:r>
              <w:rPr/>
              <w:t>培训3名以上网络管理人员，对系统进行操作培训。</w:t>
            </w:r>
          </w:p>
        </w:tc>
      </w:tr>
      <w:tr>
        <w:tc>
          <w:tcPr>
            <w:tcW w:type="dxa" w:w="2769"/>
          </w:tcPr>
          <w:p/>
        </w:tc>
        <w:tc>
          <w:tcPr>
            <w:tcW w:type="dxa" w:w="2769"/>
          </w:tcPr>
          <w:p>
            <w:pPr>
              <w:pStyle w:val="null3"/>
            </w:pPr>
            <w:r>
              <w:rPr/>
              <w:t>36</w:t>
            </w:r>
          </w:p>
        </w:tc>
        <w:tc>
          <w:tcPr>
            <w:tcW w:type="dxa" w:w="2769"/>
          </w:tcPr>
          <w:p>
            <w:pPr>
              <w:pStyle w:val="null3"/>
            </w:pPr>
            <w:r>
              <w:rPr/>
              <w:t>提供在线技术支持服务及服务电话、服务邮箱和400电话热线和网络咨询服务。</w:t>
            </w:r>
          </w:p>
        </w:tc>
      </w:tr>
      <w:tr>
        <w:tc>
          <w:tcPr>
            <w:tcW w:type="dxa" w:w="2769"/>
          </w:tcPr>
          <w:p/>
        </w:tc>
        <w:tc>
          <w:tcPr>
            <w:tcW w:type="dxa" w:w="2769"/>
          </w:tcPr>
          <w:p>
            <w:pPr>
              <w:pStyle w:val="null3"/>
            </w:pPr>
            <w:r>
              <w:rPr/>
              <w:t>37</w:t>
            </w:r>
          </w:p>
        </w:tc>
        <w:tc>
          <w:tcPr>
            <w:tcW w:type="dxa" w:w="2769"/>
          </w:tcPr>
          <w:p>
            <w:pPr>
              <w:pStyle w:val="null3"/>
            </w:pPr>
            <w:r>
              <w:rPr/>
              <w:t>软件在服务期内出现新版本应免费升级。</w:t>
            </w:r>
          </w:p>
        </w:tc>
      </w:tr>
      <w:tr>
        <w:tc>
          <w:tcPr>
            <w:tcW w:type="dxa" w:w="2769"/>
          </w:tcPr>
          <w:p/>
        </w:tc>
        <w:tc>
          <w:tcPr>
            <w:tcW w:type="dxa" w:w="2769"/>
          </w:tcPr>
          <w:p>
            <w:pPr>
              <w:pStyle w:val="null3"/>
            </w:pPr>
            <w:r>
              <w:rPr/>
              <w:t>38</w:t>
            </w:r>
          </w:p>
        </w:tc>
        <w:tc>
          <w:tcPr>
            <w:tcW w:type="dxa" w:w="2769"/>
          </w:tcPr>
          <w:p>
            <w:pPr>
              <w:pStyle w:val="null3"/>
            </w:pPr>
            <w:r>
              <w:rPr/>
              <w:t>提供不少于三场面向管理员或最终用户培训。</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标的名称：网络息资产合管理平台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平台部署： 系统应采用成熟的体系架构，具备良好的跨平台能力 。支持Linux 、 Unix 、Windows多种平台，完全支持跨平台 的部署，支持流行的商业中间件或开源中间件。</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数据库支持国产化数据库，也能够支持 Oracle 12C及以上版本或其他大型数据库，其他辅助工具和软件应使用业界主流的应用服务器软件。</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集群要求：需具备集群工作模式，能实现多机热备和应用级负载均衡。</w:t>
            </w:r>
          </w:p>
        </w:tc>
      </w:tr>
      <w:tr>
        <w:tc>
          <w:tcPr>
            <w:tcW w:type="dxa" w:w="2769"/>
          </w:tcPr>
          <w:p/>
        </w:tc>
        <w:tc>
          <w:tcPr>
            <w:tcW w:type="dxa" w:w="2769"/>
          </w:tcPr>
          <w:p>
            <w:pPr>
              <w:pStyle w:val="null3"/>
            </w:pPr>
            <w:r>
              <w:rPr/>
              <w:t>4</w:t>
            </w:r>
          </w:p>
        </w:tc>
        <w:tc>
          <w:tcPr>
            <w:tcW w:type="dxa" w:w="2769"/>
          </w:tcPr>
          <w:p>
            <w:pPr>
              <w:pStyle w:val="null3"/>
            </w:pPr>
            <w:r>
              <w:rPr/>
              <w:t>安全性：平台能够为用户提供安全的信息资源和业务数据的获取，保障信息传输的安全可靠、保障信息不被非法用户窃取、保障用户的合法身份不被盗用，支持SSL/TLS协 议。</w:t>
            </w:r>
          </w:p>
        </w:tc>
      </w:tr>
      <w:tr>
        <w:tc>
          <w:tcPr>
            <w:tcW w:type="dxa" w:w="2769"/>
          </w:tcPr>
          <w:p/>
        </w:tc>
        <w:tc>
          <w:tcPr>
            <w:tcW w:type="dxa" w:w="2769"/>
          </w:tcPr>
          <w:p>
            <w:pPr>
              <w:pStyle w:val="null3"/>
            </w:pPr>
            <w:r>
              <w:rPr/>
              <w:t>5</w:t>
            </w:r>
          </w:p>
        </w:tc>
        <w:tc>
          <w:tcPr>
            <w:tcW w:type="dxa" w:w="2769"/>
          </w:tcPr>
          <w:p>
            <w:pPr>
              <w:pStyle w:val="null3"/>
            </w:pPr>
            <w:r>
              <w:rPr/>
              <w:t>环境要求：B/S架构模式，平台需考虑到用户浏览器的复杂性和多元化，需支持的浏览器至少包括IE 10及以上、Microsoft Edge 13及以上、火狐浏览器、Chrome70及以上、 Safari、360极速浏览器 v8.5及以上、360安全浏览器v8.1及以上等。</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提供服务管理界面，支持维护用户、单位、角色、菜单、数据字典、系统参数、日志管理、权限管理、消息管理、通知公告管理。</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系统能够根据学校管理诉求，进行个性化定制。</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页面灵活变更能力：要求具备页面设计可视化、拖拽式操作，提供类Excel的设计界面风格。</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系统流程自定义能力：要求具备可视化流程设计能力，遵循BPMN2.0标准，实现业务流程的可视化搭建、变更。</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系统业务逻辑设计能力：要求提供可视化逻辑编排，可直观地编写、调整任何类型的复杂逻辑。</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系统报表编排能力：要求具备开发多种报表样式的能力，包括Excel表格类（财务 报表、会计报表、统计报表）、Word文档类 （审计报告、学业报告、不规则表格） 、 Dashboard管理看板（大屏驾驶舱）、分组报表、分栏报表、树形结构多层统计报表、各类套打单据报表。</w:t>
            </w:r>
          </w:p>
        </w:tc>
      </w:tr>
      <w:tr>
        <w:tc>
          <w:tcPr>
            <w:tcW w:type="dxa" w:w="2769"/>
          </w:tcPr>
          <w:p/>
        </w:tc>
        <w:tc>
          <w:tcPr>
            <w:tcW w:type="dxa" w:w="2769"/>
          </w:tcPr>
          <w:p>
            <w:pPr>
              <w:pStyle w:val="null3"/>
            </w:pPr>
            <w:r>
              <w:rPr/>
              <w:t>12</w:t>
            </w:r>
          </w:p>
        </w:tc>
        <w:tc>
          <w:tcPr>
            <w:tcW w:type="dxa" w:w="2769"/>
          </w:tcPr>
          <w:p>
            <w:pPr>
              <w:pStyle w:val="null3"/>
            </w:pPr>
            <w:r>
              <w:rPr/>
              <w:t>系统开放能力：要求提供标准的接口文档，可以灵活的被第三方查询与调用。</w:t>
            </w:r>
          </w:p>
        </w:tc>
      </w:tr>
      <w:tr>
        <w:tc>
          <w:tcPr>
            <w:tcW w:type="dxa" w:w="2769"/>
          </w:tcPr>
          <w:p/>
        </w:tc>
        <w:tc>
          <w:tcPr>
            <w:tcW w:type="dxa" w:w="2769"/>
          </w:tcPr>
          <w:p>
            <w:pPr>
              <w:pStyle w:val="null3"/>
            </w:pPr>
            <w:r>
              <w:rPr/>
              <w:t>13</w:t>
            </w:r>
          </w:p>
        </w:tc>
        <w:tc>
          <w:tcPr>
            <w:tcW w:type="dxa" w:w="2769"/>
          </w:tcPr>
          <w:p>
            <w:pPr>
              <w:pStyle w:val="null3"/>
            </w:pPr>
            <w:r>
              <w:rPr/>
              <w:t>系统首页：应包含通知公告、任务中心、 信息系统统计分析、系统安全运维人员信息统计、年度安全预警信息统计等，能够接收学校及部门发布的安全信息，包括发布的安全防御通报、通知、安全知识的消息通知。 能够按角色展示跟个人相关的待办任务实现消息提醒功能，能够分角色按照资产类别、 建设进度展示部门级和校级信息资产系统统计数据，能够按年度或月度展示安全事件预警信息统计数据。能够展示部门和校级系统 运维人员和安全运维人员名单。</w:t>
            </w:r>
          </w:p>
        </w:tc>
      </w:tr>
      <w:tr>
        <w:tc>
          <w:tcPr>
            <w:tcW w:type="dxa" w:w="2769"/>
          </w:tcPr>
          <w:p/>
        </w:tc>
        <w:tc>
          <w:tcPr>
            <w:tcW w:type="dxa" w:w="2769"/>
          </w:tcPr>
          <w:p>
            <w:pPr>
              <w:pStyle w:val="null3"/>
            </w:pPr>
            <w:r>
              <w:rPr/>
              <w:t>14</w:t>
            </w:r>
          </w:p>
        </w:tc>
        <w:tc>
          <w:tcPr>
            <w:tcW w:type="dxa" w:w="2769"/>
          </w:tcPr>
          <w:p>
            <w:pPr>
              <w:pStyle w:val="null3"/>
            </w:pPr>
            <w:r>
              <w:rPr/>
              <w:t>信息系统管理：信息资产管理由校内业务负责单位完成本部门的信息系统资产增删改查操作；信息系统资产发生变化时，包括服务器的申请（变更）、 IP 地址的申请（变 更） ，审核；域名信息的申请（变更） ，审核；运维信息的申请（变更） ，审核等；单位管理员提交信息变更申请，系统记录资产的变更日志，变更审核通过后自动更新管理员信息及相关权限；支持信息资产导出详细 信息表。</w:t>
            </w:r>
          </w:p>
        </w:tc>
      </w:tr>
      <w:tr>
        <w:tc>
          <w:tcPr>
            <w:tcW w:type="dxa" w:w="2769"/>
          </w:tcPr>
          <w:p/>
        </w:tc>
        <w:tc>
          <w:tcPr>
            <w:tcW w:type="dxa" w:w="2769"/>
          </w:tcPr>
          <w:p>
            <w:pPr>
              <w:pStyle w:val="null3"/>
            </w:pPr>
            <w:r>
              <w:rPr/>
              <w:t>15</w:t>
            </w:r>
          </w:p>
        </w:tc>
        <w:tc>
          <w:tcPr>
            <w:tcW w:type="dxa" w:w="2769"/>
          </w:tcPr>
          <w:p>
            <w:pPr>
              <w:pStyle w:val="null3"/>
            </w:pPr>
            <w:r>
              <w:rPr/>
              <w:t>信息系统主要包括软件资产（信息系统、 网站、APP 、小程序等），信息系统关键信息字段包括系统名称、单位信息、资产负责人、单位负责人、服务器信息、操作系统、 数据库、IP地址信息、对接统一身份认证情况、等保定级、测评时间、上线时间、维保到期时间、用户群体（对内/对外）、开放端口、中间件、安全策略、运维安全、部署逻 辑拓扑图等；其中信息系统资产信息包括子系统信息的等保备案信息，所属资产信息， 附加信息，安全运维信息等。</w:t>
            </w:r>
          </w:p>
        </w:tc>
      </w:tr>
      <w:tr>
        <w:tc>
          <w:tcPr>
            <w:tcW w:type="dxa" w:w="2769"/>
          </w:tcPr>
          <w:p/>
        </w:tc>
        <w:tc>
          <w:tcPr>
            <w:tcW w:type="dxa" w:w="2769"/>
          </w:tcPr>
          <w:p>
            <w:pPr>
              <w:pStyle w:val="null3"/>
            </w:pPr>
            <w:r>
              <w:rPr/>
              <w:t>16</w:t>
            </w:r>
          </w:p>
        </w:tc>
        <w:tc>
          <w:tcPr>
            <w:tcW w:type="dxa" w:w="2769"/>
          </w:tcPr>
          <w:p>
            <w:pPr>
              <w:pStyle w:val="null3"/>
            </w:pPr>
            <w:r>
              <w:rPr/>
              <w:t>信息系统年审：实现对全校信息系统资产的使用情况和信息准确性管理。年审任务管理，管理员下发年度审核任务，可实时查看年审进度，对快到期未年审的信息资产提供督办机制，对已超期未办理的提供对应管 理措施。系统年审，各单位系统管理员线上完成系统确认，及变更等操作。对单位系统管理员提交的年审情况，可进行消息提醒，方便管理员进行确认。实现对服务器、域名、IP的精细化管理能查看、导出、统计。</w:t>
            </w:r>
          </w:p>
        </w:tc>
      </w:tr>
      <w:tr>
        <w:tc>
          <w:tcPr>
            <w:tcW w:type="dxa" w:w="2769"/>
          </w:tcPr>
          <w:p/>
        </w:tc>
        <w:tc>
          <w:tcPr>
            <w:tcW w:type="dxa" w:w="2769"/>
          </w:tcPr>
          <w:p>
            <w:pPr>
              <w:pStyle w:val="null3"/>
            </w:pPr>
            <w:r>
              <w:rPr/>
              <w:t>17</w:t>
            </w:r>
          </w:p>
        </w:tc>
        <w:tc>
          <w:tcPr>
            <w:tcW w:type="dxa" w:w="2769"/>
          </w:tcPr>
          <w:p>
            <w:pPr>
              <w:pStyle w:val="null3"/>
            </w:pPr>
            <w:r>
              <w:rPr/>
              <w:t>双非系统管理：对学校“双非系统 ”进行台账信息管理， 由校级管理员和单位管理员使用。校级管理员和单位管理员填报“双非 ”系统，管理周期、责任单位信息；并可 配置审核流程。</w:t>
            </w:r>
          </w:p>
        </w:tc>
      </w:tr>
      <w:tr>
        <w:tc>
          <w:tcPr>
            <w:tcW w:type="dxa" w:w="2769"/>
          </w:tcPr>
          <w:p/>
        </w:tc>
        <w:tc>
          <w:tcPr>
            <w:tcW w:type="dxa" w:w="2769"/>
          </w:tcPr>
          <w:p>
            <w:pPr>
              <w:pStyle w:val="null3"/>
            </w:pPr>
            <w:r>
              <w:rPr/>
              <w:t>18</w:t>
            </w:r>
          </w:p>
        </w:tc>
        <w:tc>
          <w:tcPr>
            <w:tcW w:type="dxa" w:w="2769"/>
          </w:tcPr>
          <w:p>
            <w:pPr>
              <w:pStyle w:val="null3"/>
            </w:pPr>
            <w:r>
              <w:rPr/>
              <w:t>计算资源管理：对学校服务器（虚拟机） 台账信息管理， 由校级管理员和相关管理权限的工作人员使用。提供服务器申请、审批全流程管理，针对已建系统服务器信息可进行增删改查操作，支持数据导入。对应保垒机账号管理，可对账号进行增删改查操作，提供堡垒机账号变更停用等流程操作；可配置审核流程。</w:t>
            </w:r>
          </w:p>
        </w:tc>
      </w:tr>
      <w:tr>
        <w:tc>
          <w:tcPr>
            <w:tcW w:type="dxa" w:w="2769"/>
          </w:tcPr>
          <w:p/>
        </w:tc>
        <w:tc>
          <w:tcPr>
            <w:tcW w:type="dxa" w:w="2769"/>
          </w:tcPr>
          <w:p>
            <w:pPr>
              <w:pStyle w:val="null3"/>
            </w:pPr>
            <w:r>
              <w:rPr/>
              <w:t>19</w:t>
            </w:r>
          </w:p>
        </w:tc>
        <w:tc>
          <w:tcPr>
            <w:tcW w:type="dxa" w:w="2769"/>
          </w:tcPr>
          <w:p>
            <w:pPr>
              <w:pStyle w:val="null3"/>
            </w:pPr>
            <w:r>
              <w:rPr/>
              <w:t>IP地址管理：对学校IP地址库台账信息管理，由校级管理员和相关管理权限的工作人员使用。对IP地址进行增删改查操作，支持数据导入。IP地址白名单管理，对可开放校外访问IP进行管理，可设定开放时长。IP黑名单管理，记录异常攻击行为，可设定封禁时长；对需要开校外访问的系统IP，管理员可分配IP给相应的系统使用。</w:t>
            </w:r>
          </w:p>
        </w:tc>
      </w:tr>
      <w:tr>
        <w:tc>
          <w:tcPr>
            <w:tcW w:type="dxa" w:w="2769"/>
          </w:tcPr>
          <w:p/>
        </w:tc>
        <w:tc>
          <w:tcPr>
            <w:tcW w:type="dxa" w:w="2769"/>
          </w:tcPr>
          <w:p>
            <w:pPr>
              <w:pStyle w:val="null3"/>
            </w:pPr>
            <w:r>
              <w:rPr/>
              <w:t>20</w:t>
            </w:r>
          </w:p>
        </w:tc>
        <w:tc>
          <w:tcPr>
            <w:tcW w:type="dxa" w:w="2769"/>
          </w:tcPr>
          <w:p>
            <w:pPr>
              <w:pStyle w:val="null3"/>
            </w:pPr>
            <w:r>
              <w:rPr/>
              <w:t>域名管理：提供域名申请、审批全流程管理，针对已建系统域名信息可进行增删改 查操作，支持数据导入。</w:t>
            </w:r>
          </w:p>
        </w:tc>
      </w:tr>
      <w:tr>
        <w:tc>
          <w:tcPr>
            <w:tcW w:type="dxa" w:w="2769"/>
          </w:tcPr>
          <w:p/>
        </w:tc>
        <w:tc>
          <w:tcPr>
            <w:tcW w:type="dxa" w:w="2769"/>
          </w:tcPr>
          <w:p>
            <w:pPr>
              <w:pStyle w:val="null3"/>
            </w:pPr>
            <w:r>
              <w:rPr/>
              <w:t>21</w:t>
            </w:r>
          </w:p>
        </w:tc>
        <w:tc>
          <w:tcPr>
            <w:tcW w:type="dxa" w:w="2769"/>
          </w:tcPr>
          <w:p>
            <w:pPr>
              <w:pStyle w:val="null3"/>
            </w:pPr>
            <w:r>
              <w:rPr/>
              <w:t>VPN（堡垒机）管理：提供VPN（堡垒 机） 申请、审批全流程管理，针对已建系统 VPN信息可进行增删改查操作，支持数据导入。</w:t>
            </w:r>
          </w:p>
        </w:tc>
      </w:tr>
      <w:tr>
        <w:tc>
          <w:tcPr>
            <w:tcW w:type="dxa" w:w="2769"/>
          </w:tcPr>
          <w:p/>
        </w:tc>
        <w:tc>
          <w:tcPr>
            <w:tcW w:type="dxa" w:w="2769"/>
          </w:tcPr>
          <w:p>
            <w:pPr>
              <w:pStyle w:val="null3"/>
            </w:pPr>
            <w:r>
              <w:rPr/>
              <w:t>22</w:t>
            </w:r>
          </w:p>
        </w:tc>
        <w:tc>
          <w:tcPr>
            <w:tcW w:type="dxa" w:w="2769"/>
          </w:tcPr>
          <w:p>
            <w:pPr>
              <w:pStyle w:val="null3"/>
            </w:pPr>
            <w:r>
              <w:rPr/>
              <w:t>安全事件管理：应包含安全事件预警、安全事件处置、安全事件管理，对安全漏洞事件，下发漏洞处置通知、处置漏洞及反馈、处置确认的整个漏洞管理闭环流程。主要包括：漏洞管理，可单个、批量添加漏洞信息；管理员确认漏洞信息后下发漏洞处置督办流程，系统管理员根据督办要求处置安全漏洞 并反馈；漏洞库管理，提供常见漏洞处理办法、补丁；并可配置审核流程。</w:t>
            </w:r>
          </w:p>
        </w:tc>
      </w:tr>
      <w:tr>
        <w:tc>
          <w:tcPr>
            <w:tcW w:type="dxa" w:w="2769"/>
          </w:tcPr>
          <w:p/>
        </w:tc>
        <w:tc>
          <w:tcPr>
            <w:tcW w:type="dxa" w:w="2769"/>
          </w:tcPr>
          <w:p>
            <w:pPr>
              <w:pStyle w:val="null3"/>
            </w:pPr>
            <w:r>
              <w:rPr/>
              <w:t>23</w:t>
            </w:r>
          </w:p>
        </w:tc>
        <w:tc>
          <w:tcPr>
            <w:tcW w:type="dxa" w:w="2769"/>
          </w:tcPr>
          <w:p>
            <w:pPr>
              <w:pStyle w:val="null3"/>
            </w:pPr>
            <w:r>
              <w:rPr/>
              <w:t>系统管理：应包含用户、组织机构、角色、菜单、数据字典、系统参数、系统日志、流程管理、系统监控等功能，系统管理中基础数据包含用户信息、组织机构、角色、菜单功能权限授权，数据字典、系统参数、流程管理、系统日志可进行业务信息配置，系统日志记录查询管理的功能，留存所有日志不少于6个月，包括：用户登录、操作日志，资产信息的变更日志，漏洞处置全流程的日志等。提供对信息资产变更、管理员变更、 漏洞处置等流程进行灵活设置，可基于角色及个人配置每个流程环节审核人员信息，对各类流程申请，提供全流程图，并显示当前流程环节，待办人员等信息。</w:t>
            </w:r>
          </w:p>
        </w:tc>
      </w:tr>
      <w:tr>
        <w:tc>
          <w:tcPr>
            <w:tcW w:type="dxa" w:w="2769"/>
          </w:tcPr>
          <w:p>
            <w:pPr>
              <w:pStyle w:val="null3"/>
            </w:pPr>
            <w:r>
              <w:rPr/>
              <w:t>★</w:t>
            </w:r>
          </w:p>
        </w:tc>
        <w:tc>
          <w:tcPr>
            <w:tcW w:type="dxa" w:w="2769"/>
          </w:tcPr>
          <w:p>
            <w:pPr>
              <w:pStyle w:val="null3"/>
            </w:pPr>
            <w:r>
              <w:rPr/>
              <w:t>24</w:t>
            </w:r>
          </w:p>
        </w:tc>
        <w:tc>
          <w:tcPr>
            <w:tcW w:type="dxa" w:w="2769"/>
          </w:tcPr>
          <w:p>
            <w:pPr>
              <w:pStyle w:val="null3"/>
            </w:pPr>
            <w:r>
              <w:rPr/>
              <w:t>身份认证集成：要求将系统及应用的登录及身份认证功能和学校数字化校园的身份认证系统集成，实现统一身份认证。</w:t>
            </w:r>
          </w:p>
        </w:tc>
      </w:tr>
      <w:tr>
        <w:tc>
          <w:tcPr>
            <w:tcW w:type="dxa" w:w="2769"/>
          </w:tcPr>
          <w:p>
            <w:pPr>
              <w:pStyle w:val="null3"/>
            </w:pPr>
            <w:r>
              <w:rPr/>
              <w:t>★</w:t>
            </w:r>
          </w:p>
        </w:tc>
        <w:tc>
          <w:tcPr>
            <w:tcW w:type="dxa" w:w="2769"/>
          </w:tcPr>
          <w:p>
            <w:pPr>
              <w:pStyle w:val="null3"/>
            </w:pPr>
            <w:r>
              <w:rPr/>
              <w:t>25</w:t>
            </w:r>
          </w:p>
        </w:tc>
        <w:tc>
          <w:tcPr>
            <w:tcW w:type="dxa" w:w="2769"/>
          </w:tcPr>
          <w:p>
            <w:pPr>
              <w:pStyle w:val="null3"/>
            </w:pPr>
            <w:r>
              <w:rPr/>
              <w:t>应用服务集成：要求具备将系统的独立访问地址封装成服务应用的能力，将能够独立展示的服务与一网通办（门户）中的事项服务进行融合，实现事项和服务的关联。</w:t>
            </w:r>
          </w:p>
        </w:tc>
      </w:tr>
      <w:tr>
        <w:tc>
          <w:tcPr>
            <w:tcW w:type="dxa" w:w="2769"/>
          </w:tcPr>
          <w:p>
            <w:pPr>
              <w:pStyle w:val="null3"/>
            </w:pPr>
            <w:r>
              <w:rPr/>
              <w:t>★</w:t>
            </w:r>
          </w:p>
        </w:tc>
        <w:tc>
          <w:tcPr>
            <w:tcW w:type="dxa" w:w="2769"/>
          </w:tcPr>
          <w:p>
            <w:pPr>
              <w:pStyle w:val="null3"/>
            </w:pPr>
            <w:r>
              <w:rPr/>
              <w:t>26</w:t>
            </w:r>
          </w:p>
        </w:tc>
        <w:tc>
          <w:tcPr>
            <w:tcW w:type="dxa" w:w="2769"/>
          </w:tcPr>
          <w:p>
            <w:pPr>
              <w:pStyle w:val="null3"/>
            </w:pPr>
            <w:r>
              <w:rPr/>
              <w:t>数据集成：数据集成包括数据共享和数据同步，一方面将系统相关数据共享给学校数据中心或相关业务系统，另一方面可从学校数据中心或相关业务系统中同步业务数据，实现数据交换功能。要求系统所需数据 或需共享交互数据都统一遵循学校主数据管理平台数据集成标准。数据集成方式支持通过Web Service方式进行数据调用集成，同时支持通过数据集成工具完成异构数据的集成 同步。</w:t>
            </w:r>
          </w:p>
        </w:tc>
      </w:tr>
      <w:tr>
        <w:tc>
          <w:tcPr>
            <w:tcW w:type="dxa" w:w="2769"/>
          </w:tcPr>
          <w:p>
            <w:pPr>
              <w:pStyle w:val="null3"/>
            </w:pPr>
            <w:r>
              <w:rPr/>
              <w:t>★</w:t>
            </w:r>
          </w:p>
        </w:tc>
        <w:tc>
          <w:tcPr>
            <w:tcW w:type="dxa" w:w="2769"/>
          </w:tcPr>
          <w:p>
            <w:pPr>
              <w:pStyle w:val="null3"/>
            </w:pPr>
            <w:r>
              <w:rPr/>
              <w:t>27</w:t>
            </w:r>
          </w:p>
        </w:tc>
        <w:tc>
          <w:tcPr>
            <w:tcW w:type="dxa" w:w="2769"/>
          </w:tcPr>
          <w:p>
            <w:pPr>
              <w:pStyle w:val="null3"/>
            </w:pPr>
            <w:r>
              <w:rPr/>
              <w:t>消息任务集成：要求系统实现在一网通办（门户） 中直观的展现系统的消息和任务。具备通过一网通办（门户） 向用户提供统一的待办任务、流程消息的统一展现（PC、 微信、短信、邮件、钉钉、APP等）能力，从而实现校内业务的一站式办理。</w:t>
            </w:r>
          </w:p>
        </w:tc>
      </w:tr>
      <w:tr>
        <w:tc>
          <w:tcPr>
            <w:tcW w:type="dxa" w:w="2769"/>
          </w:tcPr>
          <w:p/>
        </w:tc>
        <w:tc>
          <w:tcPr>
            <w:tcW w:type="dxa" w:w="2769"/>
          </w:tcPr>
          <w:p>
            <w:pPr>
              <w:pStyle w:val="null3"/>
            </w:pPr>
            <w:r>
              <w:rPr/>
              <w:t>28</w:t>
            </w:r>
          </w:p>
        </w:tc>
        <w:tc>
          <w:tcPr>
            <w:tcW w:type="dxa" w:w="2769"/>
          </w:tcPr>
          <w:p>
            <w:pPr>
              <w:pStyle w:val="null3"/>
            </w:pPr>
            <w:r>
              <w:rPr/>
              <w:t>在项目实施过程中，为了保证项目实施过程顺利有序，保证用户方、开发方等各方对项目建设进行实时监控，及时发现和解决的问题，投标人需作出详细的项目管理方案， 需建立相应的项目管理规范，包括项目执行监控流程、执行监控的方法、执行监控的责任等，使管理和监控工作流程化、规范化，管理和监控工作责任明确。</w:t>
            </w:r>
          </w:p>
        </w:tc>
      </w:tr>
      <w:tr>
        <w:tc>
          <w:tcPr>
            <w:tcW w:type="dxa" w:w="2769"/>
          </w:tcPr>
          <w:p/>
        </w:tc>
        <w:tc>
          <w:tcPr>
            <w:tcW w:type="dxa" w:w="2769"/>
          </w:tcPr>
          <w:p>
            <w:pPr>
              <w:pStyle w:val="null3"/>
            </w:pPr>
            <w:r>
              <w:rPr/>
              <w:t>29</w:t>
            </w:r>
          </w:p>
        </w:tc>
        <w:tc>
          <w:tcPr>
            <w:tcW w:type="dxa" w:w="2769"/>
          </w:tcPr>
          <w:p>
            <w:pPr>
              <w:pStyle w:val="null3"/>
            </w:pPr>
            <w:r>
              <w:rPr/>
              <w:t>项目实施时间进度要求：本次项目业务调研、实施工作量较大，投标方须按时开展业务梳理、调研、实施工作，并及时投入使用。本项目要求严格按工期完成，并达到采购人的要求，要求在投标文件中提供详实的 实施进度表。要求签订合同后20个日历日内完成项目建设工作并上线运行。</w:t>
            </w:r>
          </w:p>
        </w:tc>
      </w:tr>
      <w:tr>
        <w:tc>
          <w:tcPr>
            <w:tcW w:type="dxa" w:w="2769"/>
          </w:tcPr>
          <w:p/>
        </w:tc>
        <w:tc>
          <w:tcPr>
            <w:tcW w:type="dxa" w:w="2769"/>
          </w:tcPr>
          <w:p>
            <w:pPr>
              <w:pStyle w:val="null3"/>
            </w:pPr>
            <w:r>
              <w:rPr/>
              <w:t>30</w:t>
            </w:r>
          </w:p>
        </w:tc>
        <w:tc>
          <w:tcPr>
            <w:tcW w:type="dxa" w:w="2769"/>
          </w:tcPr>
          <w:p>
            <w:pPr>
              <w:pStyle w:val="null3"/>
            </w:pPr>
            <w:r>
              <w:rPr/>
              <w:t>项目组织架构及职责要求：描述项目成员的组成，以及成员的职责；项目经理负责全程跟踪项目的开发与实施，直至该项目验收，并保证现场工作时间不低于2个月。该项目经理应具备高校同类项目的成功开发实施 经验，并在项目中承担项目经理职务。</w:t>
            </w:r>
          </w:p>
        </w:tc>
      </w:tr>
      <w:tr>
        <w:tc>
          <w:tcPr>
            <w:tcW w:type="dxa" w:w="2769"/>
          </w:tcPr>
          <w:p/>
        </w:tc>
        <w:tc>
          <w:tcPr>
            <w:tcW w:type="dxa" w:w="2769"/>
          </w:tcPr>
          <w:p>
            <w:pPr>
              <w:pStyle w:val="null3"/>
            </w:pPr>
            <w:r>
              <w:rPr/>
              <w:t>31</w:t>
            </w:r>
          </w:p>
        </w:tc>
        <w:tc>
          <w:tcPr>
            <w:tcW w:type="dxa" w:w="2769"/>
          </w:tcPr>
          <w:p>
            <w:pPr>
              <w:pStyle w:val="null3"/>
            </w:pPr>
            <w:r>
              <w:rPr/>
              <w:t>项目文档管理及交付要求：在本期项目的开发过程中和交付使用后，要求将各个阶段产生的全面、规范的成果和文档资料交付给采购方，需提供明确的交付清单。同时，成果和文档资料必须符合软件工程的相关要 求。交付的成果和文档资料需要包括可运行的系统、定制开发的所有源代码、技术文档、管理文档等。</w:t>
            </w:r>
          </w:p>
        </w:tc>
      </w:tr>
      <w:tr>
        <w:tc>
          <w:tcPr>
            <w:tcW w:type="dxa" w:w="2769"/>
          </w:tcPr>
          <w:p/>
        </w:tc>
        <w:tc>
          <w:tcPr>
            <w:tcW w:type="dxa" w:w="2769"/>
          </w:tcPr>
          <w:p>
            <w:pPr>
              <w:pStyle w:val="null3"/>
            </w:pPr>
            <w:r>
              <w:rPr/>
              <w:t>32</w:t>
            </w:r>
          </w:p>
        </w:tc>
        <w:tc>
          <w:tcPr>
            <w:tcW w:type="dxa" w:w="2769"/>
          </w:tcPr>
          <w:p>
            <w:pPr>
              <w:pStyle w:val="null3"/>
            </w:pPr>
            <w:r>
              <w:rPr/>
              <w:t>本项目中，投标方提供的所有软件、数 据库、中间件、开发工具、平台工具等必须具有自主知识产权或为正版软件，不得使用、提供盗版软件，如由此引起的法律问题由投 标方负完全责任。</w:t>
            </w:r>
          </w:p>
        </w:tc>
      </w:tr>
      <w:tr>
        <w:tc>
          <w:tcPr>
            <w:tcW w:type="dxa" w:w="2769"/>
          </w:tcPr>
          <w:p/>
        </w:tc>
        <w:tc>
          <w:tcPr>
            <w:tcW w:type="dxa" w:w="2769"/>
          </w:tcPr>
          <w:p>
            <w:pPr>
              <w:pStyle w:val="null3"/>
            </w:pPr>
            <w:r>
              <w:rPr/>
              <w:t>33</w:t>
            </w:r>
          </w:p>
        </w:tc>
        <w:tc>
          <w:tcPr>
            <w:tcW w:type="dxa" w:w="2769"/>
          </w:tcPr>
          <w:p>
            <w:pPr>
              <w:pStyle w:val="null3"/>
            </w:pPr>
            <w:r>
              <w:rPr/>
              <w:t>供应商必须对项目技术文件以及由学校 提供的所有内部资料、技术文档、数据和信息予以保密。在项目正式实施前必须与学校签订保密协议，未经校方书面许可，供应商不得以任何形式向第三方透露本项目标书以 及本项目的任何内容。如违反保密协议，学校可免责拒绝履行合同并且要求赔偿。</w:t>
            </w:r>
          </w:p>
        </w:tc>
      </w:tr>
      <w:tr>
        <w:tc>
          <w:tcPr>
            <w:tcW w:type="dxa" w:w="2769"/>
          </w:tcPr>
          <w:p/>
        </w:tc>
        <w:tc>
          <w:tcPr>
            <w:tcW w:type="dxa" w:w="2769"/>
          </w:tcPr>
          <w:p>
            <w:pPr>
              <w:pStyle w:val="null3"/>
            </w:pPr>
            <w:r>
              <w:rPr/>
              <w:t>34</w:t>
            </w:r>
          </w:p>
        </w:tc>
        <w:tc>
          <w:tcPr>
            <w:tcW w:type="dxa" w:w="2769"/>
          </w:tcPr>
          <w:p>
            <w:pPr>
              <w:pStyle w:val="null3"/>
            </w:pPr>
            <w:r>
              <w:rPr/>
              <w:t>在投标方案中应具体制定针对不同岗位的培训内容、培训时间和培训名额等。投标人派出的培训讲师应具有丰富的同类课程的教学经验和应用经验；所有的培训讲师需用中文授课。在实施过程中，针对网络信息资 产综合管理平台的应用开发、应用管理、应用对接和应用运维提供培训，保证培训的效果，让系统使用人员都能熟练掌握系统的使用方法。</w:t>
            </w:r>
          </w:p>
        </w:tc>
      </w:tr>
      <w:tr>
        <w:tc>
          <w:tcPr>
            <w:tcW w:type="dxa" w:w="2769"/>
          </w:tcPr>
          <w:p/>
        </w:tc>
        <w:tc>
          <w:tcPr>
            <w:tcW w:type="dxa" w:w="2769"/>
          </w:tcPr>
          <w:p>
            <w:pPr>
              <w:pStyle w:val="null3"/>
            </w:pPr>
            <w:r>
              <w:rPr/>
              <w:t>35</w:t>
            </w:r>
          </w:p>
        </w:tc>
        <w:tc>
          <w:tcPr>
            <w:tcW w:type="dxa" w:w="2769"/>
          </w:tcPr>
          <w:p>
            <w:pPr>
              <w:pStyle w:val="null3"/>
            </w:pPr>
            <w:r>
              <w:rPr/>
              <w:t>本项目投标方需提供自验收合格之日起一年的免费售后服务保障。对用户提出的售后需求2小时响应，4小时解决，重大故障4小时到达用户现场。售后服务内容包括但不限于运行保障能力、软件升级、安全漏洞修补、bug修复、故障的应急处理、需求变更等。供应商需制定有针对性的运维保障方案，建立完善的本地化售后服务体系。安全漏洞修 补、bug修复应终身负责。</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标的名称：服务器维保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color w:val="000000"/>
                <w:sz w:val="21"/>
              </w:rPr>
              <w:t>29台H3C服务器（24台UIS-Cell-3030-G3，4台UN-R4900-G3-8SFF-C，1台BD-ND5200-G3-12LFF-B-3）原厂免费质保及技术服务</w:t>
            </w:r>
            <w:r>
              <w:rPr/>
              <w:t>。</w:t>
            </w:r>
          </w:p>
        </w:tc>
      </w:tr>
      <w:tr>
        <w:tc>
          <w:tcPr>
            <w:tcW w:type="dxa" w:w="2769"/>
          </w:tcPr>
          <w:p/>
        </w:tc>
        <w:tc>
          <w:tcPr>
            <w:tcW w:type="dxa" w:w="2769"/>
          </w:tcPr>
          <w:p>
            <w:pPr>
              <w:pStyle w:val="null3"/>
            </w:pPr>
            <w:r>
              <w:rPr/>
              <w:t>2</w:t>
            </w:r>
          </w:p>
        </w:tc>
        <w:tc>
          <w:tcPr>
            <w:tcW w:type="dxa" w:w="2769"/>
          </w:tcPr>
          <w:p>
            <w:pPr>
              <w:pStyle w:val="null3"/>
            </w:pPr>
            <w:r>
              <w:rPr/>
              <w:t>远程技术支持服务 ，7×24 400客户服务热线，提供产品技术咨询、故障申报受理、硬件维修RMA受理等服务内容。</w:t>
            </w:r>
          </w:p>
        </w:tc>
      </w:tr>
      <w:tr>
        <w:tc>
          <w:tcPr>
            <w:tcW w:type="dxa" w:w="2769"/>
          </w:tcPr>
          <w:p/>
        </w:tc>
        <w:tc>
          <w:tcPr>
            <w:tcW w:type="dxa" w:w="2769"/>
          </w:tcPr>
          <w:p>
            <w:pPr>
              <w:pStyle w:val="null3"/>
            </w:pPr>
            <w:r>
              <w:rPr/>
              <w:t>3</w:t>
            </w:r>
          </w:p>
        </w:tc>
        <w:tc>
          <w:tcPr>
            <w:tcW w:type="dxa" w:w="2769"/>
          </w:tcPr>
          <w:p>
            <w:pPr>
              <w:pStyle w:val="null3"/>
            </w:pPr>
            <w:r>
              <w:rPr/>
              <w:t>软件支持服务，服务的有效期内，向客户提供相 应的软件支持服务。软件支持服务包括客户所购设备主机软件的版本，如软件补丁（Bug Fixes）、固件版本（Firmware Version）、软件版本更新（Soft Version Updates）等，以及这些软件的配套文档资 料。</w:t>
            </w:r>
          </w:p>
        </w:tc>
      </w:tr>
      <w:tr>
        <w:tc>
          <w:tcPr>
            <w:tcW w:type="dxa" w:w="2769"/>
          </w:tcPr>
          <w:p/>
        </w:tc>
        <w:tc>
          <w:tcPr>
            <w:tcW w:type="dxa" w:w="2769"/>
          </w:tcPr>
          <w:p>
            <w:pPr>
              <w:pStyle w:val="null3"/>
            </w:pPr>
            <w:r>
              <w:rPr/>
              <w:t>4</w:t>
            </w:r>
          </w:p>
        </w:tc>
        <w:tc>
          <w:tcPr>
            <w:tcW w:type="dxa" w:w="2769"/>
          </w:tcPr>
          <w:p>
            <w:pPr>
              <w:pStyle w:val="null3"/>
            </w:pPr>
            <w:r>
              <w:rPr/>
              <w:t>快速现场技术支持服务现场处理客户问题及产品升级、故障处理、漏洞修复等技术问题。</w:t>
            </w:r>
          </w:p>
        </w:tc>
      </w:tr>
    </w:tbl>
    <w:p>
      <w:pPr>
        <w:pStyle w:val="null3"/>
      </w:pPr>
      <w:r>
        <w:rPr/>
        <w:t>标的名称：超融合软件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color w:val="000000"/>
                <w:sz w:val="21"/>
              </w:rPr>
              <w:t>24套H3C超融合软件（6套LIS-CAS-CVMA-ENT-2，6套LIS-UIS-ONEStor-BLOCK-STD-2CPU，12套LIS-UIS-MANGERA-STD-2）原厂免费质保及技术服务。</w:t>
            </w:r>
          </w:p>
        </w:tc>
      </w:tr>
      <w:tr>
        <w:tc>
          <w:tcPr>
            <w:tcW w:type="dxa" w:w="2769"/>
          </w:tcPr>
          <w:p/>
        </w:tc>
        <w:tc>
          <w:tcPr>
            <w:tcW w:type="dxa" w:w="2769"/>
          </w:tcPr>
          <w:p>
            <w:pPr>
              <w:pStyle w:val="null3"/>
            </w:pPr>
            <w:r>
              <w:rPr/>
              <w:t>2</w:t>
            </w:r>
          </w:p>
        </w:tc>
        <w:tc>
          <w:tcPr>
            <w:tcW w:type="dxa" w:w="2769"/>
          </w:tcPr>
          <w:p>
            <w:pPr>
              <w:pStyle w:val="null3"/>
            </w:pPr>
            <w:r>
              <w:rPr/>
              <w:t>远程技术支持服务，7×24 400客户服务热线，提供产品技术咨询、故障申报受理服务内容。</w:t>
            </w:r>
          </w:p>
        </w:tc>
      </w:tr>
      <w:tr>
        <w:tc>
          <w:tcPr>
            <w:tcW w:type="dxa" w:w="2769"/>
          </w:tcPr>
          <w:p/>
        </w:tc>
        <w:tc>
          <w:tcPr>
            <w:tcW w:type="dxa" w:w="2769"/>
          </w:tcPr>
          <w:p>
            <w:pPr>
              <w:pStyle w:val="null3"/>
            </w:pPr>
            <w:r>
              <w:rPr/>
              <w:t>3</w:t>
            </w:r>
          </w:p>
        </w:tc>
        <w:tc>
          <w:tcPr>
            <w:tcW w:type="dxa" w:w="2769"/>
          </w:tcPr>
          <w:p>
            <w:pPr>
              <w:pStyle w:val="null3"/>
            </w:pPr>
            <w:r>
              <w:rPr/>
              <w:t>软件支持服务，服务的有效期内，向客户提供相应的软件支持服务。软件支持服务包括客户所购设备主机软件的版本，如软件补丁（Bug Fixes）、固件版本（Firmware Version）、软件版本更新（Soft Version Updates）等，以及这些软件的配套文档资 料。</w:t>
            </w:r>
          </w:p>
        </w:tc>
      </w:tr>
      <w:tr>
        <w:tc>
          <w:tcPr>
            <w:tcW w:type="dxa" w:w="2769"/>
          </w:tcPr>
          <w:p/>
        </w:tc>
        <w:tc>
          <w:tcPr>
            <w:tcW w:type="dxa" w:w="2769"/>
          </w:tcPr>
          <w:p>
            <w:pPr>
              <w:pStyle w:val="null3"/>
            </w:pPr>
            <w:r>
              <w:rPr/>
              <w:t>4</w:t>
            </w:r>
          </w:p>
        </w:tc>
        <w:tc>
          <w:tcPr>
            <w:tcW w:type="dxa" w:w="2769"/>
          </w:tcPr>
          <w:p>
            <w:pPr>
              <w:pStyle w:val="null3"/>
            </w:pPr>
            <w:r>
              <w:rPr/>
              <w:t>快速现场技术支持服务现场处理客户问题及产品升级、故障处理、漏洞修复等技术问题 。</w:t>
            </w:r>
          </w:p>
        </w:tc>
      </w:tr>
      <w:tr>
        <w:tc>
          <w:tcPr>
            <w:tcW w:type="dxa" w:w="2769"/>
          </w:tcPr>
          <w:p/>
        </w:tc>
        <w:tc>
          <w:tcPr>
            <w:tcW w:type="dxa" w:w="2769"/>
          </w:tcPr>
          <w:p>
            <w:pPr>
              <w:pStyle w:val="null3"/>
            </w:pPr>
            <w:r>
              <w:rPr/>
              <w:t>5</w:t>
            </w:r>
          </w:p>
        </w:tc>
        <w:tc>
          <w:tcPr>
            <w:tcW w:type="dxa" w:w="2769"/>
          </w:tcPr>
          <w:p>
            <w:pPr>
              <w:pStyle w:val="null3"/>
            </w:pPr>
            <w:r>
              <w:rPr/>
              <w:t>根据客户的安排进行现场的巡检，不少于1年4次。</w:t>
            </w:r>
          </w:p>
        </w:tc>
      </w:tr>
      <w:tr>
        <w:tc>
          <w:tcPr>
            <w:tcW w:type="dxa" w:w="2769"/>
          </w:tcPr>
          <w:p/>
        </w:tc>
        <w:tc>
          <w:tcPr>
            <w:tcW w:type="dxa" w:w="2769"/>
          </w:tcPr>
          <w:p>
            <w:pPr>
              <w:pStyle w:val="null3"/>
            </w:pPr>
            <w:r>
              <w:rPr/>
              <w:t>6</w:t>
            </w:r>
          </w:p>
        </w:tc>
        <w:tc>
          <w:tcPr>
            <w:tcW w:type="dxa" w:w="2769"/>
          </w:tcPr>
          <w:p>
            <w:pPr>
              <w:pStyle w:val="null3"/>
            </w:pPr>
            <w:r>
              <w:rPr/>
              <w:t>每年不少于2次的技术培训，具体根据客户要求定制。</w:t>
            </w:r>
          </w:p>
        </w:tc>
      </w:tr>
    </w:tbl>
    <w:p>
      <w:pPr>
        <w:pStyle w:val="null3"/>
      </w:pPr>
      <w:r>
        <w:rPr/>
        <w:t>标的名称：核心交换机维保服务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color w:val="000000"/>
                <w:sz w:val="21"/>
              </w:rPr>
              <w:t>5台H3C 交换机（2台 LS-S10508，1台 LS-S10508，2台 LS-S10508，2台LS-12510-X-AC）原厂免费质保及技术服务。</w:t>
            </w:r>
          </w:p>
        </w:tc>
      </w:tr>
      <w:tr>
        <w:tc>
          <w:tcPr>
            <w:tcW w:type="dxa" w:w="2769"/>
          </w:tcPr>
          <w:p/>
        </w:tc>
        <w:tc>
          <w:tcPr>
            <w:tcW w:type="dxa" w:w="2769"/>
          </w:tcPr>
          <w:p>
            <w:pPr>
              <w:pStyle w:val="null3"/>
            </w:pPr>
            <w:r>
              <w:rPr/>
              <w:t>2</w:t>
            </w:r>
          </w:p>
        </w:tc>
        <w:tc>
          <w:tcPr>
            <w:tcW w:type="dxa" w:w="2769"/>
          </w:tcPr>
          <w:p>
            <w:pPr>
              <w:pStyle w:val="null3"/>
            </w:pPr>
            <w:r>
              <w:rPr/>
              <w:t>远程技术支持服务，7×24 400客户服务热线，提供产品技术咨询、故障申报受理、硬件维修RMA受理等服务内容。</w:t>
            </w:r>
          </w:p>
        </w:tc>
      </w:tr>
      <w:tr>
        <w:tc>
          <w:tcPr>
            <w:tcW w:type="dxa" w:w="2769"/>
          </w:tcPr>
          <w:p/>
        </w:tc>
        <w:tc>
          <w:tcPr>
            <w:tcW w:type="dxa" w:w="2769"/>
          </w:tcPr>
          <w:p>
            <w:pPr>
              <w:pStyle w:val="null3"/>
            </w:pPr>
            <w:r>
              <w:rPr/>
              <w:t>3</w:t>
            </w:r>
          </w:p>
        </w:tc>
        <w:tc>
          <w:tcPr>
            <w:tcW w:type="dxa" w:w="2769"/>
          </w:tcPr>
          <w:p>
            <w:pPr>
              <w:pStyle w:val="null3"/>
            </w:pPr>
            <w:r>
              <w:rPr/>
              <w:t>软件支持服务，服务的有效期内，向客户提供相应的软件支持服务。软件支持服务包括客户所购设备主机软件的版本，如软件补丁（Bug Fixes）、固件版本（Firmware Version）、软件版本更新（Soft Version Updates）等，以及这些软件的配套文档资料。</w:t>
            </w:r>
          </w:p>
        </w:tc>
      </w:tr>
      <w:tr>
        <w:tc>
          <w:tcPr>
            <w:tcW w:type="dxa" w:w="2769"/>
          </w:tcPr>
          <w:p/>
        </w:tc>
        <w:tc>
          <w:tcPr>
            <w:tcW w:type="dxa" w:w="2769"/>
          </w:tcPr>
          <w:p>
            <w:pPr>
              <w:pStyle w:val="null3"/>
            </w:pPr>
            <w:r>
              <w:rPr/>
              <w:t>4</w:t>
            </w:r>
          </w:p>
        </w:tc>
        <w:tc>
          <w:tcPr>
            <w:tcW w:type="dxa" w:w="2769"/>
          </w:tcPr>
          <w:p>
            <w:pPr>
              <w:pStyle w:val="null3"/>
            </w:pPr>
            <w:r>
              <w:rPr/>
              <w:t>快速现场技术支持服务 现场处理客户问题及产品升级、故障处理、漏洞修复等技术问题。</w:t>
            </w:r>
          </w:p>
        </w:tc>
      </w:tr>
      <w:tr>
        <w:tc>
          <w:tcPr>
            <w:tcW w:type="dxa" w:w="2769"/>
          </w:tcPr>
          <w:p/>
        </w:tc>
        <w:tc>
          <w:tcPr>
            <w:tcW w:type="dxa" w:w="2769"/>
          </w:tcPr>
          <w:p>
            <w:pPr>
              <w:pStyle w:val="null3"/>
            </w:pPr>
            <w:r>
              <w:rPr/>
              <w:t>5</w:t>
            </w:r>
          </w:p>
        </w:tc>
        <w:tc>
          <w:tcPr>
            <w:tcW w:type="dxa" w:w="2769"/>
          </w:tcPr>
          <w:p>
            <w:pPr>
              <w:pStyle w:val="null3"/>
            </w:pPr>
            <w:r>
              <w:rPr/>
              <w:t>根据客户的安排进行现场的巡检，不少于1年4次。</w:t>
            </w:r>
          </w:p>
        </w:tc>
      </w:tr>
    </w:tbl>
    <w:p>
      <w:pPr>
        <w:pStyle w:val="null3"/>
      </w:pPr>
      <w:r>
        <w:rPr/>
        <w:t>标的名称：存储设备维保服务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color w:val="000000"/>
                <w:sz w:val="21"/>
              </w:rPr>
              <w:t>2台3PAR存储（SHXYAUVSTNC3PAR 01）原厂免费质保及技术服务。</w:t>
            </w:r>
          </w:p>
        </w:tc>
      </w:tr>
      <w:tr>
        <w:tc>
          <w:tcPr>
            <w:tcW w:type="dxa" w:w="2769"/>
          </w:tcPr>
          <w:p/>
        </w:tc>
        <w:tc>
          <w:tcPr>
            <w:tcW w:type="dxa" w:w="2769"/>
          </w:tcPr>
          <w:p>
            <w:pPr>
              <w:pStyle w:val="null3"/>
            </w:pPr>
            <w:r>
              <w:rPr/>
              <w:t>2</w:t>
            </w:r>
          </w:p>
        </w:tc>
        <w:tc>
          <w:tcPr>
            <w:tcW w:type="dxa" w:w="2769"/>
          </w:tcPr>
          <w:p>
            <w:pPr>
              <w:pStyle w:val="null3"/>
            </w:pPr>
            <w:r>
              <w:rPr/>
              <w:t>远程技术支持服务 ，7×24 400客户服务热线，提供产品技术咨询、故障申报受理、硬件维修RMA受理等服务内容。</w:t>
            </w:r>
          </w:p>
        </w:tc>
      </w:tr>
      <w:tr>
        <w:tc>
          <w:tcPr>
            <w:tcW w:type="dxa" w:w="2769"/>
          </w:tcPr>
          <w:p/>
        </w:tc>
        <w:tc>
          <w:tcPr>
            <w:tcW w:type="dxa" w:w="2769"/>
          </w:tcPr>
          <w:p>
            <w:pPr>
              <w:pStyle w:val="null3"/>
            </w:pPr>
            <w:r>
              <w:rPr/>
              <w:t>3</w:t>
            </w:r>
          </w:p>
        </w:tc>
        <w:tc>
          <w:tcPr>
            <w:tcW w:type="dxa" w:w="2769"/>
          </w:tcPr>
          <w:p>
            <w:pPr>
              <w:pStyle w:val="null3"/>
            </w:pPr>
            <w:r>
              <w:rPr/>
              <w:t>软件支持服务，服务的有效期内，向客户提供相应的软件支持服务。软件支持服务包括客户所购设备主机软件的版本，如软件补丁（Bug Fixes）、固件版本（Firmware Version）、软件版本更新（Soft Version Updates）等，以及这些软件的配套文档资 料。</w:t>
            </w:r>
          </w:p>
        </w:tc>
      </w:tr>
      <w:tr>
        <w:tc>
          <w:tcPr>
            <w:tcW w:type="dxa" w:w="2769"/>
          </w:tcPr>
          <w:p/>
        </w:tc>
        <w:tc>
          <w:tcPr>
            <w:tcW w:type="dxa" w:w="2769"/>
          </w:tcPr>
          <w:p>
            <w:pPr>
              <w:pStyle w:val="null3"/>
            </w:pPr>
            <w:r>
              <w:rPr/>
              <w:t>4</w:t>
            </w:r>
          </w:p>
        </w:tc>
        <w:tc>
          <w:tcPr>
            <w:tcW w:type="dxa" w:w="2769"/>
          </w:tcPr>
          <w:p>
            <w:pPr>
              <w:pStyle w:val="null3"/>
            </w:pPr>
            <w:r>
              <w:rPr/>
              <w:t>快速现场技术支持服务现场处理客户问题及产品升级、故障处理、漏洞修复等技术问题。</w:t>
            </w:r>
          </w:p>
        </w:tc>
      </w:tr>
      <w:tr>
        <w:tc>
          <w:tcPr>
            <w:tcW w:type="dxa" w:w="2769"/>
          </w:tcPr>
          <w:p/>
        </w:tc>
        <w:tc>
          <w:tcPr>
            <w:tcW w:type="dxa" w:w="2769"/>
          </w:tcPr>
          <w:p>
            <w:pPr>
              <w:pStyle w:val="null3"/>
            </w:pPr>
            <w:r>
              <w:rPr/>
              <w:t>5</w:t>
            </w:r>
          </w:p>
        </w:tc>
        <w:tc>
          <w:tcPr>
            <w:tcW w:type="dxa" w:w="2769"/>
          </w:tcPr>
          <w:p>
            <w:pPr>
              <w:pStyle w:val="null3"/>
            </w:pPr>
            <w:r>
              <w:rPr/>
              <w:t>根据客户的安排进行现场的巡检，不少于1年4次。</w:t>
            </w:r>
          </w:p>
        </w:tc>
      </w:tr>
    </w:tbl>
    <w:p>
      <w:pPr>
        <w:pStyle w:val="null3"/>
        <w:outlineLvl w:val="2"/>
      </w:pPr>
      <w:r>
        <w:rPr>
          <w:b/>
          <w:sz w:val="28"/>
        </w:rPr>
        <w:t>3.2.3人员配置要求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2"/>
      </w:pPr>
      <w:r>
        <w:rPr>
          <w:b/>
          <w:sz w:val="28"/>
        </w:rPr>
        <w:t>3.2.4设施设备要求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2"/>
      </w:pPr>
      <w:r>
        <w:rPr>
          <w:b/>
          <w:sz w:val="28"/>
        </w:rPr>
        <w:t>3.2.5其他要求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pPr>
      <w:r>
        <w:rPr/>
        <w:t>采购包2：</w:t>
      </w:r>
    </w:p>
    <w:p>
      <w:pPr>
        <w:pStyle w:val="null3"/>
      </w:pPr>
      <w:r>
        <w:rPr/>
        <w:t>1年</w:t>
      </w:r>
    </w:p>
    <w:p>
      <w:pPr>
        <w:pStyle w:val="null3"/>
      </w:pPr>
      <w:r>
        <w:rPr/>
        <w:t>采购包3：</w:t>
      </w:r>
    </w:p>
    <w:p>
      <w:pPr>
        <w:pStyle w:val="null3"/>
      </w:pPr>
      <w:r>
        <w:rPr/>
        <w:t>1年</w:t>
      </w:r>
    </w:p>
    <w:p>
      <w:pPr>
        <w:pStyle w:val="null3"/>
        <w:outlineLvl w:val="3"/>
      </w:pPr>
      <w:r>
        <w:rPr>
          <w:b/>
          <w:sz w:val="24"/>
        </w:rPr>
        <w:t>3.3.2服务地点</w:t>
      </w:r>
    </w:p>
    <w:p>
      <w:pPr>
        <w:pStyle w:val="null3"/>
      </w:pPr>
      <w:r>
        <w:rPr/>
        <w:t>采购包1：</w:t>
      </w:r>
    </w:p>
    <w:p>
      <w:pPr>
        <w:pStyle w:val="null3"/>
      </w:pPr>
      <w:r>
        <w:rPr/>
        <w:t>延安大学指定地点</w:t>
      </w:r>
    </w:p>
    <w:p>
      <w:pPr>
        <w:pStyle w:val="null3"/>
      </w:pPr>
      <w:r>
        <w:rPr/>
        <w:t>采购包2：</w:t>
      </w:r>
    </w:p>
    <w:p>
      <w:pPr>
        <w:pStyle w:val="null3"/>
      </w:pPr>
      <w:r>
        <w:rPr/>
        <w:t>延安大学指定地点</w:t>
      </w:r>
    </w:p>
    <w:p>
      <w:pPr>
        <w:pStyle w:val="null3"/>
      </w:pPr>
      <w:r>
        <w:rPr/>
        <w:t>采购包3：</w:t>
      </w:r>
    </w:p>
    <w:p>
      <w:pPr>
        <w:pStyle w:val="null3"/>
      </w:pPr>
      <w:r>
        <w:rPr/>
        <w:t>延安大学指定地点</w:t>
      </w:r>
    </w:p>
    <w:p>
      <w:pPr>
        <w:pStyle w:val="null3"/>
        <w:outlineLvl w:val="3"/>
      </w:pPr>
      <w:r>
        <w:rPr>
          <w:b/>
          <w:sz w:val="24"/>
        </w:rPr>
        <w:t>3.3.3考核（验收）标准和方法</w:t>
      </w:r>
    </w:p>
    <w:p>
      <w:pPr>
        <w:pStyle w:val="null3"/>
      </w:pPr>
      <w:r>
        <w:rPr/>
        <w:t>采购包1：</w:t>
      </w:r>
    </w:p>
    <w:p>
      <w:pPr>
        <w:pStyle w:val="null3"/>
      </w:pPr>
      <w:r>
        <w:rPr/>
        <w:t>合同文本、合同附件、用户使用手册、常见问题处理手册、培训服务 方案、宣传推广方案、培训记录、平台巡检报告、学校正版化软件维护台账、协助学校完成软件资产管理 系统填报。正版化平台运行稳定，供应商要在目前使用的正版软件授权到期之日前进行最新正版化软件授权，确保学校场地授权不间断；软件下载及激活正常，售后服务及时，满足学校师生使用要求。</w:t>
      </w:r>
    </w:p>
    <w:p>
      <w:pPr>
        <w:pStyle w:val="null3"/>
      </w:pPr>
      <w:r>
        <w:rPr/>
        <w:t>采购包2：</w:t>
      </w:r>
    </w:p>
    <w:p>
      <w:pPr>
        <w:pStyle w:val="null3"/>
      </w:pPr>
      <w:r>
        <w:rPr/>
        <w:t>在本项目的开发过程中和交付使用后，需将各个阶段产生的全面、规范的成果和文档资料交付给 采购方，并提供明确的交付清单。同时，成果和文档资料必须符合软件工程的相关要求。交付的成果和文档资料需要包括但不限于可运行的系统、定制开发的所有源代码、技术文档、管理文档、操作手册等。 验收依据： 1 、合同文本、合同附件。 2 、国内相应的标准、规范。 3 、其他相关资料。</w:t>
      </w:r>
    </w:p>
    <w:p>
      <w:pPr>
        <w:pStyle w:val="null3"/>
      </w:pPr>
      <w:r>
        <w:rPr/>
        <w:t>采购包3：</w:t>
      </w:r>
    </w:p>
    <w:p>
      <w:pPr>
        <w:pStyle w:val="null3"/>
      </w:pPr>
      <w:r>
        <w:rPr/>
        <w:t>1.备品备件为原厂正品。2.硬件、软件系统 4 次巡检，提交 H3C 公司授 权的巡检报告，维保结束之前需将季度巡检报告和维保总结报告装订成册，移交延安大学网络信息中心存 档。3.提供原厂维保服务生效函。</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验收完成</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合同签订</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验收合格</w:t>
      </w:r>
      <w:r>
        <w:rPr/>
        <w:t xml:space="preserve"> ，达到付款条件起 </w:t>
      </w:r>
      <w:r>
        <w:rPr/>
        <w:t>30</w:t>
      </w:r>
      <w:r>
        <w:rPr/>
        <w:t xml:space="preserve"> 日内，支付合同总金额的 </w:t>
      </w:r>
      <w:r>
        <w:rPr/>
        <w:t>60.00</w:t>
      </w:r>
      <w:r>
        <w:rPr/>
        <w:t>%。</w:t>
      </w:r>
    </w:p>
    <w:p>
      <w:pPr>
        <w:pStyle w:val="null3"/>
      </w:pPr>
      <w:r>
        <w:rPr/>
        <w:t>采购包3：</w:t>
      </w:r>
      <w:r>
        <w:rPr/>
        <w:t xml:space="preserve"> 付款条件说明： </w:t>
      </w:r>
      <w:r>
        <w:rPr/>
        <w:t>合同签订</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验收合格</w:t>
      </w:r>
      <w:r>
        <w:rPr/>
        <w:t xml:space="preserve"> ，达到付款条件起 </w:t>
      </w:r>
      <w:r>
        <w:rPr/>
        <w:t>30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中标人未按合同约定提供货物、服务或未达到约定的标准的，采购人有权解除合 同，并可依法向中标人主张不低于合同 总价款30%的违约金，造成损害的，可一并主张损害赔偿。采购人违约的，应当赔偿 中标人的经济损失。 双方发生争议的， 应协商解决，协商不成的，向采购人所在地人民法院提起诉讼解决。</w:t>
      </w:r>
    </w:p>
    <w:p>
      <w:pPr>
        <w:pStyle w:val="null3"/>
      </w:pPr>
      <w:r>
        <w:rPr/>
        <w:t>采购包2：</w:t>
      </w:r>
    </w:p>
    <w:p>
      <w:pPr>
        <w:pStyle w:val="null3"/>
      </w:pPr>
      <w:r>
        <w:rPr/>
        <w:t>中标人未按合同约定提供货物、服务或未达到约定的标准的，采购人有权解除合 同，并可依法向中标人主张不低于合同 总价款30%的违约金，造成损害的，可一并主张损害赔偿。采购人违约的，应当赔偿 中标人的经济损失。 双方发生争议的， 应协商解决，协商不成的，向采购人所在地人民法院提起诉讼解决。</w:t>
      </w:r>
    </w:p>
    <w:p>
      <w:pPr>
        <w:pStyle w:val="null3"/>
      </w:pPr>
      <w:r>
        <w:rPr/>
        <w:t>采购包3：</w:t>
      </w:r>
    </w:p>
    <w:p>
      <w:pPr>
        <w:pStyle w:val="null3"/>
      </w:pPr>
      <w:r>
        <w:rPr/>
        <w:t>中标人未按合同约定提供货物、服务或未达到约定的标准的，采购人有权解除合 同，并可依法向中标人主张不低于合同 总价款30%的违约金，造成损害的，可一并主张损害赔偿。采购人违约的，应当赔偿 中标人的经济损失。 双方发生争议的， 应协商解决，协商不成的，向采购人所在地人民法院提起诉讼解决。</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中小企业声明函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中小企业声明函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中小企业声明函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具有独立承担民事责任能力的法人、其他组织或自然人，并出具合法有效的营业执照（附2022年度报告）或事业单位法人证书等国家规定的相关证明，自然人参与的提供其身份证明</w:t>
            </w:r>
          </w:p>
        </w:tc>
        <w:tc>
          <w:tcPr>
            <w:tcW w:type="dxa" w:w="3322"/>
          </w:tcPr>
          <w:p>
            <w:pPr>
              <w:pStyle w:val="null3"/>
            </w:pPr>
            <w:r>
              <w:rPr/>
              <w:t>营业执照（附2022年度报告）</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法定代表人授权书及被授权人身份证（法定代表人直接投标只须提交其身份证）</w:t>
            </w:r>
          </w:p>
        </w:tc>
        <w:tc>
          <w:tcPr>
            <w:tcW w:type="dxa" w:w="3322"/>
          </w:tcPr>
          <w:p>
            <w:pPr>
              <w:pStyle w:val="null3"/>
            </w:pPr>
            <w:r>
              <w:rPr/>
              <w:t>法定代表人授权书及被授权人身份证（法定代表人直接投标只须提交其身份证）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332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332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财务状况报告：提供2022年度经审计的财务报告；或开标时间前六个月内银行出具的资信证明</w:t>
            </w:r>
          </w:p>
        </w:tc>
        <w:tc>
          <w:tcPr>
            <w:tcW w:type="dxa" w:w="3322"/>
          </w:tcPr>
          <w:p>
            <w:pPr>
              <w:pStyle w:val="null3"/>
            </w:pPr>
            <w:r>
              <w:rPr/>
              <w:t>财务状况报告：提供2022年度经审计的财务报告；或开标时间前六个月内银行出具的资信证明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书面声明：参加本次政府采购活动前三年内在经营活动中没有重大违纪的书面声明</w:t>
            </w:r>
          </w:p>
        </w:tc>
        <w:tc>
          <w:tcPr>
            <w:tcW w:type="dxa" w:w="3322"/>
          </w:tcPr>
          <w:p>
            <w:pPr>
              <w:pStyle w:val="null3"/>
            </w:pPr>
            <w:r>
              <w:rPr/>
              <w:t>书面声明：参加本次政府采购活动前三年内在经营活动中没有重大违纪的书面声明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提供具有履行本项目所必需的设备和专业技术能力的承诺函</w:t>
            </w:r>
          </w:p>
        </w:tc>
        <w:tc>
          <w:tcPr>
            <w:tcW w:type="dxa" w:w="3322"/>
          </w:tcPr>
          <w:p>
            <w:pPr>
              <w:pStyle w:val="null3"/>
            </w:pPr>
            <w:r>
              <w:rPr/>
              <w:t>提供具有履行本项目所必需的设备和专业技术能力的承诺函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本项目专门面向中小企业采购，供应商需提供中小企业声明函。（按《政府采购促进中小企业发展管理办法》(财库〔2020〕46号附件1格式提供)</w:t>
            </w:r>
          </w:p>
        </w:tc>
        <w:tc>
          <w:tcPr>
            <w:tcW w:type="dxa" w:w="3322"/>
          </w:tcPr>
          <w:p>
            <w:pPr>
              <w:pStyle w:val="null3"/>
            </w:pPr>
            <w:r>
              <w:rPr/>
              <w:t>本项目专门面向中小企业采购，供应商需提供中小企业声明函。（按《政府采购促进中小企业发展管理办法》(财库〔2020〕46号附件1格式提供)</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具有独立承担民事责任能力的法人、其他组织或自然人，并出具合法有效的营业执照（附2022年度报告）或事业单位法人证书等国家规定的相关证明，自然人参与的提供其身份证明</w:t>
            </w:r>
          </w:p>
        </w:tc>
        <w:tc>
          <w:tcPr>
            <w:tcW w:type="dxa" w:w="3322"/>
          </w:tcPr>
          <w:p>
            <w:pPr>
              <w:pStyle w:val="null3"/>
            </w:pPr>
            <w:r>
              <w:rPr/>
              <w:t>营业执照（附2022年度报告）</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法定代表人授权书及被授权人身份证（法定代表人直接投标只须提交其身份证）</w:t>
            </w:r>
          </w:p>
        </w:tc>
        <w:tc>
          <w:tcPr>
            <w:tcW w:type="dxa" w:w="3322"/>
          </w:tcPr>
          <w:p>
            <w:pPr>
              <w:pStyle w:val="null3"/>
            </w:pPr>
            <w:r>
              <w:rPr/>
              <w:t>法定代表人授权书及被授权人身份证（法定代表人直接投标只须提交其身份证）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332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332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财务状况报告：提供2022年度经审计的财务报告；或开标时间前六个月内银行出具的资信证明</w:t>
            </w:r>
          </w:p>
        </w:tc>
        <w:tc>
          <w:tcPr>
            <w:tcW w:type="dxa" w:w="3322"/>
          </w:tcPr>
          <w:p>
            <w:pPr>
              <w:pStyle w:val="null3"/>
            </w:pPr>
            <w:r>
              <w:rPr/>
              <w:t>财务状况报告：提供2022年度经审计的财务报告；或开标时间前六个月内银行出具的资信证明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书面声明：参加本次政府采购活动前三年内在经营活动中没有重大违纪的书面声明</w:t>
            </w:r>
          </w:p>
        </w:tc>
        <w:tc>
          <w:tcPr>
            <w:tcW w:type="dxa" w:w="3322"/>
          </w:tcPr>
          <w:p>
            <w:pPr>
              <w:pStyle w:val="null3"/>
            </w:pPr>
            <w:r>
              <w:rPr/>
              <w:t>书面声明：参加本次政府采购活动前三年内在经营活动中没有重大违纪的书面声明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提供具有履行本项目所必需的设备和专业技术能力的承诺函</w:t>
            </w:r>
          </w:p>
        </w:tc>
        <w:tc>
          <w:tcPr>
            <w:tcW w:type="dxa" w:w="3322"/>
          </w:tcPr>
          <w:p>
            <w:pPr>
              <w:pStyle w:val="null3"/>
            </w:pPr>
            <w:r>
              <w:rPr/>
              <w:t>提供具有履行本项目所必需的设备和专业技术能力的承诺函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本项目专门面向中小企业采购，供应商需提供中小企业声明函。（按《政府采购促进中小企业发展管理办法》(财库〔2020〕46号附件1格式提供)</w:t>
            </w:r>
          </w:p>
        </w:tc>
        <w:tc>
          <w:tcPr>
            <w:tcW w:type="dxa" w:w="3322"/>
          </w:tcPr>
          <w:p>
            <w:pPr>
              <w:pStyle w:val="null3"/>
            </w:pPr>
            <w:r>
              <w:rPr/>
              <w:t>本项目专门面向中小企业采购，供应商需提供中小企业声明函。（按《政府采购促进中小企业发展管理办法》(财库〔2020〕46号附件1格式提供)</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具有独立承担民事责任能力的法人、其他组织或自然人，并出具合法有效的营业执照（附2022年度报告）或事业单位法人证书等国家规定的相关证明，自然人参与的提供其身份证明</w:t>
            </w:r>
          </w:p>
        </w:tc>
        <w:tc>
          <w:tcPr>
            <w:tcW w:type="dxa" w:w="3322"/>
          </w:tcPr>
          <w:p>
            <w:pPr>
              <w:pStyle w:val="null3"/>
            </w:pPr>
            <w:r>
              <w:rPr/>
              <w:t>营业执照（附2022年度报告）</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法定代表人授权书及被授权人身份证（法定代表人直接投标只须提交其身份证）</w:t>
            </w:r>
          </w:p>
        </w:tc>
        <w:tc>
          <w:tcPr>
            <w:tcW w:type="dxa" w:w="3322"/>
          </w:tcPr>
          <w:p>
            <w:pPr>
              <w:pStyle w:val="null3"/>
            </w:pPr>
            <w:r>
              <w:rPr/>
              <w:t>法定代表人授权书及被授权人身份证（法定代表人直接投标只须提交其身份证）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3322"/>
          </w:tcPr>
          <w:p>
            <w:pPr>
              <w:pStyle w:val="null3"/>
            </w:pPr>
            <w:r>
              <w:rPr/>
              <w:t>提供缴费所属日期为谈判截止时间6个月内任一个月谈判截止时间当月不计入）的增值税（或企业所得税）缴费凭据或税务机关出具的完税证明/在法规范围内不需提供的应出具书面说明和证明文件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332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财务状况报告：提供2022年度经审计的财务报告；或开标时间前六个月内银行出具的资信证明</w:t>
            </w:r>
          </w:p>
        </w:tc>
        <w:tc>
          <w:tcPr>
            <w:tcW w:type="dxa" w:w="3322"/>
          </w:tcPr>
          <w:p>
            <w:pPr>
              <w:pStyle w:val="null3"/>
            </w:pPr>
            <w:r>
              <w:rPr/>
              <w:t>财务状况报告：提供2022年度经审计的财务报告；或开标时间前六个月内银行出具的资信证明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书面声明：参加本次政府采购活动前三年内在经营活动中没有重大违纪的书面声明</w:t>
            </w:r>
          </w:p>
        </w:tc>
        <w:tc>
          <w:tcPr>
            <w:tcW w:type="dxa" w:w="3322"/>
          </w:tcPr>
          <w:p>
            <w:pPr>
              <w:pStyle w:val="null3"/>
            </w:pPr>
            <w:r>
              <w:rPr/>
              <w:t>书面声明：参加本次政府采购活动前三年内在经营活动中没有重大违纪的书面声明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提供具有履行本项目所必需的设备和专业技术能力的承诺函</w:t>
            </w:r>
          </w:p>
        </w:tc>
        <w:tc>
          <w:tcPr>
            <w:tcW w:type="dxa" w:w="3322"/>
          </w:tcPr>
          <w:p>
            <w:pPr>
              <w:pStyle w:val="null3"/>
            </w:pPr>
            <w:r>
              <w:rPr/>
              <w:t>提供具有履行本项目所必需的设备和专业技术能力的承诺函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本项目专门面向中小企业采购，供应商需提供中小企业声明函。（按《政府采购促进中小企业发展管理办法》(财库〔2020〕46号附件1格式提供)</w:t>
            </w:r>
          </w:p>
        </w:tc>
        <w:tc>
          <w:tcPr>
            <w:tcW w:type="dxa" w:w="3322"/>
          </w:tcPr>
          <w:p>
            <w:pPr>
              <w:pStyle w:val="null3"/>
            </w:pPr>
            <w:r>
              <w:rPr/>
              <w:t>本项目专门面向中小企业采购，供应商需提供中小企业声明函。（按《政府采购促进中小企业发展管理办法》(财库〔2020〕46号附件1格式提供)</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技术参数与性能指标</w:t>
            </w:r>
          </w:p>
        </w:tc>
        <w:tc>
          <w:tcPr>
            <w:tcW w:type="dxa" w:w="2492"/>
          </w:tcPr>
          <w:p>
            <w:pPr>
              <w:pStyle w:val="null3"/>
            </w:pPr>
            <w:r>
              <w:rPr/>
              <w:t>完全满足技术参数与性能指标中每一项要求的计39.3分；每有一项有负偏离的扣0.3分，扣完为止。</w:t>
            </w:r>
          </w:p>
        </w:tc>
        <w:tc>
          <w:tcPr>
            <w:tcW w:type="dxa" w:w="831"/>
          </w:tcPr>
          <w:p>
            <w:pPr>
              <w:pStyle w:val="null3"/>
              <w:jc w:val="right"/>
            </w:pPr>
            <w:r>
              <w:rPr/>
              <w:t>39.30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总体实施方案内容完整性、准确性、方案可行性等总体情况进行综合评分。 1.设计思路；2.建设思路；3.编制、设计重难点分析； 以上各项方案全面完整，重点突出，满足项目实际需求得13-19分；较为完整，基本满足需求得7-13分；不完全满足得1-7分；未提供不得分。</w:t>
            </w:r>
          </w:p>
        </w:tc>
        <w:tc>
          <w:tcPr>
            <w:tcW w:type="dxa" w:w="831"/>
          </w:tcPr>
          <w:p>
            <w:pPr>
              <w:pStyle w:val="null3"/>
              <w:jc w:val="right"/>
            </w:pPr>
            <w:r>
              <w:rPr/>
              <w:t>19.00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服务质量保证措施内容总体思路清晰、合理、可行性强，能够有效保障服务质量得6-7.7分；总体思路较清、合理，可行性较强，能有效保障服务质量得3-5分；总体思路基本清晰，基本能够保障服务质量得1-2分。未提供不得分。</w:t>
            </w:r>
          </w:p>
        </w:tc>
        <w:tc>
          <w:tcPr>
            <w:tcW w:type="dxa" w:w="831"/>
          </w:tcPr>
          <w:p>
            <w:pPr>
              <w:pStyle w:val="null3"/>
              <w:jc w:val="right"/>
            </w:pPr>
            <w:r>
              <w:rPr/>
              <w:t>7.70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提供自2021年7月1日以来的同类业绩的，每提供1份计1分，计满4分为止。（需提供合同复印件并加盖电子签章）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注：专门面向中小企业采购的项目，不再执行价格评审优惠的扶持政策。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技术参数与性能指标</w:t>
            </w:r>
          </w:p>
        </w:tc>
        <w:tc>
          <w:tcPr>
            <w:tcW w:type="dxa" w:w="2492"/>
          </w:tcPr>
          <w:p>
            <w:pPr>
              <w:pStyle w:val="null3"/>
            </w:pPr>
            <w:r>
              <w:rPr/>
              <w:t>完全满足技术参数与性能指标中每一项要求的计35分；每有一项有负偏离的扣1分，扣完为止。有实质性优于采购文件要求的，每有1项计1分，计满5分为止</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总体实施方案内容完整性、准确性、方案可行性等总体情况进行综合评分。 1.设计思路；2.建设思路；3.编制、设计重难点分析； 以上各项方案全面完整，重点突出，满足项目实际需求得8-10分；较为完整，基本满足需求得4-7分；不完全满足得1-3分；未提供不得分。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服务质量保证措施内容总体思路清晰、合理、可行性强，能够有效保障服务质量得5-6分；总体思路较清晰、合理，可行性较强，能有效保障服务质量得3-4分；总体思路基本清晰，基本能够保障服务质量得1-2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项目经理及人员配置</w:t>
            </w:r>
          </w:p>
        </w:tc>
        <w:tc>
          <w:tcPr>
            <w:tcW w:type="dxa" w:w="2492"/>
          </w:tcPr>
          <w:p>
            <w:pPr>
              <w:pStyle w:val="null3"/>
            </w:pPr>
            <w:r>
              <w:rPr/>
              <w:t>1.项目经理具有信息化类中级职称的计2分，具有信息化类副高级职称的计3分，具有信息化类正高级职称的计4分。（需提供职称证明材料）2.项目成员具有信息化类中级职称的每人加0.5分，具有信息化类副高级职称的每人加1分，具有信息化类正高级职称的，每人加1.5分，此项最高加3分（需提供职称证明材料）。3.项目经理具有同类项目开发经验的（必须作为项目经理），每有一个加1分，此项最高加3分。（需提供包括但不限于同类项目甲方出具的证明函等相关证明材料）</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提供自2021年7月1日以来的同类业绩的，每提供1份计1分，计满4分为止。（需提供合同复印件并加盖电子签章）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注：专门面向中小企业采购的项目，不再执行价格评审优惠的扶持政策。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技术参数与性能指标</w:t>
            </w:r>
          </w:p>
        </w:tc>
        <w:tc>
          <w:tcPr>
            <w:tcW w:type="dxa" w:w="2492"/>
          </w:tcPr>
          <w:p>
            <w:pPr>
              <w:pStyle w:val="null3"/>
            </w:pPr>
            <w:r>
              <w:rPr/>
              <w:t>完全满足技术参数与性能指标中每一项要求的计40分；每有一项有负偏离的扣2分，扣完为止.</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总体实施方案内容完整性、准确性、方案可行性等总体情况进行综合评分。 1.设计思路；2.建设思路；3.编制、设计重难点分析； 以上各项方案全面完整，重点突出，满足项目实际需求得14-20分；较为完整，基本满足需求得7-13分；不完全满足得1-6分；未提供不得分。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质量实施保证</w:t>
            </w:r>
          </w:p>
        </w:tc>
        <w:tc>
          <w:tcPr>
            <w:tcW w:type="dxa" w:w="2492"/>
          </w:tcPr>
          <w:p>
            <w:pPr>
              <w:pStyle w:val="null3"/>
            </w:pPr>
            <w:r>
              <w:rPr/>
              <w:t>服务质量保证措施内容总体思路清晰、合理、可行性强，能够有效保障服务质量得5-6分；总体思路较清晰、合理，可行性较强，能有效保障服务质量得3-4分；总体思路基本清晰，基本能够保障服务质量得1-2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提供自2021年7月1日以来的同类业绩的，每提供1份计1分，计满4分为止。（需提供合同复印件并加盖电子签章）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注：专门面向中小企业采购的项目，不再执行价格评审优惠的扶持政策。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详见附件：合同主要条款.docx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