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135"/>
        </w:tabs>
        <w:ind w:firstLine="0" w:firstLineChars="0"/>
        <w:jc w:val="center"/>
        <w:rPr>
          <w:sz w:val="44"/>
          <w:szCs w:val="44"/>
        </w:rPr>
      </w:pPr>
      <w:r>
        <w:rPr>
          <w:rFonts w:hint="eastAsia"/>
          <w:sz w:val="44"/>
          <w:szCs w:val="44"/>
        </w:rPr>
        <w:t>合同主要条款</w:t>
      </w:r>
    </w:p>
    <w:p>
      <w:pPr>
        <w:ind w:firstLine="560"/>
      </w:pPr>
    </w:p>
    <w:p>
      <w:pPr>
        <w:ind w:firstLine="560"/>
      </w:pPr>
      <w:r>
        <w:t>（此合同条款为参考条款，采购人可与中标供应商协商调整部分条款）</w:t>
      </w:r>
    </w:p>
    <w:p>
      <w:pPr>
        <w:ind w:firstLine="560"/>
      </w:pPr>
    </w:p>
    <w:p>
      <w:pPr>
        <w:ind w:firstLine="560"/>
        <w:rPr>
          <w:rFonts w:hint="eastAsia"/>
        </w:rPr>
      </w:pPr>
      <w:r>
        <w:t>甲方：</w:t>
      </w:r>
      <w:r>
        <w:rPr>
          <w:rFonts w:hint="eastAsia"/>
        </w:rPr>
        <w:t>延安大学</w:t>
      </w:r>
    </w:p>
    <w:p>
      <w:pPr>
        <w:ind w:firstLine="560"/>
      </w:pPr>
      <w:r>
        <w:t>乙方：</w:t>
      </w:r>
    </w:p>
    <w:p>
      <w:pPr>
        <w:pStyle w:val="2"/>
      </w:pPr>
      <w:bookmarkStart w:id="53" w:name="_GoBack"/>
      <w:bookmarkEnd w:id="53"/>
    </w:p>
    <w:p>
      <w:pPr>
        <w:ind w:firstLine="560"/>
      </w:pPr>
      <w:r>
        <w:t>根据《中华人民国共和国民法典》、《中华人民国共和国政府采购法》的相关规定，经甲乙双方协商，</w:t>
      </w:r>
      <w:r>
        <w:rPr>
          <w:rFonts w:hint="eastAsia"/>
        </w:rPr>
        <w:t>就数字校园平台与信息化升级改造项目一期</w:t>
      </w:r>
      <w:r>
        <w:t>项目达成协议如下：</w:t>
      </w:r>
    </w:p>
    <w:p>
      <w:pPr>
        <w:ind w:firstLine="560"/>
      </w:pPr>
      <w:bookmarkStart w:id="0" w:name="_Toc6165"/>
      <w:bookmarkStart w:id="1" w:name="_Toc21171"/>
      <w:bookmarkStart w:id="2" w:name="_Toc20666"/>
      <w:bookmarkStart w:id="3" w:name="_Toc5823"/>
      <w:r>
        <w:t>1.合同概况</w:t>
      </w:r>
      <w:bookmarkEnd w:id="0"/>
      <w:bookmarkEnd w:id="1"/>
      <w:bookmarkEnd w:id="2"/>
      <w:bookmarkEnd w:id="3"/>
    </w:p>
    <w:p>
      <w:pPr>
        <w:ind w:firstLine="560"/>
      </w:pPr>
      <w:r>
        <w:t>1.1合同内容：</w:t>
      </w:r>
      <w:r>
        <w:rPr>
          <w:u w:val="single"/>
        </w:rPr>
        <w:t>　　　　　　　　　　</w:t>
      </w:r>
    </w:p>
    <w:p>
      <w:pPr>
        <w:ind w:firstLine="560"/>
        <w:rPr>
          <w:u w:val="single"/>
        </w:rPr>
      </w:pPr>
      <w:r>
        <w:t>1.2合同总价款：</w:t>
      </w:r>
      <w:r>
        <w:rPr>
          <w:u w:val="single"/>
        </w:rPr>
        <w:t>　　　　　　　　　</w:t>
      </w:r>
    </w:p>
    <w:p>
      <w:pPr>
        <w:ind w:firstLine="560"/>
      </w:pPr>
      <w:r>
        <w:t>合同价格为含税价，供应商提供服务所需的货物及所发生的一切税费（包括增值税）等都已包含于合同价款中。</w:t>
      </w:r>
    </w:p>
    <w:p>
      <w:pPr>
        <w:ind w:firstLine="560"/>
      </w:pPr>
      <w:bookmarkStart w:id="4" w:name="_Toc25367"/>
      <w:bookmarkStart w:id="5" w:name="_Toc27107"/>
      <w:bookmarkStart w:id="6" w:name="_Toc20163"/>
      <w:bookmarkStart w:id="7" w:name="_Toc8220"/>
      <w:r>
        <w:t>2.采购内容及要求</w:t>
      </w:r>
      <w:bookmarkEnd w:id="4"/>
      <w:bookmarkEnd w:id="5"/>
      <w:bookmarkEnd w:id="6"/>
      <w:bookmarkEnd w:id="7"/>
    </w:p>
    <w:p>
      <w:pPr>
        <w:ind w:firstLine="560"/>
      </w:pPr>
      <w:bookmarkStart w:id="8" w:name="_Toc29288"/>
      <w:bookmarkStart w:id="9" w:name="_Toc13296"/>
      <w:bookmarkStart w:id="10" w:name="_Toc31028"/>
      <w:r>
        <w:t>该项目主要建设内容包括：</w:t>
      </w:r>
      <w:r>
        <w:rPr>
          <w:rFonts w:hint="eastAsia"/>
        </w:rPr>
        <w:t>延安大学新校区体育场围网建设项目</w:t>
      </w:r>
      <w:r>
        <w:t>设施设备采购，具体采购内容详见采购清单</w:t>
      </w:r>
      <w:r>
        <w:rPr>
          <w:rFonts w:hint="eastAsia"/>
        </w:rPr>
        <w:t>，后附采购清单表。</w:t>
      </w:r>
    </w:p>
    <w:p>
      <w:pPr>
        <w:ind w:firstLine="560"/>
      </w:pPr>
      <w:bookmarkStart w:id="11" w:name="_Toc29399"/>
      <w:r>
        <w:t>3.</w:t>
      </w:r>
      <w:r>
        <w:rPr>
          <w:rFonts w:hint="eastAsia"/>
        </w:rPr>
        <w:t>实施</w:t>
      </w:r>
      <w:r>
        <w:t>地点及</w:t>
      </w:r>
      <w:bookmarkEnd w:id="8"/>
      <w:bookmarkEnd w:id="9"/>
      <w:bookmarkEnd w:id="10"/>
      <w:bookmarkEnd w:id="11"/>
      <w:r>
        <w:rPr>
          <w:rFonts w:hint="eastAsia"/>
          <w:lang w:val="en-US" w:eastAsia="zh-CN"/>
        </w:rPr>
        <w:t>服务期</w:t>
      </w:r>
      <w:r>
        <w:t>期</w:t>
      </w:r>
    </w:p>
    <w:p>
      <w:pPr>
        <w:ind w:firstLine="560"/>
        <w:rPr>
          <w:rFonts w:hint="default" w:eastAsia="仿宋_GB2312"/>
          <w:lang w:val="en-US" w:eastAsia="zh-CN"/>
        </w:rPr>
      </w:pPr>
      <w:r>
        <w:t>3.1</w:t>
      </w:r>
      <w:r>
        <w:rPr>
          <w:rFonts w:hint="eastAsia"/>
        </w:rPr>
        <w:t>实施</w:t>
      </w:r>
      <w:r>
        <w:t>地点：</w:t>
      </w:r>
      <w:bookmarkStart w:id="12" w:name="_Toc28193"/>
      <w:r>
        <w:rPr>
          <w:rFonts w:hint="eastAsia"/>
          <w:u w:val="single"/>
          <w:lang w:val="en-US" w:eastAsia="zh-CN"/>
        </w:rPr>
        <w:t xml:space="preserve">                 </w:t>
      </w:r>
    </w:p>
    <w:p>
      <w:pPr>
        <w:ind w:firstLine="560"/>
        <w:rPr>
          <w:u w:val="single"/>
        </w:rPr>
      </w:pPr>
      <w:r>
        <w:t>3.2</w:t>
      </w:r>
      <w:r>
        <w:rPr>
          <w:rFonts w:hint="eastAsia"/>
          <w:lang w:val="en-US" w:eastAsia="zh-CN"/>
        </w:rPr>
        <w:t>服务</w:t>
      </w:r>
      <w:r>
        <w:t>期：</w:t>
      </w:r>
      <w:bookmarkEnd w:id="12"/>
      <w:bookmarkStart w:id="13" w:name="_Toc22828"/>
      <w:bookmarkStart w:id="14" w:name="_Toc30265"/>
      <w:bookmarkStart w:id="15" w:name="_Toc26029"/>
      <w:bookmarkStart w:id="16" w:name="_Toc16259"/>
      <w:r>
        <w:rPr>
          <w:rFonts w:hint="eastAsia"/>
          <w:u w:val="single"/>
        </w:rPr>
        <w:t xml:space="preserve"> </w:t>
      </w:r>
      <w:r>
        <w:rPr>
          <w:rFonts w:hint="eastAsia"/>
          <w:u w:val="single"/>
          <w:lang w:val="en-US" w:eastAsia="zh-CN"/>
        </w:rPr>
        <w:t xml:space="preserve">               </w:t>
      </w:r>
      <w:r>
        <w:rPr>
          <w:rFonts w:hint="eastAsia"/>
          <w:u w:val="single"/>
        </w:rPr>
        <w:t xml:space="preserve">   </w:t>
      </w:r>
    </w:p>
    <w:p>
      <w:pPr>
        <w:pStyle w:val="3"/>
        <w:ind w:firstLine="560"/>
        <w:rPr>
          <w:rFonts w:hint="eastAsia" w:eastAsia="仿宋_GB2312"/>
          <w:color w:val="auto"/>
          <w:u w:val="single"/>
        </w:rPr>
      </w:pPr>
      <w:r>
        <w:rPr>
          <w:rFonts w:hint="eastAsia"/>
        </w:rPr>
        <w:t>3.3</w:t>
      </w:r>
      <w:r>
        <w:rPr>
          <w:rFonts w:hint="eastAsia" w:eastAsia="仿宋_GB2312"/>
          <w:color w:val="auto"/>
        </w:rPr>
        <w:t>质保期：</w:t>
      </w:r>
      <w:r>
        <w:rPr>
          <w:rFonts w:hint="eastAsia" w:eastAsia="仿宋_GB2312"/>
          <w:color w:val="auto"/>
          <w:u w:val="single"/>
        </w:rPr>
        <w:t xml:space="preserve">  </w:t>
      </w:r>
      <w:r>
        <w:rPr>
          <w:rFonts w:hint="eastAsia" w:eastAsia="仿宋_GB2312"/>
          <w:color w:val="auto"/>
          <w:u w:val="single"/>
          <w:lang w:val="en-US" w:eastAsia="zh-CN"/>
        </w:rPr>
        <w:t xml:space="preserve">              </w:t>
      </w:r>
      <w:r>
        <w:rPr>
          <w:rFonts w:hint="eastAsia" w:eastAsia="仿宋_GB2312"/>
          <w:color w:val="auto"/>
          <w:u w:val="single"/>
        </w:rPr>
        <w:t xml:space="preserve">   </w:t>
      </w:r>
    </w:p>
    <w:p>
      <w:pPr>
        <w:pStyle w:val="3"/>
        <w:ind w:firstLine="560"/>
      </w:pPr>
      <w:r>
        <w:t>3.4</w:t>
      </w:r>
      <w:r>
        <w:rPr>
          <w:rFonts w:eastAsia="仿宋_GB2312"/>
          <w:color w:val="auto"/>
        </w:rPr>
        <w:t>知识产权：即中标供应商应保证采购人在使用中标货物（服务）时，不承担任何涉及知识产权法律诉讼的责任。</w:t>
      </w:r>
    </w:p>
    <w:p>
      <w:pPr>
        <w:ind w:firstLine="560"/>
      </w:pPr>
      <w:r>
        <w:t>4.甲方的责任和义务</w:t>
      </w:r>
      <w:bookmarkEnd w:id="13"/>
      <w:bookmarkEnd w:id="14"/>
      <w:bookmarkEnd w:id="15"/>
      <w:bookmarkEnd w:id="16"/>
    </w:p>
    <w:p>
      <w:pPr>
        <w:ind w:firstLine="560"/>
      </w:pPr>
      <w:r>
        <w:t>（1）甲方有权对合同规定范围内乙方的服务行为进行监督和检查，拥有监管权。有权定期核对乙方提供服务所配备的人员数量。对甲方认为不合理的部分有权下达整改通知书，并要求乙方限期整改。</w:t>
      </w:r>
    </w:p>
    <w:p>
      <w:pPr>
        <w:ind w:firstLine="560"/>
      </w:pPr>
      <w:r>
        <w:t>（2）在双方约定的情况下，甲方有权对乙方在服务过程中出现的过失进行处罚，扣减一定的服务费用。</w:t>
      </w:r>
    </w:p>
    <w:p>
      <w:pPr>
        <w:ind w:firstLine="560"/>
      </w:pPr>
      <w:r>
        <w:t>（3）负责检查监督乙方服务工作的实施的执行情况。</w:t>
      </w:r>
    </w:p>
    <w:p>
      <w:pPr>
        <w:ind w:firstLine="560"/>
      </w:pPr>
      <w:r>
        <w:t>（4）根据本合同规定，按时向乙方支付应付服务费用。</w:t>
      </w:r>
    </w:p>
    <w:p>
      <w:pPr>
        <w:ind w:firstLine="560"/>
      </w:pPr>
      <w:r>
        <w:t>（5）国家法律、法规所规定由甲方承担的其它责任。</w:t>
      </w:r>
    </w:p>
    <w:p>
      <w:pPr>
        <w:ind w:firstLine="560"/>
      </w:pPr>
      <w:bookmarkStart w:id="17" w:name="_Toc12430"/>
      <w:bookmarkStart w:id="18" w:name="_Toc30200"/>
      <w:bookmarkStart w:id="19" w:name="_Toc17911"/>
      <w:bookmarkStart w:id="20" w:name="_Toc9272"/>
      <w:r>
        <w:t>5.乙方的责任和义务</w:t>
      </w:r>
      <w:bookmarkEnd w:id="17"/>
      <w:bookmarkEnd w:id="18"/>
      <w:bookmarkEnd w:id="19"/>
      <w:bookmarkEnd w:id="20"/>
    </w:p>
    <w:p>
      <w:pPr>
        <w:ind w:firstLine="560"/>
      </w:pPr>
      <w:r>
        <w:t>（1）根据本合同的规定向甲方收取相关费用。</w:t>
      </w:r>
    </w:p>
    <w:p>
      <w:pPr>
        <w:ind w:firstLine="560"/>
      </w:pPr>
      <w:r>
        <w:t>（2）及时向甲方通告本项目服务范围内有关服务的重大事项。</w:t>
      </w:r>
    </w:p>
    <w:p>
      <w:pPr>
        <w:ind w:firstLine="560"/>
      </w:pPr>
      <w:r>
        <w:t>（3）接受项目行业管理部门及政府有关部门的指导，接受甲方的监督。</w:t>
      </w:r>
    </w:p>
    <w:p>
      <w:pPr>
        <w:ind w:firstLine="560"/>
      </w:pPr>
      <w:r>
        <w:t>（4）国家法律、法规所规定由乙方承担的其它责任。</w:t>
      </w:r>
    </w:p>
    <w:p>
      <w:pPr>
        <w:ind w:firstLine="560"/>
      </w:pPr>
      <w:bookmarkStart w:id="21" w:name="_Toc10169"/>
      <w:bookmarkStart w:id="22" w:name="_Toc24836"/>
      <w:bookmarkStart w:id="23" w:name="_Toc19709"/>
      <w:bookmarkStart w:id="24" w:name="_Toc20573"/>
      <w:r>
        <w:t>6.付款方式</w:t>
      </w:r>
      <w:bookmarkEnd w:id="21"/>
      <w:bookmarkEnd w:id="22"/>
      <w:bookmarkEnd w:id="23"/>
      <w:bookmarkEnd w:id="24"/>
    </w:p>
    <w:p>
      <w:pPr>
        <w:ind w:firstLine="560"/>
        <w:rPr>
          <w:rFonts w:hint="default" w:eastAsia="仿宋_GB2312"/>
          <w:lang w:val="en-US" w:eastAsia="zh-CN"/>
        </w:rPr>
      </w:pPr>
    </w:p>
    <w:p>
      <w:pPr>
        <w:ind w:firstLine="560"/>
      </w:pPr>
      <w:bookmarkStart w:id="25" w:name="_Toc14840"/>
      <w:bookmarkStart w:id="26" w:name="_Toc1846"/>
      <w:bookmarkStart w:id="27" w:name="_Toc1773"/>
      <w:bookmarkStart w:id="28" w:name="_Toc27469"/>
      <w:r>
        <w:t>7.合同变更</w:t>
      </w:r>
      <w:bookmarkEnd w:id="25"/>
      <w:bookmarkEnd w:id="26"/>
      <w:bookmarkEnd w:id="27"/>
      <w:bookmarkEnd w:id="28"/>
    </w:p>
    <w:p>
      <w:pPr>
        <w:ind w:firstLine="560"/>
      </w:pPr>
      <w:r>
        <w:t>本合同在双方协商同意的情况下可以变更，具体事宜双方协商确定后签订书面变更、补充协议，本合同和变更、补充协议应当和</w:t>
      </w:r>
      <w:r>
        <w:rPr>
          <w:rFonts w:hint="eastAsia"/>
        </w:rPr>
        <w:t>成交</w:t>
      </w:r>
      <w:r>
        <w:t>通知书的实质性内容保持一致。</w:t>
      </w:r>
    </w:p>
    <w:p>
      <w:pPr>
        <w:ind w:firstLine="560"/>
      </w:pPr>
      <w:bookmarkStart w:id="29" w:name="_Toc17953"/>
      <w:bookmarkStart w:id="30" w:name="_Toc16822"/>
      <w:bookmarkStart w:id="31" w:name="_Toc8942"/>
      <w:bookmarkStart w:id="32" w:name="_Toc22547"/>
      <w:r>
        <w:t>8.违约责任</w:t>
      </w:r>
      <w:bookmarkEnd w:id="29"/>
      <w:bookmarkEnd w:id="30"/>
      <w:bookmarkEnd w:id="31"/>
      <w:bookmarkEnd w:id="32"/>
    </w:p>
    <w:p>
      <w:pPr>
        <w:ind w:firstLine="560"/>
      </w:pPr>
      <w:r>
        <w:t>8.1在合同履行期间，甲方要求终止或解除合同，不退还已付的合同价款，乙方已开始工作的，甲方应根据乙方已进行的实际工作量，按实支付服务费用；</w:t>
      </w:r>
    </w:p>
    <w:p>
      <w:pPr>
        <w:ind w:firstLine="560"/>
      </w:pPr>
      <w:r>
        <w:t xml:space="preserve">8.2由于乙方的错误，给甲方造成经济损失时，乙方应及时采取措施予以补救，并视损失大小，减收或免除损失部分的服务费用，直至付给甲方与直接受损失部分服务费用相等的赔偿金。  </w:t>
      </w:r>
    </w:p>
    <w:p>
      <w:pPr>
        <w:ind w:firstLine="560"/>
      </w:pPr>
      <w:r>
        <w:t>8.3质保期内乙方工作出现任何质量问题，乙方不及时解决的，甲方有权拒付质保金。</w:t>
      </w:r>
    </w:p>
    <w:p>
      <w:pPr>
        <w:ind w:firstLine="560"/>
      </w:pPr>
      <w:bookmarkStart w:id="33" w:name="_Toc29681"/>
      <w:bookmarkStart w:id="34" w:name="_Toc30890"/>
      <w:bookmarkStart w:id="35" w:name="_Toc32766"/>
      <w:bookmarkStart w:id="36" w:name="_Toc8845"/>
      <w:r>
        <w:t>9.质量保证</w:t>
      </w:r>
      <w:bookmarkEnd w:id="33"/>
      <w:bookmarkEnd w:id="34"/>
      <w:bookmarkEnd w:id="35"/>
      <w:bookmarkEnd w:id="36"/>
    </w:p>
    <w:p>
      <w:pPr>
        <w:ind w:firstLine="560"/>
      </w:pPr>
      <w:r>
        <w:t>1.成果文件严格按照行业最新规范标准；</w:t>
      </w:r>
    </w:p>
    <w:p>
      <w:pPr>
        <w:ind w:firstLine="560"/>
      </w:pPr>
      <w:r>
        <w:t>2.乙方应保证所提供的服务或其任何一部分均不会侵犯任何第三方的专利权、商标权或著作权。</w:t>
      </w:r>
    </w:p>
    <w:p>
      <w:pPr>
        <w:ind w:firstLine="560"/>
      </w:pPr>
      <w:bookmarkStart w:id="37" w:name="_Toc3542"/>
      <w:bookmarkStart w:id="38" w:name="_Toc13950"/>
      <w:bookmarkStart w:id="39" w:name="_Toc6926"/>
      <w:bookmarkStart w:id="40" w:name="_Toc30916"/>
      <w:r>
        <w:t>10.不可抗力、意外变故</w:t>
      </w:r>
      <w:bookmarkEnd w:id="37"/>
      <w:bookmarkEnd w:id="38"/>
      <w:bookmarkEnd w:id="39"/>
      <w:bookmarkEnd w:id="40"/>
    </w:p>
    <w:p>
      <w:pPr>
        <w:ind w:firstLine="560"/>
      </w:pPr>
      <w:r>
        <w:t>如果合同双方因不可抗力意外而被阻不能履行其职责，合同期的时间按照不可抗力变故的时间而顺延，或根据实际情况双方友好协商解决。</w:t>
      </w:r>
    </w:p>
    <w:p>
      <w:pPr>
        <w:ind w:firstLine="560"/>
      </w:pPr>
      <w:bookmarkStart w:id="41" w:name="_Toc21209"/>
      <w:bookmarkStart w:id="42" w:name="_Toc1238"/>
      <w:bookmarkStart w:id="43" w:name="_Toc23835"/>
      <w:bookmarkStart w:id="44" w:name="_Toc25944"/>
      <w:r>
        <w:t>11.验收与质保服务</w:t>
      </w:r>
      <w:bookmarkEnd w:id="41"/>
      <w:bookmarkEnd w:id="42"/>
      <w:bookmarkEnd w:id="43"/>
      <w:bookmarkEnd w:id="44"/>
    </w:p>
    <w:p>
      <w:pPr>
        <w:ind w:firstLine="560"/>
      </w:pPr>
      <w:r>
        <w:t>具体期限由双方约定</w:t>
      </w:r>
    </w:p>
    <w:p>
      <w:pPr>
        <w:ind w:firstLine="560"/>
      </w:pPr>
      <w:bookmarkStart w:id="45" w:name="_Toc16079"/>
      <w:bookmarkStart w:id="46" w:name="_Toc8321"/>
      <w:bookmarkStart w:id="47" w:name="_Toc26161"/>
      <w:bookmarkStart w:id="48" w:name="_Toc882"/>
      <w:r>
        <w:t>12.争议解决</w:t>
      </w:r>
      <w:bookmarkEnd w:id="45"/>
      <w:bookmarkEnd w:id="46"/>
      <w:bookmarkEnd w:id="47"/>
      <w:bookmarkEnd w:id="48"/>
    </w:p>
    <w:p>
      <w:pPr>
        <w:ind w:firstLine="560"/>
      </w:pPr>
      <w:r>
        <w:t>如甲乙双方在合同履行过程中发生争议，应协商解决，协商不成，可向延安仲裁委员会申请仲裁。</w:t>
      </w:r>
    </w:p>
    <w:p>
      <w:pPr>
        <w:ind w:firstLine="560"/>
      </w:pPr>
      <w:bookmarkStart w:id="49" w:name="_Toc2846"/>
      <w:bookmarkStart w:id="50" w:name="_Toc25211"/>
      <w:bookmarkStart w:id="51" w:name="_Toc25768"/>
      <w:bookmarkStart w:id="52" w:name="_Toc10430"/>
      <w:r>
        <w:t>13.附则</w:t>
      </w:r>
      <w:bookmarkEnd w:id="49"/>
      <w:bookmarkEnd w:id="50"/>
      <w:bookmarkEnd w:id="51"/>
      <w:bookmarkEnd w:id="52"/>
    </w:p>
    <w:p>
      <w:pPr>
        <w:ind w:firstLine="560"/>
      </w:pPr>
      <w:r>
        <w:t>13.1未尽事宜，双方协商，达成补充协议，补充协议与本合同具有同等法律效力。</w:t>
      </w:r>
    </w:p>
    <w:p>
      <w:pPr>
        <w:ind w:firstLine="560"/>
      </w:pPr>
      <w:r>
        <w:t>13.2本合同一式4份，甲方2份，乙方2份。</w:t>
      </w:r>
    </w:p>
    <w:p>
      <w:pPr>
        <w:ind w:firstLine="560"/>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noWrap w:val="0"/>
            <w:vAlign w:val="top"/>
          </w:tcPr>
          <w:p>
            <w:pPr>
              <w:ind w:firstLine="560"/>
            </w:pPr>
            <w:r>
              <w:t>甲方（盖章）：</w:t>
            </w:r>
          </w:p>
          <w:p>
            <w:pPr>
              <w:ind w:firstLine="560"/>
            </w:pPr>
          </w:p>
          <w:p>
            <w:pPr>
              <w:ind w:firstLine="560"/>
            </w:pPr>
          </w:p>
          <w:p>
            <w:pPr>
              <w:ind w:firstLine="560"/>
            </w:pPr>
            <w:r>
              <w:t>法定代表人（签字或盖章）：</w:t>
            </w:r>
          </w:p>
          <w:p>
            <w:pPr>
              <w:ind w:firstLine="560"/>
            </w:pPr>
          </w:p>
          <w:p>
            <w:pPr>
              <w:ind w:firstLine="560"/>
            </w:pPr>
            <w:r>
              <w:t>授权代理人（签字或盖章）：</w:t>
            </w:r>
          </w:p>
          <w:p>
            <w:pPr>
              <w:ind w:firstLine="560"/>
            </w:pPr>
            <w:r>
              <w:t>单位地址：</w:t>
            </w:r>
          </w:p>
          <w:p>
            <w:pPr>
              <w:ind w:firstLine="560"/>
            </w:pPr>
            <w:r>
              <w:t>邮政编码：</w:t>
            </w:r>
          </w:p>
          <w:p>
            <w:pPr>
              <w:ind w:firstLine="560"/>
            </w:pPr>
            <w:r>
              <w:t>联系电话：</w:t>
            </w:r>
          </w:p>
          <w:p>
            <w:pPr>
              <w:ind w:firstLine="560"/>
            </w:pPr>
            <w:r>
              <w:t>传    真：</w:t>
            </w:r>
          </w:p>
          <w:p>
            <w:pPr>
              <w:ind w:firstLine="560"/>
            </w:pPr>
            <w:r>
              <w:t>电子信箱：</w:t>
            </w:r>
          </w:p>
          <w:p>
            <w:pPr>
              <w:ind w:firstLine="560"/>
            </w:pPr>
            <w:r>
              <w:t>开户银行：</w:t>
            </w:r>
          </w:p>
          <w:p>
            <w:pPr>
              <w:ind w:firstLine="560"/>
            </w:pPr>
            <w:r>
              <w:t>帐   号：</w:t>
            </w:r>
          </w:p>
        </w:tc>
        <w:tc>
          <w:tcPr>
            <w:tcW w:w="4261" w:type="dxa"/>
            <w:tcBorders>
              <w:top w:val="nil"/>
              <w:left w:val="nil"/>
              <w:bottom w:val="nil"/>
              <w:right w:val="nil"/>
            </w:tcBorders>
            <w:noWrap w:val="0"/>
            <w:vAlign w:val="top"/>
          </w:tcPr>
          <w:p>
            <w:pPr>
              <w:ind w:firstLine="560"/>
            </w:pPr>
            <w:r>
              <w:t>乙方（盖章）：</w:t>
            </w:r>
          </w:p>
          <w:p>
            <w:pPr>
              <w:ind w:firstLine="560"/>
            </w:pPr>
          </w:p>
          <w:p>
            <w:pPr>
              <w:ind w:firstLine="560"/>
            </w:pPr>
          </w:p>
          <w:p>
            <w:pPr>
              <w:ind w:firstLine="560"/>
            </w:pPr>
            <w:r>
              <w:t>法定代表人（签字或盖章）：</w:t>
            </w:r>
          </w:p>
          <w:p>
            <w:pPr>
              <w:ind w:firstLine="560"/>
            </w:pPr>
          </w:p>
          <w:p>
            <w:pPr>
              <w:ind w:firstLine="560"/>
            </w:pPr>
            <w:r>
              <w:t>授权代理人（签字或盖章）：</w:t>
            </w:r>
          </w:p>
          <w:p>
            <w:pPr>
              <w:ind w:firstLine="560"/>
            </w:pPr>
            <w:r>
              <w:t>单位地址：</w:t>
            </w:r>
          </w:p>
          <w:p>
            <w:pPr>
              <w:ind w:firstLine="560"/>
            </w:pPr>
            <w:r>
              <w:t>邮政编码：</w:t>
            </w:r>
          </w:p>
          <w:p>
            <w:pPr>
              <w:ind w:firstLine="560"/>
            </w:pPr>
            <w:r>
              <w:t>联系电话：</w:t>
            </w:r>
          </w:p>
          <w:p>
            <w:pPr>
              <w:ind w:firstLine="560"/>
            </w:pPr>
            <w:r>
              <w:t>传    真：</w:t>
            </w:r>
          </w:p>
          <w:p>
            <w:pPr>
              <w:ind w:firstLine="560"/>
            </w:pPr>
            <w:r>
              <w:t>电子信箱：</w:t>
            </w:r>
          </w:p>
          <w:p>
            <w:pPr>
              <w:ind w:firstLine="560"/>
            </w:pPr>
            <w:r>
              <w:t>开户银行：</w:t>
            </w:r>
          </w:p>
          <w:p>
            <w:pPr>
              <w:ind w:firstLine="560"/>
            </w:pPr>
            <w:r>
              <w:t>帐   号：</w:t>
            </w:r>
          </w:p>
        </w:tc>
      </w:tr>
    </w:tbl>
    <w:p>
      <w:pPr>
        <w:spacing w:line="480" w:lineRule="exact"/>
        <w:ind w:firstLine="560"/>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mMzY5ZWMzZjRlM2NhMTdjZGI4NWQzMTExMzY1YzkifQ=="/>
  </w:docVars>
  <w:rsids>
    <w:rsidRoot w:val="00000000"/>
    <w:rsid w:val="69C22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600" w:firstLineChars="200"/>
      <w:jc w:val="both"/>
    </w:pPr>
    <w:rPr>
      <w:rFonts w:ascii="Times New Roman" w:hAnsi="Times New Roman" w:eastAsia="仿宋_GB2312" w:cs="Times New Roman"/>
      <w:kern w:val="2"/>
      <w:sz w:val="28"/>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Heading4"/>
    <w:basedOn w:val="1"/>
    <w:next w:val="1"/>
    <w:qFormat/>
    <w:uiPriority w:val="99"/>
    <w:pPr>
      <w:keepNext/>
      <w:keepLines/>
      <w:spacing w:before="280" w:after="290" w:line="376" w:lineRule="auto"/>
    </w:pPr>
    <w:rPr>
      <w:rFonts w:ascii="Arial" w:hAnsi="Arial" w:eastAsia="黑体"/>
      <w:b/>
      <w:bCs/>
      <w:sz w:val="28"/>
      <w:szCs w:val="28"/>
    </w:rPr>
  </w:style>
  <w:style w:type="paragraph" w:styleId="3">
    <w:name w:val="Body Text"/>
    <w:basedOn w:val="1"/>
    <w:next w:val="1"/>
    <w:uiPriority w:val="0"/>
    <w:rPr>
      <w:rFonts w:eastAsia="黑体"/>
      <w:color w:val="000000"/>
    </w:rPr>
  </w:style>
  <w:style w:type="table" w:styleId="5">
    <w:name w:val="Table Grid"/>
    <w:basedOn w:val="4"/>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2023-12-08T01:18:59Z</dcterms:created>
  <dc:creator>43928</dc:creator>
  <cp:lastModifiedBy>常</cp:lastModifiedBy>
  <dcterms:modified xsi:type="dcterms:W3CDTF">2023-12-08T01:23:22Z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8DE768AC88F04E0CA4F8CBA64BD3729F_12</vt:lpwstr>
  </property>
</Properties>
</file>