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6" w:beforeLines="50" w:after="312" w:afterLines="100" w:line="420" w:lineRule="exact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合同文本（参考格式）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采购合同</w:t>
      </w:r>
    </w:p>
    <w:p>
      <w:pPr>
        <w:overflowPunct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甲方：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 xml:space="preserve"> 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统一信用代码：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乙方：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 xml:space="preserve"> 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  </w:t>
      </w:r>
    </w:p>
    <w:p>
      <w:pPr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统一信用代码：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u w:val="single"/>
        </w:rPr>
        <w:t xml:space="preserve">                </w:t>
      </w:r>
    </w:p>
    <w:p>
      <w:pPr>
        <w:overflowPunct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kern w:val="0"/>
          <w:sz w:val="28"/>
          <w:szCs w:val="28"/>
          <w:shd w:val="clear" w:color="auto" w:fill="FFFFFF"/>
        </w:rPr>
      </w:pP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项目由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（以下简称甲方）委托陕西瑞通工程造价咨询有限公司组织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单一来源谈判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确定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公司（以下简称乙方）为该项目成交供应商。依据《中华人民共和国民法典》经甲、乙双方共同协商，按下述条款和条件签署本合同。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0" w:name="_Toc5086"/>
      <w:bookmarkStart w:id="1" w:name="_Toc6187"/>
      <w:bookmarkStart w:id="2" w:name="_Toc29588"/>
      <w:bookmarkStart w:id="3" w:name="_Toc9696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1.合同内容</w:t>
      </w:r>
      <w:bookmarkEnd w:id="0"/>
      <w:bookmarkEnd w:id="1"/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1.1 乙方负责按照合同确定的内容提供甲方所需的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服务，内容及要求见附件。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1.2 服务期：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1.3 服务地点：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4" w:name="_Toc16567"/>
      <w:bookmarkStart w:id="5" w:name="_Toc6357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2.合同价格及支付</w:t>
      </w:r>
      <w:bookmarkEnd w:id="4"/>
      <w:bookmarkEnd w:id="5"/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2.1 合同金额为（大写）：人民币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（¥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元）。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2.2 支付：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（1）本合同的款项以对公转账方式支付。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（2）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（3）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（4）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6" w:name="_Toc18916_WPSOffice_Level2"/>
      <w:bookmarkStart w:id="7" w:name="_Toc24568"/>
      <w:bookmarkStart w:id="8" w:name="_Toc21786"/>
      <w:bookmarkStart w:id="9" w:name="_Toc10784"/>
      <w:bookmarkStart w:id="10" w:name="_Toc12297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3.服务</w:t>
      </w:r>
      <w:bookmarkEnd w:id="6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要求及标准</w:t>
      </w:r>
      <w:bookmarkEnd w:id="7"/>
      <w:bookmarkEnd w:id="8"/>
    </w:p>
    <w:bookmarkEnd w:id="9"/>
    <w:bookmarkEnd w:id="10"/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 xml:space="preserve">3.1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 xml:space="preserve"> 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 xml:space="preserve">3.2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 xml:space="preserve"> 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……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11" w:name="_Toc2189"/>
      <w:bookmarkStart w:id="12" w:name="_Toc20390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4.违约责任</w:t>
      </w:r>
      <w:bookmarkEnd w:id="11"/>
      <w:bookmarkEnd w:id="12"/>
    </w:p>
    <w:bookmarkEnd w:id="2"/>
    <w:bookmarkEnd w:id="3"/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4.1 本合同若与甲方的上级管理机关的政策性行为或其他规定发生冲突，甲方有权与乙方协商调整合同内容或终止合同执行。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4.2 如乙方提供的服务标准与合同标准不相符合，则甲方有权拒收乙方提供的服务、解除本合同、拒付本合同项下的价款并追究乙方违约责任，乙方应返还甲方已支付的全部款项，并按合同总价款的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u w:val="single"/>
          <w:shd w:val="clear" w:color="auto" w:fill="FFFFFF"/>
        </w:rPr>
        <w:t>0%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向甲方支付违约金并赔偿甲方因此而遭受的一切损失。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4.3 由于不可抗力（不可抗力仅指自然灾害、战争）所</w:t>
      </w:r>
      <w:bookmarkStart w:id="33" w:name="_GoBack"/>
      <w:bookmarkEnd w:id="33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shd w:val="clear" w:color="auto" w:fill="FFFFFF"/>
        </w:rPr>
        <w:t>4.4 未及之处按《民法典》中的相关条款执行。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13" w:name="_Toc3153"/>
      <w:bookmarkStart w:id="14" w:name="_Toc18421"/>
      <w:bookmarkStart w:id="15" w:name="_Toc14590"/>
      <w:bookmarkStart w:id="16" w:name="_Toc7109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5.保密条款</w:t>
      </w:r>
      <w:bookmarkEnd w:id="13"/>
      <w:bookmarkEnd w:id="14"/>
      <w:bookmarkEnd w:id="15"/>
      <w:bookmarkEnd w:id="16"/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17" w:name="_Toc24354"/>
      <w:bookmarkStart w:id="18" w:name="_Toc18460"/>
      <w:bookmarkStart w:id="19" w:name="_Toc26272"/>
      <w:bookmarkStart w:id="20" w:name="_Toc5851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6.合同</w:t>
      </w:r>
      <w:bookmarkEnd w:id="17"/>
      <w:bookmarkEnd w:id="18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保证</w:t>
      </w:r>
      <w:bookmarkEnd w:id="19"/>
      <w:bookmarkEnd w:id="20"/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21" w:name="_Toc23231"/>
      <w:bookmarkStart w:id="22" w:name="_Toc2019"/>
      <w:bookmarkStart w:id="23" w:name="_Toc9519"/>
      <w:bookmarkStart w:id="24" w:name="_Toc13914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7.合同争议解决的方式</w:t>
      </w:r>
      <w:bookmarkEnd w:id="21"/>
      <w:bookmarkEnd w:id="22"/>
      <w:bookmarkEnd w:id="23"/>
      <w:bookmarkEnd w:id="24"/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7.1 因服务的质量问题发生争议，由质量技术监督部门或其指定的质量鉴定机构进行质量鉴定。符合标准的，鉴定费由甲方承担；不符合质量标准的，鉴定费由乙方承担。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7.2 因履行本合同引起的或与本合同有关的争议，甲、乙双方应首先通过友好协商解决，如果协商不成，则采取以下第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 w:bidi="ar-SA"/>
        </w:rPr>
        <w:t xml:space="preserve"> 1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种方式解决争议：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（1）向甲方所在地有管辖权的人民法院提起诉讼；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（2）向西安仲裁委员会按其仲裁规则申请仲裁。</w:t>
      </w:r>
    </w:p>
    <w:p>
      <w:pPr>
        <w:widowControl w:val="0"/>
        <w:overflowPunct w:val="0"/>
        <w:autoSpaceDN w:val="0"/>
        <w:adjustRightInd w:val="0"/>
        <w:snapToGrid w:val="0"/>
        <w:spacing w:line="4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 w:bidi="ar-SA"/>
        </w:rPr>
        <w:t>7.3 仲裁期间，本合同应继续履行。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25" w:name="_Toc25105"/>
      <w:bookmarkStart w:id="26" w:name="_Toc3946"/>
      <w:bookmarkStart w:id="27" w:name="_Toc15480"/>
      <w:bookmarkStart w:id="28" w:name="_Toc23719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8.合同文件</w:t>
      </w:r>
      <w:bookmarkEnd w:id="25"/>
      <w:bookmarkEnd w:id="26"/>
      <w:bookmarkEnd w:id="27"/>
      <w:bookmarkEnd w:id="28"/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（1）本合同书（2）成交通知书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（3）协议（4）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文件(含澄清或者修改文件)（5）响应文件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2" w:firstLineChars="200"/>
        <w:outlineLvl w:val="1"/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</w:pPr>
      <w:bookmarkStart w:id="29" w:name="_Toc30633"/>
      <w:bookmarkStart w:id="30" w:name="_Toc16981"/>
      <w:bookmarkStart w:id="31" w:name="_Toc21719"/>
      <w:bookmarkStart w:id="32" w:name="_Toc24257"/>
      <w:r>
        <w:rPr>
          <w:rFonts w:hint="eastAsia" w:ascii="仿宋_GB2312" w:hAnsi="仿宋_GB2312" w:eastAsia="仿宋_GB2312" w:cs="仿宋_GB2312"/>
          <w:b/>
          <w:color w:val="000000"/>
          <w:kern w:val="0"/>
          <w:sz w:val="28"/>
          <w:szCs w:val="28"/>
          <w:shd w:val="clear" w:color="auto" w:fill="FFFFFF"/>
        </w:rPr>
        <w:t>9.其他事项</w:t>
      </w:r>
      <w:bookmarkEnd w:id="29"/>
      <w:bookmarkEnd w:id="30"/>
      <w:bookmarkEnd w:id="31"/>
      <w:bookmarkEnd w:id="32"/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9.1 陕西省财政厅在合同的履行期间以及履行期后，可以随时检查项目的执行情况，对采购标准、采购内容进行调查核实，并对发现的问题进行处理。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9.2 乙方应根据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谈判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文件的规定向采购代理机构交纳代理服务费并取得甲方的签章后，合同才正式生效。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9.3 本合同一式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份，甲方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份，乙方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份，采购代理机构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</w:rPr>
        <w:t xml:space="preserve"> 壹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份。</w:t>
      </w:r>
    </w:p>
    <w:p>
      <w:pPr>
        <w:overflowPunct w:val="0"/>
        <w:autoSpaceDN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9.4 本合同未尽事项，补充合同内容。</w:t>
      </w:r>
    </w:p>
    <w:p>
      <w:pPr>
        <w:overflowPunct w:val="0"/>
        <w:adjustRightInd w:val="0"/>
        <w:snapToGrid w:val="0"/>
        <w:spacing w:line="460" w:lineRule="exact"/>
        <w:ind w:firstLine="560" w:firstLineChars="20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甲方:                      （盖章）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乙方:                    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 xml:space="preserve">地址： 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地址：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邮编：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邮编：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法定代表人（签字或盖章）：</w:t>
            </w:r>
          </w:p>
        </w:tc>
        <w:tc>
          <w:tcPr>
            <w:tcW w:w="4931" w:type="dxa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法定代表人（签字或盖章）：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被授权代表：（签字）</w:t>
            </w:r>
          </w:p>
        </w:tc>
        <w:tc>
          <w:tcPr>
            <w:tcW w:w="4931" w:type="dxa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被授权代表：（签字）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传真：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传真：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开户银行：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账号: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账号: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日期：       年   月   日</w:t>
            </w:r>
          </w:p>
        </w:tc>
        <w:tc>
          <w:tcPr>
            <w:tcW w:w="4931" w:type="dxa"/>
            <w:vAlign w:val="center"/>
          </w:tcPr>
          <w:p>
            <w:pPr>
              <w:overflowPunct w:val="0"/>
              <w:adjustRightInd w:val="0"/>
              <w:snapToGrid w:val="0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日期：      年   月   日</w:t>
            </w:r>
          </w:p>
        </w:tc>
      </w:tr>
    </w:tbl>
    <w:p>
      <w:pPr>
        <w:widowControl w:val="0"/>
        <w:spacing w:after="120"/>
        <w:jc w:val="both"/>
        <w:rPr>
          <w:rFonts w:ascii="Times New Roman" w:hAnsi="Times New Roman" w:eastAsia="宋体" w:cs="Times New Roman"/>
          <w:color w:val="000000"/>
          <w:lang w:val="en-US" w:eastAsia="zh-CN" w:bidi="ar-SA"/>
        </w:rPr>
      </w:pPr>
    </w:p>
    <w:p>
      <w:pPr>
        <w:overflowPunct w:val="0"/>
        <w:adjustRightInd w:val="0"/>
        <w:snapToGrid w:val="0"/>
        <w:rPr>
          <w:rFonts w:ascii="Times New Roman" w:hAnsi="Times New Roman" w:eastAsia="宋体" w:cs="Times New Roman"/>
          <w:color w:val="000000"/>
          <w:kern w:val="0"/>
          <w:sz w:val="24"/>
          <w:szCs w:val="20"/>
          <w:lang w:val="zh-CN"/>
        </w:rPr>
      </w:pPr>
    </w:p>
    <w:p>
      <w:pPr>
        <w:overflowPunct w:val="0"/>
        <w:adjustRightInd w:val="0"/>
        <w:snapToGrid w:val="0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  <w:t>鉴证方：陕西瑞通工程造价咨询有限公司（盖章）</w:t>
      </w:r>
    </w:p>
    <w:p>
      <w:pPr>
        <w:overflowPunct w:val="0"/>
        <w:adjustRightInd w:val="0"/>
        <w:snapToGrid w:val="0"/>
        <w:spacing w:line="460" w:lineRule="exac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  <w:t>日  期：20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23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u w:val="single"/>
          <w:lang w:val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zh-CN"/>
        </w:rPr>
        <w:t>日</w:t>
      </w:r>
    </w:p>
    <w:p>
      <w:pPr>
        <w:rPr>
          <w:b/>
          <w:bCs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64B3FB5"/>
    <w:rsid w:val="094A5D8D"/>
    <w:rsid w:val="13AA2FB5"/>
    <w:rsid w:val="38B47FF0"/>
    <w:rsid w:val="591621FE"/>
    <w:rsid w:val="66C0263F"/>
    <w:rsid w:val="764B3FB5"/>
    <w:rsid w:val="79B6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qFormat/>
    <w:uiPriority w:val="99"/>
    <w:pPr>
      <w:widowControl w:val="0"/>
      <w:ind w:firstLine="88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2023-07-14T06:39:00Z</dcterms:created>
  <dc:creator>新昱</dc:creator>
  <cp:lastModifiedBy>新昱</cp:lastModifiedBy>
  <dcterms:modified xsi:type="dcterms:W3CDTF">2023-12-06T03:18:35Z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5D93BEA14B6D48738C15726FA4A7DC5C_11</vt:lpwstr>
  </property>
</Properties>
</file>