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bookmarkStart w:id="0" w:name="OLE_LINK9"/>
      <w:r>
        <w:rPr>
          <w:rFonts w:hint="eastAsia" w:asciiTheme="minorEastAsia" w:hAnsiTheme="minorEastAsia" w:eastAsiaTheme="minorEastAsia" w:cstheme="minorEastAsia"/>
          <w:b/>
          <w:bCs/>
          <w:sz w:val="28"/>
          <w:szCs w:val="28"/>
          <w:highlight w:val="none"/>
          <w:lang w:eastAsia="zh-CN"/>
        </w:rPr>
        <w:t>政府采购项目</w:t>
      </w:r>
    </w:p>
    <w:p>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项目编号：</w:t>
      </w:r>
      <w:r>
        <w:rPr>
          <w:rFonts w:hint="eastAsia" w:asciiTheme="minorEastAsia" w:hAnsiTheme="minorEastAsia" w:eastAsiaTheme="minorEastAsia" w:cstheme="minorEastAsia"/>
          <w:b/>
          <w:bCs/>
          <w:sz w:val="28"/>
          <w:szCs w:val="28"/>
          <w:highlight w:val="none"/>
          <w:lang w:eastAsia="zh-CN"/>
        </w:rPr>
        <w:t>SXWZ2022ZB-SZEY-163A</w:t>
      </w:r>
    </w:p>
    <w:p>
      <w:pPr>
        <w:adjustRightInd w:val="0"/>
        <w:snapToGrid w:val="0"/>
        <w:spacing w:line="360" w:lineRule="auto"/>
        <w:rPr>
          <w:rFonts w:asciiTheme="minorEastAsia" w:hAnsiTheme="minorEastAsia" w:eastAsiaTheme="minorEastAsia" w:cstheme="minorEastAsia"/>
          <w:b/>
          <w:bCs/>
          <w:sz w:val="56"/>
          <w:szCs w:val="56"/>
          <w:highlight w:val="none"/>
        </w:rPr>
      </w:pPr>
    </w:p>
    <w:p>
      <w:pPr>
        <w:adjustRightInd w:val="0"/>
        <w:snapToGrid w:val="0"/>
        <w:spacing w:line="360" w:lineRule="auto"/>
        <w:jc w:val="center"/>
        <w:rPr>
          <w:rFonts w:hint="eastAsia" w:ascii="宋体" w:eastAsia="宋体" w:cs="Times New Roman"/>
          <w:b/>
          <w:bCs/>
          <w:sz w:val="52"/>
          <w:szCs w:val="52"/>
          <w:highlight w:val="none"/>
          <w:lang w:eastAsia="zh-CN"/>
        </w:rPr>
      </w:pPr>
      <w:r>
        <w:rPr>
          <w:rFonts w:hint="eastAsia" w:ascii="宋体" w:eastAsia="宋体" w:cs="Times New Roman"/>
          <w:b/>
          <w:bCs/>
          <w:sz w:val="52"/>
          <w:szCs w:val="52"/>
          <w:highlight w:val="none"/>
          <w:lang w:eastAsia="zh-CN"/>
        </w:rPr>
        <w:t>陕西中医药大学第二附属医院眼科设备采购项目（一）第一包二次</w:t>
      </w:r>
    </w:p>
    <w:p>
      <w:pPr>
        <w:adjustRightInd w:val="0"/>
        <w:snapToGrid w:val="0"/>
        <w:spacing w:line="360" w:lineRule="auto"/>
        <w:jc w:val="center"/>
        <w:rPr>
          <w:rFonts w:asciiTheme="minorEastAsia" w:hAnsiTheme="minorEastAsia" w:eastAsiaTheme="minorEastAsia" w:cstheme="minorEastAsia"/>
          <w:b/>
          <w:bCs/>
          <w:sz w:val="56"/>
          <w:szCs w:val="56"/>
          <w:highlight w:val="none"/>
        </w:rPr>
      </w:pPr>
      <w:r>
        <w:rPr>
          <w:rFonts w:hint="eastAsia" w:asciiTheme="minorEastAsia" w:hAnsiTheme="minorEastAsia" w:eastAsiaTheme="minorEastAsia" w:cstheme="minorEastAsia"/>
          <w:highlight w:val="none"/>
        </w:rPr>
        <w:drawing>
          <wp:anchor distT="0" distB="0" distL="114300" distR="114300" simplePos="0" relativeHeight="251664384" behindDoc="1" locked="0" layoutInCell="1" allowOverlap="1">
            <wp:simplePos x="0" y="0"/>
            <wp:positionH relativeFrom="column">
              <wp:posOffset>1831975</wp:posOffset>
            </wp:positionH>
            <wp:positionV relativeFrom="paragraph">
              <wp:posOffset>472440</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0"/>
                    <a:stretch>
                      <a:fillRect/>
                    </a:stretch>
                  </pic:blipFill>
                  <pic:spPr>
                    <a:xfrm>
                      <a:off x="0" y="0"/>
                      <a:ext cx="2312670" cy="1447800"/>
                    </a:xfrm>
                    <a:prstGeom prst="rect">
                      <a:avLst/>
                    </a:prstGeom>
                    <a:noFill/>
                    <a:ln w="9525">
                      <a:noFill/>
                    </a:ln>
                  </pic:spPr>
                </pic:pic>
              </a:graphicData>
            </a:graphic>
          </wp:anchor>
        </w:drawing>
      </w: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adjustRightInd w:val="0"/>
        <w:snapToGrid w:val="0"/>
        <w:spacing w:line="360" w:lineRule="auto"/>
        <w:jc w:val="left"/>
        <w:rPr>
          <w:rFonts w:asciiTheme="minorEastAsia" w:hAnsiTheme="minorEastAsia" w:eastAsiaTheme="minorEastAsia" w:cstheme="minorEastAsia"/>
          <w:b/>
          <w:bCs/>
          <w:sz w:val="18"/>
          <w:szCs w:val="18"/>
          <w:highlight w:val="none"/>
        </w:rPr>
      </w:pPr>
    </w:p>
    <w:p>
      <w:pPr>
        <w:tabs>
          <w:tab w:val="left" w:pos="0"/>
        </w:tabs>
        <w:adjustRightInd w:val="0"/>
        <w:snapToGrid w:val="0"/>
        <w:spacing w:line="360" w:lineRule="auto"/>
        <w:rPr>
          <w:rFonts w:asciiTheme="minorEastAsia" w:hAnsiTheme="minorEastAsia" w:eastAsiaTheme="minorEastAsia" w:cstheme="minorEastAsia"/>
          <w:b/>
          <w:bCs/>
          <w:sz w:val="84"/>
          <w:szCs w:val="84"/>
          <w:highlight w:val="none"/>
        </w:rPr>
      </w:pPr>
    </w:p>
    <w:p>
      <w:pPr>
        <w:tabs>
          <w:tab w:val="left" w:pos="0"/>
        </w:tabs>
        <w:adjustRightInd w:val="0"/>
        <w:snapToGrid w:val="0"/>
        <w:spacing w:line="360" w:lineRule="auto"/>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84"/>
          <w:szCs w:val="84"/>
          <w:highlight w:val="none"/>
        </w:rPr>
        <w:t>招标文件</w:t>
      </w:r>
    </w:p>
    <w:p>
      <w:pPr>
        <w:adjustRightInd w:val="0"/>
        <w:snapToGrid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采 购 人：</w:t>
      </w:r>
      <w:r>
        <w:rPr>
          <w:rFonts w:hint="eastAsia" w:asciiTheme="minorEastAsia" w:hAnsiTheme="minorEastAsia" w:eastAsiaTheme="minorEastAsia" w:cstheme="minorEastAsia"/>
          <w:b/>
          <w:bCs/>
          <w:sz w:val="28"/>
          <w:szCs w:val="28"/>
          <w:highlight w:val="none"/>
          <w:lang w:eastAsia="zh-CN"/>
        </w:rPr>
        <w:t>陕西中医药大学第二附属医院</w:t>
      </w:r>
    </w:p>
    <w:p>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代理机构：陕西万泽招标有限公司</w:t>
      </w:r>
    </w:p>
    <w:p>
      <w:pPr>
        <w:adjustRightInd w:val="0"/>
        <w:snapToGrid w:val="0"/>
        <w:spacing w:line="600" w:lineRule="auto"/>
        <w:jc w:val="center"/>
        <w:rPr>
          <w:rFonts w:asciiTheme="minorEastAsia" w:hAnsiTheme="minorEastAsia" w:eastAsiaTheme="minorEastAsia" w:cstheme="minorEastAsia"/>
          <w:b/>
          <w:bCs/>
          <w:sz w:val="36"/>
          <w:szCs w:val="36"/>
          <w:highlight w:val="none"/>
        </w:rPr>
        <w:sectPr>
          <w:headerReference r:id="rId3" w:type="default"/>
          <w:footerReference r:id="rId4" w:type="default"/>
          <w:pgSz w:w="11906" w:h="16838"/>
          <w:pgMar w:top="1440" w:right="1202" w:bottom="1440" w:left="1406" w:header="851" w:footer="992" w:gutter="0"/>
          <w:cols w:space="0" w:num="1"/>
          <w:docGrid w:type="lines" w:linePitch="312" w:charSpace="0"/>
        </w:sectPr>
      </w:pPr>
      <w:r>
        <w:rPr>
          <w:rFonts w:hint="eastAsia" w:ascii="宋体" w:hAnsi="宋体" w:cs="宋体"/>
          <w:b/>
          <w:bCs/>
          <w:sz w:val="28"/>
          <w:szCs w:val="28"/>
          <w:highlight w:val="none"/>
        </w:rPr>
        <w:t>二〇二</w:t>
      </w: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月</w:t>
      </w:r>
    </w:p>
    <w:p>
      <w:pPr>
        <w:pStyle w:val="19"/>
        <w:tabs>
          <w:tab w:val="right" w:leader="dot" w:pos="8306"/>
        </w:tabs>
        <w:spacing w:line="360" w:lineRule="auto"/>
        <w:jc w:val="center"/>
        <w:rPr>
          <w:rFonts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 xml:space="preserve">目 </w:t>
      </w:r>
      <w:bookmarkStart w:id="359" w:name="_GoBack"/>
      <w:bookmarkEnd w:id="359"/>
      <w:r>
        <w:rPr>
          <w:rFonts w:hint="eastAsia" w:asciiTheme="minorEastAsia" w:hAnsiTheme="minorEastAsia" w:eastAsiaTheme="minorEastAsia" w:cstheme="minorEastAsia"/>
          <w:b/>
          <w:bCs/>
          <w:sz w:val="36"/>
          <w:szCs w:val="36"/>
          <w:highlight w:val="none"/>
        </w:rPr>
        <w:t>录</w:t>
      </w:r>
    </w:p>
    <w:p>
      <w:pPr>
        <w:pStyle w:val="19"/>
        <w:tabs>
          <w:tab w:val="right" w:leader="dot" w:pos="8306"/>
        </w:tabs>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_Toc24573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第一部分  公开招标公告</w:t>
      </w:r>
      <w:r>
        <w:tab/>
      </w:r>
      <w:r>
        <w:fldChar w:fldCharType="begin"/>
      </w:r>
      <w:r>
        <w:instrText xml:space="preserve"> PAGEREF _Toc24573 \h </w:instrText>
      </w:r>
      <w:r>
        <w:fldChar w:fldCharType="separate"/>
      </w:r>
      <w:r>
        <w:t>2</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_Toc11528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第二部分  供应商须知前附表</w:t>
      </w:r>
      <w:r>
        <w:tab/>
      </w:r>
      <w:r>
        <w:fldChar w:fldCharType="begin"/>
      </w:r>
      <w:r>
        <w:instrText xml:space="preserve"> PAGEREF _Toc11528 \h </w:instrText>
      </w:r>
      <w:r>
        <w:fldChar w:fldCharType="separate"/>
      </w:r>
      <w:r>
        <w:t>5</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_Toc25121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第三部分  供应商须知</w:t>
      </w:r>
      <w:r>
        <w:tab/>
      </w:r>
      <w:r>
        <w:fldChar w:fldCharType="begin"/>
      </w:r>
      <w:r>
        <w:instrText xml:space="preserve"> PAGEREF _Toc25121 \h </w:instrText>
      </w:r>
      <w:r>
        <w:fldChar w:fldCharType="separate"/>
      </w:r>
      <w:r>
        <w:t>10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_Toc21398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一、 </w:t>
      </w:r>
      <w:r>
        <w:rPr>
          <w:rFonts w:hint="eastAsia" w:asciiTheme="minorEastAsia" w:hAnsiTheme="minorEastAsia" w:eastAsiaTheme="minorEastAsia" w:cstheme="minorEastAsia"/>
          <w:bCs/>
          <w:kern w:val="0"/>
          <w:szCs w:val="32"/>
          <w:highlight w:val="none"/>
        </w:rPr>
        <w:t>总 则</w:t>
      </w:r>
      <w:r>
        <w:tab/>
      </w:r>
      <w:r>
        <w:fldChar w:fldCharType="begin"/>
      </w:r>
      <w:r>
        <w:instrText xml:space="preserve"> PAGEREF _Toc21398 \h </w:instrText>
      </w:r>
      <w:r>
        <w:fldChar w:fldCharType="separate"/>
      </w:r>
      <w:r>
        <w:t>10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_Toc23718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二、 </w:t>
      </w:r>
      <w:r>
        <w:rPr>
          <w:rFonts w:hint="eastAsia" w:asciiTheme="minorEastAsia" w:hAnsiTheme="minorEastAsia" w:eastAsiaTheme="minorEastAsia" w:cstheme="minorEastAsia"/>
          <w:bCs/>
          <w:kern w:val="0"/>
          <w:szCs w:val="32"/>
          <w:highlight w:val="none"/>
        </w:rPr>
        <w:t>招标文件</w:t>
      </w:r>
      <w:r>
        <w:tab/>
      </w:r>
      <w:r>
        <w:fldChar w:fldCharType="begin"/>
      </w:r>
      <w:r>
        <w:instrText xml:space="preserve"> PAGEREF _Toc23718 \h </w:instrText>
      </w:r>
      <w:r>
        <w:fldChar w:fldCharType="separate"/>
      </w:r>
      <w:r>
        <w:t>13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_Toc17677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三、 </w:t>
      </w:r>
      <w:r>
        <w:rPr>
          <w:rFonts w:hint="eastAsia" w:asciiTheme="minorEastAsia" w:hAnsiTheme="minorEastAsia" w:eastAsiaTheme="minorEastAsia" w:cstheme="minorEastAsia"/>
          <w:bCs/>
          <w:kern w:val="0"/>
          <w:szCs w:val="32"/>
          <w:highlight w:val="none"/>
        </w:rPr>
        <w:t>投标文件</w:t>
      </w:r>
      <w:r>
        <w:tab/>
      </w:r>
      <w:r>
        <w:fldChar w:fldCharType="begin"/>
      </w:r>
      <w:r>
        <w:instrText xml:space="preserve"> PAGEREF _Toc17677 \h </w:instrText>
      </w:r>
      <w:r>
        <w:fldChar w:fldCharType="separate"/>
      </w:r>
      <w:r>
        <w:t>15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_Toc5299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四、 </w:t>
      </w:r>
      <w:r>
        <w:rPr>
          <w:rFonts w:hint="eastAsia" w:asciiTheme="minorEastAsia" w:hAnsiTheme="minorEastAsia" w:eastAsiaTheme="minorEastAsia" w:cstheme="minorEastAsia"/>
          <w:bCs/>
          <w:kern w:val="0"/>
          <w:szCs w:val="32"/>
          <w:highlight w:val="none"/>
        </w:rPr>
        <w:t>投标文件的递交</w:t>
      </w:r>
      <w:r>
        <w:tab/>
      </w:r>
      <w:r>
        <w:fldChar w:fldCharType="begin"/>
      </w:r>
      <w:r>
        <w:instrText xml:space="preserve"> PAGEREF _Toc5299 \h </w:instrText>
      </w:r>
      <w:r>
        <w:fldChar w:fldCharType="separate"/>
      </w:r>
      <w:r>
        <w:t>18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_Toc27055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五、 </w:t>
      </w:r>
      <w:r>
        <w:rPr>
          <w:rFonts w:hint="eastAsia" w:asciiTheme="minorEastAsia" w:hAnsiTheme="minorEastAsia" w:eastAsiaTheme="minorEastAsia" w:cstheme="minorEastAsia"/>
          <w:bCs/>
          <w:kern w:val="0"/>
          <w:szCs w:val="32"/>
          <w:highlight w:val="none"/>
        </w:rPr>
        <w:t>开标、评审、定标</w:t>
      </w:r>
      <w:r>
        <w:tab/>
      </w:r>
      <w:r>
        <w:fldChar w:fldCharType="begin"/>
      </w:r>
      <w:r>
        <w:instrText xml:space="preserve"> PAGEREF _Toc27055 \h </w:instrText>
      </w:r>
      <w:r>
        <w:fldChar w:fldCharType="separate"/>
      </w:r>
      <w:r>
        <w:t>18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_Toc18002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六、 </w:t>
      </w:r>
      <w:r>
        <w:rPr>
          <w:rFonts w:hint="eastAsia" w:asciiTheme="minorEastAsia" w:hAnsiTheme="minorEastAsia" w:eastAsiaTheme="minorEastAsia" w:cstheme="minorEastAsia"/>
          <w:bCs/>
          <w:kern w:val="0"/>
          <w:szCs w:val="32"/>
          <w:highlight w:val="none"/>
        </w:rPr>
        <w:t>签订合同</w:t>
      </w:r>
      <w:r>
        <w:tab/>
      </w:r>
      <w:r>
        <w:fldChar w:fldCharType="begin"/>
      </w:r>
      <w:r>
        <w:instrText xml:space="preserve"> PAGEREF _Toc18002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_Toc22801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七、 </w:t>
      </w:r>
      <w:r>
        <w:rPr>
          <w:rFonts w:hint="eastAsia" w:asciiTheme="minorEastAsia" w:hAnsiTheme="minorEastAsia" w:eastAsiaTheme="minorEastAsia" w:cstheme="minorEastAsia"/>
          <w:bCs/>
          <w:kern w:val="0"/>
          <w:szCs w:val="32"/>
          <w:highlight w:val="none"/>
        </w:rPr>
        <w:t>代理服务费</w:t>
      </w:r>
      <w:r>
        <w:tab/>
      </w:r>
      <w:r>
        <w:fldChar w:fldCharType="begin"/>
      </w:r>
      <w:r>
        <w:instrText xml:space="preserve"> PAGEREF _Toc22801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_Toc13453 </w:instrText>
      </w:r>
      <w:r>
        <w:rPr>
          <w:rFonts w:hint="eastAsia" w:ascii="宋体" w:hAnsi="宋体" w:eastAsia="宋体" w:cs="宋体"/>
          <w:szCs w:val="24"/>
          <w:highlight w:val="none"/>
        </w:rPr>
        <w:fldChar w:fldCharType="separate"/>
      </w:r>
      <w:r>
        <w:rPr>
          <w:rFonts w:hint="eastAsia" w:ascii="宋体" w:hAnsi="宋体" w:cs="宋体"/>
          <w:bCs/>
          <w:szCs w:val="32"/>
        </w:rPr>
        <w:t xml:space="preserve">八、 </w:t>
      </w:r>
      <w:r>
        <w:rPr>
          <w:rFonts w:hint="eastAsia" w:ascii="宋体" w:hAnsi="宋体" w:cs="宋体"/>
          <w:bCs/>
          <w:szCs w:val="32"/>
          <w:highlight w:val="none"/>
        </w:rPr>
        <w:t>履约验收</w:t>
      </w:r>
      <w:r>
        <w:tab/>
      </w:r>
      <w:r>
        <w:fldChar w:fldCharType="begin"/>
      </w:r>
      <w:r>
        <w:instrText xml:space="preserve"> PAGEREF _Toc13453 \h </w:instrText>
      </w:r>
      <w:r>
        <w:fldChar w:fldCharType="separate"/>
      </w:r>
      <w:r>
        <w:t>24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_Toc32224 </w:instrText>
      </w:r>
      <w:r>
        <w:rPr>
          <w:rFonts w:hint="eastAsia" w:ascii="宋体" w:hAnsi="宋体" w:eastAsia="宋体" w:cs="宋体"/>
          <w:szCs w:val="24"/>
          <w:highlight w:val="none"/>
        </w:rPr>
        <w:fldChar w:fldCharType="separate"/>
      </w:r>
      <w:r>
        <w:rPr>
          <w:rFonts w:hint="eastAsia" w:ascii="宋体" w:hAnsi="宋体" w:cs="宋体"/>
          <w:bCs/>
          <w:szCs w:val="32"/>
        </w:rPr>
        <w:t xml:space="preserve">九、 </w:t>
      </w:r>
      <w:r>
        <w:rPr>
          <w:rFonts w:hint="eastAsia" w:ascii="宋体" w:hAnsi="宋体" w:cs="宋体"/>
          <w:bCs/>
          <w:szCs w:val="32"/>
          <w:highlight w:val="none"/>
        </w:rPr>
        <w:t>质疑和投诉</w:t>
      </w:r>
      <w:r>
        <w:tab/>
      </w:r>
      <w:r>
        <w:fldChar w:fldCharType="begin"/>
      </w:r>
      <w:r>
        <w:instrText xml:space="preserve"> PAGEREF _Toc32224 \h </w:instrText>
      </w:r>
      <w:r>
        <w:fldChar w:fldCharType="separate"/>
      </w:r>
      <w:r>
        <w:t>24</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_Toc2503 </w:instrText>
      </w:r>
      <w:r>
        <w:rPr>
          <w:rFonts w:hint="eastAsia" w:ascii="宋体" w:hAnsi="宋体" w:eastAsia="宋体" w:cs="宋体"/>
          <w:szCs w:val="24"/>
          <w:highlight w:val="none"/>
        </w:rPr>
        <w:fldChar w:fldCharType="separate"/>
      </w:r>
      <w:r>
        <w:rPr>
          <w:rFonts w:asciiTheme="minorEastAsia" w:hAnsiTheme="minorEastAsia" w:eastAsiaTheme="minorEastAsia" w:cstheme="minorEastAsia"/>
          <w:szCs w:val="36"/>
        </w:rPr>
        <w:t xml:space="preserve">第四部分 </w:t>
      </w:r>
      <w:r>
        <w:rPr>
          <w:rFonts w:hint="eastAsia" w:asciiTheme="minorEastAsia" w:hAnsiTheme="minorEastAsia" w:eastAsiaTheme="minorEastAsia" w:cstheme="minorEastAsia"/>
          <w:szCs w:val="36"/>
          <w:highlight w:val="none"/>
        </w:rPr>
        <w:t>评分标准</w:t>
      </w:r>
      <w:r>
        <w:tab/>
      </w:r>
      <w:r>
        <w:fldChar w:fldCharType="begin"/>
      </w:r>
      <w:r>
        <w:instrText xml:space="preserve"> PAGEREF _Toc2503 \h </w:instrText>
      </w:r>
      <w:r>
        <w:fldChar w:fldCharType="separate"/>
      </w:r>
      <w:r>
        <w:t>27</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_Toc31968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第五部分  商务条款与采购要求</w:t>
      </w:r>
      <w:r>
        <w:tab/>
      </w:r>
      <w:r>
        <w:fldChar w:fldCharType="begin"/>
      </w:r>
      <w:r>
        <w:instrText xml:space="preserve"> PAGEREF _Toc31968 \h </w:instrText>
      </w:r>
      <w:r>
        <w:fldChar w:fldCharType="separate"/>
      </w:r>
      <w:r>
        <w:t>30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_Toc13275 </w:instrText>
      </w:r>
      <w:r>
        <w:rPr>
          <w:rFonts w:hint="eastAsia" w:ascii="宋体" w:hAnsi="宋体" w:eastAsia="宋体" w:cs="宋体"/>
          <w:szCs w:val="24"/>
          <w:highlight w:val="none"/>
        </w:rPr>
        <w:fldChar w:fldCharType="separate"/>
      </w:r>
      <w:r>
        <w:rPr>
          <w:rFonts w:hint="eastAsia" w:ascii="宋体" w:hAnsi="宋体" w:cs="宋体"/>
          <w:szCs w:val="24"/>
          <w:highlight w:val="none"/>
        </w:rPr>
        <w:t>一、商务</w:t>
      </w:r>
      <w:r>
        <w:rPr>
          <w:rFonts w:hint="eastAsia" w:ascii="宋体" w:hAnsi="宋体" w:cs="宋体"/>
          <w:szCs w:val="24"/>
          <w:highlight w:val="none"/>
          <w:lang w:val="en-US" w:eastAsia="zh-CN"/>
        </w:rPr>
        <w:t>条款</w:t>
      </w:r>
      <w:r>
        <w:tab/>
      </w:r>
      <w:r>
        <w:fldChar w:fldCharType="begin"/>
      </w:r>
      <w:r>
        <w:instrText xml:space="preserve"> PAGEREF _Toc13275 \h </w:instrText>
      </w:r>
      <w:r>
        <w:fldChar w:fldCharType="separate"/>
      </w:r>
      <w:r>
        <w:t>30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_Toc8195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二、</w:t>
      </w:r>
      <w:r>
        <w:rPr>
          <w:rFonts w:hint="eastAsia" w:ascii="宋体" w:hAnsi="宋体" w:eastAsia="宋体" w:cs="宋体"/>
          <w:szCs w:val="24"/>
          <w:highlight w:val="none"/>
          <w:lang w:val="en-US" w:eastAsia="zh-CN"/>
        </w:rPr>
        <w:t>采购要求</w:t>
      </w:r>
      <w:r>
        <w:tab/>
      </w:r>
      <w:r>
        <w:fldChar w:fldCharType="begin"/>
      </w:r>
      <w:r>
        <w:instrText xml:space="preserve"> PAGEREF _Toc8195 \h </w:instrText>
      </w:r>
      <w:r>
        <w:fldChar w:fldCharType="separate"/>
      </w:r>
      <w:r>
        <w:t>30</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_Toc8817 </w:instrText>
      </w:r>
      <w:r>
        <w:rPr>
          <w:rFonts w:hint="eastAsia" w:ascii="宋体" w:hAnsi="宋体" w:eastAsia="宋体" w:cs="宋体"/>
          <w:szCs w:val="24"/>
          <w:highlight w:val="none"/>
        </w:rPr>
        <w:fldChar w:fldCharType="separate"/>
      </w:r>
      <w:r>
        <w:rPr>
          <w:rFonts w:hint="eastAsia" w:ascii="宋体" w:hAnsi="宋体" w:cs="宋体"/>
          <w:bCs/>
          <w:kern w:val="44"/>
          <w:szCs w:val="44"/>
          <w:highlight w:val="none"/>
        </w:rPr>
        <w:t>第六部分  合同条款</w:t>
      </w:r>
      <w:r>
        <w:tab/>
      </w:r>
      <w:r>
        <w:fldChar w:fldCharType="begin"/>
      </w:r>
      <w:r>
        <w:instrText xml:space="preserve"> PAGEREF _Toc8817 \h </w:instrText>
      </w:r>
      <w:r>
        <w:fldChar w:fldCharType="separate"/>
      </w:r>
      <w:r>
        <w:t>32</w:t>
      </w:r>
      <w:r>
        <w:fldChar w:fldCharType="end"/>
      </w:r>
      <w:r>
        <w:rPr>
          <w:rFonts w:hint="eastAsia" w:ascii="宋体" w:hAnsi="宋体" w:eastAsia="宋体" w:cs="宋体"/>
          <w:szCs w:val="24"/>
          <w:highlight w:val="none"/>
        </w:rPr>
        <w:fldChar w:fldCharType="end"/>
      </w:r>
    </w:p>
    <w:p>
      <w:pPr>
        <w:pStyle w:val="19"/>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_Toc6118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szCs w:val="36"/>
          <w:highlight w:val="none"/>
        </w:rPr>
        <w:t>第七部分  投标文件格式</w:t>
      </w:r>
      <w:r>
        <w:tab/>
      </w:r>
      <w:r>
        <w:fldChar w:fldCharType="begin"/>
      </w:r>
      <w:r>
        <w:instrText xml:space="preserve"> PAGEREF _Toc6118 \h </w:instrText>
      </w:r>
      <w:r>
        <w:fldChar w:fldCharType="separate"/>
      </w:r>
      <w:r>
        <w:t>38</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_Toc3321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第一章  报价函</w:t>
      </w:r>
      <w:r>
        <w:tab/>
      </w:r>
      <w:r>
        <w:fldChar w:fldCharType="begin"/>
      </w:r>
      <w:r>
        <w:instrText xml:space="preserve"> PAGEREF _Toc3321 \h </w:instrText>
      </w:r>
      <w:r>
        <w:fldChar w:fldCharType="separate"/>
      </w:r>
      <w:r>
        <w:t>40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_Toc2650 </w:instrText>
      </w:r>
      <w:r>
        <w:rPr>
          <w:rFonts w:hint="eastAsia" w:ascii="宋体" w:hAnsi="宋体" w:eastAsia="宋体" w:cs="宋体"/>
          <w:szCs w:val="24"/>
          <w:highlight w:val="none"/>
        </w:rPr>
        <w:fldChar w:fldCharType="separate"/>
      </w:r>
      <w:r>
        <w:rPr>
          <w:rFonts w:hint="eastAsia" w:ascii="宋体" w:hAnsi="宋体" w:cs="宋体"/>
          <w:szCs w:val="36"/>
          <w:highlight w:val="none"/>
        </w:rPr>
        <w:t>第二章</w:t>
      </w:r>
      <w:r>
        <w:rPr>
          <w:rFonts w:hint="eastAsia" w:ascii="宋体" w:hAnsi="宋体" w:cs="宋体"/>
          <w:szCs w:val="36"/>
          <w:highlight w:val="none"/>
          <w:lang w:val="en-US" w:eastAsia="zh-CN"/>
        </w:rPr>
        <w:t xml:space="preserve">  </w:t>
      </w:r>
      <w:r>
        <w:rPr>
          <w:rFonts w:hint="eastAsia" w:ascii="宋体" w:hAnsi="宋体" w:cs="宋体"/>
          <w:szCs w:val="36"/>
          <w:highlight w:val="none"/>
        </w:rPr>
        <w:t>报价一览表</w:t>
      </w:r>
      <w:r>
        <w:tab/>
      </w:r>
      <w:r>
        <w:fldChar w:fldCharType="begin"/>
      </w:r>
      <w:r>
        <w:instrText xml:space="preserve"> PAGEREF _Toc2650 \h </w:instrText>
      </w:r>
      <w:r>
        <w:fldChar w:fldCharType="separate"/>
      </w:r>
      <w:r>
        <w:t>41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_Toc9628 </w:instrText>
      </w:r>
      <w:r>
        <w:rPr>
          <w:rFonts w:hint="eastAsia" w:ascii="宋体" w:hAnsi="宋体" w:eastAsia="宋体" w:cs="宋体"/>
          <w:szCs w:val="24"/>
          <w:highlight w:val="none"/>
        </w:rPr>
        <w:fldChar w:fldCharType="separate"/>
      </w:r>
      <w:r>
        <w:rPr>
          <w:rFonts w:hint="eastAsia" w:hAnsi="宋体" w:cs="宋体"/>
          <w:bCs/>
          <w:szCs w:val="32"/>
          <w:highlight w:val="none"/>
        </w:rPr>
        <w:t>第三章</w:t>
      </w:r>
      <w:r>
        <w:rPr>
          <w:rFonts w:hint="eastAsia"/>
          <w:bCs/>
          <w:szCs w:val="32"/>
          <w:highlight w:val="none"/>
        </w:rPr>
        <w:t xml:space="preserve">  分项报价表</w:t>
      </w:r>
      <w:r>
        <w:tab/>
      </w:r>
      <w:r>
        <w:fldChar w:fldCharType="begin"/>
      </w:r>
      <w:r>
        <w:instrText xml:space="preserve"> PAGEREF _Toc9628 \h </w:instrText>
      </w:r>
      <w:r>
        <w:fldChar w:fldCharType="separate"/>
      </w:r>
      <w:r>
        <w:t>42</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_Toc24084 </w:instrText>
      </w:r>
      <w:r>
        <w:rPr>
          <w:rFonts w:hint="eastAsia" w:ascii="宋体" w:hAnsi="宋体" w:eastAsia="宋体" w:cs="宋体"/>
          <w:szCs w:val="24"/>
          <w:highlight w:val="none"/>
        </w:rPr>
        <w:fldChar w:fldCharType="separate"/>
      </w:r>
      <w:r>
        <w:rPr>
          <w:rFonts w:hint="eastAsia"/>
          <w:highlight w:val="none"/>
          <w:lang w:val="en-US" w:eastAsia="zh-CN"/>
        </w:rPr>
        <w:t xml:space="preserve">第四章  </w:t>
      </w:r>
      <w:r>
        <w:rPr>
          <w:rFonts w:hint="eastAsia"/>
          <w:highlight w:val="none"/>
        </w:rPr>
        <w:t>投标保证金</w:t>
      </w:r>
      <w:r>
        <w:tab/>
      </w:r>
      <w:r>
        <w:fldChar w:fldCharType="begin"/>
      </w:r>
      <w:r>
        <w:instrText xml:space="preserve"> PAGEREF _Toc24084 \h </w:instrText>
      </w:r>
      <w:r>
        <w:fldChar w:fldCharType="separate"/>
      </w:r>
      <w:r>
        <w:t>43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_Toc2213 </w:instrText>
      </w:r>
      <w:r>
        <w:rPr>
          <w:rFonts w:hint="eastAsia" w:ascii="宋体" w:hAnsi="宋体" w:eastAsia="宋体" w:cs="宋体"/>
          <w:szCs w:val="24"/>
          <w:highlight w:val="none"/>
        </w:rPr>
        <w:fldChar w:fldCharType="separate"/>
      </w:r>
      <w:r>
        <w:rPr>
          <w:rFonts w:hint="eastAsia"/>
          <w:highlight w:val="none"/>
          <w:lang w:val="en-US" w:eastAsia="zh-CN"/>
        </w:rPr>
        <w:t xml:space="preserve">第五章  </w:t>
      </w:r>
      <w:r>
        <w:rPr>
          <w:rFonts w:hint="eastAsia"/>
          <w:highlight w:val="none"/>
        </w:rPr>
        <w:t>供应商资质证明资料</w:t>
      </w:r>
      <w:r>
        <w:tab/>
      </w:r>
      <w:r>
        <w:fldChar w:fldCharType="begin"/>
      </w:r>
      <w:r>
        <w:instrText xml:space="preserve"> PAGEREF _Toc2213 \h </w:instrText>
      </w:r>
      <w:r>
        <w:fldChar w:fldCharType="separate"/>
      </w:r>
      <w:r>
        <w:t>44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_Toc29941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商务和需求响应偏离表</w:t>
      </w:r>
      <w:r>
        <w:tab/>
      </w:r>
      <w:r>
        <w:fldChar w:fldCharType="begin"/>
      </w:r>
      <w:r>
        <w:instrText xml:space="preserve"> PAGEREF _Toc29941 \h </w:instrText>
      </w:r>
      <w:r>
        <w:fldChar w:fldCharType="separate"/>
      </w:r>
      <w:r>
        <w:t>51</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_Toc29738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第七章  技术支持资料</w:t>
      </w:r>
      <w:r>
        <w:tab/>
      </w:r>
      <w:r>
        <w:fldChar w:fldCharType="begin"/>
      </w:r>
      <w:r>
        <w:instrText xml:space="preserve"> PAGEREF _Toc29738 \h </w:instrText>
      </w:r>
      <w:r>
        <w:fldChar w:fldCharType="separate"/>
      </w:r>
      <w:r>
        <w:t>53</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_Toc20880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kern w:val="0"/>
          <w:szCs w:val="36"/>
          <w:highlight w:val="none"/>
          <w:lang w:val="en-US" w:eastAsia="zh-CN" w:bidi="ar-SA"/>
        </w:rPr>
        <w:t>第八章  实施方案及服务保障</w:t>
      </w:r>
      <w:r>
        <w:tab/>
      </w:r>
      <w:r>
        <w:fldChar w:fldCharType="begin"/>
      </w:r>
      <w:r>
        <w:instrText xml:space="preserve"> PAGEREF _Toc20880 \h </w:instrText>
      </w:r>
      <w:r>
        <w:fldChar w:fldCharType="separate"/>
      </w:r>
      <w:r>
        <w:t>54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_Toc29180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r>
        <w:tab/>
      </w:r>
      <w:r>
        <w:fldChar w:fldCharType="begin"/>
      </w:r>
      <w:r>
        <w:instrText xml:space="preserve"> PAGEREF _Toc29180 \h </w:instrText>
      </w:r>
      <w:r>
        <w:fldChar w:fldCharType="separate"/>
      </w:r>
      <w:r>
        <w:t>55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_Toc18898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r>
        <w:tab/>
      </w:r>
      <w:r>
        <w:fldChar w:fldCharType="begin"/>
      </w:r>
      <w:r>
        <w:instrText xml:space="preserve"> PAGEREF _Toc18898 \h </w:instrText>
      </w:r>
      <w:r>
        <w:fldChar w:fldCharType="separate"/>
      </w:r>
      <w:r>
        <w:t>56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_Toc11820 </w:instrText>
      </w:r>
      <w:r>
        <w:rPr>
          <w:rFonts w:hint="eastAsia" w:ascii="宋体" w:hAnsi="宋体" w:eastAsia="宋体" w:cs="宋体"/>
          <w:szCs w:val="24"/>
          <w:highlight w:val="none"/>
        </w:rPr>
        <w:fldChar w:fldCharType="separate"/>
      </w:r>
      <w:r>
        <w:rPr>
          <w:rFonts w:hint="eastAsia" w:ascii="宋体" w:hAnsi="宋体" w:cs="宋体"/>
          <w:szCs w:val="36"/>
          <w:highlight w:val="none"/>
          <w:lang w:val="en-US" w:eastAsia="zh-CN"/>
        </w:rPr>
        <w:t xml:space="preserve">第十一章  </w:t>
      </w:r>
      <w:r>
        <w:rPr>
          <w:rFonts w:hint="eastAsia" w:ascii="宋体" w:hAnsi="宋体" w:cs="宋体"/>
          <w:szCs w:val="36"/>
          <w:highlight w:val="none"/>
        </w:rPr>
        <w:t>供应商承诺书</w:t>
      </w:r>
      <w:r>
        <w:tab/>
      </w:r>
      <w:r>
        <w:fldChar w:fldCharType="begin"/>
      </w:r>
      <w:r>
        <w:instrText xml:space="preserve"> PAGEREF _Toc11820 \h </w:instrText>
      </w:r>
      <w:r>
        <w:fldChar w:fldCharType="separate"/>
      </w:r>
      <w:r>
        <w:t>57</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_Toc14332 </w:instrText>
      </w:r>
      <w:r>
        <w:rPr>
          <w:rFonts w:hint="eastAsia" w:ascii="宋体" w:hAnsi="宋体" w:eastAsia="宋体" w:cs="宋体"/>
          <w:szCs w:val="24"/>
          <w:highlight w:val="none"/>
        </w:rPr>
        <w:fldChar w:fldCharType="separate"/>
      </w:r>
      <w:r>
        <w:rPr>
          <w:rFonts w:hint="eastAsia"/>
          <w:highlight w:val="none"/>
        </w:rPr>
        <w:t>附件一、封袋正面标识式样</w:t>
      </w:r>
      <w:r>
        <w:tab/>
      </w:r>
      <w:r>
        <w:fldChar w:fldCharType="begin"/>
      </w:r>
      <w:r>
        <w:instrText xml:space="preserve"> PAGEREF _Toc14332 \h </w:instrText>
      </w:r>
      <w:r>
        <w:fldChar w:fldCharType="separate"/>
      </w:r>
      <w:r>
        <w:t>60</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_Toc18086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附件二、中小企业申明</w:t>
      </w:r>
      <w:r>
        <w:tab/>
      </w:r>
      <w:r>
        <w:fldChar w:fldCharType="begin"/>
      </w:r>
      <w:r>
        <w:instrText xml:space="preserve"> PAGEREF _Toc18086 \h </w:instrText>
      </w:r>
      <w:r>
        <w:fldChar w:fldCharType="separate"/>
      </w:r>
      <w:r>
        <w:t>64</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_Toc25673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附件三、残疾人福利性单位声明</w:t>
      </w:r>
      <w:r>
        <w:tab/>
      </w:r>
      <w:r>
        <w:fldChar w:fldCharType="begin"/>
      </w:r>
      <w:r>
        <w:instrText xml:space="preserve"> PAGEREF _Toc25673 \h </w:instrText>
      </w:r>
      <w:r>
        <w:fldChar w:fldCharType="separate"/>
      </w:r>
      <w:r>
        <w:t>65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_Toc1199 </w:instrText>
      </w:r>
      <w:r>
        <w:rPr>
          <w:rFonts w:hint="eastAsia" w:ascii="宋体" w:hAnsi="宋体" w:eastAsia="宋体" w:cs="宋体"/>
          <w:szCs w:val="24"/>
          <w:highlight w:val="none"/>
        </w:rPr>
        <w:fldChar w:fldCharType="separate"/>
      </w:r>
      <w:r>
        <w:rPr>
          <w:rFonts w:hint="eastAsia"/>
          <w:highlight w:val="none"/>
        </w:rPr>
        <w:t>附件四、监狱企业证明文件</w:t>
      </w:r>
      <w:r>
        <w:tab/>
      </w:r>
      <w:r>
        <w:fldChar w:fldCharType="begin"/>
      </w:r>
      <w:r>
        <w:instrText xml:space="preserve"> PAGEREF _Toc1199 \h </w:instrText>
      </w:r>
      <w:r>
        <w:fldChar w:fldCharType="separate"/>
      </w:r>
      <w:r>
        <w:t>65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_Toc29947 </w:instrText>
      </w:r>
      <w:r>
        <w:rPr>
          <w:rFonts w:hint="eastAsia" w:ascii="宋体" w:hAnsi="宋体" w:eastAsia="宋体" w:cs="宋体"/>
          <w:szCs w:val="24"/>
          <w:highlight w:val="none"/>
        </w:rPr>
        <w:fldChar w:fldCharType="separate"/>
      </w:r>
      <w:r>
        <w:rPr>
          <w:rFonts w:hint="eastAsia" w:ascii="宋体" w:hAnsi="宋体" w:cs="宋体"/>
          <w:highlight w:val="none"/>
        </w:rPr>
        <w:t>附件五、“节能产品”，“环境标志产品”证明材料</w:t>
      </w:r>
      <w:r>
        <w:tab/>
      </w:r>
      <w:r>
        <w:fldChar w:fldCharType="begin"/>
      </w:r>
      <w:r>
        <w:instrText xml:space="preserve"> PAGEREF _Toc29947 \h </w:instrText>
      </w:r>
      <w:r>
        <w:fldChar w:fldCharType="separate"/>
      </w:r>
      <w:r>
        <w:t>65</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_Toc14157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附件六、质疑函样本</w:t>
      </w:r>
      <w:r>
        <w:tab/>
      </w:r>
      <w:r>
        <w:fldChar w:fldCharType="begin"/>
      </w:r>
      <w:r>
        <w:instrText xml:space="preserve"> PAGEREF _Toc14157 \h </w:instrText>
      </w:r>
      <w:r>
        <w:fldChar w:fldCharType="separate"/>
      </w:r>
      <w:r>
        <w:t>66</w:t>
      </w:r>
      <w:r>
        <w:fldChar w:fldCharType="end"/>
      </w:r>
      <w:r>
        <w:rPr>
          <w:rFonts w:hint="eastAsia" w:ascii="宋体" w:hAnsi="宋体" w:eastAsia="宋体" w:cs="宋体"/>
          <w:szCs w:val="24"/>
          <w:highlight w:val="none"/>
        </w:rPr>
        <w:fldChar w:fldCharType="end"/>
      </w:r>
    </w:p>
    <w:p>
      <w:pPr>
        <w:pStyle w:val="20"/>
        <w:tabs>
          <w:tab w:val="right" w:leader="dot" w:pos="8306"/>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_Toc24487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附件七、保证金退还账户信息确认表</w:t>
      </w:r>
      <w:r>
        <w:tab/>
      </w:r>
      <w:r>
        <w:fldChar w:fldCharType="begin"/>
      </w:r>
      <w:r>
        <w:instrText xml:space="preserve"> PAGEREF _Toc24487 \h </w:instrText>
      </w:r>
      <w:r>
        <w:fldChar w:fldCharType="separate"/>
      </w:r>
      <w:r>
        <w:t>67</w:t>
      </w:r>
      <w:r>
        <w:fldChar w:fldCharType="end"/>
      </w:r>
      <w:r>
        <w:rPr>
          <w:rFonts w:hint="eastAsia" w:ascii="宋体" w:hAnsi="宋体" w:eastAsia="宋体" w:cs="宋体"/>
          <w:szCs w:val="24"/>
          <w:highlight w:val="none"/>
        </w:rPr>
        <w:fldChar w:fldCharType="end"/>
      </w:r>
    </w:p>
    <w:p>
      <w:pPr>
        <w:pStyle w:val="3"/>
        <w:spacing w:line="300" w:lineRule="auto"/>
        <w:rPr>
          <w:rFonts w:asciiTheme="minorEastAsia" w:hAnsiTheme="minorEastAsia" w:eastAsiaTheme="minorEastAsia" w:cstheme="minorEastAsia"/>
          <w:szCs w:val="24"/>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szCs w:val="24"/>
          <w:highlight w:val="none"/>
        </w:rPr>
        <w:fldChar w:fldCharType="end"/>
      </w:r>
    </w:p>
    <w:p>
      <w:pPr>
        <w:pStyle w:val="3"/>
        <w:spacing w:beforeLines="50" w:afterLines="50" w:line="240" w:lineRule="auto"/>
        <w:rPr>
          <w:rFonts w:asciiTheme="minorEastAsia" w:hAnsiTheme="minorEastAsia" w:eastAsiaTheme="minorEastAsia" w:cstheme="minorEastAsia"/>
          <w:sz w:val="36"/>
          <w:szCs w:val="36"/>
          <w:highlight w:val="none"/>
        </w:rPr>
      </w:pPr>
      <w:bookmarkStart w:id="1" w:name="_Toc26575"/>
      <w:bookmarkStart w:id="2" w:name="_Toc19428"/>
      <w:bookmarkStart w:id="3" w:name="_Toc3711"/>
      <w:bookmarkStart w:id="4" w:name="_Toc22714"/>
      <w:bookmarkStart w:id="5" w:name="_Toc9001"/>
      <w:bookmarkStart w:id="6" w:name="_Toc24573"/>
      <w:r>
        <w:rPr>
          <w:rFonts w:hint="eastAsia" w:asciiTheme="minorEastAsia" w:hAnsiTheme="minorEastAsia" w:eastAsiaTheme="minorEastAsia" w:cstheme="minorEastAsia"/>
          <w:sz w:val="36"/>
          <w:szCs w:val="36"/>
          <w:highlight w:val="none"/>
        </w:rPr>
        <w:t>第一部分  公开招标公告</w:t>
      </w:r>
      <w:bookmarkEnd w:id="1"/>
      <w:bookmarkEnd w:id="2"/>
      <w:bookmarkEnd w:id="3"/>
      <w:bookmarkEnd w:id="4"/>
      <w:bookmarkEnd w:id="5"/>
      <w:bookmarkEnd w:id="6"/>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陕西万泽招标有限公司受</w:t>
      </w:r>
      <w:r>
        <w:rPr>
          <w:rFonts w:hint="eastAsia" w:asciiTheme="minorEastAsia" w:hAnsiTheme="minorEastAsia" w:eastAsiaTheme="minorEastAsia" w:cstheme="minorEastAsia"/>
          <w:kern w:val="0"/>
          <w:sz w:val="24"/>
          <w:szCs w:val="24"/>
          <w:highlight w:val="none"/>
          <w:lang w:eastAsia="zh-CN"/>
        </w:rPr>
        <w:t>陕西中医药大学第二附属医院</w:t>
      </w:r>
      <w:r>
        <w:rPr>
          <w:rFonts w:hint="eastAsia" w:asciiTheme="minorEastAsia" w:hAnsiTheme="minorEastAsia" w:eastAsiaTheme="minorEastAsia" w:cstheme="minorEastAsia"/>
          <w:kern w:val="0"/>
          <w:sz w:val="24"/>
          <w:szCs w:val="24"/>
          <w:highlight w:val="none"/>
        </w:rPr>
        <w:t>的委托，按照政府采购程序，就</w:t>
      </w:r>
      <w:r>
        <w:rPr>
          <w:rFonts w:hint="eastAsia" w:ascii="宋体" w:hAnsi="宋体" w:cs="宋体" w:eastAsiaTheme="minorEastAsia"/>
          <w:kern w:val="0"/>
          <w:sz w:val="24"/>
          <w:szCs w:val="24"/>
          <w:highlight w:val="none"/>
          <w:lang w:eastAsia="zh-CN"/>
        </w:rPr>
        <w:t>陕西中医药大学第二附属医院眼科设备采购项目（一）第一包二次</w:t>
      </w:r>
      <w:r>
        <w:rPr>
          <w:rFonts w:hint="eastAsia" w:asciiTheme="minorEastAsia" w:hAnsiTheme="minorEastAsia" w:eastAsiaTheme="minorEastAsia" w:cstheme="minorEastAsia"/>
          <w:kern w:val="0"/>
          <w:sz w:val="24"/>
          <w:szCs w:val="24"/>
          <w:highlight w:val="none"/>
        </w:rPr>
        <w:t>进行公开招标，欢迎符合资格条件的、有能力提供本次项目所需货物、服务或工程的供货商参加投标。</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一、</w:t>
      </w:r>
      <w:r>
        <w:rPr>
          <w:rFonts w:hint="eastAsia" w:asciiTheme="minorEastAsia" w:hAnsiTheme="minorEastAsia" w:eastAsiaTheme="minorEastAsia" w:cstheme="minorEastAsia"/>
          <w:kern w:val="0"/>
          <w:sz w:val="24"/>
          <w:szCs w:val="24"/>
          <w:highlight w:val="none"/>
        </w:rPr>
        <w:t>项目名称：</w:t>
      </w:r>
      <w:r>
        <w:rPr>
          <w:rFonts w:hint="eastAsia" w:asciiTheme="minorEastAsia" w:hAnsiTheme="minorEastAsia" w:eastAsiaTheme="minorEastAsia" w:cstheme="minorEastAsia"/>
          <w:kern w:val="0"/>
          <w:sz w:val="24"/>
          <w:szCs w:val="24"/>
          <w:highlight w:val="none"/>
          <w:lang w:eastAsia="zh-CN"/>
        </w:rPr>
        <w:t>陕西中医药大学第二附属医院眼科设备采购项目（一）第一包二次</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二、</w:t>
      </w:r>
      <w:r>
        <w:rPr>
          <w:rFonts w:hint="eastAsia" w:asciiTheme="minorEastAsia" w:hAnsiTheme="minorEastAsia" w:eastAsiaTheme="minorEastAsia" w:cstheme="minorEastAsia"/>
          <w:kern w:val="0"/>
          <w:sz w:val="24"/>
          <w:szCs w:val="24"/>
          <w:highlight w:val="none"/>
        </w:rPr>
        <w:t>项目编号：</w:t>
      </w:r>
      <w:r>
        <w:rPr>
          <w:rFonts w:hint="eastAsia" w:asciiTheme="minorEastAsia" w:hAnsiTheme="minorEastAsia" w:eastAsiaTheme="minorEastAsia" w:cstheme="minorEastAsia"/>
          <w:kern w:val="0"/>
          <w:sz w:val="24"/>
          <w:szCs w:val="24"/>
          <w:highlight w:val="none"/>
          <w:lang w:eastAsia="zh-CN"/>
        </w:rPr>
        <w:t>SXWZ2022ZB-SZEY-163A</w:t>
      </w:r>
    </w:p>
    <w:p>
      <w:pPr>
        <w:widowControl/>
        <w:numPr>
          <w:ilvl w:val="0"/>
          <w:numId w:val="0"/>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bookmarkStart w:id="7" w:name="OLE_LINK2"/>
      <w:r>
        <w:rPr>
          <w:rFonts w:hint="eastAsia" w:asciiTheme="minorEastAsia" w:hAnsiTheme="minorEastAsia" w:eastAsiaTheme="minorEastAsia" w:cstheme="minorEastAsia"/>
          <w:kern w:val="0"/>
          <w:sz w:val="24"/>
          <w:szCs w:val="24"/>
          <w:highlight w:val="none"/>
          <w:lang w:val="en-US" w:eastAsia="zh-CN"/>
        </w:rPr>
        <w:t>三、</w:t>
      </w:r>
      <w:r>
        <w:rPr>
          <w:rFonts w:hint="eastAsia" w:asciiTheme="minorEastAsia" w:hAnsiTheme="minorEastAsia" w:eastAsiaTheme="minorEastAsia" w:cstheme="minorEastAsia"/>
          <w:kern w:val="0"/>
          <w:sz w:val="24"/>
          <w:szCs w:val="24"/>
          <w:highlight w:val="none"/>
        </w:rPr>
        <w:t>采购人名称：</w:t>
      </w:r>
      <w:r>
        <w:rPr>
          <w:rFonts w:hint="eastAsia" w:asciiTheme="minorEastAsia" w:hAnsiTheme="minorEastAsia" w:eastAsiaTheme="minorEastAsia" w:cstheme="minorEastAsia"/>
          <w:kern w:val="0"/>
          <w:sz w:val="24"/>
          <w:szCs w:val="24"/>
          <w:highlight w:val="none"/>
          <w:lang w:eastAsia="zh-CN"/>
        </w:rPr>
        <w:t>陕西中医药大学第二附属医院</w:t>
      </w:r>
    </w:p>
    <w:p>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lang w:eastAsia="zh-CN"/>
        </w:rPr>
        <w:t>咸阳市秦都区渭阳西路5号</w:t>
      </w:r>
    </w:p>
    <w:p>
      <w:pPr>
        <w:pStyle w:val="21"/>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en-US" w:eastAsia="zh-CN"/>
        </w:rPr>
        <w:t>联系人：刘</w:t>
      </w:r>
      <w:r>
        <w:rPr>
          <w:rFonts w:hint="eastAsia" w:asciiTheme="minorEastAsia" w:hAnsiTheme="minorEastAsia" w:eastAsiaTheme="minorEastAsia" w:cstheme="minorEastAsia"/>
          <w:kern w:val="0"/>
          <w:sz w:val="24"/>
          <w:szCs w:val="24"/>
          <w:highlight w:val="none"/>
          <w:lang w:eastAsia="zh-CN"/>
        </w:rPr>
        <w:t>老师</w:t>
      </w:r>
    </w:p>
    <w:p>
      <w:pPr>
        <w:pStyle w:val="21"/>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宋体" w:hAnsi="宋体" w:cs="宋体"/>
          <w:kern w:val="0"/>
          <w:sz w:val="24"/>
          <w:szCs w:val="24"/>
          <w:highlight w:val="none"/>
        </w:rPr>
        <w:t>联系方式：029-</w:t>
      </w:r>
      <w:r>
        <w:rPr>
          <w:rFonts w:hint="eastAsia" w:ascii="宋体" w:hAnsi="宋体" w:cs="宋体"/>
          <w:kern w:val="0"/>
          <w:sz w:val="24"/>
          <w:szCs w:val="24"/>
          <w:highlight w:val="none"/>
          <w:lang w:val="en-US" w:eastAsia="zh-CN"/>
        </w:rPr>
        <w:t>33572698</w:t>
      </w:r>
    </w:p>
    <w:bookmarkEnd w:id="7"/>
    <w:p>
      <w:pPr>
        <w:widowControl/>
        <w:numPr>
          <w:ilvl w:val="0"/>
          <w:numId w:val="0"/>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四、</w:t>
      </w:r>
      <w:r>
        <w:rPr>
          <w:rFonts w:hint="eastAsia" w:asciiTheme="minorEastAsia" w:hAnsiTheme="minorEastAsia" w:eastAsiaTheme="minorEastAsia" w:cstheme="minorEastAsia"/>
          <w:kern w:val="0"/>
          <w:sz w:val="24"/>
          <w:szCs w:val="24"/>
          <w:highlight w:val="none"/>
        </w:rPr>
        <w:t>采购代理机构名称：陕西万泽招标有限公司</w:t>
      </w:r>
    </w:p>
    <w:p>
      <w:pPr>
        <w:widowControl/>
        <w:wordWrap w:val="0"/>
        <w:snapToGrid w:val="0"/>
        <w:spacing w:line="360"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地址：西安市莲湖区西关正街英达大厦1507室</w:t>
      </w:r>
    </w:p>
    <w:p>
      <w:pPr>
        <w:widowControl/>
        <w:wordWrap w:val="0"/>
        <w:snapToGrid w:val="0"/>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联系方式：029-88319689</w:t>
      </w:r>
      <w:r>
        <w:rPr>
          <w:rFonts w:hint="eastAsia" w:asciiTheme="minorEastAsia" w:hAnsiTheme="minorEastAsia" w:eastAsiaTheme="minorEastAsia" w:cstheme="minorEastAsia"/>
          <w:kern w:val="0"/>
          <w:sz w:val="24"/>
          <w:szCs w:val="24"/>
          <w:highlight w:val="none"/>
          <w:lang w:val="en-US" w:eastAsia="zh-CN"/>
        </w:rPr>
        <w:t>-807</w:t>
      </w:r>
    </w:p>
    <w:p>
      <w:pPr>
        <w:widowControl/>
        <w:numPr>
          <w:ilvl w:val="0"/>
          <w:numId w:val="0"/>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采购内容和要求：</w:t>
      </w:r>
    </w:p>
    <w:tbl>
      <w:tblPr>
        <w:tblStyle w:val="26"/>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1695"/>
        <w:gridCol w:w="1530"/>
        <w:gridCol w:w="124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41"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名称</w:t>
            </w:r>
          </w:p>
        </w:tc>
        <w:tc>
          <w:tcPr>
            <w:tcW w:w="1695"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rPr>
              <w:t>预算</w:t>
            </w:r>
            <w:r>
              <w:rPr>
                <w:rFonts w:hint="eastAsia" w:ascii="宋体" w:hAnsi="宋体" w:eastAsia="宋体" w:cs="宋体"/>
                <w:bCs/>
                <w:kern w:val="0"/>
                <w:sz w:val="24"/>
                <w:szCs w:val="24"/>
                <w:highlight w:val="none"/>
                <w:lang w:eastAsia="zh-CN"/>
              </w:rPr>
              <w:t>（元）</w:t>
            </w:r>
          </w:p>
        </w:tc>
        <w:tc>
          <w:tcPr>
            <w:tcW w:w="1530"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项目性质</w:t>
            </w:r>
          </w:p>
        </w:tc>
        <w:tc>
          <w:tcPr>
            <w:tcW w:w="1245" w:type="dxa"/>
            <w:vAlign w:val="center"/>
          </w:tcPr>
          <w:p>
            <w:pPr>
              <w:widowControl/>
              <w:wordWrap w:val="0"/>
              <w:spacing w:line="360" w:lineRule="auto"/>
              <w:jc w:val="center"/>
              <w:rPr>
                <w:rFonts w:hint="eastAsia" w:ascii="宋体" w:hAnsi="宋体" w:eastAsia="宋体" w:cs="宋体"/>
                <w:bCs/>
                <w:kern w:val="0"/>
                <w:sz w:val="24"/>
                <w:szCs w:val="24"/>
                <w:highlight w:val="none"/>
                <w:lang w:val="en-US" w:eastAsia="zh-CN" w:bidi="ar-SA"/>
              </w:rPr>
            </w:pPr>
            <w:r>
              <w:rPr>
                <w:rFonts w:hint="eastAsia" w:ascii="宋体" w:hAnsi="宋体" w:eastAsia="宋体" w:cs="宋体"/>
                <w:bCs/>
                <w:kern w:val="0"/>
                <w:sz w:val="24"/>
                <w:szCs w:val="24"/>
                <w:highlight w:val="none"/>
                <w:lang w:eastAsia="zh-CN"/>
              </w:rPr>
              <w:t>项目用途</w:t>
            </w:r>
          </w:p>
        </w:tc>
        <w:tc>
          <w:tcPr>
            <w:tcW w:w="1770" w:type="dxa"/>
            <w:vAlign w:val="center"/>
          </w:tcPr>
          <w:p>
            <w:pPr>
              <w:widowControl/>
              <w:wordWrap w:val="0"/>
              <w:spacing w:line="360" w:lineRule="auto"/>
              <w:jc w:val="center"/>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41" w:type="dxa"/>
            <w:vAlign w:val="center"/>
          </w:tcPr>
          <w:p>
            <w:pPr>
              <w:widowControl/>
              <w:numPr>
                <w:ilvl w:val="0"/>
                <w:numId w:val="0"/>
              </w:numPr>
              <w:tabs>
                <w:tab w:val="left" w:pos="1620"/>
              </w:tabs>
              <w:wordWrap w:val="0"/>
              <w:snapToGrid w:val="0"/>
              <w:spacing w:line="24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rPr>
              <w:t>高端视野计</w:t>
            </w:r>
          </w:p>
        </w:tc>
        <w:tc>
          <w:tcPr>
            <w:tcW w:w="1695" w:type="dxa"/>
            <w:vAlign w:val="center"/>
          </w:tcPr>
          <w:p>
            <w:pPr>
              <w:widowControl/>
              <w:numPr>
                <w:ilvl w:val="0"/>
                <w:numId w:val="0"/>
              </w:numPr>
              <w:tabs>
                <w:tab w:val="left" w:pos="1620"/>
              </w:tabs>
              <w:wordWrap w:val="0"/>
              <w:snapToGrid w:val="0"/>
              <w:spacing w:line="240" w:lineRule="auto"/>
              <w:jc w:val="center"/>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vertAlign w:val="baseline"/>
                <w:lang w:val="en-US" w:eastAsia="zh-CN"/>
              </w:rPr>
              <w:t>5000</w:t>
            </w:r>
            <w:r>
              <w:rPr>
                <w:rFonts w:asciiTheme="minorEastAsia" w:hAnsiTheme="minorEastAsia" w:eastAsiaTheme="minorEastAsia" w:cstheme="minorEastAsia"/>
                <w:kern w:val="0"/>
                <w:sz w:val="24"/>
                <w:szCs w:val="24"/>
                <w:highlight w:val="none"/>
                <w:vertAlign w:val="baseline"/>
              </w:rPr>
              <w:t>00.00</w:t>
            </w:r>
          </w:p>
        </w:tc>
        <w:tc>
          <w:tcPr>
            <w:tcW w:w="1530" w:type="dxa"/>
            <w:vAlign w:val="center"/>
          </w:tcPr>
          <w:p>
            <w:pPr>
              <w:widowControl/>
              <w:numPr>
                <w:ilvl w:val="0"/>
                <w:numId w:val="0"/>
              </w:numPr>
              <w:tabs>
                <w:tab w:val="left" w:pos="1620"/>
              </w:tabs>
              <w:wordWrap w:val="0"/>
              <w:snapToGrid w:val="0"/>
              <w:spacing w:line="24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财政资金</w:t>
            </w:r>
          </w:p>
        </w:tc>
        <w:tc>
          <w:tcPr>
            <w:tcW w:w="1245" w:type="dxa"/>
            <w:vAlign w:val="center"/>
          </w:tcPr>
          <w:p>
            <w:pPr>
              <w:widowControl/>
              <w:numPr>
                <w:ilvl w:val="0"/>
                <w:numId w:val="0"/>
              </w:numPr>
              <w:tabs>
                <w:tab w:val="left" w:pos="1620"/>
              </w:tabs>
              <w:wordWrap w:val="0"/>
              <w:snapToGrid w:val="0"/>
              <w:spacing w:line="24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自用</w:t>
            </w:r>
          </w:p>
        </w:tc>
        <w:tc>
          <w:tcPr>
            <w:tcW w:w="1770" w:type="dxa"/>
            <w:vAlign w:val="center"/>
          </w:tcPr>
          <w:p>
            <w:pPr>
              <w:widowControl/>
              <w:numPr>
                <w:ilvl w:val="0"/>
                <w:numId w:val="0"/>
              </w:numPr>
              <w:tabs>
                <w:tab w:val="left" w:pos="1620"/>
              </w:tabs>
              <w:wordWrap w:val="0"/>
              <w:snapToGrid w:val="0"/>
              <w:spacing w:line="240" w:lineRule="auto"/>
              <w:jc w:val="center"/>
              <w:rPr>
                <w:rFonts w:hint="eastAsia" w:asciiTheme="minorEastAsia" w:hAnsiTheme="minorEastAsia" w:eastAsiaTheme="minorEastAsia" w:cstheme="minorEastAsia"/>
                <w:kern w:val="0"/>
                <w:sz w:val="24"/>
                <w:szCs w:val="24"/>
                <w:highlight w:val="none"/>
                <w:vertAlign w:val="baseline"/>
                <w:lang w:eastAsia="zh-CN"/>
              </w:rPr>
            </w:pPr>
            <w:r>
              <w:rPr>
                <w:rFonts w:hint="eastAsia" w:asciiTheme="minorEastAsia" w:hAnsiTheme="minorEastAsia" w:eastAsiaTheme="minorEastAsia" w:cstheme="minorEastAsia"/>
                <w:kern w:val="0"/>
                <w:sz w:val="24"/>
                <w:szCs w:val="24"/>
                <w:highlight w:val="none"/>
                <w:vertAlign w:val="baseline"/>
                <w:lang w:eastAsia="zh-CN"/>
              </w:rPr>
              <w:t>本项目已做进口论证，允许采购进口产品</w:t>
            </w:r>
          </w:p>
        </w:tc>
      </w:tr>
    </w:tbl>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供应商资质要求：</w:t>
      </w:r>
    </w:p>
    <w:p>
      <w:pPr>
        <w:snapToGrid w:val="0"/>
        <w:spacing w:line="300" w:lineRule="auto"/>
        <w:ind w:left="567"/>
        <w:jc w:val="left"/>
        <w:rPr>
          <w:color w:val="000000"/>
          <w:highlight w:val="none"/>
        </w:rPr>
      </w:pPr>
      <w:r>
        <w:rPr>
          <w:rFonts w:hint="eastAsia" w:ascii="宋体" w:hAnsi="宋体" w:cs="宋体"/>
          <w:bCs/>
          <w:color w:val="000000"/>
          <w:kern w:val="0"/>
          <w:sz w:val="24"/>
          <w:szCs w:val="24"/>
          <w:highlight w:val="none"/>
        </w:rPr>
        <w:t>符合《中华人民共和国政府采购法》第二十二条规定，并提供以下材料：</w:t>
      </w:r>
    </w:p>
    <w:p>
      <w:pPr>
        <w:numPr>
          <w:ilvl w:val="0"/>
          <w:numId w:val="1"/>
        </w:num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2、社会保障资金缴纳证明：202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3、税收缴纳证明：202</w:t>
      </w:r>
      <w:r>
        <w:rPr>
          <w:rFonts w:hint="eastAsia" w:ascii="宋体" w:hAnsi="宋体" w:cs="宋体"/>
          <w:bCs/>
          <w:kern w:val="0"/>
          <w:sz w:val="24"/>
          <w:szCs w:val="24"/>
          <w:highlight w:val="none"/>
          <w:lang w:val="en-US" w:eastAsia="zh-CN"/>
        </w:rPr>
        <w:t>2</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月至今已缴纳的至少一个月纳税证明或完税证明，依法免税的单位应提供相关证明材料； </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 xml:space="preserve">4、财务状况证明：提供经会计师事务所审计的2020年或2021年的财务审计报告或在开标日期前六个月内其基本开户银行出具的资信证明；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6、非法定代表人参加投标，须提供法定代表人授权委托书及被授权人身份证原件；法定代表人参加投标时,只须提供法定代表人身份证原件；</w:t>
      </w:r>
    </w:p>
    <w:p>
      <w:pPr>
        <w:pStyle w:val="7"/>
        <w:ind w:left="0" w:leftChars="0" w:firstLine="480" w:firstLineChars="200"/>
        <w:rPr>
          <w:highlight w:val="none"/>
        </w:rPr>
      </w:pPr>
      <w:r>
        <w:rPr>
          <w:rFonts w:hint="eastAsia" w:ascii="宋体" w:hAnsi="宋体" w:cs="宋体"/>
          <w:bCs/>
          <w:kern w:val="0"/>
          <w:sz w:val="24"/>
          <w:szCs w:val="24"/>
          <w:highlight w:val="none"/>
        </w:rPr>
        <w:t>7、供应商须提供投标保证金汇款凭证或担保机构出具的保函；</w:t>
      </w:r>
    </w:p>
    <w:p>
      <w:pPr>
        <w:pStyle w:val="11"/>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8、</w:t>
      </w:r>
      <w:r>
        <w:rPr>
          <w:rFonts w:hint="eastAsia" w:ascii="宋体" w:hAnsi="宋体" w:cs="宋体"/>
          <w:sz w:val="24"/>
          <w:highlight w:val="none"/>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w:t>
      </w:r>
      <w:r>
        <w:rPr>
          <w:rFonts w:hint="eastAsia" w:ascii="宋体" w:hAnsi="宋体" w:cs="宋体"/>
          <w:sz w:val="24"/>
          <w:highlight w:val="none"/>
          <w:lang w:eastAsia="zh-CN"/>
        </w:rPr>
        <w:t>，</w:t>
      </w:r>
      <w:r>
        <w:rPr>
          <w:rFonts w:hint="eastAsia" w:ascii="宋体" w:hAnsi="宋体" w:cs="宋体"/>
          <w:sz w:val="24"/>
          <w:highlight w:val="none"/>
          <w:lang w:val="en-US" w:eastAsia="zh-CN"/>
        </w:rPr>
        <w:t>进口产品不需要提供</w:t>
      </w:r>
      <w:r>
        <w:rPr>
          <w:rFonts w:hint="eastAsia" w:ascii="宋体" w:hAnsi="宋体" w:cs="宋体"/>
          <w:sz w:val="24"/>
          <w:highlight w:val="none"/>
        </w:rPr>
        <w:t>）和医疗器械注册证及其附件或备案凭证</w:t>
      </w:r>
      <w:r>
        <w:rPr>
          <w:rFonts w:hint="eastAsia" w:ascii="宋体" w:hAnsi="宋体" w:cs="宋体"/>
          <w:bCs/>
          <w:sz w:val="24"/>
          <w:szCs w:val="24"/>
          <w:highlight w:val="none"/>
          <w:lang w:val="en-US" w:eastAsia="zh-CN"/>
        </w:rPr>
        <w:t>；</w:t>
      </w:r>
    </w:p>
    <w:p>
      <w:pPr>
        <w:bidi w:val="0"/>
        <w:spacing w:line="360" w:lineRule="auto"/>
        <w:ind w:firstLine="480" w:firstLineChars="200"/>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9、</w:t>
      </w:r>
      <w:r>
        <w:rPr>
          <w:rFonts w:hint="eastAsia" w:ascii="宋体" w:hAnsi="宋体" w:cs="宋体"/>
          <w:kern w:val="0"/>
          <w:sz w:val="24"/>
          <w:szCs w:val="21"/>
          <w:highlight w:val="none"/>
          <w:lang w:val="en-US" w:eastAsia="zh-CN" w:bidi="ar-SA"/>
        </w:rPr>
        <w:t>投标产品为进口产品的</w:t>
      </w:r>
      <w:r>
        <w:rPr>
          <w:rFonts w:hint="eastAsia" w:ascii="宋体" w:hAnsi="宋体" w:eastAsia="宋体" w:cs="宋体"/>
          <w:kern w:val="0"/>
          <w:sz w:val="24"/>
          <w:szCs w:val="21"/>
          <w:highlight w:val="none"/>
          <w:lang w:val="en-US" w:eastAsia="zh-CN" w:bidi="ar-SA"/>
        </w:rPr>
        <w:t>，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pStyle w:val="11"/>
        <w:spacing w:line="360" w:lineRule="auto"/>
        <w:ind w:left="420"/>
        <w:rPr>
          <w:rFonts w:ascii="宋体" w:hAnsi="宋体" w:cs="宋体"/>
          <w:bCs/>
          <w:sz w:val="24"/>
          <w:szCs w:val="24"/>
          <w:highlight w:val="none"/>
        </w:rPr>
      </w:pP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本项目不接受联合体投标。</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七、</w:t>
      </w:r>
      <w:r>
        <w:rPr>
          <w:rFonts w:hint="eastAsia" w:asciiTheme="minorEastAsia" w:hAnsiTheme="minorEastAsia" w:eastAsiaTheme="minorEastAsia" w:cstheme="minorEastAsia"/>
          <w:kern w:val="0"/>
          <w:sz w:val="24"/>
          <w:szCs w:val="24"/>
          <w:highlight w:val="none"/>
        </w:rPr>
        <w:t>采购项目需要落实的政府采购政策：</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依据《中华人民共和国政府采购法》和《中华人民共和国政府采购实施条例》的有关规定，落实政府采购“优先购买节能环保产品、扶持小微企业、残疾人就业、监狱企业、福利企业”等相关政策。</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1、《政府采购促进中小企业发展管理办法》（财库〔2020〕46号）、《关于进一步加大政府采购支持中小企业力度的通知》（财库〔2022〕19号）；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2、《财政部 司法部关于政府采购支持监狱企业发展有关问题的通知》（财库〔2014〕68号）；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3、《国务院办公厅关于建立政府强制采购节能产品制度的通知》（国办发〔2007〕51号）；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4、《财政部发展改革委生态环境部市场监督总局关于调整优化节能产品、环境标志产品政府采购执行机制的通知》-（财库[2019]9号）；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5、《关于印发环境标志产品政府采购品目清单的通知》-（财库〔2019〕18号）；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6、《关于印发节能产品政府采购品目清单的通知》-（财库〔2019〕19号）；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SA"/>
        </w:rPr>
        <w:t>7、《三部门联合发布关于促进残疾人就业政府采购政策的通知》（财库〔2017〕141号）；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SA"/>
        </w:rPr>
        <w:t>8</w:t>
      </w:r>
      <w:r>
        <w:rPr>
          <w:rFonts w:hint="eastAsia" w:ascii="宋体" w:hAnsi="宋体" w:eastAsia="宋体" w:cs="宋体"/>
          <w:kern w:val="0"/>
          <w:sz w:val="24"/>
          <w:szCs w:val="21"/>
          <w:highlight w:val="none"/>
          <w:lang w:val="en-US" w:eastAsia="zh-CN" w:bidi="ar-SA"/>
        </w:rPr>
        <w:t>、《陕西省中小企业政府采购信用融资办法》（陕财办采〔2018〕23号）；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SA"/>
        </w:rPr>
        <w:t>9</w:t>
      </w:r>
      <w:r>
        <w:rPr>
          <w:rFonts w:hint="eastAsia" w:ascii="宋体" w:hAnsi="宋体" w:eastAsia="宋体" w:cs="宋体"/>
          <w:kern w:val="0"/>
          <w:sz w:val="24"/>
          <w:szCs w:val="21"/>
          <w:highlight w:val="none"/>
          <w:lang w:val="en-US" w:eastAsia="zh-CN" w:bidi="ar-SA"/>
        </w:rPr>
        <w:t>、《陕西省财政厅关于加快推进我省中小企业政府采购信用融资工作的通知》-（陕财办采〔2020〕15号）</w:t>
      </w:r>
    </w:p>
    <w:p>
      <w:pPr>
        <w:keepNext w:val="0"/>
        <w:keepLines w:val="0"/>
        <w:pageBreakBefore w:val="0"/>
        <w:widowControl/>
        <w:numPr>
          <w:ilvl w:val="0"/>
          <w:numId w:val="0"/>
        </w:numPr>
        <w:tabs>
          <w:tab w:val="left" w:pos="1620"/>
        </w:tabs>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SA"/>
        </w:rPr>
        <w:t>10</w:t>
      </w:r>
      <w:r>
        <w:rPr>
          <w:rFonts w:hint="eastAsia" w:ascii="宋体" w:hAnsi="宋体" w:eastAsia="宋体" w:cs="宋体"/>
          <w:kern w:val="0"/>
          <w:sz w:val="24"/>
          <w:szCs w:val="21"/>
          <w:highlight w:val="none"/>
          <w:lang w:val="en-US" w:eastAsia="zh-CN" w:bidi="ar-SA"/>
        </w:rPr>
        <w:t>、其他需要落实的政府采购政策；</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八、</w:t>
      </w:r>
      <w:r>
        <w:rPr>
          <w:rFonts w:hint="eastAsia" w:asciiTheme="minorEastAsia" w:hAnsiTheme="minorEastAsia" w:eastAsiaTheme="minorEastAsia" w:cstheme="minorEastAsia"/>
          <w:kern w:val="0"/>
          <w:sz w:val="24"/>
          <w:szCs w:val="24"/>
          <w:highlight w:val="none"/>
        </w:rPr>
        <w:t>公开招标文件发售：</w:t>
      </w:r>
    </w:p>
    <w:p>
      <w:pPr>
        <w:widowControl/>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1、发售时间：</w:t>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日起至20</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27</w:t>
      </w:r>
      <w:r>
        <w:rPr>
          <w:rFonts w:hint="eastAsia" w:asciiTheme="minorEastAsia" w:hAnsiTheme="minorEastAsia" w:eastAsiaTheme="minorEastAsia" w:cstheme="minorEastAsia"/>
          <w:sz w:val="24"/>
          <w:szCs w:val="24"/>
          <w:highlight w:val="none"/>
        </w:rPr>
        <w:t>日止</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（上午09:00～12:00，下午14:00～17:00发售,法定节假日除外）</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2、发售地点：西安市莲湖区西关正街英达大厦1507室</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3、文件售价：</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00元。售后不退，谢绝邮寄。</w:t>
      </w:r>
    </w:p>
    <w:p>
      <w:pPr>
        <w:widowControl/>
        <w:wordWrap w:val="0"/>
        <w:snapToGrid w:val="0"/>
        <w:spacing w:line="300" w:lineRule="auto"/>
        <w:ind w:right="-199" w:rightChars="-95"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r>
        <w:rPr>
          <w:rFonts w:hint="eastAsia" w:asciiTheme="minorEastAsia" w:hAnsiTheme="minorEastAsia" w:cstheme="minorEastAsia"/>
          <w:kern w:val="0"/>
          <w:sz w:val="24"/>
          <w:szCs w:val="24"/>
          <w:highlight w:val="none"/>
        </w:rPr>
        <w:t>（1）供应商购买标书时，请携带单位介绍信及经办人身份证原件及复印件加盖公章，现金购买；</w:t>
      </w:r>
      <w:r>
        <w:rPr>
          <w:rFonts w:hint="eastAsia" w:ascii="宋体" w:hAnsi="宋体" w:cs="宋体"/>
          <w:kern w:val="0"/>
          <w:sz w:val="24"/>
          <w:szCs w:val="24"/>
          <w:highlight w:val="none"/>
        </w:rPr>
        <w:t>（2）提示：请供应商按照陕西省财政厅关于政府采购供应商注册登记有关事项的通知中的要求，通过陕西省政府采购网（http://www.ccgp-shaanxi.gov.cn/）注册登记加入陕西省政府采购供应商库。</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九、</w:t>
      </w:r>
      <w:r>
        <w:rPr>
          <w:rFonts w:hint="eastAsia" w:asciiTheme="minorEastAsia" w:hAnsiTheme="minorEastAsia" w:eastAsiaTheme="minorEastAsia" w:cstheme="minorEastAsia"/>
          <w:kern w:val="0"/>
          <w:sz w:val="24"/>
          <w:szCs w:val="24"/>
          <w:highlight w:val="none"/>
        </w:rPr>
        <w:t>投标文件递交截止时间及开标时间和地点：</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1、投标文件递交截止时间：202</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04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2、开标时间：202</w:t>
      </w:r>
      <w:r>
        <w:rPr>
          <w:rFonts w:hint="eastAsia" w:asciiTheme="minorEastAsia" w:hAnsiTheme="minorEastAsia" w:eastAsiaTheme="minorEastAsia" w:cstheme="minorEastAsia"/>
          <w:kern w:val="0"/>
          <w:sz w:val="24"/>
          <w:szCs w:val="24"/>
          <w:highlight w:val="none"/>
          <w:lang w:val="en-US" w:eastAsia="zh-CN"/>
        </w:rPr>
        <w:t>3</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04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pPr>
        <w:widowControl/>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3、开标地点：西安市莲湖区西关正街英达大厦1503会议室</w:t>
      </w:r>
    </w:p>
    <w:p>
      <w:pPr>
        <w:widowControl/>
        <w:numPr>
          <w:ilvl w:val="0"/>
          <w:numId w:val="0"/>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eastAsiaTheme="minorEastAsia" w:cstheme="minorEastAsia"/>
          <w:kern w:val="0"/>
          <w:sz w:val="24"/>
          <w:szCs w:val="24"/>
          <w:highlight w:val="none"/>
        </w:rPr>
        <w:t>其它应说明的事项：</w:t>
      </w:r>
    </w:p>
    <w:p>
      <w:pPr>
        <w:widowControl/>
        <w:numPr>
          <w:ilvl w:val="0"/>
          <w:numId w:val="2"/>
        </w:numPr>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采购项目联系人：张刘艳 于晓晶  郝思思  </w:t>
      </w:r>
    </w:p>
    <w:p>
      <w:pPr>
        <w:widowControl/>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联系方式（电话/传真）：029-88319689-806</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2、采购代理机构开户名称：陕西万泽招标有限公司</w:t>
      </w:r>
    </w:p>
    <w:p>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3、开户行名称：西安银行朝阳门支行</w:t>
      </w:r>
    </w:p>
    <w:p>
      <w:pPr>
        <w:widowControl/>
        <w:tabs>
          <w:tab w:val="left" w:pos="0"/>
        </w:tabs>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      号：211011580000015489</w:t>
      </w:r>
    </w:p>
    <w:p>
      <w:pPr>
        <w:pStyle w:val="22"/>
        <w:snapToGrid w:val="0"/>
        <w:spacing w:before="0" w:beforeAutospacing="0" w:after="0" w:afterAutospacing="0" w:line="288" w:lineRule="auto"/>
        <w:ind w:firstLine="420" w:firstLineChars="175"/>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十一、公告期自发布起五个工作日。</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w:t>
      </w:r>
    </w:p>
    <w:p>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23</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日</w:t>
      </w:r>
    </w:p>
    <w:p>
      <w:pPr>
        <w:spacing w:beforeLines="100" w:afterLines="50" w:line="600" w:lineRule="exact"/>
        <w:rPr>
          <w:rFonts w:asciiTheme="minorEastAsia" w:hAnsiTheme="minorEastAsia" w:eastAsiaTheme="minorEastAsia" w:cstheme="minorEastAsia"/>
          <w:sz w:val="36"/>
          <w:szCs w:val="36"/>
          <w:highlight w:val="none"/>
        </w:rPr>
      </w:pPr>
      <w:bookmarkStart w:id="8" w:name="_Toc11512"/>
      <w:bookmarkStart w:id="9" w:name="_Toc11268"/>
      <w:bookmarkStart w:id="10" w:name="_Toc10977"/>
      <w:bookmarkStart w:id="11" w:name="_Toc30089"/>
      <w:bookmarkStart w:id="12" w:name="_Toc3710"/>
      <w:bookmarkStart w:id="13" w:name="_Toc438048787"/>
    </w:p>
    <w:p>
      <w:pP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pPr>
        <w:pStyle w:val="3"/>
        <w:spacing w:beforeLines="100" w:afterLines="50" w:line="600" w:lineRule="exact"/>
        <w:rPr>
          <w:rFonts w:asciiTheme="minorEastAsia" w:hAnsiTheme="minorEastAsia" w:eastAsiaTheme="minorEastAsia" w:cstheme="minorEastAsia"/>
          <w:sz w:val="36"/>
          <w:szCs w:val="36"/>
          <w:highlight w:val="none"/>
        </w:rPr>
      </w:pPr>
      <w:bookmarkStart w:id="14" w:name="_Toc11528"/>
      <w:r>
        <w:rPr>
          <w:rFonts w:hint="eastAsia" w:asciiTheme="minorEastAsia" w:hAnsiTheme="minorEastAsia" w:eastAsiaTheme="minorEastAsia" w:cstheme="minorEastAsia"/>
          <w:sz w:val="36"/>
          <w:szCs w:val="36"/>
          <w:highlight w:val="none"/>
        </w:rPr>
        <w:t>第二部分  供应商须知前附表</w:t>
      </w:r>
      <w:bookmarkEnd w:id="8"/>
      <w:bookmarkEnd w:id="9"/>
      <w:bookmarkEnd w:id="10"/>
      <w:bookmarkEnd w:id="11"/>
      <w:bookmarkEnd w:id="12"/>
      <w:bookmarkEnd w:id="13"/>
      <w:bookmarkEnd w:id="14"/>
    </w:p>
    <w:tbl>
      <w:tblPr>
        <w:tblStyle w:val="25"/>
        <w:tblpPr w:leftFromText="180" w:rightFromText="180" w:vertAnchor="text" w:horzAnchor="page" w:tblpX="1717" w:tblpY="527"/>
        <w:tblOverlap w:val="never"/>
        <w:tblW w:w="91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49"/>
        <w:gridCol w:w="897"/>
        <w:gridCol w:w="78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trPr>
        <w:tc>
          <w:tcPr>
            <w:tcW w:w="349"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97"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7894" w:type="dxa"/>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1</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rPr>
              <w:t>陕西中医药大学第二附属医院眼科设备采购项目（一）第一包二次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894" w:type="dxa"/>
            <w:vAlign w:val="center"/>
          </w:tcPr>
          <w:p>
            <w:pPr>
              <w:spacing w:line="360" w:lineRule="auto"/>
              <w:jc w:val="left"/>
              <w:rPr>
                <w:rFonts w:hint="eastAsia"/>
                <w:highlight w:val="none"/>
              </w:rPr>
            </w:pPr>
            <w:r>
              <w:rPr>
                <w:rFonts w:hint="eastAsia"/>
                <w:highlight w:val="none"/>
              </w:rPr>
              <w:t>采购人名称：</w:t>
            </w:r>
            <w:r>
              <w:rPr>
                <w:rFonts w:hint="eastAsia"/>
                <w:highlight w:val="none"/>
                <w:lang w:eastAsia="zh-CN"/>
              </w:rPr>
              <w:t>陕西中医药大学第二附属医院</w:t>
            </w:r>
          </w:p>
          <w:p>
            <w:pPr>
              <w:spacing w:line="360" w:lineRule="auto"/>
              <w:jc w:val="left"/>
              <w:rPr>
                <w:rFonts w:hint="eastAsia"/>
                <w:highlight w:val="none"/>
                <w:lang w:eastAsia="zh-CN"/>
              </w:rPr>
            </w:pPr>
            <w:r>
              <w:rPr>
                <w:rFonts w:hint="eastAsia"/>
                <w:highlight w:val="none"/>
              </w:rPr>
              <w:t>地址：</w:t>
            </w:r>
            <w:r>
              <w:rPr>
                <w:rFonts w:hint="eastAsia"/>
                <w:highlight w:val="none"/>
                <w:lang w:eastAsia="zh-CN"/>
              </w:rPr>
              <w:t>咸阳市秦都区渭阳西路5号</w:t>
            </w:r>
          </w:p>
          <w:p>
            <w:pPr>
              <w:pStyle w:val="21"/>
              <w:spacing w:line="360" w:lineRule="auto"/>
              <w:jc w:val="left"/>
              <w:rPr>
                <w:rFonts w:hint="default" w:ascii="Calibri" w:hAnsi="Calibri" w:eastAsia="宋体" w:cs="Calibri"/>
                <w:kern w:val="2"/>
                <w:sz w:val="21"/>
                <w:szCs w:val="21"/>
                <w:highlight w:val="none"/>
                <w:lang w:val="en-US" w:eastAsia="zh-CN" w:bidi="ar-SA"/>
              </w:rPr>
            </w:pPr>
            <w:r>
              <w:rPr>
                <w:rFonts w:hint="default" w:ascii="Calibri" w:hAnsi="Calibri" w:eastAsia="宋体" w:cs="Calibri"/>
                <w:kern w:val="2"/>
                <w:sz w:val="21"/>
                <w:szCs w:val="21"/>
                <w:highlight w:val="none"/>
                <w:lang w:val="en-US" w:eastAsia="zh-CN" w:bidi="ar-SA"/>
              </w:rPr>
              <w:t>联系人：刘老师</w:t>
            </w:r>
          </w:p>
          <w:p>
            <w:pPr>
              <w:pStyle w:val="21"/>
              <w:spacing w:line="360" w:lineRule="auto"/>
              <w:jc w:val="left"/>
              <w:rPr>
                <w:rFonts w:hint="default"/>
                <w:highlight w:val="none"/>
                <w:lang w:val="en-US"/>
              </w:rPr>
            </w:pPr>
            <w:r>
              <w:rPr>
                <w:rFonts w:hint="default" w:ascii="Calibri" w:hAnsi="Calibri" w:eastAsia="宋体" w:cs="Calibri"/>
                <w:kern w:val="2"/>
                <w:sz w:val="21"/>
                <w:szCs w:val="21"/>
                <w:highlight w:val="none"/>
                <w:lang w:val="en-US" w:eastAsia="zh-CN" w:bidi="ar-SA"/>
              </w:rPr>
              <w:t>联系方式：029-33572698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trPr>
        <w:tc>
          <w:tcPr>
            <w:tcW w:w="349" w:type="dxa"/>
            <w:tcBorders>
              <w:top w:val="single" w:color="auto" w:sz="4" w:space="0"/>
              <w:bottom w:val="single" w:color="auto" w:sz="4" w:space="0"/>
            </w:tcBorders>
            <w:vAlign w:val="center"/>
          </w:tcPr>
          <w:p>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3</w:t>
            </w:r>
          </w:p>
        </w:tc>
        <w:tc>
          <w:tcPr>
            <w:tcW w:w="897" w:type="dxa"/>
            <w:tcBorders>
              <w:top w:val="single" w:color="auto" w:sz="4" w:space="0"/>
              <w:bottom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7894" w:type="dxa"/>
            <w:tcBorders>
              <w:top w:val="single" w:color="auto" w:sz="4" w:space="0"/>
              <w:bottom w:val="single" w:color="auto" w:sz="4" w:space="0"/>
            </w:tcBorders>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采购代理机构：陕西万泽招标有限公司</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        址：西安市莲湖区西关正街英达大厦1507室</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color w:val="000000"/>
                <w:sz w:val="21"/>
                <w:szCs w:val="21"/>
                <w:highlight w:val="none"/>
              </w:rPr>
              <w:t>张刘艳  于晓晶</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郝思思  </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        话：029-88319689</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        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"mailto:sxwzzb123@163.com" </w:instrText>
            </w:r>
            <w:r>
              <w:rPr>
                <w:rFonts w:hint="eastAsia" w:ascii="宋体" w:hAnsi="宋体" w:eastAsia="宋体" w:cs="宋体"/>
                <w:sz w:val="21"/>
                <w:szCs w:val="21"/>
                <w:highlight w:val="none"/>
              </w:rPr>
              <w:fldChar w:fldCharType="separate"/>
            </w:r>
            <w:r>
              <w:rPr>
                <w:rStyle w:val="32"/>
                <w:rFonts w:hint="eastAsia" w:ascii="宋体" w:hAnsi="宋体" w:eastAsia="宋体" w:cs="宋体"/>
                <w:color w:val="auto"/>
                <w:sz w:val="21"/>
                <w:szCs w:val="21"/>
                <w:highlight w:val="none"/>
              </w:rPr>
              <w:t>sxwzzb123@163.com</w:t>
            </w:r>
            <w:r>
              <w:rPr>
                <w:rStyle w:val="32"/>
                <w:rFonts w:hint="eastAsia" w:ascii="宋体" w:hAnsi="宋体" w:eastAsia="宋体" w:cs="宋体"/>
                <w:color w:val="auto"/>
                <w:sz w:val="21"/>
                <w:szCs w:val="21"/>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beforeLines="5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联合体形式</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备选方案</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标  段</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本次采购采用</w:t>
            </w:r>
            <w:r>
              <w:rPr>
                <w:rFonts w:hint="eastAsia" w:ascii="宋体" w:hAnsi="宋体" w:eastAsia="宋体" w:cs="宋体"/>
                <w:sz w:val="21"/>
                <w:szCs w:val="21"/>
                <w:highlight w:val="none"/>
                <w:lang w:eastAsia="zh-CN"/>
              </w:rPr>
              <w:t>分</w:t>
            </w:r>
            <w:r>
              <w:rPr>
                <w:rFonts w:hint="eastAsia" w:ascii="宋体" w:hAnsi="宋体" w:eastAsia="宋体" w:cs="宋体"/>
                <w:sz w:val="21"/>
                <w:szCs w:val="21"/>
                <w:highlight w:val="none"/>
              </w:rPr>
              <w:t>包</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方式,供应商可根据自身的资质情况和经营范围对本项目</w:t>
            </w:r>
            <w:r>
              <w:rPr>
                <w:rFonts w:hint="eastAsia" w:ascii="宋体" w:hAnsi="宋体" w:cs="宋体"/>
                <w:sz w:val="21"/>
                <w:szCs w:val="21"/>
                <w:highlight w:val="none"/>
                <w:lang w:eastAsia="zh-CN"/>
              </w:rPr>
              <w:t>任意包</w:t>
            </w:r>
            <w:r>
              <w:rPr>
                <w:rFonts w:hint="eastAsia" w:ascii="宋体" w:hAnsi="宋体" w:eastAsia="宋体" w:cs="宋体"/>
                <w:sz w:val="21"/>
                <w:szCs w:val="21"/>
                <w:highlight w:val="none"/>
              </w:rPr>
              <w:t>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有效期</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7894" w:type="dxa"/>
          </w:tcPr>
          <w:p>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符合《中华人民共和国政府采购法》第二十二条规定，并提供以下材料：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2、社会保障资金缴纳证明：202</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3、税收缴纳证明：202</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月至今已缴纳的至少一个月纳税证明或完税证明，依法免税的单位应提供相关证明材料；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4、财务状况证明：提供经会计师事务所审计的2020年或2021年的财务审计报告或在开标日期前六个月内其基本开户银行出具的资信证明；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6、非法定代表人参加投标，须提供法定代表人授权委托书及被授权人身份证原件；法定代表人参加投标时,只须提供法定代表人身份证原件；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7、供应商须提供投标保证金汇款凭证或担保机构出具的保函；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8、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进口产品不需要提供</w:t>
            </w:r>
            <w:r>
              <w:rPr>
                <w:rFonts w:hint="eastAsia" w:ascii="宋体" w:hAnsi="宋体" w:eastAsia="宋体" w:cs="宋体"/>
                <w:color w:val="000000"/>
                <w:sz w:val="21"/>
                <w:szCs w:val="21"/>
                <w:highlight w:val="none"/>
              </w:rPr>
              <w:t>）和医疗器械注册证及其附件或备案凭证</w:t>
            </w:r>
            <w:r>
              <w:rPr>
                <w:rFonts w:hint="eastAsia" w:ascii="宋体" w:hAnsi="宋体" w:eastAsia="宋体" w:cs="宋体"/>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投标产品为进口产品的，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本项目不接受联合体投标。</w:t>
            </w:r>
          </w:p>
          <w:p>
            <w:pPr>
              <w:spacing w:line="360" w:lineRule="auto"/>
              <w:ind w:firstLine="369" w:firstLineChars="175"/>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以上项为资格审查必备资质。评审时，根据供应商</w:t>
            </w:r>
            <w:r>
              <w:rPr>
                <w:rFonts w:hint="eastAsia" w:ascii="宋体" w:hAnsi="宋体" w:eastAsia="宋体" w:cs="宋体"/>
                <w:b/>
                <w:bCs/>
                <w:sz w:val="21"/>
                <w:szCs w:val="21"/>
                <w:highlight w:val="none"/>
                <w:lang w:eastAsia="zh-CN"/>
              </w:rPr>
              <w:t>投标文件</w:t>
            </w:r>
            <w:r>
              <w:rPr>
                <w:rFonts w:hint="eastAsia" w:ascii="宋体" w:hAnsi="宋体" w:eastAsia="宋体" w:cs="宋体"/>
                <w:b/>
                <w:bCs/>
                <w:sz w:val="21"/>
                <w:szCs w:val="21"/>
                <w:highlight w:val="none"/>
              </w:rPr>
              <w:t>中提供的上述资格证明文件（复印件加盖公章，原件备查）进行资格审查，未通过资格审查的，其</w:t>
            </w:r>
            <w:r>
              <w:rPr>
                <w:rFonts w:hint="eastAsia" w:ascii="宋体" w:hAnsi="宋体" w:eastAsia="宋体" w:cs="宋体"/>
                <w:b/>
                <w:bCs/>
                <w:sz w:val="21"/>
                <w:szCs w:val="21"/>
                <w:highlight w:val="none"/>
                <w:lang w:eastAsia="zh-CN"/>
              </w:rPr>
              <w:t>投标文件</w:t>
            </w:r>
            <w:r>
              <w:rPr>
                <w:rFonts w:hint="eastAsia" w:ascii="宋体" w:hAnsi="宋体" w:eastAsia="宋体" w:cs="宋体"/>
                <w:b/>
                <w:bCs/>
                <w:sz w:val="21"/>
                <w:szCs w:val="21"/>
                <w:highlight w:val="none"/>
              </w:rPr>
              <w:t>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投标保证金缴纳</w:t>
            </w:r>
          </w:p>
        </w:tc>
        <w:tc>
          <w:tcPr>
            <w:tcW w:w="7894" w:type="dxa"/>
            <w:vAlign w:val="top"/>
          </w:tcPr>
          <w:p>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w:t>
            </w:r>
          </w:p>
          <w:p>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sz w:val="21"/>
                <w:szCs w:val="21"/>
                <w:highlight w:val="none"/>
                <w:lang w:eastAsia="zh-CN"/>
              </w:rPr>
              <w:t>第一包：</w:t>
            </w:r>
            <w:r>
              <w:rPr>
                <w:rFonts w:hint="eastAsia" w:ascii="宋体" w:hAnsi="宋体" w:eastAsia="宋体" w:cs="宋体"/>
                <w:b/>
                <w:bCs/>
                <w:color w:val="000000"/>
                <w:sz w:val="21"/>
                <w:szCs w:val="21"/>
                <w:highlight w:val="none"/>
              </w:rPr>
              <w:t>人民币</w:t>
            </w:r>
            <w:r>
              <w:rPr>
                <w:rFonts w:hint="eastAsia" w:ascii="宋体" w:hAnsi="宋体" w:cs="宋体"/>
                <w:b/>
                <w:bCs/>
                <w:color w:val="000000"/>
                <w:sz w:val="21"/>
                <w:szCs w:val="21"/>
                <w:highlight w:val="none"/>
                <w:lang w:val="en-US" w:eastAsia="zh-CN"/>
              </w:rPr>
              <w:t>壹万</w:t>
            </w:r>
            <w:r>
              <w:rPr>
                <w:rFonts w:hint="eastAsia" w:ascii="宋体" w:hAnsi="宋体" w:eastAsia="宋体" w:cs="宋体"/>
                <w:b/>
                <w:bCs/>
                <w:color w:val="000000"/>
                <w:sz w:val="21"/>
                <w:szCs w:val="21"/>
                <w:highlight w:val="none"/>
              </w:rPr>
              <w:t>元整（¥</w:t>
            </w:r>
            <w:r>
              <w:rPr>
                <w:rFonts w:hint="eastAsia" w:ascii="宋体" w:hAnsi="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lang w:val="en-US" w:eastAsia="zh-CN"/>
              </w:rPr>
              <w:t>000.00</w:t>
            </w:r>
            <w:r>
              <w:rPr>
                <w:rFonts w:hint="eastAsia" w:ascii="宋体" w:hAnsi="宋体" w:eastAsia="宋体" w:cs="宋体"/>
                <w:b/>
                <w:bCs/>
                <w:color w:val="000000"/>
                <w:sz w:val="21"/>
                <w:szCs w:val="21"/>
                <w:highlight w:val="none"/>
              </w:rPr>
              <w:t>元）</w:t>
            </w:r>
          </w:p>
          <w:p>
            <w:pPr>
              <w:spacing w:line="360" w:lineRule="auto"/>
              <w:ind w:firstLine="369" w:firstLineChars="175"/>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户名：陕西万泽招标有限公司</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开户行名称：西安银行朝阳门支行</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账号：211011580000015489</w:t>
            </w:r>
          </w:p>
          <w:p>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咨询电话：苏老师 029-88319689-808</w:t>
            </w:r>
          </w:p>
          <w:p>
            <w:pPr>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highlight w:val="none"/>
              </w:rPr>
              <w:t>转账事由：</w:t>
            </w:r>
            <w:r>
              <w:rPr>
                <w:rFonts w:hint="eastAsia" w:ascii="宋体" w:hAnsi="宋体" w:eastAsia="宋体" w:cs="宋体"/>
                <w:b/>
                <w:bCs/>
                <w:color w:val="000000"/>
                <w:sz w:val="21"/>
                <w:szCs w:val="21"/>
                <w:highlight w:val="none"/>
                <w:lang w:eastAsia="zh-CN"/>
              </w:rPr>
              <w:t>陕西中医药大学第二附属医院</w:t>
            </w: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val="en-US" w:eastAsia="zh-CN"/>
              </w:rPr>
              <w:t>163A</w:t>
            </w:r>
            <w:r>
              <w:rPr>
                <w:rFonts w:hint="eastAsia" w:ascii="宋体" w:hAnsi="宋体" w:eastAsia="宋体" w:cs="宋体"/>
                <w:b/>
                <w:bCs/>
                <w:color w:val="000000"/>
                <w:sz w:val="21"/>
                <w:szCs w:val="21"/>
                <w:highlight w:val="none"/>
                <w:lang w:val="en-US" w:eastAsia="zh-CN"/>
              </w:rPr>
              <w:t>第</w:t>
            </w:r>
            <w:r>
              <w:rPr>
                <w:rFonts w:hint="eastAsia" w:ascii="宋体" w:hAnsi="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lang w:val="en-US" w:eastAsia="zh-CN"/>
              </w:rPr>
              <w:t>包</w:t>
            </w:r>
            <w:r>
              <w:rPr>
                <w:rFonts w:hint="eastAsia" w:ascii="宋体" w:hAnsi="宋体" w:eastAsia="宋体" w:cs="宋体"/>
                <w:b/>
                <w:bCs/>
                <w:color w:val="000000"/>
                <w:sz w:val="21"/>
                <w:szCs w:val="21"/>
                <w:highlight w:val="none"/>
              </w:rPr>
              <w:t>投标保证金（按照要求填写转账事由）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pPr>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文件</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投标文</w:t>
            </w:r>
            <w:r>
              <w:rPr>
                <w:rFonts w:hint="eastAsia" w:ascii="宋体" w:hAnsi="宋体" w:eastAsia="宋体" w:cs="宋体"/>
                <w:color w:val="000000" w:themeColor="text1"/>
                <w:sz w:val="21"/>
                <w:szCs w:val="21"/>
                <w:highlight w:val="none"/>
                <w14:textFill>
                  <w14:solidFill>
                    <w14:schemeClr w14:val="tx1"/>
                  </w14:solidFill>
                </w14:textFill>
              </w:rPr>
              <w:t>件</w:t>
            </w:r>
            <w:r>
              <w:rPr>
                <w:rFonts w:hint="eastAsia" w:ascii="宋体" w:hAnsi="宋体" w:eastAsia="宋体" w:cs="宋体"/>
                <w:b/>
                <w:bCs/>
                <w:color w:val="000000" w:themeColor="text1"/>
                <w:sz w:val="21"/>
                <w:szCs w:val="21"/>
                <w:highlight w:val="none"/>
                <w14:textFill>
                  <w14:solidFill>
                    <w14:schemeClr w14:val="tx1"/>
                  </w14:solidFill>
                </w14:textFill>
              </w:rPr>
              <w:t>正本壹份、副本肆份</w:t>
            </w:r>
            <w:r>
              <w:rPr>
                <w:rFonts w:hint="eastAsia" w:ascii="宋体" w:hAnsi="宋体" w:eastAsia="宋体" w:cs="宋体"/>
                <w:sz w:val="21"/>
                <w:szCs w:val="21"/>
                <w:highlight w:val="none"/>
              </w:rPr>
              <w:t>，分别胶装装订成册，且封面须清楚地标明“正本”或“副本”；若正本和副本不符，以正本书面文件为准；同时提供与正本内容一致的电子版（U盘、</w:t>
            </w:r>
            <w:r>
              <w:rPr>
                <w:rFonts w:hint="eastAsia" w:ascii="宋体" w:hAnsi="宋体" w:eastAsia="宋体" w:cs="宋体"/>
                <w:b/>
                <w:bCs/>
                <w:sz w:val="21"/>
                <w:szCs w:val="21"/>
                <w:highlight w:val="none"/>
              </w:rPr>
              <w:t>电子文档应为PDF与WORD格式各一份</w:t>
            </w:r>
            <w:r>
              <w:rPr>
                <w:rFonts w:hint="eastAsia" w:ascii="宋体" w:hAnsi="宋体" w:eastAsia="宋体" w:cs="宋体"/>
                <w:sz w:val="21"/>
                <w:szCs w:val="21"/>
                <w:highlight w:val="none"/>
              </w:rPr>
              <w:t>）、开标一览表一份</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文件的签署盖章</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1、供应商在投标文件中指定的页面的落款处，按招标文件要求由供应商的法定代表人或其授权代表在规定的签章处签字或盖章。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2、供应商应按照招标文件要求，在每一份投标文件的正本和副本封面下方以及其他招标文件要求的位置填写供应商全称并加盖公章。</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3、投标文件应字迹清楚、内容齐全、不得涂改或增删。如有修改和增删，必须有供应商公章及法定代表人或其授权代表签字。</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897"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包装</w:t>
            </w:r>
          </w:p>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密封</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号等标识，且</w:t>
            </w:r>
            <w:r>
              <w:rPr>
                <w:rFonts w:hint="eastAsia" w:ascii="宋体" w:hAnsi="宋体" w:eastAsia="宋体" w:cs="宋体"/>
                <w:kern w:val="0"/>
                <w:sz w:val="21"/>
                <w:szCs w:val="21"/>
                <w:highlight w:val="none"/>
              </w:rPr>
              <w:t>投标文件袋上应加盖供应商公章（</w:t>
            </w:r>
            <w:r>
              <w:rPr>
                <w:rFonts w:hint="eastAsia" w:ascii="宋体" w:hAnsi="宋体" w:eastAsia="宋体" w:cs="宋体"/>
                <w:sz w:val="21"/>
                <w:szCs w:val="21"/>
                <w:highlight w:val="none"/>
              </w:rPr>
              <w:t>封面标识见招标文件</w:t>
            </w:r>
            <w:r>
              <w:rPr>
                <w:rFonts w:hint="eastAsia" w:ascii="宋体" w:hAnsi="宋体" w:eastAsia="宋体" w:cs="宋体"/>
                <w:b/>
                <w:bCs/>
                <w:sz w:val="21"/>
                <w:szCs w:val="21"/>
                <w:highlight w:val="none"/>
              </w:rPr>
              <w:t>附件一</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如果未按上述规定进行密封，供应商的投标文件有权被拒绝</w:t>
            </w:r>
            <w:r>
              <w:rPr>
                <w:rFonts w:hint="eastAsia" w:ascii="宋体" w:hAnsi="宋体" w:eastAsia="宋体" w:cs="宋体"/>
                <w:sz w:val="21"/>
                <w:szCs w:val="21"/>
                <w:highlight w:val="none"/>
              </w:rPr>
              <w:t>。</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如果供应商未按上述要求密封及加写标记，误投或过早启封的投标文件，将自行承担其投标文件被视为无效投标文件的风险。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val="en-US" w:eastAsia="zh-CN"/>
              </w:rPr>
              <w:t>分标准</w:t>
            </w:r>
          </w:p>
        </w:tc>
        <w:tc>
          <w:tcPr>
            <w:tcW w:w="7894"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897" w:type="dxa"/>
            <w:vAlign w:val="center"/>
          </w:tcPr>
          <w:p>
            <w:pPr>
              <w:spacing w:line="360" w:lineRule="auto"/>
              <w:jc w:val="left"/>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履约保</w:t>
            </w:r>
          </w:p>
          <w:p>
            <w:pPr>
              <w:spacing w:line="360" w:lineRule="auto"/>
              <w:jc w:val="left"/>
              <w:rPr>
                <w:rFonts w:hint="eastAsia" w:ascii="宋体" w:hAnsi="宋体" w:eastAsia="宋体" w:cs="宋体"/>
                <w:sz w:val="21"/>
                <w:szCs w:val="21"/>
                <w:highlight w:val="none"/>
              </w:rPr>
            </w:pPr>
            <w:r>
              <w:rPr>
                <w:rFonts w:hint="eastAsia" w:ascii="宋体" w:hAnsi="宋体" w:eastAsia="宋体" w:cs="宋体"/>
                <w:b w:val="0"/>
                <w:bCs w:val="0"/>
                <w:kern w:val="0"/>
                <w:sz w:val="21"/>
                <w:szCs w:val="21"/>
                <w:highlight w:val="none"/>
                <w:lang w:val="en-US" w:eastAsia="zh-CN"/>
              </w:rPr>
              <w:t>证金</w:t>
            </w:r>
          </w:p>
        </w:tc>
        <w:tc>
          <w:tcPr>
            <w:tcW w:w="7894" w:type="dxa"/>
            <w:vAlign w:val="center"/>
          </w:tcPr>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1、☑无</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2、□有</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占政府采购合同金额的</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履约保证金的数额不得超过政府采购合同金额的</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％；对于单价合同，其数额不得超过采购预算的</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w:t>
            </w:r>
          </w:p>
          <w:p>
            <w:pPr>
              <w:pStyle w:val="24"/>
              <w:spacing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□由采购单位自行收退</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□由代理机构负责收退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trPr>
        <w:tc>
          <w:tcPr>
            <w:tcW w:w="34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7" w:type="dxa"/>
            <w:vAlign w:val="center"/>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☑非专门面向中小企业采购</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对符合《政府采购促进中小企业发展管理办法》(财库{2020}46号)规定的小微企业(监狱企业视同小型、微型企业)的报价给予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0％)的扣除,用扣除后的价格参加评审。</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根据《政府采购促进中小企业发展暂行办法》，投标人提供的《中小企业声明函》</w:t>
            </w:r>
            <w:r>
              <w:rPr>
                <w:rFonts w:hint="eastAsia" w:ascii="宋体" w:hAnsi="宋体" w:eastAsia="宋体" w:cs="宋体"/>
                <w:b/>
                <w:bCs/>
                <w:sz w:val="21"/>
                <w:szCs w:val="21"/>
                <w:highlight w:val="none"/>
              </w:rPr>
              <w:t>（附件二）</w:t>
            </w:r>
            <w:r>
              <w:rPr>
                <w:rFonts w:hint="eastAsia" w:ascii="宋体" w:hAnsi="宋体" w:eastAsia="宋体" w:cs="宋体"/>
                <w:sz w:val="21"/>
                <w:szCs w:val="21"/>
                <w:highlight w:val="none"/>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□专门面向中小企业采购</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897" w:type="dxa"/>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894" w:type="dxa"/>
            <w:vAlign w:val="center"/>
          </w:tcPr>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1、采购代理服务费按以下标准计取：</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参照（计价格[2002]1980号）文件规定收费标准</w:t>
            </w:r>
            <w:r>
              <w:rPr>
                <w:rFonts w:hint="eastAsia" w:ascii="宋体" w:hAnsi="宋体" w:cs="宋体"/>
                <w:sz w:val="21"/>
                <w:szCs w:val="21"/>
                <w:highlight w:val="none"/>
                <w:lang w:eastAsia="zh-CN"/>
              </w:rPr>
              <w:t>下浮</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rPr>
              <w:t>收费，由中标人在领取中标通知书时向代理机构缴纳代理服务费。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897" w:type="dxa"/>
            <w:vAlign w:val="center"/>
          </w:tcPr>
          <w:p>
            <w:pPr>
              <w:pStyle w:val="13"/>
              <w:spacing w:line="33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供应商信用查询</w:t>
            </w:r>
          </w:p>
        </w:tc>
        <w:tc>
          <w:tcPr>
            <w:tcW w:w="7894" w:type="dxa"/>
            <w:vAlign w:val="center"/>
          </w:tcPr>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1、“信用中国”（www.creditchina.gov.cn）和“中国政府采购”（ccgp.gov.cn）为供应商信用信息查询渠道。</w:t>
            </w:r>
          </w:p>
          <w:p>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2、供应商自行查询上述记录；</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是否允许采购进口产品</w:t>
            </w:r>
          </w:p>
        </w:tc>
        <w:tc>
          <w:tcPr>
            <w:tcW w:w="7894" w:type="dxa"/>
            <w:vAlign w:val="center"/>
          </w:tcPr>
          <w:p>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第五部分采购要求标注为“允许采购进口产品”的可采购进口产品</w:t>
            </w:r>
          </w:p>
          <w:p>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政府采购进口产品管理办法》（财库【2007】119号）的规定，采购人采购进口产品市，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p>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不允许</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所投产品为进口产品时，将被视为无效投标。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是否组织踏勘或答疑会</w:t>
            </w:r>
          </w:p>
        </w:tc>
        <w:tc>
          <w:tcPr>
            <w:tcW w:w="7894" w:type="dxa"/>
            <w:vAlign w:val="center"/>
          </w:tcPr>
          <w:p>
            <w:pPr>
              <w:pStyle w:val="11"/>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□组织,集结地点为:</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97" w:type="dxa"/>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政府采购融资政策</w:t>
            </w:r>
          </w:p>
        </w:tc>
        <w:tc>
          <w:tcPr>
            <w:tcW w:w="789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eastAsia="宋体" w:cs="宋体"/>
                <w:sz w:val="21"/>
                <w:szCs w:val="21"/>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sz w:val="21"/>
                <w:szCs w:val="21"/>
                <w:highlight w:val="none"/>
              </w:rPr>
              <w:t>www.ccgp-shaanxi.gov.cn/)重要通知专栏中查询了解。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trPr>
        <w:tc>
          <w:tcPr>
            <w:tcW w:w="349" w:type="dxa"/>
            <w:vAlign w:val="center"/>
          </w:tcPr>
          <w:p>
            <w:pPr>
              <w:spacing w:line="360" w:lineRule="auto"/>
              <w:jc w:val="center"/>
              <w:rPr>
                <w:rFonts w:hint="eastAsia" w:ascii="宋体" w:hAnsi="宋体" w:eastAsia="宋体" w:cs="宋体"/>
                <w:kern w:val="2"/>
                <w:sz w:val="21"/>
                <w:szCs w:val="21"/>
                <w:highlight w:val="none"/>
                <w:lang w:val="en-US" w:eastAsia="zh-CN" w:bidi="ar-SA"/>
              </w:rPr>
            </w:pPr>
            <w:bookmarkStart w:id="15" w:name="_Toc19272"/>
            <w:r>
              <w:rPr>
                <w:rFonts w:hint="eastAsia" w:ascii="宋体" w:hAnsi="宋体" w:eastAsia="宋体" w:cs="宋体"/>
                <w:sz w:val="21"/>
                <w:szCs w:val="21"/>
                <w:highlight w:val="none"/>
              </w:rPr>
              <w:t>21</w:t>
            </w:r>
          </w:p>
        </w:tc>
        <w:tc>
          <w:tcPr>
            <w:tcW w:w="897"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所属行业</w:t>
            </w:r>
          </w:p>
        </w:tc>
        <w:tc>
          <w:tcPr>
            <w:tcW w:w="7894" w:type="dxa"/>
            <w:vAlign w:val="center"/>
          </w:tcPr>
          <w:p>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其他未列明行业</w:t>
            </w:r>
          </w:p>
        </w:tc>
      </w:tr>
    </w:tbl>
    <w:p>
      <w:pPr>
        <w:pStyle w:val="3"/>
        <w:keepLines w:val="0"/>
        <w:spacing w:afterLines="100" w:line="240" w:lineRule="auto"/>
        <w:rPr>
          <w:rFonts w:asciiTheme="minorEastAsia" w:hAnsiTheme="minorEastAsia" w:eastAsiaTheme="minorEastAsia" w:cstheme="minorEastAsia"/>
          <w:sz w:val="36"/>
          <w:szCs w:val="36"/>
          <w:highlight w:val="none"/>
        </w:rPr>
        <w:sectPr>
          <w:headerReference r:id="rId7" w:type="default"/>
          <w:footerReference r:id="rId8" w:type="default"/>
          <w:pgSz w:w="11906" w:h="16838"/>
          <w:pgMar w:top="1440" w:right="1366" w:bottom="1440" w:left="1463" w:header="851" w:footer="992" w:gutter="0"/>
          <w:pgNumType w:fmt="decimal"/>
          <w:cols w:space="0" w:num="1"/>
          <w:docGrid w:type="lines" w:linePitch="312" w:charSpace="0"/>
        </w:sectPr>
      </w:pPr>
    </w:p>
    <w:p>
      <w:pPr>
        <w:pStyle w:val="3"/>
        <w:keepLines w:val="0"/>
        <w:spacing w:afterLines="100" w:line="240" w:lineRule="auto"/>
        <w:rPr>
          <w:rFonts w:asciiTheme="minorEastAsia" w:hAnsiTheme="minorEastAsia" w:eastAsiaTheme="minorEastAsia" w:cstheme="minorEastAsia"/>
          <w:sz w:val="36"/>
          <w:szCs w:val="36"/>
          <w:highlight w:val="none"/>
        </w:rPr>
      </w:pPr>
      <w:bookmarkStart w:id="16" w:name="_Toc24776"/>
      <w:bookmarkStart w:id="17" w:name="_Toc16173"/>
      <w:bookmarkStart w:id="18" w:name="_Toc4695"/>
      <w:bookmarkStart w:id="19" w:name="_Toc16519"/>
      <w:bookmarkStart w:id="20" w:name="_Toc25121"/>
      <w:r>
        <w:rPr>
          <w:rFonts w:hint="eastAsia" w:asciiTheme="minorEastAsia" w:hAnsiTheme="minorEastAsia" w:eastAsiaTheme="minorEastAsia" w:cstheme="minorEastAsia"/>
          <w:sz w:val="36"/>
          <w:szCs w:val="36"/>
          <w:highlight w:val="none"/>
        </w:rPr>
        <w:t>第三部分  供应商须知</w:t>
      </w:r>
      <w:bookmarkEnd w:id="15"/>
      <w:bookmarkEnd w:id="16"/>
      <w:bookmarkEnd w:id="17"/>
      <w:bookmarkEnd w:id="18"/>
      <w:bookmarkEnd w:id="19"/>
      <w:bookmarkEnd w:id="20"/>
    </w:p>
    <w:p>
      <w:pPr>
        <w:widowControl/>
        <w:numPr>
          <w:ilvl w:val="0"/>
          <w:numId w:val="3"/>
        </w:numPr>
        <w:spacing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21" w:name="_Toc31751"/>
      <w:bookmarkStart w:id="22" w:name="_Toc24547"/>
      <w:bookmarkStart w:id="23" w:name="_Toc17085"/>
      <w:bookmarkStart w:id="24" w:name="_Toc10272"/>
      <w:bookmarkStart w:id="25" w:name="_Toc26739"/>
      <w:bookmarkStart w:id="26" w:name="_Toc21398"/>
      <w:r>
        <w:rPr>
          <w:rFonts w:hint="eastAsia" w:asciiTheme="minorEastAsia" w:hAnsiTheme="minorEastAsia" w:eastAsiaTheme="minorEastAsia" w:cstheme="minorEastAsia"/>
          <w:b/>
          <w:bCs/>
          <w:kern w:val="0"/>
          <w:sz w:val="32"/>
          <w:szCs w:val="32"/>
          <w:highlight w:val="none"/>
        </w:rPr>
        <w:t>总 则</w:t>
      </w:r>
      <w:bookmarkEnd w:id="21"/>
      <w:bookmarkEnd w:id="22"/>
      <w:bookmarkEnd w:id="23"/>
      <w:bookmarkEnd w:id="24"/>
      <w:bookmarkEnd w:id="25"/>
      <w:bookmarkEnd w:id="26"/>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27" w:name="_Toc9257"/>
      <w:bookmarkStart w:id="28" w:name="_Toc358364319"/>
      <w:bookmarkStart w:id="29" w:name="_Toc6742"/>
      <w:bookmarkStart w:id="30" w:name="_Toc380336725"/>
      <w:r>
        <w:rPr>
          <w:rFonts w:hint="eastAsia" w:asciiTheme="minorEastAsia" w:hAnsiTheme="minorEastAsia" w:eastAsiaTheme="minorEastAsia" w:cstheme="minorEastAsia"/>
          <w:sz w:val="24"/>
          <w:szCs w:val="24"/>
          <w:highlight w:val="none"/>
        </w:rPr>
        <w:t>适用范围</w:t>
      </w:r>
      <w:bookmarkEnd w:id="27"/>
      <w:bookmarkEnd w:id="28"/>
      <w:bookmarkEnd w:id="29"/>
      <w:bookmarkEnd w:id="30"/>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1.1本招标文件适用于本次招标活动的全过程。</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1" w:name="_Toc380336726"/>
      <w:bookmarkStart w:id="32" w:name="_Toc11287"/>
      <w:bookmarkStart w:id="33" w:name="_Toc7922"/>
      <w:bookmarkStart w:id="34" w:name="_Toc358364320"/>
      <w:r>
        <w:rPr>
          <w:rFonts w:hint="eastAsia" w:asciiTheme="minorEastAsia" w:hAnsiTheme="minorEastAsia" w:eastAsiaTheme="minorEastAsia" w:cstheme="minorEastAsia"/>
          <w:sz w:val="24"/>
          <w:szCs w:val="24"/>
          <w:highlight w:val="none"/>
        </w:rPr>
        <w:t>定义</w:t>
      </w:r>
      <w:bookmarkEnd w:id="31"/>
      <w:bookmarkEnd w:id="32"/>
      <w:bookmarkEnd w:id="33"/>
      <w:bookmarkEnd w:id="34"/>
    </w:p>
    <w:p>
      <w:pPr>
        <w:widowControl/>
        <w:spacing w:line="500" w:lineRule="exact"/>
        <w:ind w:firstLine="480" w:firstLineChars="200"/>
        <w:rPr>
          <w:rFonts w:asciiTheme="minorEastAsia" w:hAnsiTheme="minorEastAsia" w:eastAsiaTheme="minorEastAsia" w:cstheme="minorEastAsia"/>
          <w:kern w:val="0"/>
          <w:sz w:val="24"/>
          <w:szCs w:val="24"/>
          <w:highlight w:val="none"/>
        </w:rPr>
      </w:pPr>
      <w:bookmarkStart w:id="35" w:name="_Toc380336727"/>
      <w:bookmarkStart w:id="36" w:name="_Toc23781"/>
      <w:bookmarkStart w:id="37" w:name="_Toc358364321"/>
      <w:bookmarkStart w:id="38" w:name="_Toc17676"/>
      <w:r>
        <w:rPr>
          <w:rFonts w:hint="eastAsia" w:asciiTheme="minorEastAsia" w:hAnsiTheme="minorEastAsia" w:eastAsiaTheme="minorEastAsia" w:cstheme="minorEastAsia"/>
          <w:kern w:val="0"/>
          <w:sz w:val="24"/>
          <w:szCs w:val="24"/>
          <w:highlight w:val="none"/>
        </w:rPr>
        <w:t>2.1“采购人”是指依法进行政府采购的国家机关、事业单位、团体组织。本次政府采购的采购人名称、地址、电话见供应商须知前附表。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2.3“供应商”是指向采购人提供货物、工程或服务的法人、其他组织或自然人。</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货物”是指各种形态和种类的物品，包括原材料、燃料、设备、产品等。按照财政部《政府采购进口产品管理办法》（财库[2007]119号）的有关规定，本招标文件涉及的所有采购内容除特别标注为“进口产品”外，均必须采购国产产品。进口产品特指“通过中国海关报关验放进入中国境内且产自关境外的产品”。</w:t>
      </w:r>
    </w:p>
    <w:p>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2.5“服务”指除了货物和工程外的其他政府采购对象。包含除货物以外规定由供应商承担的与货物有关的辅助服务。</w:t>
      </w:r>
    </w:p>
    <w:p>
      <w:pPr>
        <w:widowControl/>
        <w:spacing w:line="50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szCs w:val="24"/>
          <w:highlight w:val="none"/>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合格的</w:t>
      </w:r>
      <w:bookmarkEnd w:id="35"/>
      <w:bookmarkEnd w:id="36"/>
      <w:bookmarkEnd w:id="37"/>
      <w:bookmarkEnd w:id="38"/>
      <w:r>
        <w:rPr>
          <w:rFonts w:hint="eastAsia" w:asciiTheme="minorEastAsia" w:hAnsiTheme="minorEastAsia" w:eastAsiaTheme="minorEastAsia" w:cstheme="minorEastAsia"/>
          <w:sz w:val="24"/>
          <w:szCs w:val="24"/>
          <w:highlight w:val="none"/>
        </w:rPr>
        <w:t>供应商</w:t>
      </w:r>
    </w:p>
    <w:p>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具有本项目生产、制造、加工、供应或实施能力，符合、承认并承诺履行本招标文件各项规定的国内供应商。</w:t>
      </w:r>
    </w:p>
    <w:p>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供应商应遵守有关的国家法律、法规和条例，具备《中华人民共和国政府采购法》和本文件中规定的条件：</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具有独立承担民事责任的能力；</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具有良好的商业信誉和健全的财务会计制度；</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具有履行合同所必需的设备和专业技术能力；</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具有依法缴纳税收和社会保障资金的良好记录；</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参加此项采购活动前三年内，在经营活动中没有重大违法记录；</w:t>
      </w:r>
    </w:p>
    <w:p>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p>
      <w:pPr>
        <w:numPr>
          <w:ilvl w:val="0"/>
          <w:numId w:val="5"/>
        </w:numPr>
        <w:spacing w:line="500" w:lineRule="exact"/>
        <w:ind w:left="6"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供应商购买招标文件时应登记备案，并提供有效联系方式。</w:t>
      </w:r>
    </w:p>
    <w:p>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供应商应独立于采购人，不得直接或间接地与采购人为采购本次招标的货物进行设计、编制技术规格和其它文件所委托的咨询公司或其附属机构有任何关联。</w:t>
      </w:r>
    </w:p>
    <w:p>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供应商不得存在下列情形之一：</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（1）与采购人采购代理机构存在隶属关系或者其他利害关系。</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宋体" w:hAnsi="宋体" w:cs="宋体"/>
          <w:kern w:val="0"/>
          <w:sz w:val="24"/>
          <w:szCs w:val="24"/>
          <w:highlight w:val="none"/>
        </w:rPr>
        <w:t>受到刑事处罚，或者受较大数额罚款，责令停产停业、在一年至三年内禁止参加政府采购活动、暂扣或吊销许可证、暂扣或吊销执照等情形之一的行政处罚，或者存在财政部门认定的其他重大违法记录。</w:t>
      </w:r>
    </w:p>
    <w:p>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r>
        <w:rPr>
          <w:rFonts w:hint="eastAsia" w:asciiTheme="minorEastAsia" w:hAnsiTheme="minorEastAsia" w:eastAsiaTheme="minorEastAsia" w:cstheme="minorEastAsia"/>
          <w:b/>
          <w:bCs/>
          <w:sz w:val="24"/>
          <w:szCs w:val="24"/>
          <w:highlight w:val="none"/>
        </w:rPr>
        <w:t>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9" w:name="_Toc22444"/>
      <w:bookmarkStart w:id="40" w:name="_Toc540"/>
      <w:bookmarkStart w:id="41" w:name="_Toc358364322"/>
      <w:bookmarkStart w:id="42" w:name="_Toc380336728"/>
      <w:r>
        <w:rPr>
          <w:rFonts w:hint="eastAsia" w:asciiTheme="minorEastAsia" w:hAnsiTheme="minorEastAsia" w:eastAsiaTheme="minorEastAsia" w:cstheme="minorEastAsia"/>
          <w:sz w:val="24"/>
          <w:szCs w:val="24"/>
          <w:highlight w:val="none"/>
        </w:rPr>
        <w:t>费用</w:t>
      </w:r>
      <w:bookmarkEnd w:id="39"/>
      <w:bookmarkEnd w:id="40"/>
      <w:bookmarkEnd w:id="41"/>
      <w:bookmarkEnd w:id="42"/>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kern w:val="0"/>
          <w:sz w:val="24"/>
          <w:szCs w:val="24"/>
          <w:highlight w:val="none"/>
        </w:rPr>
        <w:t>应承担所有与准备和参加投标有关的费用，采购代理机构（或采购人）在任何情况下均无义务和责任承担这些费用。</w:t>
      </w:r>
    </w:p>
    <w:p>
      <w:pPr>
        <w:pStyle w:val="5"/>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采购进口产品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 除供应商须知前附表另有规定外，本项目拒绝进口产品参加采购活动。</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 本项目第五部分采购要求中同意购买进口产品的，采购活动不限制满足招标文件要求的国产产品参与本次采购。</w:t>
      </w:r>
    </w:p>
    <w:p>
      <w:pPr>
        <w:pStyle w:val="5"/>
        <w:numPr>
          <w:ilvl w:val="0"/>
          <w:numId w:val="4"/>
        </w:numPr>
        <w:spacing w:before="0" w:afterLines="10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6.1对列入财政部、国家发改委发布的《节能产品品目清单》且属于应当“强制采购的节能产品”，按照规定实行强制采购。</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6.3产品同时属于“非强制采购节能产品”、环境标志产品的，评审时只有其中一项能享受优先待遇（供应商自行选择，并在报价文件中填写相关信息及数据）</w:t>
      </w:r>
    </w:p>
    <w:p>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6.4供应商有融资、担保需求的，具体办理流程按照财政厅及相关政策执行。</w:t>
      </w: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p>
    <w:p>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sectPr>
          <w:headerReference r:id="rId9" w:type="default"/>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43" w:name="_Toc5442"/>
      <w:bookmarkStart w:id="44" w:name="_Toc22364"/>
      <w:bookmarkStart w:id="45" w:name="_Toc7144"/>
      <w:bookmarkStart w:id="46" w:name="_Toc4435"/>
      <w:bookmarkStart w:id="47" w:name="_Toc21097"/>
      <w:bookmarkStart w:id="48" w:name="_Toc23718"/>
      <w:r>
        <w:rPr>
          <w:rFonts w:hint="eastAsia" w:asciiTheme="minorEastAsia" w:hAnsiTheme="minorEastAsia" w:eastAsiaTheme="minorEastAsia" w:cstheme="minorEastAsia"/>
          <w:b/>
          <w:bCs/>
          <w:kern w:val="0"/>
          <w:sz w:val="32"/>
          <w:szCs w:val="32"/>
          <w:highlight w:val="none"/>
        </w:rPr>
        <w:t>招标文件</w:t>
      </w:r>
      <w:bookmarkEnd w:id="43"/>
      <w:bookmarkEnd w:id="44"/>
      <w:bookmarkEnd w:id="45"/>
      <w:bookmarkEnd w:id="46"/>
      <w:bookmarkEnd w:id="47"/>
      <w:bookmarkEnd w:id="48"/>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49" w:name="_Toc17817"/>
      <w:bookmarkStart w:id="50" w:name="_Toc5801"/>
      <w:r>
        <w:rPr>
          <w:rFonts w:hint="eastAsia" w:asciiTheme="minorEastAsia" w:hAnsiTheme="minorEastAsia" w:eastAsiaTheme="minorEastAsia" w:cstheme="minorEastAsia"/>
          <w:sz w:val="24"/>
          <w:szCs w:val="24"/>
          <w:highlight w:val="none"/>
        </w:rPr>
        <w:t>招标文件</w:t>
      </w:r>
      <w:bookmarkEnd w:id="49"/>
      <w:r>
        <w:rPr>
          <w:rFonts w:hint="eastAsia" w:asciiTheme="minorEastAsia" w:hAnsiTheme="minorEastAsia" w:eastAsiaTheme="minorEastAsia" w:cstheme="minorEastAsia"/>
          <w:sz w:val="24"/>
          <w:szCs w:val="24"/>
          <w:highlight w:val="none"/>
        </w:rPr>
        <w:t>的构成</w:t>
      </w:r>
      <w:bookmarkEnd w:id="50"/>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招标文件是供应商准备投标文件和参加投标的依据，同时也是评标的重要依据，具有准法律文件性质。本招标文件包括以下内容：</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公开招标公告；</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商务条款与采购要求；</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合同条款；</w:t>
      </w:r>
    </w:p>
    <w:p>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投标文件格式。</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应认真阅读采购文件中所有的条款、事项、格式和技术规范、参数及要求等。供应商没有按照采购文件要求提交全部资料，或者没有对采购文件在各方面都做出实质性响应是供应商的风险，有可能导致其投标被拒绝或被认定为无效投标。</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1" w:name="_Toc19797"/>
      <w:r>
        <w:rPr>
          <w:rFonts w:hint="eastAsia" w:asciiTheme="minorEastAsia" w:hAnsiTheme="minorEastAsia" w:eastAsiaTheme="minorEastAsia" w:cstheme="minorEastAsia"/>
          <w:sz w:val="24"/>
          <w:szCs w:val="24"/>
          <w:highlight w:val="none"/>
        </w:rPr>
        <w:t>招标文件的澄清</w:t>
      </w:r>
      <w:bookmarkEnd w:id="51"/>
    </w:p>
    <w:p>
      <w:pPr>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2" w:name="_Toc6390"/>
      <w:r>
        <w:rPr>
          <w:rFonts w:hint="eastAsia" w:asciiTheme="minorEastAsia" w:hAnsiTheme="minorEastAsia" w:eastAsiaTheme="minorEastAsia" w:cstheme="minorEastAsia"/>
          <w:sz w:val="24"/>
          <w:szCs w:val="24"/>
          <w:highlight w:val="none"/>
        </w:rPr>
        <w:t>招标文件的修改</w:t>
      </w:r>
      <w:bookmarkEnd w:id="52"/>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3.2 为方便供应商对公开招标文件修改或澄清内容有充分的时间进行补充修改，代理机构可适当延长投标截止时间和开标时间，将变更时间书面通知所有购买招标文件的供应商。</w:t>
      </w:r>
    </w:p>
    <w:p>
      <w:pPr>
        <w:pStyle w:val="5"/>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3" w:name="_Toc31188"/>
      <w:r>
        <w:rPr>
          <w:rFonts w:hint="eastAsia" w:asciiTheme="minorEastAsia" w:hAnsiTheme="minorEastAsia" w:eastAsiaTheme="minorEastAsia" w:cstheme="minorEastAsia"/>
          <w:sz w:val="24"/>
          <w:szCs w:val="24"/>
          <w:highlight w:val="none"/>
        </w:rPr>
        <w:t>招标文件的获取</w:t>
      </w:r>
      <w:bookmarkEnd w:id="53"/>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供应商必须从代理机构购买招标文件，供应商自行转让或复制招标文件视为无效。招标文件一经售出，一律不退，仅作为本次公开招标使用。</w:t>
      </w:r>
    </w:p>
    <w:p>
      <w:pPr>
        <w:pStyle w:val="5"/>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4" w:name="_Toc5095"/>
      <w:r>
        <w:rPr>
          <w:rFonts w:hint="eastAsia" w:asciiTheme="minorEastAsia" w:hAnsiTheme="minorEastAsia" w:eastAsiaTheme="minorEastAsia" w:cstheme="minorEastAsia"/>
          <w:sz w:val="24"/>
          <w:szCs w:val="24"/>
          <w:highlight w:val="none"/>
        </w:rPr>
        <w:t>招标文件的解释权归代理机构</w:t>
      </w:r>
      <w:bookmarkEnd w:id="54"/>
    </w:p>
    <w:p>
      <w:pPr>
        <w:widowControl/>
        <w:numPr>
          <w:ilvl w:val="0"/>
          <w:numId w:val="3"/>
        </w:numPr>
        <w:spacing w:line="360" w:lineRule="auto"/>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pgNumType w:fmt="decimal"/>
          <w:cols w:space="720" w:num="1"/>
          <w:docGrid w:type="lines" w:linePitch="312" w:charSpace="0"/>
        </w:sect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55" w:name="_Toc25168"/>
      <w:bookmarkStart w:id="56" w:name="_Toc15601"/>
      <w:bookmarkStart w:id="57" w:name="_Toc23605"/>
      <w:bookmarkStart w:id="58" w:name="_Toc24897"/>
      <w:bookmarkStart w:id="59" w:name="_Toc16243"/>
      <w:bookmarkStart w:id="60" w:name="_Toc17677"/>
      <w:r>
        <w:rPr>
          <w:rFonts w:hint="eastAsia" w:asciiTheme="minorEastAsia" w:hAnsiTheme="minorEastAsia" w:eastAsiaTheme="minorEastAsia" w:cstheme="minorEastAsia"/>
          <w:b/>
          <w:bCs/>
          <w:kern w:val="0"/>
          <w:sz w:val="32"/>
          <w:szCs w:val="32"/>
          <w:highlight w:val="none"/>
        </w:rPr>
        <w:t>投标文件</w:t>
      </w:r>
      <w:bookmarkEnd w:id="55"/>
      <w:bookmarkEnd w:id="56"/>
      <w:bookmarkEnd w:id="57"/>
      <w:bookmarkEnd w:id="58"/>
      <w:bookmarkEnd w:id="59"/>
      <w:bookmarkEnd w:id="60"/>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1" w:name="_Toc17549"/>
      <w:r>
        <w:rPr>
          <w:rFonts w:hint="eastAsia" w:asciiTheme="minorEastAsia" w:hAnsiTheme="minorEastAsia" w:eastAsiaTheme="minorEastAsia" w:cstheme="minorEastAsia"/>
          <w:sz w:val="24"/>
          <w:szCs w:val="24"/>
          <w:highlight w:val="none"/>
        </w:rPr>
        <w:t>投标文件的编制</w:t>
      </w:r>
      <w:bookmarkEnd w:id="61"/>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投标文件应根据代理机构发售的招标文件格式和顺序认真编制。具体内容包括：</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报价函；</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报价一览表；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分项报价表；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投标保证金</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供应商资质证明资料；</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商务和需求响应偏离表；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技术支持资料</w:t>
      </w:r>
      <w:r>
        <w:rPr>
          <w:rFonts w:hint="eastAsia" w:asciiTheme="minorEastAsia" w:hAnsiTheme="minorEastAsia" w:eastAsiaTheme="minorEastAsia" w:cstheme="minorEastAsia"/>
          <w:sz w:val="24"/>
          <w:szCs w:val="24"/>
          <w:highlight w:val="none"/>
        </w:rPr>
        <w:t>；</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实施方案及服务保障</w:t>
      </w:r>
      <w:r>
        <w:rPr>
          <w:rFonts w:hint="eastAsia" w:asciiTheme="minorEastAsia" w:hAnsiTheme="minorEastAsia" w:eastAsiaTheme="minorEastAsia" w:cstheme="minorEastAsia"/>
          <w:sz w:val="24"/>
          <w:szCs w:val="24"/>
          <w:highlight w:val="none"/>
        </w:rPr>
        <w:t>；</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业绩一览表；</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供应商认为有必要说明的其他问题；</w:t>
      </w:r>
    </w:p>
    <w:p>
      <w:pPr>
        <w:numPr>
          <w:ilvl w:val="0"/>
          <w:numId w:val="10"/>
        </w:numPr>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供应商承诺书；</w:t>
      </w:r>
    </w:p>
    <w:p>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供应商须依据招标文件内容和投标文件格式的要求编制投标文件；投标文件规格幅面（A4）</w:t>
      </w:r>
      <w:r>
        <w:rPr>
          <w:rFonts w:hint="eastAsia" w:asciiTheme="minorEastAsia" w:hAnsiTheme="minorEastAsia" w:eastAsiaTheme="minorEastAsia" w:cstheme="minorEastAsia"/>
          <w:b/>
          <w:bCs/>
          <w:sz w:val="24"/>
          <w:szCs w:val="24"/>
          <w:highlight w:val="none"/>
        </w:rPr>
        <w:t>（推荐双面打印）</w:t>
      </w:r>
      <w:r>
        <w:rPr>
          <w:rFonts w:hint="eastAsia" w:asciiTheme="minorEastAsia" w:hAnsiTheme="minorEastAsia" w:eastAsiaTheme="minorEastAsia" w:cstheme="minorEastAsia"/>
          <w:sz w:val="24"/>
          <w:szCs w:val="24"/>
          <w:highlight w:val="none"/>
        </w:rPr>
        <w:t>，按照采购文件所规定的内容顺序，统一编目、编页码装订，技术文件中的各项表格须按照招标文件第七部分投标文件格式要求制作。由于编排混乱导致投标文件被误读或查找不到，其责任应当由供应商承担。装订必须采用胶订形式，不得采用活页装订，必须标注页码。</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2" w:name="_Toc27646"/>
      <w:r>
        <w:rPr>
          <w:rFonts w:hint="eastAsia" w:asciiTheme="minorEastAsia" w:hAnsiTheme="minorEastAsia" w:eastAsiaTheme="minorEastAsia" w:cstheme="minorEastAsia"/>
          <w:sz w:val="24"/>
          <w:szCs w:val="24"/>
          <w:highlight w:val="none"/>
        </w:rPr>
        <w:t>投标报价</w:t>
      </w:r>
      <w:bookmarkEnd w:id="62"/>
    </w:p>
    <w:p>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3" w:name="_Toc29200"/>
      <w:bookmarkStart w:id="64" w:name="_Toc1311"/>
      <w:r>
        <w:rPr>
          <w:rFonts w:hint="eastAsia" w:asciiTheme="minorEastAsia" w:hAnsiTheme="minorEastAsia" w:eastAsiaTheme="minorEastAsia" w:cstheme="minorEastAsia"/>
          <w:sz w:val="24"/>
          <w:szCs w:val="24"/>
          <w:highlight w:val="none"/>
        </w:rPr>
        <w:t>投标货币</w:t>
      </w:r>
      <w:bookmarkEnd w:id="63"/>
    </w:p>
    <w:p>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bookmarkEnd w:id="64"/>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投标保证金按照供应商须知前附表要求缴纳。</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供应商未按照招标文件要求交纳投标保证金的或投标保证金的交付单位和供应商的名称必须一致，视为无效投标。</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 发生下列情形之一的，代理机构将不予退还供应商交纳的投标保证金：</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开标后在招标文件规定的投标有效期间，供应商撤回其所投投标文件；</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在采购人确定中标供应商以前放弃中标候选资格的；</w:t>
      </w:r>
    </w:p>
    <w:p>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在评标期间，供应商企图影响采购机构或评标委员会的任何活动，将导致投标被拒绝，并由其承担相应的法律责任；</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由于中标供应商原因未能按照招标文件的规定与采购人签订合同；</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由于中标供应商原因未能按照招标文件的规定交纳履约保证金；</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投标有效期内，供应商在政府采购活动中有违法、违规、违纪行为。</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中标供应商与采购人订立背离合同实质性内容的其它协议；</w:t>
      </w:r>
    </w:p>
    <w:p>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供应商未按招标文件规定和合同约定履行义务的。</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 未中标的供应商在退取投标保证金时，须携带以下资料办理到代理机构的财务部门办理：</w:t>
      </w:r>
    </w:p>
    <w:p>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保证金汇款凭证复印件加盖公章；</w:t>
      </w:r>
    </w:p>
    <w:p>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供应商对公银行账户信息（加盖公章）见</w:t>
      </w:r>
      <w:r>
        <w:rPr>
          <w:rFonts w:hint="eastAsia" w:asciiTheme="minorEastAsia" w:hAnsiTheme="minorEastAsia" w:eastAsiaTheme="minorEastAsia" w:cstheme="minorEastAsia"/>
          <w:b/>
          <w:bCs/>
          <w:sz w:val="24"/>
          <w:szCs w:val="24"/>
          <w:highlight w:val="none"/>
        </w:rPr>
        <w:t>附件七</w:t>
      </w:r>
      <w:r>
        <w:rPr>
          <w:rFonts w:hint="eastAsia" w:asciiTheme="minorEastAsia" w:hAnsiTheme="minorEastAsia" w:eastAsiaTheme="minorEastAsia" w:cstheme="minorEastAsia"/>
          <w:sz w:val="24"/>
          <w:szCs w:val="24"/>
          <w:highlight w:val="none"/>
        </w:rPr>
        <w:t>。</w:t>
      </w:r>
    </w:p>
    <w:p>
      <w:pPr>
        <w:numPr>
          <w:ilvl w:val="0"/>
          <w:numId w:val="13"/>
        </w:numPr>
        <w:adjustRightInd w:val="0"/>
        <w:snapToGrid w:val="0"/>
        <w:spacing w:line="360" w:lineRule="auto"/>
        <w:ind w:left="0"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 中标供应商在退取投标保证金时，除携带上述资料外还需递交与采购人签订的采购合同一份。</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5" w:name="_Toc19668"/>
      <w:r>
        <w:rPr>
          <w:rFonts w:hint="eastAsia" w:asciiTheme="minorEastAsia" w:hAnsiTheme="minorEastAsia" w:eastAsiaTheme="minorEastAsia" w:cstheme="minorEastAsia"/>
          <w:sz w:val="24"/>
          <w:szCs w:val="24"/>
          <w:highlight w:val="none"/>
        </w:rPr>
        <w:t>投标有效期</w:t>
      </w:r>
      <w:bookmarkEnd w:id="65"/>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66" w:name="_Toc24827"/>
      <w:r>
        <w:rPr>
          <w:rFonts w:hint="eastAsia" w:asciiTheme="minorEastAsia" w:hAnsiTheme="minorEastAsia" w:eastAsiaTheme="minorEastAsia" w:cstheme="minorEastAsia"/>
          <w:sz w:val="24"/>
          <w:szCs w:val="24"/>
          <w:highlight w:val="none"/>
        </w:rPr>
        <w:t>投标有效期见供应商须知前附表，无投标有效期或投标有效期短于此规定期限的投标文件，视为无效文件，其投标将被拒绝。</w:t>
      </w:r>
      <w:r>
        <w:rPr>
          <w:rFonts w:hint="eastAsia" w:ascii="宋体" w:hAnsi="宋体" w:cs="宋体" w:eastAsiaTheme="minorEastAsia"/>
          <w:sz w:val="24"/>
          <w:szCs w:val="24"/>
          <w:highlight w:val="none"/>
          <w:lang w:val="en-US" w:eastAsia="zh-CN"/>
        </w:rPr>
        <w:t>中标</w:t>
      </w:r>
      <w:r>
        <w:rPr>
          <w:rFonts w:hint="eastAsia" w:ascii="宋体" w:hAnsi="宋体" w:cs="宋体"/>
          <w:sz w:val="24"/>
          <w:szCs w:val="24"/>
          <w:highlight w:val="none"/>
        </w:rPr>
        <w:t>单位的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文件有效期延长至合同执行完毕。</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投标文件的装订、密封和签署</w:t>
      </w:r>
      <w:bookmarkEnd w:id="66"/>
    </w:p>
    <w:p>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投标文件的装订</w:t>
      </w:r>
    </w:p>
    <w:p>
      <w:pPr>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 投标文件的签署</w:t>
      </w:r>
    </w:p>
    <w:p>
      <w:pPr>
        <w:spacing w:line="500" w:lineRule="exact"/>
        <w:ind w:firstLine="482"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pPr>
        <w:spacing w:line="5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 投标文件的密封</w:t>
      </w:r>
    </w:p>
    <w:p>
      <w:pPr>
        <w:spacing w:line="500" w:lineRule="exact"/>
        <w:ind w:firstLine="482" w:firstLineChars="200"/>
        <w:jc w:val="left"/>
        <w:rPr>
          <w:highlight w:val="none"/>
        </w:rPr>
      </w:pPr>
      <w:r>
        <w:rPr>
          <w:rFonts w:hint="eastAsia" w:asciiTheme="minorEastAsia" w:hAnsiTheme="minorEastAsia" w:eastAsiaTheme="minorEastAsia" w:cstheme="minorEastAsia"/>
          <w:b/>
          <w:bCs/>
          <w:sz w:val="24"/>
          <w:szCs w:val="24"/>
          <w:highlight w:val="none"/>
        </w:rPr>
        <w:t>详见供应商须知前附表。</w:t>
      </w:r>
    </w:p>
    <w:p>
      <w:pPr>
        <w:pStyle w:val="5"/>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7" w:name="_Toc22752"/>
      <w:r>
        <w:rPr>
          <w:rFonts w:hint="eastAsia" w:asciiTheme="minorEastAsia" w:hAnsiTheme="minorEastAsia" w:eastAsiaTheme="minorEastAsia" w:cstheme="minorEastAsia"/>
          <w:sz w:val="24"/>
          <w:szCs w:val="24"/>
          <w:highlight w:val="none"/>
        </w:rPr>
        <w:t>知识产权</w:t>
      </w:r>
      <w:bookmarkEnd w:id="67"/>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采购人享有本项目在实施过程中产生的知识成果及知识产权。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如供应商所不拥有的知识产权，则在投标报价中必须包括合法获取该知识产权的相关费用。</w:t>
      </w:r>
    </w:p>
    <w:p>
      <w:pPr>
        <w:widowControl/>
        <w:numPr>
          <w:ilvl w:val="0"/>
          <w:numId w:val="3"/>
        </w:numPr>
        <w:spacing w:line="500" w:lineRule="exact"/>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pgNumType w:fmt="decimal"/>
          <w:cols w:space="720" w:num="1"/>
          <w:docGrid w:type="lines" w:linePitch="312" w:charSpace="0"/>
        </w:sectPr>
      </w:pPr>
      <w:bookmarkStart w:id="68" w:name="_Toc3736"/>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69" w:name="_Toc25743"/>
      <w:bookmarkStart w:id="70" w:name="_Toc32547"/>
      <w:bookmarkStart w:id="71" w:name="_Toc21101"/>
      <w:bookmarkStart w:id="72" w:name="_Toc16722"/>
      <w:bookmarkStart w:id="73" w:name="_Toc3565"/>
      <w:bookmarkStart w:id="74" w:name="_Toc5299"/>
      <w:r>
        <w:rPr>
          <w:rFonts w:hint="eastAsia" w:asciiTheme="minorEastAsia" w:hAnsiTheme="minorEastAsia" w:eastAsiaTheme="minorEastAsia" w:cstheme="minorEastAsia"/>
          <w:b/>
          <w:bCs/>
          <w:kern w:val="0"/>
          <w:sz w:val="32"/>
          <w:szCs w:val="32"/>
          <w:highlight w:val="none"/>
        </w:rPr>
        <w:t>投标文件的递交</w:t>
      </w:r>
      <w:bookmarkEnd w:id="69"/>
      <w:bookmarkEnd w:id="70"/>
      <w:bookmarkEnd w:id="71"/>
      <w:bookmarkEnd w:id="72"/>
      <w:bookmarkEnd w:id="73"/>
      <w:bookmarkEnd w:id="74"/>
    </w:p>
    <w:bookmarkEnd w:id="68"/>
    <w:p>
      <w:pPr>
        <w:pStyle w:val="5"/>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75" w:name="_Toc3685"/>
      <w:r>
        <w:rPr>
          <w:rFonts w:hint="eastAsia" w:asciiTheme="minorEastAsia" w:hAnsiTheme="minorEastAsia" w:eastAsiaTheme="minorEastAsia" w:cstheme="minorEastAsia"/>
          <w:sz w:val="24"/>
          <w:szCs w:val="24"/>
          <w:highlight w:val="none"/>
        </w:rPr>
        <w:t>投标文件递交</w:t>
      </w:r>
      <w:bookmarkEnd w:id="75"/>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76" w:name="_Toc12741"/>
      <w:r>
        <w:rPr>
          <w:rFonts w:hint="eastAsia" w:asciiTheme="minorEastAsia" w:hAnsiTheme="minorEastAsia" w:eastAsiaTheme="minorEastAsia" w:cstheme="minorEastAsia"/>
          <w:sz w:val="24"/>
          <w:szCs w:val="24"/>
          <w:highlight w:val="none"/>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1.2逾期送达或者未按照招标文件要求密封的投标文件，采购代理机构应当拒收。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1.3代理机构不接受邮寄的投标文件。</w:t>
      </w:r>
    </w:p>
    <w:p>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无论供应商中标与否，其投标文件恕不退还。</w:t>
      </w:r>
    </w:p>
    <w:p>
      <w:pPr>
        <w:pStyle w:val="5"/>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投标文件的修改和撤回</w:t>
      </w:r>
      <w:bookmarkEnd w:id="76"/>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2.1投标</w:t>
      </w:r>
      <w:r>
        <w:rPr>
          <w:rFonts w:hint="eastAsia" w:ascii="宋体" w:hAnsi="宋体"/>
          <w:sz w:val="24"/>
          <w:highlight w:val="none"/>
        </w:rPr>
        <w:t>文件递交后，如果</w:t>
      </w:r>
      <w:r>
        <w:rPr>
          <w:rFonts w:hint="eastAsia" w:ascii="宋体" w:hAnsi="宋体" w:cs="宋体"/>
          <w:sz w:val="24"/>
          <w:szCs w:val="24"/>
          <w:highlight w:val="none"/>
          <w:lang w:val="en-US" w:eastAsia="zh-CN"/>
        </w:rPr>
        <w:t>供应商</w:t>
      </w:r>
      <w:r>
        <w:rPr>
          <w:rFonts w:hint="eastAsia" w:ascii="宋体" w:hAnsi="宋体"/>
          <w:sz w:val="24"/>
          <w:highlight w:val="none"/>
        </w:rPr>
        <w:t>提出书面修改、补充和撤回</w:t>
      </w:r>
      <w:r>
        <w:rPr>
          <w:rFonts w:hint="eastAsia" w:ascii="宋体" w:hAnsi="宋体"/>
          <w:sz w:val="24"/>
          <w:highlight w:val="none"/>
          <w:lang w:val="en-US" w:eastAsia="zh-CN"/>
        </w:rPr>
        <w:t>投标</w:t>
      </w:r>
      <w:r>
        <w:rPr>
          <w:rFonts w:hint="eastAsia" w:ascii="宋体" w:hAnsi="宋体"/>
          <w:sz w:val="24"/>
          <w:highlight w:val="none"/>
        </w:rPr>
        <w:t>文件要求，在投标截止时间前以书面形式送达采购代理机构；</w:t>
      </w:r>
    </w:p>
    <w:p>
      <w:pPr>
        <w:spacing w:line="50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2.2供应商</w:t>
      </w:r>
      <w:r>
        <w:rPr>
          <w:rFonts w:hint="eastAsia" w:ascii="宋体" w:hAnsi="宋体"/>
          <w:sz w:val="24"/>
          <w:highlight w:val="none"/>
        </w:rPr>
        <w:t>修改</w:t>
      </w:r>
      <w:r>
        <w:rPr>
          <w:rFonts w:hint="eastAsia" w:ascii="宋体" w:hAnsi="宋体"/>
          <w:sz w:val="24"/>
          <w:highlight w:val="none"/>
          <w:lang w:val="en-US" w:eastAsia="zh-CN"/>
        </w:rPr>
        <w:t>投标</w:t>
      </w:r>
      <w:r>
        <w:rPr>
          <w:rFonts w:hint="eastAsia" w:ascii="宋体" w:hAnsi="宋体"/>
          <w:sz w:val="24"/>
          <w:highlight w:val="none"/>
        </w:rPr>
        <w:t>文件的书面材料，须密封送达采购代理机构，修改或补充的内容应按</w:t>
      </w:r>
      <w:r>
        <w:rPr>
          <w:rFonts w:hint="eastAsia" w:ascii="宋体" w:hAnsi="宋体"/>
          <w:sz w:val="24"/>
          <w:highlight w:val="none"/>
          <w:lang w:val="en-US" w:eastAsia="zh-CN"/>
        </w:rPr>
        <w:t>招标</w:t>
      </w:r>
      <w:r>
        <w:rPr>
          <w:rFonts w:hint="eastAsia" w:ascii="宋体" w:hAnsi="宋体"/>
          <w:sz w:val="24"/>
          <w:highlight w:val="none"/>
        </w:rPr>
        <w:t>文件要求签署、盖章、密封、</w:t>
      </w:r>
      <w:r>
        <w:rPr>
          <w:rFonts w:hint="eastAsia" w:ascii="宋体" w:hAnsi="宋体"/>
          <w:sz w:val="24"/>
          <w:highlight w:val="none"/>
          <w:lang w:eastAsia="zh-CN"/>
        </w:rPr>
        <w:t>标记，</w:t>
      </w:r>
      <w:r>
        <w:rPr>
          <w:rFonts w:hint="eastAsia" w:asciiTheme="minorEastAsia" w:hAnsiTheme="minorEastAsia" w:cstheme="minorEastAsia"/>
          <w:sz w:val="24"/>
          <w:szCs w:val="24"/>
          <w:highlight w:val="none"/>
        </w:rPr>
        <w:t>同时应在封套上标明“修改投标文件(并注明项目编号)”和“开标时启封”字样</w:t>
      </w:r>
      <w:r>
        <w:rPr>
          <w:rFonts w:hint="eastAsia" w:ascii="宋体" w:hAnsi="宋体"/>
          <w:sz w:val="24"/>
          <w:highlight w:val="none"/>
        </w:rPr>
        <w:t>，并作为</w:t>
      </w:r>
      <w:r>
        <w:rPr>
          <w:rFonts w:hint="eastAsia" w:ascii="宋体" w:hAnsi="宋体"/>
          <w:sz w:val="24"/>
          <w:highlight w:val="none"/>
          <w:lang w:val="en-US" w:eastAsia="zh-CN"/>
        </w:rPr>
        <w:t>投标</w:t>
      </w:r>
      <w:r>
        <w:rPr>
          <w:rFonts w:hint="eastAsia" w:ascii="宋体" w:hAnsi="宋体"/>
          <w:sz w:val="24"/>
          <w:highlight w:val="none"/>
        </w:rPr>
        <w:t>文件的组成部分；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w:t>
      </w:r>
      <w:r>
        <w:rPr>
          <w:rFonts w:hint="eastAsia" w:ascii="宋体" w:hAnsi="宋体"/>
          <w:sz w:val="24"/>
          <w:highlight w:val="none"/>
        </w:rPr>
        <w:t>撤回</w:t>
      </w:r>
      <w:r>
        <w:rPr>
          <w:rFonts w:hint="eastAsia" w:ascii="宋体" w:hAnsi="宋体"/>
          <w:sz w:val="24"/>
          <w:highlight w:val="none"/>
          <w:lang w:val="en-US" w:eastAsia="zh-CN"/>
        </w:rPr>
        <w:t>投标</w:t>
      </w:r>
      <w:r>
        <w:rPr>
          <w:rFonts w:hint="eastAsia" w:ascii="宋体" w:hAnsi="宋体"/>
          <w:sz w:val="24"/>
          <w:highlight w:val="none"/>
        </w:rPr>
        <w:t>文件应以书面的形式通知采购代理机构。采取书面形式撤回</w:t>
      </w:r>
      <w:r>
        <w:rPr>
          <w:rFonts w:hint="eastAsia" w:ascii="宋体" w:hAnsi="宋体"/>
          <w:sz w:val="24"/>
          <w:highlight w:val="none"/>
          <w:lang w:val="en-US" w:eastAsia="zh-CN"/>
        </w:rPr>
        <w:t>投标</w:t>
      </w:r>
      <w:r>
        <w:rPr>
          <w:rFonts w:hint="eastAsia" w:ascii="宋体" w:hAnsi="宋体"/>
          <w:sz w:val="24"/>
          <w:highlight w:val="none"/>
        </w:rPr>
        <w:t>文件，随后必须补充有法定代表人或被授权人签署的要求撤回</w:t>
      </w:r>
      <w:r>
        <w:rPr>
          <w:rFonts w:hint="eastAsia" w:ascii="宋体" w:hAnsi="宋体"/>
          <w:sz w:val="24"/>
          <w:highlight w:val="none"/>
          <w:lang w:val="en-US" w:eastAsia="zh-CN"/>
        </w:rPr>
        <w:t>投标</w:t>
      </w:r>
      <w:r>
        <w:rPr>
          <w:rFonts w:hint="eastAsia" w:ascii="宋体" w:hAnsi="宋体"/>
          <w:sz w:val="24"/>
          <w:highlight w:val="none"/>
        </w:rPr>
        <w:t>文件的正式文件；撤回</w:t>
      </w:r>
      <w:r>
        <w:rPr>
          <w:rFonts w:hint="eastAsia" w:ascii="宋体" w:hAnsi="宋体"/>
          <w:sz w:val="24"/>
          <w:highlight w:val="none"/>
          <w:lang w:val="en-US" w:eastAsia="zh-CN"/>
        </w:rPr>
        <w:t>投标</w:t>
      </w:r>
      <w:r>
        <w:rPr>
          <w:rFonts w:hint="eastAsia" w:ascii="宋体" w:hAnsi="宋体"/>
          <w:sz w:val="24"/>
          <w:highlight w:val="none"/>
        </w:rPr>
        <w:t>文件的时间以送达采购代理机构到达日期为准；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w:t>
      </w:r>
      <w:r>
        <w:rPr>
          <w:rFonts w:hint="eastAsia" w:ascii="宋体" w:hAnsi="宋体"/>
          <w:sz w:val="24"/>
          <w:highlight w:val="none"/>
        </w:rPr>
        <w:t>在投标截止时间后到</w:t>
      </w:r>
      <w:r>
        <w:rPr>
          <w:rFonts w:hint="eastAsia" w:ascii="宋体" w:hAnsi="宋体"/>
          <w:sz w:val="24"/>
          <w:highlight w:val="none"/>
          <w:lang w:val="en-US" w:eastAsia="zh-CN"/>
        </w:rPr>
        <w:t>招标</w:t>
      </w:r>
      <w:r>
        <w:rPr>
          <w:rFonts w:hint="eastAsia" w:ascii="宋体" w:hAnsi="宋体"/>
          <w:sz w:val="24"/>
          <w:highlight w:val="none"/>
        </w:rPr>
        <w:t>文件规定的投标有效期满之间的这段时间内，</w:t>
      </w:r>
      <w:r>
        <w:rPr>
          <w:rFonts w:hint="eastAsia" w:ascii="宋体" w:hAnsi="宋体"/>
          <w:sz w:val="24"/>
          <w:highlight w:val="none"/>
          <w:lang w:val="en-US" w:eastAsia="zh-CN"/>
        </w:rPr>
        <w:t>供应商</w:t>
      </w:r>
      <w:r>
        <w:rPr>
          <w:rFonts w:hint="eastAsia" w:ascii="宋体" w:hAnsi="宋体"/>
          <w:sz w:val="24"/>
          <w:highlight w:val="none"/>
        </w:rPr>
        <w:t>不得撤回其</w:t>
      </w:r>
      <w:r>
        <w:rPr>
          <w:rFonts w:hint="eastAsia" w:ascii="宋体" w:hAnsi="宋体"/>
          <w:sz w:val="24"/>
          <w:highlight w:val="none"/>
          <w:lang w:val="en-US" w:eastAsia="zh-CN"/>
        </w:rPr>
        <w:t>投标</w:t>
      </w:r>
      <w:r>
        <w:rPr>
          <w:rFonts w:hint="eastAsia" w:ascii="宋体" w:hAnsi="宋体"/>
          <w:sz w:val="24"/>
          <w:highlight w:val="none"/>
        </w:rPr>
        <w:t>文件；</w:t>
      </w:r>
    </w:p>
    <w:p>
      <w:pPr>
        <w:spacing w:line="500" w:lineRule="exact"/>
        <w:ind w:firstLine="480" w:firstLineChars="200"/>
        <w:jc w:val="left"/>
        <w:rPr>
          <w:rFonts w:asciiTheme="minorEastAsia" w:hAnsiTheme="minorEastAsia" w:eastAsiaTheme="minorEastAsia" w:cstheme="minorEastAsia"/>
          <w:sz w:val="24"/>
          <w:szCs w:val="24"/>
          <w:highlight w:val="none"/>
        </w:rPr>
      </w:pPr>
      <w:bookmarkStart w:id="77" w:name="_Toc14734"/>
      <w:r>
        <w:rPr>
          <w:rFonts w:hint="eastAsia" w:ascii="宋体" w:hAnsi="宋体"/>
          <w:sz w:val="24"/>
          <w:highlight w:val="none"/>
          <w:lang w:val="en-US" w:eastAsia="zh-CN"/>
        </w:rPr>
        <w:t>2.5</w:t>
      </w:r>
      <w:r>
        <w:rPr>
          <w:rFonts w:hint="eastAsia" w:ascii="宋体" w:hAnsi="宋体"/>
          <w:sz w:val="24"/>
          <w:highlight w:val="none"/>
        </w:rPr>
        <w:t>在</w:t>
      </w:r>
      <w:r>
        <w:rPr>
          <w:rFonts w:hint="eastAsia" w:ascii="宋体" w:hAnsi="宋体"/>
          <w:sz w:val="24"/>
          <w:highlight w:val="none"/>
          <w:lang w:val="en-US" w:eastAsia="zh-CN"/>
        </w:rPr>
        <w:t>招标</w:t>
      </w:r>
      <w:r>
        <w:rPr>
          <w:rFonts w:hint="eastAsia" w:ascii="宋体" w:hAnsi="宋体"/>
          <w:sz w:val="24"/>
          <w:highlight w:val="none"/>
        </w:rPr>
        <w:t>截止时间之后，</w:t>
      </w:r>
      <w:r>
        <w:rPr>
          <w:rFonts w:hint="eastAsia" w:ascii="宋体" w:hAnsi="宋体"/>
          <w:sz w:val="24"/>
          <w:highlight w:val="none"/>
          <w:lang w:val="en-US" w:eastAsia="zh-CN"/>
        </w:rPr>
        <w:t>供应商</w:t>
      </w:r>
      <w:r>
        <w:rPr>
          <w:rFonts w:hint="eastAsia" w:ascii="宋体" w:hAnsi="宋体"/>
          <w:sz w:val="24"/>
          <w:highlight w:val="none"/>
        </w:rPr>
        <w:t>不得对其递交的</w:t>
      </w:r>
      <w:r>
        <w:rPr>
          <w:rFonts w:hint="eastAsia" w:ascii="宋体" w:hAnsi="宋体"/>
          <w:sz w:val="24"/>
          <w:highlight w:val="none"/>
          <w:lang w:val="en-US" w:eastAsia="zh-CN"/>
        </w:rPr>
        <w:t>投标</w:t>
      </w:r>
      <w:r>
        <w:rPr>
          <w:rFonts w:hint="eastAsia" w:ascii="宋体" w:hAnsi="宋体"/>
          <w:sz w:val="24"/>
          <w:highlight w:val="none"/>
        </w:rPr>
        <w:t>文件做任何修改或撤回。</w:t>
      </w:r>
      <w:bookmarkEnd w:id="77"/>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78" w:name="_Toc27066"/>
      <w:bookmarkStart w:id="79" w:name="_Toc15135"/>
      <w:bookmarkStart w:id="80" w:name="_Toc30172"/>
      <w:bookmarkStart w:id="81" w:name="_Toc23034"/>
      <w:bookmarkStart w:id="82" w:name="_Toc14415"/>
      <w:bookmarkStart w:id="83" w:name="_Toc25178"/>
      <w:bookmarkStart w:id="84" w:name="_Toc27055"/>
      <w:r>
        <w:rPr>
          <w:rFonts w:hint="eastAsia" w:asciiTheme="minorEastAsia" w:hAnsiTheme="minorEastAsia" w:eastAsiaTheme="minorEastAsia" w:cstheme="minorEastAsia"/>
          <w:b/>
          <w:bCs/>
          <w:kern w:val="0"/>
          <w:sz w:val="32"/>
          <w:szCs w:val="32"/>
          <w:highlight w:val="none"/>
        </w:rPr>
        <w:t>开标、评审、定标</w:t>
      </w:r>
      <w:bookmarkEnd w:id="78"/>
      <w:bookmarkEnd w:id="79"/>
      <w:bookmarkEnd w:id="80"/>
      <w:bookmarkEnd w:id="81"/>
      <w:bookmarkEnd w:id="82"/>
      <w:bookmarkEnd w:id="83"/>
      <w:bookmarkEnd w:id="84"/>
    </w:p>
    <w:p>
      <w:pPr>
        <w:pStyle w:val="5"/>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5" w:name="_Toc27216"/>
      <w:r>
        <w:rPr>
          <w:rFonts w:hint="eastAsia" w:asciiTheme="minorEastAsia" w:hAnsiTheme="minorEastAsia" w:eastAsiaTheme="minorEastAsia" w:cstheme="minorEastAsia"/>
          <w:sz w:val="24"/>
          <w:szCs w:val="24"/>
          <w:highlight w:val="none"/>
        </w:rPr>
        <w:t>开标</w:t>
      </w:r>
      <w:bookmarkEnd w:id="85"/>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采购代理机构按招标公告中规定的时间和地点接收供应商递交的投标文件，主持开标会议，邀请供应商参加。</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开标时，供应商与监标人共同检查投标文件密封情况并签字确认。确认无误后方可拆封投标文件，以公开唱标的形式将唱标报告的内容公布，公开招标过程中公开代理机构指定专人负责将供应商的名称、投标项目名称、投标价格等进行记录，并存档备案；所有投标唱标完毕，如供应商代表对宣读的“投标报价一览表”上的内容有异议的，应在获得开标会议主持人同意后当场提出。如确实属于唱标人员宣读错误，经现供应商代表核实后，当场予以更正，不属于唱标人员宣读错误的，以单独密封的投标报价一览表为准。</w:t>
      </w:r>
    </w:p>
    <w:p>
      <w:pPr>
        <w:widowControl/>
        <w:tabs>
          <w:tab w:val="left" w:pos="0"/>
        </w:tabs>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 xml:space="preserve">1.3 </w:t>
      </w:r>
      <w:r>
        <w:rPr>
          <w:rFonts w:asciiTheme="minorEastAsia" w:hAnsiTheme="minorEastAsia" w:cstheme="minorEastAsia"/>
          <w:sz w:val="24"/>
          <w:szCs w:val="24"/>
          <w:highlight w:val="none"/>
        </w:rPr>
        <w:t>代理机构指定专人负责将</w:t>
      </w:r>
      <w:r>
        <w:rPr>
          <w:rFonts w:hint="eastAsia" w:asciiTheme="minorEastAsia" w:hAnsiTheme="minorEastAsia" w:cstheme="minorEastAsia"/>
          <w:sz w:val="24"/>
          <w:szCs w:val="24"/>
          <w:highlight w:val="none"/>
          <w:lang w:eastAsia="zh-CN"/>
        </w:rPr>
        <w:t>供应商</w:t>
      </w:r>
      <w:r>
        <w:rPr>
          <w:rFonts w:asciiTheme="minorEastAsia" w:hAnsiTheme="minorEastAsia" w:cstheme="minorEastAsia"/>
          <w:sz w:val="24"/>
          <w:szCs w:val="24"/>
          <w:highlight w:val="none"/>
        </w:rPr>
        <w:t>的名称、投标项目名称、投标价格等</w:t>
      </w:r>
      <w:r>
        <w:rPr>
          <w:rFonts w:hint="eastAsia" w:asciiTheme="minorEastAsia" w:hAnsiTheme="minorEastAsia" w:cstheme="minorEastAsia"/>
          <w:sz w:val="24"/>
          <w:szCs w:val="24"/>
          <w:highlight w:val="none"/>
        </w:rPr>
        <w:t>开标过程</w:t>
      </w:r>
      <w:r>
        <w:rPr>
          <w:rFonts w:asciiTheme="minorEastAsia" w:hAnsiTheme="minorEastAsia" w:cstheme="minorEastAsia"/>
          <w:sz w:val="24"/>
          <w:szCs w:val="24"/>
          <w:highlight w:val="none"/>
        </w:rPr>
        <w:t>进行记录，</w:t>
      </w:r>
      <w:r>
        <w:rPr>
          <w:rFonts w:hint="eastAsia" w:asciiTheme="minorEastAsia" w:hAnsiTheme="minorEastAsia" w:cstheme="minorEastAsia"/>
          <w:sz w:val="24"/>
          <w:szCs w:val="24"/>
          <w:highlight w:val="none"/>
        </w:rPr>
        <w:t>由参加开标的各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代表签字确认，</w:t>
      </w:r>
      <w:r>
        <w:rPr>
          <w:rFonts w:asciiTheme="minorEastAsia" w:hAnsiTheme="minorEastAsia" w:cstheme="minorEastAsia"/>
          <w:sz w:val="24"/>
          <w:szCs w:val="24"/>
          <w:highlight w:val="none"/>
        </w:rPr>
        <w:t>并存档备案</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未参加开标或未签字确认的，视同认可开标结果。</w:t>
      </w:r>
    </w:p>
    <w:p>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1.4 </w:t>
      </w:r>
      <w:r>
        <w:rPr>
          <w:rFonts w:hint="eastAsia" w:asciiTheme="minorEastAsia" w:hAnsiTheme="minorEastAsia" w:eastAsiaTheme="minorEastAsia" w:cstheme="minorEastAsia"/>
          <w:sz w:val="24"/>
          <w:szCs w:val="24"/>
          <w:highlight w:val="none"/>
        </w:rPr>
        <w:t>开标时，投标文件中出现下列情况，修正原则为：</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投标文件中投标报价一览表（报价表）内容与投标文件中相应内容不一致的，以投标报价一览表（报价表）为准；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大写金额和小写金额不一致的，以大写金额为准；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单价金额小数点或者百分比有明显错位的，以投标报价一览表的总价为准，并修改单价；</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总价金额与按单价汇总金额不一致的，以单价金额计算结果为准； </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投标文件正本与副本不一致的，以正本为准；</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报价金额精确到小数点后两位，不进行四舍五入；</w:t>
      </w:r>
    </w:p>
    <w:p>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投标文件单独密封递交的投标报价一览表与正本不一致的，以单独密封递交的投标报价一览表为准；</w:t>
      </w:r>
    </w:p>
    <w:p>
      <w:pPr>
        <w:spacing w:line="500" w:lineRule="exact"/>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11"/>
        <w:rPr>
          <w:rFonts w:hint="eastAsia" w:asciiTheme="minorEastAsia" w:hAnsiTheme="minorEastAsia" w:eastAsiaTheme="minorEastAsia" w:cstheme="minorEastAsia"/>
          <w:kern w:val="0"/>
          <w:sz w:val="24"/>
          <w:szCs w:val="24"/>
          <w:highlight w:val="none"/>
        </w:rPr>
      </w:pPr>
    </w:p>
    <w:p>
      <w:pPr>
        <w:spacing w:line="500" w:lineRule="exact"/>
        <w:ind w:firstLine="480" w:firstLineChars="200"/>
        <w:jc w:val="left"/>
        <w:rPr>
          <w:highlight w:val="none"/>
        </w:rPr>
      </w:pPr>
      <w:r>
        <w:rPr>
          <w:rFonts w:hint="eastAsia" w:asciiTheme="minorEastAsia" w:hAnsiTheme="minorEastAsia" w:cstheme="minorEastAsia"/>
          <w:kern w:val="0"/>
          <w:sz w:val="24"/>
          <w:szCs w:val="24"/>
          <w:highlight w:val="none"/>
        </w:rPr>
        <w:t>1.5</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代表对开标过程和开标记录有疑义，以及认为采购人、采购代理机构相关工作人员有需要回避的情形的，应当场提出询问或者回避申请。</w:t>
      </w:r>
    </w:p>
    <w:p>
      <w:pPr>
        <w:pStyle w:val="5"/>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6" w:name="_Toc358364344"/>
      <w:bookmarkStart w:id="87" w:name="_Toc380336750"/>
      <w:bookmarkStart w:id="88" w:name="_Toc20569"/>
      <w:bookmarkStart w:id="89" w:name="_Toc801"/>
      <w:r>
        <w:rPr>
          <w:rFonts w:hint="eastAsia" w:asciiTheme="minorEastAsia" w:hAnsiTheme="minorEastAsia" w:eastAsiaTheme="minorEastAsia" w:cstheme="minorEastAsia"/>
          <w:sz w:val="24"/>
          <w:szCs w:val="24"/>
          <w:highlight w:val="none"/>
        </w:rPr>
        <w:t>评标委员会</w:t>
      </w:r>
      <w:bookmarkEnd w:id="86"/>
      <w:bookmarkEnd w:id="87"/>
      <w:bookmarkEnd w:id="88"/>
      <w:bookmarkEnd w:id="89"/>
    </w:p>
    <w:p>
      <w:pPr>
        <w:widowControl/>
        <w:spacing w:line="460" w:lineRule="exact"/>
        <w:ind w:firstLine="420" w:firstLineChars="175"/>
        <w:jc w:val="left"/>
        <w:rPr>
          <w:rFonts w:asciiTheme="minorEastAsia" w:hAnsiTheme="minorEastAsia" w:eastAsiaTheme="minorEastAsia" w:cstheme="minorEastAsia"/>
          <w:sz w:val="24"/>
          <w:szCs w:val="24"/>
          <w:highlight w:val="none"/>
        </w:rPr>
      </w:pPr>
      <w:bookmarkStart w:id="90" w:name="_Toc386129876"/>
      <w:bookmarkStart w:id="91" w:name="_Toc27940"/>
      <w:bookmarkStart w:id="92" w:name="_Toc28085"/>
      <w:bookmarkStart w:id="93" w:name="_Toc385958808"/>
      <w:r>
        <w:rPr>
          <w:rFonts w:hint="eastAsia" w:asciiTheme="minorEastAsia" w:hAnsiTheme="minorEastAsia" w:eastAsiaTheme="minorEastAsia" w:cstheme="minorEastAsia"/>
          <w:kern w:val="0"/>
          <w:sz w:val="24"/>
          <w:szCs w:val="24"/>
          <w:highlight w:val="none"/>
        </w:rPr>
        <w:t>2.1</w:t>
      </w:r>
      <w:r>
        <w:rPr>
          <w:rFonts w:hint="eastAsia" w:asciiTheme="minorEastAsia" w:hAnsiTheme="minorEastAsia" w:eastAsiaTheme="minorEastAsia" w:cstheme="minorEastAsia"/>
          <w:sz w:val="24"/>
          <w:szCs w:val="24"/>
          <w:highlight w:val="none"/>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highlight w:val="none"/>
        </w:rPr>
      </w:pPr>
      <w:r>
        <w:rPr>
          <w:rFonts w:hint="eastAsia" w:asciiTheme="minorEastAsia" w:hAnsiTheme="minorEastAsia" w:cstheme="minorEastAsia"/>
          <w:kern w:val="0"/>
          <w:sz w:val="24"/>
          <w:szCs w:val="24"/>
          <w:highlight w:val="none"/>
        </w:rPr>
        <w:t>2.1.1遵纪守</w:t>
      </w:r>
      <w:r>
        <w:rPr>
          <w:rFonts w:hint="eastAsia" w:ascii="宋体" w:hAnsi="宋体" w:cs="宋体"/>
          <w:sz w:val="24"/>
          <w:szCs w:val="24"/>
          <w:highlight w:val="none"/>
        </w:rPr>
        <w:t>法，客</w:t>
      </w:r>
      <w:r>
        <w:rPr>
          <w:rFonts w:ascii="宋体" w:hAnsi="宋体" w:cs="宋体"/>
          <w:sz w:val="24"/>
          <w:szCs w:val="24"/>
          <w:highlight w:val="none"/>
        </w:rPr>
        <w:t>观</w:t>
      </w:r>
      <w:r>
        <w:rPr>
          <w:rFonts w:hint="eastAsia" w:ascii="宋体" w:hAnsi="宋体" w:cs="宋体"/>
          <w:sz w:val="24"/>
          <w:szCs w:val="24"/>
          <w:highlight w:val="none"/>
        </w:rPr>
        <w:t>、公正、</w:t>
      </w:r>
      <w:r>
        <w:rPr>
          <w:rFonts w:ascii="宋体" w:hAnsi="宋体" w:cs="宋体"/>
          <w:sz w:val="24"/>
          <w:szCs w:val="24"/>
          <w:highlight w:val="none"/>
        </w:rPr>
        <w:t>认</w:t>
      </w:r>
      <w:r>
        <w:rPr>
          <w:rFonts w:hint="eastAsia" w:ascii="宋体" w:hAnsi="宋体" w:cs="宋体"/>
          <w:sz w:val="24"/>
          <w:szCs w:val="24"/>
          <w:highlight w:val="none"/>
        </w:rPr>
        <w:t>真</w:t>
      </w:r>
      <w:r>
        <w:rPr>
          <w:rFonts w:ascii="宋体" w:hAnsi="宋体" w:cs="宋体"/>
          <w:sz w:val="24"/>
          <w:szCs w:val="24"/>
          <w:highlight w:val="none"/>
        </w:rPr>
        <w:t>负责</w:t>
      </w:r>
      <w:r>
        <w:rPr>
          <w:rFonts w:hint="eastAsia" w:ascii="宋体" w:hAnsi="宋体" w:cs="宋体"/>
          <w:sz w:val="24"/>
          <w:szCs w:val="24"/>
          <w:highlight w:val="none"/>
        </w:rPr>
        <w:t>地履行</w:t>
      </w:r>
      <w:r>
        <w:rPr>
          <w:rFonts w:ascii="宋体" w:hAnsi="宋体" w:cs="宋体"/>
          <w:sz w:val="24"/>
          <w:szCs w:val="24"/>
          <w:highlight w:val="none"/>
        </w:rPr>
        <w:t>职责，审</w:t>
      </w:r>
      <w:r>
        <w:rPr>
          <w:rFonts w:hint="eastAsia" w:ascii="宋体" w:hAnsi="宋体" w:cs="宋体"/>
          <w:sz w:val="24"/>
          <w:szCs w:val="24"/>
          <w:highlight w:val="none"/>
        </w:rPr>
        <w:t>查投</w:t>
      </w:r>
      <w:r>
        <w:rPr>
          <w:rFonts w:ascii="宋体" w:hAnsi="宋体" w:cs="宋体"/>
          <w:sz w:val="24"/>
          <w:szCs w:val="24"/>
          <w:highlight w:val="none"/>
        </w:rPr>
        <w:t>标</w:t>
      </w:r>
      <w:r>
        <w:rPr>
          <w:rFonts w:hint="eastAsia" w:ascii="宋体" w:hAnsi="宋体" w:cs="宋体"/>
          <w:sz w:val="24"/>
          <w:szCs w:val="24"/>
          <w:highlight w:val="none"/>
        </w:rPr>
        <w:t>文件是否符合</w:t>
      </w:r>
      <w:r>
        <w:rPr>
          <w:rFonts w:ascii="宋体" w:hAnsi="宋体" w:cs="宋体"/>
          <w:sz w:val="24"/>
          <w:szCs w:val="24"/>
          <w:highlight w:val="none"/>
        </w:rPr>
        <w:t>招标</w:t>
      </w:r>
      <w:r>
        <w:rPr>
          <w:rFonts w:hint="eastAsia" w:ascii="宋体" w:hAnsi="宋体" w:cs="宋体"/>
          <w:sz w:val="24"/>
          <w:szCs w:val="24"/>
          <w:highlight w:val="none"/>
        </w:rPr>
        <w:t>文件的要求，并做出</w:t>
      </w:r>
      <w:r>
        <w:rPr>
          <w:rFonts w:ascii="宋体" w:hAnsi="宋体" w:cs="宋体"/>
          <w:sz w:val="24"/>
          <w:szCs w:val="24"/>
          <w:highlight w:val="none"/>
        </w:rPr>
        <w:t>评</w:t>
      </w:r>
      <w:r>
        <w:rPr>
          <w:rFonts w:hint="eastAsia" w:ascii="宋体" w:hAnsi="宋体" w:cs="宋体"/>
          <w:sz w:val="24"/>
          <w:szCs w:val="24"/>
          <w:highlight w:val="none"/>
        </w:rPr>
        <w:t>价；</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2.1.2审查、评价投标文件是否符合招标文件的商务、技术等实质性要求；</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2.1.3要求</w:t>
      </w:r>
      <w:r>
        <w:rPr>
          <w:rFonts w:hint="eastAsia" w:ascii="宋体" w:hAnsi="宋体" w:cs="宋体"/>
          <w:sz w:val="24"/>
          <w:szCs w:val="24"/>
          <w:highlight w:val="none"/>
          <w:lang w:eastAsia="zh-CN"/>
        </w:rPr>
        <w:t>供应商</w:t>
      </w:r>
      <w:r>
        <w:rPr>
          <w:rFonts w:ascii="宋体" w:hAnsi="宋体" w:cs="宋体"/>
          <w:sz w:val="24"/>
          <w:szCs w:val="24"/>
          <w:highlight w:val="none"/>
        </w:rPr>
        <w:t>对</w:t>
      </w:r>
      <w:r>
        <w:rPr>
          <w:rFonts w:hint="eastAsia" w:ascii="宋体" w:hAnsi="宋体" w:cs="宋体"/>
          <w:sz w:val="24"/>
          <w:szCs w:val="24"/>
          <w:highlight w:val="none"/>
        </w:rPr>
        <w:t>投</w:t>
      </w:r>
      <w:r>
        <w:rPr>
          <w:rFonts w:ascii="宋体" w:hAnsi="宋体" w:cs="宋体"/>
          <w:sz w:val="24"/>
          <w:szCs w:val="24"/>
          <w:highlight w:val="none"/>
        </w:rPr>
        <w:t>标</w:t>
      </w:r>
      <w:r>
        <w:rPr>
          <w:rFonts w:hint="eastAsia" w:ascii="宋体" w:hAnsi="宋体" w:cs="宋体"/>
          <w:sz w:val="24"/>
          <w:szCs w:val="24"/>
          <w:highlight w:val="none"/>
        </w:rPr>
        <w:t>文件有</w:t>
      </w:r>
      <w:r>
        <w:rPr>
          <w:rFonts w:ascii="宋体" w:hAnsi="宋体" w:cs="宋体"/>
          <w:sz w:val="24"/>
          <w:szCs w:val="24"/>
          <w:highlight w:val="none"/>
        </w:rPr>
        <w:t>关</w:t>
      </w:r>
      <w:r>
        <w:rPr>
          <w:rFonts w:hint="eastAsia" w:ascii="宋体" w:hAnsi="宋体" w:cs="宋体"/>
          <w:sz w:val="24"/>
          <w:szCs w:val="24"/>
          <w:highlight w:val="none"/>
        </w:rPr>
        <w:t>事</w:t>
      </w:r>
      <w:r>
        <w:rPr>
          <w:rFonts w:ascii="宋体" w:hAnsi="宋体" w:cs="宋体"/>
          <w:sz w:val="24"/>
          <w:szCs w:val="24"/>
          <w:highlight w:val="none"/>
        </w:rPr>
        <w:t>项</w:t>
      </w:r>
      <w:r>
        <w:rPr>
          <w:rFonts w:hint="eastAsia" w:ascii="宋体" w:hAnsi="宋体" w:cs="宋体"/>
          <w:sz w:val="24"/>
          <w:szCs w:val="24"/>
          <w:highlight w:val="none"/>
        </w:rPr>
        <w:t>作出</w:t>
      </w:r>
      <w:r>
        <w:rPr>
          <w:rFonts w:ascii="宋体" w:hAnsi="宋体" w:cs="宋体"/>
          <w:sz w:val="24"/>
          <w:szCs w:val="24"/>
          <w:highlight w:val="none"/>
        </w:rPr>
        <w:t>解释</w:t>
      </w:r>
      <w:r>
        <w:rPr>
          <w:rFonts w:hint="eastAsia" w:ascii="宋体" w:hAnsi="宋体" w:cs="宋体"/>
          <w:sz w:val="24"/>
          <w:szCs w:val="24"/>
          <w:highlight w:val="none"/>
        </w:rPr>
        <w:t>或澄清；</w:t>
      </w:r>
    </w:p>
    <w:p>
      <w:pPr>
        <w:spacing w:line="360" w:lineRule="auto"/>
        <w:ind w:firstLine="660" w:firstLineChars="275"/>
        <w:jc w:val="left"/>
        <w:rPr>
          <w:rFonts w:ascii="宋体" w:hAnsi="宋体" w:cs="宋体"/>
          <w:sz w:val="24"/>
          <w:szCs w:val="24"/>
          <w:highlight w:val="none"/>
        </w:rPr>
      </w:pPr>
      <w:r>
        <w:rPr>
          <w:rFonts w:hint="eastAsia" w:ascii="宋体" w:hAnsi="宋体" w:cs="宋体"/>
          <w:sz w:val="24"/>
          <w:szCs w:val="24"/>
          <w:highlight w:val="none"/>
        </w:rPr>
        <w:t>2.1.4对投标文件进行比较和评价，确定中标候选人名单，</w:t>
      </w:r>
      <w:r>
        <w:rPr>
          <w:rFonts w:ascii="宋体" w:hAnsi="宋体" w:cs="宋体"/>
          <w:sz w:val="24"/>
          <w:szCs w:val="24"/>
          <w:highlight w:val="none"/>
        </w:rPr>
        <w:t>对评审</w:t>
      </w:r>
      <w:r>
        <w:rPr>
          <w:rFonts w:hint="eastAsia" w:ascii="宋体" w:hAnsi="宋体" w:cs="宋体"/>
          <w:sz w:val="24"/>
          <w:szCs w:val="24"/>
          <w:highlight w:val="none"/>
        </w:rPr>
        <w:t>意</w:t>
      </w:r>
      <w:r>
        <w:rPr>
          <w:rFonts w:ascii="宋体" w:hAnsi="宋体" w:cs="宋体"/>
          <w:sz w:val="24"/>
          <w:szCs w:val="24"/>
          <w:highlight w:val="none"/>
        </w:rPr>
        <w:t>见</w:t>
      </w:r>
      <w:r>
        <w:rPr>
          <w:rFonts w:hint="eastAsia" w:ascii="宋体" w:hAnsi="宋体" w:cs="宋体"/>
          <w:sz w:val="24"/>
          <w:szCs w:val="24"/>
          <w:highlight w:val="none"/>
        </w:rPr>
        <w:t>承</w:t>
      </w:r>
      <w:r>
        <w:rPr>
          <w:rFonts w:ascii="宋体" w:hAnsi="宋体" w:cs="宋体"/>
          <w:sz w:val="24"/>
          <w:szCs w:val="24"/>
          <w:highlight w:val="none"/>
        </w:rPr>
        <w:t>担个</w:t>
      </w:r>
      <w:r>
        <w:rPr>
          <w:rFonts w:hint="eastAsia" w:ascii="宋体" w:hAnsi="宋体" w:cs="宋体"/>
          <w:sz w:val="24"/>
          <w:szCs w:val="24"/>
          <w:highlight w:val="none"/>
        </w:rPr>
        <w:t>人</w:t>
      </w:r>
      <w:r>
        <w:rPr>
          <w:rFonts w:ascii="宋体" w:hAnsi="宋体" w:cs="宋体"/>
          <w:sz w:val="24"/>
          <w:szCs w:val="24"/>
          <w:highlight w:val="none"/>
        </w:rPr>
        <w:t>责</w:t>
      </w:r>
      <w:r>
        <w:rPr>
          <w:rFonts w:hint="eastAsia" w:ascii="宋体" w:hAnsi="宋体" w:cs="宋体"/>
          <w:sz w:val="24"/>
          <w:szCs w:val="24"/>
          <w:highlight w:val="none"/>
        </w:rPr>
        <w:t>任；</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2.1.5</w:t>
      </w:r>
      <w:r>
        <w:rPr>
          <w:rFonts w:ascii="宋体" w:hAnsi="宋体" w:cs="宋体"/>
          <w:sz w:val="24"/>
          <w:szCs w:val="24"/>
          <w:highlight w:val="none"/>
        </w:rPr>
        <w:t>对评标过</w:t>
      </w:r>
      <w:r>
        <w:rPr>
          <w:rFonts w:hint="eastAsia" w:ascii="宋体" w:hAnsi="宋体" w:cs="宋体"/>
          <w:sz w:val="24"/>
          <w:szCs w:val="24"/>
          <w:highlight w:val="none"/>
        </w:rPr>
        <w:t>程和</w:t>
      </w:r>
      <w:r>
        <w:rPr>
          <w:rFonts w:ascii="宋体" w:hAnsi="宋体" w:cs="宋体"/>
          <w:sz w:val="24"/>
          <w:szCs w:val="24"/>
          <w:highlight w:val="none"/>
        </w:rPr>
        <w:t>结</w:t>
      </w:r>
      <w:r>
        <w:rPr>
          <w:rFonts w:hint="eastAsia" w:ascii="宋体" w:hAnsi="宋体" w:cs="宋体"/>
          <w:sz w:val="24"/>
          <w:szCs w:val="24"/>
          <w:highlight w:val="none"/>
        </w:rPr>
        <w:t>果以及</w:t>
      </w:r>
      <w:r>
        <w:rPr>
          <w:rFonts w:hint="eastAsia" w:ascii="宋体" w:hAnsi="宋体" w:cs="宋体"/>
          <w:sz w:val="24"/>
          <w:szCs w:val="24"/>
          <w:highlight w:val="none"/>
          <w:lang w:eastAsia="zh-CN"/>
        </w:rPr>
        <w:t>供应商</w:t>
      </w:r>
      <w:r>
        <w:rPr>
          <w:rFonts w:hint="eastAsia" w:ascii="宋体" w:hAnsi="宋体" w:cs="宋体"/>
          <w:sz w:val="24"/>
          <w:szCs w:val="24"/>
          <w:highlight w:val="none"/>
        </w:rPr>
        <w:t>的商</w:t>
      </w:r>
      <w:r>
        <w:rPr>
          <w:rFonts w:ascii="宋体" w:hAnsi="宋体" w:cs="宋体"/>
          <w:sz w:val="24"/>
          <w:szCs w:val="24"/>
          <w:highlight w:val="none"/>
        </w:rPr>
        <w:t>业</w:t>
      </w:r>
      <w:r>
        <w:rPr>
          <w:rFonts w:hint="eastAsia" w:ascii="宋体" w:hAnsi="宋体" w:cs="宋体"/>
          <w:sz w:val="24"/>
          <w:szCs w:val="24"/>
          <w:highlight w:val="none"/>
        </w:rPr>
        <w:t>秘密保密；</w:t>
      </w:r>
    </w:p>
    <w:p>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2.1.6</w:t>
      </w:r>
      <w:r>
        <w:rPr>
          <w:rFonts w:ascii="宋体" w:hAnsi="宋体" w:cs="宋体"/>
          <w:sz w:val="24"/>
          <w:szCs w:val="24"/>
          <w:highlight w:val="none"/>
        </w:rPr>
        <w:t>参</w:t>
      </w:r>
      <w:r>
        <w:rPr>
          <w:rFonts w:hint="eastAsia" w:ascii="宋体" w:hAnsi="宋体" w:cs="宋体"/>
          <w:sz w:val="24"/>
          <w:szCs w:val="24"/>
          <w:highlight w:val="none"/>
        </w:rPr>
        <w:t>与</w:t>
      </w:r>
      <w:r>
        <w:rPr>
          <w:rFonts w:ascii="宋体" w:hAnsi="宋体" w:cs="宋体"/>
          <w:sz w:val="24"/>
          <w:szCs w:val="24"/>
          <w:highlight w:val="none"/>
        </w:rPr>
        <w:t>评标结</w:t>
      </w:r>
      <w:r>
        <w:rPr>
          <w:rFonts w:hint="eastAsia" w:ascii="宋体" w:hAnsi="宋体" w:cs="宋体"/>
          <w:sz w:val="24"/>
          <w:szCs w:val="24"/>
          <w:highlight w:val="none"/>
        </w:rPr>
        <w:t>果</w:t>
      </w:r>
      <w:r>
        <w:rPr>
          <w:rFonts w:ascii="宋体" w:hAnsi="宋体" w:cs="宋体"/>
          <w:sz w:val="24"/>
          <w:szCs w:val="24"/>
          <w:highlight w:val="none"/>
        </w:rPr>
        <w:t>报</w:t>
      </w:r>
      <w:r>
        <w:rPr>
          <w:rFonts w:hint="eastAsia" w:ascii="宋体" w:hAnsi="宋体" w:cs="宋体"/>
          <w:sz w:val="24"/>
          <w:szCs w:val="24"/>
          <w:highlight w:val="none"/>
        </w:rPr>
        <w:t>告的起草；</w:t>
      </w:r>
    </w:p>
    <w:p>
      <w:pPr>
        <w:spacing w:line="360" w:lineRule="auto"/>
        <w:ind w:firstLine="720" w:firstLineChars="300"/>
        <w:jc w:val="left"/>
        <w:rPr>
          <w:rFonts w:eastAsia="宋体"/>
          <w:highlight w:val="none"/>
        </w:rPr>
      </w:pPr>
      <w:r>
        <w:rPr>
          <w:rFonts w:hint="eastAsia" w:ascii="宋体" w:hAnsi="宋体" w:cs="宋体"/>
          <w:sz w:val="24"/>
          <w:szCs w:val="24"/>
          <w:highlight w:val="none"/>
        </w:rPr>
        <w:t>2.1.7配合采</w:t>
      </w:r>
      <w:r>
        <w:rPr>
          <w:rFonts w:ascii="宋体" w:hAnsi="宋体" w:cs="宋体"/>
          <w:sz w:val="24"/>
          <w:szCs w:val="24"/>
          <w:highlight w:val="none"/>
        </w:rPr>
        <w:t>购</w:t>
      </w:r>
      <w:r>
        <w:rPr>
          <w:rFonts w:hint="eastAsia" w:ascii="宋体" w:hAnsi="宋体" w:cs="宋体"/>
          <w:sz w:val="24"/>
          <w:szCs w:val="24"/>
          <w:highlight w:val="none"/>
        </w:rPr>
        <w:t>人、代理机构答复</w:t>
      </w:r>
      <w:r>
        <w:rPr>
          <w:rFonts w:hint="eastAsia" w:ascii="宋体" w:hAnsi="宋体" w:cs="宋体"/>
          <w:sz w:val="24"/>
          <w:szCs w:val="24"/>
          <w:highlight w:val="none"/>
          <w:lang w:eastAsia="zh-CN"/>
        </w:rPr>
        <w:t>供应商</w:t>
      </w:r>
      <w:r>
        <w:rPr>
          <w:rFonts w:hint="eastAsia" w:ascii="宋体" w:hAnsi="宋体" w:cs="宋体"/>
          <w:sz w:val="24"/>
          <w:szCs w:val="24"/>
          <w:highlight w:val="none"/>
        </w:rPr>
        <w:t>提出的</w:t>
      </w:r>
      <w:r>
        <w:rPr>
          <w:rFonts w:ascii="宋体" w:hAnsi="宋体" w:cs="宋体"/>
          <w:sz w:val="24"/>
          <w:szCs w:val="24"/>
          <w:highlight w:val="none"/>
        </w:rPr>
        <w:t>质</w:t>
      </w:r>
      <w:r>
        <w:rPr>
          <w:rFonts w:hint="eastAsia" w:ascii="宋体" w:hAnsi="宋体" w:cs="宋体"/>
          <w:sz w:val="24"/>
          <w:szCs w:val="24"/>
          <w:highlight w:val="none"/>
        </w:rPr>
        <w:t>疑，配合</w:t>
      </w:r>
      <w:r>
        <w:rPr>
          <w:rFonts w:ascii="宋体" w:hAnsi="宋体" w:cs="宋体"/>
          <w:sz w:val="24"/>
          <w:szCs w:val="24"/>
          <w:highlight w:val="none"/>
        </w:rPr>
        <w:t>财</w:t>
      </w:r>
      <w:r>
        <w:rPr>
          <w:rFonts w:hint="eastAsia" w:ascii="宋体" w:hAnsi="宋体" w:cs="宋体"/>
          <w:sz w:val="24"/>
          <w:szCs w:val="24"/>
          <w:highlight w:val="none"/>
        </w:rPr>
        <w:t>政</w:t>
      </w:r>
      <w:r>
        <w:rPr>
          <w:rFonts w:ascii="宋体" w:hAnsi="宋体" w:cs="宋体"/>
          <w:sz w:val="24"/>
          <w:szCs w:val="24"/>
          <w:highlight w:val="none"/>
        </w:rPr>
        <w:t>部门处</w:t>
      </w:r>
      <w:r>
        <w:rPr>
          <w:rFonts w:hint="eastAsia" w:ascii="宋体" w:hAnsi="宋体" w:cs="宋体"/>
          <w:sz w:val="24"/>
          <w:szCs w:val="24"/>
          <w:highlight w:val="none"/>
        </w:rPr>
        <w:t>理投</w:t>
      </w:r>
      <w:r>
        <w:rPr>
          <w:rFonts w:ascii="宋体" w:hAnsi="宋体" w:cs="宋体"/>
          <w:sz w:val="24"/>
          <w:szCs w:val="24"/>
          <w:highlight w:val="none"/>
        </w:rPr>
        <w:t>诉</w:t>
      </w:r>
      <w:r>
        <w:rPr>
          <w:rFonts w:hint="eastAsia" w:ascii="宋体" w:hAnsi="宋体" w:cs="宋体"/>
          <w:sz w:val="24"/>
          <w:szCs w:val="24"/>
          <w:highlight w:val="none"/>
        </w:rPr>
        <w:t>工作；</w:t>
      </w:r>
    </w:p>
    <w:p>
      <w:pP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宋体" w:hAnsi="宋体" w:cs="宋体"/>
          <w:sz w:val="24"/>
          <w:szCs w:val="24"/>
          <w:highlight w:val="none"/>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投标文件初审</w:t>
      </w:r>
      <w:bookmarkEnd w:id="90"/>
      <w:bookmarkEnd w:id="91"/>
      <w:bookmarkEnd w:id="92"/>
      <w:bookmarkEnd w:id="93"/>
    </w:p>
    <w:p>
      <w:pPr>
        <w:ind w:firstLine="480" w:firstLineChars="200"/>
        <w:rPr>
          <w:highlight w:val="none"/>
        </w:rPr>
      </w:pPr>
      <w:r>
        <w:rPr>
          <w:rFonts w:hint="eastAsia" w:asciiTheme="minorEastAsia" w:hAnsiTheme="minorEastAsia" w:eastAsiaTheme="minorEastAsia" w:cstheme="minorEastAsia"/>
          <w:kern w:val="0"/>
          <w:sz w:val="24"/>
          <w:szCs w:val="24"/>
          <w:highlight w:val="none"/>
        </w:rPr>
        <w:t>经过对供应商及投标文件审查，出现下列情况者（但不限于），按无效投标处理：</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 投标文件的资格性审查</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依据法律法规和招标文件的规定，对投标文件中的资格证明文件、投标保证金等进行审查，以确保供应商是否具备相应资格。</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 投标文件符合性审查</w:t>
      </w:r>
    </w:p>
    <w:p>
      <w:pPr>
        <w:overflowPunct w:val="0"/>
        <w:adjustRightInd w:val="0"/>
        <w:snapToGrid w:val="0"/>
        <w:spacing w:line="500" w:lineRule="exact"/>
        <w:ind w:firstLine="480" w:firstLineChars="200"/>
        <w:rPr>
          <w:rFonts w:hint="eastAsia"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依据法律法规和招标文件的规定，由评标委员会对符合资格要求的</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的投标文件有效性、完整性和对招标文件的响应程度进行符合性审查，以确定是否对招标文件的实质性内容作出响应，下列情况有一项不满足者（但不限于）不得进入下一轮评审：</w:t>
      </w:r>
    </w:p>
    <w:tbl>
      <w:tblPr>
        <w:tblStyle w:val="26"/>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符合性</w:t>
            </w:r>
          </w:p>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审查</w:t>
            </w: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1</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2</w:t>
            </w:r>
          </w:p>
        </w:tc>
        <w:tc>
          <w:tcPr>
            <w:tcW w:w="6924" w:type="dxa"/>
            <w:vAlign w:val="top"/>
          </w:tcPr>
          <w:p>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文件签字、盖章、装订是否满足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3</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交货期是否满足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4</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质保期是否满足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5</w:t>
            </w:r>
          </w:p>
        </w:tc>
        <w:tc>
          <w:tcPr>
            <w:tcW w:w="6924" w:type="dxa"/>
            <w:vAlign w:val="top"/>
          </w:tcPr>
          <w:p>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有效期是否满足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bl>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 经过对</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及投标文件审查，出现下列情况者（但不限于），按无效投标处理：</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供应商未经过正常渠道购买招标文件，或供应商名称与购买招标文件时登记的供应商名称不符的；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供应商针对同一项目递交两份或多份内容不同的投标文件，未书面声明哪一份是有效的或出现选择性报价的；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供应商未按招标文件要求提供产品的技术参数及产品供货渠道不明确的；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投标报价出现漏项或货物数量与要求不符的；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投标货物的技术参数、性能指标与招标文件要求出现重大负偏差的；或者提供虚假证明（包括第三方的虚假证明），除按无效文件处理外，还将按照政府采购法的有关规定进行处罚；</w:t>
      </w:r>
    </w:p>
    <w:p>
      <w:pPr>
        <w:numPr>
          <w:ilvl w:val="0"/>
          <w:numId w:val="17"/>
        </w:numPr>
        <w:spacing w:line="500" w:lineRule="exact"/>
        <w:rPr>
          <w:rFonts w:ascii="宋体" w:hAnsi="宋体" w:cs="宋体"/>
          <w:b/>
          <w:bCs/>
          <w:sz w:val="24"/>
          <w:szCs w:val="24"/>
          <w:highlight w:val="none"/>
        </w:rPr>
      </w:pPr>
      <w:r>
        <w:rPr>
          <w:rFonts w:hint="eastAsia" w:ascii="宋体" w:hAnsi="宋体" w:cs="宋体"/>
          <w:b/>
          <w:bCs/>
          <w:sz w:val="24"/>
          <w:szCs w:val="24"/>
          <w:highlight w:val="none"/>
        </w:rPr>
        <w:t>投标文件在商务响应方面（详见招标文件第五部分商务条款与采购要求）与招标文件要求不一致或附加了采购单位难以接受的条件或条款的；</w:t>
      </w:r>
    </w:p>
    <w:p>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如澄清、补正、说明的内容与投标文件内容有重大相悖或矛盾，将被认定为无效投标。</w:t>
      </w:r>
    </w:p>
    <w:p>
      <w:pPr>
        <w:overflowPunct w:val="0"/>
        <w:adjustRightInd w:val="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招标文件规定的其他投标无效的情形。</w:t>
      </w:r>
    </w:p>
    <w:p>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4" w:name="_Toc17705"/>
      <w:r>
        <w:rPr>
          <w:rFonts w:hint="eastAsia" w:asciiTheme="minorEastAsia" w:hAnsiTheme="minorEastAsia" w:eastAsiaTheme="minorEastAsia" w:cstheme="minorEastAsia"/>
          <w:sz w:val="24"/>
          <w:szCs w:val="24"/>
          <w:highlight w:val="none"/>
        </w:rPr>
        <w:t>投标文件澄清</w:t>
      </w:r>
      <w:bookmarkEnd w:id="94"/>
    </w:p>
    <w:p>
      <w:pPr>
        <w:overflowPunct w:val="0"/>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在评标期间,采购代理机构可根据评标委员会对其投标文件有疑义不清楚的内容，要求供应商对其投标文件进行澄清。</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5" w:name="_Toc8353"/>
      <w:r>
        <w:rPr>
          <w:rFonts w:hint="eastAsia" w:asciiTheme="minorEastAsia" w:hAnsiTheme="minorEastAsia" w:eastAsiaTheme="minorEastAsia" w:cstheme="minorEastAsia"/>
          <w:sz w:val="24"/>
          <w:szCs w:val="24"/>
          <w:highlight w:val="none"/>
        </w:rPr>
        <w:t>评标</w:t>
      </w:r>
      <w:bookmarkEnd w:id="95"/>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采用综合评分法：采取逐项分步评审方式，每一步评审不符合者，不进入下一步评审，全部评审合格的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由评标委员会按照公开招标文件中第四部分评分标准规定的各项因素进行比较、自主打分、综合评审。评标委员会将评审得分汇总后，按评标总得分由高到低汇总排序，推荐3名中标候选人；若有两个或两个以上</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得分相同，</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（一）分值汇总计算错误的；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（二）分项评分超出评分标准范围的；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（四）经评标委员会认定评分畸高、畸低的。</w:t>
      </w:r>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6" w:name="_Toc12947"/>
      <w:r>
        <w:rPr>
          <w:rFonts w:hint="eastAsia" w:asciiTheme="minorEastAsia" w:hAnsiTheme="minorEastAsia" w:eastAsiaTheme="minorEastAsia" w:cstheme="minorEastAsia"/>
          <w:sz w:val="24"/>
          <w:szCs w:val="24"/>
          <w:highlight w:val="none"/>
        </w:rPr>
        <w:t>定标</w:t>
      </w:r>
      <w:bookmarkEnd w:id="96"/>
    </w:p>
    <w:p>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6.2代理机构收到采购单位“定标复函”后2个工作日内，在财政部门指定的政府采购信息媒体上发布公告，并向中标供应商发出“中标通知书”。</w:t>
      </w:r>
    </w:p>
    <w:p>
      <w:pPr>
        <w:pStyle w:val="5"/>
        <w:numPr>
          <w:ilvl w:val="0"/>
          <w:numId w:val="15"/>
        </w:numPr>
        <w:spacing w:before="0" w:after="0" w:line="500" w:lineRule="exact"/>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信用担保</w:t>
      </w:r>
    </w:p>
    <w:p>
      <w:pPr>
        <w:pStyle w:val="11"/>
        <w:spacing w:line="360" w:lineRule="auto"/>
        <w:ind w:firstLine="480" w:firstLineChars="200"/>
        <w:rPr>
          <w:highlight w:val="none"/>
        </w:rPr>
      </w:pPr>
      <w:r>
        <w:rPr>
          <w:rFonts w:hint="eastAsia" w:asciiTheme="minorEastAsia" w:hAnsiTheme="minorEastAsia" w:eastAsiaTheme="minorEastAsia" w:cstheme="minorEastAsia"/>
          <w:kern w:val="2"/>
          <w:sz w:val="24"/>
          <w:szCs w:val="24"/>
          <w:highlight w:val="none"/>
          <w:lang w:val="en-US" w:eastAsia="zh-CN" w:bidi="ar-SA"/>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11"/>
        <w:rPr>
          <w:highlight w:val="none"/>
        </w:rPr>
      </w:pP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97" w:name="_Toc13042"/>
      <w:bookmarkStart w:id="98" w:name="_Toc10158"/>
      <w:bookmarkStart w:id="99" w:name="_Toc756"/>
      <w:bookmarkStart w:id="100" w:name="_Toc19972"/>
      <w:bookmarkStart w:id="101" w:name="_Toc23812"/>
      <w:bookmarkStart w:id="102" w:name="_Toc25308"/>
      <w:bookmarkStart w:id="103" w:name="_Toc18002"/>
      <w:r>
        <w:rPr>
          <w:rFonts w:hint="eastAsia" w:asciiTheme="minorEastAsia" w:hAnsiTheme="minorEastAsia" w:eastAsiaTheme="minorEastAsia" w:cstheme="minorEastAsia"/>
          <w:b/>
          <w:bCs/>
          <w:kern w:val="0"/>
          <w:sz w:val="32"/>
          <w:szCs w:val="32"/>
          <w:highlight w:val="none"/>
        </w:rPr>
        <w:t>签订合同</w:t>
      </w:r>
      <w:bookmarkEnd w:id="97"/>
      <w:bookmarkEnd w:id="98"/>
      <w:bookmarkEnd w:id="99"/>
      <w:bookmarkEnd w:id="100"/>
      <w:bookmarkEnd w:id="101"/>
      <w:bookmarkEnd w:id="102"/>
      <w:bookmarkEnd w:id="103"/>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1、中标供应商需在中标通知书发出之日起30个日历日内，与采购人洽谈合同条款，并签订供货合同，同时送代理机构归档。</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2、所签订的合同不得对招标文件和中标单位投标文件作实质性修改。</w:t>
      </w:r>
    </w:p>
    <w:p>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3、招标文件、中标供应商的投标文件及澄清文件等，均作为合同的附件，是签订合同的依据。</w:t>
      </w:r>
    </w:p>
    <w:p>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104" w:name="_Toc26132"/>
      <w:bookmarkStart w:id="105" w:name="_Toc28110"/>
      <w:bookmarkStart w:id="106" w:name="_Toc9879"/>
      <w:bookmarkStart w:id="107" w:name="_Toc2560"/>
      <w:bookmarkStart w:id="108" w:name="_Toc23592"/>
      <w:bookmarkStart w:id="109" w:name="_Toc7380"/>
      <w:bookmarkStart w:id="110" w:name="_Toc22801"/>
      <w:r>
        <w:rPr>
          <w:rFonts w:hint="eastAsia" w:asciiTheme="minorEastAsia" w:hAnsiTheme="minorEastAsia" w:eastAsiaTheme="minorEastAsia" w:cstheme="minorEastAsia"/>
          <w:b/>
          <w:bCs/>
          <w:kern w:val="0"/>
          <w:sz w:val="32"/>
          <w:szCs w:val="32"/>
          <w:highlight w:val="none"/>
        </w:rPr>
        <w:t>代理服务费</w:t>
      </w:r>
      <w:bookmarkEnd w:id="104"/>
      <w:bookmarkEnd w:id="105"/>
      <w:bookmarkEnd w:id="106"/>
      <w:bookmarkEnd w:id="107"/>
      <w:bookmarkEnd w:id="108"/>
      <w:bookmarkEnd w:id="109"/>
      <w:bookmarkEnd w:id="110"/>
    </w:p>
    <w:p>
      <w:pPr>
        <w:spacing w:line="560" w:lineRule="exact"/>
        <w:ind w:firstLine="480" w:firstLineChars="200"/>
        <w:jc w:val="left"/>
        <w:rPr>
          <w:rFonts w:ascii="宋体" w:hAnsi="宋体" w:cs="宋体"/>
          <w:sz w:val="24"/>
          <w:szCs w:val="24"/>
          <w:highlight w:val="none"/>
        </w:rPr>
      </w:pPr>
      <w:bookmarkStart w:id="111" w:name="_Toc21950"/>
      <w:bookmarkStart w:id="112" w:name="_Toc32056"/>
      <w:bookmarkStart w:id="113" w:name="_Toc7191"/>
      <w:bookmarkStart w:id="114" w:name="_Toc16019"/>
      <w:r>
        <w:rPr>
          <w:rFonts w:hint="eastAsia" w:ascii="宋体" w:hAnsi="宋体" w:cs="宋体"/>
          <w:sz w:val="24"/>
          <w:szCs w:val="24"/>
          <w:highlight w:val="none"/>
          <w:lang w:val="en-US" w:eastAsia="zh-CN"/>
        </w:rPr>
        <w:t>1、</w:t>
      </w:r>
      <w:r>
        <w:rPr>
          <w:rFonts w:hint="eastAsia" w:ascii="宋体" w:hAnsi="宋体" w:cs="宋体"/>
          <w:sz w:val="24"/>
          <w:szCs w:val="24"/>
          <w:highlight w:val="none"/>
        </w:rPr>
        <w:t>参照（计价格[2002]1980号）文件规定收费标准</w:t>
      </w:r>
      <w:r>
        <w:rPr>
          <w:rFonts w:hint="eastAsia" w:ascii="宋体" w:hAnsi="宋体" w:cs="宋体"/>
          <w:sz w:val="24"/>
          <w:szCs w:val="24"/>
          <w:highlight w:val="none"/>
          <w:lang w:eastAsia="zh-CN"/>
        </w:rPr>
        <w:t>下浮</w:t>
      </w:r>
      <w:r>
        <w:rPr>
          <w:rFonts w:hint="eastAsia" w:ascii="宋体" w:hAnsi="宋体" w:cs="宋体"/>
          <w:sz w:val="24"/>
          <w:szCs w:val="24"/>
          <w:highlight w:val="none"/>
          <w:lang w:val="en-US" w:eastAsia="zh-CN"/>
        </w:rPr>
        <w:t>45%</w:t>
      </w:r>
      <w:r>
        <w:rPr>
          <w:rFonts w:hint="eastAsia" w:ascii="宋体" w:hAnsi="宋体" w:cs="宋体"/>
          <w:sz w:val="24"/>
          <w:szCs w:val="24"/>
          <w:highlight w:val="none"/>
        </w:rPr>
        <w:t xml:space="preserve">收费，由中标人在领取中标通知书时向代理机构缴纳代理服务费。 </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供应商将招标代理服务费计入</w:t>
      </w:r>
      <w:r>
        <w:rPr>
          <w:rFonts w:hint="eastAsia" w:ascii="宋体" w:hAnsi="宋体" w:cs="宋体"/>
          <w:sz w:val="24"/>
          <w:szCs w:val="24"/>
          <w:highlight w:val="none"/>
          <w:lang w:eastAsia="zh-CN"/>
        </w:rPr>
        <w:t>投标</w:t>
      </w:r>
      <w:r>
        <w:rPr>
          <w:rFonts w:hint="eastAsia" w:ascii="宋体" w:hAnsi="宋体" w:cs="宋体"/>
          <w:sz w:val="24"/>
          <w:szCs w:val="24"/>
          <w:highlight w:val="none"/>
        </w:rPr>
        <w:t>报价但不单独列明，成交单位在领取成交通知书前，须向采购代理机构一次性支付招标代理服务费；代理服务费以转账、电汇或现金等形式交纳。</w:t>
      </w:r>
    </w:p>
    <w:bookmarkEnd w:id="111"/>
    <w:bookmarkEnd w:id="112"/>
    <w:bookmarkEnd w:id="113"/>
    <w:bookmarkEnd w:id="114"/>
    <w:p>
      <w:pPr>
        <w:pStyle w:val="11"/>
        <w:numPr>
          <w:ilvl w:val="0"/>
          <w:numId w:val="18"/>
        </w:numPr>
        <w:jc w:val="center"/>
        <w:outlineLvl w:val="1"/>
        <w:rPr>
          <w:rFonts w:ascii="宋体" w:hAnsi="宋体" w:cs="宋体"/>
          <w:b/>
          <w:bCs/>
          <w:sz w:val="32"/>
          <w:szCs w:val="32"/>
          <w:highlight w:val="none"/>
        </w:rPr>
      </w:pPr>
      <w:bookmarkStart w:id="115" w:name="_Toc20242"/>
      <w:bookmarkStart w:id="116" w:name="_Toc1322"/>
      <w:bookmarkStart w:id="117" w:name="_Toc11658"/>
      <w:bookmarkStart w:id="118" w:name="_Toc13453"/>
      <w:bookmarkStart w:id="119" w:name="_Toc2192"/>
      <w:bookmarkStart w:id="120" w:name="_Toc2080"/>
      <w:bookmarkStart w:id="121" w:name="_Toc3298"/>
      <w:bookmarkStart w:id="122" w:name="_Toc1429"/>
      <w:bookmarkStart w:id="123" w:name="_Toc6082"/>
      <w:r>
        <w:rPr>
          <w:rFonts w:hint="eastAsia" w:ascii="宋体" w:hAnsi="宋体" w:cs="宋体"/>
          <w:b/>
          <w:bCs/>
          <w:sz w:val="32"/>
          <w:szCs w:val="32"/>
          <w:highlight w:val="none"/>
        </w:rPr>
        <w:t>履约验收</w:t>
      </w:r>
      <w:bookmarkEnd w:id="115"/>
      <w:bookmarkEnd w:id="116"/>
      <w:bookmarkEnd w:id="117"/>
      <w:bookmarkEnd w:id="118"/>
    </w:p>
    <w:p>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pPr>
        <w:pStyle w:val="11"/>
        <w:numPr>
          <w:ilvl w:val="0"/>
          <w:numId w:val="18"/>
        </w:numPr>
        <w:jc w:val="center"/>
        <w:outlineLvl w:val="1"/>
        <w:rPr>
          <w:rFonts w:ascii="宋体" w:hAnsi="宋体" w:cs="宋体"/>
          <w:b/>
          <w:bCs/>
          <w:sz w:val="32"/>
          <w:szCs w:val="32"/>
          <w:highlight w:val="none"/>
        </w:rPr>
      </w:pPr>
      <w:bookmarkStart w:id="124" w:name="_Toc29943"/>
      <w:bookmarkStart w:id="125" w:name="_Toc597"/>
      <w:bookmarkStart w:id="126" w:name="_Toc12124"/>
      <w:bookmarkStart w:id="127" w:name="_Toc30929"/>
      <w:bookmarkStart w:id="128" w:name="_Toc32224"/>
      <w:r>
        <w:rPr>
          <w:rFonts w:hint="eastAsia" w:ascii="宋体" w:hAnsi="宋体" w:cs="宋体"/>
          <w:b/>
          <w:bCs/>
          <w:sz w:val="32"/>
          <w:szCs w:val="32"/>
          <w:highlight w:val="none"/>
        </w:rPr>
        <w:t>质疑和投诉</w:t>
      </w:r>
      <w:bookmarkEnd w:id="124"/>
      <w:bookmarkEnd w:id="125"/>
      <w:bookmarkEnd w:id="126"/>
      <w:bookmarkEnd w:id="127"/>
      <w:bookmarkEnd w:id="128"/>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highlight w:val="none"/>
          <w:shd w:val="clear" w:color="auto" w:fill="FFFFFF"/>
        </w:rPr>
        <w:t>应该在法定质疑期内一次性提出针对同一采购程序环节的质疑，</w:t>
      </w:r>
      <w:r>
        <w:rPr>
          <w:rFonts w:hint="eastAsia" w:ascii="宋体" w:hAnsi="宋体" w:cs="宋体"/>
          <w:sz w:val="24"/>
          <w:szCs w:val="24"/>
          <w:highlight w:val="none"/>
        </w:rPr>
        <w:t>逾期质疑无效。</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9.2 质疑文件应当包括下列主要内容：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1）质疑供应商和相关供应商的名称、地址、联系人及联系电话等；</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2）质疑项目及编号、质疑事项；</w:t>
      </w:r>
    </w:p>
    <w:p>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4）提出质疑的日期。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 质疑函应当署名。质疑供应商为自然人的，应当由本人签字；质疑供应商为法人或者其他组织的，应当由法定代表人或者主要负责人签字盖章并加盖公章。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 供应商质疑应当有明确的请求和必要的证明材料。</w:t>
      </w:r>
      <w:r>
        <w:rPr>
          <w:rFonts w:hint="eastAsia" w:ascii="宋体" w:hAnsi="宋体" w:cs="宋体"/>
          <w:color w:val="000000" w:themeColor="text1"/>
          <w:sz w:val="24"/>
          <w:szCs w:val="24"/>
          <w:highlight w:val="none"/>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highlight w:val="none"/>
        </w:rPr>
        <w:t>其作出解释说明。对捏造事实、滥用维权扰乱采购秩序的恶意质疑者，将依法处理。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9.7 质疑受理部门：陕西万泽招标有限公司。</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9.8 提交质疑文件地点：西安市西关正街英达大厦1507室。</w:t>
      </w:r>
    </w:p>
    <w:p>
      <w:pPr>
        <w:tabs>
          <w:tab w:val="left" w:pos="0"/>
          <w:tab w:val="left" w:pos="600"/>
          <w:tab w:val="left" w:pos="4700"/>
        </w:tabs>
        <w:autoSpaceDE w:val="0"/>
        <w:autoSpaceDN w:val="0"/>
        <w:spacing w:line="360" w:lineRule="auto"/>
        <w:ind w:firstLine="480" w:firstLineChars="200"/>
        <w:textAlignment w:val="bottom"/>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9.9 本次采购活动中，采购代理机构对质疑回复等文件的送达方式为现场取件。</w:t>
      </w:r>
    </w:p>
    <w:p>
      <w:pPr>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9.10 质疑函应当使用中文。质疑函范本详见财政部制定的范本即招标文件附件六。</w:t>
      </w:r>
    </w:p>
    <w:p>
      <w:pPr>
        <w:spacing w:line="560" w:lineRule="exact"/>
        <w:ind w:firstLine="723" w:firstLineChars="200"/>
        <w:jc w:val="center"/>
        <w:rPr>
          <w:rFonts w:asciiTheme="minorEastAsia" w:hAnsiTheme="minorEastAsia" w:eastAsiaTheme="minorEastAsia" w:cstheme="minorEastAsia"/>
          <w:b/>
          <w:bCs/>
          <w:sz w:val="36"/>
          <w:szCs w:val="36"/>
          <w:highlight w:val="none"/>
        </w:rPr>
        <w:sectPr>
          <w:headerReference r:id="rId10" w:type="default"/>
          <w:footerReference r:id="rId11" w:type="default"/>
          <w:pgSz w:w="11906" w:h="16838"/>
          <w:pgMar w:top="1440" w:right="1803" w:bottom="1440" w:left="1803" w:header="851" w:footer="992" w:gutter="0"/>
          <w:pgNumType w:fmt="decimal"/>
          <w:cols w:space="720" w:num="1"/>
          <w:docGrid w:type="lines" w:linePitch="319" w:charSpace="0"/>
        </w:sectPr>
      </w:pPr>
    </w:p>
    <w:p>
      <w:pPr>
        <w:pStyle w:val="3"/>
        <w:numPr>
          <w:ilvl w:val="0"/>
          <w:numId w:val="19"/>
        </w:numPr>
        <w:spacing w:beforeLines="100" w:afterLines="100" w:line="500" w:lineRule="exact"/>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lang w:val="en-US" w:eastAsia="zh-CN"/>
        </w:rPr>
        <w:t xml:space="preserve">  </w:t>
      </w:r>
      <w:bookmarkStart w:id="129" w:name="_Toc2503"/>
      <w:r>
        <w:rPr>
          <w:rFonts w:hint="eastAsia" w:asciiTheme="minorEastAsia" w:hAnsiTheme="minorEastAsia" w:eastAsiaTheme="minorEastAsia" w:cstheme="minorEastAsia"/>
          <w:sz w:val="36"/>
          <w:szCs w:val="36"/>
          <w:highlight w:val="none"/>
        </w:rPr>
        <w:t>评分标准</w:t>
      </w:r>
      <w:bookmarkEnd w:id="119"/>
      <w:bookmarkEnd w:id="120"/>
      <w:bookmarkEnd w:id="121"/>
      <w:bookmarkEnd w:id="122"/>
      <w:bookmarkEnd w:id="123"/>
      <w:bookmarkEnd w:id="129"/>
    </w:p>
    <w:p>
      <w:pPr>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本次评标采用综合评分法，综合评分的主要因素为价格、技术、业绩、服务等以及对</w:t>
      </w:r>
      <w:r>
        <w:rPr>
          <w:rFonts w:hint="eastAsia" w:asciiTheme="minorEastAsia" w:hAnsiTheme="minorEastAsia" w:cstheme="minorEastAsia"/>
          <w:sz w:val="24"/>
          <w:szCs w:val="24"/>
          <w:highlight w:val="none"/>
          <w:lang w:eastAsia="zh-CN"/>
        </w:rPr>
        <w:t>招标文件</w:t>
      </w:r>
      <w:r>
        <w:rPr>
          <w:rFonts w:hint="eastAsia" w:asciiTheme="minorEastAsia" w:hAnsiTheme="minorEastAsia" w:cstheme="minorEastAsia"/>
          <w:sz w:val="24"/>
          <w:szCs w:val="24"/>
          <w:highlight w:val="none"/>
        </w:rPr>
        <w:t>的响应程度。每一供应商的最终得分为所有评委评分的算数平均值。</w:t>
      </w:r>
    </w:p>
    <w:p>
      <w:pPr>
        <w:spacing w:line="360" w:lineRule="auto"/>
        <w:outlineLvl w:val="9"/>
        <w:rPr>
          <w:rFonts w:hint="eastAsia" w:ascii="宋体" w:hAnsi="宋体" w:cs="宋体"/>
          <w:b/>
          <w:bCs/>
          <w:color w:val="000000"/>
          <w:sz w:val="24"/>
          <w:highlight w:val="none"/>
        </w:rPr>
      </w:pPr>
      <w:bookmarkStart w:id="130" w:name="_Toc262"/>
      <w:bookmarkStart w:id="131" w:name="_Toc3209"/>
      <w:bookmarkStart w:id="132" w:name="_Toc25445"/>
      <w:bookmarkStart w:id="133" w:name="_Toc17369"/>
      <w:bookmarkStart w:id="134" w:name="_Toc21716"/>
      <w:bookmarkStart w:id="135" w:name="_Toc6835"/>
      <w:bookmarkStart w:id="136" w:name="_Toc15647"/>
      <w:bookmarkStart w:id="137" w:name="_Toc7227"/>
      <w:bookmarkStart w:id="138" w:name="_Toc12650"/>
      <w:bookmarkStart w:id="139" w:name="_Toc4467"/>
      <w:bookmarkStart w:id="140" w:name="_Toc1330"/>
    </w:p>
    <w:tbl>
      <w:tblPr>
        <w:tblStyle w:val="2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评审项</w:t>
            </w:r>
          </w:p>
        </w:tc>
        <w:tc>
          <w:tcPr>
            <w:tcW w:w="854" w:type="dxa"/>
            <w:noWrap/>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分值100分</w:t>
            </w:r>
          </w:p>
        </w:tc>
        <w:tc>
          <w:tcPr>
            <w:tcW w:w="7776" w:type="dxa"/>
            <w:noWrap/>
            <w:vAlign w:val="center"/>
          </w:tcPr>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30分</w:t>
            </w:r>
          </w:p>
        </w:tc>
        <w:tc>
          <w:tcPr>
            <w:tcW w:w="7776"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经初审合格的供应商，其投标报价为有效报价。</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评标基准价：即满足采购文件要求且报价最低的为评标基准价。</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其他供应商的价格分统一按照下列公式计算。</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技术指标、功能及配置</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42</w:t>
            </w:r>
            <w:r>
              <w:rPr>
                <w:rFonts w:hint="eastAsia" w:ascii="宋体" w:hAnsi="宋体" w:eastAsia="宋体" w:cs="宋体"/>
                <w:color w:val="000000"/>
                <w:sz w:val="24"/>
                <w:szCs w:val="24"/>
                <w:highlight w:val="none"/>
              </w:rPr>
              <w:t>分</w:t>
            </w:r>
          </w:p>
        </w:tc>
        <w:tc>
          <w:tcPr>
            <w:tcW w:w="7776"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投标产品的技术参数、配置和功能需求（</w:t>
            </w:r>
            <w:r>
              <w:rPr>
                <w:rFonts w:hint="eastAsia" w:ascii="宋体" w:hAnsi="宋体" w:cs="宋体"/>
                <w:color w:val="000000"/>
                <w:sz w:val="24"/>
                <w:szCs w:val="24"/>
                <w:highlight w:val="none"/>
                <w:lang w:val="en-US" w:eastAsia="zh-CN"/>
              </w:rPr>
              <w:t>42</w:t>
            </w:r>
            <w:r>
              <w:rPr>
                <w:rFonts w:hint="eastAsia" w:ascii="宋体" w:hAnsi="宋体" w:eastAsia="宋体" w:cs="宋体"/>
                <w:color w:val="000000"/>
                <w:sz w:val="24"/>
                <w:szCs w:val="24"/>
                <w:highlight w:val="none"/>
              </w:rPr>
              <w:t>分）。评审依据为生产厂家</w:t>
            </w:r>
            <w:r>
              <w:rPr>
                <w:rFonts w:hint="eastAsia" w:ascii="宋体" w:hAnsi="宋体" w:cs="宋体"/>
                <w:color w:val="000000"/>
                <w:sz w:val="24"/>
                <w:szCs w:val="24"/>
                <w:highlight w:val="none"/>
                <w:lang w:eastAsia="zh-CN"/>
              </w:rPr>
              <w:t>（权威检测机构）</w:t>
            </w:r>
            <w:r>
              <w:rPr>
                <w:rFonts w:hint="eastAsia" w:ascii="宋体" w:hAnsi="宋体" w:eastAsia="宋体" w:cs="宋体"/>
                <w:color w:val="000000"/>
                <w:sz w:val="24"/>
                <w:szCs w:val="24"/>
                <w:highlight w:val="none"/>
              </w:rPr>
              <w:t>出具的、相应的功能证明材料（包括但不限于</w:t>
            </w:r>
            <w:r>
              <w:rPr>
                <w:rFonts w:hint="eastAsia" w:ascii="宋体" w:hAnsi="宋体" w:cs="宋体"/>
                <w:color w:val="000000"/>
                <w:sz w:val="24"/>
                <w:szCs w:val="24"/>
                <w:highlight w:val="none"/>
                <w:lang w:eastAsia="zh-CN"/>
              </w:rPr>
              <w:t>检测（</w:t>
            </w:r>
            <w:r>
              <w:rPr>
                <w:rFonts w:hint="eastAsia" w:ascii="宋体" w:hAnsi="宋体" w:eastAsia="宋体" w:cs="宋体"/>
                <w:color w:val="000000"/>
                <w:sz w:val="24"/>
                <w:szCs w:val="24"/>
                <w:highlight w:val="none"/>
              </w:rPr>
              <w:t>测试</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报告、官网和功能截图等）及投标产品技术参数偏离表等；</w:t>
            </w:r>
          </w:p>
          <w:p>
            <w:pPr>
              <w:numPr>
                <w:ilvl w:val="0"/>
                <w:numId w:val="20"/>
              </w:num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基本分（</w:t>
            </w:r>
            <w:r>
              <w:rPr>
                <w:rFonts w:hint="eastAsia" w:ascii="宋体" w:hAnsi="宋体" w:cs="宋体"/>
                <w:color w:val="000000"/>
                <w:sz w:val="24"/>
                <w:szCs w:val="24"/>
                <w:highlight w:val="none"/>
                <w:lang w:val="en-US" w:eastAsia="zh-CN"/>
              </w:rPr>
              <w:t>27</w:t>
            </w:r>
            <w:r>
              <w:rPr>
                <w:rFonts w:hint="eastAsia" w:ascii="宋体" w:hAnsi="宋体" w:eastAsia="宋体" w:cs="宋体"/>
                <w:color w:val="000000"/>
                <w:sz w:val="24"/>
                <w:szCs w:val="24"/>
                <w:highlight w:val="none"/>
              </w:rPr>
              <w:t>分），完全响应招标文件要求，满足采购需求、技术参数没有负偏离，计基本分</w:t>
            </w:r>
            <w:r>
              <w:rPr>
                <w:rFonts w:hint="eastAsia" w:ascii="宋体" w:hAnsi="宋体" w:cs="宋体"/>
                <w:color w:val="000000"/>
                <w:sz w:val="24"/>
                <w:szCs w:val="24"/>
                <w:highlight w:val="none"/>
                <w:lang w:val="en-US" w:eastAsia="zh-CN"/>
              </w:rPr>
              <w:t>27</w:t>
            </w:r>
            <w:r>
              <w:rPr>
                <w:rFonts w:hint="eastAsia" w:ascii="宋体" w:hAnsi="宋体" w:eastAsia="宋体" w:cs="宋体"/>
                <w:color w:val="000000"/>
                <w:sz w:val="24"/>
                <w:szCs w:val="24"/>
                <w:highlight w:val="none"/>
              </w:rPr>
              <w:t>分；参数中每有一条</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技术指标负偏离扣</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每有一条</w:t>
            </w:r>
            <w:r>
              <w:rPr>
                <w:rFonts w:hint="eastAsia" w:ascii="宋体" w:hAnsi="宋体" w:eastAsia="宋体" w:cs="宋体"/>
                <w:color w:val="000000"/>
                <w:sz w:val="24"/>
                <w:szCs w:val="24"/>
                <w:highlight w:val="none"/>
                <w:lang w:val="en-US" w:eastAsia="zh-CN"/>
              </w:rPr>
              <w:t>非</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技术指标负偏离扣</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扣完为止</w:t>
            </w:r>
            <w:r>
              <w:rPr>
                <w:rFonts w:hint="eastAsia" w:ascii="宋体" w:hAnsi="宋体" w:eastAsia="宋体" w:cs="宋体"/>
                <w:color w:val="000000"/>
                <w:sz w:val="24"/>
                <w:szCs w:val="24"/>
                <w:highlight w:val="none"/>
              </w:rPr>
              <w:t>；如出现技术参数复制情况，由专家视其情况给予1-5分的扣分；</w:t>
            </w:r>
          </w:p>
          <w:p>
            <w:pPr>
              <w:numPr>
                <w:ilvl w:val="0"/>
                <w:numId w:val="20"/>
              </w:num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在完全满足技术要求的基础上，产品的主要技术指标、参数经评审专家认定优于招标文件规定的相应技术指标、参数，并且有实质性能提升的每正偏离一项“★”项指标的加2分，每正偏离一项非“★”项指标的加</w:t>
            </w:r>
            <w:r>
              <w:rPr>
                <w:rFonts w:hint="eastAsia" w:ascii="宋体" w:hAnsi="宋体" w:cs="宋体"/>
                <w:color w:val="000000"/>
                <w:sz w:val="24"/>
                <w:szCs w:val="24"/>
                <w:highlight w:val="none"/>
                <w:lang w:val="en-US" w:eastAsia="zh-CN"/>
              </w:rPr>
              <w:t>0.5</w:t>
            </w:r>
            <w:r>
              <w:rPr>
                <w:rFonts w:hint="eastAsia" w:ascii="宋体" w:hAnsi="宋体" w:cs="宋体"/>
                <w:color w:val="000000"/>
                <w:sz w:val="24"/>
                <w:szCs w:val="24"/>
                <w:highlight w:val="none"/>
              </w:rPr>
              <w:t>分，最高加</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分。</w:t>
            </w:r>
          </w:p>
          <w:p>
            <w:pPr>
              <w:keepNext/>
              <w:keepLines/>
              <w:spacing w:line="360" w:lineRule="auto"/>
              <w:jc w:val="left"/>
              <w:outlineLvl w:val="3"/>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功能及配置分（</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所投产品功能、技术参数优于或完全满足招标文件要求，且所提供的检测报告、产品认证证书等资料齐全、产品彩页清晰，技术方案和设备功能描述详细，产品选型有充分的依据，配套设施完善，各类证明材料完整，计4.1-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p>
            <w:pPr>
              <w:keepNext/>
              <w:keepLines/>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所投产品功能满足基本要求，技术参数佐证材料较完善，产品认证证书等资料较齐全，有技术方案和设备功能描述，产品选型合理，有产品配套内容，各类证明材料较为完整，计2.1-4分；</w:t>
            </w:r>
          </w:p>
          <w:p>
            <w:pPr>
              <w:pStyle w:val="2"/>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color w:val="000000"/>
                <w:sz w:val="24"/>
                <w:szCs w:val="24"/>
                <w:highlight w:val="none"/>
              </w:rPr>
              <w:t>所投产品功能不能完全满足要求（有负偏离），技术资料、检测报告、产品认证证书等资料不完整，产品功能描述一般，技术参数不明确，产品选型和配套不合理，各类证明材料不完整，计1-2分；未提供不计分；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实施方案</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7776" w:type="dxa"/>
            <w:noWrap/>
            <w:vAlign w:val="center"/>
          </w:tcPr>
          <w:p>
            <w:pPr>
              <w:keepNext/>
              <w:keepLines/>
              <w:spacing w:line="360" w:lineRule="auto"/>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供应商对本项目的供货、安装调试、验收组织、人员配备等方面制订具体的实施方案，做出合理计划及制订工作保障措施。方案完整、科学合理、操作性强，计</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分；方案较完整，工作目标不明确、工作保障措施不到位，4.1-</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分；方案可执行性差，计1-4分，未提供不计分。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7776" w:type="dxa"/>
            <w:noWrap/>
            <w:vAlign w:val="center"/>
          </w:tcPr>
          <w:p>
            <w:pPr>
              <w:keepNext/>
              <w:keepLines/>
              <w:spacing w:line="360" w:lineRule="auto"/>
              <w:ind w:firstLine="240" w:firstLineChars="1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根据供应商提供的</w:t>
            </w:r>
            <w:r>
              <w:rPr>
                <w:rFonts w:hint="eastAsia" w:ascii="宋体" w:hAnsi="宋体" w:eastAsia="宋体" w:cs="宋体"/>
                <w:color w:val="000000"/>
                <w:sz w:val="24"/>
                <w:szCs w:val="24"/>
                <w:highlight w:val="none"/>
              </w:rPr>
              <w:t>投标产品</w:t>
            </w:r>
            <w:r>
              <w:rPr>
                <w:rFonts w:hint="eastAsia" w:ascii="宋体" w:hAnsi="宋体" w:eastAsia="宋体" w:cs="宋体"/>
                <w:color w:val="000000"/>
                <w:sz w:val="24"/>
                <w:szCs w:val="24"/>
                <w:highlight w:val="none"/>
                <w:lang w:val="en-US" w:eastAsia="zh-CN"/>
              </w:rPr>
              <w:t>质量相关证明材料（包括但不限于认证证书、检测报告、</w:t>
            </w:r>
            <w:r>
              <w:rPr>
                <w:rFonts w:hint="eastAsia" w:ascii="宋体" w:hAnsi="宋体" w:eastAsia="宋体" w:cs="宋体"/>
                <w:color w:val="000000"/>
                <w:sz w:val="24"/>
                <w:szCs w:val="24"/>
                <w:highlight w:val="none"/>
              </w:rPr>
              <w:t>货源渠道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确保产品无假货、水货、翻新货且无产权纠纷视其</w:t>
            </w:r>
            <w:r>
              <w:rPr>
                <w:rFonts w:hint="eastAsia" w:ascii="宋体" w:hAnsi="宋体" w:eastAsia="宋体" w:cs="宋体"/>
                <w:color w:val="000000"/>
                <w:sz w:val="24"/>
                <w:szCs w:val="24"/>
                <w:highlight w:val="none"/>
                <w:lang w:val="en-US" w:eastAsia="zh-CN"/>
              </w:rPr>
              <w:t>完善</w:t>
            </w:r>
            <w:r>
              <w:rPr>
                <w:rFonts w:hint="eastAsia" w:ascii="宋体" w:hAnsi="宋体" w:eastAsia="宋体" w:cs="宋体"/>
                <w:color w:val="000000"/>
                <w:sz w:val="24"/>
                <w:szCs w:val="24"/>
                <w:highlight w:val="none"/>
              </w:rPr>
              <w:t>程度</w:t>
            </w:r>
            <w:r>
              <w:rPr>
                <w:rFonts w:hint="eastAsia" w:ascii="宋体" w:hAnsi="宋体" w:eastAsia="宋体" w:cs="宋体"/>
                <w:color w:val="000000"/>
                <w:sz w:val="24"/>
                <w:szCs w:val="24"/>
                <w:highlight w:val="none"/>
                <w:lang w:val="en-US" w:eastAsia="zh-CN"/>
              </w:rPr>
              <w:t>横向对比</w:t>
            </w:r>
            <w:r>
              <w:rPr>
                <w:rFonts w:hint="eastAsia" w:ascii="宋体" w:hAnsi="宋体" w:eastAsia="宋体" w:cs="宋体"/>
                <w:color w:val="000000"/>
                <w:sz w:val="24"/>
                <w:szCs w:val="24"/>
                <w:highlight w:val="none"/>
              </w:rPr>
              <w:t>计</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分，未提供</w:t>
            </w:r>
            <w:r>
              <w:rPr>
                <w:rFonts w:hint="eastAsia" w:ascii="宋体" w:hAnsi="宋体" w:eastAsia="宋体" w:cs="宋体"/>
                <w:color w:val="000000"/>
                <w:sz w:val="24"/>
                <w:szCs w:val="24"/>
                <w:highlight w:val="none"/>
                <w:lang w:val="en-US" w:eastAsia="zh-CN"/>
              </w:rPr>
              <w:t>不</w:t>
            </w:r>
            <w:r>
              <w:rPr>
                <w:rFonts w:hint="eastAsia" w:ascii="宋体" w:hAnsi="宋体" w:eastAsia="宋体" w:cs="宋体"/>
                <w:color w:val="000000"/>
                <w:sz w:val="24"/>
                <w:szCs w:val="24"/>
                <w:highlight w:val="none"/>
              </w:rPr>
              <w:t>计</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售后服务及培训方案</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p>
        </w:tc>
        <w:tc>
          <w:tcPr>
            <w:tcW w:w="7776" w:type="dxa"/>
            <w:noWrap/>
            <w:vAlign w:val="center"/>
          </w:tcPr>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1、根据供应商提供的针对本项目特点的售后服务进行综合评分。方案完善、科学合理，针对性强、服务承诺明确，计4.1-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分，方案较完整、合理可行、特点和承诺不明确，计2.1-4分，方案较差，计1-2分，未提供不计分。</w:t>
            </w:r>
          </w:p>
          <w:p>
            <w:pPr>
              <w:pStyle w:val="2"/>
              <w:spacing w:line="360" w:lineRule="auto"/>
              <w:ind w:firstLine="240" w:firstLineChars="100"/>
              <w:rPr>
                <w:rFonts w:hint="eastAsia" w:ascii="宋体" w:hAnsi="宋体" w:eastAsia="宋体" w:cs="宋体"/>
                <w:color w:val="000000"/>
                <w:sz w:val="24"/>
                <w:szCs w:val="24"/>
                <w:highlight w:val="none"/>
              </w:rPr>
            </w:pPr>
            <w:r>
              <w:rPr>
                <w:rFonts w:hint="eastAsia" w:ascii="宋体" w:hAnsi="宋体" w:eastAsia="宋体" w:cs="宋体"/>
                <w:b w:val="0"/>
                <w:sz w:val="24"/>
                <w:szCs w:val="24"/>
                <w:highlight w:val="none"/>
              </w:rPr>
              <w:t>2、根据供应商提供的培训方案及培训效果保证措施等进行综合评分，方案完善、工作目标明确、科学合理、培训效果保证措施充分，计4.1-5分，有培训方案、目标</w:t>
            </w:r>
            <w:r>
              <w:rPr>
                <w:rFonts w:hint="eastAsia" w:ascii="宋体" w:hAnsi="宋体" w:cs="宋体"/>
                <w:b w:val="0"/>
                <w:sz w:val="24"/>
                <w:szCs w:val="24"/>
                <w:highlight w:val="none"/>
                <w:lang w:eastAsia="zh-CN"/>
              </w:rPr>
              <w:t>较</w:t>
            </w:r>
            <w:r>
              <w:rPr>
                <w:rFonts w:hint="eastAsia" w:ascii="宋体" w:hAnsi="宋体" w:eastAsia="宋体" w:cs="宋体"/>
                <w:b w:val="0"/>
                <w:sz w:val="24"/>
                <w:szCs w:val="24"/>
                <w:highlight w:val="none"/>
              </w:rPr>
              <w:t>明确、措施和各项工作目标、条理性不强，计2.1-4分，方案较差，计1-2分，未提供不计分。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tc>
        <w:tc>
          <w:tcPr>
            <w:tcW w:w="7776"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w:t>
            </w:r>
            <w:r>
              <w:rPr>
                <w:rFonts w:hint="eastAsia" w:ascii="宋体" w:hAnsi="宋体" w:cs="宋体"/>
                <w:color w:val="000000"/>
                <w:sz w:val="24"/>
                <w:szCs w:val="24"/>
                <w:highlight w:val="none"/>
                <w:lang w:eastAsia="zh-CN"/>
              </w:rPr>
              <w:t>所投产品</w:t>
            </w:r>
            <w:r>
              <w:rPr>
                <w:rFonts w:hint="eastAsia" w:ascii="宋体" w:hAnsi="宋体" w:eastAsia="宋体" w:cs="宋体"/>
                <w:color w:val="000000"/>
                <w:sz w:val="24"/>
                <w:szCs w:val="24"/>
                <w:highlight w:val="none"/>
              </w:rPr>
              <w:t>20</w:t>
            </w:r>
            <w:r>
              <w:rPr>
                <w:rFonts w:hint="eastAsia" w:ascii="宋体" w:hAnsi="宋体" w:cs="宋体"/>
                <w:color w:val="000000"/>
                <w:sz w:val="24"/>
                <w:szCs w:val="24"/>
                <w:highlight w:val="none"/>
                <w:lang w:val="en-US" w:eastAsia="zh-CN"/>
              </w:rPr>
              <w:t>20</w:t>
            </w:r>
            <w:r>
              <w:rPr>
                <w:rFonts w:hint="eastAsia" w:ascii="宋体" w:hAnsi="宋体" w:eastAsia="宋体" w:cs="宋体"/>
                <w:color w:val="000000"/>
                <w:sz w:val="24"/>
                <w:szCs w:val="24"/>
                <w:highlight w:val="none"/>
              </w:rPr>
              <w:t>年1月1日至今的供货合同</w:t>
            </w:r>
            <w:r>
              <w:rPr>
                <w:rFonts w:hint="eastAsia" w:ascii="宋体" w:hAnsi="宋体" w:eastAsia="宋体" w:cs="宋体"/>
                <w:color w:val="000000"/>
                <w:sz w:val="24"/>
                <w:szCs w:val="24"/>
                <w:highlight w:val="none"/>
                <w:lang w:val="en-US" w:eastAsia="zh-CN"/>
              </w:rPr>
              <w:t>复印件加盖公章</w:t>
            </w:r>
            <w:r>
              <w:rPr>
                <w:rFonts w:hint="eastAsia" w:ascii="宋体" w:hAnsi="宋体" w:eastAsia="宋体" w:cs="宋体"/>
                <w:color w:val="000000"/>
                <w:sz w:val="24"/>
                <w:szCs w:val="24"/>
                <w:highlight w:val="none"/>
              </w:rPr>
              <w:t>，每份计1分，计满</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分为止；（携带合同原件备查，以签订合同时间为准）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节能</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环保</w:t>
            </w:r>
          </w:p>
        </w:tc>
        <w:tc>
          <w:tcPr>
            <w:tcW w:w="854"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1分</w:t>
            </w:r>
          </w:p>
        </w:tc>
        <w:tc>
          <w:tcPr>
            <w:tcW w:w="7776"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响应产品中每有一项为节能产品的得0.5分，每有一项为环境标志产品的得0.5分，供应商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69" w:type="dxa"/>
            <w:noWrap/>
            <w:vAlign w:val="center"/>
          </w:tcPr>
          <w:p>
            <w:p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说明</w:t>
            </w:r>
          </w:p>
        </w:tc>
        <w:tc>
          <w:tcPr>
            <w:tcW w:w="8630" w:type="dxa"/>
            <w:gridSpan w:val="2"/>
            <w:noWrap/>
            <w:vAlign w:val="center"/>
          </w:tcPr>
          <w:p>
            <w:pPr>
              <w:pStyle w:val="103"/>
              <w:pBdr>
                <w:between w:val="single" w:color="auto" w:sz="4" w:space="1"/>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1、评标委员会成员必须按照本评审要素据实打分，各类数字计算均按“四舍五入”保留小数点后两位；</w:t>
            </w:r>
          </w:p>
          <w:p>
            <w:pPr>
              <w:pStyle w:val="103"/>
              <w:pBdr>
                <w:between w:val="single" w:color="auto" w:sz="4" w:space="1"/>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2、对小型和微型企业的报价给予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9" w:type="dxa"/>
            <w:vMerge w:val="restart"/>
            <w:noWrap/>
            <w:vAlign w:val="center"/>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府</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政</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策</w:t>
            </w:r>
          </w:p>
        </w:tc>
        <w:tc>
          <w:tcPr>
            <w:tcW w:w="8630" w:type="dxa"/>
            <w:gridSpan w:val="2"/>
            <w:noWrap/>
            <w:vAlign w:val="center"/>
          </w:tcPr>
          <w:p>
            <w:pPr>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对小型或微型企业参加政府采购投标的扶持：</w:t>
            </w:r>
          </w:p>
          <w:p>
            <w:pPr>
              <w:pStyle w:val="103"/>
              <w:pBdr>
                <w:between w:val="single" w:color="auto" w:sz="4" w:space="1"/>
              </w:pBd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根据《政府采购促进中小企业发展管理办法》（财库[2020]46号）的规定，对于非专门面向中小企业的项目，对小型和微型企业产品的价格给予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highlight w:val="none"/>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对监狱企业、残疾人福利企业的扶持</w:t>
            </w:r>
          </w:p>
          <w:p>
            <w:pPr>
              <w:pStyle w:val="103"/>
              <w:pBdr>
                <w:between w:val="single" w:color="auto" w:sz="4" w:space="1"/>
              </w:pBd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sz w:val="24"/>
                <w:szCs w:val="24"/>
                <w:highlight w:val="none"/>
                <w:lang w:val="en-US" w:eastAsia="zh-CN"/>
              </w:rPr>
              <w:t>10</w:t>
            </w:r>
            <w:r>
              <w:rPr>
                <w:rFonts w:hint="eastAsia" w:ascii="宋体" w:hAnsi="宋体" w:eastAsia="宋体" w:cs="宋体"/>
                <w:sz w:val="24"/>
                <w:szCs w:val="24"/>
                <w:highlight w:val="none"/>
              </w:rPr>
              <w:t>%的价格扣除，用扣除后的价格参与评审。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highlight w:val="none"/>
              </w:rPr>
            </w:pPr>
          </w:p>
        </w:tc>
        <w:tc>
          <w:tcPr>
            <w:tcW w:w="8630" w:type="dxa"/>
            <w:gridSpan w:val="2"/>
            <w:noWrap/>
            <w:vAlign w:val="center"/>
          </w:tcPr>
          <w:p>
            <w:pPr>
              <w:pStyle w:val="103"/>
              <w:pBdr>
                <w:between w:val="single" w:color="auto" w:sz="4" w:space="1"/>
              </w:pBd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highlight w:val="none"/>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对节能、环保政策的支持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03"/>
              <w:pBdr>
                <w:between w:val="single" w:color="auto" w:sz="4" w:space="1"/>
              </w:pBd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3、产品同时属于“非强制采购节能产品”、环境标志产品的，评审时只有其中一项能享受优先待遇（供应商自行选择，并在报价文件中填写相关信息及数据）。</w:t>
            </w:r>
          </w:p>
        </w:tc>
      </w:tr>
    </w:tbl>
    <w:p>
      <w:pP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pPr>
        <w:pStyle w:val="3"/>
        <w:pageBreakBefore/>
        <w:spacing w:beforeLines="100" w:afterLines="100" w:line="500" w:lineRule="exact"/>
        <w:rPr>
          <w:rFonts w:asciiTheme="minorEastAsia" w:hAnsiTheme="minorEastAsia" w:eastAsiaTheme="minorEastAsia" w:cstheme="minorEastAsia"/>
          <w:sz w:val="36"/>
          <w:szCs w:val="36"/>
          <w:highlight w:val="none"/>
        </w:rPr>
      </w:pPr>
      <w:bookmarkStart w:id="141" w:name="_Toc31968"/>
      <w:r>
        <w:rPr>
          <w:rFonts w:hint="eastAsia" w:asciiTheme="minorEastAsia" w:hAnsiTheme="minorEastAsia" w:eastAsiaTheme="minorEastAsia" w:cstheme="minorEastAsia"/>
          <w:sz w:val="36"/>
          <w:szCs w:val="36"/>
          <w:highlight w:val="none"/>
        </w:rPr>
        <w:t>第五部分</w:t>
      </w:r>
      <w:bookmarkEnd w:id="130"/>
      <w:r>
        <w:rPr>
          <w:rFonts w:hint="eastAsia" w:asciiTheme="minorEastAsia" w:hAnsiTheme="minorEastAsia" w:eastAsiaTheme="minorEastAsia" w:cstheme="minorEastAsia"/>
          <w:sz w:val="36"/>
          <w:szCs w:val="36"/>
          <w:highlight w:val="none"/>
        </w:rPr>
        <w:t xml:space="preserve">  商务条款与采购要求</w:t>
      </w:r>
      <w:bookmarkEnd w:id="131"/>
      <w:bookmarkEnd w:id="132"/>
      <w:bookmarkEnd w:id="133"/>
      <w:bookmarkEnd w:id="134"/>
      <w:bookmarkEnd w:id="141"/>
    </w:p>
    <w:bookmarkEnd w:id="135"/>
    <w:bookmarkEnd w:id="136"/>
    <w:bookmarkEnd w:id="137"/>
    <w:bookmarkEnd w:id="138"/>
    <w:bookmarkEnd w:id="139"/>
    <w:bookmarkEnd w:id="140"/>
    <w:p>
      <w:pPr>
        <w:spacing w:line="360" w:lineRule="auto"/>
        <w:outlineLvl w:val="1"/>
        <w:rPr>
          <w:rFonts w:ascii="宋体" w:hAnsi="宋体" w:cs="宋体"/>
          <w:b/>
          <w:color w:val="000000"/>
          <w:sz w:val="24"/>
          <w:szCs w:val="24"/>
          <w:highlight w:val="none"/>
        </w:rPr>
      </w:pPr>
      <w:bookmarkStart w:id="142" w:name="_Toc13275"/>
      <w:bookmarkStart w:id="143" w:name="_Toc19835"/>
      <w:bookmarkStart w:id="144" w:name="_Toc22869"/>
      <w:bookmarkStart w:id="145" w:name="_Toc2234"/>
      <w:r>
        <w:rPr>
          <w:rFonts w:hint="eastAsia" w:ascii="宋体" w:hAnsi="宋体" w:cs="宋体"/>
          <w:b/>
          <w:color w:val="000000"/>
          <w:sz w:val="24"/>
          <w:szCs w:val="24"/>
          <w:highlight w:val="none"/>
        </w:rPr>
        <w:t>一、商务</w:t>
      </w:r>
      <w:r>
        <w:rPr>
          <w:rFonts w:hint="eastAsia" w:ascii="宋体" w:hAnsi="宋体" w:cs="宋体"/>
          <w:b/>
          <w:color w:val="000000"/>
          <w:sz w:val="24"/>
          <w:szCs w:val="24"/>
          <w:highlight w:val="none"/>
          <w:lang w:val="en-US" w:eastAsia="zh-CN"/>
        </w:rPr>
        <w:t>条款</w:t>
      </w:r>
      <w:bookmarkEnd w:id="142"/>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交货期：</w:t>
      </w:r>
      <w:r>
        <w:rPr>
          <w:rFonts w:hint="eastAsia" w:ascii="宋体" w:hAnsi="宋体" w:eastAsia="宋体" w:cs="宋体"/>
          <w:color w:val="auto"/>
          <w:sz w:val="24"/>
          <w:highlight w:val="none"/>
        </w:rPr>
        <w:t>合同签订后</w:t>
      </w:r>
      <w:r>
        <w:rPr>
          <w:rFonts w:hint="eastAsia" w:ascii="宋体" w:hAnsi="宋体" w:cs="宋体"/>
          <w:color w:val="auto"/>
          <w:sz w:val="24"/>
          <w:highlight w:val="none"/>
          <w:u w:val="single"/>
          <w:lang w:val="en-US" w:eastAsia="zh-CN"/>
        </w:rPr>
        <w:t>90</w:t>
      </w:r>
      <w:r>
        <w:rPr>
          <w:rFonts w:hint="eastAsia" w:ascii="宋体" w:hAnsi="宋体" w:eastAsia="宋体" w:cs="宋体"/>
          <w:color w:val="auto"/>
          <w:sz w:val="24"/>
          <w:highlight w:val="none"/>
        </w:rPr>
        <w:t>个日历日</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质保期：</w:t>
      </w:r>
      <w:r>
        <w:rPr>
          <w:rFonts w:hint="eastAsia" w:ascii="宋体" w:hAnsi="宋体" w:eastAsia="宋体" w:cs="宋体"/>
          <w:color w:val="auto"/>
          <w:sz w:val="24"/>
          <w:szCs w:val="24"/>
          <w:highlight w:val="none"/>
        </w:rPr>
        <w:t>验收合格后</w:t>
      </w:r>
      <w:r>
        <w:rPr>
          <w:rFonts w:hint="eastAsia" w:ascii="宋体" w:hAnsi="宋体" w:cs="宋体"/>
          <w:color w:val="auto"/>
          <w:sz w:val="24"/>
          <w:szCs w:val="24"/>
          <w:highlight w:val="none"/>
          <w:lang w:val="en-US" w:eastAsia="zh-CN"/>
        </w:rPr>
        <w:t>不少于</w:t>
      </w:r>
      <w:r>
        <w:rPr>
          <w:rFonts w:hint="eastAsia" w:ascii="宋体" w:hAnsi="宋体" w:cs="宋体"/>
          <w:color w:val="auto"/>
          <w:sz w:val="24"/>
          <w:szCs w:val="24"/>
          <w:highlight w:val="none"/>
          <w:u w:val="single"/>
          <w:lang w:val="en-US" w:eastAsia="zh-CN"/>
        </w:rPr>
        <w:t>壹</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交货地点：</w:t>
      </w:r>
      <w:r>
        <w:rPr>
          <w:rFonts w:hint="eastAsia" w:ascii="宋体" w:hAnsi="宋体" w:cs="宋体"/>
          <w:color w:val="auto"/>
          <w:sz w:val="24"/>
          <w:szCs w:val="24"/>
          <w:highlight w:val="none"/>
          <w:lang w:eastAsia="zh-CN"/>
        </w:rPr>
        <w:t>陕西中医药大学第二附属医院指定地点</w:t>
      </w:r>
    </w:p>
    <w:p>
      <w:pPr>
        <w:spacing w:line="360" w:lineRule="auto"/>
        <w:ind w:firstLine="482" w:firstLineChars="20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付款方式：</w:t>
      </w:r>
      <w:r>
        <w:rPr>
          <w:rFonts w:hint="eastAsia"/>
          <w:color w:val="auto"/>
          <w:sz w:val="24"/>
          <w:highlight w:val="none"/>
        </w:rPr>
        <w:t>货到安装调试验收合格后支付全部货款的</w:t>
      </w:r>
      <w:r>
        <w:rPr>
          <w:rFonts w:hint="eastAsia"/>
          <w:color w:val="auto"/>
          <w:sz w:val="24"/>
          <w:highlight w:val="none"/>
          <w:u w:val="single"/>
        </w:rPr>
        <w:t xml:space="preserve"> 65 </w:t>
      </w:r>
      <w:r>
        <w:rPr>
          <w:rFonts w:hint="eastAsia"/>
          <w:color w:val="auto"/>
          <w:sz w:val="24"/>
          <w:highlight w:val="none"/>
        </w:rPr>
        <w:t>%，设备验收合格并正常运行</w:t>
      </w:r>
      <w:r>
        <w:rPr>
          <w:rFonts w:hint="eastAsia"/>
          <w:color w:val="auto"/>
          <w:sz w:val="24"/>
          <w:highlight w:val="none"/>
          <w:u w:val="single"/>
        </w:rPr>
        <w:t xml:space="preserve"> 3</w:t>
      </w:r>
      <w:r>
        <w:rPr>
          <w:rFonts w:hint="eastAsia"/>
          <w:color w:val="auto"/>
          <w:sz w:val="24"/>
          <w:highlight w:val="none"/>
        </w:rPr>
        <w:t>个月后可支付全部货款的</w:t>
      </w:r>
      <w:r>
        <w:rPr>
          <w:rFonts w:hint="eastAsia"/>
          <w:color w:val="auto"/>
          <w:sz w:val="24"/>
          <w:highlight w:val="none"/>
          <w:u w:val="single"/>
        </w:rPr>
        <w:t xml:space="preserve"> 30 </w:t>
      </w:r>
      <w:r>
        <w:rPr>
          <w:rFonts w:hint="eastAsia"/>
          <w:color w:val="auto"/>
          <w:sz w:val="24"/>
          <w:highlight w:val="none"/>
        </w:rPr>
        <w:t>%，若设备因甲方施工等原因导致无法正常运行3个月的，则货到安装调试验收合格</w:t>
      </w:r>
      <w:r>
        <w:rPr>
          <w:rFonts w:hint="eastAsia"/>
          <w:color w:val="auto"/>
          <w:sz w:val="24"/>
          <w:highlight w:val="none"/>
          <w:u w:val="single"/>
        </w:rPr>
        <w:t xml:space="preserve"> 4</w:t>
      </w:r>
      <w:r>
        <w:rPr>
          <w:rFonts w:hint="eastAsia"/>
          <w:color w:val="auto"/>
          <w:sz w:val="24"/>
          <w:highlight w:val="none"/>
        </w:rPr>
        <w:t>个月后支付全部货款的</w:t>
      </w:r>
      <w:r>
        <w:rPr>
          <w:rFonts w:hint="eastAsia"/>
          <w:color w:val="auto"/>
          <w:sz w:val="24"/>
          <w:highlight w:val="none"/>
          <w:u w:val="single"/>
        </w:rPr>
        <w:t xml:space="preserve"> 30</w:t>
      </w:r>
      <w:r>
        <w:rPr>
          <w:rFonts w:hint="eastAsia"/>
          <w:color w:val="auto"/>
          <w:sz w:val="24"/>
          <w:highlight w:val="none"/>
        </w:rPr>
        <w:t xml:space="preserve"> %，剩余货款即全部货款的</w:t>
      </w:r>
      <w:r>
        <w:rPr>
          <w:rFonts w:hint="eastAsia"/>
          <w:color w:val="auto"/>
          <w:sz w:val="24"/>
          <w:highlight w:val="none"/>
          <w:u w:val="single"/>
        </w:rPr>
        <w:t xml:space="preserve"> 5 </w:t>
      </w:r>
      <w:r>
        <w:rPr>
          <w:rFonts w:hint="eastAsia"/>
          <w:color w:val="auto"/>
          <w:sz w:val="24"/>
          <w:highlight w:val="none"/>
        </w:rPr>
        <w:t>%，该笔款项自正式使用后开始计算质保期，待质保期满后无质量问题一次性付清。</w:t>
      </w:r>
    </w:p>
    <w:p>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支付方式：银行转账。</w:t>
      </w:r>
    </w:p>
    <w:p>
      <w:pPr>
        <w:numPr>
          <w:ilvl w:val="0"/>
          <w:numId w:val="0"/>
        </w:numPr>
        <w:spacing w:line="360" w:lineRule="auto"/>
        <w:jc w:val="left"/>
        <w:outlineLvl w:val="1"/>
        <w:rPr>
          <w:rFonts w:hint="eastAsia" w:ascii="宋体" w:hAnsi="宋体" w:eastAsia="宋体" w:cs="宋体"/>
          <w:b/>
          <w:color w:val="000000"/>
          <w:sz w:val="24"/>
          <w:szCs w:val="24"/>
          <w:highlight w:val="none"/>
          <w:lang w:val="en-US" w:eastAsia="zh-CN"/>
        </w:rPr>
      </w:pPr>
      <w:bookmarkStart w:id="146" w:name="_Toc8195"/>
      <w:r>
        <w:rPr>
          <w:rFonts w:hint="eastAsia" w:ascii="宋体" w:hAnsi="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val="en-US" w:eastAsia="zh-CN"/>
        </w:rPr>
        <w:t>采购要求</w:t>
      </w:r>
      <w:bookmarkEnd w:id="146"/>
    </w:p>
    <w:p>
      <w:pPr>
        <w:numPr>
          <w:ilvl w:val="0"/>
          <w:numId w:val="0"/>
        </w:numPr>
        <w:spacing w:line="360" w:lineRule="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第一包：高端视野计</w:t>
      </w:r>
      <w:r>
        <w:rPr>
          <w:rFonts w:hint="eastAsia" w:ascii="宋体" w:hAnsi="宋体" w:cs="宋体"/>
          <w:b/>
          <w:color w:val="000000"/>
          <w:sz w:val="24"/>
          <w:szCs w:val="24"/>
          <w:highlight w:val="none"/>
          <w:lang w:val="en-US" w:eastAsia="zh-CN"/>
        </w:rPr>
        <w:t>（1套）</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一、系统基本要求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1、临床应用：视野功能的检测与随访。</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2、检测方式：自动计算机控制。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3、检测程序：具备阈值检查和筛选检查程序。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具有</w:t>
      </w:r>
      <w:r>
        <w:rPr>
          <w:rFonts w:hint="eastAsia" w:ascii="宋体" w:hAnsi="宋体" w:eastAsia="宋体" w:cs="宋体"/>
          <w:sz w:val="24"/>
          <w:szCs w:val="24"/>
          <w:highlight w:val="none"/>
        </w:rPr>
        <w:t xml:space="preserve">快速程序。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★5、分析程序：以31.5asb背景光亮度下的正常数据库为基础。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6、具备青光眼半视野分析程序。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★7、具备青光眼随访分析程序。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8、正常值数据库：多中心、</w:t>
      </w:r>
      <w:r>
        <w:rPr>
          <w:rFonts w:hint="eastAsia" w:ascii="宋体" w:hAnsi="宋体" w:cs="宋体"/>
          <w:sz w:val="24"/>
          <w:szCs w:val="24"/>
          <w:highlight w:val="none"/>
          <w:lang w:val="en-US" w:eastAsia="zh-CN"/>
        </w:rPr>
        <w:t>亚洲人种</w:t>
      </w:r>
      <w:r>
        <w:rPr>
          <w:rFonts w:hint="eastAsia" w:ascii="宋体" w:hAnsi="宋体" w:eastAsia="宋体" w:cs="宋体"/>
          <w:sz w:val="24"/>
          <w:szCs w:val="24"/>
          <w:highlight w:val="none"/>
        </w:rPr>
        <w:t>、年龄匹配数据库。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9、背景光亮度：31.5asb。</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10、操作方式：电容触摸屏。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★11、系统语言：包含全中文的多国语言。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12、刺激光标大小：GOLDMANN－I,II,III,IV,V。</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13、刺激光颜色 ：</w:t>
      </w:r>
      <w:r>
        <w:rPr>
          <w:rFonts w:hint="eastAsia" w:ascii="宋体" w:hAnsi="宋体" w:cs="宋体"/>
          <w:sz w:val="24"/>
          <w:szCs w:val="24"/>
          <w:highlight w:val="none"/>
          <w:lang w:val="en-US" w:eastAsia="zh-CN"/>
        </w:rPr>
        <w:t>具备白色光</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14、光标呈现方式：投射式，可测中心和周边视野。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15、视野检查距离：≥30cm。</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16、具有网络功能。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二、系统技术要求：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1、最大光强度：≥10,000 </w:t>
      </w:r>
      <w:r>
        <w:rPr>
          <w:rFonts w:hint="eastAsia" w:ascii="宋体" w:hAnsi="宋体" w:cs="宋体"/>
          <w:sz w:val="24"/>
          <w:szCs w:val="24"/>
          <w:highlight w:val="none"/>
          <w:lang w:val="en-US" w:eastAsia="zh-CN"/>
        </w:rPr>
        <w:t>asb</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2、光刺激时间：200ms。</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3、测试范围：≥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0度。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4、可测量中心凹阈值：有。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5、阈值测试程序：≥6种。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6、筛选测试程序：≥12种。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7、特殊测试程序：≥4种。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8、自定义阈值检查程序：可自定义设置检查。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9、检测时间：30度阈值测试时间≤6分钟。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10、电脑：内置，一体化。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11、固视目标：</w:t>
      </w:r>
      <w:r>
        <w:rPr>
          <w:rFonts w:hint="eastAsia" w:ascii="宋体" w:hAnsi="宋体" w:cs="宋体"/>
          <w:sz w:val="24"/>
          <w:szCs w:val="24"/>
          <w:highlight w:val="none"/>
          <w:lang w:val="en-US" w:eastAsia="zh-CN"/>
        </w:rPr>
        <w:t>具备多种图形可选</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cs="宋体"/>
          <w:sz w:val="24"/>
          <w:szCs w:val="24"/>
          <w:highlight w:val="none"/>
          <w:lang w:val="en-US" w:eastAsia="zh-CN"/>
        </w:rPr>
        <w:t>具备</w:t>
      </w:r>
      <w:r>
        <w:rPr>
          <w:rFonts w:hint="eastAsia" w:ascii="宋体" w:hAnsi="宋体" w:eastAsia="宋体" w:cs="宋体"/>
          <w:sz w:val="24"/>
          <w:szCs w:val="24"/>
          <w:highlight w:val="none"/>
        </w:rPr>
        <w:t>固视监测</w:t>
      </w:r>
      <w:r>
        <w:rPr>
          <w:rFonts w:hint="eastAsia" w:ascii="宋体" w:hAnsi="宋体" w:cs="宋体"/>
          <w:sz w:val="24"/>
          <w:szCs w:val="24"/>
          <w:highlight w:val="none"/>
          <w:lang w:val="en-US" w:eastAsia="zh-CN"/>
        </w:rPr>
        <w:t>功能</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13、设备桌：偏心柱设计。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14、存储方式：USB。</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15、磁光盘存储：有。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16、硬盘：≥40G。</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17、打印机：配备高端打印机。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18、联网：可以通过DICOM、USB、Forum端口连接网络。</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19、具备静态视野眼底影像对位功能。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 w:val="0"/>
          <w:kern w:val="2"/>
          <w:sz w:val="24"/>
          <w:szCs w:val="24"/>
          <w:highlight w:val="none"/>
          <w:lang w:val="en-US" w:eastAsia="zh-CN" w:bidi="ar-SA"/>
        </w:rPr>
        <w:t>20、动态视野检测： 具有自动、手动两种功能</w:t>
      </w:r>
      <w:r>
        <w:rPr>
          <w:rFonts w:hint="eastAsia" w:ascii="宋体" w:hAnsi="宋体" w:cs="宋体"/>
          <w:b w:val="0"/>
          <w:kern w:val="2"/>
          <w:sz w:val="24"/>
          <w:szCs w:val="24"/>
          <w:highlight w:val="none"/>
          <w:lang w:val="en-US" w:eastAsia="zh-CN" w:bidi="ar-SA"/>
        </w:rPr>
        <w:t>。</w:t>
      </w:r>
    </w:p>
    <w:p>
      <w:pPr>
        <w:rPr>
          <w:rFonts w:hint="eastAsia" w:ascii="宋体" w:hAnsi="宋体" w:cs="宋体"/>
          <w:b/>
          <w:bCs/>
          <w:kern w:val="44"/>
          <w:sz w:val="44"/>
          <w:szCs w:val="44"/>
          <w:highlight w:val="none"/>
        </w:rPr>
      </w:pPr>
      <w:r>
        <w:rPr>
          <w:rFonts w:hint="eastAsia" w:ascii="宋体" w:hAnsi="宋体" w:cs="宋体"/>
          <w:b/>
          <w:bCs/>
          <w:kern w:val="44"/>
          <w:sz w:val="44"/>
          <w:szCs w:val="44"/>
          <w:highlight w:val="none"/>
        </w:rPr>
        <w:br w:type="page"/>
      </w:r>
    </w:p>
    <w:p>
      <w:pPr>
        <w:kinsoku w:val="0"/>
        <w:ind w:firstLine="2209" w:firstLineChars="500"/>
        <w:outlineLvl w:val="0"/>
        <w:rPr>
          <w:rFonts w:ascii="宋体" w:hAnsi="宋体" w:cs="宋体"/>
          <w:b/>
          <w:bCs/>
          <w:kern w:val="44"/>
          <w:sz w:val="44"/>
          <w:szCs w:val="44"/>
          <w:highlight w:val="none"/>
        </w:rPr>
      </w:pPr>
      <w:bookmarkStart w:id="147" w:name="_Toc8817"/>
      <w:r>
        <w:rPr>
          <w:rFonts w:hint="eastAsia" w:ascii="宋体" w:hAnsi="宋体" w:cs="宋体"/>
          <w:b/>
          <w:bCs/>
          <w:kern w:val="44"/>
          <w:sz w:val="44"/>
          <w:szCs w:val="44"/>
          <w:highlight w:val="none"/>
        </w:rPr>
        <w:t>第六部分  合同条款</w:t>
      </w:r>
      <w:bookmarkEnd w:id="143"/>
      <w:bookmarkEnd w:id="144"/>
      <w:bookmarkEnd w:id="147"/>
    </w:p>
    <w:p>
      <w:pPr>
        <w:pStyle w:val="11"/>
        <w:rPr>
          <w:rFonts w:ascii="宋体" w:hAnsi="宋体" w:cs="宋体"/>
          <w:highlight w:val="none"/>
        </w:rPr>
      </w:pPr>
    </w:p>
    <w:p>
      <w:pPr>
        <w:rPr>
          <w:rFonts w:ascii="宋体" w:hAnsi="宋体" w:cs="宋体"/>
          <w:highlight w:val="none"/>
        </w:rPr>
      </w:pPr>
    </w:p>
    <w:p>
      <w:pPr>
        <w:bidi w:val="0"/>
        <w:rPr>
          <w:highlight w:val="none"/>
        </w:rPr>
      </w:pPr>
    </w:p>
    <w:p>
      <w:pPr>
        <w:rPr>
          <w:highlight w:val="none"/>
        </w:rPr>
      </w:pPr>
    </w:p>
    <w:p>
      <w:pPr>
        <w:pStyle w:val="11"/>
        <w:jc w:val="center"/>
        <w:rPr>
          <w:highlight w:val="none"/>
        </w:rPr>
      </w:pPr>
      <w:r>
        <w:rPr>
          <w:highlight w:val="none"/>
        </w:rPr>
        <w:object>
          <v:shape id="_x0000_i1025" o:spt="75" type="#_x0000_t75" style="height:146.1pt;width:158.2pt;" o:ole="t" filled="f" o:preferrelative="t" stroked="f" coordsize="21600,21600">
            <v:path/>
            <v:fill on="f" focussize="0,0"/>
            <v:stroke on="f"/>
            <v:imagedata r:id="rId23" o:title=""/>
            <o:lock v:ext="edit" aspectratio="t"/>
            <w10:wrap type="none"/>
            <w10:anchorlock/>
          </v:shape>
          <o:OLEObject Type="Embed" ProgID="CorelDRAW.Graphic.14" ShapeID="_x0000_i1025" DrawAspect="Content" ObjectID="_1468075725" r:id="rId22">
            <o:LockedField>false</o:LockedField>
          </o:OLEObject>
        </w:object>
      </w:r>
    </w:p>
    <w:p>
      <w:pPr>
        <w:jc w:val="center"/>
        <w:rPr>
          <w:rFonts w:hint="eastAsia"/>
          <w:sz w:val="32"/>
          <w:szCs w:val="32"/>
          <w:highlight w:val="none"/>
          <w:u w:val="single"/>
        </w:rPr>
      </w:pPr>
    </w:p>
    <w:p>
      <w:pPr>
        <w:ind w:firstLine="1041" w:firstLineChars="200"/>
        <w:rPr>
          <w:rFonts w:hint="eastAsia" w:ascii="华文中宋" w:hAnsi="华文中宋" w:eastAsia="华文中宋"/>
          <w:sz w:val="52"/>
          <w:szCs w:val="52"/>
          <w:highlight w:val="none"/>
        </w:rPr>
      </w:pPr>
      <w:r>
        <w:rPr>
          <w:rFonts w:hint="eastAsia" w:ascii="华文中宋" w:hAnsi="华文中宋" w:eastAsia="华文中宋"/>
          <w:b/>
          <w:sz w:val="52"/>
          <w:szCs w:val="52"/>
          <w:highlight w:val="none"/>
        </w:rPr>
        <w:t>陕西中医药大学第二附属医院</w:t>
      </w:r>
    </w:p>
    <w:p>
      <w:pPr>
        <w:jc w:val="center"/>
        <w:rPr>
          <w:rFonts w:hint="eastAsia"/>
          <w:b/>
          <w:sz w:val="48"/>
          <w:szCs w:val="48"/>
          <w:highlight w:val="none"/>
        </w:rPr>
      </w:pPr>
    </w:p>
    <w:p>
      <w:pPr>
        <w:jc w:val="center"/>
        <w:rPr>
          <w:rFonts w:hint="eastAsia" w:ascii="黑体" w:hAnsi="黑体" w:eastAsia="黑体"/>
          <w:b/>
          <w:sz w:val="52"/>
          <w:szCs w:val="52"/>
          <w:highlight w:val="none"/>
        </w:rPr>
      </w:pPr>
      <w:r>
        <w:rPr>
          <w:rFonts w:hint="eastAsia" w:ascii="黑体" w:hAnsi="黑体" w:eastAsia="黑体"/>
          <w:b/>
          <w:sz w:val="52"/>
          <w:szCs w:val="52"/>
          <w:highlight w:val="none"/>
          <w:lang w:val="en-US" w:eastAsia="zh-CN"/>
        </w:rPr>
        <w:t xml:space="preserve"> </w:t>
      </w:r>
      <w:r>
        <w:rPr>
          <w:rFonts w:hint="eastAsia" w:ascii="黑体" w:hAnsi="黑体" w:eastAsia="黑体"/>
          <w:b/>
          <w:sz w:val="52"/>
          <w:szCs w:val="52"/>
          <w:highlight w:val="none"/>
        </w:rPr>
        <w:t>医疗器械设备采购项目</w:t>
      </w:r>
    </w:p>
    <w:p>
      <w:pPr>
        <w:jc w:val="center"/>
        <w:rPr>
          <w:rFonts w:hint="eastAsia"/>
          <w:b/>
          <w:sz w:val="48"/>
          <w:szCs w:val="48"/>
          <w:highlight w:val="none"/>
        </w:rPr>
      </w:pPr>
    </w:p>
    <w:p>
      <w:pPr>
        <w:jc w:val="center"/>
        <w:rPr>
          <w:rFonts w:hint="eastAsia"/>
          <w:b/>
          <w:sz w:val="48"/>
          <w:szCs w:val="48"/>
          <w:highlight w:val="none"/>
        </w:rPr>
      </w:pPr>
      <w:r>
        <w:rPr>
          <w:rFonts w:hint="eastAsia"/>
          <w:b/>
          <w:sz w:val="48"/>
          <w:szCs w:val="48"/>
          <w:highlight w:val="none"/>
        </w:rPr>
        <w:t>订 货 合 同</w:t>
      </w:r>
    </w:p>
    <w:p>
      <w:pPr>
        <w:ind w:firstLine="2940" w:firstLineChars="1050"/>
        <w:rPr>
          <w:rFonts w:hint="eastAsia"/>
          <w:sz w:val="28"/>
          <w:szCs w:val="28"/>
          <w:highlight w:val="none"/>
        </w:rPr>
      </w:pPr>
    </w:p>
    <w:p>
      <w:pPr>
        <w:ind w:firstLine="2940" w:firstLineChars="1050"/>
        <w:rPr>
          <w:rFonts w:hint="eastAsia"/>
          <w:sz w:val="28"/>
          <w:szCs w:val="28"/>
          <w:highlight w:val="none"/>
        </w:rPr>
      </w:pPr>
      <w:r>
        <w:rPr>
          <w:rFonts w:hint="eastAsia"/>
          <w:sz w:val="28"/>
          <w:szCs w:val="28"/>
          <w:highlight w:val="none"/>
        </w:rPr>
        <w:t>合同编号：</w:t>
      </w:r>
    </w:p>
    <w:p>
      <w:pPr>
        <w:jc w:val="center"/>
        <w:rPr>
          <w:rFonts w:hint="eastAsia"/>
          <w:b/>
          <w:sz w:val="44"/>
          <w:szCs w:val="44"/>
          <w:highlight w:val="none"/>
        </w:rPr>
      </w:pPr>
    </w:p>
    <w:p>
      <w:pPr>
        <w:jc w:val="center"/>
        <w:rPr>
          <w:rFonts w:hint="eastAsia"/>
          <w:b/>
          <w:sz w:val="44"/>
          <w:szCs w:val="44"/>
          <w:highlight w:val="none"/>
        </w:rPr>
      </w:pPr>
    </w:p>
    <w:p>
      <w:pPr>
        <w:jc w:val="center"/>
        <w:rPr>
          <w:rFonts w:hint="eastAsia"/>
          <w:b/>
          <w:sz w:val="44"/>
          <w:szCs w:val="44"/>
          <w:highlight w:val="none"/>
        </w:rPr>
      </w:pPr>
    </w:p>
    <w:p>
      <w:pPr>
        <w:jc w:val="left"/>
        <w:rPr>
          <w:rFonts w:hint="eastAsia"/>
          <w:b/>
          <w:sz w:val="28"/>
          <w:szCs w:val="28"/>
          <w:highlight w:val="none"/>
        </w:rPr>
      </w:pPr>
    </w:p>
    <w:p>
      <w:pPr>
        <w:jc w:val="left"/>
        <w:rPr>
          <w:rFonts w:hint="eastAsia"/>
          <w:b/>
          <w:sz w:val="28"/>
          <w:szCs w:val="28"/>
          <w:highlight w:val="none"/>
        </w:rPr>
      </w:pPr>
    </w:p>
    <w:p>
      <w:pPr>
        <w:jc w:val="left"/>
        <w:rPr>
          <w:rFonts w:hint="eastAsia"/>
          <w:b/>
          <w:sz w:val="28"/>
          <w:szCs w:val="28"/>
          <w:highlight w:val="none"/>
        </w:rPr>
      </w:pPr>
      <w:r>
        <w:rPr>
          <w:rFonts w:hint="eastAsia"/>
          <w:b/>
          <w:sz w:val="28"/>
          <w:szCs w:val="28"/>
          <w:highlight w:val="none"/>
        </w:rPr>
        <w:t>甲 方：</w:t>
      </w:r>
      <w:r>
        <w:rPr>
          <w:rFonts w:hint="eastAsia"/>
          <w:b/>
          <w:sz w:val="28"/>
          <w:szCs w:val="28"/>
          <w:highlight w:val="none"/>
          <w:u w:val="single"/>
        </w:rPr>
        <w:t>陕西中医药大学第二附属医院</w:t>
      </w:r>
    </w:p>
    <w:p>
      <w:pPr>
        <w:jc w:val="left"/>
        <w:rPr>
          <w:rFonts w:hint="eastAsia"/>
          <w:b/>
          <w:sz w:val="28"/>
          <w:szCs w:val="28"/>
          <w:highlight w:val="none"/>
          <w:u w:val="single"/>
        </w:rPr>
      </w:pPr>
      <w:r>
        <w:rPr>
          <w:rFonts w:hint="eastAsia"/>
          <w:b/>
          <w:sz w:val="28"/>
          <w:szCs w:val="28"/>
          <w:highlight w:val="none"/>
        </w:rPr>
        <w:t>乙 方：</w:t>
      </w:r>
      <w:r>
        <w:rPr>
          <w:rFonts w:hint="eastAsia"/>
          <w:sz w:val="28"/>
          <w:szCs w:val="28"/>
          <w:highlight w:val="none"/>
          <w:u w:val="single"/>
        </w:rPr>
        <w:t xml:space="preserve">                            </w:t>
      </w:r>
    </w:p>
    <w:p>
      <w:pPr>
        <w:spacing w:line="340" w:lineRule="exact"/>
        <w:ind w:firstLine="480" w:firstLineChars="200"/>
        <w:rPr>
          <w:rFonts w:hint="eastAsia"/>
          <w:sz w:val="24"/>
          <w:highlight w:val="none"/>
        </w:rPr>
      </w:pPr>
      <w:r>
        <w:rPr>
          <w:rFonts w:hint="eastAsia"/>
          <w:sz w:val="24"/>
          <w:highlight w:val="none"/>
        </w:rPr>
        <w:t>甲方：陕西中医药大学第二附属医院，其注册登记地址为：</w:t>
      </w:r>
      <w:r>
        <w:rPr>
          <w:rFonts w:hint="eastAsia"/>
          <w:sz w:val="24"/>
          <w:highlight w:val="none"/>
          <w:u w:val="single"/>
        </w:rPr>
        <w:t>陕西省咸阳市渭阳西路5号</w:t>
      </w:r>
      <w:r>
        <w:rPr>
          <w:rFonts w:hint="eastAsia"/>
          <w:sz w:val="24"/>
          <w:highlight w:val="none"/>
        </w:rPr>
        <w:t>，法定代表人为：</w:t>
      </w:r>
      <w:r>
        <w:rPr>
          <w:rFonts w:hint="eastAsia"/>
          <w:sz w:val="24"/>
          <w:highlight w:val="none"/>
          <w:u w:val="single"/>
        </w:rPr>
        <w:t xml:space="preserve">缪峰    </w:t>
      </w:r>
      <w:r>
        <w:rPr>
          <w:rFonts w:hint="eastAsia"/>
          <w:sz w:val="24"/>
          <w:highlight w:val="none"/>
        </w:rPr>
        <w:t>。</w:t>
      </w:r>
    </w:p>
    <w:p>
      <w:pPr>
        <w:spacing w:line="340" w:lineRule="exact"/>
        <w:rPr>
          <w:rFonts w:hint="eastAsia"/>
          <w:sz w:val="24"/>
          <w:highlight w:val="none"/>
        </w:rPr>
      </w:pPr>
      <w:r>
        <w:rPr>
          <w:rFonts w:hint="eastAsia"/>
          <w:sz w:val="24"/>
          <w:highlight w:val="none"/>
        </w:rPr>
        <w:t xml:space="preserve">    乙方：</w:t>
      </w:r>
      <w:r>
        <w:rPr>
          <w:rFonts w:hint="eastAsia"/>
          <w:sz w:val="24"/>
          <w:highlight w:val="none"/>
          <w:u w:val="single"/>
        </w:rPr>
        <w:t xml:space="preserve">                    </w:t>
      </w:r>
      <w:r>
        <w:rPr>
          <w:rFonts w:hint="eastAsia"/>
          <w:sz w:val="24"/>
          <w:highlight w:val="none"/>
        </w:rPr>
        <w:t>，其注册登记地址为：</w:t>
      </w:r>
      <w:r>
        <w:rPr>
          <w:rFonts w:hint="eastAsia"/>
          <w:sz w:val="24"/>
          <w:highlight w:val="none"/>
          <w:u w:val="single"/>
        </w:rPr>
        <w:t xml:space="preserve">                ，</w:t>
      </w:r>
      <w:r>
        <w:rPr>
          <w:rFonts w:hint="eastAsia"/>
          <w:sz w:val="24"/>
          <w:highlight w:val="none"/>
        </w:rPr>
        <w:t>法定代表人为：</w:t>
      </w:r>
      <w:r>
        <w:rPr>
          <w:rFonts w:hint="eastAsia"/>
          <w:sz w:val="24"/>
          <w:highlight w:val="none"/>
          <w:u w:val="single"/>
        </w:rPr>
        <w:t xml:space="preserve">        </w:t>
      </w:r>
      <w:r>
        <w:rPr>
          <w:rFonts w:hint="eastAsia"/>
          <w:sz w:val="24"/>
          <w:highlight w:val="none"/>
        </w:rPr>
        <w:t xml:space="preserve">。 </w:t>
      </w:r>
    </w:p>
    <w:p>
      <w:pPr>
        <w:spacing w:line="340" w:lineRule="exact"/>
        <w:ind w:firstLine="480" w:firstLineChars="200"/>
        <w:rPr>
          <w:rFonts w:hint="eastAsia"/>
          <w:sz w:val="24"/>
          <w:highlight w:val="none"/>
          <w:u w:val="single"/>
        </w:rPr>
      </w:pPr>
      <w:r>
        <w:rPr>
          <w:rFonts w:hint="eastAsia"/>
          <w:sz w:val="24"/>
          <w:highlight w:val="none"/>
        </w:rPr>
        <w:t>甲、乙双方基于公平、公正、平等的原则，依据《中华人民共和国合同法》、《中华人民共和国民法通则》之相关规定，现经甲、乙双方友好协商，就甲方购买乙方产品设备事宜，达成以下合同条款：</w:t>
      </w:r>
    </w:p>
    <w:p>
      <w:pPr>
        <w:spacing w:line="340" w:lineRule="exact"/>
        <w:ind w:firstLine="482" w:firstLineChars="200"/>
        <w:rPr>
          <w:rFonts w:hint="eastAsia"/>
          <w:b/>
          <w:sz w:val="24"/>
          <w:highlight w:val="none"/>
        </w:rPr>
      </w:pPr>
      <w:r>
        <w:rPr>
          <w:rFonts w:hint="eastAsia"/>
          <w:b/>
          <w:sz w:val="24"/>
          <w:highlight w:val="none"/>
        </w:rPr>
        <w:t>第一条：合同标的物：</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164"/>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noWrap w:val="0"/>
            <w:vAlign w:val="top"/>
          </w:tcPr>
          <w:p>
            <w:pPr>
              <w:spacing w:line="340" w:lineRule="exact"/>
              <w:jc w:val="center"/>
              <w:rPr>
                <w:rFonts w:hint="eastAsia"/>
                <w:b/>
                <w:sz w:val="24"/>
                <w:highlight w:val="none"/>
              </w:rPr>
            </w:pPr>
            <w:r>
              <w:rPr>
                <w:rFonts w:hint="eastAsia"/>
                <w:b/>
                <w:sz w:val="24"/>
                <w:highlight w:val="none"/>
              </w:rPr>
              <w:t>产品名称</w:t>
            </w:r>
          </w:p>
        </w:tc>
        <w:tc>
          <w:tcPr>
            <w:tcW w:w="1620" w:type="dxa"/>
            <w:noWrap w:val="0"/>
            <w:vAlign w:val="top"/>
          </w:tcPr>
          <w:p>
            <w:pPr>
              <w:spacing w:line="340" w:lineRule="exact"/>
              <w:jc w:val="center"/>
              <w:rPr>
                <w:rFonts w:hint="eastAsia"/>
                <w:b/>
                <w:sz w:val="24"/>
                <w:highlight w:val="none"/>
              </w:rPr>
            </w:pPr>
            <w:r>
              <w:rPr>
                <w:rFonts w:hint="eastAsia"/>
                <w:b/>
                <w:sz w:val="24"/>
                <w:highlight w:val="none"/>
              </w:rPr>
              <w:t>注册证名称</w:t>
            </w:r>
          </w:p>
        </w:tc>
        <w:tc>
          <w:tcPr>
            <w:tcW w:w="1360" w:type="dxa"/>
            <w:noWrap w:val="0"/>
            <w:vAlign w:val="top"/>
          </w:tcPr>
          <w:p>
            <w:pPr>
              <w:spacing w:line="340" w:lineRule="exact"/>
              <w:jc w:val="center"/>
              <w:rPr>
                <w:rFonts w:hint="eastAsia"/>
                <w:b/>
                <w:sz w:val="24"/>
                <w:highlight w:val="none"/>
              </w:rPr>
            </w:pPr>
            <w:r>
              <w:rPr>
                <w:rFonts w:hint="eastAsia"/>
                <w:b/>
                <w:sz w:val="24"/>
                <w:highlight w:val="none"/>
              </w:rPr>
              <w:t>品牌型号</w:t>
            </w:r>
          </w:p>
        </w:tc>
        <w:tc>
          <w:tcPr>
            <w:tcW w:w="878" w:type="dxa"/>
            <w:noWrap w:val="0"/>
            <w:vAlign w:val="top"/>
          </w:tcPr>
          <w:p>
            <w:pPr>
              <w:spacing w:line="340" w:lineRule="exact"/>
              <w:jc w:val="center"/>
              <w:rPr>
                <w:rFonts w:hint="eastAsia"/>
                <w:b/>
                <w:sz w:val="24"/>
                <w:highlight w:val="none"/>
              </w:rPr>
            </w:pPr>
            <w:r>
              <w:rPr>
                <w:rFonts w:hint="eastAsia"/>
                <w:b/>
                <w:sz w:val="24"/>
                <w:highlight w:val="none"/>
              </w:rPr>
              <w:t>产地</w:t>
            </w:r>
          </w:p>
        </w:tc>
        <w:tc>
          <w:tcPr>
            <w:tcW w:w="750" w:type="dxa"/>
            <w:noWrap w:val="0"/>
            <w:vAlign w:val="top"/>
          </w:tcPr>
          <w:p>
            <w:pPr>
              <w:spacing w:line="340" w:lineRule="exact"/>
              <w:jc w:val="center"/>
              <w:rPr>
                <w:rFonts w:hint="eastAsia"/>
                <w:b/>
                <w:sz w:val="24"/>
                <w:highlight w:val="none"/>
              </w:rPr>
            </w:pPr>
            <w:r>
              <w:rPr>
                <w:rFonts w:hint="eastAsia"/>
                <w:b/>
                <w:sz w:val="24"/>
                <w:highlight w:val="none"/>
              </w:rPr>
              <w:t>单位</w:t>
            </w:r>
          </w:p>
        </w:tc>
        <w:tc>
          <w:tcPr>
            <w:tcW w:w="571" w:type="dxa"/>
            <w:noWrap w:val="0"/>
            <w:vAlign w:val="top"/>
          </w:tcPr>
          <w:p>
            <w:pPr>
              <w:spacing w:line="340" w:lineRule="exact"/>
              <w:jc w:val="center"/>
              <w:rPr>
                <w:rFonts w:hint="eastAsia"/>
                <w:b/>
                <w:sz w:val="24"/>
                <w:highlight w:val="none"/>
              </w:rPr>
            </w:pPr>
            <w:r>
              <w:rPr>
                <w:rFonts w:hint="eastAsia"/>
                <w:b/>
                <w:sz w:val="24"/>
                <w:highlight w:val="none"/>
              </w:rPr>
              <w:t>数量</w:t>
            </w:r>
          </w:p>
        </w:tc>
        <w:tc>
          <w:tcPr>
            <w:tcW w:w="1164" w:type="dxa"/>
            <w:noWrap w:val="0"/>
            <w:vAlign w:val="top"/>
          </w:tcPr>
          <w:p>
            <w:pPr>
              <w:spacing w:line="340" w:lineRule="exact"/>
              <w:jc w:val="center"/>
              <w:rPr>
                <w:rFonts w:hint="eastAsia"/>
                <w:b/>
                <w:sz w:val="24"/>
                <w:highlight w:val="none"/>
              </w:rPr>
            </w:pPr>
            <w:r>
              <w:rPr>
                <w:rFonts w:hint="eastAsia"/>
                <w:b/>
                <w:sz w:val="24"/>
                <w:highlight w:val="none"/>
              </w:rPr>
              <w:t>单价（人民币）</w:t>
            </w:r>
          </w:p>
        </w:tc>
        <w:tc>
          <w:tcPr>
            <w:tcW w:w="1348" w:type="dxa"/>
            <w:noWrap w:val="0"/>
            <w:vAlign w:val="top"/>
          </w:tcPr>
          <w:p>
            <w:pPr>
              <w:spacing w:line="340" w:lineRule="exact"/>
              <w:jc w:val="center"/>
              <w:rPr>
                <w:rFonts w:hint="eastAsia"/>
                <w:b/>
                <w:sz w:val="24"/>
                <w:highlight w:val="none"/>
              </w:rPr>
            </w:pPr>
            <w:r>
              <w:rPr>
                <w:rFonts w:hint="eastAsia"/>
                <w:b/>
                <w:sz w:val="24"/>
                <w:highlight w:val="none"/>
              </w:rPr>
              <w:t>总价（人民币）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spacing w:line="340" w:lineRule="exact"/>
              <w:rPr>
                <w:rFonts w:hint="eastAsia"/>
                <w:sz w:val="24"/>
                <w:highlight w:val="none"/>
              </w:rPr>
            </w:pPr>
          </w:p>
        </w:tc>
        <w:tc>
          <w:tcPr>
            <w:tcW w:w="1620" w:type="dxa"/>
            <w:noWrap w:val="0"/>
            <w:vAlign w:val="top"/>
          </w:tcPr>
          <w:p>
            <w:pPr>
              <w:spacing w:line="340" w:lineRule="exact"/>
              <w:rPr>
                <w:rFonts w:hint="eastAsia"/>
                <w:sz w:val="24"/>
                <w:highlight w:val="none"/>
              </w:rPr>
            </w:pPr>
          </w:p>
        </w:tc>
        <w:tc>
          <w:tcPr>
            <w:tcW w:w="1360" w:type="dxa"/>
            <w:noWrap w:val="0"/>
            <w:vAlign w:val="top"/>
          </w:tcPr>
          <w:p>
            <w:pPr>
              <w:spacing w:line="340" w:lineRule="exact"/>
              <w:jc w:val="left"/>
              <w:rPr>
                <w:rFonts w:hint="eastAsia"/>
                <w:sz w:val="24"/>
                <w:highlight w:val="none"/>
              </w:rPr>
            </w:pPr>
          </w:p>
        </w:tc>
        <w:tc>
          <w:tcPr>
            <w:tcW w:w="878" w:type="dxa"/>
            <w:noWrap w:val="0"/>
            <w:vAlign w:val="top"/>
          </w:tcPr>
          <w:p>
            <w:pPr>
              <w:spacing w:line="340" w:lineRule="exact"/>
              <w:rPr>
                <w:rFonts w:hint="eastAsia"/>
                <w:sz w:val="24"/>
                <w:highlight w:val="none"/>
              </w:rPr>
            </w:pPr>
          </w:p>
        </w:tc>
        <w:tc>
          <w:tcPr>
            <w:tcW w:w="750" w:type="dxa"/>
            <w:noWrap w:val="0"/>
            <w:vAlign w:val="top"/>
          </w:tcPr>
          <w:p>
            <w:pPr>
              <w:spacing w:line="340" w:lineRule="exact"/>
              <w:rPr>
                <w:rFonts w:hint="eastAsia"/>
                <w:sz w:val="24"/>
                <w:highlight w:val="none"/>
              </w:rPr>
            </w:pPr>
            <w:r>
              <w:rPr>
                <w:rFonts w:hint="eastAsia"/>
                <w:sz w:val="24"/>
                <w:highlight w:val="none"/>
              </w:rPr>
              <w:t>台</w:t>
            </w:r>
          </w:p>
        </w:tc>
        <w:tc>
          <w:tcPr>
            <w:tcW w:w="571" w:type="dxa"/>
            <w:noWrap w:val="0"/>
            <w:vAlign w:val="top"/>
          </w:tcPr>
          <w:p>
            <w:pPr>
              <w:spacing w:line="340" w:lineRule="exact"/>
              <w:rPr>
                <w:rFonts w:hint="eastAsia"/>
                <w:sz w:val="24"/>
                <w:highlight w:val="none"/>
              </w:rPr>
            </w:pPr>
          </w:p>
        </w:tc>
        <w:tc>
          <w:tcPr>
            <w:tcW w:w="1164" w:type="dxa"/>
            <w:noWrap w:val="0"/>
            <w:vAlign w:val="center"/>
          </w:tcPr>
          <w:p>
            <w:pPr>
              <w:spacing w:line="340" w:lineRule="exact"/>
              <w:rPr>
                <w:rFonts w:hint="eastAsia"/>
                <w:sz w:val="24"/>
                <w:highlight w:val="none"/>
              </w:rPr>
            </w:pPr>
            <w:r>
              <w:rPr>
                <w:rFonts w:hint="eastAsia"/>
                <w:sz w:val="24"/>
                <w:highlight w:val="none"/>
              </w:rPr>
              <w:t>￥</w:t>
            </w:r>
          </w:p>
        </w:tc>
        <w:tc>
          <w:tcPr>
            <w:tcW w:w="1348" w:type="dxa"/>
            <w:noWrap w:val="0"/>
            <w:vAlign w:val="center"/>
          </w:tcPr>
          <w:p>
            <w:pPr>
              <w:spacing w:line="340" w:lineRule="exact"/>
              <w:ind w:right="960"/>
              <w:rPr>
                <w:rFonts w:hint="eastAsia"/>
                <w:sz w:val="24"/>
                <w:highlight w:val="none"/>
              </w:rPr>
            </w:pPr>
            <w:r>
              <w:rPr>
                <w:rFonts w:hint="eastAsia"/>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11" w:type="dxa"/>
            <w:gridSpan w:val="8"/>
            <w:noWrap w:val="0"/>
            <w:vAlign w:val="top"/>
          </w:tcPr>
          <w:p>
            <w:pPr>
              <w:spacing w:line="340" w:lineRule="exact"/>
              <w:rPr>
                <w:rFonts w:hint="eastAsia"/>
                <w:sz w:val="24"/>
                <w:highlight w:val="none"/>
              </w:rPr>
            </w:pPr>
            <w:r>
              <w:rPr>
                <w:rFonts w:hint="eastAsia"/>
                <w:sz w:val="24"/>
                <w:highlight w:val="none"/>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311" w:type="dxa"/>
            <w:gridSpan w:val="8"/>
            <w:noWrap w:val="0"/>
            <w:vAlign w:val="top"/>
          </w:tcPr>
          <w:p>
            <w:pPr>
              <w:widowControl/>
              <w:spacing w:line="340" w:lineRule="exact"/>
              <w:jc w:val="left"/>
              <w:rPr>
                <w:rFonts w:hint="eastAsia"/>
                <w:sz w:val="24"/>
                <w:highlight w:val="none"/>
              </w:rPr>
            </w:pPr>
            <w:r>
              <w:rPr>
                <w:rFonts w:hint="eastAsia"/>
                <w:b/>
                <w:sz w:val="24"/>
                <w:highlight w:val="none"/>
              </w:rPr>
              <w:t xml:space="preserve"> 备注：      </w:t>
            </w:r>
            <w:r>
              <w:rPr>
                <w:rFonts w:hint="eastAsia"/>
                <w:sz w:val="24"/>
                <w:highlight w:val="none"/>
              </w:rPr>
              <w:t xml:space="preserve">                                                         </w:t>
            </w:r>
          </w:p>
          <w:p>
            <w:pPr>
              <w:widowControl/>
              <w:spacing w:line="340" w:lineRule="exact"/>
              <w:jc w:val="left"/>
              <w:rPr>
                <w:rFonts w:hint="eastAsia"/>
                <w:sz w:val="24"/>
                <w:highlight w:val="none"/>
              </w:rPr>
            </w:pPr>
            <w:r>
              <w:rPr>
                <w:rFonts w:hint="eastAsia"/>
                <w:sz w:val="24"/>
                <w:highlight w:val="none"/>
              </w:rPr>
              <w:t xml:space="preserve">                                                                      </w:t>
            </w:r>
          </w:p>
        </w:tc>
      </w:tr>
    </w:tbl>
    <w:p>
      <w:pPr>
        <w:spacing w:line="340" w:lineRule="exact"/>
        <w:ind w:firstLine="482" w:firstLineChars="200"/>
        <w:rPr>
          <w:rFonts w:hint="eastAsia"/>
          <w:b/>
          <w:sz w:val="24"/>
          <w:highlight w:val="none"/>
        </w:rPr>
      </w:pPr>
      <w:r>
        <w:rPr>
          <w:rFonts w:hint="eastAsia"/>
          <w:b/>
          <w:sz w:val="24"/>
          <w:highlight w:val="none"/>
        </w:rPr>
        <w:t>产品应当符合国家规范规定的标准及乙方投标文件所述和宣传的标准，设备配置详单附后。</w:t>
      </w:r>
    </w:p>
    <w:p>
      <w:pPr>
        <w:spacing w:line="340" w:lineRule="exact"/>
        <w:ind w:firstLine="482" w:firstLineChars="200"/>
        <w:rPr>
          <w:rFonts w:hint="eastAsia"/>
          <w:b/>
          <w:sz w:val="24"/>
          <w:highlight w:val="none"/>
        </w:rPr>
      </w:pPr>
      <w:r>
        <w:rPr>
          <w:rFonts w:hint="eastAsia"/>
          <w:b/>
          <w:sz w:val="24"/>
          <w:highlight w:val="none"/>
        </w:rPr>
        <w:t>第二条：合同价款：</w:t>
      </w:r>
    </w:p>
    <w:p>
      <w:pPr>
        <w:spacing w:line="340" w:lineRule="exact"/>
        <w:ind w:firstLine="480" w:firstLineChars="200"/>
        <w:rPr>
          <w:rFonts w:hint="eastAsia"/>
          <w:sz w:val="24"/>
          <w:highlight w:val="none"/>
        </w:rPr>
      </w:pPr>
      <w:r>
        <w:rPr>
          <w:rFonts w:hint="eastAsia"/>
          <w:sz w:val="24"/>
          <w:highlight w:val="none"/>
        </w:rPr>
        <w:t>1、合同总金额：</w:t>
      </w:r>
      <w:r>
        <w:rPr>
          <w:rFonts w:hint="eastAsia"/>
          <w:b/>
          <w:sz w:val="24"/>
          <w:highlight w:val="none"/>
          <w:u w:val="single"/>
        </w:rPr>
        <w:t>人民币          元整。</w:t>
      </w:r>
    </w:p>
    <w:p>
      <w:pPr>
        <w:spacing w:line="340" w:lineRule="exact"/>
        <w:ind w:firstLine="480" w:firstLineChars="200"/>
        <w:rPr>
          <w:rFonts w:hint="eastAsia" w:ascii="宋体" w:hAnsi="宋体"/>
          <w:color w:val="auto"/>
          <w:sz w:val="28"/>
          <w:szCs w:val="28"/>
          <w:highlight w:val="none"/>
        </w:rPr>
      </w:pPr>
      <w:r>
        <w:rPr>
          <w:rFonts w:hint="eastAsia"/>
          <w:sz w:val="24"/>
          <w:highlight w:val="none"/>
        </w:rPr>
        <w:t>2、合同总金额包含产品供应价、运杂费（含仓储费、装卸费、保险费）、安装调试费、</w:t>
      </w:r>
      <w:r>
        <w:rPr>
          <w:rFonts w:hint="eastAsia" w:ascii="宋体" w:hAnsi="宋体"/>
          <w:color w:val="000000"/>
          <w:sz w:val="24"/>
          <w:highlight w:val="none"/>
        </w:rPr>
        <w:t>设备</w:t>
      </w:r>
      <w:r>
        <w:rPr>
          <w:rFonts w:hint="eastAsia" w:ascii="宋体" w:hAnsi="宋体"/>
          <w:color w:val="auto"/>
          <w:sz w:val="24"/>
          <w:highlight w:val="none"/>
        </w:rPr>
        <w:t>零部件和备品备件（提供设备运行后一年所需）、易损件、专用工具的费用、</w:t>
      </w:r>
      <w:r>
        <w:rPr>
          <w:rFonts w:hint="eastAsia"/>
          <w:color w:val="auto"/>
          <w:sz w:val="24"/>
          <w:highlight w:val="none"/>
        </w:rPr>
        <w:t>培训费</w:t>
      </w:r>
      <w:r>
        <w:rPr>
          <w:rFonts w:hint="eastAsia"/>
          <w:b/>
          <w:bCs/>
          <w:color w:val="auto"/>
          <w:sz w:val="24"/>
          <w:highlight w:val="none"/>
        </w:rPr>
        <w:t>、税金</w:t>
      </w:r>
      <w:r>
        <w:rPr>
          <w:rFonts w:hint="eastAsia"/>
          <w:color w:val="auto"/>
          <w:sz w:val="24"/>
          <w:highlight w:val="none"/>
        </w:rPr>
        <w:t>及其它不可预见费用。</w:t>
      </w:r>
    </w:p>
    <w:p>
      <w:pPr>
        <w:spacing w:line="340" w:lineRule="exact"/>
        <w:ind w:firstLine="482" w:firstLineChars="200"/>
        <w:rPr>
          <w:rFonts w:hint="eastAsia"/>
          <w:b/>
          <w:color w:val="auto"/>
          <w:sz w:val="24"/>
          <w:highlight w:val="none"/>
        </w:rPr>
      </w:pPr>
      <w:r>
        <w:rPr>
          <w:rFonts w:hint="eastAsia"/>
          <w:b/>
          <w:color w:val="auto"/>
          <w:sz w:val="24"/>
          <w:highlight w:val="none"/>
        </w:rPr>
        <w:t>第三条：交货地点：</w:t>
      </w:r>
    </w:p>
    <w:p>
      <w:pPr>
        <w:spacing w:line="340" w:lineRule="exact"/>
        <w:ind w:firstLine="470" w:firstLineChars="196"/>
        <w:rPr>
          <w:rFonts w:hint="eastAsia"/>
          <w:color w:val="auto"/>
          <w:sz w:val="24"/>
          <w:highlight w:val="none"/>
        </w:rPr>
      </w:pPr>
      <w:r>
        <w:rPr>
          <w:rFonts w:hint="eastAsia"/>
          <w:color w:val="auto"/>
          <w:sz w:val="24"/>
          <w:highlight w:val="none"/>
        </w:rPr>
        <w:t>陕西中医药大学第二附属医院指定地点。</w:t>
      </w:r>
    </w:p>
    <w:p>
      <w:pPr>
        <w:spacing w:line="340" w:lineRule="exact"/>
        <w:ind w:firstLine="482" w:firstLineChars="200"/>
        <w:rPr>
          <w:rFonts w:hint="eastAsia"/>
          <w:b/>
          <w:color w:val="auto"/>
          <w:sz w:val="24"/>
          <w:highlight w:val="none"/>
        </w:rPr>
      </w:pPr>
      <w:r>
        <w:rPr>
          <w:rFonts w:hint="eastAsia"/>
          <w:b/>
          <w:color w:val="auto"/>
          <w:sz w:val="24"/>
          <w:highlight w:val="none"/>
        </w:rPr>
        <w:t>第四条：交货时间：</w:t>
      </w:r>
    </w:p>
    <w:p>
      <w:pPr>
        <w:spacing w:line="340" w:lineRule="exact"/>
        <w:ind w:firstLine="470" w:firstLineChars="196"/>
        <w:rPr>
          <w:rFonts w:hint="eastAsia"/>
          <w:color w:val="auto"/>
          <w:sz w:val="24"/>
          <w:highlight w:val="none"/>
        </w:rPr>
      </w:pPr>
      <w:r>
        <w:rPr>
          <w:rFonts w:hint="eastAsia"/>
          <w:color w:val="auto"/>
          <w:sz w:val="24"/>
          <w:highlight w:val="none"/>
        </w:rPr>
        <w:t>合同签订接采购人通知后</w:t>
      </w:r>
      <w:r>
        <w:rPr>
          <w:rFonts w:hint="eastAsia"/>
          <w:color w:val="auto"/>
          <w:sz w:val="24"/>
          <w:highlight w:val="none"/>
          <w:u w:val="single"/>
        </w:rPr>
        <w:t xml:space="preserve">     </w:t>
      </w:r>
      <w:r>
        <w:rPr>
          <w:rFonts w:hint="eastAsia"/>
          <w:color w:val="auto"/>
          <w:sz w:val="24"/>
          <w:highlight w:val="none"/>
        </w:rPr>
        <w:t>个日历日内。</w:t>
      </w:r>
    </w:p>
    <w:p>
      <w:pPr>
        <w:spacing w:line="340" w:lineRule="exact"/>
        <w:ind w:firstLine="482" w:firstLineChars="200"/>
        <w:rPr>
          <w:rFonts w:hint="eastAsia"/>
          <w:color w:val="auto"/>
          <w:sz w:val="24"/>
          <w:highlight w:val="none"/>
        </w:rPr>
      </w:pPr>
      <w:r>
        <w:rPr>
          <w:rFonts w:hint="eastAsia"/>
          <w:b/>
          <w:color w:val="auto"/>
          <w:sz w:val="24"/>
          <w:highlight w:val="none"/>
        </w:rPr>
        <w:t>第五条：甲方指定收件人为：</w:t>
      </w:r>
      <w:r>
        <w:rPr>
          <w:rFonts w:hint="eastAsia"/>
          <w:color w:val="auto"/>
          <w:sz w:val="24"/>
          <w:highlight w:val="none"/>
        </w:rPr>
        <w:t>刘文程，联系电话33572698。</w:t>
      </w:r>
    </w:p>
    <w:p>
      <w:pPr>
        <w:spacing w:line="340" w:lineRule="exact"/>
        <w:ind w:firstLine="480" w:firstLineChars="200"/>
        <w:rPr>
          <w:rFonts w:hint="eastAsia"/>
          <w:color w:val="auto"/>
          <w:sz w:val="24"/>
          <w:highlight w:val="none"/>
        </w:rPr>
      </w:pPr>
      <w:r>
        <w:rPr>
          <w:rFonts w:hint="eastAsia"/>
          <w:color w:val="auto"/>
          <w:sz w:val="24"/>
          <w:highlight w:val="none"/>
        </w:rPr>
        <w:t>根据使用需要，甲方如需提前或推迟收货，甲方应当</w:t>
      </w:r>
      <w:r>
        <w:rPr>
          <w:rFonts w:hint="eastAsia"/>
          <w:b/>
          <w:bCs/>
          <w:color w:val="auto"/>
          <w:sz w:val="24"/>
          <w:highlight w:val="none"/>
        </w:rPr>
        <w:t>提前电话或邮箱或其他任何在本合同约定的方式通知乙方</w:t>
      </w:r>
      <w:r>
        <w:rPr>
          <w:rFonts w:hint="eastAsia"/>
          <w:color w:val="auto"/>
          <w:sz w:val="24"/>
          <w:highlight w:val="none"/>
        </w:rPr>
        <w:t>，乙方应无条件配合，不得收取仓储费等任何费用。</w:t>
      </w:r>
    </w:p>
    <w:p>
      <w:pPr>
        <w:spacing w:line="340" w:lineRule="exact"/>
        <w:ind w:firstLine="482" w:firstLineChars="200"/>
        <w:rPr>
          <w:rFonts w:hint="eastAsia"/>
          <w:b/>
          <w:color w:val="auto"/>
          <w:sz w:val="24"/>
          <w:highlight w:val="none"/>
        </w:rPr>
      </w:pPr>
      <w:r>
        <w:rPr>
          <w:rFonts w:hint="eastAsia"/>
          <w:b/>
          <w:color w:val="auto"/>
          <w:sz w:val="24"/>
          <w:highlight w:val="none"/>
        </w:rPr>
        <w:t>第六条：货款结算方式：</w:t>
      </w:r>
    </w:p>
    <w:p>
      <w:pPr>
        <w:spacing w:line="340" w:lineRule="exact"/>
        <w:ind w:firstLine="480" w:firstLineChars="200"/>
        <w:rPr>
          <w:rFonts w:hint="eastAsia"/>
          <w:b/>
          <w:bCs/>
          <w:color w:val="auto"/>
          <w:sz w:val="24"/>
          <w:highlight w:val="none"/>
        </w:rPr>
      </w:pPr>
      <w:r>
        <w:rPr>
          <w:rFonts w:hint="eastAsia"/>
          <w:color w:val="auto"/>
          <w:sz w:val="24"/>
          <w:highlight w:val="none"/>
        </w:rPr>
        <w:t>1、分期付款方式：货到安装调试验收合格后支付全部货款的</w:t>
      </w:r>
      <w:r>
        <w:rPr>
          <w:rFonts w:hint="eastAsia"/>
          <w:color w:val="auto"/>
          <w:sz w:val="24"/>
          <w:highlight w:val="none"/>
          <w:u w:val="single"/>
        </w:rPr>
        <w:t xml:space="preserve"> 65 </w:t>
      </w:r>
      <w:r>
        <w:rPr>
          <w:rFonts w:hint="eastAsia"/>
          <w:color w:val="auto"/>
          <w:sz w:val="24"/>
          <w:highlight w:val="none"/>
        </w:rPr>
        <w:t>%，设备验收合格并正常运行</w:t>
      </w:r>
      <w:r>
        <w:rPr>
          <w:rFonts w:hint="eastAsia"/>
          <w:color w:val="auto"/>
          <w:sz w:val="24"/>
          <w:highlight w:val="none"/>
          <w:u w:val="single"/>
        </w:rPr>
        <w:t xml:space="preserve"> 3</w:t>
      </w:r>
      <w:r>
        <w:rPr>
          <w:rFonts w:hint="eastAsia"/>
          <w:color w:val="auto"/>
          <w:sz w:val="24"/>
          <w:highlight w:val="none"/>
        </w:rPr>
        <w:t>个月后可支付全部货款的</w:t>
      </w:r>
      <w:r>
        <w:rPr>
          <w:rFonts w:hint="eastAsia"/>
          <w:color w:val="auto"/>
          <w:sz w:val="24"/>
          <w:highlight w:val="none"/>
          <w:u w:val="single"/>
        </w:rPr>
        <w:t xml:space="preserve"> 30 </w:t>
      </w:r>
      <w:r>
        <w:rPr>
          <w:rFonts w:hint="eastAsia"/>
          <w:color w:val="auto"/>
          <w:sz w:val="24"/>
          <w:highlight w:val="none"/>
        </w:rPr>
        <w:t>%，若设备因甲方施工等原因导致无法正常运行3个月的，则货到安装调试验收合格</w:t>
      </w:r>
      <w:r>
        <w:rPr>
          <w:rFonts w:hint="eastAsia"/>
          <w:color w:val="auto"/>
          <w:sz w:val="24"/>
          <w:highlight w:val="none"/>
          <w:u w:val="single"/>
        </w:rPr>
        <w:t xml:space="preserve"> 4</w:t>
      </w:r>
      <w:r>
        <w:rPr>
          <w:rFonts w:hint="eastAsia"/>
          <w:color w:val="auto"/>
          <w:sz w:val="24"/>
          <w:highlight w:val="none"/>
        </w:rPr>
        <w:t>个月后支付全部货款的</w:t>
      </w:r>
      <w:r>
        <w:rPr>
          <w:rFonts w:hint="eastAsia"/>
          <w:color w:val="auto"/>
          <w:sz w:val="24"/>
          <w:highlight w:val="none"/>
          <w:u w:val="single"/>
        </w:rPr>
        <w:t xml:space="preserve"> 30</w:t>
      </w:r>
      <w:r>
        <w:rPr>
          <w:rFonts w:hint="eastAsia"/>
          <w:color w:val="auto"/>
          <w:sz w:val="24"/>
          <w:highlight w:val="none"/>
        </w:rPr>
        <w:t xml:space="preserve"> %，剩余货款即全部货款的</w:t>
      </w:r>
      <w:r>
        <w:rPr>
          <w:rFonts w:hint="eastAsia"/>
          <w:color w:val="auto"/>
          <w:sz w:val="24"/>
          <w:highlight w:val="none"/>
          <w:u w:val="single"/>
        </w:rPr>
        <w:t xml:space="preserve"> 5 </w:t>
      </w:r>
      <w:r>
        <w:rPr>
          <w:rFonts w:hint="eastAsia"/>
          <w:color w:val="auto"/>
          <w:sz w:val="24"/>
          <w:highlight w:val="none"/>
        </w:rPr>
        <w:t>%，该笔款项自正式使用后开始计算质保期，待质保期满后无质量问题一次性付清。</w:t>
      </w:r>
      <w:r>
        <w:rPr>
          <w:rFonts w:hint="eastAsia"/>
          <w:b/>
          <w:bCs/>
          <w:color w:val="auto"/>
          <w:sz w:val="24"/>
          <w:highlight w:val="none"/>
        </w:rPr>
        <w:t>每次付款前</w:t>
      </w:r>
      <w:r>
        <w:rPr>
          <w:rFonts w:hint="eastAsia"/>
          <w:b/>
          <w:bCs/>
          <w:color w:val="auto"/>
          <w:sz w:val="24"/>
          <w:highlight w:val="none"/>
          <w:u w:val="single"/>
        </w:rPr>
        <w:t xml:space="preserve">    </w:t>
      </w:r>
      <w:r>
        <w:rPr>
          <w:rFonts w:hint="eastAsia"/>
          <w:b/>
          <w:bCs/>
          <w:color w:val="auto"/>
          <w:sz w:val="24"/>
          <w:highlight w:val="none"/>
        </w:rPr>
        <w:t>个工作日内，乙方需提前向甲方开具相应金额的正式税务发票。</w:t>
      </w:r>
    </w:p>
    <w:p>
      <w:pPr>
        <w:spacing w:line="340" w:lineRule="exact"/>
        <w:ind w:firstLine="480" w:firstLineChars="200"/>
        <w:rPr>
          <w:rFonts w:hint="eastAsia"/>
          <w:color w:val="auto"/>
          <w:sz w:val="24"/>
          <w:highlight w:val="none"/>
        </w:rPr>
      </w:pPr>
      <w:r>
        <w:rPr>
          <w:rFonts w:hint="eastAsia"/>
          <w:color w:val="auto"/>
          <w:sz w:val="24"/>
          <w:highlight w:val="none"/>
        </w:rPr>
        <w:t>2、支付方式：甲方直接将货款通过银行转账的方式转入乙方指定的专用账号。乙方账户名：</w:t>
      </w:r>
      <w:r>
        <w:rPr>
          <w:rFonts w:hint="eastAsia"/>
          <w:color w:val="auto"/>
          <w:sz w:val="24"/>
          <w:highlight w:val="none"/>
          <w:u w:val="single"/>
        </w:rPr>
        <w:t xml:space="preserve">               </w:t>
      </w:r>
      <w:r>
        <w:rPr>
          <w:rFonts w:hint="eastAsia"/>
          <w:color w:val="auto"/>
          <w:sz w:val="24"/>
          <w:highlight w:val="none"/>
        </w:rPr>
        <w:t>。账号：</w:t>
      </w:r>
      <w:r>
        <w:rPr>
          <w:rFonts w:hint="eastAsia"/>
          <w:color w:val="auto"/>
          <w:sz w:val="24"/>
          <w:highlight w:val="none"/>
          <w:u w:val="single"/>
        </w:rPr>
        <w:t xml:space="preserve">              </w:t>
      </w:r>
      <w:r>
        <w:rPr>
          <w:rFonts w:hint="eastAsia"/>
          <w:color w:val="auto"/>
          <w:sz w:val="24"/>
          <w:highlight w:val="none"/>
        </w:rPr>
        <w:t>。开户行</w:t>
      </w:r>
      <w:r>
        <w:rPr>
          <w:rFonts w:hint="eastAsia"/>
          <w:color w:val="auto"/>
          <w:sz w:val="24"/>
          <w:highlight w:val="none"/>
          <w:u w:val="single"/>
        </w:rPr>
        <w:t xml:space="preserve">             </w:t>
      </w:r>
      <w:r>
        <w:rPr>
          <w:rFonts w:hint="eastAsia"/>
          <w:color w:val="auto"/>
          <w:sz w:val="24"/>
          <w:highlight w:val="none"/>
        </w:rPr>
        <w:t>。</w:t>
      </w:r>
    </w:p>
    <w:p>
      <w:pPr>
        <w:spacing w:line="340" w:lineRule="exact"/>
        <w:ind w:firstLine="482" w:firstLineChars="200"/>
        <w:rPr>
          <w:rFonts w:hint="eastAsia"/>
          <w:b/>
          <w:color w:val="auto"/>
          <w:sz w:val="24"/>
          <w:highlight w:val="none"/>
        </w:rPr>
      </w:pPr>
      <w:r>
        <w:rPr>
          <w:rFonts w:hint="eastAsia"/>
          <w:b/>
          <w:color w:val="auto"/>
          <w:sz w:val="24"/>
          <w:highlight w:val="none"/>
        </w:rPr>
        <w:t>第七条：包装方式：</w:t>
      </w:r>
    </w:p>
    <w:p>
      <w:pPr>
        <w:spacing w:line="340" w:lineRule="exact"/>
        <w:ind w:firstLine="480" w:firstLineChars="200"/>
        <w:rPr>
          <w:rFonts w:hint="eastAsia"/>
          <w:color w:val="auto"/>
          <w:sz w:val="24"/>
          <w:highlight w:val="none"/>
        </w:rPr>
      </w:pPr>
      <w:r>
        <w:rPr>
          <w:rFonts w:hint="eastAsia"/>
          <w:color w:val="auto"/>
          <w:sz w:val="24"/>
          <w:highlight w:val="none"/>
        </w:rPr>
        <w:t>包装箱应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等相关规定。</w:t>
      </w:r>
    </w:p>
    <w:p>
      <w:pPr>
        <w:spacing w:line="340" w:lineRule="exact"/>
        <w:ind w:firstLine="482" w:firstLineChars="200"/>
        <w:rPr>
          <w:rFonts w:hint="eastAsia"/>
          <w:b/>
          <w:color w:val="auto"/>
          <w:sz w:val="24"/>
          <w:highlight w:val="none"/>
        </w:rPr>
      </w:pPr>
      <w:r>
        <w:rPr>
          <w:rFonts w:hint="eastAsia"/>
          <w:b/>
          <w:color w:val="auto"/>
          <w:sz w:val="24"/>
          <w:highlight w:val="none"/>
        </w:rPr>
        <w:t>第八条：运输及风险：</w:t>
      </w:r>
    </w:p>
    <w:p>
      <w:pPr>
        <w:spacing w:line="340" w:lineRule="exact"/>
        <w:ind w:firstLine="480" w:firstLineChars="200"/>
        <w:rPr>
          <w:rFonts w:hint="eastAsia"/>
          <w:color w:val="auto"/>
          <w:sz w:val="24"/>
          <w:highlight w:val="none"/>
        </w:rPr>
      </w:pPr>
      <w:r>
        <w:rPr>
          <w:rFonts w:hint="eastAsia"/>
          <w:color w:val="auto"/>
          <w:sz w:val="24"/>
          <w:highlight w:val="none"/>
        </w:rPr>
        <w:t>1、选择运输风险小、运费低、距离短的运输路线。</w:t>
      </w:r>
    </w:p>
    <w:p>
      <w:pPr>
        <w:spacing w:line="340" w:lineRule="exact"/>
        <w:ind w:firstLine="480" w:firstLineChars="200"/>
        <w:rPr>
          <w:rFonts w:hint="eastAsia"/>
          <w:color w:val="auto"/>
          <w:sz w:val="24"/>
          <w:highlight w:val="none"/>
        </w:rPr>
      </w:pPr>
      <w:r>
        <w:rPr>
          <w:rFonts w:hint="eastAsia"/>
          <w:color w:val="auto"/>
          <w:sz w:val="24"/>
          <w:highlight w:val="none"/>
        </w:rPr>
        <w:t>2、乙方自行选择运送方式并负责将产品运输到指定交货地点，并承担合同中约定的全部费用。</w:t>
      </w:r>
    </w:p>
    <w:p>
      <w:pPr>
        <w:spacing w:line="340" w:lineRule="exact"/>
        <w:ind w:firstLine="480" w:firstLineChars="200"/>
        <w:rPr>
          <w:rFonts w:hint="eastAsia"/>
          <w:color w:val="auto"/>
          <w:sz w:val="24"/>
          <w:highlight w:val="none"/>
        </w:rPr>
      </w:pPr>
      <w:r>
        <w:rPr>
          <w:rFonts w:hint="eastAsia"/>
          <w:color w:val="auto"/>
          <w:sz w:val="24"/>
          <w:highlight w:val="none"/>
        </w:rPr>
        <w:t>3、运杂费包含在合同总金额内，包括乙方发货地至交货地之间所需的运输费、仓储费、装卸费、保险费、二次倒运费、现场保管费用等。</w:t>
      </w:r>
    </w:p>
    <w:p>
      <w:pPr>
        <w:spacing w:line="340" w:lineRule="exact"/>
        <w:ind w:firstLine="480" w:firstLineChars="200"/>
        <w:rPr>
          <w:rFonts w:hint="eastAsia"/>
          <w:color w:val="auto"/>
          <w:sz w:val="24"/>
          <w:highlight w:val="none"/>
        </w:rPr>
      </w:pPr>
      <w:r>
        <w:rPr>
          <w:rFonts w:hint="eastAsia"/>
          <w:color w:val="auto"/>
          <w:sz w:val="24"/>
          <w:highlight w:val="none"/>
        </w:rPr>
        <w:t>4、货物在交付甲方之前，毁损、灭失的风险均由乙方全部承担。</w:t>
      </w:r>
    </w:p>
    <w:p>
      <w:pPr>
        <w:spacing w:line="340" w:lineRule="exact"/>
        <w:ind w:firstLine="482" w:firstLineChars="200"/>
        <w:rPr>
          <w:rFonts w:hint="eastAsia"/>
          <w:b/>
          <w:color w:val="auto"/>
          <w:sz w:val="24"/>
          <w:highlight w:val="none"/>
        </w:rPr>
      </w:pPr>
      <w:r>
        <w:rPr>
          <w:rFonts w:hint="eastAsia"/>
          <w:b/>
          <w:color w:val="auto"/>
          <w:sz w:val="24"/>
          <w:highlight w:val="none"/>
        </w:rPr>
        <w:t>第九条：质量保证：</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1</w:t>
      </w:r>
      <w:r>
        <w:rPr>
          <w:rFonts w:hint="eastAsia" w:ascii="Arial" w:hAnsi="Arial" w:cs="Arial"/>
          <w:color w:val="auto"/>
          <w:sz w:val="24"/>
          <w:highlight w:val="none"/>
        </w:rPr>
        <w:t>、乙</w:t>
      </w:r>
      <w:r>
        <w:rPr>
          <w:rFonts w:ascii="Arial" w:hAnsi="Arial" w:cs="Arial"/>
          <w:color w:val="auto"/>
          <w:sz w:val="24"/>
          <w:highlight w:val="none"/>
        </w:rPr>
        <w:t>方</w:t>
      </w:r>
      <w:r>
        <w:rPr>
          <w:rFonts w:hint="eastAsia" w:ascii="Arial" w:hAnsi="Arial" w:cs="Arial"/>
          <w:color w:val="auto"/>
          <w:sz w:val="24"/>
          <w:highlight w:val="none"/>
        </w:rPr>
        <w:t>的</w:t>
      </w:r>
      <w:r>
        <w:rPr>
          <w:rFonts w:ascii="Arial" w:hAnsi="Arial" w:cs="Arial"/>
          <w:color w:val="auto"/>
          <w:sz w:val="24"/>
          <w:highlight w:val="none"/>
        </w:rPr>
        <w:t>产品质量</w:t>
      </w:r>
      <w:r>
        <w:rPr>
          <w:rFonts w:hint="eastAsia" w:ascii="Arial" w:hAnsi="Arial" w:cs="Arial"/>
          <w:color w:val="auto"/>
          <w:sz w:val="24"/>
          <w:highlight w:val="none"/>
        </w:rPr>
        <w:t>应当符合国家行业规定的标准，并无任何瑕疵；乙方应按配置清单要求提供原装全新产品，对该产品实行三包（即包修、包退、包换）。</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2</w:t>
      </w:r>
      <w:r>
        <w:rPr>
          <w:rFonts w:hint="eastAsia" w:ascii="Arial" w:hAnsi="Arial" w:cs="Arial"/>
          <w:color w:val="auto"/>
          <w:sz w:val="24"/>
          <w:highlight w:val="none"/>
        </w:rPr>
        <w:t>、如交付品种、</w:t>
      </w: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"http://www.hudong.com/wiki/%E5%9E%8B%E5%8F%B7" \o "型号" \t "_blank"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型号</w:t>
      </w:r>
      <w:r>
        <w:rPr>
          <w:rFonts w:hint="eastAsia" w:ascii="Arial" w:hAnsi="Arial" w:cs="Arial"/>
          <w:color w:val="auto"/>
          <w:sz w:val="24"/>
          <w:highlight w:val="none"/>
        </w:rPr>
        <w:fldChar w:fldCharType="end"/>
      </w:r>
      <w:r>
        <w:rPr>
          <w:rFonts w:hint="eastAsia" w:ascii="Arial" w:hAnsi="Arial" w:cs="Arial"/>
          <w:color w:val="auto"/>
          <w:sz w:val="24"/>
          <w:highlight w:val="none"/>
        </w:rPr>
        <w:t>、</w:t>
      </w:r>
      <w:r>
        <w:rPr>
          <w:rFonts w:hint="eastAsia" w:ascii="Arial" w:hAnsi="Arial" w:cs="Arial"/>
          <w:color w:val="auto"/>
          <w:sz w:val="24"/>
          <w:highlight w:val="none"/>
        </w:rPr>
        <w:fldChar w:fldCharType="begin"/>
      </w:r>
      <w:r>
        <w:rPr>
          <w:rFonts w:hint="eastAsia" w:ascii="Arial" w:hAnsi="Arial" w:cs="Arial"/>
          <w:color w:val="auto"/>
          <w:sz w:val="24"/>
          <w:highlight w:val="none"/>
        </w:rPr>
        <w:instrText xml:space="preserve"> HYPERLINK "http://www.hudong.com/wiki/%E8%A7%84%E6%A0%BC" \o "规格" \t "_blank" </w:instrText>
      </w:r>
      <w:r>
        <w:rPr>
          <w:rFonts w:hint="eastAsia" w:ascii="Arial" w:hAnsi="Arial" w:cs="Arial"/>
          <w:color w:val="auto"/>
          <w:sz w:val="24"/>
          <w:highlight w:val="none"/>
        </w:rPr>
        <w:fldChar w:fldCharType="separate"/>
      </w:r>
      <w:r>
        <w:rPr>
          <w:rFonts w:hint="eastAsia" w:ascii="Arial" w:hAnsi="Arial" w:cs="Arial"/>
          <w:color w:val="auto"/>
          <w:sz w:val="24"/>
          <w:highlight w:val="none"/>
        </w:rPr>
        <w:t>规格</w:t>
      </w:r>
      <w:r>
        <w:rPr>
          <w:rFonts w:hint="eastAsia" w:ascii="Arial" w:hAnsi="Arial" w:cs="Arial"/>
          <w:color w:val="auto"/>
          <w:sz w:val="24"/>
          <w:highlight w:val="none"/>
        </w:rPr>
        <w:fldChar w:fldCharType="end"/>
      </w:r>
      <w:r>
        <w:rPr>
          <w:rFonts w:hint="eastAsia" w:ascii="Arial" w:hAnsi="Arial" w:cs="Arial"/>
          <w:color w:val="auto"/>
          <w:sz w:val="24"/>
          <w:highlight w:val="none"/>
        </w:rPr>
        <w:t>不符合同约定的，由乙方负责退换，由此产生的一切费用及给甲方造成的相关损失由乙方全部承担并赔偿相应损失</w:t>
      </w:r>
      <w:r>
        <w:rPr>
          <w:rFonts w:ascii="Arial" w:hAnsi="Arial" w:cs="Arial"/>
          <w:color w:val="auto"/>
          <w:sz w:val="24"/>
          <w:highlight w:val="none"/>
        </w:rPr>
        <w:t>。</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3</w:t>
      </w:r>
      <w:r>
        <w:rPr>
          <w:rFonts w:hint="eastAsia" w:ascii="Arial" w:hAnsi="Arial" w:cs="Arial"/>
          <w:color w:val="auto"/>
          <w:sz w:val="24"/>
          <w:highlight w:val="none"/>
        </w:rPr>
        <w:t>、如</w:t>
      </w:r>
      <w:r>
        <w:rPr>
          <w:rFonts w:ascii="Arial" w:hAnsi="Arial" w:cs="Arial"/>
          <w:color w:val="auto"/>
          <w:sz w:val="24"/>
          <w:highlight w:val="none"/>
        </w:rPr>
        <w:t>不能修理或者不能调换的，按不能交货处理</w:t>
      </w:r>
      <w:r>
        <w:rPr>
          <w:rFonts w:hint="eastAsia" w:ascii="Arial" w:hAnsi="Arial" w:cs="Arial"/>
          <w:color w:val="auto"/>
          <w:sz w:val="24"/>
          <w:highlight w:val="none"/>
        </w:rPr>
        <w:t>，因此给甲方造成的所有经济损失乙方应予全额赔偿。</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4</w:t>
      </w:r>
      <w:r>
        <w:rPr>
          <w:rFonts w:hint="eastAsia" w:ascii="Arial" w:hAnsi="Arial" w:cs="Arial"/>
          <w:color w:val="auto"/>
          <w:sz w:val="24"/>
          <w:highlight w:val="none"/>
        </w:rPr>
        <w:t>、如因该产品本身的质量原因而在使用过程中造成的任何医疗事故纠纷，由乙方全额负责赔偿。</w:t>
      </w:r>
    </w:p>
    <w:p>
      <w:pPr>
        <w:spacing w:line="340" w:lineRule="exact"/>
        <w:ind w:firstLine="482" w:firstLineChars="200"/>
        <w:rPr>
          <w:rFonts w:hint="eastAsia" w:ascii="Arial" w:hAnsi="Arial" w:cs="Arial"/>
          <w:b/>
          <w:color w:val="auto"/>
          <w:sz w:val="24"/>
          <w:highlight w:val="none"/>
        </w:rPr>
      </w:pPr>
      <w:r>
        <w:rPr>
          <w:rFonts w:hint="eastAsia" w:ascii="Arial" w:hAnsi="Arial" w:cs="Arial"/>
          <w:b/>
          <w:color w:val="auto"/>
          <w:sz w:val="24"/>
          <w:highlight w:val="none"/>
        </w:rPr>
        <w:t>第十条：售后服务：</w:t>
      </w:r>
    </w:p>
    <w:p>
      <w:pPr>
        <w:spacing w:line="340" w:lineRule="exact"/>
        <w:ind w:firstLine="470" w:firstLineChars="196"/>
        <w:rPr>
          <w:rFonts w:hint="eastAsia" w:ascii="Arial" w:hAnsi="Arial" w:cs="Arial"/>
          <w:color w:val="auto"/>
          <w:sz w:val="24"/>
          <w:highlight w:val="none"/>
        </w:rPr>
      </w:pPr>
      <w:r>
        <w:rPr>
          <w:rFonts w:hint="eastAsia"/>
          <w:color w:val="auto"/>
          <w:sz w:val="24"/>
          <w:highlight w:val="none"/>
        </w:rPr>
        <w:t>1</w:t>
      </w:r>
      <w:r>
        <w:rPr>
          <w:rFonts w:hint="eastAsia" w:ascii="Arial" w:hAnsi="Arial" w:cs="Arial"/>
          <w:color w:val="auto"/>
          <w:sz w:val="24"/>
          <w:highlight w:val="none"/>
        </w:rPr>
        <w:t>、</w:t>
      </w:r>
      <w:r>
        <w:rPr>
          <w:rFonts w:hint="eastAsia"/>
          <w:color w:val="auto"/>
          <w:sz w:val="24"/>
          <w:highlight w:val="none"/>
        </w:rPr>
        <w:t>乙方必须具有完善的售后服务体系，高水平的技术维修人员和良好的设备备件供应能力。</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2</w:t>
      </w:r>
      <w:r>
        <w:rPr>
          <w:rFonts w:hint="eastAsia" w:ascii="Arial" w:hAnsi="Arial" w:cs="Arial"/>
          <w:color w:val="auto"/>
          <w:sz w:val="24"/>
          <w:highlight w:val="none"/>
        </w:rPr>
        <w:t>、乙方同意该产品自安装、调试、验收合格并正常使用之日起免费保修，保质期为</w:t>
      </w:r>
      <w:r>
        <w:rPr>
          <w:rFonts w:hint="eastAsia" w:ascii="Arial" w:hAnsi="Arial" w:cs="Arial"/>
          <w:color w:val="auto"/>
          <w:sz w:val="24"/>
          <w:highlight w:val="none"/>
          <w:u w:val="single"/>
        </w:rPr>
        <w:t xml:space="preserve">   </w:t>
      </w:r>
      <w:r>
        <w:rPr>
          <w:rFonts w:hint="eastAsia" w:ascii="Arial" w:hAnsi="Arial" w:cs="Arial"/>
          <w:color w:val="auto"/>
          <w:sz w:val="24"/>
          <w:highlight w:val="none"/>
        </w:rPr>
        <w:t xml:space="preserve">年，在保修、保质期内出现的任何质量问题，乙方保证在接到甲方维修通知之日起24小时内派专业维修人员赶赴现场（即甲方指定地点）进行维修。     </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3</w:t>
      </w:r>
      <w:r>
        <w:rPr>
          <w:rFonts w:hint="eastAsia" w:ascii="Arial" w:hAnsi="Arial" w:cs="Arial"/>
          <w:color w:val="auto"/>
          <w:sz w:val="24"/>
          <w:highlight w:val="none"/>
        </w:rPr>
        <w:t>、保修、保质期内，要确保该产品系统正常运行，开机率不得低于95%，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4</w:t>
      </w:r>
      <w:r>
        <w:rPr>
          <w:rFonts w:hint="eastAsia" w:ascii="Arial" w:hAnsi="Arial" w:cs="Arial"/>
          <w:color w:val="auto"/>
          <w:sz w:val="24"/>
          <w:highlight w:val="none"/>
        </w:rPr>
        <w:t>、保修、保质期内，维修费用、乙方维修人员的差旅费及其他相关费用均由乙方承担。</w:t>
      </w:r>
    </w:p>
    <w:p>
      <w:pPr>
        <w:spacing w:line="340" w:lineRule="exact"/>
        <w:ind w:firstLine="480" w:firstLineChars="200"/>
        <w:rPr>
          <w:rFonts w:hint="eastAsia" w:ascii="宋体" w:hAnsi="宋体"/>
          <w:color w:val="auto"/>
          <w:sz w:val="24"/>
          <w:highlight w:val="none"/>
        </w:rPr>
      </w:pPr>
      <w:r>
        <w:rPr>
          <w:rFonts w:hint="eastAsia"/>
          <w:color w:val="auto"/>
          <w:sz w:val="24"/>
          <w:highlight w:val="none"/>
        </w:rPr>
        <w:t>5</w:t>
      </w:r>
      <w:r>
        <w:rPr>
          <w:rFonts w:hint="eastAsia" w:ascii="Arial" w:hAnsi="Arial" w:cs="Arial"/>
          <w:color w:val="auto"/>
          <w:sz w:val="24"/>
          <w:highlight w:val="none"/>
        </w:rPr>
        <w:t>、保修、保质期满后，乙方负责终身优质服务，检修更换的产品配置零件按标准报价</w:t>
      </w:r>
      <w:r>
        <w:rPr>
          <w:rFonts w:hint="eastAsia" w:ascii="Arial" w:hAnsi="Arial" w:cs="Arial"/>
          <w:color w:val="auto"/>
          <w:sz w:val="24"/>
          <w:highlight w:val="none"/>
          <w:u w:val="single"/>
        </w:rPr>
        <w:t xml:space="preserve"> 8 </w:t>
      </w:r>
      <w:r>
        <w:rPr>
          <w:rFonts w:hint="eastAsia" w:ascii="Arial" w:hAnsi="Arial" w:cs="Arial"/>
          <w:color w:val="auto"/>
          <w:sz w:val="24"/>
          <w:highlight w:val="none"/>
        </w:rPr>
        <w:t>折的优惠价向甲方提供，</w:t>
      </w:r>
      <w:r>
        <w:rPr>
          <w:rFonts w:hint="eastAsia" w:ascii="宋体" w:hAnsi="宋体"/>
          <w:color w:val="auto"/>
          <w:sz w:val="24"/>
          <w:highlight w:val="none"/>
        </w:rPr>
        <w:t>免人工费、差旅费及工时费，只收取更换的零配件成本费。</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6</w:t>
      </w:r>
      <w:r>
        <w:rPr>
          <w:rFonts w:hint="eastAsia" w:ascii="Arial" w:hAnsi="Arial" w:cs="Arial"/>
          <w:color w:val="auto"/>
          <w:sz w:val="24"/>
          <w:highlight w:val="none"/>
        </w:rPr>
        <w:t>、乙方负责产品机型系统错误改进，在保修、保质期内对该机型的软件免费更换或升级。</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7</w:t>
      </w:r>
      <w:r>
        <w:rPr>
          <w:rFonts w:hint="eastAsia" w:ascii="Arial" w:hAnsi="Arial" w:cs="Arial"/>
          <w:color w:val="auto"/>
          <w:sz w:val="24"/>
          <w:highlight w:val="none"/>
        </w:rPr>
        <w:t>、如以后该产品升级换代，乙方愿意以优惠价格向甲方提供。</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8</w:t>
      </w:r>
      <w:r>
        <w:rPr>
          <w:rFonts w:hint="eastAsia" w:ascii="Arial" w:hAnsi="Arial" w:cs="Arial"/>
          <w:color w:val="auto"/>
          <w:sz w:val="24"/>
          <w:highlight w:val="none"/>
        </w:rPr>
        <w:t>、如因产品本身的隐蔽瑕疵而出现的质量问题，乙方应全面负责维修调试或更新更换并承担全部费用。</w:t>
      </w:r>
    </w:p>
    <w:p>
      <w:pPr>
        <w:spacing w:line="340" w:lineRule="exact"/>
        <w:ind w:firstLine="480" w:firstLineChars="200"/>
        <w:rPr>
          <w:rFonts w:hint="eastAsia" w:ascii="Arial" w:hAnsi="Arial" w:cs="Arial"/>
          <w:color w:val="auto"/>
          <w:sz w:val="24"/>
          <w:highlight w:val="none"/>
        </w:rPr>
      </w:pPr>
      <w:r>
        <w:rPr>
          <w:rFonts w:hint="eastAsia"/>
          <w:color w:val="auto"/>
          <w:sz w:val="24"/>
          <w:highlight w:val="none"/>
        </w:rPr>
        <w:t>9</w:t>
      </w:r>
      <w:r>
        <w:rPr>
          <w:rFonts w:hint="eastAsia" w:ascii="Arial" w:hAnsi="Arial" w:cs="Arial"/>
          <w:color w:val="auto"/>
          <w:sz w:val="24"/>
          <w:highlight w:val="none"/>
        </w:rPr>
        <w:t>、乙方必须严格依据合同约定及投标文件中的售后服务承诺履行售后服务义务。</w:t>
      </w:r>
    </w:p>
    <w:p>
      <w:pPr>
        <w:spacing w:line="340" w:lineRule="exact"/>
        <w:ind w:firstLine="482" w:firstLineChars="200"/>
        <w:rPr>
          <w:rFonts w:hint="eastAsia"/>
          <w:b/>
          <w:color w:val="auto"/>
          <w:sz w:val="24"/>
          <w:highlight w:val="none"/>
        </w:rPr>
      </w:pPr>
      <w:r>
        <w:rPr>
          <w:rFonts w:hint="eastAsia"/>
          <w:b/>
          <w:color w:val="auto"/>
          <w:sz w:val="24"/>
          <w:highlight w:val="none"/>
        </w:rPr>
        <w:t>第十一条：技术服务：</w:t>
      </w:r>
    </w:p>
    <w:p>
      <w:pPr>
        <w:spacing w:line="340" w:lineRule="exact"/>
        <w:ind w:firstLine="480" w:firstLineChars="200"/>
        <w:rPr>
          <w:rFonts w:hint="eastAsia"/>
          <w:color w:val="auto"/>
          <w:sz w:val="24"/>
          <w:highlight w:val="none"/>
        </w:rPr>
      </w:pPr>
      <w:r>
        <w:rPr>
          <w:rFonts w:hint="eastAsia"/>
          <w:color w:val="auto"/>
          <w:sz w:val="24"/>
          <w:highlight w:val="none"/>
        </w:rPr>
        <w:t>1、乙方必须在交货时向甲方提供产品详细的中文技术资料1套/台、中文技术操作手册、中文维修手册、中文保养手册、设备总图、电子线路图、机械结构图、产品合格证、中文产品使用说明书等相关材料。</w:t>
      </w:r>
    </w:p>
    <w:p>
      <w:pPr>
        <w:spacing w:line="340" w:lineRule="exact"/>
        <w:ind w:firstLine="480" w:firstLineChars="200"/>
        <w:rPr>
          <w:rFonts w:hint="eastAsia"/>
          <w:color w:val="auto"/>
          <w:sz w:val="24"/>
          <w:highlight w:val="none"/>
        </w:rPr>
      </w:pPr>
      <w:r>
        <w:rPr>
          <w:rFonts w:hint="eastAsia"/>
          <w:color w:val="auto"/>
          <w:sz w:val="24"/>
          <w:highlight w:val="none"/>
        </w:rPr>
        <w:t>2、乙方应当负责对甲方的工作人员进行操作培训，使操作人员能够独立、熟练操作直至该产品可以正常使用为止。</w:t>
      </w:r>
    </w:p>
    <w:p>
      <w:pPr>
        <w:spacing w:line="340" w:lineRule="exact"/>
        <w:ind w:firstLine="480" w:firstLineChars="200"/>
        <w:rPr>
          <w:rFonts w:hint="eastAsia"/>
          <w:color w:val="auto"/>
          <w:sz w:val="24"/>
          <w:highlight w:val="none"/>
        </w:rPr>
      </w:pPr>
      <w:r>
        <w:rPr>
          <w:rFonts w:hint="eastAsia"/>
          <w:color w:val="auto"/>
          <w:sz w:val="24"/>
          <w:highlight w:val="none"/>
        </w:rPr>
        <w:t>3、乙方应当负责该产品的调试、安装到位，保证正常使用，全部费用由乙方承担。</w:t>
      </w:r>
    </w:p>
    <w:p>
      <w:pPr>
        <w:spacing w:line="340" w:lineRule="exact"/>
        <w:ind w:firstLine="472" w:firstLineChars="196"/>
        <w:rPr>
          <w:rFonts w:hint="eastAsia"/>
          <w:b/>
          <w:color w:val="auto"/>
          <w:sz w:val="24"/>
          <w:highlight w:val="none"/>
        </w:rPr>
      </w:pPr>
      <w:r>
        <w:rPr>
          <w:rFonts w:hint="eastAsia"/>
          <w:b/>
          <w:color w:val="auto"/>
          <w:sz w:val="24"/>
          <w:highlight w:val="none"/>
        </w:rPr>
        <w:t>第十二条：产品的验收：</w:t>
      </w:r>
    </w:p>
    <w:p>
      <w:pPr>
        <w:spacing w:line="340" w:lineRule="exact"/>
        <w:ind w:firstLine="480" w:firstLineChars="200"/>
        <w:rPr>
          <w:rFonts w:hint="eastAsia"/>
          <w:color w:val="auto"/>
          <w:sz w:val="24"/>
          <w:highlight w:val="none"/>
        </w:rPr>
      </w:pPr>
      <w:r>
        <w:rPr>
          <w:rFonts w:hint="eastAsia"/>
          <w:color w:val="auto"/>
          <w:sz w:val="24"/>
          <w:highlight w:val="none"/>
        </w:rPr>
        <w:t>1、甲方必须在乙方提出书面验收申请之日起</w:t>
      </w:r>
      <w:r>
        <w:rPr>
          <w:rFonts w:hint="eastAsia"/>
          <w:color w:val="auto"/>
          <w:sz w:val="24"/>
          <w:highlight w:val="none"/>
          <w:u w:val="single"/>
        </w:rPr>
        <w:t xml:space="preserve"> 2 </w:t>
      </w:r>
      <w:r>
        <w:rPr>
          <w:rFonts w:hint="eastAsia"/>
          <w:color w:val="auto"/>
          <w:sz w:val="24"/>
          <w:highlight w:val="none"/>
        </w:rPr>
        <w:t>个工作日内，组织验收工作。验收由甲方指定单位及人员进行验收，验收合格后出具书面验收合格证明，作为对产品的最终认可。</w:t>
      </w:r>
    </w:p>
    <w:p>
      <w:pPr>
        <w:spacing w:line="340" w:lineRule="exact"/>
        <w:ind w:firstLine="480" w:firstLineChars="200"/>
        <w:rPr>
          <w:rFonts w:hint="eastAsia"/>
          <w:color w:val="auto"/>
          <w:sz w:val="24"/>
          <w:highlight w:val="none"/>
        </w:rPr>
      </w:pPr>
      <w:r>
        <w:rPr>
          <w:rFonts w:hint="eastAsia"/>
          <w:color w:val="auto"/>
          <w:sz w:val="24"/>
          <w:highlight w:val="none"/>
        </w:rPr>
        <w:t>2、验收依据：单证齐全，应有产品合格证、质量证明、使用说明、保修保质证明、发票和其他应当具有的单证，并符合国家法律、法规对该产品规定的国家标准的要求。</w:t>
      </w:r>
    </w:p>
    <w:p>
      <w:pPr>
        <w:spacing w:line="340" w:lineRule="exact"/>
        <w:ind w:firstLine="472" w:firstLineChars="196"/>
        <w:rPr>
          <w:rFonts w:hint="eastAsia"/>
          <w:b/>
          <w:color w:val="auto"/>
          <w:sz w:val="24"/>
          <w:highlight w:val="none"/>
        </w:rPr>
      </w:pPr>
      <w:r>
        <w:rPr>
          <w:rFonts w:hint="eastAsia"/>
          <w:b/>
          <w:color w:val="auto"/>
          <w:sz w:val="24"/>
          <w:highlight w:val="none"/>
        </w:rPr>
        <w:t>第十三条：违约责任：</w:t>
      </w:r>
    </w:p>
    <w:p>
      <w:pPr>
        <w:spacing w:line="340" w:lineRule="exact"/>
        <w:ind w:firstLine="480" w:firstLineChars="200"/>
        <w:rPr>
          <w:rFonts w:hint="eastAsia"/>
          <w:color w:val="auto"/>
          <w:sz w:val="24"/>
          <w:highlight w:val="none"/>
        </w:rPr>
      </w:pPr>
      <w:r>
        <w:rPr>
          <w:rFonts w:hint="eastAsia"/>
          <w:color w:val="auto"/>
          <w:sz w:val="24"/>
          <w:highlight w:val="none"/>
        </w:rPr>
        <w:t>1、乙方如不能及时交货或未按照本合同约定及时安装、调试完毕或违反第九条约定，应向甲方支付本合同总价款</w:t>
      </w:r>
      <w:r>
        <w:rPr>
          <w:rFonts w:hint="eastAsia"/>
          <w:color w:val="auto"/>
          <w:sz w:val="24"/>
          <w:highlight w:val="none"/>
          <w:u w:val="single"/>
        </w:rPr>
        <w:t xml:space="preserve">10 </w:t>
      </w:r>
      <w:r>
        <w:rPr>
          <w:rFonts w:hint="eastAsia"/>
          <w:color w:val="auto"/>
          <w:sz w:val="24"/>
          <w:highlight w:val="none"/>
        </w:rPr>
        <w:t>%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pPr>
        <w:spacing w:line="340" w:lineRule="exact"/>
        <w:ind w:firstLine="480" w:firstLineChars="200"/>
        <w:rPr>
          <w:rFonts w:hint="eastAsia"/>
          <w:color w:val="auto"/>
          <w:sz w:val="24"/>
          <w:highlight w:val="none"/>
        </w:rPr>
      </w:pPr>
      <w:r>
        <w:rPr>
          <w:rFonts w:hint="eastAsia"/>
          <w:color w:val="auto"/>
          <w:sz w:val="24"/>
          <w:highlight w:val="none"/>
        </w:rPr>
        <w:t>2、除前款约定外，乙方未按合同要求提供产品或提供虚假材料，且质量不能满足技术要求的，甲方有权终止合同，同时要求乙方承担相应的经济损失或承担本合同总价款10</w:t>
      </w:r>
      <w:r>
        <w:rPr>
          <w:rFonts w:hint="eastAsia" w:ascii="宋体" w:hAnsi="宋体" w:cs="宋体"/>
          <w:color w:val="auto"/>
          <w:sz w:val="24"/>
          <w:highlight w:val="none"/>
        </w:rPr>
        <w:t>％</w:t>
      </w:r>
      <w:r>
        <w:rPr>
          <w:rFonts w:hint="eastAsia"/>
          <w:color w:val="auto"/>
          <w:sz w:val="24"/>
          <w:highlight w:val="none"/>
        </w:rPr>
        <w:t>的违约金。</w:t>
      </w:r>
    </w:p>
    <w:p>
      <w:pPr>
        <w:spacing w:line="340" w:lineRule="exact"/>
        <w:ind w:firstLine="480" w:firstLineChars="200"/>
        <w:rPr>
          <w:rFonts w:hint="eastAsia"/>
          <w:color w:val="auto"/>
          <w:sz w:val="24"/>
          <w:highlight w:val="none"/>
        </w:rPr>
      </w:pPr>
      <w:r>
        <w:rPr>
          <w:rFonts w:hint="eastAsia"/>
          <w:color w:val="auto"/>
          <w:sz w:val="24"/>
          <w:highlight w:val="none"/>
        </w:rPr>
        <w:t>3、自本合同签订之日起，若甲方无故中途退货，应向乙方支付退货部分货款的</w:t>
      </w:r>
      <w:r>
        <w:rPr>
          <w:rFonts w:hint="eastAsia"/>
          <w:color w:val="auto"/>
          <w:sz w:val="24"/>
          <w:highlight w:val="none"/>
          <w:u w:val="single"/>
        </w:rPr>
        <w:t xml:space="preserve">10 </w:t>
      </w:r>
      <w:r>
        <w:rPr>
          <w:rFonts w:hint="eastAsia"/>
          <w:color w:val="auto"/>
          <w:sz w:val="24"/>
          <w:highlight w:val="none"/>
        </w:rPr>
        <w:t>%的违约金。</w:t>
      </w:r>
    </w:p>
    <w:p>
      <w:pPr>
        <w:spacing w:line="340" w:lineRule="exact"/>
        <w:ind w:firstLine="480" w:firstLineChars="200"/>
        <w:rPr>
          <w:rFonts w:hint="eastAsia"/>
          <w:color w:val="auto"/>
          <w:sz w:val="24"/>
          <w:highlight w:val="none"/>
        </w:rPr>
      </w:pPr>
      <w:r>
        <w:rPr>
          <w:rFonts w:hint="eastAsia"/>
          <w:color w:val="auto"/>
          <w:sz w:val="24"/>
          <w:highlight w:val="none"/>
        </w:rPr>
        <w:t>4、甲方应当按时向乙方支付货款，逾期付款的，应向乙方支付迟延履行的违约金，每日违约金按逾期付款金额的万分之一计算。</w:t>
      </w:r>
    </w:p>
    <w:p>
      <w:pPr>
        <w:spacing w:line="340" w:lineRule="exact"/>
        <w:ind w:firstLine="472" w:firstLineChars="196"/>
        <w:rPr>
          <w:rFonts w:hint="eastAsia"/>
          <w:b/>
          <w:color w:val="auto"/>
          <w:sz w:val="24"/>
          <w:highlight w:val="none"/>
        </w:rPr>
      </w:pPr>
      <w:r>
        <w:rPr>
          <w:rFonts w:hint="eastAsia"/>
          <w:b/>
          <w:color w:val="auto"/>
          <w:sz w:val="24"/>
          <w:highlight w:val="none"/>
        </w:rPr>
        <w:t>第十四条：不可抗力：</w:t>
      </w:r>
    </w:p>
    <w:p>
      <w:pPr>
        <w:spacing w:line="340" w:lineRule="exact"/>
        <w:ind w:firstLine="480" w:firstLineChars="200"/>
        <w:rPr>
          <w:rFonts w:hint="eastAsia"/>
          <w:color w:val="auto"/>
          <w:sz w:val="24"/>
          <w:highlight w:val="none"/>
        </w:rPr>
      </w:pPr>
      <w:r>
        <w:rPr>
          <w:rFonts w:hint="eastAsia"/>
          <w:color w:val="auto"/>
          <w:sz w:val="24"/>
          <w:highlight w:val="none"/>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w:t>
      </w:r>
      <w:r>
        <w:rPr>
          <w:rFonts w:hint="eastAsia"/>
          <w:b/>
          <w:bCs/>
          <w:color w:val="auto"/>
          <w:sz w:val="24"/>
          <w:highlight w:val="none"/>
        </w:rPr>
        <w:t>六十</w:t>
      </w:r>
      <w:r>
        <w:rPr>
          <w:rFonts w:hint="eastAsia"/>
          <w:color w:val="auto"/>
          <w:sz w:val="24"/>
          <w:highlight w:val="none"/>
        </w:rPr>
        <w:t>个工作日内提供附有有关该事件的权威机关证明的书面材料，包括陈述迟延履行、部分履行或无法履行本合同义务的理由的说明书，方可免责。</w:t>
      </w:r>
    </w:p>
    <w:p>
      <w:pPr>
        <w:spacing w:line="340" w:lineRule="exact"/>
        <w:ind w:firstLine="472" w:firstLineChars="196"/>
        <w:rPr>
          <w:rFonts w:hint="eastAsia"/>
          <w:b/>
          <w:color w:val="auto"/>
          <w:sz w:val="24"/>
          <w:highlight w:val="none"/>
        </w:rPr>
      </w:pPr>
      <w:r>
        <w:rPr>
          <w:rFonts w:hint="eastAsia"/>
          <w:b/>
          <w:color w:val="auto"/>
          <w:sz w:val="24"/>
          <w:highlight w:val="none"/>
        </w:rPr>
        <w:t>第十五条：通知：</w:t>
      </w:r>
    </w:p>
    <w:p>
      <w:pPr>
        <w:spacing w:line="340" w:lineRule="exact"/>
        <w:rPr>
          <w:rFonts w:hint="eastAsia" w:ascii="宋体" w:hAnsi="宋体" w:cs="宋体"/>
          <w:b/>
          <w:bCs/>
          <w:color w:val="auto"/>
          <w:sz w:val="24"/>
          <w:highlight w:val="none"/>
        </w:rPr>
      </w:pPr>
      <w:r>
        <w:rPr>
          <w:rFonts w:hint="eastAsia"/>
          <w:color w:val="auto"/>
          <w:sz w:val="24"/>
          <w:highlight w:val="none"/>
        </w:rPr>
        <w:t xml:space="preserve">    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3个工作日内以书面形式通知</w:t>
      </w:r>
      <w:r>
        <w:rPr>
          <w:rFonts w:hint="eastAsia" w:ascii="宋体" w:hAnsi="宋体" w:cs="宋体"/>
          <w:color w:val="auto"/>
          <w:sz w:val="24"/>
          <w:highlight w:val="none"/>
        </w:rPr>
        <w:t>对方。</w:t>
      </w:r>
      <w:r>
        <w:rPr>
          <w:rFonts w:hint="eastAsia" w:ascii="宋体" w:hAnsi="宋体" w:cs="宋体"/>
          <w:b/>
          <w:bCs/>
          <w:color w:val="auto"/>
          <w:sz w:val="24"/>
          <w:highlight w:val="none"/>
        </w:rPr>
        <w:t>甲、乙双方在此一致确认接收通知或文件（包括但不限于日后如发生诉讼案件或其他事件时，法院或其他司法机关或政府等部门送达文书均可采用以下信息）等的信息如下：</w:t>
      </w:r>
    </w:p>
    <w:p>
      <w:pPr>
        <w:spacing w:line="360" w:lineRule="auto"/>
        <w:ind w:firstLine="472" w:firstLineChars="196"/>
        <w:rPr>
          <w:rFonts w:hint="eastAsia"/>
          <w:b/>
          <w:bCs/>
          <w:color w:val="auto"/>
          <w:sz w:val="24"/>
          <w:highlight w:val="none"/>
        </w:rPr>
      </w:pPr>
      <w:r>
        <w:rPr>
          <w:rFonts w:hint="eastAsia"/>
          <w:b/>
          <w:bCs/>
          <w:color w:val="auto"/>
          <w:sz w:val="24"/>
          <w:highlight w:val="none"/>
        </w:rPr>
        <w:t>甲方：陕西中医</w:t>
      </w:r>
      <w:r>
        <w:rPr>
          <w:rFonts w:hint="eastAsia"/>
          <w:b/>
          <w:bCs/>
          <w:color w:val="auto"/>
          <w:sz w:val="24"/>
          <w:highlight w:val="none"/>
          <w:lang w:eastAsia="zh-CN"/>
        </w:rPr>
        <w:t>药大学</w:t>
      </w:r>
      <w:r>
        <w:rPr>
          <w:rFonts w:hint="eastAsia"/>
          <w:b/>
          <w:bCs/>
          <w:color w:val="auto"/>
          <w:sz w:val="24"/>
          <w:highlight w:val="none"/>
        </w:rPr>
        <w:t>第二附属医院            乙方：</w:t>
      </w:r>
    </w:p>
    <w:p>
      <w:pPr>
        <w:spacing w:line="360" w:lineRule="auto"/>
        <w:ind w:firstLine="482" w:firstLineChars="200"/>
        <w:rPr>
          <w:rFonts w:hint="eastAsia"/>
          <w:b/>
          <w:bCs/>
          <w:color w:val="auto"/>
          <w:sz w:val="24"/>
          <w:highlight w:val="none"/>
        </w:rPr>
      </w:pPr>
      <w:r>
        <w:rPr>
          <w:rFonts w:hint="eastAsia"/>
          <w:b/>
          <w:bCs/>
          <w:color w:val="auto"/>
          <w:sz w:val="24"/>
          <w:highlight w:val="none"/>
        </w:rPr>
        <w:t>地址：咸阳市渭阳西路5号                    地址：</w:t>
      </w:r>
    </w:p>
    <w:p>
      <w:pPr>
        <w:spacing w:line="360" w:lineRule="auto"/>
        <w:ind w:firstLine="482" w:firstLineChars="200"/>
        <w:rPr>
          <w:rFonts w:hint="eastAsia"/>
          <w:b/>
          <w:bCs/>
          <w:color w:val="auto"/>
          <w:sz w:val="24"/>
          <w:highlight w:val="none"/>
        </w:rPr>
      </w:pPr>
      <w:r>
        <w:rPr>
          <w:rFonts w:hint="eastAsia"/>
          <w:b/>
          <w:bCs/>
          <w:color w:val="auto"/>
          <w:sz w:val="24"/>
          <w:highlight w:val="none"/>
        </w:rPr>
        <w:t>电话：029</w:t>
      </w:r>
      <w:r>
        <w:rPr>
          <w:b/>
          <w:bCs/>
          <w:color w:val="auto"/>
          <w:sz w:val="24"/>
          <w:highlight w:val="none"/>
        </w:rPr>
        <w:t>—</w:t>
      </w:r>
      <w:r>
        <w:rPr>
          <w:rFonts w:hint="eastAsia"/>
          <w:b/>
          <w:bCs/>
          <w:color w:val="auto"/>
          <w:sz w:val="24"/>
          <w:highlight w:val="none"/>
        </w:rPr>
        <w:t>33572698                         电话：</w:t>
      </w:r>
    </w:p>
    <w:p>
      <w:pPr>
        <w:spacing w:line="360" w:lineRule="auto"/>
        <w:ind w:firstLine="482" w:firstLineChars="200"/>
        <w:rPr>
          <w:rFonts w:hint="eastAsia"/>
          <w:b/>
          <w:bCs/>
          <w:color w:val="auto"/>
          <w:sz w:val="24"/>
          <w:highlight w:val="none"/>
        </w:rPr>
      </w:pPr>
      <w:r>
        <w:rPr>
          <w:rFonts w:hint="eastAsia"/>
          <w:b/>
          <w:bCs/>
          <w:color w:val="auto"/>
          <w:sz w:val="24"/>
          <w:highlight w:val="none"/>
        </w:rPr>
        <w:t>邮编：712000                                邮编：</w:t>
      </w:r>
    </w:p>
    <w:p>
      <w:pPr>
        <w:spacing w:line="360" w:lineRule="auto"/>
        <w:ind w:firstLine="482" w:firstLineChars="200"/>
        <w:rPr>
          <w:rFonts w:hint="eastAsia"/>
          <w:b/>
          <w:bCs/>
          <w:color w:val="auto"/>
          <w:sz w:val="24"/>
          <w:highlight w:val="none"/>
        </w:rPr>
      </w:pPr>
      <w:r>
        <w:rPr>
          <w:rFonts w:hint="eastAsia"/>
          <w:b/>
          <w:bCs/>
          <w:color w:val="auto"/>
          <w:sz w:val="24"/>
          <w:highlight w:val="none"/>
        </w:rPr>
        <w:t>传真：                                      传真：</w:t>
      </w:r>
    </w:p>
    <w:p>
      <w:pPr>
        <w:spacing w:line="360" w:lineRule="auto"/>
        <w:ind w:firstLine="482" w:firstLineChars="200"/>
        <w:rPr>
          <w:rFonts w:hint="eastAsia"/>
          <w:b/>
          <w:bCs/>
          <w:color w:val="auto"/>
          <w:sz w:val="24"/>
          <w:highlight w:val="none"/>
        </w:rPr>
      </w:pPr>
      <w:r>
        <w:rPr>
          <w:rFonts w:hint="eastAsia"/>
          <w:b/>
          <w:bCs/>
          <w:color w:val="auto"/>
          <w:sz w:val="24"/>
          <w:highlight w:val="none"/>
        </w:rPr>
        <w:t>邮箱：                                      邮箱：</w:t>
      </w:r>
    </w:p>
    <w:p>
      <w:pPr>
        <w:spacing w:line="360" w:lineRule="auto"/>
        <w:ind w:firstLine="482" w:firstLineChars="200"/>
        <w:rPr>
          <w:rFonts w:hint="eastAsia"/>
          <w:b/>
          <w:bCs/>
          <w:color w:val="auto"/>
          <w:sz w:val="24"/>
          <w:highlight w:val="none"/>
        </w:rPr>
      </w:pPr>
      <w:r>
        <w:rPr>
          <w:rFonts w:hint="eastAsia"/>
          <w:b/>
          <w:bCs/>
          <w:color w:val="auto"/>
          <w:sz w:val="24"/>
          <w:highlight w:val="none"/>
        </w:rPr>
        <w:t>法定代表人：                                法定代表人：</w:t>
      </w:r>
    </w:p>
    <w:p>
      <w:pPr>
        <w:spacing w:line="360" w:lineRule="auto"/>
        <w:rPr>
          <w:rFonts w:hint="eastAsia"/>
          <w:b/>
          <w:bCs/>
          <w:color w:val="auto"/>
          <w:sz w:val="24"/>
          <w:highlight w:val="none"/>
        </w:rPr>
      </w:pPr>
      <w:r>
        <w:rPr>
          <w:rFonts w:hint="eastAsia"/>
          <w:b/>
          <w:bCs/>
          <w:color w:val="auto"/>
          <w:sz w:val="24"/>
          <w:highlight w:val="none"/>
        </w:rPr>
        <w:t xml:space="preserve">    指定收件人：                                指定收件人：</w:t>
      </w:r>
    </w:p>
    <w:p>
      <w:pPr>
        <w:spacing w:line="340" w:lineRule="exact"/>
        <w:ind w:firstLine="472" w:firstLineChars="196"/>
        <w:rPr>
          <w:rFonts w:hint="eastAsia"/>
          <w:b/>
          <w:color w:val="auto"/>
          <w:sz w:val="24"/>
          <w:highlight w:val="none"/>
        </w:rPr>
      </w:pPr>
      <w:r>
        <w:rPr>
          <w:rFonts w:hint="eastAsia"/>
          <w:b/>
          <w:color w:val="auto"/>
          <w:sz w:val="24"/>
          <w:highlight w:val="none"/>
        </w:rPr>
        <w:t>第十六条：纠纷的解决：</w:t>
      </w:r>
    </w:p>
    <w:p>
      <w:pPr>
        <w:spacing w:line="340" w:lineRule="exact"/>
        <w:ind w:firstLine="480" w:firstLineChars="200"/>
        <w:rPr>
          <w:rFonts w:hint="eastAsia"/>
          <w:color w:val="000000"/>
          <w:sz w:val="24"/>
          <w:highlight w:val="none"/>
        </w:rPr>
      </w:pPr>
      <w:r>
        <w:rPr>
          <w:rFonts w:hint="eastAsia"/>
          <w:color w:val="auto"/>
          <w:sz w:val="24"/>
          <w:highlight w:val="none"/>
        </w:rPr>
        <w:t>本合同在履行过程中发生的与本合同有关的任何争议，由甲、乙双方先行友</w:t>
      </w:r>
      <w:r>
        <w:rPr>
          <w:rFonts w:hint="eastAsia"/>
          <w:color w:val="000000"/>
          <w:sz w:val="24"/>
          <w:highlight w:val="none"/>
        </w:rPr>
        <w:t>好协商解决，协商不成的，任何一方有权向甲方所在地人民法院提起诉讼。</w:t>
      </w:r>
    </w:p>
    <w:p>
      <w:pPr>
        <w:spacing w:line="340" w:lineRule="exact"/>
        <w:ind w:firstLine="472" w:firstLineChars="196"/>
        <w:rPr>
          <w:rFonts w:hint="eastAsia"/>
          <w:b/>
          <w:color w:val="000000"/>
          <w:sz w:val="24"/>
          <w:highlight w:val="none"/>
        </w:rPr>
      </w:pPr>
      <w:r>
        <w:rPr>
          <w:rFonts w:hint="eastAsia"/>
          <w:b/>
          <w:color w:val="000000"/>
          <w:sz w:val="24"/>
          <w:highlight w:val="none"/>
        </w:rPr>
        <w:t>第十七条：以下资料为本合同不可分割部分，与本合同具有同等法律效力：</w:t>
      </w:r>
    </w:p>
    <w:p>
      <w:pPr>
        <w:spacing w:line="340" w:lineRule="exact"/>
        <w:ind w:firstLine="480" w:firstLineChars="200"/>
        <w:rPr>
          <w:rFonts w:hint="eastAsia"/>
          <w:color w:val="000000"/>
          <w:sz w:val="24"/>
          <w:highlight w:val="none"/>
        </w:rPr>
      </w:pPr>
      <w:r>
        <w:rPr>
          <w:rFonts w:hint="eastAsia"/>
          <w:sz w:val="24"/>
          <w:highlight w:val="none"/>
        </w:rPr>
        <w:t>1</w:t>
      </w:r>
      <w:r>
        <w:rPr>
          <w:rFonts w:hint="eastAsia"/>
          <w:color w:val="000000"/>
          <w:sz w:val="24"/>
          <w:highlight w:val="none"/>
        </w:rPr>
        <w:t>、本合同所涉产品的国家标准及乙方宣传标准；</w:t>
      </w:r>
    </w:p>
    <w:p>
      <w:pPr>
        <w:spacing w:line="340" w:lineRule="exact"/>
        <w:ind w:firstLine="480" w:firstLineChars="200"/>
        <w:rPr>
          <w:rFonts w:hint="eastAsia"/>
          <w:color w:val="000000"/>
          <w:sz w:val="24"/>
          <w:highlight w:val="none"/>
        </w:rPr>
      </w:pPr>
      <w:r>
        <w:rPr>
          <w:rFonts w:hint="eastAsia"/>
          <w:sz w:val="24"/>
          <w:highlight w:val="none"/>
        </w:rPr>
        <w:t>2</w:t>
      </w:r>
      <w:r>
        <w:rPr>
          <w:rFonts w:hint="eastAsia"/>
          <w:color w:val="000000"/>
          <w:sz w:val="24"/>
          <w:highlight w:val="none"/>
        </w:rPr>
        <w:t>、本产品的详细资料；</w:t>
      </w:r>
    </w:p>
    <w:p>
      <w:pPr>
        <w:spacing w:line="340" w:lineRule="exact"/>
        <w:ind w:firstLine="480" w:firstLineChars="200"/>
        <w:rPr>
          <w:rFonts w:hint="eastAsia"/>
          <w:color w:val="000000"/>
          <w:sz w:val="24"/>
          <w:highlight w:val="none"/>
        </w:rPr>
      </w:pPr>
      <w:r>
        <w:rPr>
          <w:rFonts w:hint="eastAsia"/>
          <w:sz w:val="24"/>
          <w:highlight w:val="none"/>
        </w:rPr>
        <w:t>3</w:t>
      </w:r>
      <w:r>
        <w:rPr>
          <w:rFonts w:hint="eastAsia"/>
          <w:color w:val="000000"/>
          <w:sz w:val="24"/>
          <w:highlight w:val="none"/>
        </w:rPr>
        <w:t>、招投标文件；</w:t>
      </w:r>
    </w:p>
    <w:p>
      <w:pPr>
        <w:spacing w:line="340" w:lineRule="exact"/>
        <w:ind w:firstLine="480" w:firstLineChars="200"/>
        <w:rPr>
          <w:rFonts w:hint="eastAsia"/>
          <w:color w:val="000000"/>
          <w:sz w:val="24"/>
          <w:highlight w:val="none"/>
        </w:rPr>
      </w:pPr>
      <w:r>
        <w:rPr>
          <w:rFonts w:hint="eastAsia"/>
          <w:sz w:val="24"/>
          <w:highlight w:val="none"/>
        </w:rPr>
        <w:t>4</w:t>
      </w:r>
      <w:r>
        <w:rPr>
          <w:rFonts w:hint="eastAsia"/>
          <w:color w:val="000000"/>
          <w:sz w:val="24"/>
          <w:highlight w:val="none"/>
        </w:rPr>
        <w:t>、本套产品配置及配套设备零件报价详单；（附于合同后）</w:t>
      </w:r>
    </w:p>
    <w:p>
      <w:pPr>
        <w:spacing w:line="340" w:lineRule="exact"/>
        <w:ind w:firstLine="480" w:firstLineChars="200"/>
        <w:rPr>
          <w:rFonts w:hint="eastAsia"/>
          <w:color w:val="000000"/>
          <w:sz w:val="24"/>
          <w:highlight w:val="none"/>
        </w:rPr>
      </w:pPr>
      <w:r>
        <w:rPr>
          <w:rFonts w:hint="eastAsia"/>
          <w:sz w:val="24"/>
          <w:highlight w:val="none"/>
        </w:rPr>
        <w:t>5</w:t>
      </w:r>
      <w:r>
        <w:rPr>
          <w:rFonts w:hint="eastAsia"/>
          <w:color w:val="000000"/>
          <w:sz w:val="24"/>
          <w:highlight w:val="none"/>
        </w:rPr>
        <w:t>、本套产品配套耗材清单、报价详单。（附于合同后）</w:t>
      </w:r>
    </w:p>
    <w:p>
      <w:pPr>
        <w:spacing w:line="340" w:lineRule="exact"/>
        <w:ind w:firstLine="472" w:firstLineChars="196"/>
        <w:rPr>
          <w:rFonts w:hint="eastAsia"/>
          <w:color w:val="000000"/>
          <w:sz w:val="24"/>
          <w:highlight w:val="none"/>
        </w:rPr>
      </w:pPr>
      <w:r>
        <w:rPr>
          <w:rFonts w:hint="eastAsia"/>
          <w:b/>
          <w:color w:val="000000"/>
          <w:sz w:val="24"/>
          <w:highlight w:val="none"/>
        </w:rPr>
        <w:t>第十八条</w:t>
      </w:r>
      <w:r>
        <w:rPr>
          <w:rFonts w:hint="eastAsia"/>
          <w:color w:val="000000"/>
          <w:sz w:val="24"/>
          <w:highlight w:val="none"/>
        </w:rPr>
        <w:t>：本合同一式贰份，甲、乙双方各执壹份，均具有同等法律效力。</w:t>
      </w:r>
    </w:p>
    <w:p>
      <w:pPr>
        <w:spacing w:line="340" w:lineRule="exact"/>
        <w:ind w:firstLine="472" w:firstLineChars="196"/>
        <w:rPr>
          <w:rFonts w:hint="eastAsia"/>
          <w:color w:val="000000"/>
          <w:sz w:val="24"/>
          <w:highlight w:val="none"/>
        </w:rPr>
      </w:pPr>
      <w:r>
        <w:rPr>
          <w:rFonts w:hint="eastAsia"/>
          <w:b/>
          <w:color w:val="000000"/>
          <w:sz w:val="24"/>
          <w:highlight w:val="none"/>
        </w:rPr>
        <w:t>第十九条</w:t>
      </w:r>
      <w:r>
        <w:rPr>
          <w:rFonts w:hint="eastAsia"/>
          <w:color w:val="000000"/>
          <w:sz w:val="24"/>
          <w:highlight w:val="none"/>
        </w:rPr>
        <w:t>：本合同未尽事宜，由甲、乙双方另行签订补充协议，补充协议作为合同附件与本合同具有同等法律效力。</w:t>
      </w:r>
    </w:p>
    <w:p>
      <w:pPr>
        <w:spacing w:line="340" w:lineRule="exact"/>
        <w:ind w:firstLine="472" w:firstLineChars="196"/>
        <w:rPr>
          <w:rFonts w:hint="eastAsia"/>
          <w:color w:val="000000"/>
          <w:sz w:val="24"/>
          <w:highlight w:val="none"/>
        </w:rPr>
      </w:pPr>
      <w:r>
        <w:rPr>
          <w:rFonts w:hint="eastAsia"/>
          <w:b/>
          <w:color w:val="000000"/>
          <w:sz w:val="24"/>
          <w:highlight w:val="none"/>
        </w:rPr>
        <w:t>第二十条</w:t>
      </w:r>
      <w:r>
        <w:rPr>
          <w:rFonts w:hint="eastAsia"/>
          <w:color w:val="000000"/>
          <w:sz w:val="24"/>
          <w:highlight w:val="none"/>
        </w:rPr>
        <w:t>：本合同自甲、乙双方正式授权代表签字并加盖公章之日起生效。</w:t>
      </w:r>
    </w:p>
    <w:p>
      <w:pPr>
        <w:spacing w:line="340" w:lineRule="exact"/>
        <w:ind w:firstLine="472" w:firstLineChars="196"/>
        <w:rPr>
          <w:rFonts w:hint="eastAsia"/>
          <w:color w:val="000000"/>
          <w:sz w:val="24"/>
          <w:highlight w:val="none"/>
        </w:rPr>
      </w:pPr>
      <w:r>
        <w:rPr>
          <w:rFonts w:hint="eastAsia"/>
          <w:b/>
          <w:color w:val="000000"/>
          <w:sz w:val="24"/>
          <w:highlight w:val="none"/>
        </w:rPr>
        <w:t>第二十一条</w:t>
      </w:r>
      <w:r>
        <w:rPr>
          <w:rFonts w:hint="eastAsia"/>
          <w:color w:val="000000"/>
          <w:sz w:val="24"/>
          <w:highlight w:val="none"/>
        </w:rPr>
        <w:t>：本合同有效期自生效之日起至合同执行完毕时止。</w:t>
      </w:r>
    </w:p>
    <w:p>
      <w:pPr>
        <w:spacing w:line="340" w:lineRule="exact"/>
        <w:ind w:firstLine="472" w:firstLineChars="196"/>
        <w:rPr>
          <w:rFonts w:hint="eastAsia"/>
          <w:b/>
          <w:color w:val="000000"/>
          <w:sz w:val="24"/>
          <w:highlight w:val="none"/>
        </w:rPr>
      </w:pPr>
      <w:r>
        <w:rPr>
          <w:rFonts w:hint="eastAsia"/>
          <w:b/>
          <w:color w:val="000000"/>
          <w:sz w:val="24"/>
          <w:highlight w:val="none"/>
        </w:rPr>
        <w:t>第二十二条：</w:t>
      </w:r>
      <w:r>
        <w:rPr>
          <w:rFonts w:hint="eastAsia"/>
          <w:color w:val="000000"/>
          <w:sz w:val="24"/>
          <w:highlight w:val="none"/>
        </w:rPr>
        <w:t>本合同应当按照中华人民共和国的现行法律、法规进行解释。</w:t>
      </w:r>
    </w:p>
    <w:p>
      <w:pPr>
        <w:spacing w:line="340" w:lineRule="exact"/>
        <w:jc w:val="center"/>
        <w:rPr>
          <w:rFonts w:hint="eastAsia"/>
          <w:b/>
          <w:color w:val="000000"/>
          <w:sz w:val="24"/>
          <w:highlight w:val="none"/>
        </w:rPr>
      </w:pPr>
      <w:r>
        <w:rPr>
          <w:rFonts w:hint="eastAsia"/>
          <w:b/>
          <w:color w:val="000000"/>
          <w:sz w:val="24"/>
          <w:highlight w:val="none"/>
        </w:rPr>
        <w:t>（本页以下无正文）</w:t>
      </w:r>
    </w:p>
    <w:p>
      <w:pPr>
        <w:ind w:left="6008" w:hanging="6008" w:hangingChars="2850"/>
        <w:rPr>
          <w:rFonts w:hint="eastAsia"/>
          <w:b/>
          <w:color w:val="000000"/>
          <w:szCs w:val="21"/>
          <w:highlight w:val="none"/>
        </w:rPr>
      </w:pPr>
    </w:p>
    <w:p>
      <w:pPr>
        <w:ind w:left="6008" w:hanging="6008" w:hangingChars="2850"/>
        <w:rPr>
          <w:rFonts w:hint="eastAsia"/>
          <w:b/>
          <w:color w:val="000000"/>
          <w:szCs w:val="21"/>
          <w:highlight w:val="none"/>
        </w:rPr>
      </w:pPr>
    </w:p>
    <w:p>
      <w:pPr>
        <w:ind w:left="6008" w:hanging="6008" w:hangingChars="2850"/>
        <w:rPr>
          <w:rFonts w:hint="eastAsia"/>
          <w:b/>
          <w:color w:val="000000"/>
          <w:szCs w:val="21"/>
          <w:highlight w:val="none"/>
        </w:rPr>
      </w:pPr>
    </w:p>
    <w:p>
      <w:pPr>
        <w:ind w:left="6008" w:hanging="6008" w:hangingChars="2850"/>
        <w:rPr>
          <w:rFonts w:hint="eastAsia"/>
          <w:b/>
          <w:color w:val="000000"/>
          <w:szCs w:val="21"/>
          <w:highlight w:val="none"/>
        </w:rPr>
      </w:pPr>
    </w:p>
    <w:p>
      <w:pPr>
        <w:ind w:left="6008" w:hanging="6008" w:hangingChars="2850"/>
        <w:rPr>
          <w:rFonts w:hint="eastAsia"/>
          <w:color w:val="000000"/>
          <w:szCs w:val="21"/>
          <w:highlight w:val="none"/>
        </w:rPr>
      </w:pPr>
      <w:r>
        <w:rPr>
          <w:rFonts w:hint="eastAsia"/>
          <w:b/>
          <w:color w:val="000000"/>
          <w:szCs w:val="21"/>
          <w:highlight w:val="none"/>
        </w:rPr>
        <w:t>甲方（盖章）：</w:t>
      </w:r>
      <w:r>
        <w:rPr>
          <w:rFonts w:hint="eastAsia"/>
          <w:color w:val="000000"/>
          <w:szCs w:val="21"/>
          <w:highlight w:val="none"/>
        </w:rPr>
        <w:t xml:space="preserve">陕西中医药大学第二附属医院     </w:t>
      </w:r>
      <w:r>
        <w:rPr>
          <w:rFonts w:hint="eastAsia"/>
          <w:b/>
          <w:color w:val="000000"/>
          <w:szCs w:val="21"/>
          <w:highlight w:val="none"/>
        </w:rPr>
        <w:t>乙方（盖章）：</w:t>
      </w:r>
    </w:p>
    <w:p>
      <w:pPr>
        <w:spacing w:line="340" w:lineRule="exact"/>
        <w:rPr>
          <w:rFonts w:hint="eastAsia"/>
          <w:color w:val="000000"/>
          <w:szCs w:val="21"/>
          <w:highlight w:val="none"/>
        </w:rPr>
      </w:pPr>
      <w:r>
        <w:rPr>
          <w:rFonts w:hint="eastAsia"/>
          <w:color w:val="000000"/>
          <w:szCs w:val="21"/>
          <w:highlight w:val="none"/>
        </w:rPr>
        <w:t xml:space="preserve">  地址：咸阳市渭阳西路5号                  地址： </w:t>
      </w:r>
    </w:p>
    <w:p>
      <w:pPr>
        <w:spacing w:line="340" w:lineRule="exact"/>
        <w:ind w:firstLine="315" w:firstLineChars="150"/>
        <w:rPr>
          <w:rFonts w:hint="eastAsia"/>
          <w:color w:val="000000"/>
          <w:szCs w:val="21"/>
          <w:highlight w:val="none"/>
        </w:rPr>
      </w:pPr>
      <w:r>
        <w:rPr>
          <w:rFonts w:hint="eastAsia"/>
          <w:color w:val="000000"/>
          <w:szCs w:val="21"/>
          <w:highlight w:val="none"/>
        </w:rPr>
        <w:t xml:space="preserve">                                         账号：</w:t>
      </w:r>
    </w:p>
    <w:p>
      <w:pPr>
        <w:spacing w:line="340" w:lineRule="exact"/>
        <w:ind w:firstLine="4620" w:firstLineChars="2200"/>
        <w:rPr>
          <w:rFonts w:hint="eastAsia"/>
          <w:color w:val="000000"/>
          <w:szCs w:val="21"/>
          <w:highlight w:val="none"/>
        </w:rPr>
      </w:pPr>
      <w:r>
        <w:rPr>
          <w:rFonts w:hint="eastAsia"/>
          <w:color w:val="000000"/>
          <w:szCs w:val="21"/>
          <w:highlight w:val="none"/>
        </w:rPr>
        <w:t>开户：</w:t>
      </w:r>
    </w:p>
    <w:p>
      <w:pPr>
        <w:spacing w:line="340" w:lineRule="exact"/>
        <w:rPr>
          <w:rFonts w:hint="eastAsia"/>
          <w:color w:val="000000"/>
          <w:szCs w:val="21"/>
          <w:highlight w:val="none"/>
        </w:rPr>
      </w:pPr>
      <w:r>
        <w:rPr>
          <w:rFonts w:hint="eastAsia"/>
          <w:color w:val="000000"/>
          <w:szCs w:val="21"/>
          <w:highlight w:val="none"/>
        </w:rPr>
        <w:t xml:space="preserve">  主 管 领 导：                             法定代表人（签章） </w:t>
      </w:r>
    </w:p>
    <w:p>
      <w:pPr>
        <w:spacing w:line="340" w:lineRule="exact"/>
        <w:rPr>
          <w:rFonts w:hint="eastAsia"/>
          <w:color w:val="000000"/>
          <w:szCs w:val="21"/>
          <w:highlight w:val="none"/>
        </w:rPr>
      </w:pPr>
      <w:r>
        <w:rPr>
          <w:rFonts w:hint="eastAsia"/>
          <w:color w:val="000000"/>
          <w:szCs w:val="21"/>
          <w:highlight w:val="none"/>
        </w:rPr>
        <w:t xml:space="preserve">                                            </w:t>
      </w:r>
    </w:p>
    <w:p>
      <w:pPr>
        <w:spacing w:line="340" w:lineRule="exact"/>
        <w:rPr>
          <w:rFonts w:hint="eastAsia"/>
          <w:color w:val="000000"/>
          <w:szCs w:val="21"/>
          <w:highlight w:val="none"/>
        </w:rPr>
      </w:pPr>
    </w:p>
    <w:p>
      <w:pPr>
        <w:spacing w:line="340" w:lineRule="exact"/>
        <w:ind w:firstLine="210" w:firstLineChars="100"/>
        <w:rPr>
          <w:rFonts w:hint="eastAsia"/>
          <w:color w:val="000000"/>
          <w:szCs w:val="21"/>
          <w:highlight w:val="none"/>
        </w:rPr>
      </w:pPr>
    </w:p>
    <w:p>
      <w:pPr>
        <w:spacing w:line="340" w:lineRule="exact"/>
        <w:ind w:firstLine="210" w:firstLineChars="100"/>
        <w:rPr>
          <w:rFonts w:hint="eastAsia"/>
          <w:color w:val="000000"/>
          <w:szCs w:val="21"/>
          <w:highlight w:val="none"/>
        </w:rPr>
      </w:pPr>
      <w:r>
        <w:rPr>
          <w:rFonts w:hint="eastAsia"/>
          <w:color w:val="000000"/>
          <w:szCs w:val="21"/>
          <w:highlight w:val="none"/>
        </w:rPr>
        <w:t>经   办  人：                             委托代理人：</w:t>
      </w:r>
    </w:p>
    <w:p>
      <w:pPr>
        <w:spacing w:line="340" w:lineRule="exact"/>
        <w:rPr>
          <w:rFonts w:hint="eastAsia"/>
          <w:color w:val="000000"/>
          <w:szCs w:val="21"/>
          <w:highlight w:val="none"/>
        </w:rPr>
      </w:pPr>
      <w:r>
        <w:rPr>
          <w:rFonts w:hint="eastAsia"/>
          <w:color w:val="000000"/>
          <w:szCs w:val="21"/>
          <w:highlight w:val="none"/>
        </w:rPr>
        <w:t xml:space="preserve"> </w:t>
      </w:r>
    </w:p>
    <w:p>
      <w:pPr>
        <w:spacing w:line="340" w:lineRule="exact"/>
        <w:rPr>
          <w:rFonts w:hint="eastAsia"/>
          <w:color w:val="000000"/>
          <w:szCs w:val="21"/>
          <w:highlight w:val="none"/>
        </w:rPr>
      </w:pPr>
      <w:r>
        <w:rPr>
          <w:rFonts w:hint="eastAsia"/>
          <w:color w:val="000000"/>
          <w:szCs w:val="21"/>
          <w:highlight w:val="none"/>
        </w:rPr>
        <w:t xml:space="preserve">  </w:t>
      </w:r>
    </w:p>
    <w:p>
      <w:pPr>
        <w:spacing w:line="340" w:lineRule="exact"/>
        <w:ind w:firstLine="210" w:firstLineChars="100"/>
        <w:rPr>
          <w:rFonts w:hint="eastAsia"/>
          <w:color w:val="000000"/>
          <w:szCs w:val="21"/>
          <w:highlight w:val="none"/>
        </w:rPr>
      </w:pPr>
      <w:r>
        <w:rPr>
          <w:rFonts w:hint="eastAsia"/>
          <w:color w:val="000000"/>
          <w:szCs w:val="21"/>
          <w:highlight w:val="none"/>
        </w:rPr>
        <w:t>电话：029</w:t>
      </w:r>
      <w:r>
        <w:rPr>
          <w:color w:val="000000"/>
          <w:szCs w:val="21"/>
          <w:highlight w:val="none"/>
        </w:rPr>
        <w:t>—</w:t>
      </w:r>
      <w:r>
        <w:rPr>
          <w:rFonts w:hint="eastAsia"/>
          <w:color w:val="000000"/>
          <w:szCs w:val="21"/>
          <w:highlight w:val="none"/>
        </w:rPr>
        <w:t>33572698                        电话：</w:t>
      </w:r>
    </w:p>
    <w:p>
      <w:pPr>
        <w:spacing w:line="340" w:lineRule="exact"/>
        <w:ind w:left="479" w:leftChars="228"/>
        <w:rPr>
          <w:rFonts w:hint="eastAsia"/>
          <w:color w:val="000000"/>
          <w:sz w:val="24"/>
          <w:highlight w:val="none"/>
        </w:rPr>
      </w:pPr>
      <w:r>
        <w:rPr>
          <w:rFonts w:hint="eastAsia"/>
          <w:color w:val="000000"/>
          <w:sz w:val="24"/>
          <w:highlight w:val="none"/>
        </w:rPr>
        <w:t xml:space="preserve">      </w:t>
      </w:r>
    </w:p>
    <w:p>
      <w:pPr>
        <w:spacing w:line="340" w:lineRule="exact"/>
        <w:ind w:left="479" w:leftChars="228"/>
        <w:rPr>
          <w:rFonts w:hint="eastAsia"/>
          <w:color w:val="000000"/>
          <w:sz w:val="24"/>
          <w:highlight w:val="none"/>
        </w:rPr>
      </w:pPr>
      <w:r>
        <w:rPr>
          <w:rFonts w:hint="eastAsia"/>
          <w:color w:val="000000"/>
          <w:sz w:val="24"/>
          <w:highlight w:val="none"/>
        </w:rPr>
        <w:t>年     月    日                              年    月     日</w:t>
      </w:r>
    </w:p>
    <w:p>
      <w:pPr>
        <w:adjustRightInd w:val="0"/>
        <w:snapToGrid w:val="0"/>
        <w:spacing w:line="360" w:lineRule="auto"/>
        <w:jc w:val="right"/>
        <w:rPr>
          <w:rFonts w:hint="eastAsia" w:ascii="宋体" w:hAnsi="宋体" w:eastAsia="宋体"/>
          <w:sz w:val="20"/>
          <w:szCs w:val="20"/>
          <w:highlight w:val="none"/>
        </w:rPr>
      </w:pPr>
      <w:r>
        <w:rPr>
          <w:rFonts w:ascii="宋体" w:hAnsi="宋体" w:eastAsia="宋体"/>
          <w:sz w:val="20"/>
          <w:szCs w:val="20"/>
          <w:highlight w:val="none"/>
        </w:rPr>
        <w:t xml:space="preserve">                                          </w:t>
      </w:r>
    </w:p>
    <w:p>
      <w:pPr>
        <w:rPr>
          <w:rFonts w:hint="eastAsia" w:asciiTheme="minorEastAsia" w:hAnsiTheme="minorEastAsia" w:eastAsiaTheme="minorEastAsia" w:cstheme="minorEastAsia"/>
          <w:b/>
          <w:bCs/>
          <w:sz w:val="36"/>
          <w:szCs w:val="36"/>
          <w:highlight w:val="none"/>
        </w:rPr>
      </w:pPr>
      <w:bookmarkStart w:id="148" w:name="_Toc26115"/>
      <w:bookmarkStart w:id="149" w:name="_Toc31291"/>
      <w:bookmarkStart w:id="150" w:name="_Toc27777"/>
      <w:bookmarkStart w:id="151" w:name="_Toc20061"/>
      <w:r>
        <w:rPr>
          <w:rFonts w:hint="eastAsia" w:asciiTheme="minorEastAsia" w:hAnsiTheme="minorEastAsia" w:eastAsiaTheme="minorEastAsia" w:cstheme="minorEastAsia"/>
          <w:b/>
          <w:bCs/>
          <w:sz w:val="36"/>
          <w:szCs w:val="36"/>
          <w:highlight w:val="none"/>
        </w:rPr>
        <w:br w:type="page"/>
      </w:r>
    </w:p>
    <w:p>
      <w:pPr>
        <w:spacing w:line="480" w:lineRule="exact"/>
        <w:jc w:val="center"/>
        <w:outlineLvl w:val="0"/>
        <w:rPr>
          <w:rFonts w:asciiTheme="minorEastAsia" w:hAnsiTheme="minorEastAsia" w:eastAsiaTheme="minorEastAsia" w:cstheme="minorEastAsia"/>
          <w:b/>
          <w:bCs/>
          <w:highlight w:val="none"/>
        </w:rPr>
      </w:pPr>
      <w:bookmarkStart w:id="152" w:name="_Toc6118"/>
      <w:r>
        <w:rPr>
          <w:rFonts w:hint="eastAsia" w:asciiTheme="minorEastAsia" w:hAnsiTheme="minorEastAsia" w:eastAsiaTheme="minorEastAsia" w:cstheme="minorEastAsia"/>
          <w:b/>
          <w:bCs/>
          <w:sz w:val="36"/>
          <w:szCs w:val="36"/>
          <w:highlight w:val="none"/>
        </w:rPr>
        <w:t>第七部分  投标文件格式</w:t>
      </w:r>
      <w:bookmarkEnd w:id="145"/>
      <w:bookmarkEnd w:id="148"/>
      <w:bookmarkEnd w:id="149"/>
      <w:bookmarkEnd w:id="150"/>
      <w:bookmarkEnd w:id="151"/>
      <w:bookmarkEnd w:id="152"/>
    </w:p>
    <w:p>
      <w:pPr>
        <w:adjustRightInd w:val="0"/>
        <w:snapToGrid w:val="0"/>
        <w:spacing w:line="500" w:lineRule="exact"/>
        <w:jc w:val="left"/>
        <w:rPr>
          <w:rFonts w:asciiTheme="minorEastAsia" w:hAnsiTheme="minorEastAsia" w:eastAsiaTheme="minorEastAsia" w:cstheme="minorEastAsia"/>
          <w:b/>
          <w:bCs/>
          <w:w w:val="120"/>
          <w:sz w:val="28"/>
          <w:szCs w:val="28"/>
          <w:highlight w:val="none"/>
        </w:rPr>
      </w:pPr>
      <w:r>
        <w:rPr>
          <w:rFonts w:hint="eastAsia" w:asciiTheme="minorEastAsia" w:hAnsiTheme="minorEastAsia" w:eastAsiaTheme="minorEastAsia" w:cstheme="minorEastAsia"/>
          <w:b/>
          <w:bCs/>
          <w:w w:val="120"/>
          <w:sz w:val="28"/>
          <w:szCs w:val="28"/>
          <w:highlight w:val="none"/>
        </w:rPr>
        <w:t>项目编号：</w:t>
      </w:r>
      <w:r>
        <w:rPr>
          <w:rFonts w:hint="eastAsia" w:asciiTheme="minorEastAsia" w:hAnsiTheme="minorEastAsia" w:eastAsiaTheme="minorEastAsia" w:cstheme="minorEastAsia"/>
          <w:b/>
          <w:bCs/>
          <w:w w:val="120"/>
          <w:sz w:val="28"/>
          <w:szCs w:val="28"/>
          <w:highlight w:val="none"/>
          <w:lang w:eastAsia="zh-CN"/>
        </w:rPr>
        <w:t>SXWZ2022ZB-SZEY-163A</w:t>
      </w:r>
      <w:r>
        <w:rPr>
          <w:rFonts w:hint="eastAsia" w:asciiTheme="minorEastAsia" w:hAnsiTheme="minorEastAsia" w:eastAsiaTheme="minorEastAsia" w:cstheme="minorEastAsia"/>
          <w:b/>
          <w:bCs/>
          <w:w w:val="120"/>
          <w:sz w:val="28"/>
          <w:szCs w:val="28"/>
          <w:highlight w:val="none"/>
        </w:rPr>
        <w:t xml:space="preserve">       （正本或副本）</w:t>
      </w:r>
    </w:p>
    <w:p>
      <w:pPr>
        <w:snapToGrid w:val="0"/>
        <w:spacing w:line="360" w:lineRule="auto"/>
        <w:jc w:val="center"/>
        <w:rPr>
          <w:rFonts w:hint="eastAsia" w:asciiTheme="minorEastAsia" w:hAnsiTheme="minorEastAsia" w:eastAsiaTheme="minorEastAsia" w:cstheme="minorEastAsia"/>
          <w:b/>
          <w:bCs/>
          <w:sz w:val="52"/>
          <w:szCs w:val="52"/>
          <w:highlight w:val="none"/>
          <w:lang w:eastAsia="zh-CN"/>
        </w:rPr>
      </w:pPr>
    </w:p>
    <w:p>
      <w:pPr>
        <w:snapToGrid w:val="0"/>
        <w:spacing w:line="360" w:lineRule="auto"/>
        <w:jc w:val="center"/>
        <w:rPr>
          <w:rFonts w:hint="eastAsia" w:asciiTheme="minorEastAsia" w:hAnsiTheme="minorEastAsia" w:eastAsiaTheme="minorEastAsia" w:cstheme="minorEastAsia"/>
          <w:b/>
          <w:bCs/>
          <w:sz w:val="48"/>
          <w:szCs w:val="48"/>
          <w:highlight w:val="none"/>
          <w:lang w:eastAsia="zh-CN"/>
        </w:rPr>
      </w:pPr>
      <w:r>
        <w:rPr>
          <w:rFonts w:hint="eastAsia" w:asciiTheme="minorEastAsia" w:hAnsiTheme="minorEastAsia" w:eastAsiaTheme="minorEastAsia" w:cstheme="minorEastAsia"/>
          <w:b/>
          <w:bCs/>
          <w:sz w:val="48"/>
          <w:szCs w:val="48"/>
          <w:highlight w:val="none"/>
          <w:lang w:eastAsia="zh-CN"/>
        </w:rPr>
        <w:t>陕西中医药大学第二附属医院</w:t>
      </w:r>
    </w:p>
    <w:p>
      <w:pPr>
        <w:snapToGrid w:val="0"/>
        <w:spacing w:line="360" w:lineRule="auto"/>
        <w:jc w:val="center"/>
        <w:rPr>
          <w:rFonts w:hint="default" w:asciiTheme="minorEastAsia" w:hAnsiTheme="minorEastAsia" w:eastAsiaTheme="minorEastAsia" w:cstheme="minorEastAsia"/>
          <w:b/>
          <w:bCs/>
          <w:sz w:val="48"/>
          <w:szCs w:val="48"/>
          <w:highlight w:val="none"/>
          <w:lang w:val="en-US" w:eastAsia="zh-CN"/>
        </w:rPr>
      </w:pPr>
      <w:r>
        <w:rPr>
          <w:rFonts w:hint="eastAsia" w:asciiTheme="minorEastAsia" w:hAnsiTheme="minorEastAsia" w:eastAsiaTheme="minorEastAsia" w:cstheme="minorEastAsia"/>
          <w:b/>
          <w:bCs/>
          <w:sz w:val="48"/>
          <w:szCs w:val="48"/>
          <w:highlight w:val="none"/>
          <w:lang w:eastAsia="zh-CN"/>
        </w:rPr>
        <w:t>眼科设备采购项目（一）</w:t>
      </w:r>
      <w:r>
        <w:rPr>
          <w:rFonts w:hint="eastAsia" w:asciiTheme="minorEastAsia" w:hAnsiTheme="minorEastAsia" w:eastAsiaTheme="minorEastAsia" w:cstheme="minorEastAsia"/>
          <w:b/>
          <w:bCs/>
          <w:sz w:val="48"/>
          <w:szCs w:val="48"/>
          <w:highlight w:val="none"/>
          <w:lang w:val="en-US" w:eastAsia="zh-CN"/>
        </w:rPr>
        <w:t>第一包二次</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投</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标</w:t>
      </w:r>
    </w:p>
    <w:p>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文</w:t>
      </w:r>
    </w:p>
    <w:p>
      <w:pPr>
        <w:snapToGrid w:val="0"/>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件</w:t>
      </w:r>
    </w:p>
    <w:p>
      <w:pPr>
        <w:snapToGrid w:val="0"/>
        <w:spacing w:line="360" w:lineRule="auto"/>
        <w:jc w:val="left"/>
        <w:rPr>
          <w:rFonts w:hint="eastAsia" w:ascii="宋体" w:hAnsi="宋体" w:cs="宋体"/>
          <w:sz w:val="24"/>
          <w:szCs w:val="24"/>
          <w:highlight w:val="none"/>
          <w:lang w:val="zh-CN"/>
        </w:rPr>
      </w:pP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供应商（单位名称及公章）：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法定代表人或被授权人（签字或盖章）：</w:t>
      </w:r>
      <w:r>
        <w:rPr>
          <w:rFonts w:hint="eastAsia" w:ascii="宋体" w:hAnsi="宋体" w:cs="宋体"/>
          <w:sz w:val="28"/>
          <w:szCs w:val="28"/>
          <w:highlight w:val="none"/>
        </w:rPr>
        <w:t>_________________</w:t>
      </w:r>
    </w:p>
    <w:p>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日期：</w:t>
      </w:r>
      <w:r>
        <w:rPr>
          <w:rFonts w:hint="eastAsia" w:ascii="宋体" w:hAnsi="宋体" w:cs="宋体"/>
          <w:sz w:val="28"/>
          <w:szCs w:val="28"/>
          <w:highlight w:val="none"/>
        </w:rPr>
        <w:t>_________________</w:t>
      </w:r>
    </w:p>
    <w:p>
      <w:pPr>
        <w:pageBreakBefore/>
        <w:spacing w:beforeLines="100" w:afterLines="150" w:line="500" w:lineRule="exact"/>
        <w:ind w:firstLine="723" w:firstLineChars="200"/>
        <w:jc w:val="center"/>
        <w:rPr>
          <w:rFonts w:asciiTheme="minorEastAsia" w:hAnsiTheme="minorEastAsia" w:eastAsiaTheme="minorEastAsia" w:cstheme="minorEastAsia"/>
          <w:b/>
          <w:bCs/>
          <w:sz w:val="50"/>
          <w:szCs w:val="50"/>
          <w:highlight w:val="none"/>
        </w:rPr>
      </w:pPr>
      <w:r>
        <w:rPr>
          <w:rFonts w:hint="eastAsia" w:asciiTheme="minorEastAsia" w:hAnsiTheme="minorEastAsia" w:eastAsiaTheme="minorEastAsia" w:cstheme="minorEastAsia"/>
          <w:b/>
          <w:bCs/>
          <w:sz w:val="36"/>
          <w:szCs w:val="36"/>
          <w:highlight w:val="none"/>
        </w:rPr>
        <w:t>目 录</w:t>
      </w:r>
    </w:p>
    <w:p>
      <w:pPr>
        <w:pStyle w:val="13"/>
        <w:snapToGrid w:val="0"/>
        <w:spacing w:line="480" w:lineRule="auto"/>
        <w:ind w:firstLine="562" w:firstLineChars="200"/>
        <w:jc w:val="left"/>
        <w:rPr>
          <w:rFonts w:hAnsi="宋体" w:cs="宋体"/>
          <w:b/>
          <w:bCs/>
          <w:color w:val="000000"/>
          <w:sz w:val="28"/>
          <w:szCs w:val="28"/>
          <w:highlight w:val="none"/>
        </w:rPr>
      </w:pPr>
      <w:bookmarkStart w:id="153" w:name="_Toc3727_WPSOffice_Level1"/>
      <w:bookmarkStart w:id="154" w:name="_Toc2536"/>
      <w:bookmarkStart w:id="155" w:name="_Toc6991"/>
      <w:bookmarkStart w:id="156" w:name="_Toc25587"/>
      <w:bookmarkStart w:id="157" w:name="_Toc13878"/>
      <w:bookmarkStart w:id="158" w:name="_Toc1625"/>
      <w:r>
        <w:rPr>
          <w:rFonts w:hint="eastAsia" w:hAnsi="宋体" w:cs="宋体"/>
          <w:b/>
          <w:bCs/>
          <w:color w:val="000000"/>
          <w:sz w:val="28"/>
          <w:szCs w:val="28"/>
          <w:highlight w:val="none"/>
        </w:rPr>
        <w:t>第一章  报价函</w:t>
      </w:r>
      <w:bookmarkEnd w:id="153"/>
    </w:p>
    <w:p>
      <w:pPr>
        <w:snapToGrid w:val="0"/>
        <w:spacing w:line="480" w:lineRule="auto"/>
        <w:ind w:firstLine="562" w:firstLineChars="200"/>
        <w:jc w:val="left"/>
        <w:rPr>
          <w:rFonts w:hAnsi="宋体" w:cs="宋体"/>
          <w:b/>
          <w:color w:val="000000"/>
          <w:sz w:val="28"/>
          <w:szCs w:val="28"/>
          <w:highlight w:val="none"/>
        </w:rPr>
      </w:pPr>
      <w:bookmarkStart w:id="159" w:name="_Toc23436_WPSOffice_Level1"/>
      <w:r>
        <w:rPr>
          <w:rFonts w:hint="eastAsia" w:ascii="宋体" w:hAnsi="宋体" w:cs="宋体"/>
          <w:b/>
          <w:color w:val="000000"/>
          <w:sz w:val="28"/>
          <w:szCs w:val="28"/>
          <w:highlight w:val="none"/>
        </w:rPr>
        <w:t>第二</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报价一览表</w:t>
      </w:r>
      <w:bookmarkEnd w:id="159"/>
    </w:p>
    <w:p>
      <w:pPr>
        <w:pStyle w:val="13"/>
        <w:snapToGrid w:val="0"/>
        <w:spacing w:line="480" w:lineRule="auto"/>
        <w:ind w:firstLine="562" w:firstLineChars="200"/>
        <w:jc w:val="left"/>
        <w:rPr>
          <w:rFonts w:hAnsi="宋体" w:cs="宋体"/>
          <w:b/>
          <w:bCs/>
          <w:color w:val="000000"/>
          <w:sz w:val="28"/>
          <w:szCs w:val="28"/>
          <w:highlight w:val="none"/>
        </w:rPr>
      </w:pPr>
      <w:bookmarkStart w:id="160" w:name="_Toc11444_WPSOffice_Level1"/>
      <w:r>
        <w:rPr>
          <w:rFonts w:hint="eastAsia" w:hAnsi="宋体" w:cs="宋体"/>
          <w:b/>
          <w:color w:val="000000"/>
          <w:sz w:val="28"/>
          <w:szCs w:val="28"/>
          <w:highlight w:val="none"/>
        </w:rPr>
        <w:t>第三</w:t>
      </w:r>
      <w:r>
        <w:rPr>
          <w:rFonts w:hint="eastAsia" w:hAnsi="宋体" w:cs="宋体"/>
          <w:b/>
          <w:bCs/>
          <w:color w:val="000000"/>
          <w:sz w:val="28"/>
          <w:szCs w:val="28"/>
          <w:highlight w:val="none"/>
        </w:rPr>
        <w:t>章  分项报价表</w:t>
      </w:r>
      <w:bookmarkEnd w:id="160"/>
    </w:p>
    <w:p>
      <w:pPr>
        <w:snapToGrid w:val="0"/>
        <w:spacing w:line="480" w:lineRule="auto"/>
        <w:ind w:firstLine="562" w:firstLineChars="200"/>
        <w:jc w:val="left"/>
        <w:rPr>
          <w:rFonts w:hAnsi="宋体" w:cs="宋体"/>
          <w:b/>
          <w:color w:val="000000"/>
          <w:kern w:val="0"/>
          <w:sz w:val="28"/>
          <w:szCs w:val="28"/>
          <w:highlight w:val="none"/>
        </w:rPr>
      </w:pPr>
      <w:r>
        <w:rPr>
          <w:rFonts w:hint="eastAsia" w:ascii="宋体" w:hAnsi="宋体" w:cs="宋体"/>
          <w:b/>
          <w:color w:val="000000"/>
          <w:sz w:val="28"/>
          <w:szCs w:val="28"/>
          <w:highlight w:val="none"/>
        </w:rPr>
        <w:t xml:space="preserve">第四章  </w:t>
      </w:r>
      <w:r>
        <w:rPr>
          <w:rFonts w:hint="eastAsia" w:ascii="宋体" w:hAnsi="宋体" w:cs="宋体"/>
          <w:b/>
          <w:color w:val="000000"/>
          <w:sz w:val="28"/>
          <w:szCs w:val="28"/>
          <w:highlight w:val="none"/>
          <w:lang w:val="en-US" w:eastAsia="zh-CN"/>
        </w:rPr>
        <w:t>投标保证金</w:t>
      </w:r>
    </w:p>
    <w:p>
      <w:pPr>
        <w:pStyle w:val="13"/>
        <w:snapToGrid w:val="0"/>
        <w:spacing w:line="480" w:lineRule="auto"/>
        <w:ind w:firstLine="562" w:firstLineChars="200"/>
        <w:jc w:val="left"/>
        <w:rPr>
          <w:rFonts w:hint="eastAsia" w:hAnsi="宋体" w:cs="宋体"/>
          <w:b/>
          <w:color w:val="000000"/>
          <w:kern w:val="0"/>
          <w:sz w:val="28"/>
          <w:szCs w:val="28"/>
          <w:highlight w:val="none"/>
        </w:rPr>
      </w:pPr>
      <w:bookmarkStart w:id="161" w:name="_Toc5905_WPSOffice_Level1"/>
      <w:r>
        <w:rPr>
          <w:rFonts w:hint="eastAsia" w:hAnsi="宋体" w:cs="宋体"/>
          <w:b/>
          <w:color w:val="000000"/>
          <w:sz w:val="28"/>
          <w:szCs w:val="28"/>
          <w:highlight w:val="none"/>
        </w:rPr>
        <w:t>第五</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供应商资质证明资</w:t>
      </w:r>
      <w:r>
        <w:rPr>
          <w:rFonts w:hint="eastAsia" w:hAnsi="宋体" w:cs="宋体"/>
          <w:b/>
          <w:color w:val="000000"/>
          <w:kern w:val="0"/>
          <w:sz w:val="28"/>
          <w:szCs w:val="28"/>
          <w:highlight w:val="none"/>
        </w:rPr>
        <w:t>料</w:t>
      </w:r>
    </w:p>
    <w:p>
      <w:pPr>
        <w:pStyle w:val="13"/>
        <w:snapToGrid w:val="0"/>
        <w:spacing w:line="480" w:lineRule="auto"/>
        <w:ind w:firstLine="562" w:firstLineChars="200"/>
        <w:jc w:val="left"/>
        <w:rPr>
          <w:rFonts w:hAnsi="宋体" w:cs="宋体"/>
          <w:b/>
          <w:bCs/>
          <w:color w:val="000000"/>
          <w:sz w:val="28"/>
          <w:szCs w:val="28"/>
          <w:highlight w:val="none"/>
        </w:rPr>
      </w:pPr>
      <w:r>
        <w:rPr>
          <w:rFonts w:hint="eastAsia" w:hAnsi="宋体" w:cs="宋体"/>
          <w:b/>
          <w:color w:val="000000"/>
          <w:sz w:val="28"/>
          <w:szCs w:val="28"/>
          <w:highlight w:val="none"/>
        </w:rPr>
        <w:t>第</w:t>
      </w:r>
      <w:bookmarkEnd w:id="161"/>
      <w:r>
        <w:rPr>
          <w:rFonts w:hint="eastAsia" w:hAnsi="宋体" w:cs="宋体"/>
          <w:b/>
          <w:color w:val="000000"/>
          <w:sz w:val="28"/>
          <w:szCs w:val="28"/>
          <w:highlight w:val="none"/>
        </w:rPr>
        <w:t>六</w:t>
      </w:r>
      <w:r>
        <w:rPr>
          <w:rFonts w:hint="eastAsia" w:hAnsi="宋体" w:cs="宋体"/>
          <w:b/>
          <w:bCs/>
          <w:color w:val="000000"/>
          <w:sz w:val="28"/>
          <w:szCs w:val="28"/>
          <w:highlight w:val="none"/>
        </w:rPr>
        <w:t>章  商务和需求响应偏离表</w:t>
      </w:r>
    </w:p>
    <w:p>
      <w:pPr>
        <w:pStyle w:val="13"/>
        <w:snapToGrid w:val="0"/>
        <w:spacing w:line="480" w:lineRule="auto"/>
        <w:ind w:firstLine="562" w:firstLineChars="200"/>
        <w:jc w:val="left"/>
        <w:rPr>
          <w:rFonts w:hint="default" w:hAnsi="宋体" w:eastAsia="宋体" w:cs="宋体"/>
          <w:b/>
          <w:bCs/>
          <w:color w:val="000000"/>
          <w:sz w:val="28"/>
          <w:szCs w:val="28"/>
          <w:highlight w:val="none"/>
          <w:lang w:val="en-US" w:eastAsia="zh-CN"/>
        </w:rPr>
      </w:pPr>
      <w:r>
        <w:rPr>
          <w:rFonts w:hint="eastAsia" w:hAnsi="宋体" w:cs="宋体"/>
          <w:b/>
          <w:bCs/>
          <w:color w:val="000000"/>
          <w:sz w:val="28"/>
          <w:szCs w:val="28"/>
          <w:highlight w:val="none"/>
          <w:lang w:val="en-US" w:eastAsia="zh-CN"/>
        </w:rPr>
        <w:t>第七章  技术支持资料</w:t>
      </w:r>
    </w:p>
    <w:p>
      <w:pPr>
        <w:pStyle w:val="13"/>
        <w:snapToGrid w:val="0"/>
        <w:spacing w:line="480" w:lineRule="auto"/>
        <w:ind w:firstLine="562" w:firstLineChars="200"/>
        <w:jc w:val="left"/>
        <w:rPr>
          <w:rFonts w:hint="default" w:hAnsi="宋体" w:eastAsia="宋体" w:cs="宋体"/>
          <w:b/>
          <w:color w:val="000000"/>
          <w:sz w:val="28"/>
          <w:szCs w:val="28"/>
          <w:highlight w:val="none"/>
          <w:lang w:val="en-US" w:eastAsia="zh-CN"/>
        </w:rPr>
      </w:pPr>
      <w:r>
        <w:rPr>
          <w:rFonts w:hint="eastAsia" w:hAnsi="宋体" w:cs="宋体"/>
          <w:b/>
          <w:color w:val="000000"/>
          <w:sz w:val="28"/>
          <w:szCs w:val="28"/>
          <w:highlight w:val="none"/>
          <w:lang w:val="en-US" w:eastAsia="zh-CN"/>
        </w:rPr>
        <w:t xml:space="preserve">第八章  </w:t>
      </w:r>
      <w:r>
        <w:rPr>
          <w:rFonts w:hint="eastAsia" w:hAnsi="宋体" w:cs="宋体"/>
          <w:b/>
          <w:color w:val="000000"/>
          <w:sz w:val="28"/>
          <w:szCs w:val="28"/>
          <w:highlight w:val="none"/>
        </w:rPr>
        <w:t>实施方案及</w:t>
      </w:r>
      <w:r>
        <w:rPr>
          <w:rFonts w:hint="eastAsia" w:hAnsi="宋体" w:cs="宋体"/>
          <w:b/>
          <w:color w:val="000000"/>
          <w:sz w:val="28"/>
          <w:szCs w:val="28"/>
          <w:highlight w:val="none"/>
          <w:lang w:val="en-US" w:eastAsia="zh-CN"/>
        </w:rPr>
        <w:t>服务保障</w:t>
      </w:r>
    </w:p>
    <w:p>
      <w:pPr>
        <w:snapToGrid w:val="0"/>
        <w:spacing w:line="480" w:lineRule="auto"/>
        <w:ind w:firstLine="562" w:firstLineChars="200"/>
        <w:jc w:val="left"/>
        <w:rPr>
          <w:rFonts w:hAnsi="宋体" w:cs="宋体"/>
          <w:b/>
          <w:bCs/>
          <w:color w:val="000000"/>
          <w:sz w:val="28"/>
          <w:szCs w:val="28"/>
          <w:highlight w:val="none"/>
        </w:rPr>
      </w:pPr>
      <w:bookmarkStart w:id="162" w:name="_Toc13214_WPSOffice_Level1"/>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九</w:t>
      </w:r>
      <w:r>
        <w:rPr>
          <w:rFonts w:hint="eastAsia" w:hAnsi="宋体" w:cs="宋体"/>
          <w:b/>
          <w:bCs/>
          <w:color w:val="000000"/>
          <w:sz w:val="28"/>
          <w:szCs w:val="28"/>
          <w:highlight w:val="none"/>
        </w:rPr>
        <w:t>章  供应商业绩一览表</w:t>
      </w:r>
    </w:p>
    <w:p>
      <w:pPr>
        <w:snapToGrid w:val="0"/>
        <w:spacing w:line="480" w:lineRule="auto"/>
        <w:ind w:left="559" w:leftChars="266" w:firstLine="0" w:firstLineChars="0"/>
        <w:jc w:val="left"/>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十</w:t>
      </w:r>
      <w:r>
        <w:rPr>
          <w:rFonts w:hint="eastAsia" w:ascii="宋体" w:hAnsi="宋体" w:cs="宋体"/>
          <w:b/>
          <w:bCs/>
          <w:color w:val="000000"/>
          <w:sz w:val="28"/>
          <w:szCs w:val="28"/>
          <w:highlight w:val="none"/>
        </w:rPr>
        <w:t>章  供应商认为有必要说明的其他问题</w:t>
      </w:r>
      <w:bookmarkEnd w:id="162"/>
    </w:p>
    <w:p>
      <w:pPr>
        <w:snapToGrid w:val="0"/>
        <w:spacing w:line="480" w:lineRule="auto"/>
        <w:ind w:left="559" w:leftChars="266" w:firstLine="0" w:firstLineChars="0"/>
        <w:jc w:val="left"/>
        <w:rPr>
          <w:rFonts w:hint="default" w:asci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第</w:t>
      </w:r>
      <w:r>
        <w:rPr>
          <w:rFonts w:hint="eastAsia" w:ascii="宋体" w:hAnsi="宋体" w:cs="宋体"/>
          <w:b/>
          <w:bCs/>
          <w:color w:val="000000"/>
          <w:sz w:val="28"/>
          <w:szCs w:val="28"/>
          <w:highlight w:val="none"/>
          <w:lang w:val="en-US" w:eastAsia="zh-CN"/>
        </w:rPr>
        <w:t>十一</w:t>
      </w:r>
      <w:r>
        <w:rPr>
          <w:rFonts w:hint="eastAsia" w:ascii="宋体" w:hAnsi="宋体" w:cs="宋体"/>
          <w:b/>
          <w:bCs/>
          <w:color w:val="000000"/>
          <w:sz w:val="28"/>
          <w:szCs w:val="28"/>
          <w:highlight w:val="none"/>
        </w:rPr>
        <w:t xml:space="preserve">章 </w:t>
      </w:r>
      <w:r>
        <w:rPr>
          <w:rFonts w:hint="eastAsia" w:ascii="宋体" w:hAnsi="宋体" w:cs="宋体"/>
          <w:b/>
          <w:bCs/>
          <w:color w:val="000000"/>
          <w:sz w:val="28"/>
          <w:szCs w:val="28"/>
          <w:highlight w:val="none"/>
          <w:lang w:val="en-US" w:eastAsia="zh-CN"/>
        </w:rPr>
        <w:t xml:space="preserve"> 供应商承诺书</w:t>
      </w:r>
    </w:p>
    <w:p>
      <w:pPr>
        <w:pStyle w:val="4"/>
        <w:pageBreakBefore/>
        <w:spacing w:beforeLines="100" w:afterLines="150" w:line="500" w:lineRule="exact"/>
        <w:rPr>
          <w:rFonts w:asciiTheme="minorEastAsia" w:hAnsiTheme="minorEastAsia" w:eastAsiaTheme="minorEastAsia" w:cstheme="minorEastAsia"/>
          <w:sz w:val="36"/>
          <w:szCs w:val="36"/>
          <w:highlight w:val="none"/>
        </w:rPr>
      </w:pPr>
      <w:bookmarkStart w:id="163" w:name="_Toc3321"/>
      <w:r>
        <w:rPr>
          <w:rFonts w:hint="eastAsia" w:asciiTheme="minorEastAsia" w:hAnsiTheme="minorEastAsia" w:eastAsiaTheme="minorEastAsia" w:cstheme="minorEastAsia"/>
          <w:sz w:val="36"/>
          <w:szCs w:val="36"/>
          <w:highlight w:val="none"/>
        </w:rPr>
        <w:t>第一章  报价函</w:t>
      </w:r>
      <w:bookmarkEnd w:id="154"/>
      <w:bookmarkEnd w:id="155"/>
      <w:bookmarkEnd w:id="156"/>
      <w:bookmarkEnd w:id="157"/>
      <w:bookmarkEnd w:id="158"/>
      <w:bookmarkEnd w:id="163"/>
    </w:p>
    <w:p>
      <w:pPr>
        <w:adjustRightInd w:val="0"/>
        <w:snapToGrid w:val="0"/>
        <w:spacing w:line="276"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陕西万泽招标有限公司</w:t>
      </w:r>
      <w:r>
        <w:rPr>
          <w:rFonts w:hint="eastAsia" w:asciiTheme="minorEastAsia" w:hAnsiTheme="minorEastAsia" w:eastAsiaTheme="minorEastAsia" w:cstheme="minorEastAsia"/>
          <w:sz w:val="28"/>
          <w:szCs w:val="28"/>
          <w:highlight w:val="none"/>
        </w:rPr>
        <w:t>：</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我单位收到编号为</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2、按照招标文件的规定，完成总体供货和服务的投标总报价为：</w:t>
      </w:r>
    </w:p>
    <w:p>
      <w:pPr>
        <w:adjustRightInd w:val="0"/>
        <w:snapToGrid w:val="0"/>
        <w:spacing w:line="360" w:lineRule="auto"/>
        <w:ind w:left="210" w:leftChars="100"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宋体" w:hAnsi="宋体" w:cs="宋体"/>
          <w:sz w:val="28"/>
          <w:szCs w:val="28"/>
          <w:highlight w:val="none"/>
        </w:rPr>
        <w:t>_________________</w:t>
      </w:r>
      <w:r>
        <w:rPr>
          <w:rFonts w:hint="eastAsia" w:asciiTheme="minorEastAsia" w:hAnsiTheme="minorEastAsia" w:eastAsiaTheme="minorEastAsia" w:cstheme="minorEastAsia"/>
          <w:sz w:val="24"/>
          <w:szCs w:val="24"/>
          <w:highlight w:val="none"/>
        </w:rPr>
        <w:t>；（小写）</w:t>
      </w:r>
      <w:r>
        <w:rPr>
          <w:rFonts w:hint="eastAsia" w:asciiTheme="minorEastAsia" w:hAnsiTheme="minorEastAsia" w:eastAsiaTheme="minorEastAsia" w:cstheme="minorEastAsia"/>
          <w:spacing w:val="-6"/>
          <w:sz w:val="24"/>
          <w:szCs w:val="24"/>
          <w:highlight w:val="none"/>
        </w:rPr>
        <w:t>￥</w:t>
      </w:r>
      <w:r>
        <w:rPr>
          <w:rFonts w:hint="eastAsia" w:asciiTheme="minorEastAsia" w:hAnsiTheme="minorEastAsia" w:eastAsiaTheme="minorEastAsia" w:cstheme="minorEastAsia"/>
          <w:sz w:val="24"/>
          <w:szCs w:val="24"/>
          <w:highlight w:val="none"/>
        </w:rPr>
        <w:t>：</w:t>
      </w:r>
      <w:r>
        <w:rPr>
          <w:rFonts w:hint="eastAsia" w:ascii="宋体" w:hAnsi="宋体" w:cs="宋体"/>
          <w:sz w:val="28"/>
          <w:szCs w:val="28"/>
          <w:highlight w:val="none"/>
        </w:rPr>
        <w:t>___________</w:t>
      </w:r>
      <w:r>
        <w:rPr>
          <w:rFonts w:hint="eastAsia" w:asciiTheme="minorEastAsia" w:hAnsiTheme="minorEastAsia" w:eastAsiaTheme="minorEastAsia" w:cstheme="minorEastAsia"/>
          <w:sz w:val="24"/>
          <w:szCs w:val="24"/>
          <w:highlight w:val="none"/>
        </w:rPr>
        <w:t>元。</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3、我方提交的投标文件正本______份、副本______份、报价一览表______份、电子文档______份、。</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7、我方承诺投标有效期为开标后</w:t>
      </w:r>
      <w:r>
        <w:rPr>
          <w:rFonts w:hint="eastAsia" w:asciiTheme="minorEastAsia" w:hAnsiTheme="minorEastAsia" w:eastAsiaTheme="minorEastAsia" w:cstheme="minorEastAsia"/>
          <w:sz w:val="24"/>
          <w:szCs w:val="24"/>
          <w:highlight w:val="none"/>
          <w:u w:val="single"/>
          <w:lang w:val="en-US" w:eastAsia="zh-CN"/>
        </w:rPr>
        <w:t>90</w:t>
      </w:r>
      <w:r>
        <w:rPr>
          <w:rFonts w:hint="eastAsia" w:asciiTheme="minorEastAsia" w:hAnsiTheme="minorEastAsia" w:eastAsiaTheme="minorEastAsia" w:cstheme="minorEastAsia"/>
          <w:sz w:val="24"/>
          <w:szCs w:val="24"/>
          <w:highlight w:val="none"/>
        </w:rPr>
        <w:t>日历日内有效。</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8、所有关于本次投标的函电，请按下列地址联系：</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帐    号：____________________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真：____________________</w:t>
      </w:r>
    </w:p>
    <w:p>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编：____________________</w:t>
      </w:r>
    </w:p>
    <w:p>
      <w:pPr>
        <w:adjustRightInd w:val="0"/>
        <w:snapToGrid w:val="0"/>
        <w:spacing w:line="360" w:lineRule="auto"/>
        <w:ind w:firstLine="480" w:firstLineChars="200"/>
        <w:rPr>
          <w:rFonts w:asciiTheme="minorEastAsia" w:hAnsiTheme="minorEastAsia" w:eastAsiaTheme="minorEastAsia" w:cstheme="minorEastAsia"/>
          <w:sz w:val="24"/>
          <w:szCs w:val="24"/>
          <w:highlight w:val="none"/>
        </w:rPr>
        <w:sectPr>
          <w:headerReference r:id="rId12" w:type="default"/>
          <w:footerReference r:id="rId13" w:type="default"/>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期：____年____月____日</w:t>
      </w:r>
    </w:p>
    <w:p>
      <w:pPr>
        <w:pStyle w:val="4"/>
        <w:spacing w:beforeLines="100" w:afterLines="150" w:line="500" w:lineRule="exact"/>
        <w:rPr>
          <w:rFonts w:ascii="宋体" w:hAnsi="宋体" w:cs="宋体"/>
          <w:sz w:val="36"/>
          <w:szCs w:val="36"/>
          <w:highlight w:val="none"/>
        </w:rPr>
      </w:pPr>
      <w:bookmarkStart w:id="164" w:name="_Toc1453"/>
      <w:bookmarkStart w:id="165" w:name="_Toc7118"/>
      <w:bookmarkStart w:id="166" w:name="_Toc2650"/>
      <w:r>
        <w:rPr>
          <w:rFonts w:hint="eastAsia" w:ascii="宋体" w:hAnsi="宋体" w:cs="宋体"/>
          <w:sz w:val="36"/>
          <w:szCs w:val="36"/>
          <w:highlight w:val="none"/>
        </w:rPr>
        <w:t>第二章</w:t>
      </w:r>
      <w:bookmarkEnd w:id="164"/>
      <w:r>
        <w:rPr>
          <w:rFonts w:hint="eastAsia" w:ascii="宋体" w:hAnsi="宋体" w:cs="宋体"/>
          <w:sz w:val="36"/>
          <w:szCs w:val="36"/>
          <w:highlight w:val="none"/>
          <w:lang w:val="en-US" w:eastAsia="zh-CN"/>
        </w:rPr>
        <w:t xml:space="preserve">  </w:t>
      </w:r>
      <w:r>
        <w:rPr>
          <w:rFonts w:hint="eastAsia" w:ascii="宋体" w:hAnsi="宋体" w:cs="宋体"/>
          <w:sz w:val="36"/>
          <w:szCs w:val="36"/>
          <w:highlight w:val="none"/>
        </w:rPr>
        <w:t>报价一览表</w:t>
      </w:r>
      <w:bookmarkEnd w:id="165"/>
      <w:bookmarkEnd w:id="166"/>
    </w:p>
    <w:p>
      <w:pPr>
        <w:widowControl/>
        <w:wordWrap w:val="0"/>
        <w:spacing w:line="360" w:lineRule="auto"/>
        <w:jc w:val="left"/>
        <w:rPr>
          <w:rFonts w:hint="eastAsia" w:ascii="宋体" w:eastAsia="宋体" w:cs="宋体"/>
          <w:kern w:val="0"/>
          <w:sz w:val="24"/>
          <w:szCs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u w:val="single"/>
          <w:lang w:eastAsia="zh-CN"/>
        </w:rPr>
        <w:t>陕西中医药大学第二附属医院眼科设备采购项目（一）第一包二次</w:t>
      </w:r>
    </w:p>
    <w:p>
      <w:pPr>
        <w:kinsoku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单位：</w:t>
      </w:r>
      <w:r>
        <w:rPr>
          <w:rFonts w:hint="eastAsia" w:ascii="宋体" w:hAnsi="宋体" w:cs="宋体"/>
          <w:sz w:val="24"/>
          <w:szCs w:val="24"/>
          <w:highlight w:val="none"/>
        </w:rPr>
        <w:t>元</w:t>
      </w:r>
      <w:r>
        <w:rPr>
          <w:rFonts w:hint="eastAsia" w:ascii="宋体" w:hAnsi="宋体" w:cs="宋体"/>
          <w:sz w:val="24"/>
          <w:szCs w:val="24"/>
          <w:highlight w:val="none"/>
          <w:lang w:val="en-US" w:eastAsia="zh-CN"/>
        </w:rPr>
        <w:t xml:space="preserve">                                                </w:t>
      </w:r>
    </w:p>
    <w:tbl>
      <w:tblPr>
        <w:tblStyle w:val="25"/>
        <w:tblpPr w:leftFromText="180" w:rightFromText="180" w:vertAnchor="text" w:horzAnchor="margin" w:tblpXSpec="center" w:tblpY="95"/>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1661"/>
        <w:gridCol w:w="2249"/>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869" w:type="dxa"/>
            <w:tcBorders>
              <w:tl2br w:val="single" w:color="auto" w:sz="4" w:space="0"/>
            </w:tcBorders>
          </w:tcPr>
          <w:p>
            <w:pPr>
              <w:kinsoku w:val="0"/>
              <w:spacing w:line="480" w:lineRule="auto"/>
              <w:ind w:left="10" w:right="-199" w:rightChars="-95" w:firstLine="739" w:firstLineChars="308"/>
              <w:rPr>
                <w:rFonts w:ascii="宋体" w:hAnsi="宋体" w:cs="宋体"/>
                <w:sz w:val="24"/>
                <w:highlight w:val="none"/>
              </w:rPr>
            </w:pPr>
            <w:r>
              <w:rPr>
                <w:rFonts w:hint="eastAsia" w:ascii="宋体" w:hAnsi="宋体" w:cs="宋体"/>
                <w:sz w:val="24"/>
                <w:highlight w:val="none"/>
              </w:rPr>
              <w:t>报价内容</w:t>
            </w:r>
          </w:p>
          <w:p>
            <w:pPr>
              <w:kinsoku w:val="0"/>
              <w:spacing w:line="480" w:lineRule="auto"/>
              <w:ind w:left="10" w:right="-199" w:rightChars="-95" w:firstLine="501" w:firstLineChars="209"/>
              <w:rPr>
                <w:rFonts w:ascii="宋体" w:hAnsi="宋体" w:cs="宋体"/>
                <w:sz w:val="24"/>
                <w:highlight w:val="none"/>
              </w:rPr>
            </w:pPr>
          </w:p>
          <w:p>
            <w:pPr>
              <w:kinsoku w:val="0"/>
              <w:spacing w:line="480" w:lineRule="auto"/>
              <w:ind w:left="10" w:right="-199" w:rightChars="-95" w:firstLine="501" w:firstLineChars="209"/>
              <w:rPr>
                <w:rFonts w:ascii="宋体" w:hAnsi="宋体" w:cs="宋体"/>
                <w:sz w:val="24"/>
                <w:highlight w:val="none"/>
              </w:rPr>
            </w:pPr>
            <w:r>
              <w:rPr>
                <w:rFonts w:hint="eastAsia" w:ascii="宋体" w:hAnsi="宋体" w:cs="宋体"/>
                <w:sz w:val="24"/>
                <w:highlight w:val="none"/>
              </w:rPr>
              <w:t>响应内容</w:t>
            </w:r>
          </w:p>
        </w:tc>
        <w:tc>
          <w:tcPr>
            <w:tcW w:w="1661" w:type="dxa"/>
            <w:vAlign w:val="center"/>
          </w:tcPr>
          <w:p>
            <w:pPr>
              <w:kinsoku w:val="0"/>
              <w:spacing w:line="480" w:lineRule="auto"/>
              <w:ind w:right="-199" w:rightChars="-95"/>
              <w:jc w:val="center"/>
              <w:rPr>
                <w:rFonts w:ascii="宋体" w:hAnsi="宋体" w:cs="宋体"/>
                <w:sz w:val="24"/>
                <w:highlight w:val="none"/>
              </w:rPr>
            </w:pPr>
            <w:r>
              <w:rPr>
                <w:rFonts w:hint="eastAsia" w:ascii="宋体" w:hAnsi="宋体" w:cs="宋体"/>
                <w:sz w:val="24"/>
                <w:highlight w:val="none"/>
              </w:rPr>
              <w:t>总报价</w:t>
            </w:r>
          </w:p>
        </w:tc>
        <w:tc>
          <w:tcPr>
            <w:tcW w:w="2249" w:type="dxa"/>
            <w:vAlign w:val="center"/>
          </w:tcPr>
          <w:p>
            <w:pPr>
              <w:kinsoku w:val="0"/>
              <w:ind w:right="-199" w:rightChars="-95"/>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交货期</w:t>
            </w:r>
          </w:p>
        </w:tc>
        <w:tc>
          <w:tcPr>
            <w:tcW w:w="2019" w:type="dxa"/>
            <w:vAlign w:val="center"/>
          </w:tcPr>
          <w:p>
            <w:pPr>
              <w:kinsoku w:val="0"/>
              <w:ind w:right="-199" w:rightChars="-95"/>
              <w:jc w:val="center"/>
              <w:rPr>
                <w:rFonts w:ascii="宋体" w:hAnsi="宋体" w:cs="宋体"/>
                <w:sz w:val="24"/>
                <w:highlight w:val="none"/>
              </w:rPr>
            </w:pPr>
            <w:r>
              <w:rPr>
                <w:rFonts w:hint="eastAsia" w:ascii="宋体" w:hAnsi="宋体" w:cs="宋体"/>
                <w:sz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869" w:type="dxa"/>
            <w:vAlign w:val="center"/>
          </w:tcPr>
          <w:p>
            <w:pPr>
              <w:kinsoku w:val="0"/>
              <w:ind w:right="59" w:rightChars="28"/>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陕西中医药大学第二附属医院眼科设备采购项目（一）第一包二次</w:t>
            </w:r>
          </w:p>
        </w:tc>
        <w:tc>
          <w:tcPr>
            <w:tcW w:w="1661" w:type="dxa"/>
            <w:vAlign w:val="center"/>
          </w:tcPr>
          <w:p>
            <w:pPr>
              <w:kinsoku w:val="0"/>
              <w:spacing w:line="480" w:lineRule="auto"/>
              <w:ind w:left="10" w:right="-199" w:rightChars="-95" w:firstLine="501" w:firstLineChars="209"/>
              <w:jc w:val="center"/>
              <w:rPr>
                <w:rFonts w:ascii="宋体" w:hAnsi="宋体" w:cs="宋体"/>
                <w:sz w:val="24"/>
                <w:highlight w:val="none"/>
              </w:rPr>
            </w:pPr>
          </w:p>
        </w:tc>
        <w:tc>
          <w:tcPr>
            <w:tcW w:w="2249" w:type="dxa"/>
            <w:vAlign w:val="center"/>
          </w:tcPr>
          <w:p>
            <w:pPr>
              <w:kinsoku w:val="0"/>
              <w:spacing w:line="480" w:lineRule="auto"/>
              <w:ind w:left="10" w:right="-199" w:rightChars="-95" w:firstLine="501" w:firstLineChars="209"/>
              <w:jc w:val="center"/>
              <w:rPr>
                <w:rFonts w:ascii="宋体" w:hAnsi="宋体" w:cs="宋体"/>
                <w:sz w:val="24"/>
                <w:highlight w:val="none"/>
              </w:rPr>
            </w:pPr>
          </w:p>
        </w:tc>
        <w:tc>
          <w:tcPr>
            <w:tcW w:w="2019" w:type="dxa"/>
            <w:vAlign w:val="center"/>
          </w:tcPr>
          <w:p>
            <w:pPr>
              <w:kinsoku w:val="0"/>
              <w:spacing w:line="480" w:lineRule="auto"/>
              <w:ind w:left="10" w:right="-199" w:rightChars="-95" w:firstLine="501" w:firstLineChars="209"/>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98" w:type="dxa"/>
            <w:gridSpan w:val="4"/>
          </w:tcPr>
          <w:p>
            <w:pPr>
              <w:kinsoku w:val="0"/>
              <w:ind w:right="-199" w:rightChars="-95"/>
              <w:rPr>
                <w:rFonts w:ascii="宋体" w:hAnsi="宋体" w:cs="宋体"/>
                <w:b/>
                <w:bCs/>
                <w:sz w:val="24"/>
                <w:szCs w:val="24"/>
                <w:highlight w:val="none"/>
              </w:rPr>
            </w:pPr>
          </w:p>
          <w:p>
            <w:pPr>
              <w:kinsoku w:val="0"/>
              <w:ind w:right="-199" w:rightChars="-95"/>
              <w:rPr>
                <w:rFonts w:ascii="宋体" w:hAnsi="宋体" w:cs="宋体"/>
                <w:sz w:val="24"/>
                <w:highlight w:val="none"/>
              </w:rPr>
            </w:pPr>
            <w:r>
              <w:rPr>
                <w:rFonts w:hint="eastAsia" w:ascii="宋体" w:hAnsi="宋体" w:cs="宋体"/>
                <w:sz w:val="24"/>
                <w:highlight w:val="none"/>
              </w:rPr>
              <w:t>投标总报价：（大写）________________（小写）_________________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798" w:type="dxa"/>
            <w:gridSpan w:val="4"/>
            <w:vAlign w:val="center"/>
          </w:tcPr>
          <w:p>
            <w:pPr>
              <w:kinsoku w:val="0"/>
              <w:ind w:right="-199" w:rightChars="-95"/>
              <w:rPr>
                <w:rFonts w:ascii="宋体" w:hAnsi="宋体" w:cs="宋体"/>
                <w:b/>
                <w:bCs/>
                <w:sz w:val="24"/>
                <w:szCs w:val="24"/>
                <w:highlight w:val="none"/>
              </w:rPr>
            </w:pPr>
            <w:r>
              <w:rPr>
                <w:rFonts w:hint="eastAsia" w:ascii="宋体" w:hAnsi="宋体" w:cs="宋体"/>
                <w:b/>
                <w:bCs/>
                <w:sz w:val="24"/>
                <w:szCs w:val="24"/>
                <w:highlight w:val="none"/>
              </w:rPr>
              <w:t>报价以元为单位，精确到小数点后两位，不进行四舍五入。</w:t>
            </w:r>
          </w:p>
        </w:tc>
      </w:tr>
    </w:tbl>
    <w:p>
      <w:pPr>
        <w:adjustRightInd w:val="0"/>
        <w:snapToGrid w:val="0"/>
        <w:spacing w:line="480" w:lineRule="auto"/>
        <w:rPr>
          <w:rFonts w:ascii="宋体" w:hAnsi="宋体" w:cs="宋体"/>
          <w:sz w:val="24"/>
          <w:highlight w:val="none"/>
        </w:rPr>
      </w:pPr>
    </w:p>
    <w:p>
      <w:pPr>
        <w:adjustRightInd w:val="0"/>
        <w:snapToGrid w:val="0"/>
        <w:spacing w:line="480" w:lineRule="auto"/>
        <w:jc w:val="left"/>
        <w:rPr>
          <w:rFonts w:ascii="宋体" w:hAnsi="宋体" w:cs="宋体"/>
          <w:sz w:val="24"/>
          <w:highlight w:val="none"/>
        </w:rPr>
      </w:pPr>
      <w:r>
        <w:rPr>
          <w:rFonts w:hint="eastAsia" w:ascii="宋体" w:hAnsi="宋体" w:cs="宋体"/>
          <w:sz w:val="24"/>
          <w:highlight w:val="none"/>
        </w:rPr>
        <w:t>供应商（单位名称及公章）：___________________________</w:t>
      </w:r>
    </w:p>
    <w:p>
      <w:pPr>
        <w:adjustRightInd w:val="0"/>
        <w:snapToGrid w:val="0"/>
        <w:spacing w:line="480" w:lineRule="auto"/>
        <w:jc w:val="left"/>
        <w:rPr>
          <w:highlight w:val="none"/>
        </w:rPr>
      </w:pPr>
      <w:r>
        <w:rPr>
          <w:rFonts w:hint="eastAsia" w:ascii="宋体" w:hAnsi="宋体" w:cs="宋体"/>
          <w:sz w:val="24"/>
          <w:highlight w:val="none"/>
        </w:rPr>
        <w:t>法定代表人或被授权人（签字或盖章）：__________________</w:t>
      </w:r>
    </w:p>
    <w:p>
      <w:pPr>
        <w:adjustRightInd w:val="0"/>
        <w:snapToGrid w:val="0"/>
        <w:spacing w:line="480" w:lineRule="auto"/>
        <w:jc w:val="left"/>
        <w:rPr>
          <w:rFonts w:ascii="宋体" w:cs="宋体"/>
          <w:sz w:val="24"/>
          <w:highlight w:val="none"/>
        </w:rPr>
      </w:pPr>
      <w:r>
        <w:rPr>
          <w:rFonts w:hint="eastAsia" w:ascii="宋体" w:hAnsi="宋体" w:cs="宋体"/>
          <w:sz w:val="24"/>
          <w:highlight w:val="none"/>
        </w:rPr>
        <w:t>时间：_______年________月_______日</w:t>
      </w:r>
    </w:p>
    <w:p>
      <w:pPr>
        <w:adjustRightInd w:val="0"/>
        <w:snapToGrid w:val="0"/>
        <w:spacing w:line="480" w:lineRule="auto"/>
        <w:jc w:val="center"/>
        <w:outlineLvl w:val="1"/>
        <w:rPr>
          <w:color w:val="000000"/>
          <w:sz w:val="36"/>
          <w:szCs w:val="36"/>
          <w:highlight w:val="none"/>
        </w:rPr>
      </w:pPr>
      <w:r>
        <w:rPr>
          <w:rFonts w:hint="eastAsia" w:asciiTheme="minorEastAsia" w:hAnsiTheme="minorEastAsia" w:eastAsiaTheme="minorEastAsia" w:cstheme="minorEastAsia"/>
          <w:b/>
          <w:bCs/>
          <w:sz w:val="24"/>
          <w:szCs w:val="24"/>
          <w:highlight w:val="none"/>
        </w:rPr>
        <w:br w:type="page"/>
      </w:r>
      <w:bookmarkStart w:id="167" w:name="_Toc27277"/>
      <w:bookmarkStart w:id="168" w:name="_Toc1789"/>
      <w:bookmarkStart w:id="169" w:name="_Toc14632"/>
      <w:bookmarkStart w:id="170" w:name="_Toc10234"/>
      <w:bookmarkStart w:id="171" w:name="_Toc9868"/>
      <w:bookmarkStart w:id="172" w:name="_Toc20625"/>
      <w:bookmarkStart w:id="173" w:name="_Toc25886"/>
      <w:bookmarkStart w:id="174" w:name="_Toc9628"/>
      <w:bookmarkStart w:id="175" w:name="_Toc17641"/>
      <w:bookmarkStart w:id="176" w:name="_Toc9863"/>
      <w:bookmarkStart w:id="177" w:name="_Toc10126"/>
      <w:bookmarkStart w:id="178" w:name="_Toc9034"/>
      <w:bookmarkStart w:id="179" w:name="_Toc6753"/>
      <w:r>
        <w:rPr>
          <w:rFonts w:hint="eastAsia" w:hAnsi="宋体" w:cs="宋体"/>
          <w:b/>
          <w:bCs/>
          <w:color w:val="000000"/>
          <w:sz w:val="32"/>
          <w:szCs w:val="32"/>
          <w:highlight w:val="none"/>
        </w:rPr>
        <w:t>第三章</w:t>
      </w:r>
      <w:r>
        <w:rPr>
          <w:rFonts w:hint="eastAsia"/>
          <w:b/>
          <w:bCs/>
          <w:color w:val="000000"/>
          <w:sz w:val="32"/>
          <w:szCs w:val="32"/>
          <w:highlight w:val="none"/>
        </w:rPr>
        <w:t xml:space="preserve">  分项报价表</w:t>
      </w:r>
      <w:bookmarkEnd w:id="167"/>
      <w:bookmarkEnd w:id="168"/>
      <w:bookmarkEnd w:id="169"/>
      <w:bookmarkEnd w:id="170"/>
      <w:bookmarkEnd w:id="171"/>
      <w:bookmarkEnd w:id="172"/>
      <w:bookmarkEnd w:id="173"/>
      <w:bookmarkEnd w:id="174"/>
    </w:p>
    <w:p>
      <w:pPr>
        <w:pStyle w:val="6"/>
        <w:ind w:firstLine="0"/>
        <w:rPr>
          <w:color w:val="000000"/>
          <w:highlight w:val="none"/>
        </w:rPr>
      </w:pPr>
    </w:p>
    <w:p>
      <w:pPr>
        <w:widowControl/>
        <w:wordWrap w:val="0"/>
        <w:spacing w:line="360" w:lineRule="auto"/>
        <w:jc w:val="lef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陕西中医药大学第二附属医院眼科设备采购项目（一）第一包二次</w:t>
      </w:r>
    </w:p>
    <w:p>
      <w:pPr>
        <w:pStyle w:val="6"/>
        <w:spacing w:line="360" w:lineRule="auto"/>
        <w:ind w:firstLine="0"/>
        <w:rPr>
          <w:rFonts w:hint="eastAsia" w:ascii="宋体" w:eastAsia="宋体" w:cs="宋体"/>
          <w:color w:val="000000"/>
          <w:sz w:val="24"/>
          <w:highlight w:val="none"/>
          <w:u w:val="singl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eastAsia="zh-CN"/>
        </w:rPr>
        <w:t>SXWZ2022ZB-SZEY-163A</w:t>
      </w:r>
    </w:p>
    <w:p>
      <w:pPr>
        <w:widowControl/>
        <w:wordWrap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 xml:space="preserve">共  页，第  页                                        </w:t>
      </w:r>
    </w:p>
    <w:tbl>
      <w:tblPr>
        <w:tblStyle w:val="25"/>
        <w:tblW w:w="9046" w:type="dxa"/>
        <w:jc w:val="center"/>
        <w:tblLayout w:type="fixed"/>
        <w:tblCellMar>
          <w:top w:w="0" w:type="dxa"/>
          <w:left w:w="28" w:type="dxa"/>
          <w:bottom w:w="0" w:type="dxa"/>
          <w:right w:w="28" w:type="dxa"/>
        </w:tblCellMar>
      </w:tblPr>
      <w:tblGrid>
        <w:gridCol w:w="1167"/>
        <w:gridCol w:w="539"/>
        <w:gridCol w:w="803"/>
        <w:gridCol w:w="598"/>
        <w:gridCol w:w="979"/>
        <w:gridCol w:w="1596"/>
        <w:gridCol w:w="984"/>
        <w:gridCol w:w="1376"/>
        <w:gridCol w:w="1004"/>
      </w:tblGrid>
      <w:tr>
        <w:tblPrEx>
          <w:tblCellMar>
            <w:top w:w="0" w:type="dxa"/>
            <w:left w:w="28" w:type="dxa"/>
            <w:bottom w:w="0" w:type="dxa"/>
            <w:right w:w="28" w:type="dxa"/>
          </w:tblCellMar>
        </w:tblPrEx>
        <w:trPr>
          <w:trHeight w:val="675" w:hRule="atLeast"/>
          <w:jc w:val="center"/>
        </w:trPr>
        <w:tc>
          <w:tcPr>
            <w:tcW w:w="1167" w:type="dxa"/>
            <w:vMerge w:val="restart"/>
            <w:tcBorders>
              <w:top w:val="single" w:color="auto" w:sz="6" w:space="0"/>
              <w:left w:val="single" w:color="auto" w:sz="6" w:space="0"/>
              <w:right w:val="single" w:color="auto" w:sz="4" w:space="0"/>
            </w:tcBorders>
            <w:vAlign w:val="center"/>
          </w:tcPr>
          <w:p>
            <w:pPr>
              <w:jc w:val="left"/>
              <w:rPr>
                <w:rFonts w:ascii="宋体" w:hAnsi="宋体" w:cs="宋体"/>
                <w:sz w:val="24"/>
                <w:szCs w:val="24"/>
                <w:highlight w:val="none"/>
              </w:rPr>
            </w:pPr>
            <w:r>
              <w:rPr>
                <w:rFonts w:hint="eastAsia" w:ascii="宋体" w:hAnsi="宋体" w:cs="宋体"/>
                <w:sz w:val="24"/>
                <w:szCs w:val="24"/>
                <w:highlight w:val="none"/>
              </w:rPr>
              <w:t>产品费用</w:t>
            </w:r>
          </w:p>
        </w:tc>
        <w:tc>
          <w:tcPr>
            <w:tcW w:w="539"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80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598"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979"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1596"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ascii="宋体" w:hAnsi="宋体" w:cs="宋体"/>
                <w:sz w:val="24"/>
                <w:szCs w:val="24"/>
                <w:highlight w:val="none"/>
              </w:rPr>
            </w:pPr>
            <w:r>
              <w:rPr>
                <w:rFonts w:hint="eastAsia" w:ascii="宋体" w:hAnsi="宋体" w:cs="宋体"/>
                <w:sz w:val="24"/>
                <w:szCs w:val="24"/>
                <w:highlight w:val="none"/>
              </w:rPr>
              <w:t>原产地及制造厂名</w:t>
            </w:r>
          </w:p>
        </w:tc>
        <w:tc>
          <w:tcPr>
            <w:tcW w:w="98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13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单价</w:t>
            </w:r>
          </w:p>
          <w:p>
            <w:pPr>
              <w:spacing w:after="120"/>
              <w:jc w:val="center"/>
              <w:rPr>
                <w:rFonts w:ascii="宋体" w:hAnsi="宋体" w:cs="宋体"/>
                <w:sz w:val="24"/>
                <w:szCs w:val="24"/>
                <w:highlight w:val="none"/>
              </w:rPr>
            </w:pPr>
            <w:r>
              <w:rPr>
                <w:rFonts w:hint="eastAsia" w:ascii="宋体" w:hAnsi="宋体" w:cs="宋体"/>
                <w:sz w:val="24"/>
                <w:szCs w:val="24"/>
                <w:highlight w:val="none"/>
              </w:rPr>
              <w:t>（元）</w:t>
            </w:r>
          </w:p>
        </w:tc>
        <w:tc>
          <w:tcPr>
            <w:tcW w:w="100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highlight w:val="none"/>
              </w:rPr>
            </w:pPr>
            <w:r>
              <w:rPr>
                <w:rFonts w:hint="eastAsia" w:ascii="宋体" w:hAnsi="宋体" w:cs="宋体"/>
                <w:sz w:val="24"/>
                <w:szCs w:val="24"/>
                <w:highlight w:val="none"/>
              </w:rPr>
              <w:t>总价</w:t>
            </w:r>
          </w:p>
          <w:p>
            <w:pPr>
              <w:spacing w:after="120"/>
              <w:jc w:val="center"/>
              <w:rPr>
                <w:rFonts w:ascii="宋体" w:hAnsi="宋体" w:cs="宋体"/>
                <w:sz w:val="24"/>
                <w:szCs w:val="24"/>
                <w:highlight w:val="none"/>
              </w:rPr>
            </w:pPr>
            <w:r>
              <w:rPr>
                <w:rFonts w:hint="eastAsia" w:ascii="宋体" w:hAnsi="宋体" w:cs="宋体"/>
                <w:sz w:val="24"/>
                <w:szCs w:val="24"/>
                <w:highlight w:val="none"/>
              </w:rPr>
              <w:t>（元）</w:t>
            </w: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6" w:space="0"/>
              <w:left w:val="single" w:color="auto" w:sz="4" w:space="0"/>
              <w:bottom w:val="single" w:color="auto" w:sz="4"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80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1167"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cs="宋体"/>
                <w:sz w:val="24"/>
                <w:szCs w:val="24"/>
                <w:highlight w:val="none"/>
              </w:rPr>
            </w:pPr>
          </w:p>
        </w:tc>
        <w:tc>
          <w:tcPr>
            <w:tcW w:w="539" w:type="dxa"/>
            <w:tcBorders>
              <w:top w:val="single" w:color="auto" w:sz="4" w:space="0"/>
              <w:left w:val="single" w:color="auto" w:sz="4" w:space="0"/>
              <w:bottom w:val="single" w:color="auto" w:sz="6" w:space="0"/>
            </w:tcBorders>
            <w:vAlign w:val="center"/>
          </w:tcPr>
          <w:p>
            <w:pPr>
              <w:spacing w:beforeLines="100"/>
              <w:jc w:val="center"/>
              <w:rPr>
                <w:rFonts w:ascii="宋体" w:hAnsi="宋体" w:cs="宋体"/>
                <w:b/>
                <w:bCs/>
                <w:sz w:val="24"/>
                <w:szCs w:val="24"/>
                <w:highlight w:val="none"/>
              </w:rPr>
            </w:pPr>
            <w:r>
              <w:rPr>
                <w:rFonts w:hint="eastAsia" w:ascii="宋体" w:hAnsi="宋体" w:cs="宋体"/>
                <w:sz w:val="24"/>
                <w:szCs w:val="24"/>
                <w:highlight w:val="none"/>
              </w:rPr>
              <w:t>……</w:t>
            </w:r>
          </w:p>
        </w:tc>
        <w:tc>
          <w:tcPr>
            <w:tcW w:w="80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598"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highlight w:val="none"/>
              </w:rPr>
            </w:pPr>
          </w:p>
        </w:tc>
        <w:tc>
          <w:tcPr>
            <w:tcW w:w="979"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59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98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3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c>
          <w:tcPr>
            <w:tcW w:w="100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安装调试费</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运杂费</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其他费用</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2509"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c>
          <w:tcPr>
            <w:tcW w:w="653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w:t>
            </w:r>
          </w:p>
        </w:tc>
      </w:tr>
      <w:tr>
        <w:tblPrEx>
          <w:tblCellMar>
            <w:top w:w="0" w:type="dxa"/>
            <w:left w:w="28" w:type="dxa"/>
            <w:bottom w:w="0" w:type="dxa"/>
            <w:right w:w="28" w:type="dxa"/>
          </w:tblCellMar>
        </w:tblPrEx>
        <w:trPr>
          <w:trHeight w:val="599" w:hRule="atLeast"/>
          <w:jc w:val="center"/>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总报价</w:t>
            </w:r>
          </w:p>
        </w:tc>
        <w:tc>
          <w:tcPr>
            <w:tcW w:w="7340"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cs="宋体"/>
                <w:sz w:val="24"/>
                <w:szCs w:val="24"/>
                <w:highlight w:val="none"/>
              </w:rPr>
            </w:pPr>
            <w:r>
              <w:rPr>
                <w:rFonts w:hint="eastAsia" w:ascii="宋体" w:hAnsi="宋体" w:cs="宋体"/>
                <w:sz w:val="24"/>
                <w:szCs w:val="24"/>
                <w:highlight w:val="none"/>
              </w:rPr>
              <w:t>大写：                       小写：</w:t>
            </w:r>
          </w:p>
        </w:tc>
      </w:tr>
      <w:tr>
        <w:tblPrEx>
          <w:tblCellMar>
            <w:top w:w="0" w:type="dxa"/>
            <w:left w:w="28" w:type="dxa"/>
            <w:bottom w:w="0" w:type="dxa"/>
            <w:right w:w="28" w:type="dxa"/>
          </w:tblCellMar>
        </w:tblPrEx>
        <w:trPr>
          <w:trHeight w:val="599" w:hRule="atLeast"/>
          <w:jc w:val="center"/>
        </w:trPr>
        <w:tc>
          <w:tcPr>
            <w:tcW w:w="1706"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备注</w:t>
            </w:r>
          </w:p>
        </w:tc>
        <w:tc>
          <w:tcPr>
            <w:tcW w:w="7340"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highlight w:val="none"/>
              </w:rPr>
            </w:pPr>
            <w:r>
              <w:rPr>
                <w:rFonts w:hint="eastAsia" w:ascii="宋体" w:hAnsi="宋体" w:cs="宋体"/>
                <w:spacing w:val="-6"/>
                <w:sz w:val="24"/>
                <w:szCs w:val="24"/>
                <w:highlight w:val="none"/>
                <w:lang w:eastAsia="zh-CN"/>
              </w:rPr>
              <w:t>精确到小数点后两位</w:t>
            </w:r>
            <w:r>
              <w:rPr>
                <w:rFonts w:hint="eastAsia" w:ascii="宋体" w:hAnsi="宋体" w:cs="宋体"/>
                <w:spacing w:val="-6"/>
                <w:sz w:val="24"/>
                <w:szCs w:val="24"/>
                <w:highlight w:val="none"/>
              </w:rPr>
              <w:t>。</w:t>
            </w:r>
          </w:p>
        </w:tc>
      </w:tr>
    </w:tbl>
    <w:p>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供应商（单位名称及公章）：</w:t>
      </w:r>
    </w:p>
    <w:p>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法定代表人或被授权人（签字或盖章）：</w:t>
      </w:r>
    </w:p>
    <w:p>
      <w:pPr>
        <w:adjustRightInd w:val="0"/>
        <w:snapToGrid w:val="0"/>
        <w:spacing w:line="480" w:lineRule="auto"/>
        <w:rPr>
          <w:rFonts w:ascii="宋体" w:hAnsi="宋体"/>
          <w:color w:val="000000"/>
          <w:sz w:val="24"/>
          <w:szCs w:val="24"/>
          <w:highlight w:val="none"/>
        </w:rPr>
      </w:pPr>
      <w:r>
        <w:rPr>
          <w:rFonts w:hint="eastAsia" w:ascii="宋体" w:hAnsi="宋体"/>
          <w:color w:val="000000"/>
          <w:sz w:val="24"/>
          <w:szCs w:val="24"/>
          <w:highlight w:val="none"/>
        </w:rPr>
        <w:t>日期：年  月  日</w:t>
      </w:r>
    </w:p>
    <w:p>
      <w:pPr>
        <w:rPr>
          <w:rFonts w:ascii="宋体" w:hAnsi="宋体"/>
          <w:color w:val="000000"/>
          <w:sz w:val="24"/>
          <w:szCs w:val="24"/>
          <w:highlight w:val="none"/>
        </w:rPr>
      </w:pPr>
      <w:r>
        <w:rPr>
          <w:rFonts w:hint="eastAsia" w:ascii="宋体" w:hAnsi="宋体"/>
          <w:color w:val="000000"/>
          <w:sz w:val="24"/>
          <w:szCs w:val="24"/>
          <w:highlight w:val="none"/>
        </w:rPr>
        <w:br w:type="page"/>
      </w:r>
    </w:p>
    <w:bookmarkEnd w:id="175"/>
    <w:bookmarkEnd w:id="176"/>
    <w:bookmarkEnd w:id="177"/>
    <w:bookmarkEnd w:id="178"/>
    <w:bookmarkEnd w:id="179"/>
    <w:p>
      <w:pPr>
        <w:pStyle w:val="4"/>
        <w:rPr>
          <w:highlight w:val="none"/>
        </w:rPr>
      </w:pPr>
      <w:bookmarkStart w:id="180" w:name="_Toc24084"/>
      <w:bookmarkStart w:id="181" w:name="_Toc3301"/>
      <w:bookmarkStart w:id="182" w:name="_Toc23234"/>
      <w:bookmarkStart w:id="183" w:name="_Toc25889"/>
      <w:bookmarkStart w:id="184" w:name="_Toc28248"/>
      <w:r>
        <w:rPr>
          <w:rFonts w:hint="eastAsia"/>
          <w:color w:val="000000"/>
          <w:highlight w:val="none"/>
          <w:lang w:val="en-US" w:eastAsia="zh-CN"/>
        </w:rPr>
        <w:t xml:space="preserve">第四章  </w:t>
      </w:r>
      <w:r>
        <w:rPr>
          <w:rFonts w:hint="eastAsia"/>
          <w:highlight w:val="none"/>
        </w:rPr>
        <w:t>投标保证金</w:t>
      </w:r>
      <w:bookmarkEnd w:id="180"/>
      <w:r>
        <w:rPr>
          <w:rFonts w:hint="eastAsia"/>
          <w:highlight w:val="none"/>
        </w:rPr>
        <w:t xml:space="preserve"> </w:t>
      </w:r>
    </w:p>
    <w:p>
      <w:pPr>
        <w:pStyle w:val="6"/>
        <w:rPr>
          <w:sz w:val="28"/>
          <w:szCs w:val="24"/>
          <w:highlight w:val="none"/>
        </w:rPr>
      </w:pPr>
      <w:r>
        <w:rPr>
          <w:rFonts w:hint="eastAsia"/>
          <w:sz w:val="28"/>
          <w:szCs w:val="24"/>
          <w:highlight w:val="none"/>
          <w:lang w:eastAsia="zh-CN"/>
        </w:rPr>
        <w:t>供应商</w:t>
      </w:r>
      <w:r>
        <w:rPr>
          <w:rFonts w:hint="eastAsia"/>
          <w:sz w:val="28"/>
          <w:szCs w:val="24"/>
          <w:highlight w:val="none"/>
        </w:rPr>
        <w:t>在此处提供保证金缴纳凭证扫描件加盖公章，或者财政部门指定的担保机构出具的保函；</w:t>
      </w:r>
    </w:p>
    <w:p>
      <w:pPr>
        <w:pStyle w:val="6"/>
        <w:rPr>
          <w:sz w:val="28"/>
          <w:szCs w:val="24"/>
          <w:highlight w:val="none"/>
        </w:rPr>
      </w:pPr>
    </w:p>
    <w:tbl>
      <w:tblPr>
        <w:tblStyle w:val="26"/>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6"/>
              <w:rPr>
                <w:sz w:val="28"/>
                <w:szCs w:val="24"/>
                <w:highlight w:val="none"/>
              </w:rPr>
            </w:pPr>
          </w:p>
        </w:tc>
      </w:tr>
    </w:tbl>
    <w:p>
      <w:pPr>
        <w:bidi w:val="0"/>
        <w:rPr>
          <w:highlight w:val="none"/>
        </w:rPr>
      </w:pPr>
    </w:p>
    <w:p>
      <w:pPr>
        <w:rPr>
          <w:color w:val="000000"/>
          <w:highlight w:val="none"/>
        </w:rPr>
      </w:pPr>
      <w:r>
        <w:rPr>
          <w:rFonts w:hint="eastAsia"/>
          <w:color w:val="000000"/>
          <w:highlight w:val="none"/>
          <w:lang w:val="en-US" w:eastAsia="zh-CN"/>
        </w:rPr>
        <w:br w:type="page"/>
      </w:r>
    </w:p>
    <w:p>
      <w:pPr>
        <w:pStyle w:val="4"/>
        <w:numPr>
          <w:ilvl w:val="0"/>
          <w:numId w:val="0"/>
        </w:numPr>
        <w:jc w:val="center"/>
        <w:rPr>
          <w:color w:val="000000"/>
          <w:highlight w:val="none"/>
        </w:rPr>
      </w:pPr>
      <w:bookmarkStart w:id="185" w:name="_Toc2213"/>
      <w:r>
        <w:rPr>
          <w:rFonts w:hint="eastAsia"/>
          <w:color w:val="000000"/>
          <w:highlight w:val="none"/>
          <w:lang w:val="en-US" w:eastAsia="zh-CN"/>
        </w:rPr>
        <w:t xml:space="preserve">第五章  </w:t>
      </w:r>
      <w:r>
        <w:rPr>
          <w:rFonts w:hint="eastAsia"/>
          <w:color w:val="000000"/>
          <w:highlight w:val="none"/>
        </w:rPr>
        <w:t>供应商资质证明资料</w:t>
      </w:r>
      <w:bookmarkEnd w:id="181"/>
      <w:bookmarkEnd w:id="182"/>
      <w:bookmarkEnd w:id="183"/>
      <w:bookmarkEnd w:id="184"/>
      <w:bookmarkEnd w:id="185"/>
    </w:p>
    <w:p>
      <w:pPr>
        <w:snapToGrid w:val="0"/>
        <w:spacing w:line="360" w:lineRule="auto"/>
        <w:ind w:right="-199" w:rightChars="-95"/>
        <w:jc w:val="left"/>
        <w:rPr>
          <w:rFonts w:hint="eastAsia" w:ascii="宋体" w:hAnsi="宋体" w:cs="宋体"/>
          <w:b/>
          <w:bCs/>
          <w:sz w:val="28"/>
          <w:szCs w:val="24"/>
          <w:highlight w:val="none"/>
        </w:rPr>
      </w:pP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需在此页附招标公告或招标文件中要求的资质证明文件，投标文件附资质复印件或扫描件加盖</w:t>
      </w: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公章。格式参考见下页。</w:t>
      </w:r>
    </w:p>
    <w:p>
      <w:pPr>
        <w:rPr>
          <w:rFonts w:hint="eastAsia" w:ascii="宋体" w:hAnsi="宋体" w:cs="宋体"/>
          <w:b/>
          <w:bCs/>
          <w:sz w:val="28"/>
          <w:szCs w:val="24"/>
          <w:highlight w:val="none"/>
        </w:rPr>
      </w:pPr>
      <w:r>
        <w:rPr>
          <w:rFonts w:hint="eastAsia" w:ascii="宋体" w:hAnsi="宋体" w:cs="宋体"/>
          <w:b/>
          <w:bCs/>
          <w:sz w:val="28"/>
          <w:szCs w:val="24"/>
          <w:highlight w:val="none"/>
        </w:rPr>
        <w:br w:type="page"/>
      </w:r>
    </w:p>
    <w:p>
      <w:pPr>
        <w:pStyle w:val="6"/>
        <w:ind w:firstLine="0"/>
        <w:rPr>
          <w:rFonts w:eastAsia="宋体"/>
          <w:b/>
          <w:bCs/>
          <w:sz w:val="32"/>
          <w:szCs w:val="28"/>
          <w:highlight w:val="none"/>
        </w:rPr>
      </w:pPr>
      <w:r>
        <w:rPr>
          <w:rFonts w:hint="eastAsia"/>
          <w:b/>
          <w:bCs/>
          <w:sz w:val="32"/>
          <w:szCs w:val="28"/>
          <w:highlight w:val="none"/>
        </w:rPr>
        <w:t>附：资质证明文件格式：</w:t>
      </w:r>
    </w:p>
    <w:p>
      <w:pPr>
        <w:rPr>
          <w:rFonts w:ascii="宋体"/>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符合《政府采购法》第二十二条规定条件的承诺函</w:t>
      </w:r>
    </w:p>
    <w:p>
      <w:pPr>
        <w:pStyle w:val="8"/>
        <w:spacing w:line="360" w:lineRule="auto"/>
        <w:ind w:left="0" w:leftChars="0"/>
        <w:rPr>
          <w:rFonts w:ascii="宋体"/>
          <w:sz w:val="24"/>
          <w:szCs w:val="24"/>
          <w:highlight w:val="none"/>
        </w:rPr>
      </w:pPr>
      <w:r>
        <w:rPr>
          <w:rFonts w:hint="eastAsia" w:ascii="宋体" w:hAnsi="宋体" w:cs="宋体"/>
          <w:sz w:val="24"/>
          <w:szCs w:val="24"/>
          <w:highlight w:val="none"/>
        </w:rPr>
        <w:t>致陕西万泽招标有限公司：</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本公司</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（公司名称）</w:t>
      </w:r>
      <w:r>
        <w:rPr>
          <w:rFonts w:hint="eastAsia" w:ascii="宋体" w:hAnsi="宋体" w:cs="宋体"/>
          <w:sz w:val="24"/>
          <w:szCs w:val="24"/>
          <w:highlight w:val="none"/>
        </w:rPr>
        <w:t>参加</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的投标活动，现承诺：</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我公司满足政府采购法第二十二条关于供应商的资格要求：</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（一）具有独立承担民事责任的能力；</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（二）具有良好的商业信誉和健全的财务会计制度；</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（三）具有履行合同所必需的设备和专业技术能力；</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（四）有依法缴纳税收的良好记录；</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（五）参加政府采购活动前三年内，在经营活动中没有重大违法记录；</w:t>
      </w:r>
      <w:r>
        <w:rPr>
          <w:rFonts w:ascii="宋体" w:hAnsi="宋体" w:cs="宋体"/>
          <w:sz w:val="24"/>
          <w:szCs w:val="24"/>
          <w:highlight w:val="none"/>
        </w:rPr>
        <w:t xml:space="preserve"> </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（六）法律、行政法规规定的其他条件。</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同时也满足本项目法律法规规章规定关于供应商的其他资格性条件，未参与本采购项目前期咨询论证，不属于禁止参加投标的供应商。</w:t>
      </w:r>
    </w:p>
    <w:p>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如违反以上承诺，本公司愿承担一切法律责任。</w:t>
      </w:r>
    </w:p>
    <w:p>
      <w:pPr>
        <w:pStyle w:val="8"/>
        <w:spacing w:line="360" w:lineRule="auto"/>
        <w:ind w:left="0" w:leftChars="0"/>
        <w:rPr>
          <w:rFonts w:ascii="宋体"/>
          <w:sz w:val="24"/>
          <w:szCs w:val="24"/>
          <w:highlight w:val="none"/>
        </w:rPr>
      </w:pPr>
    </w:p>
    <w:p>
      <w:pPr>
        <w:spacing w:line="360" w:lineRule="auto"/>
        <w:rPr>
          <w:rFonts w:ascii="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ascii="宋体" w:hAnsi="宋体" w:cs="宋体"/>
          <w:sz w:val="24"/>
          <w:szCs w:val="24"/>
          <w:highlight w:val="none"/>
          <w:u w:val="single"/>
        </w:rPr>
        <w:t xml:space="preserve">        </w:t>
      </w:r>
      <w:r>
        <w:rPr>
          <w:rFonts w:hint="eastAsia" w:ascii="宋体" w:hAnsi="宋体" w:cs="宋体"/>
          <w:sz w:val="24"/>
          <w:szCs w:val="24"/>
          <w:highlight w:val="none"/>
          <w:u w:val="single"/>
        </w:rPr>
        <w:t>（名称及盖章）</w:t>
      </w:r>
    </w:p>
    <w:p>
      <w:pPr>
        <w:spacing w:line="360" w:lineRule="auto"/>
        <w:rPr>
          <w:rFonts w:ascii="宋体"/>
          <w:sz w:val="24"/>
          <w:szCs w:val="24"/>
          <w:highlight w:val="none"/>
        </w:rPr>
      </w:pPr>
    </w:p>
    <w:p>
      <w:pPr>
        <w:spacing w:line="360" w:lineRule="auto"/>
        <w:rPr>
          <w:rFonts w:ascii="宋体"/>
          <w:sz w:val="24"/>
          <w:szCs w:val="24"/>
          <w:highlight w:val="none"/>
        </w:rPr>
      </w:pPr>
      <w:r>
        <w:rPr>
          <w:rFonts w:hint="eastAsia" w:ascii="宋体" w:hAnsi="宋体" w:cs="宋体"/>
          <w:sz w:val="24"/>
          <w:szCs w:val="24"/>
          <w:highlight w:val="none"/>
        </w:rPr>
        <w:t>法定代表人或委托代理人（签字或盖章）：</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spacing w:line="360" w:lineRule="auto"/>
        <w:rPr>
          <w:rFonts w:ascii="宋体"/>
          <w:sz w:val="24"/>
          <w:szCs w:val="24"/>
          <w:highlight w:val="none"/>
        </w:rPr>
      </w:pPr>
    </w:p>
    <w:p>
      <w:pPr>
        <w:adjustRightInd w:val="0"/>
        <w:snapToGrid w:val="0"/>
        <w:spacing w:line="480" w:lineRule="auto"/>
        <w:jc w:val="left"/>
        <w:rPr>
          <w:color w:val="000000"/>
          <w:sz w:val="24"/>
          <w:szCs w:val="24"/>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宋体" w:hAnsi="宋体" w:cs="宋体"/>
          <w:sz w:val="24"/>
          <w:szCs w:val="24"/>
          <w:highlight w:val="none"/>
        </w:rPr>
        <w:t>日期：</w:t>
      </w:r>
    </w:p>
    <w:p>
      <w:pPr>
        <w:ind w:firstLine="2240" w:firstLineChars="700"/>
        <w:rPr>
          <w:sz w:val="32"/>
          <w:szCs w:val="36"/>
          <w:highlight w:val="none"/>
        </w:rPr>
      </w:pPr>
      <w:r>
        <w:rPr>
          <w:rFonts w:hint="eastAsia"/>
          <w:sz w:val="32"/>
          <w:szCs w:val="36"/>
          <w:highlight w:val="none"/>
        </w:rPr>
        <w:t>2、供应商基本情况一览表</w:t>
      </w:r>
    </w:p>
    <w:p>
      <w:pPr>
        <w:rPr>
          <w:sz w:val="28"/>
          <w:szCs w:val="32"/>
          <w:highlight w:val="none"/>
        </w:rPr>
      </w:pPr>
      <w:r>
        <w:rPr>
          <w:rFonts w:hint="eastAsia"/>
          <w:sz w:val="24"/>
          <w:szCs w:val="28"/>
          <w:highlight w:val="none"/>
        </w:rPr>
        <w:t>2-1供应商基本情况一览表</w:t>
      </w:r>
    </w:p>
    <w:tbl>
      <w:tblPr>
        <w:tblStyle w:val="25"/>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highlight w:val="none"/>
              </w:rPr>
            </w:pPr>
            <w:bookmarkStart w:id="186" w:name="_Toc29518"/>
            <w:bookmarkStart w:id="187" w:name="_Toc15823"/>
            <w:bookmarkStart w:id="188" w:name="_Toc18556"/>
            <w:bookmarkStart w:id="189" w:name="_Toc5452"/>
            <w:r>
              <w:rPr>
                <w:rFonts w:hint="eastAsia"/>
                <w:highlight w:val="none"/>
                <w:lang w:eastAsia="zh-CN"/>
              </w:rPr>
              <w:t>供应商</w:t>
            </w:r>
            <w:r>
              <w:rPr>
                <w:rFonts w:hint="eastAsia"/>
                <w:highlight w:val="none"/>
              </w:rPr>
              <w:t>名称</w:t>
            </w:r>
            <w:bookmarkEnd w:id="186"/>
            <w:bookmarkEnd w:id="187"/>
            <w:bookmarkEnd w:id="188"/>
            <w:bookmarkEnd w:id="189"/>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highlight w:val="none"/>
              </w:rPr>
            </w:pPr>
            <w:bookmarkStart w:id="190" w:name="_Toc32438"/>
            <w:bookmarkStart w:id="191" w:name="_Toc15986"/>
            <w:bookmarkStart w:id="192" w:name="_Toc32432"/>
            <w:bookmarkStart w:id="193" w:name="_Toc26127"/>
            <w:r>
              <w:rPr>
                <w:rFonts w:hint="eastAsia"/>
                <w:highlight w:val="none"/>
              </w:rPr>
              <w:t>注册地址</w:t>
            </w:r>
            <w:bookmarkEnd w:id="190"/>
            <w:bookmarkEnd w:id="191"/>
            <w:bookmarkEnd w:id="192"/>
            <w:bookmarkEnd w:id="193"/>
          </w:p>
        </w:tc>
        <w:tc>
          <w:tcPr>
            <w:tcW w:w="3655" w:type="dxa"/>
            <w:gridSpan w:val="3"/>
            <w:vAlign w:val="center"/>
          </w:tcPr>
          <w:p>
            <w:pPr>
              <w:rPr>
                <w:highlight w:val="none"/>
              </w:rPr>
            </w:pPr>
          </w:p>
        </w:tc>
        <w:tc>
          <w:tcPr>
            <w:tcW w:w="1401" w:type="dxa"/>
            <w:vAlign w:val="center"/>
          </w:tcPr>
          <w:p>
            <w:pPr>
              <w:rPr>
                <w:highlight w:val="none"/>
              </w:rPr>
            </w:pPr>
            <w:bookmarkStart w:id="194" w:name="_Toc5829"/>
            <w:bookmarkStart w:id="195" w:name="_Toc13370"/>
            <w:bookmarkStart w:id="196" w:name="_Toc2965"/>
            <w:bookmarkStart w:id="197" w:name="_Toc20217"/>
            <w:r>
              <w:rPr>
                <w:rFonts w:hint="eastAsia"/>
                <w:highlight w:val="none"/>
              </w:rPr>
              <w:t>邮政编码</w:t>
            </w:r>
            <w:bookmarkEnd w:id="194"/>
            <w:bookmarkEnd w:id="195"/>
            <w:bookmarkEnd w:id="196"/>
            <w:bookmarkEnd w:id="197"/>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198" w:name="_Toc29861"/>
            <w:bookmarkStart w:id="199" w:name="_Toc24152"/>
            <w:bookmarkStart w:id="200" w:name="_Toc5933"/>
            <w:bookmarkStart w:id="201" w:name="_Toc14242"/>
            <w:r>
              <w:rPr>
                <w:rFonts w:hint="eastAsia"/>
                <w:highlight w:val="none"/>
              </w:rPr>
              <w:t>联系方式</w:t>
            </w:r>
            <w:bookmarkEnd w:id="198"/>
            <w:bookmarkEnd w:id="199"/>
            <w:bookmarkEnd w:id="200"/>
            <w:bookmarkEnd w:id="201"/>
          </w:p>
        </w:tc>
        <w:tc>
          <w:tcPr>
            <w:tcW w:w="1016" w:type="dxa"/>
            <w:vAlign w:val="center"/>
          </w:tcPr>
          <w:p>
            <w:pPr>
              <w:rPr>
                <w:highlight w:val="none"/>
              </w:rPr>
            </w:pPr>
            <w:bookmarkStart w:id="202" w:name="_Toc11708"/>
            <w:bookmarkStart w:id="203" w:name="_Toc22630"/>
            <w:bookmarkStart w:id="204" w:name="_Toc32228"/>
            <w:bookmarkStart w:id="205" w:name="_Toc23469"/>
            <w:r>
              <w:rPr>
                <w:rFonts w:hint="eastAsia"/>
                <w:highlight w:val="none"/>
              </w:rPr>
              <w:t>联系人</w:t>
            </w:r>
            <w:bookmarkEnd w:id="202"/>
            <w:bookmarkEnd w:id="203"/>
            <w:bookmarkEnd w:id="204"/>
            <w:bookmarkEnd w:id="205"/>
          </w:p>
        </w:tc>
        <w:tc>
          <w:tcPr>
            <w:tcW w:w="2639" w:type="dxa"/>
            <w:gridSpan w:val="2"/>
            <w:vAlign w:val="center"/>
          </w:tcPr>
          <w:p>
            <w:pPr>
              <w:rPr>
                <w:highlight w:val="none"/>
              </w:rPr>
            </w:pPr>
          </w:p>
        </w:tc>
        <w:tc>
          <w:tcPr>
            <w:tcW w:w="1401" w:type="dxa"/>
            <w:vAlign w:val="center"/>
          </w:tcPr>
          <w:p>
            <w:pPr>
              <w:rPr>
                <w:highlight w:val="none"/>
              </w:rPr>
            </w:pPr>
            <w:bookmarkStart w:id="206" w:name="_Toc31524"/>
            <w:bookmarkStart w:id="207" w:name="_Toc28825"/>
            <w:bookmarkStart w:id="208" w:name="_Toc29495"/>
            <w:bookmarkStart w:id="209" w:name="_Toc22121"/>
            <w:r>
              <w:rPr>
                <w:rFonts w:hint="eastAsia"/>
                <w:highlight w:val="none"/>
              </w:rPr>
              <w:t>电话</w:t>
            </w:r>
            <w:bookmarkEnd w:id="206"/>
            <w:bookmarkEnd w:id="207"/>
            <w:bookmarkEnd w:id="208"/>
            <w:bookmarkEnd w:id="209"/>
          </w:p>
        </w:tc>
        <w:tc>
          <w:tcPr>
            <w:tcW w:w="2049" w:type="dxa"/>
            <w:gridSpan w:val="3"/>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210" w:name="_Toc12754"/>
            <w:bookmarkStart w:id="211" w:name="_Toc8331"/>
            <w:bookmarkStart w:id="212" w:name="_Toc21326"/>
            <w:bookmarkStart w:id="213" w:name="_Toc27355"/>
            <w:r>
              <w:rPr>
                <w:rFonts w:hint="eastAsia"/>
                <w:highlight w:val="none"/>
              </w:rPr>
              <w:t>组织结构</w:t>
            </w:r>
            <w:bookmarkEnd w:id="210"/>
            <w:bookmarkEnd w:id="211"/>
            <w:bookmarkEnd w:id="212"/>
            <w:bookmarkEnd w:id="213"/>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highlight w:val="none"/>
              </w:rPr>
            </w:pPr>
            <w:bookmarkStart w:id="214" w:name="_Toc22082"/>
            <w:bookmarkStart w:id="215" w:name="_Toc29110"/>
            <w:bookmarkStart w:id="216" w:name="_Toc5018"/>
            <w:bookmarkStart w:id="217" w:name="_Toc28736"/>
            <w:r>
              <w:rPr>
                <w:rFonts w:hint="eastAsia"/>
                <w:highlight w:val="none"/>
              </w:rPr>
              <w:t>法定代表人</w:t>
            </w:r>
            <w:bookmarkEnd w:id="214"/>
            <w:bookmarkEnd w:id="215"/>
            <w:bookmarkEnd w:id="216"/>
            <w:bookmarkEnd w:id="217"/>
          </w:p>
        </w:tc>
        <w:tc>
          <w:tcPr>
            <w:tcW w:w="1016" w:type="dxa"/>
            <w:vAlign w:val="center"/>
          </w:tcPr>
          <w:p>
            <w:pPr>
              <w:rPr>
                <w:highlight w:val="none"/>
              </w:rPr>
            </w:pPr>
            <w:bookmarkStart w:id="218" w:name="_Toc8313"/>
            <w:bookmarkStart w:id="219" w:name="_Toc24566"/>
            <w:bookmarkStart w:id="220" w:name="_Toc429"/>
            <w:bookmarkStart w:id="221" w:name="_Toc3509"/>
            <w:r>
              <w:rPr>
                <w:rFonts w:hint="eastAsia"/>
                <w:highlight w:val="none"/>
              </w:rPr>
              <w:t>姓名</w:t>
            </w:r>
            <w:bookmarkEnd w:id="218"/>
            <w:bookmarkEnd w:id="219"/>
            <w:bookmarkEnd w:id="220"/>
            <w:bookmarkEnd w:id="221"/>
          </w:p>
        </w:tc>
        <w:tc>
          <w:tcPr>
            <w:tcW w:w="1315" w:type="dxa"/>
            <w:vAlign w:val="center"/>
          </w:tcPr>
          <w:p>
            <w:pPr>
              <w:rPr>
                <w:highlight w:val="none"/>
              </w:rPr>
            </w:pPr>
          </w:p>
        </w:tc>
        <w:tc>
          <w:tcPr>
            <w:tcW w:w="1324" w:type="dxa"/>
            <w:vAlign w:val="center"/>
          </w:tcPr>
          <w:p>
            <w:pPr>
              <w:rPr>
                <w:highlight w:val="none"/>
              </w:rPr>
            </w:pPr>
            <w:bookmarkStart w:id="222" w:name="_Toc2791"/>
            <w:bookmarkStart w:id="223" w:name="_Toc11392"/>
            <w:bookmarkStart w:id="224" w:name="_Toc5089"/>
            <w:bookmarkStart w:id="225" w:name="_Toc552"/>
            <w:r>
              <w:rPr>
                <w:rFonts w:hint="eastAsia"/>
                <w:highlight w:val="none"/>
              </w:rPr>
              <w:t>技术职称</w:t>
            </w:r>
            <w:bookmarkEnd w:id="222"/>
            <w:bookmarkEnd w:id="223"/>
            <w:bookmarkEnd w:id="224"/>
            <w:bookmarkEnd w:id="225"/>
          </w:p>
        </w:tc>
        <w:tc>
          <w:tcPr>
            <w:tcW w:w="1401" w:type="dxa"/>
            <w:vAlign w:val="center"/>
          </w:tcPr>
          <w:p>
            <w:pPr>
              <w:rPr>
                <w:highlight w:val="none"/>
              </w:rPr>
            </w:pPr>
          </w:p>
        </w:tc>
        <w:tc>
          <w:tcPr>
            <w:tcW w:w="902" w:type="dxa"/>
            <w:gridSpan w:val="2"/>
            <w:vAlign w:val="center"/>
          </w:tcPr>
          <w:p>
            <w:pPr>
              <w:rPr>
                <w:highlight w:val="none"/>
              </w:rPr>
            </w:pPr>
            <w:bookmarkStart w:id="226" w:name="_Toc24036"/>
            <w:bookmarkStart w:id="227" w:name="_Toc15179"/>
            <w:bookmarkStart w:id="228" w:name="_Toc21732"/>
            <w:bookmarkStart w:id="229" w:name="_Toc18413"/>
            <w:r>
              <w:rPr>
                <w:rFonts w:hint="eastAsia"/>
                <w:highlight w:val="none"/>
              </w:rPr>
              <w:t>电话</w:t>
            </w:r>
            <w:bookmarkEnd w:id="226"/>
            <w:bookmarkEnd w:id="227"/>
            <w:bookmarkEnd w:id="228"/>
            <w:bookmarkEnd w:id="229"/>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highlight w:val="none"/>
              </w:rPr>
            </w:pPr>
            <w:bookmarkStart w:id="230" w:name="_Toc30758"/>
            <w:bookmarkStart w:id="231" w:name="_Toc18654"/>
            <w:bookmarkStart w:id="232" w:name="_Toc832"/>
            <w:bookmarkStart w:id="233" w:name="_Toc6397"/>
            <w:r>
              <w:rPr>
                <w:rFonts w:hint="eastAsia"/>
                <w:highlight w:val="none"/>
              </w:rPr>
              <w:t>技术负责人</w:t>
            </w:r>
            <w:bookmarkEnd w:id="230"/>
            <w:bookmarkEnd w:id="231"/>
            <w:bookmarkEnd w:id="232"/>
            <w:bookmarkEnd w:id="233"/>
          </w:p>
        </w:tc>
        <w:tc>
          <w:tcPr>
            <w:tcW w:w="1016" w:type="dxa"/>
            <w:vAlign w:val="center"/>
          </w:tcPr>
          <w:p>
            <w:pPr>
              <w:rPr>
                <w:highlight w:val="none"/>
              </w:rPr>
            </w:pPr>
            <w:bookmarkStart w:id="234" w:name="_Toc17841"/>
            <w:bookmarkStart w:id="235" w:name="_Toc6829"/>
            <w:bookmarkStart w:id="236" w:name="_Toc5794"/>
            <w:bookmarkStart w:id="237" w:name="_Toc32237"/>
            <w:r>
              <w:rPr>
                <w:rFonts w:hint="eastAsia"/>
                <w:highlight w:val="none"/>
              </w:rPr>
              <w:t>姓名</w:t>
            </w:r>
            <w:bookmarkEnd w:id="234"/>
            <w:bookmarkEnd w:id="235"/>
            <w:bookmarkEnd w:id="236"/>
            <w:bookmarkEnd w:id="237"/>
          </w:p>
        </w:tc>
        <w:tc>
          <w:tcPr>
            <w:tcW w:w="1315" w:type="dxa"/>
            <w:vAlign w:val="center"/>
          </w:tcPr>
          <w:p>
            <w:pPr>
              <w:rPr>
                <w:highlight w:val="none"/>
              </w:rPr>
            </w:pPr>
          </w:p>
        </w:tc>
        <w:tc>
          <w:tcPr>
            <w:tcW w:w="1324" w:type="dxa"/>
            <w:vAlign w:val="center"/>
          </w:tcPr>
          <w:p>
            <w:pPr>
              <w:rPr>
                <w:highlight w:val="none"/>
              </w:rPr>
            </w:pPr>
            <w:bookmarkStart w:id="238" w:name="_Toc27222"/>
            <w:bookmarkStart w:id="239" w:name="_Toc25059"/>
            <w:bookmarkStart w:id="240" w:name="_Toc25207"/>
            <w:bookmarkStart w:id="241" w:name="_Toc17957"/>
            <w:r>
              <w:rPr>
                <w:rFonts w:hint="eastAsia"/>
                <w:highlight w:val="none"/>
              </w:rPr>
              <w:t>技术职称</w:t>
            </w:r>
            <w:bookmarkEnd w:id="238"/>
            <w:bookmarkEnd w:id="239"/>
            <w:bookmarkEnd w:id="240"/>
            <w:bookmarkEnd w:id="241"/>
          </w:p>
        </w:tc>
        <w:tc>
          <w:tcPr>
            <w:tcW w:w="1401" w:type="dxa"/>
            <w:vAlign w:val="center"/>
          </w:tcPr>
          <w:p>
            <w:pPr>
              <w:rPr>
                <w:highlight w:val="none"/>
              </w:rPr>
            </w:pPr>
          </w:p>
        </w:tc>
        <w:tc>
          <w:tcPr>
            <w:tcW w:w="902" w:type="dxa"/>
            <w:gridSpan w:val="2"/>
            <w:vAlign w:val="center"/>
          </w:tcPr>
          <w:p>
            <w:pPr>
              <w:rPr>
                <w:highlight w:val="none"/>
              </w:rPr>
            </w:pPr>
            <w:bookmarkStart w:id="242" w:name="_Toc26943"/>
            <w:bookmarkStart w:id="243" w:name="_Toc321"/>
            <w:bookmarkStart w:id="244" w:name="_Toc14501"/>
            <w:bookmarkStart w:id="245" w:name="_Toc12165"/>
            <w:r>
              <w:rPr>
                <w:rFonts w:hint="eastAsia"/>
                <w:highlight w:val="none"/>
              </w:rPr>
              <w:t>电话</w:t>
            </w:r>
            <w:bookmarkEnd w:id="242"/>
            <w:bookmarkEnd w:id="243"/>
            <w:bookmarkEnd w:id="244"/>
            <w:bookmarkEnd w:id="245"/>
          </w:p>
        </w:tc>
        <w:tc>
          <w:tcPr>
            <w:tcW w:w="1147" w:type="dxa"/>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highlight w:val="none"/>
              </w:rPr>
            </w:pPr>
            <w:bookmarkStart w:id="246" w:name="_Toc13190"/>
            <w:bookmarkStart w:id="247" w:name="_Toc1183"/>
            <w:bookmarkStart w:id="248" w:name="_Toc5056"/>
            <w:bookmarkStart w:id="249" w:name="_Toc15849"/>
            <w:r>
              <w:rPr>
                <w:rFonts w:hint="eastAsia"/>
                <w:highlight w:val="none"/>
              </w:rPr>
              <w:t>成立时间</w:t>
            </w:r>
            <w:bookmarkEnd w:id="246"/>
            <w:bookmarkEnd w:id="247"/>
            <w:bookmarkEnd w:id="248"/>
            <w:bookmarkEnd w:id="249"/>
          </w:p>
        </w:tc>
        <w:tc>
          <w:tcPr>
            <w:tcW w:w="2331" w:type="dxa"/>
            <w:gridSpan w:val="2"/>
            <w:vAlign w:val="center"/>
          </w:tcPr>
          <w:p>
            <w:pPr>
              <w:rPr>
                <w:highlight w:val="none"/>
              </w:rPr>
            </w:pPr>
          </w:p>
        </w:tc>
        <w:tc>
          <w:tcPr>
            <w:tcW w:w="4774" w:type="dxa"/>
            <w:gridSpan w:val="5"/>
            <w:vAlign w:val="center"/>
          </w:tcPr>
          <w:p>
            <w:pPr>
              <w:rPr>
                <w:highlight w:val="none"/>
              </w:rPr>
            </w:pPr>
            <w:bookmarkStart w:id="250" w:name="_Toc5918"/>
            <w:bookmarkStart w:id="251" w:name="_Toc7458"/>
            <w:bookmarkStart w:id="252" w:name="_Toc23476"/>
            <w:bookmarkStart w:id="253" w:name="_Toc9920"/>
            <w:r>
              <w:rPr>
                <w:rFonts w:hint="eastAsia"/>
                <w:highlight w:val="none"/>
              </w:rPr>
              <w:t>员工总人数：</w:t>
            </w:r>
            <w:bookmarkEnd w:id="250"/>
            <w:bookmarkEnd w:id="251"/>
            <w:bookmarkEnd w:id="252"/>
            <w:bookmarkEnd w:id="253"/>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54" w:name="_Toc19832"/>
            <w:bookmarkStart w:id="255" w:name="_Toc2495"/>
            <w:bookmarkStart w:id="256" w:name="_Toc24347"/>
            <w:bookmarkStart w:id="257" w:name="_Toc13811"/>
            <w:r>
              <w:rPr>
                <w:rFonts w:hint="eastAsia"/>
                <w:highlight w:val="none"/>
              </w:rPr>
              <w:t>营业执照号</w:t>
            </w:r>
            <w:bookmarkEnd w:id="254"/>
            <w:bookmarkEnd w:id="255"/>
            <w:bookmarkEnd w:id="256"/>
            <w:bookmarkEnd w:id="257"/>
          </w:p>
        </w:tc>
        <w:tc>
          <w:tcPr>
            <w:tcW w:w="2331" w:type="dxa"/>
            <w:gridSpan w:val="2"/>
            <w:vAlign w:val="center"/>
          </w:tcPr>
          <w:p>
            <w:pPr>
              <w:rPr>
                <w:highlight w:val="none"/>
              </w:rPr>
            </w:pPr>
          </w:p>
        </w:tc>
        <w:tc>
          <w:tcPr>
            <w:tcW w:w="1324" w:type="dxa"/>
            <w:vMerge w:val="restart"/>
            <w:vAlign w:val="center"/>
          </w:tcPr>
          <w:p>
            <w:pPr>
              <w:rPr>
                <w:highlight w:val="none"/>
              </w:rPr>
            </w:pPr>
            <w:r>
              <w:rPr>
                <w:rFonts w:hint="eastAsia"/>
                <w:highlight w:val="none"/>
              </w:rPr>
              <w:t>其中</w:t>
            </w:r>
          </w:p>
        </w:tc>
        <w:tc>
          <w:tcPr>
            <w:tcW w:w="1569" w:type="dxa"/>
            <w:gridSpan w:val="2"/>
            <w:vAlign w:val="center"/>
          </w:tcPr>
          <w:p>
            <w:pPr>
              <w:rPr>
                <w:highlight w:val="none"/>
              </w:rPr>
            </w:pPr>
            <w:bookmarkStart w:id="258" w:name="_Toc19894"/>
            <w:bookmarkStart w:id="259" w:name="_Toc15246"/>
            <w:bookmarkStart w:id="260" w:name="_Toc13361"/>
            <w:bookmarkStart w:id="261" w:name="_Toc16273"/>
            <w:r>
              <w:rPr>
                <w:rFonts w:hint="eastAsia"/>
                <w:highlight w:val="none"/>
              </w:rPr>
              <w:t>高级职称人员</w:t>
            </w:r>
            <w:bookmarkEnd w:id="258"/>
            <w:bookmarkEnd w:id="259"/>
            <w:bookmarkEnd w:id="260"/>
            <w:bookmarkEnd w:id="261"/>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62" w:name="_Toc20237"/>
            <w:bookmarkStart w:id="263" w:name="_Toc30242"/>
            <w:bookmarkStart w:id="264" w:name="_Toc3476"/>
            <w:bookmarkStart w:id="265" w:name="_Toc12522"/>
            <w:r>
              <w:rPr>
                <w:rFonts w:hint="eastAsia"/>
                <w:highlight w:val="none"/>
              </w:rPr>
              <w:t>注册资金</w:t>
            </w:r>
            <w:bookmarkEnd w:id="262"/>
            <w:bookmarkEnd w:id="263"/>
            <w:bookmarkEnd w:id="264"/>
            <w:bookmarkEnd w:id="265"/>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66" w:name="_Toc16642"/>
            <w:bookmarkStart w:id="267" w:name="_Toc30244"/>
            <w:bookmarkStart w:id="268" w:name="_Toc7916"/>
            <w:bookmarkStart w:id="269" w:name="_Toc1834"/>
            <w:r>
              <w:rPr>
                <w:rFonts w:hint="eastAsia"/>
                <w:highlight w:val="none"/>
              </w:rPr>
              <w:t>中级职称人员</w:t>
            </w:r>
            <w:bookmarkEnd w:id="266"/>
            <w:bookmarkEnd w:id="267"/>
            <w:bookmarkEnd w:id="268"/>
            <w:bookmarkEnd w:id="269"/>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highlight w:val="none"/>
              </w:rPr>
            </w:pPr>
            <w:bookmarkStart w:id="270" w:name="_Toc18512"/>
            <w:bookmarkStart w:id="271" w:name="_Toc17149"/>
            <w:bookmarkStart w:id="272" w:name="_Toc24406"/>
            <w:bookmarkStart w:id="273" w:name="_Toc21663"/>
            <w:r>
              <w:rPr>
                <w:rFonts w:hint="eastAsia"/>
                <w:highlight w:val="none"/>
              </w:rPr>
              <w:t>开户银行</w:t>
            </w:r>
            <w:bookmarkEnd w:id="270"/>
            <w:bookmarkEnd w:id="271"/>
            <w:bookmarkEnd w:id="272"/>
            <w:bookmarkEnd w:id="273"/>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74" w:name="_Toc24761"/>
            <w:bookmarkStart w:id="275" w:name="_Toc15110"/>
            <w:bookmarkStart w:id="276" w:name="_Toc12330"/>
            <w:bookmarkStart w:id="277" w:name="_Toc23409"/>
            <w:r>
              <w:rPr>
                <w:rFonts w:hint="eastAsia"/>
                <w:highlight w:val="none"/>
              </w:rPr>
              <w:t>初级职称人员</w:t>
            </w:r>
            <w:bookmarkEnd w:id="274"/>
            <w:bookmarkEnd w:id="275"/>
            <w:bookmarkEnd w:id="276"/>
            <w:bookmarkEnd w:id="277"/>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highlight w:val="none"/>
              </w:rPr>
            </w:pPr>
            <w:bookmarkStart w:id="278" w:name="_Toc7855"/>
            <w:bookmarkStart w:id="279" w:name="_Toc19211"/>
            <w:bookmarkStart w:id="280" w:name="_Toc11996"/>
            <w:bookmarkStart w:id="281" w:name="_Toc7482"/>
            <w:r>
              <w:rPr>
                <w:rFonts w:hint="eastAsia"/>
                <w:highlight w:val="none"/>
              </w:rPr>
              <w:t>账号</w:t>
            </w:r>
            <w:bookmarkEnd w:id="278"/>
            <w:bookmarkEnd w:id="279"/>
            <w:bookmarkEnd w:id="280"/>
            <w:bookmarkEnd w:id="281"/>
          </w:p>
        </w:tc>
        <w:tc>
          <w:tcPr>
            <w:tcW w:w="2331" w:type="dxa"/>
            <w:gridSpan w:val="2"/>
            <w:vAlign w:val="center"/>
          </w:tcPr>
          <w:p>
            <w:pPr>
              <w:rPr>
                <w:highlight w:val="none"/>
              </w:rPr>
            </w:pPr>
          </w:p>
        </w:tc>
        <w:tc>
          <w:tcPr>
            <w:tcW w:w="1324" w:type="dxa"/>
            <w:vMerge w:val="continue"/>
            <w:vAlign w:val="center"/>
          </w:tcPr>
          <w:p>
            <w:pPr>
              <w:rPr>
                <w:highlight w:val="none"/>
              </w:rPr>
            </w:pPr>
          </w:p>
        </w:tc>
        <w:tc>
          <w:tcPr>
            <w:tcW w:w="1569" w:type="dxa"/>
            <w:gridSpan w:val="2"/>
            <w:vAlign w:val="center"/>
          </w:tcPr>
          <w:p>
            <w:pPr>
              <w:rPr>
                <w:highlight w:val="none"/>
              </w:rPr>
            </w:pPr>
            <w:bookmarkStart w:id="282" w:name="_Toc10662"/>
            <w:bookmarkStart w:id="283" w:name="_Toc16123"/>
            <w:bookmarkStart w:id="284" w:name="_Toc7296"/>
            <w:bookmarkStart w:id="285" w:name="_Toc23890"/>
            <w:r>
              <w:rPr>
                <w:rFonts w:hint="eastAsia"/>
                <w:highlight w:val="none"/>
              </w:rPr>
              <w:t>技 工</w:t>
            </w:r>
            <w:bookmarkEnd w:id="282"/>
            <w:bookmarkEnd w:id="283"/>
            <w:bookmarkEnd w:id="284"/>
            <w:bookmarkEnd w:id="285"/>
          </w:p>
        </w:tc>
        <w:tc>
          <w:tcPr>
            <w:tcW w:w="1881" w:type="dxa"/>
            <w:gridSpan w:val="2"/>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highlight w:val="none"/>
              </w:rPr>
            </w:pPr>
            <w:bookmarkStart w:id="286" w:name="_Toc516"/>
            <w:bookmarkStart w:id="287" w:name="_Toc19840"/>
            <w:bookmarkStart w:id="288" w:name="_Toc2745"/>
            <w:bookmarkStart w:id="289" w:name="_Toc30075"/>
            <w:r>
              <w:rPr>
                <w:rFonts w:hint="eastAsia"/>
                <w:highlight w:val="none"/>
              </w:rPr>
              <w:t>经营范围</w:t>
            </w:r>
            <w:bookmarkEnd w:id="286"/>
            <w:bookmarkEnd w:id="287"/>
            <w:bookmarkEnd w:id="288"/>
            <w:bookmarkEnd w:id="289"/>
          </w:p>
        </w:tc>
        <w:tc>
          <w:tcPr>
            <w:tcW w:w="7105" w:type="dxa"/>
            <w:gridSpan w:val="7"/>
            <w:vAlign w:val="center"/>
          </w:tcPr>
          <w:p>
            <w:pPr>
              <w:rPr>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highlight w:val="none"/>
              </w:rPr>
            </w:pPr>
            <w:bookmarkStart w:id="290" w:name="_Toc12320"/>
            <w:bookmarkStart w:id="291" w:name="_Toc26754"/>
            <w:bookmarkStart w:id="292" w:name="_Toc19290"/>
            <w:bookmarkStart w:id="293" w:name="_Toc22690"/>
            <w:r>
              <w:rPr>
                <w:rFonts w:hint="eastAsia"/>
                <w:highlight w:val="none"/>
              </w:rPr>
              <w:t>备注</w:t>
            </w:r>
            <w:bookmarkEnd w:id="290"/>
            <w:bookmarkEnd w:id="291"/>
            <w:bookmarkEnd w:id="292"/>
            <w:bookmarkEnd w:id="293"/>
          </w:p>
        </w:tc>
        <w:tc>
          <w:tcPr>
            <w:tcW w:w="7105" w:type="dxa"/>
            <w:gridSpan w:val="7"/>
          </w:tcPr>
          <w:p>
            <w:pPr>
              <w:rPr>
                <w:highlight w:val="none"/>
              </w:rPr>
            </w:pPr>
          </w:p>
        </w:tc>
      </w:tr>
    </w:tbl>
    <w:p>
      <w:pPr>
        <w:rPr>
          <w:highlight w:val="none"/>
        </w:rPr>
      </w:pPr>
    </w:p>
    <w:p>
      <w:pPr>
        <w:spacing w:line="360" w:lineRule="auto"/>
        <w:rPr>
          <w:rFonts w:ascii="宋体" w:hAnsi="宋体" w:cs="宋体"/>
          <w:sz w:val="24"/>
          <w:szCs w:val="24"/>
          <w:highlight w:val="none"/>
        </w:rPr>
      </w:pPr>
    </w:p>
    <w:p>
      <w:pPr>
        <w:spacing w:line="360" w:lineRule="auto"/>
        <w:rPr>
          <w:rFonts w:hAnsi="宋体"/>
          <w:sz w:val="24"/>
          <w:szCs w:val="24"/>
          <w:highlight w:val="none"/>
          <w:u w:val="single"/>
        </w:rPr>
      </w:pPr>
      <w:r>
        <w:rPr>
          <w:rFonts w:hint="eastAsia" w:ascii="宋体" w:hAnsi="宋体" w:cs="宋体"/>
          <w:sz w:val="24"/>
          <w:szCs w:val="24"/>
          <w:highlight w:val="non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pPr>
        <w:rPr>
          <w:rFonts w:hint="eastAsia"/>
          <w:b/>
          <w:bCs/>
          <w:highlight w:val="none"/>
        </w:rPr>
      </w:pPr>
      <w:r>
        <w:rPr>
          <w:rFonts w:hint="eastAsia" w:ascii="宋体" w:hAnsi="宋体" w:cs="宋体"/>
          <w:b/>
          <w:bCs/>
          <w:sz w:val="24"/>
          <w:szCs w:val="24"/>
          <w:highlight w:val="none"/>
        </w:rPr>
        <w:t>2-2供应商营业执照等资质证明材料</w:t>
      </w:r>
      <w:r>
        <w:rPr>
          <w:rFonts w:hint="eastAsia"/>
          <w:b/>
          <w:bCs/>
          <w:highlight w:val="none"/>
        </w:rPr>
        <w:t>。</w:t>
      </w:r>
      <w:r>
        <w:rPr>
          <w:rFonts w:hint="eastAsia"/>
          <w:b/>
          <w:bCs/>
          <w:highlight w:val="none"/>
        </w:rPr>
        <w:br w:type="page"/>
      </w:r>
    </w:p>
    <w:p>
      <w:pPr>
        <w:rPr>
          <w:sz w:val="32"/>
          <w:szCs w:val="36"/>
          <w:highlight w:val="none"/>
        </w:rPr>
      </w:pPr>
      <w:r>
        <w:rPr>
          <w:rFonts w:hint="eastAsia"/>
          <w:sz w:val="32"/>
          <w:szCs w:val="36"/>
          <w:highlight w:val="none"/>
        </w:rPr>
        <w:t>3、法定代表人证明书及法定代表人授权书</w:t>
      </w:r>
    </w:p>
    <w:p>
      <w:pPr>
        <w:jc w:val="left"/>
        <w:rPr>
          <w:b/>
          <w:bCs/>
          <w:highlight w:val="none"/>
        </w:rPr>
      </w:pPr>
      <w:r>
        <w:rPr>
          <w:rFonts w:hint="eastAsia"/>
          <w:sz w:val="28"/>
          <w:szCs w:val="32"/>
          <w:highlight w:val="none"/>
        </w:rPr>
        <w:t>3-1法定代表人证明书</w:t>
      </w:r>
    </w:p>
    <w:tbl>
      <w:tblPr>
        <w:tblStyle w:val="2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Cs w:val="21"/>
                <w:highlight w:val="none"/>
              </w:rPr>
            </w:pPr>
            <w:r>
              <w:rPr>
                <w:rFonts w:hint="eastAsia" w:ascii="宋体" w:hAnsi="宋体" w:cs="宋体"/>
                <w:kern w:val="0"/>
                <w:szCs w:val="21"/>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企业名称</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法定地址</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注册资金</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工商登记机关</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统一社会信用代码</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kern w:val="0"/>
                <w:szCs w:val="21"/>
                <w:highlight w:val="none"/>
              </w:rPr>
            </w:pPr>
            <w:r>
              <w:rPr>
                <w:rFonts w:hint="eastAsia" w:ascii="宋体" w:hAnsi="宋体" w:cs="宋体"/>
                <w:kern w:val="0"/>
                <w:szCs w:val="21"/>
                <w:highlight w:val="none"/>
              </w:rPr>
              <w:t xml:space="preserve"> </w:t>
            </w: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职务</w:t>
            </w:r>
          </w:p>
        </w:tc>
        <w:tc>
          <w:tcPr>
            <w:tcW w:w="2340" w:type="dxa"/>
            <w:gridSpan w:val="2"/>
            <w:vAlign w:val="center"/>
          </w:tcPr>
          <w:p>
            <w:pPr>
              <w:tabs>
                <w:tab w:val="left" w:pos="210"/>
              </w:tabs>
              <w:spacing w:line="360" w:lineRule="auto"/>
              <w:jc w:val="left"/>
              <w:rPr>
                <w:rFonts w:ascii="宋体" w:hAnsi="宋体" w:cs="宋体"/>
                <w:kern w:val="0"/>
                <w:szCs w:val="21"/>
                <w:highlight w:val="none"/>
              </w:rPr>
            </w:pPr>
          </w:p>
        </w:tc>
        <w:tc>
          <w:tcPr>
            <w:tcW w:w="2156" w:type="dxa"/>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传真</w:t>
            </w:r>
          </w:p>
        </w:tc>
        <w:tc>
          <w:tcPr>
            <w:tcW w:w="6184" w:type="dxa"/>
            <w:gridSpan w:val="4"/>
            <w:vAlign w:val="center"/>
          </w:tcPr>
          <w:p>
            <w:pPr>
              <w:tabs>
                <w:tab w:val="left" w:pos="210"/>
              </w:tabs>
              <w:spacing w:line="360" w:lineRule="auto"/>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身</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份</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证</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复</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印</w:t>
            </w:r>
          </w:p>
          <w:p>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（正反面）</w:t>
            </w:r>
          </w:p>
        </w:tc>
        <w:tc>
          <w:tcPr>
            <w:tcW w:w="4028" w:type="dxa"/>
            <w:gridSpan w:val="3"/>
            <w:vAlign w:val="center"/>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highlight w:val="none"/>
              </w:rPr>
            </w:pPr>
          </w:p>
        </w:tc>
        <w:tc>
          <w:tcPr>
            <w:tcW w:w="4028" w:type="dxa"/>
            <w:gridSpan w:val="3"/>
            <w:vAlign w:val="bottom"/>
          </w:tcPr>
          <w:p>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供应商</w:t>
            </w:r>
            <w:r>
              <w:rPr>
                <w:rFonts w:hint="eastAsia" w:ascii="宋体" w:hAnsi="宋体" w:cs="宋体"/>
                <w:kern w:val="0"/>
                <w:szCs w:val="21"/>
                <w:highlight w:val="none"/>
              </w:rPr>
              <w:t>公章）</w:t>
            </w: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tabs>
                <w:tab w:val="left" w:pos="210"/>
              </w:tabs>
              <w:spacing w:line="360" w:lineRule="auto"/>
              <w:jc w:val="left"/>
              <w:rPr>
                <w:rFonts w:ascii="宋体" w:hAnsi="宋体" w:cs="宋体"/>
                <w:kern w:val="0"/>
                <w:szCs w:val="21"/>
                <w:highlight w:val="none"/>
              </w:rPr>
            </w:pPr>
          </w:p>
          <w:p>
            <w:pPr>
              <w:adjustRightInd w:val="0"/>
              <w:snapToGrid w:val="0"/>
              <w:spacing w:line="480" w:lineRule="auto"/>
              <w:ind w:firstLine="480" w:firstLineChars="200"/>
              <w:jc w:val="right"/>
              <w:rPr>
                <w:rFonts w:ascii="宋体" w:hAnsi="宋体" w:cs="宋体"/>
                <w:kern w:val="0"/>
                <w:szCs w:val="21"/>
                <w:highlight w:val="none"/>
              </w:rPr>
            </w:pPr>
            <w:r>
              <w:rPr>
                <w:rFonts w:hint="eastAsia" w:ascii="宋体" w:hAnsi="宋体" w:cs="宋体"/>
                <w:sz w:val="24"/>
                <w:highlight w:val="none"/>
              </w:rPr>
              <w:t>年  月 日</w:t>
            </w:r>
          </w:p>
        </w:tc>
      </w:tr>
    </w:tbl>
    <w:p>
      <w:pPr>
        <w:jc w:val="left"/>
        <w:rPr>
          <w:b/>
          <w:bCs/>
          <w:highlight w:val="none"/>
        </w:rPr>
      </w:pPr>
    </w:p>
    <w:p>
      <w:pPr>
        <w:pageBreakBefore/>
        <w:tabs>
          <w:tab w:val="left" w:pos="210"/>
        </w:tabs>
        <w:spacing w:line="240" w:lineRule="auto"/>
        <w:jc w:val="center"/>
        <w:rPr>
          <w:rFonts w:hint="eastAsia" w:ascii="宋体" w:hAnsi="宋体" w:eastAsia="宋体" w:cs="宋体"/>
          <w:b/>
          <w:bCs/>
          <w:kern w:val="0"/>
          <w:sz w:val="24"/>
          <w:szCs w:val="24"/>
          <w:highlight w:val="none"/>
          <w:lang w:eastAsia="zh-CN"/>
        </w:rPr>
      </w:pPr>
      <w:r>
        <w:rPr>
          <w:rFonts w:hint="eastAsia" w:ascii="宋体" w:hAnsi="宋体" w:eastAsia="宋体" w:cs="宋体"/>
          <w:b/>
          <w:color w:val="000000" w:themeColor="text1"/>
          <w:kern w:val="0"/>
          <w:sz w:val="24"/>
          <w:szCs w:val="24"/>
          <w:highlight w:val="none"/>
          <w14:textFill>
            <w14:solidFill>
              <w14:schemeClr w14:val="tx1"/>
            </w14:solidFill>
          </w14:textFill>
        </w:rPr>
        <w:t>3-2法定代表人授权书</w:t>
      </w:r>
    </w:p>
    <w:p>
      <w:pPr>
        <w:pStyle w:val="13"/>
        <w:spacing w:line="500" w:lineRule="exact"/>
        <w:jc w:val="left"/>
        <w:rPr>
          <w:rFonts w:hAnsi="宋体" w:cs="宋体"/>
          <w:b/>
          <w:bCs/>
          <w:sz w:val="24"/>
          <w:szCs w:val="24"/>
          <w:highlight w:val="none"/>
        </w:rPr>
      </w:pPr>
      <w:r>
        <w:rPr>
          <w:rFonts w:hint="eastAsia" w:hAnsi="宋体" w:cs="宋体"/>
          <w:sz w:val="24"/>
          <w:szCs w:val="24"/>
          <w:highlight w:val="none"/>
        </w:rPr>
        <w:t>陕西万泽招标有限公司：</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本授权书声明：注册于（</w:t>
      </w:r>
      <w:r>
        <w:rPr>
          <w:rFonts w:hint="eastAsia" w:hAnsi="宋体" w:cs="宋体"/>
          <w:sz w:val="24"/>
          <w:szCs w:val="24"/>
          <w:highlight w:val="none"/>
          <w:u w:val="single"/>
        </w:rPr>
        <w:t>工商行政管理局名称）之（委托单位全称）</w:t>
      </w:r>
      <w:r>
        <w:rPr>
          <w:rFonts w:hint="eastAsia" w:hAnsi="宋体" w:cs="宋体"/>
          <w:sz w:val="24"/>
          <w:szCs w:val="24"/>
          <w:highlight w:val="none"/>
        </w:rPr>
        <w:t>的法定代表人</w:t>
      </w:r>
      <w:r>
        <w:rPr>
          <w:rFonts w:hint="eastAsia" w:hAnsi="宋体" w:cs="宋体"/>
          <w:sz w:val="24"/>
          <w:szCs w:val="24"/>
          <w:highlight w:val="none"/>
          <w:u w:val="single"/>
        </w:rPr>
        <w:t>（姓名、性别）</w:t>
      </w:r>
      <w:r>
        <w:rPr>
          <w:rFonts w:hint="eastAsia" w:hAnsi="宋体" w:cs="宋体"/>
          <w:sz w:val="24"/>
          <w:szCs w:val="24"/>
          <w:highlight w:val="none"/>
        </w:rPr>
        <w:t>授权</w:t>
      </w:r>
      <w:r>
        <w:rPr>
          <w:rFonts w:hint="eastAsia" w:hAnsi="宋体" w:cs="宋体"/>
          <w:sz w:val="24"/>
          <w:szCs w:val="24"/>
          <w:highlight w:val="none"/>
          <w:u w:val="single"/>
        </w:rPr>
        <w:t>（被授权人姓名、性别、职务）</w:t>
      </w:r>
      <w:r>
        <w:rPr>
          <w:rFonts w:hint="eastAsia" w:hAnsi="宋体" w:cs="宋体"/>
          <w:sz w:val="24"/>
          <w:szCs w:val="24"/>
          <w:highlight w:val="none"/>
        </w:rPr>
        <w:t>为本公司合法代理人，就贵方组织的有关</w:t>
      </w:r>
      <w:r>
        <w:rPr>
          <w:rFonts w:hint="eastAsia" w:hAnsi="宋体" w:cs="宋体"/>
          <w:sz w:val="24"/>
          <w:szCs w:val="24"/>
          <w:highlight w:val="none"/>
          <w:u w:val="single"/>
        </w:rPr>
        <w:t>（项目名称）</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（文件编号：____________________）的投标、洽谈、执行等具体事务，签署全部有关文件、文书、协议、合同，本公司对被授权人在本项目中的签名承担全部法律责任。</w:t>
      </w:r>
    </w:p>
    <w:p>
      <w:pPr>
        <w:pStyle w:val="13"/>
        <w:spacing w:line="500" w:lineRule="exact"/>
        <w:ind w:firstLine="480" w:firstLineChars="200"/>
        <w:jc w:val="left"/>
        <w:rPr>
          <w:rFonts w:hAnsi="宋体" w:cs="宋体"/>
          <w:sz w:val="10"/>
          <w:szCs w:val="10"/>
          <w:highlight w:val="none"/>
        </w:rPr>
      </w:pPr>
      <w:r>
        <w:rPr>
          <w:rFonts w:hint="eastAsia" w:hAnsi="宋体" w:cs="宋体"/>
          <w:sz w:val="24"/>
          <w:szCs w:val="24"/>
          <w:highlight w:val="none"/>
        </w:rPr>
        <w:t>本授权书自投标文件递交截止之日起计算有效期为</w:t>
      </w:r>
      <w:r>
        <w:rPr>
          <w:rFonts w:hint="eastAsia" w:hAnsi="宋体" w:cs="宋体"/>
          <w:sz w:val="24"/>
          <w:szCs w:val="24"/>
          <w:highlight w:val="none"/>
          <w:u w:val="single"/>
        </w:rPr>
        <w:t>_90__</w:t>
      </w:r>
      <w:r>
        <w:rPr>
          <w:rFonts w:hint="eastAsia" w:hAnsi="宋体" w:cs="宋体"/>
          <w:sz w:val="24"/>
          <w:szCs w:val="24"/>
          <w:highlight w:val="none"/>
        </w:rPr>
        <w:t>日历日。</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单位名称：（公章）</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法定代表人（签字或盖章）：________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被授权人(签字或盖章)：___________性别：_______职务：____________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联系地址：____________________</w:t>
      </w:r>
    </w:p>
    <w:p>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联系电话：____________________传真：____________________</w:t>
      </w:r>
    </w:p>
    <w:p>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法定代表人及被授权人身份证复印件</w:t>
      </w:r>
    </w:p>
    <w:tbl>
      <w:tblPr>
        <w:tblStyle w:val="2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pPr>
              <w:pStyle w:val="13"/>
              <w:spacing w:line="500" w:lineRule="exact"/>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法定代表人身份证正反面复印件</w:t>
            </w:r>
          </w:p>
          <w:p>
            <w:pPr>
              <w:pStyle w:val="13"/>
              <w:spacing w:line="500" w:lineRule="exact"/>
              <w:jc w:val="left"/>
              <w:rPr>
                <w:rFonts w:hAnsi="宋体" w:cs="宋体"/>
                <w:kern w:val="2"/>
                <w:sz w:val="24"/>
                <w:szCs w:val="24"/>
                <w:highlight w:val="none"/>
                <w:shd w:val="pct10" w:color="auto" w:fill="FFFFFF"/>
              </w:rPr>
            </w:pPr>
          </w:p>
        </w:tc>
        <w:tc>
          <w:tcPr>
            <w:tcW w:w="4597" w:type="dxa"/>
            <w:shd w:val="clear" w:color="auto" w:fill="D9D9D9"/>
            <w:vAlign w:val="center"/>
          </w:tcPr>
          <w:p>
            <w:pPr>
              <w:pStyle w:val="13"/>
              <w:spacing w:line="500" w:lineRule="exact"/>
              <w:ind w:firstLine="480" w:firstLineChars="200"/>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被授权人身份证正反面复印件</w:t>
            </w:r>
          </w:p>
          <w:p>
            <w:pPr>
              <w:pStyle w:val="13"/>
              <w:spacing w:line="500" w:lineRule="exact"/>
              <w:ind w:firstLine="480" w:firstLineChars="200"/>
              <w:jc w:val="left"/>
              <w:rPr>
                <w:rFonts w:hAnsi="宋体" w:cs="宋体"/>
                <w:kern w:val="2"/>
                <w:sz w:val="24"/>
                <w:szCs w:val="24"/>
                <w:highlight w:val="none"/>
                <w:shd w:val="pct10" w:color="auto" w:fill="FFFFFF"/>
              </w:rPr>
            </w:pPr>
          </w:p>
        </w:tc>
      </w:tr>
    </w:tbl>
    <w:p>
      <w:pPr>
        <w:rPr>
          <w:rFonts w:ascii="宋体" w:hAnsi="宋体" w:cs="宋体"/>
          <w:color w:val="000000"/>
          <w:sz w:val="24"/>
          <w:szCs w:val="28"/>
          <w:highlight w:val="none"/>
        </w:rPr>
      </w:pPr>
      <w:r>
        <w:rPr>
          <w:rFonts w:hint="eastAsia" w:ascii="宋体" w:hAnsi="宋体" w:cs="宋体"/>
          <w:color w:val="000000"/>
          <w:sz w:val="24"/>
          <w:szCs w:val="28"/>
          <w:highlight w:val="none"/>
        </w:rPr>
        <w:br w:type="page"/>
      </w:r>
    </w:p>
    <w:p>
      <w:pPr>
        <w:jc w:val="center"/>
        <w:rPr>
          <w:rFonts w:ascii="宋体" w:hAnsi="宋体" w:cs="宋体"/>
          <w:color w:val="000000"/>
          <w:sz w:val="24"/>
          <w:szCs w:val="28"/>
          <w:highlight w:val="none"/>
        </w:rPr>
      </w:pPr>
      <w:r>
        <w:rPr>
          <w:rFonts w:hint="eastAsia"/>
          <w:sz w:val="24"/>
          <w:szCs w:val="28"/>
          <w:highlight w:val="none"/>
        </w:rPr>
        <w:t>4、无重大违法记录声明</w:t>
      </w:r>
    </w:p>
    <w:p>
      <w:pPr>
        <w:widowControl/>
        <w:snapToGrid w:val="0"/>
        <w:spacing w:line="480" w:lineRule="auto"/>
        <w:ind w:firstLine="480" w:firstLineChars="200"/>
        <w:jc w:val="left"/>
        <w:rPr>
          <w:rFonts w:ascii="宋体" w:hAnsi="宋体" w:cs="宋体"/>
          <w:color w:val="000000"/>
          <w:kern w:val="0"/>
          <w:sz w:val="24"/>
          <w:highlight w:val="none"/>
        </w:rPr>
      </w:pP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陕西万泽招标有限公司 </w:t>
      </w:r>
      <w:r>
        <w:rPr>
          <w:rFonts w:hint="eastAsia" w:ascii="宋体" w:hAnsi="宋体" w:cs="宋体"/>
          <w:color w:val="000000"/>
          <w:kern w:val="0"/>
          <w:sz w:val="24"/>
          <w:highlight w:val="none"/>
        </w:rPr>
        <w:t>组织的</w:t>
      </w:r>
      <w:r>
        <w:rPr>
          <w:rFonts w:hint="eastAsia" w:ascii="宋体" w:hAnsi="宋体" w:cs="宋体"/>
          <w:color w:val="000000"/>
          <w:kern w:val="0"/>
          <w:sz w:val="24"/>
          <w:highlight w:val="none"/>
          <w:u w:val="single"/>
        </w:rPr>
        <w:t xml:space="preserve">             （项目名称）              </w:t>
      </w:r>
      <w:r>
        <w:rPr>
          <w:rFonts w:hint="eastAsia" w:ascii="宋体" w:hAnsi="宋体" w:cs="宋体"/>
          <w:color w:val="000000"/>
          <w:kern w:val="0"/>
          <w:sz w:val="24"/>
          <w:highlight w:val="none"/>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特此声明。</w:t>
      </w:r>
    </w:p>
    <w:p>
      <w:pPr>
        <w:widowControl/>
        <w:spacing w:line="460" w:lineRule="exact"/>
        <w:ind w:firstLine="480" w:firstLineChars="200"/>
        <w:jc w:val="left"/>
        <w:rPr>
          <w:rFonts w:ascii="宋体" w:hAnsi="宋体" w:cs="宋体"/>
          <w:color w:val="000000"/>
          <w:kern w:val="0"/>
          <w:sz w:val="24"/>
          <w:highlight w:val="none"/>
        </w:rPr>
      </w:pPr>
    </w:p>
    <w:p>
      <w:pPr>
        <w:pStyle w:val="13"/>
        <w:spacing w:line="480" w:lineRule="auto"/>
        <w:jc w:val="left"/>
        <w:rPr>
          <w:rFonts w:hint="eastAsia" w:hAnsi="宋体" w:eastAsia="宋体" w:cs="宋体"/>
          <w:color w:val="000000"/>
          <w:sz w:val="24"/>
          <w:highlight w:val="none"/>
          <w:lang w:eastAsia="zh-CN"/>
        </w:rPr>
      </w:pPr>
    </w:p>
    <w:p>
      <w:pPr>
        <w:pStyle w:val="13"/>
        <w:spacing w:line="480" w:lineRule="auto"/>
        <w:jc w:val="left"/>
        <w:rPr>
          <w:rFonts w:hAnsi="宋体" w:cs="宋体"/>
          <w:color w:val="000000"/>
          <w:sz w:val="24"/>
          <w:highlight w:val="none"/>
        </w:rPr>
      </w:pPr>
      <w:r>
        <w:rPr>
          <w:rFonts w:hint="eastAsia" w:hAnsi="宋体" w:cs="宋体"/>
          <w:color w:val="000000"/>
          <w:sz w:val="24"/>
          <w:highlight w:val="none"/>
        </w:rPr>
        <w:t>供应商（单位名称及公章）：</w:t>
      </w:r>
    </w:p>
    <w:p>
      <w:pPr>
        <w:pStyle w:val="13"/>
        <w:spacing w:line="480" w:lineRule="auto"/>
        <w:jc w:val="left"/>
        <w:rPr>
          <w:rFonts w:hAnsi="宋体" w:cs="宋体"/>
          <w:color w:val="000000"/>
          <w:sz w:val="24"/>
          <w:highlight w:val="none"/>
        </w:rPr>
      </w:pPr>
      <w:r>
        <w:rPr>
          <w:rFonts w:hint="eastAsia" w:hAnsi="宋体" w:cs="宋体"/>
          <w:color w:val="000000"/>
          <w:sz w:val="24"/>
          <w:highlight w:val="none"/>
        </w:rPr>
        <w:t>法定代表人或被授权人（签字或盖章）：</w:t>
      </w:r>
    </w:p>
    <w:p>
      <w:pPr>
        <w:spacing w:beforeLines="100" w:afterLines="150" w:line="500" w:lineRule="exac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p>
    <w:p>
      <w:pPr>
        <w:pStyle w:val="19"/>
        <w:rPr>
          <w:rFonts w:hint="eastAsia"/>
          <w:highlight w:val="none"/>
          <w:lang w:eastAsia="zh-CN"/>
        </w:rPr>
        <w:sectPr>
          <w:headerReference r:id="rId14" w:type="default"/>
          <w:footerReference r:id="rId15" w:type="default"/>
          <w:pgSz w:w="11906" w:h="16838"/>
          <w:pgMar w:top="1440" w:right="1803" w:bottom="1440" w:left="1803" w:header="850" w:footer="992" w:gutter="0"/>
          <w:pgNumType w:fmt="decimal"/>
          <w:cols w:space="0" w:num="1"/>
          <w:rtlGutter w:val="1"/>
          <w:docGrid w:type="lines" w:linePitch="319" w:charSpace="0"/>
        </w:sectPr>
      </w:pPr>
    </w:p>
    <w:p>
      <w:pPr>
        <w:snapToGrid w:val="0"/>
        <w:spacing w:line="360" w:lineRule="auto"/>
        <w:ind w:firstLine="480" w:firstLineChars="200"/>
        <w:jc w:val="left"/>
        <w:rPr>
          <w:rFonts w:ascii="宋体" w:hAnsi="宋体" w:cs="宋体"/>
          <w:bCs/>
          <w:kern w:val="0"/>
          <w:sz w:val="24"/>
          <w:szCs w:val="24"/>
          <w:highlight w:val="none"/>
        </w:rPr>
      </w:pPr>
      <w:bookmarkStart w:id="294" w:name="_Toc28294"/>
      <w:bookmarkStart w:id="295" w:name="_Toc23536"/>
      <w:bookmarkStart w:id="296" w:name="_Toc30568"/>
      <w:bookmarkStart w:id="297" w:name="_Toc11309"/>
      <w:r>
        <w:rPr>
          <w:rFonts w:hint="eastAsia" w:ascii="宋体" w:hAnsi="宋体" w:cs="宋体"/>
          <w:bCs/>
          <w:kern w:val="0"/>
          <w:sz w:val="24"/>
          <w:szCs w:val="24"/>
          <w:highlight w:val="none"/>
          <w:lang w:val="en-US" w:eastAsia="zh-CN"/>
        </w:rPr>
        <w:t>5</w:t>
      </w:r>
      <w:r>
        <w:rPr>
          <w:rFonts w:hint="eastAsia" w:ascii="宋体" w:hAnsi="宋体" w:cs="宋体"/>
          <w:bCs/>
          <w:kern w:val="0"/>
          <w:sz w:val="24"/>
          <w:szCs w:val="24"/>
          <w:highlight w:val="none"/>
        </w:rPr>
        <w:t>、社会保障资金缴纳证明</w:t>
      </w:r>
    </w:p>
    <w:p>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、税收缴纳证明</w:t>
      </w:r>
    </w:p>
    <w:p>
      <w:pPr>
        <w:numPr>
          <w:ilvl w:val="0"/>
          <w:numId w:val="0"/>
        </w:numPr>
        <w:snapToGrid w:val="0"/>
        <w:spacing w:line="360" w:lineRule="auto"/>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7</w:t>
      </w:r>
      <w:r>
        <w:rPr>
          <w:rFonts w:hint="eastAsia" w:ascii="宋体" w:hAnsi="宋体" w:cs="宋体"/>
          <w:bCs/>
          <w:kern w:val="0"/>
          <w:sz w:val="24"/>
          <w:szCs w:val="24"/>
          <w:highlight w:val="none"/>
        </w:rPr>
        <w:t>、财务状况证明</w:t>
      </w:r>
    </w:p>
    <w:p>
      <w:pPr>
        <w:pStyle w:val="11"/>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8、</w:t>
      </w:r>
      <w:r>
        <w:rPr>
          <w:rFonts w:hint="eastAsia" w:ascii="宋体" w:hAnsi="宋体" w:cs="宋体"/>
          <w:sz w:val="24"/>
          <w:highlight w:val="none"/>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w:t>
      </w:r>
      <w:r>
        <w:rPr>
          <w:rFonts w:hint="eastAsia" w:ascii="宋体" w:hAnsi="宋体" w:cs="宋体"/>
          <w:sz w:val="24"/>
          <w:highlight w:val="none"/>
          <w:lang w:eastAsia="zh-CN"/>
        </w:rPr>
        <w:t>，</w:t>
      </w:r>
      <w:r>
        <w:rPr>
          <w:rFonts w:hint="eastAsia" w:ascii="宋体" w:hAnsi="宋体" w:cs="宋体"/>
          <w:sz w:val="24"/>
          <w:highlight w:val="none"/>
          <w:lang w:val="en-US" w:eastAsia="zh-CN"/>
        </w:rPr>
        <w:t>进口产品不需要提供</w:t>
      </w:r>
      <w:r>
        <w:rPr>
          <w:rFonts w:hint="eastAsia" w:ascii="宋体" w:hAnsi="宋体" w:cs="宋体"/>
          <w:sz w:val="24"/>
          <w:highlight w:val="none"/>
        </w:rPr>
        <w:t>）和医疗器械注册证及其附件或备案凭证</w:t>
      </w:r>
      <w:r>
        <w:rPr>
          <w:rFonts w:hint="eastAsia" w:ascii="宋体" w:hAnsi="宋体" w:cs="宋体"/>
          <w:bCs/>
          <w:sz w:val="24"/>
          <w:szCs w:val="24"/>
          <w:highlight w:val="none"/>
          <w:lang w:val="en-US" w:eastAsia="zh-CN"/>
        </w:rPr>
        <w:t>；</w:t>
      </w:r>
    </w:p>
    <w:p>
      <w:pPr>
        <w:numPr>
          <w:ilvl w:val="0"/>
          <w:numId w:val="0"/>
        </w:numPr>
        <w:snapToGrid w:val="0"/>
        <w:spacing w:line="360" w:lineRule="auto"/>
        <w:ind w:firstLine="480" w:firstLineChars="200"/>
        <w:jc w:val="left"/>
        <w:rPr>
          <w:rFonts w:hint="eastAsia"/>
          <w:sz w:val="24"/>
          <w:szCs w:val="28"/>
          <w:highlight w:val="none"/>
        </w:rPr>
      </w:pPr>
      <w:r>
        <w:rPr>
          <w:rFonts w:hint="eastAsia" w:ascii="宋体" w:hAnsi="宋体" w:eastAsia="宋体" w:cs="宋体"/>
          <w:kern w:val="0"/>
          <w:sz w:val="24"/>
          <w:szCs w:val="21"/>
          <w:highlight w:val="none"/>
          <w:lang w:val="en-US" w:eastAsia="zh-CN" w:bidi="ar-SA"/>
        </w:rPr>
        <w:t>9、</w:t>
      </w:r>
      <w:r>
        <w:rPr>
          <w:rFonts w:hint="eastAsia" w:ascii="宋体" w:hAnsi="宋体" w:cs="宋体"/>
          <w:kern w:val="0"/>
          <w:sz w:val="24"/>
          <w:szCs w:val="21"/>
          <w:highlight w:val="none"/>
          <w:lang w:val="en-US" w:eastAsia="zh-CN" w:bidi="ar-SA"/>
        </w:rPr>
        <w:t>投标产品为进口产品的</w:t>
      </w:r>
      <w:r>
        <w:rPr>
          <w:rFonts w:hint="eastAsia" w:ascii="宋体" w:hAnsi="宋体" w:eastAsia="宋体" w:cs="宋体"/>
          <w:kern w:val="0"/>
          <w:sz w:val="24"/>
          <w:szCs w:val="21"/>
          <w:highlight w:val="none"/>
          <w:lang w:val="en-US" w:eastAsia="zh-CN" w:bidi="ar-SA"/>
        </w:rPr>
        <w:t>，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numPr>
          <w:ilvl w:val="0"/>
          <w:numId w:val="0"/>
        </w:numPr>
        <w:snapToGrid w:val="0"/>
        <w:spacing w:line="360" w:lineRule="auto"/>
        <w:ind w:firstLine="480" w:firstLineChars="200"/>
        <w:jc w:val="left"/>
        <w:rPr>
          <w:rFonts w:hint="eastAsia"/>
          <w:color w:val="000000"/>
          <w:highlight w:val="none"/>
        </w:rPr>
      </w:pPr>
      <w:r>
        <w:rPr>
          <w:rFonts w:hint="eastAsia"/>
          <w:sz w:val="24"/>
          <w:szCs w:val="28"/>
          <w:highlight w:val="none"/>
          <w:lang w:val="en-US" w:eastAsia="zh-CN"/>
        </w:rPr>
        <w:t>10、本项目不接受联合体投标（格式自拟）</w:t>
      </w:r>
      <w:r>
        <w:rPr>
          <w:rFonts w:hint="eastAsia"/>
          <w:color w:val="000000"/>
          <w:highlight w:val="none"/>
        </w:rPr>
        <w:br w:type="page"/>
      </w:r>
    </w:p>
    <w:p>
      <w:pPr>
        <w:pStyle w:val="4"/>
        <w:rPr>
          <w:color w:val="000000"/>
          <w:highlight w:val="none"/>
        </w:rPr>
      </w:pPr>
      <w:bookmarkStart w:id="298" w:name="_Toc29941"/>
      <w:r>
        <w:rPr>
          <w:rFonts w:hint="eastAsia"/>
          <w:color w:val="000000"/>
          <w:highlight w:val="none"/>
        </w:rPr>
        <w:t>第</w:t>
      </w:r>
      <w:r>
        <w:rPr>
          <w:rFonts w:hint="eastAsia"/>
          <w:color w:val="000000"/>
          <w:highlight w:val="none"/>
          <w:lang w:val="en-US" w:eastAsia="zh-CN"/>
        </w:rPr>
        <w:t>六</w:t>
      </w:r>
      <w:r>
        <w:rPr>
          <w:rFonts w:hint="eastAsia"/>
          <w:color w:val="000000"/>
          <w:highlight w:val="none"/>
        </w:rPr>
        <w:t>章  商务和需求响应偏离表</w:t>
      </w:r>
      <w:bookmarkEnd w:id="294"/>
      <w:bookmarkEnd w:id="295"/>
      <w:bookmarkEnd w:id="296"/>
      <w:bookmarkEnd w:id="298"/>
    </w:p>
    <w:p>
      <w:pPr>
        <w:kinsoku w:val="0"/>
        <w:spacing w:line="480" w:lineRule="auto"/>
        <w:ind w:left="1232" w:hanging="1232" w:hangingChars="440"/>
        <w:jc w:val="left"/>
        <w:rPr>
          <w:rFonts w:ascii="宋体" w:hAnsi="宋体" w:cs="宋体"/>
          <w:color w:val="000000"/>
          <w:sz w:val="28"/>
          <w:szCs w:val="28"/>
          <w:highlight w:val="none"/>
        </w:rPr>
      </w:pPr>
      <w:r>
        <w:rPr>
          <w:rFonts w:hint="eastAsia" w:ascii="宋体" w:hAnsi="宋体" w:cs="宋体"/>
          <w:color w:val="000000"/>
          <w:sz w:val="28"/>
          <w:szCs w:val="28"/>
          <w:highlight w:val="none"/>
        </w:rPr>
        <w:t>表1、商务响应偏差表</w:t>
      </w:r>
    </w:p>
    <w:tbl>
      <w:tblPr>
        <w:tblStyle w:val="25"/>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6"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 xml:space="preserve"> 序号</w:t>
            </w:r>
          </w:p>
        </w:tc>
        <w:tc>
          <w:tcPr>
            <w:tcW w:w="1614"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 xml:space="preserve"> 商务条款</w:t>
            </w:r>
          </w:p>
        </w:tc>
        <w:tc>
          <w:tcPr>
            <w:tcW w:w="1680" w:type="dxa"/>
            <w:vAlign w:val="center"/>
          </w:tcPr>
          <w:p>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商务要求内容</w:t>
            </w:r>
          </w:p>
        </w:tc>
        <w:tc>
          <w:tcPr>
            <w:tcW w:w="2448" w:type="dxa"/>
            <w:vAlign w:val="center"/>
          </w:tcPr>
          <w:p>
            <w:pPr>
              <w:pStyle w:val="13"/>
              <w:spacing w:line="480" w:lineRule="auto"/>
              <w:rPr>
                <w:rFonts w:hAnsi="宋体" w:cs="宋体"/>
                <w:color w:val="000000"/>
                <w:kern w:val="2"/>
                <w:sz w:val="21"/>
                <w:highlight w:val="none"/>
              </w:rPr>
            </w:pPr>
            <w:r>
              <w:rPr>
                <w:rFonts w:hint="eastAsia" w:hAnsi="宋体" w:cs="宋体"/>
                <w:color w:val="000000"/>
                <w:kern w:val="2"/>
                <w:sz w:val="21"/>
                <w:highlight w:val="none"/>
                <w:lang w:eastAsia="zh-CN"/>
              </w:rPr>
              <w:t>投标文件</w:t>
            </w:r>
            <w:r>
              <w:rPr>
                <w:rFonts w:hint="eastAsia" w:hAnsi="宋体" w:cs="宋体"/>
                <w:color w:val="000000"/>
                <w:kern w:val="2"/>
                <w:sz w:val="21"/>
                <w:highlight w:val="none"/>
              </w:rPr>
              <w:t>响应商务内容</w:t>
            </w:r>
          </w:p>
        </w:tc>
        <w:tc>
          <w:tcPr>
            <w:tcW w:w="2042" w:type="dxa"/>
            <w:vAlign w:val="center"/>
          </w:tcPr>
          <w:p>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vAlign w:val="center"/>
          </w:tcPr>
          <w:p>
            <w:pPr>
              <w:pStyle w:val="13"/>
              <w:spacing w:line="480" w:lineRule="auto"/>
              <w:ind w:firstLine="420" w:firstLineChars="200"/>
              <w:jc w:val="left"/>
              <w:rPr>
                <w:rFonts w:hAnsi="宋体" w:cs="宋体"/>
                <w:color w:val="000000"/>
                <w:kern w:val="2"/>
                <w:sz w:val="21"/>
                <w:highlight w:val="none"/>
              </w:rPr>
            </w:pPr>
          </w:p>
        </w:tc>
        <w:tc>
          <w:tcPr>
            <w:tcW w:w="2448" w:type="dxa"/>
            <w:vAlign w:val="center"/>
          </w:tcPr>
          <w:p>
            <w:pPr>
              <w:pStyle w:val="13"/>
              <w:spacing w:line="480" w:lineRule="auto"/>
              <w:ind w:firstLine="420" w:firstLineChars="200"/>
              <w:jc w:val="left"/>
              <w:rPr>
                <w:rFonts w:hAnsi="宋体" w:cs="宋体"/>
                <w:color w:val="000000"/>
                <w:kern w:val="2"/>
                <w:sz w:val="21"/>
                <w:highlight w:val="none"/>
              </w:rPr>
            </w:pPr>
          </w:p>
        </w:tc>
        <w:tc>
          <w:tcPr>
            <w:tcW w:w="2042" w:type="dxa"/>
            <w:vAlign w:val="center"/>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ind w:firstLine="420" w:firstLineChars="200"/>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6" w:type="dxa"/>
          </w:tcPr>
          <w:p>
            <w:pPr>
              <w:pStyle w:val="13"/>
              <w:spacing w:line="480" w:lineRule="auto"/>
              <w:ind w:firstLine="420" w:firstLineChars="200"/>
              <w:jc w:val="left"/>
              <w:rPr>
                <w:rFonts w:hAnsi="宋体" w:cs="宋体"/>
                <w:color w:val="000000"/>
                <w:kern w:val="2"/>
                <w:sz w:val="21"/>
                <w:highlight w:val="none"/>
              </w:rPr>
            </w:pPr>
          </w:p>
        </w:tc>
        <w:tc>
          <w:tcPr>
            <w:tcW w:w="1614" w:type="dxa"/>
          </w:tcPr>
          <w:p>
            <w:pPr>
              <w:pStyle w:val="13"/>
              <w:spacing w:line="480" w:lineRule="auto"/>
              <w:jc w:val="left"/>
              <w:rPr>
                <w:rFonts w:hAnsi="宋体" w:cs="宋体"/>
                <w:color w:val="000000"/>
                <w:kern w:val="2"/>
                <w:sz w:val="21"/>
                <w:highlight w:val="none"/>
              </w:rPr>
            </w:pPr>
          </w:p>
        </w:tc>
        <w:tc>
          <w:tcPr>
            <w:tcW w:w="1680" w:type="dxa"/>
          </w:tcPr>
          <w:p>
            <w:pPr>
              <w:pStyle w:val="13"/>
              <w:spacing w:line="480" w:lineRule="auto"/>
              <w:ind w:firstLine="420" w:firstLineChars="200"/>
              <w:jc w:val="left"/>
              <w:rPr>
                <w:rFonts w:hAnsi="宋体" w:cs="宋体"/>
                <w:color w:val="000000"/>
                <w:kern w:val="2"/>
                <w:sz w:val="21"/>
                <w:highlight w:val="none"/>
              </w:rPr>
            </w:pPr>
          </w:p>
        </w:tc>
        <w:tc>
          <w:tcPr>
            <w:tcW w:w="2448" w:type="dxa"/>
          </w:tcPr>
          <w:p>
            <w:pPr>
              <w:pStyle w:val="13"/>
              <w:spacing w:line="480" w:lineRule="auto"/>
              <w:ind w:firstLine="420" w:firstLineChars="200"/>
              <w:jc w:val="left"/>
              <w:rPr>
                <w:rFonts w:hAnsi="宋体" w:cs="宋体"/>
                <w:color w:val="000000"/>
                <w:kern w:val="2"/>
                <w:sz w:val="21"/>
                <w:highlight w:val="none"/>
              </w:rPr>
            </w:pPr>
          </w:p>
        </w:tc>
        <w:tc>
          <w:tcPr>
            <w:tcW w:w="2042" w:type="dxa"/>
          </w:tcPr>
          <w:p>
            <w:pPr>
              <w:pStyle w:val="13"/>
              <w:spacing w:line="480" w:lineRule="auto"/>
              <w:ind w:firstLine="420" w:firstLineChars="200"/>
              <w:jc w:val="left"/>
              <w:rPr>
                <w:rFonts w:hAnsi="宋体" w:cs="宋体"/>
                <w:color w:val="000000"/>
                <w:kern w:val="2"/>
                <w:sz w:val="21"/>
                <w:highlight w:val="none"/>
              </w:rPr>
            </w:pPr>
          </w:p>
        </w:tc>
      </w:tr>
    </w:tbl>
    <w:p>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填写说明：供应商对本项目付款、</w:t>
      </w:r>
      <w:r>
        <w:rPr>
          <w:rFonts w:hint="eastAsia" w:ascii="宋体" w:hAnsi="宋体"/>
          <w:b/>
          <w:bCs/>
          <w:color w:val="000000"/>
          <w:sz w:val="28"/>
          <w:szCs w:val="28"/>
          <w:highlight w:val="none"/>
          <w:lang w:eastAsia="zh-CN"/>
        </w:rPr>
        <w:t>交货期</w:t>
      </w:r>
      <w:r>
        <w:rPr>
          <w:rFonts w:hint="eastAsia" w:ascii="宋体" w:hAnsi="宋体"/>
          <w:b/>
          <w:bCs/>
          <w:color w:val="000000"/>
          <w:sz w:val="28"/>
          <w:szCs w:val="28"/>
          <w:highlight w:val="none"/>
        </w:rPr>
        <w:t>、质保期等商务方面进行响应说明，并保证响应的真实性。</w:t>
      </w:r>
    </w:p>
    <w:p>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偏差说明填写：正偏离（标明正偏离内容）、符合。</w:t>
      </w:r>
    </w:p>
    <w:p>
      <w:pPr>
        <w:pStyle w:val="6"/>
        <w:ind w:firstLine="0"/>
        <w:rPr>
          <w:rFonts w:ascii="宋体" w:hAnsi="宋体"/>
          <w:sz w:val="28"/>
          <w:szCs w:val="28"/>
          <w:highlight w:val="none"/>
        </w:rPr>
      </w:pPr>
      <w:r>
        <w:rPr>
          <w:rFonts w:hint="eastAsia" w:ascii="宋体" w:hAnsi="宋体" w:eastAsia="宋体" w:cs="宋体"/>
          <w:b/>
          <w:bCs/>
          <w:sz w:val="28"/>
          <w:szCs w:val="28"/>
          <w:highlight w:val="none"/>
        </w:rPr>
        <w:t>商务条款不允许负偏离；如未填写完整，视为全部响应；</w:t>
      </w:r>
    </w:p>
    <w:p>
      <w:pPr>
        <w:pStyle w:val="6"/>
        <w:ind w:firstLine="0"/>
        <w:rPr>
          <w:rFonts w:ascii="宋体" w:hAnsi="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rPr>
      </w:pPr>
    </w:p>
    <w:p>
      <w:pPr>
        <w:adjustRightInd w:val="0"/>
        <w:snapToGrid w:val="0"/>
        <w:spacing w:line="480" w:lineRule="auto"/>
        <w:jc w:val="left"/>
        <w:rPr>
          <w:rFonts w:ascii="宋体" w:hAnsi="宋体" w:cs="宋体"/>
          <w:color w:val="000000"/>
          <w:sz w:val="28"/>
          <w:szCs w:val="28"/>
          <w:highlight w:val="none"/>
          <w:u w:val="single"/>
        </w:rPr>
      </w:pPr>
      <w:r>
        <w:rPr>
          <w:rFonts w:hint="eastAsia" w:ascii="宋体" w:hAnsi="宋体" w:cs="宋体"/>
          <w:color w:val="000000"/>
          <w:sz w:val="28"/>
          <w:szCs w:val="28"/>
          <w:highlight w:val="none"/>
        </w:rPr>
        <w:t>供应商（单位名称及公章）：</w:t>
      </w:r>
    </w:p>
    <w:p>
      <w:pPr>
        <w:adjustRightInd w:val="0"/>
        <w:snapToGrid w:val="0"/>
        <w:spacing w:line="480" w:lineRule="auto"/>
        <w:rPr>
          <w:rFonts w:ascii="宋体" w:hAnsi="宋体" w:cs="宋体"/>
          <w:color w:val="000000"/>
          <w:sz w:val="28"/>
          <w:szCs w:val="28"/>
          <w:highlight w:val="none"/>
        </w:rPr>
      </w:pPr>
      <w:r>
        <w:rPr>
          <w:rFonts w:hint="eastAsia" w:ascii="宋体" w:hAnsi="宋体" w:cs="宋体"/>
          <w:color w:val="000000"/>
          <w:sz w:val="28"/>
          <w:szCs w:val="28"/>
          <w:highlight w:val="none"/>
        </w:rPr>
        <w:t>法定代表人或被授权人（签字或盖章）：</w:t>
      </w:r>
    </w:p>
    <w:p>
      <w:pPr>
        <w:adjustRightInd w:val="0"/>
        <w:snapToGrid w:val="0"/>
        <w:spacing w:line="480" w:lineRule="auto"/>
        <w:rPr>
          <w:rFonts w:ascii="宋体" w:hAnsi="宋体"/>
          <w:color w:val="000000"/>
          <w:sz w:val="28"/>
          <w:szCs w:val="28"/>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宋体" w:hAnsi="宋体" w:cs="宋体"/>
          <w:color w:val="000000"/>
          <w:sz w:val="28"/>
          <w:szCs w:val="28"/>
          <w:highlight w:val="none"/>
        </w:rPr>
        <w:t>日    期：年月日</w:t>
      </w:r>
    </w:p>
    <w:p>
      <w:pPr>
        <w:pStyle w:val="24"/>
        <w:ind w:firstLine="280"/>
        <w:rPr>
          <w:rFonts w:ascii="宋体" w:hAnsi="宋体" w:cs="宋体"/>
          <w:color w:val="000000"/>
          <w:sz w:val="28"/>
          <w:szCs w:val="28"/>
          <w:highlight w:val="none"/>
        </w:rPr>
      </w:pPr>
      <w:r>
        <w:rPr>
          <w:rFonts w:hint="eastAsia" w:ascii="宋体" w:hAnsi="宋体" w:cs="宋体"/>
          <w:color w:val="000000"/>
          <w:sz w:val="28"/>
          <w:szCs w:val="28"/>
          <w:highlight w:val="none"/>
        </w:rPr>
        <w:t>表2、投标产品技术偏差表</w:t>
      </w:r>
    </w:p>
    <w:tbl>
      <w:tblPr>
        <w:tblStyle w:val="25"/>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序号</w:t>
            </w:r>
          </w:p>
        </w:tc>
        <w:tc>
          <w:tcPr>
            <w:tcW w:w="2135" w:type="dxa"/>
            <w:vAlign w:val="center"/>
          </w:tcPr>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产品名称</w:t>
            </w:r>
          </w:p>
        </w:tc>
        <w:tc>
          <w:tcPr>
            <w:tcW w:w="2084" w:type="dxa"/>
            <w:vAlign w:val="center"/>
          </w:tcPr>
          <w:p>
            <w:pPr>
              <w:pStyle w:val="13"/>
              <w:spacing w:line="480" w:lineRule="auto"/>
              <w:ind w:firstLine="480" w:firstLineChars="200"/>
              <w:jc w:val="left"/>
              <w:rPr>
                <w:rFonts w:hint="eastAsia" w:hAnsi="宋体"/>
                <w:sz w:val="24"/>
                <w:szCs w:val="24"/>
                <w:highlight w:val="none"/>
                <w:lang w:eastAsia="zh-CN"/>
              </w:rPr>
            </w:pPr>
            <w:r>
              <w:rPr>
                <w:rFonts w:hint="eastAsia" w:hAnsi="宋体"/>
                <w:sz w:val="24"/>
                <w:szCs w:val="24"/>
                <w:highlight w:val="none"/>
                <w:lang w:eastAsia="zh-CN"/>
              </w:rPr>
              <w:t>文件要求</w:t>
            </w:r>
          </w:p>
          <w:p>
            <w:pPr>
              <w:pStyle w:val="13"/>
              <w:spacing w:line="480" w:lineRule="auto"/>
              <w:ind w:firstLine="480" w:firstLineChars="200"/>
              <w:jc w:val="left"/>
              <w:rPr>
                <w:rFonts w:hAnsi="宋体"/>
                <w:sz w:val="24"/>
                <w:szCs w:val="24"/>
                <w:highlight w:val="none"/>
              </w:rPr>
            </w:pPr>
            <w:r>
              <w:rPr>
                <w:rFonts w:hint="eastAsia" w:hAnsi="宋体"/>
                <w:sz w:val="24"/>
                <w:szCs w:val="24"/>
                <w:highlight w:val="none"/>
              </w:rPr>
              <w:t>技术指标</w:t>
            </w:r>
          </w:p>
        </w:tc>
        <w:tc>
          <w:tcPr>
            <w:tcW w:w="2216" w:type="dxa"/>
            <w:vAlign w:val="center"/>
          </w:tcPr>
          <w:p>
            <w:pPr>
              <w:pStyle w:val="13"/>
              <w:spacing w:line="480" w:lineRule="auto"/>
              <w:ind w:firstLine="480" w:firstLineChars="200"/>
              <w:rPr>
                <w:rFonts w:hAnsi="宋体"/>
                <w:sz w:val="24"/>
                <w:szCs w:val="24"/>
                <w:highlight w:val="none"/>
              </w:rPr>
            </w:pPr>
            <w:r>
              <w:rPr>
                <w:rFonts w:hint="eastAsia" w:hAnsi="宋体"/>
                <w:sz w:val="24"/>
                <w:szCs w:val="24"/>
                <w:highlight w:val="none"/>
                <w:lang w:eastAsia="zh-CN"/>
              </w:rPr>
              <w:t>投标</w:t>
            </w:r>
            <w:r>
              <w:rPr>
                <w:rFonts w:hint="eastAsia" w:hAnsi="宋体"/>
                <w:sz w:val="24"/>
                <w:szCs w:val="24"/>
                <w:highlight w:val="none"/>
              </w:rPr>
              <w:t>产品</w:t>
            </w:r>
          </w:p>
          <w:p>
            <w:pPr>
              <w:pStyle w:val="13"/>
              <w:spacing w:line="480" w:lineRule="auto"/>
              <w:ind w:firstLine="480" w:firstLineChars="200"/>
              <w:rPr>
                <w:rFonts w:hAnsi="宋体"/>
                <w:sz w:val="24"/>
                <w:szCs w:val="24"/>
                <w:highlight w:val="none"/>
              </w:rPr>
            </w:pPr>
            <w:r>
              <w:rPr>
                <w:rFonts w:hint="eastAsia" w:hAnsi="宋体"/>
                <w:sz w:val="24"/>
                <w:szCs w:val="24"/>
                <w:highlight w:val="none"/>
              </w:rPr>
              <w:t>技术指标</w:t>
            </w:r>
          </w:p>
        </w:tc>
        <w:tc>
          <w:tcPr>
            <w:tcW w:w="1470" w:type="dxa"/>
            <w:vAlign w:val="center"/>
          </w:tcPr>
          <w:p>
            <w:pPr>
              <w:pStyle w:val="13"/>
              <w:spacing w:line="480" w:lineRule="auto"/>
              <w:jc w:val="center"/>
              <w:rPr>
                <w:rFonts w:hAnsi="宋体"/>
                <w:sz w:val="24"/>
                <w:szCs w:val="24"/>
                <w:highlight w:val="none"/>
              </w:rPr>
            </w:pPr>
            <w:r>
              <w:rPr>
                <w:rFonts w:hint="eastAsia" w:hAnsi="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center"/>
          </w:tcPr>
          <w:p>
            <w:pPr>
              <w:pStyle w:val="13"/>
              <w:spacing w:line="480" w:lineRule="auto"/>
              <w:ind w:firstLine="480" w:firstLineChars="200"/>
              <w:jc w:val="left"/>
              <w:rPr>
                <w:rFonts w:hAnsi="宋体"/>
                <w:sz w:val="24"/>
                <w:szCs w:val="24"/>
                <w:highlight w:val="none"/>
              </w:rPr>
            </w:pPr>
          </w:p>
        </w:tc>
        <w:tc>
          <w:tcPr>
            <w:tcW w:w="2216" w:type="dxa"/>
            <w:vAlign w:val="center"/>
          </w:tcPr>
          <w:p>
            <w:pPr>
              <w:pStyle w:val="13"/>
              <w:spacing w:line="480" w:lineRule="auto"/>
              <w:ind w:firstLine="480" w:firstLineChars="200"/>
              <w:jc w:val="left"/>
              <w:rPr>
                <w:rFonts w:hAnsi="宋体"/>
                <w:sz w:val="24"/>
                <w:szCs w:val="24"/>
                <w:highlight w:val="none"/>
              </w:rPr>
            </w:pPr>
          </w:p>
        </w:tc>
        <w:tc>
          <w:tcPr>
            <w:tcW w:w="1470" w:type="dxa"/>
            <w:vAlign w:val="center"/>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pPr>
              <w:pStyle w:val="13"/>
              <w:spacing w:line="480" w:lineRule="auto"/>
              <w:ind w:firstLine="480" w:firstLineChars="200"/>
              <w:jc w:val="left"/>
              <w:rPr>
                <w:rFonts w:hAnsi="宋体"/>
                <w:sz w:val="24"/>
                <w:szCs w:val="24"/>
                <w:highlight w:val="none"/>
              </w:rPr>
            </w:pPr>
          </w:p>
        </w:tc>
        <w:tc>
          <w:tcPr>
            <w:tcW w:w="2135" w:type="dxa"/>
            <w:vAlign w:val="top"/>
          </w:tcPr>
          <w:p>
            <w:pPr>
              <w:pStyle w:val="13"/>
              <w:spacing w:line="480" w:lineRule="auto"/>
              <w:ind w:firstLine="480" w:firstLineChars="200"/>
              <w:jc w:val="left"/>
              <w:rPr>
                <w:rFonts w:hAnsi="宋体"/>
                <w:sz w:val="24"/>
                <w:szCs w:val="24"/>
                <w:highlight w:val="none"/>
              </w:rPr>
            </w:pPr>
          </w:p>
        </w:tc>
        <w:tc>
          <w:tcPr>
            <w:tcW w:w="2084" w:type="dxa"/>
            <w:vAlign w:val="top"/>
          </w:tcPr>
          <w:p>
            <w:pPr>
              <w:pStyle w:val="13"/>
              <w:spacing w:line="480" w:lineRule="auto"/>
              <w:ind w:firstLine="480" w:firstLineChars="200"/>
              <w:jc w:val="left"/>
              <w:rPr>
                <w:rFonts w:hAnsi="宋体"/>
                <w:sz w:val="24"/>
                <w:szCs w:val="24"/>
                <w:highlight w:val="none"/>
              </w:rPr>
            </w:pPr>
          </w:p>
        </w:tc>
        <w:tc>
          <w:tcPr>
            <w:tcW w:w="2216" w:type="dxa"/>
            <w:vAlign w:val="top"/>
          </w:tcPr>
          <w:p>
            <w:pPr>
              <w:pStyle w:val="13"/>
              <w:spacing w:line="480" w:lineRule="auto"/>
              <w:ind w:firstLine="480" w:firstLineChars="200"/>
              <w:jc w:val="left"/>
              <w:rPr>
                <w:rFonts w:hAnsi="宋体"/>
                <w:sz w:val="24"/>
                <w:szCs w:val="24"/>
                <w:highlight w:val="none"/>
              </w:rPr>
            </w:pPr>
          </w:p>
        </w:tc>
        <w:tc>
          <w:tcPr>
            <w:tcW w:w="1470" w:type="dxa"/>
            <w:vAlign w:val="top"/>
          </w:tcPr>
          <w:p>
            <w:pPr>
              <w:pStyle w:val="13"/>
              <w:spacing w:line="480" w:lineRule="auto"/>
              <w:ind w:firstLine="480" w:firstLineChars="200"/>
              <w:jc w:val="left"/>
              <w:rPr>
                <w:rFonts w:hAnsi="宋体"/>
                <w:sz w:val="24"/>
                <w:szCs w:val="24"/>
                <w:highlight w:val="none"/>
              </w:rPr>
            </w:pPr>
          </w:p>
        </w:tc>
      </w:tr>
    </w:tbl>
    <w:p>
      <w:pPr>
        <w:pStyle w:val="13"/>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hAnsi="宋体" w:eastAsia="宋体" w:cs="宋体"/>
          <w:sz w:val="28"/>
          <w:szCs w:val="28"/>
          <w:highlight w:val="none"/>
        </w:rPr>
        <w:t>请按招标文件技术要求的内容，逐条对应投标文件的“采购要求”中的</w:t>
      </w:r>
      <w:r>
        <w:rPr>
          <w:rFonts w:hint="eastAsia" w:hAnsi="宋体" w:eastAsia="宋体" w:cs="宋体"/>
          <w:sz w:val="28"/>
          <w:szCs w:val="28"/>
          <w:highlight w:val="none"/>
          <w:lang w:val="en-US" w:eastAsia="zh-CN"/>
        </w:rPr>
        <w:t>详细参数</w:t>
      </w:r>
      <w:r>
        <w:rPr>
          <w:rFonts w:hint="eastAsia" w:hAnsi="宋体" w:eastAsia="宋体" w:cs="宋体"/>
          <w:sz w:val="28"/>
          <w:szCs w:val="28"/>
          <w:highlight w:val="none"/>
        </w:rPr>
        <w:t>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供应商（单位名称及公章）：_________________________</w:t>
      </w:r>
    </w:p>
    <w:p>
      <w:pPr>
        <w:adjustRightInd w:val="0"/>
        <w:snapToGrid w:val="0"/>
        <w:spacing w:line="48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pPr>
        <w:adjustRightInd w:val="0"/>
        <w:snapToGrid w:val="0"/>
        <w:spacing w:line="480" w:lineRule="auto"/>
        <w:rPr>
          <w:rFonts w:ascii="宋体" w:hAnsi="宋体" w:cs="宋体"/>
          <w:color w:val="000000"/>
          <w:sz w:val="28"/>
          <w:szCs w:val="28"/>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期：_____年_____月_____日</w:t>
      </w:r>
    </w:p>
    <w:p>
      <w:pPr>
        <w:pStyle w:val="4"/>
        <w:spacing w:before="325" w:beforeLines="100" w:after="487" w:afterLines="150" w:line="500" w:lineRule="exact"/>
        <w:rPr>
          <w:rFonts w:asciiTheme="minorEastAsia" w:hAnsiTheme="minorEastAsia" w:eastAsiaTheme="minorEastAsia" w:cstheme="minorEastAsia"/>
          <w:color w:val="000000" w:themeColor="text1"/>
          <w:sz w:val="36"/>
          <w:szCs w:val="36"/>
          <w:highlight w:val="none"/>
          <w14:textFill>
            <w14:solidFill>
              <w14:schemeClr w14:val="tx1"/>
            </w14:solidFill>
          </w14:textFill>
        </w:rPr>
      </w:pPr>
      <w:bookmarkStart w:id="299" w:name="_Toc18357"/>
      <w:bookmarkStart w:id="300" w:name="_Toc25109"/>
      <w:bookmarkStart w:id="301" w:name="_Toc31399"/>
      <w:bookmarkStart w:id="302" w:name="_Toc8786"/>
      <w:bookmarkStart w:id="303" w:name="_Toc31024"/>
      <w:bookmarkStart w:id="304" w:name="_Toc29738"/>
      <w:bookmarkStart w:id="305" w:name="_Toc32514"/>
      <w:bookmarkStart w:id="306" w:name="_Toc10525"/>
      <w:bookmarkStart w:id="307" w:name="OLE_LINK1"/>
      <w:bookmarkStart w:id="308" w:name="_Toc22439"/>
      <w:bookmarkStart w:id="309" w:name="_Toc15860"/>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第七章</w:t>
      </w:r>
      <w:bookmarkEnd w:id="299"/>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xml:space="preserve">  技术支持资料</w:t>
      </w:r>
      <w:bookmarkEnd w:id="300"/>
      <w:bookmarkEnd w:id="301"/>
      <w:bookmarkEnd w:id="302"/>
      <w:bookmarkEnd w:id="303"/>
      <w:bookmarkEnd w:id="304"/>
    </w:p>
    <w:p>
      <w:pPr>
        <w:rPr>
          <w:rFonts w:ascii="宋体" w:hAnsi="宋体" w:cs="宋体"/>
          <w:b/>
          <w:bCs/>
          <w:sz w:val="24"/>
          <w:szCs w:val="24"/>
          <w:highlight w:val="none"/>
        </w:rPr>
      </w:pPr>
      <w:r>
        <w:rPr>
          <w:rFonts w:hint="eastAsia"/>
          <w:b/>
          <w:bCs/>
          <w:color w:val="000000" w:themeColor="text1"/>
          <w:sz w:val="36"/>
          <w:szCs w:val="36"/>
          <w:highlight w:val="none"/>
          <w:lang w:val="en-US" w:eastAsia="zh-CN"/>
          <w14:textFill>
            <w14:solidFill>
              <w14:schemeClr w14:val="tx1"/>
            </w14:solidFill>
          </w14:textFill>
        </w:rPr>
        <w:t>供应商</w:t>
      </w:r>
      <w:r>
        <w:rPr>
          <w:rFonts w:hint="eastAsia"/>
          <w:b/>
          <w:bCs/>
          <w:color w:val="000000" w:themeColor="text1"/>
          <w:sz w:val="36"/>
          <w:szCs w:val="36"/>
          <w:highlight w:val="none"/>
          <w14:textFill>
            <w14:solidFill>
              <w14:schemeClr w14:val="tx1"/>
            </w14:solidFill>
          </w14:textFill>
        </w:rPr>
        <w:t>可根据评审</w:t>
      </w:r>
      <w:r>
        <w:rPr>
          <w:rFonts w:hint="eastAsia"/>
          <w:b/>
          <w:bCs/>
          <w:color w:val="000000" w:themeColor="text1"/>
          <w:sz w:val="36"/>
          <w:szCs w:val="36"/>
          <w:highlight w:val="none"/>
          <w:lang w:val="en-US" w:eastAsia="zh-CN"/>
          <w14:textFill>
            <w14:solidFill>
              <w14:schemeClr w14:val="tx1"/>
            </w14:solidFill>
          </w14:textFill>
        </w:rPr>
        <w:t>标准</w:t>
      </w:r>
      <w:r>
        <w:rPr>
          <w:rFonts w:hint="eastAsia"/>
          <w:b/>
          <w:bCs/>
          <w:color w:val="000000" w:themeColor="text1"/>
          <w:sz w:val="36"/>
          <w:szCs w:val="36"/>
          <w:highlight w:val="none"/>
          <w14:textFill>
            <w14:solidFill>
              <w14:schemeClr w14:val="tx1"/>
            </w14:solidFill>
          </w14:textFill>
        </w:rPr>
        <w:t>自行编写</w:t>
      </w:r>
      <w:r>
        <w:rPr>
          <w:rFonts w:hint="eastAsia"/>
          <w:b/>
          <w:bCs/>
          <w:color w:val="000000" w:themeColor="text1"/>
          <w:sz w:val="36"/>
          <w:szCs w:val="36"/>
          <w:highlight w:val="none"/>
          <w:lang w:eastAsia="zh-CN"/>
          <w14:textFill>
            <w14:solidFill>
              <w14:schemeClr w14:val="tx1"/>
            </w14:solidFill>
          </w14:textFill>
        </w:rPr>
        <w:t>。</w:t>
      </w:r>
    </w:p>
    <w:p>
      <w:pPr>
        <w:rPr>
          <w:rFonts w:ascii="宋体" w:hAnsi="宋体" w:cs="宋体"/>
          <w:b/>
          <w:bCs/>
          <w:sz w:val="24"/>
          <w:szCs w:val="24"/>
          <w:highlight w:val="none"/>
        </w:rPr>
      </w:pPr>
      <w:r>
        <w:rPr>
          <w:rFonts w:hint="eastAsia" w:ascii="宋体" w:hAnsi="宋体" w:cs="宋体"/>
          <w:b/>
          <w:bCs/>
          <w:sz w:val="24"/>
          <w:szCs w:val="24"/>
          <w:highlight w:val="none"/>
        </w:rPr>
        <w:br w:type="page"/>
      </w:r>
    </w:p>
    <w:p>
      <w:pPr>
        <w:jc w:val="center"/>
        <w:outlineLvl w:val="1"/>
        <w:rPr>
          <w:color w:val="000000"/>
          <w:highlight w:val="none"/>
        </w:rPr>
      </w:pPr>
      <w:bookmarkStart w:id="310" w:name="_Toc20880"/>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 xml:space="preserve">第八章  </w:t>
      </w:r>
      <w:bookmarkStart w:id="311" w:name="_Toc24967"/>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实施方案及服务保障</w:t>
      </w:r>
      <w:bookmarkEnd w:id="310"/>
      <w:bookmarkEnd w:id="311"/>
    </w:p>
    <w:p>
      <w:pPr>
        <w:rPr>
          <w:highlight w:val="none"/>
        </w:rPr>
      </w:pPr>
      <w:r>
        <w:rPr>
          <w:highlight w:val="none"/>
        </w:rPr>
        <w:br w:type="page"/>
      </w:r>
    </w:p>
    <w:p>
      <w:pPr>
        <w:pStyle w:val="4"/>
        <w:rPr>
          <w:highlight w:val="none"/>
        </w:rPr>
      </w:pPr>
      <w:bookmarkStart w:id="312" w:name="_Toc23063"/>
      <w:bookmarkStart w:id="313" w:name="_Toc29180"/>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bookmarkEnd w:id="312"/>
      <w:bookmarkEnd w:id="313"/>
    </w:p>
    <w:p>
      <w:pPr>
        <w:rPr>
          <w:rFonts w:asciiTheme="minorEastAsia" w:hAnsiTheme="minorEastAsia" w:cstheme="minorEastAsia"/>
          <w:highlight w:val="none"/>
        </w:rPr>
      </w:pPr>
    </w:p>
    <w:tbl>
      <w:tblPr>
        <w:tblStyle w:val="25"/>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年份</w:t>
            </w:r>
          </w:p>
        </w:tc>
        <w:tc>
          <w:tcPr>
            <w:tcW w:w="1508"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用户名称</w:t>
            </w:r>
          </w:p>
        </w:tc>
        <w:tc>
          <w:tcPr>
            <w:tcW w:w="1382"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项目名称</w:t>
            </w:r>
          </w:p>
        </w:tc>
        <w:tc>
          <w:tcPr>
            <w:tcW w:w="1399" w:type="dxa"/>
            <w:vAlign w:val="center"/>
          </w:tcPr>
          <w:p>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完成时间</w:t>
            </w:r>
          </w:p>
        </w:tc>
        <w:tc>
          <w:tcPr>
            <w:tcW w:w="1485" w:type="dxa"/>
            <w:vAlign w:val="center"/>
          </w:tcPr>
          <w:p>
            <w:pPr>
              <w:spacing w:line="400" w:lineRule="exact"/>
              <w:ind w:firstLine="105" w:firstLineChars="50"/>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vAlign w:val="center"/>
          </w:tcPr>
          <w:p>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highlight w:val="none"/>
              </w:rPr>
            </w:pPr>
          </w:p>
        </w:tc>
        <w:tc>
          <w:tcPr>
            <w:tcW w:w="1508" w:type="dxa"/>
            <w:vAlign w:val="center"/>
          </w:tcPr>
          <w:p>
            <w:pPr>
              <w:spacing w:line="400" w:lineRule="exact"/>
              <w:rPr>
                <w:rFonts w:asciiTheme="minorEastAsia" w:hAnsiTheme="minorEastAsia" w:cstheme="minorEastAsia"/>
                <w:bCs/>
                <w:szCs w:val="21"/>
                <w:highlight w:val="none"/>
              </w:rPr>
            </w:pPr>
          </w:p>
        </w:tc>
        <w:tc>
          <w:tcPr>
            <w:tcW w:w="1382" w:type="dxa"/>
            <w:vAlign w:val="center"/>
          </w:tcPr>
          <w:p>
            <w:pPr>
              <w:spacing w:line="400" w:lineRule="exact"/>
              <w:rPr>
                <w:rFonts w:asciiTheme="minorEastAsia" w:hAnsiTheme="minorEastAsia" w:cstheme="minorEastAsia"/>
                <w:bCs/>
                <w:szCs w:val="21"/>
                <w:highlight w:val="none"/>
              </w:rPr>
            </w:pPr>
          </w:p>
        </w:tc>
        <w:tc>
          <w:tcPr>
            <w:tcW w:w="1399" w:type="dxa"/>
            <w:vAlign w:val="center"/>
          </w:tcPr>
          <w:p>
            <w:pPr>
              <w:spacing w:line="400" w:lineRule="exact"/>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highlight w:val="none"/>
              </w:rPr>
            </w:pPr>
          </w:p>
        </w:tc>
        <w:tc>
          <w:tcPr>
            <w:tcW w:w="1508" w:type="dxa"/>
            <w:vAlign w:val="center"/>
          </w:tcPr>
          <w:p>
            <w:pPr>
              <w:spacing w:line="400" w:lineRule="exact"/>
              <w:jc w:val="center"/>
              <w:rPr>
                <w:rFonts w:asciiTheme="minorEastAsia" w:hAnsiTheme="minorEastAsia" w:cstheme="minorEastAsia"/>
                <w:bCs/>
                <w:szCs w:val="21"/>
                <w:highlight w:val="none"/>
              </w:rPr>
            </w:pPr>
          </w:p>
        </w:tc>
        <w:tc>
          <w:tcPr>
            <w:tcW w:w="1382" w:type="dxa"/>
            <w:vAlign w:val="center"/>
          </w:tcPr>
          <w:p>
            <w:pPr>
              <w:spacing w:line="400" w:lineRule="exact"/>
              <w:jc w:val="center"/>
              <w:rPr>
                <w:rFonts w:asciiTheme="minorEastAsia" w:hAnsiTheme="minorEastAsia" w:cstheme="minorEastAsia"/>
                <w:bCs/>
                <w:szCs w:val="21"/>
                <w:highlight w:val="none"/>
              </w:rPr>
            </w:pPr>
          </w:p>
        </w:tc>
        <w:tc>
          <w:tcPr>
            <w:tcW w:w="1399" w:type="dxa"/>
            <w:vAlign w:val="center"/>
          </w:tcPr>
          <w:p>
            <w:pPr>
              <w:spacing w:line="400" w:lineRule="exact"/>
              <w:jc w:val="center"/>
              <w:rPr>
                <w:rFonts w:asciiTheme="minorEastAsia" w:hAnsiTheme="minorEastAsia" w:cstheme="minorEastAsia"/>
                <w:bCs/>
                <w:szCs w:val="21"/>
                <w:highlight w:val="none"/>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注：</w:t>
      </w:r>
      <w:r>
        <w:rPr>
          <w:rFonts w:hint="eastAsia" w:asciiTheme="minorEastAsia" w:hAnsiTheme="minorEastAsia" w:cstheme="minorEastAsia"/>
          <w:sz w:val="24"/>
          <w:szCs w:val="24"/>
          <w:highlight w:val="none"/>
          <w:lang w:eastAsia="zh-CN"/>
        </w:rPr>
        <w:t>所投产品</w:t>
      </w: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年1月1日至今的供货合同</w:t>
      </w:r>
      <w:r>
        <w:rPr>
          <w:rFonts w:hint="eastAsia" w:asciiTheme="minorEastAsia" w:hAnsiTheme="minorEastAsia" w:cstheme="minorEastAsia"/>
          <w:sz w:val="24"/>
          <w:szCs w:val="24"/>
          <w:highlight w:val="none"/>
          <w:lang w:val="en-US" w:eastAsia="zh-CN"/>
        </w:rPr>
        <w:t>复印件加盖公章</w:t>
      </w:r>
      <w:r>
        <w:rPr>
          <w:rFonts w:hint="eastAsia" w:ascii="宋体" w:hAnsi="宋体" w:eastAsia="宋体" w:cs="宋体"/>
          <w:color w:val="000000"/>
          <w:sz w:val="24"/>
          <w:szCs w:val="24"/>
          <w:highlight w:val="none"/>
        </w:rPr>
        <w:t>，</w:t>
      </w:r>
      <w:r>
        <w:rPr>
          <w:rFonts w:hint="eastAsia" w:asciiTheme="minorEastAsia" w:hAnsiTheme="minorEastAsia" w:cstheme="minorEastAsia"/>
          <w:sz w:val="24"/>
          <w:szCs w:val="24"/>
          <w:highlight w:val="none"/>
        </w:rPr>
        <w:t>（携带合同原件备查，以签订合同时间为准）</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p>
    <w:p>
      <w:pPr>
        <w:spacing w:line="360" w:lineRule="auto"/>
        <w:ind w:left="360"/>
        <w:jc w:val="center"/>
        <w:rPr>
          <w:rFonts w:asciiTheme="minorEastAsia" w:hAnsiTheme="minorEastAsia" w:cstheme="minorEastAsia"/>
          <w:sz w:val="24"/>
          <w:szCs w:val="24"/>
          <w:highlight w:val="none"/>
        </w:rPr>
      </w:pP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lang w:eastAsia="zh-CN"/>
        </w:rPr>
        <w:t>供应商</w:t>
      </w:r>
      <w:r>
        <w:rPr>
          <w:rFonts w:hint="eastAsia" w:asciiTheme="minorEastAsia" w:hAnsiTheme="minorEastAsia" w:cstheme="minorEastAsia"/>
          <w:bCs/>
          <w:sz w:val="24"/>
          <w:szCs w:val="24"/>
          <w:highlight w:val="none"/>
        </w:rPr>
        <w:t>名称：</w:t>
      </w:r>
      <w:r>
        <w:rPr>
          <w:rFonts w:hint="eastAsia" w:asciiTheme="minorEastAsia" w:hAnsiTheme="minorEastAsia" w:cstheme="minorEastAsia"/>
          <w:bCs/>
          <w:sz w:val="24"/>
          <w:szCs w:val="24"/>
          <w:highlight w:val="none"/>
          <w:u w:val="single"/>
        </w:rPr>
        <w:t xml:space="preserve">              （全称及公章）</w:t>
      </w:r>
    </w:p>
    <w:p>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rPr>
        <w:t>法定代表人或委托代理人（签字或盖章）：</w:t>
      </w:r>
      <w:r>
        <w:rPr>
          <w:rFonts w:hint="eastAsia" w:asciiTheme="minorEastAsia" w:hAnsiTheme="minorEastAsia" w:cstheme="minorEastAsia"/>
          <w:bCs/>
          <w:sz w:val="24"/>
          <w:szCs w:val="24"/>
          <w:highlight w:val="none"/>
          <w:u w:val="single"/>
        </w:rPr>
        <w:t xml:space="preserve">               </w:t>
      </w:r>
    </w:p>
    <w:p>
      <w:pPr>
        <w:adjustRightInd w:val="0"/>
        <w:snapToGrid w:val="0"/>
        <w:spacing w:line="480" w:lineRule="auto"/>
        <w:rPr>
          <w:rFonts w:ascii="宋体" w:hAnsi="宋体" w:cs="宋体"/>
          <w:color w:val="000000"/>
          <w:sz w:val="28"/>
          <w:szCs w:val="28"/>
          <w:highlight w:val="none"/>
        </w:rPr>
      </w:pPr>
      <w:r>
        <w:rPr>
          <w:rFonts w:hint="eastAsia" w:asciiTheme="minorEastAsia" w:hAnsiTheme="minorEastAsia" w:cstheme="minorEastAsia"/>
          <w:bCs/>
          <w:sz w:val="24"/>
          <w:szCs w:val="24"/>
          <w:highlight w:val="none"/>
        </w:rPr>
        <w:t xml:space="preserve">日    </w:t>
      </w:r>
      <w:r>
        <w:rPr>
          <w:rFonts w:hint="eastAsia" w:asciiTheme="minorEastAsia" w:hAnsiTheme="minorEastAsia" w:cstheme="minorEastAsia"/>
          <w:sz w:val="24"/>
          <w:szCs w:val="24"/>
          <w:highlight w:val="none"/>
        </w:rPr>
        <w:t>期:</w:t>
      </w:r>
    </w:p>
    <w:p>
      <w:pPr>
        <w:rPr>
          <w:highlight w:val="none"/>
        </w:rPr>
      </w:pPr>
      <w:r>
        <w:rPr>
          <w:highlight w:val="none"/>
        </w:rPr>
        <w:br w:type="page"/>
      </w:r>
    </w:p>
    <w:p>
      <w:pPr>
        <w:pStyle w:val="4"/>
        <w:rPr>
          <w:highlight w:val="none"/>
        </w:rPr>
      </w:pPr>
      <w:bookmarkStart w:id="314" w:name="_Toc27857"/>
      <w:bookmarkStart w:id="315" w:name="_Toc15682"/>
      <w:bookmarkStart w:id="316" w:name="_Toc29034"/>
      <w:bookmarkStart w:id="317" w:name="_Toc18898"/>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bookmarkEnd w:id="314"/>
      <w:bookmarkEnd w:id="315"/>
      <w:bookmarkEnd w:id="316"/>
      <w:bookmarkEnd w:id="317"/>
    </w:p>
    <w:p>
      <w:pPr>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eastAsia="zh-CN"/>
        </w:rPr>
        <w:t>供应商</w:t>
      </w:r>
      <w:r>
        <w:rPr>
          <w:rFonts w:hint="eastAsia" w:asciiTheme="minorEastAsia" w:hAnsiTheme="minorEastAsia" w:cstheme="minorEastAsia"/>
          <w:sz w:val="24"/>
          <w:highlight w:val="none"/>
        </w:rPr>
        <w:t>认为有必要提供的其他证明文件</w:t>
      </w:r>
    </w:p>
    <w:p>
      <w:pPr>
        <w:pStyle w:val="6"/>
        <w:rPr>
          <w:highlight w:val="none"/>
        </w:rPr>
      </w:pPr>
    </w:p>
    <w:p>
      <w:pPr>
        <w:rPr>
          <w:rFonts w:ascii="宋体" w:hAnsi="宋体" w:cs="宋体"/>
          <w:color w:val="000000"/>
          <w:sz w:val="24"/>
          <w:highlight w:val="none"/>
        </w:rPr>
      </w:pPr>
      <w:r>
        <w:rPr>
          <w:rFonts w:hint="eastAsia"/>
          <w:sz w:val="24"/>
          <w:szCs w:val="24"/>
          <w:highlight w:val="none"/>
        </w:rPr>
        <w:t xml:space="preserve"> </w:t>
      </w:r>
      <w:r>
        <w:rPr>
          <w:rFonts w:hint="eastAsia"/>
          <w:b/>
          <w:bCs/>
          <w:sz w:val="44"/>
          <w:szCs w:val="48"/>
          <w:highlight w:val="none"/>
          <w:lang w:eastAsia="zh-CN"/>
        </w:rPr>
        <w:t>供应商</w:t>
      </w:r>
      <w:r>
        <w:rPr>
          <w:rFonts w:hint="eastAsia"/>
          <w:b/>
          <w:bCs/>
          <w:sz w:val="44"/>
          <w:szCs w:val="48"/>
          <w:highlight w:val="none"/>
        </w:rPr>
        <w:t>可在此处附附件二至附件五的证明材料，如没有提供，视为无。</w:t>
      </w:r>
    </w:p>
    <w:p>
      <w:pPr>
        <w:tabs>
          <w:tab w:val="left" w:pos="1064"/>
        </w:tabs>
        <w:jc w:val="left"/>
        <w:rPr>
          <w:highlight w:val="none"/>
        </w:rPr>
        <w:sectPr>
          <w:pgSz w:w="11906" w:h="16838"/>
          <w:pgMar w:top="1440" w:right="1803" w:bottom="1440" w:left="1803" w:header="850" w:footer="992" w:gutter="0"/>
          <w:pgNumType w:fmt="decimal"/>
          <w:cols w:space="0" w:num="1"/>
          <w:rtlGutter w:val="1"/>
          <w:docGrid w:type="lines" w:linePitch="319" w:charSpace="0"/>
        </w:sectPr>
      </w:pPr>
    </w:p>
    <w:bookmarkEnd w:id="297"/>
    <w:bookmarkEnd w:id="305"/>
    <w:bookmarkEnd w:id="306"/>
    <w:bookmarkEnd w:id="307"/>
    <w:bookmarkEnd w:id="308"/>
    <w:bookmarkEnd w:id="309"/>
    <w:p>
      <w:pPr>
        <w:pStyle w:val="4"/>
        <w:numPr>
          <w:ilvl w:val="0"/>
          <w:numId w:val="0"/>
        </w:numPr>
        <w:jc w:val="center"/>
        <w:rPr>
          <w:rFonts w:ascii="宋体" w:hAnsi="宋体" w:cs="宋体"/>
          <w:sz w:val="36"/>
          <w:szCs w:val="36"/>
          <w:highlight w:val="none"/>
        </w:rPr>
      </w:pPr>
      <w:bookmarkStart w:id="318" w:name="_Toc9761"/>
      <w:bookmarkStart w:id="319" w:name="_Toc26814"/>
      <w:bookmarkStart w:id="320" w:name="_Toc11820"/>
      <w:bookmarkStart w:id="321" w:name="_Toc5424"/>
      <w:bookmarkStart w:id="322" w:name="_Toc7869"/>
      <w:bookmarkStart w:id="323" w:name="_Toc6347"/>
      <w:bookmarkStart w:id="324" w:name="_Toc15189"/>
      <w:r>
        <w:rPr>
          <w:rFonts w:hint="eastAsia" w:ascii="宋体" w:hAnsi="宋体" w:cs="宋体"/>
          <w:color w:val="000000" w:themeColor="text1"/>
          <w:sz w:val="36"/>
          <w:szCs w:val="36"/>
          <w:highlight w:val="none"/>
          <w:lang w:val="en-US" w:eastAsia="zh-CN"/>
          <w14:textFill>
            <w14:solidFill>
              <w14:schemeClr w14:val="tx1"/>
            </w14:solidFill>
          </w14:textFill>
        </w:rPr>
        <w:t xml:space="preserve">第十一章  </w:t>
      </w:r>
      <w:bookmarkStart w:id="325" w:name="_Toc31203"/>
      <w:r>
        <w:rPr>
          <w:rFonts w:hint="eastAsia" w:ascii="宋体" w:hAnsi="宋体" w:cs="宋体"/>
          <w:color w:val="000000" w:themeColor="text1"/>
          <w:sz w:val="36"/>
          <w:szCs w:val="36"/>
          <w:highlight w:val="none"/>
          <w14:textFill>
            <w14:solidFill>
              <w14:schemeClr w14:val="tx1"/>
            </w14:solidFill>
          </w14:textFill>
        </w:rPr>
        <w:t>供应商承诺书</w:t>
      </w:r>
      <w:bookmarkEnd w:id="318"/>
      <w:bookmarkEnd w:id="319"/>
      <w:bookmarkEnd w:id="320"/>
      <w:bookmarkEnd w:id="325"/>
    </w:p>
    <w:p>
      <w:pPr>
        <w:pStyle w:val="13"/>
        <w:ind w:firstLine="562" w:firstLineChars="200"/>
        <w:jc w:val="left"/>
        <w:rPr>
          <w:rFonts w:hAnsi="宋体" w:cs="宋体"/>
          <w:b/>
          <w:bCs/>
          <w:sz w:val="28"/>
          <w:szCs w:val="28"/>
          <w:highlight w:val="none"/>
        </w:rPr>
      </w:pPr>
      <w:r>
        <w:rPr>
          <w:rFonts w:hint="eastAsia" w:hAnsi="宋体" w:cs="宋体"/>
          <w:b/>
          <w:bCs/>
          <w:sz w:val="28"/>
          <w:szCs w:val="28"/>
          <w:highlight w:val="none"/>
        </w:rPr>
        <w:t>陕西省政府采购供货商拒绝政府采购领域商业贿赂承诺书Ⅰ</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1、在参与政府采购活动中遵纪守法、诚信经营、公平竞标。</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4、不采取“围标、陪标”等商业欺诈手段获得政府采购订单。</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5、不采取不正当手段诋毁、排挤其它供货商。</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6、不在提供商品和服务时“偷梁换柱、以次充好”损害采购人的合法权益。</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highlight w:val="none"/>
        </w:rPr>
      </w:pPr>
    </w:p>
    <w:p>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供应商（单位名称及公章）：</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法定代表人或被授权人（签字或盖章）：</w:t>
      </w:r>
    </w:p>
    <w:p>
      <w:pPr>
        <w:snapToGrid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邮编：</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地址：</w:t>
      </w:r>
    </w:p>
    <w:p>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电话：</w:t>
      </w:r>
    </w:p>
    <w:p>
      <w:pPr>
        <w:spacing w:line="360" w:lineRule="auto"/>
        <w:ind w:firstLine="480" w:firstLineChars="200"/>
        <w:jc w:val="left"/>
        <w:rPr>
          <w:rFonts w:ascii="宋体" w:hAnsi="宋体" w:cs="宋体"/>
          <w:sz w:val="24"/>
          <w:szCs w:val="28"/>
          <w:highlight w:val="none"/>
          <w:u w:val="single"/>
        </w:rPr>
      </w:pPr>
      <w:r>
        <w:rPr>
          <w:rFonts w:hint="eastAsia" w:ascii="宋体" w:hAnsi="宋体" w:cs="宋体"/>
          <w:sz w:val="24"/>
          <w:szCs w:val="28"/>
          <w:highlight w:val="none"/>
        </w:rPr>
        <w:t xml:space="preserve">时间： </w:t>
      </w:r>
      <w:r>
        <w:rPr>
          <w:rFonts w:hint="eastAsia" w:ascii="宋体" w:hAnsi="宋体" w:cs="宋体"/>
          <w:sz w:val="24"/>
          <w:szCs w:val="28"/>
          <w:highlight w:val="none"/>
          <w:u w:val="single"/>
        </w:rPr>
        <w:t xml:space="preserve">    年   月    日</w:t>
      </w:r>
    </w:p>
    <w:p>
      <w:pPr>
        <w:rPr>
          <w:rFonts w:ascii="宋体" w:hAnsi="宋体" w:cs="宋体"/>
          <w:highlight w:val="none"/>
        </w:rPr>
      </w:pPr>
      <w:r>
        <w:rPr>
          <w:rFonts w:hint="eastAsia" w:ascii="宋体" w:hAnsi="宋体" w:cs="宋体"/>
          <w:highlight w:val="none"/>
        </w:rPr>
        <w:br w:type="page"/>
      </w:r>
    </w:p>
    <w:p>
      <w:pPr>
        <w:pageBreakBefore/>
        <w:spacing w:line="360" w:lineRule="atLeast"/>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承诺书Ⅱ</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 w:val="24"/>
                <w:szCs w:val="24"/>
                <w:highlight w:val="none"/>
              </w:rPr>
            </w:pPr>
            <w:r>
              <w:rPr>
                <w:rFonts w:hint="eastAsia" w:ascii="宋体" w:hAnsi="宋体" w:cs="宋体"/>
                <w:sz w:val="24"/>
                <w:szCs w:val="24"/>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作为参加贵公司组织的</w:t>
            </w:r>
            <w:r>
              <w:rPr>
                <w:rFonts w:hint="eastAsia" w:ascii="宋体" w:hAnsi="宋体" w:cs="宋体"/>
                <w:sz w:val="24"/>
                <w:szCs w:val="24"/>
                <w:highlight w:val="none"/>
                <w:u w:val="single"/>
                <w:lang w:eastAsia="zh-CN"/>
              </w:rPr>
              <w:t>陕西中医药大学第二附属医院眼科设备采购项目（一）第一包二次</w:t>
            </w:r>
            <w:r>
              <w:rPr>
                <w:rFonts w:hint="eastAsia" w:ascii="宋体" w:hAnsi="宋体" w:cs="宋体"/>
                <w:sz w:val="24"/>
                <w:szCs w:val="24"/>
                <w:highlight w:val="none"/>
              </w:rPr>
              <w:t xml:space="preserve">的供应商，本公司承诺：在参加本项目投标之前不存在被依法禁止经营行为、财产被接管或冻结的情况，如有隐瞒实情，愿承担一切责任及后果。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p>
        </w:tc>
        <w:tc>
          <w:tcPr>
            <w:tcW w:w="3474"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法定代表人或被授权人</w:t>
            </w:r>
          </w:p>
        </w:tc>
        <w:tc>
          <w:tcPr>
            <w:tcW w:w="2376"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（公章）</w:t>
            </w:r>
          </w:p>
        </w:tc>
        <w:tc>
          <w:tcPr>
            <w:tcW w:w="3474"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（签字或盖章） </w:t>
            </w:r>
          </w:p>
        </w:tc>
        <w:tc>
          <w:tcPr>
            <w:tcW w:w="2376"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年   月   日</w:t>
            </w:r>
          </w:p>
        </w:tc>
      </w:tr>
    </w:tbl>
    <w:p>
      <w:pPr>
        <w:spacing w:line="360" w:lineRule="atLeast"/>
        <w:ind w:firstLine="843" w:firstLineChars="200"/>
        <w:jc w:val="left"/>
        <w:rPr>
          <w:rFonts w:ascii="宋体" w:hAnsi="宋体" w:cs="宋体"/>
          <w:b/>
          <w:sz w:val="42"/>
          <w:szCs w:val="42"/>
          <w:highlight w:val="none"/>
        </w:rPr>
      </w:pPr>
    </w:p>
    <w:p>
      <w:pPr>
        <w:spacing w:line="360" w:lineRule="atLeast"/>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承诺书Ⅲ</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 w:val="24"/>
                <w:szCs w:val="24"/>
                <w:highlight w:val="none"/>
              </w:rPr>
            </w:pPr>
            <w:r>
              <w:rPr>
                <w:rFonts w:hint="eastAsia" w:ascii="宋体" w:hAnsi="宋体" w:cs="宋体"/>
                <w:sz w:val="24"/>
                <w:szCs w:val="24"/>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作为参加贵公司组织的</w:t>
            </w:r>
            <w:r>
              <w:rPr>
                <w:rFonts w:hint="eastAsia" w:ascii="宋体" w:hAnsi="宋体" w:cs="宋体"/>
                <w:sz w:val="24"/>
                <w:szCs w:val="24"/>
                <w:highlight w:val="none"/>
                <w:u w:val="single"/>
                <w:lang w:eastAsia="zh-CN"/>
              </w:rPr>
              <w:t>陕西中医药大学第二附属医院眼科设备采购项目（一）第一包二次</w:t>
            </w:r>
            <w:r>
              <w:rPr>
                <w:rFonts w:hint="eastAsia" w:ascii="宋体" w:hAnsi="宋体" w:cs="宋体"/>
                <w:sz w:val="24"/>
                <w:szCs w:val="24"/>
                <w:highlight w:val="none"/>
              </w:rPr>
              <w:t>的供应商，本公司郑重申告并承诺：近三年受到有关行政主管部门的行政处理、不良行为记录为次（没有填零），如有隐瞒实情，愿承担一切责任及后果。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p>
        </w:tc>
        <w:tc>
          <w:tcPr>
            <w:tcW w:w="348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法定代表人或被授权人</w:t>
            </w:r>
          </w:p>
        </w:tc>
        <w:tc>
          <w:tcPr>
            <w:tcW w:w="2387"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（公章）</w:t>
            </w:r>
          </w:p>
        </w:tc>
        <w:tc>
          <w:tcPr>
            <w:tcW w:w="348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（签字或盖章）</w:t>
            </w:r>
          </w:p>
        </w:tc>
        <w:tc>
          <w:tcPr>
            <w:tcW w:w="2387" w:type="dxa"/>
            <w:vAlign w:val="center"/>
          </w:tcPr>
          <w:p>
            <w:pPr>
              <w:spacing w:line="360" w:lineRule="atLeast"/>
              <w:ind w:firstLine="720" w:firstLineChars="300"/>
              <w:jc w:val="left"/>
              <w:rPr>
                <w:rFonts w:ascii="宋体" w:hAnsi="宋体" w:cs="宋体"/>
                <w:sz w:val="24"/>
                <w:szCs w:val="24"/>
                <w:highlight w:val="none"/>
              </w:rPr>
            </w:pPr>
            <w:r>
              <w:rPr>
                <w:rFonts w:hint="eastAsia" w:ascii="宋体" w:hAnsi="宋体" w:cs="宋体"/>
                <w:sz w:val="24"/>
                <w:szCs w:val="24"/>
                <w:highlight w:val="none"/>
              </w:rPr>
              <w:t>年  月   日</w:t>
            </w:r>
          </w:p>
        </w:tc>
      </w:tr>
    </w:tbl>
    <w:p>
      <w:pPr>
        <w:pageBreakBefore/>
        <w:spacing w:line="360" w:lineRule="atLeast"/>
        <w:ind w:firstLine="482" w:firstLineChars="200"/>
        <w:jc w:val="center"/>
        <w:rPr>
          <w:rFonts w:ascii="宋体" w:hAnsi="宋体" w:cs="宋体"/>
          <w:b/>
          <w:sz w:val="24"/>
          <w:szCs w:val="24"/>
          <w:highlight w:val="none"/>
        </w:rPr>
      </w:pPr>
      <w:r>
        <w:rPr>
          <w:rFonts w:hint="eastAsia" w:ascii="宋体" w:hAnsi="宋体" w:cs="宋体"/>
          <w:b/>
          <w:sz w:val="24"/>
          <w:szCs w:val="24"/>
          <w:highlight w:val="none"/>
        </w:rPr>
        <w:t>承诺书Ⅳ</w:t>
      </w:r>
    </w:p>
    <w:tbl>
      <w:tblPr>
        <w:tblStyle w:val="2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 w:val="24"/>
                <w:szCs w:val="24"/>
                <w:highlight w:val="none"/>
              </w:rPr>
            </w:pPr>
            <w:r>
              <w:rPr>
                <w:rFonts w:hint="eastAsia" w:ascii="宋体" w:hAnsi="宋体" w:cs="宋体"/>
                <w:sz w:val="24"/>
                <w:szCs w:val="24"/>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作为参加贵公司组织的</w:t>
            </w:r>
            <w:r>
              <w:rPr>
                <w:rFonts w:hint="eastAsia" w:ascii="宋体" w:hAnsi="宋体" w:cs="宋体"/>
                <w:sz w:val="24"/>
                <w:szCs w:val="24"/>
                <w:highlight w:val="none"/>
                <w:u w:val="single"/>
                <w:lang w:eastAsia="zh-CN"/>
              </w:rPr>
              <w:t>陕西中医药大学第二附属医院眼科设备采购项目（一）第一包二次</w:t>
            </w:r>
            <w:r>
              <w:rPr>
                <w:rFonts w:hint="eastAsia" w:ascii="宋体" w:hAnsi="宋体" w:cs="宋体"/>
                <w:sz w:val="24"/>
                <w:szCs w:val="24"/>
                <w:highlight w:val="none"/>
              </w:rPr>
              <w:t>的供应商，本公司郑重申告：近三年因产品供货问题（水货、替代品、次品、翻新品等）的不法行为记录为次（没有填零），如有隐瞒实情，愿承担一切责任及后果。</w:t>
            </w:r>
          </w:p>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p>
        </w:tc>
        <w:tc>
          <w:tcPr>
            <w:tcW w:w="3466"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法定代表人或被授权人</w:t>
            </w:r>
          </w:p>
        </w:tc>
        <w:tc>
          <w:tcPr>
            <w:tcW w:w="2371"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（公章）</w:t>
            </w:r>
          </w:p>
        </w:tc>
        <w:tc>
          <w:tcPr>
            <w:tcW w:w="3466"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（签字或盖章）</w:t>
            </w:r>
          </w:p>
        </w:tc>
        <w:tc>
          <w:tcPr>
            <w:tcW w:w="2371"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年   月   日</w:t>
            </w:r>
          </w:p>
        </w:tc>
      </w:tr>
    </w:tbl>
    <w:p>
      <w:pPr>
        <w:spacing w:line="360" w:lineRule="auto"/>
        <w:ind w:firstLine="480" w:firstLineChars="200"/>
        <w:jc w:val="left"/>
        <w:rPr>
          <w:rFonts w:ascii="宋体" w:hAnsi="宋体" w:cs="宋体"/>
          <w:sz w:val="24"/>
          <w:szCs w:val="28"/>
          <w:highlight w:val="none"/>
        </w:rPr>
      </w:pPr>
    </w:p>
    <w:p>
      <w:pPr>
        <w:spacing w:line="360" w:lineRule="atLeast"/>
        <w:ind w:firstLine="482" w:firstLineChars="200"/>
        <w:jc w:val="center"/>
        <w:rPr>
          <w:rFonts w:ascii="宋体" w:hAnsi="宋体" w:cs="宋体"/>
          <w:b/>
          <w:sz w:val="32"/>
          <w:szCs w:val="32"/>
          <w:highlight w:val="none"/>
        </w:rPr>
      </w:pPr>
      <w:r>
        <w:rPr>
          <w:rFonts w:hint="eastAsia" w:ascii="宋体" w:hAnsi="宋体" w:cs="宋体"/>
          <w:b/>
          <w:sz w:val="24"/>
          <w:szCs w:val="24"/>
          <w:highlight w:val="none"/>
        </w:rPr>
        <w:t>承诺书</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 5 \* ROMAN </w:instrText>
      </w:r>
      <w:r>
        <w:rPr>
          <w:rFonts w:hint="eastAsia" w:ascii="宋体" w:hAnsi="宋体" w:cs="宋体"/>
          <w:b/>
          <w:sz w:val="24"/>
          <w:szCs w:val="24"/>
          <w:highlight w:val="none"/>
        </w:rPr>
        <w:fldChar w:fldCharType="separate"/>
      </w:r>
      <w:r>
        <w:rPr>
          <w:rFonts w:hint="eastAsia" w:ascii="宋体" w:hAnsi="宋体" w:cs="宋体"/>
          <w:b/>
          <w:sz w:val="24"/>
          <w:szCs w:val="24"/>
          <w:highlight w:val="none"/>
          <w:lang w:val="zh-CN"/>
        </w:rPr>
        <w:t>V</w:t>
      </w:r>
      <w:r>
        <w:rPr>
          <w:rFonts w:hint="eastAsia" w:ascii="宋体" w:hAnsi="宋体" w:cs="宋体"/>
          <w:b/>
          <w:sz w:val="24"/>
          <w:szCs w:val="24"/>
          <w:highlight w:val="none"/>
        </w:rPr>
        <w:fldChar w:fldCharType="end"/>
      </w:r>
    </w:p>
    <w:tbl>
      <w:tblPr>
        <w:tblStyle w:val="2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 w:val="24"/>
                <w:szCs w:val="24"/>
                <w:highlight w:val="none"/>
              </w:rPr>
            </w:pPr>
            <w:r>
              <w:rPr>
                <w:rFonts w:hint="eastAsia" w:ascii="宋体" w:hAnsi="宋体" w:cs="宋体"/>
                <w:sz w:val="24"/>
                <w:szCs w:val="24"/>
                <w:highlight w:val="none"/>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作为参加贵公司组织的</w:t>
            </w:r>
            <w:r>
              <w:rPr>
                <w:rFonts w:hint="eastAsia" w:ascii="宋体" w:hAnsi="宋体" w:cs="宋体"/>
                <w:sz w:val="24"/>
                <w:szCs w:val="24"/>
                <w:highlight w:val="none"/>
                <w:u w:val="single"/>
                <w:lang w:eastAsia="zh-CN"/>
              </w:rPr>
              <w:t>陕西中医药大学第二附属医院眼科设备采购项目（一）第一包二次</w:t>
            </w:r>
            <w:r>
              <w:rPr>
                <w:rFonts w:hint="eastAsia" w:ascii="宋体" w:hAnsi="宋体" w:cs="宋体"/>
                <w:sz w:val="24"/>
                <w:szCs w:val="24"/>
                <w:highlight w:val="none"/>
              </w:rPr>
              <w:t>的供应商，本公司承诺：参加本次投标提交的所有资质证明文件及业绩证明文件是真实的、有效的，如有隐瞒实情，愿承担一切责任及后果。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p>
        </w:tc>
        <w:tc>
          <w:tcPr>
            <w:tcW w:w="3534"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法定代表人或被授权人</w:t>
            </w:r>
          </w:p>
        </w:tc>
        <w:tc>
          <w:tcPr>
            <w:tcW w:w="241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（公章）</w:t>
            </w:r>
          </w:p>
        </w:tc>
        <w:tc>
          <w:tcPr>
            <w:tcW w:w="3534"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（签字或盖章）</w:t>
            </w:r>
          </w:p>
        </w:tc>
        <w:tc>
          <w:tcPr>
            <w:tcW w:w="2418" w:type="dxa"/>
            <w:vAlign w:val="center"/>
          </w:tcPr>
          <w:p>
            <w:pPr>
              <w:spacing w:line="3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年   月   日</w:t>
            </w:r>
          </w:p>
        </w:tc>
      </w:tr>
    </w:tbl>
    <w:p>
      <w:pPr>
        <w:rPr>
          <w:rFonts w:hint="eastAsia"/>
          <w:highlight w:val="none"/>
        </w:rPr>
      </w:pPr>
      <w:r>
        <w:rPr>
          <w:rFonts w:hint="eastAsia"/>
          <w:highlight w:val="none"/>
        </w:rPr>
        <w:br w:type="page"/>
      </w:r>
    </w:p>
    <w:p>
      <w:pPr>
        <w:pStyle w:val="4"/>
        <w:rPr>
          <w:highlight w:val="none"/>
        </w:rPr>
      </w:pPr>
      <w:bookmarkStart w:id="326" w:name="_Toc14332"/>
      <w:r>
        <w:rPr>
          <w:rFonts w:hint="eastAsia"/>
          <w:highlight w:val="none"/>
        </w:rPr>
        <w:t>附件一、封袋正面标识式样</w:t>
      </w:r>
      <w:bookmarkEnd w:id="321"/>
      <w:bookmarkEnd w:id="322"/>
      <w:bookmarkEnd w:id="323"/>
      <w:bookmarkEnd w:id="324"/>
      <w:bookmarkEnd w:id="326"/>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投标文件正本封袋正面标识式样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-537845</wp:posOffset>
                </wp:positionH>
                <wp:positionV relativeFrom="paragraph">
                  <wp:posOffset>113030</wp:posOffset>
                </wp:positionV>
                <wp:extent cx="6492875" cy="4383405"/>
                <wp:effectExtent l="4445" t="5080" r="17780" b="12065"/>
                <wp:wrapNone/>
                <wp:docPr id="15" name="Text Box 3"/>
                <wp:cNvGraphicFramePr/>
                <a:graphic xmlns:a="http://schemas.openxmlformats.org/drawingml/2006/main">
                  <a:graphicData uri="http://schemas.microsoft.com/office/word/2010/wordprocessingShape">
                    <wps:wsp>
                      <wps:cNvSpPr txBox="1"/>
                      <wps:spPr>
                        <a:xfrm>
                          <a:off x="0" y="0"/>
                          <a:ext cx="6492875" cy="43834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jc w:val="center"/>
                              <w:rPr>
                                <w:rFonts w:hint="eastAsia" w:cs="宋体"/>
                                <w:b/>
                                <w:bCs/>
                                <w:sz w:val="44"/>
                                <w:szCs w:val="44"/>
                              </w:rPr>
                            </w:pPr>
                            <w:r>
                              <w:rPr>
                                <w:rFonts w:hint="eastAsia" w:cs="宋体"/>
                                <w:b/>
                                <w:bCs/>
                                <w:sz w:val="44"/>
                                <w:szCs w:val="44"/>
                              </w:rPr>
                              <w:t>投标文件（正本）</w:t>
                            </w:r>
                          </w:p>
                          <w:p>
                            <w:pPr>
                              <w:pStyle w:val="2"/>
                              <w:rPr>
                                <w:rFonts w:hint="eastAsia"/>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35pt;margin-top:8.9pt;height:345.15pt;width:511.25pt;z-index:251665408;mso-width-relative:page;mso-height-relative:page;" fillcolor="#FFFFFF" filled="t" stroked="t" coordsize="21600,21600" o:gfxdata="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B7OzvYAAAACgEAAA8AAAAAAAAAAQAgAAAAIgAAAGRycy9k&#10;b3ducmV2LnhtbFBLAQIUABQAAAAIAIdO4kAfnNTgAgIAAEUEAAAOAAAAAAAAAAEAIAAAACcBAABk&#10;cnMvZTJvRG9jLnhtbFBLBQYAAAAABgAGAFkBAACbBQ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jc w:val="center"/>
                        <w:rPr>
                          <w:rFonts w:hint="eastAsia" w:cs="宋体"/>
                          <w:b/>
                          <w:bCs/>
                          <w:sz w:val="44"/>
                          <w:szCs w:val="44"/>
                        </w:rPr>
                      </w:pPr>
                      <w:r>
                        <w:rPr>
                          <w:rFonts w:hint="eastAsia" w:cs="宋体"/>
                          <w:b/>
                          <w:bCs/>
                          <w:sz w:val="44"/>
                          <w:szCs w:val="44"/>
                        </w:rPr>
                        <w:t>投标文件（正本）</w:t>
                      </w:r>
                    </w:p>
                    <w:p>
                      <w:pPr>
                        <w:pStyle w:val="2"/>
                        <w:rPr>
                          <w:rFonts w:hint="eastAsia"/>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投标文件副本封袋正面标识式样</w:t>
      </w:r>
    </w:p>
    <w:p>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6432" behindDoc="0" locked="0" layoutInCell="1" allowOverlap="1">
                <wp:simplePos x="0" y="0"/>
                <wp:positionH relativeFrom="column">
                  <wp:posOffset>-539750</wp:posOffset>
                </wp:positionH>
                <wp:positionV relativeFrom="paragraph">
                  <wp:posOffset>128905</wp:posOffset>
                </wp:positionV>
                <wp:extent cx="6316345" cy="4267835"/>
                <wp:effectExtent l="5080" t="4445" r="22225" b="13970"/>
                <wp:wrapNone/>
                <wp:docPr id="14" name="Text Box 4"/>
                <wp:cNvGraphicFramePr/>
                <a:graphic xmlns:a="http://schemas.openxmlformats.org/drawingml/2006/main">
                  <a:graphicData uri="http://schemas.microsoft.com/office/word/2010/wordprocessingShape">
                    <wps:wsp>
                      <wps:cNvSpPr txBox="1"/>
                      <wps:spPr>
                        <a:xfrm>
                          <a:off x="0" y="0"/>
                          <a:ext cx="6316345" cy="42678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jc w:val="center"/>
                              <w:rPr>
                                <w:rFonts w:hint="eastAsia" w:cs="宋体"/>
                                <w:b/>
                                <w:bCs/>
                                <w:sz w:val="44"/>
                                <w:szCs w:val="44"/>
                              </w:rPr>
                            </w:pPr>
                            <w:r>
                              <w:rPr>
                                <w:rFonts w:hint="eastAsia" w:cs="宋体"/>
                                <w:b/>
                                <w:bCs/>
                                <w:sz w:val="44"/>
                                <w:szCs w:val="44"/>
                              </w:rPr>
                              <w:t>投标文件（副本）</w:t>
                            </w:r>
                          </w:p>
                          <w:p>
                            <w:pPr>
                              <w:pStyle w:val="2"/>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5pt;margin-top:10.15pt;height:336.05pt;width:497.35pt;z-index:251666432;mso-width-relative:page;mso-height-relative:page;" fillcolor="#FFFFFF" filled="t" stroked="t" coordsize="21600,21600" o:gfxdata="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rtNt2gAAAAoBAAAPAAAAAAAAAAEAIAAAACIAAABkcnMv&#10;ZG93bnJldi54bWxQSwECFAAUAAAACACHTuJAxjfJNgECAABFBAAADgAAAAAAAAABACAAAAApAQAA&#10;ZHJzL2Uyb0RvYy54bWxQSwUGAAAAAAYABgBZAQAAnAU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jc w:val="center"/>
                        <w:rPr>
                          <w:rFonts w:hint="eastAsia" w:cs="宋体"/>
                          <w:b/>
                          <w:bCs/>
                          <w:sz w:val="44"/>
                          <w:szCs w:val="44"/>
                        </w:rPr>
                      </w:pPr>
                      <w:r>
                        <w:rPr>
                          <w:rFonts w:hint="eastAsia" w:cs="宋体"/>
                          <w:b/>
                          <w:bCs/>
                          <w:sz w:val="44"/>
                          <w:szCs w:val="44"/>
                        </w:rPr>
                        <w:t>投标文件（副本）</w:t>
                      </w:r>
                    </w:p>
                    <w:p>
                      <w:pPr>
                        <w:pStyle w:val="2"/>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tabs>
          <w:tab w:val="left" w:pos="8280"/>
        </w:tabs>
        <w:spacing w:line="460" w:lineRule="exact"/>
        <w:ind w:firstLine="482" w:firstLineChars="200"/>
        <w:jc w:val="center"/>
        <w:rPr>
          <w:rFonts w:asciiTheme="minorEastAsia" w:hAnsiTheme="minorEastAsia" w:eastAsiaTheme="minorEastAsia" w:cstheme="minorEastAsia"/>
          <w:b/>
          <w:bCs/>
          <w:sz w:val="24"/>
          <w:szCs w:val="24"/>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widowControl/>
        <w:spacing w:line="460" w:lineRule="exact"/>
        <w:ind w:firstLine="480" w:firstLineChars="200"/>
        <w:jc w:val="center"/>
        <w:rPr>
          <w:rFonts w:asciiTheme="minorEastAsia" w:hAnsiTheme="minorEastAsia" w:eastAsiaTheme="minorEastAsia" w:cstheme="minorEastAsia"/>
          <w:sz w:val="24"/>
          <w:szCs w:val="24"/>
          <w:highlight w:val="none"/>
        </w:rPr>
        <w:sectPr>
          <w:headerReference r:id="rId16" w:type="default"/>
          <w:footerReference r:id="rId17" w:type="default"/>
          <w:pgSz w:w="11906" w:h="16838"/>
          <w:pgMar w:top="1440" w:right="1803" w:bottom="1440" w:left="1803" w:header="850" w:footer="992" w:gutter="0"/>
          <w:pgNumType w:fmt="decimal"/>
          <w:cols w:space="0" w:num="1"/>
          <w:rtlGutter w:val="1"/>
          <w:docGrid w:type="lines" w:linePitch="319" w:charSpace="0"/>
        </w:sectPr>
      </w:pP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投标报价一览表封袋正面标识式样</w:t>
      </w:r>
    </w:p>
    <w:p>
      <w:pPr>
        <w:spacing w:line="460" w:lineRule="exact"/>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7456" behindDoc="0" locked="0" layoutInCell="1" allowOverlap="1">
                <wp:simplePos x="0" y="0"/>
                <wp:positionH relativeFrom="column">
                  <wp:posOffset>-532765</wp:posOffset>
                </wp:positionH>
                <wp:positionV relativeFrom="paragraph">
                  <wp:posOffset>231775</wp:posOffset>
                </wp:positionV>
                <wp:extent cx="6170930" cy="4533265"/>
                <wp:effectExtent l="4445" t="4445" r="15875" b="15240"/>
                <wp:wrapNone/>
                <wp:docPr id="13" name="文本框 11"/>
                <wp:cNvGraphicFramePr/>
                <a:graphic xmlns:a="http://schemas.openxmlformats.org/drawingml/2006/main">
                  <a:graphicData uri="http://schemas.microsoft.com/office/word/2010/wordprocessingShape">
                    <wps:wsp>
                      <wps:cNvSpPr txBox="1"/>
                      <wps:spPr>
                        <a:xfrm>
                          <a:off x="0" y="0"/>
                          <a:ext cx="6170930" cy="4533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pStyle w:val="2"/>
                              <w:jc w:val="center"/>
                              <w:rPr>
                                <w:rFonts w:hint="eastAsia" w:cs="宋体"/>
                                <w:b/>
                                <w:bCs/>
                                <w:sz w:val="44"/>
                                <w:szCs w:val="44"/>
                              </w:rPr>
                            </w:pPr>
                            <w:r>
                              <w:rPr>
                                <w:rFonts w:hint="eastAsia" w:cs="宋体"/>
                                <w:b/>
                                <w:bCs/>
                                <w:sz w:val="44"/>
                                <w:szCs w:val="44"/>
                              </w:rPr>
                              <w:t>报价一览表</w:t>
                            </w:r>
                          </w:p>
                          <w:p>
                            <w:pPr>
                              <w:pStyle w:val="2"/>
                              <w:jc w:val="center"/>
                              <w:rPr>
                                <w:rFonts w:cs="宋体"/>
                                <w:b/>
                                <w:bCs/>
                                <w:sz w:val="44"/>
                                <w:szCs w:val="44"/>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95pt;margin-top:18.25pt;height:356.95pt;width:485.9pt;z-index:251667456;mso-width-relative:page;mso-height-relative:page;" fillcolor="#FFFFFF" filled="t" stroked="t" coordsize="21600,21600" o:gfxdata="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nLoPaAAAACgEAAA8AAAAA&#10;AAAAAQAgAAAAIgAAAGRycy9kb3ducmV2LnhtbFBLAQIUABQAAAAIAIdO4kDm/yhEEgIAAEcEAAAO&#10;AAAAAAAAAAEAIAAAACkBAABkcnMvZTJvRG9jLnhtbFBLBQYAAAAABgAGAFkBAACtBQAAAAA=&#10;">
                <v:fill on="t" focussize="0,0"/>
                <v:stroke color="#000000" joinstyle="miter"/>
                <v:imagedata o:title=""/>
                <o:lock v:ext="edit" aspectratio="f"/>
                <v:textbox>
                  <w:txbxContent>
                    <w:p>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pStyle w:val="2"/>
                        <w:jc w:val="center"/>
                        <w:rPr>
                          <w:rFonts w:hint="eastAsia" w:cs="宋体"/>
                          <w:b/>
                          <w:bCs/>
                          <w:sz w:val="44"/>
                          <w:szCs w:val="44"/>
                        </w:rPr>
                      </w:pPr>
                      <w:r>
                        <w:rPr>
                          <w:rFonts w:hint="eastAsia" w:cs="宋体"/>
                          <w:b/>
                          <w:bCs/>
                          <w:sz w:val="44"/>
                          <w:szCs w:val="44"/>
                        </w:rPr>
                        <w:t>报价一览表</w:t>
                      </w:r>
                    </w:p>
                    <w:p>
                      <w:pPr>
                        <w:pStyle w:val="2"/>
                        <w:jc w:val="center"/>
                        <w:rPr>
                          <w:rFonts w:cs="宋体"/>
                          <w:b/>
                          <w:bCs/>
                          <w:sz w:val="44"/>
                          <w:szCs w:val="44"/>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ind w:firstLine="482" w:firstLineChars="200"/>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spacing w:line="460" w:lineRule="exact"/>
        <w:jc w:val="center"/>
        <w:rPr>
          <w:rFonts w:asciiTheme="minorEastAsia" w:hAnsiTheme="minorEastAsia" w:eastAsiaTheme="minorEastAsia" w:cstheme="minorEastAsia"/>
          <w:b/>
          <w:bCs/>
          <w:sz w:val="24"/>
          <w:szCs w:val="24"/>
          <w:highlight w:val="none"/>
        </w:rPr>
      </w:pPr>
    </w:p>
    <w:p>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电子文档封袋正面标识式样</w:t>
      </w:r>
    </w:p>
    <w:p>
      <w:pPr>
        <w:tabs>
          <w:tab w:val="left" w:pos="8280"/>
        </w:tabs>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8480" behindDoc="0" locked="0" layoutInCell="1" allowOverlap="1">
                <wp:simplePos x="0" y="0"/>
                <wp:positionH relativeFrom="column">
                  <wp:posOffset>-586105</wp:posOffset>
                </wp:positionH>
                <wp:positionV relativeFrom="paragraph">
                  <wp:posOffset>82550</wp:posOffset>
                </wp:positionV>
                <wp:extent cx="6249670" cy="4313555"/>
                <wp:effectExtent l="4445" t="4445" r="13335" b="6350"/>
                <wp:wrapNone/>
                <wp:docPr id="12" name="文本框 12"/>
                <wp:cNvGraphicFramePr/>
                <a:graphic xmlns:a="http://schemas.openxmlformats.org/drawingml/2006/main">
                  <a:graphicData uri="http://schemas.microsoft.com/office/word/2010/wordprocessingShape">
                    <wps:wsp>
                      <wps:cNvSpPr txBox="1"/>
                      <wps:spPr>
                        <a:xfrm>
                          <a:off x="0" y="0"/>
                          <a:ext cx="6249670" cy="431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pStyle w:val="2"/>
                              <w:jc w:val="center"/>
                              <w:rPr>
                                <w:rFonts w:hint="eastAsia" w:cs="宋体"/>
                                <w:b/>
                                <w:bCs/>
                                <w:sz w:val="44"/>
                                <w:szCs w:val="44"/>
                              </w:rPr>
                            </w:pPr>
                            <w:r>
                              <w:rPr>
                                <w:rFonts w:hint="eastAsia" w:cs="宋体"/>
                                <w:b/>
                                <w:bCs/>
                                <w:sz w:val="44"/>
                                <w:szCs w:val="44"/>
                              </w:rPr>
                              <w:t>电子文档</w:t>
                            </w:r>
                          </w:p>
                          <w:p>
                            <w:pPr>
                              <w:pStyle w:val="2"/>
                              <w:jc w:val="center"/>
                              <w:rPr>
                                <w:rFonts w:cs="宋体"/>
                                <w:b/>
                                <w:bCs/>
                                <w:sz w:val="44"/>
                                <w:szCs w:val="44"/>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15pt;margin-top:6.5pt;height:339.65pt;width:492.1pt;z-index:251668480;mso-width-relative:page;mso-height-relative:page;" fillcolor="#FFFFFF" filled="t" stroked="t" coordsize="21600,21600" o:gfxdata="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gX692AAAAAoBAAAPAAAAAAAA&#10;AAEAIAAAACIAAABkcnMvZG93bnJldi54bWxQSwECFAAUAAAACACHTuJA0cb9cBICAABHBAAADgAA&#10;AAAAAAABACAAAAAnAQAAZHJzL2Uyb0RvYy54bWxQSwUGAAAAAAYABgBZAQAAqwUAAAAA&#10;">
                <v:fill on="t" focussize="0,0"/>
                <v:stroke color="#000000" joinstyle="miter"/>
                <v:imagedata o:title=""/>
                <o:lock v:ext="edit" aspectratio="f"/>
                <v:textbox>
                  <w:txbxContent>
                    <w:p>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SXWZ2022ZB-SZEY-163A</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陕西中医药大学第二附属医院眼科设备采购项目（一）第一包二次</w:t>
                      </w:r>
                    </w:p>
                    <w:p>
                      <w:pPr>
                        <w:pStyle w:val="2"/>
                        <w:jc w:val="center"/>
                        <w:rPr>
                          <w:rFonts w:hint="eastAsia" w:cs="宋体"/>
                          <w:b/>
                          <w:bCs/>
                          <w:sz w:val="44"/>
                          <w:szCs w:val="44"/>
                        </w:rPr>
                      </w:pPr>
                      <w:r>
                        <w:rPr>
                          <w:rFonts w:hint="eastAsia" w:cs="宋体"/>
                          <w:b/>
                          <w:bCs/>
                          <w:sz w:val="44"/>
                          <w:szCs w:val="44"/>
                        </w:rPr>
                        <w:t>电子文档</w:t>
                      </w:r>
                    </w:p>
                    <w:p>
                      <w:pPr>
                        <w:pStyle w:val="2"/>
                        <w:jc w:val="center"/>
                        <w:rPr>
                          <w:rFonts w:cs="宋体"/>
                          <w:b/>
                          <w:bCs/>
                          <w:sz w:val="44"/>
                          <w:szCs w:val="44"/>
                        </w:rP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420" w:firstLineChars="200"/>
        <w:jc w:val="center"/>
        <w:rPr>
          <w:rFonts w:asciiTheme="minorEastAsia" w:hAnsiTheme="minorEastAsia" w:eastAsiaTheme="minorEastAsia" w:cstheme="minorEastAsia"/>
          <w:highlight w:val="none"/>
        </w:rPr>
      </w:pPr>
    </w:p>
    <w:p>
      <w:pPr>
        <w:ind w:firstLine="1004" w:firstLineChars="200"/>
        <w:jc w:val="center"/>
        <w:rPr>
          <w:rFonts w:asciiTheme="minorEastAsia" w:hAnsiTheme="minorEastAsia" w:eastAsiaTheme="minorEastAsia" w:cstheme="minorEastAsia"/>
          <w:b/>
          <w:bCs/>
          <w:sz w:val="50"/>
          <w:szCs w:val="50"/>
          <w:highlight w:val="none"/>
        </w:rPr>
      </w:pPr>
    </w:p>
    <w:p>
      <w:pPr>
        <w:jc w:val="left"/>
        <w:rPr>
          <w:rFonts w:asciiTheme="minorEastAsia" w:hAnsiTheme="minorEastAsia" w:eastAsiaTheme="minorEastAsia" w:cstheme="minorEastAsia"/>
          <w:b/>
          <w:bCs/>
          <w:sz w:val="36"/>
          <w:szCs w:val="36"/>
          <w:highlight w:val="none"/>
        </w:rPr>
        <w:sectPr>
          <w:pgSz w:w="11906" w:h="16838"/>
          <w:pgMar w:top="1440" w:right="1803" w:bottom="1440" w:left="1803" w:header="850" w:footer="992" w:gutter="0"/>
          <w:pgNumType w:fmt="decimal"/>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27" w:name="_Toc8177"/>
      <w:bookmarkStart w:id="328" w:name="_Toc9607"/>
      <w:bookmarkStart w:id="329" w:name="_Toc20129"/>
      <w:bookmarkStart w:id="330" w:name="_Toc22866"/>
      <w:bookmarkStart w:id="331" w:name="_Toc7273"/>
      <w:bookmarkStart w:id="332" w:name="_Toc18086"/>
      <w:r>
        <w:rPr>
          <w:rFonts w:hint="eastAsia" w:asciiTheme="minorEastAsia" w:hAnsiTheme="minorEastAsia" w:eastAsiaTheme="minorEastAsia" w:cstheme="minorEastAsia"/>
          <w:highlight w:val="none"/>
        </w:rPr>
        <w:t>附件二、中小企业申明</w:t>
      </w:r>
      <w:bookmarkEnd w:id="327"/>
      <w:bookmarkEnd w:id="328"/>
      <w:bookmarkEnd w:id="329"/>
      <w:bookmarkEnd w:id="330"/>
      <w:bookmarkEnd w:id="331"/>
      <w:bookmarkEnd w:id="332"/>
    </w:p>
    <w:p>
      <w:pPr>
        <w:spacing w:line="588" w:lineRule="exact"/>
        <w:ind w:firstLine="504" w:firstLineChars="200"/>
        <w:rPr>
          <w:rFonts w:ascii="宋体" w:hAnsi="宋体"/>
          <w:color w:val="000000"/>
          <w:spacing w:val="6"/>
          <w:sz w:val="24"/>
          <w:highlight w:val="none"/>
        </w:rPr>
      </w:pPr>
      <w:bookmarkStart w:id="333" w:name="_Toc3198"/>
      <w:bookmarkStart w:id="334" w:name="_Toc11556"/>
      <w:bookmarkStart w:id="335" w:name="_Toc11130"/>
      <w:bookmarkStart w:id="336" w:name="_Toc30503"/>
      <w:bookmarkStart w:id="337" w:name="_Toc15467"/>
      <w:r>
        <w:rPr>
          <w:rFonts w:hint="eastAsia" w:ascii="宋体" w:hAnsi="宋体"/>
          <w:color w:val="000000"/>
          <w:spacing w:val="6"/>
          <w:sz w:val="24"/>
          <w:highlight w:val="none"/>
        </w:rPr>
        <w:t>根据《政府采购促进中小企业发展管理办法》（财库[2020]46号）的规定，由供应商自行声明并对真实性负责。如有虚假，将依法承担相应责任。</w:t>
      </w:r>
    </w:p>
    <w:p>
      <w:pPr>
        <w:spacing w:line="588" w:lineRule="exact"/>
        <w:jc w:val="center"/>
        <w:rPr>
          <w:rFonts w:hint="default" w:ascii="宋体" w:hAnsi="宋体" w:eastAsia="宋体" w:cs="宋体"/>
          <w:b/>
          <w:color w:val="000000"/>
          <w:spacing w:val="6"/>
          <w:sz w:val="24"/>
          <w:szCs w:val="24"/>
          <w:highlight w:val="none"/>
          <w:lang w:val="en-US" w:eastAsia="zh-CN"/>
        </w:rPr>
      </w:pPr>
      <w:r>
        <w:rPr>
          <w:rFonts w:hint="eastAsia" w:ascii="宋体" w:hAnsi="宋体" w:eastAsia="宋体" w:cs="宋体"/>
          <w:b/>
          <w:color w:val="000000"/>
          <w:spacing w:val="6"/>
          <w:sz w:val="24"/>
          <w:szCs w:val="24"/>
          <w:highlight w:val="none"/>
        </w:rPr>
        <w:t>中小企业声明函</w:t>
      </w:r>
      <w:r>
        <w:rPr>
          <w:rFonts w:hint="eastAsia" w:ascii="宋体" w:hAnsi="宋体" w:eastAsia="宋体" w:cs="宋体"/>
          <w:b/>
          <w:color w:val="000000"/>
          <w:spacing w:val="6"/>
          <w:sz w:val="24"/>
          <w:szCs w:val="24"/>
          <w:highlight w:val="none"/>
          <w:lang w:eastAsia="zh-CN"/>
        </w:rPr>
        <w:t>（</w:t>
      </w:r>
      <w:r>
        <w:rPr>
          <w:rFonts w:hint="eastAsia" w:ascii="宋体" w:hAnsi="宋体" w:eastAsia="宋体" w:cs="宋体"/>
          <w:b/>
          <w:color w:val="000000"/>
          <w:spacing w:val="6"/>
          <w:sz w:val="24"/>
          <w:szCs w:val="24"/>
          <w:highlight w:val="none"/>
          <w:lang w:val="en-US" w:eastAsia="zh-CN"/>
        </w:rPr>
        <w:t>货物）</w:t>
      </w:r>
    </w:p>
    <w:p>
      <w:pPr>
        <w:pStyle w:val="11"/>
        <w:spacing w:before="55" w:line="360" w:lineRule="auto"/>
        <w:ind w:right="415" w:firstLine="64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郑重声明，根据《政府采购促进中小企业发展管理办法》（财库﹝2020﹞46 号）的规定，本公司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参加</w:t>
      </w:r>
      <w:r>
        <w:rPr>
          <w:rFonts w:hint="eastAsia" w:ascii="宋体" w:hAnsi="宋体" w:eastAsia="宋体" w:cs="宋体"/>
          <w:color w:val="000000"/>
          <w:spacing w:val="6"/>
          <w:sz w:val="24"/>
          <w:highlight w:val="none"/>
          <w:u w:val="single"/>
        </w:rPr>
        <w:t>（单位名称）</w:t>
      </w:r>
      <w:r>
        <w:rPr>
          <w:rFonts w:hint="eastAsia" w:ascii="宋体" w:hAnsi="宋体" w:eastAsia="宋体" w:cs="宋体"/>
          <w:color w:val="000000"/>
          <w:spacing w:val="6"/>
          <w:sz w:val="24"/>
          <w:highlight w:val="none"/>
        </w:rPr>
        <w:t>的</w:t>
      </w:r>
      <w:r>
        <w:rPr>
          <w:rFonts w:hint="eastAsia" w:ascii="宋体" w:hAnsi="宋体" w:eastAsia="宋体" w:cs="宋体"/>
          <w:color w:val="000000"/>
          <w:spacing w:val="6"/>
          <w:sz w:val="24"/>
          <w:highlight w:val="none"/>
          <w:u w:val="single"/>
        </w:rPr>
        <w:t>（项目名称）</w:t>
      </w:r>
      <w:r>
        <w:rPr>
          <w:rFonts w:hint="eastAsia" w:ascii="宋体" w:hAnsi="宋体" w:eastAsia="宋体" w:cs="宋体"/>
          <w:color w:val="000000"/>
          <w:spacing w:val="6"/>
          <w:sz w:val="24"/>
          <w:highlight w:val="none"/>
        </w:rPr>
        <w:t>采购活动，提供的货物全部由符合政策要求的中小企业制造。相关企业的具体情况如下：</w:t>
      </w:r>
    </w:p>
    <w:p>
      <w:pPr>
        <w:pStyle w:val="90"/>
        <w:numPr>
          <w:ilvl w:val="0"/>
          <w:numId w:val="21"/>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90"/>
        <w:numPr>
          <w:ilvl w:val="0"/>
          <w:numId w:val="21"/>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pPr>
        <w:pStyle w:val="11"/>
        <w:spacing w:line="360" w:lineRule="auto"/>
        <w:ind w:left="86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w:t>
      </w:r>
    </w:p>
    <w:p>
      <w:pPr>
        <w:pStyle w:val="11"/>
        <w:spacing w:before="105" w:line="360" w:lineRule="auto"/>
        <w:ind w:right="417"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以上企业，不属于大企业的分支机构，不存在控股股东为大企业的情形，也不存在与大企业的负责人为同一人的情形。</w:t>
      </w:r>
    </w:p>
    <w:p>
      <w:pPr>
        <w:pStyle w:val="11"/>
        <w:spacing w:line="360" w:lineRule="auto"/>
        <w:ind w:right="372"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本企业对上述声明内容的真实性负责。如有虚假，将依法承担相应责任。</w:t>
      </w: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p>
    <w:p>
      <w:pPr>
        <w:spacing w:line="360" w:lineRule="auto"/>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企业名称（盖章）：</w:t>
      </w:r>
    </w:p>
    <w:p>
      <w:pPr>
        <w:spacing w:line="588" w:lineRule="exact"/>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日期：</w:t>
      </w:r>
    </w:p>
    <w:p>
      <w:pPr>
        <w:bidi w:val="0"/>
        <w:rPr>
          <w:rFonts w:hint="eastAsia"/>
          <w:highlight w:val="none"/>
        </w:rPr>
      </w:pPr>
    </w:p>
    <w:p>
      <w:pPr>
        <w:spacing w:line="360" w:lineRule="auto"/>
        <w:rPr>
          <w:rFonts w:ascii="宋体" w:hAnsi="宋体"/>
          <w:spacing w:val="6"/>
          <w:sz w:val="24"/>
          <w:szCs w:val="24"/>
          <w:highlight w:val="none"/>
        </w:rPr>
      </w:pPr>
      <w:r>
        <w:rPr>
          <w:rFonts w:hint="eastAsia" w:ascii="宋体" w:hAnsi="宋体" w:cs="宋体"/>
          <w:sz w:val="21"/>
          <w:szCs w:val="21"/>
          <w:highlight w:val="none"/>
          <w:lang w:val="en-US" w:eastAsia="zh-CN"/>
        </w:rPr>
        <w:t>注：</w:t>
      </w:r>
      <w:r>
        <w:rPr>
          <w:rFonts w:ascii="宋体" w:hAnsi="宋体" w:eastAsia="宋体" w:cs="宋体"/>
          <w:sz w:val="21"/>
          <w:szCs w:val="21"/>
          <w:highlight w:val="none"/>
        </w:rPr>
        <w:t xml:space="preserve"> 从业人员、营业收入、资产总额填报上一年度数据，无上一年度数据的新成立企业可不填报。</w:t>
      </w:r>
    </w:p>
    <w:p>
      <w:pPr>
        <w:spacing w:line="588" w:lineRule="exact"/>
        <w:ind w:firstLine="504" w:firstLineChars="200"/>
        <w:rPr>
          <w:rFonts w:ascii="宋体" w:hAnsi="宋体" w:cs="宋体"/>
          <w:spacing w:val="6"/>
          <w:sz w:val="24"/>
          <w:szCs w:val="24"/>
          <w:highlight w:val="none"/>
        </w:rPr>
        <w:sectPr>
          <w:footerReference r:id="rId18" w:type="default"/>
          <w:pgSz w:w="11906" w:h="16838"/>
          <w:pgMar w:top="1440" w:right="1803" w:bottom="1440" w:left="1803" w:header="850" w:footer="992" w:gutter="0"/>
          <w:pgNumType w:fmt="decimal"/>
          <w:cols w:space="0" w:num="1"/>
          <w:rtlGutter w:val="1"/>
          <w:docGrid w:type="lines" w:linePitch="319" w:charSpace="0"/>
        </w:sect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38" w:name="_Toc25673"/>
      <w:r>
        <w:rPr>
          <w:rFonts w:hint="eastAsia" w:asciiTheme="minorEastAsia" w:hAnsiTheme="minorEastAsia" w:eastAsiaTheme="minorEastAsia" w:cstheme="minorEastAsia"/>
          <w:highlight w:val="none"/>
        </w:rPr>
        <w:t>附件三、残疾人福利性单位声明</w:t>
      </w:r>
      <w:bookmarkEnd w:id="333"/>
      <w:bookmarkEnd w:id="334"/>
      <w:bookmarkEnd w:id="335"/>
      <w:bookmarkEnd w:id="336"/>
      <w:bookmarkEnd w:id="338"/>
    </w:p>
    <w:p>
      <w:pPr>
        <w:spacing w:line="588" w:lineRule="exact"/>
        <w:ind w:firstLine="504"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6"/>
          <w:sz w:val="24"/>
          <w:highlight w:val="none"/>
        </w:rPr>
        <w:t>根据《关于促进残疾人就业政府采购政策的通知》财库〔2017〕141号的规定由供应商自行申明，并对声明的真实性负责，如有虚假，将依法承担相应责任。</w:t>
      </w:r>
      <w:bookmarkStart w:id="339" w:name="sendNo"/>
      <w:bookmarkEnd w:id="339"/>
    </w:p>
    <w:bookmarkEnd w:id="337"/>
    <w:p>
      <w:pPr>
        <w:spacing w:line="588" w:lineRule="exact"/>
        <w:jc w:val="center"/>
        <w:rPr>
          <w:rFonts w:ascii="宋体" w:hAnsi="宋体" w:cs="宋体"/>
          <w:b/>
          <w:color w:val="000000"/>
          <w:spacing w:val="6"/>
          <w:sz w:val="24"/>
          <w:szCs w:val="24"/>
          <w:highlight w:val="none"/>
        </w:rPr>
      </w:pPr>
      <w:bookmarkStart w:id="340" w:name="OLE_LINK14"/>
      <w:r>
        <w:rPr>
          <w:rFonts w:hint="eastAsia" w:ascii="宋体" w:hAnsi="宋体" w:cs="宋体"/>
          <w:b/>
          <w:color w:val="000000"/>
          <w:spacing w:val="6"/>
          <w:sz w:val="24"/>
          <w:szCs w:val="24"/>
          <w:highlight w:val="none"/>
        </w:rPr>
        <w:t>残疾人福利性单位声明函</w:t>
      </w:r>
      <w:bookmarkEnd w:id="340"/>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4860"/>
        </w:tabs>
        <w:spacing w:line="588" w:lineRule="exact"/>
        <w:ind w:right="1560" w:firstLine="504" w:firstLineChars="200"/>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单位名称（盖章）：</w:t>
      </w:r>
    </w:p>
    <w:p>
      <w:pPr>
        <w:tabs>
          <w:tab w:val="left" w:pos="4860"/>
        </w:tabs>
        <w:spacing w:line="588" w:lineRule="exact"/>
        <w:ind w:right="1560" w:firstLine="504" w:firstLineChars="200"/>
        <w:jc w:val="left"/>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pPr>
        <w:pStyle w:val="4"/>
        <w:rPr>
          <w:rFonts w:ascii="宋体" w:hAnsi="宋体" w:cs="宋体"/>
          <w:color w:val="000000"/>
          <w:highlight w:val="none"/>
        </w:rPr>
      </w:pPr>
      <w:bookmarkStart w:id="341" w:name="_Toc3053"/>
      <w:bookmarkStart w:id="342" w:name="_Toc30368"/>
      <w:bookmarkStart w:id="343" w:name="_Toc1199"/>
      <w:r>
        <w:rPr>
          <w:rFonts w:hint="eastAsia"/>
          <w:color w:val="000000"/>
          <w:highlight w:val="none"/>
        </w:rPr>
        <w:t>附件四、监狱企业证明文件</w:t>
      </w:r>
      <w:bookmarkEnd w:id="341"/>
      <w:bookmarkEnd w:id="342"/>
      <w:bookmarkEnd w:id="343"/>
    </w:p>
    <w:p>
      <w:pPr>
        <w:rPr>
          <w:rFonts w:ascii="宋体" w:hAnsi="宋体" w:cs="宋体"/>
          <w:color w:val="000000"/>
          <w:highlight w:val="none"/>
        </w:rPr>
      </w:pPr>
    </w:p>
    <w:p>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color w:val="000000"/>
          <w:highlight w:val="none"/>
        </w:rPr>
      </w:pPr>
      <w:bookmarkStart w:id="344" w:name="_Toc2126"/>
      <w:bookmarkStart w:id="345" w:name="_Toc563"/>
      <w:bookmarkStart w:id="346" w:name="_Toc13303"/>
      <w:bookmarkStart w:id="347" w:name="_Toc13122"/>
      <w:bookmarkStart w:id="348" w:name="_Toc11969"/>
      <w:bookmarkStart w:id="349" w:name="_Toc10783"/>
      <w:bookmarkStart w:id="350" w:name="_Toc29947"/>
      <w:r>
        <w:rPr>
          <w:rFonts w:hint="eastAsia" w:ascii="宋体" w:hAnsi="宋体" w:cs="宋体"/>
          <w:color w:val="000000"/>
          <w:highlight w:val="none"/>
        </w:rPr>
        <w:t>附件五、“节能产品”，“环境标志产品”证明材料</w:t>
      </w:r>
      <w:bookmarkEnd w:id="344"/>
      <w:bookmarkEnd w:id="345"/>
      <w:bookmarkEnd w:id="346"/>
      <w:bookmarkEnd w:id="347"/>
      <w:bookmarkEnd w:id="348"/>
      <w:bookmarkEnd w:id="349"/>
      <w:bookmarkEnd w:id="350"/>
    </w:p>
    <w:p>
      <w:pPr>
        <w:widowControl/>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1、供应商提供的产品属于下列情形，应按照招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2、未按照上述要求提供的，评审时不予以考虑。</w:t>
      </w:r>
    </w:p>
    <w:p>
      <w:pPr>
        <w:pStyle w:val="4"/>
        <w:adjustRightInd w:val="0"/>
        <w:spacing w:line="416" w:lineRule="atLeast"/>
        <w:textAlignment w:val="baseline"/>
        <w:rPr>
          <w:rFonts w:asciiTheme="minorEastAsia" w:hAnsiTheme="minorEastAsia" w:eastAsiaTheme="minorEastAsia" w:cstheme="minorEastAsia"/>
          <w:highlight w:val="none"/>
        </w:rPr>
      </w:pPr>
      <w:bookmarkStart w:id="351" w:name="_Toc14157"/>
      <w:bookmarkStart w:id="352" w:name="_Toc3159"/>
      <w:bookmarkStart w:id="353" w:name="_Toc654"/>
      <w:bookmarkStart w:id="354" w:name="_Toc5338"/>
      <w:bookmarkStart w:id="355" w:name="_Toc4757"/>
      <w:bookmarkStart w:id="356" w:name="_Toc11924"/>
      <w:r>
        <w:rPr>
          <w:rFonts w:hint="eastAsia" w:asciiTheme="minorEastAsia" w:hAnsiTheme="minorEastAsia" w:eastAsiaTheme="minorEastAsia" w:cstheme="minorEastAsia"/>
          <w:highlight w:val="none"/>
        </w:rPr>
        <w:t>附件六、质疑函样本</w:t>
      </w:r>
      <w:bookmarkEnd w:id="351"/>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一、质疑供应商基本信息</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质疑供应商：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联系人：                      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授权代表：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联系电话：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二、质疑项目基本情况</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质疑项目的编号：               ：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采购人名称：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采购文件获取日期：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三、质疑事项具体内容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质疑事项1：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事实依据：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法律依据：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质疑事项2</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四、与质疑事项相关的质疑请求</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请求：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签字(签章)：                   公章：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日期：    </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质疑函制作说明：</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1.供应商提出质疑时，应提交质疑函和必要的证明材料。</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4.质疑函的质疑事项应具体、明确，并有必要的事实依据和法律依据。</w:t>
      </w:r>
    </w:p>
    <w:p>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5.质疑函的质疑请求应与质疑事项相关。</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6.质疑供应商为自然人的，质疑函应由本人签字；质疑供应商为法人或者其他组织的，质疑函应由法定代表人、主要负责人，或者其授权代表签字或者盖章，并加盖公章。</w:t>
      </w:r>
    </w:p>
    <w:p>
      <w:pPr>
        <w:rPr>
          <w:rFonts w:asciiTheme="minorEastAsia" w:hAnsiTheme="minorEastAsia" w:eastAsiaTheme="minorEastAsia" w:cstheme="minorEastAsia"/>
          <w:highlight w:val="none"/>
        </w:rPr>
      </w:pPr>
    </w:p>
    <w:p>
      <w:pPr>
        <w:pStyle w:val="4"/>
        <w:adjustRightInd w:val="0"/>
        <w:spacing w:line="416" w:lineRule="atLeast"/>
        <w:textAlignment w:val="baseline"/>
        <w:rPr>
          <w:rFonts w:asciiTheme="minorEastAsia" w:hAnsiTheme="minorEastAsia" w:eastAsiaTheme="minorEastAsia" w:cstheme="minorEastAsia"/>
          <w:highlight w:val="none"/>
        </w:rPr>
      </w:pPr>
      <w:bookmarkStart w:id="357" w:name="_Toc24487"/>
      <w:r>
        <w:rPr>
          <w:rFonts w:hint="eastAsia" w:asciiTheme="minorEastAsia" w:hAnsiTheme="minorEastAsia" w:eastAsiaTheme="minorEastAsia" w:cstheme="minorEastAsia"/>
          <w:highlight w:val="none"/>
        </w:rPr>
        <w:t>附件七、保证金退还账户信息确认表</w:t>
      </w:r>
      <w:bookmarkEnd w:id="352"/>
      <w:bookmarkEnd w:id="353"/>
      <w:bookmarkEnd w:id="354"/>
      <w:bookmarkEnd w:id="355"/>
      <w:bookmarkEnd w:id="356"/>
      <w:bookmarkEnd w:id="357"/>
      <w:bookmarkStart w:id="358" w:name="_Toc378248335"/>
    </w:p>
    <w:p>
      <w:pPr>
        <w:rPr>
          <w:rFonts w:asciiTheme="minorEastAsia" w:hAnsiTheme="minorEastAsia" w:eastAsiaTheme="minorEastAsia" w:cstheme="minorEastAsia"/>
          <w:highlight w:val="none"/>
        </w:rPr>
      </w:pPr>
    </w:p>
    <w:p>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kern w:val="0"/>
          <w:sz w:val="24"/>
          <w:szCs w:val="24"/>
          <w:highlight w:val="none"/>
        </w:rPr>
        <w:t>_____________________________</w:t>
      </w:r>
    </w:p>
    <w:p>
      <w:pPr>
        <w:tabs>
          <w:tab w:val="center" w:pos="4150"/>
        </w:tabs>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项目编号：</w:t>
      </w:r>
      <w:bookmarkEnd w:id="358"/>
      <w:r>
        <w:rPr>
          <w:rFonts w:hint="eastAsia" w:asciiTheme="minorEastAsia" w:hAnsiTheme="minorEastAsia" w:eastAsiaTheme="minorEastAsia" w:cstheme="minorEastAsia"/>
          <w:kern w:val="0"/>
          <w:sz w:val="24"/>
          <w:szCs w:val="24"/>
          <w:highlight w:val="none"/>
        </w:rPr>
        <w:t>_____________________________</w:t>
      </w:r>
      <w:r>
        <w:rPr>
          <w:rFonts w:hint="eastAsia" w:asciiTheme="minorEastAsia" w:hAnsiTheme="minorEastAsia" w:eastAsiaTheme="minorEastAsia" w:cstheme="minorEastAsia"/>
          <w:sz w:val="28"/>
          <w:szCs w:val="28"/>
          <w:highlight w:val="none"/>
        </w:rPr>
        <w:tab/>
      </w:r>
    </w:p>
    <w:p>
      <w:pPr>
        <w:rPr>
          <w:rFonts w:asciiTheme="minorEastAsia" w:hAnsiTheme="minorEastAsia" w:eastAsiaTheme="minorEastAsia" w:cstheme="minorEastAsia"/>
          <w:highlight w:val="none"/>
        </w:rPr>
      </w:pPr>
    </w:p>
    <w:tbl>
      <w:tblPr>
        <w:tblStyle w:val="25"/>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应退投标保证金</w:t>
            </w: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Theme="minorEastAsia" w:hAnsiTheme="minorEastAsia" w:eastAsiaTheme="minorEastAsia" w:cstheme="minorEastAsia"/>
                <w:sz w:val="24"/>
                <w:szCs w:val="24"/>
                <w:highlight w:val="none"/>
              </w:rPr>
            </w:pPr>
          </w:p>
        </w:tc>
        <w:tc>
          <w:tcPr>
            <w:tcW w:w="6372" w:type="dxa"/>
            <w:gridSpan w:val="2"/>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收款单位（盖章）</w:t>
            </w: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 名 称</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行</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tc>
        <w:tc>
          <w:tcPr>
            <w:tcW w:w="4002" w:type="dxa"/>
          </w:tcPr>
          <w:p>
            <w:pPr>
              <w:rPr>
                <w:rFonts w:asciiTheme="minorEastAsia" w:hAnsiTheme="minorEastAsia" w:eastAsiaTheme="minorEastAsia" w:cstheme="min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Theme="minorEastAsia" w:hAnsiTheme="minorEastAsia" w:eastAsiaTheme="minorEastAsia" w:cstheme="minorEastAsia"/>
                <w:sz w:val="24"/>
                <w:szCs w:val="24"/>
                <w:highlight w:val="none"/>
              </w:rPr>
            </w:pPr>
          </w:p>
        </w:tc>
        <w:tc>
          <w:tcPr>
            <w:tcW w:w="2370" w:type="dxa"/>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联系人及电话</w:t>
            </w:r>
          </w:p>
        </w:tc>
        <w:tc>
          <w:tcPr>
            <w:tcW w:w="4002" w:type="dxa"/>
          </w:tcPr>
          <w:p>
            <w:pPr>
              <w:rPr>
                <w:rFonts w:asciiTheme="minorEastAsia" w:hAnsiTheme="minorEastAsia" w:eastAsiaTheme="minorEastAsia" w:cstheme="minorEastAsia"/>
                <w:sz w:val="24"/>
                <w:szCs w:val="24"/>
                <w:highlight w:val="none"/>
              </w:rPr>
            </w:pPr>
          </w:p>
        </w:tc>
      </w:tr>
    </w:tbl>
    <w:p>
      <w:pPr>
        <w:keepNext/>
        <w:keepLines/>
        <w:adjustRightInd w:val="0"/>
        <w:spacing w:line="416" w:lineRule="atLeast"/>
        <w:textAlignment w:val="baseline"/>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注：单位公章需清晰完整。（仅作为退还保证金时使用，需单独提供）</w:t>
      </w:r>
    </w:p>
    <w:p>
      <w:pPr>
        <w:jc w:val="center"/>
        <w:rPr>
          <w:rFonts w:asciiTheme="minorEastAsia" w:hAnsiTheme="minorEastAsia" w:eastAsiaTheme="minorEastAsia" w:cstheme="minorEastAsia"/>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z w:val="24"/>
          <w:szCs w:val="24"/>
          <w:highlight w:val="none"/>
        </w:rPr>
      </w:pPr>
    </w:p>
    <w:p>
      <w:pPr>
        <w:adjustRightInd w:val="0"/>
        <w:snapToGrid w:val="0"/>
        <w:jc w:val="left"/>
        <w:rPr>
          <w:rFonts w:asciiTheme="minorEastAsia" w:hAnsiTheme="minorEastAsia" w:eastAsiaTheme="minorEastAsia" w:cstheme="minorEastAsia"/>
          <w:b/>
          <w:bCs/>
          <w:spacing w:val="48"/>
          <w:sz w:val="72"/>
          <w:szCs w:val="72"/>
          <w:highlight w:val="none"/>
        </w:rPr>
        <w:sectPr>
          <w:pgSz w:w="11906" w:h="16838"/>
          <w:pgMar w:top="1440" w:right="1803" w:bottom="1440" w:left="1803" w:header="850" w:footer="992" w:gutter="0"/>
          <w:pgNumType w:fmt="decimal"/>
          <w:cols w:space="0" w:num="1"/>
          <w:rtlGutter w:val="1"/>
          <w:docGrid w:type="lines" w:linePitch="319" w:charSpace="0"/>
        </w:sectPr>
      </w:pPr>
      <w:r>
        <w:rPr>
          <w:rFonts w:hint="eastAsia" w:asciiTheme="minorEastAsia" w:hAnsiTheme="minorEastAsia" w:eastAsiaTheme="minorEastAsia" w:cstheme="minorEastAsia"/>
          <w:b/>
          <w:bCs/>
          <w:sz w:val="24"/>
          <w:szCs w:val="24"/>
          <w:highlight w:val="none"/>
        </w:rPr>
        <w:t>附：投标保证金汇款凭证</w:t>
      </w:r>
    </w:p>
    <w:p>
      <w:pPr>
        <w:jc w:val="left"/>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bCs/>
          <w:spacing w:val="48"/>
          <w:sz w:val="72"/>
          <w:szCs w:val="72"/>
          <w:highlight w:val="none"/>
        </w:rPr>
        <w:t>公平</w:t>
      </w:r>
    </w:p>
    <w:p>
      <w:pPr>
        <w:jc w:val="left"/>
        <w:rPr>
          <w:rFonts w:asciiTheme="minorEastAsia" w:hAnsiTheme="minorEastAsia" w:eastAsiaTheme="minorEastAsia" w:cstheme="minorEastAsia"/>
          <w:sz w:val="72"/>
          <w:szCs w:val="72"/>
          <w:highlight w:val="none"/>
        </w:rPr>
      </w:pPr>
    </w:p>
    <w:p>
      <w:pPr>
        <w:jc w:val="left"/>
        <w:rPr>
          <w:rFonts w:asciiTheme="minorEastAsia" w:hAnsiTheme="minorEastAsia" w:eastAsiaTheme="minorEastAsia" w:cstheme="minorEastAsia"/>
          <w:sz w:val="72"/>
          <w:szCs w:val="72"/>
          <w:highlight w:val="none"/>
        </w:rPr>
      </w:pPr>
    </w:p>
    <w:p>
      <w:pPr>
        <w:jc w:val="center"/>
        <w:rPr>
          <w:rFonts w:asciiTheme="minorEastAsia" w:hAnsiTheme="minorEastAsia" w:eastAsiaTheme="minorEastAsia" w:cstheme="minorEastAsia"/>
          <w:b/>
          <w:bCs/>
          <w:spacing w:val="48"/>
          <w:sz w:val="72"/>
          <w:szCs w:val="72"/>
          <w:highlight w:val="none"/>
        </w:rPr>
      </w:pPr>
    </w:p>
    <w:p>
      <w:pPr>
        <w:jc w:val="center"/>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公正</w:t>
      </w: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left"/>
        <w:rPr>
          <w:rFonts w:asciiTheme="minorEastAsia" w:hAnsiTheme="minorEastAsia" w:eastAsiaTheme="minorEastAsia" w:cstheme="minorEastAsia"/>
          <w:b/>
          <w:bCs/>
          <w:spacing w:val="48"/>
          <w:sz w:val="72"/>
          <w:szCs w:val="72"/>
          <w:highlight w:val="none"/>
        </w:rPr>
      </w:pPr>
    </w:p>
    <w:p>
      <w:pPr>
        <w:jc w:val="right"/>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公开</w:t>
      </w:r>
    </w:p>
    <w:p>
      <w:pPr>
        <w:jc w:val="right"/>
        <w:rPr>
          <w:rFonts w:asciiTheme="minorEastAsia" w:hAnsiTheme="minorEastAsia" w:eastAsiaTheme="minorEastAsia" w:cstheme="minorEastAsia"/>
          <w:b/>
          <w:bCs/>
          <w:spacing w:val="48"/>
          <w:sz w:val="32"/>
          <w:szCs w:val="32"/>
          <w:highlight w:val="none"/>
        </w:rPr>
      </w:pPr>
    </w:p>
    <w:bookmarkEnd w:id="0"/>
    <w:p>
      <w:pPr>
        <w:ind w:firstLine="1063" w:firstLineChars="353"/>
        <w:jc w:val="left"/>
        <w:rPr>
          <w:rFonts w:asciiTheme="minorEastAsia" w:hAnsiTheme="minorEastAsia" w:eastAsiaTheme="minorEastAsia" w:cstheme="minorEastAsia"/>
          <w:b/>
          <w:bCs/>
          <w:sz w:val="30"/>
          <w:szCs w:val="30"/>
          <w:highlight w:val="none"/>
        </w:rPr>
      </w:pPr>
    </w:p>
    <w:p>
      <w:pPr>
        <w:ind w:firstLine="1063" w:firstLineChars="353"/>
        <w:jc w:val="left"/>
        <w:rPr>
          <w:rFonts w:asciiTheme="minorEastAsia" w:hAnsiTheme="minorEastAsia" w:eastAsiaTheme="minorEastAsia" w:cstheme="minorEastAsia"/>
          <w:b/>
          <w:bCs/>
          <w:sz w:val="30"/>
          <w:szCs w:val="30"/>
          <w:highlight w:val="none"/>
        </w:rPr>
      </w:pP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企业名称：陕西万泽招标有限公司</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地    址：西安市西关正街英达大厦1507室</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邮政编码：710082</w:t>
      </w:r>
    </w:p>
    <w:p>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电    话：029-88319689</w:t>
      </w:r>
    </w:p>
    <w:p>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rPr>
        <w:t>传    真：029-88319689</w:t>
      </w:r>
    </w:p>
    <w:sectPr>
      <w:pgSz w:w="11906" w:h="16838"/>
      <w:pgMar w:top="1440" w:right="1803" w:bottom="1440" w:left="1803" w:header="850" w:footer="992" w:gutter="0"/>
      <w:pgNumType w:fmt="decimal"/>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onaco">
    <w:altName w:val="Courier New"/>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sz w:val="15"/>
        <w:szCs w:val="15"/>
        <w:u w:val="single"/>
        <w:lang w:val="en-US" w:eastAsia="zh-CN"/>
      </w:rPr>
    </w:pPr>
    <w:r>
      <w:rPr>
        <w:rFonts w:hint="eastAsia"/>
        <w:sz w:val="15"/>
        <w:szCs w:val="15"/>
        <w:u w:val="single"/>
        <w:lang w:eastAsia="zh-CN"/>
      </w:rPr>
      <w:t>陕西中医药大学第二附属医院眼科设备采购项目（一）第一包二次</w:t>
    </w:r>
    <w:r>
      <w:rPr>
        <w:rFonts w:hint="eastAsia" w:ascii="宋体" w:hAnsi="宋体" w:eastAsia="宋体" w:cs="宋体"/>
        <w:sz w:val="15"/>
        <w:szCs w:val="15"/>
        <w:u w:val="single"/>
        <w:lang w:val="en-US" w:eastAsia="zh-CN"/>
      </w:rPr>
      <w:t xml:space="preserve">     </w:t>
    </w:r>
    <w:r>
      <w:rPr>
        <w:rFonts w:hint="eastAsia" w:ascii="宋体" w:hAnsi="宋体" w:cs="宋体"/>
        <w:sz w:val="15"/>
        <w:szCs w:val="15"/>
        <w:u w:val="single"/>
        <w:lang w:val="en-US" w:eastAsia="zh-CN"/>
      </w:rPr>
      <w:t xml:space="preserve">                        SXWZ2022ZB-SZEY-163A</w:t>
    </w:r>
  </w:p>
  <w:p>
    <w:pPr>
      <w:adjustRightInd w:val="0"/>
      <w:snapToGrid w:val="0"/>
      <w:spacing w:line="360" w:lineRule="auto"/>
      <w:jc w:val="left"/>
      <w:rPr>
        <w:rFonts w:hint="eastAsia" w:eastAsia="宋体"/>
        <w:sz w:val="15"/>
        <w:szCs w:val="15"/>
        <w:lang w:eastAsia="zh-CN"/>
      </w:rPr>
    </w:pPr>
    <w:r>
      <w:rPr>
        <w:rFonts w:hint="eastAsia"/>
        <w:sz w:val="15"/>
        <w:szCs w:val="15"/>
        <w:u w:val="singl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sz w:val="15"/>
        <w:szCs w:val="15"/>
        <w:lang w:eastAsia="zh-CN"/>
      </w:rPr>
    </w:pPr>
    <w:r>
      <w:rPr>
        <w:rFonts w:hint="eastAsia" w:ascii="宋体" w:hAnsi="宋体" w:cs="宋体"/>
        <w:sz w:val="15"/>
        <w:szCs w:val="15"/>
        <w:u w:val="single"/>
        <w:lang w:eastAsia="zh-CN"/>
      </w:rPr>
      <w:t>陕西中医药大学第二附属医院眼科设备采购项目（一）第一包二次</w:t>
    </w:r>
    <w:r>
      <w:rPr>
        <w:rFonts w:hint="eastAsia" w:ascii="宋体" w:hAnsi="宋体" w:eastAsia="宋体" w:cs="宋体"/>
        <w:sz w:val="15"/>
        <w:szCs w:val="15"/>
        <w:u w:val="single"/>
        <w:lang w:val="en-US" w:eastAsia="zh-CN"/>
      </w:rPr>
      <w:t xml:space="preserve">     </w:t>
    </w:r>
    <w:r>
      <w:rPr>
        <w:rFonts w:hint="eastAsia" w:ascii="宋体" w:hAnsi="宋体" w:cs="宋体"/>
        <w:sz w:val="15"/>
        <w:szCs w:val="15"/>
        <w:u w:val="single"/>
        <w:lang w:val="en-US" w:eastAsia="zh-CN"/>
      </w:rPr>
      <w:t xml:space="preserve">                         </w:t>
    </w:r>
    <w:r>
      <w:rPr>
        <w:rFonts w:hint="eastAsia" w:ascii="宋体" w:hAnsi="宋体" w:eastAsia="宋体" w:cs="宋体"/>
        <w:sz w:val="15"/>
        <w:szCs w:val="15"/>
        <w:u w:val="single"/>
        <w:lang w:val="en-US" w:eastAsia="zh-CN"/>
      </w:rPr>
      <w:t xml:space="preserve">       </w:t>
    </w:r>
    <w:r>
      <w:rPr>
        <w:rFonts w:hint="eastAsia" w:ascii="宋体" w:hAnsi="宋体" w:cs="宋体"/>
        <w:sz w:val="15"/>
        <w:szCs w:val="15"/>
        <w:u w:val="single"/>
        <w:lang w:val="en-US" w:eastAsia="zh-CN"/>
      </w:rPr>
      <w:t>SXWZ2022ZB-SZEY-163A</w:t>
    </w:r>
    <w:r>
      <w:rPr>
        <w:rFonts w:hint="eastAsia" w:ascii="宋体" w:hAnsi="宋体" w:eastAsia="宋体" w:cs="宋体"/>
        <w:sz w:val="15"/>
        <w:szCs w:val="15"/>
        <w:u w:val="singl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sz w:val="15"/>
        <w:szCs w:val="15"/>
        <w:lang w:eastAsia="zh-CN"/>
      </w:rPr>
    </w:pPr>
    <w:r>
      <w:rPr>
        <w:rFonts w:hint="eastAsia"/>
        <w:sz w:val="15"/>
        <w:szCs w:val="15"/>
        <w:u w:val="single"/>
        <w:lang w:eastAsia="zh-CN"/>
      </w:rPr>
      <w:t>陕西中医药大学第二附属医院眼科设备采购项目（一）第一包二次</w:t>
    </w:r>
    <w:r>
      <w:rPr>
        <w:rFonts w:hint="eastAsia"/>
        <w:sz w:val="15"/>
        <w:szCs w:val="15"/>
        <w:u w:val="single"/>
        <w:lang w:val="en-US" w:eastAsia="zh-CN"/>
      </w:rPr>
      <w:t xml:space="preserve">                                      SXWZ2022ZB-SZEY-163A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sz w:val="16"/>
        <w:szCs w:val="16"/>
        <w:u w:val="single"/>
        <w:lang w:eastAsia="zh-CN"/>
      </w:rPr>
      <w:t>陕西中医药大学第二附属医院眼科设备采购项目（一）第一包二次</w:t>
    </w:r>
    <w:r>
      <w:rPr>
        <w:rFonts w:hint="eastAsia"/>
        <w:sz w:val="16"/>
        <w:szCs w:val="16"/>
        <w:u w:val="single"/>
        <w:lang w:val="en-US" w:eastAsia="zh-CN"/>
      </w:rPr>
      <w:t xml:space="preserve">                          SXWZ2022ZB-SZEY-163A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sz w:val="15"/>
        <w:szCs w:val="15"/>
        <w:highlight w:val="yellow"/>
        <w:u w:val="single"/>
        <w:lang w:eastAsia="zh-CN"/>
      </w:rPr>
    </w:pPr>
    <w:r>
      <w:rPr>
        <w:rFonts w:hint="eastAsia" w:ascii="宋体" w:hAnsi="宋体" w:cs="宋体"/>
        <w:sz w:val="15"/>
        <w:szCs w:val="15"/>
        <w:u w:val="single"/>
        <w:lang w:eastAsia="zh-CN"/>
      </w:rPr>
      <w:t>陕西中医药大学第二附属医院眼科设备采购项目（一）第一包二次</w:t>
    </w:r>
    <w:r>
      <w:rPr>
        <w:rFonts w:hint="eastAsia" w:ascii="宋体" w:hAnsi="宋体" w:eastAsia="宋体" w:cs="宋体"/>
        <w:sz w:val="15"/>
        <w:szCs w:val="15"/>
        <w:u w:val="single"/>
        <w:lang w:val="en-US" w:eastAsia="zh-CN"/>
      </w:rPr>
      <w:t xml:space="preserve">   </w:t>
    </w:r>
    <w:r>
      <w:rPr>
        <w:rFonts w:hint="eastAsia" w:ascii="宋体" w:hAnsi="宋体" w:cs="宋体"/>
        <w:sz w:val="15"/>
        <w:szCs w:val="15"/>
        <w:u w:val="single"/>
        <w:lang w:val="en-US" w:eastAsia="zh-CN"/>
      </w:rPr>
      <w:t xml:space="preserve">                        </w:t>
    </w:r>
    <w:r>
      <w:rPr>
        <w:rFonts w:hint="eastAsia" w:ascii="宋体" w:hAnsi="宋体" w:eastAsia="宋体" w:cs="宋体"/>
        <w:sz w:val="15"/>
        <w:szCs w:val="15"/>
        <w:u w:val="single"/>
        <w:lang w:val="en-US" w:eastAsia="zh-CN"/>
      </w:rPr>
      <w:t xml:space="preserve"> </w:t>
    </w:r>
    <w:r>
      <w:rPr>
        <w:rFonts w:hint="eastAsia" w:ascii="宋体" w:hAnsi="宋体" w:cs="宋体"/>
        <w:sz w:val="15"/>
        <w:szCs w:val="15"/>
        <w:u w:val="single"/>
        <w:lang w:val="en-US" w:eastAsia="zh-CN"/>
      </w:rPr>
      <w:t>SXWZ2022ZB-SZEY-163A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陕西中医药大学第二附属医院眼科设备采购项目（一）第一包二次</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SXWZ2022ZB-SZEY-163A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陕西中医药大学第二附属医院眼科设备采购项目（一）第一包二次</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SXWZ2022ZB-SZEY-163A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76889"/>
    <w:multiLevelType w:val="singleLevel"/>
    <w:tmpl w:val="CAD76889"/>
    <w:lvl w:ilvl="0" w:tentative="0">
      <w:start w:val="8"/>
      <w:numFmt w:val="chineseCounting"/>
      <w:suff w:val="nothing"/>
      <w:lvlText w:val="%1、"/>
      <w:lvlJc w:val="left"/>
      <w:rPr>
        <w:rFonts w:hint="eastAsia"/>
      </w:rPr>
    </w:lvl>
  </w:abstractNum>
  <w:abstractNum w:abstractNumId="1">
    <w:nsid w:val="EFFD9089"/>
    <w:multiLevelType w:val="singleLevel"/>
    <w:tmpl w:val="EFFD9089"/>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0E3E810B"/>
    <w:multiLevelType w:val="singleLevel"/>
    <w:tmpl w:val="0E3E810B"/>
    <w:lvl w:ilvl="0" w:tentative="0">
      <w:start w:val="1"/>
      <w:numFmt w:val="decimal"/>
      <w:suff w:val="nothing"/>
      <w:lvlText w:val="%1、"/>
      <w:lvlJc w:val="left"/>
    </w:lvl>
  </w:abstractNum>
  <w:abstractNum w:abstractNumId="4">
    <w:nsid w:val="559A3799"/>
    <w:multiLevelType w:val="singleLevel"/>
    <w:tmpl w:val="559A3799"/>
    <w:lvl w:ilvl="0" w:tentative="0">
      <w:start w:val="1"/>
      <w:numFmt w:val="decimal"/>
      <w:suff w:val="space"/>
      <w:lvlText w:val="3.%1"/>
      <w:lvlJc w:val="left"/>
      <w:pPr>
        <w:tabs>
          <w:tab w:val="left" w:pos="0"/>
        </w:tabs>
        <w:ind w:firstLine="400"/>
      </w:pPr>
      <w:rPr>
        <w:rFonts w:hint="default" w:ascii="Times New Roman" w:hAnsi="Times New Roman" w:eastAsia="宋体" w:cs="Times New Roman"/>
      </w:rPr>
    </w:lvl>
  </w:abstractNum>
  <w:abstractNum w:abstractNumId="5">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7">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8">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9">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0">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1">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2">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3">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4">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1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7">
    <w:nsid w:val="59169F02"/>
    <w:multiLevelType w:val="singleLevel"/>
    <w:tmpl w:val="59169F02"/>
    <w:lvl w:ilvl="0" w:tentative="0">
      <w:start w:val="1"/>
      <w:numFmt w:val="decimal"/>
      <w:suff w:val="nothing"/>
      <w:lvlText w:val="%1、"/>
      <w:lvlJc w:val="left"/>
      <w:rPr>
        <w:rFonts w:cs="Times New Roman"/>
      </w:rPr>
    </w:lvl>
  </w:abstractNum>
  <w:abstractNum w:abstractNumId="18">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19">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0">
    <w:nsid w:val="5A93C287"/>
    <w:multiLevelType w:val="singleLevel"/>
    <w:tmpl w:val="5A93C287"/>
    <w:lvl w:ilvl="0" w:tentative="0">
      <w:start w:val="4"/>
      <w:numFmt w:val="chineseCounting"/>
      <w:suff w:val="space"/>
      <w:lvlText w:val="第%1部分"/>
      <w:lvlJc w:val="left"/>
    </w:lvl>
  </w:abstractNum>
  <w:num w:numId="1">
    <w:abstractNumId w:val="3"/>
  </w:num>
  <w:num w:numId="2">
    <w:abstractNumId w:val="17"/>
  </w:num>
  <w:num w:numId="3">
    <w:abstractNumId w:val="6"/>
  </w:num>
  <w:num w:numId="4">
    <w:abstractNumId w:val="7"/>
  </w:num>
  <w:num w:numId="5">
    <w:abstractNumId w:val="4"/>
  </w:num>
  <w:num w:numId="6">
    <w:abstractNumId w:val="5"/>
  </w:num>
  <w:num w:numId="7">
    <w:abstractNumId w:val="11"/>
  </w:num>
  <w:num w:numId="8">
    <w:abstractNumId w:val="13"/>
  </w:num>
  <w:num w:numId="9">
    <w:abstractNumId w:val="8"/>
  </w:num>
  <w:num w:numId="10">
    <w:abstractNumId w:val="12"/>
  </w:num>
  <w:num w:numId="11">
    <w:abstractNumId w:val="14"/>
  </w:num>
  <w:num w:numId="12">
    <w:abstractNumId w:val="19"/>
  </w:num>
  <w:num w:numId="13">
    <w:abstractNumId w:val="18"/>
  </w:num>
  <w:num w:numId="14">
    <w:abstractNumId w:val="9"/>
  </w:num>
  <w:num w:numId="15">
    <w:abstractNumId w:val="10"/>
  </w:num>
  <w:num w:numId="16">
    <w:abstractNumId w:val="15"/>
  </w:num>
  <w:num w:numId="17">
    <w:abstractNumId w:val="16"/>
  </w:num>
  <w:num w:numId="18">
    <w:abstractNumId w:val="0"/>
  </w:num>
  <w:num w:numId="19">
    <w:abstractNumId w:val="2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DU0NzU1ZjBmMjE5ODU5ZGQ4ZTI4OWEwYWIxNjUifQ=="/>
  </w:docVars>
  <w:rsids>
    <w:rsidRoot w:val="2627224F"/>
    <w:rsid w:val="00002782"/>
    <w:rsid w:val="000043A8"/>
    <w:rsid w:val="00005CB8"/>
    <w:rsid w:val="000103AC"/>
    <w:rsid w:val="00030894"/>
    <w:rsid w:val="00035424"/>
    <w:rsid w:val="00037895"/>
    <w:rsid w:val="00042BEB"/>
    <w:rsid w:val="00043A02"/>
    <w:rsid w:val="0005278A"/>
    <w:rsid w:val="00055F6C"/>
    <w:rsid w:val="00063860"/>
    <w:rsid w:val="00063BFA"/>
    <w:rsid w:val="000671CF"/>
    <w:rsid w:val="00075859"/>
    <w:rsid w:val="0008280F"/>
    <w:rsid w:val="0008419E"/>
    <w:rsid w:val="00086CC9"/>
    <w:rsid w:val="000964FC"/>
    <w:rsid w:val="000A16A1"/>
    <w:rsid w:val="000A3018"/>
    <w:rsid w:val="000A3577"/>
    <w:rsid w:val="000A7BA4"/>
    <w:rsid w:val="000B2349"/>
    <w:rsid w:val="000C0895"/>
    <w:rsid w:val="000C33A2"/>
    <w:rsid w:val="000C4300"/>
    <w:rsid w:val="000D24DA"/>
    <w:rsid w:val="000D3001"/>
    <w:rsid w:val="000D3811"/>
    <w:rsid w:val="000D770E"/>
    <w:rsid w:val="000E62CF"/>
    <w:rsid w:val="00100349"/>
    <w:rsid w:val="00103959"/>
    <w:rsid w:val="0010470F"/>
    <w:rsid w:val="0011607E"/>
    <w:rsid w:val="00143314"/>
    <w:rsid w:val="0016410E"/>
    <w:rsid w:val="00167A28"/>
    <w:rsid w:val="001734E5"/>
    <w:rsid w:val="00184201"/>
    <w:rsid w:val="00187107"/>
    <w:rsid w:val="0019040B"/>
    <w:rsid w:val="00190455"/>
    <w:rsid w:val="0019173E"/>
    <w:rsid w:val="00191761"/>
    <w:rsid w:val="00193858"/>
    <w:rsid w:val="001A2F01"/>
    <w:rsid w:val="001A4051"/>
    <w:rsid w:val="001A6858"/>
    <w:rsid w:val="001B5800"/>
    <w:rsid w:val="001C53EB"/>
    <w:rsid w:val="001C6666"/>
    <w:rsid w:val="001D1326"/>
    <w:rsid w:val="001D1F0A"/>
    <w:rsid w:val="001D462C"/>
    <w:rsid w:val="001E2824"/>
    <w:rsid w:val="001E2856"/>
    <w:rsid w:val="001F31AF"/>
    <w:rsid w:val="0020303F"/>
    <w:rsid w:val="00207981"/>
    <w:rsid w:val="0021256B"/>
    <w:rsid w:val="00220125"/>
    <w:rsid w:val="00243282"/>
    <w:rsid w:val="0024481B"/>
    <w:rsid w:val="002457A8"/>
    <w:rsid w:val="00245F18"/>
    <w:rsid w:val="002712D9"/>
    <w:rsid w:val="00280C4F"/>
    <w:rsid w:val="0028347B"/>
    <w:rsid w:val="00284567"/>
    <w:rsid w:val="00284906"/>
    <w:rsid w:val="002A250D"/>
    <w:rsid w:val="002A596F"/>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2404F"/>
    <w:rsid w:val="003279C0"/>
    <w:rsid w:val="003311F3"/>
    <w:rsid w:val="00336997"/>
    <w:rsid w:val="00337601"/>
    <w:rsid w:val="00337B6E"/>
    <w:rsid w:val="00345233"/>
    <w:rsid w:val="003546AE"/>
    <w:rsid w:val="00360C09"/>
    <w:rsid w:val="00367F8D"/>
    <w:rsid w:val="003A2AE9"/>
    <w:rsid w:val="003A73D8"/>
    <w:rsid w:val="003A7678"/>
    <w:rsid w:val="003B2D31"/>
    <w:rsid w:val="003B6571"/>
    <w:rsid w:val="003B7267"/>
    <w:rsid w:val="003D02BC"/>
    <w:rsid w:val="003D37C1"/>
    <w:rsid w:val="003D3DEA"/>
    <w:rsid w:val="003D3FF3"/>
    <w:rsid w:val="003E65D8"/>
    <w:rsid w:val="003E7B81"/>
    <w:rsid w:val="003F3D18"/>
    <w:rsid w:val="003F64A7"/>
    <w:rsid w:val="00405382"/>
    <w:rsid w:val="00410E57"/>
    <w:rsid w:val="00410F75"/>
    <w:rsid w:val="00411AEB"/>
    <w:rsid w:val="00416266"/>
    <w:rsid w:val="004456E2"/>
    <w:rsid w:val="00446A5F"/>
    <w:rsid w:val="0045409B"/>
    <w:rsid w:val="004554C3"/>
    <w:rsid w:val="004562E7"/>
    <w:rsid w:val="004606ED"/>
    <w:rsid w:val="00460F70"/>
    <w:rsid w:val="00466CF3"/>
    <w:rsid w:val="004712C3"/>
    <w:rsid w:val="004766A6"/>
    <w:rsid w:val="00482200"/>
    <w:rsid w:val="00482B14"/>
    <w:rsid w:val="0049025B"/>
    <w:rsid w:val="00494F45"/>
    <w:rsid w:val="004A4095"/>
    <w:rsid w:val="004B3A1F"/>
    <w:rsid w:val="004B46F1"/>
    <w:rsid w:val="004D70C5"/>
    <w:rsid w:val="004E3227"/>
    <w:rsid w:val="004F2C80"/>
    <w:rsid w:val="0050127E"/>
    <w:rsid w:val="00506448"/>
    <w:rsid w:val="00512432"/>
    <w:rsid w:val="00512C24"/>
    <w:rsid w:val="00520C66"/>
    <w:rsid w:val="00522064"/>
    <w:rsid w:val="00524222"/>
    <w:rsid w:val="00540A4C"/>
    <w:rsid w:val="00542C9F"/>
    <w:rsid w:val="00550E9A"/>
    <w:rsid w:val="00556774"/>
    <w:rsid w:val="00583C0E"/>
    <w:rsid w:val="005867A6"/>
    <w:rsid w:val="005876F2"/>
    <w:rsid w:val="005973CC"/>
    <w:rsid w:val="005A4E8A"/>
    <w:rsid w:val="005B218F"/>
    <w:rsid w:val="005B3707"/>
    <w:rsid w:val="005B3960"/>
    <w:rsid w:val="005B44DB"/>
    <w:rsid w:val="005B47F7"/>
    <w:rsid w:val="005C0926"/>
    <w:rsid w:val="005C79DA"/>
    <w:rsid w:val="005D6922"/>
    <w:rsid w:val="005D7A12"/>
    <w:rsid w:val="005E00C2"/>
    <w:rsid w:val="005E76F4"/>
    <w:rsid w:val="00600B85"/>
    <w:rsid w:val="00601EBC"/>
    <w:rsid w:val="00603579"/>
    <w:rsid w:val="00604A7F"/>
    <w:rsid w:val="00611AB5"/>
    <w:rsid w:val="0061559B"/>
    <w:rsid w:val="00621DF3"/>
    <w:rsid w:val="0063018F"/>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867"/>
    <w:rsid w:val="006A5C18"/>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240C"/>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6108A"/>
    <w:rsid w:val="00862D6D"/>
    <w:rsid w:val="0086405A"/>
    <w:rsid w:val="00870F67"/>
    <w:rsid w:val="0087579D"/>
    <w:rsid w:val="00875A4E"/>
    <w:rsid w:val="00882EB8"/>
    <w:rsid w:val="008866C0"/>
    <w:rsid w:val="00892118"/>
    <w:rsid w:val="008962A7"/>
    <w:rsid w:val="008A13B3"/>
    <w:rsid w:val="008A367A"/>
    <w:rsid w:val="008B1981"/>
    <w:rsid w:val="008C1600"/>
    <w:rsid w:val="008C4B71"/>
    <w:rsid w:val="008C7089"/>
    <w:rsid w:val="008D1976"/>
    <w:rsid w:val="008E6F21"/>
    <w:rsid w:val="008F6EFE"/>
    <w:rsid w:val="00901931"/>
    <w:rsid w:val="00905F14"/>
    <w:rsid w:val="00907566"/>
    <w:rsid w:val="00912B0F"/>
    <w:rsid w:val="00925839"/>
    <w:rsid w:val="00926B2B"/>
    <w:rsid w:val="009303C4"/>
    <w:rsid w:val="00930A4F"/>
    <w:rsid w:val="009325F9"/>
    <w:rsid w:val="00944D86"/>
    <w:rsid w:val="00954CF1"/>
    <w:rsid w:val="00956F3F"/>
    <w:rsid w:val="00957A9A"/>
    <w:rsid w:val="009649C6"/>
    <w:rsid w:val="00970EB8"/>
    <w:rsid w:val="009713B9"/>
    <w:rsid w:val="00971A81"/>
    <w:rsid w:val="00972EEB"/>
    <w:rsid w:val="00984E87"/>
    <w:rsid w:val="00991ADF"/>
    <w:rsid w:val="00995A71"/>
    <w:rsid w:val="009A69B9"/>
    <w:rsid w:val="009A7220"/>
    <w:rsid w:val="009B1507"/>
    <w:rsid w:val="009B3AAC"/>
    <w:rsid w:val="009B5161"/>
    <w:rsid w:val="009C2905"/>
    <w:rsid w:val="009C5EE1"/>
    <w:rsid w:val="009D0531"/>
    <w:rsid w:val="009D2568"/>
    <w:rsid w:val="009D32E5"/>
    <w:rsid w:val="009E0BA6"/>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21BA"/>
    <w:rsid w:val="00AA6C48"/>
    <w:rsid w:val="00AB0730"/>
    <w:rsid w:val="00AC3630"/>
    <w:rsid w:val="00AC7625"/>
    <w:rsid w:val="00AD1ADA"/>
    <w:rsid w:val="00AD1C88"/>
    <w:rsid w:val="00AD215C"/>
    <w:rsid w:val="00AD5626"/>
    <w:rsid w:val="00AD5D52"/>
    <w:rsid w:val="00AE0451"/>
    <w:rsid w:val="00B0416F"/>
    <w:rsid w:val="00B07975"/>
    <w:rsid w:val="00B1410E"/>
    <w:rsid w:val="00B16A3E"/>
    <w:rsid w:val="00B32079"/>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F007D"/>
    <w:rsid w:val="00BF08C1"/>
    <w:rsid w:val="00BF1963"/>
    <w:rsid w:val="00BF1B28"/>
    <w:rsid w:val="00BF2ABB"/>
    <w:rsid w:val="00BF4BCA"/>
    <w:rsid w:val="00BF5047"/>
    <w:rsid w:val="00BF734D"/>
    <w:rsid w:val="00C02306"/>
    <w:rsid w:val="00C14616"/>
    <w:rsid w:val="00C15737"/>
    <w:rsid w:val="00C27AD9"/>
    <w:rsid w:val="00C338D2"/>
    <w:rsid w:val="00C35702"/>
    <w:rsid w:val="00C403B1"/>
    <w:rsid w:val="00C4423B"/>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4229"/>
    <w:rsid w:val="00DA597E"/>
    <w:rsid w:val="00DA6816"/>
    <w:rsid w:val="00DB2770"/>
    <w:rsid w:val="00DB4B63"/>
    <w:rsid w:val="00DC1986"/>
    <w:rsid w:val="00DC5F9E"/>
    <w:rsid w:val="00DC7FB0"/>
    <w:rsid w:val="00DE3788"/>
    <w:rsid w:val="00DE666D"/>
    <w:rsid w:val="00DF1725"/>
    <w:rsid w:val="00E000B7"/>
    <w:rsid w:val="00E04145"/>
    <w:rsid w:val="00E068A9"/>
    <w:rsid w:val="00E0770D"/>
    <w:rsid w:val="00E15239"/>
    <w:rsid w:val="00E23336"/>
    <w:rsid w:val="00E24AFE"/>
    <w:rsid w:val="00E3706A"/>
    <w:rsid w:val="00E44464"/>
    <w:rsid w:val="00E51BF6"/>
    <w:rsid w:val="00E51C2A"/>
    <w:rsid w:val="00E566E6"/>
    <w:rsid w:val="00E65EB4"/>
    <w:rsid w:val="00E66C10"/>
    <w:rsid w:val="00E93992"/>
    <w:rsid w:val="00E96AC7"/>
    <w:rsid w:val="00E9724B"/>
    <w:rsid w:val="00EA1ECE"/>
    <w:rsid w:val="00EA605E"/>
    <w:rsid w:val="00EA7829"/>
    <w:rsid w:val="00EE05C1"/>
    <w:rsid w:val="00EE3C41"/>
    <w:rsid w:val="00EF2094"/>
    <w:rsid w:val="00F012BD"/>
    <w:rsid w:val="00F058CA"/>
    <w:rsid w:val="00F11036"/>
    <w:rsid w:val="00F1312F"/>
    <w:rsid w:val="00F16755"/>
    <w:rsid w:val="00F2102A"/>
    <w:rsid w:val="00F216C0"/>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5245"/>
    <w:rsid w:val="00F76216"/>
    <w:rsid w:val="00F77A2F"/>
    <w:rsid w:val="00F806D3"/>
    <w:rsid w:val="00F81636"/>
    <w:rsid w:val="00F816D0"/>
    <w:rsid w:val="00F83284"/>
    <w:rsid w:val="00F87773"/>
    <w:rsid w:val="00F96C6F"/>
    <w:rsid w:val="00FA5943"/>
    <w:rsid w:val="00FA6299"/>
    <w:rsid w:val="00FA7521"/>
    <w:rsid w:val="00FD0B57"/>
    <w:rsid w:val="00FD26F4"/>
    <w:rsid w:val="00FD3443"/>
    <w:rsid w:val="00FF028B"/>
    <w:rsid w:val="01007326"/>
    <w:rsid w:val="01030061"/>
    <w:rsid w:val="0120117A"/>
    <w:rsid w:val="01214EAF"/>
    <w:rsid w:val="012475CE"/>
    <w:rsid w:val="01306785"/>
    <w:rsid w:val="013A223F"/>
    <w:rsid w:val="014C4D86"/>
    <w:rsid w:val="01920D21"/>
    <w:rsid w:val="01AD0103"/>
    <w:rsid w:val="01BB62CB"/>
    <w:rsid w:val="01C76C08"/>
    <w:rsid w:val="01E74ACC"/>
    <w:rsid w:val="01F90F7C"/>
    <w:rsid w:val="01FE5971"/>
    <w:rsid w:val="02064B47"/>
    <w:rsid w:val="020B27CB"/>
    <w:rsid w:val="02203547"/>
    <w:rsid w:val="0225155C"/>
    <w:rsid w:val="023F321E"/>
    <w:rsid w:val="0245012F"/>
    <w:rsid w:val="026366BA"/>
    <w:rsid w:val="02642382"/>
    <w:rsid w:val="02796963"/>
    <w:rsid w:val="02854F8C"/>
    <w:rsid w:val="02943E73"/>
    <w:rsid w:val="02A47682"/>
    <w:rsid w:val="02A62DF9"/>
    <w:rsid w:val="02A73A31"/>
    <w:rsid w:val="02C10E79"/>
    <w:rsid w:val="02EC04CA"/>
    <w:rsid w:val="02F37D3F"/>
    <w:rsid w:val="030A0C9E"/>
    <w:rsid w:val="03103BAE"/>
    <w:rsid w:val="03237D85"/>
    <w:rsid w:val="03273A74"/>
    <w:rsid w:val="03505603"/>
    <w:rsid w:val="0361265C"/>
    <w:rsid w:val="037048D2"/>
    <w:rsid w:val="03741866"/>
    <w:rsid w:val="03C66944"/>
    <w:rsid w:val="03D955FA"/>
    <w:rsid w:val="03E76D01"/>
    <w:rsid w:val="0413438E"/>
    <w:rsid w:val="04141C07"/>
    <w:rsid w:val="04190789"/>
    <w:rsid w:val="041E0491"/>
    <w:rsid w:val="046321A5"/>
    <w:rsid w:val="046F3750"/>
    <w:rsid w:val="047501E3"/>
    <w:rsid w:val="048E557D"/>
    <w:rsid w:val="04AC5B58"/>
    <w:rsid w:val="04C44C50"/>
    <w:rsid w:val="04D52E18"/>
    <w:rsid w:val="04DB6759"/>
    <w:rsid w:val="04F05A45"/>
    <w:rsid w:val="04F9760F"/>
    <w:rsid w:val="052E7DCE"/>
    <w:rsid w:val="053A6B7D"/>
    <w:rsid w:val="05402991"/>
    <w:rsid w:val="054364BD"/>
    <w:rsid w:val="054E1CE0"/>
    <w:rsid w:val="057A7F6E"/>
    <w:rsid w:val="05962A91"/>
    <w:rsid w:val="059A700E"/>
    <w:rsid w:val="05A239E9"/>
    <w:rsid w:val="05A56CC1"/>
    <w:rsid w:val="05A876B5"/>
    <w:rsid w:val="05B9677F"/>
    <w:rsid w:val="05D830A9"/>
    <w:rsid w:val="05F872A7"/>
    <w:rsid w:val="05F966ED"/>
    <w:rsid w:val="05FC494C"/>
    <w:rsid w:val="060454DB"/>
    <w:rsid w:val="0613258A"/>
    <w:rsid w:val="066D1D57"/>
    <w:rsid w:val="06771C38"/>
    <w:rsid w:val="067D59FE"/>
    <w:rsid w:val="06826567"/>
    <w:rsid w:val="068B0043"/>
    <w:rsid w:val="06AA1202"/>
    <w:rsid w:val="06BE30D0"/>
    <w:rsid w:val="06DE7C7D"/>
    <w:rsid w:val="06FA0966"/>
    <w:rsid w:val="06FD244B"/>
    <w:rsid w:val="071F4834"/>
    <w:rsid w:val="07267E44"/>
    <w:rsid w:val="07312DBB"/>
    <w:rsid w:val="074C4B08"/>
    <w:rsid w:val="075236A4"/>
    <w:rsid w:val="0757624F"/>
    <w:rsid w:val="07610F52"/>
    <w:rsid w:val="0767367E"/>
    <w:rsid w:val="076C7E84"/>
    <w:rsid w:val="07712433"/>
    <w:rsid w:val="077C1812"/>
    <w:rsid w:val="07856339"/>
    <w:rsid w:val="07890F82"/>
    <w:rsid w:val="07944B74"/>
    <w:rsid w:val="079A301E"/>
    <w:rsid w:val="07B2103C"/>
    <w:rsid w:val="07BC2556"/>
    <w:rsid w:val="07BE1E2B"/>
    <w:rsid w:val="07BE77E4"/>
    <w:rsid w:val="07C43D5A"/>
    <w:rsid w:val="07E62CC7"/>
    <w:rsid w:val="07F9032F"/>
    <w:rsid w:val="080C178A"/>
    <w:rsid w:val="082C4FE6"/>
    <w:rsid w:val="08311324"/>
    <w:rsid w:val="083420ED"/>
    <w:rsid w:val="0841229E"/>
    <w:rsid w:val="085320A3"/>
    <w:rsid w:val="0857635E"/>
    <w:rsid w:val="085816C5"/>
    <w:rsid w:val="085B6064"/>
    <w:rsid w:val="085D3F5B"/>
    <w:rsid w:val="085F76F9"/>
    <w:rsid w:val="088D74B7"/>
    <w:rsid w:val="0891753F"/>
    <w:rsid w:val="089F5B61"/>
    <w:rsid w:val="08A13C26"/>
    <w:rsid w:val="08AA1EA5"/>
    <w:rsid w:val="08AE20F2"/>
    <w:rsid w:val="08B85822"/>
    <w:rsid w:val="08C26768"/>
    <w:rsid w:val="08D062B9"/>
    <w:rsid w:val="08D31EFA"/>
    <w:rsid w:val="08E23B1C"/>
    <w:rsid w:val="08EF25FF"/>
    <w:rsid w:val="08FB6CEF"/>
    <w:rsid w:val="0902043D"/>
    <w:rsid w:val="09045F63"/>
    <w:rsid w:val="090A42F6"/>
    <w:rsid w:val="0917514E"/>
    <w:rsid w:val="09294566"/>
    <w:rsid w:val="098540F5"/>
    <w:rsid w:val="09914FD3"/>
    <w:rsid w:val="099323FF"/>
    <w:rsid w:val="09942222"/>
    <w:rsid w:val="09A16C45"/>
    <w:rsid w:val="09A331E1"/>
    <w:rsid w:val="09BF26D2"/>
    <w:rsid w:val="09C6146A"/>
    <w:rsid w:val="09CE28EC"/>
    <w:rsid w:val="09D2466A"/>
    <w:rsid w:val="09D337B8"/>
    <w:rsid w:val="09E0252C"/>
    <w:rsid w:val="09E35B37"/>
    <w:rsid w:val="09EA213D"/>
    <w:rsid w:val="09F4422A"/>
    <w:rsid w:val="0A0211BF"/>
    <w:rsid w:val="0A026946"/>
    <w:rsid w:val="0A0976BB"/>
    <w:rsid w:val="0A113B35"/>
    <w:rsid w:val="0A1D552E"/>
    <w:rsid w:val="0A347B45"/>
    <w:rsid w:val="0A3E3F88"/>
    <w:rsid w:val="0A656ED5"/>
    <w:rsid w:val="0A66108A"/>
    <w:rsid w:val="0A672A35"/>
    <w:rsid w:val="0A7348BF"/>
    <w:rsid w:val="0A9F3E33"/>
    <w:rsid w:val="0AB614DF"/>
    <w:rsid w:val="0ABA5814"/>
    <w:rsid w:val="0AC260D6"/>
    <w:rsid w:val="0AC33C19"/>
    <w:rsid w:val="0AD010C5"/>
    <w:rsid w:val="0ADA1EE0"/>
    <w:rsid w:val="0AFA5350"/>
    <w:rsid w:val="0B031899"/>
    <w:rsid w:val="0B0E4E77"/>
    <w:rsid w:val="0B106E41"/>
    <w:rsid w:val="0B240F71"/>
    <w:rsid w:val="0B340409"/>
    <w:rsid w:val="0B406D9A"/>
    <w:rsid w:val="0B4F64F0"/>
    <w:rsid w:val="0B543EB0"/>
    <w:rsid w:val="0B5D1A85"/>
    <w:rsid w:val="0B5F44A1"/>
    <w:rsid w:val="0B7F3FC7"/>
    <w:rsid w:val="0B84228C"/>
    <w:rsid w:val="0B8E710C"/>
    <w:rsid w:val="0B901D30"/>
    <w:rsid w:val="0B986F9F"/>
    <w:rsid w:val="0B9C327F"/>
    <w:rsid w:val="0BAC6404"/>
    <w:rsid w:val="0BC2459A"/>
    <w:rsid w:val="0BC52B2F"/>
    <w:rsid w:val="0BD41A24"/>
    <w:rsid w:val="0BF53D1B"/>
    <w:rsid w:val="0BF55DCD"/>
    <w:rsid w:val="0C0624C9"/>
    <w:rsid w:val="0C132A5D"/>
    <w:rsid w:val="0C1A776A"/>
    <w:rsid w:val="0C21222D"/>
    <w:rsid w:val="0C2C2DB6"/>
    <w:rsid w:val="0C5C7D96"/>
    <w:rsid w:val="0C5E428D"/>
    <w:rsid w:val="0C6F1945"/>
    <w:rsid w:val="0C7B639F"/>
    <w:rsid w:val="0C7E6FAC"/>
    <w:rsid w:val="0C7F3BFC"/>
    <w:rsid w:val="0CA665BD"/>
    <w:rsid w:val="0CAF7DD3"/>
    <w:rsid w:val="0CB6728F"/>
    <w:rsid w:val="0CBF648E"/>
    <w:rsid w:val="0CE2480D"/>
    <w:rsid w:val="0CE916F8"/>
    <w:rsid w:val="0CF14B0E"/>
    <w:rsid w:val="0CFA1B57"/>
    <w:rsid w:val="0CFD25BD"/>
    <w:rsid w:val="0CFF53BF"/>
    <w:rsid w:val="0D0B0F2F"/>
    <w:rsid w:val="0D286FCA"/>
    <w:rsid w:val="0D3D37F2"/>
    <w:rsid w:val="0D5D5C42"/>
    <w:rsid w:val="0D662901"/>
    <w:rsid w:val="0D69077C"/>
    <w:rsid w:val="0D715C47"/>
    <w:rsid w:val="0D760FA4"/>
    <w:rsid w:val="0D7815FE"/>
    <w:rsid w:val="0D7832FD"/>
    <w:rsid w:val="0D8E0F8A"/>
    <w:rsid w:val="0D933F5C"/>
    <w:rsid w:val="0D964EAD"/>
    <w:rsid w:val="0D9A11C3"/>
    <w:rsid w:val="0DA31871"/>
    <w:rsid w:val="0DAB1B73"/>
    <w:rsid w:val="0DB5782C"/>
    <w:rsid w:val="0DCD46CB"/>
    <w:rsid w:val="0DDB4F55"/>
    <w:rsid w:val="0DED3DF2"/>
    <w:rsid w:val="0E004AB0"/>
    <w:rsid w:val="0E0C42FA"/>
    <w:rsid w:val="0E142BF0"/>
    <w:rsid w:val="0E2A021A"/>
    <w:rsid w:val="0E334EB0"/>
    <w:rsid w:val="0E4A1CCE"/>
    <w:rsid w:val="0E5C5A93"/>
    <w:rsid w:val="0E74740A"/>
    <w:rsid w:val="0E8B4F0A"/>
    <w:rsid w:val="0E98231D"/>
    <w:rsid w:val="0E9A2C5E"/>
    <w:rsid w:val="0E9D17C6"/>
    <w:rsid w:val="0EBC5DB1"/>
    <w:rsid w:val="0ED4462A"/>
    <w:rsid w:val="0ED47232"/>
    <w:rsid w:val="0ED66241"/>
    <w:rsid w:val="0EDD34DE"/>
    <w:rsid w:val="0EE65D3D"/>
    <w:rsid w:val="0EE859DF"/>
    <w:rsid w:val="0EFC067C"/>
    <w:rsid w:val="0F257E5C"/>
    <w:rsid w:val="0F265F0D"/>
    <w:rsid w:val="0F291AD8"/>
    <w:rsid w:val="0F2E3D3A"/>
    <w:rsid w:val="0F5B4403"/>
    <w:rsid w:val="0F5D46D1"/>
    <w:rsid w:val="0F685636"/>
    <w:rsid w:val="0F76187C"/>
    <w:rsid w:val="0F8109B2"/>
    <w:rsid w:val="0F862A78"/>
    <w:rsid w:val="0F92430B"/>
    <w:rsid w:val="0FA8040C"/>
    <w:rsid w:val="0FB2696C"/>
    <w:rsid w:val="0FCA55AA"/>
    <w:rsid w:val="0FF111B5"/>
    <w:rsid w:val="0FFA0843"/>
    <w:rsid w:val="0FFF6C17"/>
    <w:rsid w:val="100623A4"/>
    <w:rsid w:val="10234C88"/>
    <w:rsid w:val="102C62CD"/>
    <w:rsid w:val="103D098E"/>
    <w:rsid w:val="104226B0"/>
    <w:rsid w:val="10430659"/>
    <w:rsid w:val="104465A7"/>
    <w:rsid w:val="10470B8B"/>
    <w:rsid w:val="10582BAF"/>
    <w:rsid w:val="10831E63"/>
    <w:rsid w:val="1086783B"/>
    <w:rsid w:val="108828E9"/>
    <w:rsid w:val="108E6DDE"/>
    <w:rsid w:val="10BD6E80"/>
    <w:rsid w:val="10CF0A8A"/>
    <w:rsid w:val="10CF50A9"/>
    <w:rsid w:val="10DC1574"/>
    <w:rsid w:val="10E76382"/>
    <w:rsid w:val="11047066"/>
    <w:rsid w:val="11066267"/>
    <w:rsid w:val="110B4FEA"/>
    <w:rsid w:val="11243FEB"/>
    <w:rsid w:val="114542EA"/>
    <w:rsid w:val="11474607"/>
    <w:rsid w:val="11581AF0"/>
    <w:rsid w:val="1162332F"/>
    <w:rsid w:val="11721135"/>
    <w:rsid w:val="11963E18"/>
    <w:rsid w:val="11A31559"/>
    <w:rsid w:val="11B361D3"/>
    <w:rsid w:val="11B543D6"/>
    <w:rsid w:val="11CB41EF"/>
    <w:rsid w:val="11E26953"/>
    <w:rsid w:val="11F577F8"/>
    <w:rsid w:val="11F8418B"/>
    <w:rsid w:val="12042C2D"/>
    <w:rsid w:val="120525C7"/>
    <w:rsid w:val="120D6D30"/>
    <w:rsid w:val="12295570"/>
    <w:rsid w:val="122F0542"/>
    <w:rsid w:val="123633C4"/>
    <w:rsid w:val="123768F9"/>
    <w:rsid w:val="124043EC"/>
    <w:rsid w:val="12450813"/>
    <w:rsid w:val="12537C01"/>
    <w:rsid w:val="125807D5"/>
    <w:rsid w:val="12784E55"/>
    <w:rsid w:val="128A78E8"/>
    <w:rsid w:val="128C33F4"/>
    <w:rsid w:val="128D5240"/>
    <w:rsid w:val="128F1D34"/>
    <w:rsid w:val="129E5142"/>
    <w:rsid w:val="12B87848"/>
    <w:rsid w:val="12DB364B"/>
    <w:rsid w:val="133A062E"/>
    <w:rsid w:val="133D570B"/>
    <w:rsid w:val="1340738D"/>
    <w:rsid w:val="13487675"/>
    <w:rsid w:val="1356560D"/>
    <w:rsid w:val="13640B53"/>
    <w:rsid w:val="136C563C"/>
    <w:rsid w:val="138061A8"/>
    <w:rsid w:val="138917D3"/>
    <w:rsid w:val="138D11BC"/>
    <w:rsid w:val="13985502"/>
    <w:rsid w:val="139D2FCC"/>
    <w:rsid w:val="13D844D6"/>
    <w:rsid w:val="13D84C83"/>
    <w:rsid w:val="13DC1FB6"/>
    <w:rsid w:val="13E22368"/>
    <w:rsid w:val="13E85087"/>
    <w:rsid w:val="13EC7D20"/>
    <w:rsid w:val="13ED26D9"/>
    <w:rsid w:val="13F13588"/>
    <w:rsid w:val="140A63D7"/>
    <w:rsid w:val="140F5B65"/>
    <w:rsid w:val="141A2701"/>
    <w:rsid w:val="1424395D"/>
    <w:rsid w:val="14250B93"/>
    <w:rsid w:val="14314312"/>
    <w:rsid w:val="143A6A29"/>
    <w:rsid w:val="1441058C"/>
    <w:rsid w:val="144A726B"/>
    <w:rsid w:val="144D4C62"/>
    <w:rsid w:val="14681A9C"/>
    <w:rsid w:val="14726D31"/>
    <w:rsid w:val="147324EE"/>
    <w:rsid w:val="147B4F6E"/>
    <w:rsid w:val="147E7A46"/>
    <w:rsid w:val="14825C20"/>
    <w:rsid w:val="14860174"/>
    <w:rsid w:val="149462EA"/>
    <w:rsid w:val="149C0E51"/>
    <w:rsid w:val="14A405FA"/>
    <w:rsid w:val="14A625C4"/>
    <w:rsid w:val="14AD08F7"/>
    <w:rsid w:val="14BF323B"/>
    <w:rsid w:val="14CA0176"/>
    <w:rsid w:val="14FE41AE"/>
    <w:rsid w:val="151108B6"/>
    <w:rsid w:val="151E0D21"/>
    <w:rsid w:val="1547662A"/>
    <w:rsid w:val="1549616E"/>
    <w:rsid w:val="154D47EE"/>
    <w:rsid w:val="15550B09"/>
    <w:rsid w:val="155550C1"/>
    <w:rsid w:val="158174F7"/>
    <w:rsid w:val="15E42B6D"/>
    <w:rsid w:val="15F55CDD"/>
    <w:rsid w:val="16175528"/>
    <w:rsid w:val="162E0EFA"/>
    <w:rsid w:val="1636472E"/>
    <w:rsid w:val="16526560"/>
    <w:rsid w:val="165C6EA3"/>
    <w:rsid w:val="16627CCD"/>
    <w:rsid w:val="16663DB9"/>
    <w:rsid w:val="166B3507"/>
    <w:rsid w:val="16AC7894"/>
    <w:rsid w:val="16B0068C"/>
    <w:rsid w:val="16C1697F"/>
    <w:rsid w:val="16D8637E"/>
    <w:rsid w:val="16F11890"/>
    <w:rsid w:val="1700127E"/>
    <w:rsid w:val="171B19B1"/>
    <w:rsid w:val="1720665E"/>
    <w:rsid w:val="172D40A7"/>
    <w:rsid w:val="174D6B2B"/>
    <w:rsid w:val="175D340E"/>
    <w:rsid w:val="177644D0"/>
    <w:rsid w:val="17790A16"/>
    <w:rsid w:val="17803DD0"/>
    <w:rsid w:val="17907B2D"/>
    <w:rsid w:val="17914E49"/>
    <w:rsid w:val="17AD688C"/>
    <w:rsid w:val="17BD7AB1"/>
    <w:rsid w:val="17C24FCC"/>
    <w:rsid w:val="17CB4B74"/>
    <w:rsid w:val="17D64BAC"/>
    <w:rsid w:val="17E7717C"/>
    <w:rsid w:val="17EF4099"/>
    <w:rsid w:val="18151D75"/>
    <w:rsid w:val="18166133"/>
    <w:rsid w:val="18235491"/>
    <w:rsid w:val="18242F87"/>
    <w:rsid w:val="184D6D00"/>
    <w:rsid w:val="185905C5"/>
    <w:rsid w:val="18592BA2"/>
    <w:rsid w:val="18635ACB"/>
    <w:rsid w:val="1871320D"/>
    <w:rsid w:val="187236F1"/>
    <w:rsid w:val="188350F6"/>
    <w:rsid w:val="18861835"/>
    <w:rsid w:val="188B1530"/>
    <w:rsid w:val="188C26FB"/>
    <w:rsid w:val="18921717"/>
    <w:rsid w:val="18C92B8D"/>
    <w:rsid w:val="18C97E7B"/>
    <w:rsid w:val="18D80BAC"/>
    <w:rsid w:val="18DC7013"/>
    <w:rsid w:val="18E02502"/>
    <w:rsid w:val="18F87E64"/>
    <w:rsid w:val="18F976F9"/>
    <w:rsid w:val="18FA490E"/>
    <w:rsid w:val="190020B5"/>
    <w:rsid w:val="19005D72"/>
    <w:rsid w:val="1901426D"/>
    <w:rsid w:val="19027544"/>
    <w:rsid w:val="192A5572"/>
    <w:rsid w:val="192D5062"/>
    <w:rsid w:val="192F739D"/>
    <w:rsid w:val="19307E0B"/>
    <w:rsid w:val="19432A0B"/>
    <w:rsid w:val="19442D38"/>
    <w:rsid w:val="195920BA"/>
    <w:rsid w:val="19620ABE"/>
    <w:rsid w:val="19717E07"/>
    <w:rsid w:val="19831126"/>
    <w:rsid w:val="1998697F"/>
    <w:rsid w:val="19B65BB2"/>
    <w:rsid w:val="19BF78BE"/>
    <w:rsid w:val="19C82216"/>
    <w:rsid w:val="19E27BFB"/>
    <w:rsid w:val="1A1D4890"/>
    <w:rsid w:val="1A296D63"/>
    <w:rsid w:val="1A324F2D"/>
    <w:rsid w:val="1A462475"/>
    <w:rsid w:val="1A5667B5"/>
    <w:rsid w:val="1A584642"/>
    <w:rsid w:val="1A603F46"/>
    <w:rsid w:val="1A673E98"/>
    <w:rsid w:val="1A6C3968"/>
    <w:rsid w:val="1A732F49"/>
    <w:rsid w:val="1A7B529E"/>
    <w:rsid w:val="1A81266B"/>
    <w:rsid w:val="1A8E369B"/>
    <w:rsid w:val="1A907657"/>
    <w:rsid w:val="1A9A2794"/>
    <w:rsid w:val="1A9E41B7"/>
    <w:rsid w:val="1AA47B2F"/>
    <w:rsid w:val="1AB84FC9"/>
    <w:rsid w:val="1ACD08AB"/>
    <w:rsid w:val="1ACD2659"/>
    <w:rsid w:val="1AE16BC3"/>
    <w:rsid w:val="1AE6371B"/>
    <w:rsid w:val="1AFC71E0"/>
    <w:rsid w:val="1B115D3C"/>
    <w:rsid w:val="1B117D77"/>
    <w:rsid w:val="1B1464DA"/>
    <w:rsid w:val="1B1E0896"/>
    <w:rsid w:val="1B1E63A8"/>
    <w:rsid w:val="1B2B0170"/>
    <w:rsid w:val="1B4E448C"/>
    <w:rsid w:val="1B530684"/>
    <w:rsid w:val="1B5418EC"/>
    <w:rsid w:val="1B5966CE"/>
    <w:rsid w:val="1B6A11E1"/>
    <w:rsid w:val="1B7C20ED"/>
    <w:rsid w:val="1B807337"/>
    <w:rsid w:val="1B8076CB"/>
    <w:rsid w:val="1B950C9D"/>
    <w:rsid w:val="1BA41303"/>
    <w:rsid w:val="1BA47C58"/>
    <w:rsid w:val="1BA710FC"/>
    <w:rsid w:val="1BAB2B15"/>
    <w:rsid w:val="1BAD4BBE"/>
    <w:rsid w:val="1BB80F43"/>
    <w:rsid w:val="1BBA2471"/>
    <w:rsid w:val="1BC10F25"/>
    <w:rsid w:val="1BC170B5"/>
    <w:rsid w:val="1BC85289"/>
    <w:rsid w:val="1BE50AEA"/>
    <w:rsid w:val="1BF0529D"/>
    <w:rsid w:val="1BF56A3B"/>
    <w:rsid w:val="1BFD47AE"/>
    <w:rsid w:val="1C0A3439"/>
    <w:rsid w:val="1C183DA8"/>
    <w:rsid w:val="1C1A03D6"/>
    <w:rsid w:val="1C2C344C"/>
    <w:rsid w:val="1C2E5379"/>
    <w:rsid w:val="1C3829DD"/>
    <w:rsid w:val="1C4C57FF"/>
    <w:rsid w:val="1C5E2E84"/>
    <w:rsid w:val="1C7A06A1"/>
    <w:rsid w:val="1C7B4E1E"/>
    <w:rsid w:val="1C8D2352"/>
    <w:rsid w:val="1C9215E3"/>
    <w:rsid w:val="1C950175"/>
    <w:rsid w:val="1CA97A8E"/>
    <w:rsid w:val="1CCE3DB5"/>
    <w:rsid w:val="1CD1294F"/>
    <w:rsid w:val="1CD822D6"/>
    <w:rsid w:val="1CEF4C58"/>
    <w:rsid w:val="1D0B2730"/>
    <w:rsid w:val="1D104A7F"/>
    <w:rsid w:val="1D306A8D"/>
    <w:rsid w:val="1D385997"/>
    <w:rsid w:val="1D3A7EAC"/>
    <w:rsid w:val="1D4969F2"/>
    <w:rsid w:val="1D52596D"/>
    <w:rsid w:val="1D6B0D1C"/>
    <w:rsid w:val="1D731D42"/>
    <w:rsid w:val="1D76522A"/>
    <w:rsid w:val="1D8F60F0"/>
    <w:rsid w:val="1D9F7263"/>
    <w:rsid w:val="1DAD4F69"/>
    <w:rsid w:val="1DC1221D"/>
    <w:rsid w:val="1DC6020F"/>
    <w:rsid w:val="1DE71C83"/>
    <w:rsid w:val="1DF60118"/>
    <w:rsid w:val="1DF97E9A"/>
    <w:rsid w:val="1DFA2FBE"/>
    <w:rsid w:val="1E0740D4"/>
    <w:rsid w:val="1E4009EB"/>
    <w:rsid w:val="1E636E30"/>
    <w:rsid w:val="1E69399D"/>
    <w:rsid w:val="1E947603"/>
    <w:rsid w:val="1E9B64A9"/>
    <w:rsid w:val="1E9E3B22"/>
    <w:rsid w:val="1EA32EFA"/>
    <w:rsid w:val="1EA45977"/>
    <w:rsid w:val="1EAE07F6"/>
    <w:rsid w:val="1EC46074"/>
    <w:rsid w:val="1EC63D0B"/>
    <w:rsid w:val="1ED448B5"/>
    <w:rsid w:val="1EE24E87"/>
    <w:rsid w:val="1EE9555B"/>
    <w:rsid w:val="1EEA3840"/>
    <w:rsid w:val="1EF6744B"/>
    <w:rsid w:val="1F0979D8"/>
    <w:rsid w:val="1F0B734A"/>
    <w:rsid w:val="1F130856"/>
    <w:rsid w:val="1F1C5538"/>
    <w:rsid w:val="1F2914B1"/>
    <w:rsid w:val="1F2B5BA0"/>
    <w:rsid w:val="1F3D510C"/>
    <w:rsid w:val="1F6B68ED"/>
    <w:rsid w:val="1F8B5B22"/>
    <w:rsid w:val="1F946352"/>
    <w:rsid w:val="1F9F6138"/>
    <w:rsid w:val="1FA03CB2"/>
    <w:rsid w:val="1FA27BB2"/>
    <w:rsid w:val="1FB511D4"/>
    <w:rsid w:val="1FBA368F"/>
    <w:rsid w:val="1FE16A09"/>
    <w:rsid w:val="1FE720BF"/>
    <w:rsid w:val="1FE84A61"/>
    <w:rsid w:val="1FF468DA"/>
    <w:rsid w:val="200B1900"/>
    <w:rsid w:val="2011123A"/>
    <w:rsid w:val="201D20ED"/>
    <w:rsid w:val="202D4470"/>
    <w:rsid w:val="203B0065"/>
    <w:rsid w:val="20605D1D"/>
    <w:rsid w:val="20682E19"/>
    <w:rsid w:val="206F69E4"/>
    <w:rsid w:val="207672EF"/>
    <w:rsid w:val="20784E15"/>
    <w:rsid w:val="2079572D"/>
    <w:rsid w:val="20811CB0"/>
    <w:rsid w:val="208C1696"/>
    <w:rsid w:val="20A02D4A"/>
    <w:rsid w:val="20B4759D"/>
    <w:rsid w:val="20B47E17"/>
    <w:rsid w:val="20BE2A44"/>
    <w:rsid w:val="20CC7143"/>
    <w:rsid w:val="20D302EF"/>
    <w:rsid w:val="20D67B15"/>
    <w:rsid w:val="20D7657A"/>
    <w:rsid w:val="20E17945"/>
    <w:rsid w:val="20E35802"/>
    <w:rsid w:val="20E92A4E"/>
    <w:rsid w:val="20FD2A34"/>
    <w:rsid w:val="2129718E"/>
    <w:rsid w:val="212B5B0A"/>
    <w:rsid w:val="21537F2D"/>
    <w:rsid w:val="21587586"/>
    <w:rsid w:val="217575A6"/>
    <w:rsid w:val="217C2B77"/>
    <w:rsid w:val="2189369E"/>
    <w:rsid w:val="219E4983"/>
    <w:rsid w:val="21B04A82"/>
    <w:rsid w:val="21B53414"/>
    <w:rsid w:val="21BB37CC"/>
    <w:rsid w:val="21C41C8B"/>
    <w:rsid w:val="21C83B7A"/>
    <w:rsid w:val="21DC63AC"/>
    <w:rsid w:val="21DE5BB1"/>
    <w:rsid w:val="21E757A3"/>
    <w:rsid w:val="21E85F8D"/>
    <w:rsid w:val="22033642"/>
    <w:rsid w:val="22070A64"/>
    <w:rsid w:val="220D5A31"/>
    <w:rsid w:val="22151450"/>
    <w:rsid w:val="221B63A0"/>
    <w:rsid w:val="2230171F"/>
    <w:rsid w:val="22370D00"/>
    <w:rsid w:val="22466123"/>
    <w:rsid w:val="2259260B"/>
    <w:rsid w:val="22623FCE"/>
    <w:rsid w:val="22630303"/>
    <w:rsid w:val="226E7CB6"/>
    <w:rsid w:val="22794BFE"/>
    <w:rsid w:val="229A342F"/>
    <w:rsid w:val="229D2F1C"/>
    <w:rsid w:val="22A719E1"/>
    <w:rsid w:val="22AB408F"/>
    <w:rsid w:val="22C4208A"/>
    <w:rsid w:val="22C62095"/>
    <w:rsid w:val="22EF476D"/>
    <w:rsid w:val="22F015DA"/>
    <w:rsid w:val="22F34BE0"/>
    <w:rsid w:val="22F97172"/>
    <w:rsid w:val="23151041"/>
    <w:rsid w:val="23411E36"/>
    <w:rsid w:val="23430E8A"/>
    <w:rsid w:val="23444AE3"/>
    <w:rsid w:val="2346472C"/>
    <w:rsid w:val="23484909"/>
    <w:rsid w:val="234A6E9B"/>
    <w:rsid w:val="235D4796"/>
    <w:rsid w:val="236553F8"/>
    <w:rsid w:val="23821AA5"/>
    <w:rsid w:val="2388370D"/>
    <w:rsid w:val="23AB426C"/>
    <w:rsid w:val="23AD04D0"/>
    <w:rsid w:val="23B74CC3"/>
    <w:rsid w:val="23C71B98"/>
    <w:rsid w:val="23D52DDB"/>
    <w:rsid w:val="23D55801"/>
    <w:rsid w:val="23DA690E"/>
    <w:rsid w:val="23E303FA"/>
    <w:rsid w:val="23E528DF"/>
    <w:rsid w:val="23EB7A36"/>
    <w:rsid w:val="24093402"/>
    <w:rsid w:val="240D009B"/>
    <w:rsid w:val="240D61F3"/>
    <w:rsid w:val="24234153"/>
    <w:rsid w:val="24292561"/>
    <w:rsid w:val="243631E7"/>
    <w:rsid w:val="24575A93"/>
    <w:rsid w:val="245E76DC"/>
    <w:rsid w:val="246C42C1"/>
    <w:rsid w:val="246F2488"/>
    <w:rsid w:val="24834798"/>
    <w:rsid w:val="2488109E"/>
    <w:rsid w:val="24925F6E"/>
    <w:rsid w:val="249A04DC"/>
    <w:rsid w:val="249B2978"/>
    <w:rsid w:val="24AE6575"/>
    <w:rsid w:val="24AF24B6"/>
    <w:rsid w:val="24FA41B9"/>
    <w:rsid w:val="24FB4266"/>
    <w:rsid w:val="25027A3A"/>
    <w:rsid w:val="25076224"/>
    <w:rsid w:val="250B703F"/>
    <w:rsid w:val="2524556B"/>
    <w:rsid w:val="252E1698"/>
    <w:rsid w:val="254C599E"/>
    <w:rsid w:val="255F7AD2"/>
    <w:rsid w:val="256D4FBD"/>
    <w:rsid w:val="25983879"/>
    <w:rsid w:val="25AC65CB"/>
    <w:rsid w:val="25C10BD8"/>
    <w:rsid w:val="25C4070B"/>
    <w:rsid w:val="260929B3"/>
    <w:rsid w:val="261E0518"/>
    <w:rsid w:val="2627224F"/>
    <w:rsid w:val="26507C71"/>
    <w:rsid w:val="26545851"/>
    <w:rsid w:val="26591772"/>
    <w:rsid w:val="265D1AB0"/>
    <w:rsid w:val="26636141"/>
    <w:rsid w:val="266D7C38"/>
    <w:rsid w:val="266E1B01"/>
    <w:rsid w:val="267C3185"/>
    <w:rsid w:val="269C3827"/>
    <w:rsid w:val="26AF587E"/>
    <w:rsid w:val="26B637CF"/>
    <w:rsid w:val="26EA00EF"/>
    <w:rsid w:val="270F65EE"/>
    <w:rsid w:val="27100D65"/>
    <w:rsid w:val="27180E6A"/>
    <w:rsid w:val="271E393C"/>
    <w:rsid w:val="27235C37"/>
    <w:rsid w:val="273129C9"/>
    <w:rsid w:val="273A72C8"/>
    <w:rsid w:val="27581696"/>
    <w:rsid w:val="276952FE"/>
    <w:rsid w:val="276F5A58"/>
    <w:rsid w:val="277736DA"/>
    <w:rsid w:val="277E4152"/>
    <w:rsid w:val="277F3A0F"/>
    <w:rsid w:val="278D3956"/>
    <w:rsid w:val="27976C14"/>
    <w:rsid w:val="279C1E19"/>
    <w:rsid w:val="27AA1E1F"/>
    <w:rsid w:val="27AA78E3"/>
    <w:rsid w:val="27E64D5A"/>
    <w:rsid w:val="28201551"/>
    <w:rsid w:val="28224101"/>
    <w:rsid w:val="282E5213"/>
    <w:rsid w:val="282E5980"/>
    <w:rsid w:val="284C045D"/>
    <w:rsid w:val="28532F62"/>
    <w:rsid w:val="28552BEE"/>
    <w:rsid w:val="2881704A"/>
    <w:rsid w:val="28B27332"/>
    <w:rsid w:val="28B34564"/>
    <w:rsid w:val="28BA4EF4"/>
    <w:rsid w:val="28C36373"/>
    <w:rsid w:val="28CD1A76"/>
    <w:rsid w:val="28EB43E8"/>
    <w:rsid w:val="290212B1"/>
    <w:rsid w:val="29453D02"/>
    <w:rsid w:val="29545931"/>
    <w:rsid w:val="295B2E06"/>
    <w:rsid w:val="29647529"/>
    <w:rsid w:val="29772B0D"/>
    <w:rsid w:val="298767E3"/>
    <w:rsid w:val="29932CBF"/>
    <w:rsid w:val="299916FE"/>
    <w:rsid w:val="29A053DC"/>
    <w:rsid w:val="29CC6BDE"/>
    <w:rsid w:val="29DA5C64"/>
    <w:rsid w:val="29E4176D"/>
    <w:rsid w:val="29EE4149"/>
    <w:rsid w:val="29F932D4"/>
    <w:rsid w:val="29FF7026"/>
    <w:rsid w:val="2A024FCD"/>
    <w:rsid w:val="2A07553C"/>
    <w:rsid w:val="2A144790"/>
    <w:rsid w:val="2A1934F7"/>
    <w:rsid w:val="2A3261E9"/>
    <w:rsid w:val="2A4A0382"/>
    <w:rsid w:val="2A505777"/>
    <w:rsid w:val="2A6308E4"/>
    <w:rsid w:val="2A641987"/>
    <w:rsid w:val="2A6B7798"/>
    <w:rsid w:val="2A7E3970"/>
    <w:rsid w:val="2A9D6F08"/>
    <w:rsid w:val="2AA02867"/>
    <w:rsid w:val="2AA267B9"/>
    <w:rsid w:val="2AB357E7"/>
    <w:rsid w:val="2AB4622E"/>
    <w:rsid w:val="2ABE4B5D"/>
    <w:rsid w:val="2AC55DB1"/>
    <w:rsid w:val="2AE23CB6"/>
    <w:rsid w:val="2B101504"/>
    <w:rsid w:val="2B27775F"/>
    <w:rsid w:val="2B38484C"/>
    <w:rsid w:val="2B3F1FC6"/>
    <w:rsid w:val="2B4A1AA4"/>
    <w:rsid w:val="2B512BED"/>
    <w:rsid w:val="2B553FBF"/>
    <w:rsid w:val="2B603075"/>
    <w:rsid w:val="2B662976"/>
    <w:rsid w:val="2B7044F1"/>
    <w:rsid w:val="2B764DA8"/>
    <w:rsid w:val="2B852ADC"/>
    <w:rsid w:val="2B8B29CF"/>
    <w:rsid w:val="2B8C5C18"/>
    <w:rsid w:val="2B994D83"/>
    <w:rsid w:val="2BAC0068"/>
    <w:rsid w:val="2BAC62BA"/>
    <w:rsid w:val="2BB05DAB"/>
    <w:rsid w:val="2BB23B01"/>
    <w:rsid w:val="2BC22732"/>
    <w:rsid w:val="2BD47CEB"/>
    <w:rsid w:val="2BD74B6D"/>
    <w:rsid w:val="2BE82FB8"/>
    <w:rsid w:val="2BF20019"/>
    <w:rsid w:val="2C060BD6"/>
    <w:rsid w:val="2C0B1233"/>
    <w:rsid w:val="2C0B5FFE"/>
    <w:rsid w:val="2C153562"/>
    <w:rsid w:val="2C217B90"/>
    <w:rsid w:val="2C30386D"/>
    <w:rsid w:val="2C4E2ECE"/>
    <w:rsid w:val="2C534965"/>
    <w:rsid w:val="2C752B50"/>
    <w:rsid w:val="2C8D70F4"/>
    <w:rsid w:val="2CAE753C"/>
    <w:rsid w:val="2CE9215B"/>
    <w:rsid w:val="2CF109A0"/>
    <w:rsid w:val="2CF33B35"/>
    <w:rsid w:val="2CF617E0"/>
    <w:rsid w:val="2D0F4D53"/>
    <w:rsid w:val="2D2D77D6"/>
    <w:rsid w:val="2D322E61"/>
    <w:rsid w:val="2D464E87"/>
    <w:rsid w:val="2D491FD9"/>
    <w:rsid w:val="2D4D1B93"/>
    <w:rsid w:val="2D6571BD"/>
    <w:rsid w:val="2DA81F46"/>
    <w:rsid w:val="2DBB723B"/>
    <w:rsid w:val="2DBD5D9B"/>
    <w:rsid w:val="2DC01BA9"/>
    <w:rsid w:val="2DC37DF1"/>
    <w:rsid w:val="2DC7118A"/>
    <w:rsid w:val="2DCF5DE6"/>
    <w:rsid w:val="2E07088B"/>
    <w:rsid w:val="2E0917A2"/>
    <w:rsid w:val="2E0D173F"/>
    <w:rsid w:val="2E241549"/>
    <w:rsid w:val="2E2B4689"/>
    <w:rsid w:val="2E574A68"/>
    <w:rsid w:val="2E7762B1"/>
    <w:rsid w:val="2E7C6418"/>
    <w:rsid w:val="2E7E70D9"/>
    <w:rsid w:val="2E825B76"/>
    <w:rsid w:val="2E877EF5"/>
    <w:rsid w:val="2E8E614B"/>
    <w:rsid w:val="2E90634E"/>
    <w:rsid w:val="2E924D9A"/>
    <w:rsid w:val="2E9B3EA1"/>
    <w:rsid w:val="2EBF6006"/>
    <w:rsid w:val="2EE144CD"/>
    <w:rsid w:val="2EE17FD5"/>
    <w:rsid w:val="2EFD69CD"/>
    <w:rsid w:val="2F0100CD"/>
    <w:rsid w:val="2F0B25ED"/>
    <w:rsid w:val="2F2A2B97"/>
    <w:rsid w:val="2F2E7BB6"/>
    <w:rsid w:val="2F4A1FBC"/>
    <w:rsid w:val="2F5667C4"/>
    <w:rsid w:val="2F6278FB"/>
    <w:rsid w:val="2F6A4589"/>
    <w:rsid w:val="2F6A70BE"/>
    <w:rsid w:val="2F71028B"/>
    <w:rsid w:val="2F8D01B1"/>
    <w:rsid w:val="2F984ABB"/>
    <w:rsid w:val="2FAF4760"/>
    <w:rsid w:val="2FB20729"/>
    <w:rsid w:val="2FB33030"/>
    <w:rsid w:val="2FB40AC4"/>
    <w:rsid w:val="2FBA5BE2"/>
    <w:rsid w:val="2FDB2CCA"/>
    <w:rsid w:val="2FDE5A6F"/>
    <w:rsid w:val="2FE32412"/>
    <w:rsid w:val="30044B82"/>
    <w:rsid w:val="30127EE5"/>
    <w:rsid w:val="30217534"/>
    <w:rsid w:val="30341BC5"/>
    <w:rsid w:val="304A0BD0"/>
    <w:rsid w:val="304D254F"/>
    <w:rsid w:val="30561692"/>
    <w:rsid w:val="306B2476"/>
    <w:rsid w:val="3075311F"/>
    <w:rsid w:val="307D7830"/>
    <w:rsid w:val="3081782F"/>
    <w:rsid w:val="308B0DC1"/>
    <w:rsid w:val="30902265"/>
    <w:rsid w:val="3098505F"/>
    <w:rsid w:val="309F6E50"/>
    <w:rsid w:val="30AA13BF"/>
    <w:rsid w:val="30AC1CB5"/>
    <w:rsid w:val="30B570CD"/>
    <w:rsid w:val="30DA7426"/>
    <w:rsid w:val="30F74F18"/>
    <w:rsid w:val="30FC0E53"/>
    <w:rsid w:val="31195802"/>
    <w:rsid w:val="311B75DA"/>
    <w:rsid w:val="311E23A7"/>
    <w:rsid w:val="312E339F"/>
    <w:rsid w:val="31315F0B"/>
    <w:rsid w:val="31710C6A"/>
    <w:rsid w:val="31926D16"/>
    <w:rsid w:val="31A253EC"/>
    <w:rsid w:val="31A60B9C"/>
    <w:rsid w:val="31AD22F3"/>
    <w:rsid w:val="31BC4D7D"/>
    <w:rsid w:val="31C21800"/>
    <w:rsid w:val="31C628A5"/>
    <w:rsid w:val="31F167D5"/>
    <w:rsid w:val="320570DF"/>
    <w:rsid w:val="321015EA"/>
    <w:rsid w:val="321150C9"/>
    <w:rsid w:val="321B12F1"/>
    <w:rsid w:val="32236990"/>
    <w:rsid w:val="32275B49"/>
    <w:rsid w:val="322B012D"/>
    <w:rsid w:val="322F37A1"/>
    <w:rsid w:val="323D5EBE"/>
    <w:rsid w:val="324E226E"/>
    <w:rsid w:val="32530092"/>
    <w:rsid w:val="32625925"/>
    <w:rsid w:val="32691FEA"/>
    <w:rsid w:val="32696CB3"/>
    <w:rsid w:val="327D1A85"/>
    <w:rsid w:val="32961587"/>
    <w:rsid w:val="32977F80"/>
    <w:rsid w:val="32B15F25"/>
    <w:rsid w:val="32C31931"/>
    <w:rsid w:val="32C85796"/>
    <w:rsid w:val="32CE2FBA"/>
    <w:rsid w:val="32D4454C"/>
    <w:rsid w:val="32DB6743"/>
    <w:rsid w:val="32DF32CE"/>
    <w:rsid w:val="32F341BB"/>
    <w:rsid w:val="3322710C"/>
    <w:rsid w:val="33434A04"/>
    <w:rsid w:val="33491B35"/>
    <w:rsid w:val="334A7C35"/>
    <w:rsid w:val="334E1CB3"/>
    <w:rsid w:val="335039CF"/>
    <w:rsid w:val="335116D8"/>
    <w:rsid w:val="335C0F0C"/>
    <w:rsid w:val="336254B1"/>
    <w:rsid w:val="3369554B"/>
    <w:rsid w:val="33721440"/>
    <w:rsid w:val="33726EA5"/>
    <w:rsid w:val="33751688"/>
    <w:rsid w:val="33754A6A"/>
    <w:rsid w:val="33757788"/>
    <w:rsid w:val="338640F4"/>
    <w:rsid w:val="338721FD"/>
    <w:rsid w:val="339E423D"/>
    <w:rsid w:val="339F0E6C"/>
    <w:rsid w:val="33A1247D"/>
    <w:rsid w:val="33A5289E"/>
    <w:rsid w:val="33B24143"/>
    <w:rsid w:val="33D55AC2"/>
    <w:rsid w:val="33DC3730"/>
    <w:rsid w:val="34056568"/>
    <w:rsid w:val="34270671"/>
    <w:rsid w:val="344A5CAF"/>
    <w:rsid w:val="344D1A76"/>
    <w:rsid w:val="344E47BB"/>
    <w:rsid w:val="34594B05"/>
    <w:rsid w:val="34627E84"/>
    <w:rsid w:val="346C08B7"/>
    <w:rsid w:val="34761B3D"/>
    <w:rsid w:val="34867FFB"/>
    <w:rsid w:val="34925770"/>
    <w:rsid w:val="34967B08"/>
    <w:rsid w:val="349D6091"/>
    <w:rsid w:val="34A73E26"/>
    <w:rsid w:val="34D4418C"/>
    <w:rsid w:val="34D643A8"/>
    <w:rsid w:val="34ED2EF3"/>
    <w:rsid w:val="34FA62E8"/>
    <w:rsid w:val="34FB6280"/>
    <w:rsid w:val="3522139B"/>
    <w:rsid w:val="352D4948"/>
    <w:rsid w:val="35311D03"/>
    <w:rsid w:val="353944EF"/>
    <w:rsid w:val="354218B8"/>
    <w:rsid w:val="354E558D"/>
    <w:rsid w:val="35581E94"/>
    <w:rsid w:val="355A49D6"/>
    <w:rsid w:val="355D6522"/>
    <w:rsid w:val="35777939"/>
    <w:rsid w:val="35884C5D"/>
    <w:rsid w:val="35B07A62"/>
    <w:rsid w:val="35C6128B"/>
    <w:rsid w:val="35CA51B2"/>
    <w:rsid w:val="36056CF3"/>
    <w:rsid w:val="360A255B"/>
    <w:rsid w:val="360C033F"/>
    <w:rsid w:val="360C0B7E"/>
    <w:rsid w:val="360E3D96"/>
    <w:rsid w:val="36112F3A"/>
    <w:rsid w:val="3658242B"/>
    <w:rsid w:val="366E3B27"/>
    <w:rsid w:val="36744FAD"/>
    <w:rsid w:val="36903A61"/>
    <w:rsid w:val="369938DF"/>
    <w:rsid w:val="369F5F8F"/>
    <w:rsid w:val="36AD59FE"/>
    <w:rsid w:val="36AF3103"/>
    <w:rsid w:val="36CF0918"/>
    <w:rsid w:val="36D954F0"/>
    <w:rsid w:val="36E65D73"/>
    <w:rsid w:val="36EA3C82"/>
    <w:rsid w:val="36F1018B"/>
    <w:rsid w:val="3702372A"/>
    <w:rsid w:val="37046FAB"/>
    <w:rsid w:val="370666E5"/>
    <w:rsid w:val="370F1992"/>
    <w:rsid w:val="37386442"/>
    <w:rsid w:val="375657BF"/>
    <w:rsid w:val="37A604E3"/>
    <w:rsid w:val="37AB198C"/>
    <w:rsid w:val="37BF1123"/>
    <w:rsid w:val="37F4354B"/>
    <w:rsid w:val="37F63D3D"/>
    <w:rsid w:val="38063A45"/>
    <w:rsid w:val="380B5EAF"/>
    <w:rsid w:val="381024B9"/>
    <w:rsid w:val="383A131B"/>
    <w:rsid w:val="383A4FDB"/>
    <w:rsid w:val="383F6A65"/>
    <w:rsid w:val="384F7078"/>
    <w:rsid w:val="385202B9"/>
    <w:rsid w:val="385602AE"/>
    <w:rsid w:val="38561A88"/>
    <w:rsid w:val="385F1A9D"/>
    <w:rsid w:val="38663D24"/>
    <w:rsid w:val="386760FE"/>
    <w:rsid w:val="386F2B4A"/>
    <w:rsid w:val="38766B35"/>
    <w:rsid w:val="388552F4"/>
    <w:rsid w:val="389712F2"/>
    <w:rsid w:val="38C1207C"/>
    <w:rsid w:val="38D26C34"/>
    <w:rsid w:val="38FA51F2"/>
    <w:rsid w:val="39004E1E"/>
    <w:rsid w:val="39012D62"/>
    <w:rsid w:val="390234B1"/>
    <w:rsid w:val="39066A92"/>
    <w:rsid w:val="392221BF"/>
    <w:rsid w:val="39283CFF"/>
    <w:rsid w:val="39487399"/>
    <w:rsid w:val="394B7113"/>
    <w:rsid w:val="39663F4D"/>
    <w:rsid w:val="39763510"/>
    <w:rsid w:val="39776003"/>
    <w:rsid w:val="397B0CFF"/>
    <w:rsid w:val="39810557"/>
    <w:rsid w:val="39861EF9"/>
    <w:rsid w:val="398630C2"/>
    <w:rsid w:val="398A0A67"/>
    <w:rsid w:val="399F5FBE"/>
    <w:rsid w:val="39A03524"/>
    <w:rsid w:val="39A9208B"/>
    <w:rsid w:val="39BB25EE"/>
    <w:rsid w:val="39C43445"/>
    <w:rsid w:val="39D81F8A"/>
    <w:rsid w:val="39E901AB"/>
    <w:rsid w:val="39F05C03"/>
    <w:rsid w:val="39F13C19"/>
    <w:rsid w:val="3A0156E4"/>
    <w:rsid w:val="3A063AF2"/>
    <w:rsid w:val="3A242A2F"/>
    <w:rsid w:val="3A424959"/>
    <w:rsid w:val="3A517E64"/>
    <w:rsid w:val="3A6147B6"/>
    <w:rsid w:val="3A6F1D56"/>
    <w:rsid w:val="3A6F4969"/>
    <w:rsid w:val="3A84028B"/>
    <w:rsid w:val="3A8C0826"/>
    <w:rsid w:val="3A8D3267"/>
    <w:rsid w:val="3A9D5653"/>
    <w:rsid w:val="3ACC6031"/>
    <w:rsid w:val="3AD30754"/>
    <w:rsid w:val="3AE50EA1"/>
    <w:rsid w:val="3AF65E7B"/>
    <w:rsid w:val="3B09566E"/>
    <w:rsid w:val="3B0F2A50"/>
    <w:rsid w:val="3B1F598C"/>
    <w:rsid w:val="3B34719D"/>
    <w:rsid w:val="3B4D5A5E"/>
    <w:rsid w:val="3B4F12B2"/>
    <w:rsid w:val="3B542B8C"/>
    <w:rsid w:val="3B651FE2"/>
    <w:rsid w:val="3B730A2C"/>
    <w:rsid w:val="3B8D15A9"/>
    <w:rsid w:val="3B9B2891"/>
    <w:rsid w:val="3BAB20EB"/>
    <w:rsid w:val="3BAF5FC3"/>
    <w:rsid w:val="3BD20289"/>
    <w:rsid w:val="3C0A04BB"/>
    <w:rsid w:val="3C3C0F95"/>
    <w:rsid w:val="3C6766BF"/>
    <w:rsid w:val="3C687FDC"/>
    <w:rsid w:val="3C7057AE"/>
    <w:rsid w:val="3C9F6981"/>
    <w:rsid w:val="3CA950B1"/>
    <w:rsid w:val="3CA97F92"/>
    <w:rsid w:val="3CC00609"/>
    <w:rsid w:val="3CE145D1"/>
    <w:rsid w:val="3CE33B06"/>
    <w:rsid w:val="3CE47AC0"/>
    <w:rsid w:val="3CE47D13"/>
    <w:rsid w:val="3CE551AC"/>
    <w:rsid w:val="3CE91CF5"/>
    <w:rsid w:val="3D0C65E9"/>
    <w:rsid w:val="3D1022FC"/>
    <w:rsid w:val="3D112421"/>
    <w:rsid w:val="3D307327"/>
    <w:rsid w:val="3D4B442E"/>
    <w:rsid w:val="3D657EFC"/>
    <w:rsid w:val="3D8533F6"/>
    <w:rsid w:val="3D8D3850"/>
    <w:rsid w:val="3D9D44EA"/>
    <w:rsid w:val="3DA218C9"/>
    <w:rsid w:val="3DB75277"/>
    <w:rsid w:val="3DB83E47"/>
    <w:rsid w:val="3DC02FE7"/>
    <w:rsid w:val="3DC70F93"/>
    <w:rsid w:val="3DCD5D1F"/>
    <w:rsid w:val="3DD91A8E"/>
    <w:rsid w:val="3E066C7E"/>
    <w:rsid w:val="3E20439F"/>
    <w:rsid w:val="3E35159F"/>
    <w:rsid w:val="3E593ECA"/>
    <w:rsid w:val="3E594080"/>
    <w:rsid w:val="3E697264"/>
    <w:rsid w:val="3E786C20"/>
    <w:rsid w:val="3E8B6203"/>
    <w:rsid w:val="3E9926CE"/>
    <w:rsid w:val="3E9B4AFA"/>
    <w:rsid w:val="3EAF04AC"/>
    <w:rsid w:val="3EB11A19"/>
    <w:rsid w:val="3EB7106D"/>
    <w:rsid w:val="3EC62D97"/>
    <w:rsid w:val="3EC7628C"/>
    <w:rsid w:val="3ECC37DD"/>
    <w:rsid w:val="3EED05B0"/>
    <w:rsid w:val="3F00274D"/>
    <w:rsid w:val="3F156156"/>
    <w:rsid w:val="3F272B84"/>
    <w:rsid w:val="3F591E5E"/>
    <w:rsid w:val="3F5A50A4"/>
    <w:rsid w:val="3F8B2D0B"/>
    <w:rsid w:val="3F966C0E"/>
    <w:rsid w:val="3F9C3D59"/>
    <w:rsid w:val="3FA46EF8"/>
    <w:rsid w:val="3FD94446"/>
    <w:rsid w:val="3FD9721D"/>
    <w:rsid w:val="3FDD483D"/>
    <w:rsid w:val="400C2D1C"/>
    <w:rsid w:val="40537FA2"/>
    <w:rsid w:val="40542227"/>
    <w:rsid w:val="405B7282"/>
    <w:rsid w:val="40603D01"/>
    <w:rsid w:val="4064574F"/>
    <w:rsid w:val="407118A6"/>
    <w:rsid w:val="408535F2"/>
    <w:rsid w:val="40946174"/>
    <w:rsid w:val="4099443B"/>
    <w:rsid w:val="40C31C84"/>
    <w:rsid w:val="40CD0758"/>
    <w:rsid w:val="40D3191C"/>
    <w:rsid w:val="40D53766"/>
    <w:rsid w:val="40D75F92"/>
    <w:rsid w:val="40E51C35"/>
    <w:rsid w:val="40E816EB"/>
    <w:rsid w:val="4114603C"/>
    <w:rsid w:val="41181D29"/>
    <w:rsid w:val="41281B19"/>
    <w:rsid w:val="41303C39"/>
    <w:rsid w:val="41436921"/>
    <w:rsid w:val="414D66CA"/>
    <w:rsid w:val="414F3518"/>
    <w:rsid w:val="414F74CB"/>
    <w:rsid w:val="41526B64"/>
    <w:rsid w:val="415937AA"/>
    <w:rsid w:val="415B6654"/>
    <w:rsid w:val="4160301B"/>
    <w:rsid w:val="417C2EE6"/>
    <w:rsid w:val="418441E5"/>
    <w:rsid w:val="41B026B0"/>
    <w:rsid w:val="41B4781F"/>
    <w:rsid w:val="41C92B51"/>
    <w:rsid w:val="41D1217F"/>
    <w:rsid w:val="41D301C3"/>
    <w:rsid w:val="41D425D0"/>
    <w:rsid w:val="41D623AF"/>
    <w:rsid w:val="41E359F1"/>
    <w:rsid w:val="41E618AB"/>
    <w:rsid w:val="41F875EB"/>
    <w:rsid w:val="41F9484A"/>
    <w:rsid w:val="422B5D33"/>
    <w:rsid w:val="422F49B3"/>
    <w:rsid w:val="423A53A8"/>
    <w:rsid w:val="424C43EF"/>
    <w:rsid w:val="42596511"/>
    <w:rsid w:val="426D6FB1"/>
    <w:rsid w:val="427645CA"/>
    <w:rsid w:val="4276665E"/>
    <w:rsid w:val="427A1E5D"/>
    <w:rsid w:val="42802614"/>
    <w:rsid w:val="42996BE9"/>
    <w:rsid w:val="42B01704"/>
    <w:rsid w:val="42B715D2"/>
    <w:rsid w:val="42CC4106"/>
    <w:rsid w:val="42D23D2A"/>
    <w:rsid w:val="42E45DC4"/>
    <w:rsid w:val="42F26851"/>
    <w:rsid w:val="42FD4492"/>
    <w:rsid w:val="42FE5908"/>
    <w:rsid w:val="4321248F"/>
    <w:rsid w:val="43296C01"/>
    <w:rsid w:val="432A5FEB"/>
    <w:rsid w:val="433858A5"/>
    <w:rsid w:val="4340643A"/>
    <w:rsid w:val="43430E5B"/>
    <w:rsid w:val="434F3389"/>
    <w:rsid w:val="43536240"/>
    <w:rsid w:val="43546230"/>
    <w:rsid w:val="43560B8E"/>
    <w:rsid w:val="435E161E"/>
    <w:rsid w:val="435E4320"/>
    <w:rsid w:val="436A3043"/>
    <w:rsid w:val="437E746D"/>
    <w:rsid w:val="43803870"/>
    <w:rsid w:val="4391606A"/>
    <w:rsid w:val="43920E07"/>
    <w:rsid w:val="43951B04"/>
    <w:rsid w:val="439954D3"/>
    <w:rsid w:val="439D4A0F"/>
    <w:rsid w:val="43A464AB"/>
    <w:rsid w:val="43B934F7"/>
    <w:rsid w:val="43BB0E16"/>
    <w:rsid w:val="43CE3AB2"/>
    <w:rsid w:val="43D30430"/>
    <w:rsid w:val="43D305E5"/>
    <w:rsid w:val="43E82799"/>
    <w:rsid w:val="43F22F37"/>
    <w:rsid w:val="44006D4C"/>
    <w:rsid w:val="440C6A86"/>
    <w:rsid w:val="440D3267"/>
    <w:rsid w:val="44185E43"/>
    <w:rsid w:val="443F5AC6"/>
    <w:rsid w:val="44532839"/>
    <w:rsid w:val="44655B95"/>
    <w:rsid w:val="447F2366"/>
    <w:rsid w:val="4484172B"/>
    <w:rsid w:val="44976919"/>
    <w:rsid w:val="44984355"/>
    <w:rsid w:val="44A41DCD"/>
    <w:rsid w:val="44A8226D"/>
    <w:rsid w:val="44B9769F"/>
    <w:rsid w:val="44CF468B"/>
    <w:rsid w:val="44E2016E"/>
    <w:rsid w:val="44F92FED"/>
    <w:rsid w:val="44FF3496"/>
    <w:rsid w:val="45187FCE"/>
    <w:rsid w:val="45424CC8"/>
    <w:rsid w:val="45432ED5"/>
    <w:rsid w:val="45442C68"/>
    <w:rsid w:val="456934CB"/>
    <w:rsid w:val="4587576E"/>
    <w:rsid w:val="45A95E56"/>
    <w:rsid w:val="45DE0CA6"/>
    <w:rsid w:val="45DF6DFC"/>
    <w:rsid w:val="45FE550D"/>
    <w:rsid w:val="4601483F"/>
    <w:rsid w:val="46032B23"/>
    <w:rsid w:val="4631041E"/>
    <w:rsid w:val="4642364B"/>
    <w:rsid w:val="46576784"/>
    <w:rsid w:val="465832C2"/>
    <w:rsid w:val="466A323F"/>
    <w:rsid w:val="466A3389"/>
    <w:rsid w:val="46760020"/>
    <w:rsid w:val="46857840"/>
    <w:rsid w:val="469D2EE1"/>
    <w:rsid w:val="46A20DF5"/>
    <w:rsid w:val="46A7659A"/>
    <w:rsid w:val="46C422B2"/>
    <w:rsid w:val="46CA0403"/>
    <w:rsid w:val="46DC4EDC"/>
    <w:rsid w:val="46E62229"/>
    <w:rsid w:val="46F722E3"/>
    <w:rsid w:val="47004D4B"/>
    <w:rsid w:val="47077001"/>
    <w:rsid w:val="471A5648"/>
    <w:rsid w:val="4723437D"/>
    <w:rsid w:val="472A4785"/>
    <w:rsid w:val="472C5380"/>
    <w:rsid w:val="47310E99"/>
    <w:rsid w:val="4734684B"/>
    <w:rsid w:val="47482EE3"/>
    <w:rsid w:val="474B4782"/>
    <w:rsid w:val="474C39E8"/>
    <w:rsid w:val="474D4056"/>
    <w:rsid w:val="475353E4"/>
    <w:rsid w:val="476A5FE9"/>
    <w:rsid w:val="476E73D5"/>
    <w:rsid w:val="478E0EEE"/>
    <w:rsid w:val="47966CBC"/>
    <w:rsid w:val="479743CD"/>
    <w:rsid w:val="47A105C3"/>
    <w:rsid w:val="47A5053C"/>
    <w:rsid w:val="47A56D93"/>
    <w:rsid w:val="47C4015E"/>
    <w:rsid w:val="47CE3316"/>
    <w:rsid w:val="47DF48FA"/>
    <w:rsid w:val="482079C8"/>
    <w:rsid w:val="483B09CE"/>
    <w:rsid w:val="48420029"/>
    <w:rsid w:val="48541414"/>
    <w:rsid w:val="48567FBE"/>
    <w:rsid w:val="485D4A73"/>
    <w:rsid w:val="48711FC6"/>
    <w:rsid w:val="487337D1"/>
    <w:rsid w:val="488E0DCA"/>
    <w:rsid w:val="48903FD0"/>
    <w:rsid w:val="49001E86"/>
    <w:rsid w:val="4903354C"/>
    <w:rsid w:val="49170022"/>
    <w:rsid w:val="491C0184"/>
    <w:rsid w:val="491F1DB5"/>
    <w:rsid w:val="491F6ADB"/>
    <w:rsid w:val="49450D2C"/>
    <w:rsid w:val="49576275"/>
    <w:rsid w:val="49724248"/>
    <w:rsid w:val="498168D9"/>
    <w:rsid w:val="498F101A"/>
    <w:rsid w:val="49996928"/>
    <w:rsid w:val="499D417F"/>
    <w:rsid w:val="49A308A5"/>
    <w:rsid w:val="49B42A52"/>
    <w:rsid w:val="49B45CBF"/>
    <w:rsid w:val="49B84C30"/>
    <w:rsid w:val="49CA6B4B"/>
    <w:rsid w:val="49CB2C12"/>
    <w:rsid w:val="49E00E78"/>
    <w:rsid w:val="49EC224C"/>
    <w:rsid w:val="49F64E88"/>
    <w:rsid w:val="49FF2065"/>
    <w:rsid w:val="4A02184E"/>
    <w:rsid w:val="4A157827"/>
    <w:rsid w:val="4A4821B9"/>
    <w:rsid w:val="4A5E2A9C"/>
    <w:rsid w:val="4A5E47CC"/>
    <w:rsid w:val="4A632656"/>
    <w:rsid w:val="4A725C9D"/>
    <w:rsid w:val="4A766035"/>
    <w:rsid w:val="4A8000DF"/>
    <w:rsid w:val="4A887463"/>
    <w:rsid w:val="4AAD521B"/>
    <w:rsid w:val="4AB10DA0"/>
    <w:rsid w:val="4AB30EDE"/>
    <w:rsid w:val="4AB800F0"/>
    <w:rsid w:val="4ACE77F7"/>
    <w:rsid w:val="4ACF2867"/>
    <w:rsid w:val="4AD1729D"/>
    <w:rsid w:val="4AE72A13"/>
    <w:rsid w:val="4B1E0524"/>
    <w:rsid w:val="4B341F77"/>
    <w:rsid w:val="4B441EFE"/>
    <w:rsid w:val="4B7156DF"/>
    <w:rsid w:val="4B77489C"/>
    <w:rsid w:val="4B7D207A"/>
    <w:rsid w:val="4B875EB6"/>
    <w:rsid w:val="4B94520F"/>
    <w:rsid w:val="4B9D25BB"/>
    <w:rsid w:val="4B9E12F2"/>
    <w:rsid w:val="4BA33AB6"/>
    <w:rsid w:val="4BC20D72"/>
    <w:rsid w:val="4BCD4B5F"/>
    <w:rsid w:val="4BD333DE"/>
    <w:rsid w:val="4BE10F10"/>
    <w:rsid w:val="4BE967D6"/>
    <w:rsid w:val="4BFB49C8"/>
    <w:rsid w:val="4C4157ED"/>
    <w:rsid w:val="4C421888"/>
    <w:rsid w:val="4C4F212A"/>
    <w:rsid w:val="4C5440D8"/>
    <w:rsid w:val="4C6514B0"/>
    <w:rsid w:val="4C7327B1"/>
    <w:rsid w:val="4C7D1FFD"/>
    <w:rsid w:val="4C7E695A"/>
    <w:rsid w:val="4C907B89"/>
    <w:rsid w:val="4CC21B1C"/>
    <w:rsid w:val="4CD81B01"/>
    <w:rsid w:val="4CDE2D5F"/>
    <w:rsid w:val="4CE84A8B"/>
    <w:rsid w:val="4CF5763E"/>
    <w:rsid w:val="4CFD7601"/>
    <w:rsid w:val="4D010FAA"/>
    <w:rsid w:val="4D0A0C4A"/>
    <w:rsid w:val="4D217F05"/>
    <w:rsid w:val="4D2C6E03"/>
    <w:rsid w:val="4D3F7CBF"/>
    <w:rsid w:val="4D510618"/>
    <w:rsid w:val="4D95480F"/>
    <w:rsid w:val="4D9C4D4C"/>
    <w:rsid w:val="4DA66F14"/>
    <w:rsid w:val="4DB43081"/>
    <w:rsid w:val="4DC46301"/>
    <w:rsid w:val="4DCD50C4"/>
    <w:rsid w:val="4DFA480C"/>
    <w:rsid w:val="4DFC0F2A"/>
    <w:rsid w:val="4DFE3CC8"/>
    <w:rsid w:val="4E130E34"/>
    <w:rsid w:val="4E2462A3"/>
    <w:rsid w:val="4E313C6D"/>
    <w:rsid w:val="4E4E418E"/>
    <w:rsid w:val="4E4E7182"/>
    <w:rsid w:val="4E551D06"/>
    <w:rsid w:val="4EA77602"/>
    <w:rsid w:val="4EC32721"/>
    <w:rsid w:val="4EC9737A"/>
    <w:rsid w:val="4ECA4C11"/>
    <w:rsid w:val="4EDA40B7"/>
    <w:rsid w:val="4EFA5C39"/>
    <w:rsid w:val="4EFF12CC"/>
    <w:rsid w:val="4F0A7123"/>
    <w:rsid w:val="4F1526F7"/>
    <w:rsid w:val="4F164969"/>
    <w:rsid w:val="4F2A3762"/>
    <w:rsid w:val="4F2D7361"/>
    <w:rsid w:val="4F2E0DB1"/>
    <w:rsid w:val="4F2E2590"/>
    <w:rsid w:val="4F3B21A6"/>
    <w:rsid w:val="4F3E2633"/>
    <w:rsid w:val="4F534CF1"/>
    <w:rsid w:val="4F5D1544"/>
    <w:rsid w:val="4F7227F4"/>
    <w:rsid w:val="4F930BF0"/>
    <w:rsid w:val="4FA9473B"/>
    <w:rsid w:val="4FBB70EF"/>
    <w:rsid w:val="4FD41C1D"/>
    <w:rsid w:val="4FED2322"/>
    <w:rsid w:val="4FF430A3"/>
    <w:rsid w:val="4FF754A7"/>
    <w:rsid w:val="4FFD53C6"/>
    <w:rsid w:val="50253962"/>
    <w:rsid w:val="503404A9"/>
    <w:rsid w:val="503B1837"/>
    <w:rsid w:val="503D1B16"/>
    <w:rsid w:val="5074268E"/>
    <w:rsid w:val="507765E7"/>
    <w:rsid w:val="50827466"/>
    <w:rsid w:val="508E47DC"/>
    <w:rsid w:val="50A653A6"/>
    <w:rsid w:val="50A74391"/>
    <w:rsid w:val="50AD4642"/>
    <w:rsid w:val="50AE3F83"/>
    <w:rsid w:val="50AF332F"/>
    <w:rsid w:val="50C23D07"/>
    <w:rsid w:val="50CF7A4B"/>
    <w:rsid w:val="50D61560"/>
    <w:rsid w:val="50E7376D"/>
    <w:rsid w:val="50EA4605"/>
    <w:rsid w:val="50EF6475"/>
    <w:rsid w:val="510559A1"/>
    <w:rsid w:val="5137564E"/>
    <w:rsid w:val="515649F7"/>
    <w:rsid w:val="515C0CB9"/>
    <w:rsid w:val="5167665C"/>
    <w:rsid w:val="51767882"/>
    <w:rsid w:val="517F39A6"/>
    <w:rsid w:val="51954F77"/>
    <w:rsid w:val="519D7D9F"/>
    <w:rsid w:val="51A56C12"/>
    <w:rsid w:val="51A74CAA"/>
    <w:rsid w:val="51AE57EB"/>
    <w:rsid w:val="51AF6428"/>
    <w:rsid w:val="51C5065E"/>
    <w:rsid w:val="51CB4FD8"/>
    <w:rsid w:val="51D65E39"/>
    <w:rsid w:val="51F10280"/>
    <w:rsid w:val="520923F4"/>
    <w:rsid w:val="5211020B"/>
    <w:rsid w:val="522335F5"/>
    <w:rsid w:val="5259519B"/>
    <w:rsid w:val="525F10E1"/>
    <w:rsid w:val="526951E8"/>
    <w:rsid w:val="526D5486"/>
    <w:rsid w:val="52734C27"/>
    <w:rsid w:val="527F4DDE"/>
    <w:rsid w:val="528354D8"/>
    <w:rsid w:val="529E7DC9"/>
    <w:rsid w:val="52A1157D"/>
    <w:rsid w:val="52BC5299"/>
    <w:rsid w:val="52BE3F2B"/>
    <w:rsid w:val="52DB7D52"/>
    <w:rsid w:val="52DF1808"/>
    <w:rsid w:val="52EB4548"/>
    <w:rsid w:val="52F1442F"/>
    <w:rsid w:val="52F537F4"/>
    <w:rsid w:val="53042AF4"/>
    <w:rsid w:val="53046E5C"/>
    <w:rsid w:val="530C74BB"/>
    <w:rsid w:val="531F5861"/>
    <w:rsid w:val="5323131A"/>
    <w:rsid w:val="532452B2"/>
    <w:rsid w:val="5325692F"/>
    <w:rsid w:val="532C40B8"/>
    <w:rsid w:val="532F3685"/>
    <w:rsid w:val="53312062"/>
    <w:rsid w:val="533D3764"/>
    <w:rsid w:val="534520F6"/>
    <w:rsid w:val="53570BE3"/>
    <w:rsid w:val="535B4CF0"/>
    <w:rsid w:val="53877FA0"/>
    <w:rsid w:val="539C014A"/>
    <w:rsid w:val="53D53067"/>
    <w:rsid w:val="53DB2671"/>
    <w:rsid w:val="53DF21E1"/>
    <w:rsid w:val="53FB1D4F"/>
    <w:rsid w:val="5400093A"/>
    <w:rsid w:val="540F7BC3"/>
    <w:rsid w:val="54173BA7"/>
    <w:rsid w:val="542756A8"/>
    <w:rsid w:val="542D696A"/>
    <w:rsid w:val="54353513"/>
    <w:rsid w:val="543E150A"/>
    <w:rsid w:val="544C0EC8"/>
    <w:rsid w:val="54585672"/>
    <w:rsid w:val="54792823"/>
    <w:rsid w:val="54860D8B"/>
    <w:rsid w:val="54AE3209"/>
    <w:rsid w:val="54B53687"/>
    <w:rsid w:val="54C067AF"/>
    <w:rsid w:val="54F93614"/>
    <w:rsid w:val="551E54F0"/>
    <w:rsid w:val="55244285"/>
    <w:rsid w:val="552C0249"/>
    <w:rsid w:val="55411377"/>
    <w:rsid w:val="55477DF6"/>
    <w:rsid w:val="554A3840"/>
    <w:rsid w:val="5569348D"/>
    <w:rsid w:val="55801A9A"/>
    <w:rsid w:val="55992746"/>
    <w:rsid w:val="55BC4F12"/>
    <w:rsid w:val="55C2530E"/>
    <w:rsid w:val="55EB2CB7"/>
    <w:rsid w:val="55FA1920"/>
    <w:rsid w:val="55FB295D"/>
    <w:rsid w:val="55FD4DC8"/>
    <w:rsid w:val="5614541B"/>
    <w:rsid w:val="561E32EC"/>
    <w:rsid w:val="562543F0"/>
    <w:rsid w:val="563665FD"/>
    <w:rsid w:val="563A49BB"/>
    <w:rsid w:val="563A7087"/>
    <w:rsid w:val="563C1C71"/>
    <w:rsid w:val="564113F3"/>
    <w:rsid w:val="56462CE4"/>
    <w:rsid w:val="564B654C"/>
    <w:rsid w:val="56552F27"/>
    <w:rsid w:val="565624EC"/>
    <w:rsid w:val="565E43EA"/>
    <w:rsid w:val="566A18BC"/>
    <w:rsid w:val="569549B7"/>
    <w:rsid w:val="569A4DDE"/>
    <w:rsid w:val="569B59A6"/>
    <w:rsid w:val="569E48CE"/>
    <w:rsid w:val="56A22F6E"/>
    <w:rsid w:val="56BA3B21"/>
    <w:rsid w:val="56C20E52"/>
    <w:rsid w:val="56C61153"/>
    <w:rsid w:val="56E878F7"/>
    <w:rsid w:val="56EB365B"/>
    <w:rsid w:val="56EB5639"/>
    <w:rsid w:val="56F00AC2"/>
    <w:rsid w:val="570D0833"/>
    <w:rsid w:val="57132F95"/>
    <w:rsid w:val="57135F32"/>
    <w:rsid w:val="57254706"/>
    <w:rsid w:val="572D56F6"/>
    <w:rsid w:val="57300263"/>
    <w:rsid w:val="573174F0"/>
    <w:rsid w:val="57424D8B"/>
    <w:rsid w:val="574D7792"/>
    <w:rsid w:val="57642833"/>
    <w:rsid w:val="57645DA8"/>
    <w:rsid w:val="57653378"/>
    <w:rsid w:val="576A4386"/>
    <w:rsid w:val="576C677A"/>
    <w:rsid w:val="57817915"/>
    <w:rsid w:val="57824F33"/>
    <w:rsid w:val="57835872"/>
    <w:rsid w:val="578568C0"/>
    <w:rsid w:val="5798051C"/>
    <w:rsid w:val="57D80949"/>
    <w:rsid w:val="57D87D44"/>
    <w:rsid w:val="57E026C2"/>
    <w:rsid w:val="57F65472"/>
    <w:rsid w:val="57FF4FE0"/>
    <w:rsid w:val="5803166F"/>
    <w:rsid w:val="58186BCB"/>
    <w:rsid w:val="581A7F84"/>
    <w:rsid w:val="58430210"/>
    <w:rsid w:val="58443253"/>
    <w:rsid w:val="58596FF9"/>
    <w:rsid w:val="5863214C"/>
    <w:rsid w:val="58717162"/>
    <w:rsid w:val="587E6229"/>
    <w:rsid w:val="587F6039"/>
    <w:rsid w:val="58820CF4"/>
    <w:rsid w:val="5886138F"/>
    <w:rsid w:val="589439A2"/>
    <w:rsid w:val="589A70FA"/>
    <w:rsid w:val="58B51B98"/>
    <w:rsid w:val="58ED1A4E"/>
    <w:rsid w:val="58F70636"/>
    <w:rsid w:val="5915074C"/>
    <w:rsid w:val="59274E7B"/>
    <w:rsid w:val="59352B9C"/>
    <w:rsid w:val="5946464E"/>
    <w:rsid w:val="59493C33"/>
    <w:rsid w:val="59783547"/>
    <w:rsid w:val="598F6750"/>
    <w:rsid w:val="599A24D6"/>
    <w:rsid w:val="59B265B3"/>
    <w:rsid w:val="59BE7035"/>
    <w:rsid w:val="59D90852"/>
    <w:rsid w:val="59DA3B15"/>
    <w:rsid w:val="59DA4430"/>
    <w:rsid w:val="59DE164A"/>
    <w:rsid w:val="59E933CD"/>
    <w:rsid w:val="5A145B03"/>
    <w:rsid w:val="5A1A6894"/>
    <w:rsid w:val="5A1F7AD4"/>
    <w:rsid w:val="5A2B12B6"/>
    <w:rsid w:val="5A3C4D01"/>
    <w:rsid w:val="5A3C7FD0"/>
    <w:rsid w:val="5A400973"/>
    <w:rsid w:val="5A412822"/>
    <w:rsid w:val="5A44572C"/>
    <w:rsid w:val="5A4E1434"/>
    <w:rsid w:val="5A5454B4"/>
    <w:rsid w:val="5A5619A2"/>
    <w:rsid w:val="5A785436"/>
    <w:rsid w:val="5A7D0C9E"/>
    <w:rsid w:val="5A8C2C8F"/>
    <w:rsid w:val="5A971D60"/>
    <w:rsid w:val="5AA549B2"/>
    <w:rsid w:val="5AB47560"/>
    <w:rsid w:val="5AEA7AAE"/>
    <w:rsid w:val="5B0609B8"/>
    <w:rsid w:val="5B2858FF"/>
    <w:rsid w:val="5B2869DF"/>
    <w:rsid w:val="5B2C323B"/>
    <w:rsid w:val="5B2E395A"/>
    <w:rsid w:val="5B394BC5"/>
    <w:rsid w:val="5B5104F9"/>
    <w:rsid w:val="5B6E1183"/>
    <w:rsid w:val="5B750708"/>
    <w:rsid w:val="5B782E31"/>
    <w:rsid w:val="5B977FA5"/>
    <w:rsid w:val="5BA1079C"/>
    <w:rsid w:val="5BA82CEF"/>
    <w:rsid w:val="5BAC4E3A"/>
    <w:rsid w:val="5BAD7361"/>
    <w:rsid w:val="5BB94E75"/>
    <w:rsid w:val="5BBC6C4B"/>
    <w:rsid w:val="5BC03CC5"/>
    <w:rsid w:val="5BC35C41"/>
    <w:rsid w:val="5BF32F12"/>
    <w:rsid w:val="5BFC424E"/>
    <w:rsid w:val="5BFC6A45"/>
    <w:rsid w:val="5BFE6CB5"/>
    <w:rsid w:val="5C0D6ACB"/>
    <w:rsid w:val="5C132561"/>
    <w:rsid w:val="5C183ED9"/>
    <w:rsid w:val="5C190553"/>
    <w:rsid w:val="5C1A2C7C"/>
    <w:rsid w:val="5C272751"/>
    <w:rsid w:val="5C362AF4"/>
    <w:rsid w:val="5C367357"/>
    <w:rsid w:val="5C3D09D4"/>
    <w:rsid w:val="5C3E4720"/>
    <w:rsid w:val="5C50666A"/>
    <w:rsid w:val="5C526BB4"/>
    <w:rsid w:val="5C68420D"/>
    <w:rsid w:val="5C860366"/>
    <w:rsid w:val="5C874805"/>
    <w:rsid w:val="5C8B5219"/>
    <w:rsid w:val="5C985F89"/>
    <w:rsid w:val="5CA42512"/>
    <w:rsid w:val="5CBA1D36"/>
    <w:rsid w:val="5CD17909"/>
    <w:rsid w:val="5CDB3A5A"/>
    <w:rsid w:val="5CE86655"/>
    <w:rsid w:val="5CF0479A"/>
    <w:rsid w:val="5D0343AB"/>
    <w:rsid w:val="5D0E3E30"/>
    <w:rsid w:val="5D137CDB"/>
    <w:rsid w:val="5D165361"/>
    <w:rsid w:val="5D1E7271"/>
    <w:rsid w:val="5D501370"/>
    <w:rsid w:val="5D54455B"/>
    <w:rsid w:val="5D5C5B59"/>
    <w:rsid w:val="5D664D12"/>
    <w:rsid w:val="5D6C2195"/>
    <w:rsid w:val="5D7719D5"/>
    <w:rsid w:val="5D8A2A3E"/>
    <w:rsid w:val="5D9A31DD"/>
    <w:rsid w:val="5DBE1924"/>
    <w:rsid w:val="5DC50F95"/>
    <w:rsid w:val="5DD07349"/>
    <w:rsid w:val="5DD514C0"/>
    <w:rsid w:val="5DF83F4A"/>
    <w:rsid w:val="5E074110"/>
    <w:rsid w:val="5E075C5B"/>
    <w:rsid w:val="5E30314D"/>
    <w:rsid w:val="5E377542"/>
    <w:rsid w:val="5E3909A9"/>
    <w:rsid w:val="5E4C2575"/>
    <w:rsid w:val="5E4E6BDA"/>
    <w:rsid w:val="5E7056F4"/>
    <w:rsid w:val="5E7B4EF1"/>
    <w:rsid w:val="5E8C454C"/>
    <w:rsid w:val="5E9A7920"/>
    <w:rsid w:val="5E9B1166"/>
    <w:rsid w:val="5EAF2742"/>
    <w:rsid w:val="5EC52109"/>
    <w:rsid w:val="5ED370DF"/>
    <w:rsid w:val="5EDC6635"/>
    <w:rsid w:val="5EDF242A"/>
    <w:rsid w:val="5EEC4CC9"/>
    <w:rsid w:val="5F057C39"/>
    <w:rsid w:val="5F0B4ACB"/>
    <w:rsid w:val="5F1D2C2C"/>
    <w:rsid w:val="5F294C7B"/>
    <w:rsid w:val="5F300244"/>
    <w:rsid w:val="5F376244"/>
    <w:rsid w:val="5F387DD8"/>
    <w:rsid w:val="5F3C3301"/>
    <w:rsid w:val="5F610F9A"/>
    <w:rsid w:val="5F8674F3"/>
    <w:rsid w:val="5F9B478A"/>
    <w:rsid w:val="5FB200E2"/>
    <w:rsid w:val="5FC21492"/>
    <w:rsid w:val="5FC829BC"/>
    <w:rsid w:val="5FDF2F66"/>
    <w:rsid w:val="5FE34F6C"/>
    <w:rsid w:val="5FFF0B49"/>
    <w:rsid w:val="600126E8"/>
    <w:rsid w:val="600F713A"/>
    <w:rsid w:val="60133980"/>
    <w:rsid w:val="60163727"/>
    <w:rsid w:val="601C4AB5"/>
    <w:rsid w:val="6022031E"/>
    <w:rsid w:val="60432042"/>
    <w:rsid w:val="60442474"/>
    <w:rsid w:val="605B2C60"/>
    <w:rsid w:val="607262A7"/>
    <w:rsid w:val="6074075C"/>
    <w:rsid w:val="607D5362"/>
    <w:rsid w:val="607E751E"/>
    <w:rsid w:val="607F2085"/>
    <w:rsid w:val="60867604"/>
    <w:rsid w:val="60943F1E"/>
    <w:rsid w:val="60984DEA"/>
    <w:rsid w:val="60995615"/>
    <w:rsid w:val="609B6985"/>
    <w:rsid w:val="609C2468"/>
    <w:rsid w:val="609C3E58"/>
    <w:rsid w:val="60B36BF2"/>
    <w:rsid w:val="60B66CB8"/>
    <w:rsid w:val="60F55141"/>
    <w:rsid w:val="60FE6DBB"/>
    <w:rsid w:val="6137101A"/>
    <w:rsid w:val="613A21EB"/>
    <w:rsid w:val="613E1396"/>
    <w:rsid w:val="61804F0D"/>
    <w:rsid w:val="61B42655"/>
    <w:rsid w:val="61B64AE6"/>
    <w:rsid w:val="61D27B22"/>
    <w:rsid w:val="61D513C0"/>
    <w:rsid w:val="61E34F3D"/>
    <w:rsid w:val="61EA38D4"/>
    <w:rsid w:val="61EB04E9"/>
    <w:rsid w:val="61F061FA"/>
    <w:rsid w:val="61FE0917"/>
    <w:rsid w:val="620402FE"/>
    <w:rsid w:val="62046334"/>
    <w:rsid w:val="620A1884"/>
    <w:rsid w:val="620C69DC"/>
    <w:rsid w:val="6213162C"/>
    <w:rsid w:val="6224761B"/>
    <w:rsid w:val="6228517F"/>
    <w:rsid w:val="622B7208"/>
    <w:rsid w:val="622C52DC"/>
    <w:rsid w:val="622F4266"/>
    <w:rsid w:val="62462A72"/>
    <w:rsid w:val="624677D1"/>
    <w:rsid w:val="624C3685"/>
    <w:rsid w:val="62650403"/>
    <w:rsid w:val="62726C0F"/>
    <w:rsid w:val="627C3CEC"/>
    <w:rsid w:val="628473A8"/>
    <w:rsid w:val="62877B78"/>
    <w:rsid w:val="62884045"/>
    <w:rsid w:val="62957F7C"/>
    <w:rsid w:val="62A72D5C"/>
    <w:rsid w:val="63030F14"/>
    <w:rsid w:val="63167739"/>
    <w:rsid w:val="63254ABA"/>
    <w:rsid w:val="632E513F"/>
    <w:rsid w:val="636173F7"/>
    <w:rsid w:val="637F5A87"/>
    <w:rsid w:val="6384309D"/>
    <w:rsid w:val="63AE011A"/>
    <w:rsid w:val="63B95C1F"/>
    <w:rsid w:val="63CB65D6"/>
    <w:rsid w:val="63DA0F0F"/>
    <w:rsid w:val="63E15DFA"/>
    <w:rsid w:val="63EA7B26"/>
    <w:rsid w:val="6408290B"/>
    <w:rsid w:val="64090C05"/>
    <w:rsid w:val="640E45E6"/>
    <w:rsid w:val="641A52C3"/>
    <w:rsid w:val="642A77A1"/>
    <w:rsid w:val="64541116"/>
    <w:rsid w:val="646E271F"/>
    <w:rsid w:val="647608C3"/>
    <w:rsid w:val="6488223E"/>
    <w:rsid w:val="64A036C7"/>
    <w:rsid w:val="64C00105"/>
    <w:rsid w:val="64D92F75"/>
    <w:rsid w:val="64DC2AF9"/>
    <w:rsid w:val="64EC5F80"/>
    <w:rsid w:val="65044496"/>
    <w:rsid w:val="650A5824"/>
    <w:rsid w:val="650C63A1"/>
    <w:rsid w:val="65337C11"/>
    <w:rsid w:val="65366619"/>
    <w:rsid w:val="653D6D7E"/>
    <w:rsid w:val="653F4940"/>
    <w:rsid w:val="6549634D"/>
    <w:rsid w:val="655D3BA6"/>
    <w:rsid w:val="655F347A"/>
    <w:rsid w:val="658630FD"/>
    <w:rsid w:val="65905D2A"/>
    <w:rsid w:val="65A12770"/>
    <w:rsid w:val="65A437DE"/>
    <w:rsid w:val="65AA5825"/>
    <w:rsid w:val="65B03CD6"/>
    <w:rsid w:val="65C46E98"/>
    <w:rsid w:val="65D74FDB"/>
    <w:rsid w:val="65DE0E3B"/>
    <w:rsid w:val="65E3463F"/>
    <w:rsid w:val="66074D7E"/>
    <w:rsid w:val="660D08FC"/>
    <w:rsid w:val="661462F7"/>
    <w:rsid w:val="661B1629"/>
    <w:rsid w:val="661D3CEB"/>
    <w:rsid w:val="662B5A52"/>
    <w:rsid w:val="66331F4E"/>
    <w:rsid w:val="66384703"/>
    <w:rsid w:val="664743D7"/>
    <w:rsid w:val="666D1DE3"/>
    <w:rsid w:val="668458AE"/>
    <w:rsid w:val="668F0FBE"/>
    <w:rsid w:val="66952ECC"/>
    <w:rsid w:val="669B001E"/>
    <w:rsid w:val="66A001EE"/>
    <w:rsid w:val="66A6148B"/>
    <w:rsid w:val="66B53389"/>
    <w:rsid w:val="66B60F58"/>
    <w:rsid w:val="66BB66F3"/>
    <w:rsid w:val="66E30E48"/>
    <w:rsid w:val="66FD3032"/>
    <w:rsid w:val="67010AE3"/>
    <w:rsid w:val="6722281C"/>
    <w:rsid w:val="672F2586"/>
    <w:rsid w:val="674F05BA"/>
    <w:rsid w:val="67667090"/>
    <w:rsid w:val="67685576"/>
    <w:rsid w:val="67761366"/>
    <w:rsid w:val="67873ACE"/>
    <w:rsid w:val="67915ACE"/>
    <w:rsid w:val="679E0CF7"/>
    <w:rsid w:val="67A62374"/>
    <w:rsid w:val="67AF7FBD"/>
    <w:rsid w:val="67B6134C"/>
    <w:rsid w:val="67C24194"/>
    <w:rsid w:val="67C373D8"/>
    <w:rsid w:val="67D14D5D"/>
    <w:rsid w:val="67F82D86"/>
    <w:rsid w:val="67FD6785"/>
    <w:rsid w:val="68002120"/>
    <w:rsid w:val="680A0EA3"/>
    <w:rsid w:val="680D1350"/>
    <w:rsid w:val="68283B33"/>
    <w:rsid w:val="68731EA2"/>
    <w:rsid w:val="68792802"/>
    <w:rsid w:val="68884A81"/>
    <w:rsid w:val="68A468B0"/>
    <w:rsid w:val="68AB5DF2"/>
    <w:rsid w:val="68D57C80"/>
    <w:rsid w:val="68E16A8B"/>
    <w:rsid w:val="68E814B4"/>
    <w:rsid w:val="68F760C0"/>
    <w:rsid w:val="68F91EAB"/>
    <w:rsid w:val="69015F65"/>
    <w:rsid w:val="690B0FB3"/>
    <w:rsid w:val="69154D60"/>
    <w:rsid w:val="692C3FBB"/>
    <w:rsid w:val="69390486"/>
    <w:rsid w:val="69391248"/>
    <w:rsid w:val="694A6DBA"/>
    <w:rsid w:val="694B7999"/>
    <w:rsid w:val="69561669"/>
    <w:rsid w:val="696308EF"/>
    <w:rsid w:val="69690D6B"/>
    <w:rsid w:val="697649D8"/>
    <w:rsid w:val="69BF503E"/>
    <w:rsid w:val="69CD7FDE"/>
    <w:rsid w:val="69DD4CC4"/>
    <w:rsid w:val="69EB4974"/>
    <w:rsid w:val="6A026ACA"/>
    <w:rsid w:val="6A035CBE"/>
    <w:rsid w:val="6A0B1E23"/>
    <w:rsid w:val="6A2268B6"/>
    <w:rsid w:val="6A3828E1"/>
    <w:rsid w:val="6A3E3186"/>
    <w:rsid w:val="6A517405"/>
    <w:rsid w:val="6A670259"/>
    <w:rsid w:val="6A964D1C"/>
    <w:rsid w:val="6AB46016"/>
    <w:rsid w:val="6AB56656"/>
    <w:rsid w:val="6AC41D5C"/>
    <w:rsid w:val="6AD95DA6"/>
    <w:rsid w:val="6ADF6E0B"/>
    <w:rsid w:val="6AE2354A"/>
    <w:rsid w:val="6AE50085"/>
    <w:rsid w:val="6AF83AA5"/>
    <w:rsid w:val="6B0F5943"/>
    <w:rsid w:val="6B124E35"/>
    <w:rsid w:val="6B142F59"/>
    <w:rsid w:val="6B215C24"/>
    <w:rsid w:val="6B22477C"/>
    <w:rsid w:val="6B275FB9"/>
    <w:rsid w:val="6B277886"/>
    <w:rsid w:val="6B320A31"/>
    <w:rsid w:val="6B432C49"/>
    <w:rsid w:val="6B453112"/>
    <w:rsid w:val="6B491DA4"/>
    <w:rsid w:val="6B4C5855"/>
    <w:rsid w:val="6B5B4BE4"/>
    <w:rsid w:val="6B5D28FD"/>
    <w:rsid w:val="6B5E4D2E"/>
    <w:rsid w:val="6B5E656A"/>
    <w:rsid w:val="6B64270F"/>
    <w:rsid w:val="6B7548D8"/>
    <w:rsid w:val="6B76151E"/>
    <w:rsid w:val="6B782F23"/>
    <w:rsid w:val="6B7A6816"/>
    <w:rsid w:val="6BA50055"/>
    <w:rsid w:val="6BAE35C5"/>
    <w:rsid w:val="6BC45F99"/>
    <w:rsid w:val="6BD513B6"/>
    <w:rsid w:val="6BE116D3"/>
    <w:rsid w:val="6BE8306A"/>
    <w:rsid w:val="6BFA3EFD"/>
    <w:rsid w:val="6C07486C"/>
    <w:rsid w:val="6C2A7865"/>
    <w:rsid w:val="6C3867D3"/>
    <w:rsid w:val="6C4660BB"/>
    <w:rsid w:val="6C526298"/>
    <w:rsid w:val="6C530787"/>
    <w:rsid w:val="6C6367C2"/>
    <w:rsid w:val="6C6A54FD"/>
    <w:rsid w:val="6CC50D33"/>
    <w:rsid w:val="6CC5175A"/>
    <w:rsid w:val="6CC60283"/>
    <w:rsid w:val="6CD00A32"/>
    <w:rsid w:val="6CDA6279"/>
    <w:rsid w:val="6CDC102D"/>
    <w:rsid w:val="6CFA1CDB"/>
    <w:rsid w:val="6CFE15EE"/>
    <w:rsid w:val="6D282CEC"/>
    <w:rsid w:val="6D2A0812"/>
    <w:rsid w:val="6D6F4477"/>
    <w:rsid w:val="6D8C535B"/>
    <w:rsid w:val="6DB166DC"/>
    <w:rsid w:val="6DB70CB4"/>
    <w:rsid w:val="6DD14180"/>
    <w:rsid w:val="6DD32C57"/>
    <w:rsid w:val="6DE621AD"/>
    <w:rsid w:val="6DFB2A19"/>
    <w:rsid w:val="6E0607EE"/>
    <w:rsid w:val="6E094352"/>
    <w:rsid w:val="6E0F462F"/>
    <w:rsid w:val="6E146DCC"/>
    <w:rsid w:val="6E60557F"/>
    <w:rsid w:val="6E677F40"/>
    <w:rsid w:val="6E94732E"/>
    <w:rsid w:val="6E9B3A2D"/>
    <w:rsid w:val="6EAE2370"/>
    <w:rsid w:val="6EC033A9"/>
    <w:rsid w:val="6EC4018B"/>
    <w:rsid w:val="6F190B3E"/>
    <w:rsid w:val="6F1E6154"/>
    <w:rsid w:val="6F305CBB"/>
    <w:rsid w:val="6F676886"/>
    <w:rsid w:val="6F77047B"/>
    <w:rsid w:val="6F815117"/>
    <w:rsid w:val="6F896506"/>
    <w:rsid w:val="6FB74415"/>
    <w:rsid w:val="6FC21CA4"/>
    <w:rsid w:val="6FC26A88"/>
    <w:rsid w:val="6FD6356B"/>
    <w:rsid w:val="6FE319C4"/>
    <w:rsid w:val="6FE84BCD"/>
    <w:rsid w:val="6FF25912"/>
    <w:rsid w:val="6FFE7D75"/>
    <w:rsid w:val="700047DF"/>
    <w:rsid w:val="700E2E3C"/>
    <w:rsid w:val="701704A4"/>
    <w:rsid w:val="702A2DF0"/>
    <w:rsid w:val="706E310B"/>
    <w:rsid w:val="706E412C"/>
    <w:rsid w:val="708F3F4F"/>
    <w:rsid w:val="70CF5BF0"/>
    <w:rsid w:val="70F253B2"/>
    <w:rsid w:val="70F63C1F"/>
    <w:rsid w:val="71141C8C"/>
    <w:rsid w:val="71154DE8"/>
    <w:rsid w:val="71467BE4"/>
    <w:rsid w:val="71573B9F"/>
    <w:rsid w:val="717348E4"/>
    <w:rsid w:val="717B5B8C"/>
    <w:rsid w:val="717F472B"/>
    <w:rsid w:val="71925C44"/>
    <w:rsid w:val="71997F7D"/>
    <w:rsid w:val="719E503F"/>
    <w:rsid w:val="71A67417"/>
    <w:rsid w:val="71AC3D91"/>
    <w:rsid w:val="71B608C6"/>
    <w:rsid w:val="71C11019"/>
    <w:rsid w:val="71D7292B"/>
    <w:rsid w:val="71DB3BE0"/>
    <w:rsid w:val="71F12C19"/>
    <w:rsid w:val="71F75228"/>
    <w:rsid w:val="71F95E63"/>
    <w:rsid w:val="71FE401B"/>
    <w:rsid w:val="71FF0740"/>
    <w:rsid w:val="71FF0BB1"/>
    <w:rsid w:val="7205522D"/>
    <w:rsid w:val="720C535A"/>
    <w:rsid w:val="723147C5"/>
    <w:rsid w:val="72556A94"/>
    <w:rsid w:val="725D168F"/>
    <w:rsid w:val="72654306"/>
    <w:rsid w:val="727E22EF"/>
    <w:rsid w:val="7280663C"/>
    <w:rsid w:val="728733AE"/>
    <w:rsid w:val="72AC1CC9"/>
    <w:rsid w:val="72B666A4"/>
    <w:rsid w:val="72BA7716"/>
    <w:rsid w:val="72CC76AF"/>
    <w:rsid w:val="72D3059A"/>
    <w:rsid w:val="72DE4DB3"/>
    <w:rsid w:val="72EA79EA"/>
    <w:rsid w:val="73013FCC"/>
    <w:rsid w:val="730833A3"/>
    <w:rsid w:val="731E2DF7"/>
    <w:rsid w:val="733001DA"/>
    <w:rsid w:val="734B3574"/>
    <w:rsid w:val="734D40AB"/>
    <w:rsid w:val="73547991"/>
    <w:rsid w:val="736938A6"/>
    <w:rsid w:val="7372081D"/>
    <w:rsid w:val="73722F53"/>
    <w:rsid w:val="737323D5"/>
    <w:rsid w:val="739169F9"/>
    <w:rsid w:val="73C516FB"/>
    <w:rsid w:val="73CB43D1"/>
    <w:rsid w:val="73E05AF6"/>
    <w:rsid w:val="73E07E4D"/>
    <w:rsid w:val="73F328B4"/>
    <w:rsid w:val="74085625"/>
    <w:rsid w:val="7409082C"/>
    <w:rsid w:val="74190665"/>
    <w:rsid w:val="743E015A"/>
    <w:rsid w:val="74654825"/>
    <w:rsid w:val="747D78CF"/>
    <w:rsid w:val="748D142F"/>
    <w:rsid w:val="748D7E3F"/>
    <w:rsid w:val="749173C8"/>
    <w:rsid w:val="74920AD5"/>
    <w:rsid w:val="749E119A"/>
    <w:rsid w:val="74C058BF"/>
    <w:rsid w:val="74C2175A"/>
    <w:rsid w:val="74C72DEA"/>
    <w:rsid w:val="74D33EF6"/>
    <w:rsid w:val="74F6722B"/>
    <w:rsid w:val="75120509"/>
    <w:rsid w:val="75483259"/>
    <w:rsid w:val="754A4FEC"/>
    <w:rsid w:val="754C0FA0"/>
    <w:rsid w:val="755212B6"/>
    <w:rsid w:val="75637AE8"/>
    <w:rsid w:val="756F010A"/>
    <w:rsid w:val="757B41D4"/>
    <w:rsid w:val="758064F9"/>
    <w:rsid w:val="758A38D6"/>
    <w:rsid w:val="758B60D1"/>
    <w:rsid w:val="758D193E"/>
    <w:rsid w:val="75905D8E"/>
    <w:rsid w:val="75907680"/>
    <w:rsid w:val="759253E8"/>
    <w:rsid w:val="75992D53"/>
    <w:rsid w:val="759E7FEF"/>
    <w:rsid w:val="75B07D22"/>
    <w:rsid w:val="75BA294F"/>
    <w:rsid w:val="75D94171"/>
    <w:rsid w:val="75E65816"/>
    <w:rsid w:val="75EA36C0"/>
    <w:rsid w:val="75EC7C30"/>
    <w:rsid w:val="75F278E8"/>
    <w:rsid w:val="75F908CB"/>
    <w:rsid w:val="761101A8"/>
    <w:rsid w:val="763D24F2"/>
    <w:rsid w:val="763D6A18"/>
    <w:rsid w:val="76402E54"/>
    <w:rsid w:val="76406802"/>
    <w:rsid w:val="76506C8F"/>
    <w:rsid w:val="767A50C2"/>
    <w:rsid w:val="768049CA"/>
    <w:rsid w:val="76987067"/>
    <w:rsid w:val="769D4442"/>
    <w:rsid w:val="76AF515A"/>
    <w:rsid w:val="76B14C41"/>
    <w:rsid w:val="76C64A46"/>
    <w:rsid w:val="76D728BD"/>
    <w:rsid w:val="76DE441B"/>
    <w:rsid w:val="76EF6628"/>
    <w:rsid w:val="771D13E7"/>
    <w:rsid w:val="77353C34"/>
    <w:rsid w:val="773D64AD"/>
    <w:rsid w:val="775166F5"/>
    <w:rsid w:val="777032C5"/>
    <w:rsid w:val="77727872"/>
    <w:rsid w:val="77755F0B"/>
    <w:rsid w:val="777703EE"/>
    <w:rsid w:val="777A4144"/>
    <w:rsid w:val="778206F7"/>
    <w:rsid w:val="778C577E"/>
    <w:rsid w:val="77933457"/>
    <w:rsid w:val="779C40BA"/>
    <w:rsid w:val="77AB1495"/>
    <w:rsid w:val="77AB69F3"/>
    <w:rsid w:val="77B642CE"/>
    <w:rsid w:val="77E25D9C"/>
    <w:rsid w:val="77E626F8"/>
    <w:rsid w:val="78203AD8"/>
    <w:rsid w:val="78223DCA"/>
    <w:rsid w:val="782B73D7"/>
    <w:rsid w:val="78301CEF"/>
    <w:rsid w:val="78343C5B"/>
    <w:rsid w:val="784D0D7C"/>
    <w:rsid w:val="787C4DA6"/>
    <w:rsid w:val="787F0783"/>
    <w:rsid w:val="78854B29"/>
    <w:rsid w:val="78987D90"/>
    <w:rsid w:val="78A44E7C"/>
    <w:rsid w:val="78B040B0"/>
    <w:rsid w:val="78B35561"/>
    <w:rsid w:val="78B80C66"/>
    <w:rsid w:val="78C83AD2"/>
    <w:rsid w:val="78CD1E21"/>
    <w:rsid w:val="78E2329B"/>
    <w:rsid w:val="78E57CE3"/>
    <w:rsid w:val="78F53F06"/>
    <w:rsid w:val="79257E68"/>
    <w:rsid w:val="7928778B"/>
    <w:rsid w:val="79425AFF"/>
    <w:rsid w:val="79507E21"/>
    <w:rsid w:val="7955440F"/>
    <w:rsid w:val="79624B3E"/>
    <w:rsid w:val="798A5C60"/>
    <w:rsid w:val="79A07515"/>
    <w:rsid w:val="79D33FDF"/>
    <w:rsid w:val="79DC4E17"/>
    <w:rsid w:val="79E9735F"/>
    <w:rsid w:val="79EB1329"/>
    <w:rsid w:val="79F67317"/>
    <w:rsid w:val="7A00729F"/>
    <w:rsid w:val="7A294D3A"/>
    <w:rsid w:val="7A2D4918"/>
    <w:rsid w:val="7A2E15EF"/>
    <w:rsid w:val="7A484D16"/>
    <w:rsid w:val="7A4D0E1F"/>
    <w:rsid w:val="7A5341BF"/>
    <w:rsid w:val="7A5D0E8F"/>
    <w:rsid w:val="7A5E1AFB"/>
    <w:rsid w:val="7A762AB6"/>
    <w:rsid w:val="7A766111"/>
    <w:rsid w:val="7A811C8D"/>
    <w:rsid w:val="7A847F34"/>
    <w:rsid w:val="7AA51BB5"/>
    <w:rsid w:val="7AA75D96"/>
    <w:rsid w:val="7AA878DE"/>
    <w:rsid w:val="7AAD7FF5"/>
    <w:rsid w:val="7AB0555A"/>
    <w:rsid w:val="7AC55C75"/>
    <w:rsid w:val="7ACA5466"/>
    <w:rsid w:val="7AD45C10"/>
    <w:rsid w:val="7AF04591"/>
    <w:rsid w:val="7AF95CC7"/>
    <w:rsid w:val="7B006360"/>
    <w:rsid w:val="7B0A6A9B"/>
    <w:rsid w:val="7B0D2818"/>
    <w:rsid w:val="7B374A08"/>
    <w:rsid w:val="7B3D5BB4"/>
    <w:rsid w:val="7B445194"/>
    <w:rsid w:val="7B4A6F18"/>
    <w:rsid w:val="7B533460"/>
    <w:rsid w:val="7B5D6256"/>
    <w:rsid w:val="7B612980"/>
    <w:rsid w:val="7B70072A"/>
    <w:rsid w:val="7B7C4D1A"/>
    <w:rsid w:val="7B8743D1"/>
    <w:rsid w:val="7B8B7C17"/>
    <w:rsid w:val="7B8F08D9"/>
    <w:rsid w:val="7B9649B1"/>
    <w:rsid w:val="7B976343"/>
    <w:rsid w:val="7B994E29"/>
    <w:rsid w:val="7BC77B74"/>
    <w:rsid w:val="7BCC0CE6"/>
    <w:rsid w:val="7BE44282"/>
    <w:rsid w:val="7C2E19A1"/>
    <w:rsid w:val="7C3C5E6C"/>
    <w:rsid w:val="7C5450CE"/>
    <w:rsid w:val="7C9275E1"/>
    <w:rsid w:val="7C947A56"/>
    <w:rsid w:val="7CAE3FE6"/>
    <w:rsid w:val="7CB82DCD"/>
    <w:rsid w:val="7CBC76A6"/>
    <w:rsid w:val="7CBF51D3"/>
    <w:rsid w:val="7CE256BB"/>
    <w:rsid w:val="7D153CBD"/>
    <w:rsid w:val="7D1D3EEF"/>
    <w:rsid w:val="7D21437C"/>
    <w:rsid w:val="7D3C48D3"/>
    <w:rsid w:val="7D3D2220"/>
    <w:rsid w:val="7D433A4F"/>
    <w:rsid w:val="7D545437"/>
    <w:rsid w:val="7D62737F"/>
    <w:rsid w:val="7D9B36ED"/>
    <w:rsid w:val="7DA9460F"/>
    <w:rsid w:val="7DBB1135"/>
    <w:rsid w:val="7DCC1471"/>
    <w:rsid w:val="7DCF5535"/>
    <w:rsid w:val="7DDD367E"/>
    <w:rsid w:val="7DE65FBE"/>
    <w:rsid w:val="7DFF6F70"/>
    <w:rsid w:val="7E1640FB"/>
    <w:rsid w:val="7E21070F"/>
    <w:rsid w:val="7E2F66BC"/>
    <w:rsid w:val="7E311A64"/>
    <w:rsid w:val="7E321A00"/>
    <w:rsid w:val="7E3B2283"/>
    <w:rsid w:val="7E413C0D"/>
    <w:rsid w:val="7E5679FA"/>
    <w:rsid w:val="7E570A14"/>
    <w:rsid w:val="7E61605D"/>
    <w:rsid w:val="7E6A03BF"/>
    <w:rsid w:val="7E6D6DD8"/>
    <w:rsid w:val="7E826950"/>
    <w:rsid w:val="7E8458A8"/>
    <w:rsid w:val="7E894A50"/>
    <w:rsid w:val="7E8B6C36"/>
    <w:rsid w:val="7E9064E4"/>
    <w:rsid w:val="7E9718B6"/>
    <w:rsid w:val="7E9E2C4F"/>
    <w:rsid w:val="7EA5476A"/>
    <w:rsid w:val="7EB60743"/>
    <w:rsid w:val="7EBB576E"/>
    <w:rsid w:val="7EC539A4"/>
    <w:rsid w:val="7EF82D86"/>
    <w:rsid w:val="7F055885"/>
    <w:rsid w:val="7F0A69EE"/>
    <w:rsid w:val="7F0D7F93"/>
    <w:rsid w:val="7F1467D7"/>
    <w:rsid w:val="7F1718FE"/>
    <w:rsid w:val="7F385010"/>
    <w:rsid w:val="7F4A4D43"/>
    <w:rsid w:val="7F4C2870"/>
    <w:rsid w:val="7F5E434B"/>
    <w:rsid w:val="7F6D27E0"/>
    <w:rsid w:val="7F7405C7"/>
    <w:rsid w:val="7F7414A3"/>
    <w:rsid w:val="7F757976"/>
    <w:rsid w:val="7F7960AE"/>
    <w:rsid w:val="7F7A4658"/>
    <w:rsid w:val="7F8A725D"/>
    <w:rsid w:val="7F946740"/>
    <w:rsid w:val="7FA47F29"/>
    <w:rsid w:val="7FD213B2"/>
    <w:rsid w:val="7FE414DF"/>
    <w:rsid w:val="7FF718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name="Table Web 2" w:locked="1"/>
    <w:lsdException w:unhideWhenUsed="0" w:uiPriority="99" w:name="Table Web 3" w:locked="1"/>
    <w:lsdException w:qFormat="1" w:unhideWhenUsed="0" w:uiPriority="99" w:name="Balloon Text"/>
    <w:lsdException w:qFormat="1" w:unhideWhenUsed="0" w:uiPriority="99" w:semiHidden="0" w:name="Table Grid"/>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36"/>
    <w:qFormat/>
    <w:uiPriority w:val="99"/>
    <w:pPr>
      <w:keepNext/>
      <w:keepLines/>
      <w:spacing w:line="576" w:lineRule="auto"/>
      <w:jc w:val="center"/>
      <w:outlineLvl w:val="0"/>
    </w:pPr>
    <w:rPr>
      <w:rFonts w:cs="Times New Roman"/>
      <w:b/>
      <w:bCs/>
      <w:kern w:val="44"/>
      <w:sz w:val="44"/>
      <w:szCs w:val="44"/>
    </w:rPr>
  </w:style>
  <w:style w:type="paragraph" w:styleId="4">
    <w:name w:val="heading 2"/>
    <w:basedOn w:val="1"/>
    <w:next w:val="1"/>
    <w:link w:val="37"/>
    <w:qFormat/>
    <w:uiPriority w:val="99"/>
    <w:pPr>
      <w:keepNext/>
      <w:keepLines/>
      <w:spacing w:line="413" w:lineRule="auto"/>
      <w:jc w:val="center"/>
      <w:outlineLvl w:val="1"/>
    </w:pPr>
    <w:rPr>
      <w:rFonts w:ascii="Cambria" w:hAnsi="Cambria" w:cs="Times New Roman"/>
      <w:b/>
      <w:bCs/>
      <w:kern w:val="0"/>
      <w:sz w:val="32"/>
      <w:szCs w:val="32"/>
    </w:rPr>
  </w:style>
  <w:style w:type="paragraph" w:styleId="5">
    <w:name w:val="heading 3"/>
    <w:basedOn w:val="1"/>
    <w:next w:val="1"/>
    <w:link w:val="38"/>
    <w:qFormat/>
    <w:uiPriority w:val="99"/>
    <w:pPr>
      <w:keepNext/>
      <w:keepLines/>
      <w:spacing w:before="260" w:after="260" w:line="413" w:lineRule="auto"/>
      <w:outlineLvl w:val="2"/>
    </w:pPr>
    <w:rPr>
      <w:rFonts w:cs="Times New Roman"/>
      <w:b/>
      <w:bCs/>
      <w:kern w:val="0"/>
      <w:sz w:val="32"/>
      <w:szCs w:val="32"/>
    </w:rPr>
  </w:style>
  <w:style w:type="paragraph" w:styleId="2">
    <w:name w:val="heading 4"/>
    <w:basedOn w:val="1"/>
    <w:next w:val="1"/>
    <w:unhideWhenUsed/>
    <w:qFormat/>
    <w:locked/>
    <w:uiPriority w:val="9"/>
    <w:pPr>
      <w:keepNext/>
      <w:keepLines/>
      <w:jc w:val="left"/>
      <w:outlineLvl w:val="3"/>
    </w:pPr>
    <w:rPr>
      <w:rFonts w:hint="eastAsia" w:ascii="Arial" w:hAnsi="Arial" w:cs="Times New Roman"/>
      <w:b/>
      <w:sz w:val="32"/>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style>
  <w:style w:type="paragraph" w:styleId="7">
    <w:name w:val="Body Text First Indent 2"/>
    <w:basedOn w:val="8"/>
    <w:next w:val="6"/>
    <w:qFormat/>
    <w:locked/>
    <w:uiPriority w:val="0"/>
    <w:pPr>
      <w:ind w:firstLine="420"/>
    </w:pPr>
  </w:style>
  <w:style w:type="paragraph" w:styleId="8">
    <w:name w:val="Body Text Indent"/>
    <w:basedOn w:val="1"/>
    <w:next w:val="1"/>
    <w:link w:val="42"/>
    <w:qFormat/>
    <w:uiPriority w:val="99"/>
    <w:pPr>
      <w:spacing w:after="120"/>
      <w:ind w:left="420" w:leftChars="200"/>
    </w:pPr>
    <w:rPr>
      <w:rFonts w:cs="Times New Roman"/>
      <w:kern w:val="0"/>
      <w:sz w:val="20"/>
    </w:rPr>
  </w:style>
  <w:style w:type="paragraph" w:styleId="9">
    <w:name w:val="Document Map"/>
    <w:basedOn w:val="1"/>
    <w:link w:val="92"/>
    <w:unhideWhenUsed/>
    <w:qFormat/>
    <w:locked/>
    <w:uiPriority w:val="99"/>
    <w:rPr>
      <w:rFonts w:ascii="宋体"/>
      <w:sz w:val="18"/>
      <w:szCs w:val="18"/>
    </w:rPr>
  </w:style>
  <w:style w:type="paragraph" w:styleId="10">
    <w:name w:val="annotation text"/>
    <w:basedOn w:val="1"/>
    <w:link w:val="39"/>
    <w:semiHidden/>
    <w:qFormat/>
    <w:uiPriority w:val="99"/>
    <w:pPr>
      <w:jc w:val="left"/>
    </w:pPr>
    <w:rPr>
      <w:rFonts w:ascii="宋体" w:cs="Times New Roman"/>
      <w:kern w:val="0"/>
      <w:sz w:val="22"/>
      <w:szCs w:val="22"/>
    </w:rPr>
  </w:style>
  <w:style w:type="paragraph" w:styleId="11">
    <w:name w:val="Body Text"/>
    <w:basedOn w:val="1"/>
    <w:next w:val="1"/>
    <w:link w:val="41"/>
    <w:qFormat/>
    <w:uiPriority w:val="99"/>
    <w:rPr>
      <w:rFonts w:cs="Times New Roman"/>
      <w:kern w:val="0"/>
      <w:sz w:val="20"/>
    </w:rPr>
  </w:style>
  <w:style w:type="paragraph" w:styleId="12">
    <w:name w:val="toc 3"/>
    <w:basedOn w:val="1"/>
    <w:next w:val="1"/>
    <w:semiHidden/>
    <w:qFormat/>
    <w:uiPriority w:val="99"/>
    <w:pPr>
      <w:ind w:left="840" w:leftChars="400"/>
    </w:pPr>
  </w:style>
  <w:style w:type="paragraph" w:styleId="13">
    <w:name w:val="Plain Text"/>
    <w:basedOn w:val="1"/>
    <w:link w:val="43"/>
    <w:qFormat/>
    <w:uiPriority w:val="99"/>
    <w:pPr>
      <w:spacing w:line="324" w:lineRule="auto"/>
    </w:pPr>
    <w:rPr>
      <w:rFonts w:ascii="宋体" w:hAnsi="Courier New" w:cs="Times New Roman"/>
      <w:kern w:val="0"/>
      <w:sz w:val="20"/>
    </w:rPr>
  </w:style>
  <w:style w:type="paragraph" w:styleId="14">
    <w:name w:val="Date"/>
    <w:basedOn w:val="1"/>
    <w:next w:val="1"/>
    <w:link w:val="44"/>
    <w:qFormat/>
    <w:uiPriority w:val="99"/>
    <w:pPr>
      <w:ind w:left="100" w:leftChars="2500"/>
    </w:pPr>
  </w:style>
  <w:style w:type="paragraph" w:styleId="15">
    <w:name w:val="Body Text Indent 2"/>
    <w:basedOn w:val="1"/>
    <w:link w:val="45"/>
    <w:qFormat/>
    <w:uiPriority w:val="99"/>
    <w:pPr>
      <w:spacing w:after="120" w:line="480" w:lineRule="auto"/>
      <w:ind w:left="420" w:leftChars="200"/>
    </w:pPr>
    <w:rPr>
      <w:rFonts w:cs="Times New Roman"/>
      <w:kern w:val="0"/>
      <w:sz w:val="20"/>
    </w:rPr>
  </w:style>
  <w:style w:type="paragraph" w:styleId="16">
    <w:name w:val="Balloon Text"/>
    <w:basedOn w:val="1"/>
    <w:link w:val="46"/>
    <w:semiHidden/>
    <w:qFormat/>
    <w:uiPriority w:val="99"/>
    <w:rPr>
      <w:rFonts w:cs="Times New Roman"/>
      <w:sz w:val="18"/>
      <w:szCs w:val="18"/>
    </w:rPr>
  </w:style>
  <w:style w:type="paragraph" w:styleId="17">
    <w:name w:val="footer"/>
    <w:basedOn w:val="1"/>
    <w:link w:val="47"/>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Body Text 2"/>
    <w:basedOn w:val="1"/>
    <w:link w:val="49"/>
    <w:qFormat/>
    <w:uiPriority w:val="99"/>
    <w:pPr>
      <w:jc w:val="center"/>
    </w:pPr>
    <w:rPr>
      <w:rFonts w:cs="Times New Roman"/>
      <w:kern w:val="0"/>
      <w:sz w:val="2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10"/>
    <w:next w:val="10"/>
    <w:link w:val="40"/>
    <w:semiHidden/>
    <w:qFormat/>
    <w:uiPriority w:val="99"/>
    <w:rPr>
      <w:rFonts w:ascii="Calibri"/>
      <w:b/>
      <w:bCs/>
      <w:kern w:val="2"/>
    </w:rPr>
  </w:style>
  <w:style w:type="paragraph" w:styleId="24">
    <w:name w:val="Body Text First Indent"/>
    <w:basedOn w:val="11"/>
    <w:qFormat/>
    <w:locked/>
    <w:uiPriority w:val="0"/>
    <w:pPr>
      <w:spacing w:line="300" w:lineRule="auto"/>
      <w:ind w:firstLine="602"/>
      <w:jc w:val="left"/>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sz w:val="24"/>
    </w:rPr>
  </w:style>
  <w:style w:type="character" w:styleId="29">
    <w:name w:val="page number"/>
    <w:basedOn w:val="27"/>
    <w:qFormat/>
    <w:uiPriority w:val="99"/>
    <w:rPr>
      <w:rFonts w:cs="Times New Roman"/>
    </w:rPr>
  </w:style>
  <w:style w:type="character" w:styleId="30">
    <w:name w:val="FollowedHyperlink"/>
    <w:basedOn w:val="27"/>
    <w:qFormat/>
    <w:uiPriority w:val="99"/>
    <w:rPr>
      <w:rFonts w:ascii="宋体" w:hAnsi="宋体" w:eastAsia="宋体" w:cs="Times New Roman"/>
      <w:color w:val="000000"/>
      <w:sz w:val="18"/>
      <w:u w:val="none"/>
    </w:rPr>
  </w:style>
  <w:style w:type="character" w:styleId="31">
    <w:name w:val="Emphasis"/>
    <w:basedOn w:val="27"/>
    <w:qFormat/>
    <w:uiPriority w:val="99"/>
    <w:rPr>
      <w:rFonts w:cs="Times New Roman"/>
      <w:i/>
    </w:rPr>
  </w:style>
  <w:style w:type="character" w:styleId="32">
    <w:name w:val="Hyperlink"/>
    <w:basedOn w:val="27"/>
    <w:qFormat/>
    <w:uiPriority w:val="99"/>
    <w:rPr>
      <w:rFonts w:cs="Times New Roman"/>
      <w:color w:val="0000FF"/>
      <w:u w:val="single"/>
    </w:rPr>
  </w:style>
  <w:style w:type="character" w:styleId="33">
    <w:name w:val="annotation reference"/>
    <w:basedOn w:val="27"/>
    <w:semiHidden/>
    <w:qFormat/>
    <w:uiPriority w:val="99"/>
    <w:rPr>
      <w:rFonts w:cs="Times New Roman"/>
      <w:sz w:val="21"/>
    </w:rPr>
  </w:style>
  <w:style w:type="character" w:styleId="34">
    <w:name w:val="HTML Cite"/>
    <w:basedOn w:val="27"/>
    <w:qFormat/>
    <w:uiPriority w:val="99"/>
    <w:rPr>
      <w:rFonts w:cs="Times New Roman"/>
      <w:sz w:val="24"/>
    </w:rPr>
  </w:style>
  <w:style w:type="paragraph" w:customStyle="1" w:styleId="35">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36">
    <w:name w:val="标题 1 Char"/>
    <w:basedOn w:val="27"/>
    <w:link w:val="3"/>
    <w:qFormat/>
    <w:locked/>
    <w:uiPriority w:val="99"/>
    <w:rPr>
      <w:rFonts w:ascii="Calibri" w:hAnsi="Calibri" w:cs="Times New Roman"/>
      <w:b/>
      <w:kern w:val="44"/>
      <w:sz w:val="44"/>
    </w:rPr>
  </w:style>
  <w:style w:type="character" w:customStyle="1" w:styleId="37">
    <w:name w:val="标题 2 Char"/>
    <w:basedOn w:val="27"/>
    <w:link w:val="4"/>
    <w:semiHidden/>
    <w:qFormat/>
    <w:locked/>
    <w:uiPriority w:val="99"/>
    <w:rPr>
      <w:rFonts w:ascii="Cambria" w:hAnsi="Cambria" w:eastAsia="宋体" w:cs="Times New Roman"/>
      <w:b/>
      <w:sz w:val="32"/>
    </w:rPr>
  </w:style>
  <w:style w:type="character" w:customStyle="1" w:styleId="38">
    <w:name w:val="标题 3 Char"/>
    <w:basedOn w:val="27"/>
    <w:link w:val="5"/>
    <w:semiHidden/>
    <w:qFormat/>
    <w:locked/>
    <w:uiPriority w:val="99"/>
    <w:rPr>
      <w:rFonts w:ascii="Calibri" w:hAnsi="Calibri" w:cs="Times New Roman"/>
      <w:b/>
      <w:sz w:val="32"/>
    </w:rPr>
  </w:style>
  <w:style w:type="character" w:customStyle="1" w:styleId="39">
    <w:name w:val="批注文字 Char"/>
    <w:basedOn w:val="27"/>
    <w:link w:val="10"/>
    <w:qFormat/>
    <w:locked/>
    <w:uiPriority w:val="99"/>
    <w:rPr>
      <w:rFonts w:ascii="宋体" w:hAnsi="Calibri" w:eastAsia="宋体" w:cs="Times New Roman"/>
      <w:sz w:val="22"/>
    </w:rPr>
  </w:style>
  <w:style w:type="character" w:customStyle="1" w:styleId="40">
    <w:name w:val="批注主题 Char"/>
    <w:basedOn w:val="39"/>
    <w:link w:val="23"/>
    <w:qFormat/>
    <w:locked/>
    <w:uiPriority w:val="99"/>
    <w:rPr>
      <w:rFonts w:ascii="Calibri" w:hAnsi="Calibri" w:eastAsia="宋体" w:cs="Times New Roman"/>
      <w:b/>
      <w:kern w:val="2"/>
      <w:sz w:val="22"/>
    </w:rPr>
  </w:style>
  <w:style w:type="character" w:customStyle="1" w:styleId="41">
    <w:name w:val="正文文本 Char"/>
    <w:basedOn w:val="27"/>
    <w:link w:val="11"/>
    <w:semiHidden/>
    <w:qFormat/>
    <w:locked/>
    <w:uiPriority w:val="99"/>
    <w:rPr>
      <w:rFonts w:ascii="Calibri" w:hAnsi="Calibri" w:cs="Times New Roman"/>
      <w:sz w:val="21"/>
    </w:rPr>
  </w:style>
  <w:style w:type="character" w:customStyle="1" w:styleId="42">
    <w:name w:val="正文文本缩进 Char"/>
    <w:basedOn w:val="27"/>
    <w:link w:val="8"/>
    <w:semiHidden/>
    <w:qFormat/>
    <w:locked/>
    <w:uiPriority w:val="99"/>
    <w:rPr>
      <w:rFonts w:ascii="Calibri" w:hAnsi="Calibri" w:cs="Times New Roman"/>
      <w:sz w:val="21"/>
    </w:rPr>
  </w:style>
  <w:style w:type="character" w:customStyle="1" w:styleId="43">
    <w:name w:val="纯文本 Char"/>
    <w:basedOn w:val="27"/>
    <w:link w:val="13"/>
    <w:semiHidden/>
    <w:qFormat/>
    <w:locked/>
    <w:uiPriority w:val="99"/>
    <w:rPr>
      <w:rFonts w:ascii="宋体" w:hAnsi="Courier New" w:cs="Times New Roman"/>
      <w:sz w:val="21"/>
    </w:rPr>
  </w:style>
  <w:style w:type="character" w:customStyle="1" w:styleId="44">
    <w:name w:val="日期 Char"/>
    <w:basedOn w:val="27"/>
    <w:link w:val="14"/>
    <w:semiHidden/>
    <w:qFormat/>
    <w:locked/>
    <w:uiPriority w:val="99"/>
    <w:rPr>
      <w:rFonts w:ascii="Calibri" w:hAnsi="Calibri" w:cs="Calibri"/>
      <w:kern w:val="2"/>
      <w:sz w:val="21"/>
      <w:szCs w:val="21"/>
    </w:rPr>
  </w:style>
  <w:style w:type="character" w:customStyle="1" w:styleId="45">
    <w:name w:val="正文文本缩进 2 Char"/>
    <w:basedOn w:val="27"/>
    <w:link w:val="15"/>
    <w:semiHidden/>
    <w:qFormat/>
    <w:locked/>
    <w:uiPriority w:val="99"/>
    <w:rPr>
      <w:rFonts w:ascii="Calibri" w:hAnsi="Calibri" w:cs="Times New Roman"/>
      <w:sz w:val="21"/>
    </w:rPr>
  </w:style>
  <w:style w:type="character" w:customStyle="1" w:styleId="46">
    <w:name w:val="批注框文本 Char"/>
    <w:basedOn w:val="27"/>
    <w:link w:val="16"/>
    <w:qFormat/>
    <w:locked/>
    <w:uiPriority w:val="99"/>
    <w:rPr>
      <w:rFonts w:ascii="Calibri" w:hAnsi="Calibri" w:eastAsia="宋体" w:cs="Times New Roman"/>
      <w:kern w:val="2"/>
      <w:sz w:val="18"/>
    </w:rPr>
  </w:style>
  <w:style w:type="character" w:customStyle="1" w:styleId="47">
    <w:name w:val="页脚 Char"/>
    <w:basedOn w:val="27"/>
    <w:link w:val="17"/>
    <w:semiHidden/>
    <w:qFormat/>
    <w:locked/>
    <w:uiPriority w:val="99"/>
    <w:rPr>
      <w:rFonts w:ascii="Calibri" w:hAnsi="Calibri" w:cs="Times New Roman"/>
      <w:sz w:val="18"/>
    </w:rPr>
  </w:style>
  <w:style w:type="character" w:customStyle="1" w:styleId="48">
    <w:name w:val="页眉 Char"/>
    <w:basedOn w:val="27"/>
    <w:link w:val="18"/>
    <w:semiHidden/>
    <w:qFormat/>
    <w:locked/>
    <w:uiPriority w:val="99"/>
    <w:rPr>
      <w:rFonts w:ascii="Calibri" w:hAnsi="Calibri" w:cs="Times New Roman"/>
      <w:sz w:val="18"/>
    </w:rPr>
  </w:style>
  <w:style w:type="character" w:customStyle="1" w:styleId="49">
    <w:name w:val="正文文本 2 Char"/>
    <w:basedOn w:val="27"/>
    <w:link w:val="21"/>
    <w:semiHidden/>
    <w:qFormat/>
    <w:locked/>
    <w:uiPriority w:val="99"/>
    <w:rPr>
      <w:rFonts w:ascii="Calibri" w:hAnsi="Calibri" w:cs="Times New Roman"/>
      <w:sz w:val="21"/>
    </w:rPr>
  </w:style>
  <w:style w:type="paragraph" w:customStyle="1" w:styleId="50">
    <w:name w:val="Char2 Char Char Char"/>
    <w:basedOn w:val="1"/>
    <w:qFormat/>
    <w:uiPriority w:val="99"/>
    <w:rPr>
      <w:rFonts w:ascii="Tahoma" w:hAnsi="Tahoma" w:cs="Tahoma"/>
      <w:sz w:val="24"/>
      <w:szCs w:val="24"/>
    </w:rPr>
  </w:style>
  <w:style w:type="paragraph" w:customStyle="1" w:styleId="51">
    <w:name w:val="列出段落1"/>
    <w:basedOn w:val="1"/>
    <w:qFormat/>
    <w:uiPriority w:val="99"/>
    <w:pPr>
      <w:ind w:firstLine="420" w:firstLineChars="200"/>
    </w:pPr>
  </w:style>
  <w:style w:type="character" w:customStyle="1" w:styleId="52">
    <w:name w:val="10"/>
    <w:qFormat/>
    <w:uiPriority w:val="99"/>
    <w:rPr>
      <w:rFonts w:ascii="Calibri" w:hAnsi="Calibri"/>
    </w:rPr>
  </w:style>
  <w:style w:type="character" w:customStyle="1" w:styleId="53">
    <w:name w:val="15"/>
    <w:qFormat/>
    <w:uiPriority w:val="99"/>
    <w:rPr>
      <w:rFonts w:ascii="Calibri" w:hAnsi="Calibri"/>
      <w:i/>
    </w:rPr>
  </w:style>
  <w:style w:type="paragraph" w:customStyle="1" w:styleId="54">
    <w:name w:val="_Style 2"/>
    <w:basedOn w:val="1"/>
    <w:qFormat/>
    <w:uiPriority w:val="99"/>
    <w:pPr>
      <w:ind w:firstLine="420" w:firstLineChars="200"/>
    </w:pPr>
  </w:style>
  <w:style w:type="character" w:customStyle="1" w:styleId="55">
    <w:name w:val="apple-style-span"/>
    <w:qFormat/>
    <w:uiPriority w:val="99"/>
  </w:style>
  <w:style w:type="character" w:customStyle="1" w:styleId="56">
    <w:name w:val="del"/>
    <w:basedOn w:val="27"/>
    <w:qFormat/>
    <w:uiPriority w:val="99"/>
    <w:rPr>
      <w:rFonts w:cs="Times New Roman"/>
    </w:rPr>
  </w:style>
  <w:style w:type="character" w:customStyle="1" w:styleId="57">
    <w:name w:val="del1"/>
    <w:qFormat/>
    <w:uiPriority w:val="99"/>
    <w:rPr>
      <w:vanish/>
      <w:color w:val="auto"/>
      <w:sz w:val="18"/>
      <w:u w:val="single"/>
    </w:rPr>
  </w:style>
  <w:style w:type="character" w:customStyle="1" w:styleId="58">
    <w:name w:val="del2"/>
    <w:qFormat/>
    <w:uiPriority w:val="99"/>
    <w:rPr>
      <w:vanish/>
    </w:rPr>
  </w:style>
  <w:style w:type="character" w:customStyle="1" w:styleId="59">
    <w:name w:val="del3"/>
    <w:qFormat/>
    <w:uiPriority w:val="99"/>
    <w:rPr>
      <w:vanish/>
    </w:rPr>
  </w:style>
  <w:style w:type="paragraph" w:customStyle="1" w:styleId="60">
    <w:name w:val="列出段落2"/>
    <w:basedOn w:val="1"/>
    <w:qFormat/>
    <w:uiPriority w:val="99"/>
    <w:pPr>
      <w:ind w:left="720"/>
    </w:pPr>
  </w:style>
  <w:style w:type="paragraph" w:customStyle="1" w:styleId="61">
    <w:name w:val="_Style 3"/>
    <w:basedOn w:val="1"/>
    <w:qFormat/>
    <w:uiPriority w:val="99"/>
    <w:pPr>
      <w:ind w:firstLine="420" w:firstLineChars="200"/>
    </w:pPr>
  </w:style>
  <w:style w:type="character" w:customStyle="1" w:styleId="62">
    <w:name w:val="标准文本 Char Char"/>
    <w:link w:val="63"/>
    <w:qFormat/>
    <w:locked/>
    <w:uiPriority w:val="99"/>
    <w:rPr>
      <w:kern w:val="2"/>
      <w:sz w:val="24"/>
    </w:rPr>
  </w:style>
  <w:style w:type="paragraph" w:customStyle="1" w:styleId="63">
    <w:name w:val="标准文本"/>
    <w:basedOn w:val="1"/>
    <w:link w:val="62"/>
    <w:qFormat/>
    <w:uiPriority w:val="99"/>
    <w:pPr>
      <w:spacing w:line="360" w:lineRule="auto"/>
      <w:ind w:firstLine="480" w:firstLineChars="200"/>
    </w:pPr>
    <w:rPr>
      <w:rFonts w:ascii="Times New Roman" w:hAnsi="Times New Roman" w:cs="Times New Roman"/>
      <w:sz w:val="24"/>
      <w:szCs w:val="20"/>
    </w:rPr>
  </w:style>
  <w:style w:type="paragraph" w:customStyle="1" w:styleId="64">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65">
    <w:name w:val="font41"/>
    <w:basedOn w:val="27"/>
    <w:qFormat/>
    <w:uiPriority w:val="0"/>
    <w:rPr>
      <w:rFonts w:hint="eastAsia" w:ascii="宋体" w:hAnsi="宋体" w:eastAsia="宋体" w:cs="宋体"/>
      <w:color w:val="000000"/>
      <w:sz w:val="24"/>
      <w:szCs w:val="24"/>
      <w:u w:val="none"/>
    </w:rPr>
  </w:style>
  <w:style w:type="character" w:customStyle="1" w:styleId="66">
    <w:name w:val="font61"/>
    <w:basedOn w:val="27"/>
    <w:qFormat/>
    <w:uiPriority w:val="0"/>
    <w:rPr>
      <w:rFonts w:hint="eastAsia" w:ascii="宋体" w:hAnsi="宋体" w:eastAsia="宋体" w:cs="宋体"/>
      <w:color w:val="000000"/>
      <w:sz w:val="20"/>
      <w:szCs w:val="20"/>
      <w:u w:val="none"/>
    </w:rPr>
  </w:style>
  <w:style w:type="character" w:customStyle="1" w:styleId="67">
    <w:name w:val="font51"/>
    <w:basedOn w:val="27"/>
    <w:qFormat/>
    <w:uiPriority w:val="0"/>
    <w:rPr>
      <w:rFonts w:hint="default" w:ascii="Times New Roman" w:hAnsi="Times New Roman" w:cs="Times New Roman"/>
      <w:color w:val="000000"/>
      <w:sz w:val="20"/>
      <w:szCs w:val="20"/>
      <w:u w:val="none"/>
    </w:rPr>
  </w:style>
  <w:style w:type="character" w:customStyle="1" w:styleId="68">
    <w:name w:val="font01"/>
    <w:basedOn w:val="27"/>
    <w:qFormat/>
    <w:uiPriority w:val="0"/>
    <w:rPr>
      <w:rFonts w:hint="default" w:ascii="Times New Roman" w:hAnsi="Times New Roman" w:cs="Times New Roman"/>
      <w:color w:val="000000"/>
      <w:sz w:val="24"/>
      <w:szCs w:val="24"/>
      <w:u w:val="none"/>
    </w:rPr>
  </w:style>
  <w:style w:type="character" w:customStyle="1" w:styleId="69">
    <w:name w:val="font21"/>
    <w:basedOn w:val="27"/>
    <w:qFormat/>
    <w:uiPriority w:val="0"/>
    <w:rPr>
      <w:rFonts w:hint="eastAsia" w:ascii="宋体" w:hAnsi="宋体" w:eastAsia="宋体" w:cs="宋体"/>
      <w:color w:val="000000"/>
      <w:sz w:val="24"/>
      <w:szCs w:val="24"/>
      <w:u w:val="none"/>
    </w:rPr>
  </w:style>
  <w:style w:type="character" w:customStyle="1" w:styleId="70">
    <w:name w:val="font91"/>
    <w:basedOn w:val="27"/>
    <w:qFormat/>
    <w:uiPriority w:val="0"/>
    <w:rPr>
      <w:rFonts w:hint="default" w:ascii="Times New Roman" w:hAnsi="Times New Roman" w:cs="Times New Roman"/>
      <w:color w:val="000000"/>
      <w:sz w:val="14"/>
      <w:szCs w:val="14"/>
      <w:u w:val="none"/>
    </w:rPr>
  </w:style>
  <w:style w:type="character" w:customStyle="1" w:styleId="71">
    <w:name w:val="font71"/>
    <w:basedOn w:val="27"/>
    <w:qFormat/>
    <w:uiPriority w:val="0"/>
    <w:rPr>
      <w:rFonts w:hint="default" w:ascii="Times New Roman" w:hAnsi="Times New Roman" w:cs="Times New Roman"/>
      <w:color w:val="000000"/>
      <w:sz w:val="21"/>
      <w:szCs w:val="21"/>
      <w:u w:val="none"/>
    </w:rPr>
  </w:style>
  <w:style w:type="character" w:customStyle="1" w:styleId="72">
    <w:name w:val="font81"/>
    <w:basedOn w:val="27"/>
    <w:qFormat/>
    <w:uiPriority w:val="0"/>
    <w:rPr>
      <w:rFonts w:hint="eastAsia" w:ascii="宋体" w:hAnsi="宋体" w:eastAsia="宋体" w:cs="宋体"/>
      <w:color w:val="000000"/>
      <w:sz w:val="21"/>
      <w:szCs w:val="21"/>
      <w:u w:val="none"/>
    </w:rPr>
  </w:style>
  <w:style w:type="character" w:customStyle="1" w:styleId="73">
    <w:name w:val="font11"/>
    <w:basedOn w:val="27"/>
    <w:qFormat/>
    <w:uiPriority w:val="0"/>
    <w:rPr>
      <w:rFonts w:hint="default" w:ascii="Times New Roman" w:hAnsi="Times New Roman" w:cs="Times New Roman"/>
      <w:color w:val="000000"/>
      <w:sz w:val="20"/>
      <w:szCs w:val="20"/>
      <w:u w:val="none"/>
    </w:rPr>
  </w:style>
  <w:style w:type="character" w:customStyle="1" w:styleId="74">
    <w:name w:val="font31"/>
    <w:basedOn w:val="27"/>
    <w:qFormat/>
    <w:uiPriority w:val="0"/>
    <w:rPr>
      <w:rFonts w:hint="default" w:ascii="Times New Roman" w:hAnsi="Times New Roman" w:cs="Times New Roman"/>
      <w:color w:val="000000"/>
      <w:sz w:val="20"/>
      <w:szCs w:val="20"/>
      <w:u w:val="none"/>
    </w:rPr>
  </w:style>
  <w:style w:type="character" w:customStyle="1" w:styleId="75">
    <w:name w:val="font111"/>
    <w:basedOn w:val="27"/>
    <w:qFormat/>
    <w:uiPriority w:val="0"/>
    <w:rPr>
      <w:rFonts w:hint="eastAsia" w:ascii="宋体" w:hAnsi="宋体" w:eastAsia="宋体" w:cs="宋体"/>
      <w:color w:val="000000"/>
      <w:sz w:val="22"/>
      <w:szCs w:val="22"/>
      <w:u w:val="none"/>
      <w:vertAlign w:val="superscript"/>
    </w:rPr>
  </w:style>
  <w:style w:type="character" w:customStyle="1" w:styleId="76">
    <w:name w:val="font121"/>
    <w:basedOn w:val="27"/>
    <w:qFormat/>
    <w:uiPriority w:val="0"/>
    <w:rPr>
      <w:rFonts w:ascii="BatangChe" w:hAnsi="BatangChe" w:eastAsia="BatangChe" w:cs="BatangChe"/>
      <w:color w:val="000000"/>
      <w:sz w:val="22"/>
      <w:szCs w:val="22"/>
      <w:u w:val="none"/>
    </w:rPr>
  </w:style>
  <w:style w:type="character" w:customStyle="1" w:styleId="77">
    <w:name w:val="font101"/>
    <w:basedOn w:val="27"/>
    <w:qFormat/>
    <w:uiPriority w:val="0"/>
    <w:rPr>
      <w:rFonts w:hint="eastAsia" w:ascii="BatangChe" w:hAnsi="BatangChe" w:eastAsia="BatangChe" w:cs="BatangChe"/>
      <w:color w:val="000000"/>
      <w:sz w:val="22"/>
      <w:szCs w:val="22"/>
      <w:u w:val="none"/>
    </w:rPr>
  </w:style>
  <w:style w:type="paragraph" w:customStyle="1" w:styleId="78">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列出段落3"/>
    <w:basedOn w:val="1"/>
    <w:qFormat/>
    <w:uiPriority w:val="34"/>
    <w:pPr>
      <w:ind w:firstLine="420" w:firstLineChars="200"/>
    </w:pPr>
    <w:rPr>
      <w:rFonts w:cs="Times New Roman"/>
      <w:szCs w:val="22"/>
    </w:rPr>
  </w:style>
  <w:style w:type="character" w:customStyle="1" w:styleId="80">
    <w:name w:val="font161"/>
    <w:basedOn w:val="27"/>
    <w:qFormat/>
    <w:uiPriority w:val="0"/>
    <w:rPr>
      <w:rFonts w:hint="eastAsia" w:ascii="宋体" w:hAnsi="宋体" w:eastAsia="宋体" w:cs="宋体"/>
      <w:b/>
      <w:color w:val="000000"/>
      <w:sz w:val="24"/>
      <w:szCs w:val="24"/>
      <w:u w:val="none"/>
    </w:rPr>
  </w:style>
  <w:style w:type="character" w:customStyle="1" w:styleId="81">
    <w:name w:val="font191"/>
    <w:basedOn w:val="27"/>
    <w:qFormat/>
    <w:uiPriority w:val="0"/>
    <w:rPr>
      <w:rFonts w:hint="default" w:ascii="Times New Roman" w:hAnsi="Times New Roman" w:cs="Times New Roman"/>
      <w:color w:val="000000"/>
      <w:sz w:val="22"/>
      <w:szCs w:val="22"/>
      <w:u w:val="none"/>
    </w:rPr>
  </w:style>
  <w:style w:type="character" w:customStyle="1" w:styleId="82">
    <w:name w:val="font151"/>
    <w:basedOn w:val="27"/>
    <w:qFormat/>
    <w:uiPriority w:val="0"/>
    <w:rPr>
      <w:rFonts w:hint="eastAsia" w:ascii="宋体" w:hAnsi="宋体" w:eastAsia="宋体" w:cs="宋体"/>
      <w:color w:val="000000"/>
      <w:sz w:val="22"/>
      <w:szCs w:val="22"/>
      <w:u w:val="none"/>
    </w:rPr>
  </w:style>
  <w:style w:type="character" w:customStyle="1" w:styleId="83">
    <w:name w:val="font131"/>
    <w:basedOn w:val="27"/>
    <w:qFormat/>
    <w:uiPriority w:val="0"/>
    <w:rPr>
      <w:rFonts w:hint="default" w:ascii="Times New Roman" w:hAnsi="Times New Roman" w:cs="Times New Roman"/>
      <w:color w:val="000000"/>
      <w:sz w:val="20"/>
      <w:szCs w:val="20"/>
      <w:u w:val="none"/>
    </w:rPr>
  </w:style>
  <w:style w:type="character" w:customStyle="1" w:styleId="84">
    <w:name w:val="font201"/>
    <w:basedOn w:val="27"/>
    <w:qFormat/>
    <w:uiPriority w:val="0"/>
    <w:rPr>
      <w:rFonts w:hint="eastAsia" w:ascii="宋体" w:hAnsi="宋体" w:eastAsia="宋体" w:cs="宋体"/>
      <w:color w:val="000000"/>
      <w:sz w:val="20"/>
      <w:szCs w:val="20"/>
      <w:u w:val="none"/>
    </w:rPr>
  </w:style>
  <w:style w:type="character" w:customStyle="1" w:styleId="85">
    <w:name w:val="font171"/>
    <w:basedOn w:val="27"/>
    <w:qFormat/>
    <w:uiPriority w:val="0"/>
    <w:rPr>
      <w:rFonts w:hint="default" w:ascii="Times New Roman" w:hAnsi="Times New Roman" w:cs="Times New Roman"/>
      <w:color w:val="000000"/>
      <w:sz w:val="20"/>
      <w:szCs w:val="20"/>
      <w:u w:val="none"/>
    </w:rPr>
  </w:style>
  <w:style w:type="character" w:customStyle="1" w:styleId="86">
    <w:name w:val="font212"/>
    <w:basedOn w:val="27"/>
    <w:qFormat/>
    <w:uiPriority w:val="0"/>
    <w:rPr>
      <w:rFonts w:hint="eastAsia" w:ascii="宋体" w:hAnsi="宋体" w:eastAsia="宋体" w:cs="宋体"/>
      <w:color w:val="000000"/>
      <w:sz w:val="24"/>
      <w:szCs w:val="24"/>
      <w:u w:val="none"/>
    </w:rPr>
  </w:style>
  <w:style w:type="character" w:customStyle="1" w:styleId="87">
    <w:name w:val="font221"/>
    <w:basedOn w:val="27"/>
    <w:qFormat/>
    <w:uiPriority w:val="0"/>
    <w:rPr>
      <w:rFonts w:hint="eastAsia" w:ascii="宋体" w:hAnsi="宋体" w:eastAsia="宋体" w:cs="宋体"/>
      <w:color w:val="000000"/>
      <w:sz w:val="21"/>
      <w:szCs w:val="21"/>
      <w:u w:val="none"/>
    </w:rPr>
  </w:style>
  <w:style w:type="character" w:customStyle="1" w:styleId="88">
    <w:name w:val="font181"/>
    <w:basedOn w:val="27"/>
    <w:qFormat/>
    <w:uiPriority w:val="0"/>
    <w:rPr>
      <w:rFonts w:hint="default" w:ascii="Times New Roman" w:hAnsi="Times New Roman" w:cs="Times New Roman"/>
      <w:color w:val="000000"/>
      <w:sz w:val="21"/>
      <w:szCs w:val="21"/>
      <w:u w:val="none"/>
    </w:rPr>
  </w:style>
  <w:style w:type="character" w:customStyle="1" w:styleId="89">
    <w:name w:val="font231"/>
    <w:basedOn w:val="27"/>
    <w:qFormat/>
    <w:uiPriority w:val="0"/>
    <w:rPr>
      <w:rFonts w:hint="eastAsia" w:ascii="宋体" w:hAnsi="宋体" w:eastAsia="宋体" w:cs="宋体"/>
      <w:b/>
      <w:color w:val="000000"/>
      <w:sz w:val="20"/>
      <w:szCs w:val="20"/>
      <w:u w:val="none"/>
    </w:rPr>
  </w:style>
  <w:style w:type="paragraph" w:customStyle="1" w:styleId="9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91">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2">
    <w:name w:val="文档结构图 Char"/>
    <w:basedOn w:val="27"/>
    <w:link w:val="9"/>
    <w:semiHidden/>
    <w:qFormat/>
    <w:uiPriority w:val="99"/>
    <w:rPr>
      <w:rFonts w:ascii="宋体" w:hAnsi="Calibri" w:cs="Calibri"/>
      <w:kern w:val="2"/>
      <w:sz w:val="18"/>
      <w:szCs w:val="18"/>
    </w:rPr>
  </w:style>
  <w:style w:type="paragraph" w:customStyle="1" w:styleId="93">
    <w:name w:val="No Spacing"/>
    <w:qFormat/>
    <w:uiPriority w:val="0"/>
    <w:pPr>
      <w:widowControl w:val="0"/>
      <w:jc w:val="both"/>
    </w:pPr>
    <w:rPr>
      <w:rFonts w:ascii="Calibri" w:hAnsi="Calibri" w:eastAsia="宋体" w:cs="Times New Roman"/>
      <w:lang w:val="en-US" w:eastAsia="zh-CN" w:bidi="ar-SA"/>
    </w:rPr>
  </w:style>
  <w:style w:type="paragraph" w:customStyle="1" w:styleId="94">
    <w:name w:val="Table Paragraph"/>
    <w:basedOn w:val="1"/>
    <w:qFormat/>
    <w:uiPriority w:val="1"/>
  </w:style>
  <w:style w:type="character" w:customStyle="1" w:styleId="95">
    <w:name w:val="cfdate"/>
    <w:basedOn w:val="27"/>
    <w:qFormat/>
    <w:uiPriority w:val="0"/>
    <w:rPr>
      <w:color w:val="333333"/>
      <w:sz w:val="18"/>
      <w:szCs w:val="18"/>
    </w:rPr>
  </w:style>
  <w:style w:type="character" w:customStyle="1" w:styleId="96">
    <w:name w:val="redfilenumber"/>
    <w:basedOn w:val="27"/>
    <w:qFormat/>
    <w:uiPriority w:val="0"/>
    <w:rPr>
      <w:color w:val="BA2636"/>
      <w:sz w:val="18"/>
      <w:szCs w:val="18"/>
    </w:rPr>
  </w:style>
  <w:style w:type="character" w:customStyle="1" w:styleId="97">
    <w:name w:val="gjfg"/>
    <w:basedOn w:val="27"/>
    <w:qFormat/>
    <w:uiPriority w:val="0"/>
  </w:style>
  <w:style w:type="character" w:customStyle="1" w:styleId="98">
    <w:name w:val="displayarti"/>
    <w:basedOn w:val="27"/>
    <w:qFormat/>
    <w:uiPriority w:val="0"/>
    <w:rPr>
      <w:color w:val="FFFFFF"/>
      <w:shd w:val="clear" w:color="auto" w:fill="A00000"/>
    </w:rPr>
  </w:style>
  <w:style w:type="character" w:customStyle="1" w:styleId="99">
    <w:name w:val="redfilefwwh"/>
    <w:basedOn w:val="27"/>
    <w:qFormat/>
    <w:uiPriority w:val="0"/>
    <w:rPr>
      <w:color w:val="BA2636"/>
      <w:sz w:val="18"/>
      <w:szCs w:val="18"/>
    </w:rPr>
  </w:style>
  <w:style w:type="character" w:customStyle="1" w:styleId="100">
    <w:name w:val="qxdate"/>
    <w:basedOn w:val="27"/>
    <w:qFormat/>
    <w:uiPriority w:val="0"/>
    <w:rPr>
      <w:color w:val="333333"/>
      <w:sz w:val="18"/>
      <w:szCs w:val="18"/>
    </w:rPr>
  </w:style>
  <w:style w:type="paragraph" w:customStyle="1" w:styleId="101">
    <w:name w:val="无间隔2"/>
    <w:basedOn w:val="1"/>
    <w:qFormat/>
    <w:uiPriority w:val="0"/>
    <w:pPr>
      <w:widowControl/>
      <w:jc w:val="left"/>
    </w:pPr>
    <w:rPr>
      <w:kern w:val="0"/>
      <w:sz w:val="20"/>
      <w:szCs w:val="20"/>
      <w:lang w:eastAsia="en-US" w:bidi="en-US"/>
    </w:rPr>
  </w:style>
  <w:style w:type="paragraph" w:customStyle="1" w:styleId="102">
    <w:name w:val="列出段落11"/>
    <w:basedOn w:val="1"/>
    <w:qFormat/>
    <w:uiPriority w:val="0"/>
    <w:pPr>
      <w:widowControl/>
      <w:spacing w:line="120" w:lineRule="atLeast"/>
      <w:ind w:firstLine="420" w:firstLineChars="200"/>
      <w:jc w:val="left"/>
    </w:pPr>
    <w:rPr>
      <w:rFonts w:ascii="黑体" w:hAnsi="黑体" w:cs="Monaco"/>
      <w:szCs w:val="22"/>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emf"/><Relationship Id="rId22" Type="http://schemas.openxmlformats.org/officeDocument/2006/relationships/oleObject" Target="embeddings/oleObject1.bin"/><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EA496-9B27-481D-938B-C6C9C86CBD18}">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69</Pages>
  <Words>27641</Words>
  <Characters>29383</Characters>
  <Lines>221</Lines>
  <Paragraphs>62</Paragraphs>
  <TotalTime>0</TotalTime>
  <ScaleCrop>false</ScaleCrop>
  <LinksUpToDate>false</LinksUpToDate>
  <CharactersWithSpaces>31823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2022-05-26T01:01:00Z</dcterms:created>
  <dc:creator>Administrator</dc:creator>
  <cp:lastModifiedBy>鱼鱼鱼</cp:lastModifiedBy>
  <cp:lastPrinted>2022-07-13T02:44:00Z</cp:lastPrinted>
  <dcterms:modified xsi:type="dcterms:W3CDTF">2023-03-21T05:50:55Z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298FC61893994F439178CC55FDD160E5</vt:lpwstr>
  </property>
</Properties>
</file>