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 xml:space="preserve">政府采购         </w:t>
      </w:r>
    </w:p>
    <w:p>
      <w:pPr>
        <w:spacing w:line="480" w:lineRule="auto"/>
        <w:jc w:val="both"/>
        <w:rPr>
          <w:rFonts w:hint="eastAsia" w:ascii="宋体" w:hAnsi="宋体" w:eastAsia="宋体" w:cs="宋体"/>
          <w:b/>
          <w:bCs/>
          <w:sz w:val="32"/>
          <w:szCs w:val="32"/>
          <w:lang w:val="en-US" w:eastAsia="zh-CN"/>
        </w:rPr>
      </w:pPr>
      <w:r>
        <w:rPr>
          <w:rFonts w:hint="eastAsia" w:ascii="宋体" w:hAnsi="宋体" w:eastAsia="宋体" w:cs="宋体"/>
          <w:b/>
          <w:bCs w:val="0"/>
          <w:sz w:val="36"/>
          <w:szCs w:val="36"/>
          <w:highlight w:val="none"/>
          <w:lang w:eastAsia="zh-CN"/>
        </w:rPr>
        <w:t>项目</w:t>
      </w:r>
      <w:r>
        <w:rPr>
          <w:rFonts w:hint="eastAsia" w:ascii="宋体" w:hAnsi="宋体" w:eastAsia="宋体" w:cs="宋体"/>
          <w:b/>
          <w:bCs w:val="0"/>
          <w:sz w:val="36"/>
          <w:szCs w:val="36"/>
          <w:highlight w:val="none"/>
        </w:rPr>
        <w:t>编号：</w:t>
      </w:r>
      <w:r>
        <w:rPr>
          <w:rFonts w:hint="eastAsia" w:ascii="宋体" w:hAnsi="宋体" w:eastAsia="宋体" w:cs="宋体"/>
          <w:b/>
          <w:color w:val="auto"/>
          <w:sz w:val="36"/>
          <w:szCs w:val="36"/>
          <w:lang w:eastAsia="zh-CN"/>
        </w:rPr>
        <w:t>SXYDY202</w:t>
      </w:r>
      <w:r>
        <w:rPr>
          <w:rFonts w:hint="eastAsia" w:ascii="宋体" w:hAnsi="宋体" w:eastAsia="宋体" w:cs="宋体"/>
          <w:b/>
          <w:color w:val="auto"/>
          <w:sz w:val="36"/>
          <w:szCs w:val="36"/>
          <w:lang w:val="en-US" w:eastAsia="zh-CN"/>
        </w:rPr>
        <w:t>3018</w:t>
      </w:r>
    </w:p>
    <w:p>
      <w:pPr>
        <w:pStyle w:val="49"/>
        <w:jc w:val="center"/>
        <w:rPr>
          <w:rFonts w:hint="eastAsia" w:ascii="宋体" w:hAnsi="宋体" w:eastAsia="宋体" w:cs="宋体"/>
          <w:b/>
          <w:bCs/>
          <w:sz w:val="48"/>
          <w:szCs w:val="48"/>
          <w:lang w:val="en-US" w:eastAsia="zh-CN"/>
        </w:rPr>
      </w:pPr>
    </w:p>
    <w:p>
      <w:pPr>
        <w:pStyle w:val="49"/>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陕西省2023年度交通产品抽检</w:t>
      </w:r>
    </w:p>
    <w:p>
      <w:pPr>
        <w:pStyle w:val="49"/>
        <w:jc w:val="center"/>
        <w:rPr>
          <w:rFonts w:hint="eastAsia" w:ascii="宋体" w:hAnsi="宋体" w:eastAsia="宋体" w:cs="宋体"/>
          <w:b/>
          <w:bCs/>
          <w:sz w:val="56"/>
          <w:szCs w:val="56"/>
          <w:lang w:val="en-US" w:eastAsia="zh-CN"/>
        </w:rPr>
      </w:pPr>
    </w:p>
    <w:p>
      <w:pPr>
        <w:pStyle w:val="49"/>
        <w:jc w:val="center"/>
        <w:rPr>
          <w:rFonts w:hint="eastAsia" w:ascii="宋体" w:hAnsi="宋体" w:eastAsia="宋体" w:cs="宋体"/>
          <w:lang w:val="en-US" w:eastAsia="zh-CN"/>
        </w:rPr>
      </w:pPr>
      <w:r>
        <w:rPr>
          <w:rFonts w:hint="eastAsia" w:ascii="宋体" w:hAnsi="宋体" w:eastAsia="宋体" w:cs="宋体"/>
          <w:b/>
          <w:bCs/>
          <w:sz w:val="56"/>
          <w:szCs w:val="56"/>
          <w:lang w:val="en-US" w:eastAsia="zh-CN"/>
        </w:rPr>
        <w:t>竞争性磋商文件</w:t>
      </w:r>
    </w:p>
    <w:p>
      <w:pPr>
        <w:jc w:val="center"/>
        <w:rPr>
          <w:rFonts w:hint="eastAsia" w:ascii="宋体" w:hAnsi="宋体" w:eastAsia="宋体" w:cs="宋体"/>
          <w:b/>
          <w:bCs/>
          <w:sz w:val="96"/>
          <w:szCs w:val="96"/>
        </w:rPr>
      </w:pPr>
      <w:r>
        <w:rPr>
          <w:rFonts w:hint="eastAsia" w:ascii="宋体" w:hAnsi="宋体" w:eastAsia="宋体" w:cs="宋体"/>
          <w:color w:val="auto"/>
        </w:rPr>
        <w:drawing>
          <wp:inline distT="0" distB="0" distL="114300" distR="114300">
            <wp:extent cx="1983105" cy="1946910"/>
            <wp:effectExtent l="0" t="0" r="17145" b="15240"/>
            <wp:docPr id="1" name="图片 1" descr="640cbd24e9159fd92ec7103d6fed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cbd24e9159fd92ec7103d6fedb14"/>
                    <pic:cNvPicPr>
                      <a:picLocks noChangeAspect="1"/>
                    </pic:cNvPicPr>
                  </pic:nvPicPr>
                  <pic:blipFill>
                    <a:blip r:embed="rId7"/>
                    <a:srcRect l="11005" t="28758" r="70883" b="23024"/>
                    <a:stretch>
                      <a:fillRect/>
                    </a:stretch>
                  </pic:blipFill>
                  <pic:spPr>
                    <a:xfrm>
                      <a:off x="0" y="0"/>
                      <a:ext cx="1983105" cy="1946910"/>
                    </a:xfrm>
                    <a:prstGeom prst="rect">
                      <a:avLst/>
                    </a:prstGeom>
                    <a:noFill/>
                    <a:ln>
                      <a:noFill/>
                    </a:ln>
                  </pic:spPr>
                </pic:pic>
              </a:graphicData>
            </a:graphic>
          </wp:inline>
        </w:drawing>
      </w:r>
    </w:p>
    <w:p>
      <w:pPr>
        <w:jc w:val="center"/>
        <w:rPr>
          <w:rFonts w:hint="eastAsia" w:ascii="宋体" w:hAnsi="宋体" w:eastAsia="宋体" w:cs="宋体"/>
          <w:b/>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sz w:val="36"/>
          <w:szCs w:val="36"/>
        </w:rPr>
      </w:pPr>
    </w:p>
    <w:p>
      <w:pPr>
        <w:spacing w:line="480" w:lineRule="auto"/>
        <w:jc w:val="center"/>
        <w:rPr>
          <w:rFonts w:hint="eastAsia" w:ascii="宋体" w:hAnsi="宋体" w:eastAsia="宋体" w:cs="宋体"/>
          <w:b/>
          <w:sz w:val="36"/>
          <w:szCs w:val="36"/>
          <w:lang w:eastAsia="zh-CN"/>
        </w:rPr>
      </w:pPr>
      <w:r>
        <w:rPr>
          <w:rFonts w:hint="eastAsia" w:ascii="宋体" w:hAnsi="宋体" w:eastAsia="宋体" w:cs="宋体"/>
          <w:b/>
          <w:sz w:val="36"/>
          <w:szCs w:val="36"/>
        </w:rPr>
        <w:t>采购代理机构：</w:t>
      </w:r>
      <w:r>
        <w:rPr>
          <w:rFonts w:hint="eastAsia" w:ascii="宋体" w:hAnsi="宋体" w:eastAsia="宋体" w:cs="宋体"/>
          <w:b/>
          <w:sz w:val="36"/>
          <w:szCs w:val="36"/>
          <w:lang w:val="en-US" w:eastAsia="zh-CN"/>
        </w:rPr>
        <w:t>陕西易道源项目管理有限公司</w:t>
      </w:r>
    </w:p>
    <w:p>
      <w:pPr>
        <w:tabs>
          <w:tab w:val="left" w:pos="3075"/>
          <w:tab w:val="center" w:pos="4613"/>
        </w:tabs>
        <w:spacing w:line="480" w:lineRule="auto"/>
        <w:ind w:firstLine="567" w:firstLineChars="157"/>
        <w:jc w:val="center"/>
        <w:rPr>
          <w:rFonts w:hint="eastAsia" w:ascii="宋体" w:hAnsi="宋体" w:eastAsia="宋体" w:cs="宋体"/>
          <w:b/>
          <w:bCs/>
          <w:sz w:val="36"/>
          <w:szCs w:val="36"/>
        </w:rPr>
      </w:pPr>
      <w:r>
        <w:rPr>
          <w:rFonts w:hint="eastAsia" w:ascii="宋体" w:hAnsi="宋体" w:eastAsia="宋体" w:cs="宋体"/>
          <w:b/>
          <w:sz w:val="36"/>
          <w:szCs w:val="36"/>
        </w:rPr>
        <w:t>二○二</w:t>
      </w:r>
      <w:r>
        <w:rPr>
          <w:rFonts w:hint="eastAsia" w:ascii="宋体" w:hAnsi="宋体" w:eastAsia="宋体" w:cs="宋体"/>
          <w:b/>
          <w:sz w:val="36"/>
          <w:szCs w:val="36"/>
          <w:lang w:val="en-US" w:eastAsia="zh-CN"/>
        </w:rPr>
        <w:t>三</w:t>
      </w:r>
      <w:r>
        <w:rPr>
          <w:rFonts w:hint="eastAsia" w:ascii="宋体" w:hAnsi="宋体" w:eastAsia="宋体" w:cs="宋体"/>
          <w:b/>
          <w:sz w:val="36"/>
          <w:szCs w:val="36"/>
        </w:rPr>
        <w:t>年</w:t>
      </w:r>
      <w:r>
        <w:rPr>
          <w:rFonts w:hint="eastAsia" w:ascii="宋体" w:hAnsi="宋体" w:cs="宋体"/>
          <w:b/>
          <w:sz w:val="36"/>
          <w:szCs w:val="36"/>
          <w:highlight w:val="none"/>
          <w:lang w:val="en-US" w:eastAsia="zh-CN"/>
        </w:rPr>
        <w:t>五</w:t>
      </w:r>
      <w:r>
        <w:rPr>
          <w:rFonts w:hint="eastAsia" w:ascii="宋体" w:hAnsi="宋体" w:eastAsia="宋体" w:cs="宋体"/>
          <w:b/>
          <w:sz w:val="36"/>
          <w:szCs w:val="36"/>
          <w:highlight w:val="none"/>
        </w:rPr>
        <w:t>月</w:t>
      </w:r>
    </w:p>
    <w:p>
      <w:pPr>
        <w:tabs>
          <w:tab w:val="center" w:pos="4989"/>
          <w:tab w:val="left" w:pos="7604"/>
        </w:tabs>
        <w:spacing w:line="360" w:lineRule="auto"/>
        <w:jc w:val="left"/>
        <w:rPr>
          <w:rFonts w:hint="eastAsia" w:ascii="宋体" w:hAnsi="宋体" w:eastAsia="宋体" w:cs="宋体"/>
          <w:b/>
          <w:sz w:val="36"/>
        </w:rPr>
        <w:sectPr>
          <w:pgSz w:w="11906" w:h="16838"/>
          <w:pgMar w:top="1418" w:right="964" w:bottom="1418" w:left="964" w:header="851" w:footer="992" w:gutter="0"/>
          <w:pgNumType w:fmt="decimal" w:start="1"/>
          <w:cols w:space="720" w:num="1"/>
          <w:docGrid w:linePitch="312" w:charSpace="0"/>
        </w:sectPr>
      </w:pPr>
    </w:p>
    <w:p>
      <w:pPr>
        <w:spacing w:line="360" w:lineRule="auto"/>
        <w:ind w:firstLine="166" w:firstLineChars="46"/>
        <w:jc w:val="center"/>
        <w:rPr>
          <w:rFonts w:hint="eastAsia" w:ascii="宋体" w:hAnsi="宋体" w:eastAsia="宋体" w:cs="宋体"/>
          <w:b/>
          <w:bCs/>
          <w:sz w:val="36"/>
          <w:szCs w:val="36"/>
        </w:rPr>
      </w:pPr>
      <w:r>
        <w:rPr>
          <w:rFonts w:hint="eastAsia" w:ascii="宋体" w:hAnsi="宋体" w:eastAsia="宋体" w:cs="宋体"/>
          <w:b/>
          <w:bCs/>
          <w:sz w:val="36"/>
          <w:szCs w:val="36"/>
        </w:rPr>
        <w:t>特别提示</w:t>
      </w:r>
    </w:p>
    <w:p>
      <w:pPr>
        <w:spacing w:line="500" w:lineRule="exact"/>
        <w:rPr>
          <w:rFonts w:hint="eastAsia" w:ascii="宋体" w:hAnsi="宋体" w:eastAsia="宋体" w:cs="宋体"/>
          <w:sz w:val="24"/>
          <w:szCs w:val="24"/>
        </w:rPr>
      </w:pPr>
      <w:r>
        <w:rPr>
          <w:rFonts w:hint="eastAsia" w:ascii="宋体" w:hAnsi="宋体" w:eastAsia="宋体" w:cs="宋体"/>
          <w:sz w:val="24"/>
          <w:szCs w:val="24"/>
        </w:rPr>
        <w:t>各供应商，在此我们特别提醒您注意以下事项：</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一、有关投标文件：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1.请您仔细阅读</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文件并正确理解</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文件中各项具体要求。如您对</w:t>
      </w:r>
      <w:r>
        <w:rPr>
          <w:rFonts w:hint="eastAsia" w:ascii="宋体" w:hAnsi="宋体" w:eastAsia="宋体" w:cs="宋体"/>
          <w:sz w:val="24"/>
          <w:szCs w:val="24"/>
          <w:lang w:val="en-US" w:eastAsia="zh-CN"/>
        </w:rPr>
        <w:t>磋商</w:t>
      </w:r>
      <w:r>
        <w:rPr>
          <w:rFonts w:hint="eastAsia" w:ascii="宋体" w:hAnsi="宋体" w:eastAsia="宋体" w:cs="宋体"/>
          <w:sz w:val="24"/>
          <w:szCs w:val="24"/>
        </w:rPr>
        <w:t>文件有疑问，请在</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文件规定的时间内以书面形式提出，逾期将被拒绝受理。</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2.请您严格按照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文件载明的投标文件的格式要求编制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w:t>
      </w:r>
      <w:r>
        <w:rPr>
          <w:rFonts w:hint="eastAsia" w:ascii="宋体" w:hAnsi="宋体" w:eastAsia="宋体" w:cs="宋体"/>
          <w:sz w:val="24"/>
          <w:szCs w:val="24"/>
          <w:lang w:val="en-US" w:eastAsia="zh-CN"/>
        </w:rPr>
        <w:t>响应</w:t>
      </w:r>
      <w:r>
        <w:rPr>
          <w:rFonts w:hint="eastAsia" w:ascii="宋体" w:hAnsi="宋体" w:eastAsia="宋体" w:cs="宋体"/>
          <w:b/>
          <w:bCs/>
          <w:color w:val="auto"/>
          <w:sz w:val="24"/>
          <w:szCs w:val="24"/>
          <w:lang w:val="en-US" w:eastAsia="zh-CN"/>
        </w:rPr>
        <w:t>文件须双面打印并</w:t>
      </w:r>
      <w:r>
        <w:rPr>
          <w:rFonts w:hint="eastAsia" w:ascii="宋体" w:hAnsi="宋体" w:eastAsia="宋体" w:cs="宋体"/>
          <w:b/>
          <w:bCs/>
          <w:color w:val="auto"/>
          <w:sz w:val="24"/>
          <w:szCs w:val="24"/>
        </w:rPr>
        <w:t>胶装成册</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二、有关开标：</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1.请您务必考虑天气情况、交通情况以及您对开标地址的路线熟悉等情况于</w:t>
      </w:r>
      <w:r>
        <w:rPr>
          <w:rFonts w:hint="eastAsia" w:ascii="宋体" w:hAnsi="宋体" w:eastAsia="宋体" w:cs="宋体"/>
          <w:sz w:val="24"/>
          <w:szCs w:val="24"/>
          <w:lang w:eastAsia="zh-CN"/>
        </w:rPr>
        <w:t>开标截止时间</w:t>
      </w:r>
      <w:r>
        <w:rPr>
          <w:rFonts w:hint="eastAsia" w:ascii="宋体" w:hAnsi="宋体" w:eastAsia="宋体" w:cs="宋体"/>
          <w:sz w:val="24"/>
          <w:szCs w:val="24"/>
        </w:rPr>
        <w:t>前到西安市新城区新园产业大厦9楼</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rPr>
        <w:t>，</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文件逾期到达，将被拒绝接收。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2.请您到达文件递交地点后及时到</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文件接收处签字登记。</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3.供应商应当在要求的</w:t>
      </w:r>
      <w:r>
        <w:rPr>
          <w:rFonts w:hint="eastAsia" w:ascii="宋体" w:hAnsi="宋体" w:eastAsia="宋体" w:cs="宋体"/>
          <w:sz w:val="24"/>
          <w:szCs w:val="24"/>
          <w:lang w:val="en-US" w:eastAsia="zh-CN"/>
        </w:rPr>
        <w:t>响应</w:t>
      </w:r>
      <w:r>
        <w:rPr>
          <w:rFonts w:hint="eastAsia" w:ascii="宋体" w:hAnsi="宋体" w:eastAsia="宋体" w:cs="宋体"/>
          <w:b/>
          <w:bCs/>
          <w:sz w:val="24"/>
          <w:szCs w:val="24"/>
        </w:rPr>
        <w:t>文件递交截止时间前，将文件密封送达指定地点。各供应商</w:t>
      </w:r>
      <w:r>
        <w:rPr>
          <w:rFonts w:hint="eastAsia" w:ascii="宋体" w:hAnsi="宋体" w:eastAsia="宋体" w:cs="宋体"/>
          <w:b/>
          <w:bCs/>
          <w:sz w:val="24"/>
          <w:szCs w:val="24"/>
          <w:lang w:val="en-US" w:eastAsia="zh-CN"/>
        </w:rPr>
        <w:t>最多</w:t>
      </w:r>
      <w:r>
        <w:rPr>
          <w:rFonts w:hint="eastAsia" w:ascii="宋体" w:hAnsi="宋体" w:eastAsia="宋体" w:cs="宋体"/>
          <w:b/>
          <w:bCs/>
          <w:sz w:val="24"/>
          <w:szCs w:val="24"/>
        </w:rPr>
        <w:t>可委托</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名代表到场参与投标。</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三、关于弃标的说明：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若您不能参加本次</w:t>
      </w:r>
      <w:r>
        <w:rPr>
          <w:rFonts w:hint="eastAsia" w:ascii="宋体" w:hAnsi="宋体" w:eastAsia="宋体" w:cs="宋体"/>
          <w:sz w:val="24"/>
          <w:szCs w:val="24"/>
          <w:lang w:val="en-US" w:eastAsia="zh-CN"/>
        </w:rPr>
        <w:t>磋商</w:t>
      </w:r>
      <w:r>
        <w:rPr>
          <w:rFonts w:hint="eastAsia" w:ascii="宋体" w:hAnsi="宋体" w:eastAsia="宋体" w:cs="宋体"/>
          <w:sz w:val="24"/>
          <w:szCs w:val="24"/>
        </w:rPr>
        <w:t>活动，请您务必以书面形式告知我们，以便我们正常开展后期工作，同时也避免再次打扰您，感谢您的配合。</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四、关于供应商注册登记提醒：</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tabs>
          <w:tab w:val="center" w:pos="4989"/>
          <w:tab w:val="left" w:pos="7604"/>
        </w:tabs>
        <w:spacing w:line="360" w:lineRule="auto"/>
        <w:jc w:val="center"/>
        <w:rPr>
          <w:rFonts w:hint="eastAsia" w:ascii="宋体" w:hAnsi="宋体" w:eastAsia="宋体" w:cs="宋体"/>
          <w:b/>
          <w:bCs/>
          <w:kern w:val="2"/>
          <w:sz w:val="24"/>
          <w:szCs w:val="24"/>
          <w:lang w:val="en-US" w:eastAsia="zh-CN" w:bidi="ar-SA"/>
        </w:rPr>
      </w:pPr>
    </w:p>
    <w:p>
      <w:pPr>
        <w:tabs>
          <w:tab w:val="center" w:pos="4989"/>
          <w:tab w:val="left" w:pos="7604"/>
        </w:tabs>
        <w:spacing w:line="360" w:lineRule="auto"/>
        <w:jc w:val="center"/>
        <w:rPr>
          <w:rFonts w:hint="eastAsia" w:ascii="宋体" w:hAnsi="宋体" w:eastAsia="宋体" w:cs="宋体"/>
          <w:b/>
          <w:bCs/>
          <w:kern w:val="2"/>
          <w:sz w:val="36"/>
          <w:szCs w:val="24"/>
          <w:lang w:val="en-US" w:eastAsia="zh-CN" w:bidi="ar-SA"/>
        </w:rPr>
      </w:pPr>
      <w:r>
        <w:rPr>
          <w:rFonts w:hint="eastAsia" w:ascii="宋体" w:hAnsi="宋体" w:eastAsia="宋体" w:cs="宋体"/>
          <w:b/>
          <w:bCs/>
          <w:kern w:val="2"/>
          <w:sz w:val="32"/>
          <w:szCs w:val="32"/>
          <w:lang w:val="en-US" w:eastAsia="zh-CN" w:bidi="ar-SA"/>
        </w:rPr>
        <w:t>请各供应商仔细阅读上述提示。如需帮助，请您与我们的工作人员联系，我们将非常高兴地为您服务</w:t>
      </w:r>
      <w:r>
        <w:rPr>
          <w:rFonts w:hint="eastAsia" w:ascii="宋体" w:hAnsi="宋体" w:eastAsia="宋体" w:cs="宋体"/>
          <w:b/>
          <w:bCs/>
          <w:kern w:val="2"/>
          <w:sz w:val="36"/>
          <w:szCs w:val="24"/>
          <w:lang w:val="en-US" w:eastAsia="zh-CN" w:bidi="ar-SA"/>
        </w:rPr>
        <w:t>。</w:t>
      </w:r>
    </w:p>
    <w:p>
      <w:pPr>
        <w:pStyle w:val="4"/>
        <w:spacing w:before="0" w:after="0" w:line="240" w:lineRule="auto"/>
        <w:jc w:val="center"/>
        <w:rPr>
          <w:rFonts w:hint="eastAsia" w:ascii="宋体" w:hAnsi="宋体" w:eastAsia="宋体" w:cs="宋体"/>
          <w:b w:val="0"/>
          <w:bCs/>
          <w:color w:val="auto"/>
          <w:sz w:val="21"/>
          <w:szCs w:val="21"/>
          <w:highlight w:val="none"/>
        </w:rPr>
      </w:pPr>
    </w:p>
    <w:p>
      <w:pPr>
        <w:rPr>
          <w:rFonts w:hint="eastAsia" w:ascii="宋体" w:hAnsi="宋体" w:eastAsia="宋体" w:cs="宋体"/>
        </w:rPr>
      </w:pPr>
    </w:p>
    <w:p>
      <w:pPr>
        <w:pStyle w:val="4"/>
        <w:spacing w:before="0" w:after="240" w:line="240" w:lineRule="auto"/>
        <w:jc w:val="center"/>
        <w:rPr>
          <w:rFonts w:hint="eastAsia" w:ascii="宋体" w:hAnsi="宋体" w:eastAsia="宋体" w:cs="宋体"/>
          <w:bCs/>
          <w:color w:val="auto"/>
          <w:sz w:val="36"/>
          <w:highlight w:val="none"/>
        </w:rPr>
      </w:pPr>
      <w:r>
        <w:rPr>
          <w:rFonts w:hint="eastAsia" w:ascii="宋体" w:hAnsi="宋体" w:eastAsia="宋体" w:cs="宋体"/>
          <w:b w:val="0"/>
          <w:bCs/>
          <w:color w:val="auto"/>
          <w:sz w:val="36"/>
          <w:highlight w:val="none"/>
        </w:rPr>
        <w:t>目    录</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第一章  磋商公告 ………………………………………………………………4</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第二章  供应商须知 ……………………………………………………………7</w:t>
      </w:r>
    </w:p>
    <w:p>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rPr>
        <w:t>供应商须知前附表 …………………………………………………………7</w:t>
      </w:r>
    </w:p>
    <w:p>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rPr>
        <w:t>1.总    则 …………………………………………………………………11</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2.磋商文件 …………………………………………………………………14</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3.供应商 ……………………………………………………………………16</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4.响应文件 …………………………………………………………………20</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5.响应文件的提交 …………………………………………………………26</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6.开启响应文件 ……………………………………………………………27</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7.磋商 ………………………………………………………………………28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8.确定成交供应商 …………………………………………………………31</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9.合同授予 …………………………………………………………………32</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10.终止磋商…………………………………………………………………33</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11.质疑和投诉………………………………………………………………34</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12.其他………………………………………………………………………36</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第三章  资格审查办法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1.资格审查小组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2.资格审查程序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3.资格审查标准和方法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4.资格审查报告 ……………………………………………………………41</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第四章  磋商办法 ………………………………………………………………42</w:t>
      </w:r>
    </w:p>
    <w:p>
      <w:pPr>
        <w:spacing w:line="360" w:lineRule="auto"/>
        <w:ind w:left="1275" w:leftChars="607" w:firstLine="1"/>
        <w:rPr>
          <w:rFonts w:hint="eastAsia" w:ascii="宋体" w:hAnsi="宋体" w:eastAsia="宋体" w:cs="宋体"/>
          <w:color w:val="auto"/>
          <w:highlight w:val="none"/>
        </w:rPr>
      </w:pPr>
      <w:r>
        <w:rPr>
          <w:rFonts w:hint="eastAsia" w:ascii="宋体" w:hAnsi="宋体" w:eastAsia="宋体" w:cs="宋体"/>
          <w:color w:val="auto"/>
          <w:highlight w:val="none"/>
        </w:rPr>
        <w:t>1.磋商程序 …………………………………………………………………42</w:t>
      </w:r>
    </w:p>
    <w:p>
      <w:pPr>
        <w:spacing w:line="360" w:lineRule="auto"/>
        <w:ind w:left="1275" w:leftChars="607" w:firstLine="1"/>
        <w:rPr>
          <w:rFonts w:hint="eastAsia" w:ascii="宋体" w:hAnsi="宋体" w:eastAsia="宋体" w:cs="宋体"/>
          <w:color w:val="auto"/>
          <w:highlight w:val="none"/>
        </w:rPr>
      </w:pPr>
      <w:r>
        <w:rPr>
          <w:rFonts w:hint="eastAsia" w:ascii="宋体" w:hAnsi="宋体" w:eastAsia="宋体" w:cs="宋体"/>
          <w:color w:val="auto"/>
          <w:highlight w:val="none"/>
        </w:rPr>
        <w:t>2.评审方法 …………………………………………………………………47</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第五章  采购需求 ………………………………………………………………52</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1.项目概况及总体要求 ……………………………………………………52</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2.采购内容 …………………………………………………………………52</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第六章  政府采购合同格式 ……………………………………………………55</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第七章  响应文件格式 …………………………………………………………61</w:t>
      </w:r>
    </w:p>
    <w:p>
      <w:pPr>
        <w:rPr>
          <w:rFonts w:hint="eastAsia" w:ascii="宋体" w:hAnsi="宋体" w:eastAsia="宋体" w:cs="宋体"/>
          <w:color w:val="auto"/>
          <w:kern w:val="44"/>
          <w:sz w:val="28"/>
          <w:szCs w:val="28"/>
          <w:highlight w:val="none"/>
        </w:rPr>
      </w:pPr>
    </w:p>
    <w:p>
      <w:pPr>
        <w:pStyle w:val="49"/>
        <w:rPr>
          <w:rFonts w:hint="eastAsia" w:ascii="宋体" w:hAnsi="宋体" w:eastAsia="宋体" w:cs="宋体"/>
        </w:rPr>
      </w:pPr>
    </w:p>
    <w:p>
      <w:pPr>
        <w:rPr>
          <w:rFonts w:hint="eastAsia" w:ascii="宋体" w:hAnsi="宋体" w:eastAsia="宋体" w:cs="宋体"/>
          <w:color w:val="auto"/>
          <w:kern w:val="44"/>
          <w:sz w:val="28"/>
          <w:szCs w:val="28"/>
          <w:highlight w:val="none"/>
        </w:rPr>
      </w:pPr>
    </w:p>
    <w:p>
      <w:pPr>
        <w:pStyle w:val="6"/>
        <w:numPr>
          <w:ilvl w:val="0"/>
          <w:numId w:val="4"/>
        </w:numPr>
        <w:spacing w:before="120" w:beforeLines="50" w:after="240" w:afterLines="100" w:line="360" w:lineRule="auto"/>
        <w:jc w:val="center"/>
        <w:rPr>
          <w:rFonts w:hint="eastAsia" w:ascii="宋体" w:hAnsi="宋体" w:eastAsia="宋体" w:cs="宋体"/>
          <w:color w:val="auto"/>
          <w:sz w:val="36"/>
          <w:szCs w:val="36"/>
          <w:highlight w:val="none"/>
          <w:lang w:val="en-US" w:eastAsia="zh-CN"/>
        </w:rPr>
        <w:sectPr>
          <w:headerReference r:id="rId3" w:type="default"/>
          <w:footerReference r:id="rId4" w:type="default"/>
          <w:pgSz w:w="11907" w:h="16840"/>
          <w:pgMar w:top="1440" w:right="1474" w:bottom="1440" w:left="1474" w:header="851" w:footer="992" w:gutter="0"/>
          <w:cols w:space="720" w:num="1"/>
          <w:docGrid w:linePitch="312" w:charSpace="0"/>
        </w:sectPr>
      </w:pPr>
    </w:p>
    <w:p>
      <w:pPr>
        <w:pStyle w:val="6"/>
        <w:numPr>
          <w:ilvl w:val="0"/>
          <w:numId w:val="4"/>
        </w:numPr>
        <w:spacing w:before="120" w:beforeLines="50" w:after="240" w:afterLines="100"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陕西省2023年度交通产品抽检</w:t>
      </w:r>
    </w:p>
    <w:p>
      <w:pPr>
        <w:pStyle w:val="6"/>
        <w:numPr>
          <w:ilvl w:val="0"/>
          <w:numId w:val="0"/>
        </w:numPr>
        <w:spacing w:before="120" w:beforeLines="50" w:after="240" w:afterLines="100"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竞争性磋商公告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陕西省2023年度交通产品抽检</w:t>
      </w:r>
      <w:r>
        <w:rPr>
          <w:rFonts w:hint="eastAsia" w:ascii="宋体" w:hAnsi="宋体" w:eastAsia="宋体" w:cs="宋体"/>
          <w:color w:val="auto"/>
          <w:sz w:val="21"/>
          <w:szCs w:val="21"/>
          <w:highlight w:val="none"/>
        </w:rPr>
        <w:t xml:space="preserve"> 采购项目的潜在供应商应在</w:t>
      </w:r>
      <w:r>
        <w:rPr>
          <w:rFonts w:hint="eastAsia" w:ascii="宋体" w:hAnsi="宋体" w:eastAsia="宋体" w:cs="宋体"/>
          <w:color w:val="auto"/>
          <w:sz w:val="21"/>
          <w:szCs w:val="21"/>
          <w:highlight w:val="none"/>
          <w:u w:val="single"/>
          <w:lang w:val="en-US" w:eastAsia="zh-CN"/>
        </w:rPr>
        <w:t>西安市新城区新园产业大厦9楼</w:t>
      </w:r>
      <w:r>
        <w:rPr>
          <w:rFonts w:hint="eastAsia" w:ascii="宋体" w:hAnsi="宋体" w:eastAsia="宋体" w:cs="宋体"/>
          <w:color w:val="auto"/>
          <w:sz w:val="21"/>
          <w:szCs w:val="21"/>
          <w:highlight w:val="none"/>
        </w:rPr>
        <w:t>获取采购文件，并于</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06</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pPr>
        <w:pStyle w:val="4"/>
        <w:spacing w:before="240" w:beforeLines="100" w:after="0" w:line="360" w:lineRule="auto"/>
        <w:rPr>
          <w:rFonts w:hint="eastAsia" w:ascii="宋体" w:hAnsi="宋体" w:eastAsia="宋体" w:cs="宋体"/>
          <w:b w:val="0"/>
          <w:color w:val="auto"/>
          <w:sz w:val="24"/>
          <w:szCs w:val="24"/>
          <w:highlight w:val="none"/>
        </w:rPr>
      </w:pPr>
      <w:bookmarkStart w:id="0" w:name="_Toc35393798"/>
      <w:bookmarkStart w:id="1" w:name="_Toc28359089"/>
      <w:bookmarkStart w:id="2" w:name="_Toc35393629"/>
      <w:bookmarkStart w:id="3" w:name="_Toc28359012"/>
      <w:r>
        <w:rPr>
          <w:rFonts w:hint="eastAsia" w:ascii="宋体" w:hAnsi="宋体" w:eastAsia="宋体" w:cs="宋体"/>
          <w:b w:val="0"/>
          <w:color w:val="auto"/>
          <w:sz w:val="24"/>
          <w:szCs w:val="24"/>
          <w:highlight w:val="none"/>
        </w:rPr>
        <w:t>一、项目基本情况</w:t>
      </w:r>
      <w:bookmarkEnd w:id="0"/>
      <w:bookmarkEnd w:id="1"/>
      <w:bookmarkEnd w:id="2"/>
      <w:bookmarkEnd w:id="3"/>
    </w:p>
    <w:p>
      <w:pPr>
        <w:spacing w:line="360" w:lineRule="auto"/>
        <w:ind w:right="-5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SXYDY2023018</w:t>
      </w:r>
    </w:p>
    <w:p>
      <w:pPr>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陕西省2023年度交通产品抽检</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采购方式： 竞争性磋商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659637.00元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eastAsia="宋体" w:cs="宋体"/>
          <w:color w:val="auto"/>
          <w:sz w:val="21"/>
          <w:szCs w:val="21"/>
          <w:highlight w:val="none"/>
          <w:lang w:eastAsia="zh-CN"/>
        </w:rPr>
        <w:t>陕西省2023年度交通产品抽检</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w:t>
      </w:r>
      <w:r>
        <w:rPr>
          <w:rFonts w:hint="eastAsia" w:ascii="宋体" w:hAnsi="宋体" w:eastAsia="宋体" w:cs="宋体"/>
          <w:color w:val="auto"/>
          <w:sz w:val="21"/>
          <w:szCs w:val="21"/>
          <w:highlight w:val="none"/>
          <w:lang w:val="en-US" w:eastAsia="zh-CN"/>
        </w:rPr>
        <w:t>659637.00元</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合同包最高限价：</w:t>
      </w:r>
      <w:r>
        <w:rPr>
          <w:rFonts w:hint="eastAsia" w:ascii="宋体" w:hAnsi="宋体" w:eastAsia="宋体" w:cs="宋体"/>
          <w:color w:val="auto"/>
          <w:sz w:val="21"/>
          <w:szCs w:val="21"/>
          <w:highlight w:val="none"/>
          <w:lang w:val="en-US" w:eastAsia="zh-CN"/>
        </w:rPr>
        <w:t>659637.00元</w:t>
      </w:r>
    </w:p>
    <w:tbl>
      <w:tblPr>
        <w:tblStyle w:val="27"/>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398"/>
        <w:gridCol w:w="1628"/>
        <w:gridCol w:w="1065"/>
        <w:gridCol w:w="1581"/>
        <w:gridCol w:w="129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8" w:type="dxa"/>
            <w:noWrap w:val="0"/>
            <w:vAlign w:val="center"/>
          </w:tcPr>
          <w:p>
            <w:pPr>
              <w:pStyle w:val="49"/>
              <w:spacing w:line="480" w:lineRule="auto"/>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品目号</w:t>
            </w:r>
          </w:p>
        </w:tc>
        <w:tc>
          <w:tcPr>
            <w:tcW w:w="1398" w:type="dxa"/>
            <w:noWrap w:val="0"/>
            <w:vAlign w:val="center"/>
          </w:tcPr>
          <w:p>
            <w:pPr>
              <w:pStyle w:val="49"/>
              <w:spacing w:line="480" w:lineRule="auto"/>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品目名称</w:t>
            </w:r>
          </w:p>
        </w:tc>
        <w:tc>
          <w:tcPr>
            <w:tcW w:w="1628" w:type="dxa"/>
            <w:noWrap w:val="0"/>
            <w:vAlign w:val="center"/>
          </w:tcPr>
          <w:p>
            <w:pPr>
              <w:pStyle w:val="49"/>
              <w:spacing w:line="480" w:lineRule="auto"/>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采购标的</w:t>
            </w:r>
          </w:p>
        </w:tc>
        <w:tc>
          <w:tcPr>
            <w:tcW w:w="1065" w:type="dxa"/>
            <w:noWrap w:val="0"/>
            <w:vAlign w:val="center"/>
          </w:tcPr>
          <w:p>
            <w:pPr>
              <w:pStyle w:val="49"/>
              <w:spacing w:line="480" w:lineRule="auto"/>
              <w:ind w:firstLine="210" w:firstLineChars="100"/>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数量</w:t>
            </w:r>
          </w:p>
          <w:p>
            <w:pPr>
              <w:pStyle w:val="49"/>
              <w:spacing w:line="480" w:lineRule="auto"/>
              <w:ind w:left="420" w:hanging="420" w:hangingChars="200"/>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（单位）</w:t>
            </w:r>
          </w:p>
        </w:tc>
        <w:tc>
          <w:tcPr>
            <w:tcW w:w="1581" w:type="dxa"/>
            <w:noWrap w:val="0"/>
            <w:vAlign w:val="center"/>
          </w:tcPr>
          <w:p>
            <w:pPr>
              <w:pStyle w:val="49"/>
              <w:spacing w:line="480" w:lineRule="auto"/>
              <w:jc w:val="center"/>
              <w:rPr>
                <w:rFonts w:hint="eastAsia" w:ascii="宋体" w:hAnsi="宋体" w:eastAsia="宋体" w:cs="宋体"/>
                <w:b w:val="0"/>
                <w:bCs w:val="0"/>
                <w:i w:val="0"/>
                <w:iCs w:val="0"/>
                <w:color w:val="333333"/>
                <w:sz w:val="21"/>
                <w:szCs w:val="21"/>
              </w:rPr>
            </w:pPr>
            <w:r>
              <w:rPr>
                <w:rFonts w:hint="eastAsia" w:ascii="宋体" w:hAnsi="宋体" w:eastAsia="宋体" w:cs="宋体"/>
                <w:b w:val="0"/>
                <w:bCs w:val="0"/>
                <w:i w:val="0"/>
                <w:iCs w:val="0"/>
                <w:color w:val="333333"/>
                <w:sz w:val="21"/>
                <w:szCs w:val="21"/>
              </w:rPr>
              <w:t>技术规格、参数及要求</w:t>
            </w:r>
          </w:p>
        </w:tc>
        <w:tc>
          <w:tcPr>
            <w:tcW w:w="1294" w:type="dxa"/>
            <w:noWrap w:val="0"/>
            <w:vAlign w:val="center"/>
          </w:tcPr>
          <w:p>
            <w:pPr>
              <w:pStyle w:val="49"/>
              <w:spacing w:line="480" w:lineRule="auto"/>
              <w:jc w:val="center"/>
              <w:rPr>
                <w:rFonts w:hint="eastAsia" w:ascii="宋体" w:hAnsi="宋体" w:eastAsia="宋体" w:cs="宋体"/>
                <w:b w:val="0"/>
                <w:bCs w:val="0"/>
                <w:i w:val="0"/>
                <w:iCs w:val="0"/>
                <w:color w:val="333333"/>
                <w:sz w:val="21"/>
                <w:szCs w:val="21"/>
              </w:rPr>
            </w:pPr>
            <w:r>
              <w:rPr>
                <w:rFonts w:hint="eastAsia" w:ascii="宋体" w:hAnsi="宋体" w:eastAsia="宋体" w:cs="宋体"/>
                <w:b w:val="0"/>
                <w:bCs w:val="0"/>
                <w:i w:val="0"/>
                <w:iCs w:val="0"/>
                <w:color w:val="333333"/>
                <w:sz w:val="21"/>
                <w:szCs w:val="21"/>
              </w:rPr>
              <w:t>品目预算(元)</w:t>
            </w:r>
          </w:p>
        </w:tc>
        <w:tc>
          <w:tcPr>
            <w:tcW w:w="1412" w:type="dxa"/>
            <w:noWrap w:val="0"/>
            <w:vAlign w:val="center"/>
          </w:tcPr>
          <w:p>
            <w:pPr>
              <w:pStyle w:val="49"/>
              <w:spacing w:line="480" w:lineRule="auto"/>
              <w:jc w:val="center"/>
              <w:rPr>
                <w:rFonts w:hint="eastAsia" w:ascii="宋体" w:hAnsi="宋体" w:eastAsia="宋体" w:cs="宋体"/>
                <w:sz w:val="21"/>
                <w:szCs w:val="21"/>
                <w:vertAlign w:val="baseline"/>
              </w:rPr>
            </w:pPr>
            <w:r>
              <w:rPr>
                <w:rFonts w:hint="eastAsia" w:ascii="宋体" w:hAnsi="宋体" w:eastAsia="宋体" w:cs="宋体"/>
                <w:b w:val="0"/>
                <w:bCs w:val="0"/>
                <w:i w:val="0"/>
                <w:iCs w:val="0"/>
                <w:color w:val="333333"/>
                <w:sz w:val="21"/>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78" w:type="dxa"/>
            <w:noWrap w:val="0"/>
            <w:vAlign w:val="top"/>
          </w:tcPr>
          <w:p>
            <w:pPr>
              <w:pStyle w:val="4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398" w:type="dxa"/>
            <w:noWrap w:val="0"/>
            <w:vAlign w:val="top"/>
          </w:tcPr>
          <w:p>
            <w:pPr>
              <w:pStyle w:val="4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技术检测和分析服务</w:t>
            </w:r>
          </w:p>
        </w:tc>
        <w:tc>
          <w:tcPr>
            <w:tcW w:w="1628" w:type="dxa"/>
            <w:noWrap w:val="0"/>
            <w:vAlign w:val="top"/>
          </w:tcPr>
          <w:p>
            <w:pPr>
              <w:pStyle w:val="49"/>
              <w:spacing w:line="48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陕西省2023年度交通产品抽检</w:t>
            </w:r>
          </w:p>
        </w:tc>
        <w:tc>
          <w:tcPr>
            <w:tcW w:w="1065" w:type="dxa"/>
            <w:noWrap w:val="0"/>
            <w:vAlign w:val="top"/>
          </w:tcPr>
          <w:p>
            <w:pPr>
              <w:pStyle w:val="49"/>
              <w:spacing w:line="480" w:lineRule="auto"/>
              <w:rPr>
                <w:rFonts w:hint="eastAsia" w:ascii="宋体" w:hAnsi="宋体" w:eastAsia="宋体" w:cs="宋体"/>
                <w:sz w:val="21"/>
                <w:szCs w:val="21"/>
                <w:vertAlign w:val="baseline"/>
                <w:lang w:val="en-US" w:eastAsia="zh-CN"/>
              </w:rPr>
            </w:pPr>
          </w:p>
          <w:p>
            <w:pPr>
              <w:pStyle w:val="4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c>
          <w:tcPr>
            <w:tcW w:w="1581" w:type="dxa"/>
            <w:noWrap w:val="0"/>
            <w:vAlign w:val="top"/>
          </w:tcPr>
          <w:p>
            <w:pPr>
              <w:pStyle w:val="49"/>
              <w:spacing w:line="480" w:lineRule="auto"/>
              <w:rPr>
                <w:rFonts w:hint="eastAsia" w:ascii="宋体" w:hAnsi="宋体" w:eastAsia="宋体" w:cs="宋体"/>
                <w:sz w:val="21"/>
                <w:szCs w:val="21"/>
                <w:vertAlign w:val="baseline"/>
                <w:lang w:val="en-US" w:eastAsia="zh-CN"/>
              </w:rPr>
            </w:pPr>
          </w:p>
          <w:p>
            <w:pPr>
              <w:pStyle w:val="4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详见采购文件</w:t>
            </w:r>
          </w:p>
        </w:tc>
        <w:tc>
          <w:tcPr>
            <w:tcW w:w="1294" w:type="dxa"/>
            <w:noWrap w:val="0"/>
            <w:vAlign w:val="top"/>
          </w:tcPr>
          <w:p>
            <w:pPr>
              <w:pStyle w:val="49"/>
              <w:spacing w:line="480" w:lineRule="auto"/>
              <w:rPr>
                <w:rFonts w:hint="eastAsia" w:ascii="宋体" w:hAnsi="宋体" w:eastAsia="宋体" w:cs="宋体"/>
                <w:sz w:val="21"/>
                <w:szCs w:val="21"/>
                <w:vertAlign w:val="baseline"/>
              </w:rPr>
            </w:pPr>
          </w:p>
          <w:p>
            <w:pPr>
              <w:pStyle w:val="49"/>
              <w:spacing w:line="480" w:lineRule="auto"/>
              <w:rPr>
                <w:rFonts w:hint="eastAsia" w:ascii="宋体" w:hAnsi="宋体" w:eastAsia="宋体" w:cs="宋体"/>
                <w:sz w:val="21"/>
                <w:szCs w:val="21"/>
                <w:vertAlign w:val="baseline"/>
              </w:rPr>
            </w:pPr>
            <w:r>
              <w:rPr>
                <w:rFonts w:hint="eastAsia" w:ascii="宋体" w:hAnsi="宋体" w:cs="宋体"/>
                <w:sz w:val="21"/>
                <w:szCs w:val="21"/>
                <w:lang w:val="en-US" w:eastAsia="zh-CN"/>
              </w:rPr>
              <w:t>659637.00</w:t>
            </w:r>
          </w:p>
        </w:tc>
        <w:tc>
          <w:tcPr>
            <w:tcW w:w="1412" w:type="dxa"/>
            <w:noWrap w:val="0"/>
            <w:vAlign w:val="top"/>
          </w:tcPr>
          <w:p>
            <w:pPr>
              <w:pStyle w:val="49"/>
              <w:spacing w:line="480" w:lineRule="auto"/>
              <w:rPr>
                <w:rFonts w:hint="eastAsia" w:ascii="宋体" w:hAnsi="宋体" w:eastAsia="宋体" w:cs="宋体"/>
                <w:sz w:val="21"/>
                <w:szCs w:val="21"/>
                <w:vertAlign w:val="baseline"/>
              </w:rPr>
            </w:pPr>
          </w:p>
          <w:p>
            <w:pPr>
              <w:pStyle w:val="49"/>
              <w:spacing w:line="480" w:lineRule="auto"/>
              <w:rPr>
                <w:rFonts w:hint="eastAsia" w:ascii="宋体" w:hAnsi="宋体" w:eastAsia="宋体" w:cs="宋体"/>
                <w:sz w:val="21"/>
                <w:szCs w:val="21"/>
                <w:vertAlign w:val="baseline"/>
              </w:rPr>
            </w:pPr>
            <w:r>
              <w:rPr>
                <w:rFonts w:hint="eastAsia" w:ascii="宋体" w:hAnsi="宋体" w:cs="宋体"/>
                <w:sz w:val="21"/>
                <w:szCs w:val="21"/>
                <w:lang w:val="en-US" w:eastAsia="zh-CN"/>
              </w:rPr>
              <w:t>659637.00</w:t>
            </w:r>
          </w:p>
        </w:tc>
      </w:tr>
    </w:tbl>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合同履行期限：预计服务周期为6个月（具体进场日期以实际通知为准）；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接受联合体。</w:t>
      </w:r>
    </w:p>
    <w:p>
      <w:pPr>
        <w:pStyle w:val="4"/>
        <w:spacing w:before="0" w:after="0" w:line="360" w:lineRule="auto"/>
        <w:rPr>
          <w:rFonts w:hint="eastAsia" w:ascii="宋体" w:hAnsi="宋体" w:eastAsia="宋体" w:cs="宋体"/>
          <w:b w:val="0"/>
          <w:color w:val="auto"/>
          <w:sz w:val="30"/>
          <w:szCs w:val="30"/>
          <w:highlight w:val="none"/>
        </w:rPr>
      </w:pPr>
      <w:bookmarkStart w:id="4" w:name="_Toc28359013"/>
      <w:bookmarkStart w:id="5" w:name="_Toc35393630"/>
      <w:bookmarkStart w:id="6" w:name="_Toc35393799"/>
      <w:bookmarkStart w:id="7" w:name="_Toc28359090"/>
      <w:r>
        <w:rPr>
          <w:rFonts w:hint="eastAsia" w:ascii="宋体" w:hAnsi="宋体" w:eastAsia="宋体" w:cs="宋体"/>
          <w:b w:val="0"/>
          <w:color w:val="auto"/>
          <w:sz w:val="30"/>
          <w:szCs w:val="30"/>
          <w:highlight w:val="none"/>
        </w:rPr>
        <w:t>二、供应商的资格要求</w:t>
      </w:r>
      <w:bookmarkEnd w:id="4"/>
      <w:bookmarkEnd w:id="5"/>
      <w:bookmarkEnd w:id="6"/>
      <w:bookmarkEnd w:id="7"/>
    </w:p>
    <w:p>
      <w:pPr>
        <w:spacing w:line="360" w:lineRule="auto"/>
        <w:ind w:firstLine="420" w:firstLineChars="200"/>
        <w:rPr>
          <w:rFonts w:hint="eastAsia" w:ascii="宋体" w:hAnsi="宋体" w:eastAsia="宋体" w:cs="宋体"/>
          <w:color w:val="auto"/>
          <w:sz w:val="21"/>
          <w:szCs w:val="21"/>
          <w:highlight w:val="none"/>
        </w:rPr>
      </w:pPr>
      <w:bookmarkStart w:id="8" w:name="_Toc35393631"/>
      <w:bookmarkStart w:id="9" w:name="_Toc28359014"/>
      <w:bookmarkStart w:id="10" w:name="_Toc35393800"/>
      <w:bookmarkStart w:id="11" w:name="_Toc28359091"/>
      <w:r>
        <w:rPr>
          <w:rFonts w:hint="eastAsia" w:ascii="宋体" w:hAnsi="宋体" w:eastAsia="宋体" w:cs="宋体"/>
          <w:color w:val="auto"/>
          <w:sz w:val="21"/>
          <w:szCs w:val="21"/>
          <w:highlight w:val="none"/>
        </w:rPr>
        <w:t>1.满足《中华人民共和国政府采购法》第二十二条规定；</w:t>
      </w:r>
    </w:p>
    <w:p>
      <w:pPr>
        <w:spacing w:line="360" w:lineRule="auto"/>
        <w:ind w:firstLine="420" w:firstLineChars="200"/>
        <w:rPr>
          <w:rFonts w:hint="eastAsia"/>
          <w:sz w:val="21"/>
          <w:szCs w:val="21"/>
        </w:rPr>
      </w:pPr>
      <w:r>
        <w:rPr>
          <w:rFonts w:hint="eastAsia"/>
          <w:sz w:val="21"/>
          <w:szCs w:val="21"/>
        </w:rPr>
        <w:t>（1）财政部、工业和信息化部关于印发《政府采购促进中小企业发展管理办法》的通知(财库〔2020〕46号)；</w:t>
      </w:r>
    </w:p>
    <w:p>
      <w:pPr>
        <w:spacing w:line="360" w:lineRule="auto"/>
        <w:ind w:firstLine="420" w:firstLineChars="200"/>
        <w:rPr>
          <w:rFonts w:hint="eastAsia"/>
          <w:sz w:val="21"/>
          <w:szCs w:val="21"/>
        </w:rPr>
      </w:pPr>
      <w:r>
        <w:rPr>
          <w:rFonts w:hint="eastAsia"/>
          <w:sz w:val="21"/>
          <w:szCs w:val="21"/>
        </w:rPr>
        <w:t>（2）《财政部司法部关于政府采购支持监狱企业发展有关问题的通知》--财库[2014]68号；</w:t>
      </w:r>
    </w:p>
    <w:p>
      <w:pPr>
        <w:spacing w:line="360" w:lineRule="auto"/>
        <w:ind w:firstLine="420" w:firstLineChars="200"/>
        <w:rPr>
          <w:rFonts w:hint="eastAsia"/>
          <w:sz w:val="21"/>
          <w:szCs w:val="21"/>
        </w:rPr>
      </w:pPr>
      <w:r>
        <w:rPr>
          <w:rFonts w:hint="eastAsia"/>
          <w:sz w:val="21"/>
          <w:szCs w:val="21"/>
        </w:rPr>
        <w:t>（3）《国务院办公厅关于建立政府强制采购节能产品制度的通知》（国办发〔2007〕51号）； </w:t>
      </w:r>
    </w:p>
    <w:p>
      <w:pPr>
        <w:spacing w:line="360" w:lineRule="auto"/>
        <w:ind w:firstLine="420" w:firstLineChars="200"/>
        <w:rPr>
          <w:rFonts w:hint="eastAsia"/>
          <w:sz w:val="21"/>
          <w:szCs w:val="21"/>
        </w:rPr>
      </w:pPr>
      <w:r>
        <w:rPr>
          <w:rFonts w:hint="eastAsia"/>
          <w:sz w:val="21"/>
          <w:szCs w:val="21"/>
        </w:rPr>
        <w:t>（4）《节能产品政府采购实施意见》--（财库[2004]185号）；</w:t>
      </w:r>
    </w:p>
    <w:p>
      <w:pPr>
        <w:spacing w:line="360" w:lineRule="auto"/>
        <w:ind w:firstLine="420" w:firstLineChars="200"/>
        <w:rPr>
          <w:rFonts w:hint="eastAsia"/>
          <w:sz w:val="21"/>
          <w:szCs w:val="21"/>
        </w:rPr>
      </w:pPr>
      <w:r>
        <w:rPr>
          <w:rFonts w:hint="eastAsia"/>
          <w:sz w:val="21"/>
          <w:szCs w:val="21"/>
        </w:rPr>
        <w:t>（5）《环境标志产品政府采购实施的意见》--财库[2006]90号；</w:t>
      </w:r>
    </w:p>
    <w:p>
      <w:pPr>
        <w:spacing w:line="360" w:lineRule="auto"/>
        <w:ind w:firstLine="420" w:firstLineChars="200"/>
        <w:rPr>
          <w:rFonts w:hint="eastAsia"/>
          <w:sz w:val="21"/>
          <w:szCs w:val="21"/>
        </w:rPr>
      </w:pPr>
      <w:r>
        <w:rPr>
          <w:rFonts w:hint="eastAsia"/>
          <w:sz w:val="21"/>
          <w:szCs w:val="21"/>
        </w:rPr>
        <w:t>（6）《关于促进残疾人就业政府采购政策的通知》（财库[2017]141号）；</w:t>
      </w:r>
    </w:p>
    <w:p>
      <w:pPr>
        <w:spacing w:line="360" w:lineRule="auto"/>
        <w:ind w:firstLine="420" w:firstLineChars="200"/>
        <w:rPr>
          <w:rFonts w:hint="eastAsia"/>
          <w:sz w:val="21"/>
          <w:szCs w:val="21"/>
        </w:rPr>
      </w:pPr>
      <w:r>
        <w:rPr>
          <w:rFonts w:hint="eastAsia"/>
          <w:sz w:val="21"/>
          <w:szCs w:val="21"/>
        </w:rPr>
        <w:t>（7）《财政部、发展改革委、生态环境部市场监管总局关于调整优化节能产品环境标志产品政府采购执行机制的通知》（财库〔2019〕9号）；</w:t>
      </w:r>
    </w:p>
    <w:p>
      <w:pPr>
        <w:spacing w:line="360" w:lineRule="auto"/>
        <w:ind w:firstLine="420" w:firstLineChars="200"/>
        <w:rPr>
          <w:rFonts w:hint="eastAsia"/>
          <w:sz w:val="21"/>
          <w:szCs w:val="21"/>
        </w:rPr>
      </w:pPr>
      <w:r>
        <w:rPr>
          <w:rFonts w:hint="eastAsia"/>
          <w:sz w:val="21"/>
          <w:szCs w:val="21"/>
        </w:rPr>
        <w:t>（8）《财政部国务院扶贫办关于运用政府采购政策支持脱贫攻坚的通知》（财库〔2019〕27号）；</w:t>
      </w:r>
    </w:p>
    <w:p>
      <w:pPr>
        <w:spacing w:line="360" w:lineRule="auto"/>
        <w:ind w:firstLine="420" w:firstLineChars="200"/>
        <w:rPr>
          <w:rFonts w:hint="eastAsia"/>
          <w:sz w:val="21"/>
          <w:szCs w:val="21"/>
        </w:rPr>
      </w:pPr>
      <w:r>
        <w:rPr>
          <w:rFonts w:hint="eastAsia"/>
          <w:sz w:val="21"/>
          <w:szCs w:val="21"/>
        </w:rPr>
        <w:t>（9）陕西省财政厅关于印发《陕西省中小企业政府采购信用融资办法》（陕财办采〔2018〕23号）；</w:t>
      </w:r>
    </w:p>
    <w:p>
      <w:pPr>
        <w:spacing w:line="360" w:lineRule="auto"/>
        <w:ind w:firstLine="420" w:firstLineChars="200"/>
        <w:rPr>
          <w:rFonts w:hint="eastAsia"/>
          <w:sz w:val="21"/>
          <w:szCs w:val="21"/>
        </w:rPr>
      </w:pPr>
      <w:r>
        <w:rPr>
          <w:rFonts w:hint="eastAsia"/>
          <w:sz w:val="21"/>
          <w:szCs w:val="21"/>
        </w:rPr>
        <w:t>（10）《市场监督总局关于发布参与实施政府采购节能产品、环境标志产品认证机构名录的公告》—2019年第16号等其他需要落实的政府采购政策。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sz w:val="21"/>
          <w:szCs w:val="21"/>
          <w:highlight w:val="none"/>
          <w:lang w:val="en-US" w:eastAsia="zh-CN"/>
        </w:rPr>
        <w:t>本项目专门面向中小企业采购，供应商应为中小企业</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（提供中小企业声明函）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定资格条件：（1）提供合格有效的法人或者其他组织的营业执照等证明文件，自然人的身份证明；（2）投标供应商应授权合法的人员参加投标全过程，其中法定代表人直接参加投标的，须出具法人身份证，并与营业执照上信息一致。法定代表人授权代表参加投标的，须出具法定代表人授权书及授权代表身份证；（3）投标供应商资质：</w:t>
      </w:r>
      <w:r>
        <w:rPr>
          <w:rFonts w:hint="eastAsia" w:ascii="宋体" w:hAnsi="宋体" w:eastAsia="宋体" w:cs="宋体"/>
          <w:color w:val="auto"/>
          <w:sz w:val="21"/>
          <w:szCs w:val="21"/>
          <w:highlight w:val="none"/>
          <w:lang w:eastAsia="zh-CN"/>
        </w:rPr>
        <w:t>具有有效的交通运输部颁发的公路工程综合甲级试验检测机构资质，</w:t>
      </w:r>
      <w:r>
        <w:rPr>
          <w:rFonts w:hint="eastAsia" w:ascii="宋体" w:hAnsi="宋体" w:cs="宋体"/>
          <w:color w:val="auto"/>
          <w:sz w:val="21"/>
          <w:szCs w:val="21"/>
          <w:highlight w:val="none"/>
          <w:lang w:eastAsia="zh-CN"/>
        </w:rPr>
        <w:t>同时具有省级及以上国家质量技术监督部门颁发的计量认证CMA合格证书</w:t>
      </w:r>
      <w:r>
        <w:rPr>
          <w:rFonts w:hint="eastAsia" w:ascii="宋体" w:hAnsi="宋体" w:eastAsia="宋体" w:cs="宋体"/>
          <w:color w:val="auto"/>
          <w:sz w:val="21"/>
          <w:szCs w:val="21"/>
          <w:highlight w:val="none"/>
        </w:rPr>
        <w:t>；（4）项目负责人：具有相关专业高级或以上技术职称；持有交通运输部颁发的试验检测工程师证书；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）技术负责人：具有相关专业高级或以上技术职称；持有交通运输部颁发的试验检测工程师证书；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提供交通运输部近5年公路水运试验检测机构信用评价结果和比对试验结果，并没有正受到被项目所在地交通运输或建设主管部门取消投标资格的行政处罚（2023修订）。（7）投标供应商投标供应商未列入国家企业信用信息公示系统(http://www.gsxt.gov.cn/)中被列入严重违法失信企业名单、 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strike w:val="0"/>
          <w:dstrike w:val="0"/>
          <w:color w:val="auto"/>
          <w:sz w:val="21"/>
          <w:szCs w:val="21"/>
          <w:highlight w:val="none"/>
        </w:rPr>
        <w:t xml:space="preserve">提供 </w:t>
      </w:r>
      <w:r>
        <w:rPr>
          <w:rFonts w:hint="eastAsia" w:ascii="宋体" w:hAnsi="宋体" w:eastAsia="宋体" w:cs="宋体"/>
          <w:strike w:val="0"/>
          <w:dstrike w:val="0"/>
          <w:color w:val="auto"/>
          <w:sz w:val="21"/>
          <w:szCs w:val="21"/>
          <w:highlight w:val="none"/>
          <w:lang w:val="en-US" w:eastAsia="zh-CN"/>
        </w:rPr>
        <w:t>2021或2022</w:t>
      </w:r>
      <w:r>
        <w:rPr>
          <w:rFonts w:hint="eastAsia" w:ascii="宋体" w:hAnsi="宋体" w:eastAsia="宋体" w:cs="宋体"/>
          <w:strike w:val="0"/>
          <w:dstrike w:val="0"/>
          <w:color w:val="auto"/>
          <w:sz w:val="21"/>
          <w:szCs w:val="21"/>
          <w:highlight w:val="none"/>
        </w:rPr>
        <w:t xml:space="preserve"> 年度经审计的供应商财务</w:t>
      </w:r>
      <w:r>
        <w:rPr>
          <w:rFonts w:hint="eastAsia" w:ascii="宋体" w:hAnsi="宋体" w:eastAsia="宋体" w:cs="宋体"/>
          <w:strike w:val="0"/>
          <w:dstrike w:val="0"/>
          <w:color w:val="auto"/>
          <w:sz w:val="21"/>
          <w:szCs w:val="21"/>
          <w:highlight w:val="none"/>
          <w:lang w:val="en-US" w:eastAsia="zh-CN"/>
        </w:rPr>
        <w:t>审</w:t>
      </w:r>
      <w:r>
        <w:rPr>
          <w:rFonts w:hint="eastAsia" w:ascii="宋体" w:hAnsi="宋体" w:eastAsia="宋体" w:cs="宋体"/>
          <w:strike w:val="0"/>
          <w:dstrike w:val="0"/>
          <w:color w:val="auto"/>
          <w:sz w:val="21"/>
          <w:szCs w:val="21"/>
          <w:highlight w:val="none"/>
        </w:rPr>
        <w:t>计报告或者银行资信</w:t>
      </w:r>
      <w:r>
        <w:rPr>
          <w:rFonts w:hint="eastAsia" w:ascii="宋体" w:hAnsi="宋体" w:eastAsia="宋体" w:cs="宋体"/>
          <w:strike w:val="0"/>
          <w:dstrike w:val="0"/>
          <w:color w:val="auto"/>
          <w:sz w:val="21"/>
          <w:szCs w:val="21"/>
          <w:highlight w:val="none"/>
          <w:lang w:val="en-US" w:eastAsia="zh-CN"/>
        </w:rPr>
        <w:t>证明；</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具备履行合同所必须的设备和专业技术能力的承诺</w:t>
      </w:r>
      <w:r>
        <w:rPr>
          <w:rFonts w:hint="eastAsia" w:ascii="宋体" w:hAnsi="宋体" w:eastAsia="宋体" w:cs="宋体"/>
          <w:strike w:val="0"/>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）本项目不接受联合体。</w:t>
      </w:r>
    </w:p>
    <w:p>
      <w:pPr>
        <w:pStyle w:val="4"/>
        <w:spacing w:before="0" w:after="0" w:line="360" w:lineRule="auto"/>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三、获取采购文件</w:t>
      </w:r>
      <w:bookmarkEnd w:id="8"/>
      <w:bookmarkEnd w:id="9"/>
      <w:bookmarkEnd w:id="10"/>
      <w:bookmarkEnd w:id="11"/>
    </w:p>
    <w:p>
      <w:pPr>
        <w:spacing w:line="360" w:lineRule="auto"/>
        <w:ind w:right="-5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06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02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u w:val="single"/>
        </w:rPr>
        <w:t>9:00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12:00</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u w:val="single"/>
        </w:rPr>
        <w:t>14:00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17:00</w:t>
      </w:r>
      <w:r>
        <w:rPr>
          <w:rFonts w:hint="eastAsia" w:ascii="宋体" w:hAnsi="宋体" w:eastAsia="宋体" w:cs="宋体"/>
          <w:color w:val="auto"/>
          <w:sz w:val="21"/>
          <w:szCs w:val="21"/>
          <w:highlight w:val="none"/>
        </w:rPr>
        <w:t>（北京时间，法定节假日除外）</w:t>
      </w:r>
    </w:p>
    <w:p>
      <w:pPr>
        <w:spacing w:line="360" w:lineRule="auto"/>
        <w:ind w:firstLine="420" w:firstLineChars="200"/>
        <w:rPr>
          <w:rFonts w:hint="eastAsia" w:ascii="宋体" w:hAnsi="宋体" w:eastAsia="宋体" w:cs="宋体"/>
          <w:color w:val="auto"/>
          <w:sz w:val="21"/>
          <w:szCs w:val="21"/>
          <w:highlight w:val="none"/>
          <w:lang w:val="en-US" w:eastAsia="zh-CN"/>
        </w:rPr>
      </w:pPr>
      <w:bookmarkStart w:id="12" w:name="_Toc35393632"/>
      <w:bookmarkStart w:id="13" w:name="_Toc28359015"/>
      <w:bookmarkStart w:id="14" w:name="_Toc35393801"/>
      <w:bookmarkStart w:id="15" w:name="_Toc28359092"/>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西安市新城区新园产业大厦9楼</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方式：电子。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，售后不退。</w:t>
      </w:r>
    </w:p>
    <w:p>
      <w:pPr>
        <w:pStyle w:val="4"/>
        <w:spacing w:before="0" w:after="0" w:line="360" w:lineRule="auto"/>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四、响应文件提交</w:t>
      </w:r>
      <w:bookmarkEnd w:id="12"/>
      <w:bookmarkEnd w:id="13"/>
      <w:bookmarkEnd w:id="14"/>
      <w:bookmarkEnd w:id="15"/>
    </w:p>
    <w:p>
      <w:pPr>
        <w:spacing w:line="360" w:lineRule="auto"/>
        <w:ind w:right="-58"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06</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西安市新城区新园产业大厦9楼会议室</w:t>
      </w:r>
    </w:p>
    <w:p>
      <w:pPr>
        <w:pStyle w:val="4"/>
        <w:spacing w:before="0" w:after="0" w:line="360" w:lineRule="auto"/>
        <w:rPr>
          <w:rFonts w:hint="eastAsia" w:ascii="宋体" w:hAnsi="宋体" w:eastAsia="宋体" w:cs="宋体"/>
          <w:b w:val="0"/>
          <w:color w:val="auto"/>
          <w:sz w:val="30"/>
          <w:szCs w:val="30"/>
          <w:highlight w:val="none"/>
        </w:rPr>
      </w:pPr>
      <w:bookmarkStart w:id="16" w:name="_Toc28359016"/>
      <w:bookmarkStart w:id="17" w:name="_Toc35393802"/>
      <w:bookmarkStart w:id="18" w:name="_Toc28359093"/>
      <w:bookmarkStart w:id="19" w:name="_Toc35393633"/>
      <w:r>
        <w:rPr>
          <w:rFonts w:hint="eastAsia" w:ascii="宋体" w:hAnsi="宋体" w:eastAsia="宋体" w:cs="宋体"/>
          <w:b w:val="0"/>
          <w:color w:val="auto"/>
          <w:sz w:val="30"/>
          <w:szCs w:val="30"/>
          <w:highlight w:val="none"/>
        </w:rPr>
        <w:t>五、开启</w:t>
      </w:r>
      <w:bookmarkEnd w:id="16"/>
      <w:bookmarkEnd w:id="17"/>
      <w:bookmarkEnd w:id="18"/>
      <w:bookmarkEnd w:id="19"/>
    </w:p>
    <w:p>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06</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西安市新城区新园产业大厦9楼会议室</w:t>
      </w:r>
    </w:p>
    <w:p>
      <w:pPr>
        <w:pStyle w:val="4"/>
        <w:spacing w:before="0" w:after="0" w:line="360" w:lineRule="auto"/>
        <w:rPr>
          <w:rFonts w:hint="eastAsia" w:ascii="宋体" w:hAnsi="宋体" w:eastAsia="宋体" w:cs="宋体"/>
          <w:b w:val="0"/>
          <w:color w:val="auto"/>
          <w:sz w:val="30"/>
          <w:szCs w:val="30"/>
          <w:highlight w:val="none"/>
        </w:rPr>
      </w:pPr>
      <w:bookmarkStart w:id="20" w:name="_Toc28359094"/>
      <w:bookmarkStart w:id="21" w:name="_Toc35393803"/>
      <w:bookmarkStart w:id="22" w:name="_Toc35393634"/>
      <w:bookmarkStart w:id="23" w:name="_Toc28359017"/>
      <w:r>
        <w:rPr>
          <w:rFonts w:hint="eastAsia" w:ascii="宋体" w:hAnsi="宋体" w:eastAsia="宋体" w:cs="宋体"/>
          <w:b w:val="0"/>
          <w:color w:val="auto"/>
          <w:sz w:val="30"/>
          <w:szCs w:val="30"/>
          <w:highlight w:val="none"/>
        </w:rPr>
        <w:t>六、公告期限</w:t>
      </w:r>
      <w:bookmarkEnd w:id="20"/>
      <w:bookmarkEnd w:id="21"/>
      <w:bookmarkEnd w:id="22"/>
      <w:bookmarkEnd w:id="23"/>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pPr>
        <w:pStyle w:val="4"/>
        <w:spacing w:before="0" w:after="0" w:line="360" w:lineRule="auto"/>
        <w:rPr>
          <w:rFonts w:hint="eastAsia" w:ascii="宋体" w:hAnsi="宋体" w:eastAsia="宋体" w:cs="宋体"/>
          <w:b w:val="0"/>
          <w:color w:val="auto"/>
          <w:sz w:val="30"/>
          <w:szCs w:val="30"/>
          <w:highlight w:val="none"/>
        </w:rPr>
      </w:pPr>
      <w:bookmarkStart w:id="24" w:name="_Toc35393635"/>
      <w:bookmarkStart w:id="25" w:name="_Toc35393804"/>
      <w:r>
        <w:rPr>
          <w:rFonts w:hint="eastAsia" w:ascii="宋体" w:hAnsi="宋体" w:eastAsia="宋体" w:cs="宋体"/>
          <w:b w:val="0"/>
          <w:color w:val="auto"/>
          <w:sz w:val="30"/>
          <w:szCs w:val="30"/>
          <w:highlight w:val="none"/>
        </w:rPr>
        <w:t>七、其他补充事宜</w:t>
      </w:r>
      <w:bookmarkEnd w:id="24"/>
      <w:bookmarkEnd w:id="25"/>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1.潜在供应商获取采购文件时，须携带供应商出具的对获取人的授权委托书或介绍信原件以及获取人的身份证复印件（携带原件）；潜在供应商可以通过现金付款</w:t>
      </w:r>
      <w:r>
        <w:rPr>
          <w:rFonts w:hint="eastAsia" w:ascii="宋体" w:hAnsi="宋体" w:eastAsia="宋体" w:cs="宋体"/>
          <w:color w:val="auto"/>
          <w:kern w:val="0"/>
          <w:sz w:val="21"/>
          <w:szCs w:val="21"/>
          <w:highlight w:val="none"/>
          <w:lang w:eastAsia="zh-CN"/>
        </w:rPr>
        <w:t>。</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bookmarkStart w:id="26" w:name="_Toc35393805"/>
      <w:bookmarkStart w:id="27" w:name="_Toc35393636"/>
      <w:bookmarkStart w:id="28" w:name="_Toc28359018"/>
      <w:bookmarkStart w:id="29" w:name="_Toc28359095"/>
      <w:r>
        <w:rPr>
          <w:rFonts w:hint="eastAsia" w:ascii="宋体" w:hAnsi="宋体" w:eastAsia="宋体" w:cs="宋体"/>
          <w:color w:val="auto"/>
          <w:kern w:val="0"/>
          <w:sz w:val="21"/>
          <w:szCs w:val="21"/>
          <w:highlight w:val="none"/>
        </w:rPr>
        <w:t>2.请潜在供应商务必按照《陕西省财政厅关于政府采购供应商注册登记有关事项的通知》要求，通过陕西省政府采购网（http://www.ccgp-shaanxi.gov.cn/）进行陕西政府采购统一身份认证注册登记。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（1）《财政部关于进一步加大政府采购支持中小企业力度的通知》 （财库〔2022〕19号）；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（2）《政府采购促进中小企业发展管理办法》（财库〔2020〕46号）；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（3）《三部门联合发布关于促进残疾人就业政府采购政策的通知》（财库〔2017〕141号）；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（4）《财政部司法部关于政府采购支持监狱企业发展有关问题的通知》（财库〔2014〕68号）；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（5）《财政部国家发展改革委关于印发〈节能产品政府采购实施意见〉的通知》（财库〔2004〕185号）；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（6）《国务院办公厅关于建立政府强制采购节能产品制度的通知》（国办发〔2007〕51号）；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（7）《财政部环保总局关于环境标志产品政府采购实施的意见》（财库〔2006〕90号）；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（8）《财政部发展改革委、生态环境部、市场监管总局关于调整优化节能产品、环境标志产品政府采购执行机制的通知》（财库〔2019〕9号）；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（9）《关于运用政府采购政策支持乡村产业振兴的通知》（财库〔2021〕19号）；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（10）《陕西省中小企业政府采购信用融资办法》（陕财办采〔2018〕23号）；</w:t>
      </w:r>
    </w:p>
    <w:p>
      <w:pPr>
        <w:widowControl/>
        <w:spacing w:line="360" w:lineRule="auto"/>
        <w:ind w:right="-197" w:rightChars="-94"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（11）其他需要落实的政府采购政策。</w:t>
      </w:r>
    </w:p>
    <w:p>
      <w:pPr>
        <w:widowControl/>
        <w:spacing w:before="120" w:beforeLines="50" w:line="360" w:lineRule="auto"/>
        <w:ind w:right="-197" w:rightChars="-94"/>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八、凡对本次采购提出询问，请按以下方式联系</w:t>
      </w:r>
      <w:bookmarkEnd w:id="26"/>
      <w:bookmarkEnd w:id="27"/>
      <w:bookmarkEnd w:id="28"/>
      <w:bookmarkEnd w:id="29"/>
    </w:p>
    <w:p>
      <w:pPr>
        <w:pStyle w:val="4"/>
        <w:spacing w:before="0" w:after="0" w:line="360" w:lineRule="auto"/>
        <w:ind w:firstLine="420" w:firstLineChars="200"/>
        <w:rPr>
          <w:rFonts w:hint="eastAsia" w:ascii="宋体" w:hAnsi="宋体" w:eastAsia="宋体" w:cs="宋体"/>
          <w:b w:val="0"/>
          <w:color w:val="auto"/>
          <w:sz w:val="21"/>
          <w:szCs w:val="21"/>
          <w:highlight w:val="none"/>
        </w:rPr>
      </w:pPr>
      <w:bookmarkStart w:id="30" w:name="_Toc35393806"/>
      <w:bookmarkStart w:id="31" w:name="_Toc28359019"/>
      <w:bookmarkStart w:id="32" w:name="_Toc35393637"/>
      <w:bookmarkStart w:id="33" w:name="_Toc28359096"/>
      <w:r>
        <w:rPr>
          <w:rFonts w:hint="eastAsia" w:ascii="宋体" w:hAnsi="宋体" w:eastAsia="宋体" w:cs="宋体"/>
          <w:b w:val="0"/>
          <w:color w:val="auto"/>
          <w:sz w:val="21"/>
          <w:szCs w:val="21"/>
          <w:highlight w:val="none"/>
        </w:rPr>
        <w:t>1.采购人信息</w:t>
      </w:r>
      <w:bookmarkEnd w:id="30"/>
      <w:bookmarkEnd w:id="31"/>
      <w:bookmarkEnd w:id="32"/>
      <w:bookmarkEnd w:id="33"/>
    </w:p>
    <w:p>
      <w:pPr>
        <w:widowControl/>
        <w:spacing w:line="360" w:lineRule="auto"/>
        <w:ind w:right="-197" w:rightChars="-94"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zh-CN"/>
        </w:rPr>
        <w:t xml:space="preserve"> 陕西省交通运输工程质量监测鉴定站</w:t>
      </w:r>
    </w:p>
    <w:p>
      <w:pPr>
        <w:widowControl/>
        <w:spacing w:line="360" w:lineRule="auto"/>
        <w:ind w:right="-197" w:rightChars="-94"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西安市唐延路6号</w:t>
      </w:r>
    </w:p>
    <w:p>
      <w:pPr>
        <w:widowControl/>
        <w:spacing w:line="360" w:lineRule="auto"/>
        <w:ind w:right="-197" w:rightChars="-94"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zh-CN"/>
        </w:rPr>
        <w:t>029-8840</w:t>
      </w:r>
      <w:r>
        <w:rPr>
          <w:rFonts w:hint="eastAsia" w:ascii="宋体" w:hAnsi="宋体" w:eastAsia="宋体" w:cs="宋体"/>
          <w:color w:val="auto"/>
          <w:sz w:val="21"/>
          <w:szCs w:val="21"/>
          <w:highlight w:val="none"/>
          <w:lang w:val="en-US" w:eastAsia="zh-CN"/>
        </w:rPr>
        <w:t>8429</w:t>
      </w:r>
      <w:r>
        <w:rPr>
          <w:rFonts w:hint="eastAsia" w:ascii="宋体" w:hAnsi="宋体" w:eastAsia="宋体" w:cs="宋体"/>
          <w:color w:val="auto"/>
          <w:sz w:val="21"/>
          <w:szCs w:val="21"/>
          <w:highlight w:val="none"/>
        </w:rPr>
        <w:t xml:space="preserve"> </w:t>
      </w:r>
      <w:bookmarkStart w:id="34" w:name="_Toc35393807"/>
      <w:bookmarkStart w:id="35" w:name="_Toc28359020"/>
      <w:bookmarkStart w:id="36" w:name="_Toc35393638"/>
      <w:bookmarkStart w:id="37" w:name="_Toc28359097"/>
    </w:p>
    <w:p>
      <w:pPr>
        <w:spacing w:line="360" w:lineRule="auto"/>
        <w:ind w:left="101" w:leftChars="48"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34"/>
      <w:bookmarkEnd w:id="35"/>
      <w:bookmarkEnd w:id="36"/>
      <w:bookmarkEnd w:id="37"/>
    </w:p>
    <w:p>
      <w:pPr>
        <w:spacing w:line="360" w:lineRule="auto"/>
        <w:ind w:firstLine="420" w:firstLineChars="200"/>
        <w:rPr>
          <w:rFonts w:hint="eastAsia" w:ascii="宋体" w:hAnsi="宋体" w:eastAsia="宋体" w:cs="宋体"/>
          <w:sz w:val="21"/>
          <w:szCs w:val="21"/>
          <w:lang w:val="en-US" w:eastAsia="zh-CN"/>
        </w:rPr>
      </w:pPr>
      <w:bookmarkStart w:id="38" w:name="_Toc28359098"/>
      <w:bookmarkStart w:id="39" w:name="_Toc35393808"/>
      <w:bookmarkStart w:id="40" w:name="_Toc28359021"/>
      <w:bookmarkStart w:id="41" w:name="_Toc35393639"/>
      <w:r>
        <w:rPr>
          <w:rFonts w:hint="eastAsia" w:ascii="宋体" w:hAnsi="宋体" w:eastAsia="宋体" w:cs="宋体"/>
          <w:color w:val="auto"/>
          <w:sz w:val="21"/>
          <w:szCs w:val="21"/>
          <w:highlight w:val="none"/>
        </w:rPr>
        <w:t>名称：</w:t>
      </w:r>
      <w:r>
        <w:rPr>
          <w:rFonts w:hint="eastAsia" w:ascii="宋体" w:hAnsi="宋体" w:eastAsia="宋体" w:cs="宋体"/>
          <w:sz w:val="21"/>
          <w:szCs w:val="21"/>
          <w:lang w:val="en-US" w:eastAsia="zh-CN"/>
        </w:rPr>
        <w:t>陕西易道源项目管理有限公司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西安市新城区新园产业大厦9楼</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029-89330233</w:t>
      </w:r>
    </w:p>
    <w:p>
      <w:pPr>
        <w:spacing w:line="360" w:lineRule="auto"/>
        <w:ind w:left="101" w:leftChars="48"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bookmarkEnd w:id="38"/>
      <w:bookmarkEnd w:id="39"/>
      <w:bookmarkEnd w:id="40"/>
      <w:bookmarkEnd w:id="41"/>
    </w:p>
    <w:p>
      <w:pPr>
        <w:spacing w:line="360" w:lineRule="auto"/>
        <w:ind w:left="101" w:leftChars="48" w:firstLine="315" w:firstLineChars="1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none"/>
          <w:lang w:val="en-US" w:eastAsia="zh-CN"/>
        </w:rPr>
        <w:t>师鹏涛</w:t>
      </w:r>
    </w:p>
    <w:p>
      <w:pPr>
        <w:spacing w:line="360" w:lineRule="auto"/>
        <w:ind w:left="101" w:leftChars="48" w:firstLine="315" w:firstLineChars="150"/>
        <w:jc w:val="left"/>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029-89330233</w:t>
      </w:r>
    </w:p>
    <w:p>
      <w:pPr>
        <w:pStyle w:val="6"/>
        <w:spacing w:after="120" w:afterLines="50"/>
        <w:ind w:firstLine="0"/>
        <w:jc w:val="center"/>
        <w:rPr>
          <w:rFonts w:hint="eastAsia" w:ascii="宋体" w:hAnsi="宋体" w:eastAsia="宋体" w:cs="宋体"/>
          <w:color w:val="auto"/>
          <w:sz w:val="44"/>
          <w:szCs w:val="44"/>
          <w:highlight w:val="none"/>
        </w:rPr>
      </w:pPr>
      <w:bookmarkStart w:id="42" w:name="_Toc213396945"/>
      <w:bookmarkStart w:id="43" w:name="_Toc213397009"/>
      <w:bookmarkStart w:id="44" w:name="_Toc213496267"/>
      <w:bookmarkStart w:id="45" w:name="_Toc213396759"/>
      <w:bookmarkStart w:id="46" w:name="_Toc217446031"/>
      <w:bookmarkStart w:id="47" w:name="_Toc183682339"/>
      <w:bookmarkStart w:id="48" w:name="_Toc77400776"/>
      <w:bookmarkStart w:id="49" w:name="_Toc183582202"/>
      <w:bookmarkStart w:id="50" w:name="_Toc89075871"/>
      <w:r>
        <w:rPr>
          <w:rFonts w:hint="eastAsia" w:ascii="宋体" w:hAnsi="宋体" w:eastAsia="宋体" w:cs="宋体"/>
          <w:color w:val="auto"/>
          <w:kern w:val="44"/>
          <w:sz w:val="44"/>
          <w:szCs w:val="44"/>
          <w:highlight w:val="none"/>
        </w:rPr>
        <w:br w:type="page"/>
      </w:r>
      <w:r>
        <w:rPr>
          <w:rFonts w:hint="eastAsia" w:ascii="宋体" w:hAnsi="宋体" w:eastAsia="宋体" w:cs="宋体"/>
          <w:color w:val="auto"/>
          <w:kern w:val="44"/>
          <w:sz w:val="44"/>
          <w:szCs w:val="44"/>
          <w:highlight w:val="none"/>
        </w:rPr>
        <w:t>第二</w:t>
      </w:r>
      <w:r>
        <w:rPr>
          <w:rFonts w:hint="eastAsia" w:ascii="宋体" w:hAnsi="宋体" w:eastAsia="宋体" w:cs="宋体"/>
          <w:color w:val="auto"/>
          <w:sz w:val="44"/>
          <w:szCs w:val="44"/>
          <w:highlight w:val="none"/>
        </w:rPr>
        <w:t>章  供应商须知</w:t>
      </w:r>
      <w:bookmarkEnd w:id="42"/>
      <w:bookmarkEnd w:id="43"/>
      <w:bookmarkEnd w:id="44"/>
      <w:bookmarkEnd w:id="45"/>
      <w:bookmarkEnd w:id="46"/>
      <w:bookmarkStart w:id="51" w:name="_Toc184283909"/>
      <w:bookmarkStart w:id="52" w:name="_Toc184274915"/>
    </w:p>
    <w:p>
      <w:pPr>
        <w:spacing w:before="240" w:beforeLines="100" w:after="50" w:line="600" w:lineRule="exact"/>
        <w:jc w:val="center"/>
        <w:rPr>
          <w:rFonts w:hint="eastAsia" w:ascii="宋体" w:hAnsi="宋体" w:eastAsia="宋体" w:cs="宋体"/>
          <w:b/>
          <w:color w:val="auto"/>
          <w:sz w:val="44"/>
          <w:szCs w:val="44"/>
          <w:highlight w:val="none"/>
        </w:rPr>
      </w:pPr>
      <w:bookmarkStart w:id="53" w:name="_Toc217446032"/>
      <w:bookmarkStart w:id="54" w:name="_Toc213396946"/>
      <w:bookmarkStart w:id="55" w:name="_Toc213396760"/>
      <w:bookmarkStart w:id="56" w:name="_Toc189727030"/>
      <w:bookmarkStart w:id="57" w:name="_Toc213397010"/>
      <w:bookmarkStart w:id="58" w:name="_Toc213496268"/>
      <w:r>
        <w:rPr>
          <w:rFonts w:hint="eastAsia" w:ascii="宋体" w:hAnsi="宋体" w:eastAsia="宋体" w:cs="宋体"/>
          <w:color w:val="auto"/>
          <w:sz w:val="36"/>
          <w:szCs w:val="36"/>
          <w:highlight w:val="none"/>
        </w:rPr>
        <w:t>供应商须知前附表</w:t>
      </w:r>
    </w:p>
    <w:tbl>
      <w:tblPr>
        <w:tblStyle w:val="26"/>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53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811" w:type="dxa"/>
            <w:tcBorders>
              <w:top w:val="single" w:color="auto" w:sz="1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内容</w:t>
            </w:r>
          </w:p>
        </w:tc>
        <w:tc>
          <w:tcPr>
            <w:tcW w:w="6530" w:type="dxa"/>
            <w:tcBorders>
              <w:top w:val="single" w:color="auto" w:sz="1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 陕西省交通运输工程质量监测鉴定站</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lang w:val="zh-CN" w:eastAsia="zh-CN"/>
              </w:rPr>
              <w:t>西安市唐延路6号</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联系人：乌先生</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lang w:val="zh-CN" w:eastAsia="zh-CN"/>
              </w:rPr>
              <w:t>029-88869230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采购代理机构</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名  称: </w:t>
            </w:r>
            <w:r>
              <w:rPr>
                <w:rFonts w:hint="eastAsia" w:ascii="宋体" w:hAnsi="宋体" w:eastAsia="宋体" w:cs="宋体"/>
                <w:color w:val="auto"/>
                <w:sz w:val="21"/>
                <w:szCs w:val="21"/>
                <w:highlight w:val="none"/>
                <w:lang w:val="zh-CN" w:eastAsia="zh-CN"/>
              </w:rPr>
              <w:t>陕西易道源项目管理有限公司</w:t>
            </w:r>
          </w:p>
          <w:p>
            <w:pPr>
              <w:keepNext w:val="0"/>
              <w:keepLines w:val="0"/>
              <w:pageBreakBefore w:val="0"/>
              <w:widowControl/>
              <w:tabs>
                <w:tab w:val="left" w:pos="1620"/>
              </w:tabs>
              <w:kinsoku/>
              <w:wordWrap/>
              <w:overflowPunct/>
              <w:topLinePunct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西安市新城区新园产业大厦9楼</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师鹏涛</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lang w:val="zh-CN" w:eastAsia="zh-CN"/>
              </w:rPr>
              <w:t>029-89330233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采购项目名称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陕西省2023年度交通产品抽检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采购项目编号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SXYDY2023018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snapToGrid/>
              <w:spacing w:line="360" w:lineRule="auto"/>
              <w:ind w:left="0" w:firstLine="630" w:firstLineChars="30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z w:val="21"/>
                <w:szCs w:val="21"/>
                <w:highlight w:val="none"/>
                <w:lang w:val="zh-CN"/>
              </w:rPr>
              <w:t>服务地点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spacing w:line="360" w:lineRule="auto"/>
              <w:ind w:left="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rPr>
              <w:t>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rPr>
              <w:t>资金来源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8</w:t>
            </w:r>
          </w:p>
        </w:tc>
        <w:tc>
          <w:tcPr>
            <w:tcW w:w="2160" w:type="dxa"/>
            <w:tcBorders>
              <w:top w:val="single" w:color="auto" w:sz="8" w:space="0"/>
              <w:left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项目分包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zh-CN" w:eastAsia="zh-CN" w:bidi="ar-SA"/>
              </w:rPr>
              <w:t>本项目不分包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left w:val="single" w:color="auto" w:sz="1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9</w:t>
            </w:r>
          </w:p>
        </w:tc>
        <w:tc>
          <w:tcPr>
            <w:tcW w:w="2160" w:type="dxa"/>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rPr>
              <w:t>承包方式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rPr>
              <w:t>固定总价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left w:val="single" w:color="auto" w:sz="1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10</w:t>
            </w:r>
          </w:p>
        </w:tc>
        <w:tc>
          <w:tcPr>
            <w:tcW w:w="2160" w:type="dxa"/>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zh-CN" w:eastAsia="zh-CN" w:bidi="ar-SA"/>
              </w:rPr>
            </w:pPr>
            <w:r>
              <w:rPr>
                <w:rFonts w:hint="eastAsia" w:ascii="宋体" w:hAnsi="宋体" w:eastAsia="宋体" w:cs="宋体"/>
                <w:sz w:val="21"/>
                <w:szCs w:val="21"/>
              </w:rPr>
              <w:t>付款方式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详见第</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章采购合同主要条款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预算金额</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本项目（包）预算金额</w:t>
            </w:r>
            <w:r>
              <w:rPr>
                <w:rFonts w:hint="eastAsia" w:ascii="宋体" w:hAnsi="宋体" w:eastAsia="宋体" w:cs="宋体"/>
                <w:color w:val="auto"/>
                <w:sz w:val="21"/>
                <w:szCs w:val="21"/>
                <w:highlight w:val="none"/>
                <w:u w:val="single"/>
              </w:rPr>
              <w:t>￥659637.00</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rPr>
              <w:t>。供应商磋商报价超出预算金额的，作为不实质性响应磋商文件，按</w:t>
            </w:r>
            <w:r>
              <w:rPr>
                <w:rFonts w:hint="eastAsia" w:ascii="宋体" w:hAnsi="宋体" w:eastAsia="宋体" w:cs="宋体"/>
                <w:b/>
                <w:color w:val="auto"/>
                <w:sz w:val="21"/>
                <w:szCs w:val="21"/>
                <w:highlight w:val="none"/>
              </w:rPr>
              <w:t>无效响应文件</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是否专门</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面向中小企业采购</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是否接受联合体磋商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采购内容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详见磋商文件第五章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yellow"/>
                <w:lang w:val="zh-CN" w:eastAsia="zh-CN" w:bidi="ar-SA"/>
              </w:rPr>
            </w:pPr>
            <w:r>
              <w:rPr>
                <w:rFonts w:hint="eastAsia" w:ascii="宋体" w:hAnsi="宋体" w:eastAsia="宋体" w:cs="宋体"/>
                <w:color w:val="auto"/>
                <w:sz w:val="21"/>
                <w:szCs w:val="21"/>
                <w:highlight w:val="none"/>
                <w:lang w:val="zh-CN"/>
              </w:rPr>
              <w:t>服务期限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yellow"/>
                <w:lang w:val="zh-CN" w:eastAsia="zh-CN" w:bidi="ar-SA"/>
              </w:rPr>
            </w:pPr>
            <w:r>
              <w:rPr>
                <w:rFonts w:hint="eastAsia" w:ascii="宋体" w:hAnsi="宋体" w:eastAsia="宋体" w:cs="宋体"/>
                <w:color w:val="auto"/>
                <w:sz w:val="21"/>
                <w:szCs w:val="21"/>
                <w:highlight w:val="none"/>
                <w:lang w:val="zh-CN"/>
              </w:rPr>
              <w:t>预计服务周期为6个月（具体进场日期以实际通知为准）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质量要求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合同签订至所有交工服务工作全部完成，通过发包人的验收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投标有效期</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自递交投标文件截止之日起90日历天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服务费用支付方式、</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时间和条件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（1）合同生效且乙方进场开展工作后15日，经双方协商甲方视工作开展具体情况</w:t>
            </w:r>
            <w:r>
              <w:rPr>
                <w:rFonts w:hint="eastAsia" w:ascii="宋体" w:hAnsi="宋体" w:eastAsia="宋体" w:cs="宋体"/>
                <w:color w:val="auto"/>
                <w:sz w:val="21"/>
                <w:szCs w:val="21"/>
                <w:highlight w:val="none"/>
                <w:lang w:val="en-US" w:eastAsia="zh-CN"/>
              </w:rPr>
              <w:t>和服务完成进度</w:t>
            </w:r>
            <w:r>
              <w:rPr>
                <w:rFonts w:hint="eastAsia" w:ascii="宋体" w:hAnsi="宋体" w:eastAsia="宋体" w:cs="宋体"/>
                <w:color w:val="auto"/>
                <w:sz w:val="21"/>
                <w:szCs w:val="21"/>
                <w:highlight w:val="none"/>
                <w:lang w:val="en-US"/>
              </w:rPr>
              <w:t>向乙方支付合同金额，支付时乙方应提供正式发票。</w:t>
            </w:r>
          </w:p>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本项目合同</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rPr>
              <w:t>价</w:t>
            </w:r>
            <w:r>
              <w:rPr>
                <w:rFonts w:hint="eastAsia" w:ascii="宋体" w:hAnsi="宋体" w:eastAsia="宋体" w:cs="宋体"/>
                <w:color w:val="auto"/>
                <w:sz w:val="21"/>
                <w:szCs w:val="21"/>
                <w:highlight w:val="none"/>
                <w:lang w:val="en-US" w:eastAsia="zh-CN"/>
              </w:rPr>
              <w:t>及总价</w:t>
            </w:r>
            <w:r>
              <w:rPr>
                <w:rFonts w:hint="eastAsia" w:ascii="宋体" w:hAnsi="宋体" w:eastAsia="宋体" w:cs="宋体"/>
                <w:color w:val="auto"/>
                <w:sz w:val="21"/>
                <w:szCs w:val="21"/>
                <w:highlight w:val="none"/>
                <w:lang w:val="en-US"/>
              </w:rPr>
              <w:t>不予调整，合同执行过程中，如工作内容与招标要求发生重大变化、检测项目延期交工或其他原因导致合同延期</w:t>
            </w:r>
            <w:r>
              <w:rPr>
                <w:rFonts w:hint="eastAsia" w:ascii="宋体" w:hAnsi="宋体" w:eastAsia="宋体" w:cs="宋体"/>
                <w:color w:val="auto"/>
                <w:sz w:val="21"/>
                <w:szCs w:val="21"/>
                <w:highlight w:val="none"/>
                <w:lang w:val="en-US" w:eastAsia="zh-CN"/>
              </w:rPr>
              <w:t>及合同内容变更</w:t>
            </w:r>
            <w:r>
              <w:rPr>
                <w:rFonts w:hint="eastAsia" w:ascii="宋体" w:hAnsi="宋体" w:eastAsia="宋体" w:cs="宋体"/>
                <w:color w:val="auto"/>
                <w:sz w:val="21"/>
                <w:szCs w:val="21"/>
                <w:highlight w:val="none"/>
                <w:lang w:val="en-US"/>
              </w:rPr>
              <w:t>的，由双方另行协商。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现场考察</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磋商前答疑会</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sym w:font="Wingdings 2" w:char="0052"/>
            </w:r>
            <w:r>
              <w:rPr>
                <w:rFonts w:hint="eastAsia" w:ascii="宋体" w:hAnsi="宋体" w:eastAsia="宋体" w:cs="宋体"/>
                <w:color w:val="auto"/>
                <w:sz w:val="21"/>
                <w:szCs w:val="21"/>
                <w:highlight w:val="none"/>
                <w:lang w:val="zh-CN"/>
              </w:rPr>
              <w:t xml:space="preserve"> 不组织</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组织，时间、地点</w:t>
            </w:r>
            <w:r>
              <w:rPr>
                <w:rFonts w:hint="eastAsia" w:ascii="宋体" w:hAnsi="宋体" w:eastAsia="宋体" w:cs="宋体"/>
                <w:color w:val="auto"/>
                <w:sz w:val="21"/>
                <w:szCs w:val="21"/>
                <w:highlight w:val="none"/>
              </w:rPr>
              <w:t>以书面形式通知所有获取了采购文件的供应商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20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转包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本采购项目不得转包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6"/>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磋商文件澄清</w:t>
            </w:r>
          </w:p>
          <w:p>
            <w:pPr>
              <w:pStyle w:val="6"/>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或修改时间、形式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6"/>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时间：</w:t>
            </w:r>
            <w:r>
              <w:rPr>
                <w:rFonts w:hint="eastAsia" w:ascii="宋体" w:hAnsi="宋体" w:eastAsia="宋体" w:cs="宋体"/>
                <w:color w:val="auto"/>
                <w:sz w:val="21"/>
                <w:szCs w:val="21"/>
                <w:highlight w:val="none"/>
              </w:rPr>
              <w:t>提交响应文件截至时间5日前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构成磋商文件的</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其他文件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磋商文件的澄清</w:t>
            </w:r>
            <w:r>
              <w:rPr>
                <w:rFonts w:hint="eastAsia" w:ascii="宋体" w:hAnsi="宋体" w:eastAsia="宋体" w:cs="宋体"/>
                <w:color w:val="auto"/>
                <w:sz w:val="21"/>
                <w:szCs w:val="21"/>
                <w:highlight w:val="none"/>
              </w:rPr>
              <w:t>、修改书及有关补充通知为磋商文件的有效组成部分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供应商对磋商文件</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提出质疑的时间、形式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时间：自供应商收到磋商文件之日起7个工作日内，超过期限的采购人或采购代理机构不再受理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对供应商提出质疑</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答复时间、形式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时间：自收到供应商质疑函之日起7个工作日内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响应文件有效期</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从响应文件首次提交截止之日起90日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eastAsia="宋体" w:cs="宋体"/>
                <w:color w:val="auto"/>
                <w:sz w:val="21"/>
                <w:szCs w:val="21"/>
                <w:highlight w:val="none"/>
                <w:lang w:val="en-US" w:eastAsia="zh-CN"/>
              </w:rPr>
              <w:t>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是否要求供应商提交磋商保证金：</w:t>
            </w:r>
          </w:p>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sym w:font="Wingdings 2" w:char="00A3"/>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要求：</w:t>
            </w:r>
          </w:p>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 xml:space="preserve">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27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不予退还磋商</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保证金的情形</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详见</w:t>
            </w:r>
            <w:r>
              <w:rPr>
                <w:rFonts w:hint="eastAsia" w:ascii="宋体" w:hAnsi="宋体" w:eastAsia="宋体" w:cs="宋体"/>
                <w:color w:val="auto"/>
                <w:sz w:val="21"/>
                <w:szCs w:val="21"/>
                <w:highlight w:val="none"/>
              </w:rPr>
              <w:t>供应商须知第4.5.3.2条款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28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响应文件份数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正本1份、副本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份和电子文件（</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29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响应文件签名</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或盖章要求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供应商必须按照磋商文件的规定和要求签名、盖章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响应文件是否分册装订</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color w:val="auto"/>
                <w:sz w:val="21"/>
                <w:szCs w:val="21"/>
                <w:highlight w:val="none"/>
              </w:rPr>
            </w:pPr>
            <w:r>
              <w:rPr>
                <w:rFonts w:hint="eastAsia"/>
                <w:b/>
                <w:color w:val="auto"/>
                <w:sz w:val="21"/>
                <w:szCs w:val="21"/>
                <w:highlight w:val="none"/>
              </w:rPr>
              <w:sym w:font="Wingdings 2" w:char="0052"/>
            </w:r>
            <w:r>
              <w:rPr>
                <w:rFonts w:hint="eastAsia"/>
                <w:b/>
                <w:color w:val="auto"/>
                <w:sz w:val="21"/>
                <w:szCs w:val="21"/>
                <w:highlight w:val="none"/>
              </w:rPr>
              <w:t xml:space="preserve"> </w:t>
            </w:r>
            <w:r>
              <w:rPr>
                <w:rFonts w:hint="eastAsia"/>
                <w:color w:val="auto"/>
                <w:sz w:val="21"/>
                <w:szCs w:val="21"/>
                <w:highlight w:val="none"/>
              </w:rPr>
              <w:t>需要，分册装订要求：</w:t>
            </w:r>
          </w:p>
          <w:p>
            <w:pPr>
              <w:pStyle w:val="53"/>
              <w:keepNext w:val="0"/>
              <w:keepLines w:val="0"/>
              <w:pageBreakBefore w:val="0"/>
              <w:numPr>
                <w:ilvl w:val="0"/>
                <w:numId w:val="5"/>
              </w:numPr>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供应商准备磋商响应文件正本壹份、副本贰份、电子磋商响应文件叁份。磋商响应文件正、副本须用A4幅面纸张</w:t>
            </w:r>
            <w:r>
              <w:rPr>
                <w:rFonts w:hint="eastAsia" w:ascii="宋体" w:hAnsi="宋体" w:eastAsia="宋体" w:cs="宋体"/>
                <w:color w:val="auto"/>
                <w:sz w:val="21"/>
                <w:szCs w:val="21"/>
                <w:highlight w:val="none"/>
                <w:lang w:val="en-US" w:eastAsia="zh-CN"/>
              </w:rPr>
              <w:t>双面</w:t>
            </w:r>
            <w:r>
              <w:rPr>
                <w:rFonts w:hint="eastAsia" w:ascii="宋体" w:hAnsi="宋体" w:eastAsia="宋体" w:cs="宋体"/>
                <w:color w:val="auto"/>
                <w:sz w:val="21"/>
                <w:szCs w:val="21"/>
                <w:highlight w:val="none"/>
                <w:lang w:val="zh-CN" w:eastAsia="zh-CN"/>
              </w:rPr>
              <w:t>打印或用不褪色的蓝（黑）墨水填写，并清楚标明“正本”、“副本”字样，并各自装订成册。如果正本与副本不符，以正本为准。</w:t>
            </w:r>
          </w:p>
          <w:p>
            <w:pPr>
              <w:pStyle w:val="53"/>
              <w:keepNext w:val="0"/>
              <w:keepLines w:val="0"/>
              <w:pageBreakBefore w:val="0"/>
              <w:numPr>
                <w:ilvl w:val="0"/>
                <w:numId w:val="0"/>
              </w:numPr>
              <w:kinsoku/>
              <w:wordWrap/>
              <w:overflowPunct/>
              <w:topLinePunct w:val="0"/>
              <w:bidi w:val="0"/>
              <w:spacing w:line="360" w:lineRule="auto"/>
              <w:ind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正、副本、电子文件分别密封（共三个密封袋：</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所有正本、</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所有副本、</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所有电子文件）。封口处有投标全权代表签字或盖章及</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公章。封皮上写明招标项目名称、项目编号名称</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名称，并注明“开标时启封”字样。</w:t>
            </w:r>
          </w:p>
          <w:p>
            <w:pPr>
              <w:pStyle w:val="53"/>
              <w:keepNext w:val="0"/>
              <w:keepLines w:val="0"/>
              <w:pageBreakBefore w:val="0"/>
              <w:numPr>
                <w:ilvl w:val="0"/>
                <w:numId w:val="0"/>
              </w:numPr>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b/>
                <w:color w:val="auto"/>
                <w:sz w:val="21"/>
                <w:szCs w:val="21"/>
                <w:highlight w:val="none"/>
              </w:rPr>
              <w:sym w:font="Wingdings 2" w:char="00A3"/>
            </w:r>
            <w:r>
              <w:rPr>
                <w:rFonts w:hint="eastAsia"/>
                <w:color w:val="auto"/>
                <w:sz w:val="21"/>
                <w:szCs w:val="21"/>
                <w:highlight w:val="none"/>
              </w:rPr>
              <w:t xml:space="preserve"> 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响应文件封面</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标注</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封皮上写明招标项目名称、项目编号名称</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名称，并注明“开标时启封”字样。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3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封套上应载明的信息</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采购人名称：</w:t>
            </w:r>
          </w:p>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采购项目名称：</w:t>
            </w:r>
          </w:p>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响应文件</w:t>
            </w:r>
          </w:p>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采购项目编号、包号（如有）：</w:t>
            </w:r>
          </w:p>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供应商名称：</w:t>
            </w:r>
          </w:p>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开标时启封</w:t>
            </w:r>
          </w:p>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color w:val="auto"/>
                <w:sz w:val="21"/>
                <w:szCs w:val="21"/>
                <w:highlight w:val="none"/>
                <w:lang w:val="zh-CN"/>
              </w:rPr>
              <w:t>“正本”或“副本”字样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提交首次响应文件</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截至时间</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2"/>
                <w:szCs w:val="22"/>
                <w:highlight w:val="none"/>
                <w:u w:val="single"/>
                <w:lang w:val="en-US" w:eastAsia="zh-CN"/>
              </w:rPr>
              <w:t>2023</w:t>
            </w:r>
            <w:r>
              <w:rPr>
                <w:rFonts w:hint="eastAsia" w:ascii="宋体" w:hAnsi="宋体" w:eastAsia="宋体" w:cs="宋体"/>
                <w:bCs/>
                <w:color w:val="auto"/>
                <w:sz w:val="22"/>
                <w:szCs w:val="22"/>
                <w:highlight w:val="none"/>
                <w:u w:val="single"/>
              </w:rPr>
              <w:t>年</w:t>
            </w:r>
            <w:r>
              <w:rPr>
                <w:rFonts w:hint="eastAsia" w:ascii="宋体" w:hAnsi="宋体" w:eastAsia="宋体" w:cs="宋体"/>
                <w:bCs/>
                <w:color w:val="auto"/>
                <w:sz w:val="22"/>
                <w:szCs w:val="22"/>
                <w:highlight w:val="none"/>
                <w:u w:val="single"/>
                <w:lang w:val="en-US" w:eastAsia="zh-CN"/>
              </w:rPr>
              <w:t>06</w:t>
            </w:r>
            <w:r>
              <w:rPr>
                <w:rFonts w:hint="eastAsia" w:ascii="宋体" w:hAnsi="宋体" w:eastAsia="宋体" w:cs="宋体"/>
                <w:bCs/>
                <w:color w:val="auto"/>
                <w:sz w:val="22"/>
                <w:szCs w:val="22"/>
                <w:highlight w:val="none"/>
                <w:u w:val="single"/>
              </w:rPr>
              <w:t>月</w:t>
            </w:r>
            <w:r>
              <w:rPr>
                <w:rFonts w:hint="eastAsia" w:ascii="宋体" w:hAnsi="宋体" w:eastAsia="宋体" w:cs="宋体"/>
                <w:bCs/>
                <w:color w:val="auto"/>
                <w:sz w:val="22"/>
                <w:szCs w:val="22"/>
                <w:highlight w:val="none"/>
                <w:u w:val="single"/>
                <w:lang w:val="en-US" w:eastAsia="zh-CN"/>
              </w:rPr>
              <w:t>09</w:t>
            </w:r>
            <w:r>
              <w:rPr>
                <w:rFonts w:hint="eastAsia" w:ascii="宋体" w:hAnsi="宋体" w:eastAsia="宋体" w:cs="宋体"/>
                <w:bCs/>
                <w:color w:val="auto"/>
                <w:sz w:val="22"/>
                <w:szCs w:val="22"/>
                <w:highlight w:val="none"/>
                <w:u w:val="single"/>
              </w:rPr>
              <w:t>日</w:t>
            </w:r>
            <w:r>
              <w:rPr>
                <w:rFonts w:hint="eastAsia" w:cs="宋体"/>
                <w:bCs/>
                <w:color w:val="auto"/>
                <w:sz w:val="22"/>
                <w:szCs w:val="22"/>
                <w:highlight w:val="none"/>
                <w:u w:val="single"/>
                <w:lang w:val="en-US" w:eastAsia="zh-CN"/>
              </w:rPr>
              <w:t>14</w:t>
            </w:r>
            <w:r>
              <w:rPr>
                <w:rFonts w:hint="eastAsia" w:ascii="宋体" w:hAnsi="宋体" w:eastAsia="宋体" w:cs="宋体"/>
                <w:bCs/>
                <w:color w:val="auto"/>
                <w:sz w:val="22"/>
                <w:szCs w:val="22"/>
                <w:highlight w:val="none"/>
                <w:u w:val="single"/>
              </w:rPr>
              <w:t>点</w:t>
            </w:r>
            <w:r>
              <w:rPr>
                <w:rFonts w:hint="eastAsia" w:cs="宋体"/>
                <w:bCs/>
                <w:color w:val="auto"/>
                <w:sz w:val="22"/>
                <w:szCs w:val="22"/>
                <w:highlight w:val="none"/>
                <w:u w:val="single"/>
                <w:lang w:val="en-US" w:eastAsia="zh-CN"/>
              </w:rPr>
              <w:t>00</w:t>
            </w:r>
            <w:r>
              <w:rPr>
                <w:rFonts w:hint="eastAsia" w:ascii="宋体" w:hAnsi="宋体" w:eastAsia="宋体" w:cs="宋体"/>
                <w:bCs/>
                <w:color w:val="auto"/>
                <w:sz w:val="22"/>
                <w:szCs w:val="22"/>
                <w:highlight w:val="none"/>
                <w:u w:val="single"/>
              </w:rPr>
              <w:t>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提交首次响应文件地点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rPr>
              <w:t>西安市新城区新园产业大厦9楼会议室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响应文件是否退还</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不予退还响应文件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开启响应文件时间</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和地点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开启响应文件时间：同提交首次响应文件截至时间</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开启响应文件地点：同提交首次响应文件地点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bidi="ar-SA"/>
              </w:rPr>
              <w:t>37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开启顺序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响应文件的</w:t>
            </w:r>
            <w:r>
              <w:rPr>
                <w:rFonts w:hint="eastAsia" w:ascii="宋体" w:hAnsi="宋体" w:eastAsia="宋体" w:cs="宋体"/>
                <w:color w:val="auto"/>
                <w:sz w:val="21"/>
                <w:szCs w:val="21"/>
                <w:highlight w:val="none"/>
              </w:rPr>
              <w:t>资格证明文件、商务和技术文件同时开启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磋商小组的组建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磋商小组构成形式、人数，评审专家确定方式：</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详见供应商须知第7.1.1条款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评审方法</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40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磋商小组推荐成交</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候选供应商的家数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xml:space="preserve"> 3 </w:t>
            </w:r>
            <w:r>
              <w:rPr>
                <w:rFonts w:hint="eastAsia" w:ascii="宋体" w:hAnsi="宋体" w:eastAsia="宋体" w:cs="宋体"/>
                <w:color w:val="auto"/>
                <w:sz w:val="21"/>
                <w:szCs w:val="21"/>
                <w:highlight w:val="none"/>
                <w:lang w:val="en-US" w:eastAsia="zh-CN"/>
              </w:rPr>
              <w:t>家</w:t>
            </w:r>
            <w:r>
              <w:rPr>
                <w:rFonts w:hint="eastAsia" w:ascii="宋体" w:hAnsi="宋体" w:eastAsia="宋体" w:cs="宋体"/>
                <w:color w:val="auto"/>
                <w:sz w:val="21"/>
                <w:szCs w:val="21"/>
                <w:highlight w:val="none"/>
                <w:lang w:val="zh-CN"/>
              </w:rPr>
              <w:t>（符合《政府采购竞争性磋商采购方式管理暂行办法》第三条第四项情形的）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41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是否授权磋商小组</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确定成交供应商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是</w:t>
            </w:r>
          </w:p>
          <w:p>
            <w:pPr>
              <w:pStyle w:val="53"/>
              <w:keepNext w:val="0"/>
              <w:keepLines w:val="0"/>
              <w:pageBreakBefore w:val="0"/>
              <w:tabs>
                <w:tab w:val="left" w:pos="561"/>
              </w:tabs>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b/>
                <w:color w:val="auto"/>
                <w:sz w:val="21"/>
                <w:szCs w:val="21"/>
                <w:highlight w:val="none"/>
              </w:rPr>
              <w:sym w:font="Wingdings 2" w:char="0052"/>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lang w:val="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42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发布成交公告的</w:t>
            </w:r>
          </w:p>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时间、媒介和期限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公告时间：在确定成交供应商之日起2个工作日内</w:t>
            </w:r>
          </w:p>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公告媒介：陕西省政府采购网</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43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eastAsia="宋体" w:cs="宋体"/>
                <w:color w:val="auto"/>
                <w:sz w:val="21"/>
                <w:szCs w:val="21"/>
                <w:highlight w:val="none"/>
                <w:lang w:val="en-US" w:eastAsia="zh-CN"/>
              </w:rPr>
              <w:t>中小企业行业划分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eastAsia="宋体" w:cs="宋体"/>
                <w:color w:val="auto"/>
                <w:sz w:val="21"/>
                <w:szCs w:val="21"/>
                <w:highlight w:val="none"/>
                <w:lang w:val="en-US" w:eastAsia="zh-CN"/>
              </w:rPr>
              <w:t>本项目属于</w:t>
            </w:r>
            <w:r>
              <w:rPr>
                <w:rFonts w:hint="eastAsia" w:cs="宋体"/>
                <w:color w:val="auto"/>
                <w:sz w:val="21"/>
                <w:szCs w:val="21"/>
                <w:highlight w:val="none"/>
                <w:u w:val="single"/>
                <w:lang w:val="en-US" w:eastAsia="zh-CN"/>
              </w:rPr>
              <w:t>交通运输业</w:t>
            </w:r>
            <w:r>
              <w:rPr>
                <w:rFonts w:hint="eastAsia" w:ascii="宋体" w:hAnsi="宋体" w:eastAsia="宋体" w:cs="宋体"/>
                <w:color w:val="auto"/>
                <w:sz w:val="21"/>
                <w:szCs w:val="21"/>
                <w:highlight w:val="none"/>
                <w:lang w:val="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9501" w:type="dxa"/>
            <w:gridSpan w:val="3"/>
            <w:tcBorders>
              <w:top w:val="single" w:color="auto" w:sz="8" w:space="0"/>
              <w:left w:val="single" w:color="auto" w:sz="1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z w:val="24"/>
                <w:szCs w:val="24"/>
              </w:rPr>
              <w:t>特殊情况处理：投标供应商不足三家时，按国家、省、市的相关规定执行。</w:t>
            </w:r>
          </w:p>
        </w:tc>
      </w:tr>
    </w:tbl>
    <w:p>
      <w:pPr>
        <w:pStyle w:val="4"/>
        <w:spacing w:before="0" w:after="120" w:afterLines="50" w:line="360" w:lineRule="auto"/>
        <w:rPr>
          <w:rFonts w:hint="eastAsia" w:ascii="宋体" w:hAnsi="宋体" w:eastAsia="宋体" w:cs="宋体"/>
          <w:b w:val="0"/>
          <w:bCs/>
          <w:color w:val="auto"/>
          <w:sz w:val="36"/>
          <w:szCs w:val="36"/>
          <w:highlight w:val="none"/>
        </w:rPr>
      </w:pPr>
      <w:r>
        <w:rPr>
          <w:rFonts w:hint="eastAsia" w:ascii="宋体" w:hAnsi="宋体" w:eastAsia="宋体" w:cs="宋体"/>
          <w:color w:val="auto"/>
          <w:highlight w:val="none"/>
        </w:rPr>
        <w:br w:type="page"/>
      </w:r>
      <w:bookmarkEnd w:id="47"/>
      <w:bookmarkEnd w:id="48"/>
      <w:bookmarkEnd w:id="49"/>
      <w:bookmarkEnd w:id="50"/>
      <w:bookmarkEnd w:id="51"/>
      <w:bookmarkEnd w:id="52"/>
      <w:bookmarkEnd w:id="53"/>
      <w:bookmarkEnd w:id="54"/>
      <w:bookmarkEnd w:id="55"/>
      <w:bookmarkEnd w:id="56"/>
      <w:bookmarkEnd w:id="57"/>
      <w:bookmarkEnd w:id="58"/>
      <w:bookmarkStart w:id="59" w:name="_Toc183582205"/>
      <w:bookmarkStart w:id="60" w:name="_Toc217446034"/>
      <w:bookmarkStart w:id="61" w:name="_Toc183682342"/>
      <w:r>
        <w:rPr>
          <w:rFonts w:hint="eastAsia" w:ascii="宋体" w:hAnsi="宋体" w:eastAsia="宋体" w:cs="宋体"/>
          <w:bCs/>
          <w:color w:val="auto"/>
          <w:highlight w:val="none"/>
        </w:rPr>
        <w:t xml:space="preserve"> </w:t>
      </w:r>
      <w:bookmarkStart w:id="62" w:name="_Toc183582204"/>
      <w:bookmarkStart w:id="63" w:name="_Toc77400778"/>
      <w:bookmarkStart w:id="64" w:name="_Toc217446033"/>
      <w:bookmarkStart w:id="65" w:name="_Toc183682341"/>
      <w:bookmarkStart w:id="66" w:name="_Toc89075873"/>
      <w:r>
        <w:rPr>
          <w:rFonts w:hint="eastAsia" w:ascii="宋体" w:hAnsi="宋体" w:eastAsia="宋体" w:cs="宋体"/>
          <w:b w:val="0"/>
          <w:bCs/>
          <w:color w:val="auto"/>
          <w:sz w:val="36"/>
          <w:szCs w:val="36"/>
          <w:highlight w:val="none"/>
        </w:rPr>
        <w:t>1.总  则</w:t>
      </w:r>
      <w:bookmarkEnd w:id="62"/>
      <w:bookmarkEnd w:id="63"/>
      <w:bookmarkEnd w:id="64"/>
      <w:bookmarkEnd w:id="65"/>
      <w:bookmarkEnd w:id="66"/>
    </w:p>
    <w:p>
      <w:pPr>
        <w:pStyle w:val="4"/>
        <w:spacing w:before="0" w:after="0" w:line="360" w:lineRule="auto"/>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rPr>
        <w:t>1.1适用范围</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1.1.1本竞争性磋商文件仅适用于本次竞争性磋商（以下简称磋商）所叙述的服务项目采购活动。</w:t>
      </w:r>
    </w:p>
    <w:p>
      <w:pPr>
        <w:tabs>
          <w:tab w:val="left" w:pos="7665"/>
        </w:tabs>
        <w:spacing w:before="120" w:beforeLines="50" w:after="120" w:afterLines="50" w:line="360" w:lineRule="auto"/>
        <w:ind w:firstLine="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1.2名词解释</w:t>
      </w:r>
    </w:p>
    <w:p>
      <w:pPr>
        <w:adjustRightInd w:val="0"/>
        <w:snapToGrid w:val="0"/>
        <w:spacing w:before="120" w:beforeLines="5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b/>
          <w:color w:val="auto"/>
          <w:szCs w:val="21"/>
          <w:highlight w:val="none"/>
        </w:rPr>
        <w:t>采购人</w:t>
      </w:r>
      <w:r>
        <w:rPr>
          <w:rFonts w:hint="eastAsia" w:ascii="宋体" w:hAnsi="宋体" w:eastAsia="宋体" w:cs="宋体"/>
          <w:color w:val="auto"/>
          <w:szCs w:val="21"/>
          <w:highlight w:val="none"/>
        </w:rPr>
        <w:t>系指依法进行政府采购的国家机关、事业单位、团体组织。本次采购的采购人名称、地址、电话、联系人见供应商须知前附表。</w:t>
      </w:r>
    </w:p>
    <w:p>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w:t>
      </w:r>
      <w:r>
        <w:rPr>
          <w:rFonts w:hint="eastAsia" w:ascii="宋体" w:hAnsi="宋体" w:eastAsia="宋体" w:cs="宋体"/>
          <w:b/>
          <w:color w:val="auto"/>
          <w:szCs w:val="21"/>
          <w:highlight w:val="none"/>
        </w:rPr>
        <w:t>监督机构</w:t>
      </w:r>
      <w:r>
        <w:rPr>
          <w:rFonts w:hint="eastAsia" w:ascii="宋体" w:hAnsi="宋体" w:eastAsia="宋体" w:cs="宋体"/>
          <w:color w:val="auto"/>
          <w:szCs w:val="21"/>
          <w:highlight w:val="none"/>
        </w:rPr>
        <w:t>系指政府采购行政监督管理部门。本次采购的监督机构：</w:t>
      </w:r>
      <w:r>
        <w:rPr>
          <w:rFonts w:hint="eastAsia" w:ascii="宋体" w:hAnsi="宋体" w:eastAsia="宋体" w:cs="宋体"/>
          <w:color w:val="auto"/>
          <w:szCs w:val="21"/>
          <w:highlight w:val="none"/>
          <w:u w:val="single"/>
        </w:rPr>
        <w:t xml:space="preserve"> 陕西省财政厅</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1.2.3</w:t>
      </w:r>
      <w:r>
        <w:rPr>
          <w:rFonts w:hint="eastAsia" w:ascii="宋体" w:hAnsi="宋体" w:eastAsia="宋体" w:cs="宋体"/>
          <w:b/>
          <w:color w:val="auto"/>
          <w:szCs w:val="21"/>
          <w:highlight w:val="none"/>
        </w:rPr>
        <w:t>采购代理机构</w:t>
      </w:r>
      <w:r>
        <w:rPr>
          <w:rFonts w:hint="eastAsia" w:ascii="宋体" w:hAnsi="宋体" w:eastAsia="宋体" w:cs="宋体"/>
          <w:color w:val="auto"/>
          <w:szCs w:val="21"/>
          <w:highlight w:val="none"/>
        </w:rPr>
        <w:t>系指接受采购人委托，代理采购项目的依法经财政部门认定资格的采购代理机构。本次采购的采购代理机构名称、地址、电话、联系人，见供应商须知前附表。</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1.2.4 </w:t>
      </w:r>
      <w:r>
        <w:rPr>
          <w:rFonts w:hint="eastAsia" w:ascii="宋体" w:hAnsi="宋体" w:eastAsia="宋体" w:cs="宋体"/>
          <w:b/>
          <w:color w:val="auto"/>
          <w:szCs w:val="21"/>
          <w:highlight w:val="none"/>
        </w:rPr>
        <w:t>供应商</w:t>
      </w:r>
      <w:r>
        <w:rPr>
          <w:rFonts w:hint="eastAsia" w:ascii="宋体" w:hAnsi="宋体" w:eastAsia="宋体" w:cs="宋体"/>
          <w:color w:val="auto"/>
          <w:szCs w:val="21"/>
          <w:highlight w:val="none"/>
        </w:rPr>
        <w:t>是指响应和符合竞争性磋商文件（以下简称磋商文件）规定资格条件且参与磋商竞争的法人或其他组织或个人。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1.2.5 </w:t>
      </w:r>
      <w:r>
        <w:rPr>
          <w:rFonts w:hint="eastAsia" w:ascii="宋体" w:hAnsi="宋体" w:eastAsia="宋体" w:cs="宋体"/>
          <w:b/>
          <w:color w:val="auto"/>
          <w:szCs w:val="21"/>
          <w:highlight w:val="none"/>
        </w:rPr>
        <w:t>货物</w:t>
      </w:r>
      <w:r>
        <w:rPr>
          <w:rFonts w:hint="eastAsia" w:ascii="宋体" w:hAnsi="宋体" w:eastAsia="宋体" w:cs="宋体"/>
          <w:color w:val="auto"/>
          <w:szCs w:val="21"/>
          <w:highlight w:val="none"/>
        </w:rPr>
        <w:t>是指本磋商文件中第四章所述所有货物。</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1.2.6 </w:t>
      </w:r>
      <w:r>
        <w:rPr>
          <w:rFonts w:hint="eastAsia" w:ascii="宋体" w:hAnsi="宋体" w:eastAsia="宋体" w:cs="宋体"/>
          <w:b/>
          <w:color w:val="auto"/>
          <w:szCs w:val="21"/>
          <w:highlight w:val="none"/>
        </w:rPr>
        <w:t>服务</w:t>
      </w:r>
      <w:r>
        <w:rPr>
          <w:rFonts w:hint="eastAsia" w:ascii="宋体" w:hAnsi="宋体" w:eastAsia="宋体" w:cs="宋体"/>
          <w:color w:val="auto"/>
          <w:szCs w:val="21"/>
          <w:highlight w:val="none"/>
        </w:rPr>
        <w:t>是指人为满足磋商文件要求而提供的服务。</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1.2.7 </w:t>
      </w:r>
      <w:r>
        <w:rPr>
          <w:rFonts w:hint="eastAsia" w:ascii="宋体" w:hAnsi="宋体" w:eastAsia="宋体" w:cs="宋体"/>
          <w:b/>
          <w:color w:val="auto"/>
          <w:szCs w:val="21"/>
          <w:highlight w:val="none"/>
        </w:rPr>
        <w:t>节能产品</w:t>
      </w:r>
      <w:r>
        <w:rPr>
          <w:rFonts w:hint="eastAsia" w:ascii="宋体" w:hAnsi="宋体" w:eastAsia="宋体" w:cs="宋体"/>
          <w:color w:val="auto"/>
          <w:szCs w:val="21"/>
          <w:highlight w:val="none"/>
        </w:rPr>
        <w:t>指财政部、发展改革委、生态环境部等部门发布的《节能产品品目清单》中的产品。</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1.2.8 </w:t>
      </w:r>
      <w:r>
        <w:rPr>
          <w:rFonts w:hint="eastAsia" w:ascii="宋体" w:hAnsi="宋体" w:eastAsia="宋体" w:cs="宋体"/>
          <w:b/>
          <w:color w:val="auto"/>
          <w:szCs w:val="21"/>
          <w:highlight w:val="none"/>
        </w:rPr>
        <w:t>环境标志产品</w:t>
      </w:r>
      <w:r>
        <w:rPr>
          <w:rFonts w:hint="eastAsia" w:ascii="宋体" w:hAnsi="宋体" w:eastAsia="宋体" w:cs="宋体"/>
          <w:color w:val="auto"/>
          <w:szCs w:val="21"/>
          <w:highlight w:val="none"/>
        </w:rPr>
        <w:t>是指财政部、发展改革委、生态环境部等部门发布的《环境标志产品品目清单》中的产品。</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1.2.9 </w:t>
      </w:r>
      <w:r>
        <w:rPr>
          <w:rFonts w:hint="eastAsia" w:ascii="宋体" w:hAnsi="宋体" w:eastAsia="宋体" w:cs="宋体"/>
          <w:b/>
          <w:color w:val="auto"/>
          <w:kern w:val="0"/>
          <w:szCs w:val="21"/>
          <w:highlight w:val="none"/>
        </w:rPr>
        <w:t>进口产品</w:t>
      </w:r>
      <w:r>
        <w:rPr>
          <w:rFonts w:hint="eastAsia" w:ascii="宋体" w:hAnsi="宋体" w:eastAsia="宋体" w:cs="宋体"/>
          <w:color w:val="auto"/>
          <w:kern w:val="0"/>
          <w:szCs w:val="21"/>
          <w:highlight w:val="none"/>
        </w:rPr>
        <w:t>是指通过中国海关报关验放进入中国境内且产自关境外的产品，详见《关于政府采购进口产品管理有关问题的通知》(财库[2007]119号)。</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1.2.10</w:t>
      </w:r>
      <w:r>
        <w:rPr>
          <w:rFonts w:hint="eastAsia" w:ascii="宋体" w:hAnsi="宋体" w:eastAsia="宋体" w:cs="宋体"/>
          <w:b/>
          <w:color w:val="auto"/>
          <w:szCs w:val="21"/>
          <w:highlight w:val="none"/>
        </w:rPr>
        <w:t>中小企业</w:t>
      </w:r>
      <w:r>
        <w:rPr>
          <w:rFonts w:hint="eastAsia" w:ascii="宋体" w:hAnsi="宋体" w:eastAsia="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1.2.11 </w:t>
      </w:r>
      <w:r>
        <w:rPr>
          <w:rFonts w:hint="eastAsia" w:ascii="宋体" w:hAnsi="宋体" w:eastAsia="宋体" w:cs="宋体"/>
          <w:b/>
          <w:color w:val="auto"/>
          <w:szCs w:val="21"/>
          <w:highlight w:val="none"/>
        </w:rPr>
        <w:t>监狱企业</w:t>
      </w:r>
      <w:r>
        <w:rPr>
          <w:rFonts w:hint="eastAsia" w:ascii="宋体" w:hAnsi="宋体" w:eastAsia="宋体" w:cs="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 xml:space="preserve">1.2.12 </w:t>
      </w:r>
      <w:r>
        <w:rPr>
          <w:rFonts w:hint="eastAsia" w:ascii="宋体" w:hAnsi="宋体" w:eastAsia="宋体" w:cs="宋体"/>
          <w:b/>
          <w:color w:val="auto"/>
          <w:kern w:val="0"/>
          <w:szCs w:val="21"/>
          <w:highlight w:val="none"/>
        </w:rPr>
        <w:t>残疾人福利性单位</w:t>
      </w:r>
      <w:r>
        <w:rPr>
          <w:rFonts w:hint="eastAsia" w:ascii="宋体" w:hAnsi="宋体" w:eastAsia="宋体" w:cs="宋体"/>
          <w:color w:val="auto"/>
          <w:kern w:val="0"/>
          <w:szCs w:val="21"/>
          <w:highlight w:val="none"/>
        </w:rPr>
        <w:t>是指符合</w:t>
      </w:r>
      <w:r>
        <w:rPr>
          <w:rFonts w:hint="eastAsia" w:ascii="宋体" w:hAnsi="宋体" w:eastAsia="宋体" w:cs="宋体"/>
          <w:color w:val="auto"/>
          <w:spacing w:val="6"/>
          <w:szCs w:val="21"/>
          <w:highlight w:val="none"/>
        </w:rPr>
        <w:t>《财政部、民政部、中国残疾人联合会关于促进残疾人就业政府采购政策的通知》（财库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号）规定条件的单位。</w:t>
      </w:r>
    </w:p>
    <w:p>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1.2.13</w:t>
      </w:r>
      <w:r>
        <w:rPr>
          <w:rFonts w:hint="eastAsia" w:ascii="宋体" w:hAnsi="宋体" w:eastAsia="宋体" w:cs="宋体"/>
          <w:b/>
          <w:color w:val="auto"/>
          <w:spacing w:val="6"/>
          <w:szCs w:val="21"/>
          <w:highlight w:val="none"/>
        </w:rPr>
        <w:t>签名</w:t>
      </w:r>
      <w:r>
        <w:rPr>
          <w:rFonts w:hint="eastAsia" w:ascii="宋体" w:hAnsi="宋体" w:eastAsia="宋体" w:cs="宋体"/>
          <w:color w:val="auto"/>
          <w:spacing w:val="6"/>
          <w:szCs w:val="21"/>
          <w:highlight w:val="none"/>
        </w:rPr>
        <w:t>是指手写签名或者加盖名章，</w:t>
      </w:r>
      <w:r>
        <w:rPr>
          <w:rFonts w:hint="eastAsia" w:ascii="宋体" w:hAnsi="宋体" w:eastAsia="宋体" w:cs="宋体"/>
          <w:b/>
          <w:color w:val="auto"/>
          <w:spacing w:val="6"/>
          <w:szCs w:val="21"/>
          <w:highlight w:val="none"/>
        </w:rPr>
        <w:t>盖章</w:t>
      </w:r>
      <w:r>
        <w:rPr>
          <w:rFonts w:hint="eastAsia" w:ascii="宋体" w:hAnsi="宋体" w:eastAsia="宋体" w:cs="宋体"/>
          <w:color w:val="auto"/>
          <w:spacing w:val="6"/>
          <w:szCs w:val="21"/>
          <w:highlight w:val="none"/>
        </w:rPr>
        <w:t>是指加盖单位印章。</w:t>
      </w:r>
    </w:p>
    <w:p>
      <w:pPr>
        <w:adjustRightInd w:val="0"/>
        <w:snapToGrid w:val="0"/>
        <w:spacing w:line="360" w:lineRule="auto"/>
        <w:ind w:firstLine="444"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1.2.14</w:t>
      </w:r>
      <w:r>
        <w:rPr>
          <w:rFonts w:hint="eastAsia" w:ascii="宋体" w:hAnsi="宋体" w:eastAsia="宋体" w:cs="宋体"/>
          <w:b/>
          <w:color w:val="auto"/>
          <w:szCs w:val="21"/>
          <w:highlight w:val="none"/>
        </w:rPr>
        <w:t>较大数额罚款</w:t>
      </w:r>
      <w:r>
        <w:rPr>
          <w:rFonts w:hint="eastAsia" w:ascii="宋体" w:hAnsi="宋体" w:eastAsia="宋体" w:cs="宋体"/>
          <w:color w:val="auto"/>
          <w:szCs w:val="21"/>
          <w:highlight w:val="none"/>
        </w:rPr>
        <w:t>是指200万元以上罚款，法律、行政法规以及国务院有关部门明确规定相关领域“较大数额罚款”标准高于200万元的，从其规定。</w:t>
      </w:r>
    </w:p>
    <w:p>
      <w:pPr>
        <w:adjustRightInd w:val="0"/>
        <w:snapToGrid w:val="0"/>
        <w:spacing w:before="120" w:beforeLines="50" w:after="120" w:afterLines="50"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sz w:val="30"/>
          <w:szCs w:val="30"/>
          <w:highlight w:val="none"/>
        </w:rPr>
        <w:t>1.3 合格的供应商</w:t>
      </w:r>
    </w:p>
    <w:p>
      <w:pPr>
        <w:tabs>
          <w:tab w:val="left" w:pos="7665"/>
        </w:tabs>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合格的供应商应具备以下条件：</w:t>
      </w:r>
    </w:p>
    <w:p>
      <w:pPr>
        <w:tabs>
          <w:tab w:val="left" w:pos="7665"/>
        </w:tabs>
        <w:spacing w:line="360" w:lineRule="auto"/>
        <w:ind w:firstLine="420" w:firstLineChars="200"/>
        <w:rPr>
          <w:rFonts w:hint="eastAsia" w:ascii="宋体" w:hAnsi="宋体" w:eastAsia="宋体" w:cs="宋体"/>
          <w:color w:val="auto"/>
          <w:spacing w:val="-4"/>
          <w:szCs w:val="21"/>
          <w:highlight w:val="none"/>
        </w:rPr>
      </w:pPr>
      <w:r>
        <w:rPr>
          <w:rFonts w:hint="eastAsia" w:ascii="宋体" w:hAnsi="宋体" w:eastAsia="宋体" w:cs="宋体"/>
          <w:color w:val="auto"/>
          <w:szCs w:val="21"/>
          <w:highlight w:val="none"/>
        </w:rPr>
        <w:t>（1）具备且满足磋商文件规定的供应商资格条件</w:t>
      </w:r>
      <w:r>
        <w:rPr>
          <w:rFonts w:hint="eastAsia" w:ascii="宋体" w:hAnsi="宋体" w:eastAsia="宋体" w:cs="宋体"/>
          <w:color w:val="auto"/>
          <w:spacing w:val="-4"/>
          <w:szCs w:val="21"/>
          <w:highlight w:val="none"/>
        </w:rPr>
        <w:t>；</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（2）从采购代理机构获取了磋商文件；</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（3）向采购代理机构交纳了磋商保证金（仅限供应商须知前附表要求供应商提交保证金的）；</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（4）遵守国家和地方有关的法律法规、规章和规范性文件要求。</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供应商不得存在下列情形之一：</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其他利害关系，且可能影响磋商公正性；</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（2）与本采购项目其他供应商的法定代表人（或者负责人）为同一人；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（3）与本采购项目其他供应商存在控股、管理关系；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（4）为本项目采购代理机构；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（5）为本项目代理磋商的为其采购代理机构；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（6）为本项目提供整体设计、规范编制或者项目管理、监理、检测、咨询服务；</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bCs/>
          <w:color w:val="auto"/>
          <w:szCs w:val="21"/>
          <w:highlight w:val="none"/>
        </w:rPr>
        <w:t>受到刑事处罚；</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（8）受到“较大数额罚款”的行政处罚；</w:t>
      </w: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（9）被责令停产停业、暂扣或者吊销许可证、暂扣或者吊销执照的行政处罚；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（10）</w:t>
      </w:r>
      <w:r>
        <w:rPr>
          <w:rFonts w:hint="eastAsia" w:ascii="宋体" w:hAnsi="宋体" w:eastAsia="宋体" w:cs="宋体"/>
          <w:color w:val="auto"/>
          <w:szCs w:val="21"/>
          <w:highlight w:val="none"/>
        </w:rPr>
        <w:t>被列入失信被执行人名单；</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（11）被列入重大税收违法案件当事人名单；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（12）被禁止在一至三年内参加政府采购活动或存在</w:t>
      </w:r>
      <w:r>
        <w:rPr>
          <w:rFonts w:hint="eastAsia" w:ascii="宋体" w:hAnsi="宋体" w:eastAsia="宋体" w:cs="宋体"/>
          <w:color w:val="auto"/>
          <w:szCs w:val="21"/>
          <w:highlight w:val="none"/>
        </w:rPr>
        <w:t>财政部门认定的其他重大违法记录；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（13）法律法规规定的其他情形。</w:t>
      </w:r>
    </w:p>
    <w:p>
      <w:pPr>
        <w:adjustRightInd w:val="0"/>
        <w:snapToGrid w:val="0"/>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1.4 合格的服务</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供应商提供的所有服务，必须是合法来源，符合国家有关标准和规范，并满足磋商文件规定的服务要求。</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包括提供货物的，所供货物亦必须是合法生产、合法来源，符合国家有关标准要求，并满足磋商文件规定的规格、参数、质量、有效期、售后服务及供应商须承担的运输、安装、技术支持、培训和磋商文件规定的其它伴随服务等要求。</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采购人有权拒绝接受任何不合格的服务，由此产生的费用及相关后果均由供应商自行承担。</w:t>
      </w:r>
    </w:p>
    <w:bookmarkEnd w:id="59"/>
    <w:bookmarkEnd w:id="60"/>
    <w:bookmarkEnd w:id="61"/>
    <w:p>
      <w:pPr>
        <w:pStyle w:val="16"/>
        <w:spacing w:before="120" w:beforeLines="50" w:after="120" w:afterLines="50" w:line="360" w:lineRule="auto"/>
        <w:ind w:firstLine="0"/>
        <w:rPr>
          <w:rFonts w:hint="eastAsia" w:ascii="宋体" w:hAnsi="宋体" w:eastAsia="宋体" w:cs="宋体"/>
          <w:b/>
          <w:bCs/>
          <w:color w:val="auto"/>
          <w:sz w:val="30"/>
          <w:szCs w:val="30"/>
          <w:highlight w:val="none"/>
        </w:rPr>
      </w:pPr>
      <w:bookmarkStart w:id="67" w:name="_Toc217446047"/>
      <w:bookmarkStart w:id="68" w:name="_Toc183582208"/>
      <w:bookmarkStart w:id="69" w:name="_Toc183682345"/>
      <w:bookmarkStart w:id="70" w:name="_Toc217446037"/>
      <w:r>
        <w:rPr>
          <w:rFonts w:hint="eastAsia" w:ascii="宋体" w:hAnsi="宋体" w:eastAsia="宋体" w:cs="宋体"/>
          <w:b/>
          <w:bCs/>
          <w:color w:val="auto"/>
          <w:sz w:val="30"/>
          <w:szCs w:val="30"/>
          <w:highlight w:val="none"/>
        </w:rPr>
        <w:t>1.5 知识产权</w:t>
      </w:r>
      <w:bookmarkEnd w:id="67"/>
    </w:p>
    <w:p>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供应商应保证在本项目提供的任何服务和货物（包括部分使用）时，不会产生因第三方提出侵犯其专利权、商标权或其它知识产权而引起的法律和经济纠纷，如因专利权、商标权或其它知识产权而引起法律和经济纠纷，由供应商承担所有相关责任。</w:t>
      </w:r>
    </w:p>
    <w:p>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采购人享有本项目实施过程中产生的知识成果及知识产权。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 如采用供应商所不拥有的知识产权，则在报价中必须包括合法获取该知识产权的相关费用。</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1.6 磋商费用</w:t>
      </w:r>
      <w:bookmarkEnd w:id="68"/>
      <w:bookmarkEnd w:id="69"/>
      <w:bookmarkEnd w:id="70"/>
    </w:p>
    <w:p>
      <w:pPr>
        <w:tabs>
          <w:tab w:val="left" w:pos="7665"/>
        </w:tabs>
        <w:spacing w:line="360" w:lineRule="auto"/>
        <w:ind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不论磋商结果如何，供应商应自行承担所有与准备和参加磋商相关的全部费用。</w:t>
      </w:r>
      <w:bookmarkStart w:id="71" w:name="_Toc77400779"/>
      <w:bookmarkStart w:id="72" w:name="_Toc183682346"/>
      <w:bookmarkStart w:id="73" w:name="_Toc89075875"/>
      <w:bookmarkStart w:id="74" w:name="_Toc183582209"/>
      <w:bookmarkStart w:id="75" w:name="_Toc217446038"/>
    </w:p>
    <w:p>
      <w:pPr>
        <w:autoSpaceDE w:val="0"/>
        <w:autoSpaceDN w:val="0"/>
        <w:spacing w:before="120" w:beforeLines="50" w:after="120" w:afterLines="50" w:line="360" w:lineRule="auto"/>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1.7 保密</w:t>
      </w:r>
    </w:p>
    <w:p>
      <w:pPr>
        <w:autoSpaceDE w:val="0"/>
        <w:autoSpaceDN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lang w:val="zh-CN"/>
        </w:rPr>
        <w:t xml:space="preserve">参与采购活动的当事人应对磋商文件和响应文件中的商业秘密、技术秘密和个人隐私等保密，违者应对由此造成的后果承担法律责任。 </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1.8语言文字</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磋商文件与响应文件使用的语言为</w:t>
      </w:r>
      <w:r>
        <w:rPr>
          <w:rFonts w:hint="eastAsia" w:ascii="宋体" w:hAnsi="宋体" w:eastAsia="宋体" w:cs="宋体"/>
          <w:color w:val="auto"/>
          <w:szCs w:val="21"/>
          <w:highlight w:val="none"/>
          <w:lang w:val="en-US" w:eastAsia="zh-CN"/>
        </w:rPr>
        <w:t>简体</w:t>
      </w:r>
      <w:r>
        <w:rPr>
          <w:rFonts w:hint="eastAsia" w:ascii="宋体" w:hAnsi="宋体" w:eastAsia="宋体" w:cs="宋体"/>
          <w:color w:val="auto"/>
          <w:szCs w:val="21"/>
          <w:highlight w:val="none"/>
        </w:rPr>
        <w:t>中文。专用术语使用外文的，应附有中文注释。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响应文件中如附有外文资料，必须逐一对应翻译成中文并加盖供应商单位章后附在相关外文资料后面，否则，供应商的响应文件将作为无效响应文件处理。</w:t>
      </w:r>
    </w:p>
    <w:p>
      <w:pPr>
        <w:pStyle w:val="18"/>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1.8.3 响应文件中翻译的中文资料与外文资料如果出现差异和矛盾时，以中文为准。但不能故意错误翻译，否则，供应商的响应文件将作为无效响应文件处理。</w:t>
      </w:r>
      <w:r>
        <w:rPr>
          <w:rFonts w:hint="eastAsia" w:ascii="宋体" w:hAnsi="宋体" w:eastAsia="宋体" w:cs="宋体"/>
          <w:color w:val="auto"/>
          <w:kern w:val="0"/>
          <w:highlight w:val="none"/>
        </w:rPr>
        <w:t>必要时采购人可以要求供应商提供附有公证书的中文翻译文件或者与原版文件签章相一致的中文翻译文件。</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1.9计量单位</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所有计量单位均采用中华人民共和国法定计量单位。</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1.10 磋商前答疑会或现场考察</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 根据供应商须知前附表规定召开磋商前答疑会或组织供应商对项目现场进行考察的，采购人或采购代理机构按供应商须知前附表规定的时间和地点召开磋商前答疑会或组织现场考察，澄清供应商的问题，供应商可按要求在规定的时间和地点参加。</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 磋商前答疑会或现场考察后，采购人或采购代理机构对供应商所提问题的澄清，以书面形式通知所有获取了磋商文件的供应商。该澄清内容为磋商文件的组成部分。</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 采购人或采购代理机构不对供应商现场考察而做出的推论、理解和结论负责。一旦成交，成交供应商不得以任何借口，提出额外补偿，或延长合同期限的要求。</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 由于未参加现场考察或磋商前答疑会而导致对项目实际情况不了解，影响响应文件编制、响应报价准确性、综合因素响应不全面等问题的，由供应商自行承担不利评审后果。</w:t>
      </w:r>
    </w:p>
    <w:p>
      <w:pPr>
        <w:adjustRightInd w:val="0"/>
        <w:snapToGrid w:val="0"/>
        <w:spacing w:before="120" w:beforeLines="50" w:after="120" w:afterLines="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1.11响应与偏离</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1.11.1响应文件应当对磋商文件实质性要求和条件作出满足性或有利于采购人的响应，否则，供应商的响应文件无效。</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1.11.2</w:t>
      </w:r>
      <w:r>
        <w:rPr>
          <w:rFonts w:hint="eastAsia" w:ascii="宋体" w:hAnsi="宋体" w:eastAsia="宋体" w:cs="宋体"/>
          <w:b/>
          <w:color w:val="auto"/>
          <w:highlight w:val="none"/>
        </w:rPr>
        <w:t>偏离</w:t>
      </w:r>
      <w:r>
        <w:rPr>
          <w:rFonts w:hint="eastAsia" w:ascii="宋体" w:hAnsi="宋体" w:eastAsia="宋体" w:cs="宋体"/>
          <w:color w:val="auto"/>
          <w:highlight w:val="none"/>
        </w:rPr>
        <w:t>是指响应文件不响应或者不满足磋商文件提出的要求和条件，分为实质性偏离和非实质性偏离。</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1.11.3除法律、法规和磋商文件规定的其他响应无效情形外，磋商文件中用“</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”符号标明的条款为实质性要求和条件，响应文件对其中任何一条的偏离，为实质性偏离，</w:t>
      </w:r>
      <w:r>
        <w:rPr>
          <w:rFonts w:hint="eastAsia" w:ascii="宋体" w:hAnsi="宋体" w:eastAsia="宋体" w:cs="宋体"/>
          <w:b/>
          <w:color w:val="auto"/>
          <w:highlight w:val="none"/>
        </w:rPr>
        <w:t>其响应文件无效</w:t>
      </w:r>
      <w:r>
        <w:rPr>
          <w:rFonts w:hint="eastAsia" w:ascii="宋体" w:hAnsi="宋体" w:eastAsia="宋体" w:cs="宋体"/>
          <w:color w:val="auto"/>
          <w:highlight w:val="none"/>
        </w:rPr>
        <w:t>。</w:t>
      </w:r>
    </w:p>
    <w:p>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1.11.4 响应</w:t>
      </w:r>
      <w:r>
        <w:rPr>
          <w:rFonts w:hint="eastAsia" w:ascii="宋体" w:hAnsi="宋体" w:eastAsia="宋体" w:cs="宋体"/>
          <w:color w:val="auto"/>
          <w:szCs w:val="21"/>
          <w:highlight w:val="none"/>
        </w:rPr>
        <w:t>文件偏离磋商文件的非实质性要求和条件，为非实质性偏离。非实质性偏离的范围和项数应当符合供应商须知前附表的规定，超出偏离范围和最高项数的</w:t>
      </w:r>
      <w:r>
        <w:rPr>
          <w:rFonts w:hint="eastAsia" w:ascii="宋体" w:hAnsi="宋体" w:eastAsia="宋体" w:cs="宋体"/>
          <w:color w:val="auto"/>
          <w:highlight w:val="none"/>
        </w:rPr>
        <w:t>响应文件无效。</w:t>
      </w:r>
    </w:p>
    <w:p>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1.11.5 响应文件对磋商文件的全部偏离，均应在响应文件商务条款偏离表和技术参数偏离表中列明，除列明的内容外，视为供应商响应响应招标文件的全部要求。</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1.11.6 在磋商过程中，磋商小组若根据磋商文件和磋商情况实质性变动采购需求中的技术、服务要求以及合同草案条款的，供应商据此重新提交的响应文件，也适用本条款。</w:t>
      </w:r>
    </w:p>
    <w:p>
      <w:pPr>
        <w:tabs>
          <w:tab w:val="left" w:pos="7665"/>
        </w:tabs>
        <w:spacing w:before="120" w:beforeLines="50" w:after="120" w:afterLines="50" w:line="360" w:lineRule="auto"/>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2.磋商文件</w:t>
      </w:r>
      <w:bookmarkEnd w:id="71"/>
      <w:bookmarkEnd w:id="72"/>
      <w:bookmarkEnd w:id="73"/>
      <w:bookmarkEnd w:id="74"/>
      <w:bookmarkEnd w:id="75"/>
      <w:bookmarkStart w:id="76" w:name="_Toc183582210"/>
      <w:bookmarkStart w:id="77" w:name="_Toc183682347"/>
      <w:bookmarkStart w:id="78" w:name="_Toc217446039"/>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 磋商文件的</w:t>
      </w:r>
      <w:bookmarkEnd w:id="76"/>
      <w:bookmarkEnd w:id="77"/>
      <w:bookmarkEnd w:id="78"/>
      <w:r>
        <w:rPr>
          <w:rFonts w:hint="eastAsia" w:ascii="宋体" w:hAnsi="宋体" w:eastAsia="宋体" w:cs="宋体"/>
          <w:b/>
          <w:color w:val="auto"/>
          <w:sz w:val="30"/>
          <w:szCs w:val="30"/>
          <w:highlight w:val="none"/>
        </w:rPr>
        <w:t>组成</w:t>
      </w:r>
    </w:p>
    <w:p>
      <w:pPr>
        <w:tabs>
          <w:tab w:val="left" w:pos="7665"/>
        </w:tabs>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本磋商文件包括以下内容：</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（4）磋商办法；</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（5）采购需求；</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（6）政府采购合同条款；</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（7）响应文件格式；</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（8）供应商须知前附表规定的其他材料。</w:t>
      </w:r>
      <w:bookmarkStart w:id="79" w:name="_Toc183582211"/>
      <w:bookmarkStart w:id="80" w:name="_Toc183682348"/>
      <w:bookmarkStart w:id="81" w:name="_Toc217446040"/>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根据本章第1.10条款、第2.2条款款对磋商文件所作的澄清、修改，构成磋商文件的组成部分。</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2.2 磋商文件的澄清</w:t>
      </w:r>
      <w:bookmarkEnd w:id="79"/>
      <w:bookmarkEnd w:id="80"/>
      <w:r>
        <w:rPr>
          <w:rFonts w:hint="eastAsia" w:ascii="宋体" w:hAnsi="宋体" w:eastAsia="宋体" w:cs="宋体"/>
          <w:b/>
          <w:color w:val="auto"/>
          <w:sz w:val="30"/>
          <w:szCs w:val="30"/>
          <w:highlight w:val="none"/>
        </w:rPr>
        <w:t>和修改</w:t>
      </w:r>
      <w:bookmarkEnd w:id="81"/>
    </w:p>
    <w:p>
      <w:pPr>
        <w:tabs>
          <w:tab w:val="left" w:pos="7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在提交首次响应文件截止时间前，采购代理机构无论出于何种原因，可以对磋商文件进行澄清或者修改。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采购人或采购代理机构可以对已发出的磋商文件进行必要的澄清或者修改，澄清或修改的内容可能影响响应文件编制的，应当在提交首次响应文件截止时间</w:t>
      </w:r>
      <w:r>
        <w:rPr>
          <w:rFonts w:hint="eastAsia" w:ascii="宋体" w:hAnsi="宋体" w:eastAsia="宋体" w:cs="宋体"/>
          <w:b/>
          <w:color w:val="auto"/>
          <w:szCs w:val="21"/>
          <w:highlight w:val="none"/>
        </w:rPr>
        <w:t>5</w:t>
      </w:r>
      <w:r>
        <w:rPr>
          <w:rFonts w:hint="eastAsia" w:ascii="宋体" w:hAnsi="宋体" w:eastAsia="宋体" w:cs="宋体"/>
          <w:color w:val="auto"/>
          <w:szCs w:val="21"/>
          <w:highlight w:val="none"/>
        </w:rPr>
        <w:t>日前，以书面形式将澄清或者修改的内容通知所有获取磋商文件的供应商，同时在原信息发布媒体上发布更正公告；供应商在收到上述通知后，应立即以书面形式向采购代理机构确认；不足</w:t>
      </w:r>
      <w:r>
        <w:rPr>
          <w:rFonts w:hint="eastAsia" w:ascii="宋体" w:hAnsi="宋体" w:eastAsia="宋体" w:cs="宋体"/>
          <w:b/>
          <w:color w:val="auto"/>
          <w:szCs w:val="21"/>
          <w:highlight w:val="none"/>
        </w:rPr>
        <w:t>5</w:t>
      </w:r>
      <w:r>
        <w:rPr>
          <w:rFonts w:hint="eastAsia" w:ascii="宋体" w:hAnsi="宋体" w:eastAsia="宋体" w:cs="宋体"/>
          <w:color w:val="auto"/>
          <w:szCs w:val="21"/>
          <w:highlight w:val="none"/>
        </w:rPr>
        <w:t>日的，将相应顺延提交首次响应文件截止时间。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bCs/>
          <w:color w:val="auto"/>
          <w:szCs w:val="21"/>
          <w:highlight w:val="none"/>
        </w:rPr>
        <w:t xml:space="preserve">.3 </w:t>
      </w:r>
      <w:r>
        <w:rPr>
          <w:rFonts w:hint="eastAsia" w:ascii="宋体" w:hAnsi="宋体" w:eastAsia="宋体" w:cs="宋体"/>
          <w:color w:val="auto"/>
          <w:szCs w:val="21"/>
          <w:highlight w:val="none"/>
        </w:rPr>
        <w:t>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日前按磋商文件中的联系方式，以书面形式向采购代理机构提出，采购代理机构应当在</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日内，以书面形式予以答复（答复中不包括问题的来源），或认为有必要召开答疑会。超过该时间收到的询问或需要澄清的内容，采购代理机构有权不予答复。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在提交首次响应文件截止时间前，采购代理机构可以视采购具体情况，延长提交首次响应文件截止时间，并将变更时间以书面形式通知所有获取了磋商文件的供应商，同时在原信息发布媒体上发布更正公告。</w:t>
      </w:r>
      <w:bookmarkStart w:id="82" w:name="_Toc217446041"/>
      <w:bookmarkStart w:id="83" w:name="_Toc183682350"/>
      <w:bookmarkStart w:id="84" w:name="_Toc183582213"/>
      <w:bookmarkStart w:id="85" w:name="_Toc20884897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 当磋商文件的澄清、答复、修改或补充通知与磋商文件就同一内容表述不一致时，以最后发出的书面文件内容为准。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2.2.6上述书面通知，按照获取磋商文件的潜在供应商提供的联系方式发出，因提供的信息有误导致通知延迟或无法通知的，采购人或采购代理机构不承担责任。</w:t>
      </w:r>
    </w:p>
    <w:bookmarkEnd w:id="82"/>
    <w:bookmarkEnd w:id="83"/>
    <w:bookmarkEnd w:id="84"/>
    <w:bookmarkEnd w:id="85"/>
    <w:p>
      <w:pPr>
        <w:adjustRightInd w:val="0"/>
        <w:snapToGrid w:val="0"/>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2.3磋商文件的解释权</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磋商文件的解释权归采购代理机构，如发现磋商文件内容与现行法律法规不相符的情况，以现行法律法规为准。</w:t>
      </w:r>
    </w:p>
    <w:p>
      <w:pPr>
        <w:pStyle w:val="6"/>
        <w:spacing w:before="120" w:beforeLines="50" w:after="120" w:afterLines="50" w:line="360" w:lineRule="auto"/>
        <w:ind w:firstLine="0"/>
        <w:rPr>
          <w:rFonts w:hint="eastAsia" w:ascii="宋体" w:hAnsi="宋体" w:eastAsia="宋体" w:cs="宋体"/>
          <w:color w:val="auto"/>
          <w:sz w:val="36"/>
          <w:szCs w:val="36"/>
          <w:highlight w:val="none"/>
        </w:rPr>
      </w:pPr>
      <w:bookmarkStart w:id="86" w:name="_Toc217446042"/>
      <w:bookmarkStart w:id="87" w:name="_Toc183682351"/>
      <w:bookmarkStart w:id="88" w:name="_Toc77400780"/>
      <w:bookmarkStart w:id="89" w:name="_Toc89075876"/>
      <w:bookmarkStart w:id="90" w:name="_Toc183582214"/>
      <w:r>
        <w:rPr>
          <w:rFonts w:hint="eastAsia" w:ascii="宋体" w:hAnsi="宋体" w:eastAsia="宋体" w:cs="宋体"/>
          <w:bCs/>
          <w:color w:val="auto"/>
          <w:sz w:val="36"/>
          <w:szCs w:val="36"/>
          <w:highlight w:val="none"/>
        </w:rPr>
        <w:t>3.供应商</w:t>
      </w:r>
    </w:p>
    <w:bookmarkEnd w:id="86"/>
    <w:bookmarkEnd w:id="87"/>
    <w:bookmarkEnd w:id="88"/>
    <w:bookmarkEnd w:id="89"/>
    <w:bookmarkEnd w:id="90"/>
    <w:p>
      <w:pPr>
        <w:pStyle w:val="6"/>
        <w:spacing w:after="120" w:afterLines="50" w:line="360" w:lineRule="auto"/>
        <w:ind w:firstLine="0"/>
        <w:rPr>
          <w:rFonts w:hint="eastAsia" w:ascii="宋体" w:hAnsi="宋体" w:eastAsia="宋体" w:cs="宋体"/>
          <w:b/>
          <w:color w:val="auto"/>
          <w:sz w:val="30"/>
          <w:szCs w:val="30"/>
          <w:highlight w:val="none"/>
        </w:rPr>
      </w:pPr>
      <w:bookmarkStart w:id="91" w:name="_Toc183582215"/>
      <w:bookmarkStart w:id="92" w:name="_Toc183682352"/>
      <w:bookmarkStart w:id="93" w:name="_Toc217446043"/>
      <w:r>
        <w:rPr>
          <w:rFonts w:hint="eastAsia" w:ascii="宋体" w:hAnsi="宋体" w:eastAsia="宋体" w:cs="宋体"/>
          <w:b/>
          <w:color w:val="auto"/>
          <w:sz w:val="30"/>
          <w:szCs w:val="30"/>
          <w:highlight w:val="none"/>
        </w:rPr>
        <w:t>3.1供应商资格要求</w:t>
      </w:r>
    </w:p>
    <w:p>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b/>
          <w:color w:val="auto"/>
          <w:szCs w:val="21"/>
          <w:highlight w:val="none"/>
        </w:rPr>
        <w:t>3.1.1</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基本资格条件</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供应商应符合《中华人民共和国政府采购法》第二十二条第一款规定，</w:t>
      </w:r>
      <w:r>
        <w:rPr>
          <w:rFonts w:hint="eastAsia" w:ascii="宋体" w:hAnsi="宋体" w:eastAsia="宋体" w:cs="宋体"/>
          <w:color w:val="auto"/>
          <w:kern w:val="0"/>
          <w:szCs w:val="21"/>
          <w:highlight w:val="none"/>
          <w:lang w:val="zh-CN"/>
        </w:rPr>
        <w:t>并按照《政府采购法实施条例》第十七条规定提供下列材料：</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（1）供应商的营业执照等证明文件，自然人的身份证明；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szCs w:val="21"/>
          <w:highlight w:val="none"/>
        </w:rPr>
        <w:t>法定代表人（单位负责人）参加磋商的，提供本人身份证复印件并出示身份证原件；法定代表人（单位负责人）授权他人参加磋商的，提供法定代表人（单位负责人）委托授权书并出示被授权代表的身份证原件；</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（3）财务状况报告：</w:t>
      </w:r>
      <w:r>
        <w:rPr>
          <w:rFonts w:hint="eastAsia" w:ascii="宋体" w:hAnsi="宋体" w:eastAsia="宋体" w:cs="宋体"/>
          <w:color w:val="auto"/>
          <w:szCs w:val="21"/>
          <w:highlight w:val="none"/>
        </w:rPr>
        <w:t xml:space="preserve">提供 </w:t>
      </w:r>
      <w:r>
        <w:rPr>
          <w:rFonts w:hint="eastAsia" w:ascii="宋体" w:hAnsi="宋体" w:eastAsia="宋体" w:cs="宋体"/>
          <w:color w:val="auto"/>
          <w:szCs w:val="21"/>
          <w:highlight w:val="none"/>
          <w:lang w:val="en-US" w:eastAsia="zh-CN"/>
        </w:rPr>
        <w:t>2021或2022</w:t>
      </w:r>
      <w:r>
        <w:rPr>
          <w:rFonts w:hint="eastAsia" w:ascii="宋体" w:hAnsi="宋体" w:eastAsia="宋体" w:cs="宋体"/>
          <w:color w:val="auto"/>
          <w:szCs w:val="21"/>
          <w:highlight w:val="none"/>
        </w:rPr>
        <w:t xml:space="preserve"> 年度经审计的供应商财务会计报告或者银行资信</w:t>
      </w:r>
      <w:r>
        <w:rPr>
          <w:rFonts w:hint="eastAsia" w:ascii="宋体" w:hAnsi="宋体" w:eastAsia="宋体" w:cs="宋体"/>
          <w:color w:val="auto"/>
          <w:szCs w:val="21"/>
          <w:highlight w:val="none"/>
          <w:lang w:val="en-US" w:eastAsia="zh-CN"/>
        </w:rPr>
        <w:t>证明</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（4）税收缴纳证明：提供供应商自磋商前1年以来已缴纳任意时段完税凭证或税务机关开具的完税证明（任意税种）；依法免税的应提供相关文件证明；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（5）社会保障资金缴纳证明：提供供应商自磋商前1年以来已缴存的任意时段的社会保障资金缴存单据或社保机构开具的社会保险参保缴费情况证明；依法不需要缴纳社会保障资金的供应商应提供相关文件证明；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（6）提供供应商具备履行合同所必需的设备和专业技术能力的证明材料；</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（7）供应商</w:t>
      </w:r>
      <w:r>
        <w:rPr>
          <w:rFonts w:hint="eastAsia" w:ascii="宋体" w:hAnsi="宋体" w:eastAsia="宋体" w:cs="宋体"/>
          <w:color w:val="auto"/>
          <w:szCs w:val="21"/>
          <w:highlight w:val="none"/>
          <w:lang w:val="en-US" w:eastAsia="zh-CN"/>
        </w:rPr>
        <w:t>参加本次政府采购活动前三年内</w:t>
      </w:r>
      <w:r>
        <w:rPr>
          <w:rFonts w:hint="eastAsia" w:ascii="宋体" w:hAnsi="宋体" w:eastAsia="宋体" w:cs="宋体"/>
          <w:color w:val="auto"/>
          <w:kern w:val="0"/>
          <w:szCs w:val="21"/>
          <w:highlight w:val="none"/>
        </w:rPr>
        <w:t>，在经营活动中没有重大违法记录的书面声明；</w:t>
      </w:r>
    </w:p>
    <w:p>
      <w:pPr>
        <w:spacing w:line="360" w:lineRule="auto"/>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（8）投标供应商资质：</w:t>
      </w:r>
      <w:r>
        <w:rPr>
          <w:rFonts w:hint="eastAsia" w:ascii="宋体" w:hAnsi="宋体" w:eastAsia="宋体" w:cs="宋体"/>
          <w:color w:val="auto"/>
          <w:szCs w:val="21"/>
          <w:highlight w:val="none"/>
          <w:lang w:eastAsia="zh-CN"/>
        </w:rPr>
        <w:t>具有有效的交通运输部颁发的公路工程综合甲级试验检测机构资质，同时具有省级及以上国家质量技术监督部门颁发的计量认证CMA合格证书；</w:t>
      </w:r>
    </w:p>
    <w:p>
      <w:pPr>
        <w:spacing w:line="360" w:lineRule="auto"/>
        <w:ind w:left="420" w:leftChars="200" w:firstLine="0" w:firstLineChars="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）项目负责人：</w:t>
      </w:r>
      <w:r>
        <w:rPr>
          <w:rFonts w:hint="eastAsia" w:ascii="宋体" w:hAnsi="宋体" w:eastAsia="宋体" w:cs="宋体"/>
          <w:color w:val="auto"/>
          <w:kern w:val="0"/>
          <w:szCs w:val="21"/>
          <w:highlight w:val="none"/>
          <w:lang w:val="zh-CN"/>
        </w:rPr>
        <w:t>具有相关专业高级或以上技术职称；持有交通运输部颁发的试验检测工程师证书</w:t>
      </w:r>
      <w:r>
        <w:rPr>
          <w:rFonts w:hint="eastAsia" w:ascii="宋体" w:hAnsi="宋体" w:cs="宋体"/>
          <w:color w:val="auto"/>
          <w:kern w:val="0"/>
          <w:szCs w:val="21"/>
          <w:highlight w:val="none"/>
          <w:lang w:val="zh-CN"/>
        </w:rPr>
        <w:t>；</w:t>
      </w:r>
    </w:p>
    <w:p>
      <w:pPr>
        <w:spacing w:line="360" w:lineRule="auto"/>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）技术负责人：</w:t>
      </w:r>
      <w:r>
        <w:rPr>
          <w:rFonts w:hint="eastAsia" w:ascii="宋体" w:hAnsi="宋体" w:eastAsia="宋体" w:cs="宋体"/>
          <w:color w:val="auto"/>
          <w:kern w:val="0"/>
          <w:szCs w:val="21"/>
          <w:highlight w:val="none"/>
          <w:lang w:val="zh-CN" w:eastAsia="zh-CN"/>
        </w:rPr>
        <w:t>具有相关专业高级或以上技术职称；持有交通运输部颁发的试验检测工程师证书</w:t>
      </w:r>
      <w:r>
        <w:rPr>
          <w:rFonts w:hint="eastAsia" w:ascii="宋体" w:hAnsi="宋体" w:eastAsia="宋体" w:cs="宋体"/>
          <w:color w:val="auto"/>
          <w:szCs w:val="21"/>
          <w:highlight w:val="none"/>
          <w:lang w:eastAsia="zh-CN"/>
        </w:rPr>
        <w:t>；</w:t>
      </w:r>
    </w:p>
    <w:p>
      <w:pPr>
        <w:spacing w:line="360" w:lineRule="auto"/>
        <w:ind w:left="420" w:leftChars="20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提供交通运输部近5年公路水运试验检测机构信用评价结果和比对试验结果，并没有正受到被项目所在地交通运输或建设主管部门取消投标资格的行政处罚（2023修订）。</w:t>
      </w:r>
    </w:p>
    <w:p>
      <w:pPr>
        <w:spacing w:line="360" w:lineRule="auto"/>
        <w:ind w:left="420" w:leftChars="20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）投标供应商投标供应商未列入国家企业信用信息公示系统(http://www.gsxt.gov.cn/)中被列入严重违法失信企业名单、 不得为“信用中国(www.creditchina.gov.cn)”中列入失信被执行人和重大税收违法案件当事人名单的供应商，不得为“中国政府采购网(www.ccgp.gov.cn)” 政府采购严重违法失信行为记录名单中被财政部门禁止参加政府采购活动的供应商；</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trike w:val="0"/>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）本项目不接受联合体。</w:t>
      </w:r>
    </w:p>
    <w:p>
      <w:pPr>
        <w:autoSpaceDE w:val="0"/>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3.1.2 落实政府采购政策资格条件</w:t>
      </w:r>
      <w:r>
        <w:rPr>
          <w:rFonts w:hint="eastAsia" w:ascii="宋体" w:hAnsi="宋体" w:eastAsia="宋体" w:cs="宋体"/>
          <w:color w:val="auto"/>
          <w:szCs w:val="21"/>
          <w:highlight w:val="none"/>
        </w:rPr>
        <w:t>。</w:t>
      </w:r>
      <w:r>
        <w:rPr>
          <w:rFonts w:hint="eastAsia" w:ascii="宋体" w:hAnsi="宋体" w:eastAsia="宋体" w:cs="宋体"/>
          <w:szCs w:val="21"/>
          <w:highlight w:val="none"/>
          <w:lang w:val="en-US" w:eastAsia="zh-CN"/>
        </w:rPr>
        <w:t>本项目专门面向中小企业采购，供应商应为中小企业。（提供中小企业声明函）</w:t>
      </w:r>
    </w:p>
    <w:p>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3.1.3 特定资格条件。</w:t>
      </w:r>
      <w:r>
        <w:rPr>
          <w:rFonts w:hint="eastAsia" w:ascii="宋体" w:hAnsi="宋体" w:eastAsia="宋体" w:cs="宋体"/>
          <w:color w:val="auto"/>
          <w:kern w:val="0"/>
          <w:szCs w:val="21"/>
          <w:highlight w:val="none"/>
        </w:rPr>
        <w:t>供应商应满足《中华人民共和国政府采购法》第二十二条第二款规定，</w:t>
      </w:r>
      <w:r>
        <w:rPr>
          <w:rFonts w:hint="eastAsia" w:ascii="宋体" w:hAnsi="宋体" w:eastAsia="宋体" w:cs="宋体"/>
          <w:color w:val="auto"/>
          <w:kern w:val="0"/>
          <w:szCs w:val="21"/>
          <w:highlight w:val="none"/>
          <w:lang w:val="zh-CN"/>
        </w:rPr>
        <w:t>并根据《政府采购法实施条例》第十七条规定提供证明材料。</w:t>
      </w:r>
    </w:p>
    <w:p>
      <w:pPr>
        <w:autoSpaceDE w:val="0"/>
        <w:autoSpaceDN w:val="0"/>
        <w:spacing w:line="360" w:lineRule="auto"/>
        <w:ind w:firstLine="630" w:firstLineChars="3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3.1.3.1 供应商提供服务或产品属于特定行业有法定准入要求的，提供下列材料：</w:t>
      </w:r>
    </w:p>
    <w:p>
      <w:pPr>
        <w:autoSpaceDE w:val="0"/>
        <w:autoSpaceDN w:val="0"/>
        <w:spacing w:line="360" w:lineRule="auto"/>
        <w:ind w:firstLine="525" w:firstLine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u w:val="single"/>
          <w:lang w:val="zh-CN"/>
        </w:rPr>
        <w:t>具有有效的交通运输部颁发的公路工程综合甲级试验检测机构资质，</w:t>
      </w:r>
      <w:r>
        <w:rPr>
          <w:rFonts w:hint="eastAsia" w:ascii="宋体" w:hAnsi="宋体" w:cs="宋体"/>
          <w:color w:val="auto"/>
          <w:kern w:val="0"/>
          <w:szCs w:val="21"/>
          <w:highlight w:val="none"/>
          <w:u w:val="single"/>
          <w:lang w:val="zh-CN"/>
        </w:rPr>
        <w:t>同时具有省级及以上国家质量技术监督部门颁发的计量认证CMA合格证书</w:t>
      </w:r>
      <w:r>
        <w:rPr>
          <w:rFonts w:hint="eastAsia" w:ascii="宋体" w:hAnsi="宋体" w:eastAsia="宋体" w:cs="宋体"/>
          <w:color w:val="auto"/>
          <w:kern w:val="0"/>
          <w:szCs w:val="21"/>
          <w:highlight w:val="none"/>
          <w:lang w:val="zh-CN"/>
        </w:rPr>
        <w:t>；</w:t>
      </w:r>
    </w:p>
    <w:p>
      <w:pPr>
        <w:autoSpaceDE w:val="0"/>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3.1.4 限定资格条件。</w:t>
      </w:r>
      <w:r>
        <w:rPr>
          <w:rFonts w:hint="eastAsia" w:ascii="宋体" w:hAnsi="宋体" w:eastAsia="宋体" w:cs="宋体"/>
          <w:color w:val="auto"/>
          <w:kern w:val="0"/>
          <w:szCs w:val="21"/>
          <w:highlight w:val="none"/>
        </w:rPr>
        <w:t>根据政府采购的法律法规、规章和规范性文件的规定，供应商不得存在本章第1.3.2规定的情形。</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资格审查小组将通过“信用中国”网站（www.creditchina.gov.cn）和中国政府采购网站（www.ccgp.gov.cn）查询投标人信用记录，被列入失信被执行人、重大税收违法案件当事人名单、政府采购严重违法失信行为记录名单的供应商将被拒绝参与本项目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 供应商根据采购项目的具体情况，在响应文件正本中应附一套完整的资格证明材料，缺少一项或某项达不到磋商文件要求的按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处理，复印件加盖供应商单位公章；响应文件副本可采用正本的复印件并加盖供应商单位公章。</w:t>
      </w:r>
    </w:p>
    <w:p>
      <w:pPr>
        <w:tabs>
          <w:tab w:val="left" w:pos="720"/>
        </w:tabs>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b/>
          <w:color w:val="auto"/>
          <w:sz w:val="30"/>
          <w:szCs w:val="30"/>
          <w:highlight w:val="none"/>
        </w:rPr>
        <w:t>3.2</w:t>
      </w:r>
      <w:r>
        <w:rPr>
          <w:rFonts w:hint="eastAsia" w:ascii="宋体" w:hAnsi="宋体" w:eastAsia="宋体" w:cs="宋体"/>
          <w:b/>
          <w:bCs/>
          <w:color w:val="auto"/>
          <w:sz w:val="30"/>
          <w:szCs w:val="30"/>
          <w:highlight w:val="none"/>
        </w:rPr>
        <w:t>授权委托</w:t>
      </w:r>
    </w:p>
    <w:p>
      <w:pPr>
        <w:pStyle w:val="18"/>
        <w:adjustRightInd w:val="0"/>
        <w:snapToGri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3.2.1供应商代表为法定代表人（单位负责人）的，应持有法定代表人（单位负责人）身份证明。供应商代表不是法定代表人（单位负责人）的，应持有法定代表人（单位负责人）授权委托书。</w:t>
      </w:r>
    </w:p>
    <w:p>
      <w:pPr>
        <w:pStyle w:val="18"/>
        <w:adjustRightInd w:val="0"/>
        <w:snapToGrid w:val="0"/>
        <w:spacing w:line="360" w:lineRule="auto"/>
        <w:ind w:firstLine="525" w:firstLineChars="250"/>
        <w:rPr>
          <w:rFonts w:hint="eastAsia" w:ascii="宋体" w:hAnsi="宋体" w:eastAsia="宋体" w:cs="宋体"/>
          <w:color w:val="auto"/>
          <w:kern w:val="0"/>
          <w:highlight w:val="none"/>
        </w:rPr>
      </w:pPr>
      <w:r>
        <w:rPr>
          <w:rFonts w:hint="eastAsia" w:ascii="宋体" w:hAnsi="宋体" w:eastAsia="宋体" w:cs="宋体"/>
          <w:color w:val="auto"/>
          <w:highlight w:val="none"/>
        </w:rPr>
        <w:t>3.2</w:t>
      </w:r>
      <w:r>
        <w:rPr>
          <w:rFonts w:hint="eastAsia" w:ascii="宋体" w:hAnsi="宋体" w:eastAsia="宋体" w:cs="宋体"/>
          <w:color w:val="auto"/>
          <w:kern w:val="0"/>
          <w:highlight w:val="none"/>
        </w:rPr>
        <w:t>.2供应商应当委托本单位正式员工作为磋商代表，且磋商代表只能接受一个供应商的委托参加磋商。</w:t>
      </w:r>
    </w:p>
    <w:p>
      <w:pPr>
        <w:pStyle w:val="18"/>
        <w:adjustRightInd w:val="0"/>
        <w:snapToGrid w:val="0"/>
        <w:spacing w:before="120" w:beforeLines="50" w:after="120" w:afterLines="50" w:line="360" w:lineRule="auto"/>
        <w:ind w:left="-178" w:leftChars="-85" w:firstLine="220" w:firstLineChars="73"/>
        <w:rPr>
          <w:rFonts w:hint="eastAsia" w:ascii="宋体" w:hAnsi="宋体" w:eastAsia="宋体" w:cs="宋体"/>
          <w:color w:val="auto"/>
          <w:kern w:val="0"/>
          <w:sz w:val="30"/>
          <w:szCs w:val="30"/>
          <w:highlight w:val="none"/>
        </w:rPr>
      </w:pPr>
      <w:r>
        <w:rPr>
          <w:rFonts w:hint="eastAsia" w:ascii="宋体" w:hAnsi="宋体" w:eastAsia="宋体" w:cs="宋体"/>
          <w:b/>
          <w:color w:val="auto"/>
          <w:sz w:val="30"/>
          <w:szCs w:val="30"/>
          <w:highlight w:val="none"/>
        </w:rPr>
        <w:t>3.3联合体磋商（不适用）</w:t>
      </w:r>
    </w:p>
    <w:p>
      <w:pPr>
        <w:tabs>
          <w:tab w:val="left" w:pos="7665"/>
        </w:tabs>
        <w:spacing w:line="360" w:lineRule="auto"/>
        <w:ind w:left="13" w:leftChars="6"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3.3.1本项目允许联合体磋商的，适用本条款。</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两个以上供应商可以组成一个磋商联合体，以一个供应商的身份进行磋商。以联合体形式参加磋商的，联合体各方均应当符合《中华人民共和国政府采购法》第二十二条规定的资格条件：</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（1）联合体各方均应当符合本章第3.1.1条规定的供应商基本资格条件；</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（2）联合体各方中至少应当有一方符合本章第3.1.3（10）条款规定的供应商特定资格条件。</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联合体各方之间应当签订共同磋商响应协议，明确约定联合体各方承担的合同工作量比例和相应的责任，并将共同磋商响应协议连同响应文件一同提交采购代理机构。联合体各方签订共同磋商响应协议后，不得再以自己名义单独在同一项目中磋商，也不得组成新的联合体参加同一项目磋商。</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3.3.4联合体应当确定其中一个单位为磋商的全权代表，负责参加磋商的一切事务，并承担磋商及履约中应承担的全部责任与义务。</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3.3.5联合体中有同类资质的按照联合体分工承担相同工作的，应当按照资质等级较低的一方确定资质等级。</w:t>
      </w:r>
    </w:p>
    <w:p>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3.3.6联合体各方应当共同与采购人签订采购合同，就采购合同约定的事项对采购人承担连带责任。</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3.3.7磋商文件要求供应商提供同类或类似项目业绩的，联合体各方符合磋商文件要求的同类或类似业绩可以累计，但联合体一方或多方共同参与的同一业绩不重复计算。</w:t>
      </w:r>
    </w:p>
    <w:p>
      <w:pPr>
        <w:adjustRightInd w:val="0"/>
        <w:snapToGrid w:val="0"/>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3.4享受的政府采购政策</w:t>
      </w:r>
    </w:p>
    <w:p>
      <w:pPr>
        <w:pStyle w:val="18"/>
        <w:adjustRightInd w:val="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3.4.1 绿色发展政策</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3.4.1.1 若本项目包括提供货物（产品）的，则适用本条款。</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3.4.1.2 供应商所供产品，将依据《节能产品、环境标志产品品目清单》和认证证书实施政府优先采购和强制采购。</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3.4.1.3 供应商可以提供所供产品经国家确定的认证机构出具的、处于有效期之内的节能产品、环境标志产品认证证书复印件。采购代理机构通过中国政府采购网（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34"/>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）对获证产品信息进行核对。</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3.4.1.3供应商所供产品属于下列情形之一的，属于优先采购的不再享受优先采购政策，或者属于强制采购的按无效响应文件处理：</w:t>
      </w:r>
    </w:p>
    <w:p>
      <w:pPr>
        <w:pStyle w:val="18"/>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（1）不属于《节能产品、环境标志产品品目清单》中的产品；</w:t>
      </w:r>
    </w:p>
    <w:p>
      <w:pPr>
        <w:pStyle w:val="18"/>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（2）未提供认证证书复印件或经核对认证证书存在信息有误的。</w:t>
      </w:r>
    </w:p>
    <w:p>
      <w:pPr>
        <w:adjustRightInd w:val="0"/>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3.4.2 中小企业发展政策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2.1 供应商依据《中小企业划型标准规定》（工信部联企业[2011]300号）、</w:t>
      </w:r>
      <w:r>
        <w:rPr>
          <w:rFonts w:hint="eastAsia" w:ascii="宋体" w:hAnsi="宋体" w:eastAsia="宋体" w:cs="宋体"/>
          <w:color w:val="auto"/>
          <w:kern w:val="0"/>
          <w:szCs w:val="21"/>
          <w:highlight w:val="none"/>
        </w:rPr>
        <w:t>《金融业企业划型标准规定》（</w:t>
      </w:r>
      <w:r>
        <w:rPr>
          <w:rFonts w:hint="eastAsia" w:ascii="宋体" w:hAnsi="宋体" w:eastAsia="宋体" w:cs="宋体"/>
          <w:bCs/>
          <w:color w:val="auto"/>
          <w:kern w:val="0"/>
          <w:szCs w:val="21"/>
          <w:highlight w:val="none"/>
        </w:rPr>
        <w:t>银发〔2015〕309号</w:t>
      </w:r>
      <w:r>
        <w:rPr>
          <w:rFonts w:hint="eastAsia" w:ascii="宋体" w:hAnsi="宋体" w:eastAsia="宋体" w:cs="宋体"/>
          <w:b/>
          <w:bCs/>
          <w:color w:val="auto"/>
          <w:kern w:val="0"/>
          <w:szCs w:val="21"/>
          <w:highlight w:val="none"/>
        </w:rPr>
        <w:t>）</w:t>
      </w:r>
      <w:r>
        <w:rPr>
          <w:rFonts w:hint="eastAsia" w:ascii="宋体" w:hAnsi="宋体" w:eastAsia="宋体" w:cs="宋体"/>
          <w:bCs/>
          <w:color w:val="auto"/>
          <w:kern w:val="0"/>
          <w:szCs w:val="21"/>
          <w:highlight w:val="none"/>
        </w:rPr>
        <w:t>的</w:t>
      </w:r>
      <w:r>
        <w:rPr>
          <w:rFonts w:hint="eastAsia" w:ascii="宋体" w:hAnsi="宋体" w:eastAsia="宋体" w:cs="宋体"/>
          <w:color w:val="auto"/>
          <w:szCs w:val="21"/>
          <w:highlight w:val="none"/>
        </w:rPr>
        <w:t>划分标准，属于</w:t>
      </w:r>
      <w:r>
        <w:rPr>
          <w:rFonts w:hint="eastAsia" w:ascii="宋体" w:hAnsi="宋体" w:eastAsia="宋体" w:cs="宋体"/>
          <w:b/>
          <w:color w:val="auto"/>
          <w:szCs w:val="21"/>
          <w:highlight w:val="none"/>
        </w:rPr>
        <w:t>小微</w:t>
      </w:r>
      <w:r>
        <w:rPr>
          <w:rFonts w:hint="eastAsia" w:ascii="宋体" w:hAnsi="宋体" w:eastAsia="宋体" w:cs="宋体"/>
          <w:color w:val="auto"/>
          <w:szCs w:val="21"/>
          <w:highlight w:val="none"/>
        </w:rPr>
        <w:t>企业的，可享受中小型企业发展扶持政策。</w:t>
      </w:r>
    </w:p>
    <w:p>
      <w:pPr>
        <w:widowControl/>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若本项目包括采购货物的，供应商提供的货物既有中小企业制造货物，也有大型企业制造货物的，不享受本办法规定的中小企业扶持政策。</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3.4.2.2供应商作为</w:t>
      </w:r>
      <w:r>
        <w:rPr>
          <w:rFonts w:hint="eastAsia" w:ascii="宋体" w:hAnsi="宋体" w:eastAsia="宋体" w:cs="宋体"/>
          <w:b/>
          <w:color w:val="auto"/>
          <w:highlight w:val="none"/>
        </w:rPr>
        <w:t>小微</w:t>
      </w:r>
      <w:r>
        <w:rPr>
          <w:rFonts w:hint="eastAsia" w:ascii="宋体" w:hAnsi="宋体" w:eastAsia="宋体" w:cs="宋体"/>
          <w:color w:val="auto"/>
          <w:highlight w:val="none"/>
        </w:rPr>
        <w:t>企业参加政府采购活动时，应当提供《中小企业声明函》（见第七章响应文件格式），不提供的在评审时不享受价格扣除的优惠政策。</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3.4.2.3 依据《财政部、司法部关于政府采购支持监狱企业发展有关问题的通知》（财库〔2014〕68号）之规定，监狱企业参加政府采购活动，视同</w:t>
      </w:r>
      <w:r>
        <w:rPr>
          <w:rFonts w:hint="eastAsia" w:ascii="宋体" w:hAnsi="宋体" w:eastAsia="宋体" w:cs="宋体"/>
          <w:b/>
          <w:color w:val="auto"/>
          <w:highlight w:val="none"/>
        </w:rPr>
        <w:t>小微</w:t>
      </w:r>
      <w:r>
        <w:rPr>
          <w:rFonts w:hint="eastAsia" w:ascii="宋体" w:hAnsi="宋体" w:eastAsia="宋体" w:cs="宋体"/>
          <w:color w:val="auto"/>
          <w:highlight w:val="none"/>
        </w:rPr>
        <w:t>企业。</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供应商为监狱企业的，应当提供由省级以上监狱管理局、戒毒管理局出具的属于监狱企业的证明文件，未提供或</w:t>
      </w:r>
      <w:r>
        <w:rPr>
          <w:rFonts w:hint="eastAsia" w:ascii="宋体" w:hAnsi="宋体" w:eastAsia="宋体" w:cs="宋体"/>
          <w:color w:val="auto"/>
          <w:kern w:val="0"/>
          <w:highlight w:val="none"/>
        </w:rPr>
        <w:t>出具证明文件的单位不符合相关要求</w:t>
      </w:r>
      <w:r>
        <w:rPr>
          <w:rFonts w:hint="eastAsia" w:ascii="宋体" w:hAnsi="宋体" w:eastAsia="宋体" w:cs="宋体"/>
          <w:color w:val="auto"/>
          <w:highlight w:val="none"/>
        </w:rPr>
        <w:t>的，不视为小微企业，在评审时不享受价格扣除优惠政策。</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3.4.2.4依据</w:t>
      </w:r>
      <w:r>
        <w:rPr>
          <w:rFonts w:hint="eastAsia" w:ascii="宋体" w:hAnsi="宋体" w:eastAsia="宋体" w:cs="宋体"/>
          <w:color w:val="auto"/>
          <w:spacing w:val="6"/>
          <w:highlight w:val="none"/>
        </w:rPr>
        <w:t>《财政部、民政部、中国残疾人联合会关于促进残疾人就业政府采购政策的通知》（财库</w:t>
      </w:r>
      <w:r>
        <w:rPr>
          <w:rFonts w:hint="eastAsia" w:ascii="宋体" w:hAnsi="宋体" w:eastAsia="宋体" w:cs="宋体"/>
          <w:color w:val="auto"/>
          <w:highlight w:val="none"/>
        </w:rPr>
        <w:t>〔2017〕141</w:t>
      </w:r>
      <w:r>
        <w:rPr>
          <w:rFonts w:hint="eastAsia" w:ascii="宋体" w:hAnsi="宋体" w:eastAsia="宋体" w:cs="宋体"/>
          <w:color w:val="auto"/>
          <w:spacing w:val="6"/>
          <w:highlight w:val="none"/>
        </w:rPr>
        <w:t>号）之规定，</w:t>
      </w:r>
      <w:r>
        <w:rPr>
          <w:rFonts w:hint="eastAsia" w:ascii="宋体" w:hAnsi="宋体" w:eastAsia="宋体" w:cs="宋体"/>
          <w:color w:val="auto"/>
          <w:kern w:val="0"/>
          <w:highlight w:val="none"/>
        </w:rPr>
        <w:t>残疾人福利性单位</w:t>
      </w:r>
      <w:r>
        <w:rPr>
          <w:rFonts w:hint="eastAsia" w:ascii="宋体" w:hAnsi="宋体" w:eastAsia="宋体" w:cs="宋体"/>
          <w:color w:val="auto"/>
          <w:highlight w:val="none"/>
        </w:rPr>
        <w:t>参加政府采购活动，视同小微企业。</w:t>
      </w:r>
    </w:p>
    <w:p>
      <w:pPr>
        <w:pStyle w:val="18"/>
        <w:adjustRightInd w:val="0"/>
        <w:snapToGrid w:val="0"/>
        <w:spacing w:line="360" w:lineRule="auto"/>
        <w:ind w:firstLine="632" w:firstLineChars="300"/>
        <w:rPr>
          <w:rFonts w:hint="eastAsia" w:ascii="宋体" w:hAnsi="宋体" w:eastAsia="宋体" w:cs="宋体"/>
          <w:color w:val="auto"/>
          <w:highlight w:val="none"/>
        </w:rPr>
      </w:pPr>
      <w:r>
        <w:rPr>
          <w:rFonts w:hint="eastAsia" w:ascii="宋体" w:hAnsi="宋体" w:eastAsia="宋体" w:cs="宋体"/>
          <w:b/>
          <w:color w:val="auto"/>
          <w:highlight w:val="none"/>
        </w:rPr>
        <w:t>残疾人福利性单位属于小微企业的，不重复享受优惠政策。</w:t>
      </w:r>
    </w:p>
    <w:p>
      <w:pPr>
        <w:pStyle w:val="18"/>
        <w:adjustRightInd w:val="0"/>
        <w:snapToGrid w:val="0"/>
        <w:spacing w:line="360" w:lineRule="auto"/>
        <w:ind w:firstLine="630" w:firstLineChars="300"/>
        <w:rPr>
          <w:rFonts w:hint="eastAsia" w:ascii="宋体" w:hAnsi="宋体" w:eastAsia="宋体" w:cs="宋体"/>
          <w:color w:val="auto"/>
          <w:kern w:val="0"/>
          <w:highlight w:val="none"/>
        </w:rPr>
      </w:pPr>
      <w:r>
        <w:rPr>
          <w:rFonts w:hint="eastAsia" w:ascii="宋体" w:hAnsi="宋体" w:eastAsia="宋体" w:cs="宋体"/>
          <w:color w:val="auto"/>
          <w:highlight w:val="none"/>
        </w:rPr>
        <w:t>供应商为残疾人福利性单位的，应当提供《残疾人福利性单位声明函》（见第七章响应文件格式），未提供的不视为小微企业，在评审时不享受价格扣除优惠政策。</w:t>
      </w:r>
    </w:p>
    <w:p>
      <w:pPr>
        <w:tabs>
          <w:tab w:val="left" w:pos="0"/>
        </w:tabs>
        <w:adjustRightInd w:val="0"/>
        <w:snapToGrid w:val="0"/>
        <w:spacing w:line="360" w:lineRule="auto"/>
        <w:ind w:firstLine="714"/>
        <w:rPr>
          <w:rFonts w:hint="eastAsia" w:ascii="宋体" w:hAnsi="宋体" w:eastAsia="宋体" w:cs="宋体"/>
          <w:color w:val="auto"/>
          <w:highlight w:val="none"/>
        </w:rPr>
      </w:pPr>
      <w:r>
        <w:rPr>
          <w:rFonts w:hint="eastAsia" w:ascii="宋体" w:hAnsi="宋体" w:eastAsia="宋体" w:cs="宋体"/>
          <w:color w:val="auto"/>
          <w:highlight w:val="none"/>
        </w:rPr>
        <w:t>3.4.2.5 供应商以联合体形式参加政府采购活动，联合体各方均为</w:t>
      </w:r>
      <w:r>
        <w:rPr>
          <w:rFonts w:hint="eastAsia" w:ascii="宋体" w:hAnsi="宋体" w:eastAsia="宋体" w:cs="宋体"/>
          <w:b/>
          <w:color w:val="auto"/>
          <w:highlight w:val="none"/>
        </w:rPr>
        <w:t>小微</w:t>
      </w:r>
      <w:r>
        <w:rPr>
          <w:rFonts w:hint="eastAsia" w:ascii="宋体" w:hAnsi="宋体" w:eastAsia="宋体" w:cs="宋体"/>
          <w:color w:val="auto"/>
          <w:highlight w:val="none"/>
        </w:rPr>
        <w:t>企业的，联合体视同</w:t>
      </w:r>
      <w:r>
        <w:rPr>
          <w:rFonts w:hint="eastAsia" w:ascii="宋体" w:hAnsi="宋体" w:eastAsia="宋体" w:cs="宋体"/>
          <w:b/>
          <w:color w:val="auto"/>
          <w:highlight w:val="none"/>
        </w:rPr>
        <w:t>小微</w:t>
      </w:r>
      <w:r>
        <w:rPr>
          <w:rFonts w:hint="eastAsia" w:ascii="宋体" w:hAnsi="宋体" w:eastAsia="宋体" w:cs="宋体"/>
          <w:color w:val="auto"/>
          <w:highlight w:val="none"/>
        </w:rPr>
        <w:t>企业，联合体牵头方应当提供《中小企业声明函》，未提供的在评审时不享受价格扣除优惠政策。</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供应商以联合体形式参加政府采购活动，联合体协议约定</w:t>
      </w:r>
      <w:r>
        <w:rPr>
          <w:rFonts w:hint="eastAsia" w:ascii="宋体" w:hAnsi="宋体" w:eastAsia="宋体" w:cs="宋体"/>
          <w:b/>
          <w:color w:val="auto"/>
          <w:highlight w:val="none"/>
        </w:rPr>
        <w:t>小微</w:t>
      </w:r>
      <w:r>
        <w:rPr>
          <w:rFonts w:hint="eastAsia" w:ascii="宋体" w:hAnsi="宋体" w:eastAsia="宋体" w:cs="宋体"/>
          <w:color w:val="auto"/>
          <w:highlight w:val="none"/>
        </w:rPr>
        <w:t>企业合同份额占到合同总金额30%以上的，联合体牵头方应提供《中小企业声明函》，未提供的在评审时不享受价格扣除优惠政策。</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3.4.2.6 供应商以分包意向协议形式参加政府采购活动，大中型企业向</w:t>
      </w:r>
      <w:r>
        <w:rPr>
          <w:rFonts w:hint="eastAsia" w:ascii="宋体" w:hAnsi="宋体" w:eastAsia="宋体" w:cs="宋体"/>
          <w:b/>
          <w:color w:val="auto"/>
          <w:highlight w:val="none"/>
        </w:rPr>
        <w:t>小微</w:t>
      </w:r>
      <w:r>
        <w:rPr>
          <w:rFonts w:hint="eastAsia" w:ascii="宋体" w:hAnsi="宋体" w:eastAsia="宋体" w:cs="宋体"/>
          <w:color w:val="auto"/>
          <w:highlight w:val="none"/>
        </w:rPr>
        <w:t>企业分包</w:t>
      </w:r>
      <w:r>
        <w:rPr>
          <w:rFonts w:hint="eastAsia" w:ascii="宋体" w:hAnsi="宋体" w:eastAsia="宋体" w:cs="宋体"/>
          <w:color w:val="auto"/>
          <w:kern w:val="0"/>
          <w:highlight w:val="none"/>
          <w:lang w:val="zh-CN"/>
        </w:rPr>
        <w:t>的</w:t>
      </w:r>
      <w:r>
        <w:rPr>
          <w:rFonts w:hint="eastAsia" w:ascii="宋体" w:hAnsi="宋体" w:eastAsia="宋体" w:cs="宋体"/>
          <w:color w:val="auto"/>
          <w:highlight w:val="none"/>
        </w:rPr>
        <w:t>意向协议约定小微企业的合同份额占到合同总金额30%以上的，供应商应当提供《中小企业声明函》，未提供的在评审时不享受价格扣除优惠政策。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3.4.2.7 供应商提供的《中小企业声明函》或者《残疾人福利性单位声明函》存在明显错误的，磋商小组可以按照第四章第1.3条款的规定，要求供应商作出澄清；澄清后，符合小微企业条件的，供应商可以享受价格扣除优惠政策；否则，不享受价格扣除优惠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3.4.2.8 享受中小企业扶持政策的供应商，可以同时享受节能产品、环境标志产品优先采购政策。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3.4.2.9 政府采购监督检查、投诉处理及政府采购行政处罚中对中小企业的认定，由服务商注册登记所在地的县级以上人民政府中小企业主管部门负责。</w:t>
      </w:r>
    </w:p>
    <w:p>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3.4.5 支持本国产业政策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若本服务项目包括提供货物（产品）的，拒绝进口产品参加磋商响应。本条款适合未经财政部门批准采购进口产品的项目。</w:t>
      </w:r>
    </w:p>
    <w:p>
      <w:pPr>
        <w:adjustRightInd w:val="0"/>
        <w:snapToGrid w:val="0"/>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3.5转包与分包</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 本项目严禁采取转包方式履行合同。本项项目所称转包，是指成交供应商将政府采购合同业务转让给第三人，并退出现有政府采购合同当事人双方权利业务关系，受让人（即第三人）成为政府采购合同的另一方当事人的行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成交供应商转包的，视同拒绝履行政府采购合同业务，将依法追究法律责任。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3.5.2享受中小企业发展政策获得政府采购合同的小微企业，不得将合同分包给大中型企业；否则，将依法追究法律责任。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3.5.3供应商须知前附表规定允许大中型企业向小微企业分包的，成交供应商可以将采购项目分包给小微企业完成，并在响应文件中提供分包意向协议。</w:t>
      </w:r>
    </w:p>
    <w:p>
      <w:pPr>
        <w:spacing w:line="360" w:lineRule="auto"/>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接受分包的供应商不得再次分包。</w:t>
      </w:r>
      <w:r>
        <w:rPr>
          <w:rFonts w:hint="eastAsia" w:ascii="宋体" w:hAnsi="宋体" w:eastAsia="宋体" w:cs="宋体"/>
          <w:color w:val="auto"/>
          <w:szCs w:val="21"/>
          <w:highlight w:val="none"/>
        </w:rPr>
        <w:t>采购合同实行分包履行的，成交供应商就采购项目和分包项目向采购人负责，分包供应商就分包项目承担责任。</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3.6 供应商的风险</w:t>
      </w:r>
    </w:p>
    <w:p>
      <w:pPr>
        <w:tabs>
          <w:tab w:val="left" w:pos="7665"/>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供应商应认真阅读和充分理解磋商文件中所有的事项、格式条款和规范要求，任何对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文件的忽略或误解不能作为响应文件存在缺陷或瑕疵的理由；供应商</w:t>
      </w:r>
      <w:r>
        <w:rPr>
          <w:rFonts w:hint="eastAsia" w:ascii="宋体" w:hAnsi="宋体" w:eastAsia="宋体" w:cs="宋体"/>
          <w:color w:val="auto"/>
          <w:kern w:val="0"/>
          <w:szCs w:val="21"/>
          <w:highlight w:val="none"/>
        </w:rPr>
        <w:t>没有按照磋商文件要求提供全部资料，</w:t>
      </w:r>
      <w:r>
        <w:rPr>
          <w:rFonts w:hint="eastAsia" w:ascii="宋体" w:hAnsi="宋体" w:eastAsia="宋体" w:cs="宋体"/>
          <w:color w:val="auto"/>
          <w:szCs w:val="21"/>
          <w:highlight w:val="none"/>
        </w:rPr>
        <w:t>或对磋商文件未全面做出实质性响应是供应商的风险，</w:t>
      </w:r>
      <w:r>
        <w:rPr>
          <w:rFonts w:hint="eastAsia" w:ascii="宋体" w:hAnsi="宋体" w:eastAsia="宋体" w:cs="宋体"/>
          <w:color w:val="auto"/>
          <w:kern w:val="0"/>
          <w:szCs w:val="21"/>
          <w:highlight w:val="none"/>
        </w:rPr>
        <w:t>并可能导致其响应文件被拒绝。</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3.7供应商的纪律要求</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有下列情形之一的，属于不合格供应商，其磋商或成交资格将被取消：</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（1）提供虚假材料谋取成交资格；</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（2）提供假冒伪劣产品；</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（3）采取不正当手段诋毁、排挤其他供应商；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（4）与采购人、采购代理机构、其他供应商恶意串通；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（5）向采购人、采购代理机构、磋商小组成员行贿或者提供其他不正当利益；</w:t>
      </w:r>
    </w:p>
    <w:p>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（6）拒绝有关部门的监督检查或者向监督检查部门提供虚假情况；</w:t>
      </w:r>
    </w:p>
    <w:p>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（7）法律、行政法规规定的其他情形。</w:t>
      </w:r>
    </w:p>
    <w:p>
      <w:pPr>
        <w:tabs>
          <w:tab w:val="left" w:pos="7665"/>
        </w:tabs>
        <w:spacing w:before="120" w:beforeLines="50" w:after="120" w:afterLines="50" w:line="360" w:lineRule="auto"/>
        <w:rPr>
          <w:rFonts w:hint="eastAsia" w:ascii="宋体" w:hAnsi="宋体" w:eastAsia="宋体" w:cs="宋体"/>
          <w:color w:val="auto"/>
          <w:kern w:val="0"/>
          <w:sz w:val="36"/>
          <w:szCs w:val="36"/>
          <w:highlight w:val="none"/>
        </w:rPr>
      </w:pPr>
      <w:r>
        <w:rPr>
          <w:rFonts w:hint="eastAsia" w:ascii="宋体" w:hAnsi="宋体" w:eastAsia="宋体" w:cs="宋体"/>
          <w:bCs/>
          <w:color w:val="auto"/>
          <w:sz w:val="36"/>
          <w:szCs w:val="36"/>
          <w:highlight w:val="none"/>
        </w:rPr>
        <w:t>4. 响应文件</w:t>
      </w:r>
    </w:p>
    <w:p>
      <w:pPr>
        <w:snapToGrid w:val="0"/>
        <w:spacing w:line="360" w:lineRule="auto"/>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4.1 响应文件的编制要求</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bookmarkEnd w:id="91"/>
      <w:bookmarkEnd w:id="92"/>
      <w:bookmarkEnd w:id="93"/>
      <w:bookmarkStart w:id="94" w:name="_Toc183682354"/>
      <w:bookmarkStart w:id="95" w:name="_Toc217446048"/>
      <w:bookmarkStart w:id="96" w:name="_Toc183582217"/>
      <w:r>
        <w:rPr>
          <w:rFonts w:hint="eastAsia" w:ascii="宋体" w:hAnsi="宋体" w:eastAsia="宋体" w:cs="宋体"/>
          <w:color w:val="auto"/>
          <w:szCs w:val="21"/>
          <w:highlight w:val="none"/>
        </w:rPr>
        <w:t>供应商应当仔细阅读磋商文件的所有事项、格式、条件和要求，并按磋商文件要求编制响应文件。响应文件应当对磋商文件提出的要求和条件作出明确响应，在满足磋商文件实质性要求的基础上，可以提出比磋商文件要求更有利于采购人的承诺。若本项目分包的，应当以包为单位响应，不得在其中选项投标或将其中内容再行分解，否则</w:t>
      </w:r>
      <w:r>
        <w:rPr>
          <w:rFonts w:hint="eastAsia" w:ascii="宋体" w:hAnsi="宋体" w:eastAsia="宋体" w:cs="宋体"/>
          <w:b/>
          <w:color w:val="auto"/>
          <w:szCs w:val="21"/>
          <w:highlight w:val="none"/>
        </w:rPr>
        <w:t>响应文件无效</w:t>
      </w:r>
      <w:r>
        <w:rPr>
          <w:rFonts w:hint="eastAsia" w:ascii="宋体" w:hAnsi="宋体" w:eastAsia="宋体" w:cs="宋体"/>
          <w:color w:val="auto"/>
          <w:szCs w:val="21"/>
          <w:highlight w:val="none"/>
        </w:rPr>
        <w:t>。</w:t>
      </w:r>
    </w:p>
    <w:p>
      <w:pPr>
        <w:tabs>
          <w:tab w:val="left" w:pos="72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4.1.2 真实性原则</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4.1.2.1 供应商应保证所提供的响应文件和所有资料的真实性、准确性和完整性。</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 供应商被认定为在政府采购活动中提供不真实材料的，无论其材料是否重要，采购人均有权拒绝，并取消其磋商或成交资格，供应商需承担相应的法律后果。</w:t>
      </w:r>
    </w:p>
    <w:p>
      <w:pPr>
        <w:tabs>
          <w:tab w:val="left" w:pos="720"/>
        </w:tabs>
        <w:snapToGrid w:val="0"/>
        <w:spacing w:line="360" w:lineRule="auto"/>
        <w:ind w:firstLine="48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4.1.3 报价使用货币</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本项目的报价均以人民币报价。</w:t>
      </w:r>
    </w:p>
    <w:p>
      <w:pPr>
        <w:tabs>
          <w:tab w:val="left" w:pos="720"/>
        </w:tabs>
        <w:snapToGrid w:val="0"/>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4.1.4 响应文件形式</w:t>
      </w:r>
    </w:p>
    <w:p>
      <w:pPr>
        <w:pStyle w:val="18"/>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本项目响应文件应采用书面文件形式，电报、传真、电子邮件形式的响应文件不予接受。</w:t>
      </w:r>
    </w:p>
    <w:p>
      <w:pPr>
        <w:tabs>
          <w:tab w:val="left" w:pos="72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4.1.5 备选方案</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4.1.5.1 除供应商须知前附表规定允许外，供应商不得递交备选响应方案，响应文件的报价只允许有一个报价，不接受具有附加条件的报价，否则，视为无效响应文件。</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4.1.5.2 允许供应商递交备选响应方案的，只有成交供应商所递交的备选响应方案方可予以考虑。磋商小组认为成交供应商的备选响应方案优于其按照磋商文件要求编制的响应方案的，采购人可以接受该备选方案。</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4.1.5.3 供应商提供两个或两个以上磋商报价，或者在响应文件中提供一个磋商报价，但同时提供两个或两个以上供货方案的，视为提供备选方案。</w:t>
      </w:r>
    </w:p>
    <w:p>
      <w:pPr>
        <w:tabs>
          <w:tab w:val="left" w:pos="720"/>
        </w:tabs>
        <w:snapToGrid w:val="0"/>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4.2 响应文件的组成</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4.2.1响应文件由下列文件组成：</w:t>
      </w:r>
    </w:p>
    <w:p>
      <w:pPr>
        <w:tabs>
          <w:tab w:val="left" w:pos="2730"/>
        </w:tabs>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（1）资格证明文件；</w:t>
      </w:r>
      <w:r>
        <w:rPr>
          <w:rFonts w:hint="eastAsia" w:ascii="宋体" w:hAnsi="宋体" w:eastAsia="宋体" w:cs="宋体"/>
          <w:color w:val="auto"/>
          <w:szCs w:val="21"/>
          <w:highlight w:val="none"/>
        </w:rPr>
        <w:tab/>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（2）商务文件；</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（3）技术文件。</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4.2.2 </w:t>
      </w:r>
      <w:r>
        <w:rPr>
          <w:rFonts w:hint="eastAsia" w:ascii="宋体" w:hAnsi="宋体" w:eastAsia="宋体" w:cs="宋体"/>
          <w:b/>
          <w:color w:val="auto"/>
          <w:szCs w:val="21"/>
          <w:highlight w:val="none"/>
        </w:rPr>
        <w:t>资格证明文件</w:t>
      </w:r>
      <w:r>
        <w:rPr>
          <w:rFonts w:hint="eastAsia" w:ascii="宋体" w:hAnsi="宋体" w:eastAsia="宋体" w:cs="宋体"/>
          <w:color w:val="auto"/>
          <w:szCs w:val="21"/>
          <w:highlight w:val="none"/>
        </w:rPr>
        <w:t>包括本章第3.1.1、3.1.2、3.1.3条款内容。</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4.2.3 </w:t>
      </w:r>
      <w:r>
        <w:rPr>
          <w:rFonts w:hint="eastAsia" w:ascii="宋体" w:hAnsi="宋体" w:eastAsia="宋体" w:cs="宋体"/>
          <w:b/>
          <w:color w:val="auto"/>
          <w:szCs w:val="21"/>
          <w:highlight w:val="none"/>
        </w:rPr>
        <w:t>商务文件</w:t>
      </w:r>
      <w:r>
        <w:rPr>
          <w:rFonts w:hint="eastAsia" w:ascii="宋体" w:hAnsi="宋体" w:eastAsia="宋体" w:cs="宋体"/>
          <w:color w:val="auto"/>
          <w:szCs w:val="21"/>
          <w:highlight w:val="none"/>
        </w:rPr>
        <w:t>主要包括下列内容：</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（1）磋商响应函；</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（2）磋商报价；</w:t>
      </w:r>
    </w:p>
    <w:p>
      <w:pPr>
        <w:spacing w:line="360" w:lineRule="auto"/>
        <w:ind w:left="523" w:leftChars="236" w:hanging="27" w:hangingChars="13"/>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（3）证明所提供货物（产品）的合格性（若有）；</w:t>
      </w:r>
    </w:p>
    <w:p>
      <w:pPr>
        <w:spacing w:line="360" w:lineRule="auto"/>
        <w:ind w:left="523" w:leftChars="236" w:hanging="27" w:hangingChars="13"/>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（5）合同条款偏离表；</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（6）承诺及售后服务；</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（7）其他证明材料。</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4.2.4 </w:t>
      </w:r>
      <w:r>
        <w:rPr>
          <w:rFonts w:hint="eastAsia" w:ascii="宋体" w:hAnsi="宋体" w:eastAsia="宋体" w:cs="宋体"/>
          <w:b/>
          <w:color w:val="auto"/>
          <w:szCs w:val="21"/>
          <w:highlight w:val="none"/>
        </w:rPr>
        <w:t>技术文件</w:t>
      </w:r>
      <w:r>
        <w:rPr>
          <w:rFonts w:hint="eastAsia" w:ascii="宋体" w:hAnsi="宋体" w:eastAsia="宋体" w:cs="宋体"/>
          <w:color w:val="auto"/>
          <w:szCs w:val="21"/>
          <w:highlight w:val="none"/>
        </w:rPr>
        <w:t>主要包括下列内容：</w:t>
      </w:r>
    </w:p>
    <w:bookmarkEnd w:id="94"/>
    <w:bookmarkEnd w:id="95"/>
    <w:bookmarkEnd w:id="96"/>
    <w:p>
      <w:pPr>
        <w:spacing w:line="360" w:lineRule="auto"/>
        <w:ind w:left="504" w:leftChars="24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4.2.4.1 服务部分：</w:t>
      </w:r>
    </w:p>
    <w:p>
      <w:pPr>
        <w:spacing w:line="360" w:lineRule="auto"/>
        <w:ind w:left="475" w:leftChars="226" w:firstLine="298" w:firstLine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（1）服务方案；</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（2）服务技术支持资料；</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（3）服务工作环境条件；</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）项目验收标准和验收方法。</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4.2.4.2 货物部分（若本项目包括提供货物（产品）的 ）：</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（1）所供货物（产品）的品牌、型号、配置、本身的详细的技术指标和参数；</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（2）所供货物（产品）的检测报告、产品使用说明书和用户手册等材料；</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（3）所供货物（产品）工作环境条件；</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（4）所供货物（产品）验收清单、验收标准和验收方法（清单应注明各部件的品名、数量、价格、规格型号和生产企业）；</w:t>
      </w:r>
    </w:p>
    <w:p>
      <w:pPr>
        <w:spacing w:line="360" w:lineRule="auto"/>
        <w:ind w:left="1" w:firstLine="623" w:firstLineChars="297"/>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（5）所供货物（产品）属于强制认证的，应提供强制认证复印件（比如：3C认证）。</w:t>
      </w:r>
    </w:p>
    <w:p>
      <w:pPr>
        <w:spacing w:line="360" w:lineRule="auto"/>
        <w:ind w:left="1"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4.2.4.3 供应商认为需要提供的其他文件和资料。</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4.3磋商报价</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4.3.1 </w:t>
      </w:r>
      <w:r>
        <w:rPr>
          <w:rFonts w:hint="eastAsia" w:ascii="宋体" w:hAnsi="宋体" w:eastAsia="宋体" w:cs="宋体"/>
          <w:bCs/>
          <w:color w:val="auto"/>
          <w:szCs w:val="21"/>
          <w:highlight w:val="none"/>
        </w:rPr>
        <w:t>供应商应当</w:t>
      </w:r>
      <w:r>
        <w:rPr>
          <w:rFonts w:hint="eastAsia" w:ascii="宋体" w:hAnsi="宋体" w:eastAsia="宋体" w:cs="宋体"/>
          <w:color w:val="auto"/>
          <w:szCs w:val="21"/>
          <w:highlight w:val="none"/>
        </w:rPr>
        <w:t>按照磋商文件要求进行磋商报价，并充分了解本采购项目的总体情况以及影响磋商报价的其他要素。</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供应商的磋商报价是供应商响应磋商项目要求的全部工作内容的价格体现，包括供应商完成本项目所需的直接费、间接费、利润、税金及其它相关的一切费用。包括但不限于：人工费、设备费、管理费、验收费、采购代理服务费、利润和税金等全部费用。在提供服务的过程中的任何遗漏，均由成交供应商免费提供，采购人将不再支付任何费用。</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4.3.3 </w:t>
      </w:r>
      <w:r>
        <w:rPr>
          <w:rFonts w:hint="eastAsia" w:ascii="宋体" w:hAnsi="宋体" w:eastAsia="宋体" w:cs="宋体"/>
          <w:b/>
          <w:color w:val="auto"/>
          <w:szCs w:val="21"/>
          <w:highlight w:val="none"/>
        </w:rPr>
        <w:t>本项目将根据磋商的具体情况来确定磋商轮次，最终一轮磋商报价为最后报价</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4.3.4供应商的各轮次磋商报价不得超过供应商须知前附表规定的预算金额，否则，作为不实质性响应磋商文件，按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处理；供应商须知前附表设定了最高限价的，供应商的各轮次磋商报价也不得超过最高限价，否则，作为不实质性响应磋商文件，按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4.3.5 供应商</w:t>
      </w:r>
      <w:r>
        <w:rPr>
          <w:rFonts w:hint="eastAsia" w:ascii="宋体" w:hAnsi="宋体" w:eastAsia="宋体" w:cs="宋体"/>
          <w:color w:val="auto"/>
          <w:kern w:val="0"/>
          <w:szCs w:val="21"/>
          <w:highlight w:val="none"/>
        </w:rPr>
        <w:t>应按</w:t>
      </w:r>
      <w:r>
        <w:rPr>
          <w:rFonts w:hint="eastAsia" w:ascii="宋体" w:hAnsi="宋体" w:eastAsia="宋体" w:cs="宋体"/>
          <w:color w:val="auto"/>
          <w:szCs w:val="21"/>
          <w:highlight w:val="none"/>
        </w:rPr>
        <w:t>“磋商报价一览表”及“分项报价明细表”</w:t>
      </w:r>
      <w:r>
        <w:rPr>
          <w:rFonts w:hint="eastAsia" w:ascii="宋体" w:hAnsi="宋体" w:eastAsia="宋体" w:cs="宋体"/>
          <w:color w:val="auto"/>
          <w:kern w:val="0"/>
          <w:szCs w:val="21"/>
          <w:highlight w:val="none"/>
        </w:rPr>
        <w:t>的内容</w:t>
      </w:r>
      <w:r>
        <w:rPr>
          <w:rFonts w:hint="eastAsia" w:ascii="宋体" w:hAnsi="宋体" w:eastAsia="宋体" w:cs="宋体"/>
          <w:color w:val="auto"/>
          <w:szCs w:val="21"/>
          <w:highlight w:val="none"/>
        </w:rPr>
        <w:t>和格式要求填写各项服务的分项价格和总价。磋商报价为各分项报价金额之和。磋商报价与分项报价的合价不一致的，应以各分项合价累计数为准，修正磋商报价；如分项报价中存在遗漏项，视为缺项价格已包含在其他分项报价之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4.3.6 </w:t>
      </w:r>
      <w:r>
        <w:rPr>
          <w:rFonts w:hint="eastAsia" w:ascii="宋体" w:hAnsi="宋体" w:eastAsia="宋体" w:cs="宋体"/>
          <w:b/>
          <w:color w:val="auto"/>
          <w:kern w:val="0"/>
          <w:szCs w:val="21"/>
          <w:highlight w:val="none"/>
        </w:rPr>
        <w:t>供应商除首次磋商报价外，其余轮次报价只报总价，不报分项价格，</w:t>
      </w:r>
      <w:r>
        <w:rPr>
          <w:rFonts w:hint="eastAsia" w:ascii="宋体" w:hAnsi="宋体" w:eastAsia="宋体" w:cs="宋体"/>
          <w:color w:val="auto"/>
          <w:kern w:val="0"/>
          <w:szCs w:val="21"/>
          <w:highlight w:val="none"/>
        </w:rPr>
        <w:t>由供应商法定代表人签名或者委托代理人签名或者加盖单位章确认。由委托代理人签名的，应附法人代表授权委托书；供应商为自然人的，应当由本人签名。</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4.3.7 成交后供应商不得擅自改变服务内容、服务标准、服务期限和追加项目预算。磋商报价在合同履行过程中是固定不变的，任何有选择或可调整的报价将不予接受，并按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4.3.8采购人不接受供应商给予的赠品、回扣或者与采购无关的其他商品、服务。如有赠与行为，</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w:t>
      </w:r>
    </w:p>
    <w:p>
      <w:pPr>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4.4磋商有效期</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4.4.1磋商有效期见供应商须知前附表。</w:t>
      </w:r>
      <w:r>
        <w:rPr>
          <w:rFonts w:hint="eastAsia" w:ascii="宋体" w:hAnsi="宋体" w:eastAsia="宋体" w:cs="宋体"/>
          <w:color w:val="auto"/>
          <w:highlight w:val="none"/>
        </w:rPr>
        <w:t>在此期间响应文件对供应商具有法律约束力，从供应商须知前附表规定的</w:t>
      </w:r>
      <w:r>
        <w:rPr>
          <w:rFonts w:hint="eastAsia" w:ascii="宋体" w:hAnsi="宋体" w:eastAsia="宋体" w:cs="宋体"/>
          <w:color w:val="auto"/>
          <w:kern w:val="0"/>
          <w:highlight w:val="none"/>
        </w:rPr>
        <w:t>递交首次响应文件截止时间</w:t>
      </w:r>
      <w:r>
        <w:rPr>
          <w:rFonts w:hint="eastAsia" w:ascii="宋体" w:hAnsi="宋体" w:eastAsia="宋体" w:cs="宋体"/>
          <w:color w:val="auto"/>
          <w:highlight w:val="none"/>
        </w:rPr>
        <w:t>之日起计算。</w:t>
      </w:r>
      <w:r>
        <w:rPr>
          <w:rFonts w:hint="eastAsia" w:ascii="宋体" w:hAnsi="宋体" w:eastAsia="宋体" w:cs="宋体"/>
          <w:color w:val="auto"/>
          <w:szCs w:val="21"/>
          <w:highlight w:val="none"/>
        </w:rPr>
        <w:t>响应文件中必须载明磋商有效期，载明的磋商有效期可以长于磋商文件规定的期限，但不得短于磋商文件规定的期限，否则，属于非实质性响应，将按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w:t>
      </w:r>
      <w:r>
        <w:rPr>
          <w:rFonts w:hint="eastAsia" w:ascii="宋体" w:hAnsi="宋体" w:eastAsia="宋体" w:cs="宋体"/>
          <w:b/>
          <w:color w:val="auto"/>
          <w:szCs w:val="21"/>
          <w:highlight w:val="none"/>
        </w:rPr>
        <w:t>其响应文件失效</w:t>
      </w:r>
      <w:r>
        <w:rPr>
          <w:rFonts w:hint="eastAsia" w:ascii="宋体" w:hAnsi="宋体" w:eastAsia="宋体" w:cs="宋体"/>
          <w:color w:val="auto"/>
          <w:szCs w:val="21"/>
          <w:highlight w:val="none"/>
        </w:rPr>
        <w:t>，但供应商有权收回其磋商保证金。</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 在磋商有效期内，供应商撤销响应文件的，应承担磋商文件和法律规定的责任。</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4.4.4 成交供应商的磋商有效期自动延长至合同终止为止。</w:t>
      </w:r>
    </w:p>
    <w:p>
      <w:pPr>
        <w:pStyle w:val="6"/>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4.5磋商保证金</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 供应商须知前附表要求供应商提交磋商保证金的，适用本条款；供应商须知前附表未要求供应商提交磋商保证金的，供应商无需提交，也不必遵守本条款。</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4.5.2磋商保证金的提交</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4.5.2.1 开启响应文件现场不办理磋商保证金事宜。</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4.5.2.2 供应商应按供应商须知前附表规定的金额、形式和时间提交，作为其响应文件的一部分。联合体磋商的，应当以联合体各方或者联合体中牵头人的名义提交磋商保证金。以联合体牵头单位提交磋商保证金的，对联合体各方均具有约束力。</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4.5.2.3 磋商保证金可以银行转账或者金融机构、担保机构出具的保函等非现金形式提交：</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（1）以银行转账提交保证金的，可以采取支票、电汇、网银、汇票、本票等方式，应从其基本账户转出，并在响应文件中附上基本账户开户证明。</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（2）以信用担保函形式提交保证金的，应按磋商文件规定的格式提交，且是行政有关部门认定的具有开具磋商保函资格的单位开具的保函。供应商违约，开具保函单位承担连带责任。</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（3）以汇票形式提交保证金的，应提前将汇票送至财务部门，汇票签发到期日至少为送至财务部门的当日，以便财务部门到银行办理兑现手续。</w:t>
      </w:r>
    </w:p>
    <w:p>
      <w:pPr>
        <w:spacing w:line="360" w:lineRule="auto"/>
        <w:ind w:firstLine="624" w:firstLineChars="2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4.5.3 磋商保证金的退还</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4.5.3.1未成交供应商的磋商保证金，将在成交通知书发出之日起5个工作日内全额退还；成交供应商的磋商保证金，在采购人与成交供应商签订合同之日起5个工作日内全额退还；终止采购项目的磋商保证金，自终止采购活动后5个工作日内全额退还。</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4.5.3.2有下列情形之一的，磋商保证金将不予退还：</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（1）供应商在磋商有效期内撤销响应文件的；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（2）在采购人确定成交供应商以前放弃成交候选资格的；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（3）成交后放弃成交、不领取或者不接收成交通知书的；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（4）除因不可抗力或磋商文件认可的情形以外，成交供应商不与采购人订立合同的；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（5）成交供应商在签订合同时向采购人提出附加条件的；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（6）成交供应商未向采购代理机构支付采购代理服务费的；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（7）成交供应商未按磋商文件规定向采购人提交履约保证金的；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（8）磋商有效期内，供应商在政府采购活动中有违规、违纪和违法行为的；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（9）法律法规和磋商文件规定的其他情形。</w:t>
      </w:r>
    </w:p>
    <w:p>
      <w:pPr>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rPr>
        <w:t>4.6 商务文件</w:t>
      </w:r>
    </w:p>
    <w:p>
      <w:pPr>
        <w:spacing w:line="360" w:lineRule="auto"/>
        <w:ind w:firstLine="465"/>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4.6.1供应商应当</w:t>
      </w:r>
      <w:r>
        <w:rPr>
          <w:rFonts w:hint="eastAsia" w:ascii="宋体" w:hAnsi="宋体" w:eastAsia="宋体" w:cs="宋体"/>
          <w:color w:val="auto"/>
          <w:szCs w:val="21"/>
          <w:highlight w:val="none"/>
        </w:rPr>
        <w:t>按照磋商文件商务要求做出明确响应。</w:t>
      </w:r>
    </w:p>
    <w:p>
      <w:pPr>
        <w:spacing w:line="360" w:lineRule="auto"/>
        <w:ind w:firstLine="465"/>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4.6.2</w:t>
      </w:r>
      <w:r>
        <w:rPr>
          <w:rFonts w:hint="eastAsia" w:ascii="宋体" w:hAnsi="宋体" w:eastAsia="宋体" w:cs="宋体"/>
          <w:bCs/>
          <w:color w:val="auto"/>
          <w:szCs w:val="21"/>
          <w:highlight w:val="none"/>
        </w:rPr>
        <w:t>供应商应按照磋商文件中售后服务要求作出积极响应。包括以下内容：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（1）供应商设立的售后服务机构网点清单、服务电话和维修人员名单（加盖单位章）；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（2）说明售后服务的响应机制、响应时间；如涉及提供货物（产品）的，还需说明产品的保修时间、保修期内的保修内容与范围、维修响应时间等并分别提供产品制造商和供应商的服务承诺和保障措施；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（3）培训措施：说明培训内容及培训的时间、地点、目标、培训人数、收费标准和办法。</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4.6.3供应商应对以下（不限于）要求作出承诺：</w:t>
      </w:r>
    </w:p>
    <w:p>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承诺给予采购人的各种优惠条件；</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（2）服务质量和</w:t>
      </w:r>
      <w:r>
        <w:rPr>
          <w:rFonts w:hint="eastAsia" w:ascii="宋体" w:hAnsi="宋体" w:eastAsia="宋体" w:cs="宋体"/>
          <w:color w:val="auto"/>
          <w:szCs w:val="21"/>
          <w:highlight w:val="none"/>
        </w:rPr>
        <w:t>利于用户的售后服务承诺；</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（3）严格按照磋商文件对本项目的要求，精心组织、合理安排提供各项服务和产品（如有）；</w:t>
      </w:r>
    </w:p>
    <w:p>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（4）未经采购人许可，不得将本采购项目采取转包实施的办法，一经发现，立即取消其成交资格，并承担由此产生的一切经济损失和法律后果；</w:t>
      </w:r>
    </w:p>
    <w:p>
      <w:pPr>
        <w:pStyle w:val="6"/>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（5）接受采购人或采购人委托相关单位对项目实施方案、服务进度、服务质量、售后服务、费用支付与结算审核等方面监督和管理；</w:t>
      </w:r>
    </w:p>
    <w:p>
      <w:pPr>
        <w:pStyle w:val="6"/>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（6）其它承诺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4.6.4 其他证明材料不是必备证明材料，仅作为评审因素；供应商未提供的，评审时不予考虑；包括供应商享受政府采购优惠政策的证明材料、近</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年类似业绩证明材料、ISO质量管理体系认证等。</w:t>
      </w:r>
    </w:p>
    <w:p>
      <w:pPr>
        <w:pStyle w:val="6"/>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4.7 技术文件</w:t>
      </w:r>
    </w:p>
    <w:p>
      <w:pPr>
        <w:pStyle w:val="6"/>
        <w:spacing w:line="360" w:lineRule="auto"/>
        <w:ind w:firstLine="465"/>
        <w:rPr>
          <w:rFonts w:hint="eastAsia" w:ascii="宋体" w:hAnsi="宋体" w:eastAsia="宋体" w:cs="宋体"/>
          <w:color w:val="auto"/>
          <w:szCs w:val="21"/>
          <w:highlight w:val="none"/>
        </w:rPr>
      </w:pPr>
      <w:r>
        <w:rPr>
          <w:rFonts w:hint="eastAsia" w:ascii="宋体" w:hAnsi="宋体" w:eastAsia="宋体" w:cs="宋体"/>
          <w:color w:val="auto"/>
          <w:szCs w:val="21"/>
          <w:highlight w:val="none"/>
        </w:rPr>
        <w:t>4.7.1供应商</w:t>
      </w:r>
      <w:r>
        <w:rPr>
          <w:rFonts w:hint="eastAsia" w:ascii="宋体" w:hAnsi="宋体" w:eastAsia="宋体" w:cs="宋体"/>
          <w:bCs/>
          <w:color w:val="auto"/>
          <w:szCs w:val="21"/>
          <w:highlight w:val="none"/>
        </w:rPr>
        <w:t>应当</w:t>
      </w:r>
      <w:r>
        <w:rPr>
          <w:rFonts w:hint="eastAsia" w:ascii="宋体" w:hAnsi="宋体" w:eastAsia="宋体" w:cs="宋体"/>
          <w:color w:val="auto"/>
          <w:szCs w:val="21"/>
          <w:highlight w:val="none"/>
        </w:rPr>
        <w:t xml:space="preserve">按照磋商文件技术要求做出明确响应。 </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4.7.2 证明服务和货物（产品）符合磋商文件要求的相关文件，可以是文字资料、图纸、数据、宣传彩页、检测报告等，所有证明文件，表达意思必须统一。</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供应商须知前附表规定供应商需提供样品的，证明文件的表述与供应商所提供样品必须完全符合，且是磋商文件的组成部分，否则，</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w:t>
      </w:r>
    </w:p>
    <w:p>
      <w:pPr>
        <w:pStyle w:val="6"/>
        <w:spacing w:line="360" w:lineRule="auto"/>
        <w:ind w:firstLine="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4.8 响应文件的制作和签署</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4.8.1 响应文件应当按照第七章“响应文件格式”进行编写，如有必要，可以增加附页，作为响应文件的组成部分。除明确允许供应商可以自行编写外，供应商不得以“响应文件格式”规定之外的方式编写相关内容；否则，</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。对于没有格式要求的由供应商自行编写。</w:t>
      </w:r>
    </w:p>
    <w:p>
      <w:pPr>
        <w:tabs>
          <w:tab w:val="left" w:pos="7665"/>
        </w:tabs>
        <w:spacing w:line="360" w:lineRule="auto"/>
        <w:ind w:left="13" w:leftChars="6"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4.8.2 响应文件应填写供应商的全称，并与供应商的证件、证书保持一致，按照本章第4.8.4条款规定</w:t>
      </w:r>
      <w:r>
        <w:rPr>
          <w:rFonts w:hint="eastAsia" w:ascii="宋体" w:hAnsi="宋体" w:eastAsia="宋体" w:cs="宋体"/>
          <w:b/>
          <w:color w:val="auto"/>
          <w:szCs w:val="21"/>
          <w:highlight w:val="none"/>
        </w:rPr>
        <w:t>签名盖章。</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4.8.3 供应商应当按照“供应商须知前附表”规定的份数准备响应文件正本、副本和相应的电子文件。正本和副本封面右上角应清楚地标明“正本”或“副本”字样。当副本和正本有不一致的内容，以正本书面响应文件为准。</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4.8.4 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4.8.5响应文件的打印或书写应清楚工整，尽量避免行间插字、涂改或增删。如出现上述情况，改动之处应由供应商的法定代表人或其委托代理人签名或盖单位章。字迹潦草、表达不清或可能导致非唯一理解的响应文件可能视为</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4.8.6 响应文件的正本和副本</w:t>
      </w:r>
      <w:r>
        <w:rPr>
          <w:rFonts w:hint="eastAsia" w:ascii="宋体" w:hAnsi="宋体" w:eastAsia="宋体" w:cs="宋体"/>
          <w:color w:val="auto"/>
          <w:szCs w:val="21"/>
          <w:highlight w:val="none"/>
          <w:lang w:val="zh-CN"/>
        </w:rPr>
        <w:t>一律采用A4纸幅面，并</w:t>
      </w:r>
      <w:r>
        <w:rPr>
          <w:rFonts w:hint="eastAsia" w:ascii="宋体" w:hAnsi="宋体" w:eastAsia="宋体" w:cs="宋体"/>
          <w:color w:val="auto"/>
          <w:szCs w:val="21"/>
          <w:highlight w:val="none"/>
        </w:rPr>
        <w:t>分别装订和编制目录，响应文件需分册装订的，具体分册装订要求见供应商</w:t>
      </w:r>
      <w:r>
        <w:rPr>
          <w:rFonts w:hint="eastAsia" w:ascii="宋体" w:hAnsi="宋体" w:eastAsia="宋体" w:cs="宋体"/>
          <w:color w:val="auto"/>
          <w:szCs w:val="21"/>
          <w:highlight w:val="none"/>
          <w:lang w:val="zh-CN"/>
        </w:rPr>
        <w:t>须知前附表的规定。响应文件</w:t>
      </w:r>
      <w:r>
        <w:rPr>
          <w:rFonts w:hint="eastAsia" w:ascii="宋体" w:hAnsi="宋体" w:eastAsia="宋体" w:cs="宋体"/>
          <w:color w:val="auto"/>
          <w:szCs w:val="21"/>
          <w:highlight w:val="none"/>
        </w:rPr>
        <w:t>胶装后，页面不可抽取，不得有活动页，无破损、不可拆分。</w:t>
      </w:r>
    </w:p>
    <w:p>
      <w:pPr>
        <w:tabs>
          <w:tab w:val="left" w:pos="1080"/>
        </w:tabs>
        <w:spacing w:before="120" w:beforeLines="50" w:after="120" w:afterLines="50" w:line="360" w:lineRule="auto"/>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5. 响应文件的提交</w:t>
      </w:r>
    </w:p>
    <w:p>
      <w:pPr>
        <w:tabs>
          <w:tab w:val="left" w:pos="1080"/>
        </w:tabs>
        <w:spacing w:after="120" w:afterLines="50" w:line="36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5.1 响应文件的密封和标记</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5.1.1 </w:t>
      </w:r>
      <w:r>
        <w:rPr>
          <w:rFonts w:hint="eastAsia" w:ascii="宋体" w:hAnsi="宋体" w:eastAsia="宋体" w:cs="宋体"/>
          <w:color w:val="auto"/>
          <w:kern w:val="0"/>
          <w:szCs w:val="21"/>
          <w:highlight w:val="none"/>
        </w:rPr>
        <w:t>开启响应文件前，供应商应将响应文件所有正本、副本、电子文件全部</w:t>
      </w:r>
      <w:r>
        <w:rPr>
          <w:rFonts w:hint="eastAsia" w:ascii="宋体" w:hAnsi="宋体" w:eastAsia="宋体" w:cs="宋体"/>
          <w:color w:val="auto"/>
          <w:kern w:val="0"/>
          <w:szCs w:val="21"/>
          <w:highlight w:val="none"/>
          <w:lang w:val="en-US" w:eastAsia="zh-CN"/>
        </w:rPr>
        <w:t>分开</w:t>
      </w:r>
      <w:r>
        <w:rPr>
          <w:rFonts w:hint="eastAsia" w:ascii="宋体" w:hAnsi="宋体" w:eastAsia="宋体" w:cs="宋体"/>
          <w:color w:val="auto"/>
          <w:kern w:val="0"/>
          <w:szCs w:val="21"/>
          <w:highlight w:val="none"/>
        </w:rPr>
        <w:t>密封。</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5.1.2 </w:t>
      </w:r>
      <w:r>
        <w:rPr>
          <w:rFonts w:hint="eastAsia" w:ascii="宋体" w:hAnsi="宋体" w:eastAsia="宋体" w:cs="宋体"/>
          <w:color w:val="auto"/>
          <w:szCs w:val="21"/>
          <w:highlight w:val="none"/>
        </w:rPr>
        <w:t>响应文件装订、密封、装袋要求见供应商须知前附表，并在封套的封口处（缝隙处）加贴封条和加盖供应商单位章。</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 响应文件封套上应写明的内容，见供应商须知前附表。</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5.1.4 未按要求密封的响应文件，采购代理机构将予以拒收。</w:t>
      </w:r>
    </w:p>
    <w:p>
      <w:pPr>
        <w:tabs>
          <w:tab w:val="left" w:pos="1080"/>
        </w:tabs>
        <w:spacing w:before="120" w:beforeLines="50" w:after="120" w:afterLines="50" w:line="36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5.2 响应文件的提交</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供应商应在供应商须知前附表规定的提交首次响应文件截止时间前提交响应文件。</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供应商提交首次响应文件地点：见供应商须知前附表。</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 除供应商须知前附表另有规定外，供应商提交的响应文件不予退还。</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5.2.4采购代理机构收到响应文件后，应当如实记载响应文件的送达时间、份数、密封情况和提交人等信息。</w:t>
      </w:r>
    </w:p>
    <w:p>
      <w:pPr>
        <w:tabs>
          <w:tab w:val="left" w:pos="851"/>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5.2.5 逾期送达的响应文件，采购代理机构将予以拒收。</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5.2.6 本次磋商不接受邮寄的响应文件。</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5.2.7 供应商须知前附表规定提供样品的，供应商应当同响应文件一起提交。</w:t>
      </w:r>
    </w:p>
    <w:p>
      <w:pPr>
        <w:pStyle w:val="6"/>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 xml:space="preserve">5.3 </w:t>
      </w:r>
      <w:r>
        <w:rPr>
          <w:rFonts w:hint="eastAsia" w:ascii="宋体" w:hAnsi="宋体" w:eastAsia="宋体" w:cs="宋体"/>
          <w:b/>
          <w:bCs/>
          <w:color w:val="auto"/>
          <w:spacing w:val="20"/>
          <w:sz w:val="30"/>
          <w:szCs w:val="30"/>
          <w:highlight w:val="none"/>
        </w:rPr>
        <w:t>响应文件的修改和撤回</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 在本章第5.2.1项规定的提交响应文件截止时间前，供应商可以补充、修改或者撤回已提交的响应文件，但应以书面形式通知采购代理机构。</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 供应商的补充、修改或者撤回通知书，应由其法定代表人或委托代理人签署并盖单位章。补充、修改或者撤回通知书应按本章第5.1.2项规定进行密封，并在密封袋上标注“响应文件补充、修改”或“响应文件撤回通知”字样，“补充、修改文件”作为响应文件的组成部分。补充、修改内容与响应文件不一致的，以补充、修改的内容为准。</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 供应商撤回响应文件的，采购代理机构自收到供应商书面撤回通知之日起5个工作日内退还已收取的磋商保证金。</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5.3.4 在提交响应文件截止时间之后，供应商不得对其提交的响应文件做任何补充、修改或者撤销响应文件。</w:t>
      </w:r>
    </w:p>
    <w:p>
      <w:pPr>
        <w:pStyle w:val="6"/>
        <w:spacing w:before="120" w:beforeLines="50" w:after="120" w:afterLines="50" w:line="360" w:lineRule="auto"/>
        <w:ind w:firstLine="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6.开启响应文件</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6.1开启响应文件的时间和地点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采购代理机构在供应商须知前附表规定的开启首次响应文件时间和地点开启响应文件，并邀请采购人、所有获取磋商文件的供应商派代表准时参加并签到以证明其出席。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采购代理机构将邀请有关监督管理机构对开启响应文件现场进行监督。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6.1.3提交首次响应文件的供应商不足3家的，不得开启首次响应文件，采购代理机构将按照供应商须知前附表的规定返还供应商的响应文件，供应商应当签收。</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6.2 开启响应文件程序</w:t>
      </w:r>
    </w:p>
    <w:p>
      <w:pPr>
        <w:pStyle w:val="23"/>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根据财政部《政府采购竞争性磋商采购方式管理暂行办法》（财库[2014]214号）第五条规定，开启首次响应文件和每轮磋商结束时均不公开报价。</w:t>
      </w:r>
    </w:p>
    <w:p>
      <w:pPr>
        <w:pStyle w:val="23"/>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6.2.2开启响应文件由采购代理机构主持。主持人按照磋商文件规定的开启首次响应文件时间宣布开启响应文件开始，并按下列程序进行（但不限于）：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（1）宣布开启响应文件开始和开启录音录像设备并致辞；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（2）宣布开启响应文件纪律和有关注意事项；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（3）公布在提交响应文件截止时间前提交响应文件的供应商名称（根据供应商签到表）；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（4）宣布参加开启响应文件的现场监督人员和主持人、会议记录等有关工作人员姓名；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（5）检查并宣布响应文件的密封情况；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（6）启封响应文件；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（7）启封响应文件结束，供应商退场；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（8）向采购人及监督人员宣布供应商首次磋商报价，并由监督人员确认；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（9）开启响应文件结束。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所有提交了响应文件的供应商在退场后，不要远离会场并保持通讯设备的畅通，以方便后续磋商和在评审过程中磋商小组要求供应商对响应文件的必要澄清。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检查响应文件密封情况是指，由供应商或者其推选的代表检查其自己提交的响应文件的密封情况，经检查无误后，签名确认。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6.2.6 供应商认为采购人、采购代理机构相关工作人员有需要回避情形的，应当场提出询问或者回避申请。采购人、采购代理机构对供应商提出的询问或者回避申请应当及时处理，并制作记录。</w:t>
      </w:r>
    </w:p>
    <w:p>
      <w:pPr>
        <w:pStyle w:val="6"/>
        <w:spacing w:before="120" w:beforeLines="50" w:after="120" w:afterLines="50" w:line="360" w:lineRule="auto"/>
        <w:ind w:firstLine="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7.磋商</w:t>
      </w:r>
    </w:p>
    <w:p>
      <w:pPr>
        <w:spacing w:before="120" w:beforeLines="50" w:after="120" w:afterLines="50" w:line="360" w:lineRule="auto"/>
        <w:ind w:left="120" w:leftChars="50" w:hanging="15" w:hangingChars="5"/>
        <w:rPr>
          <w:rFonts w:hint="eastAsia" w:ascii="宋体" w:hAnsi="宋体" w:eastAsia="宋体" w:cs="宋体"/>
          <w:color w:val="auto"/>
          <w:sz w:val="30"/>
          <w:szCs w:val="30"/>
          <w:highlight w:val="none"/>
        </w:rPr>
      </w:pPr>
      <w:bookmarkStart w:id="97" w:name="_Toc217446058"/>
      <w:r>
        <w:rPr>
          <w:rFonts w:hint="eastAsia" w:ascii="宋体" w:hAnsi="宋体" w:eastAsia="宋体" w:cs="宋体"/>
          <w:b/>
          <w:color w:val="auto"/>
          <w:sz w:val="30"/>
          <w:szCs w:val="30"/>
          <w:highlight w:val="none"/>
        </w:rPr>
        <w:t>7.1 磋商小组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磋商由采购代理机构依法组建的磋商小组负责。磋商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采购人代表不得以评审专家身份参加本单位或者本部门采购项目的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7.1.3 磋商小组成员到位后，推荐一名评审专家担任磋商小组组长，并由磋商小组组长牵头组织该项目磋商工作，采购人代表，不得担任磋商小组组长。</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7.1.4 磋商小组成员有下列情形之一的，应当回避：</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（1）采购人或供应商的主要负责人的近亲属；</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（2）与供应商有经济利益关系，可能影响对响应文件公正评审的；</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（3）曾因在招标、评审以及其他与招标投标有关活动中从事违法行为而受过行政处罚或刑事处罚的。</w:t>
      </w:r>
    </w:p>
    <w:p>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szCs w:val="21"/>
          <w:highlight w:val="none"/>
        </w:rPr>
        <w:t xml:space="preserve">7.1.5 </w:t>
      </w:r>
      <w:r>
        <w:rPr>
          <w:rFonts w:hint="eastAsia" w:ascii="宋体" w:hAnsi="宋体" w:eastAsia="宋体" w:cs="宋体"/>
          <w:color w:val="auto"/>
          <w:kern w:val="0"/>
          <w:highlight w:val="none"/>
        </w:rPr>
        <w:t>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w:t>
      </w:r>
      <w:r>
        <w:rPr>
          <w:rFonts w:hint="eastAsia" w:ascii="宋体" w:hAnsi="宋体" w:eastAsia="宋体" w:cs="宋体"/>
          <w:color w:val="auto"/>
          <w:kern w:val="0"/>
          <w:highlight w:val="none"/>
          <w:lang w:val="zh-CN"/>
        </w:rPr>
        <w:t>采购代理机构</w:t>
      </w:r>
      <w:r>
        <w:rPr>
          <w:rFonts w:hint="eastAsia" w:ascii="宋体" w:hAnsi="宋体" w:eastAsia="宋体" w:cs="宋体"/>
          <w:color w:val="auto"/>
          <w:kern w:val="0"/>
          <w:highlight w:val="none"/>
        </w:rPr>
        <w:t>应当将变更、重新组建磋商小组的情况予以记录，并随采购文件一并存档。</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7.1.6 磋商小组成员名单在成交结果公告前，应当保密。</w:t>
      </w:r>
    </w:p>
    <w:p>
      <w:pPr>
        <w:widowControl/>
        <w:autoSpaceDE w:val="0"/>
        <w:autoSpaceDN w:val="0"/>
        <w:spacing w:line="360" w:lineRule="auto"/>
        <w:ind w:right="51"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7.1.7 磋商小组及其成员，在磋商中不得有下列行为：</w:t>
      </w:r>
    </w:p>
    <w:p>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（1）确定参与磋商至磋商结束前私自接触供应商；</w:t>
      </w:r>
    </w:p>
    <w:p>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（2）接受供应商提出的与响应文件不一致的澄清和说明；</w:t>
      </w:r>
    </w:p>
    <w:p>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（3）未集中与单一供应商分别进行磋商或者未给予所有参加磋商的供应商平等的磋商机会；</w:t>
      </w:r>
    </w:p>
    <w:p>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（4）违反评审纪律发表倾向性意见或者</w:t>
      </w:r>
      <w:r>
        <w:rPr>
          <w:rFonts w:hint="eastAsia" w:ascii="宋体" w:hAnsi="宋体" w:eastAsia="宋体" w:cs="宋体"/>
          <w:color w:val="auto"/>
          <w:highlight w:val="none"/>
        </w:rPr>
        <w:t>征询采购人的倾向性意见；</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kern w:val="0"/>
          <w:szCs w:val="21"/>
          <w:highlight w:val="none"/>
        </w:rPr>
        <w:t>对需要专业判断的主观评审因素协商评分；</w:t>
      </w:r>
    </w:p>
    <w:p>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（6）在磋商或评审环节擅离职守，影响磋商或评审程序正常进行的；</w:t>
      </w:r>
    </w:p>
    <w:p>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（7）记录、复制或带走任何评审资料；</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（8）</w:t>
      </w:r>
      <w:r>
        <w:rPr>
          <w:rFonts w:hint="eastAsia" w:ascii="宋体" w:hAnsi="宋体" w:eastAsia="宋体" w:cs="宋体"/>
          <w:color w:val="auto"/>
          <w:kern w:val="0"/>
          <w:szCs w:val="21"/>
          <w:highlight w:val="none"/>
        </w:rPr>
        <w:t>其他不遵守评审纪律的行为。</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磋商小组成员有前款第一至五项行为之一的，其评审意见无效，</w:t>
      </w:r>
      <w:r>
        <w:rPr>
          <w:rFonts w:hint="eastAsia" w:ascii="宋体" w:hAnsi="宋体" w:eastAsia="宋体" w:cs="宋体"/>
          <w:color w:val="auto"/>
          <w:kern w:val="0"/>
          <w:szCs w:val="21"/>
          <w:highlight w:val="none"/>
        </w:rPr>
        <w:t>并不得获取评审劳务报酬和报销异地评审差旅费。</w:t>
      </w:r>
    </w:p>
    <w:p>
      <w:pPr>
        <w:spacing w:before="120" w:beforeLines="50" w:after="120" w:afterLines="50" w:line="360" w:lineRule="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7.2 磋商原则</w:t>
      </w:r>
    </w:p>
    <w:p>
      <w:pPr>
        <w:tabs>
          <w:tab w:val="left" w:pos="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7.2.1“客观、公正、审慎”为本次磋商的基本原则，磋商小组按照这一原则的要求，公正、平等地对待各供应商。同时，在磋商中恪守以下原则：</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（1）统一性原则：磋商小组将按照统一的磋商原则和方法，用统一标准进行评审。</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（2）独立性原则:磋商工作在磋商小组内部独立进行，不受外界任何因素的干扰和影响。磋商小组成员对其出具的意见承担个人责任。</w:t>
      </w:r>
      <w:r>
        <w:rPr>
          <w:rFonts w:hint="eastAsia" w:ascii="宋体" w:hAnsi="宋体" w:eastAsia="宋体" w:cs="宋体"/>
          <w:color w:val="auto"/>
          <w:kern w:val="0"/>
          <w:szCs w:val="21"/>
          <w:highlight w:val="none"/>
        </w:rPr>
        <w:t>供应商试图影响或干预评审的任何行为，将导致其丧失磋商的资格，并承担相应的法律责任。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（3）物有所值原则：通过首轮的磋商报价，激发供应商展开竞争，进一步优化方案，并使报价符合预期目标。</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（4）客观性原则：磋商小组将严格按照磋商文件要求，对供应商的响应文件进行认真评审；磋商小组对响应文件的评审仅依据响应文件本身，而不依据响应文件以外的任何因素。</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（5）保密性原则：采购代理机构应当采取必要的措施，保证评审在严格保密情况下进行。</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（6）综合性原则:磋商小组将综合分析、评审供应商的各项指标，而不以单项指标的优劣评定出成交供应商。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磋商小组有权对整个磋商和评审过程中出现的所有问题，可根据《中华人民共和国政府采购法》及实施条例和《政府采购竞争性磋商采购方式管理暂行办法》等相关规定进行处理。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7.3磋商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磋商小组根据磋商文件第四章“磋商办法”规定的方法、评审因素、标准和程序，在与单一供应商进行反复磋商的基础上，对其响应文件进行评审。第四章“磋商办法”没有规定的方法、评审因素和标准，不作为评审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磋商小组负责具体磋商事务，并独立履行下列职责：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（1）审查、评价响应文件是否符合磋商文件的商务、技术、服务等实质性要求；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（2）要求供应商对响应文件有关事项作出澄清或者说明；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（3）与合格的供应商分别就技术和商务事务进行磋商；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（4）对响应文件进行比较和评价；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（5）推荐成交候选人名单，或者根据采购人委托直接确定成交供应商；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（6）向采购人、采购代理机构或者有关部门报告非法干预磋商工作的行为。</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7.3.3磋商小组成员应当履行下列义务：</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（1）遵纪守法，客观、公正、廉洁地履行职责；</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（2）根据采购文件的规定独立进行评审，对个人的评审意见承担法律责任；</w:t>
      </w:r>
    </w:p>
    <w:p>
      <w:pPr>
        <w:pStyle w:val="2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（3）参与评审报告的起草；</w:t>
      </w:r>
    </w:p>
    <w:p>
      <w:pPr>
        <w:pStyle w:val="2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（4）配合采购人、采购代理机构答复供应商提出的质疑；</w:t>
      </w:r>
    </w:p>
    <w:p>
      <w:pPr>
        <w:pStyle w:val="2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（5）配合财政部门的投诉处理和监督检查工作。</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7.3.4 采购代理机构负责组织磋商工作并履行下列职责：</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（1）核对评审专家身份和采购人代表授权函，对评审专家在政府采购活动中的职责履行情况予以记录，并及时将有关违法违规行为向财政部门报告；</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（2）宣布磋商纪律和开启录音录像设备；</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（3）公布提交了响应文件的供应商名单，告知评审专家应当回避的情形；</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（4）组织磋商小组成员推选磋商小组组长，采购人代表不得担任组长；</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（5）在磋商期间采取必要的通讯管理措施，保证磋商活动不受外界干扰；</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（6）根据磋商小组的要求介绍政府采购相关政策法规、磋商文件；</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（7）维护磋商秩序，监督磋商小组依照磋商文件规定的磋商程序、评审方法和标准进行独立评审，对采购人代表、磋商小组成员的倾向性言论或违法违规行为及时制止和纠正；</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（8）核对评审结果，有《政府采购竞争性磋商采购方式暂行管理办法》第三十二条第一款规定情形的，要求磋商小组复核或书面说明理由，磋商小组拒绝的，应予记录并向采购人本级财政部门报告；</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（9）磋商工作完成后，按照规定向评审专家支付劳务报酬和异地评审差旅费，不得向评审专家以外的其他人员支付评审劳务报酬；</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（10）处理与磋商有关的其他事项。</w:t>
      </w:r>
    </w:p>
    <w:p>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7.3.5 采购人可以在磋商前介绍项目背景和采购需求，介绍内容不得含有歧视性、倾向性意见，不得超出磋商文件所述范围。介绍应当提交书面介绍材料，并随采购文件一并存档。</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7.3.6 磋商过程严格保密</w:t>
      </w:r>
    </w:p>
    <w:p>
      <w:pPr>
        <w:autoSpaceDE w:val="0"/>
        <w:autoSpaceDN w:val="0"/>
        <w:spacing w:line="360" w:lineRule="auto"/>
        <w:ind w:firstLine="630" w:firstLineChars="300"/>
        <w:rPr>
          <w:rFonts w:hint="eastAsia" w:ascii="宋体" w:hAnsi="宋体" w:eastAsia="宋体" w:cs="宋体"/>
          <w:color w:val="auto"/>
          <w:kern w:val="0"/>
          <w:highlight w:val="none"/>
        </w:rPr>
      </w:pPr>
      <w:r>
        <w:rPr>
          <w:rFonts w:hint="eastAsia" w:ascii="宋体" w:hAnsi="宋体" w:eastAsia="宋体" w:cs="宋体"/>
          <w:color w:val="auto"/>
          <w:szCs w:val="21"/>
          <w:highlight w:val="none"/>
        </w:rPr>
        <w:t xml:space="preserve">7.3.6.1 </w:t>
      </w:r>
      <w:r>
        <w:rPr>
          <w:rFonts w:hint="eastAsia" w:ascii="宋体" w:hAnsi="宋体" w:eastAsia="宋体" w:cs="宋体"/>
          <w:color w:val="auto"/>
          <w:kern w:val="0"/>
          <w:highlight w:val="none"/>
        </w:rPr>
        <w:t>采购人、采购代理机构应当采取必要措施，保证磋商在严格保密的情况下进行。除采购人代表、磋商现场组织人员外，采购人的其他工作人员以及与磋商工作无关的人员不得进入磋商现场。</w:t>
      </w:r>
    </w:p>
    <w:p>
      <w:pPr>
        <w:autoSpaceDE w:val="0"/>
        <w:autoSpaceDN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kern w:val="0"/>
          <w:highlight w:val="none"/>
        </w:rPr>
        <w:t>7.3.6.2 有关人员对磋商情况以及在磋商过程中获悉的国家秘密、商业秘密负有保密责任。</w:t>
      </w:r>
      <w:r>
        <w:rPr>
          <w:rFonts w:hint="eastAsia" w:ascii="宋体" w:hAnsi="宋体" w:eastAsia="宋体" w:cs="宋体"/>
          <w:color w:val="auto"/>
          <w:szCs w:val="21"/>
          <w:highlight w:val="none"/>
        </w:rPr>
        <w:t>开启响应文件后，直至授予成交供应商合同为止，凡属于对响应文件的审查、澄清、评价和比较的有关资料以及成交候选人的推荐情况，与磋商有关的其他任何情况均严格保密。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7.3.7 供应商对磋商小组的磋商过程或合同授予决定施加影响的任何行为都可能导致其响应文件无效。</w:t>
      </w:r>
    </w:p>
    <w:p>
      <w:pPr>
        <w:tabs>
          <w:tab w:val="left" w:pos="426"/>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7.3.8 磋商完成后，磋商小组应当向采购人提交书面评审报告，并由采购代理机构转送。</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8</w:t>
      </w:r>
      <w:bookmarkStart w:id="98" w:name="_Toc217446061"/>
      <w:r>
        <w:rPr>
          <w:rFonts w:hint="eastAsia" w:ascii="宋体" w:hAnsi="宋体" w:eastAsia="宋体" w:cs="宋体"/>
          <w:color w:val="auto"/>
          <w:sz w:val="36"/>
          <w:szCs w:val="36"/>
          <w:highlight w:val="none"/>
        </w:rPr>
        <w:t>.确定成交供应商</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8.1确定成交供应商原则</w:t>
      </w:r>
      <w:bookmarkEnd w:id="98"/>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采购人或其授权的磋商小组按照评审报告中提出的成交候人中，按照顺序由高到低的原则确定成交供应商。</w:t>
      </w:r>
      <w:bookmarkStart w:id="99" w:name="_Toc217446062"/>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8.2 确定成交供应商程序</w:t>
      </w:r>
      <w:bookmarkEnd w:id="99"/>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8.2.1磋商小组将评审情况写出书面报告，推荐3个成交候选人，并按照综合得分高低标明排列顺序。得分相同的，按照最后报价由低到高顺序排列；得分且最后报价相同的按照技术指标优劣顺序排列。</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采购代理机构在评审结束后2个工作日内将评审报告送采购人确认。</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 采购人应当在收到评审报告后5个工作日内，按照评审报告中推荐的成交候选人中，按照顺序由高到低确定成交供应商。同时，将确定成交供应商的结果复函至采购代理机构。</w:t>
      </w:r>
    </w:p>
    <w:p>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采购人在收到评审报告5个工作日内未按评审报告推荐的成交候人中顺序确定成交供应商，又不能说明合法理由的，视同按照评审报告推荐的顺序确定排名第一的成交候选人为成交供应商。</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8.2.4采购代理机构应当在接到采购人“定标”复函之日起2个工作日内，根据采购人确定的成交供应商，在省级以上财政部门指定的媒体上公告成交结果，采购文件应当随成交结果同时公告；成交供应商享受了中小企业发展扶持政策的，其《中小企业声明函》或者《残疾人福利性单位声明函》也应随成交结果同时公告。</w:t>
      </w:r>
    </w:p>
    <w:p>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在公告成交结果的同时，采购人或采购代理机构应当向成交供应商发出《成交通知书》，</w:t>
      </w:r>
      <w:r>
        <w:rPr>
          <w:rFonts w:hint="eastAsia" w:ascii="宋体" w:hAnsi="宋体" w:eastAsia="宋体" w:cs="宋体"/>
          <w:b/>
          <w:color w:val="auto"/>
          <w:szCs w:val="21"/>
          <w:highlight w:val="none"/>
        </w:rPr>
        <w:t>向未成交供应商发出评审结果通知书</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对未通过资格审查或未通符合性审查的供应商，应告知其未通过的原因；对于其他参与评分的未成交供应商，应当告知其本人的评审得分与排序。</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8.3 成交通知书</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1 成交通知书为签订政府采购合同的依据之一，是合同的有效组成部分。</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8.3.2 成交通知书对采购人和成交供应商均具有法律效力。成交通知书发出后，采购人不得违法改变成交结果，成交供应商无正当理由不得放弃成交资格。否则，应当承担相应的法律责任。</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8.3.3 成交供应商应当在接到采购代理机构通知之日起2个工作日内领取《成交通知书》。</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8.3.4 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同时向同级财政部门报告。</w:t>
      </w:r>
    </w:p>
    <w:bookmarkEnd w:id="97"/>
    <w:p>
      <w:pPr>
        <w:tabs>
          <w:tab w:val="left" w:pos="7665"/>
        </w:tabs>
        <w:spacing w:before="240" w:beforeLines="100" w:after="240" w:afterLines="100"/>
        <w:rPr>
          <w:rFonts w:hint="eastAsia" w:ascii="宋体" w:hAnsi="宋体" w:eastAsia="宋体" w:cs="宋体"/>
          <w:color w:val="auto"/>
          <w:sz w:val="36"/>
          <w:szCs w:val="36"/>
          <w:highlight w:val="none"/>
        </w:rPr>
      </w:pPr>
      <w:bookmarkStart w:id="100" w:name="_Toc217446064"/>
      <w:bookmarkStart w:id="101" w:name="_Toc183582240"/>
      <w:bookmarkStart w:id="102" w:name="_Toc183682377"/>
      <w:bookmarkStart w:id="103" w:name="_Toc217446065"/>
      <w:r>
        <w:rPr>
          <w:rFonts w:hint="eastAsia" w:ascii="宋体" w:hAnsi="宋体" w:eastAsia="宋体" w:cs="宋体"/>
          <w:color w:val="auto"/>
          <w:sz w:val="36"/>
          <w:szCs w:val="36"/>
          <w:highlight w:val="none"/>
        </w:rPr>
        <w:t>9.合同</w:t>
      </w:r>
      <w:bookmarkEnd w:id="100"/>
      <w:r>
        <w:rPr>
          <w:rFonts w:hint="eastAsia" w:ascii="宋体" w:hAnsi="宋体" w:eastAsia="宋体" w:cs="宋体"/>
          <w:color w:val="auto"/>
          <w:sz w:val="36"/>
          <w:szCs w:val="36"/>
          <w:highlight w:val="none"/>
        </w:rPr>
        <w:t>授予</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9.1 履约保证金</w:t>
      </w:r>
    </w:p>
    <w:p>
      <w:pPr>
        <w:tabs>
          <w:tab w:val="left" w:pos="7665"/>
        </w:tabs>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9.1.1本项目按照供应商须知前附表规定需要提交履约保证金的，成交供应商在收到采购代理机构的成交通知书后10日内，应当按照供应商须知前附表规定的形式、金额，向采购人提交履约保证金或履约担保。联合体成交的，履约保证金或履约担保由联合体各方或者联合体中牵头人的名义提交。</w:t>
      </w:r>
    </w:p>
    <w:p>
      <w:pPr>
        <w:tabs>
          <w:tab w:val="left" w:pos="7665"/>
        </w:tabs>
        <w:spacing w:line="360" w:lineRule="auto"/>
        <w:ind w:firstLine="48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9.1.2 成交供应商</w:t>
      </w:r>
      <w:r>
        <w:rPr>
          <w:rFonts w:hint="eastAsia" w:ascii="宋体" w:hAnsi="宋体" w:eastAsia="宋体" w:cs="宋体"/>
          <w:color w:val="auto"/>
          <w:spacing w:val="4"/>
          <w:szCs w:val="21"/>
          <w:highlight w:val="none"/>
        </w:rPr>
        <w:t>不能按照本章第9.1.1项规定</w:t>
      </w:r>
      <w:r>
        <w:rPr>
          <w:rFonts w:hint="eastAsia" w:ascii="宋体" w:hAnsi="宋体" w:eastAsia="宋体" w:cs="宋体"/>
          <w:color w:val="auto"/>
          <w:szCs w:val="21"/>
          <w:highlight w:val="none"/>
        </w:rPr>
        <w:t>提交履约保证金或履约担保的</w:t>
      </w:r>
      <w:r>
        <w:rPr>
          <w:rFonts w:hint="eastAsia" w:ascii="宋体" w:hAnsi="宋体" w:eastAsia="宋体" w:cs="宋体"/>
          <w:color w:val="auto"/>
          <w:spacing w:val="4"/>
          <w:szCs w:val="21"/>
          <w:highlight w:val="none"/>
        </w:rPr>
        <w:t>，视为放弃</w:t>
      </w:r>
      <w:r>
        <w:rPr>
          <w:rFonts w:hint="eastAsia" w:ascii="宋体" w:hAnsi="宋体" w:eastAsia="宋体" w:cs="宋体"/>
          <w:color w:val="auto"/>
          <w:szCs w:val="21"/>
          <w:highlight w:val="none"/>
        </w:rPr>
        <w:t>成交资格</w:t>
      </w:r>
      <w:r>
        <w:rPr>
          <w:rFonts w:hint="eastAsia" w:ascii="宋体" w:hAnsi="宋体" w:eastAsia="宋体" w:cs="宋体"/>
          <w:color w:val="auto"/>
          <w:spacing w:val="4"/>
          <w:szCs w:val="21"/>
          <w:highlight w:val="none"/>
        </w:rPr>
        <w:t>，</w:t>
      </w:r>
      <w:r>
        <w:rPr>
          <w:rFonts w:hint="eastAsia" w:ascii="宋体" w:hAnsi="宋体" w:eastAsia="宋体" w:cs="宋体"/>
          <w:color w:val="auto"/>
          <w:spacing w:val="2"/>
          <w:szCs w:val="21"/>
          <w:highlight w:val="none"/>
        </w:rPr>
        <w:t>有磋商保证金的不予退还，给采购人造成损失的，成交供应商应当予以赔偿。</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9.2 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9.2.1采购人应当自《成交通知书》发出之日起30日内，按照磋商文件和成交供应商响应文件的的规定，与成交供应商签订书面合同。成交供应商无正当理由拒签合同，或者在签订合同时向采购人提出附件条件，采购人有权取消其成交资格，有磋商保证金的不予退还，给采购人造成损失的，</w:t>
      </w:r>
      <w:r>
        <w:rPr>
          <w:rFonts w:hint="eastAsia" w:ascii="宋体" w:hAnsi="宋体" w:eastAsia="宋体" w:cs="宋体"/>
          <w:color w:val="auto"/>
          <w:spacing w:val="2"/>
          <w:szCs w:val="21"/>
          <w:highlight w:val="none"/>
        </w:rPr>
        <w:t>成交供应商应当予以赔偿。采购人可以</w:t>
      </w:r>
      <w:r>
        <w:rPr>
          <w:rFonts w:hint="eastAsia" w:ascii="宋体" w:hAnsi="宋体" w:eastAsia="宋体" w:cs="宋体"/>
          <w:color w:val="auto"/>
          <w:szCs w:val="21"/>
          <w:highlight w:val="none"/>
        </w:rPr>
        <w:t>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9.2.2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 联合体成交的，联合体各方应当与采购人签订采购合同，就成交项目向采购人承担连带责任。</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9.2.4 供应商须知前附表规定允许大中企业向小微企业分包的，成交供应商应当与接受分包的小微企业签订分包合同。</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9.2.5 采购人应当自政府采购合同签订之日起2个工作日内，在省级以上财政部门指定的媒体上对合同进行公示，但政府采购合同中涉及国家秘密、商业秘密的内容除外。</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9.2.6 采购人应当自合同签订之日起7个工作日内将政府采购合同报送监管机构备案。</w:t>
      </w:r>
    </w:p>
    <w:bookmarkEnd w:id="101"/>
    <w:bookmarkEnd w:id="102"/>
    <w:bookmarkEnd w:id="103"/>
    <w:p>
      <w:pPr>
        <w:tabs>
          <w:tab w:val="left" w:pos="426"/>
        </w:tabs>
        <w:autoSpaceDE w:val="0"/>
        <w:autoSpaceDN w:val="0"/>
        <w:adjustRightInd w:val="0"/>
        <w:snapToGrid w:val="0"/>
        <w:spacing w:before="120" w:beforeLines="50" w:after="120" w:afterLines="50" w:line="360" w:lineRule="auto"/>
        <w:rPr>
          <w:rFonts w:hint="eastAsia" w:ascii="宋体" w:hAnsi="宋体" w:eastAsia="宋体" w:cs="宋体"/>
          <w:b/>
          <w:color w:val="auto"/>
          <w:sz w:val="30"/>
          <w:szCs w:val="30"/>
          <w:highlight w:val="none"/>
        </w:rPr>
      </w:pPr>
      <w:bookmarkStart w:id="104" w:name="_Toc217446081"/>
      <w:r>
        <w:rPr>
          <w:rFonts w:hint="eastAsia" w:ascii="宋体" w:hAnsi="宋体" w:eastAsia="宋体" w:cs="宋体"/>
          <w:b/>
          <w:color w:val="auto"/>
          <w:sz w:val="30"/>
          <w:szCs w:val="30"/>
          <w:highlight w:val="none"/>
        </w:rPr>
        <w:t>9.3 合同履行</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9.3.1 政府采购合同一经签订，双方应严格履行合同规定的义务。在合同履行过程中，如发生合同纠纷，合同双方应按照《中华人民共和国民法典》及合同条款的有关规定进行处理。</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9.3.2 </w:t>
      </w:r>
      <w:r>
        <w:rPr>
          <w:rFonts w:hint="eastAsia" w:ascii="宋体" w:hAnsi="宋体" w:eastAsia="宋体" w:cs="宋体"/>
          <w:color w:val="auto"/>
          <w:szCs w:val="21"/>
          <w:highlight w:val="none"/>
          <w:lang w:eastAsia="zh-TW"/>
        </w:rPr>
        <w:t>政府采购合同订立后，合同各方不得擅自变更</w:t>
      </w:r>
      <w:r>
        <w:rPr>
          <w:rFonts w:hint="eastAsia" w:ascii="宋体" w:hAnsi="宋体" w:eastAsia="宋体" w:cs="宋体"/>
          <w:color w:val="auto"/>
          <w:szCs w:val="21"/>
          <w:highlight w:val="none"/>
        </w:rPr>
        <w:t>或者</w:t>
      </w:r>
      <w:r>
        <w:rPr>
          <w:rFonts w:hint="eastAsia" w:ascii="宋体" w:hAnsi="宋体" w:eastAsia="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TW"/>
        </w:rPr>
        <w:t>备案。</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9.3.3 </w:t>
      </w:r>
      <w:r>
        <w:rPr>
          <w:rFonts w:hint="eastAsia" w:ascii="宋体" w:hAnsi="宋体" w:eastAsia="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eastAsia="宋体" w:cs="宋体"/>
          <w:color w:val="auto"/>
          <w:szCs w:val="21"/>
          <w:highlight w:val="none"/>
        </w:rPr>
        <w:t>成交供应商</w:t>
      </w:r>
      <w:r>
        <w:rPr>
          <w:rFonts w:hint="eastAsia" w:ascii="宋体" w:hAnsi="宋体" w:eastAsia="宋体" w:cs="宋体"/>
          <w:color w:val="auto"/>
          <w:szCs w:val="21"/>
          <w:highlight w:val="none"/>
          <w:lang w:eastAsia="zh-TW"/>
        </w:rPr>
        <w:t>签订补充合同，但所补充合同的采购金额不得超过原</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TW"/>
        </w:rPr>
        <w:t>采购金额的百分之十。签订补充合同的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eastAsia="zh-TW"/>
        </w:rPr>
        <w:t>按规定备案。</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9.3.4 供应商须知前附表规定允许合同分包的，成交供应商享受了中小企业发展扶持政策，在履行合同时，未按分包意向协议约定的比例分包给小微企业的，视为提供虚假材料谋取成交情形，采购人将依法追究其法律责任。</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10.终止磋商</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10.1 出现下列情形之一的，采购人或者采购代理机构应当终止</w:t>
      </w:r>
      <w:r>
        <w:rPr>
          <w:rFonts w:hint="eastAsia" w:ascii="宋体" w:hAnsi="宋体" w:eastAsia="宋体" w:cs="宋体"/>
          <w:b/>
          <w:snapToGrid w:val="0"/>
          <w:color w:val="auto"/>
          <w:kern w:val="0"/>
          <w:szCs w:val="21"/>
          <w:highlight w:val="none"/>
        </w:rPr>
        <w:t>本次</w:t>
      </w:r>
      <w:r>
        <w:rPr>
          <w:rFonts w:hint="eastAsia" w:ascii="宋体" w:hAnsi="宋体" w:eastAsia="宋体" w:cs="宋体"/>
          <w:snapToGrid w:val="0"/>
          <w:color w:val="auto"/>
          <w:kern w:val="0"/>
          <w:szCs w:val="21"/>
          <w:highlight w:val="none"/>
        </w:rPr>
        <w:t>竞争性磋商采购活动，发布终止公告并说明原因，重新开展采购活动：</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（1）因情况变化，不再符合规定的竞争性磋商采购方式适用情形的；</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（2）出现影响采购公正的违法、违规行为的；</w:t>
      </w:r>
    </w:p>
    <w:p>
      <w:pPr>
        <w:widowControl/>
        <w:spacing w:line="360" w:lineRule="auto"/>
        <w:ind w:firstLine="420" w:firstLineChars="200"/>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（3）除《政府采购竞争性磋商采购方式管理暂行办法》办法第21条第3款规定的情形外，在采购过程中符合要求的供应商或者磋商报价未超过采购预算的供应商不足3家的</w:t>
      </w:r>
      <w:r>
        <w:rPr>
          <w:rFonts w:hint="eastAsia" w:ascii="宋体" w:hAnsi="宋体" w:eastAsia="宋体" w:cs="宋体"/>
          <w:snapToGrid w:val="0"/>
          <w:color w:val="auto"/>
          <w:kern w:val="0"/>
          <w:szCs w:val="21"/>
          <w:highlight w:val="none"/>
          <w:lang w:eastAsia="zh-CN"/>
        </w:rPr>
        <w:t>。</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除《财政部关于政府采购竞争性磋商采购方式管理暂行办法有关问题的补充通知》（财库〔2015〕124号）规定的情形外，在采购过程中符合要求的供应商（社会资本）只有1家的</w:t>
      </w:r>
      <w:r>
        <w:rPr>
          <w:rFonts w:hint="eastAsia" w:ascii="宋体" w:hAnsi="宋体" w:eastAsia="宋体" w:cs="宋体"/>
          <w:snapToGrid w:val="0"/>
          <w:color w:val="auto"/>
          <w:kern w:val="0"/>
          <w:szCs w:val="21"/>
          <w:highlight w:val="none"/>
        </w:rPr>
        <w:t>。</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10.2在采购活动中因重大变故，采购任务取消的，采购人或者采购代理机构应当终止</w:t>
      </w:r>
      <w:r>
        <w:rPr>
          <w:rFonts w:hint="eastAsia" w:ascii="宋体" w:hAnsi="宋体" w:eastAsia="宋体" w:cs="宋体"/>
          <w:b/>
          <w:snapToGrid w:val="0"/>
          <w:color w:val="auto"/>
          <w:kern w:val="0"/>
          <w:szCs w:val="21"/>
          <w:highlight w:val="none"/>
        </w:rPr>
        <w:t>项目</w:t>
      </w:r>
      <w:r>
        <w:rPr>
          <w:rFonts w:hint="eastAsia" w:ascii="宋体" w:hAnsi="宋体" w:eastAsia="宋体" w:cs="宋体"/>
          <w:snapToGrid w:val="0"/>
          <w:color w:val="auto"/>
          <w:kern w:val="0"/>
          <w:szCs w:val="21"/>
          <w:highlight w:val="none"/>
        </w:rPr>
        <w:t>采购活动，通知所有参加采购活动的供应商，并将项目实施情况和采购任务取消原因报送本级财政部门。</w:t>
      </w:r>
    </w:p>
    <w:p>
      <w:pPr>
        <w:spacing w:before="240" w:beforeLines="10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11.质疑与投诉</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11.1质疑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如供应商对本次采购活动有疑问，认为需要提出质疑和投诉的，应当按照《政府采购质疑投诉办法》（财政部94号令）的有关规定办理。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供应商对采购文件、采购过程或成交结果使自身的合法权益受到损害，应当在法定期限内，按照质疑函范本格式要求以书面形式向采购代理机构或采购人提出质疑，并附必要的证明材料。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 质疑函应当包括下列内容：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供应商为自然人的，应当由本人签名；供应商为法人或者其他组织的，应当由法定代表人、主要负责人，或者其委托代理人签名或者盖章，并加盖单位章。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11.1.4质疑人可以委托代理人办理质疑事项，代理人办理质疑事项时，除提交质疑函外，还应当提交质疑人的授权委托书及代理人的有效身份证明，授权委托书应当载明委托代理的具体权限期限和相关事项。</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11.1.5 质疑函范本格式在中国政府采购网站（http://www.ccgp.gov.cn/）自行下载。</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11.1.6 接收质疑函的联系部门、联系电话和通讯地址同磋商公告。</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11.1.7 有下列情形之一的，属于无效质疑：</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（1）对采购文件提出质疑的质疑人不是依法获取采购文件的潜在供应商；对采购过程、成交结果提出质疑的不是参与本次政府采购项目的供应商；</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（2）质疑人与质疑事项不存在利害关系的；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（3）未在法定期限内提出质疑的；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（4）质疑未以书面形式提出，以传真、电子邮件、移动通信等形式即时收悉提交的质疑材料；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（5）质疑未按质疑函范本格式提出的；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（6）未提交营业执照或法人证书复印件，由授权代表签名的，未提交授权委托书；</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（7）质疑书没有合法有效的签名、盖章的；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（8）以非法手段取得证据、材料的；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（9）质疑答复后，同一质疑人就同一事项再次提出质疑的；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（10）不符合法律、法规、规章和政府采购监管机构规定的其他条件的。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11.1.8 采购代理机构或采购人将在收到书面质疑后7个工作日内做出答复，并以书面形式通知质疑人和其他有关供应商。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11.2 投诉</w:t>
      </w:r>
    </w:p>
    <w:p>
      <w:pPr>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 质疑人对采购代理机构或采购人的答复不满意，或者采购人、采购代理机构未在规定时间内作出答复的，可以在答复期满后15个工作日内向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陕西省财政厅</w:t>
      </w:r>
      <w:r>
        <w:rPr>
          <w:rFonts w:hint="eastAsia" w:ascii="宋体" w:hAnsi="宋体" w:eastAsia="宋体" w:cs="宋体"/>
          <w:color w:val="auto"/>
          <w:szCs w:val="21"/>
          <w:highlight w:val="none"/>
        </w:rPr>
        <w:t>提起投诉，联系电话：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029-87613953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供应商投诉时,应当提交投诉书和必要的证明材料，并按照被投诉采购人、采购代理机构（以下简称被投诉人）和与投诉事项有关的供应商数量提供投诉书的副本。投诉书应当包括下列内容：</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（1）投诉人和被投诉人的姓名或者名称、通讯地址、邮编、联系人及联系电话；</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（2）质疑和质疑答复情况说明及相关证明材料；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（3）具体、明确的投诉事项和与投诉事项相关的投诉请求；</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（5）法律依据；</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（6）提起投诉的日期。</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投诉人为自然人的，应当由本人签名；投诉人为法人或者其他组织的，应当由法定代表人、主要负责人，或者其委托代理人签名或者盖章，并加盖单位章。</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 投诉书范本格式在中国政府采购网站（http://www.ccgp.gov.cn/）自行下载。</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 投诉人提起投诉应当符合下列条件：</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（1）提起投诉前已依法进行质疑；</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（2）投诉书内容符合财政部94号令的规定；</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（3）在投诉有效期限内提起投诉；</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（4）同一投诉事项未经财政部门投诉处理；</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（5）财政部规定的其他条件。</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11.2.5  投诉人投诉的事项不得超出已质疑事项的范围，但基于质疑答复内容提出的投诉事项除外。</w:t>
      </w:r>
    </w:p>
    <w:p>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11.3恶意质疑、投诉的法律后果</w:t>
      </w:r>
    </w:p>
    <w:p>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11.3.1对捏造事实、提供虚假材料进行质疑、投诉的行为将予以严肃处理：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11.3.2对捏造事实诬告陷害他人、诽谤他人的法律适用：</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（2）《中华人民共和国刑法》第246条【侮辱罪、诽谤罪】以暴力或者其他方法公然侮辱他人或者捏造事实诽谤他人，情节严重的，处三年以下有期徒刑、拘役、管制或者剥夺政治权利。</w:t>
      </w:r>
    </w:p>
    <w:p>
      <w:pPr>
        <w:spacing w:before="240" w:beforeLines="100" w:after="120" w:afterLines="50"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12.其他</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12.1成交供应商融资</w:t>
      </w:r>
    </w:p>
    <w:p>
      <w:pPr>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为进一步贯彻落实国务院和陕西省关于支持中小企业发展的政策措施，发挥政府采购政策导向作用，充分利用信息化技术，通过搭建信息对称、相互对接的平台，有效缓解中小企业融资难、融资贵问题。本着</w:t>
      </w:r>
      <w:r>
        <w:rPr>
          <w:rFonts w:hint="eastAsia" w:ascii="宋体" w:hAnsi="宋体" w:eastAsia="宋体" w:cs="宋体"/>
          <w:color w:val="auto"/>
          <w:szCs w:val="21"/>
          <w:highlight w:val="none"/>
          <w:lang w:val="en"/>
        </w:rPr>
        <w:t xml:space="preserve"> “银企自愿，风险自担”的原则，</w:t>
      </w:r>
      <w:r>
        <w:rPr>
          <w:rFonts w:hint="eastAsia" w:ascii="宋体" w:hAnsi="宋体" w:eastAsia="宋体" w:cs="宋体"/>
          <w:color w:val="auto"/>
          <w:szCs w:val="21"/>
          <w:highlight w:val="none"/>
        </w:rPr>
        <w:t>成交供应商为中小企业的可以自愿选择</w:t>
      </w:r>
      <w:r>
        <w:rPr>
          <w:rFonts w:hint="eastAsia" w:ascii="宋体" w:hAnsi="宋体" w:eastAsia="宋体" w:cs="宋体"/>
          <w:color w:val="auto"/>
          <w:szCs w:val="21"/>
          <w:highlight w:val="none"/>
          <w:lang w:val="en"/>
        </w:rPr>
        <w:t>政府采购贷款进行融资，通过“陕西省政府采购合同融资平台”（http://www.ccgp-shaanxi.gov.cn/）实施。</w:t>
      </w:r>
      <w:r>
        <w:rPr>
          <w:rFonts w:hint="eastAsia" w:ascii="宋体" w:hAnsi="宋体" w:eastAsia="宋体" w:cs="宋体"/>
          <w:color w:val="auto"/>
          <w:szCs w:val="21"/>
          <w:highlight w:val="none"/>
        </w:rPr>
        <w:t xml:space="preserve"> </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12.2 采购代理服务费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12.2.1采购人与采购代理机构约定，由成交供应商支付采购代理服务费的，成交供应商在领取《成交通知书》之前，应向采购代理机构交纳采购代理服务费。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采购代理服务费依据《国家计委关于印发招标代理服务收费管理暂行办法的通知》（计价格〔2002〕1980号）和国家发改委办公厅颁发的《关于招标代理服务收费有关问题的通知》（发改办价格〔2003〕857号）文件规定标准收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按代理合同取费费率计取。具体收费金额将在成交公告中公布。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12.2.3 采购代理服务费，成交供应商可以采取现金或者支票、银行汇票、电汇、网银等金融机构转账方式交纳。</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12.2.4 供应商须知前附表要求供应商提交磋商保证金的，成交供应商不得用磋商保证金冲抵，未按本章第12.2.1项规定交纳采购代理服务费的，其磋商保证金将被采购代理机构全额没收。</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12.3 录音录像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采购代理机构对开启响应文件、磋商和评审过程进行全程录音录像、文字记录，并存档备查。</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12.4 需要补充的其他内容</w:t>
      </w:r>
    </w:p>
    <w:p>
      <w:pPr>
        <w:adjustRightInd w:val="0"/>
        <w:snapToGrid w:val="0"/>
        <w:spacing w:before="120" w:beforeLines="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12.4.1根据《西安市财政局关于促进政府采购公平竞争优化营商环境的通知》市财函【2021】431号文规定属于西安市（含区、县）政府采购项目的，采购代理机构向采购人提交评审报告、采购人确定成交供应商、采购代理机构发布成交结果公告和采购人或采购代理机构发出成交通知书的期限要求，均在法定期限要求基础上提前1个工作日。</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12.4.2 磋商文件需要补充的其</w:t>
      </w:r>
      <w:r>
        <w:rPr>
          <w:rFonts w:hint="eastAsia" w:ascii="宋体" w:hAnsi="宋体" w:eastAsia="宋体" w:cs="宋体"/>
          <w:color w:val="auto"/>
          <w:szCs w:val="21"/>
          <w:highlight w:val="none"/>
        </w:rPr>
        <w:t>他内容，见供应商须知前附表。</w:t>
      </w:r>
    </w:p>
    <w:p>
      <w:pPr>
        <w:spacing w:line="360" w:lineRule="auto"/>
        <w:jc w:val="left"/>
        <w:rPr>
          <w:rFonts w:hint="eastAsia" w:ascii="宋体" w:hAnsi="宋体" w:eastAsia="宋体" w:cs="宋体"/>
          <w:b/>
          <w:color w:val="auto"/>
          <w:szCs w:val="21"/>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44"/>
          <w:szCs w:val="44"/>
          <w:highlight w:val="none"/>
        </w:rPr>
        <w:t>第三章 资格审查办法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根据《中华人民共和国政府采购法》及其实施条例和财政部《政府采购竞争性磋商采购方式管理暂行办法》（财库〔2014〕214号）等法律法规的规定，结合采购项目特点，制定本资格审查办法。</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color w:val="auto"/>
          <w:sz w:val="36"/>
          <w:szCs w:val="36"/>
          <w:highlight w:val="none"/>
        </w:rPr>
        <w:t>1.资格审查小组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根据陕西省财政厅2021年12月6日召开的通报政府采购监督评价情况的会议要求，采购代理机构应依法对供应商的资格进行审查，并组建资格审查小组。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 资格审查小组，由采购人代表或采购代理机构工作人员组成</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资格审查小组成立后，全体小组成员应当在签到表中签到。</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2.资格审查程序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资格审查按下列程序进行：</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（1）供应商基本资格条件审查；</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w:t>
      </w:r>
      <w:r>
        <w:rPr>
          <w:rFonts w:hint="eastAsia" w:ascii="宋体" w:hAnsi="宋体" w:eastAsia="宋体" w:cs="宋体"/>
          <w:color w:val="auto"/>
          <w:szCs w:val="21"/>
          <w:highlight w:val="none"/>
        </w:rPr>
        <w:t>落实政府采购政策资格条件审查（仅限专门面向中小企业采购的项目）</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（3）供应商特定资格条件审查（如有）；</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（4）供应商限定资格条件审查；</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（5）编写供应商资格审查报告。</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3.资格审查方法和标准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3.1 资格审查依据</w:t>
      </w:r>
    </w:p>
    <w:p>
      <w:pPr>
        <w:tabs>
          <w:tab w:val="left" w:pos="0"/>
        </w:tabs>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3.1.1 资格审查小组将依据供应商响应文件之资格证明文件，按照第二章第3.1条款所述资格要求对供应商进行资格审查，以确定其是否具备相应的资格条件。</w:t>
      </w:r>
      <w:r>
        <w:rPr>
          <w:rFonts w:hint="eastAsia" w:ascii="宋体" w:hAnsi="宋体" w:eastAsia="宋体" w:cs="宋体"/>
          <w:color w:val="auto"/>
          <w:kern w:val="0"/>
          <w:szCs w:val="21"/>
          <w:highlight w:val="none"/>
        </w:rPr>
        <w:t>如果供应商不具备或者不满足磋商文件所规定的资格条件,将视为未实质性响应磋商文件,</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3.2供应商基本资格条件的审查</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3.2.1 基本资格条件审查方法：</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（1）供应商属企业法人的，其营业执照，不审查原件，通过国家企业信用信息公示系统（http://www.gsxt.gov.cn/index.html）进行相关信息的核实；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（2）供应商属事业单位的，审查事业单位法人证书；</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（3）供应商属于其他组织的（包括但不限于民办非企业单位登记证书、社会团体法人登记证书、基金会法人登记证书），审查登记证书；</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（4）供应商属于个体工商户的，其个体工商户营业执照，不审查原件，通过国家企业信用信息公示系统（http://www.gsxt.gov.cn/index.html）进行相关信息的核实；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（5）供应商属于自然人的，审查身份证。</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3.2.2基本资格条件审查标准：</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（1）资格审查小组将按下表所列举的审查标准对供应商基本资格条件进行审查，供应商若有一项不合格，即判定其基本资格条件审查结果为不合格，</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除银行、保险、石油石化、电力、电信行业外，其他行业分支机构在参与磋商时，应当同时提供分支机构主体资格证明文件和总公司出具的授权书，总公司只能授权一家分支机构。经总公司（总所）授权后，总公司取得的相关资质证书对分支机构有效（法律法规或行业另有规定的除外）。</w:t>
      </w:r>
    </w:p>
    <w:p>
      <w:pPr>
        <w:snapToGrid w:val="0"/>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（3）公益类事业单位或者自然人参与磋商时，可不提供财务状况报告、社会保障资金和税收缴纳证明。</w:t>
      </w:r>
    </w:p>
    <w:tbl>
      <w:tblPr>
        <w:tblStyle w:val="26"/>
        <w:tblW w:w="8789"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5081"/>
        <w:gridCol w:w="1134"/>
        <w:gridCol w:w="1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31"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081"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审查因素</w:t>
            </w:r>
          </w:p>
        </w:tc>
        <w:tc>
          <w:tcPr>
            <w:tcW w:w="1134"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c>
          <w:tcPr>
            <w:tcW w:w="1843"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提供合格有效的法人或者其他组织的营业执照等证明文件，自然人的身份证明</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提供复印件；事业单位法人证书、其他组织登记证书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0"/>
            <w:vAlign w:val="center"/>
          </w:tcPr>
          <w:p>
            <w:pPr>
              <w:tabs>
                <w:tab w:val="left" w:pos="0"/>
              </w:tabs>
              <w:adjustRightInd w:val="0"/>
              <w:snapToGrid w:val="0"/>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投标供应商应授权合法的人员参加投标全过程，其中法定代表人直接参加投标的，须出具法人身份证，并与营业执照上信息一致。法定代表人授权代表参加投标的，须出具法定代表人授权书及授权代表身份证</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磋商文件提供的格式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投标供应商资质：</w:t>
            </w:r>
            <w:r>
              <w:rPr>
                <w:rFonts w:hint="eastAsia" w:ascii="宋体" w:hAnsi="宋体" w:eastAsia="宋体" w:cs="宋体"/>
                <w:color w:val="auto"/>
                <w:sz w:val="18"/>
                <w:szCs w:val="18"/>
                <w:highlight w:val="none"/>
                <w:lang w:eastAsia="zh-CN"/>
              </w:rPr>
              <w:t>具有有效的交通运输部颁发的公路工程综合甲级试验检测机构资质，</w:t>
            </w:r>
            <w:r>
              <w:rPr>
                <w:rFonts w:hint="eastAsia" w:ascii="宋体" w:hAnsi="宋体" w:cs="宋体"/>
                <w:color w:val="auto"/>
                <w:sz w:val="18"/>
                <w:szCs w:val="18"/>
                <w:highlight w:val="none"/>
                <w:lang w:eastAsia="zh-CN"/>
              </w:rPr>
              <w:t>同时具有省级及以上国家质量技术监督部门颁发的计量认证CMA合格证书</w:t>
            </w:r>
            <w:r>
              <w:rPr>
                <w:rFonts w:hint="eastAsia" w:ascii="宋体" w:hAnsi="宋体" w:eastAsia="宋体" w:cs="宋体"/>
                <w:color w:val="auto"/>
                <w:sz w:val="18"/>
                <w:szCs w:val="18"/>
                <w:highlight w:val="none"/>
              </w:rPr>
              <w:t>；</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5081" w:type="dxa"/>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项目负责人：具有相关专业高级或以上技术职称；持有交通运输部颁发的试验检测工程师证书；</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证书</w:t>
            </w:r>
            <w:r>
              <w:rPr>
                <w:rFonts w:hint="eastAsia" w:ascii="宋体" w:hAnsi="宋体" w:eastAsia="宋体" w:cs="宋体"/>
                <w:color w:val="auto"/>
                <w:kern w:val="0"/>
                <w:sz w:val="18"/>
                <w:szCs w:val="18"/>
                <w:highlight w:val="none"/>
              </w:rPr>
              <w:t>提供复印件；</w:t>
            </w:r>
          </w:p>
          <w:p>
            <w:pPr>
              <w:tabs>
                <w:tab w:val="left" w:pos="0"/>
              </w:tabs>
              <w:adjustRightInd w:val="0"/>
              <w:snapToGrid w:val="0"/>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5081" w:type="dxa"/>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zh-CN" w:eastAsia="zh-CN"/>
              </w:rPr>
              <w:t>技术负责人：具有相关专业高级或以上技术职称；持有交通运输部颁发的试验检测工程师证书</w:t>
            </w:r>
            <w:r>
              <w:rPr>
                <w:rFonts w:hint="eastAsia" w:ascii="宋体" w:hAnsi="宋体" w:cs="宋体"/>
                <w:color w:val="auto"/>
                <w:sz w:val="18"/>
                <w:szCs w:val="18"/>
                <w:highlight w:val="none"/>
                <w:lang w:val="zh-CN" w:eastAsia="zh-CN"/>
              </w:rPr>
              <w:t>；</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证书</w:t>
            </w:r>
            <w:r>
              <w:rPr>
                <w:rFonts w:hint="eastAsia" w:ascii="宋体" w:hAnsi="宋体" w:eastAsia="宋体" w:cs="宋体"/>
                <w:color w:val="auto"/>
                <w:kern w:val="0"/>
                <w:sz w:val="18"/>
                <w:szCs w:val="18"/>
                <w:highlight w:val="none"/>
              </w:rPr>
              <w:t>提供复印件；</w:t>
            </w:r>
          </w:p>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提供交通运输部近5年公路水运试验检测机构信用评价结果和比对试验结果，并没有正受到被项目所在地交通运输或建设主管部门取消投标资格的行政处罚（2023修订）</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投标供应商投标供应商未列入国家企业信用信息公示系统(http://www.gsxt.gov.cn/)中被列入严重违法失信企业名单、 不得为“信用中国(www.creditchina.gov.cn)”中列入失信被执行人和重大税收违法案件当事人名单的供应商，不得为“中国政府采购网(www.ccgp.gov.cn)” 政府采购严重违法失信行为记录名单中被财政部门禁止参加政府采购活动的供应商在经营活动中没有重大违法记录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参加本次政府采购活动前三年内，在经营活动中没有重大违法记录</w:t>
            </w:r>
            <w:r>
              <w:rPr>
                <w:rFonts w:hint="eastAsia" w:ascii="宋体" w:hAnsi="宋体" w:cs="宋体"/>
                <w:color w:val="auto"/>
                <w:sz w:val="18"/>
                <w:szCs w:val="18"/>
                <w:highlight w:val="none"/>
                <w:lang w:val="en-US" w:eastAsia="zh-CN"/>
              </w:rPr>
              <w:t>承诺书。</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strike w:val="0"/>
                <w:dstrike w:val="0"/>
                <w:color w:val="auto"/>
                <w:sz w:val="18"/>
                <w:szCs w:val="18"/>
                <w:highlight w:val="none"/>
              </w:rPr>
              <w:t xml:space="preserve">提供 </w:t>
            </w:r>
            <w:r>
              <w:rPr>
                <w:rFonts w:hint="eastAsia" w:ascii="宋体" w:hAnsi="宋体" w:eastAsia="宋体" w:cs="宋体"/>
                <w:strike w:val="0"/>
                <w:dstrike w:val="0"/>
                <w:color w:val="auto"/>
                <w:sz w:val="18"/>
                <w:szCs w:val="18"/>
                <w:highlight w:val="none"/>
                <w:lang w:val="en-US" w:eastAsia="zh-CN"/>
              </w:rPr>
              <w:t>2021或2022</w:t>
            </w:r>
            <w:r>
              <w:rPr>
                <w:rFonts w:hint="eastAsia" w:ascii="宋体" w:hAnsi="宋体" w:eastAsia="宋体" w:cs="宋体"/>
                <w:strike w:val="0"/>
                <w:dstrike w:val="0"/>
                <w:color w:val="auto"/>
                <w:sz w:val="18"/>
                <w:szCs w:val="18"/>
                <w:highlight w:val="none"/>
              </w:rPr>
              <w:t xml:space="preserve"> 年度经审计的供应商财务</w:t>
            </w:r>
            <w:r>
              <w:rPr>
                <w:rFonts w:hint="eastAsia" w:ascii="宋体" w:hAnsi="宋体" w:eastAsia="宋体" w:cs="宋体"/>
                <w:strike w:val="0"/>
                <w:dstrike w:val="0"/>
                <w:color w:val="auto"/>
                <w:sz w:val="18"/>
                <w:szCs w:val="18"/>
                <w:highlight w:val="none"/>
                <w:lang w:val="en-US" w:eastAsia="zh-CN"/>
              </w:rPr>
              <w:t>审</w:t>
            </w:r>
            <w:r>
              <w:rPr>
                <w:rFonts w:hint="eastAsia" w:ascii="宋体" w:hAnsi="宋体" w:eastAsia="宋体" w:cs="宋体"/>
                <w:strike w:val="0"/>
                <w:dstrike w:val="0"/>
                <w:color w:val="auto"/>
                <w:sz w:val="18"/>
                <w:szCs w:val="18"/>
                <w:highlight w:val="none"/>
              </w:rPr>
              <w:t>计报告或者</w:t>
            </w:r>
            <w:r>
              <w:rPr>
                <w:rFonts w:hint="eastAsia" w:ascii="宋体" w:hAnsi="宋体" w:eastAsia="宋体" w:cs="宋体"/>
                <w:strike w:val="0"/>
                <w:dstrike w:val="0"/>
                <w:color w:val="auto"/>
                <w:sz w:val="18"/>
                <w:szCs w:val="18"/>
                <w:highlight w:val="none"/>
                <w:lang w:val="en-US" w:eastAsia="zh-CN"/>
              </w:rPr>
              <w:t>提供开标前六个月其基本账户开户银行出具的资信证明</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提供复印件；资信证明为基本账户开出的原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rPr>
              <w:t>本项目不接受联合体</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0</w:t>
            </w:r>
          </w:p>
        </w:tc>
        <w:tc>
          <w:tcPr>
            <w:tcW w:w="5081"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税收缴纳证明：提供供应商自磋商前1年以来已缴纳任意时段完税凭证或税务机关开具的完税证明（任意税种）；依法免税的应提供相关文件证明</w:t>
            </w:r>
          </w:p>
        </w:tc>
        <w:tc>
          <w:tcPr>
            <w:tcW w:w="1134" w:type="dxa"/>
            <w:noWrap w:val="0"/>
            <w:vAlign w:val="center"/>
          </w:tcPr>
          <w:p>
            <w:pPr>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凭证提供复印件；</w:t>
            </w:r>
          </w:p>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1</w:t>
            </w:r>
          </w:p>
        </w:tc>
        <w:tc>
          <w:tcPr>
            <w:tcW w:w="5081"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社会保障资金缴纳证明：提供供应商自磋商前1年以来已缴存的任意时段的社会保障资金缴存单据或社保机构开具的社会保险参保缴费情况证明；依法不需要缴纳社会保障资金的供应商应提供相关文件证明</w:t>
            </w:r>
          </w:p>
        </w:tc>
        <w:tc>
          <w:tcPr>
            <w:tcW w:w="1134" w:type="dxa"/>
            <w:noWrap w:val="0"/>
            <w:vAlign w:val="center"/>
          </w:tcPr>
          <w:p>
            <w:pPr>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凭证提供复印件；</w:t>
            </w:r>
          </w:p>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2</w:t>
            </w:r>
          </w:p>
        </w:tc>
        <w:tc>
          <w:tcPr>
            <w:tcW w:w="5081"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zh-CN"/>
              </w:rPr>
              <w:t>提供供应商具备履行合同所必需的设备和专业技术能力的证明材料</w:t>
            </w:r>
          </w:p>
        </w:tc>
        <w:tc>
          <w:tcPr>
            <w:tcW w:w="1134" w:type="dxa"/>
            <w:noWrap w:val="0"/>
            <w:vAlign w:val="center"/>
          </w:tcPr>
          <w:p>
            <w:pPr>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84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磋商文件提供的格式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3</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lang w:val="zh-CN" w:eastAsia="zh-CN" w:bidi="ar-SA"/>
              </w:rPr>
            </w:pPr>
            <w:r>
              <w:rPr>
                <w:rFonts w:hint="eastAsia" w:ascii="宋体" w:hAnsi="宋体" w:eastAsia="宋体" w:cs="宋体"/>
                <w:color w:val="auto"/>
                <w:kern w:val="0"/>
                <w:sz w:val="18"/>
                <w:szCs w:val="18"/>
                <w:highlight w:val="none"/>
                <w:lang w:val="en-US" w:eastAsia="zh-CN"/>
              </w:rPr>
              <w:t>本项目专门面向中小企业采购，供应商应为中小企业（提供中小企业声明函）</w:t>
            </w:r>
          </w:p>
        </w:tc>
        <w:tc>
          <w:tcPr>
            <w:tcW w:w="113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中小企业声明函</w:t>
            </w:r>
          </w:p>
        </w:tc>
        <w:tc>
          <w:tcPr>
            <w:tcW w:w="184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中小企业声明函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789" w:type="dxa"/>
            <w:gridSpan w:val="4"/>
            <w:noWrap w:val="0"/>
            <w:vAlign w:val="center"/>
          </w:tcPr>
          <w:p>
            <w:pPr>
              <w:tabs>
                <w:tab w:val="left" w:pos="0"/>
                <w:tab w:val="left" w:pos="1175"/>
              </w:tabs>
              <w:adjustRightInd w:val="0"/>
              <w:snapToGrid w:val="0"/>
              <w:jc w:val="left"/>
              <w:rPr>
                <w:rFonts w:hint="eastAsia" w:ascii="宋体" w:hAnsi="宋体" w:eastAsia="宋体" w:cs="宋体"/>
                <w:color w:val="auto"/>
                <w:kern w:val="0"/>
                <w:sz w:val="18"/>
                <w:szCs w:val="18"/>
                <w:highlight w:val="none"/>
                <w:lang w:val="en-US" w:eastAsia="zh-CN"/>
              </w:rPr>
            </w:pPr>
            <w:r>
              <w:rPr>
                <w:rFonts w:hint="eastAsia" w:ascii="宋体" w:hAnsi="宋体"/>
                <w:b/>
                <w:color w:val="auto"/>
                <w:sz w:val="21"/>
                <w:szCs w:val="21"/>
                <w:highlight w:val="none"/>
                <w:lang w:val="en-US" w:eastAsia="zh-CN"/>
              </w:rPr>
              <w:t>注：</w:t>
            </w:r>
            <w:r>
              <w:rPr>
                <w:rFonts w:hint="eastAsia" w:ascii="宋体" w:hAnsi="宋体"/>
                <w:b/>
                <w:color w:val="auto"/>
                <w:sz w:val="21"/>
                <w:szCs w:val="21"/>
                <w:highlight w:val="none"/>
              </w:rPr>
              <w:t>按交通运输部“公路水运工程水运检测管理信息系统”公布的最新从业单位资质名录对投标人资质、项目负责人试验检测工程师证书进行核查，未列入名录的或核查不一致的，评审不予认可。</w:t>
            </w:r>
          </w:p>
        </w:tc>
      </w:tr>
    </w:tbl>
    <w:p>
      <w:pPr>
        <w:tabs>
          <w:tab w:val="left" w:pos="0"/>
        </w:tabs>
        <w:adjustRightInd w:val="0"/>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3.3供应商落实政府采购政策资格条件审查</w:t>
      </w:r>
    </w:p>
    <w:p>
      <w:pPr>
        <w:tabs>
          <w:tab w:val="left" w:pos="0"/>
        </w:tabs>
        <w:adjustRightInd w:val="0"/>
        <w:snapToGrid w:val="0"/>
        <w:spacing w:line="360" w:lineRule="auto"/>
        <w:ind w:firstLine="422" w:firstLineChars="200"/>
        <w:rPr>
          <w:rFonts w:hint="eastAsia" w:ascii="宋体" w:hAnsi="宋体" w:eastAsia="宋体" w:cs="宋体"/>
          <w:b/>
          <w:color w:val="auto"/>
          <w:sz w:val="30"/>
          <w:szCs w:val="30"/>
          <w:highlight w:val="none"/>
        </w:rPr>
      </w:pPr>
      <w:r>
        <w:rPr>
          <w:rFonts w:hint="eastAsia" w:ascii="宋体" w:hAnsi="宋体" w:eastAsia="宋体" w:cs="宋体"/>
          <w:b/>
          <w:szCs w:val="21"/>
          <w:highlight w:val="none"/>
        </w:rPr>
        <w:t>3.3.1供应商落实政府采购政策资格条件审查方法：</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kern w:val="0"/>
          <w:szCs w:val="21"/>
          <w:highlight w:val="none"/>
        </w:rPr>
        <w:t>审查供应商提供的《中小企业声明函》。</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（1）供应商提供的《中小企业声明函》存在明显错误的，资格审查小组可以按照第四章第1.3条款的规定，要求供应商作出澄清；澄清后，符合中小企业条件的，予以通过资格审查；否则，不予通过资格审查，</w:t>
      </w:r>
      <w:r>
        <w:rPr>
          <w:rFonts w:hint="eastAsia" w:ascii="宋体" w:hAnsi="宋体" w:eastAsia="宋体" w:cs="宋体"/>
          <w:b/>
          <w:szCs w:val="21"/>
          <w:highlight w:val="none"/>
        </w:rPr>
        <w:t>其响应文件无效</w:t>
      </w:r>
      <w:r>
        <w:rPr>
          <w:rFonts w:hint="eastAsia" w:ascii="宋体" w:hAnsi="宋体" w:eastAsia="宋体" w:cs="宋体"/>
          <w:szCs w:val="21"/>
          <w:highlight w:val="none"/>
        </w:rPr>
        <w:t>。</w:t>
      </w:r>
    </w:p>
    <w:p>
      <w:pPr>
        <w:tabs>
          <w:tab w:val="left" w:pos="0"/>
        </w:tabs>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3.3.2供应商落实政府采购政策资格条件审查标准：</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（1）供应商</w:t>
      </w:r>
      <w:r>
        <w:rPr>
          <w:rFonts w:hint="eastAsia" w:ascii="宋体" w:hAnsi="宋体" w:eastAsia="宋体" w:cs="宋体"/>
          <w:kern w:val="0"/>
          <w:szCs w:val="21"/>
          <w:highlight w:val="none"/>
        </w:rPr>
        <w:t>未提供《中小企业声明函》的，即判定其不满足资格条件要求，资格不予审查通过，</w:t>
      </w:r>
      <w:r>
        <w:rPr>
          <w:rFonts w:hint="eastAsia" w:ascii="宋体" w:hAnsi="宋体" w:eastAsia="宋体" w:cs="宋体"/>
          <w:b/>
          <w:kern w:val="0"/>
          <w:szCs w:val="21"/>
          <w:highlight w:val="none"/>
        </w:rPr>
        <w:t>其响应文件无效</w:t>
      </w:r>
      <w:r>
        <w:rPr>
          <w:rFonts w:hint="eastAsia" w:ascii="宋体" w:hAnsi="宋体" w:eastAsia="宋体" w:cs="宋体"/>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（2）供应商（含联合体）提供《中小企业声明函》的，存在大型企业承接本工程项目情形的，即判定其不满足资格条件要求，资格不予审查通过，</w:t>
      </w:r>
      <w:r>
        <w:rPr>
          <w:rFonts w:hint="eastAsia" w:ascii="宋体" w:hAnsi="宋体" w:eastAsia="宋体" w:cs="宋体"/>
          <w:b/>
          <w:kern w:val="0"/>
          <w:szCs w:val="21"/>
          <w:highlight w:val="none"/>
        </w:rPr>
        <w:t>其响应文件无效</w:t>
      </w:r>
      <w:r>
        <w:rPr>
          <w:rFonts w:hint="eastAsia" w:ascii="宋体" w:hAnsi="宋体" w:eastAsia="宋体" w:cs="宋体"/>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（3）供应商提供《残疾人福利性单位声明函》的，存在不符合残疾人福利性单位政策条件情形的，资格不予审查通过，</w:t>
      </w:r>
      <w:r>
        <w:rPr>
          <w:rFonts w:hint="eastAsia" w:ascii="宋体" w:hAnsi="宋体" w:eastAsia="宋体" w:cs="宋体"/>
          <w:b/>
          <w:kern w:val="0"/>
          <w:szCs w:val="21"/>
          <w:highlight w:val="none"/>
        </w:rPr>
        <w:t>其响应文件无效</w:t>
      </w:r>
      <w:r>
        <w:rPr>
          <w:rFonts w:hint="eastAsia" w:ascii="宋体" w:hAnsi="宋体" w:eastAsia="宋体" w:cs="宋体"/>
          <w:kern w:val="0"/>
          <w:szCs w:val="21"/>
          <w:highlight w:val="none"/>
        </w:rPr>
        <w:t>。</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3.4供应商特定资格条件的审查</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如本项目属于特定行业，磋商文件规定了供应商特定资格条件的，资格审查小组将对供应商特定资格条件进行审查。 </w:t>
      </w:r>
    </w:p>
    <w:p>
      <w:pPr>
        <w:tabs>
          <w:tab w:val="left" w:pos="0"/>
        </w:tabs>
        <w:adjustRightInd w:val="0"/>
        <w:snapToGrid w:val="0"/>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3.4.1.1 特定行业资格条件审查方法：</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具有有效的交通运输部颁发的公路工程综合甲级试验检测机构资质，</w:t>
      </w:r>
      <w:r>
        <w:rPr>
          <w:rFonts w:hint="eastAsia" w:ascii="宋体" w:hAnsi="宋体" w:cs="宋体"/>
          <w:color w:val="auto"/>
          <w:kern w:val="0"/>
          <w:szCs w:val="21"/>
          <w:highlight w:val="none"/>
          <w:u w:val="single"/>
          <w:lang w:eastAsia="zh-CN"/>
        </w:rPr>
        <w:t>同时具有省级及以上国家质量技术监督部门颁发的计量认证CMA合格证书</w:t>
      </w:r>
      <w:r>
        <w:rPr>
          <w:rFonts w:hint="eastAsia" w:ascii="宋体" w:hAnsi="宋体" w:eastAsia="宋体" w:cs="宋体"/>
          <w:color w:val="auto"/>
          <w:kern w:val="0"/>
          <w:szCs w:val="21"/>
          <w:highlight w:val="none"/>
        </w:rPr>
        <w:t>（行政许可），不审查原件，通过国家企业信用信息公示系统（http://www.gsxt.gov.cn/index.html）或者行政许可证复印件或者电子证书打印件进行行政许可信息的核实。</w:t>
      </w:r>
    </w:p>
    <w:p>
      <w:pPr>
        <w:tabs>
          <w:tab w:val="left" w:pos="0"/>
        </w:tabs>
        <w:adjustRightInd w:val="0"/>
        <w:snapToGrid w:val="0"/>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3.4.1.2 特定行业资格条件审查标准：</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供应商未提供行政许可证复印件或者电子证书打印件，以及经核实信息有误的，其不满足特定资格条件要求，资格审查不予通过，</w:t>
      </w:r>
      <w:r>
        <w:rPr>
          <w:rFonts w:hint="eastAsia" w:ascii="宋体" w:hAnsi="宋体" w:eastAsia="宋体" w:cs="宋体"/>
          <w:b/>
          <w:color w:val="auto"/>
          <w:kern w:val="0"/>
          <w:szCs w:val="21"/>
          <w:highlight w:val="none"/>
        </w:rPr>
        <w:t>其响应文件无效。</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3.5供应商限定资格条件的审查</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3.5.1 限定资格条件审查方法：</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（1）资格审查小组将通过信用中国网（http://www.creditchina.gov.cn/）和中国政府采购网（http://www.ccgp.gov.cn/cr/list）对供应商的信用信息进行查询核实。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（2）资格审查小组将依据供应商响应文件之资格证明文件和通过国家企业信用信息公示系统（http://www.gsxt.gov.cn/index.html）对供应商之间存在隶属关系或者其他利害关系进行相关信息的核实。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（3）供应商不良信用记录以资格审查小组查询结果为准。</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3.5.2限定资格条件审查标准：</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（1）供应商存在第二章第1.3.2条列举情形之一的，审查不予通过，即判定其限定资格条件审查结果为不合格，</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（2）供应商须知前附表规定接受联合体磋商的，联合体任何一方存在第二章第</w:t>
      </w:r>
      <w:r>
        <w:rPr>
          <w:rFonts w:hint="eastAsia" w:ascii="宋体" w:hAnsi="宋体" w:eastAsia="宋体" w:cs="宋体"/>
          <w:color w:val="auto"/>
          <w:szCs w:val="21"/>
          <w:highlight w:val="none"/>
        </w:rPr>
        <w:t>1.3.2条列举</w:t>
      </w:r>
      <w:r>
        <w:rPr>
          <w:rFonts w:hint="eastAsia" w:ascii="宋体" w:hAnsi="宋体" w:eastAsia="宋体" w:cs="宋体"/>
          <w:color w:val="auto"/>
          <w:kern w:val="0"/>
          <w:szCs w:val="21"/>
          <w:highlight w:val="none"/>
        </w:rPr>
        <w:t>情形之一的，视同联合体存在相同情形，审查不予通过，即判定其限定资格条件审查结果为不合格，将不具备磋商资格，</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4.资格审查报告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资格审查报告由资格审查小组负责编制，以采购代理机构名义向采购人提交，其附表《供应商资格审查表》应当经资格审查小组全体成员签名确认。资格审查报告经采购人盖章确认后随采购文件一并存档。</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供应商信用查询结果的截屏资料或者下载的信用报告，通过电子文件保存至</w:t>
      </w:r>
      <w:r>
        <w:rPr>
          <w:rFonts w:hint="eastAsia" w:ascii="宋体" w:hAnsi="宋体" w:eastAsia="宋体" w:cs="宋体"/>
          <w:color w:val="auto"/>
          <w:kern w:val="0"/>
          <w:szCs w:val="21"/>
          <w:highlight w:val="none"/>
          <w:lang w:val="en-US" w:eastAsia="zh-CN"/>
        </w:rPr>
        <w:t>U</w:t>
      </w:r>
      <w:r>
        <w:rPr>
          <w:rFonts w:hint="eastAsia" w:ascii="宋体" w:hAnsi="宋体" w:eastAsia="宋体" w:cs="宋体"/>
          <w:color w:val="auto"/>
          <w:kern w:val="0"/>
          <w:szCs w:val="21"/>
          <w:highlight w:val="none"/>
        </w:rPr>
        <w:t>盘，作为资格审查报告附件随采购文件一起存档。</w:t>
      </w:r>
    </w:p>
    <w:p>
      <w:pPr>
        <w:tabs>
          <w:tab w:val="left" w:pos="0"/>
        </w:tabs>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4.3</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szCs w:val="21"/>
          <w:highlight w:val="none"/>
        </w:rPr>
        <w:t>未通过资格审查的供应商，不得进入后续磋商、评审环节。</w:t>
      </w: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after="120" w:afterLines="50" w:line="360" w:lineRule="auto"/>
        <w:jc w:val="both"/>
        <w:rPr>
          <w:rFonts w:hint="eastAsia" w:ascii="宋体" w:hAnsi="宋体" w:eastAsia="宋体" w:cs="宋体"/>
          <w:b/>
          <w:color w:val="auto"/>
          <w:sz w:val="44"/>
          <w:szCs w:val="44"/>
          <w:highlight w:val="none"/>
        </w:rPr>
      </w:pPr>
    </w:p>
    <w:p>
      <w:pPr>
        <w:spacing w:after="120" w:afterLines="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44"/>
          <w:szCs w:val="44"/>
          <w:highlight w:val="none"/>
        </w:rPr>
        <w:br w:type="page"/>
      </w:r>
      <w:r>
        <w:rPr>
          <w:rFonts w:hint="eastAsia" w:ascii="宋体" w:hAnsi="宋体" w:eastAsia="宋体" w:cs="宋体"/>
          <w:b/>
          <w:color w:val="auto"/>
          <w:sz w:val="44"/>
          <w:szCs w:val="44"/>
          <w:highlight w:val="none"/>
        </w:rPr>
        <w:t>第四章</w:t>
      </w:r>
      <w:bookmarkStart w:id="105" w:name="_Toc217446093"/>
      <w:r>
        <w:rPr>
          <w:rFonts w:hint="eastAsia" w:ascii="宋体" w:hAnsi="宋体" w:eastAsia="宋体" w:cs="宋体"/>
          <w:b/>
          <w:color w:val="auto"/>
          <w:sz w:val="44"/>
          <w:szCs w:val="44"/>
          <w:highlight w:val="none"/>
        </w:rPr>
        <w:t xml:space="preserve"> 磋商办法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根据《中华人民共和国政府采购法》及其实施条例和财政部《政府采购竞争性磋商采购方式管理暂行办法》（财库〔2014〕214号）等法律法规的规定，结合采购项目特点，制定本磋商办法。</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1.磋商程序</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 磋商按下列程序进行：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（1）响应文件符合性审查；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（2）响应文件的澄清；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（3）磋商（包括技术磋商、商务磋商、提交最后报价）；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（4）响应文件详细评审；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（5）复核与核对评审结果；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（6）确定成交候选人名单；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（7）编写评审报告。</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 响应文件符合性审查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磋商小组依法对通过资格条件审查的供应商响应文件进行符合性审查。磋商小组从响应文件的有效性、完整性和对磋商文件的响应程度进行审查，以确定其是否对磋商文件实质性内容作出响应，有无恶意串通行为。</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1.2.2 磋商小组将按下列评审标准对供应商的响应文件进行符合性审查，</w:t>
      </w:r>
      <w:r>
        <w:rPr>
          <w:rFonts w:hint="eastAsia" w:ascii="宋体" w:hAnsi="宋体" w:eastAsia="宋体" w:cs="宋体"/>
          <w:bCs/>
          <w:color w:val="auto"/>
          <w:szCs w:val="21"/>
          <w:highlight w:val="none"/>
        </w:rPr>
        <w:t>供应商若</w:t>
      </w:r>
      <w:r>
        <w:rPr>
          <w:rFonts w:hint="eastAsia" w:ascii="宋体" w:hAnsi="宋体" w:eastAsia="宋体" w:cs="宋体"/>
          <w:color w:val="auto"/>
          <w:kern w:val="0"/>
          <w:szCs w:val="21"/>
          <w:highlight w:val="none"/>
        </w:rPr>
        <w:t>有一项不合格，即判定其符合性审查结果为不合格，将不具备磋商资格，按</w:t>
      </w:r>
      <w:r>
        <w:rPr>
          <w:rFonts w:hint="eastAsia" w:ascii="宋体" w:hAnsi="宋体" w:eastAsia="宋体" w:cs="宋体"/>
          <w:b/>
          <w:color w:val="auto"/>
          <w:kern w:val="0"/>
          <w:szCs w:val="21"/>
          <w:highlight w:val="none"/>
        </w:rPr>
        <w:t>无效响应文件</w:t>
      </w:r>
      <w:r>
        <w:rPr>
          <w:rFonts w:hint="eastAsia" w:ascii="宋体" w:hAnsi="宋体" w:eastAsia="宋体" w:cs="宋体"/>
          <w:color w:val="auto"/>
          <w:kern w:val="0"/>
          <w:szCs w:val="21"/>
          <w:highlight w:val="none"/>
        </w:rPr>
        <w:t>处理。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059"/>
        <w:gridCol w:w="334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0" w:type="auto"/>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序号</w:t>
            </w:r>
          </w:p>
        </w:tc>
        <w:tc>
          <w:tcPr>
            <w:tcW w:w="4399" w:type="dxa"/>
            <w:gridSpan w:val="2"/>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评审因素</w:t>
            </w:r>
          </w:p>
        </w:tc>
        <w:tc>
          <w:tcPr>
            <w:tcW w:w="4247" w:type="dxa"/>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vMerge w:val="restart"/>
            <w:noWrap w:val="0"/>
            <w:vAlign w:val="center"/>
          </w:tcPr>
          <w:p>
            <w:pPr>
              <w:tabs>
                <w:tab w:val="left" w:pos="0"/>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59" w:type="dxa"/>
            <w:vMerge w:val="restart"/>
            <w:noWrap w:val="0"/>
            <w:vAlign w:val="center"/>
          </w:tcPr>
          <w:p>
            <w:pPr>
              <w:tabs>
                <w:tab w:val="left" w:pos="0"/>
              </w:tabs>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有效性审查</w:t>
            </w:r>
          </w:p>
        </w:tc>
        <w:tc>
          <w:tcPr>
            <w:tcW w:w="3340"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（1）响应文件的签署盖章</w:t>
            </w:r>
          </w:p>
        </w:tc>
        <w:tc>
          <w:tcPr>
            <w:tcW w:w="4247"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符合第二章“供应商须知”第4.8.4条款的规定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（2）响应文件格式</w:t>
            </w:r>
          </w:p>
        </w:tc>
        <w:tc>
          <w:tcPr>
            <w:tcW w:w="4247"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符合第七章“响应文件格式”的规定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（3）报价唯一</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只能有一个有效报价，不得提交选择性报价，且报价不超过第二章“供应商须知”前附表规定的采购预算金额或最高限价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pPr>
              <w:tabs>
                <w:tab w:val="left" w:pos="0"/>
              </w:tabs>
              <w:adjustRightInd w:val="0"/>
              <w:snapToGrid w:val="0"/>
              <w:spacing w:line="360" w:lineRule="auto"/>
              <w:jc w:val="center"/>
              <w:rPr>
                <w:rFonts w:hint="eastAsia" w:ascii="宋体" w:hAnsi="宋体" w:eastAsia="宋体" w:cs="宋体"/>
                <w:szCs w:val="21"/>
              </w:rPr>
            </w:pPr>
          </w:p>
        </w:tc>
        <w:tc>
          <w:tcPr>
            <w:tcW w:w="1059" w:type="dxa"/>
            <w:vMerge w:val="continue"/>
            <w:noWrap w:val="0"/>
            <w:vAlign w:val="center"/>
          </w:tcPr>
          <w:p>
            <w:pPr>
              <w:tabs>
                <w:tab w:val="left" w:pos="0"/>
              </w:tabs>
              <w:adjustRightInd w:val="0"/>
              <w:snapToGrid w:val="0"/>
              <w:jc w:val="center"/>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（4）电子文件（</w:t>
            </w:r>
            <w:r>
              <w:rPr>
                <w:rFonts w:hint="eastAsia" w:ascii="宋体" w:hAnsi="宋体" w:eastAsia="宋体" w:cs="宋体"/>
                <w:color w:val="auto"/>
                <w:sz w:val="18"/>
                <w:szCs w:val="18"/>
                <w:lang w:val="en-US" w:eastAsia="zh-CN"/>
              </w:rPr>
              <w:t>U</w:t>
            </w:r>
            <w:r>
              <w:rPr>
                <w:rFonts w:hint="eastAsia" w:ascii="宋体" w:hAnsi="宋体" w:eastAsia="宋体" w:cs="宋体"/>
                <w:color w:val="auto"/>
                <w:sz w:val="18"/>
                <w:szCs w:val="18"/>
              </w:rPr>
              <w:t>盘）</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符合第二章“供应商须知”第4.8.7条款的规定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continue"/>
            <w:noWrap w:val="0"/>
            <w:vAlign w:val="center"/>
          </w:tcPr>
          <w:p>
            <w:pPr>
              <w:tabs>
                <w:tab w:val="left" w:pos="0"/>
              </w:tabs>
              <w:adjustRightInd w:val="0"/>
              <w:snapToGrid w:val="0"/>
              <w:spacing w:line="360" w:lineRule="auto"/>
              <w:jc w:val="center"/>
              <w:rPr>
                <w:rFonts w:hint="eastAsia" w:ascii="宋体" w:hAnsi="宋体" w:eastAsia="宋体" w:cs="宋体"/>
                <w:szCs w:val="21"/>
              </w:rPr>
            </w:pPr>
          </w:p>
        </w:tc>
        <w:tc>
          <w:tcPr>
            <w:tcW w:w="1059" w:type="dxa"/>
            <w:vMerge w:val="continue"/>
            <w:noWrap w:val="0"/>
            <w:vAlign w:val="center"/>
          </w:tcPr>
          <w:p>
            <w:pPr>
              <w:tabs>
                <w:tab w:val="left" w:pos="0"/>
              </w:tabs>
              <w:adjustRightInd w:val="0"/>
              <w:snapToGrid w:val="0"/>
              <w:jc w:val="center"/>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）不存在恶意串通的情形</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不存在本章第1.2.3条款规定的任何一种情形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0" w:type="auto"/>
            <w:noWrap w:val="0"/>
            <w:vAlign w:val="center"/>
          </w:tcPr>
          <w:p>
            <w:pPr>
              <w:tabs>
                <w:tab w:val="left" w:pos="0"/>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059" w:type="dxa"/>
            <w:noWrap w:val="0"/>
            <w:vAlign w:val="center"/>
          </w:tcPr>
          <w:p>
            <w:pPr>
              <w:tabs>
                <w:tab w:val="left" w:pos="0"/>
              </w:tabs>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完整性审查</w:t>
            </w: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）响应文件份数</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符合第二章“供应商须知”第4.8.3条款的规定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9" w:type="dxa"/>
            <w:vMerge w:val="restart"/>
            <w:noWrap w:val="0"/>
            <w:vAlign w:val="center"/>
          </w:tcPr>
          <w:p>
            <w:pPr>
              <w:tabs>
                <w:tab w:val="left" w:pos="0"/>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059" w:type="dxa"/>
            <w:vMerge w:val="restart"/>
            <w:noWrap w:val="0"/>
            <w:vAlign w:val="center"/>
          </w:tcPr>
          <w:p>
            <w:pPr>
              <w:tabs>
                <w:tab w:val="left" w:pos="0"/>
              </w:tabs>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响应性审查</w:t>
            </w: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）对磋商文件响应程度</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符合磋商文件实质性要求的规定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29" w:type="dxa"/>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）磋商有效期</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符合第二章“供应商须知”第4.4.1条款的规定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29" w:type="dxa"/>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）权利义务</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符合第六章“政府采购合同格式”条款中实质性要求和条件</w:t>
            </w:r>
          </w:p>
        </w:tc>
      </w:tr>
    </w:tbl>
    <w:p>
      <w:pPr>
        <w:spacing w:before="360" w:beforeLines="15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1.2.3有下列情形之一的，视为供应商相互恶意串通，响应文件无效：</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（1）不同供应商的响应文件由同一单位或者个人编制；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（3）不同供应商的响应文件载明的项目管理成员为同一人；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（4）不同供应商的响应文件异常一致或者磋商报价呈规律性差异；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（6）不同供应商的磋商保证金从同一单位或者个人的账户转出（仅限供应商须知前附表要求供应商提交磋商保证金的）。</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1.2.4响应文件出现下列情况之一的，响应文件无效：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（1）不符合磋商文件规定的资格要求的；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（2）不符合磋商文件规定的实质性要求的；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（3）未按照磋商文件的规定提交磋商保证金的（仅限供应商须知前附表要求供应商提交磋商保证金的）；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（5）磋商报价超过了磋商文件规定的预算金额或者最高限价的；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（6）响应文件含有采购人不能接受的附加条件的；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（7）提供服务、产品不符合强制执行的国家标准、行业标准的；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（8）提供产品不是国家强制节能产品品目清单中的产品（如有）；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（9）提供产品属于强制性认证产品的未提供强制性产品认证证书复印件的；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（10）法律、行政法规和磋商文件规定的其他无效情形。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响应文件存在以上情况（1）（3）的，由资格审查小组认定，其余情况由磋商小组认定。</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1.2.5非实质性偏离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实质性偏离是指响应文件在实质上响应磋商文件的要求，但在个别地方存在一些不规则、不一致、不完整的内容，并且澄清、说明或者补正这些内容不会改变响应文件的实质性内容。以下情况属于非实质性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（1）文字表述的内容含义不明确；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（2）同类问题表述不一致；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（3）有明显文字和计算错误；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（4）提供的技术信息和数据资料不完整；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（5）正副本数量齐全、密封完好，只是未按照磋商文件要求进行分装或者统装；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（6）响应文件未按磋商文件要求进行装订或未编制目录、页码或者页码混乱；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（7）磋商小组认定的其他非实质性偏离。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响应文件有上述（1）至（4）情形之一的，磋商小组应当书面要求供应商在规定的时间内予以澄清、说明或补正。 </w:t>
      </w:r>
    </w:p>
    <w:p>
      <w:pPr>
        <w:tabs>
          <w:tab w:val="left" w:pos="7665"/>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1.2.6未通过符合性检查的供应商，不得进入后续磋商环节。</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1.3 响应文件的澄清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1.3.1对于响应文件</w:t>
      </w:r>
      <w:r>
        <w:rPr>
          <w:rFonts w:hint="eastAsia" w:ascii="宋体" w:hAnsi="宋体" w:eastAsia="宋体" w:cs="宋体"/>
          <w:snapToGrid w:val="0"/>
          <w:color w:val="auto"/>
          <w:kern w:val="0"/>
          <w:szCs w:val="21"/>
          <w:highlight w:val="none"/>
        </w:rPr>
        <w:t>（包括供应商首次提交和重新提交的响应文件）</w:t>
      </w:r>
      <w:r>
        <w:rPr>
          <w:rFonts w:hint="eastAsia" w:ascii="宋体" w:hAnsi="宋体" w:eastAsia="宋体" w:cs="宋体"/>
          <w:color w:val="auto"/>
          <w:szCs w:val="21"/>
          <w:highlight w:val="none"/>
        </w:rPr>
        <w:t>中含义不明确、同类问题表述不一致或者有明显文字和计算错误的内容，可以以书面形式要求供应商作出必要的澄清、说明或者补正。涉及响应文件资格部分的，由资格审查小组负责组织，涉及响应文件其他部分的，由磋商小组负责组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的澄清、说明或者补正应当采用书面形式，并加盖单位章，或者由其法定代表人或其委托代理人签名。供应商的澄清、说明或者补正不得超出响应文件的范围或者改变响应文件的实质性内容，并构成为响应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1.3.3对供应商提交的澄清、说明或者补正有疑问的，可以要求供应商进一步澄清、说明或者补正，直至满足资格审查小组或者磋商小组的要求。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资格审查小组和磋商小组不得暗示或诱导供应商作出澄清、说明或者更正，不得接受供应商主动提出的澄清、说明或者补正。</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1.4 磋商</w:t>
      </w:r>
    </w:p>
    <w:p>
      <w:pPr>
        <w:spacing w:line="360" w:lineRule="auto"/>
        <w:ind w:firstLine="48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1.4.1磋商方式：</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1.4.1.1 对资格性审查和符合性审查合格的供应商，进入本次采购活动的磋商环节。</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1.4.1.2 在磋商期间，供应商应派代表参加磋商，代表人数不超过</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1.4.1.3 磋商小组将通过随机方式确定供应商进行磋商的顺序，所有成员集中与单一供应商按照顺序分别进行磋商，</w:t>
      </w:r>
      <w:r>
        <w:rPr>
          <w:rFonts w:hint="eastAsia" w:ascii="宋体" w:hAnsi="宋体" w:eastAsia="宋体" w:cs="宋体"/>
          <w:color w:val="auto"/>
          <w:szCs w:val="21"/>
          <w:highlight w:val="none"/>
        </w:rPr>
        <w:t>并给予所有参加磋商的供应商平等的磋商机会</w:t>
      </w:r>
      <w:r>
        <w:rPr>
          <w:rFonts w:hint="eastAsia" w:ascii="宋体" w:hAnsi="宋体" w:eastAsia="宋体" w:cs="宋体"/>
          <w:color w:val="auto"/>
          <w:kern w:val="0"/>
          <w:szCs w:val="21"/>
          <w:highlight w:val="none"/>
        </w:rPr>
        <w:t>。磋商的任何一方不得透露与磋商有关的其他供应商的技术资料、价格和其他信息。</w:t>
      </w:r>
    </w:p>
    <w:p>
      <w:pPr>
        <w:spacing w:line="360" w:lineRule="auto"/>
        <w:ind w:firstLine="694" w:firstLineChars="329"/>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1.4.1.4 技术磋商。</w:t>
      </w:r>
      <w:r>
        <w:rPr>
          <w:rFonts w:hint="eastAsia" w:ascii="宋体" w:hAnsi="宋体" w:eastAsia="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690" w:firstLineChars="32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对磋商文件作出的实质性变动是磋商文件的有效组成部分，磋商小组应当及时以书面形式同时通知所有参加磋商的供应商。</w:t>
      </w:r>
    </w:p>
    <w:p>
      <w:pPr>
        <w:widowControl/>
        <w:spacing w:line="360" w:lineRule="auto"/>
        <w:ind w:firstLine="735" w:firstLineChars="35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供应商应当按照磋商文件的变动情况和磋商小组的要求重新提交响应文件，并由其法定代表人或委托代理人签名或者加盖公章。</w:t>
      </w:r>
      <w:r>
        <w:rPr>
          <w:rFonts w:hint="eastAsia" w:ascii="宋体" w:hAnsi="宋体" w:eastAsia="宋体" w:cs="宋体"/>
          <w:snapToGrid w:val="0"/>
          <w:color w:val="auto"/>
          <w:kern w:val="0"/>
          <w:szCs w:val="21"/>
          <w:highlight w:val="none"/>
        </w:rPr>
        <w:t>由委托代理人签名的，应当附法定代表人授权书。供应商为自然人的，应当由本人签名并附身份证明。</w:t>
      </w:r>
    </w:p>
    <w:p>
      <w:pPr>
        <w:spacing w:line="360" w:lineRule="auto"/>
        <w:ind w:firstLine="690" w:firstLineChars="32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根据磋商文件规定</w:t>
      </w:r>
      <w:r>
        <w:rPr>
          <w:rFonts w:hint="eastAsia" w:ascii="宋体" w:hAnsi="宋体" w:eastAsia="宋体" w:cs="宋体"/>
          <w:color w:val="auto"/>
          <w:kern w:val="0"/>
          <w:szCs w:val="21"/>
          <w:highlight w:val="none"/>
        </w:rPr>
        <w:t>对供应商重新提交的响应文件进行符合性审查。供应商重新提交的响应文件未通过符合性审查的，不得进入商务磋商，也不得要求提交最后报价。</w:t>
      </w:r>
    </w:p>
    <w:p>
      <w:pPr>
        <w:spacing w:line="360" w:lineRule="auto"/>
        <w:ind w:firstLine="799" w:firstLineChars="37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1.4.1.5 商务磋商。</w:t>
      </w:r>
      <w:r>
        <w:rPr>
          <w:rFonts w:hint="eastAsia" w:ascii="宋体" w:hAnsi="宋体" w:eastAsia="宋体" w:cs="宋体"/>
          <w:color w:val="auto"/>
          <w:szCs w:val="21"/>
          <w:highlight w:val="none"/>
        </w:rPr>
        <w:t>在技术磋商结束后，进行商务磋商。磋商文件能够详细列明采购标的的服务、技术要求的，磋商小组应当要求所有实质性响应的供应商在规定时间内提交最后报价，提交最后报价的供应商不得少于3家。</w:t>
      </w:r>
    </w:p>
    <w:p>
      <w:pPr>
        <w:spacing w:line="360" w:lineRule="auto"/>
        <w:ind w:firstLine="795" w:firstLineChars="37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不能详细列明采购标的的服务、技术要求，需经磋商由供应商提供最终设计方案或解决方案的，磋商小组应当按照少数服从多数的原则投票推荐3家以上供应商的设计方案或者解决方案，并要求其在规定时间内提交最后报价。</w:t>
      </w:r>
    </w:p>
    <w:p>
      <w:pPr>
        <w:widowControl/>
        <w:spacing w:line="360" w:lineRule="auto"/>
        <w:ind w:firstLine="768" w:firstLineChars="366"/>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符合《政府采购竞争性磋商采购方式管理暂行办法》第三条第四项情形的，提交最后报价的供应商可以为2家。</w:t>
      </w:r>
    </w:p>
    <w:p>
      <w:pPr>
        <w:spacing w:line="360" w:lineRule="auto"/>
        <w:ind w:firstLine="795" w:firstLineChars="37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1.4.1.6 已提交响应文件的供应商，在提交最后报价之前，可以根据磋商情况退出磋商，采购代理机构应当退还其磋商保证金。</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1.4.2磋商步骤：</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 第一轮磋商。磋商小组对进入第一轮磋商的供应商再次进行评审、质疑和澄清。在此阶段，磋商小组依据参加磋商的供应商递交的响应文件进行技术和商务磋商。</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可以根据实际需要提出方案和技术参数要求，与单一供应商分别进行磋商，并给予所有参加磋商的供应商平等的磋商机会。要求参加磋商的供应商重新承诺服务、技术要求和第二次磋商报价，以满足采购人的最大需求。</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 第二轮磋商。对第一轮磋商结果不满意，磋商小组可以再次要求参加磋商的供应商进行第二轮磋商，磋商内容及要求与第一轮磋商相同。</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1.4.2.3 每轮磋商结束后，磋商小组对磋商情况进行讨论，综合考虑供应商提供的服务水平和性价比，有权对服务水平最差供应商或性价比最低点供应商进行淘汰，并将淘汰理由写入评审报告。</w:t>
      </w:r>
    </w:p>
    <w:p>
      <w:pPr>
        <w:spacing w:line="360" w:lineRule="auto"/>
        <w:ind w:firstLine="824" w:firstLineChars="39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后一轮磋商报价高于前一轮磋商报价的供应商，视为其自动退出磋商，有磋商保证金的予以退还。</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1.4.2.4 磋商小组应在最后一轮磋商前告知所有符合磋商要求的供应商是否是最后一次磋商。</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1.4.2.5 最后一轮磋商结束后，磋商小组将对进入最后一轮的供应商的响应文件进行详细评审。</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1.5 最后报价</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1.5.1 供应商应当以书面形式提交最后报价（最后报价将作为综合评分法中价格分的计算依据），并由其法定代表人或者委托代理人签名或者加盖单位章。</w:t>
      </w:r>
      <w:r>
        <w:rPr>
          <w:rFonts w:hint="eastAsia" w:ascii="宋体" w:hAnsi="宋体" w:eastAsia="宋体" w:cs="宋体"/>
          <w:snapToGrid w:val="0"/>
          <w:color w:val="auto"/>
          <w:kern w:val="0"/>
          <w:szCs w:val="21"/>
          <w:highlight w:val="none"/>
        </w:rPr>
        <w:t>由委托代理人签名的，应当附法定代表人授权书。供应商为自然人的，应当由本人签名并附身份证明。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最后报价是供应商响应文件的有效组成部分。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最后报价仅向采购人及监督人员宣布，并由监督人员确认。</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1.6 响应文件详细评审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经磋商确定最终采购需求和提交最后报价的供应商后，由磋商小组采用</w:t>
      </w:r>
      <w:r>
        <w:rPr>
          <w:rFonts w:hint="eastAsia" w:ascii="宋体" w:hAnsi="宋体" w:eastAsia="宋体" w:cs="宋体"/>
          <w:b/>
          <w:color w:val="auto"/>
          <w:szCs w:val="21"/>
          <w:highlight w:val="none"/>
        </w:rPr>
        <w:t>综合评分法</w:t>
      </w:r>
      <w:r>
        <w:rPr>
          <w:rFonts w:hint="eastAsia" w:ascii="宋体" w:hAnsi="宋体" w:eastAsia="宋体" w:cs="宋体"/>
          <w:color w:val="auto"/>
          <w:szCs w:val="21"/>
          <w:highlight w:val="none"/>
        </w:rPr>
        <w:t>对提交最后报价的供应商的响应文件和最后报价进行综合评分。</w:t>
      </w:r>
    </w:p>
    <w:p>
      <w:pPr>
        <w:spacing w:before="120" w:before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1.7 复核与核对评审结果</w:t>
      </w:r>
    </w:p>
    <w:p>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评分汇总结束后，磋商小组应当进行复核，特别要对拟推荐成交候选人的、最后报价最低的、响应文件被认定无效的进行重点复核。</w:t>
      </w:r>
    </w:p>
    <w:p>
      <w:pPr>
        <w:pStyle w:val="5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 评审结果汇总完成后，评审报告签署前，采购代理机构应当</w:t>
      </w:r>
      <w:r>
        <w:rPr>
          <w:rFonts w:hint="eastAsia" w:ascii="宋体" w:hAnsi="宋体" w:eastAsia="宋体" w:cs="宋体"/>
          <w:bCs/>
          <w:color w:val="auto"/>
          <w:highlight w:val="none"/>
        </w:rPr>
        <w:t>核对评审结果，</w:t>
      </w:r>
      <w:r>
        <w:rPr>
          <w:rFonts w:hint="eastAsia" w:ascii="宋体" w:hAnsi="宋体" w:eastAsia="宋体" w:cs="宋体"/>
          <w:color w:val="auto"/>
          <w:highlight w:val="none"/>
        </w:rPr>
        <w:t>除下列情形外，任何人不得修改评审结果：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（1）资格性认定错误的；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（2）分值汇总计算错误的；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（3）分项评分超出评分标准范围的；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（4）磋商小组对客观评审因素评分不一致的；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（5）经磋商小组一致认定评分畸高、畸低的。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1.8 确定成交候选人名单</w:t>
      </w:r>
    </w:p>
    <w:p>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确定成交候选人程序详见第二章第8.1、8.2条款。</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1.9 编写评审报告</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磋商小组在确定成交候选人名单后，应当编写评审报告并向采购人出具。评审报告应当包括以下主要内容：</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snapToGrid w:val="0"/>
          <w:color w:val="auto"/>
          <w:kern w:val="0"/>
          <w:szCs w:val="21"/>
          <w:highlight w:val="none"/>
        </w:rPr>
        <w:t>邀请供应商参加采购活动的具体方式和相关情况；</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（2）响应文件开启日期和地点；</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（3）获取磋商文件的供应商名单和磋商小组成员名单；</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（4）评审情况记录和说明，包括对供应商的资格审查情况、供应商响应文件评审情况、磋商情况（含磋商文件实质性变动情况）、报价情况等；</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（5）提出的成交候选人的排序名单及理由。</w:t>
      </w:r>
    </w:p>
    <w:p>
      <w:pPr>
        <w:spacing w:line="360" w:lineRule="auto"/>
        <w:ind w:firstLine="48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（6）其他需要说明的情况，包括评审过程中供应商根据磋商小组要求进行的澄清、说明或者更正，磋商小组成员的更换等，报价最高的供应商为第一中标候选人的，对其报价合理性予以特别书面。</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 xml:space="preserve">1.9.2 </w:t>
      </w:r>
      <w:r>
        <w:rPr>
          <w:rFonts w:hint="eastAsia" w:ascii="宋体" w:hAnsi="宋体" w:eastAsia="宋体" w:cs="宋体"/>
          <w:snapToGrid w:val="0"/>
          <w:color w:val="auto"/>
          <w:kern w:val="0"/>
          <w:szCs w:val="21"/>
          <w:highlight w:val="none"/>
        </w:rPr>
        <w:t>评审报告应当由磋商小组全体人员签名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2.评审方法</w:t>
      </w:r>
    </w:p>
    <w:p>
      <w:pPr>
        <w:pStyle w:val="6"/>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 综合评分法</w:t>
      </w:r>
    </w:p>
    <w:p>
      <w:pPr>
        <w:spacing w:line="360" w:lineRule="auto"/>
        <w:ind w:firstLine="411" w:firstLineChars="196"/>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2.1.1 本采购项目评审方法采用综合评分法，</w:t>
      </w:r>
      <w:r>
        <w:rPr>
          <w:rFonts w:hint="eastAsia" w:ascii="宋体" w:hAnsi="宋体" w:eastAsia="宋体" w:cs="宋体"/>
          <w:snapToGrid w:val="0"/>
          <w:color w:val="auto"/>
          <w:kern w:val="0"/>
          <w:szCs w:val="21"/>
          <w:highlight w:val="none"/>
        </w:rPr>
        <w:t>是指响应文件满足磋商文件全部实质性要求且按评审因素的量化指标评审得分最高的供应商为成交候选供应商的评审方法。</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综合评分法评审标准中的分值设置应当与评审因素的量化指标相对应。磋商文件中没有规定的评审标准不得作为评审依据。</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2.2 评审细则及标准</w:t>
      </w:r>
    </w:p>
    <w:p>
      <w:pPr>
        <w:tabs>
          <w:tab w:val="left" w:pos="0"/>
        </w:tabs>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 评审因素</w:t>
      </w:r>
    </w:p>
    <w:p>
      <w:pPr>
        <w:adjustRightInd w:val="0"/>
        <w:snapToGrid w:val="0"/>
        <w:spacing w:before="120" w:beforeLines="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本采购项目评审因素包括：</w:t>
      </w:r>
      <w:r>
        <w:rPr>
          <w:rFonts w:hint="eastAsia" w:ascii="宋体" w:hAnsi="宋体" w:eastAsia="宋体" w:cs="宋体"/>
          <w:b/>
          <w:color w:val="auto"/>
          <w:kern w:val="0"/>
          <w:szCs w:val="21"/>
          <w:highlight w:val="none"/>
          <w:lang w:val="en-US" w:eastAsia="zh-CN"/>
        </w:rPr>
        <w:t>最终</w:t>
      </w:r>
      <w:r>
        <w:rPr>
          <w:rFonts w:hint="eastAsia" w:ascii="宋体" w:hAnsi="宋体" w:eastAsia="宋体" w:cs="宋体"/>
          <w:b/>
          <w:color w:val="auto"/>
          <w:kern w:val="0"/>
          <w:szCs w:val="21"/>
          <w:highlight w:val="none"/>
        </w:rPr>
        <w:t>报价、技术</w:t>
      </w:r>
      <w:r>
        <w:rPr>
          <w:rFonts w:hint="eastAsia" w:ascii="宋体" w:hAnsi="宋体" w:eastAsia="宋体" w:cs="宋体"/>
          <w:b/>
          <w:color w:val="auto"/>
          <w:kern w:val="0"/>
          <w:szCs w:val="21"/>
          <w:highlight w:val="none"/>
          <w:lang w:val="en-US" w:eastAsia="zh-CN"/>
        </w:rPr>
        <w:t>部分</w:t>
      </w:r>
      <w:r>
        <w:rPr>
          <w:rFonts w:hint="eastAsia" w:ascii="宋体" w:hAnsi="宋体" w:eastAsia="宋体" w:cs="宋体"/>
          <w:b/>
          <w:color w:val="auto"/>
          <w:kern w:val="0"/>
          <w:szCs w:val="21"/>
          <w:highlight w:val="none"/>
        </w:rPr>
        <w:t>、商务</w:t>
      </w:r>
      <w:r>
        <w:rPr>
          <w:rFonts w:hint="eastAsia" w:ascii="宋体" w:hAnsi="宋体" w:eastAsia="宋体" w:cs="宋体"/>
          <w:b/>
          <w:color w:val="auto"/>
          <w:kern w:val="0"/>
          <w:szCs w:val="21"/>
          <w:highlight w:val="none"/>
          <w:lang w:val="en-US" w:eastAsia="zh-CN"/>
        </w:rPr>
        <w:t>部分</w:t>
      </w:r>
      <w:r>
        <w:rPr>
          <w:rFonts w:hint="eastAsia" w:ascii="宋体" w:hAnsi="宋体" w:eastAsia="宋体" w:cs="宋体"/>
          <w:color w:val="auto"/>
          <w:kern w:val="0"/>
          <w:szCs w:val="21"/>
          <w:highlight w:val="none"/>
        </w:rPr>
        <w:t>等</w:t>
      </w:r>
      <w:r>
        <w:rPr>
          <w:rFonts w:hint="eastAsia" w:ascii="宋体" w:hAnsi="宋体" w:eastAsia="宋体" w:cs="宋体"/>
          <w:color w:val="auto"/>
          <w:szCs w:val="21"/>
          <w:highlight w:val="none"/>
        </w:rPr>
        <w:t>对磋商文件的响应程度，以及相应的比重或者权值等，但不包括第二章第3.1条</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规定的供应商资格条件。</w:t>
      </w:r>
      <w:r>
        <w:rPr>
          <w:rFonts w:hint="eastAsia" w:ascii="宋体" w:hAnsi="宋体" w:eastAsia="宋体" w:cs="宋体"/>
          <w:bCs/>
          <w:color w:val="auto"/>
          <w:szCs w:val="21"/>
          <w:highlight w:val="none"/>
        </w:rPr>
        <w:t>项目的评标因素和标准见 “综合评分明细表”。</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2.2.2 磋商报价评审</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2.2.2.1供应商的价格分，按照财政部财库[2014]214号文件第二十四条和财库[2020]46号文件的规定，采用低价优先法计算，以本次满足磋商文件要求的</w:t>
      </w:r>
      <w:r>
        <w:rPr>
          <w:rFonts w:hint="eastAsia" w:ascii="宋体" w:hAnsi="宋体" w:eastAsia="宋体" w:cs="宋体"/>
          <w:b/>
          <w:color w:val="auto"/>
          <w:szCs w:val="21"/>
          <w:highlight w:val="none"/>
        </w:rPr>
        <w:t>最低磋商评审价为磋商基准价</w:t>
      </w:r>
      <w:r>
        <w:rPr>
          <w:rFonts w:hint="eastAsia" w:ascii="宋体" w:hAnsi="宋体" w:eastAsia="宋体" w:cs="宋体"/>
          <w:color w:val="auto"/>
          <w:szCs w:val="21"/>
          <w:highlight w:val="none"/>
        </w:rPr>
        <w:t>，其价格为满分。</w:t>
      </w:r>
    </w:p>
    <w:p>
      <w:pPr>
        <w:spacing w:line="360" w:lineRule="auto"/>
        <w:ind w:firstLine="735" w:firstLineChars="35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2.2.2.2供应商的价格分，统一按照下列公式</w:t>
      </w:r>
      <w:r>
        <w:rPr>
          <w:rFonts w:hint="eastAsia" w:ascii="宋体" w:hAnsi="宋体" w:eastAsia="宋体" w:cs="宋体"/>
          <w:bCs/>
          <w:color w:val="auto"/>
          <w:szCs w:val="21"/>
          <w:highlight w:val="none"/>
        </w:rPr>
        <w:t>计算：</w:t>
      </w:r>
    </w:p>
    <w:p>
      <w:pPr>
        <w:pStyle w:val="17"/>
        <w:widowControl/>
        <w:tabs>
          <w:tab w:val="left" w:pos="1506"/>
        </w:tabs>
        <w:adjustRightInd w:val="0"/>
        <w:snapToGrid w:val="0"/>
        <w:spacing w:line="36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磋商评审价=最后报价×（1-报价扣除幅度）</w:t>
      </w:r>
    </w:p>
    <w:p>
      <w:pPr>
        <w:spacing w:line="360" w:lineRule="auto"/>
        <w:ind w:firstLine="1054" w:firstLineChars="5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最后报价得分=(磋商基准价／最后报价)×100×</w:t>
      </w:r>
      <w:r>
        <w:rPr>
          <w:rFonts w:hint="eastAsia" w:ascii="宋体" w:hAnsi="宋体" w:eastAsia="宋体" w:cs="宋体"/>
          <w:b/>
          <w:color w:val="auto"/>
          <w:szCs w:val="21"/>
          <w:highlight w:val="none"/>
          <w:lang w:val="en-US" w:eastAsia="zh-CN"/>
        </w:rPr>
        <w:t>10%</w:t>
      </w:r>
    </w:p>
    <w:p>
      <w:pPr>
        <w:spacing w:line="360" w:lineRule="auto"/>
        <w:ind w:firstLine="726" w:firstLineChars="3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2.2.2.3 供应商报价扣除幅度如下：</w:t>
      </w:r>
    </w:p>
    <w:p>
      <w:pPr>
        <w:spacing w:line="360" w:lineRule="auto"/>
        <w:ind w:firstLine="726" w:firstLineChars="3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（1）供应商为小微企业的，给予最后报价扣除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（10%～20%）优惠政策，只要有大中型企业提供服务的，就不得享受价格扣除优惠政策。</w:t>
      </w:r>
    </w:p>
    <w:p>
      <w:pPr>
        <w:spacing w:line="360" w:lineRule="auto"/>
        <w:ind w:firstLine="726" w:firstLineChars="34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（2）供应商须知前附表规定接受联合体磋商的，对于联合体协议中约定小微企业占采购合同总金额30%～40%（不含）、40%～50%（不含）、50%～100%（不含）的，分别给予最后</w:t>
      </w:r>
      <w:r>
        <w:rPr>
          <w:rFonts w:hint="eastAsia" w:ascii="宋体" w:hAnsi="宋体" w:eastAsia="宋体" w:cs="宋体"/>
          <w:color w:val="auto"/>
          <w:highlight w:val="none"/>
        </w:rPr>
        <w:t>报价扣除4%、5%、6%优惠政策</w:t>
      </w:r>
      <w:r>
        <w:rPr>
          <w:rFonts w:hint="eastAsia" w:ascii="宋体" w:hAnsi="宋体" w:eastAsia="宋体" w:cs="宋体"/>
          <w:color w:val="auto"/>
          <w:kern w:val="0"/>
          <w:szCs w:val="21"/>
          <w:highlight w:val="none"/>
        </w:rPr>
        <w:t>。</w:t>
      </w:r>
    </w:p>
    <w:p>
      <w:pPr>
        <w:spacing w:line="360" w:lineRule="auto"/>
        <w:ind w:firstLine="726" w:firstLineChars="346"/>
        <w:rPr>
          <w:rFonts w:hint="eastAsia" w:ascii="宋体" w:hAnsi="宋体" w:eastAsia="宋体" w:cs="宋体"/>
          <w:color w:val="auto"/>
          <w:kern w:val="0"/>
          <w:szCs w:val="21"/>
          <w:highlight w:val="none"/>
        </w:rPr>
      </w:pPr>
      <w:r>
        <w:rPr>
          <w:rFonts w:hint="eastAsia" w:ascii="宋体" w:hAnsi="宋体" w:eastAsia="宋体" w:cs="宋体"/>
          <w:color w:val="auto"/>
          <w:highlight w:val="none"/>
        </w:rPr>
        <w:t>（3）供应商须知前附表规定允许大中型企业向小微企业分包的，对于分包意向协议约定小微企业的合同份额占到合同总金额30%</w:t>
      </w:r>
      <w:r>
        <w:rPr>
          <w:rFonts w:hint="eastAsia" w:ascii="宋体" w:hAnsi="宋体" w:eastAsia="宋体" w:cs="宋体"/>
          <w:color w:val="auto"/>
          <w:kern w:val="0"/>
          <w:szCs w:val="21"/>
          <w:highlight w:val="none"/>
        </w:rPr>
        <w:t>～40%（不含）、40%～50%（不含）、50%以上的，分别给予最后</w:t>
      </w:r>
      <w:r>
        <w:rPr>
          <w:rFonts w:hint="eastAsia" w:ascii="宋体" w:hAnsi="宋体" w:eastAsia="宋体" w:cs="宋体"/>
          <w:color w:val="auto"/>
          <w:highlight w:val="none"/>
        </w:rPr>
        <w:t>报价扣除4%、5%、6%优惠政策</w:t>
      </w:r>
      <w:r>
        <w:rPr>
          <w:rFonts w:hint="eastAsia" w:ascii="宋体" w:hAnsi="宋体" w:eastAsia="宋体" w:cs="宋体"/>
          <w:color w:val="auto"/>
          <w:kern w:val="0"/>
          <w:szCs w:val="21"/>
          <w:highlight w:val="none"/>
        </w:rPr>
        <w:t xml:space="preserve">。 </w:t>
      </w:r>
    </w:p>
    <w:p>
      <w:pPr>
        <w:pStyle w:val="17"/>
        <w:widowControl/>
        <w:tabs>
          <w:tab w:val="left" w:pos="1506"/>
        </w:tabs>
        <w:adjustRightInd w:val="0"/>
        <w:snapToGrid w:val="0"/>
        <w:spacing w:line="36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2.2.3技术、商务评价及政府采购政策评分</w:t>
      </w:r>
    </w:p>
    <w:p>
      <w:pPr>
        <w:pStyle w:val="17"/>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2.2.3.1技术、商务等评分项响应评分，按照 “综合评分明细表”规定的评审因素和标准，对技术、商务等评分项计算得分。</w:t>
      </w:r>
    </w:p>
    <w:p>
      <w:pPr>
        <w:pStyle w:val="17"/>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2.2.3.2如本服务项目含有货物采购的，且供应商提供货物（产品）</w:t>
      </w:r>
      <w:r>
        <w:rPr>
          <w:rFonts w:hint="eastAsia" w:ascii="宋体" w:hAnsi="宋体" w:eastAsia="宋体" w:cs="宋体"/>
          <w:color w:val="auto"/>
          <w:sz w:val="21"/>
          <w:szCs w:val="21"/>
          <w:highlight w:val="none"/>
        </w:rPr>
        <w:t>需落实政府采购政策（优先采购）的，对符合第二章第3.4.1条款规定条件的供应商，</w:t>
      </w:r>
      <w:r>
        <w:rPr>
          <w:rFonts w:hint="eastAsia" w:ascii="宋体" w:hAnsi="宋体" w:eastAsia="宋体" w:cs="宋体"/>
          <w:bCs/>
          <w:color w:val="auto"/>
          <w:sz w:val="21"/>
          <w:szCs w:val="21"/>
          <w:highlight w:val="none"/>
        </w:rPr>
        <w:t>按照 “综合评分明细表”的</w:t>
      </w:r>
      <w:r>
        <w:rPr>
          <w:rFonts w:hint="eastAsia" w:ascii="宋体" w:hAnsi="宋体" w:eastAsia="宋体" w:cs="宋体"/>
          <w:color w:val="auto"/>
          <w:sz w:val="21"/>
          <w:szCs w:val="21"/>
          <w:highlight w:val="none"/>
        </w:rPr>
        <w:t>相关标准进行评分。</w:t>
      </w:r>
    </w:p>
    <w:p>
      <w:pPr>
        <w:pStyle w:val="17"/>
        <w:widowControl/>
        <w:tabs>
          <w:tab w:val="left" w:pos="1506"/>
        </w:tabs>
        <w:adjustRightInd w:val="0"/>
        <w:snapToGrid w:val="0"/>
        <w:spacing w:line="360" w:lineRule="auto"/>
        <w:ind w:firstLine="738" w:firstLineChars="3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2.2.4 评审总得分</w:t>
      </w:r>
    </w:p>
    <w:p>
      <w:pPr>
        <w:pStyle w:val="17"/>
        <w:widowControl/>
        <w:tabs>
          <w:tab w:val="left" w:pos="1506"/>
        </w:tabs>
        <w:adjustRightInd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2.2.4.1磋商小组成员应当独立对每个供应商的响应文件进行评价，并汇总每个供应商的得分，</w:t>
      </w:r>
      <w:r>
        <w:rPr>
          <w:rFonts w:hint="eastAsia" w:ascii="宋体" w:hAnsi="宋体" w:eastAsia="宋体" w:cs="宋体"/>
          <w:color w:val="auto"/>
          <w:sz w:val="21"/>
          <w:szCs w:val="21"/>
          <w:highlight w:val="none"/>
        </w:rPr>
        <w:t>每个供应商的最终得分为所有磋商小组成员评分的算术平均值。</w:t>
      </w:r>
    </w:p>
    <w:p>
      <w:pPr>
        <w:pStyle w:val="17"/>
        <w:widowControl/>
        <w:tabs>
          <w:tab w:val="left" w:pos="1506"/>
        </w:tabs>
        <w:adjustRightInd w:val="0"/>
        <w:snapToGrid w:val="0"/>
        <w:spacing w:line="360" w:lineRule="auto"/>
        <w:ind w:firstLine="949" w:firstLineChars="4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评审总得分＝F1＋F2＋……＋Fn</w:t>
      </w:r>
    </w:p>
    <w:p>
      <w:pPr>
        <w:pStyle w:val="17"/>
        <w:widowControl/>
        <w:tabs>
          <w:tab w:val="left" w:pos="1506"/>
        </w:tabs>
        <w:adjustRightInd w:val="0"/>
        <w:snapToGrid w:val="0"/>
        <w:spacing w:line="360" w:lineRule="auto"/>
        <w:ind w:firstLine="945" w:firstLineChars="4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F1、F2……Fn分别为各项评审因素的汇总得分</w:t>
      </w:r>
    </w:p>
    <w:p>
      <w:pPr>
        <w:pStyle w:val="17"/>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2.2.4.2评审过程中，不得去掉报价中的最高报价和最低报价。</w:t>
      </w:r>
    </w:p>
    <w:p>
      <w:pPr>
        <w:tabs>
          <w:tab w:val="left" w:pos="7665"/>
        </w:tabs>
        <w:spacing w:line="360" w:lineRule="auto"/>
        <w:ind w:firstLine="525" w:firstLineChars="24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2.2.5综合评分明细表</w:t>
      </w:r>
    </w:p>
    <w:p>
      <w:pPr>
        <w:tabs>
          <w:tab w:val="left" w:pos="7665"/>
        </w:tabs>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2.2.5.1综合评分明细表的制定以科学合理、降低磋商小组自由裁量权为原则。</w:t>
      </w:r>
    </w:p>
    <w:p>
      <w:pPr>
        <w:tabs>
          <w:tab w:val="left" w:pos="7665"/>
        </w:tabs>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2.2.5.2 综合评分明细表</w:t>
      </w: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7"/>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rPr>
          <w:rFonts w:hint="eastAsia" w:ascii="宋体" w:hAnsi="宋体" w:eastAsia="宋体" w:cs="宋体"/>
        </w:rPr>
      </w:pPr>
    </w:p>
    <w:p>
      <w:pPr>
        <w:pStyle w:val="16"/>
        <w:tabs>
          <w:tab w:val="left" w:pos="600"/>
        </w:tabs>
        <w:spacing w:line="360" w:lineRule="auto"/>
        <w:ind w:firstLine="0"/>
        <w:rPr>
          <w:rFonts w:hint="eastAsia" w:ascii="宋体" w:hAnsi="宋体" w:eastAsia="宋体" w:cs="宋体"/>
          <w:color w:val="auto"/>
          <w:sz w:val="21"/>
          <w:szCs w:val="21"/>
          <w:highlight w:val="none"/>
        </w:rPr>
      </w:pPr>
    </w:p>
    <w:p>
      <w:pPr>
        <w:pStyle w:val="16"/>
        <w:tabs>
          <w:tab w:val="left" w:pos="600"/>
        </w:tabs>
        <w:spacing w:line="360" w:lineRule="auto"/>
        <w:ind w:firstLine="0"/>
        <w:rPr>
          <w:rFonts w:hint="eastAsia" w:ascii="宋体" w:hAnsi="宋体" w:eastAsia="宋体" w:cs="宋体"/>
          <w:color w:val="auto"/>
          <w:sz w:val="21"/>
          <w:szCs w:val="21"/>
          <w:highlight w:val="none"/>
        </w:rPr>
      </w:pPr>
    </w:p>
    <w:tbl>
      <w:tblPr>
        <w:tblStyle w:val="26"/>
        <w:tblW w:w="100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2"/>
        <w:gridCol w:w="1382"/>
        <w:gridCol w:w="6810"/>
        <w:gridCol w:w="7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172" w:type="dxa"/>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评审内容</w:t>
            </w:r>
          </w:p>
        </w:tc>
        <w:tc>
          <w:tcPr>
            <w:tcW w:w="1382" w:type="dxa"/>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细则</w:t>
            </w:r>
          </w:p>
        </w:tc>
        <w:tc>
          <w:tcPr>
            <w:tcW w:w="6810" w:type="dxa"/>
            <w:noWrap w:val="0"/>
            <w:vAlign w:val="center"/>
          </w:tcPr>
          <w:p>
            <w:pPr>
              <w:snapToGrid w:val="0"/>
              <w:jc w:val="center"/>
              <w:rPr>
                <w:rFonts w:ascii="宋体" w:hAnsi="宋体" w:cs="宋体"/>
                <w:szCs w:val="21"/>
                <w:highlight w:val="none"/>
              </w:rPr>
            </w:pPr>
            <w:r>
              <w:rPr>
                <w:rFonts w:hint="eastAsia" w:ascii="宋体" w:hAnsi="宋体" w:cs="宋体"/>
                <w:szCs w:val="21"/>
                <w:highlight w:val="none"/>
              </w:rPr>
              <w:t>评标标准</w:t>
            </w:r>
          </w:p>
        </w:tc>
        <w:tc>
          <w:tcPr>
            <w:tcW w:w="722" w:type="dxa"/>
            <w:noWrap w:val="0"/>
            <w:vAlign w:val="center"/>
          </w:tcPr>
          <w:p>
            <w:pPr>
              <w:snapToGrid w:val="0"/>
              <w:jc w:val="center"/>
              <w:rPr>
                <w:rFonts w:ascii="宋体" w:hAnsi="宋体" w:cs="宋体"/>
                <w:szCs w:val="21"/>
                <w:highlight w:val="none"/>
              </w:rPr>
            </w:pPr>
            <w:r>
              <w:rPr>
                <w:rFonts w:hint="eastAsia" w:ascii="宋体" w:hAnsi="宋体" w:cs="宋体"/>
                <w:szCs w:val="21"/>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投标报价</w:t>
            </w:r>
          </w:p>
          <w:p>
            <w:pPr>
              <w:snapToGrid w:val="0"/>
              <w:jc w:val="center"/>
              <w:rPr>
                <w:rFonts w:hint="eastAsia" w:ascii="宋体" w:hAnsi="宋体" w:cs="宋体"/>
                <w:szCs w:val="21"/>
                <w:highlight w:val="none"/>
              </w:rPr>
            </w:pPr>
            <w:r>
              <w:rPr>
                <w:rFonts w:hint="eastAsia" w:ascii="宋体" w:hAnsi="宋体" w:cs="宋体"/>
                <w:szCs w:val="21"/>
                <w:highlight w:val="none"/>
              </w:rPr>
              <w:t>（10分）</w:t>
            </w:r>
          </w:p>
        </w:tc>
        <w:tc>
          <w:tcPr>
            <w:tcW w:w="1382" w:type="dxa"/>
            <w:noWrap w:val="0"/>
            <w:vAlign w:val="center"/>
          </w:tcPr>
          <w:p>
            <w:pPr>
              <w:snapToGrid w:val="0"/>
              <w:rPr>
                <w:rFonts w:ascii="宋体" w:hAnsi="宋体" w:cs="宋体"/>
                <w:szCs w:val="21"/>
                <w:highlight w:val="none"/>
              </w:rPr>
            </w:pPr>
            <w:r>
              <w:rPr>
                <w:rFonts w:hint="eastAsia" w:ascii="宋体" w:hAnsi="宋体" w:cs="宋体"/>
                <w:szCs w:val="21"/>
                <w:highlight w:val="none"/>
              </w:rPr>
              <w:t>价格评审</w:t>
            </w:r>
          </w:p>
        </w:tc>
        <w:tc>
          <w:tcPr>
            <w:tcW w:w="6810" w:type="dxa"/>
            <w:noWrap w:val="0"/>
            <w:vAlign w:val="center"/>
          </w:tcPr>
          <w:p>
            <w:pPr>
              <w:snapToGrid w:val="0"/>
              <w:jc w:val="left"/>
              <w:rPr>
                <w:rFonts w:hint="eastAsia" w:ascii="宋体" w:hAnsi="宋体" w:cs="宋体"/>
                <w:szCs w:val="21"/>
                <w:highlight w:val="none"/>
              </w:rPr>
            </w:pPr>
            <w:r>
              <w:rPr>
                <w:rFonts w:hint="eastAsia" w:ascii="宋体" w:hAnsi="宋体" w:cs="宋体"/>
                <w:szCs w:val="21"/>
                <w:highlight w:val="none"/>
              </w:rPr>
              <w:t>经有效性和符合性审核合格后，</w:t>
            </w:r>
            <w:r>
              <w:rPr>
                <w:rFonts w:ascii="宋体" w:hAnsi="宋体" w:cs="宋体"/>
                <w:szCs w:val="21"/>
                <w:highlight w:val="none"/>
              </w:rPr>
              <w:t>评标基准价=各投标供应商有效报价的</w:t>
            </w:r>
            <w:r>
              <w:rPr>
                <w:rFonts w:hint="eastAsia" w:ascii="宋体" w:hAnsi="宋体" w:cs="宋体"/>
                <w:szCs w:val="21"/>
                <w:highlight w:val="none"/>
              </w:rPr>
              <w:t>最低</w:t>
            </w:r>
            <w:r>
              <w:rPr>
                <w:rFonts w:ascii="宋体" w:hAnsi="宋体" w:cs="宋体"/>
                <w:szCs w:val="21"/>
                <w:highlight w:val="none"/>
              </w:rPr>
              <w:t>值</w:t>
            </w:r>
            <w:r>
              <w:rPr>
                <w:rFonts w:hint="eastAsia" w:ascii="宋体" w:hAnsi="宋体" w:cs="宋体"/>
                <w:szCs w:val="21"/>
                <w:highlight w:val="none"/>
              </w:rPr>
              <w:t>，投标报价等于评标基准价时得满分；</w:t>
            </w:r>
          </w:p>
          <w:p>
            <w:pPr>
              <w:snapToGrid w:val="0"/>
              <w:jc w:val="left"/>
              <w:rPr>
                <w:rFonts w:hint="eastAsia" w:ascii="宋体" w:hAnsi="宋体" w:cs="宋体"/>
                <w:szCs w:val="21"/>
                <w:highlight w:val="none"/>
              </w:rPr>
            </w:pPr>
            <w:r>
              <w:rPr>
                <w:rFonts w:hint="eastAsia" w:ascii="宋体" w:hAnsi="宋体" w:cs="宋体"/>
                <w:szCs w:val="21"/>
                <w:highlight w:val="none"/>
              </w:rPr>
              <w:t>报价得分=（评审基准价/投标报价）×价格权值（10%）×100；</w:t>
            </w:r>
          </w:p>
          <w:p>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1、投标报价不完整的，不进入评标标准价的计算，本项得0分。</w:t>
            </w:r>
          </w:p>
          <w:p>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2、评标委员会1/2以上成员认为某报价有低于成本价嫌疑的，为无效报价按废标处理。</w:t>
            </w:r>
          </w:p>
          <w:p>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3、总计与分项计价合计不符的，以分项计价合计为准；总价小写与大写不符的，以大写为准。</w:t>
            </w:r>
          </w:p>
        </w:tc>
        <w:tc>
          <w:tcPr>
            <w:tcW w:w="722" w:type="dxa"/>
            <w:noWrap w:val="0"/>
            <w:vAlign w:val="center"/>
          </w:tcPr>
          <w:p>
            <w:pPr>
              <w:snapToGrid w:val="0"/>
              <w:rPr>
                <w:rFonts w:ascii="宋体" w:hAnsi="宋体" w:cs="宋体"/>
                <w:szCs w:val="21"/>
                <w:highlight w:val="none"/>
              </w:rPr>
            </w:pPr>
            <w:r>
              <w:rPr>
                <w:rFonts w:hint="eastAsia" w:ascii="宋体" w:hAnsi="宋体" w:cs="宋体"/>
                <w:szCs w:val="21"/>
                <w:highlight w:val="none"/>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2" w:hRule="atLeast"/>
          <w:jc w:val="center"/>
        </w:trPr>
        <w:tc>
          <w:tcPr>
            <w:tcW w:w="1172" w:type="dxa"/>
            <w:vMerge w:val="restart"/>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商务部分（40分）</w:t>
            </w:r>
          </w:p>
        </w:tc>
        <w:tc>
          <w:tcPr>
            <w:tcW w:w="1382" w:type="dxa"/>
            <w:noWrap w:val="0"/>
            <w:vAlign w:val="center"/>
          </w:tcPr>
          <w:p>
            <w:pPr>
              <w:widowControl/>
              <w:jc w:val="center"/>
              <w:rPr>
                <w:rFonts w:hint="eastAsia" w:ascii="宋体" w:hAnsi="宋体" w:cs="宋体"/>
                <w:szCs w:val="21"/>
                <w:highlight w:val="none"/>
              </w:rPr>
            </w:pPr>
            <w:r>
              <w:rPr>
                <w:rFonts w:hint="eastAsia" w:ascii="宋体" w:hAnsi="宋体" w:eastAsia="宋体" w:cs="宋体"/>
                <w:szCs w:val="21"/>
              </w:rPr>
              <w:t>信用评价</w:t>
            </w:r>
          </w:p>
        </w:tc>
        <w:tc>
          <w:tcPr>
            <w:tcW w:w="6810" w:type="dxa"/>
            <w:noWrap w:val="0"/>
            <w:vAlign w:val="center"/>
          </w:tcPr>
          <w:p>
            <w:pPr>
              <w:widowControl/>
              <w:jc w:val="left"/>
              <w:rPr>
                <w:rFonts w:hint="eastAsia" w:ascii="宋体" w:hAnsi="宋体" w:cs="宋体"/>
                <w:color w:val="auto"/>
                <w:szCs w:val="21"/>
                <w:highlight w:val="none"/>
                <w:lang w:val="en-US" w:eastAsia="zh-CN"/>
              </w:rPr>
            </w:pPr>
            <w:r>
              <w:rPr>
                <w:rFonts w:hint="eastAsia" w:ascii="宋体" w:hAnsi="宋体" w:eastAsia="宋体" w:cs="宋体"/>
                <w:color w:val="auto"/>
                <w:szCs w:val="24"/>
              </w:rPr>
              <w:t>在全国公路水运工程试验检测机构信用评价中，近</w:t>
            </w:r>
            <w:r>
              <w:rPr>
                <w:rFonts w:hint="eastAsia" w:ascii="宋体" w:hAnsi="宋体" w:eastAsia="宋体" w:cs="宋体"/>
                <w:color w:val="auto"/>
                <w:szCs w:val="24"/>
                <w:lang w:val="en-US" w:eastAsia="zh-CN"/>
              </w:rPr>
              <w:t>五</w:t>
            </w:r>
            <w:r>
              <w:rPr>
                <w:rFonts w:hint="eastAsia" w:ascii="宋体" w:hAnsi="宋体" w:eastAsia="宋体" w:cs="宋体"/>
                <w:color w:val="auto"/>
                <w:szCs w:val="24"/>
              </w:rPr>
              <w:t>年信用评价中，有一年被评为AA级得5分，两年被评为AA级得7分，有三年被评为AA级得10分，近三年交通运输主管部门开展的比对试验中有每次结果为“不满意”的扣3分，结果为“基本满意”的扣1分，最高得10分。</w:t>
            </w:r>
          </w:p>
        </w:tc>
        <w:tc>
          <w:tcPr>
            <w:tcW w:w="722" w:type="dxa"/>
            <w:noWrap w:val="0"/>
            <w:vAlign w:val="center"/>
          </w:tcPr>
          <w:p>
            <w:pPr>
              <w:jc w:val="center"/>
              <w:rPr>
                <w:rFonts w:hint="eastAsia" w:ascii="宋体" w:hAnsi="宋体" w:cs="宋体"/>
                <w:szCs w:val="21"/>
                <w:highlight w:val="none"/>
                <w:lang w:val="en-US" w:eastAsia="zh-CN"/>
              </w:rPr>
            </w:pPr>
            <w:r>
              <w:rPr>
                <w:rFonts w:hint="eastAsia" w:ascii="宋体" w:hAnsi="宋体" w:eastAsia="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noWrap w:val="0"/>
            <w:vAlign w:val="center"/>
          </w:tcPr>
          <w:p>
            <w:pPr>
              <w:widowControl/>
              <w:jc w:val="center"/>
              <w:rPr>
                <w:rFonts w:hint="eastAsia" w:ascii="宋体" w:hAnsi="宋体" w:cs="宋体"/>
                <w:szCs w:val="21"/>
                <w:highlight w:val="none"/>
              </w:rPr>
            </w:pPr>
            <w:r>
              <w:rPr>
                <w:rFonts w:hint="eastAsia" w:ascii="宋体" w:hAnsi="宋体" w:cs="宋体"/>
                <w:szCs w:val="21"/>
                <w:lang w:val="en-US" w:eastAsia="zh-CN"/>
              </w:rPr>
              <w:t>项目组</w:t>
            </w:r>
            <w:r>
              <w:rPr>
                <w:rFonts w:hint="eastAsia" w:ascii="宋体" w:hAnsi="宋体" w:eastAsia="宋体" w:cs="宋体"/>
                <w:szCs w:val="21"/>
              </w:rPr>
              <w:t>人员</w:t>
            </w:r>
          </w:p>
        </w:tc>
        <w:tc>
          <w:tcPr>
            <w:tcW w:w="6810" w:type="dxa"/>
            <w:noWrap w:val="0"/>
            <w:vAlign w:val="center"/>
          </w:tcPr>
          <w:p>
            <w:pPr>
              <w:widowControl/>
              <w:jc w:val="left"/>
              <w:rPr>
                <w:rFonts w:hint="eastAsia" w:ascii="宋体" w:hAnsi="宋体" w:cs="宋体"/>
                <w:color w:val="auto"/>
                <w:szCs w:val="21"/>
                <w:highlight w:val="none"/>
                <w:lang w:val="en-US" w:eastAsia="zh-CN"/>
              </w:rPr>
            </w:pPr>
            <w:r>
              <w:rPr>
                <w:rFonts w:hint="eastAsia" w:ascii="宋体" w:hAnsi="宋体" w:eastAsia="宋体" w:cs="宋体"/>
                <w:color w:val="auto"/>
                <w:szCs w:val="21"/>
              </w:rPr>
              <w:t>参加本项目的检测工程师每人得1分，检测员每名得0.5分</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，最多得10分。</w:t>
            </w:r>
          </w:p>
        </w:tc>
        <w:tc>
          <w:tcPr>
            <w:tcW w:w="722" w:type="dxa"/>
            <w:noWrap w:val="0"/>
            <w:vAlign w:val="center"/>
          </w:tcPr>
          <w:p>
            <w:pPr>
              <w:jc w:val="center"/>
              <w:rPr>
                <w:rFonts w:hint="eastAsia" w:ascii="宋体" w:hAnsi="宋体" w:cs="宋体"/>
                <w:szCs w:val="21"/>
                <w:highlight w:val="none"/>
                <w:lang w:val="en-US" w:eastAsia="zh-CN"/>
              </w:rPr>
            </w:pPr>
            <w:r>
              <w:rPr>
                <w:rFonts w:hint="eastAsia" w:ascii="宋体" w:hAnsi="宋体" w:eastAsia="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2"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restart"/>
            <w:noWrap w:val="0"/>
            <w:vAlign w:val="center"/>
          </w:tcPr>
          <w:p>
            <w:pPr>
              <w:widowControl/>
              <w:jc w:val="center"/>
              <w:rPr>
                <w:rFonts w:ascii="宋体" w:hAnsi="宋体" w:cs="宋体"/>
                <w:szCs w:val="21"/>
                <w:highlight w:val="none"/>
              </w:rPr>
            </w:pPr>
            <w:r>
              <w:rPr>
                <w:rFonts w:hint="eastAsia" w:ascii="宋体" w:hAnsi="宋体" w:cs="宋体"/>
                <w:szCs w:val="21"/>
                <w:highlight w:val="none"/>
              </w:rPr>
              <w:t>业绩</w:t>
            </w:r>
          </w:p>
        </w:tc>
        <w:tc>
          <w:tcPr>
            <w:tcW w:w="6810" w:type="dxa"/>
            <w:noWrap w:val="0"/>
            <w:vAlign w:val="center"/>
          </w:tcPr>
          <w:p>
            <w:pPr>
              <w:widowControl/>
              <w:jc w:val="left"/>
              <w:rPr>
                <w:rFonts w:hint="eastAsia" w:ascii="宋体" w:hAnsi="宋体" w:cs="宋体"/>
                <w:szCs w:val="21"/>
                <w:highlight w:val="none"/>
              </w:rPr>
            </w:pPr>
            <w:r>
              <w:rPr>
                <w:rFonts w:hint="eastAsia" w:ascii="宋体" w:hAnsi="宋体" w:cs="宋体"/>
                <w:color w:val="auto"/>
                <w:szCs w:val="21"/>
                <w:highlight w:val="none"/>
                <w:lang w:val="en-US" w:eastAsia="zh-CN"/>
              </w:rPr>
              <w:t>供应商业绩：</w:t>
            </w:r>
            <w:r>
              <w:rPr>
                <w:rFonts w:hint="eastAsia" w:ascii="宋体" w:hAnsi="宋体" w:eastAsia="宋体" w:cs="宋体"/>
                <w:color w:val="auto"/>
                <w:szCs w:val="21"/>
                <w:highlight w:val="none"/>
              </w:rPr>
              <w:t>每提供1个近5年（201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年至今），独立完成过新建或改扩建高速公路项目</w:t>
            </w:r>
            <w:r>
              <w:rPr>
                <w:rFonts w:hint="eastAsia" w:ascii="宋体" w:hAnsi="宋体" w:eastAsia="宋体" w:cs="宋体"/>
                <w:color w:val="auto"/>
                <w:szCs w:val="21"/>
                <w:highlight w:val="none"/>
                <w:lang w:val="en-US" w:eastAsia="zh-CN"/>
              </w:rPr>
              <w:t>土建</w:t>
            </w:r>
            <w:r>
              <w:rPr>
                <w:rFonts w:hint="eastAsia" w:ascii="宋体" w:hAnsi="宋体" w:eastAsia="宋体" w:cs="宋体"/>
                <w:color w:val="auto"/>
                <w:szCs w:val="21"/>
                <w:highlight w:val="none"/>
              </w:rPr>
              <w:t>工程交工验收、交工验收核验或竣工验收前质量检测服务的工作业绩得3分，项目中每含1座长度≥3000m隧道的</w:t>
            </w:r>
            <w:r>
              <w:rPr>
                <w:rFonts w:hint="eastAsia" w:ascii="宋体" w:hAnsi="宋体" w:eastAsia="宋体" w:cs="宋体"/>
                <w:color w:val="auto"/>
                <w:szCs w:val="21"/>
                <w:highlight w:val="none"/>
                <w:lang w:val="en-US" w:eastAsia="zh-CN"/>
              </w:rPr>
              <w:t>土建</w:t>
            </w:r>
            <w:r>
              <w:rPr>
                <w:rFonts w:hint="eastAsia" w:ascii="宋体" w:hAnsi="宋体" w:eastAsia="宋体" w:cs="宋体"/>
                <w:color w:val="auto"/>
                <w:szCs w:val="21"/>
                <w:highlight w:val="none"/>
              </w:rPr>
              <w:t>工程质量检测工作业绩得1分，最高得10分。</w:t>
            </w:r>
          </w:p>
        </w:tc>
        <w:tc>
          <w:tcPr>
            <w:tcW w:w="722" w:type="dxa"/>
            <w:noWrap w:val="0"/>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ascii="宋体" w:hAnsi="宋体" w:cs="宋体"/>
                <w:szCs w:val="21"/>
                <w:highlight w:val="none"/>
              </w:rPr>
            </w:pPr>
          </w:p>
        </w:tc>
        <w:tc>
          <w:tcPr>
            <w:tcW w:w="6810" w:type="dxa"/>
            <w:noWrap w:val="0"/>
            <w:vAlign w:val="center"/>
          </w:tcPr>
          <w:p>
            <w:pPr>
              <w:widowControl/>
              <w:jc w:val="left"/>
              <w:rPr>
                <w:rFonts w:hint="eastAsia" w:ascii="宋体" w:hAnsi="宋体" w:cs="宋体"/>
                <w:szCs w:val="21"/>
                <w:highlight w:val="none"/>
              </w:rPr>
            </w:pPr>
            <w:r>
              <w:rPr>
                <w:rFonts w:hint="eastAsia" w:ascii="宋体" w:hAnsi="宋体" w:eastAsia="宋体" w:cs="宋体"/>
                <w:szCs w:val="21"/>
                <w:highlight w:val="none"/>
              </w:rPr>
              <w:t>项目负责人</w:t>
            </w:r>
            <w:r>
              <w:rPr>
                <w:rFonts w:hint="eastAsia" w:ascii="宋体" w:hAnsi="宋体" w:cs="宋体"/>
                <w:szCs w:val="21"/>
                <w:highlight w:val="none"/>
                <w:lang w:val="en-US" w:eastAsia="zh-CN"/>
              </w:rPr>
              <w:t>业绩：</w:t>
            </w:r>
            <w:r>
              <w:rPr>
                <w:rFonts w:hint="eastAsia" w:ascii="宋体" w:hAnsi="宋体" w:eastAsia="宋体" w:cs="宋体"/>
                <w:color w:val="auto"/>
                <w:szCs w:val="21"/>
                <w:highlight w:val="none"/>
              </w:rPr>
              <w:t>每</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rPr>
              <w:t>1个近5年（201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年至今），新建或改扩建高速公路项目</w:t>
            </w:r>
            <w:r>
              <w:rPr>
                <w:rFonts w:hint="eastAsia" w:ascii="宋体" w:hAnsi="宋体" w:eastAsia="宋体" w:cs="宋体"/>
                <w:color w:val="auto"/>
                <w:szCs w:val="21"/>
                <w:highlight w:val="none"/>
                <w:lang w:val="en-US" w:eastAsia="zh-CN"/>
              </w:rPr>
              <w:t>土建</w:t>
            </w:r>
            <w:r>
              <w:rPr>
                <w:rFonts w:hint="eastAsia" w:ascii="宋体" w:hAnsi="宋体" w:eastAsia="宋体" w:cs="宋体"/>
                <w:color w:val="auto"/>
                <w:szCs w:val="21"/>
                <w:highlight w:val="none"/>
              </w:rPr>
              <w:t>工程交工验收或竣工验收质量检测服务项目业绩得2.5分，最高得5分。</w:t>
            </w:r>
          </w:p>
        </w:tc>
        <w:tc>
          <w:tcPr>
            <w:tcW w:w="722" w:type="dxa"/>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ascii="宋体" w:hAnsi="宋体" w:cs="宋体"/>
                <w:szCs w:val="21"/>
                <w:highlight w:val="none"/>
              </w:rPr>
            </w:pPr>
          </w:p>
        </w:tc>
        <w:tc>
          <w:tcPr>
            <w:tcW w:w="6810" w:type="dxa"/>
            <w:noWrap w:val="0"/>
            <w:vAlign w:val="center"/>
          </w:tcPr>
          <w:p>
            <w:pPr>
              <w:widowControl/>
              <w:rPr>
                <w:rFonts w:hint="eastAsia" w:ascii="宋体" w:hAnsi="宋体" w:cs="宋体"/>
                <w:szCs w:val="21"/>
                <w:highlight w:val="none"/>
              </w:rPr>
            </w:pPr>
            <w:r>
              <w:rPr>
                <w:rFonts w:hint="eastAsia" w:ascii="宋体" w:hAnsi="宋体" w:eastAsia="宋体" w:cs="宋体"/>
                <w:szCs w:val="21"/>
                <w:highlight w:val="none"/>
              </w:rPr>
              <w:t>技术负责人</w:t>
            </w:r>
            <w:r>
              <w:rPr>
                <w:rFonts w:hint="eastAsia" w:ascii="宋体" w:hAnsi="宋体" w:cs="宋体"/>
                <w:szCs w:val="21"/>
                <w:highlight w:val="none"/>
                <w:lang w:val="en-US" w:eastAsia="zh-CN"/>
              </w:rPr>
              <w:t>业绩：</w:t>
            </w:r>
            <w:r>
              <w:rPr>
                <w:rFonts w:hint="eastAsia" w:ascii="宋体" w:hAnsi="宋体" w:eastAsia="宋体" w:cs="宋体"/>
                <w:color w:val="auto"/>
                <w:szCs w:val="21"/>
                <w:highlight w:val="none"/>
              </w:rPr>
              <w:t>每</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rPr>
              <w:t>1个近5年（201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年至今），新建或改扩建高速公路项目</w:t>
            </w:r>
            <w:r>
              <w:rPr>
                <w:rFonts w:hint="eastAsia" w:ascii="宋体" w:hAnsi="宋体" w:eastAsia="宋体" w:cs="宋体"/>
                <w:color w:val="auto"/>
                <w:szCs w:val="21"/>
                <w:highlight w:val="none"/>
                <w:lang w:val="en-US" w:eastAsia="zh-CN"/>
              </w:rPr>
              <w:t>土建</w:t>
            </w:r>
            <w:r>
              <w:rPr>
                <w:rFonts w:hint="eastAsia" w:ascii="宋体" w:hAnsi="宋体" w:eastAsia="宋体" w:cs="宋体"/>
                <w:color w:val="auto"/>
                <w:szCs w:val="21"/>
                <w:highlight w:val="none"/>
              </w:rPr>
              <w:t>工程交工验收或竣工验收质量检测服务项目业绩得2.5分，最高得5分。</w:t>
            </w:r>
          </w:p>
        </w:tc>
        <w:tc>
          <w:tcPr>
            <w:tcW w:w="722" w:type="dxa"/>
            <w:noWrap w:val="0"/>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restart"/>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技术</w:t>
            </w:r>
            <w:r>
              <w:rPr>
                <w:rFonts w:hint="eastAsia" w:ascii="宋体" w:hAnsi="宋体" w:cs="宋体"/>
                <w:szCs w:val="21"/>
                <w:highlight w:val="none"/>
                <w:lang w:eastAsia="zh-CN"/>
              </w:rPr>
              <w:t>部分</w:t>
            </w:r>
            <w:r>
              <w:rPr>
                <w:rFonts w:hint="eastAsia" w:ascii="宋体" w:hAnsi="宋体" w:cs="宋体"/>
                <w:szCs w:val="21"/>
                <w:highlight w:val="none"/>
              </w:rPr>
              <w:t>（50分）</w:t>
            </w:r>
          </w:p>
        </w:tc>
        <w:tc>
          <w:tcPr>
            <w:tcW w:w="1382" w:type="dxa"/>
            <w:vMerge w:val="restart"/>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交通产品监督抽查服务工作大纲（或方案）及措施</w:t>
            </w: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交通产品监督抽查服务总体计划</w:t>
            </w:r>
          </w:p>
          <w:p>
            <w:pPr>
              <w:snapToGrid w:val="0"/>
              <w:rPr>
                <w:rFonts w:ascii="宋体" w:hAnsi="宋体" w:cs="宋体"/>
                <w:szCs w:val="21"/>
                <w:highlight w:val="none"/>
              </w:rPr>
            </w:pPr>
            <w:r>
              <w:rPr>
                <w:rFonts w:hint="eastAsia" w:ascii="宋体" w:hAnsi="宋体" w:cs="宋体"/>
                <w:szCs w:val="21"/>
                <w:highlight w:val="none"/>
              </w:rPr>
              <w:t>好计3.2～5分，较好计2.4～3.2分，基本符合要求计2.4 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hint="eastAsia" w:ascii="宋体" w:hAnsi="宋体" w:cs="宋体"/>
                <w:szCs w:val="21"/>
                <w:highlight w:val="none"/>
              </w:rPr>
            </w:pP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交通产品监督抽查服务组织机构及管理措施</w:t>
            </w:r>
          </w:p>
          <w:p>
            <w:pPr>
              <w:snapToGrid w:val="0"/>
              <w:rPr>
                <w:rFonts w:ascii="宋体" w:hAnsi="宋体" w:cs="宋体"/>
                <w:szCs w:val="21"/>
                <w:highlight w:val="none"/>
              </w:rPr>
            </w:pPr>
            <w:r>
              <w:rPr>
                <w:rFonts w:hint="eastAsia" w:ascii="宋体" w:hAnsi="宋体" w:cs="宋体"/>
                <w:szCs w:val="21"/>
                <w:highlight w:val="none"/>
              </w:rPr>
              <w:t>好计3.2～5分，较好计2.4～3.2分，基本符合要求计2.4 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hint="eastAsia" w:ascii="宋体" w:hAnsi="宋体" w:cs="宋体"/>
                <w:szCs w:val="21"/>
                <w:highlight w:val="none"/>
              </w:rPr>
            </w:pP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交通产品监督抽查服务目标、基本思路、方法和流程</w:t>
            </w:r>
          </w:p>
          <w:p>
            <w:pPr>
              <w:snapToGrid w:val="0"/>
              <w:rPr>
                <w:rFonts w:ascii="宋体" w:hAnsi="宋体" w:cs="宋体"/>
                <w:szCs w:val="21"/>
                <w:highlight w:val="none"/>
              </w:rPr>
            </w:pPr>
            <w:r>
              <w:rPr>
                <w:rFonts w:hint="eastAsia" w:ascii="宋体" w:hAnsi="宋体" w:cs="宋体"/>
                <w:szCs w:val="21"/>
                <w:highlight w:val="none"/>
              </w:rPr>
              <w:t>好计3.2～5分，较好计2.4～3.2分，基本符合要求计2.4 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hint="eastAsia" w:ascii="宋体" w:hAnsi="宋体" w:cs="宋体"/>
                <w:szCs w:val="21"/>
                <w:highlight w:val="none"/>
              </w:rPr>
            </w:pP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本工程交通产品监督抽查实施方案与技术措施</w:t>
            </w:r>
          </w:p>
          <w:p>
            <w:pPr>
              <w:snapToGrid w:val="0"/>
              <w:rPr>
                <w:rFonts w:ascii="宋体" w:hAnsi="宋体" w:cs="宋体"/>
                <w:szCs w:val="21"/>
                <w:highlight w:val="none"/>
              </w:rPr>
            </w:pPr>
            <w:r>
              <w:rPr>
                <w:rFonts w:hint="eastAsia" w:ascii="宋体" w:hAnsi="宋体" w:cs="宋体"/>
                <w:szCs w:val="21"/>
                <w:highlight w:val="none"/>
              </w:rPr>
              <w:t>好计4.8～7分，较好计3.6～4.8分，基本符合要求计3.6 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hint="eastAsia" w:ascii="宋体" w:hAnsi="宋体" w:cs="宋体"/>
                <w:szCs w:val="21"/>
                <w:highlight w:val="none"/>
              </w:rPr>
            </w:pP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交通产品监督抽查服务进度、质量、安全保证措施</w:t>
            </w:r>
          </w:p>
          <w:p>
            <w:pPr>
              <w:snapToGrid w:val="0"/>
              <w:rPr>
                <w:rFonts w:ascii="宋体" w:hAnsi="宋体" w:cs="宋体"/>
                <w:szCs w:val="21"/>
                <w:highlight w:val="none"/>
              </w:rPr>
            </w:pPr>
            <w:r>
              <w:rPr>
                <w:rFonts w:hint="eastAsia" w:ascii="宋体" w:hAnsi="宋体" w:cs="宋体"/>
                <w:szCs w:val="21"/>
                <w:highlight w:val="none"/>
              </w:rPr>
              <w:t>好计4～6分，较好计3～4分，基本符合要求计3分。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与业主、施工、监理各方的配合、协调工作与措施</w:t>
            </w: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与业主、施工、监理各方的配合、协调工作与措施</w:t>
            </w:r>
          </w:p>
          <w:p>
            <w:pPr>
              <w:snapToGrid w:val="0"/>
              <w:rPr>
                <w:rFonts w:ascii="宋体" w:hAnsi="宋体" w:cs="宋体"/>
                <w:szCs w:val="21"/>
                <w:highlight w:val="none"/>
              </w:rPr>
            </w:pPr>
            <w:r>
              <w:rPr>
                <w:rFonts w:hint="eastAsia" w:ascii="宋体" w:hAnsi="宋体" w:cs="宋体"/>
                <w:szCs w:val="21"/>
                <w:highlight w:val="none"/>
              </w:rPr>
              <w:t>好计3.2～5分，较好计2.4～3.2分，基本符合要求计2.4 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交通产品抽查工作重点、难点分析</w:t>
            </w: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交通产品监督抽查工作重点、难点分析</w:t>
            </w:r>
          </w:p>
          <w:p>
            <w:pPr>
              <w:snapToGrid w:val="0"/>
              <w:rPr>
                <w:rFonts w:ascii="宋体" w:hAnsi="宋体" w:cs="宋体"/>
                <w:szCs w:val="21"/>
                <w:highlight w:val="none"/>
              </w:rPr>
            </w:pPr>
            <w:r>
              <w:rPr>
                <w:rFonts w:hint="eastAsia" w:ascii="宋体" w:hAnsi="宋体" w:cs="宋体"/>
                <w:szCs w:val="21"/>
                <w:highlight w:val="none"/>
              </w:rPr>
              <w:t>好计3.2～5分，较好计2.4～3.2分，基本符合要求计2.4 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restart"/>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交通产品监督抽查服务工作的承诺及建议</w:t>
            </w: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工作成效及过失赔偿相关承诺</w:t>
            </w:r>
          </w:p>
          <w:p>
            <w:pPr>
              <w:snapToGrid w:val="0"/>
              <w:rPr>
                <w:rFonts w:ascii="宋体" w:hAnsi="宋体" w:cs="宋体"/>
                <w:szCs w:val="21"/>
                <w:highlight w:val="none"/>
              </w:rPr>
            </w:pPr>
            <w:r>
              <w:rPr>
                <w:rFonts w:hint="eastAsia" w:ascii="宋体" w:hAnsi="宋体" w:cs="宋体"/>
                <w:szCs w:val="21"/>
                <w:highlight w:val="none"/>
              </w:rPr>
              <w:t>好计2.4～4分，较好计1.8～2.4分，基本符合要求计1.8分。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hint="eastAsia" w:ascii="宋体" w:hAnsi="宋体" w:cs="宋体"/>
                <w:szCs w:val="21"/>
                <w:highlight w:val="none"/>
              </w:rPr>
            </w:pP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对做好交通产品监督抽查服务工作的建议</w:t>
            </w:r>
          </w:p>
          <w:p>
            <w:pPr>
              <w:snapToGrid w:val="0"/>
              <w:rPr>
                <w:rFonts w:ascii="宋体" w:hAnsi="宋体" w:cs="宋体"/>
                <w:szCs w:val="21"/>
                <w:highlight w:val="none"/>
              </w:rPr>
            </w:pPr>
            <w:r>
              <w:rPr>
                <w:rFonts w:hint="eastAsia" w:ascii="宋体" w:hAnsi="宋体" w:cs="宋体"/>
                <w:szCs w:val="21"/>
                <w:highlight w:val="none"/>
              </w:rPr>
              <w:t>好计2.4～4分，较好计1.8～2.4分，基本符合要求计1.8分。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172" w:type="dxa"/>
            <w:vMerge w:val="continue"/>
            <w:noWrap w:val="0"/>
            <w:vAlign w:val="center"/>
          </w:tcPr>
          <w:p>
            <w:pPr>
              <w:snapToGrid w:val="0"/>
              <w:jc w:val="center"/>
              <w:rPr>
                <w:rFonts w:hint="eastAsia" w:ascii="宋体" w:hAnsi="宋体" w:cs="宋体"/>
                <w:szCs w:val="21"/>
                <w:highlight w:val="none"/>
              </w:rPr>
            </w:pPr>
          </w:p>
        </w:tc>
        <w:tc>
          <w:tcPr>
            <w:tcW w:w="1382" w:type="dxa"/>
            <w:vMerge w:val="continue"/>
            <w:noWrap w:val="0"/>
            <w:vAlign w:val="center"/>
          </w:tcPr>
          <w:p>
            <w:pPr>
              <w:widowControl/>
              <w:jc w:val="center"/>
              <w:rPr>
                <w:rFonts w:hint="eastAsia" w:ascii="宋体" w:hAnsi="宋体" w:cs="宋体"/>
                <w:szCs w:val="21"/>
                <w:highlight w:val="none"/>
              </w:rPr>
            </w:pPr>
          </w:p>
        </w:tc>
        <w:tc>
          <w:tcPr>
            <w:tcW w:w="6810" w:type="dxa"/>
            <w:noWrap w:val="0"/>
            <w:vAlign w:val="center"/>
          </w:tcPr>
          <w:p>
            <w:pPr>
              <w:snapToGrid w:val="0"/>
              <w:rPr>
                <w:rFonts w:hint="eastAsia" w:ascii="宋体" w:hAnsi="宋体" w:cs="宋体"/>
                <w:szCs w:val="21"/>
                <w:highlight w:val="none"/>
              </w:rPr>
            </w:pPr>
            <w:r>
              <w:rPr>
                <w:rFonts w:hint="eastAsia" w:ascii="宋体" w:hAnsi="宋体" w:cs="宋体"/>
                <w:szCs w:val="21"/>
                <w:highlight w:val="none"/>
              </w:rPr>
              <w:t>项目风险预测与防范，事故应急预案</w:t>
            </w:r>
          </w:p>
          <w:p>
            <w:pPr>
              <w:snapToGrid w:val="0"/>
              <w:rPr>
                <w:rFonts w:ascii="宋体" w:hAnsi="宋体" w:cs="宋体"/>
                <w:szCs w:val="21"/>
                <w:highlight w:val="none"/>
              </w:rPr>
            </w:pPr>
            <w:r>
              <w:rPr>
                <w:rFonts w:hint="eastAsia" w:ascii="宋体" w:hAnsi="宋体" w:cs="宋体"/>
                <w:szCs w:val="21"/>
                <w:highlight w:val="none"/>
              </w:rPr>
              <w:t>好计2.4～4分，较好计1.8～2.4分，基本符合要求计1.8分。</w:t>
            </w:r>
          </w:p>
        </w:tc>
        <w:tc>
          <w:tcPr>
            <w:tcW w:w="72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10086" w:type="dxa"/>
            <w:gridSpan w:val="4"/>
            <w:noWrap w:val="0"/>
            <w:vAlign w:val="center"/>
          </w:tcPr>
          <w:p>
            <w:pPr>
              <w:jc w:val="center"/>
              <w:rPr>
                <w:rFonts w:hint="default" w:ascii="宋体" w:hAnsi="宋体" w:eastAsia="宋体" w:cs="宋体"/>
                <w:szCs w:val="21"/>
                <w:highlight w:val="none"/>
                <w:lang w:val="en-US" w:eastAsia="zh-CN"/>
              </w:rPr>
            </w:pPr>
            <w:r>
              <w:rPr>
                <w:rFonts w:hint="eastAsia" w:ascii="宋体" w:hAnsi="宋体" w:cs="宋体"/>
                <w:b/>
                <w:bCs/>
                <w:szCs w:val="21"/>
                <w:highlight w:val="none"/>
                <w:lang w:val="en-US" w:eastAsia="zh-CN"/>
              </w:rPr>
              <w:t>注：磋商小组成员按照磋商文件响应文件的响应程度按差别计分</w:t>
            </w:r>
          </w:p>
        </w:tc>
      </w:tr>
    </w:tbl>
    <w:p>
      <w:pPr>
        <w:pStyle w:val="16"/>
        <w:tabs>
          <w:tab w:val="left" w:pos="600"/>
        </w:tabs>
        <w:spacing w:line="360" w:lineRule="auto"/>
        <w:ind w:firstLine="0"/>
        <w:rPr>
          <w:rFonts w:hint="eastAsia" w:ascii="宋体" w:hAnsi="宋体" w:eastAsia="宋体" w:cs="宋体"/>
          <w:color w:val="auto"/>
          <w:sz w:val="21"/>
          <w:szCs w:val="21"/>
          <w:highlight w:val="none"/>
        </w:rPr>
      </w:pPr>
    </w:p>
    <w:p>
      <w:pPr>
        <w:widowControl/>
        <w:autoSpaceDE w:val="0"/>
        <w:autoSpaceDN w:val="0"/>
        <w:spacing w:before="360" w:beforeLines="150" w:after="120" w:afterLines="50" w:line="360" w:lineRule="auto"/>
        <w:ind w:right="51"/>
        <w:textAlignment w:val="bottom"/>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2.3 特殊情况的处理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响应文件中如果出现前后不一致的，按照下列规定修正：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（1）响应文件中的大写金额与小写金额不一致的，以大写金额为准；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（2）响应文件中的总报价与按单价计算的汇总报价不一致的，以单价计算的汇总报价为准；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（3）响应文件中的报价有明显小数点错误的，以总报价为准，并修改报价；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（4）响应文件中有关分项表内容与“磋商报价一览表”不一致的，以“磋商报价一览表”为准；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（5）响应文件中图表与文字表述不一致的，以文字表述为准；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（6）响应文件正本与副本不一致的，以正本为准；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（7）对不同文字文本响应文件的解释发生异议的，以中文文本为准。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按上述修正错误的方法调整的报价应对供应商具有约束力。如果供应商不接受修正后的价格，其响应文件将被拒绝。</w:t>
      </w:r>
    </w:p>
    <w:p>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2.3.2</w:t>
      </w:r>
      <w:r>
        <w:rPr>
          <w:rFonts w:hint="eastAsia" w:ascii="宋体" w:hAnsi="宋体" w:eastAsia="宋体" w:cs="宋体"/>
          <w:b/>
          <w:color w:val="auto"/>
          <w:szCs w:val="21"/>
          <w:highlight w:val="none"/>
        </w:rPr>
        <w:t>磋商</w:t>
      </w:r>
      <w:r>
        <w:rPr>
          <w:rFonts w:hint="eastAsia" w:ascii="宋体" w:hAnsi="宋体" w:eastAsia="宋体" w:cs="宋体"/>
          <w:b/>
          <w:color w:val="auto"/>
          <w:kern w:val="0"/>
          <w:szCs w:val="21"/>
          <w:highlight w:val="none"/>
        </w:rPr>
        <w:t>报价异常处理</w:t>
      </w:r>
    </w:p>
    <w:p>
      <w:pPr>
        <w:widowControl/>
        <w:autoSpaceDE w:val="0"/>
        <w:autoSpaceDN w:val="0"/>
        <w:spacing w:line="360" w:lineRule="auto"/>
        <w:ind w:right="53" w:firstLine="420" w:firstLineChars="2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2.3.2.1 磋商小组认为供应商的最后报价明显低于其他通过资格性、符合性审查供应商的最后报价，有可能影响服务质量或者不能诚信履约的，应当要求其在评审现场合理的时间内提供书面说明，必要时提交相关证明材料。</w:t>
      </w:r>
    </w:p>
    <w:p>
      <w:pPr>
        <w:widowControl/>
        <w:autoSpaceDE w:val="0"/>
        <w:autoSpaceDN w:val="0"/>
        <w:spacing w:line="360" w:lineRule="auto"/>
        <w:ind w:right="53" w:firstLine="630" w:firstLineChars="3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2.3.2.2 供应商证明其能够诚信履约，并承诺成交后提供磋商文件规定以外的履约担保的，可以继续参加评审，否则磋商小组应当将其作为</w:t>
      </w:r>
      <w:r>
        <w:rPr>
          <w:rFonts w:hint="eastAsia" w:ascii="宋体" w:hAnsi="宋体" w:eastAsia="宋体" w:cs="宋体"/>
          <w:b/>
          <w:color w:val="auto"/>
          <w:kern w:val="0"/>
          <w:szCs w:val="21"/>
          <w:highlight w:val="none"/>
        </w:rPr>
        <w:t>无效响应文件</w:t>
      </w:r>
      <w:r>
        <w:rPr>
          <w:rFonts w:hint="eastAsia" w:ascii="宋体" w:hAnsi="宋体" w:eastAsia="宋体" w:cs="宋体"/>
          <w:color w:val="auto"/>
          <w:kern w:val="0"/>
          <w:szCs w:val="21"/>
          <w:highlight w:val="none"/>
        </w:rPr>
        <w:t>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 磋商小组成员打分超过得分界限或未按本办法赋分时，该成员的打分，按废票处理。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评审过程中，各种数字的计算结果，均保留两位小数，第三位“四舍五入”，但计算百分数时应精确到千分位，万分位“四舍五入”。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评审过程中，若出现本磋商办法以外的特殊情况时，将暂停评审，待磋商小组商榷后，再进行评审。</w:t>
      </w:r>
    </w:p>
    <w:p>
      <w:pPr>
        <w:pStyle w:val="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2.3.6 合格供应商少于3家的处理</w:t>
      </w:r>
    </w:p>
    <w:p>
      <w:pPr>
        <w:pStyle w:val="6"/>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2.3.6.1 评审过程中，若出现合格供应商只有2家时，符合《政府采购竞争性磋商采购方式管理暂行办法》第3条第4项情形的，</w:t>
      </w:r>
      <w:r>
        <w:rPr>
          <w:rFonts w:hint="eastAsia" w:ascii="宋体" w:hAnsi="宋体" w:eastAsia="宋体" w:cs="宋体"/>
          <w:snapToGrid w:val="0"/>
          <w:color w:val="auto"/>
          <w:kern w:val="0"/>
          <w:szCs w:val="21"/>
          <w:highlight w:val="none"/>
        </w:rPr>
        <w:t>或者本项目为政府购买服务指导性目录中的，</w:t>
      </w:r>
      <w:r>
        <w:rPr>
          <w:rFonts w:hint="eastAsia" w:ascii="宋体" w:hAnsi="宋体" w:eastAsia="宋体" w:cs="宋体"/>
          <w:color w:val="auto"/>
          <w:szCs w:val="21"/>
          <w:highlight w:val="none"/>
        </w:rPr>
        <w:t>可以继续进行；只有1家时，采购人应依法重新组织采购活动。</w:t>
      </w:r>
    </w:p>
    <w:p>
      <w:pPr>
        <w:widowControl/>
        <w:autoSpaceDE w:val="0"/>
        <w:autoSpaceDN w:val="0"/>
        <w:spacing w:line="360" w:lineRule="auto"/>
        <w:ind w:right="53" w:firstLine="630" w:firstLineChars="3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2.3.6.2 评审过程中，除符合本章第2.3.6.1条款规定情形外，若出现合格供应商少于3家时，采购人应依法重新组织采购活动。</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2.3.7 评审报告签署后，采购人或者采购代理机构发现存在本章第1.7.2条款情形之一的，应当组织原磋商小组进行重新评审，重新评审改变成交结果的，书面报告本级财政部门。</w:t>
      </w:r>
    </w:p>
    <w:p>
      <w:pPr>
        <w:pStyle w:val="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2.3.8 评审争议处理原则</w:t>
      </w:r>
    </w:p>
    <w:p>
      <w:pPr>
        <w:pStyle w:val="16"/>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在评审过程中，对响应文件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6"/>
        <w:spacing w:line="360" w:lineRule="auto"/>
        <w:ind w:firstLine="422" w:firstLineChars="200"/>
        <w:rPr>
          <w:rFonts w:hint="eastAsia" w:ascii="宋体" w:hAnsi="宋体" w:eastAsia="宋体" w:cs="宋体"/>
          <w:b/>
          <w:color w:val="auto"/>
          <w:szCs w:val="21"/>
          <w:highlight w:val="none"/>
        </w:rPr>
      </w:pPr>
      <w:bookmarkStart w:id="106" w:name="_Toc20651224"/>
      <w:r>
        <w:rPr>
          <w:rFonts w:hint="eastAsia" w:ascii="宋体" w:hAnsi="宋体" w:eastAsia="宋体" w:cs="宋体"/>
          <w:b/>
          <w:color w:val="auto"/>
          <w:szCs w:val="21"/>
          <w:highlight w:val="none"/>
        </w:rPr>
        <w:t>2.3.9 停止评</w:t>
      </w:r>
      <w:bookmarkEnd w:id="106"/>
      <w:r>
        <w:rPr>
          <w:rFonts w:hint="eastAsia" w:ascii="宋体" w:hAnsi="宋体" w:eastAsia="宋体" w:cs="宋体"/>
          <w:b/>
          <w:color w:val="auto"/>
          <w:szCs w:val="21"/>
          <w:highlight w:val="none"/>
        </w:rPr>
        <w:t>审</w:t>
      </w:r>
    </w:p>
    <w:p>
      <w:pPr>
        <w:pStyle w:val="16"/>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发现磋商文件存在歧义、重大缺陷导致评审工作无法进行，或者磋商文件内容违反国家有关强制性规定的，应当停止评审工作，与采购人、采购代理机构沟通并作书面记录。采购人、采购代理机构应当确认和修改磋商文件后，重新组织采购活动。</w:t>
      </w:r>
    </w:p>
    <w:p>
      <w:pPr>
        <w:widowControl/>
        <w:spacing w:line="360" w:lineRule="auto"/>
        <w:ind w:firstLine="420" w:firstLineChars="200"/>
        <w:rPr>
          <w:rFonts w:hint="eastAsia" w:ascii="宋体" w:hAnsi="宋体" w:eastAsia="宋体" w:cs="宋体"/>
          <w:color w:val="auto"/>
          <w:szCs w:val="21"/>
          <w:highlight w:val="none"/>
        </w:rPr>
      </w:pPr>
      <w:bookmarkStart w:id="107" w:name="_Toc20651225"/>
      <w:r>
        <w:rPr>
          <w:rFonts w:hint="eastAsia" w:ascii="宋体" w:hAnsi="宋体" w:eastAsia="宋体" w:cs="宋体"/>
          <w:color w:val="auto"/>
          <w:szCs w:val="21"/>
          <w:highlight w:val="none"/>
        </w:rPr>
        <w:t>2.3.10采购人、采购代理机构发现磋商小组未按照磋商文件规定的评审标准进行评审的，应当重新开展采购活动，并同时书面报告本级财政部门。</w:t>
      </w:r>
    </w:p>
    <w:bookmarkEnd w:id="107"/>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jc w:val="center"/>
        <w:outlineLvl w:val="0"/>
        <w:rPr>
          <w:rFonts w:hint="eastAsia" w:ascii="宋体" w:hAnsi="宋体" w:eastAsia="宋体" w:cs="宋体"/>
          <w:b/>
          <w:color w:val="auto"/>
          <w:sz w:val="44"/>
          <w:szCs w:val="44"/>
          <w:highlight w:val="none"/>
        </w:rPr>
      </w:pPr>
      <w:r>
        <w:rPr>
          <w:rFonts w:hint="eastAsia" w:ascii="宋体" w:hAnsi="宋体" w:eastAsia="宋体" w:cs="宋体"/>
          <w:color w:val="auto"/>
          <w:spacing w:val="2"/>
          <w:sz w:val="24"/>
          <w:highlight w:val="none"/>
        </w:rPr>
        <w:br w:type="page"/>
      </w:r>
      <w:bookmarkEnd w:id="105"/>
      <w:r>
        <w:rPr>
          <w:rFonts w:hint="eastAsia" w:ascii="宋体" w:hAnsi="宋体" w:eastAsia="宋体" w:cs="宋体"/>
          <w:b/>
          <w:color w:val="auto"/>
          <w:sz w:val="44"/>
          <w:szCs w:val="44"/>
          <w:highlight w:val="none"/>
        </w:rPr>
        <w:t>第五章 采购内容及要求</w:t>
      </w:r>
    </w:p>
    <w:p>
      <w:pPr>
        <w:pStyle w:val="6"/>
        <w:spacing w:line="360" w:lineRule="auto"/>
        <w:ind w:left="0" w:leftChars="0" w:firstLine="0" w:firstLineChars="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一、采购要求</w:t>
      </w:r>
    </w:p>
    <w:p>
      <w:pPr>
        <w:pStyle w:val="6"/>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产品质量法》、交通运输部《公路水运工程质量监督规定》、省交通运输厅《陕西省公路建设质量工作指导意见》陕西省交通运输工程质量监测鉴定站《陕西省高速公路交通产品及常用原材料质量监督抽查管理办法（试行）》等要求对陕西省高速公路建设项目所使用的交通产品开展监督抽查，抽检范围为全省高速公路建设项目中影响交通运输安全和工程建设质量以及有关单位或用户反映质量问题较多的交通产品和常用原材料。</w:t>
      </w:r>
    </w:p>
    <w:p>
      <w:pPr>
        <w:pStyle w:val="6"/>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检测依据：</w:t>
      </w:r>
    </w:p>
    <w:p>
      <w:pPr>
        <w:pStyle w:val="6"/>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《公路工程竣（交）工验收办法》（交通部令2004年第3号令）；</w:t>
      </w:r>
    </w:p>
    <w:p>
      <w:pPr>
        <w:pStyle w:val="6"/>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《陕西省交通运输厅关于进一步规范公路建设项目竣（交）工验收工作的通知》（陕交函〔2015〕282号）；</w:t>
      </w:r>
    </w:p>
    <w:p>
      <w:pPr>
        <w:pStyle w:val="6"/>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《公路工程质量评定标准 第一册 土建工程》（JTG F80/1-2017）；</w:t>
      </w:r>
    </w:p>
    <w:p>
      <w:pPr>
        <w:pStyle w:val="6"/>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《公路工程质量检验评定标准 第二册 机电工程》（JTG 2182-2020）；</w:t>
      </w:r>
    </w:p>
    <w:p>
      <w:pPr>
        <w:pStyle w:val="6"/>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厅质监站关于再次重申高速公路工程交竣工验收检测工作有关要求的通知（陕交质监发〔2015〕130号）；</w:t>
      </w:r>
    </w:p>
    <w:p>
      <w:pPr>
        <w:pStyle w:val="6"/>
        <w:spacing w:line="360" w:lineRule="auto"/>
        <w:ind w:firstLine="720" w:firstLineChars="300"/>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lang w:val="en-US" w:eastAsia="zh-CN"/>
        </w:rPr>
        <w:t>批准的施工设计文件、变更设计文件、合同文件及有关标准、规范和规程。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kern w:val="2"/>
          <w:sz w:val="28"/>
          <w:szCs w:val="28"/>
          <w:lang w:val="en-US" w:eastAsia="zh-CN" w:bidi="ar-SA"/>
        </w:rPr>
        <w:t>二、</w:t>
      </w:r>
      <w:r>
        <w:rPr>
          <w:rFonts w:ascii="宋体" w:hAnsi="宋体" w:cs="宋体"/>
          <w:b/>
          <w:bCs/>
          <w:sz w:val="30"/>
          <w:szCs w:val="30"/>
        </w:rPr>
        <w:t>抽</w:t>
      </w:r>
      <w:r>
        <w:rPr>
          <w:rFonts w:hint="eastAsia" w:ascii="宋体" w:hAnsi="宋体" w:cs="宋体"/>
          <w:b/>
          <w:bCs/>
          <w:sz w:val="30"/>
          <w:szCs w:val="30"/>
        </w:rPr>
        <w:t>查</w:t>
      </w:r>
      <w:r>
        <w:rPr>
          <w:rFonts w:hint="eastAsia" w:ascii="宋体" w:hAnsi="宋体" w:cs="宋体"/>
          <w:b/>
          <w:bCs/>
          <w:sz w:val="30"/>
          <w:szCs w:val="30"/>
          <w:lang w:eastAsia="zh-CN"/>
        </w:rPr>
        <w:t>范围：</w:t>
      </w:r>
    </w:p>
    <w:p>
      <w:pPr>
        <w:spacing w:line="360" w:lineRule="auto"/>
        <w:ind w:firstLine="480"/>
        <w:rPr>
          <w:rFonts w:hint="eastAsia"/>
          <w:sz w:val="36"/>
          <w:szCs w:val="44"/>
          <w:lang w:val="en-US" w:eastAsia="zh-CN"/>
        </w:rPr>
      </w:pPr>
      <w:r>
        <w:rPr>
          <w:rFonts w:hint="eastAsia" w:ascii="宋体" w:hAnsi="宋体" w:eastAsia="宋体" w:cs="Times New Roman"/>
          <w:sz w:val="24"/>
          <w:szCs w:val="24"/>
          <w:lang w:val="en-US" w:eastAsia="zh-CN"/>
        </w:rPr>
        <w:t>依据《中华人民共和国产品质量法》、交通运输部《公路水运工程质量监督规定》、省交通运输厅《陕西省公路建设质量工作指导意见》陕西省交通运输工程质量监测鉴定站《陕西省高速公路交通产品及常用原材料质量监督抽查管理办法（试行）》等要求对陕西省高速公路建设项目所使用的交通产品开展监督抽查，抽检范围为全省高速公路建设项目中影响交通运输安全和工程建设质量以及有关单位或用户反映质量问题较多的交通产品和常用原材料。</w:t>
      </w:r>
    </w:p>
    <w:tbl>
      <w:tblPr>
        <w:tblStyle w:val="26"/>
        <w:tblW w:w="4993" w:type="pct"/>
        <w:tblInd w:w="0" w:type="dxa"/>
        <w:tblLayout w:type="fixed"/>
        <w:tblCellMar>
          <w:top w:w="0" w:type="dxa"/>
          <w:left w:w="108" w:type="dxa"/>
          <w:bottom w:w="0" w:type="dxa"/>
          <w:right w:w="108" w:type="dxa"/>
        </w:tblCellMar>
      </w:tblPr>
      <w:tblGrid>
        <w:gridCol w:w="858"/>
        <w:gridCol w:w="1939"/>
        <w:gridCol w:w="3536"/>
        <w:gridCol w:w="2624"/>
      </w:tblGrid>
      <w:tr>
        <w:tblPrEx>
          <w:tblCellMar>
            <w:top w:w="0" w:type="dxa"/>
            <w:left w:w="108" w:type="dxa"/>
            <w:bottom w:w="0" w:type="dxa"/>
            <w:right w:w="108" w:type="dxa"/>
          </w:tblCellMar>
        </w:tblPrEx>
        <w:trPr>
          <w:trHeight w:val="308" w:hRule="atLeast"/>
        </w:trPr>
        <w:tc>
          <w:tcPr>
            <w:tcW w:w="478"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3056" w:type="pct"/>
            <w:gridSpan w:val="2"/>
            <w:tcBorders>
              <w:top w:val="single" w:color="auto" w:sz="4" w:space="0"/>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产品名称及类别</w:t>
            </w:r>
          </w:p>
        </w:tc>
        <w:tc>
          <w:tcPr>
            <w:tcW w:w="1464" w:type="pct"/>
            <w:tcBorders>
              <w:top w:val="single" w:color="auto" w:sz="4" w:space="0"/>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抽检数量</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w:t>
            </w:r>
          </w:p>
        </w:tc>
        <w:tc>
          <w:tcPr>
            <w:tcW w:w="1082" w:type="pct"/>
            <w:vMerge w:val="restar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桥梁工程</w:t>
            </w: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钢绞线</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橡胶支座</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3</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锚具及夹片</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预应力桥梁孔道压浆料</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c>
          <w:tcPr>
            <w:tcW w:w="1082" w:type="pct"/>
            <w:vMerge w:val="restar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隧道工程</w:t>
            </w: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防水板</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6</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土工布</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7</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止水带</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8</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止水条</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双壁波纹管</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yas 半管</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11</w:t>
            </w:r>
          </w:p>
        </w:tc>
        <w:tc>
          <w:tcPr>
            <w:tcW w:w="1082" w:type="pct"/>
            <w:vMerge w:val="restar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路面工程</w:t>
            </w: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基质沥青</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12</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改性沥青</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13</w:t>
            </w:r>
          </w:p>
        </w:tc>
        <w:tc>
          <w:tcPr>
            <w:tcW w:w="1082" w:type="pct"/>
            <w:vMerge w:val="restar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交安工程</w:t>
            </w: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波形梁板</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波形梁护栏立柱</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拼接螺栓</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16</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防阻块</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r>
      <w:tr>
        <w:tblPrEx>
          <w:tblCellMar>
            <w:top w:w="0" w:type="dxa"/>
            <w:left w:w="108" w:type="dxa"/>
            <w:bottom w:w="0" w:type="dxa"/>
            <w:right w:w="108" w:type="dxa"/>
          </w:tblCellMar>
        </w:tblPrEx>
        <w:trPr>
          <w:trHeight w:val="304"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17</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路面标线涂料（热熔型）</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r>
      <w:tr>
        <w:tblPrEx>
          <w:tblCellMar>
            <w:top w:w="0" w:type="dxa"/>
            <w:left w:w="108" w:type="dxa"/>
            <w:bottom w:w="0" w:type="dxa"/>
            <w:right w:w="108" w:type="dxa"/>
          </w:tblCellMar>
        </w:tblPrEx>
        <w:trPr>
          <w:trHeight w:val="315" w:hRule="atLeast"/>
        </w:trPr>
        <w:tc>
          <w:tcPr>
            <w:tcW w:w="478"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18</w:t>
            </w:r>
          </w:p>
        </w:tc>
        <w:tc>
          <w:tcPr>
            <w:tcW w:w="1082" w:type="pct"/>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left"/>
              <w:rPr>
                <w:rFonts w:ascii="黑体" w:hAnsi="黑体" w:eastAsia="黑体" w:cs="宋体"/>
                <w:color w:val="000000"/>
                <w:kern w:val="0"/>
                <w:szCs w:val="21"/>
              </w:rPr>
            </w:pPr>
          </w:p>
        </w:tc>
        <w:tc>
          <w:tcPr>
            <w:tcW w:w="1974"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玻璃珠</w:t>
            </w:r>
          </w:p>
        </w:tc>
        <w:tc>
          <w:tcPr>
            <w:tcW w:w="1464"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r>
    </w:tbl>
    <w:p>
      <w:pPr>
        <w:widowControl/>
        <w:spacing w:after="240" w:afterLines="100" w:line="400" w:lineRule="atLeast"/>
        <w:jc w:val="both"/>
        <w:rPr>
          <w:rFonts w:hint="eastAsia" w:ascii="宋体" w:hAnsi="宋体" w:eastAsia="宋体" w:cs="宋体"/>
          <w:b/>
          <w:kern w:val="2"/>
          <w:sz w:val="28"/>
          <w:szCs w:val="28"/>
          <w:lang w:val="en-US" w:eastAsia="zh-CN" w:bidi="ar-SA"/>
        </w:rPr>
      </w:pPr>
    </w:p>
    <w:p>
      <w:pPr>
        <w:widowControl/>
        <w:numPr>
          <w:ilvl w:val="0"/>
          <w:numId w:val="6"/>
        </w:numPr>
        <w:spacing w:after="240" w:afterLines="100" w:line="400" w:lineRule="atLeast"/>
        <w:jc w:val="both"/>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服务期：</w:t>
      </w:r>
    </w:p>
    <w:p>
      <w:pPr>
        <w:widowControl/>
        <w:numPr>
          <w:ilvl w:val="0"/>
          <w:numId w:val="0"/>
        </w:numPr>
        <w:spacing w:after="240" w:afterLines="100" w:line="400" w:lineRule="atLeast"/>
        <w:jc w:val="both"/>
        <w:rPr>
          <w:rFonts w:hint="eastAsia" w:ascii="宋体" w:hAnsi="宋体" w:eastAsia="宋体" w:cs="宋体"/>
          <w:b/>
          <w:kern w:val="2"/>
          <w:sz w:val="24"/>
          <w:szCs w:val="24"/>
          <w:lang w:val="en-US" w:eastAsia="zh-CN" w:bidi="ar-SA"/>
        </w:rPr>
      </w:pPr>
      <w:bookmarkStart w:id="112" w:name="_GoBack"/>
      <w:r>
        <w:rPr>
          <w:rFonts w:hint="eastAsia" w:ascii="宋体" w:hAnsi="宋体" w:eastAsia="宋体" w:cs="宋体"/>
          <w:b w:val="0"/>
          <w:bCs/>
          <w:kern w:val="2"/>
          <w:sz w:val="24"/>
          <w:szCs w:val="24"/>
          <w:lang w:val="zh-CN" w:eastAsia="zh-CN" w:bidi="ar-SA"/>
        </w:rPr>
        <w:t>预计服务周期为6个月（具体进场日期以实际通知为准）</w:t>
      </w:r>
      <w:bookmarkEnd w:id="112"/>
      <w:r>
        <w:rPr>
          <w:rFonts w:hint="eastAsia" w:ascii="宋体" w:hAnsi="宋体" w:eastAsia="宋体" w:cs="宋体"/>
          <w:b w:val="0"/>
          <w:bCs/>
          <w:kern w:val="2"/>
          <w:sz w:val="24"/>
          <w:szCs w:val="24"/>
          <w:lang w:val="zh-CN" w:eastAsia="zh-CN" w:bidi="ar-SA"/>
        </w:rPr>
        <w:t>。</w:t>
      </w:r>
    </w:p>
    <w:p>
      <w:pPr>
        <w:widowControl/>
        <w:numPr>
          <w:ilvl w:val="0"/>
          <w:numId w:val="6"/>
        </w:numPr>
        <w:spacing w:after="240" w:afterLines="100" w:line="400" w:lineRule="atLeast"/>
        <w:ind w:left="0" w:leftChars="0" w:firstLine="0" w:firstLineChars="0"/>
        <w:jc w:val="both"/>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服务质量要求：</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合同签订至所有交工服务工作全部完成，通过发包人的验收。</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p>
    <w:p>
      <w:pPr>
        <w:widowControl/>
        <w:numPr>
          <w:ilvl w:val="0"/>
          <w:numId w:val="0"/>
        </w:numPr>
        <w:spacing w:after="240" w:afterLines="100" w:line="400" w:lineRule="atLeast"/>
        <w:ind w:leftChars="0"/>
        <w:jc w:val="center"/>
        <w:rPr>
          <w:rFonts w:hint="eastAsia" w:ascii="宋体" w:hAnsi="宋体" w:eastAsia="宋体" w:cs="宋体"/>
          <w:color w:val="auto"/>
          <w:sz w:val="44"/>
          <w:szCs w:val="44"/>
          <w:highlight w:val="none"/>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color w:val="auto"/>
          <w:sz w:val="44"/>
          <w:szCs w:val="44"/>
          <w:highlight w:val="none"/>
        </w:rPr>
        <w:t>第</w:t>
      </w:r>
      <w:r>
        <w:rPr>
          <w:rFonts w:hint="eastAsia" w:ascii="宋体" w:hAnsi="宋体" w:eastAsia="宋体" w:cs="宋体"/>
          <w:color w:val="auto"/>
          <w:sz w:val="44"/>
          <w:szCs w:val="44"/>
          <w:highlight w:val="none"/>
          <w:lang w:val="en-US" w:eastAsia="zh-CN"/>
        </w:rPr>
        <w:t>六</w:t>
      </w:r>
      <w:r>
        <w:rPr>
          <w:rFonts w:hint="eastAsia" w:ascii="宋体" w:hAnsi="宋体" w:eastAsia="宋体" w:cs="宋体"/>
          <w:color w:val="auto"/>
          <w:sz w:val="44"/>
          <w:szCs w:val="44"/>
          <w:highlight w:val="none"/>
        </w:rPr>
        <w:t>章   合同主要条款</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（此合同主要条款，除商务条款以外，其余部分，只作为参考，具体以采购人所提供合同为准）</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u w:val="single"/>
          <w:lang w:val="en-US" w:eastAsia="zh-CN"/>
        </w:rPr>
        <w:t>陕西省交通运输工程质量监测鉴定站</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u w:val="single"/>
          <w:lang w:val="en-US" w:eastAsia="zh-CN"/>
        </w:rPr>
        <w:t xml:space="preserve">成交供应商                      </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进场人员管理：甲方发现进场的主要人员不能胜任工作，有权要求更换不合格人员。如果乙方不能及时按甲方现场工作组要求更换不合格人员，致使本工程交工验收质量核验检测工作无法正常进行，甲方有权终止合同；甲方可根据工程进展情况，有权要求乙方增加或减少进场的试验检测人员。</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工验收质量核验检测服务人员不得擅自离开工地，甲方应对检测人员的出勤情况进行考核。乙方应建立节假日出勤制度及考勤制度，甲方有权查阅各单位的考勤记录及检查现场人员出勤情况，项目负责人请假在2天以内，主要人员请假在3天以内，一般人员请假在5天以内，须得到甲方现场负责人的同意；项目负责人请假在2天（含2天）以上，主要人员请假在3天（含3天）以上，一般人员请假在5天（含5天）以上，须得到甲方同意，对擅自离开工地的检测试验人员分别处以每天2000、1000、500元的违约偿金。（是否需增加新要求）</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3、乙方应在签订检测合同7日内，根据甲方批准的施工计划，乙方向甲方提交检测总体计划，检测计划应紧密与施工安排相协调。</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4、乙方在检测试验服务期内应自费为其所有检测人员及服务任务提供保险，包括医疗、人身意外伤害等一切保险。检测人员的任何疾病、伤害及意外均由乙方负责，甲方不承担任何责任和费用。</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5、乙方在工作过程中，要制定详尽的安全措施及预案，保证充足的安全生产费用投入，配备足够的安全设施及人员，杜绝安全责任事故发生，甲方不承担任何责任和费用。</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6、乙方除提供需提供带签章检测报告扫描的PDF版本电子资料，同时提供U盘和U盘介质保存的资料。</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7、乙方应对所承接检测项目的所有资料进行整理归档并按照国家档案管理要求进行存档，甲方只接受总报告纸质版资料及完整报告的电子版资料（报告电子版资料为完整报告盖章后扫描的PDF文档）。</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8、在检测期间有下列情况之一时，将视为乙方违约，甲方有权终止合同或要求赔偿。</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（1）转包检测合同；</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（2）乙方所出资料有弄虚作假；</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（3）由于检测工作失误或疏忽，使工程损失较大或使关键工程延期；</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（4）乙方违反合同的规定并造成甲方经济损失的应向甲方赔偿。</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9、赔偿的限额</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在此双方约定，双方的赔偿金额不超过总服务总费用的10%，一致同意放弃超过该限额的剩余赔偿要求。但本合同条件其它条款规定的补偿和由于任何一方故意违约而引起的索赔，不受该限额的限制。</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10、支付</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（1）合同生效且乙方进场开展工作后15日，经双方协商甲方视工作开展具体情况和服务完成进度向乙方支付合同金额，支付时乙方应提供正式发票。</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（2）本项目合同单价及总价不予调整，合同执行过程中，如工作内容与招标要求发生重大变化、检测项目延期交工或其他原因导致合同延期及合同内容变更的，由双方另行协商。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（3）合同预付款：</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①预付款的额度</w:t>
      </w:r>
      <w:r>
        <w:rPr>
          <w:rFonts w:hint="eastAsia" w:ascii="宋体" w:hAnsi="宋体" w:cs="宋体"/>
          <w:color w:val="auto"/>
          <w:sz w:val="24"/>
          <w:szCs w:val="24"/>
          <w:highlight w:val="none"/>
          <w:lang w:val="en-US" w:eastAsia="zh-CN"/>
        </w:rPr>
        <w:t>不得低于</w:t>
      </w:r>
      <w:r>
        <w:rPr>
          <w:rFonts w:hint="eastAsia" w:ascii="宋体" w:hAnsi="宋体" w:eastAsia="宋体" w:cs="宋体"/>
          <w:color w:val="auto"/>
          <w:sz w:val="24"/>
          <w:szCs w:val="24"/>
          <w:highlight w:val="none"/>
          <w:lang w:val="en-US" w:eastAsia="zh-CN"/>
        </w:rPr>
        <w:t>合同价的</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②在合同签订后30日内支付预付款的</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lang w:val="en-US" w:eastAsia="zh-CN"/>
        </w:rPr>
        <w:t>，在承包人主要人员及主要机械到位后30日内再支付</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lang w:val="en-US" w:eastAsia="zh-CN"/>
        </w:rPr>
        <w:t>，支付预付款时承包人需提供预付款保函。</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11、如果合同服务期延长，不再增加费用。</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12、乙方应按照甲方要求提交预付款保函，保证保函真实、合法、有效，并按照甲方要求按支付进度对保函进行更新。</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、检测工作完成后将检测试验报告装订成册，一式六份（检测科定），报甲方。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rPr>
      </w:pPr>
    </w:p>
    <w:p>
      <w:pPr>
        <w:spacing w:before="120" w:beforeLines="50" w:line="520" w:lineRule="exact"/>
        <w:jc w:val="center"/>
        <w:rPr>
          <w:rFonts w:hint="eastAsia" w:ascii="宋体" w:hAnsi="宋体" w:eastAsia="宋体" w:cs="宋体"/>
          <w:color w:val="auto"/>
          <w:sz w:val="44"/>
          <w:szCs w:val="44"/>
          <w:highlight w:val="none"/>
        </w:rPr>
      </w:pPr>
    </w:p>
    <w:p>
      <w:pPr>
        <w:spacing w:before="120" w:beforeLines="50" w:line="520" w:lineRule="exact"/>
        <w:jc w:val="both"/>
        <w:rPr>
          <w:rFonts w:hint="eastAsia" w:ascii="宋体" w:hAnsi="宋体" w:eastAsia="宋体" w:cs="宋体"/>
          <w:color w:val="auto"/>
          <w:sz w:val="44"/>
          <w:szCs w:val="44"/>
          <w:highlight w:val="none"/>
        </w:rPr>
      </w:pPr>
    </w:p>
    <w:p>
      <w:pPr>
        <w:spacing w:before="120" w:beforeLines="50"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第七章 响应文件格式</w:t>
      </w:r>
      <w:bookmarkEnd w:id="104"/>
    </w:p>
    <w:p>
      <w:pPr>
        <w:spacing w:line="520" w:lineRule="exact"/>
        <w:jc w:val="center"/>
        <w:rPr>
          <w:rFonts w:hint="eastAsia" w:ascii="宋体" w:hAnsi="宋体" w:eastAsia="宋体" w:cs="宋体"/>
          <w:b/>
          <w:color w:val="auto"/>
          <w:sz w:val="24"/>
          <w:szCs w:val="24"/>
          <w:highlight w:val="none"/>
        </w:rPr>
      </w:pPr>
    </w:p>
    <w:p>
      <w:pPr>
        <w:spacing w:line="36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文件格式是供应商的部分响应文件格式，供应商应当严格按照这些格式编制响应文件。编制响应文件前，请认真仔细地阅读磋商文件，理解文件中的每一项要求，做出逐一实质性响应，认为有必要，可做补充说明。</w:t>
      </w:r>
    </w:p>
    <w:p>
      <w:pPr>
        <w:spacing w:line="400" w:lineRule="exact"/>
        <w:jc w:val="center"/>
        <w:rPr>
          <w:rFonts w:hint="eastAsia" w:ascii="宋体" w:hAnsi="宋体" w:eastAsia="宋体" w:cs="宋体"/>
          <w:b/>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
        <w:spacing w:line="400" w:lineRule="exact"/>
        <w:ind w:right="840"/>
        <w:jc w:val="right"/>
        <w:rPr>
          <w:rFonts w:hint="eastAsia" w:ascii="宋体" w:hAnsi="宋体" w:eastAsia="宋体" w:cs="宋体"/>
          <w:color w:val="auto"/>
          <w:szCs w:val="28"/>
          <w:highlight w:val="none"/>
        </w:rPr>
      </w:pPr>
      <w:bookmarkStart w:id="108" w:name="_Toc217446082"/>
      <w:r>
        <w:rPr>
          <w:rFonts w:hint="eastAsia" w:ascii="宋体" w:hAnsi="宋体" w:eastAsia="宋体" w:cs="宋体"/>
          <w:color w:val="auto"/>
          <w:szCs w:val="28"/>
          <w:highlight w:val="none"/>
        </w:rPr>
        <w:t>正本/副本</w:t>
      </w:r>
    </w:p>
    <w:p>
      <w:pPr>
        <w:pStyle w:val="4"/>
        <w:spacing w:line="4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pPr>
        <w:jc w:val="center"/>
        <w:rPr>
          <w:rFonts w:hint="eastAsia" w:ascii="宋体" w:hAnsi="宋体" w:cs="黑体"/>
          <w:b/>
          <w:bCs/>
          <w:sz w:val="96"/>
          <w:szCs w:val="96"/>
        </w:rPr>
      </w:pPr>
      <w:r>
        <w:rPr>
          <w:rFonts w:hint="eastAsia" w:ascii="宋体" w:hAnsi="宋体" w:eastAsia="仿宋_GB2312"/>
          <w:b/>
          <w:sz w:val="52"/>
          <w:szCs w:val="52"/>
          <w:highlight w:val="none"/>
          <w:lang w:val="en-US" w:eastAsia="zh-CN"/>
        </w:rPr>
        <w:t>陕西省2023年度交通产品抽检</w:t>
      </w:r>
    </w:p>
    <w:p>
      <w:pPr>
        <w:pStyle w:val="4"/>
        <w:spacing w:line="400" w:lineRule="exact"/>
        <w:jc w:val="center"/>
        <w:rPr>
          <w:rFonts w:hint="eastAsia" w:ascii="宋体" w:hAnsi="宋体" w:eastAsia="宋体" w:cs="宋体"/>
          <w:color w:val="auto"/>
          <w:sz w:val="44"/>
          <w:szCs w:val="44"/>
          <w:highlight w:val="none"/>
        </w:rPr>
      </w:pPr>
    </w:p>
    <w:p>
      <w:pPr>
        <w:pStyle w:val="4"/>
        <w:spacing w:line="400" w:lineRule="exact"/>
        <w:jc w:val="center"/>
        <w:rPr>
          <w:rFonts w:hint="eastAsia" w:ascii="宋体" w:hAnsi="宋体" w:eastAsia="宋体" w:cs="宋体"/>
          <w:color w:val="auto"/>
          <w:sz w:val="44"/>
          <w:szCs w:val="44"/>
          <w:highlight w:val="none"/>
        </w:rPr>
      </w:pPr>
    </w:p>
    <w:p>
      <w:pPr>
        <w:pStyle w:val="6"/>
        <w:rPr>
          <w:rFonts w:hint="eastAsia" w:ascii="宋体" w:hAnsi="宋体" w:eastAsia="宋体" w:cs="宋体"/>
          <w:color w:val="auto"/>
          <w:highlight w:val="none"/>
        </w:rPr>
      </w:pPr>
    </w:p>
    <w:p>
      <w:pPr>
        <w:pStyle w:val="4"/>
        <w:spacing w:line="900" w:lineRule="exact"/>
        <w:jc w:val="center"/>
        <w:rPr>
          <w:rFonts w:hint="eastAsia" w:ascii="宋体" w:hAnsi="宋体" w:eastAsia="宋体" w:cs="宋体"/>
          <w:b w:val="0"/>
          <w:color w:val="auto"/>
          <w:sz w:val="84"/>
          <w:szCs w:val="84"/>
          <w:highlight w:val="none"/>
        </w:rPr>
      </w:pPr>
      <w:r>
        <w:rPr>
          <w:rFonts w:hint="eastAsia" w:ascii="宋体" w:hAnsi="宋体" w:eastAsia="宋体" w:cs="宋体"/>
          <w:b w:val="0"/>
          <w:color w:val="auto"/>
          <w:sz w:val="72"/>
          <w:szCs w:val="72"/>
          <w:highlight w:val="none"/>
        </w:rPr>
        <w:t>竞争性磋商响应文件</w:t>
      </w:r>
    </w:p>
    <w:p>
      <w:pPr>
        <w:pStyle w:val="6"/>
        <w:rPr>
          <w:rFonts w:hint="eastAsia" w:ascii="宋体" w:hAnsi="宋体" w:eastAsia="宋体" w:cs="宋体"/>
          <w:color w:val="auto"/>
          <w:sz w:val="28"/>
          <w:szCs w:val="28"/>
          <w:highlight w:val="green"/>
        </w:rPr>
      </w:pPr>
    </w:p>
    <w:p>
      <w:pPr>
        <w:pStyle w:val="6"/>
        <w:jc w:val="center"/>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项目编号：</w:t>
      </w:r>
    </w:p>
    <w:p>
      <w:pPr>
        <w:pStyle w:val="6"/>
        <w:rPr>
          <w:rFonts w:hint="eastAsia" w:ascii="宋体" w:hAnsi="宋体" w:eastAsia="宋体" w:cs="宋体"/>
          <w:color w:val="auto"/>
          <w:sz w:val="28"/>
          <w:szCs w:val="28"/>
          <w:highlight w:val="green"/>
        </w:rPr>
      </w:pPr>
    </w:p>
    <w:p>
      <w:pPr>
        <w:pStyle w:val="6"/>
        <w:rPr>
          <w:rFonts w:hint="eastAsia" w:ascii="宋体" w:hAnsi="宋体" w:eastAsia="宋体" w:cs="宋体"/>
          <w:color w:val="auto"/>
          <w:sz w:val="28"/>
          <w:szCs w:val="28"/>
          <w:highlight w:val="none"/>
        </w:rPr>
      </w:pPr>
    </w:p>
    <w:p>
      <w:pPr>
        <w:pStyle w:val="6"/>
        <w:rPr>
          <w:rFonts w:hint="eastAsia" w:ascii="宋体" w:hAnsi="宋体" w:eastAsia="宋体" w:cs="宋体"/>
          <w:color w:val="auto"/>
          <w:sz w:val="28"/>
          <w:szCs w:val="28"/>
          <w:highlight w:val="none"/>
        </w:rPr>
      </w:pPr>
    </w:p>
    <w:p>
      <w:pPr>
        <w:pStyle w:val="6"/>
        <w:rPr>
          <w:rFonts w:hint="eastAsia" w:ascii="宋体" w:hAnsi="宋体" w:eastAsia="宋体" w:cs="宋体"/>
          <w:color w:val="auto"/>
          <w:sz w:val="28"/>
          <w:szCs w:val="28"/>
          <w:highlight w:val="none"/>
        </w:rPr>
      </w:pPr>
    </w:p>
    <w:p>
      <w:pPr>
        <w:pStyle w:val="6"/>
        <w:rPr>
          <w:rFonts w:hint="eastAsia" w:ascii="宋体" w:hAnsi="宋体" w:eastAsia="宋体" w:cs="宋体"/>
          <w:color w:val="auto"/>
          <w:sz w:val="28"/>
          <w:szCs w:val="28"/>
          <w:highlight w:val="none"/>
        </w:rPr>
      </w:pPr>
    </w:p>
    <w:p>
      <w:pPr>
        <w:pStyle w:val="6"/>
        <w:rPr>
          <w:rFonts w:hint="eastAsia" w:ascii="宋体" w:hAnsi="宋体" w:eastAsia="宋体" w:cs="宋体"/>
          <w:color w:val="auto"/>
          <w:sz w:val="28"/>
          <w:szCs w:val="28"/>
          <w:highlight w:val="none"/>
        </w:rPr>
      </w:pPr>
    </w:p>
    <w:p>
      <w:pPr>
        <w:pStyle w:val="6"/>
        <w:spacing w:before="120" w:beforeLines="50"/>
        <w:ind w:firstLine="419" w:firstLineChars="149"/>
        <w:rPr>
          <w:rFonts w:hint="eastAsia" w:ascii="宋体" w:hAnsi="宋体" w:eastAsia="宋体" w:cs="宋体"/>
          <w:b/>
          <w:color w:val="auto"/>
          <w:sz w:val="28"/>
          <w:szCs w:val="28"/>
          <w:highlight w:val="none"/>
        </w:rPr>
      </w:pPr>
    </w:p>
    <w:p>
      <w:pPr>
        <w:pStyle w:val="6"/>
        <w:spacing w:before="120" w:beforeLines="50"/>
        <w:ind w:firstLine="419" w:firstLineChars="149"/>
        <w:rPr>
          <w:rFonts w:hint="eastAsia" w:ascii="宋体" w:hAnsi="宋体" w:eastAsia="宋体" w:cs="宋体"/>
          <w:b/>
          <w:color w:val="auto"/>
          <w:sz w:val="28"/>
          <w:szCs w:val="28"/>
          <w:highlight w:val="none"/>
        </w:rPr>
      </w:pPr>
    </w:p>
    <w:p>
      <w:pPr>
        <w:pStyle w:val="6"/>
        <w:spacing w:before="120" w:beforeLines="50"/>
        <w:ind w:firstLine="419" w:firstLineChars="149"/>
        <w:rPr>
          <w:rFonts w:hint="eastAsia" w:ascii="宋体" w:hAnsi="宋体" w:eastAsia="宋体" w:cs="宋体"/>
          <w:b/>
          <w:color w:val="auto"/>
          <w:sz w:val="28"/>
          <w:szCs w:val="28"/>
          <w:highlight w:val="none"/>
        </w:rPr>
      </w:pPr>
    </w:p>
    <w:p>
      <w:pPr>
        <w:pStyle w:val="6"/>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pStyle w:val="6"/>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（签名）</w:t>
      </w:r>
    </w:p>
    <w:p>
      <w:pPr>
        <w:pStyle w:val="6"/>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时  间：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  月  日</w:t>
      </w:r>
    </w:p>
    <w:bookmarkEnd w:id="108"/>
    <w:p>
      <w:pPr>
        <w:pStyle w:val="6"/>
        <w:spacing w:before="240" w:beforeLines="100" w:after="480" w:afterLines="200"/>
        <w:ind w:firstLine="0"/>
        <w:jc w:val="center"/>
        <w:rPr>
          <w:rFonts w:hint="eastAsia" w:ascii="宋体" w:hAnsi="宋体" w:eastAsia="宋体" w:cs="宋体"/>
          <w:color w:val="auto"/>
          <w:sz w:val="44"/>
          <w:szCs w:val="44"/>
          <w:highlight w:val="none"/>
        </w:rPr>
      </w:pPr>
    </w:p>
    <w:p>
      <w:pPr>
        <w:pStyle w:val="6"/>
        <w:spacing w:before="240" w:beforeLines="100" w:after="480" w:afterLines="200"/>
        <w:ind w:firstLine="0"/>
        <w:jc w:val="center"/>
        <w:rPr>
          <w:rFonts w:hint="eastAsia" w:ascii="宋体" w:hAnsi="宋体" w:eastAsia="宋体" w:cs="宋体"/>
          <w:color w:val="auto"/>
          <w:sz w:val="44"/>
          <w:szCs w:val="44"/>
          <w:highlight w:val="none"/>
          <w:lang w:val="en-US" w:eastAsia="zh-CN"/>
        </w:rPr>
      </w:pPr>
    </w:p>
    <w:p>
      <w:pPr>
        <w:pStyle w:val="6"/>
        <w:spacing w:before="240" w:beforeLines="100" w:after="480" w:afterLines="200"/>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tabs>
          <w:tab w:val="left" w:pos="1701"/>
          <w:tab w:val="left" w:pos="1843"/>
        </w:tabs>
        <w:spacing w:line="480" w:lineRule="auto"/>
        <w:ind w:firstLine="482" w:firstLineChars="2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第一部分：资格证明文件</w:t>
      </w:r>
    </w:p>
    <w:p>
      <w:pPr>
        <w:tabs>
          <w:tab w:val="left" w:pos="1701"/>
          <w:tab w:val="left" w:pos="1843"/>
        </w:tabs>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1.供应商基本情况表…………………………………………………………………页码</w:t>
      </w:r>
    </w:p>
    <w:p>
      <w:pPr>
        <w:tabs>
          <w:tab w:val="left" w:pos="1701"/>
          <w:tab w:val="left" w:pos="1843"/>
        </w:tabs>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2.营业执照等证明文件…………………………………………………………………</w:t>
      </w:r>
    </w:p>
    <w:p>
      <w:pPr>
        <w:tabs>
          <w:tab w:val="left" w:pos="1701"/>
          <w:tab w:val="left" w:pos="1843"/>
        </w:tabs>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法定代表人身份证明…………………………………………………………………</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书……………………………………………………………………………</w:t>
      </w:r>
    </w:p>
    <w:p>
      <w:pPr>
        <w:spacing w:line="48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资质</w:t>
      </w:r>
      <w:r>
        <w:rPr>
          <w:rFonts w:hint="eastAsia" w:ascii="宋体" w:hAnsi="宋体" w:eastAsia="宋体" w:cs="宋体"/>
          <w:color w:val="auto"/>
          <w:szCs w:val="21"/>
          <w:highlight w:val="none"/>
        </w:rPr>
        <w:t>………………………………………………………………………</w:t>
      </w:r>
    </w:p>
    <w:p>
      <w:pPr>
        <w:spacing w:line="48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.拟投入的主要人员履历表……………………………………………………………</w:t>
      </w:r>
    </w:p>
    <w:p>
      <w:pPr>
        <w:spacing w:line="480" w:lineRule="auto"/>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7.供应商信用评价结果和比对试验结果</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8.竞争性磋商响应声明书</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财务状况报告…………………………………………………………………………</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.非联合体承诺书………………………………………………………………………</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税收缴纳证明…………………………………………………………………………</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.社会保障资金缴纳证明………………………………………………………………</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zh-CN"/>
        </w:rPr>
        <w:t>具备履行合同所必需的设备和专业技术能力的证明</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.享受政府采购优惠政策的证明材料…………………………………………………</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.供应商还需补充的材料………………………………………………………………</w:t>
      </w:r>
    </w:p>
    <w:p>
      <w:pPr>
        <w:tabs>
          <w:tab w:val="left" w:pos="1701"/>
          <w:tab w:val="left" w:pos="1843"/>
        </w:tabs>
        <w:spacing w:line="48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第二部分：商务、技术文件</w:t>
      </w:r>
    </w:p>
    <w:p>
      <w:pPr>
        <w:spacing w:line="48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竞争性磋商响应函</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二、磋商报价一览表</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三、已标价工程量清单</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en-US" w:eastAsia="zh-CN"/>
        </w:rPr>
        <w:t>四、商务条款偏离表</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五、承诺文件</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1.质量安全责任承诺书</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2.参加政府采购活动行为自律承诺书</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3.其他承诺………………………………………………………………………………</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六、其他证明材料</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1.供应商近5年的类似业绩证明材料</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lang w:val="en-US" w:eastAsia="zh-CN"/>
        </w:rPr>
        <w:t>七、技术文件</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八、服务要求偏离表</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b/>
          <w:color w:val="auto"/>
          <w:sz w:val="36"/>
          <w:szCs w:val="36"/>
          <w:highlight w:val="none"/>
        </w:rPr>
      </w:pPr>
      <w:r>
        <w:rPr>
          <w:rFonts w:hint="eastAsia" w:ascii="宋体" w:hAnsi="宋体" w:eastAsia="宋体" w:cs="宋体"/>
          <w:b/>
          <w:bCs/>
          <w:color w:val="auto"/>
          <w:szCs w:val="21"/>
          <w:highlight w:val="none"/>
          <w:lang w:val="en-US" w:eastAsia="zh-CN"/>
        </w:rPr>
        <w:t>九、供应商认为有必要补充说明的事项</w:t>
      </w:r>
      <w:r>
        <w:rPr>
          <w:rFonts w:hint="eastAsia" w:ascii="宋体" w:hAnsi="宋体" w:eastAsia="宋体" w:cs="宋体"/>
          <w:color w:val="auto"/>
          <w:szCs w:val="21"/>
          <w:highlight w:val="none"/>
        </w:rPr>
        <w:t>………………………………………………</w:t>
      </w: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adjustRightInd w:val="0"/>
        <w:snapToGrid w:val="0"/>
        <w:spacing w:line="360" w:lineRule="auto"/>
        <w:rPr>
          <w:rFonts w:hint="eastAsia" w:ascii="宋体" w:hAnsi="宋体" w:eastAsia="宋体" w:cs="宋体"/>
          <w:b/>
          <w:color w:val="auto"/>
          <w:sz w:val="36"/>
          <w:szCs w:val="36"/>
          <w:highlight w:val="none"/>
        </w:rPr>
      </w:pPr>
    </w:p>
    <w:p>
      <w:pPr>
        <w:adjustRightInd w:val="0"/>
        <w:snapToGrid w:val="0"/>
        <w:spacing w:line="360" w:lineRule="auto"/>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lang w:val="en-US" w:eastAsia="zh-CN"/>
        </w:rPr>
        <w:t>第一部分 资格证明文件</w:t>
      </w:r>
    </w:p>
    <w:p>
      <w:pPr>
        <w:spacing w:line="480" w:lineRule="atLeast"/>
        <w:jc w:val="center"/>
        <w:outlineLvl w:val="1"/>
        <w:rPr>
          <w:rFonts w:hint="eastAsia" w:ascii="宋体" w:hAnsi="宋体" w:cs="宋体"/>
          <w:b/>
          <w:bCs/>
          <w:sz w:val="30"/>
          <w:szCs w:val="30"/>
        </w:rPr>
      </w:pPr>
      <w:r>
        <w:rPr>
          <w:rFonts w:hint="eastAsia" w:ascii="宋体" w:hAnsi="宋体" w:eastAsia="宋体" w:cs="宋体"/>
          <w:color w:val="auto"/>
          <w:sz w:val="36"/>
          <w:szCs w:val="36"/>
          <w:highlight w:val="none"/>
        </w:rPr>
        <w:t>1.供应商基本情况表</w:t>
      </w:r>
    </w:p>
    <w:tbl>
      <w:tblPr>
        <w:tblStyle w:val="26"/>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63"/>
        <w:gridCol w:w="1244"/>
        <w:gridCol w:w="134"/>
        <w:gridCol w:w="1623"/>
        <w:gridCol w:w="395"/>
        <w:gridCol w:w="1307"/>
        <w:gridCol w:w="221"/>
        <w:gridCol w:w="920"/>
        <w:gridCol w:w="22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企业名称</w:t>
            </w:r>
          </w:p>
        </w:tc>
        <w:tc>
          <w:tcPr>
            <w:tcW w:w="766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地    址</w:t>
            </w:r>
          </w:p>
        </w:tc>
        <w:tc>
          <w:tcPr>
            <w:tcW w:w="766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主管部门</w:t>
            </w:r>
          </w:p>
        </w:tc>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215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法定代表人</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职务</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注册时间</w:t>
            </w:r>
          </w:p>
        </w:tc>
        <w:tc>
          <w:tcPr>
            <w:tcW w:w="365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经济类型</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5197"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近三年内有经营活动中有无重大违法纪录</w:t>
            </w:r>
          </w:p>
        </w:tc>
        <w:tc>
          <w:tcPr>
            <w:tcW w:w="400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rPr>
                <w:rFonts w:hint="eastAsia" w:ascii="宋体" w:hAnsi="宋体" w:cs="宋体"/>
                <w:bCs/>
                <w:sz w:val="24"/>
                <w:szCs w:val="24"/>
              </w:rPr>
            </w:pPr>
            <w:r>
              <w:rPr>
                <w:rFonts w:hint="eastAsia" w:ascii="宋体" w:hAnsi="宋体" w:cs="宋体"/>
                <w:bCs/>
                <w:sz w:val="24"/>
                <w:szCs w:val="24"/>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是否依法缴纳税收</w:t>
            </w:r>
          </w:p>
        </w:tc>
        <w:tc>
          <w:tcPr>
            <w:tcW w:w="33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是否依法缴纳社会保障资金</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80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单</w:t>
            </w: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位</w:t>
            </w: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概</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况</w:t>
            </w: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注册资本</w:t>
            </w:r>
          </w:p>
        </w:tc>
        <w:tc>
          <w:tcPr>
            <w:tcW w:w="20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万元</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占地面积</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8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职工总数</w:t>
            </w:r>
          </w:p>
        </w:tc>
        <w:tc>
          <w:tcPr>
            <w:tcW w:w="20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人</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建筑面积</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8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资产</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情况</w:t>
            </w:r>
          </w:p>
        </w:tc>
        <w:tc>
          <w:tcPr>
            <w:tcW w:w="332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净资产         万元</w:t>
            </w:r>
          </w:p>
        </w:tc>
        <w:tc>
          <w:tcPr>
            <w:tcW w:w="2696"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固定资产原值：万元</w:t>
            </w: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固定资产净值：</w:t>
            </w:r>
            <w:r>
              <w:rPr>
                <w:rFonts w:hint="eastAsia" w:ascii="宋体" w:hAnsi="宋体" w:cs="宋体"/>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8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332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负 债          万元</w:t>
            </w:r>
          </w:p>
        </w:tc>
        <w:tc>
          <w:tcPr>
            <w:tcW w:w="2696"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1801" w:type="dxa"/>
            <w:gridSpan w:val="2"/>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近年</w:t>
            </w:r>
          </w:p>
          <w:p>
            <w:pPr>
              <w:spacing w:line="360" w:lineRule="auto"/>
              <w:jc w:val="center"/>
              <w:rPr>
                <w:rFonts w:hint="eastAsia" w:ascii="宋体" w:hAnsi="宋体" w:eastAsia="宋体" w:cs="宋体"/>
                <w:sz w:val="24"/>
                <w:szCs w:val="24"/>
                <w:lang w:eastAsia="zh-CN"/>
              </w:rPr>
            </w:pPr>
            <w:r>
              <w:rPr>
                <w:rFonts w:hint="eastAsia" w:ascii="宋体" w:hAnsi="宋体" w:cs="宋体"/>
                <w:kern w:val="0"/>
                <w:sz w:val="24"/>
                <w:szCs w:val="24"/>
                <w:lang w:val="zh-TW"/>
              </w:rPr>
              <w:t>财务审计报告</w:t>
            </w:r>
            <w:r>
              <w:rPr>
                <w:rFonts w:hint="eastAsia" w:ascii="宋体" w:hAnsi="宋体" w:cs="宋体"/>
                <w:kern w:val="0"/>
                <w:sz w:val="24"/>
                <w:szCs w:val="24"/>
                <w:lang w:val="zh-TW" w:eastAsia="zh-CN"/>
              </w:rPr>
              <w:t>（</w:t>
            </w:r>
            <w:r>
              <w:rPr>
                <w:rFonts w:hint="eastAsia" w:ascii="宋体" w:hAnsi="宋体" w:cs="宋体"/>
                <w:kern w:val="0"/>
                <w:sz w:val="24"/>
                <w:szCs w:val="24"/>
                <w:lang w:val="en-US" w:eastAsia="zh-CN"/>
              </w:rPr>
              <w:t>2021年或2022年</w:t>
            </w:r>
            <w:r>
              <w:rPr>
                <w:rFonts w:hint="eastAsia" w:ascii="宋体" w:hAnsi="宋体" w:cs="宋体"/>
                <w:kern w:val="0"/>
                <w:sz w:val="24"/>
                <w:szCs w:val="24"/>
                <w:lang w:val="zh-TW" w:eastAsia="zh-CN"/>
              </w:rPr>
              <w:t>）</w:t>
            </w: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年份</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营业额（万元）</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资产负债率（%）</w:t>
            </w: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利润总额</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（万元）</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净利润</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801" w:type="dxa"/>
            <w:gridSpan w:val="2"/>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color w:val="FF0000"/>
                <w:sz w:val="24"/>
                <w:szCs w:val="24"/>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801" w:type="dxa"/>
            <w:gridSpan w:val="2"/>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color w:val="FF0000"/>
                <w:sz w:val="24"/>
                <w:szCs w:val="24"/>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bl>
    <w:p>
      <w:pPr>
        <w:pStyle w:val="159"/>
        <w:widowControl/>
        <w:rPr>
          <w:rFonts w:hAnsi="宋体" w:eastAsia="宋体"/>
          <w:sz w:val="24"/>
          <w:szCs w:val="24"/>
        </w:rPr>
      </w:pPr>
      <w:r>
        <w:rPr>
          <w:rFonts w:hint="eastAsia" w:hAnsi="宋体" w:eastAsia="宋体"/>
          <w:sz w:val="24"/>
          <w:szCs w:val="24"/>
          <w:lang w:val="en-US" w:eastAsia="zh-CN"/>
        </w:rPr>
        <w:t>注：</w:t>
      </w:r>
      <w:r>
        <w:rPr>
          <w:rFonts w:hAnsi="宋体" w:eastAsia="宋体"/>
          <w:sz w:val="24"/>
          <w:szCs w:val="24"/>
        </w:rPr>
        <w:t>我们保证上述声明中的资料和数据是真实的、正确的。</w:t>
      </w:r>
    </w:p>
    <w:p>
      <w:pPr>
        <w:adjustRightInd w:val="0"/>
        <w:snapToGrid w:val="0"/>
        <w:spacing w:before="480" w:beforeLines="200" w:line="360" w:lineRule="auto"/>
        <w:ind w:firstLine="444" w:firstLineChars="18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2.提供合格有效的法人或者其他组织的营业执照等证明文件，自然人的身份证明</w:t>
      </w:r>
    </w:p>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3.</w:t>
      </w:r>
      <w:r>
        <w:rPr>
          <w:rFonts w:hint="eastAsia" w:ascii="宋体" w:hAnsi="宋体" w:eastAsia="宋体" w:cs="宋体"/>
          <w:color w:val="auto"/>
          <w:sz w:val="36"/>
          <w:szCs w:val="36"/>
          <w:highlight w:val="none"/>
        </w:rPr>
        <w:t>法定代表人（单位负责人）身份证明</w:t>
      </w:r>
    </w:p>
    <w:p>
      <w:pPr>
        <w:snapToGrid w:val="0"/>
        <w:spacing w:line="480" w:lineRule="auto"/>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（供应商名称）的法定代表人（单位负责人）。</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附：法定代表人身份证复印件</w:t>
      </w:r>
    </w:p>
    <w:p>
      <w:pPr>
        <w:snapToGrid w:val="0"/>
        <w:spacing w:line="480" w:lineRule="auto"/>
        <w:rPr>
          <w:rFonts w:hint="eastAsia" w:ascii="宋体" w:hAnsi="宋体" w:eastAsia="宋体" w:cs="宋体"/>
          <w:color w:val="auto"/>
          <w:szCs w:val="21"/>
          <w:highlight w:val="none"/>
        </w:rPr>
      </w:pPr>
    </w:p>
    <w:tbl>
      <w:tblPr>
        <w:tblStyle w:val="2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7495" w:type="dxa"/>
            <w:noWrap w:val="0"/>
            <w:vAlign w:val="center"/>
          </w:tcPr>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sz w:val="24"/>
                <w:szCs w:val="24"/>
                <w:highlight w:val="none"/>
              </w:rPr>
            </w:pPr>
          </w:p>
          <w:p>
            <w:pPr>
              <w:autoSpaceDE w:val="0"/>
              <w:autoSpaceDN w:val="0"/>
              <w:adjustRightInd w:val="0"/>
              <w:snapToGrid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法定代表人（单位负责人）身份证正反面复印件粘贴处</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before="480" w:beforeLines="200" w:line="360" w:lineRule="auto"/>
        <w:ind w:firstLine="444" w:firstLineChars="18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420" w:firstLineChars="175"/>
        <w:jc w:val="left"/>
        <w:rPr>
          <w:rFonts w:hint="eastAsia" w:ascii="宋体" w:hAnsi="宋体" w:eastAsia="宋体" w:cs="宋体"/>
          <w:bCs/>
          <w:color w:val="auto"/>
          <w:sz w:val="24"/>
          <w:szCs w:val="24"/>
          <w:highlight w:val="none"/>
        </w:rPr>
      </w:pPr>
    </w:p>
    <w:p>
      <w:pPr>
        <w:adjustRightInd w:val="0"/>
        <w:spacing w:line="360" w:lineRule="auto"/>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4</w:t>
      </w:r>
      <w:r>
        <w:rPr>
          <w:rFonts w:hint="eastAsia" w:ascii="宋体" w:hAnsi="宋体" w:eastAsia="宋体" w:cs="宋体"/>
          <w:color w:val="auto"/>
          <w:sz w:val="36"/>
          <w:szCs w:val="36"/>
          <w:highlight w:val="none"/>
        </w:rPr>
        <w:t>.授权委托书</w:t>
      </w:r>
    </w:p>
    <w:p>
      <w:pPr>
        <w:spacing w:before="240" w:beforeLines="10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（供应商名称）的法定代表人（单位负责人），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（姓名）为我方代理人。代理人根据授权，以我方的名义签署、澄清确认、递交、撤回、修改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（采购项目）响应文件、签订合同和全权处理一切与之有关的事宜，</w:t>
      </w:r>
      <w:r>
        <w:rPr>
          <w:rFonts w:hint="eastAsia" w:ascii="宋体" w:hAnsi="宋体" w:eastAsia="宋体" w:cs="宋体"/>
          <w:color w:val="auto"/>
          <w:kern w:val="0"/>
          <w:sz w:val="24"/>
          <w:szCs w:val="24"/>
          <w:highlight w:val="none"/>
        </w:rPr>
        <w:t>其法律后果由我方承担。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附：法定代表人（单位负责人）身份证复印件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委托代理人身份证复印件</w:t>
      </w:r>
    </w:p>
    <w:tbl>
      <w:tblPr>
        <w:tblStyle w:val="26"/>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法定代表人身份证复印件（反面）</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委托代理人身份证复印件（正面）</w:t>
            </w:r>
          </w:p>
        </w:tc>
        <w:tc>
          <w:tcPr>
            <w:tcW w:w="4025"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委托代理人身份证复印件（反面）</w:t>
            </w:r>
          </w:p>
        </w:tc>
      </w:tr>
    </w:tbl>
    <w:p>
      <w:pPr>
        <w:rPr>
          <w:rFonts w:hint="eastAsia" w:ascii="宋体" w:hAnsi="宋体" w:eastAsia="宋体" w:cs="宋体"/>
          <w:color w:val="auto"/>
          <w:szCs w:val="21"/>
          <w:highlight w:val="none"/>
        </w:rPr>
      </w:pPr>
    </w:p>
    <w:p>
      <w:pPr>
        <w:spacing w:before="120" w:beforeLines="50"/>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法定代表人（单位负责人）: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（签名）</w:t>
      </w:r>
    </w:p>
    <w:p>
      <w:pPr>
        <w:rPr>
          <w:rFonts w:hint="eastAsia" w:ascii="宋体" w:hAnsi="宋体" w:eastAsia="宋体" w:cs="宋体"/>
          <w:color w:val="auto"/>
          <w:sz w:val="24"/>
          <w:szCs w:val="24"/>
          <w:highlight w:val="none"/>
        </w:rPr>
      </w:pPr>
    </w:p>
    <w:p>
      <w:pPr>
        <w:ind w:firstLine="3240" w:firstLineChars="13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p>
    <w:p>
      <w:pPr>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（签名）     </w:t>
      </w:r>
    </w:p>
    <w:p>
      <w:pPr>
        <w:jc w:val="left"/>
        <w:rPr>
          <w:rFonts w:hint="eastAsia" w:ascii="宋体" w:hAnsi="宋体" w:eastAsia="宋体" w:cs="宋体"/>
          <w:color w:val="auto"/>
          <w:sz w:val="24"/>
          <w:szCs w:val="24"/>
          <w:highlight w:val="none"/>
        </w:rPr>
      </w:pPr>
    </w:p>
    <w:p>
      <w:pPr>
        <w:ind w:firstLine="3240" w:firstLineChars="13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p>
    <w:p>
      <w:pPr>
        <w:adjustRightInd w:val="0"/>
        <w:spacing w:line="360" w:lineRule="auto"/>
        <w:ind w:firstLine="3120" w:firstLineChars="13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授权委托日期：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ind w:firstLine="2730" w:firstLineChars="1300"/>
        <w:rPr>
          <w:rFonts w:hint="eastAsia" w:ascii="宋体" w:hAnsi="宋体" w:eastAsia="宋体" w:cs="宋体"/>
          <w:color w:val="auto"/>
          <w:szCs w:val="21"/>
          <w:highlight w:val="none"/>
          <w:lang w:val="zh-CN"/>
        </w:rPr>
      </w:pPr>
    </w:p>
    <w:p>
      <w:pPr>
        <w:pStyle w:val="6"/>
        <w:spacing w:before="120" w:beforeLines="50"/>
        <w:ind w:firstLine="0"/>
        <w:rPr>
          <w:rFonts w:hint="eastAsia" w:ascii="宋体" w:hAnsi="宋体" w:eastAsia="宋体" w:cs="宋体"/>
          <w:b/>
          <w:color w:val="auto"/>
          <w:sz w:val="36"/>
          <w:szCs w:val="36"/>
          <w:highlight w:val="none"/>
        </w:rPr>
      </w:pPr>
    </w:p>
    <w:p>
      <w:pPr>
        <w:pStyle w:val="18"/>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5.投标供应商资质</w:t>
      </w:r>
    </w:p>
    <w:p>
      <w:pPr>
        <w:pStyle w:val="18"/>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有效的交通运输部颁发的公路工程综合甲级试验检测机构资质，</w:t>
      </w:r>
      <w:r>
        <w:rPr>
          <w:rFonts w:hint="eastAsia" w:ascii="宋体" w:hAnsi="宋体" w:eastAsia="宋体" w:cs="宋体"/>
          <w:color w:val="auto"/>
          <w:sz w:val="24"/>
          <w:szCs w:val="24"/>
          <w:highlight w:val="none"/>
          <w:lang w:val="en-US" w:eastAsia="zh-CN"/>
        </w:rPr>
        <w:t>同时具有省级及以上国家质量技术监督部门颁发的计量认证CMA合格证书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6.</w:t>
      </w:r>
      <w:r>
        <w:rPr>
          <w:rFonts w:hint="eastAsia" w:ascii="宋体" w:hAnsi="宋体" w:eastAsia="宋体" w:cs="宋体"/>
          <w:color w:val="auto"/>
          <w:sz w:val="36"/>
          <w:szCs w:val="36"/>
          <w:highlight w:val="none"/>
        </w:rPr>
        <w:t>拟投入的主要人员履历表</w:t>
      </w:r>
    </w:p>
    <w:tbl>
      <w:tblPr>
        <w:tblStyle w:val="26"/>
        <w:tblW w:w="0" w:type="auto"/>
        <w:tblInd w:w="-2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7"/>
        <w:gridCol w:w="1367"/>
        <w:gridCol w:w="242"/>
        <w:gridCol w:w="805"/>
        <w:gridCol w:w="416"/>
        <w:gridCol w:w="460"/>
        <w:gridCol w:w="504"/>
        <w:gridCol w:w="203"/>
        <w:gridCol w:w="876"/>
        <w:gridCol w:w="1021"/>
        <w:gridCol w:w="865"/>
        <w:gridCol w:w="228"/>
        <w:gridCol w:w="1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71" w:type="dxa"/>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姓名</w:t>
            </w:r>
          </w:p>
        </w:tc>
        <w:tc>
          <w:tcPr>
            <w:tcW w:w="1374" w:type="dxa"/>
            <w:gridSpan w:val="2"/>
            <w:noWrap w:val="0"/>
            <w:vAlign w:val="center"/>
          </w:tcPr>
          <w:p>
            <w:pPr>
              <w:tabs>
                <w:tab w:val="left" w:leader="middleDot" w:pos="7920"/>
              </w:tabs>
              <w:jc w:val="center"/>
              <w:rPr>
                <w:rFonts w:hint="eastAsia" w:ascii="宋体" w:hAnsi="宋体" w:eastAsia="宋体" w:cs="宋体"/>
                <w:szCs w:val="21"/>
              </w:rPr>
            </w:pPr>
          </w:p>
        </w:tc>
        <w:tc>
          <w:tcPr>
            <w:tcW w:w="1047" w:type="dxa"/>
            <w:gridSpan w:val="2"/>
            <w:noWrap w:val="0"/>
            <w:vAlign w:val="center"/>
          </w:tcPr>
          <w:p>
            <w:pPr>
              <w:tabs>
                <w:tab w:val="left" w:leader="middleDot" w:pos="7920"/>
              </w:tabs>
              <w:ind w:left="27"/>
              <w:jc w:val="center"/>
              <w:rPr>
                <w:rFonts w:hint="eastAsia" w:ascii="宋体" w:hAnsi="宋体" w:eastAsia="宋体" w:cs="宋体"/>
                <w:szCs w:val="21"/>
              </w:rPr>
            </w:pPr>
            <w:r>
              <w:rPr>
                <w:rFonts w:hint="eastAsia" w:ascii="宋体" w:hAnsi="宋体" w:eastAsia="宋体" w:cs="宋体"/>
                <w:szCs w:val="21"/>
              </w:rPr>
              <w:t>性别</w:t>
            </w:r>
          </w:p>
        </w:tc>
        <w:tc>
          <w:tcPr>
            <w:tcW w:w="876" w:type="dxa"/>
            <w:gridSpan w:val="2"/>
            <w:noWrap w:val="0"/>
            <w:vAlign w:val="center"/>
          </w:tcPr>
          <w:p>
            <w:pPr>
              <w:tabs>
                <w:tab w:val="left" w:leader="middleDot" w:pos="7920"/>
              </w:tabs>
              <w:jc w:val="center"/>
              <w:rPr>
                <w:rFonts w:hint="eastAsia" w:ascii="宋体" w:hAnsi="宋体" w:eastAsia="宋体" w:cs="宋体"/>
                <w:szCs w:val="21"/>
              </w:rPr>
            </w:pPr>
          </w:p>
        </w:tc>
        <w:tc>
          <w:tcPr>
            <w:tcW w:w="707"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年龄</w:t>
            </w:r>
          </w:p>
        </w:tc>
        <w:tc>
          <w:tcPr>
            <w:tcW w:w="876" w:type="dxa"/>
            <w:noWrap w:val="0"/>
            <w:vAlign w:val="center"/>
          </w:tcPr>
          <w:p>
            <w:pPr>
              <w:tabs>
                <w:tab w:val="left" w:leader="middleDot" w:pos="7920"/>
              </w:tabs>
              <w:jc w:val="center"/>
              <w:rPr>
                <w:rFonts w:hint="eastAsia" w:ascii="宋体" w:hAnsi="宋体" w:eastAsia="宋体" w:cs="宋体"/>
                <w:szCs w:val="21"/>
              </w:rPr>
            </w:pPr>
          </w:p>
        </w:tc>
        <w:tc>
          <w:tcPr>
            <w:tcW w:w="1886"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拟担任职务</w:t>
            </w:r>
          </w:p>
        </w:tc>
        <w:tc>
          <w:tcPr>
            <w:tcW w:w="1439" w:type="dxa"/>
            <w:gridSpan w:val="2"/>
            <w:noWrap w:val="0"/>
            <w:vAlign w:val="center"/>
          </w:tcPr>
          <w:p>
            <w:pPr>
              <w:tabs>
                <w:tab w:val="left" w:leader="middleDot" w:pos="7920"/>
              </w:tabs>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71" w:type="dxa"/>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资格证书及编号</w:t>
            </w:r>
          </w:p>
        </w:tc>
        <w:tc>
          <w:tcPr>
            <w:tcW w:w="2421" w:type="dxa"/>
            <w:gridSpan w:val="4"/>
            <w:noWrap w:val="0"/>
            <w:vAlign w:val="center"/>
          </w:tcPr>
          <w:p>
            <w:pPr>
              <w:tabs>
                <w:tab w:val="left" w:leader="middleDot" w:pos="7920"/>
              </w:tabs>
              <w:ind w:left="27"/>
              <w:jc w:val="center"/>
              <w:rPr>
                <w:rFonts w:hint="eastAsia" w:ascii="宋体" w:hAnsi="宋体" w:eastAsia="宋体" w:cs="宋体"/>
                <w:szCs w:val="21"/>
              </w:rPr>
            </w:pPr>
          </w:p>
        </w:tc>
        <w:tc>
          <w:tcPr>
            <w:tcW w:w="876"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职称</w:t>
            </w:r>
          </w:p>
        </w:tc>
        <w:tc>
          <w:tcPr>
            <w:tcW w:w="1583" w:type="dxa"/>
            <w:gridSpan w:val="3"/>
            <w:noWrap w:val="0"/>
            <w:vAlign w:val="center"/>
          </w:tcPr>
          <w:p>
            <w:pPr>
              <w:tabs>
                <w:tab w:val="left" w:leader="middleDot" w:pos="7920"/>
              </w:tabs>
              <w:jc w:val="center"/>
              <w:rPr>
                <w:rFonts w:hint="eastAsia" w:ascii="宋体" w:hAnsi="宋体" w:eastAsia="宋体" w:cs="宋体"/>
                <w:szCs w:val="21"/>
              </w:rPr>
            </w:pPr>
          </w:p>
        </w:tc>
        <w:tc>
          <w:tcPr>
            <w:tcW w:w="1886"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学历</w:t>
            </w:r>
          </w:p>
        </w:tc>
        <w:tc>
          <w:tcPr>
            <w:tcW w:w="1439" w:type="dxa"/>
            <w:gridSpan w:val="2"/>
            <w:noWrap w:val="0"/>
            <w:vAlign w:val="center"/>
          </w:tcPr>
          <w:p>
            <w:pPr>
              <w:tabs>
                <w:tab w:val="left" w:leader="middleDot" w:pos="7920"/>
              </w:tabs>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492" w:type="dxa"/>
            <w:gridSpan w:val="5"/>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何年何月毕业于何院校何专业</w:t>
            </w:r>
          </w:p>
        </w:tc>
        <w:tc>
          <w:tcPr>
            <w:tcW w:w="5784" w:type="dxa"/>
            <w:gridSpan w:val="9"/>
            <w:noWrap w:val="0"/>
            <w:vAlign w:val="center"/>
          </w:tcPr>
          <w:p>
            <w:pPr>
              <w:tabs>
                <w:tab w:val="left" w:leader="middleDot" w:pos="7920"/>
              </w:tabs>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276" w:type="dxa"/>
            <w:gridSpan w:val="14"/>
            <w:tcBorders>
              <w:top w:val="single" w:color="auto" w:sz="6" w:space="0"/>
              <w:left w:val="single" w:color="auto" w:sz="12"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1078"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年 月～</w:t>
            </w:r>
          </w:p>
          <w:p>
            <w:pPr>
              <w:tabs>
                <w:tab w:val="left" w:pos="4680"/>
              </w:tabs>
              <w:jc w:val="center"/>
              <w:rPr>
                <w:rFonts w:hint="eastAsia" w:ascii="宋体" w:hAnsi="宋体" w:eastAsia="宋体" w:cs="宋体"/>
              </w:rPr>
            </w:pPr>
            <w:r>
              <w:rPr>
                <w:rFonts w:hint="eastAsia" w:ascii="宋体" w:hAnsi="宋体" w:eastAsia="宋体" w:cs="宋体"/>
              </w:rPr>
              <w:t>年 月</w:t>
            </w:r>
          </w:p>
        </w:tc>
        <w:tc>
          <w:tcPr>
            <w:tcW w:w="160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工程名称</w:t>
            </w:r>
          </w:p>
        </w:tc>
        <w:tc>
          <w:tcPr>
            <w:tcW w:w="1221"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担任职务</w:t>
            </w:r>
          </w:p>
        </w:tc>
        <w:tc>
          <w:tcPr>
            <w:tcW w:w="964"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szCs w:val="21"/>
              </w:rPr>
              <w:t>项目规模</w:t>
            </w:r>
          </w:p>
        </w:tc>
        <w:tc>
          <w:tcPr>
            <w:tcW w:w="1079" w:type="dxa"/>
            <w:gridSpan w:val="2"/>
            <w:tcBorders>
              <w:top w:val="single" w:color="auto" w:sz="6" w:space="0"/>
              <w:left w:val="single" w:color="auto" w:sz="6" w:space="0"/>
              <w:bottom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szCs w:val="21"/>
              </w:rPr>
              <w:t>质量评定</w:t>
            </w:r>
          </w:p>
        </w:tc>
        <w:tc>
          <w:tcPr>
            <w:tcW w:w="1021" w:type="dxa"/>
            <w:tcBorders>
              <w:top w:val="single" w:color="auto" w:sz="6" w:space="0"/>
              <w:bottom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证明人  单位</w:t>
            </w:r>
          </w:p>
        </w:tc>
        <w:tc>
          <w:tcPr>
            <w:tcW w:w="1093" w:type="dxa"/>
            <w:gridSpan w:val="2"/>
            <w:tcBorders>
              <w:top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证明人     姓名</w:t>
            </w:r>
          </w:p>
        </w:tc>
        <w:tc>
          <w:tcPr>
            <w:tcW w:w="1211" w:type="dxa"/>
            <w:tcBorders>
              <w:top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 xml:space="preserve">联系   </w:t>
            </w:r>
          </w:p>
          <w:p>
            <w:pPr>
              <w:tabs>
                <w:tab w:val="left" w:pos="4680"/>
              </w:tabs>
              <w:jc w:val="center"/>
              <w:rPr>
                <w:rFonts w:hint="eastAsia" w:ascii="宋体" w:hAnsi="宋体" w:eastAsia="宋体" w:cs="宋体"/>
              </w:rPr>
            </w:pPr>
            <w:r>
              <w:rPr>
                <w:rFonts w:hint="eastAsia" w:ascii="宋体" w:hAnsi="宋体" w:eastAsia="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trPr>
        <w:tc>
          <w:tcPr>
            <w:tcW w:w="1078"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p>
          <w:p>
            <w:pPr>
              <w:tabs>
                <w:tab w:val="left" w:pos="4680"/>
              </w:tabs>
              <w:jc w:val="center"/>
              <w:rPr>
                <w:rFonts w:hint="eastAsia" w:ascii="宋体" w:hAnsi="宋体" w:eastAsia="宋体" w:cs="宋体"/>
              </w:rPr>
            </w:pPr>
          </w:p>
          <w:p>
            <w:pPr>
              <w:tabs>
                <w:tab w:val="left" w:pos="4680"/>
              </w:tabs>
              <w:jc w:val="center"/>
              <w:rPr>
                <w:rFonts w:hint="eastAsia" w:ascii="宋体" w:hAnsi="宋体" w:eastAsia="宋体" w:cs="宋体"/>
              </w:rPr>
            </w:pPr>
          </w:p>
        </w:tc>
        <w:tc>
          <w:tcPr>
            <w:tcW w:w="160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p>
        </w:tc>
        <w:tc>
          <w:tcPr>
            <w:tcW w:w="1221"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p>
        </w:tc>
        <w:tc>
          <w:tcPr>
            <w:tcW w:w="964"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p>
        </w:tc>
        <w:tc>
          <w:tcPr>
            <w:tcW w:w="1079" w:type="dxa"/>
            <w:gridSpan w:val="2"/>
            <w:tcBorders>
              <w:top w:val="single" w:color="auto" w:sz="6" w:space="0"/>
              <w:left w:val="single" w:color="auto" w:sz="6" w:space="0"/>
              <w:bottom w:val="single" w:color="auto" w:sz="6" w:space="0"/>
            </w:tcBorders>
            <w:noWrap w:val="0"/>
            <w:vAlign w:val="center"/>
          </w:tcPr>
          <w:p>
            <w:pPr>
              <w:tabs>
                <w:tab w:val="left" w:pos="4680"/>
              </w:tabs>
              <w:jc w:val="center"/>
              <w:rPr>
                <w:rFonts w:hint="eastAsia" w:ascii="宋体" w:hAnsi="宋体" w:eastAsia="宋体" w:cs="宋体"/>
              </w:rPr>
            </w:pPr>
          </w:p>
        </w:tc>
        <w:tc>
          <w:tcPr>
            <w:tcW w:w="1021" w:type="dxa"/>
            <w:tcBorders>
              <w:top w:val="single" w:color="auto" w:sz="6" w:space="0"/>
              <w:bottom w:val="single" w:color="auto" w:sz="6" w:space="0"/>
            </w:tcBorders>
            <w:noWrap w:val="0"/>
            <w:vAlign w:val="center"/>
          </w:tcPr>
          <w:p>
            <w:pPr>
              <w:tabs>
                <w:tab w:val="left" w:pos="4680"/>
              </w:tabs>
              <w:jc w:val="center"/>
              <w:rPr>
                <w:rFonts w:hint="eastAsia" w:ascii="宋体" w:hAnsi="宋体" w:eastAsia="宋体" w:cs="宋体"/>
              </w:rPr>
            </w:pPr>
          </w:p>
        </w:tc>
        <w:tc>
          <w:tcPr>
            <w:tcW w:w="1093" w:type="dxa"/>
            <w:gridSpan w:val="2"/>
            <w:tcBorders>
              <w:top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p>
        </w:tc>
        <w:tc>
          <w:tcPr>
            <w:tcW w:w="1211" w:type="dxa"/>
            <w:tcBorders>
              <w:top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vMerge w:val="restart"/>
            <w:tcBorders>
              <w:top w:val="single" w:color="auto" w:sz="6" w:space="0"/>
              <w:left w:val="single" w:color="auto" w:sz="12" w:space="0"/>
              <w:right w:val="single" w:color="000000" w:sz="4"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目前任职</w:t>
            </w:r>
          </w:p>
          <w:p>
            <w:pPr>
              <w:tabs>
                <w:tab w:val="left" w:pos="4680"/>
              </w:tabs>
              <w:jc w:val="center"/>
              <w:rPr>
                <w:rFonts w:hint="eastAsia" w:ascii="宋体" w:hAnsi="宋体" w:eastAsia="宋体" w:cs="宋体"/>
              </w:rPr>
            </w:pPr>
            <w:r>
              <w:rPr>
                <w:rFonts w:hint="eastAsia" w:ascii="宋体" w:hAnsi="宋体" w:eastAsia="宋体" w:cs="宋体"/>
              </w:rPr>
              <w:t>项目状况</w:t>
            </w:r>
          </w:p>
        </w:tc>
        <w:tc>
          <w:tcPr>
            <w:tcW w:w="2830" w:type="dxa"/>
            <w:gridSpan w:val="4"/>
            <w:tcBorders>
              <w:top w:val="single" w:color="auto" w:sz="6" w:space="0"/>
              <w:left w:val="single" w:color="000000"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项目名称</w:t>
            </w:r>
          </w:p>
        </w:tc>
        <w:tc>
          <w:tcPr>
            <w:tcW w:w="5368"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vMerge w:val="continue"/>
            <w:tcBorders>
              <w:left w:val="single" w:color="auto" w:sz="12" w:space="0"/>
              <w:right w:val="single" w:color="000000" w:sz="4" w:space="0"/>
            </w:tcBorders>
            <w:noWrap w:val="0"/>
            <w:vAlign w:val="center"/>
          </w:tcPr>
          <w:p>
            <w:pPr>
              <w:tabs>
                <w:tab w:val="left" w:pos="4680"/>
              </w:tabs>
              <w:jc w:val="center"/>
              <w:rPr>
                <w:rFonts w:hint="eastAsia" w:ascii="宋体" w:hAnsi="宋体" w:eastAsia="宋体" w:cs="宋体"/>
              </w:rPr>
            </w:pPr>
          </w:p>
        </w:tc>
        <w:tc>
          <w:tcPr>
            <w:tcW w:w="2830" w:type="dxa"/>
            <w:gridSpan w:val="4"/>
            <w:tcBorders>
              <w:top w:val="single" w:color="auto" w:sz="6" w:space="0"/>
              <w:left w:val="single" w:color="000000"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担任职务</w:t>
            </w:r>
          </w:p>
        </w:tc>
        <w:tc>
          <w:tcPr>
            <w:tcW w:w="5368"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vMerge w:val="continue"/>
            <w:tcBorders>
              <w:left w:val="single" w:color="auto" w:sz="12" w:space="0"/>
              <w:bottom w:val="single" w:color="auto" w:sz="6" w:space="0"/>
              <w:right w:val="single" w:color="000000" w:sz="4" w:space="0"/>
            </w:tcBorders>
            <w:noWrap w:val="0"/>
            <w:vAlign w:val="center"/>
          </w:tcPr>
          <w:p>
            <w:pPr>
              <w:tabs>
                <w:tab w:val="left" w:pos="4680"/>
              </w:tabs>
              <w:jc w:val="center"/>
              <w:rPr>
                <w:rFonts w:hint="eastAsia" w:ascii="宋体" w:hAnsi="宋体" w:eastAsia="宋体" w:cs="宋体"/>
              </w:rPr>
            </w:pPr>
          </w:p>
        </w:tc>
        <w:tc>
          <w:tcPr>
            <w:tcW w:w="2830" w:type="dxa"/>
            <w:gridSpan w:val="4"/>
            <w:tcBorders>
              <w:top w:val="single" w:color="auto" w:sz="6" w:space="0"/>
              <w:left w:val="single" w:color="000000"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可以调离日期</w:t>
            </w:r>
          </w:p>
        </w:tc>
        <w:tc>
          <w:tcPr>
            <w:tcW w:w="5368"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tcBorders>
              <w:top w:val="single" w:color="auto" w:sz="6" w:space="0"/>
              <w:left w:val="single" w:color="auto" w:sz="12" w:space="0"/>
              <w:bottom w:val="single" w:color="auto" w:sz="12"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备注</w:t>
            </w:r>
          </w:p>
        </w:tc>
        <w:tc>
          <w:tcPr>
            <w:tcW w:w="8198" w:type="dxa"/>
            <w:gridSpan w:val="12"/>
            <w:tcBorders>
              <w:top w:val="single" w:color="auto" w:sz="6" w:space="0"/>
              <w:left w:val="single" w:color="auto" w:sz="6" w:space="0"/>
              <w:bottom w:val="single" w:color="auto" w:sz="12" w:space="0"/>
              <w:right w:val="single" w:color="auto" w:sz="12" w:space="0"/>
            </w:tcBorders>
            <w:noWrap w:val="0"/>
            <w:vAlign w:val="center"/>
          </w:tcPr>
          <w:p>
            <w:pPr>
              <w:tabs>
                <w:tab w:val="left" w:pos="4680"/>
              </w:tabs>
              <w:jc w:val="center"/>
              <w:rPr>
                <w:rFonts w:hint="eastAsia" w:ascii="宋体" w:hAnsi="宋体" w:eastAsia="宋体" w:cs="宋体"/>
              </w:rPr>
            </w:pPr>
          </w:p>
        </w:tc>
      </w:tr>
    </w:tbl>
    <w:p>
      <w:pPr>
        <w:adjustRightInd w:val="0"/>
        <w:snapToGrid w:val="0"/>
        <w:spacing w:before="480" w:beforeLines="200" w:line="360" w:lineRule="auto"/>
        <w:ind w:firstLine="388" w:firstLineChars="185"/>
        <w:rPr>
          <w:rFonts w:hint="eastAsia" w:ascii="宋体" w:hAnsi="宋体" w:eastAsia="宋体" w:cs="宋体"/>
          <w:color w:val="auto"/>
          <w:sz w:val="24"/>
          <w:szCs w:val="24"/>
          <w:highlight w:val="none"/>
        </w:rPr>
      </w:pPr>
      <w:r>
        <w:rPr>
          <w:rFonts w:hint="eastAsia" w:ascii="宋体" w:hAnsi="宋体" w:eastAsia="宋体" w:cs="宋体"/>
        </w:rPr>
        <w:t xml:space="preserve">                         </w:t>
      </w: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spacing w:line="600" w:lineRule="exact"/>
        <w:ind w:left="-540" w:leftChars="-257" w:right="-693" w:rightChars="-330" w:firstLine="464" w:firstLineChars="257"/>
        <w:jc w:val="center"/>
        <w:rPr>
          <w:rFonts w:hint="eastAsia" w:ascii="宋体" w:hAnsi="宋体" w:eastAsia="宋体" w:cs="宋体"/>
          <w:b/>
          <w:color w:val="000000"/>
          <w:sz w:val="18"/>
          <w:szCs w:val="18"/>
        </w:rPr>
      </w:pPr>
    </w:p>
    <w:p>
      <w:pPr>
        <w:tabs>
          <w:tab w:val="left" w:leader="middleDot" w:pos="7920"/>
        </w:tabs>
        <w:rPr>
          <w:rFonts w:hint="eastAsia" w:ascii="宋体" w:hAnsi="宋体" w:eastAsia="宋体" w:cs="宋体"/>
          <w:szCs w:val="21"/>
        </w:rPr>
      </w:pPr>
    </w:p>
    <w:p>
      <w:pPr>
        <w:tabs>
          <w:tab w:val="left" w:leader="middleDot" w:pos="7920"/>
        </w:tabs>
        <w:rPr>
          <w:rFonts w:hint="eastAsia" w:ascii="宋体" w:hAnsi="宋体" w:eastAsia="宋体" w:cs="宋体"/>
          <w:b/>
          <w:sz w:val="24"/>
        </w:rPr>
      </w:pPr>
      <w:r>
        <w:rPr>
          <w:rFonts w:hint="eastAsia" w:ascii="宋体" w:hAnsi="宋体" w:eastAsia="宋体" w:cs="宋体"/>
          <w:b/>
          <w:sz w:val="24"/>
        </w:rPr>
        <w:t xml:space="preserve">注： </w:t>
      </w:r>
    </w:p>
    <w:p>
      <w:pPr>
        <w:tabs>
          <w:tab w:val="left" w:leader="middleDot" w:pos="7920"/>
        </w:tabs>
        <w:ind w:firstLine="482" w:firstLineChars="200"/>
        <w:rPr>
          <w:rFonts w:hint="eastAsia" w:ascii="宋体" w:hAnsi="宋体" w:eastAsia="宋体" w:cs="宋体"/>
          <w:b/>
          <w:sz w:val="24"/>
        </w:rPr>
      </w:pPr>
      <w:r>
        <w:rPr>
          <w:rFonts w:hint="eastAsia" w:ascii="宋体" w:hAnsi="宋体" w:eastAsia="宋体" w:cs="宋体"/>
          <w:b/>
          <w:sz w:val="24"/>
        </w:rPr>
        <w:t>1.主要工作经历内容含：工程名称、担任职务、项目规模、质量评定及证明人姓名、联系人和单位。</w:t>
      </w:r>
    </w:p>
    <w:p>
      <w:pPr>
        <w:ind w:firstLine="482" w:firstLineChars="200"/>
        <w:rPr>
          <w:rFonts w:hint="eastAsia" w:ascii="宋体" w:hAnsi="宋体" w:eastAsia="宋体" w:cs="宋体"/>
          <w:b/>
          <w:sz w:val="24"/>
        </w:rPr>
      </w:pPr>
      <w:r>
        <w:rPr>
          <w:rFonts w:hint="eastAsia" w:ascii="宋体" w:hAnsi="宋体" w:eastAsia="宋体" w:cs="宋体"/>
          <w:b/>
          <w:sz w:val="24"/>
        </w:rPr>
        <w:t>2.该表后应附项目负责人</w:t>
      </w:r>
      <w:r>
        <w:rPr>
          <w:rFonts w:hint="eastAsia" w:ascii="宋体" w:hAnsi="宋体" w:eastAsia="宋体" w:cs="宋体"/>
          <w:b/>
          <w:sz w:val="24"/>
          <w:lang w:eastAsia="zh-CN"/>
        </w:rPr>
        <w:t>、</w:t>
      </w:r>
      <w:r>
        <w:rPr>
          <w:rFonts w:hint="eastAsia" w:ascii="宋体" w:hAnsi="宋体" w:eastAsia="宋体" w:cs="宋体"/>
          <w:b/>
          <w:sz w:val="24"/>
          <w:lang w:val="en-US" w:eastAsia="zh-CN"/>
        </w:rPr>
        <w:t>技术负责人</w:t>
      </w:r>
      <w:r>
        <w:rPr>
          <w:rFonts w:hint="eastAsia" w:ascii="宋体" w:hAnsi="宋体" w:eastAsia="宋体" w:cs="宋体"/>
          <w:b/>
          <w:sz w:val="24"/>
        </w:rPr>
        <w:t>的身份证、职称证、试验检测资格证书及业绩的相关证明材料的扫描件。</w:t>
      </w:r>
    </w:p>
    <w:p>
      <w:pPr>
        <w:pStyle w:val="18"/>
        <w:adjustRightInd w:val="0"/>
        <w:snapToGrid w:val="0"/>
        <w:spacing w:line="360" w:lineRule="auto"/>
        <w:ind w:firstLine="482" w:firstLineChars="20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3.人员业绩的相关证明材料包括：其任职完成的类似项目的合同协议书或业主（建设单位）出具的业绩证明的扫描件。证明材料应能体现其担任过相关岗位职务的任职经历。</w:t>
      </w:r>
    </w:p>
    <w:p>
      <w:pPr>
        <w:spacing w:line="360" w:lineRule="auto"/>
        <w:jc w:val="both"/>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附1：</w:t>
      </w:r>
    </w:p>
    <w:p>
      <w:pPr>
        <w:spacing w:line="360" w:lineRule="auto"/>
        <w:jc w:val="center"/>
        <w:rPr>
          <w:rFonts w:ascii="宋体" w:hAnsi="宋体" w:cs="宋体"/>
        </w:rPr>
      </w:pPr>
      <w:r>
        <w:rPr>
          <w:rFonts w:hint="eastAsia" w:ascii="宋体" w:hAnsi="宋体" w:eastAsia="宋体" w:cs="宋体"/>
          <w:color w:val="auto"/>
          <w:kern w:val="2"/>
          <w:sz w:val="36"/>
          <w:szCs w:val="36"/>
          <w:highlight w:val="none"/>
          <w:lang w:val="en-US" w:eastAsia="zh-CN" w:bidi="ar-SA"/>
        </w:rPr>
        <w:t>项目负责人承诺书</w:t>
      </w:r>
    </w:p>
    <w:p>
      <w:pPr>
        <w:spacing w:line="360" w:lineRule="auto"/>
        <w:rPr>
          <w:rFonts w:ascii="宋体" w:hAnsi="宋体" w:cs="宋体"/>
          <w:sz w:val="24"/>
          <w:szCs w:val="24"/>
        </w:rPr>
      </w:pPr>
      <w:r>
        <w:rPr>
          <w:rFonts w:hint="eastAsia" w:ascii="宋体" w:hAnsi="宋体" w:cs="宋体"/>
          <w:sz w:val="24"/>
          <w:szCs w:val="24"/>
          <w:u w:val="single"/>
        </w:rPr>
        <w:t xml:space="preserve">（招标人名称）  </w:t>
      </w:r>
      <w:r>
        <w:rPr>
          <w:rFonts w:hint="eastAsia" w:ascii="宋体" w:hAnsi="宋体" w:cs="宋体"/>
          <w:sz w:val="24"/>
          <w:szCs w:val="24"/>
        </w:rPr>
        <w:t>：</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我方在此声明，我方拟派往</w:t>
      </w:r>
      <w:r>
        <w:rPr>
          <w:rFonts w:hint="eastAsia" w:ascii="宋体" w:hAnsi="宋体" w:cs="宋体"/>
          <w:sz w:val="24"/>
          <w:szCs w:val="24"/>
          <w:u w:val="single"/>
        </w:rPr>
        <w:t>（招标项目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合同包号</w:t>
      </w:r>
      <w:r>
        <w:rPr>
          <w:rFonts w:hint="eastAsia" w:ascii="宋体" w:hAnsi="宋体" w:cs="宋体"/>
          <w:sz w:val="24"/>
          <w:szCs w:val="24"/>
          <w:u w:val="single"/>
        </w:rPr>
        <w:t xml:space="preserve">） </w:t>
      </w:r>
      <w:r>
        <w:rPr>
          <w:rFonts w:hint="eastAsia" w:ascii="宋体" w:hAnsi="宋体" w:cs="宋体"/>
          <w:sz w:val="24"/>
          <w:szCs w:val="24"/>
        </w:rPr>
        <w:t xml:space="preserve">（以下简称“本项目”）的项目经理 </w:t>
      </w:r>
      <w:r>
        <w:rPr>
          <w:rFonts w:hint="eastAsia" w:ascii="宋体" w:hAnsi="宋体" w:cs="宋体"/>
          <w:sz w:val="24"/>
          <w:szCs w:val="24"/>
          <w:u w:val="single"/>
        </w:rPr>
        <w:t xml:space="preserve">（姓名）     </w:t>
      </w:r>
      <w:r>
        <w:rPr>
          <w:rFonts w:hint="eastAsia" w:ascii="宋体" w:hAnsi="宋体" w:cs="宋体"/>
          <w:sz w:val="24"/>
          <w:szCs w:val="24"/>
        </w:rPr>
        <w:t>现阶段没有担任任何在施建设工程项目的项目经理。</w:t>
      </w:r>
    </w:p>
    <w:p>
      <w:pPr>
        <w:spacing w:line="360" w:lineRule="auto"/>
        <w:ind w:firstLine="480" w:firstLineChars="200"/>
        <w:rPr>
          <w:rFonts w:ascii="宋体" w:hAnsi="宋体" w:cs="宋体"/>
          <w:sz w:val="24"/>
          <w:szCs w:val="24"/>
        </w:rPr>
      </w:pPr>
      <w:r>
        <w:rPr>
          <w:rFonts w:hint="eastAsia" w:ascii="宋体" w:hAnsi="宋体" w:cs="宋体"/>
          <w:sz w:val="24"/>
          <w:szCs w:val="24"/>
        </w:rPr>
        <w:t>我方保证本次投标文件中所有内容和资料均真实、有效、准确，并愿意承担因我方就此弄虚作假所引起的一切法律后果。</w:t>
      </w:r>
    </w:p>
    <w:p>
      <w:pPr>
        <w:spacing w:line="360" w:lineRule="auto"/>
        <w:rPr>
          <w:rFonts w:ascii="宋体" w:hAnsi="宋体" w:cs="宋体"/>
          <w:sz w:val="24"/>
          <w:szCs w:val="24"/>
        </w:rPr>
      </w:pPr>
    </w:p>
    <w:p>
      <w:pPr>
        <w:spacing w:line="360" w:lineRule="auto"/>
        <w:ind w:firstLine="600" w:firstLineChars="250"/>
        <w:rPr>
          <w:rFonts w:ascii="宋体" w:hAnsi="宋体" w:cs="宋体"/>
          <w:sz w:val="24"/>
          <w:szCs w:val="24"/>
        </w:rPr>
      </w:pPr>
      <w:r>
        <w:rPr>
          <w:rFonts w:hint="eastAsia" w:ascii="宋体" w:hAnsi="宋体" w:cs="宋体"/>
          <w:sz w:val="24"/>
          <w:szCs w:val="24"/>
        </w:rPr>
        <w:t>特此承诺</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eastAsia="zh-CN"/>
        </w:rPr>
        <w:t>供应商</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（单位公章）</w:t>
      </w:r>
    </w:p>
    <w:p>
      <w:pPr>
        <w:spacing w:line="360" w:lineRule="auto"/>
        <w:jc w:val="righ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（签字或盖章）</w:t>
      </w:r>
    </w:p>
    <w:p>
      <w:pPr>
        <w:pStyle w:val="18"/>
        <w:adjustRightInd w:val="0"/>
        <w:snapToGrid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 月 </w:t>
      </w:r>
      <w:r>
        <w:rPr>
          <w:rFonts w:hint="eastAsia" w:ascii="宋体" w:hAnsi="宋体" w:cs="宋体"/>
          <w:sz w:val="24"/>
          <w:szCs w:val="24"/>
          <w:u w:val="single"/>
        </w:rPr>
        <w:t xml:space="preserve">     </w:t>
      </w:r>
      <w:r>
        <w:rPr>
          <w:rFonts w:hint="eastAsia" w:ascii="宋体" w:hAnsi="宋体" w:cs="宋体"/>
          <w:sz w:val="24"/>
          <w:szCs w:val="24"/>
        </w:rPr>
        <w:t xml:space="preserve"> 日</w:t>
      </w: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7.供应商近5年公路水运试验检测机构信用评价结果和比对试验结果</w:t>
      </w:r>
    </w:p>
    <w:p>
      <w:pPr>
        <w:pStyle w:val="6"/>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lang w:val="en-US" w:eastAsia="zh-CN"/>
        </w:rPr>
        <w:t>提供交通运输部近5年公路水运试验检测机构信用评价结果和比对试验结果，并没有正受到被项目所在地交通运输或建设主管部门取消投标资格的行政处罚（2023修订）</w:t>
      </w: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8.</w:t>
      </w:r>
      <w:r>
        <w:rPr>
          <w:rFonts w:hint="eastAsia" w:ascii="宋体" w:hAnsi="宋体" w:eastAsia="宋体" w:cs="宋体"/>
          <w:color w:val="auto"/>
          <w:sz w:val="36"/>
          <w:szCs w:val="36"/>
          <w:highlight w:val="none"/>
        </w:rPr>
        <w:t>竞争性磋商响应声明书</w:t>
      </w:r>
    </w:p>
    <w:p>
      <w:pPr>
        <w:pStyle w:val="6"/>
        <w:ind w:firstLine="0"/>
        <w:jc w:val="center"/>
        <w:rPr>
          <w:rFonts w:hint="eastAsia" w:ascii="宋体" w:hAnsi="宋体" w:eastAsia="宋体" w:cs="宋体"/>
          <w:b/>
          <w:color w:val="auto"/>
          <w:sz w:val="36"/>
          <w:szCs w:val="36"/>
          <w:highlight w:val="none"/>
        </w:rPr>
      </w:pPr>
    </w:p>
    <w:p>
      <w:pPr>
        <w:pStyle w:val="6"/>
        <w:spacing w:after="120" w:afterLines="50"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lang w:eastAsia="zh-CN"/>
        </w:rPr>
        <w:t>陕西省交通运输工程质量监测鉴定站</w:t>
      </w:r>
      <w:r>
        <w:rPr>
          <w:rFonts w:hint="eastAsia" w:ascii="宋体" w:hAnsi="宋体" w:eastAsia="宋体" w:cs="宋体"/>
          <w:b/>
          <w:color w:val="auto"/>
          <w:sz w:val="24"/>
          <w:szCs w:val="24"/>
          <w:highlight w:val="none"/>
        </w:rPr>
        <w:t>：</w:t>
      </w: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（供应商名称），就参加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）磋商事宜，在此郑重声明：</w:t>
      </w: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1.我方所提交的响应文件全部真实有效；</w:t>
      </w: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2.我方近3年来无违规违法经营受到责令停产(或停止经营)、吊销生产许可证（或经营许可证）、较大数额罚款（举行听证会的）等行政处罚的情形存在；</w:t>
      </w: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3.我方无企业财产被查封、冻结或处于破产状态或严重亏损状态等情形存在；</w:t>
      </w: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4.我方承诺在磋商过程中，保证不予其他单位恶意串通，不出让磋商资格，不采取不正当手段诋毁、排挤其他供应商，不向采购人、采购代理机构和磋商小组成员行贿；</w:t>
      </w:r>
    </w:p>
    <w:p>
      <w:pPr>
        <w:pStyle w:val="6"/>
        <w:spacing w:line="360" w:lineRule="auto"/>
        <w:ind w:firstLine="57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5.我方参加本次政府采购活动</w:t>
      </w:r>
      <w:r>
        <w:rPr>
          <w:rFonts w:hint="eastAsia" w:ascii="宋体" w:hAnsi="宋体" w:cs="宋体"/>
          <w:b/>
          <w:bCs/>
          <w:color w:val="auto"/>
          <w:sz w:val="24"/>
          <w:szCs w:val="24"/>
          <w:highlight w:val="none"/>
          <w:lang w:val="en-US" w:eastAsia="zh-CN"/>
        </w:rPr>
        <w:t>前三</w:t>
      </w:r>
      <w:r>
        <w:rPr>
          <w:rFonts w:hint="eastAsia" w:ascii="宋体" w:hAnsi="宋体" w:eastAsia="宋体" w:cs="宋体"/>
          <w:b/>
          <w:bCs/>
          <w:color w:val="auto"/>
          <w:sz w:val="24"/>
          <w:szCs w:val="24"/>
          <w:highlight w:val="none"/>
        </w:rPr>
        <w:t>年内，在经营活动中没有重大违法记录；</w:t>
      </w:r>
    </w:p>
    <w:p>
      <w:pPr>
        <w:pStyle w:val="6"/>
        <w:spacing w:line="360" w:lineRule="auto"/>
        <w:ind w:firstLine="57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6.我方在提交响应文件时，未被列入政府采购严重违法失信行为记录名单、失信被执行人、重大税收违法案件当事人名单。</w:t>
      </w: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以上声明若有违反，一经查实，我方愿意接受政府有关部门的相应处罚，并愿意承担由此带来的法律后果。</w:t>
      </w:r>
    </w:p>
    <w:p>
      <w:pPr>
        <w:pStyle w:val="6"/>
        <w:spacing w:line="480" w:lineRule="auto"/>
        <w:ind w:firstLine="570"/>
        <w:rPr>
          <w:rFonts w:hint="eastAsia" w:ascii="宋体" w:hAnsi="宋体" w:eastAsia="宋体" w:cs="宋体"/>
          <w:color w:val="auto"/>
          <w:sz w:val="24"/>
          <w:szCs w:val="24"/>
          <w:highlight w:val="none"/>
        </w:rPr>
      </w:pPr>
    </w:p>
    <w:p>
      <w:pPr>
        <w:pStyle w:val="6"/>
        <w:spacing w:line="48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6"/>
        <w:spacing w:line="480" w:lineRule="auto"/>
        <w:ind w:firstLine="570"/>
        <w:rPr>
          <w:rFonts w:hint="eastAsia" w:ascii="宋体" w:hAnsi="宋体" w:eastAsia="宋体" w:cs="宋体"/>
          <w:color w:val="auto"/>
          <w:sz w:val="24"/>
          <w:szCs w:val="24"/>
          <w:highlight w:val="none"/>
        </w:rPr>
      </w:pPr>
    </w:p>
    <w:p>
      <w:pPr>
        <w:pStyle w:val="6"/>
        <w:spacing w:line="480" w:lineRule="auto"/>
        <w:ind w:firstLine="570"/>
        <w:rPr>
          <w:rFonts w:hint="eastAsia" w:ascii="宋体" w:hAnsi="宋体" w:eastAsia="宋体" w:cs="宋体"/>
          <w:color w:val="auto"/>
          <w:sz w:val="24"/>
          <w:szCs w:val="24"/>
          <w:highlight w:val="none"/>
        </w:rPr>
      </w:pPr>
    </w:p>
    <w:p>
      <w:pPr>
        <w:pStyle w:val="6"/>
        <w:spacing w:line="480" w:lineRule="auto"/>
        <w:ind w:firstLine="570"/>
        <w:rPr>
          <w:rFonts w:hint="eastAsia" w:ascii="宋体" w:hAnsi="宋体" w:eastAsia="宋体" w:cs="宋体"/>
          <w:color w:val="auto"/>
          <w:sz w:val="24"/>
          <w:szCs w:val="24"/>
          <w:highlight w:val="none"/>
        </w:rPr>
      </w:pPr>
    </w:p>
    <w:p>
      <w:pPr>
        <w:pStyle w:val="6"/>
        <w:spacing w:line="48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pStyle w:val="6"/>
        <w:spacing w:line="48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pStyle w:val="18"/>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8"/>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9.</w:t>
      </w:r>
      <w:r>
        <w:rPr>
          <w:rFonts w:hint="eastAsia" w:ascii="宋体" w:hAnsi="宋体" w:eastAsia="宋体" w:cs="宋体"/>
          <w:color w:val="auto"/>
          <w:sz w:val="36"/>
          <w:szCs w:val="36"/>
          <w:highlight w:val="none"/>
        </w:rPr>
        <w:t>财务状况报告</w:t>
      </w: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w:t>
      </w:r>
      <w:r>
        <w:rPr>
          <w:rFonts w:hint="eastAsia" w:ascii="宋体" w:hAnsi="宋体" w:eastAsia="宋体" w:cs="宋体"/>
          <w:color w:val="auto"/>
          <w:sz w:val="24"/>
          <w:szCs w:val="24"/>
          <w:highlight w:val="none"/>
          <w:lang w:val="en-US" w:eastAsia="zh-CN"/>
        </w:rPr>
        <w:t>2020</w:t>
      </w:r>
      <w:r>
        <w:rPr>
          <w:rFonts w:hint="eastAsia"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rPr>
        <w:t>年度经审计的供应商财务报告（包括 “四表一注”即《资产负债表》《利润表》《现金流量表》《所有者权益变动表》及其附注）或者提供</w:t>
      </w:r>
      <w:r>
        <w:rPr>
          <w:rFonts w:hint="eastAsia" w:hAnsi="宋体" w:eastAsia="宋体" w:cs="宋体"/>
          <w:color w:val="auto"/>
          <w:sz w:val="24"/>
          <w:szCs w:val="24"/>
          <w:highlight w:val="none"/>
          <w:lang w:val="en-US" w:eastAsia="zh-CN"/>
        </w:rPr>
        <w:t>开标前六个月</w:t>
      </w:r>
      <w:r>
        <w:rPr>
          <w:rFonts w:hint="eastAsia" w:ascii="宋体" w:hAnsi="宋体" w:eastAsia="宋体" w:cs="宋体"/>
          <w:color w:val="auto"/>
          <w:sz w:val="24"/>
          <w:szCs w:val="24"/>
          <w:highlight w:val="none"/>
        </w:rPr>
        <w:t>其基本账户开户银行出具的资信证明（附件2基本存款账户信息）；</w:t>
      </w:r>
    </w:p>
    <w:p>
      <w:pPr>
        <w:pStyle w:val="1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（2）供应商成立不到1年的，可提供企业任意时段财务报表；</w:t>
      </w:r>
    </w:p>
    <w:p>
      <w:pPr>
        <w:pStyle w:val="1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（3）供应商为公益类事业单位或者自然人的无需提供；</w:t>
      </w:r>
    </w:p>
    <w:p>
      <w:pPr>
        <w:pStyle w:val="1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（4）以上原件或复印件直接装订，复印件加盖投标人单位章。</w:t>
      </w:r>
    </w:p>
    <w:p>
      <w:pPr>
        <w:pStyle w:val="18"/>
        <w:adjustRightInd w:val="0"/>
        <w:snapToGrid w:val="0"/>
        <w:spacing w:line="360" w:lineRule="auto"/>
        <w:rPr>
          <w:rFonts w:hint="eastAsia" w:ascii="宋体" w:hAnsi="宋体" w:eastAsia="宋体" w:cs="宋体"/>
          <w:color w:val="auto"/>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red"/>
        </w:rPr>
        <w:br w:type="page"/>
      </w:r>
      <w:r>
        <w:rPr>
          <w:rFonts w:hint="eastAsia" w:ascii="宋体" w:hAnsi="宋体" w:eastAsia="宋体" w:cs="宋体"/>
          <w:b/>
          <w:color w:val="auto"/>
          <w:sz w:val="28"/>
          <w:szCs w:val="28"/>
          <w:highlight w:val="none"/>
        </w:rPr>
        <w:t>附</w:t>
      </w: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pPr>
        <w:pStyle w:val="18"/>
        <w:adjustRightInd w:val="0"/>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32"/>
          <w:szCs w:val="32"/>
          <w:highlight w:val="none"/>
        </w:rPr>
        <w:t>基本存款账户信息</w:t>
      </w:r>
      <w:r>
        <w:rPr>
          <w:rFonts w:hint="eastAsia" w:hAnsi="宋体" w:eastAsia="宋体" w:cs="宋体"/>
          <w:b/>
          <w:color w:val="auto"/>
          <w:sz w:val="24"/>
          <w:szCs w:val="24"/>
          <w:highlight w:val="none"/>
          <w:lang w:eastAsia="zh-CN"/>
        </w:rPr>
        <w:t>（</w:t>
      </w:r>
      <w:r>
        <w:rPr>
          <w:rFonts w:hint="eastAsia" w:hAnsi="宋体" w:eastAsia="宋体" w:cs="宋体"/>
          <w:b/>
          <w:color w:val="auto"/>
          <w:sz w:val="24"/>
          <w:szCs w:val="24"/>
          <w:highlight w:val="none"/>
          <w:lang w:val="en-US" w:eastAsia="zh-CN"/>
        </w:rPr>
        <w:t>复印件加盖公章</w:t>
      </w:r>
      <w:r>
        <w:rPr>
          <w:rFonts w:hint="eastAsia" w:hAnsi="宋体" w:eastAsia="宋体" w:cs="宋体"/>
          <w:b/>
          <w:color w:val="auto"/>
          <w:sz w:val="24"/>
          <w:szCs w:val="24"/>
          <w:highlight w:val="none"/>
          <w:lang w:eastAsia="zh-CN"/>
        </w:rPr>
        <w:t>）</w:t>
      </w: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18"/>
        <w:adjustRightInd w:val="0"/>
        <w:snapToGrid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br w:type="page"/>
      </w:r>
      <w:r>
        <w:rPr>
          <w:rFonts w:hint="eastAsia" w:hAnsi="宋体" w:eastAsia="宋体" w:cs="宋体"/>
          <w:color w:val="auto"/>
          <w:sz w:val="36"/>
          <w:szCs w:val="36"/>
          <w:highlight w:val="none"/>
          <w:lang w:val="en-US" w:eastAsia="zh-CN"/>
        </w:rPr>
        <w:t>1</w:t>
      </w:r>
      <w:r>
        <w:rPr>
          <w:rFonts w:hint="eastAsia" w:hAnsi="宋体" w:cs="宋体"/>
          <w:color w:val="auto"/>
          <w:sz w:val="36"/>
          <w:szCs w:val="36"/>
          <w:highlight w:val="none"/>
          <w:lang w:val="en-US" w:eastAsia="zh-CN"/>
        </w:rPr>
        <w:t>0</w:t>
      </w:r>
      <w:r>
        <w:rPr>
          <w:rFonts w:hint="eastAsia" w:hAnsi="宋体" w:eastAsia="宋体" w:cs="宋体"/>
          <w:color w:val="auto"/>
          <w:sz w:val="36"/>
          <w:szCs w:val="36"/>
          <w:highlight w:val="none"/>
          <w:lang w:val="en-US" w:eastAsia="zh-CN"/>
        </w:rPr>
        <w:t>.非</w:t>
      </w:r>
      <w:r>
        <w:rPr>
          <w:rFonts w:hint="eastAsia" w:ascii="宋体" w:hAnsi="宋体" w:eastAsia="宋体" w:cs="宋体"/>
          <w:color w:val="auto"/>
          <w:sz w:val="36"/>
          <w:szCs w:val="36"/>
          <w:highlight w:val="none"/>
          <w:lang w:val="en-US" w:eastAsia="zh-CN"/>
        </w:rPr>
        <w:t>联合体承诺书</w:t>
      </w:r>
    </w:p>
    <w:p>
      <w:pPr>
        <w:pStyle w:val="18"/>
        <w:adjustRightInd w:val="0"/>
        <w:snapToGrid w:val="0"/>
        <w:spacing w:line="360" w:lineRule="auto"/>
        <w:jc w:val="center"/>
        <w:rPr>
          <w:rFonts w:hint="eastAsia" w:ascii="宋体" w:hAnsi="宋体" w:eastAsia="宋体" w:cs="宋体"/>
          <w:color w:val="auto"/>
          <w:sz w:val="36"/>
          <w:szCs w:val="36"/>
          <w:highlight w:val="none"/>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格式自拟</w:t>
      </w:r>
      <w:r>
        <w:rPr>
          <w:rFonts w:hint="eastAsia" w:hAnsi="宋体" w:eastAsia="宋体" w:cs="宋体"/>
          <w:color w:val="auto"/>
          <w:sz w:val="24"/>
          <w:szCs w:val="24"/>
          <w:highlight w:val="none"/>
          <w:lang w:eastAsia="zh-CN"/>
        </w:rPr>
        <w:t>）</w:t>
      </w:r>
      <w:r>
        <w:rPr>
          <w:rFonts w:hint="eastAsia" w:ascii="宋体" w:hAnsi="宋体" w:eastAsia="宋体" w:cs="宋体"/>
          <w:color w:val="auto"/>
          <w:sz w:val="36"/>
          <w:szCs w:val="36"/>
          <w:highlight w:val="none"/>
        </w:rPr>
        <w:br w:type="page"/>
      </w:r>
      <w:r>
        <w:rPr>
          <w:rFonts w:hint="eastAsia" w:hAnsi="宋体" w:eastAsia="宋体" w:cs="宋体"/>
          <w:color w:val="auto"/>
          <w:sz w:val="36"/>
          <w:szCs w:val="36"/>
          <w:highlight w:val="none"/>
          <w:lang w:val="en-US" w:eastAsia="zh-CN"/>
        </w:rPr>
        <w:t>1</w:t>
      </w:r>
      <w:r>
        <w:rPr>
          <w:rFonts w:hint="eastAsia" w:hAnsi="宋体" w:cs="宋体"/>
          <w:color w:val="auto"/>
          <w:sz w:val="36"/>
          <w:szCs w:val="36"/>
          <w:highlight w:val="none"/>
          <w:lang w:val="en-US" w:eastAsia="zh-CN"/>
        </w:rPr>
        <w:t>1</w:t>
      </w:r>
      <w:r>
        <w:rPr>
          <w:rFonts w:hint="eastAsia" w:ascii="宋体" w:hAnsi="宋体" w:eastAsia="宋体" w:cs="宋体"/>
          <w:color w:val="auto"/>
          <w:sz w:val="36"/>
          <w:szCs w:val="36"/>
          <w:highlight w:val="none"/>
        </w:rPr>
        <w:t>.税收缴纳证明</w:t>
      </w:r>
    </w:p>
    <w:p>
      <w:pPr>
        <w:pStyle w:val="18"/>
        <w:adjustRightInd w:val="0"/>
        <w:snapToGrid w:val="0"/>
        <w:spacing w:line="360" w:lineRule="auto"/>
        <w:jc w:val="left"/>
        <w:rPr>
          <w:rFonts w:hint="eastAsia" w:ascii="宋体" w:hAnsi="宋体" w:eastAsia="宋体" w:cs="宋体"/>
          <w:color w:val="auto"/>
          <w:sz w:val="24"/>
          <w:szCs w:val="24"/>
          <w:highlight w:val="none"/>
        </w:rPr>
      </w:pPr>
    </w:p>
    <w:p>
      <w:pPr>
        <w:pStyle w:val="18"/>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（1）提供供应商自磋商前1年以来已缴纳任意时段任意税种完税凭证（复印件）或税务机关开具的完税证明（原件）；</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（2）依法免税的应提供相关文件证明；</w:t>
      </w:r>
    </w:p>
    <w:p>
      <w:pPr>
        <w:pStyle w:val="18"/>
        <w:tabs>
          <w:tab w:val="left" w:pos="851"/>
        </w:tabs>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（3）供应商为公益类事业单位或者自然人的无需提供；</w:t>
      </w:r>
    </w:p>
    <w:p>
      <w:pPr>
        <w:pStyle w:val="1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（4）新成立未发生缴纳税收事项的供应商，应按附件3提供缴纳说收的书面承诺；</w:t>
      </w:r>
    </w:p>
    <w:p>
      <w:pPr>
        <w:pStyle w:val="1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（5）原件或复印件可直接装订，复印件加盖供应商单位章。</w:t>
      </w:r>
    </w:p>
    <w:p>
      <w:pPr>
        <w:pStyle w:val="18"/>
        <w:adjustRightInd w:val="0"/>
        <w:snapToGrid w:val="0"/>
        <w:spacing w:line="360" w:lineRule="auto"/>
        <w:rPr>
          <w:rFonts w:hint="eastAsia" w:ascii="宋体" w:hAnsi="宋体" w:eastAsia="宋体" w:cs="宋体"/>
          <w:color w:val="auto"/>
          <w:highlight w:val="green"/>
        </w:rPr>
      </w:pPr>
    </w:p>
    <w:p>
      <w:pPr>
        <w:pStyle w:val="18"/>
        <w:adjustRightInd w:val="0"/>
        <w:snapToGrid w:val="0"/>
        <w:spacing w:line="360" w:lineRule="auto"/>
        <w:rPr>
          <w:rFonts w:hint="eastAsia" w:ascii="宋体" w:hAnsi="宋体" w:eastAsia="宋体" w:cs="宋体"/>
          <w:color w:val="auto"/>
          <w:highlight w:val="green"/>
        </w:rPr>
      </w:pPr>
    </w:p>
    <w:p>
      <w:pPr>
        <w:pStyle w:val="18"/>
        <w:adjustRightInd w:val="0"/>
        <w:snapToGrid w:val="0"/>
        <w:spacing w:line="360" w:lineRule="auto"/>
        <w:rPr>
          <w:rFonts w:hint="eastAsia" w:ascii="宋体" w:hAnsi="宋体" w:eastAsia="宋体" w:cs="宋体"/>
          <w:color w:val="auto"/>
          <w:highlight w:val="none"/>
        </w:rPr>
      </w:pPr>
    </w:p>
    <w:p>
      <w:pPr>
        <w:pStyle w:val="18"/>
        <w:adjustRightInd w:val="0"/>
        <w:snapToGrid w:val="0"/>
        <w:spacing w:line="360" w:lineRule="auto"/>
        <w:rPr>
          <w:rFonts w:hint="eastAsia" w:ascii="宋体" w:hAnsi="宋体" w:eastAsia="宋体" w:cs="宋体"/>
          <w:color w:val="auto"/>
          <w:highlight w:val="none"/>
        </w:rPr>
      </w:pPr>
    </w:p>
    <w:p>
      <w:pPr>
        <w:pStyle w:val="18"/>
        <w:adjustRightInd w:val="0"/>
        <w:snapToGrid w:val="0"/>
        <w:spacing w:line="360" w:lineRule="auto"/>
        <w:rPr>
          <w:rFonts w:hint="eastAsia" w:ascii="宋体" w:hAnsi="宋体" w:eastAsia="宋体" w:cs="宋体"/>
          <w:color w:val="auto"/>
          <w:highlight w:val="none"/>
        </w:rPr>
      </w:pPr>
    </w:p>
    <w:p>
      <w:pPr>
        <w:pStyle w:val="18"/>
        <w:adjustRightInd w:val="0"/>
        <w:snapToGrid w:val="0"/>
        <w:spacing w:line="360" w:lineRule="auto"/>
        <w:rPr>
          <w:rFonts w:hint="eastAsia" w:ascii="宋体" w:hAnsi="宋体" w:eastAsia="宋体" w:cs="宋体"/>
          <w:color w:val="auto"/>
          <w:highlight w:val="none"/>
        </w:rPr>
      </w:pPr>
    </w:p>
    <w:p>
      <w:pPr>
        <w:pStyle w:val="18"/>
        <w:adjustRightInd w:val="0"/>
        <w:snapToGrid w:val="0"/>
        <w:jc w:val="left"/>
        <w:rPr>
          <w:rFonts w:hint="eastAsia" w:ascii="宋体" w:hAnsi="宋体" w:eastAsia="宋体" w:cs="宋体"/>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6"/>
        <w:ind w:firstLine="0"/>
        <w:rPr>
          <w:rFonts w:hint="eastAsia" w:ascii="宋体" w:hAnsi="宋体" w:eastAsia="宋体" w:cs="宋体"/>
          <w:b/>
          <w:color w:val="auto"/>
          <w:sz w:val="28"/>
          <w:szCs w:val="28"/>
          <w:highlight w:val="none"/>
        </w:rPr>
      </w:pPr>
    </w:p>
    <w:p>
      <w:pPr>
        <w:pStyle w:val="18"/>
        <w:adjustRightInd w:val="0"/>
        <w:snapToGrid w:val="0"/>
        <w:jc w:val="left"/>
        <w:rPr>
          <w:rFonts w:hint="eastAsia" w:ascii="宋体" w:hAnsi="宋体" w:eastAsia="宋体" w:cs="宋体"/>
          <w:color w:val="auto"/>
          <w:sz w:val="28"/>
          <w:szCs w:val="28"/>
          <w:highlight w:val="none"/>
        </w:rPr>
      </w:pPr>
    </w:p>
    <w:p>
      <w:pPr>
        <w:pStyle w:val="18"/>
        <w:adjustRightInd w:val="0"/>
        <w:snapToGrid w:val="0"/>
        <w:jc w:val="left"/>
        <w:rPr>
          <w:rFonts w:hint="eastAsia" w:ascii="宋体" w:hAnsi="宋体" w:eastAsia="宋体" w:cs="宋体"/>
          <w:color w:val="auto"/>
          <w:sz w:val="28"/>
          <w:szCs w:val="28"/>
          <w:highlight w:val="none"/>
        </w:rPr>
      </w:pPr>
    </w:p>
    <w:p>
      <w:pPr>
        <w:pStyle w:val="18"/>
        <w:adjustRightInd w:val="0"/>
        <w:snapToGrid w:val="0"/>
        <w:jc w:val="left"/>
        <w:rPr>
          <w:rFonts w:hint="eastAsia" w:ascii="宋体" w:hAnsi="宋体" w:eastAsia="宋体" w:cs="宋体"/>
          <w:color w:val="auto"/>
          <w:sz w:val="28"/>
          <w:szCs w:val="28"/>
          <w:highlight w:val="none"/>
        </w:rPr>
      </w:pPr>
    </w:p>
    <w:p>
      <w:pPr>
        <w:pStyle w:val="18"/>
        <w:adjustRightInd w:val="0"/>
        <w:snapToGrid w:val="0"/>
        <w:jc w:val="left"/>
        <w:rPr>
          <w:rFonts w:hint="eastAsia" w:ascii="宋体" w:hAnsi="宋体" w:eastAsia="宋体" w:cs="宋体"/>
          <w:color w:val="auto"/>
          <w:sz w:val="28"/>
          <w:szCs w:val="28"/>
          <w:highlight w:val="none"/>
        </w:rPr>
      </w:pPr>
    </w:p>
    <w:p>
      <w:pPr>
        <w:pStyle w:val="18"/>
        <w:adjustRightInd w:val="0"/>
        <w:snapToGrid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p>
    <w:p>
      <w:pPr>
        <w:pStyle w:val="4"/>
        <w:spacing w:before="240" w:beforeLines="100" w:line="560" w:lineRule="exact"/>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依法缴纳税收承诺书</w:t>
      </w:r>
    </w:p>
    <w:p>
      <w:pPr>
        <w:pStyle w:val="6"/>
        <w:spacing w:before="720" w:beforeLines="300" w:after="120" w:afterLines="50" w:line="360" w:lineRule="auto"/>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陕西省交通运输工程质量监测鉴定站</w:t>
      </w:r>
      <w:r>
        <w:rPr>
          <w:rFonts w:hint="eastAsia" w:ascii="宋体" w:hAnsi="宋体" w:eastAsia="宋体" w:cs="宋体"/>
          <w:color w:val="auto"/>
          <w:sz w:val="24"/>
          <w:szCs w:val="24"/>
          <w:highlight w:val="none"/>
          <w:u w:val="none"/>
        </w:rPr>
        <w:t xml:space="preserve">： </w:t>
      </w:r>
    </w:p>
    <w:p>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）项目的政府采购活动，现承诺如下：</w:t>
      </w:r>
    </w:p>
    <w:p>
      <w:pPr>
        <w:pStyle w:val="6"/>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我方承诺将依法缴纳税收，并符合《中华人民共和国政府采购法》及其实施条例和采购文件资格要求的规定。</w:t>
      </w:r>
    </w:p>
    <w:p>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若我方以上承诺不实，自愿承担提供虚假材料谋取成交的法律责任。</w:t>
      </w: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 诺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p>
    <w:p>
      <w:pPr>
        <w:adjustRightInd w:val="0"/>
        <w:spacing w:line="360" w:lineRule="auto"/>
        <w:ind w:firstLine="660" w:firstLineChars="2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Cs w:val="21"/>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18"/>
        <w:adjustRightInd w:val="0"/>
        <w:snapToGrid w:val="0"/>
        <w:spacing w:line="360" w:lineRule="auto"/>
        <w:jc w:val="left"/>
        <w:rPr>
          <w:rFonts w:hint="eastAsia" w:ascii="宋体" w:hAnsi="宋体" w:eastAsia="宋体" w:cs="宋体"/>
          <w:b/>
          <w:color w:val="auto"/>
          <w:sz w:val="24"/>
          <w:szCs w:val="24"/>
          <w:highlight w:val="none"/>
        </w:rPr>
      </w:pPr>
    </w:p>
    <w:p>
      <w:pPr>
        <w:pStyle w:val="6"/>
        <w:spacing w:before="120" w:beforeLines="50"/>
        <w:ind w:firstLine="0"/>
        <w:rPr>
          <w:rFonts w:hint="eastAsia" w:ascii="宋体" w:hAnsi="宋体" w:eastAsia="宋体" w:cs="宋体"/>
          <w:b/>
          <w:color w:val="auto"/>
          <w:sz w:val="28"/>
          <w:szCs w:val="28"/>
          <w:highlight w:val="none"/>
        </w:rPr>
      </w:pPr>
    </w:p>
    <w:p>
      <w:pPr>
        <w:pStyle w:val="6"/>
        <w:spacing w:before="120" w:beforeLines="50"/>
        <w:ind w:firstLine="0"/>
        <w:rPr>
          <w:rFonts w:hint="eastAsia" w:ascii="宋体" w:hAnsi="宋体" w:eastAsia="宋体" w:cs="宋体"/>
          <w:b/>
          <w:color w:val="auto"/>
          <w:sz w:val="28"/>
          <w:szCs w:val="28"/>
          <w:highlight w:val="none"/>
        </w:rPr>
      </w:pPr>
    </w:p>
    <w:p>
      <w:pPr>
        <w:pStyle w:val="18"/>
        <w:adjustRightInd w:val="0"/>
        <w:snapToGrid w:val="0"/>
        <w:spacing w:line="360" w:lineRule="auto"/>
        <w:jc w:val="center"/>
        <w:rPr>
          <w:rFonts w:hint="eastAsia" w:ascii="宋体" w:hAnsi="宋体" w:eastAsia="宋体" w:cs="宋体"/>
          <w:color w:val="auto"/>
          <w:sz w:val="36"/>
          <w:szCs w:val="36"/>
          <w:highlight w:val="none"/>
        </w:rPr>
      </w:pPr>
      <w:r>
        <w:rPr>
          <w:rFonts w:hint="eastAsia" w:hAnsi="宋体" w:eastAsia="宋体" w:cs="宋体"/>
          <w:color w:val="auto"/>
          <w:sz w:val="36"/>
          <w:szCs w:val="36"/>
          <w:highlight w:val="none"/>
          <w:lang w:val="en-US" w:eastAsia="zh-CN"/>
        </w:rPr>
        <w:t>1</w:t>
      </w:r>
      <w:r>
        <w:rPr>
          <w:rFonts w:hint="eastAsia" w:hAnsi="宋体" w:cs="宋体"/>
          <w:color w:val="auto"/>
          <w:sz w:val="36"/>
          <w:szCs w:val="36"/>
          <w:highlight w:val="none"/>
          <w:lang w:val="en-US" w:eastAsia="zh-CN"/>
        </w:rPr>
        <w:t>2</w:t>
      </w:r>
      <w:r>
        <w:rPr>
          <w:rFonts w:hint="eastAsia" w:ascii="宋体" w:hAnsi="宋体" w:eastAsia="宋体" w:cs="宋体"/>
          <w:color w:val="auto"/>
          <w:sz w:val="36"/>
          <w:szCs w:val="36"/>
          <w:highlight w:val="none"/>
        </w:rPr>
        <w:t>.缴纳社会保障资金证明</w:t>
      </w:r>
    </w:p>
    <w:p>
      <w:pPr>
        <w:pStyle w:val="18"/>
        <w:adjustRightInd w:val="0"/>
        <w:snapToGrid w:val="0"/>
        <w:spacing w:line="360" w:lineRule="auto"/>
        <w:jc w:val="left"/>
        <w:rPr>
          <w:rFonts w:hint="eastAsia" w:ascii="宋体" w:hAnsi="宋体" w:eastAsia="宋体" w:cs="宋体"/>
          <w:color w:val="auto"/>
          <w:sz w:val="24"/>
          <w:szCs w:val="24"/>
          <w:highlight w:val="none"/>
        </w:rPr>
      </w:pPr>
    </w:p>
    <w:p>
      <w:pPr>
        <w:pStyle w:val="18"/>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（1）提供供应商自磋商前1年以来已缴存的任意时段的社会保障资金缴存单据复印件或社保机构开具的社会保险参保缴费情况证明原件；</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（2）依法不需要缴纳社会保障资金的供应商应提供相关文件证明；</w:t>
      </w:r>
    </w:p>
    <w:p>
      <w:pPr>
        <w:pStyle w:val="18"/>
        <w:adjustRightInd w:val="0"/>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（3）供应商为公益类事业单位或者自然人的无需提供；</w:t>
      </w:r>
    </w:p>
    <w:p>
      <w:pPr>
        <w:pStyle w:val="18"/>
        <w:adjustRightInd w:val="0"/>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（4）新成立未发生缴纳社保资金事项的供应商，应按附件4提供缴纳社保资金的书面承诺；</w:t>
      </w:r>
    </w:p>
    <w:p>
      <w:pPr>
        <w:pStyle w:val="18"/>
        <w:adjustRightInd w:val="0"/>
        <w:snapToGrid w:val="0"/>
        <w:spacing w:line="360" w:lineRule="auto"/>
        <w:ind w:firstLine="482"/>
        <w:rPr>
          <w:rFonts w:hint="eastAsia" w:ascii="宋体" w:hAnsi="宋体" w:eastAsia="宋体" w:cs="宋体"/>
          <w:color w:val="auto"/>
          <w:highlight w:val="green"/>
        </w:rPr>
      </w:pPr>
      <w:r>
        <w:rPr>
          <w:rFonts w:hint="eastAsia" w:ascii="宋体" w:hAnsi="宋体" w:eastAsia="宋体" w:cs="宋体"/>
          <w:color w:val="auto"/>
          <w:sz w:val="24"/>
          <w:szCs w:val="24"/>
          <w:highlight w:val="none"/>
        </w:rPr>
        <w:t>（5）原件或复印件可直接装订，复印件加盖供应商单位章。</w:t>
      </w:r>
    </w:p>
    <w:p>
      <w:pPr>
        <w:pStyle w:val="6"/>
        <w:spacing w:before="120" w:beforeLines="50"/>
        <w:ind w:firstLine="0"/>
        <w:rPr>
          <w:rFonts w:hint="eastAsia" w:ascii="宋体" w:hAnsi="宋体" w:eastAsia="宋体" w:cs="宋体"/>
          <w:b/>
          <w:color w:val="auto"/>
          <w:sz w:val="36"/>
          <w:szCs w:val="36"/>
          <w:highlight w:val="green"/>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6"/>
        <w:spacing w:before="120" w:beforeLines="50"/>
        <w:ind w:firstLine="0"/>
        <w:rPr>
          <w:rFonts w:hint="eastAsia" w:ascii="宋体" w:hAnsi="宋体" w:eastAsia="宋体" w:cs="宋体"/>
          <w:b/>
          <w:color w:val="auto"/>
          <w:sz w:val="36"/>
          <w:szCs w:val="36"/>
          <w:highlight w:val="none"/>
        </w:rPr>
      </w:pPr>
    </w:p>
    <w:p>
      <w:pPr>
        <w:pStyle w:val="18"/>
        <w:adjustRightInd w:val="0"/>
        <w:snapToGrid w:val="0"/>
        <w:spacing w:line="360" w:lineRule="auto"/>
        <w:jc w:val="left"/>
        <w:rPr>
          <w:rFonts w:hint="eastAsia" w:ascii="宋体" w:hAnsi="宋体" w:eastAsia="宋体" w:cs="宋体"/>
          <w:color w:val="auto"/>
          <w:sz w:val="28"/>
          <w:szCs w:val="28"/>
          <w:highlight w:val="none"/>
        </w:rPr>
      </w:pPr>
    </w:p>
    <w:p>
      <w:pPr>
        <w:pStyle w:val="18"/>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p>
    <w:p>
      <w:pPr>
        <w:pStyle w:val="4"/>
        <w:spacing w:line="560" w:lineRule="exact"/>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依法缴纳社会保障资金承诺书</w:t>
      </w:r>
    </w:p>
    <w:p>
      <w:pPr>
        <w:pStyle w:val="6"/>
        <w:spacing w:before="600" w:beforeLines="25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陕西省交通运输工程质量监测鉴定站</w:t>
      </w:r>
      <w:r>
        <w:rPr>
          <w:rFonts w:hint="eastAsia" w:ascii="宋体" w:hAnsi="宋体" w:eastAsia="宋体" w:cs="宋体"/>
          <w:color w:val="auto"/>
          <w:sz w:val="24"/>
          <w:szCs w:val="24"/>
          <w:highlight w:val="none"/>
        </w:rPr>
        <w:t xml:space="preserve">： </w:t>
      </w:r>
    </w:p>
    <w:p>
      <w:pPr>
        <w:pStyle w:val="6"/>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）项目的政府采购活动，现承诺如下：</w:t>
      </w:r>
    </w:p>
    <w:p>
      <w:pPr>
        <w:pStyle w:val="6"/>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我方承诺将依法缴纳社会保障资金，并符合《中华人民共和国政府采购法》及其实施条例和采购文件资格要求的规定。</w:t>
      </w:r>
    </w:p>
    <w:p>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若我方以上承诺不实，自愿承担提供虚假材料谋取成交的法律责任。</w:t>
      </w: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 诺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pPr>
        <w:pStyle w:val="6"/>
        <w:spacing w:line="360" w:lineRule="auto"/>
        <w:ind w:firstLine="573"/>
        <w:rPr>
          <w:rFonts w:hint="eastAsia" w:ascii="宋体" w:hAnsi="宋体" w:eastAsia="宋体" w:cs="宋体"/>
          <w:color w:val="auto"/>
          <w:sz w:val="24"/>
          <w:szCs w:val="24"/>
          <w:highlight w:val="none"/>
        </w:rPr>
      </w:pPr>
    </w:p>
    <w:p>
      <w:pPr>
        <w:pStyle w:val="6"/>
        <w:spacing w:line="360" w:lineRule="auto"/>
        <w:ind w:firstLine="573"/>
        <w:rPr>
          <w:rFonts w:hint="eastAsia" w:ascii="宋体" w:hAnsi="宋体" w:eastAsia="宋体" w:cs="宋体"/>
          <w:color w:val="auto"/>
          <w:sz w:val="24"/>
          <w:szCs w:val="24"/>
          <w:highlight w:val="none"/>
        </w:rPr>
      </w:pPr>
    </w:p>
    <w:p>
      <w:pPr>
        <w:adjustRightInd w:val="0"/>
        <w:spacing w:line="360" w:lineRule="auto"/>
        <w:ind w:firstLine="660" w:firstLineChars="2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6"/>
        <w:spacing w:line="360" w:lineRule="auto"/>
        <w:ind w:firstLine="573"/>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6"/>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1</w:t>
      </w:r>
      <w:r>
        <w:rPr>
          <w:rFonts w:hint="eastAsia" w:ascii="宋体" w:hAnsi="宋体" w:cs="宋体"/>
          <w:color w:val="auto"/>
          <w:sz w:val="36"/>
          <w:szCs w:val="36"/>
          <w:highlight w:val="none"/>
          <w:lang w:val="en-US" w:eastAsia="zh-CN"/>
        </w:rPr>
        <w:t>3</w:t>
      </w:r>
      <w:r>
        <w:rPr>
          <w:rFonts w:hint="eastAsia" w:ascii="宋体" w:hAnsi="宋体" w:eastAsia="宋体" w:cs="宋体"/>
          <w:color w:val="auto"/>
          <w:sz w:val="36"/>
          <w:szCs w:val="36"/>
          <w:highlight w:val="none"/>
        </w:rPr>
        <w:t>.</w:t>
      </w:r>
      <w:r>
        <w:rPr>
          <w:rFonts w:hint="eastAsia" w:ascii="宋体" w:hAnsi="宋体" w:eastAsia="宋体" w:cs="宋体"/>
          <w:color w:val="auto"/>
          <w:kern w:val="0"/>
          <w:sz w:val="36"/>
          <w:szCs w:val="36"/>
          <w:highlight w:val="none"/>
          <w:lang w:val="zh-CN"/>
        </w:rPr>
        <w:t>具备履行合同所必需的设备和专业技术能力的证明</w:t>
      </w:r>
    </w:p>
    <w:p>
      <w:pPr>
        <w:pStyle w:val="6"/>
        <w:spacing w:line="360" w:lineRule="auto"/>
        <w:ind w:firstLine="0"/>
        <w:jc w:val="left"/>
        <w:rPr>
          <w:rFonts w:hint="eastAsia" w:ascii="宋体" w:hAnsi="宋体" w:eastAsia="宋体" w:cs="宋体"/>
          <w:b/>
          <w:color w:val="auto"/>
          <w:sz w:val="24"/>
          <w:szCs w:val="24"/>
          <w:highlight w:val="none"/>
        </w:rPr>
      </w:pPr>
    </w:p>
    <w:p>
      <w:pPr>
        <w:pStyle w:val="6"/>
        <w:spacing w:after="240" w:afterLines="100"/>
        <w:ind w:firstLine="0"/>
        <w:jc w:val="center"/>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（1）完成本项目必须的设备清单</w:t>
      </w:r>
    </w:p>
    <w:p>
      <w:pPr>
        <w:pStyle w:val="6"/>
        <w:spacing w:after="120" w:afterLines="50"/>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                                       包号：    采购项目编号：</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pPr>
              <w:pStyle w:val="6"/>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41" w:type="dxa"/>
            <w:noWrap w:val="0"/>
            <w:vAlign w:val="center"/>
          </w:tcPr>
          <w:p>
            <w:pPr>
              <w:pStyle w:val="6"/>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1445" w:type="dxa"/>
            <w:noWrap w:val="0"/>
            <w:vAlign w:val="center"/>
          </w:tcPr>
          <w:p>
            <w:pPr>
              <w:pStyle w:val="6"/>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计量单位</w:t>
            </w:r>
          </w:p>
        </w:tc>
        <w:tc>
          <w:tcPr>
            <w:tcW w:w="992" w:type="dxa"/>
            <w:noWrap w:val="0"/>
            <w:vAlign w:val="center"/>
          </w:tcPr>
          <w:p>
            <w:pPr>
              <w:pStyle w:val="6"/>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2410" w:type="dxa"/>
            <w:noWrap w:val="0"/>
            <w:vAlign w:val="center"/>
          </w:tcPr>
          <w:p>
            <w:pPr>
              <w:pStyle w:val="6"/>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生产企业</w:t>
            </w:r>
          </w:p>
        </w:tc>
        <w:tc>
          <w:tcPr>
            <w:tcW w:w="1270" w:type="dxa"/>
            <w:noWrap w:val="0"/>
            <w:vAlign w:val="center"/>
          </w:tcPr>
          <w:p>
            <w:pPr>
              <w:pStyle w:val="6"/>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eastAsia="宋体" w:cs="宋体"/>
                <w:b/>
                <w:color w:val="auto"/>
                <w:sz w:val="28"/>
                <w:szCs w:val="28"/>
                <w:highlight w:val="none"/>
              </w:rPr>
            </w:pPr>
          </w:p>
        </w:tc>
        <w:tc>
          <w:tcPr>
            <w:tcW w:w="2241" w:type="dxa"/>
            <w:noWrap w:val="0"/>
            <w:vAlign w:val="top"/>
          </w:tcPr>
          <w:p>
            <w:pPr>
              <w:pStyle w:val="6"/>
              <w:ind w:firstLine="0"/>
              <w:jc w:val="left"/>
              <w:rPr>
                <w:rFonts w:hint="eastAsia" w:ascii="宋体" w:hAnsi="宋体" w:eastAsia="宋体" w:cs="宋体"/>
                <w:b/>
                <w:color w:val="auto"/>
                <w:sz w:val="28"/>
                <w:szCs w:val="28"/>
                <w:highlight w:val="none"/>
              </w:rPr>
            </w:pPr>
          </w:p>
        </w:tc>
        <w:tc>
          <w:tcPr>
            <w:tcW w:w="1445" w:type="dxa"/>
            <w:noWrap w:val="0"/>
            <w:vAlign w:val="top"/>
          </w:tcPr>
          <w:p>
            <w:pPr>
              <w:pStyle w:val="6"/>
              <w:ind w:firstLine="0"/>
              <w:jc w:val="left"/>
              <w:rPr>
                <w:rFonts w:hint="eastAsia" w:ascii="宋体" w:hAnsi="宋体" w:eastAsia="宋体" w:cs="宋体"/>
                <w:b/>
                <w:color w:val="auto"/>
                <w:sz w:val="28"/>
                <w:szCs w:val="28"/>
                <w:highlight w:val="none"/>
              </w:rPr>
            </w:pPr>
          </w:p>
        </w:tc>
        <w:tc>
          <w:tcPr>
            <w:tcW w:w="992" w:type="dxa"/>
            <w:noWrap w:val="0"/>
            <w:vAlign w:val="top"/>
          </w:tcPr>
          <w:p>
            <w:pPr>
              <w:pStyle w:val="6"/>
              <w:ind w:firstLine="0"/>
              <w:jc w:val="left"/>
              <w:rPr>
                <w:rFonts w:hint="eastAsia" w:ascii="宋体" w:hAnsi="宋体" w:eastAsia="宋体" w:cs="宋体"/>
                <w:b/>
                <w:color w:val="auto"/>
                <w:sz w:val="28"/>
                <w:szCs w:val="28"/>
                <w:highlight w:val="none"/>
              </w:rPr>
            </w:pPr>
          </w:p>
        </w:tc>
        <w:tc>
          <w:tcPr>
            <w:tcW w:w="2410" w:type="dxa"/>
            <w:noWrap w:val="0"/>
            <w:vAlign w:val="top"/>
          </w:tcPr>
          <w:p>
            <w:pPr>
              <w:pStyle w:val="6"/>
              <w:ind w:firstLine="0"/>
              <w:jc w:val="left"/>
              <w:rPr>
                <w:rFonts w:hint="eastAsia" w:ascii="宋体" w:hAnsi="宋体" w:eastAsia="宋体" w:cs="宋体"/>
                <w:b/>
                <w:color w:val="auto"/>
                <w:sz w:val="28"/>
                <w:szCs w:val="28"/>
                <w:highlight w:val="none"/>
              </w:rPr>
            </w:pPr>
          </w:p>
        </w:tc>
        <w:tc>
          <w:tcPr>
            <w:tcW w:w="1270" w:type="dxa"/>
            <w:noWrap w:val="0"/>
            <w:vAlign w:val="top"/>
          </w:tcPr>
          <w:p>
            <w:pPr>
              <w:pStyle w:val="6"/>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noWrap w:val="0"/>
            <w:vAlign w:val="center"/>
          </w:tcPr>
          <w:p>
            <w:pPr>
              <w:pStyle w:val="6"/>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c>
          <w:tcPr>
            <w:tcW w:w="8358" w:type="dxa"/>
            <w:gridSpan w:val="5"/>
            <w:noWrap w:val="0"/>
            <w:vAlign w:val="center"/>
          </w:tcPr>
          <w:p>
            <w:pPr>
              <w:pStyle w:val="6"/>
              <w:ind w:firstLine="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1.设备可以填写单台设备，也可以填写成套设备；2.表格行数不足时，可自行扩展。</w:t>
            </w:r>
          </w:p>
        </w:tc>
      </w:tr>
    </w:tbl>
    <w:p>
      <w:pPr>
        <w:keepNext w:val="0"/>
        <w:keepLines w:val="0"/>
        <w:pageBreakBefore w:val="0"/>
        <w:widowControl w:val="0"/>
        <w:kinsoku/>
        <w:wordWrap/>
        <w:overflowPunct/>
        <w:topLinePunct w:val="0"/>
        <w:autoSpaceDE/>
        <w:autoSpaceDN/>
        <w:bidi w:val="0"/>
        <w:adjustRightInd w:val="0"/>
        <w:snapToGrid/>
        <w:spacing w:before="480" w:beforeLines="200" w:line="360" w:lineRule="auto"/>
        <w:ind w:firstLine="210" w:firstLineChars="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（盖单位章）</w:t>
      </w:r>
    </w:p>
    <w:p>
      <w:pPr>
        <w:keepNext w:val="0"/>
        <w:keepLines w:val="0"/>
        <w:pageBreakBefore w:val="0"/>
        <w:widowControl w:val="0"/>
        <w:kinsoku/>
        <w:wordWrap/>
        <w:overflowPunct/>
        <w:topLinePunct w:val="0"/>
        <w:autoSpaceDE/>
        <w:autoSpaceDN/>
        <w:bidi w:val="0"/>
        <w:snapToGrid/>
        <w:spacing w:line="360" w:lineRule="auto"/>
        <w:ind w:firstLine="105" w:firstLineChars="50"/>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keepNext w:val="0"/>
        <w:keepLines w:val="0"/>
        <w:pageBreakBefore w:val="0"/>
        <w:widowControl w:val="0"/>
        <w:kinsoku/>
        <w:wordWrap/>
        <w:overflowPunct/>
        <w:topLinePunct w:val="0"/>
        <w:autoSpaceDE/>
        <w:autoSpaceDN/>
        <w:bidi w:val="0"/>
        <w:snapToGrid/>
        <w:spacing w:line="360" w:lineRule="auto"/>
        <w:ind w:firstLine="105" w:firstLineChars="50"/>
        <w:textAlignment w:val="auto"/>
        <w:outlineLvl w:val="1"/>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pPr>
        <w:pStyle w:val="6"/>
        <w:spacing w:after="240" w:afterLines="100"/>
        <w:ind w:firstLine="0"/>
        <w:jc w:val="center"/>
        <w:rPr>
          <w:rFonts w:hint="eastAsia" w:ascii="宋体" w:hAnsi="宋体" w:eastAsia="宋体" w:cs="宋体"/>
          <w:color w:val="auto"/>
          <w:sz w:val="32"/>
          <w:szCs w:val="32"/>
          <w:highlight w:val="none"/>
        </w:rPr>
      </w:pPr>
    </w:p>
    <w:p>
      <w:pPr>
        <w:pStyle w:val="6"/>
        <w:spacing w:after="240" w:afterLines="100"/>
        <w:ind w:firstLine="0"/>
        <w:jc w:val="center"/>
        <w:rPr>
          <w:rFonts w:hint="eastAsia" w:ascii="宋体" w:hAnsi="宋体" w:eastAsia="宋体" w:cs="宋体"/>
          <w:color w:val="auto"/>
          <w:sz w:val="32"/>
          <w:szCs w:val="32"/>
          <w:highlight w:val="none"/>
        </w:rPr>
      </w:pPr>
    </w:p>
    <w:p>
      <w:pPr>
        <w:spacing w:line="480" w:lineRule="atLeast"/>
        <w:jc w:val="both"/>
        <w:outlineLvl w:val="1"/>
        <w:rPr>
          <w:rFonts w:hint="eastAsia" w:ascii="宋体" w:hAnsi="宋体" w:eastAsia="宋体" w:cs="宋体"/>
          <w:b/>
          <w:bCs/>
          <w:sz w:val="30"/>
          <w:szCs w:val="30"/>
        </w:rPr>
      </w:pPr>
      <w:r>
        <w:rPr>
          <w:rFonts w:hint="eastAsia" w:ascii="宋体" w:hAnsi="宋体" w:eastAsia="宋体" w:cs="宋体"/>
          <w:b/>
          <w:bCs/>
          <w:sz w:val="30"/>
          <w:szCs w:val="30"/>
          <w:lang w:val="en-US" w:eastAsia="zh-CN"/>
        </w:rPr>
        <w:t>附</w:t>
      </w:r>
      <w:r>
        <w:rPr>
          <w:rFonts w:hint="eastAsia" w:ascii="宋体" w:hAnsi="宋体" w:cs="宋体"/>
          <w:b/>
          <w:bCs/>
          <w:sz w:val="30"/>
          <w:szCs w:val="30"/>
          <w:lang w:val="en-US" w:eastAsia="zh-CN"/>
        </w:rPr>
        <w:t>5</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 xml:space="preserve"> </w:t>
      </w:r>
    </w:p>
    <w:p>
      <w:pPr>
        <w:spacing w:line="480" w:lineRule="atLeast"/>
        <w:jc w:val="center"/>
        <w:outlineLvl w:val="1"/>
        <w:rPr>
          <w:rFonts w:hint="eastAsia" w:ascii="宋体" w:hAnsi="宋体" w:eastAsia="宋体" w:cs="宋体"/>
          <w:b/>
          <w:bCs/>
          <w:sz w:val="30"/>
          <w:szCs w:val="30"/>
        </w:rPr>
      </w:pPr>
      <w:r>
        <w:rPr>
          <w:rFonts w:hint="eastAsia" w:ascii="宋体" w:hAnsi="宋体" w:eastAsia="宋体" w:cs="宋体"/>
          <w:b/>
          <w:bCs/>
          <w:sz w:val="30"/>
          <w:szCs w:val="30"/>
        </w:rPr>
        <w:t>拟投入人员的汇总表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10"/>
        <w:gridCol w:w="894"/>
        <w:gridCol w:w="821"/>
        <w:gridCol w:w="1260"/>
        <w:gridCol w:w="1065"/>
        <w:gridCol w:w="166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10"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姓名</w:t>
            </w:r>
          </w:p>
        </w:tc>
        <w:tc>
          <w:tcPr>
            <w:tcW w:w="894"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性别</w:t>
            </w:r>
          </w:p>
        </w:tc>
        <w:tc>
          <w:tcPr>
            <w:tcW w:w="821"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年龄</w:t>
            </w:r>
          </w:p>
        </w:tc>
        <w:tc>
          <w:tcPr>
            <w:tcW w:w="1260"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工作年限</w:t>
            </w:r>
          </w:p>
        </w:tc>
        <w:tc>
          <w:tcPr>
            <w:tcW w:w="1065"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职称</w:t>
            </w:r>
          </w:p>
        </w:tc>
        <w:tc>
          <w:tcPr>
            <w:tcW w:w="1668"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资格证书</w:t>
            </w:r>
          </w:p>
        </w:tc>
        <w:tc>
          <w:tcPr>
            <w:tcW w:w="1706"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bl>
    <w:p>
      <w:pPr>
        <w:tabs>
          <w:tab w:val="left" w:leader="middleDot" w:pos="7920"/>
        </w:tabs>
        <w:rPr>
          <w:rFonts w:hint="eastAsia" w:ascii="宋体" w:hAnsi="宋体" w:eastAsia="宋体" w:cs="宋体"/>
          <w:b/>
          <w:sz w:val="24"/>
        </w:rPr>
      </w:pPr>
    </w:p>
    <w:p>
      <w:pPr>
        <w:spacing w:line="480" w:lineRule="atLeast"/>
        <w:jc w:val="center"/>
        <w:outlineLvl w:val="1"/>
        <w:rPr>
          <w:rFonts w:hint="eastAsia" w:ascii="宋体" w:hAnsi="宋体" w:eastAsia="宋体" w:cs="宋体"/>
          <w:b/>
          <w:bCs/>
          <w:sz w:val="30"/>
          <w:szCs w:val="30"/>
        </w:rPr>
      </w:pPr>
      <w:r>
        <w:rPr>
          <w:rFonts w:hint="eastAsia" w:ascii="宋体" w:hAnsi="宋体" w:eastAsia="宋体" w:cs="宋体"/>
          <w:b/>
          <w:sz w:val="24"/>
        </w:rPr>
        <w:t>注：该表后应附人员的身份证、职称证、试验检测资格证书, 公路水运工程水运检测管理信息系统人员查询截图</w:t>
      </w:r>
      <w:r>
        <w:rPr>
          <w:rFonts w:hint="eastAsia" w:ascii="宋体" w:hAnsi="宋体" w:eastAsia="宋体" w:cs="宋体"/>
          <w:b/>
          <w:bCs/>
          <w:sz w:val="30"/>
          <w:szCs w:val="30"/>
        </w:rPr>
        <w:t xml:space="preserve"> </w:t>
      </w:r>
    </w:p>
    <w:p>
      <w:pPr>
        <w:spacing w:line="480" w:lineRule="atLeast"/>
        <w:jc w:val="both"/>
        <w:outlineLvl w:val="1"/>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r>
        <w:rPr>
          <w:rFonts w:hint="eastAsia" w:ascii="宋体" w:hAnsi="宋体" w:eastAsia="宋体" w:cs="宋体"/>
          <w:b/>
          <w:bCs/>
          <w:sz w:val="30"/>
          <w:szCs w:val="30"/>
          <w:lang w:val="en-US" w:eastAsia="zh-CN"/>
        </w:rPr>
        <w:t>附</w:t>
      </w:r>
      <w:r>
        <w:rPr>
          <w:rFonts w:hint="eastAsia" w:ascii="宋体" w:hAnsi="宋体" w:cs="宋体"/>
          <w:b/>
          <w:bCs/>
          <w:sz w:val="30"/>
          <w:szCs w:val="30"/>
          <w:lang w:val="en-US" w:eastAsia="zh-CN"/>
        </w:rPr>
        <w:t>6</w:t>
      </w:r>
      <w:r>
        <w:rPr>
          <w:rFonts w:hint="eastAsia" w:ascii="宋体" w:hAnsi="宋体" w:eastAsia="宋体" w:cs="宋体"/>
          <w:b/>
          <w:bCs/>
          <w:sz w:val="30"/>
          <w:szCs w:val="30"/>
          <w:lang w:val="en-US" w:eastAsia="zh-CN"/>
        </w:rPr>
        <w:t>：</w:t>
      </w:r>
    </w:p>
    <w:p>
      <w:pPr>
        <w:spacing w:line="480" w:lineRule="atLeast"/>
        <w:jc w:val="center"/>
        <w:outlineLvl w:val="1"/>
        <w:rPr>
          <w:rFonts w:hint="eastAsia" w:ascii="宋体" w:hAnsi="宋体" w:eastAsia="宋体" w:cs="宋体"/>
          <w:b/>
          <w:bCs/>
          <w:sz w:val="30"/>
          <w:szCs w:val="30"/>
        </w:rPr>
      </w:pPr>
      <w:r>
        <w:rPr>
          <w:rFonts w:hint="eastAsia" w:ascii="宋体" w:hAnsi="宋体" w:eastAsia="宋体" w:cs="宋体"/>
          <w:b/>
          <w:bCs/>
          <w:sz w:val="30"/>
          <w:szCs w:val="30"/>
        </w:rPr>
        <w:t>具备履行合同所必需的设备和专业技术能力承诺书</w:t>
      </w:r>
    </w:p>
    <w:p>
      <w:pPr>
        <w:spacing w:line="440" w:lineRule="exact"/>
        <w:ind w:left="720" w:right="535" w:rightChars="255" w:hanging="720" w:hangingChars="300"/>
        <w:jc w:val="center"/>
        <w:rPr>
          <w:rFonts w:hint="eastAsia" w:ascii="宋体" w:hAnsi="宋体" w:eastAsia="宋体" w:cs="宋体"/>
          <w:sz w:val="24"/>
        </w:rPr>
      </w:pPr>
    </w:p>
    <w:p>
      <w:pPr>
        <w:spacing w:line="440" w:lineRule="exact"/>
        <w:ind w:right="-38" w:rightChars="-18"/>
        <w:rPr>
          <w:rFonts w:hint="default" w:ascii="宋体" w:hAnsi="宋体" w:eastAsia="宋体" w:cs="宋体"/>
          <w:color w:val="000000"/>
          <w:sz w:val="24"/>
          <w:szCs w:val="22"/>
          <w:u w:val="single"/>
          <w:lang w:val="en-US"/>
        </w:rPr>
      </w:pPr>
      <w:r>
        <w:rPr>
          <w:rFonts w:hint="eastAsia" w:ascii="宋体" w:hAnsi="宋体" w:eastAsia="宋体" w:cs="宋体"/>
          <w:color w:val="000000"/>
          <w:sz w:val="24"/>
          <w:szCs w:val="22"/>
        </w:rPr>
        <w:t>致：</w:t>
      </w:r>
      <w:r>
        <w:rPr>
          <w:rFonts w:hint="eastAsia" w:ascii="宋体" w:hAnsi="宋体" w:eastAsia="宋体" w:cs="宋体"/>
          <w:color w:val="000000"/>
          <w:sz w:val="24"/>
          <w:szCs w:val="22"/>
          <w:u w:val="single"/>
          <w:lang w:eastAsia="zh-CN"/>
        </w:rPr>
        <w:t>采购人</w:t>
      </w:r>
      <w:r>
        <w:rPr>
          <w:rFonts w:hint="eastAsia" w:ascii="宋体" w:hAnsi="宋体" w:eastAsia="宋体" w:cs="宋体"/>
          <w:color w:val="000000"/>
          <w:sz w:val="24"/>
          <w:szCs w:val="22"/>
          <w:u w:val="single"/>
          <w:lang w:val="en-US" w:eastAsia="zh-CN"/>
        </w:rPr>
        <w:t xml:space="preserve">       </w:t>
      </w:r>
    </w:p>
    <w:p>
      <w:pPr>
        <w:spacing w:line="440" w:lineRule="exact"/>
        <w:ind w:right="-38" w:rightChars="-18" w:firstLine="480" w:firstLineChars="200"/>
        <w:rPr>
          <w:rFonts w:hint="eastAsia" w:ascii="宋体" w:hAnsi="宋体" w:eastAsia="宋体" w:cs="宋体"/>
          <w:b/>
          <w:sz w:val="24"/>
        </w:rPr>
      </w:pPr>
      <w:r>
        <w:rPr>
          <w:rFonts w:hint="eastAsia" w:ascii="宋体" w:hAnsi="宋体" w:eastAsia="宋体" w:cs="宋体"/>
          <w:sz w:val="24"/>
        </w:rPr>
        <w:t>在研究了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sz w:val="24"/>
        </w:rPr>
        <w:t>，并结合我方实际情况，对拟投入的人员及设施设备做出如下承诺。</w:t>
      </w:r>
    </w:p>
    <w:p>
      <w:pPr>
        <w:spacing w:line="440" w:lineRule="exact"/>
        <w:ind w:right="-38" w:rightChars="-18" w:firstLine="480" w:firstLineChars="200"/>
        <w:rPr>
          <w:rFonts w:hint="eastAsia" w:ascii="宋体" w:hAnsi="宋体" w:eastAsia="宋体" w:cs="宋体"/>
          <w:sz w:val="24"/>
        </w:rPr>
      </w:pPr>
      <w:r>
        <w:rPr>
          <w:rFonts w:hint="eastAsia" w:ascii="宋体" w:hAnsi="宋体" w:eastAsia="宋体" w:cs="宋体"/>
          <w:sz w:val="24"/>
        </w:rPr>
        <w:t>我方承诺：如果我方</w:t>
      </w:r>
      <w:r>
        <w:rPr>
          <w:rFonts w:hint="eastAsia" w:ascii="宋体" w:hAnsi="宋体" w:eastAsia="宋体" w:cs="宋体"/>
          <w:sz w:val="24"/>
          <w:u w:val="single"/>
        </w:rPr>
        <w:t xml:space="preserve">           (供应商名称)</w:t>
      </w:r>
      <w:r>
        <w:rPr>
          <w:rFonts w:hint="eastAsia" w:ascii="宋体" w:hAnsi="宋体" w:eastAsia="宋体" w:cs="宋体"/>
          <w:sz w:val="24"/>
        </w:rPr>
        <w:t>中标，在</w:t>
      </w:r>
      <w:r>
        <w:rPr>
          <w:rFonts w:hint="eastAsia" w:ascii="宋体" w:hAnsi="宋体" w:eastAsia="宋体" w:cs="宋体"/>
          <w:sz w:val="24"/>
          <w:szCs w:val="22"/>
          <w:lang w:eastAsia="zh-CN"/>
        </w:rPr>
        <w:t>陕西省交通运输工程质量监测鉴定站</w:t>
      </w:r>
      <w:r>
        <w:rPr>
          <w:rFonts w:hint="eastAsia" w:ascii="宋体" w:hAnsi="宋体" w:eastAsia="宋体" w:cs="宋体"/>
          <w:sz w:val="24"/>
          <w:szCs w:val="22"/>
          <w:u w:val="single"/>
        </w:rPr>
        <w:t xml:space="preserve">             </w:t>
      </w:r>
      <w:r>
        <w:rPr>
          <w:rFonts w:hint="eastAsia" w:ascii="宋体" w:hAnsi="宋体" w:eastAsia="宋体" w:cs="宋体"/>
          <w:sz w:val="24"/>
          <w:szCs w:val="22"/>
        </w:rPr>
        <w:t>项目</w:t>
      </w:r>
      <w:r>
        <w:rPr>
          <w:rFonts w:hint="eastAsia" w:ascii="宋体" w:hAnsi="宋体" w:eastAsia="宋体" w:cs="宋体"/>
          <w:sz w:val="24"/>
        </w:rPr>
        <w:t>的实施过程中</w:t>
      </w:r>
      <w:r>
        <w:rPr>
          <w:rFonts w:hint="eastAsia" w:ascii="宋体" w:hAnsi="宋体" w:eastAsia="宋体" w:cs="宋体"/>
          <w:sz w:val="24"/>
          <w:u w:val="single"/>
        </w:rPr>
        <w:t xml:space="preserve">     (能/不能) </w:t>
      </w:r>
      <w:r>
        <w:rPr>
          <w:rFonts w:hint="eastAsia" w:ascii="宋体" w:hAnsi="宋体" w:eastAsia="宋体" w:cs="宋体"/>
          <w:sz w:val="24"/>
        </w:rPr>
        <w:t>严格按照《</w:t>
      </w:r>
      <w:r>
        <w:rPr>
          <w:rFonts w:hint="eastAsia" w:ascii="宋体" w:hAnsi="宋体" w:eastAsia="宋体" w:cs="宋体"/>
          <w:sz w:val="24"/>
          <w:lang w:val="en-US" w:eastAsia="zh-CN"/>
        </w:rPr>
        <w:t>磋商</w:t>
      </w:r>
      <w:r>
        <w:rPr>
          <w:rFonts w:hint="eastAsia" w:ascii="宋体" w:hAnsi="宋体" w:eastAsia="宋体" w:cs="宋体"/>
          <w:sz w:val="24"/>
        </w:rPr>
        <w:t>文件》及合同条款的约定和要求及时配备人员及设施设备。同时，在项目实施阶段，若投入的人员及设施设备不能满足实际工作需要时，我方将无条件按照发包人的要求予以增加。</w:t>
      </w:r>
    </w:p>
    <w:p>
      <w:pPr>
        <w:spacing w:line="440" w:lineRule="exact"/>
        <w:ind w:right="535" w:rightChars="255" w:firstLine="480" w:firstLineChars="200"/>
        <w:rPr>
          <w:rFonts w:hint="eastAsia" w:ascii="宋体" w:hAnsi="宋体" w:eastAsia="宋体" w:cs="宋体"/>
          <w:sz w:val="24"/>
        </w:rPr>
      </w:pPr>
    </w:p>
    <w:p>
      <w:pPr>
        <w:pStyle w:val="6"/>
        <w:ind w:firstLine="0"/>
        <w:jc w:val="center"/>
        <w:rPr>
          <w:rFonts w:hint="eastAsia" w:ascii="宋体" w:hAnsi="宋体" w:eastAsia="宋体" w:cs="宋体"/>
          <w:color w:val="auto"/>
          <w:sz w:val="36"/>
          <w:szCs w:val="36"/>
          <w:highlight w:val="none"/>
        </w:rPr>
      </w:pPr>
    </w:p>
    <w:p>
      <w:pPr>
        <w:pStyle w:val="6"/>
        <w:ind w:firstLine="0"/>
        <w:jc w:val="center"/>
        <w:rPr>
          <w:rFonts w:hint="eastAsia" w:ascii="宋体" w:hAnsi="宋体" w:eastAsia="宋体" w:cs="宋体"/>
          <w:color w:val="auto"/>
          <w:sz w:val="36"/>
          <w:szCs w:val="36"/>
          <w:highlight w:val="none"/>
        </w:rPr>
      </w:pPr>
    </w:p>
    <w:p>
      <w:pPr>
        <w:pStyle w:val="6"/>
        <w:ind w:firstLine="0"/>
        <w:jc w:val="center"/>
        <w:rPr>
          <w:rFonts w:hint="eastAsia" w:ascii="宋体" w:hAnsi="宋体" w:eastAsia="宋体" w:cs="宋体"/>
          <w:color w:val="auto"/>
          <w:sz w:val="36"/>
          <w:szCs w:val="36"/>
          <w:highlight w:val="none"/>
        </w:rPr>
      </w:pPr>
    </w:p>
    <w:p>
      <w:pPr>
        <w:pStyle w:val="6"/>
        <w:ind w:firstLine="0"/>
        <w:jc w:val="center"/>
        <w:rPr>
          <w:rFonts w:hint="eastAsia" w:ascii="宋体" w:hAnsi="宋体" w:eastAsia="宋体" w:cs="宋体"/>
          <w:color w:val="auto"/>
          <w:sz w:val="36"/>
          <w:szCs w:val="36"/>
          <w:highlight w:val="none"/>
        </w:rPr>
      </w:pPr>
    </w:p>
    <w:p>
      <w:pPr>
        <w:pStyle w:val="6"/>
        <w:ind w:firstLine="0"/>
        <w:jc w:val="center"/>
        <w:rPr>
          <w:rFonts w:hint="eastAsia" w:ascii="宋体" w:hAnsi="宋体" w:eastAsia="宋体" w:cs="宋体"/>
          <w:color w:val="auto"/>
          <w:sz w:val="36"/>
          <w:szCs w:val="36"/>
          <w:highlight w:val="none"/>
        </w:rPr>
      </w:pPr>
    </w:p>
    <w:p>
      <w:pPr>
        <w:adjustRightInd w:val="0"/>
        <w:snapToGrid w:val="0"/>
        <w:spacing w:before="480" w:beforeLines="200" w:line="360" w:lineRule="auto"/>
        <w:ind w:firstLine="2354" w:firstLineChars="98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tabs>
          <w:tab w:val="left" w:pos="3600"/>
        </w:tabs>
        <w:adjustRightInd w:val="0"/>
        <w:snapToGrid w:val="0"/>
        <w:spacing w:before="240" w:beforeLines="10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1</w:t>
      </w:r>
      <w:r>
        <w:rPr>
          <w:rFonts w:hint="eastAsia" w:ascii="宋体" w:hAnsi="宋体" w:cs="宋体"/>
          <w:color w:val="auto"/>
          <w:sz w:val="36"/>
          <w:szCs w:val="36"/>
          <w:highlight w:val="none"/>
          <w:lang w:val="en-US" w:eastAsia="zh-CN"/>
        </w:rPr>
        <w:t>4</w:t>
      </w:r>
      <w:r>
        <w:rPr>
          <w:rFonts w:hint="eastAsia" w:ascii="宋体" w:hAnsi="宋体" w:eastAsia="宋体" w:cs="宋体"/>
          <w:color w:val="auto"/>
          <w:sz w:val="36"/>
          <w:szCs w:val="36"/>
          <w:highlight w:val="none"/>
          <w:lang w:val="en-US" w:eastAsia="zh-CN"/>
        </w:rPr>
        <w:t>.</w:t>
      </w:r>
      <w:r>
        <w:rPr>
          <w:rFonts w:hint="eastAsia" w:ascii="宋体" w:hAnsi="宋体" w:eastAsia="宋体" w:cs="宋体"/>
          <w:color w:val="auto"/>
          <w:sz w:val="36"/>
          <w:szCs w:val="36"/>
          <w:highlight w:val="none"/>
        </w:rPr>
        <w:t>享受政府采购优惠政策的证明材料</w:t>
      </w:r>
    </w:p>
    <w:p>
      <w:pPr>
        <w:adjustRightInd w:val="0"/>
        <w:snapToGrid w:val="0"/>
        <w:spacing w:line="360" w:lineRule="auto"/>
        <w:rPr>
          <w:rFonts w:hint="eastAsia" w:ascii="宋体" w:hAnsi="宋体" w:eastAsia="宋体" w:cs="宋体"/>
          <w:bCs/>
          <w:color w:val="auto"/>
          <w:szCs w:val="21"/>
          <w:highlight w:val="none"/>
        </w:rPr>
      </w:pPr>
    </w:p>
    <w:p>
      <w:pPr>
        <w:pStyle w:val="18"/>
        <w:adjustRightInd w:val="0"/>
        <w:snapToGrid w:val="0"/>
        <w:spacing w:line="360" w:lineRule="auto"/>
        <w:ind w:firstLine="540" w:firstLineChars="15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1.中小企业声明函</w:t>
      </w:r>
    </w:p>
    <w:p>
      <w:pPr>
        <w:spacing w:before="480" w:beforeLines="200"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采 购 人 名 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 目 名 称</w:t>
      </w:r>
      <w:r>
        <w:rPr>
          <w:rFonts w:hint="eastAsia" w:ascii="宋体" w:hAnsi="宋体" w:eastAsia="宋体" w:cs="宋体"/>
          <w:color w:val="auto"/>
          <w:spacing w:val="6"/>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504" w:firstLineChars="200"/>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1.(</w:t>
      </w:r>
      <w:r>
        <w:rPr>
          <w:rFonts w:hint="eastAsia" w:ascii="宋体" w:hAnsi="宋体" w:eastAsia="宋体" w:cs="宋体"/>
          <w:b w:val="0"/>
          <w:bCs w:val="0"/>
          <w:color w:val="auto"/>
          <w:spacing w:val="6"/>
          <w:sz w:val="24"/>
          <w:szCs w:val="24"/>
          <w:highlight w:val="none"/>
          <w:u w:val="single"/>
        </w:rPr>
        <w:t>标的名称</w:t>
      </w:r>
      <w:r>
        <w:rPr>
          <w:rFonts w:hint="eastAsia" w:ascii="宋体" w:hAnsi="宋体" w:eastAsia="宋体" w:cs="宋体"/>
          <w:b w:val="0"/>
          <w:bCs w:val="0"/>
          <w:color w:val="auto"/>
          <w:spacing w:val="6"/>
          <w:sz w:val="24"/>
          <w:szCs w:val="24"/>
          <w:highlight w:val="none"/>
        </w:rPr>
        <w:t>) ，属于(</w:t>
      </w:r>
      <w:r>
        <w:rPr>
          <w:rFonts w:hint="eastAsia" w:ascii="宋体" w:hAnsi="宋体" w:eastAsia="宋体" w:cs="宋体"/>
          <w:b w:val="0"/>
          <w:bCs w:val="0"/>
          <w:color w:val="auto"/>
          <w:spacing w:val="6"/>
          <w:sz w:val="24"/>
          <w:szCs w:val="24"/>
          <w:highlight w:val="none"/>
          <w:u w:val="single"/>
        </w:rPr>
        <w:t>采购文件中明确的所属行业</w:t>
      </w:r>
      <w:r>
        <w:rPr>
          <w:rFonts w:hint="eastAsia" w:ascii="宋体" w:hAnsi="宋体" w:eastAsia="宋体" w:cs="宋体"/>
          <w:b w:val="0"/>
          <w:bCs w:val="0"/>
          <w:color w:val="auto"/>
          <w:spacing w:val="6"/>
          <w:sz w:val="24"/>
          <w:szCs w:val="24"/>
          <w:highlight w:val="none"/>
        </w:rPr>
        <w:t>);承接企业为(</w:t>
      </w:r>
      <w:r>
        <w:rPr>
          <w:rFonts w:hint="eastAsia" w:ascii="宋体" w:hAnsi="宋体" w:eastAsia="宋体" w:cs="宋体"/>
          <w:b w:val="0"/>
          <w:bCs w:val="0"/>
          <w:color w:val="auto"/>
          <w:spacing w:val="6"/>
          <w:sz w:val="24"/>
          <w:szCs w:val="24"/>
          <w:highlight w:val="none"/>
          <w:u w:val="single"/>
        </w:rPr>
        <w:t>企业名称</w:t>
      </w:r>
      <w:r>
        <w:rPr>
          <w:rFonts w:hint="eastAsia" w:ascii="宋体" w:hAnsi="宋体" w:eastAsia="宋体" w:cs="宋体"/>
          <w:b w:val="0"/>
          <w:bCs w:val="0"/>
          <w:color w:val="auto"/>
          <w:spacing w:val="6"/>
          <w:sz w:val="24"/>
          <w:szCs w:val="24"/>
          <w:highlight w:val="none"/>
        </w:rPr>
        <w:t>)，从业人员</w:t>
      </w:r>
      <w:r>
        <w:rPr>
          <w:rFonts w:hint="eastAsia" w:ascii="宋体" w:hAnsi="宋体" w:eastAsia="宋体" w:cs="宋体"/>
          <w:b w:val="0"/>
          <w:bCs w:val="0"/>
          <w:color w:val="auto"/>
          <w:spacing w:val="6"/>
          <w:sz w:val="24"/>
          <w:szCs w:val="24"/>
          <w:highlight w:val="none"/>
          <w:u w:val="single"/>
        </w:rPr>
        <w:t xml:space="preserve">     </w:t>
      </w:r>
      <w:r>
        <w:rPr>
          <w:rFonts w:hint="eastAsia" w:ascii="宋体" w:hAnsi="宋体" w:eastAsia="宋体" w:cs="宋体"/>
          <w:b w:val="0"/>
          <w:bCs w:val="0"/>
          <w:color w:val="auto"/>
          <w:spacing w:val="6"/>
          <w:sz w:val="24"/>
          <w:szCs w:val="24"/>
          <w:highlight w:val="none"/>
        </w:rPr>
        <w:t>人，营业收入为</w:t>
      </w:r>
      <w:r>
        <w:rPr>
          <w:rFonts w:hint="eastAsia" w:ascii="宋体" w:hAnsi="宋体" w:eastAsia="宋体" w:cs="宋体"/>
          <w:b w:val="0"/>
          <w:bCs w:val="0"/>
          <w:color w:val="auto"/>
          <w:spacing w:val="6"/>
          <w:sz w:val="24"/>
          <w:szCs w:val="24"/>
          <w:highlight w:val="none"/>
          <w:u w:val="single"/>
        </w:rPr>
        <w:t xml:space="preserve">          </w:t>
      </w:r>
      <w:r>
        <w:rPr>
          <w:rFonts w:hint="eastAsia" w:ascii="宋体" w:hAnsi="宋体" w:eastAsia="宋体" w:cs="宋体"/>
          <w:b w:val="0"/>
          <w:bCs w:val="0"/>
          <w:color w:val="auto"/>
          <w:spacing w:val="6"/>
          <w:sz w:val="24"/>
          <w:szCs w:val="24"/>
          <w:highlight w:val="none"/>
        </w:rPr>
        <w:t>万元，资产总额为</w:t>
      </w:r>
      <w:r>
        <w:rPr>
          <w:rFonts w:hint="eastAsia" w:ascii="宋体" w:hAnsi="宋体" w:eastAsia="宋体" w:cs="宋体"/>
          <w:b w:val="0"/>
          <w:bCs w:val="0"/>
          <w:color w:val="auto"/>
          <w:spacing w:val="6"/>
          <w:sz w:val="24"/>
          <w:szCs w:val="24"/>
          <w:highlight w:val="none"/>
          <w:u w:val="single"/>
        </w:rPr>
        <w:t xml:space="preserve">         </w:t>
      </w:r>
      <w:r>
        <w:rPr>
          <w:rFonts w:hint="eastAsia" w:ascii="宋体" w:hAnsi="宋体" w:eastAsia="宋体" w:cs="宋体"/>
          <w:b w:val="0"/>
          <w:bCs w:val="0"/>
          <w:color w:val="auto"/>
          <w:spacing w:val="6"/>
          <w:sz w:val="24"/>
          <w:szCs w:val="24"/>
          <w:highlight w:val="none"/>
        </w:rPr>
        <w:t>万元，属于(中型企业、小型企业、微型企业);</w:t>
      </w:r>
    </w:p>
    <w:p>
      <w:pPr>
        <w:pStyle w:val="160"/>
        <w:snapToGrid w:val="0"/>
        <w:spacing w:line="360" w:lineRule="auto"/>
        <w:ind w:firstLine="504" w:firstLineChars="200"/>
        <w:jc w:val="both"/>
        <w:rPr>
          <w:rFonts w:hint="eastAsia" w:ascii="宋体" w:hAnsi="宋体" w:eastAsia="宋体" w:cs="宋体"/>
          <w:b w:val="0"/>
          <w:bCs w:val="0"/>
          <w:sz w:val="24"/>
          <w:szCs w:val="24"/>
          <w:lang w:val="zh-CN"/>
        </w:rPr>
      </w:pPr>
      <w:r>
        <w:rPr>
          <w:rFonts w:hint="eastAsia" w:ascii="宋体" w:hAnsi="宋体" w:eastAsia="宋体" w:cs="宋体"/>
          <w:b w:val="0"/>
          <w:bCs w:val="0"/>
          <w:color w:val="auto"/>
          <w:spacing w:val="6"/>
          <w:sz w:val="24"/>
          <w:szCs w:val="24"/>
          <w:highlight w:val="none"/>
        </w:rPr>
        <w:t>2.(</w:t>
      </w:r>
      <w:r>
        <w:rPr>
          <w:rFonts w:hint="eastAsia" w:ascii="宋体" w:hAnsi="宋体" w:eastAsia="宋体" w:cs="宋体"/>
          <w:b w:val="0"/>
          <w:bCs w:val="0"/>
          <w:color w:val="auto"/>
          <w:spacing w:val="6"/>
          <w:sz w:val="24"/>
          <w:szCs w:val="24"/>
          <w:highlight w:val="none"/>
          <w:u w:val="single"/>
        </w:rPr>
        <w:t>标的名称</w:t>
      </w:r>
      <w:r>
        <w:rPr>
          <w:rFonts w:hint="eastAsia" w:ascii="宋体" w:hAnsi="宋体" w:eastAsia="宋体" w:cs="宋体"/>
          <w:b w:val="0"/>
          <w:bCs w:val="0"/>
          <w:color w:val="auto"/>
          <w:spacing w:val="6"/>
          <w:sz w:val="24"/>
          <w:szCs w:val="24"/>
          <w:highlight w:val="none"/>
        </w:rPr>
        <w:t>) ，属于(</w:t>
      </w:r>
      <w:r>
        <w:rPr>
          <w:rFonts w:hint="eastAsia" w:ascii="宋体" w:hAnsi="宋体" w:eastAsia="宋体" w:cs="宋体"/>
          <w:b w:val="0"/>
          <w:bCs w:val="0"/>
          <w:color w:val="auto"/>
          <w:spacing w:val="6"/>
          <w:sz w:val="24"/>
          <w:szCs w:val="24"/>
          <w:highlight w:val="none"/>
          <w:u w:val="single"/>
        </w:rPr>
        <w:t>采购文件中明确的所属行业</w:t>
      </w:r>
      <w:r>
        <w:rPr>
          <w:rFonts w:hint="eastAsia" w:ascii="宋体" w:hAnsi="宋体" w:eastAsia="宋体" w:cs="宋体"/>
          <w:b w:val="0"/>
          <w:bCs w:val="0"/>
          <w:color w:val="auto"/>
          <w:spacing w:val="6"/>
          <w:sz w:val="24"/>
          <w:szCs w:val="24"/>
          <w:highlight w:val="none"/>
        </w:rPr>
        <w:t>);承接企业为(</w:t>
      </w:r>
      <w:r>
        <w:rPr>
          <w:rFonts w:hint="eastAsia" w:ascii="宋体" w:hAnsi="宋体" w:eastAsia="宋体" w:cs="宋体"/>
          <w:b w:val="0"/>
          <w:bCs w:val="0"/>
          <w:color w:val="auto"/>
          <w:spacing w:val="6"/>
          <w:sz w:val="24"/>
          <w:szCs w:val="24"/>
          <w:highlight w:val="none"/>
          <w:u w:val="single"/>
        </w:rPr>
        <w:t>企业名称</w:t>
      </w:r>
      <w:r>
        <w:rPr>
          <w:rFonts w:hint="eastAsia" w:ascii="宋体" w:hAnsi="宋体" w:eastAsia="宋体" w:cs="宋体"/>
          <w:b w:val="0"/>
          <w:bCs w:val="0"/>
          <w:color w:val="auto"/>
          <w:spacing w:val="6"/>
          <w:sz w:val="24"/>
          <w:szCs w:val="24"/>
          <w:highlight w:val="none"/>
        </w:rPr>
        <w:t>)，从业人员</w:t>
      </w:r>
      <w:r>
        <w:rPr>
          <w:rFonts w:hint="eastAsia" w:ascii="宋体" w:hAnsi="宋体" w:eastAsia="宋体" w:cs="宋体"/>
          <w:b w:val="0"/>
          <w:bCs w:val="0"/>
          <w:color w:val="auto"/>
          <w:spacing w:val="6"/>
          <w:sz w:val="24"/>
          <w:szCs w:val="24"/>
          <w:highlight w:val="none"/>
          <w:u w:val="single"/>
        </w:rPr>
        <w:t xml:space="preserve">     </w:t>
      </w:r>
      <w:r>
        <w:rPr>
          <w:rFonts w:hint="eastAsia" w:ascii="宋体" w:hAnsi="宋体" w:eastAsia="宋体" w:cs="宋体"/>
          <w:b w:val="0"/>
          <w:bCs w:val="0"/>
          <w:color w:val="auto"/>
          <w:spacing w:val="6"/>
          <w:sz w:val="24"/>
          <w:szCs w:val="24"/>
          <w:highlight w:val="none"/>
        </w:rPr>
        <w:t>人，营业收入为</w:t>
      </w:r>
      <w:r>
        <w:rPr>
          <w:rFonts w:hint="eastAsia" w:ascii="宋体" w:hAnsi="宋体" w:eastAsia="宋体" w:cs="宋体"/>
          <w:b w:val="0"/>
          <w:bCs w:val="0"/>
          <w:color w:val="auto"/>
          <w:spacing w:val="6"/>
          <w:sz w:val="24"/>
          <w:szCs w:val="24"/>
          <w:highlight w:val="none"/>
          <w:u w:val="single"/>
        </w:rPr>
        <w:t xml:space="preserve">          </w:t>
      </w:r>
      <w:r>
        <w:rPr>
          <w:rFonts w:hint="eastAsia" w:ascii="宋体" w:hAnsi="宋体" w:eastAsia="宋体" w:cs="宋体"/>
          <w:b w:val="0"/>
          <w:bCs w:val="0"/>
          <w:color w:val="auto"/>
          <w:spacing w:val="6"/>
          <w:sz w:val="24"/>
          <w:szCs w:val="24"/>
          <w:highlight w:val="none"/>
        </w:rPr>
        <w:t>万元，资产总额为</w:t>
      </w:r>
      <w:r>
        <w:rPr>
          <w:rFonts w:hint="eastAsia" w:ascii="宋体" w:hAnsi="宋体" w:eastAsia="宋体" w:cs="宋体"/>
          <w:b w:val="0"/>
          <w:bCs w:val="0"/>
          <w:color w:val="auto"/>
          <w:spacing w:val="6"/>
          <w:sz w:val="24"/>
          <w:szCs w:val="24"/>
          <w:highlight w:val="none"/>
          <w:u w:val="single"/>
        </w:rPr>
        <w:t xml:space="preserve">         </w:t>
      </w:r>
      <w:r>
        <w:rPr>
          <w:rFonts w:hint="eastAsia" w:ascii="宋体" w:hAnsi="宋体" w:eastAsia="宋体" w:cs="宋体"/>
          <w:b w:val="0"/>
          <w:bCs w:val="0"/>
          <w:color w:val="auto"/>
          <w:spacing w:val="6"/>
          <w:sz w:val="24"/>
          <w:szCs w:val="24"/>
          <w:highlight w:val="none"/>
        </w:rPr>
        <w:t>万元，属于(中型企业、小型企业、微型企业);</w:t>
      </w:r>
    </w:p>
    <w:p>
      <w:pPr>
        <w:pStyle w:val="160"/>
        <w:snapToGrid w:val="0"/>
        <w:spacing w:line="360" w:lineRule="auto"/>
        <w:ind w:firstLine="960" w:firstLineChars="400"/>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w:t>
      </w:r>
    </w:p>
    <w:p>
      <w:pPr>
        <w:pStyle w:val="160"/>
        <w:snapToGrid w:val="0"/>
        <w:spacing w:line="360" w:lineRule="auto"/>
        <w:ind w:firstLine="480" w:firstLineChars="200"/>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以上企业，不属于大企业的分支机构，不存在控股股东为大企业的情形，也不存在与大企业的负责人为同一人的情形。</w:t>
      </w:r>
    </w:p>
    <w:p>
      <w:pPr>
        <w:pStyle w:val="160"/>
        <w:snapToGrid w:val="0"/>
        <w:spacing w:line="360" w:lineRule="auto"/>
        <w:ind w:left="0" w:leftChars="0" w:firstLine="420" w:firstLineChars="175"/>
        <w:jc w:val="both"/>
        <w:rPr>
          <w:rFonts w:hint="eastAsia" w:ascii="宋体" w:hAnsi="宋体" w:eastAsia="宋体" w:cs="宋体"/>
          <w:b w:val="0"/>
          <w:sz w:val="24"/>
          <w:szCs w:val="24"/>
          <w:lang w:val="zh-CN"/>
        </w:rPr>
      </w:pPr>
    </w:p>
    <w:p>
      <w:pPr>
        <w:pStyle w:val="160"/>
        <w:snapToGrid w:val="0"/>
        <w:spacing w:line="360" w:lineRule="auto"/>
        <w:ind w:left="0" w:leftChars="0" w:firstLine="420" w:firstLineChars="175"/>
        <w:jc w:val="both"/>
        <w:rPr>
          <w:rFonts w:hint="eastAsia" w:ascii="宋体" w:hAnsi="宋体" w:eastAsia="宋体" w:cs="宋体"/>
          <w:b w:val="0"/>
          <w:sz w:val="24"/>
          <w:szCs w:val="24"/>
          <w:lang w:val="zh-CN"/>
        </w:rPr>
      </w:pPr>
    </w:p>
    <w:p>
      <w:pPr>
        <w:pStyle w:val="160"/>
        <w:snapToGrid w:val="0"/>
        <w:spacing w:line="360" w:lineRule="auto"/>
        <w:ind w:left="0" w:leftChars="0" w:firstLine="420" w:firstLineChars="175"/>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本企业对上述声明内容的真实性负责，如有虚假，将依法承担一切后果及相应责任。（政府采购法规定：投标人提供虚假材料谋求中标、成交，应处以采购金额千分之五以上千分之十以下的罚款，列入不良行为记录名单，在一至三年内禁止参加政府采购活动。）</w:t>
      </w:r>
    </w:p>
    <w:p>
      <w:pPr>
        <w:pStyle w:val="160"/>
        <w:snapToGrid w:val="0"/>
        <w:spacing w:line="360" w:lineRule="auto"/>
        <w:ind w:left="0" w:leftChars="0" w:firstLine="420" w:firstLineChars="175"/>
        <w:jc w:val="both"/>
        <w:rPr>
          <w:rFonts w:hint="eastAsia" w:ascii="宋体" w:hAnsi="宋体" w:eastAsia="宋体" w:cs="宋体"/>
          <w:b w:val="0"/>
          <w:sz w:val="24"/>
          <w:szCs w:val="24"/>
          <w:lang w:val="zh-CN"/>
        </w:rPr>
      </w:pPr>
    </w:p>
    <w:p>
      <w:pPr>
        <w:pStyle w:val="160"/>
        <w:snapToGrid w:val="0"/>
        <w:spacing w:line="360" w:lineRule="auto"/>
        <w:ind w:left="0" w:leftChars="0" w:firstLine="420" w:firstLineChars="175"/>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企业名称（盖章）：</w:t>
      </w:r>
    </w:p>
    <w:p>
      <w:pPr>
        <w:pStyle w:val="160"/>
        <w:snapToGrid w:val="0"/>
        <w:spacing w:line="360" w:lineRule="auto"/>
        <w:ind w:left="0" w:leftChars="0" w:firstLine="420" w:firstLineChars="175"/>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日期：</w:t>
      </w:r>
    </w:p>
    <w:p>
      <w:pPr>
        <w:pStyle w:val="18"/>
        <w:adjustRightInd w:val="0"/>
        <w:snapToGrid w:val="0"/>
        <w:spacing w:line="360" w:lineRule="auto"/>
        <w:rPr>
          <w:rFonts w:hint="eastAsia" w:ascii="宋体" w:hAnsi="宋体" w:eastAsia="宋体" w:cs="宋体"/>
          <w:color w:val="auto"/>
          <w:highlight w:val="none"/>
        </w:rPr>
      </w:pPr>
    </w:p>
    <w:p>
      <w:pPr>
        <w:pStyle w:val="18"/>
        <w:adjustRightInd w:val="0"/>
        <w:snapToGrid w:val="0"/>
        <w:spacing w:line="360" w:lineRule="auto"/>
        <w:rPr>
          <w:rFonts w:hint="eastAsia" w:ascii="宋体" w:hAnsi="宋体" w:eastAsia="宋体" w:cs="宋体"/>
          <w:color w:val="auto"/>
          <w:highlight w:val="none"/>
        </w:rPr>
      </w:pPr>
    </w:p>
    <w:p>
      <w:pPr>
        <w:pStyle w:val="18"/>
        <w:adjustRightInd w:val="0"/>
        <w:snapToGrid w:val="0"/>
        <w:spacing w:line="360" w:lineRule="auto"/>
        <w:rPr>
          <w:rFonts w:hint="eastAsia" w:ascii="宋体" w:hAnsi="宋体" w:eastAsia="宋体" w:cs="宋体"/>
          <w:color w:val="auto"/>
          <w:highlight w:val="none"/>
        </w:rPr>
      </w:pPr>
    </w:p>
    <w:p>
      <w:pPr>
        <w:rPr>
          <w:rFonts w:hint="eastAsia" w:ascii="宋体" w:hAnsi="宋体" w:eastAsia="宋体" w:cs="宋体"/>
          <w:color w:val="auto"/>
          <w:spacing w:val="15"/>
          <w:sz w:val="18"/>
          <w:szCs w:val="18"/>
          <w:highlight w:val="none"/>
          <w:shd w:val="clear" w:color="auto" w:fill="FFFFFF"/>
        </w:rPr>
      </w:pPr>
      <w:r>
        <w:rPr>
          <w:rFonts w:hint="eastAsia" w:ascii="宋体" w:hAnsi="宋体" w:eastAsia="宋体" w:cs="宋体"/>
          <w:color w:val="auto"/>
          <w:spacing w:val="6"/>
          <w:szCs w:val="21"/>
          <w:highlight w:val="none"/>
          <w:u w:val="single"/>
        </w:rPr>
        <w:t xml:space="preserve">                                                                             </w:t>
      </w:r>
    </w:p>
    <w:p>
      <w:pPr>
        <w:adjustRightInd w:val="0"/>
        <w:snapToGrid w:val="0"/>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（1）填报前请认真阅读</w:t>
      </w:r>
      <w:r>
        <w:rPr>
          <w:rFonts w:hint="eastAsia" w:ascii="宋体" w:hAnsi="宋体" w:eastAsia="宋体" w:cs="宋体"/>
          <w:color w:val="auto"/>
          <w:spacing w:val="6"/>
          <w:kern w:val="0"/>
          <w:szCs w:val="21"/>
          <w:highlight w:val="none"/>
        </w:rPr>
        <w:t>《中小企业划型标准规定》（工信部联企业[2011]300号）</w:t>
      </w:r>
      <w:r>
        <w:rPr>
          <w:rFonts w:hint="eastAsia" w:ascii="宋体" w:hAnsi="宋体" w:eastAsia="宋体" w:cs="宋体"/>
          <w:color w:val="auto"/>
          <w:kern w:val="0"/>
          <w:szCs w:val="21"/>
          <w:highlight w:val="none"/>
        </w:rPr>
        <w:t>《金融业企业划型标准规定》（</w:t>
      </w:r>
      <w:r>
        <w:rPr>
          <w:rFonts w:hint="eastAsia" w:ascii="宋体" w:hAnsi="宋体" w:eastAsia="宋体" w:cs="宋体"/>
          <w:bCs/>
          <w:color w:val="auto"/>
          <w:kern w:val="0"/>
          <w:szCs w:val="21"/>
          <w:highlight w:val="none"/>
        </w:rPr>
        <w:t>银发〔2015〕309号）和</w:t>
      </w:r>
      <w:r>
        <w:rPr>
          <w:rFonts w:hint="eastAsia" w:ascii="宋体" w:hAnsi="宋体" w:eastAsia="宋体" w:cs="宋体"/>
          <w:color w:val="auto"/>
          <w:spacing w:val="6"/>
          <w:szCs w:val="21"/>
          <w:highlight w:val="none"/>
        </w:rPr>
        <w:t>《</w:t>
      </w:r>
      <w:r>
        <w:rPr>
          <w:rFonts w:hint="eastAsia" w:ascii="宋体" w:hAnsi="宋体" w:eastAsia="宋体" w:cs="宋体"/>
          <w:bCs/>
          <w:color w:val="auto"/>
          <w:szCs w:val="21"/>
          <w:highlight w:val="none"/>
        </w:rPr>
        <w:t>政府采购促进中小企业发展管理办法》(</w:t>
      </w:r>
      <w:r>
        <w:rPr>
          <w:rFonts w:hint="eastAsia" w:ascii="宋体" w:hAnsi="宋体" w:eastAsia="宋体" w:cs="宋体"/>
          <w:color w:val="auto"/>
          <w:szCs w:val="21"/>
          <w:highlight w:val="none"/>
        </w:rPr>
        <w:t>财库[2020]46号)相关规定。</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（2）从业人员、营业收入、资产总额填报上一年度数据，无上一年度数据的新成立企业可不填报。响应文件其他地方与《中小企业声明函》数据不一致的，以《中小企业声明函》为准。</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（3）供应商符合享受小微企业政府采购优惠政策条件的，必须填报服务商的全部数据，</w:t>
      </w:r>
      <w:r>
        <w:rPr>
          <w:rFonts w:hint="eastAsia" w:ascii="宋体" w:hAnsi="宋体" w:eastAsia="宋体" w:cs="宋体"/>
          <w:bCs/>
          <w:color w:val="auto"/>
          <w:szCs w:val="21"/>
          <w:highlight w:val="none"/>
        </w:rPr>
        <w:t>未按要求提供、</w:t>
      </w:r>
      <w:r>
        <w:rPr>
          <w:rFonts w:hint="eastAsia" w:ascii="宋体" w:hAnsi="宋体" w:eastAsia="宋体" w:cs="宋体"/>
          <w:color w:val="auto"/>
          <w:szCs w:val="21"/>
          <w:highlight w:val="none"/>
        </w:rPr>
        <w:t>填报</w:t>
      </w:r>
      <w:r>
        <w:rPr>
          <w:rFonts w:hint="eastAsia" w:ascii="宋体" w:hAnsi="宋体" w:eastAsia="宋体" w:cs="宋体"/>
          <w:bCs/>
          <w:color w:val="auto"/>
          <w:szCs w:val="21"/>
          <w:highlight w:val="none"/>
        </w:rPr>
        <w:t>的，不享受报价扣除优惠政策。</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（4）横线以下只做填报说明，响应文件</w:t>
      </w:r>
      <w:r>
        <w:rPr>
          <w:rFonts w:hint="eastAsia" w:ascii="宋体" w:hAnsi="宋体" w:eastAsia="宋体" w:cs="宋体"/>
          <w:color w:val="auto"/>
          <w:szCs w:val="21"/>
          <w:highlight w:val="none"/>
          <w:lang w:val="en-US" w:eastAsia="zh-CN"/>
        </w:rPr>
        <w:t>不必提供</w:t>
      </w:r>
      <w:r>
        <w:rPr>
          <w:rFonts w:hint="eastAsia" w:ascii="宋体" w:hAnsi="宋体" w:eastAsia="宋体" w:cs="宋体"/>
          <w:color w:val="auto"/>
          <w:szCs w:val="21"/>
          <w:highlight w:val="none"/>
        </w:rPr>
        <w:t>。</w:t>
      </w:r>
    </w:p>
    <w:p>
      <w:pPr>
        <w:pStyle w:val="18"/>
        <w:adjustRightInd w:val="0"/>
        <w:snapToGrid w:val="0"/>
        <w:spacing w:line="360" w:lineRule="auto"/>
        <w:ind w:firstLine="105" w:firstLineChars="50"/>
        <w:rPr>
          <w:rFonts w:hint="eastAsia" w:ascii="宋体" w:hAnsi="宋体" w:eastAsia="宋体" w:cs="宋体"/>
          <w:color w:val="auto"/>
          <w:highlight w:val="none"/>
        </w:rPr>
      </w:pPr>
    </w:p>
    <w:p>
      <w:pPr>
        <w:adjustRightInd w:val="0"/>
        <w:spacing w:line="400" w:lineRule="exact"/>
        <w:jc w:val="left"/>
        <w:rPr>
          <w:rFonts w:hint="eastAsia" w:ascii="宋体" w:hAnsi="宋体" w:eastAsia="宋体" w:cs="宋体"/>
          <w:bCs/>
          <w:color w:val="auto"/>
          <w:sz w:val="24"/>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spacing w:line="588" w:lineRule="exact"/>
        <w:jc w:val="center"/>
        <w:rPr>
          <w:rFonts w:hint="eastAsia" w:ascii="宋体" w:hAnsi="宋体" w:eastAsia="宋体" w:cs="宋体"/>
          <w:color w:val="auto"/>
          <w:spacing w:val="6"/>
          <w:sz w:val="36"/>
          <w:szCs w:val="36"/>
          <w:highlight w:val="none"/>
        </w:rPr>
      </w:pPr>
      <w:r>
        <w:rPr>
          <w:rFonts w:hint="eastAsia" w:ascii="宋体" w:hAnsi="宋体" w:eastAsia="宋体" w:cs="宋体"/>
          <w:color w:val="auto"/>
          <w:spacing w:val="6"/>
          <w:sz w:val="36"/>
          <w:szCs w:val="36"/>
          <w:highlight w:val="none"/>
        </w:rPr>
        <w:br w:type="page"/>
      </w:r>
      <w:r>
        <w:rPr>
          <w:rFonts w:hint="eastAsia" w:ascii="宋体" w:hAnsi="宋体" w:eastAsia="宋体" w:cs="宋体"/>
          <w:color w:val="auto"/>
          <w:spacing w:val="6"/>
          <w:sz w:val="36"/>
          <w:szCs w:val="36"/>
          <w:highlight w:val="none"/>
        </w:rPr>
        <w:t>2.残疾人福利性单位声明函</w:t>
      </w:r>
    </w:p>
    <w:p>
      <w:pPr>
        <w:spacing w:before="480" w:beforeLines="200"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人，其中残疾人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人，为符合条件的残疾人福利性单位，且本单位参加（</w:t>
      </w:r>
      <w:r>
        <w:rPr>
          <w:rFonts w:hint="eastAsia" w:ascii="宋体" w:hAnsi="宋体" w:eastAsia="宋体" w:cs="宋体"/>
          <w:color w:val="auto"/>
          <w:spacing w:val="6"/>
          <w:sz w:val="24"/>
          <w:szCs w:val="24"/>
          <w:highlight w:val="none"/>
          <w:u w:val="single"/>
        </w:rPr>
        <w:t xml:space="preserve">采 购 人 名 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 目 名  称</w:t>
      </w:r>
      <w:r>
        <w:rPr>
          <w:rFonts w:hint="eastAsia" w:ascii="宋体" w:hAnsi="宋体" w:eastAsia="宋体" w:cs="宋体"/>
          <w:color w:val="auto"/>
          <w:spacing w:val="6"/>
          <w:sz w:val="24"/>
          <w:szCs w:val="24"/>
          <w:highlight w:val="none"/>
        </w:rPr>
        <w:t>）采购活动由本单位提供服务。</w:t>
      </w: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tabs>
          <w:tab w:val="left" w:pos="4860"/>
        </w:tabs>
        <w:spacing w:line="360" w:lineRule="auto"/>
        <w:ind w:right="1560" w:firstLine="504"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（盖单位章）</w:t>
      </w:r>
    </w:p>
    <w:p>
      <w:pPr>
        <w:tabs>
          <w:tab w:val="left" w:pos="4860"/>
        </w:tabs>
        <w:spacing w:line="360" w:lineRule="auto"/>
        <w:ind w:right="1560" w:firstLine="504"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pPr>
        <w:tabs>
          <w:tab w:val="left" w:pos="4860"/>
        </w:tabs>
        <w:spacing w:line="360" w:lineRule="auto"/>
        <w:ind w:right="1560" w:firstLine="504"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tabs>
          <w:tab w:val="left" w:pos="4860"/>
        </w:tabs>
        <w:spacing w:line="360" w:lineRule="auto"/>
        <w:ind w:right="1560"/>
        <w:jc w:val="left"/>
        <w:rPr>
          <w:rFonts w:hint="eastAsia" w:ascii="宋体" w:hAnsi="宋体" w:eastAsia="宋体" w:cs="宋体"/>
          <w:color w:val="auto"/>
          <w:spacing w:val="6"/>
          <w:sz w:val="24"/>
          <w:szCs w:val="24"/>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ind w:right="1559"/>
        <w:jc w:val="left"/>
        <w:rPr>
          <w:rFonts w:hint="eastAsia" w:ascii="宋体" w:hAnsi="宋体" w:eastAsia="宋体" w:cs="宋体"/>
          <w:color w:val="auto"/>
          <w:spacing w:val="6"/>
          <w:szCs w:val="21"/>
          <w:highlight w:val="none"/>
        </w:rPr>
      </w:pPr>
    </w:p>
    <w:p>
      <w:pPr>
        <w:tabs>
          <w:tab w:val="left" w:pos="4860"/>
        </w:tabs>
        <w:ind w:right="1559"/>
        <w:jc w:val="left"/>
        <w:rPr>
          <w:rFonts w:hint="eastAsia" w:ascii="宋体" w:hAnsi="宋体" w:eastAsia="宋体" w:cs="宋体"/>
          <w:color w:val="auto"/>
          <w:spacing w:val="6"/>
          <w:szCs w:val="21"/>
          <w:highlight w:val="none"/>
        </w:rPr>
      </w:pPr>
    </w:p>
    <w:p>
      <w:pPr>
        <w:rPr>
          <w:rFonts w:hint="eastAsia" w:ascii="宋体" w:hAnsi="宋体" w:eastAsia="宋体" w:cs="宋体"/>
          <w:color w:val="auto"/>
          <w:spacing w:val="15"/>
          <w:sz w:val="18"/>
          <w:szCs w:val="18"/>
          <w:highlight w:val="none"/>
          <w:shd w:val="clear" w:color="auto" w:fill="FFFFFF"/>
        </w:rPr>
      </w:pPr>
      <w:r>
        <w:rPr>
          <w:rFonts w:hint="eastAsia" w:ascii="宋体" w:hAnsi="宋体" w:eastAsia="宋体" w:cs="宋体"/>
          <w:color w:val="auto"/>
          <w:spacing w:val="6"/>
          <w:szCs w:val="21"/>
          <w:highlight w:val="none"/>
          <w:u w:val="single"/>
        </w:rPr>
        <w:t xml:space="preserve">                                                                             </w:t>
      </w:r>
    </w:p>
    <w:p>
      <w:pPr>
        <w:tabs>
          <w:tab w:val="left" w:pos="4860"/>
        </w:tabs>
        <w:ind w:right="155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（1）填报前请认真阅读</w:t>
      </w:r>
      <w:r>
        <w:rPr>
          <w:rFonts w:hint="eastAsia" w:ascii="宋体" w:hAnsi="宋体" w:eastAsia="宋体" w:cs="宋体"/>
          <w:color w:val="auto"/>
          <w:spacing w:val="6"/>
          <w:szCs w:val="21"/>
          <w:highlight w:val="none"/>
        </w:rPr>
        <w:t>《财政部、民政部、中国残疾人联合会关于促进残疾人就业政府采购政策的通知》（财库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w:t>
      </w:r>
    </w:p>
    <w:p>
      <w:pPr>
        <w:adjustRightInd w:val="0"/>
        <w:snapToGrid w:val="0"/>
        <w:spacing w:line="360" w:lineRule="exact"/>
        <w:ind w:firstLine="525" w:firstLineChars="25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（2）供应商属于残疾人福利性单位的，必须填报有关数据，</w:t>
      </w:r>
      <w:r>
        <w:rPr>
          <w:rFonts w:hint="eastAsia" w:ascii="宋体" w:hAnsi="宋体" w:eastAsia="宋体" w:cs="宋体"/>
          <w:bCs/>
          <w:color w:val="auto"/>
          <w:szCs w:val="21"/>
          <w:highlight w:val="none"/>
        </w:rPr>
        <w:t>未按要求提供的，不享受报价扣除优惠政策。</w:t>
      </w:r>
    </w:p>
    <w:p>
      <w:pPr>
        <w:adjustRightInd w:val="0"/>
        <w:snapToGrid w:val="0"/>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（3）横线以下只做填报说明，响应文件可不要。</w:t>
      </w:r>
    </w:p>
    <w:p>
      <w:pPr>
        <w:adjustRightInd w:val="0"/>
        <w:snapToGrid w:val="0"/>
        <w:spacing w:before="50" w:line="360" w:lineRule="auto"/>
        <w:jc w:val="center"/>
        <w:rPr>
          <w:rFonts w:hint="eastAsia" w:ascii="宋体" w:hAnsi="宋体" w:eastAsia="宋体" w:cs="宋体"/>
          <w:color w:val="auto"/>
          <w:sz w:val="36"/>
          <w:szCs w:val="36"/>
          <w:highlight w:val="none"/>
        </w:rPr>
      </w:pPr>
    </w:p>
    <w:p>
      <w:pPr>
        <w:adjustRightInd w:val="0"/>
        <w:snapToGrid w:val="0"/>
        <w:spacing w:before="5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3.监狱企业证明</w:t>
      </w:r>
    </w:p>
    <w:p>
      <w:pPr>
        <w:adjustRightInd w:val="0"/>
        <w:snapToGrid w:val="0"/>
        <w:spacing w:before="240" w:beforeLine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adjustRightInd w:val="0"/>
        <w:snapToGrid w:val="0"/>
        <w:spacing w:line="3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填报前请认真阅读</w:t>
      </w:r>
      <w:r>
        <w:rPr>
          <w:rFonts w:hint="eastAsia" w:ascii="宋体" w:hAnsi="宋体" w:eastAsia="宋体" w:cs="宋体"/>
          <w:color w:val="auto"/>
          <w:spacing w:val="6"/>
          <w:sz w:val="24"/>
          <w:szCs w:val="24"/>
          <w:highlight w:val="none"/>
        </w:rPr>
        <w:t>《财政部、司法部关于政府采购支持监狱企业发展有关问题的通知》（财库</w:t>
      </w:r>
      <w:r>
        <w:rPr>
          <w:rFonts w:hint="eastAsia" w:ascii="宋体" w:hAnsi="宋体" w:eastAsia="宋体" w:cs="宋体"/>
          <w:color w:val="auto"/>
          <w:sz w:val="24"/>
          <w:szCs w:val="24"/>
          <w:highlight w:val="none"/>
        </w:rPr>
        <w:t>〔2014〕68</w:t>
      </w:r>
      <w:r>
        <w:rPr>
          <w:rFonts w:hint="eastAsia" w:ascii="宋体" w:hAnsi="宋体" w:eastAsia="宋体" w:cs="宋体"/>
          <w:color w:val="auto"/>
          <w:spacing w:val="6"/>
          <w:sz w:val="24"/>
          <w:szCs w:val="24"/>
          <w:highlight w:val="none"/>
        </w:rPr>
        <w:t>号）的规定。</w:t>
      </w:r>
    </w:p>
    <w:p>
      <w:pPr>
        <w:adjustRightInd w:val="0"/>
        <w:snapToGrid w:val="0"/>
        <w:spacing w:line="360" w:lineRule="exact"/>
        <w:ind w:firstLine="52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（2）证明文件无格式要求，由出具监狱企业证明的单位自行拟定，出具证明的单位应符合“供应商须知”第</w:t>
      </w:r>
      <w:r>
        <w:rPr>
          <w:rFonts w:hint="eastAsia" w:ascii="宋体" w:hAnsi="宋体" w:eastAsia="宋体" w:cs="宋体"/>
          <w:color w:val="auto"/>
          <w:sz w:val="24"/>
          <w:szCs w:val="24"/>
          <w:highlight w:val="none"/>
        </w:rPr>
        <w:t>3.4.2.3条款的规定。</w:t>
      </w:r>
    </w:p>
    <w:p>
      <w:pPr>
        <w:adjustRightInd w:val="0"/>
        <w:snapToGrid w:val="0"/>
        <w:spacing w:line="360" w:lineRule="exact"/>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（3）供应商属于监狱企业的，</w:t>
      </w:r>
      <w:r>
        <w:rPr>
          <w:rFonts w:hint="eastAsia" w:ascii="宋体" w:hAnsi="宋体" w:eastAsia="宋体" w:cs="宋体"/>
          <w:bCs/>
          <w:color w:val="auto"/>
          <w:sz w:val="24"/>
          <w:szCs w:val="24"/>
          <w:highlight w:val="none"/>
        </w:rPr>
        <w:t>未按上述要求提供的，不享受报价扣除优惠政策。</w:t>
      </w:r>
    </w:p>
    <w:p>
      <w:pPr>
        <w:adjustRightInd w:val="0"/>
        <w:snapToGrid w:val="0"/>
        <w:spacing w:line="360" w:lineRule="exact"/>
        <w:rPr>
          <w:rFonts w:hint="eastAsia" w:ascii="宋体" w:hAnsi="宋体" w:eastAsia="宋体" w:cs="宋体"/>
          <w:color w:val="auto"/>
          <w:sz w:val="24"/>
          <w:szCs w:val="24"/>
          <w:highlight w:val="none"/>
        </w:rPr>
      </w:pPr>
    </w:p>
    <w:p>
      <w:pPr>
        <w:pStyle w:val="18"/>
        <w:adjustRightInd w:val="0"/>
        <w:snapToGrid w:val="0"/>
        <w:spacing w:line="360" w:lineRule="auto"/>
        <w:ind w:firstLine="120" w:firstLineChars="50"/>
        <w:rPr>
          <w:rFonts w:hint="eastAsia" w:ascii="宋体" w:hAnsi="宋体" w:eastAsia="宋体" w:cs="宋体"/>
          <w:color w:val="auto"/>
          <w:sz w:val="24"/>
          <w:szCs w:val="24"/>
          <w:highlight w:val="none"/>
        </w:rPr>
      </w:pPr>
    </w:p>
    <w:p>
      <w:pPr>
        <w:pStyle w:val="18"/>
        <w:adjustRightInd w:val="0"/>
        <w:snapToGrid w:val="0"/>
        <w:spacing w:line="360" w:lineRule="auto"/>
        <w:ind w:firstLine="120" w:firstLineChars="50"/>
        <w:rPr>
          <w:rFonts w:hint="eastAsia" w:ascii="宋体" w:hAnsi="宋体" w:eastAsia="宋体" w:cs="宋体"/>
          <w:color w:val="auto"/>
          <w:sz w:val="24"/>
          <w:szCs w:val="24"/>
          <w:highlight w:val="none"/>
        </w:rPr>
      </w:pPr>
    </w:p>
    <w:p>
      <w:pPr>
        <w:adjustRightInd w:val="0"/>
        <w:snapToGrid w:val="0"/>
        <w:spacing w:line="360" w:lineRule="auto"/>
        <w:jc w:val="left"/>
        <w:rPr>
          <w:rFonts w:hint="eastAsia" w:ascii="宋体" w:hAnsi="宋体" w:eastAsia="宋体" w:cs="宋体"/>
          <w:color w:val="auto"/>
          <w:sz w:val="24"/>
          <w:szCs w:val="24"/>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4.强制采购或者优先采购产品</w:t>
      </w:r>
      <w:r>
        <w:rPr>
          <w:rFonts w:hint="eastAsia" w:ascii="宋体" w:hAnsi="宋体" w:eastAsia="宋体" w:cs="宋体"/>
          <w:bCs/>
          <w:color w:val="auto"/>
          <w:sz w:val="36"/>
          <w:szCs w:val="36"/>
          <w:highlight w:val="none"/>
        </w:rPr>
        <w:t>的</w:t>
      </w:r>
      <w:r>
        <w:rPr>
          <w:rFonts w:hint="eastAsia" w:ascii="宋体" w:hAnsi="宋体" w:eastAsia="宋体" w:cs="宋体"/>
          <w:color w:val="auto"/>
          <w:sz w:val="36"/>
          <w:szCs w:val="36"/>
          <w:highlight w:val="none"/>
        </w:rPr>
        <w:t>证明材料</w:t>
      </w:r>
    </w:p>
    <w:p>
      <w:pPr>
        <w:pStyle w:val="18"/>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8"/>
        <w:adjustRightInd w:val="0"/>
        <w:snapToGrid w:val="0"/>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（1）本服务项目包含货物的，所供产品属于《节能产品、环境标志产品品目清单》中产品的，应当按供应商须知第3.4.1条款规定提供相关证明材料。</w:t>
      </w:r>
    </w:p>
    <w:p>
      <w:pPr>
        <w:adjustRightInd w:val="0"/>
        <w:snapToGrid w:val="0"/>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（2）属于第五章第2.2条款规定的强制节能产品的，供应商未按上述要求提供相应证明材料，按</w:t>
      </w:r>
      <w:r>
        <w:rPr>
          <w:rFonts w:hint="eastAsia" w:ascii="宋体" w:hAnsi="宋体" w:eastAsia="宋体" w:cs="宋体"/>
          <w:b/>
          <w:bCs/>
          <w:color w:val="auto"/>
          <w:sz w:val="24"/>
          <w:szCs w:val="24"/>
          <w:highlight w:val="none"/>
        </w:rPr>
        <w:t>无效响应文件</w:t>
      </w:r>
      <w:r>
        <w:rPr>
          <w:rFonts w:hint="eastAsia" w:ascii="宋体" w:hAnsi="宋体" w:eastAsia="宋体" w:cs="宋体"/>
          <w:bCs/>
          <w:color w:val="auto"/>
          <w:sz w:val="24"/>
          <w:szCs w:val="24"/>
          <w:highlight w:val="none"/>
        </w:rPr>
        <w:t>处理。</w:t>
      </w:r>
    </w:p>
    <w:p>
      <w:pPr>
        <w:pStyle w:val="18"/>
        <w:adjustRightInd w:val="0"/>
        <w:snapToGrid w:val="0"/>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（3）本采购项目除强制节能产品外的</w:t>
      </w:r>
      <w:r>
        <w:rPr>
          <w:rFonts w:hint="eastAsia" w:ascii="宋体" w:hAnsi="宋体" w:eastAsia="宋体" w:cs="宋体"/>
          <w:color w:val="auto"/>
          <w:sz w:val="24"/>
          <w:szCs w:val="24"/>
          <w:highlight w:val="none"/>
        </w:rPr>
        <w:t>《节能产品、环境标志产品品目清单》中产品，属于优先采购产品，</w:t>
      </w:r>
      <w:r>
        <w:rPr>
          <w:rFonts w:hint="eastAsia" w:ascii="宋体" w:hAnsi="宋体" w:eastAsia="宋体" w:cs="宋体"/>
          <w:bCs/>
          <w:color w:val="auto"/>
          <w:sz w:val="24"/>
          <w:szCs w:val="24"/>
          <w:highlight w:val="none"/>
        </w:rPr>
        <w:t>供应商未按上述要求提供相应证明材料和未</w:t>
      </w:r>
      <w:r>
        <w:rPr>
          <w:rFonts w:hint="eastAsia" w:ascii="宋体" w:hAnsi="宋体" w:eastAsia="宋体" w:cs="宋体"/>
          <w:color w:val="auto"/>
          <w:sz w:val="24"/>
          <w:szCs w:val="24"/>
          <w:highlight w:val="none"/>
        </w:rPr>
        <w:t>在《分项报价明细表》中填写相应证书编号的，</w:t>
      </w:r>
      <w:r>
        <w:rPr>
          <w:rFonts w:hint="eastAsia" w:ascii="宋体" w:hAnsi="宋体" w:eastAsia="宋体" w:cs="宋体"/>
          <w:bCs/>
          <w:color w:val="auto"/>
          <w:sz w:val="24"/>
          <w:szCs w:val="24"/>
          <w:highlight w:val="none"/>
        </w:rPr>
        <w:t>评审时不予加分。</w:t>
      </w: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pStyle w:val="6"/>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kern w:val="2"/>
          <w:sz w:val="36"/>
          <w:szCs w:val="36"/>
          <w:highlight w:val="none"/>
          <w:lang w:val="en-US" w:eastAsia="zh-CN" w:bidi="ar-SA"/>
        </w:rPr>
        <w:t>1</w:t>
      </w:r>
      <w:r>
        <w:rPr>
          <w:rFonts w:hint="eastAsia" w:ascii="宋体" w:hAnsi="宋体" w:cs="宋体"/>
          <w:color w:val="auto"/>
          <w:kern w:val="2"/>
          <w:sz w:val="36"/>
          <w:szCs w:val="36"/>
          <w:highlight w:val="none"/>
          <w:lang w:val="en-US" w:eastAsia="zh-CN" w:bidi="ar-SA"/>
        </w:rPr>
        <w:t>5</w:t>
      </w:r>
      <w:r>
        <w:rPr>
          <w:rFonts w:hint="eastAsia" w:ascii="宋体" w:hAnsi="宋体" w:eastAsia="宋体" w:cs="宋体"/>
          <w:color w:val="auto"/>
          <w:kern w:val="2"/>
          <w:sz w:val="36"/>
          <w:szCs w:val="36"/>
          <w:highlight w:val="none"/>
          <w:lang w:val="en-US" w:eastAsia="zh-CN" w:bidi="ar-SA"/>
        </w:rPr>
        <w:t>、供应商还需补充的材料</w:t>
      </w:r>
    </w:p>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除资格审查条件外，还需补充的证明材料</w:t>
      </w:r>
      <w:r>
        <w:rPr>
          <w:rFonts w:hint="eastAsia" w:ascii="宋体" w:hAnsi="宋体" w:eastAsia="宋体" w:cs="宋体"/>
          <w:color w:val="auto"/>
          <w:szCs w:val="21"/>
          <w:highlight w:val="none"/>
          <w:lang w:eastAsia="zh-CN"/>
        </w:rPr>
        <w:t>）</w:t>
      </w:r>
    </w:p>
    <w:p>
      <w:pPr>
        <w:jc w:val="left"/>
        <w:rPr>
          <w:rFonts w:hint="eastAsia" w:ascii="宋体" w:hAnsi="宋体" w:eastAsia="宋体" w:cs="宋体"/>
          <w:b/>
          <w:bCs/>
          <w:color w:val="auto"/>
          <w:sz w:val="36"/>
          <w:szCs w:val="36"/>
          <w:highlight w:val="none"/>
        </w:rPr>
      </w:pPr>
    </w:p>
    <w:p>
      <w:pPr>
        <w:pStyle w:val="6"/>
        <w:spacing w:before="120" w:beforeLines="50" w:after="120" w:afterLines="50"/>
        <w:ind w:firstLine="0"/>
        <w:jc w:val="center"/>
        <w:rPr>
          <w:rFonts w:hint="eastAsia" w:ascii="宋体" w:hAnsi="宋体" w:eastAsia="宋体" w:cs="宋体"/>
          <w:color w:val="auto"/>
          <w:sz w:val="44"/>
          <w:szCs w:val="44"/>
          <w:highlight w:val="none"/>
          <w:lang w:val="en-US" w:eastAsia="zh-CN"/>
        </w:rPr>
      </w:pPr>
    </w:p>
    <w:p>
      <w:pPr>
        <w:pStyle w:val="6"/>
        <w:spacing w:before="120" w:beforeLines="50" w:after="120" w:afterLines="50"/>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lang w:val="en-US" w:eastAsia="zh-CN"/>
        </w:rPr>
        <w:br w:type="page"/>
      </w:r>
      <w:r>
        <w:rPr>
          <w:rFonts w:hint="eastAsia" w:ascii="宋体" w:hAnsi="宋体" w:eastAsia="宋体" w:cs="宋体"/>
          <w:color w:val="auto"/>
          <w:sz w:val="44"/>
          <w:szCs w:val="44"/>
          <w:highlight w:val="none"/>
          <w:lang w:val="en-US" w:eastAsia="zh-CN"/>
        </w:rPr>
        <w:t>第二部分  商务、技术文件</w:t>
      </w:r>
    </w:p>
    <w:p>
      <w:pPr>
        <w:pStyle w:val="17"/>
        <w:spacing w:before="240" w:beforeLines="100" w:after="240" w:afterLines="100" w:line="360" w:lineRule="auto"/>
        <w:ind w:firstLine="0"/>
        <w:jc w:val="center"/>
        <w:rPr>
          <w:rFonts w:hint="eastAsia" w:ascii="宋体" w:hAnsi="宋体" w:eastAsia="宋体" w:cs="宋体"/>
          <w:bCs/>
          <w:color w:val="auto"/>
          <w:sz w:val="28"/>
          <w:szCs w:val="28"/>
          <w:highlight w:val="none"/>
        </w:rPr>
      </w:pPr>
      <w:r>
        <w:rPr>
          <w:rFonts w:hint="eastAsia" w:ascii="宋体" w:hAnsi="宋体" w:eastAsia="宋体" w:cs="宋体"/>
          <w:color w:val="auto"/>
          <w:sz w:val="36"/>
          <w:szCs w:val="36"/>
          <w:highlight w:val="none"/>
        </w:rPr>
        <w:t>一、竞争性磋商响应函</w:t>
      </w:r>
    </w:p>
    <w:p>
      <w:pPr>
        <w:pStyle w:val="17"/>
        <w:keepNext w:val="0"/>
        <w:keepLines w:val="0"/>
        <w:pageBreakBefore w:val="0"/>
        <w:widowControl w:val="0"/>
        <w:kinsoku/>
        <w:wordWrap/>
        <w:overflowPunct/>
        <w:topLinePunct w:val="0"/>
        <w:autoSpaceDE/>
        <w:autoSpaceDN/>
        <w:bidi w:val="0"/>
        <w:spacing w:line="432" w:lineRule="auto"/>
        <w:ind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陕西省交通运输工程质量监测鉴定站</w:t>
      </w:r>
      <w:r>
        <w:rPr>
          <w:rFonts w:hint="eastAsia" w:ascii="宋体" w:hAnsi="宋体" w:eastAsia="宋体" w:cs="宋体"/>
          <w:bCs/>
          <w:color w:val="auto"/>
          <w:sz w:val="24"/>
          <w:szCs w:val="24"/>
          <w:highlight w:val="none"/>
        </w:rPr>
        <w:t>：</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项目名称)的磋商文件（政府采购项目编号：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）的全部内容，知悉参加磋商的风险，我方承诺接受磋商文件的全部条款且无任何异议，</w:t>
      </w:r>
      <w:r>
        <w:rPr>
          <w:rFonts w:hint="eastAsia" w:ascii="宋体" w:hAnsi="宋体" w:eastAsia="宋体" w:cs="宋体"/>
          <w:bCs/>
          <w:color w:val="auto"/>
          <w:sz w:val="24"/>
          <w:szCs w:val="24"/>
          <w:highlight w:val="none"/>
        </w:rPr>
        <w:t>决定参加贵单位组织的本项目磋商。</w:t>
      </w:r>
    </w:p>
    <w:p>
      <w:pPr>
        <w:pStyle w:val="18"/>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一、我方提交响应文件正本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bCs/>
          <w:color w:val="auto"/>
          <w:sz w:val="24"/>
          <w:szCs w:val="24"/>
          <w:highlight w:val="none"/>
        </w:rPr>
        <w:t>电子文件</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份。</w:t>
      </w:r>
    </w:p>
    <w:p>
      <w:pPr>
        <w:pStyle w:val="18"/>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二、我方的磋商报价为人民币（大写）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）；服务期限为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天</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 xml:space="preserve"> 磋商有效期为</w:t>
      </w:r>
      <w:r>
        <w:rPr>
          <w:rFonts w:hint="eastAsia" w:ascii="宋体" w:hAnsi="宋体" w:eastAsia="宋体" w:cs="宋体"/>
          <w:color w:val="auto"/>
          <w:sz w:val="24"/>
          <w:szCs w:val="24"/>
          <w:highlight w:val="none"/>
          <w:lang w:val="zh-CN"/>
        </w:rPr>
        <w:t>提交响应文件截止日起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三、我方承诺承诺除商务和服务（技术）偏离表列出的偏离外，我方响应磋商文件的全部要求。</w:t>
      </w:r>
    </w:p>
    <w:p>
      <w:pPr>
        <w:pStyle w:val="18"/>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四、我方愿意向贵方提供任何与本项采购有关的样品、数据、情况和技术资料。若贵方需要，我方愿意提供我方作出的一切承诺的证明材料。</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bCs/>
          <w:color w:val="auto"/>
          <w:sz w:val="24"/>
          <w:szCs w:val="24"/>
          <w:highlight w:val="none"/>
        </w:rPr>
        <w:t>我方承诺在磋商文件规定的磋商有效期内不撤销响应文件。</w:t>
      </w:r>
    </w:p>
    <w:p>
      <w:pPr>
        <w:pStyle w:val="18"/>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六、我方承诺遵守《中华人民共和国政府采购法》及其实施条例等法律法规的有关规定，保证在获得成交资格后：</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1.在收到成交通知书后，在成交通知书规定的期限内与采购人签订合同；</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2.在签订合同时不向采购人提出附加条件；</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3.在合同规定期限内完成合同规定的全部义务；</w:t>
      </w:r>
      <w:r>
        <w:rPr>
          <w:rFonts w:hint="eastAsia" w:ascii="宋体" w:hAnsi="宋体" w:eastAsia="宋体" w:cs="宋体"/>
          <w:bCs/>
          <w:color w:val="auto"/>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按照磋商文件规定和标准向贵方交纳采购代理服务费；</w:t>
      </w:r>
    </w:p>
    <w:p>
      <w:pPr>
        <w:pStyle w:val="18"/>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5.按照磋商文件规定提交履约保证金。</w:t>
      </w:r>
    </w:p>
    <w:p>
      <w:pPr>
        <w:pStyle w:val="18"/>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七、我方完全理解并同意磋商文件中有关不退还磋商保证金条款所规定的情形。</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bCs/>
          <w:color w:val="auto"/>
          <w:sz w:val="24"/>
          <w:szCs w:val="24"/>
          <w:highlight w:val="none"/>
        </w:rPr>
        <w:t>我方完全理解最低报价不是成交的唯一条件，并尊重磋商小组的评审结论和成交结果。</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九、</w:t>
      </w:r>
      <w:r>
        <w:rPr>
          <w:rFonts w:hint="eastAsia" w:ascii="宋体" w:hAnsi="宋体" w:eastAsia="宋体" w:cs="宋体"/>
          <w:color w:val="auto"/>
          <w:sz w:val="24"/>
          <w:szCs w:val="24"/>
          <w:highlight w:val="none"/>
        </w:rPr>
        <w:t>我方在此声明，所递交的响应文件及有关资料内容完整、真实和准确，且不存在第二章“供应商须知”第1.3.2条款规定的任何一种情形。否则，愿承担《中华人民共和国政府采购法》</w:t>
      </w:r>
      <w:r>
        <w:rPr>
          <w:rFonts w:hint="eastAsia" w:ascii="宋体" w:hAnsi="宋体" w:eastAsia="宋体" w:cs="宋体"/>
          <w:bCs/>
          <w:color w:val="auto"/>
          <w:sz w:val="24"/>
          <w:szCs w:val="24"/>
          <w:highlight w:val="none"/>
        </w:rPr>
        <w:t>第七十七条规定的法律责任。</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（其他补充说明）。</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十一、有关本项目的所有函电，请按下列地址联系：</w:t>
      </w:r>
    </w:p>
    <w:p>
      <w:pPr>
        <w:pStyle w:val="17"/>
        <w:keepNext w:val="0"/>
        <w:keepLines w:val="0"/>
        <w:pageBreakBefore w:val="0"/>
        <w:widowControl w:val="0"/>
        <w:kinsoku/>
        <w:wordWrap/>
        <w:overflowPunct/>
        <w:topLinePunct w:val="0"/>
        <w:autoSpaceDE/>
        <w:autoSpaceDN/>
        <w:bidi w:val="0"/>
        <w:spacing w:line="432" w:lineRule="auto"/>
        <w:ind w:firstLine="0"/>
        <w:textAlignment w:val="auto"/>
        <w:rPr>
          <w:rFonts w:hint="eastAsia" w:ascii="宋体" w:hAnsi="宋体" w:eastAsia="宋体" w:cs="宋体"/>
          <w:bCs/>
          <w:color w:val="auto"/>
          <w:sz w:val="24"/>
          <w:szCs w:val="24"/>
          <w:highlight w:val="none"/>
        </w:rPr>
      </w:pP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（签名）</w:t>
      </w:r>
    </w:p>
    <w:p>
      <w:pPr>
        <w:keepNext w:val="0"/>
        <w:keepLines w:val="0"/>
        <w:pageBreakBefore w:val="0"/>
        <w:widowControl w:val="0"/>
        <w:kinsoku/>
        <w:wordWrap/>
        <w:overflowPunct/>
        <w:topLinePunct w:val="0"/>
        <w:autoSpaceDE/>
        <w:autoSpaceDN/>
        <w:bidi w:val="0"/>
        <w:spacing w:line="432" w:lineRule="auto"/>
        <w:textAlignment w:val="auto"/>
        <w:outlineLvl w:val="1"/>
        <w:rPr>
          <w:rFonts w:hint="eastAsia" w:ascii="宋体" w:hAnsi="宋体" w:eastAsia="宋体" w:cs="宋体"/>
          <w:b/>
          <w:color w:val="auto"/>
          <w:sz w:val="24"/>
          <w:szCs w:val="24"/>
          <w:highlight w:val="none"/>
        </w:rPr>
      </w:pP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通讯地址：</w:t>
      </w:r>
      <w:r>
        <w:rPr>
          <w:rFonts w:hint="eastAsia" w:ascii="宋体" w:hAnsi="宋体" w:eastAsia="宋体" w:cs="宋体"/>
          <w:bCs/>
          <w:color w:val="auto"/>
          <w:sz w:val="24"/>
          <w:szCs w:val="24"/>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邮政编码：</w:t>
      </w:r>
      <w:r>
        <w:rPr>
          <w:rFonts w:hint="eastAsia" w:ascii="宋体" w:hAnsi="宋体" w:eastAsia="宋体" w:cs="宋体"/>
          <w:bCs/>
          <w:color w:val="auto"/>
          <w:sz w:val="24"/>
          <w:szCs w:val="24"/>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    真：</w:t>
      </w:r>
      <w:r>
        <w:rPr>
          <w:rFonts w:hint="eastAsia" w:ascii="宋体" w:hAnsi="宋体" w:eastAsia="宋体" w:cs="宋体"/>
          <w:bCs/>
          <w:color w:val="auto"/>
          <w:sz w:val="24"/>
          <w:szCs w:val="24"/>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电子邮件：</w:t>
      </w:r>
      <w:r>
        <w:rPr>
          <w:rFonts w:hint="eastAsia" w:ascii="宋体" w:hAnsi="宋体" w:eastAsia="宋体" w:cs="宋体"/>
          <w:bCs/>
          <w:color w:val="auto"/>
          <w:sz w:val="24"/>
          <w:szCs w:val="24"/>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帐    号：</w:t>
      </w:r>
      <w:r>
        <w:rPr>
          <w:rFonts w:hint="eastAsia" w:ascii="宋体" w:hAnsi="宋体" w:eastAsia="宋体" w:cs="宋体"/>
          <w:bCs/>
          <w:color w:val="auto"/>
          <w:sz w:val="24"/>
          <w:szCs w:val="24"/>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年   月   日</w:t>
      </w:r>
      <w:r>
        <w:rPr>
          <w:rFonts w:hint="eastAsia" w:ascii="宋体" w:hAnsi="宋体" w:eastAsia="宋体" w:cs="宋体"/>
          <w:bCs/>
          <w:color w:val="auto"/>
          <w:sz w:val="24"/>
          <w:szCs w:val="24"/>
          <w:highlight w:val="none"/>
          <w:u w:val="single"/>
          <w:lang w:val="en-US" w:eastAsia="zh-CN"/>
        </w:rPr>
        <w:t xml:space="preserve">                </w:t>
      </w:r>
    </w:p>
    <w:p>
      <w:pPr>
        <w:spacing w:line="400" w:lineRule="exact"/>
        <w:outlineLvl w:val="1"/>
        <w:rPr>
          <w:rFonts w:hint="eastAsia" w:ascii="宋体" w:hAnsi="宋体" w:eastAsia="宋体" w:cs="宋体"/>
          <w:b/>
          <w:color w:val="auto"/>
          <w:sz w:val="24"/>
          <w:szCs w:val="24"/>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jc w:val="center"/>
        <w:outlineLvl w:val="1"/>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二、</w:t>
      </w:r>
      <w:r>
        <w:rPr>
          <w:rFonts w:hint="eastAsia" w:ascii="宋体" w:hAnsi="宋体" w:eastAsia="宋体" w:cs="宋体"/>
          <w:color w:val="auto"/>
          <w:sz w:val="36"/>
          <w:szCs w:val="36"/>
          <w:highlight w:val="none"/>
        </w:rPr>
        <w:t>磋商报价一览表</w:t>
      </w:r>
    </w:p>
    <w:p>
      <w:pPr>
        <w:spacing w:line="400" w:lineRule="exact"/>
        <w:jc w:val="center"/>
        <w:outlineLvl w:val="1"/>
        <w:rPr>
          <w:rFonts w:hint="eastAsia" w:ascii="宋体" w:hAnsi="宋体" w:eastAsia="宋体" w:cs="宋体"/>
          <w:b/>
          <w:color w:val="auto"/>
          <w:sz w:val="36"/>
          <w:szCs w:val="36"/>
          <w:highlight w:val="none"/>
        </w:rPr>
      </w:pPr>
    </w:p>
    <w:p>
      <w:pPr>
        <w:spacing w:line="500" w:lineRule="exact"/>
        <w:ind w:firstLine="240" w:firstLineChars="100"/>
        <w:rPr>
          <w:rFonts w:hint="eastAsia" w:ascii="宋体" w:hAnsi="宋体" w:eastAsia="宋体" w:cs="宋体"/>
          <w:sz w:val="24"/>
          <w:szCs w:val="28"/>
        </w:rPr>
      </w:pPr>
      <w:r>
        <w:rPr>
          <w:rFonts w:hint="eastAsia" w:ascii="宋体" w:hAnsi="宋体" w:eastAsia="宋体" w:cs="宋体"/>
          <w:sz w:val="24"/>
          <w:szCs w:val="28"/>
        </w:rPr>
        <w:t>项目名称：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955"/>
        <w:gridCol w:w="322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626"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供应商名称</w:t>
            </w:r>
          </w:p>
        </w:tc>
        <w:tc>
          <w:tcPr>
            <w:tcW w:w="7133" w:type="dxa"/>
            <w:gridSpan w:val="3"/>
            <w:noWrap w:val="0"/>
            <w:vAlign w:val="center"/>
          </w:tcPr>
          <w:p>
            <w:pPr>
              <w:spacing w:line="5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3581" w:type="dxa"/>
            <w:gridSpan w:val="2"/>
            <w:noWrap w:val="0"/>
            <w:vAlign w:val="center"/>
          </w:tcPr>
          <w:p>
            <w:pPr>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p>
        </w:tc>
        <w:tc>
          <w:tcPr>
            <w:tcW w:w="322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服务时间</w:t>
            </w:r>
          </w:p>
        </w:tc>
        <w:tc>
          <w:tcPr>
            <w:tcW w:w="1955"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4" w:hRule="atLeast"/>
        </w:trPr>
        <w:tc>
          <w:tcPr>
            <w:tcW w:w="3581" w:type="dxa"/>
            <w:gridSpan w:val="2"/>
            <w:noWrap w:val="0"/>
            <w:vAlign w:val="center"/>
          </w:tcPr>
          <w:p>
            <w:pPr>
              <w:spacing w:line="500" w:lineRule="exact"/>
              <w:rPr>
                <w:rFonts w:hint="eastAsia" w:ascii="宋体" w:hAnsi="宋体" w:eastAsia="宋体" w:cs="宋体"/>
                <w:sz w:val="24"/>
                <w:szCs w:val="24"/>
              </w:rPr>
            </w:pPr>
          </w:p>
        </w:tc>
        <w:tc>
          <w:tcPr>
            <w:tcW w:w="3223" w:type="dxa"/>
            <w:noWrap w:val="0"/>
            <w:vAlign w:val="top"/>
          </w:tcPr>
          <w:p>
            <w:pPr>
              <w:spacing w:line="500" w:lineRule="exact"/>
              <w:rPr>
                <w:rFonts w:hint="eastAsia" w:ascii="宋体" w:hAnsi="宋体" w:eastAsia="宋体" w:cs="宋体"/>
                <w:sz w:val="24"/>
                <w:szCs w:val="24"/>
              </w:rPr>
            </w:pPr>
          </w:p>
        </w:tc>
        <w:tc>
          <w:tcPr>
            <w:tcW w:w="1955" w:type="dxa"/>
            <w:noWrap w:val="0"/>
            <w:vAlign w:val="top"/>
          </w:tcPr>
          <w:p>
            <w:pPr>
              <w:spacing w:line="5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7" w:hRule="atLeast"/>
        </w:trPr>
        <w:tc>
          <w:tcPr>
            <w:tcW w:w="8759" w:type="dxa"/>
            <w:gridSpan w:val="4"/>
            <w:noWrap w:val="0"/>
            <w:vAlign w:val="center"/>
          </w:tcPr>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投标总报价：（小写）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8759" w:type="dxa"/>
            <w:gridSpan w:val="4"/>
            <w:noWrap w:val="0"/>
            <w:vAlign w:val="center"/>
          </w:tcPr>
          <w:p>
            <w:pPr>
              <w:pStyle w:val="19"/>
              <w:spacing w:line="500" w:lineRule="exact"/>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备注： </w:t>
            </w:r>
          </w:p>
        </w:tc>
      </w:tr>
    </w:tbl>
    <w:p>
      <w:pPr>
        <w:rPr>
          <w:rFonts w:hint="eastAsia" w:ascii="宋体" w:hAnsi="宋体" w:eastAsia="宋体" w:cs="宋体"/>
        </w:rPr>
      </w:pPr>
    </w:p>
    <w:p>
      <w:pPr>
        <w:spacing w:line="500" w:lineRule="exact"/>
        <w:rPr>
          <w:rFonts w:hint="eastAsia" w:ascii="宋体" w:hAnsi="宋体" w:eastAsia="宋体" w:cs="宋体"/>
          <w:sz w:val="24"/>
          <w:szCs w:val="28"/>
        </w:rPr>
      </w:pPr>
    </w:p>
    <w:p>
      <w:pPr>
        <w:adjustRightInd w:val="0"/>
        <w:snapToGrid w:val="0"/>
        <w:spacing w:before="480" w:beforeLines="200" w:line="360" w:lineRule="auto"/>
        <w:ind w:firstLine="2354" w:firstLineChars="98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pacing w:line="400" w:lineRule="exact"/>
        <w:jc w:val="left"/>
        <w:rPr>
          <w:rFonts w:hint="eastAsia" w:ascii="宋体" w:hAnsi="宋体" w:eastAsia="宋体" w:cs="宋体"/>
          <w:color w:val="auto"/>
          <w:sz w:val="28"/>
          <w:szCs w:val="28"/>
          <w:highlight w:val="none"/>
        </w:rPr>
      </w:pPr>
    </w:p>
    <w:p>
      <w:pPr>
        <w:pStyle w:val="49"/>
        <w:rPr>
          <w:rFonts w:hint="eastAsia" w:ascii="宋体" w:hAnsi="宋体" w:eastAsia="宋体" w:cs="宋体"/>
          <w:color w:val="auto"/>
          <w:sz w:val="28"/>
          <w:szCs w:val="28"/>
          <w:highlight w:val="none"/>
        </w:rPr>
      </w:pPr>
    </w:p>
    <w:p>
      <w:pPr>
        <w:pStyle w:val="49"/>
        <w:rPr>
          <w:rFonts w:hint="eastAsia" w:ascii="宋体" w:hAnsi="宋体" w:eastAsia="宋体" w:cs="宋体"/>
          <w:color w:val="auto"/>
          <w:sz w:val="28"/>
          <w:szCs w:val="28"/>
          <w:highlight w:val="none"/>
        </w:rPr>
      </w:pPr>
    </w:p>
    <w:p>
      <w:pPr>
        <w:pStyle w:val="49"/>
        <w:rPr>
          <w:rFonts w:hint="eastAsia" w:ascii="宋体" w:hAnsi="宋体" w:eastAsia="宋体" w:cs="宋体"/>
          <w:color w:val="auto"/>
          <w:sz w:val="28"/>
          <w:szCs w:val="28"/>
          <w:highlight w:val="none"/>
        </w:rPr>
      </w:pPr>
    </w:p>
    <w:p>
      <w:pPr>
        <w:pStyle w:val="49"/>
        <w:rPr>
          <w:rFonts w:hint="eastAsia" w:ascii="宋体" w:hAnsi="宋体" w:eastAsia="宋体" w:cs="宋体"/>
          <w:color w:val="auto"/>
          <w:sz w:val="28"/>
          <w:szCs w:val="28"/>
          <w:highlight w:val="none"/>
        </w:rPr>
      </w:pPr>
    </w:p>
    <w:p>
      <w:pPr>
        <w:pStyle w:val="49"/>
        <w:rPr>
          <w:rFonts w:hint="eastAsia" w:ascii="宋体" w:hAnsi="宋体" w:eastAsia="宋体" w:cs="宋体"/>
          <w:color w:val="auto"/>
          <w:sz w:val="28"/>
          <w:szCs w:val="28"/>
          <w:highlight w:val="none"/>
        </w:rPr>
      </w:pPr>
    </w:p>
    <w:p>
      <w:pPr>
        <w:adjustRightInd w:val="0"/>
        <w:spacing w:line="400" w:lineRule="exact"/>
        <w:jc w:val="left"/>
        <w:rPr>
          <w:rFonts w:hint="eastAsia" w:ascii="宋体" w:hAnsi="宋体" w:eastAsia="宋体" w:cs="宋体"/>
          <w:color w:val="auto"/>
          <w:sz w:val="28"/>
          <w:szCs w:val="28"/>
          <w:highlight w:val="none"/>
        </w:rPr>
      </w:pPr>
    </w:p>
    <w:p>
      <w:pPr>
        <w:adjustRightInd w:val="0"/>
        <w:spacing w:line="400" w:lineRule="exact"/>
        <w:jc w:val="left"/>
        <w:rPr>
          <w:rFonts w:hint="eastAsia" w:ascii="宋体" w:hAnsi="宋体" w:eastAsia="宋体" w:cs="宋体"/>
          <w:color w:val="auto"/>
          <w:sz w:val="24"/>
          <w:highlight w:val="none"/>
        </w:rPr>
      </w:pPr>
    </w:p>
    <w:p>
      <w:pPr>
        <w:pStyle w:val="49"/>
        <w:rPr>
          <w:rFonts w:hint="eastAsia" w:ascii="宋体" w:hAnsi="宋体" w:eastAsia="宋体" w:cs="宋体"/>
        </w:rPr>
      </w:pPr>
    </w:p>
    <w:p>
      <w:pPr>
        <w:adjustRightInd w:val="0"/>
        <w:spacing w:line="400" w:lineRule="exact"/>
        <w:jc w:val="left"/>
        <w:rPr>
          <w:rFonts w:hint="eastAsia" w:ascii="宋体" w:hAnsi="宋体" w:eastAsia="宋体" w:cs="宋体"/>
          <w:color w:val="auto"/>
          <w:sz w:val="24"/>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lang w:val="en-US" w:eastAsia="zh-CN"/>
        </w:rPr>
        <w:t>三、已标价工程量清单</w:t>
      </w:r>
    </w:p>
    <w:p>
      <w:pPr>
        <w:rPr>
          <w:rFonts w:hint="eastAsia"/>
        </w:rPr>
      </w:pPr>
    </w:p>
    <w:p>
      <w:pPr>
        <w:pStyle w:val="2"/>
        <w:rPr>
          <w:rFonts w:hint="eastAsia"/>
        </w:rPr>
      </w:pPr>
    </w:p>
    <w:tbl>
      <w:tblPr>
        <w:tblStyle w:val="26"/>
        <w:tblW w:w="5041" w:type="pct"/>
        <w:tblInd w:w="0" w:type="dxa"/>
        <w:tblLayout w:type="fixed"/>
        <w:tblCellMar>
          <w:top w:w="0" w:type="dxa"/>
          <w:left w:w="108" w:type="dxa"/>
          <w:bottom w:w="0" w:type="dxa"/>
          <w:right w:w="108" w:type="dxa"/>
        </w:tblCellMar>
      </w:tblPr>
      <w:tblGrid>
        <w:gridCol w:w="656"/>
        <w:gridCol w:w="1243"/>
        <w:gridCol w:w="1457"/>
        <w:gridCol w:w="1492"/>
        <w:gridCol w:w="1492"/>
        <w:gridCol w:w="1500"/>
        <w:gridCol w:w="1191"/>
      </w:tblGrid>
      <w:tr>
        <w:tblPrEx>
          <w:tblCellMar>
            <w:top w:w="0" w:type="dxa"/>
            <w:left w:w="108" w:type="dxa"/>
            <w:bottom w:w="0" w:type="dxa"/>
            <w:right w:w="108" w:type="dxa"/>
          </w:tblCellMar>
        </w:tblPrEx>
        <w:trPr>
          <w:trHeight w:val="476" w:hRule="atLeast"/>
        </w:trPr>
        <w:tc>
          <w:tcPr>
            <w:tcW w:w="5000" w:type="pct"/>
            <w:gridSpan w:val="7"/>
            <w:tcBorders>
              <w:top w:val="nil"/>
              <w:left w:val="nil"/>
              <w:bottom w:val="single" w:color="auto" w:sz="4" w:space="0"/>
              <w:right w:val="nil"/>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陕西省2023年度交通产品抽检</w:t>
            </w:r>
          </w:p>
        </w:tc>
      </w:tr>
      <w:tr>
        <w:tblPrEx>
          <w:tblCellMar>
            <w:top w:w="0" w:type="dxa"/>
            <w:left w:w="108" w:type="dxa"/>
            <w:bottom w:w="0" w:type="dxa"/>
            <w:right w:w="108" w:type="dxa"/>
          </w:tblCellMar>
        </w:tblPrEx>
        <w:trPr>
          <w:trHeight w:val="476" w:hRule="atLeast"/>
        </w:trPr>
        <w:tc>
          <w:tcPr>
            <w:tcW w:w="363"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688"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工程名称</w:t>
            </w:r>
          </w:p>
        </w:tc>
        <w:tc>
          <w:tcPr>
            <w:tcW w:w="80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hint="eastAsia" w:ascii="黑体" w:hAnsi="黑体" w:eastAsia="黑体" w:cs="宋体"/>
                <w:color w:val="000000"/>
                <w:kern w:val="0"/>
                <w:szCs w:val="21"/>
                <w:lang w:eastAsia="zh-CN"/>
              </w:rPr>
            </w:pPr>
            <w:r>
              <w:rPr>
                <w:rFonts w:hint="eastAsia" w:ascii="黑体" w:hAnsi="黑体" w:eastAsia="黑体" w:cs="宋体"/>
                <w:color w:val="000000"/>
                <w:kern w:val="0"/>
                <w:szCs w:val="21"/>
                <w:lang w:val="en-US" w:eastAsia="zh-CN"/>
              </w:rPr>
              <w:t>产品名称</w:t>
            </w:r>
          </w:p>
        </w:tc>
        <w:tc>
          <w:tcPr>
            <w:tcW w:w="82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82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抽检数量</w:t>
            </w:r>
          </w:p>
        </w:tc>
        <w:tc>
          <w:tcPr>
            <w:tcW w:w="830"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单价（元）</w:t>
            </w:r>
          </w:p>
        </w:tc>
        <w:tc>
          <w:tcPr>
            <w:tcW w:w="659"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总价（元）</w:t>
            </w:r>
          </w:p>
        </w:tc>
      </w:tr>
      <w:tr>
        <w:tblPrEx>
          <w:tblCellMar>
            <w:top w:w="0" w:type="dxa"/>
            <w:left w:w="108" w:type="dxa"/>
            <w:bottom w:w="0" w:type="dxa"/>
            <w:right w:w="108" w:type="dxa"/>
          </w:tblCellMar>
        </w:tblPrEx>
        <w:trPr>
          <w:trHeight w:val="476" w:hRule="atLeast"/>
        </w:trPr>
        <w:tc>
          <w:tcPr>
            <w:tcW w:w="363"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w:t>
            </w:r>
          </w:p>
        </w:tc>
        <w:tc>
          <w:tcPr>
            <w:tcW w:w="688"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0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2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2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30"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c>
          <w:tcPr>
            <w:tcW w:w="659"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r>
      <w:tr>
        <w:tblPrEx>
          <w:tblCellMar>
            <w:top w:w="0" w:type="dxa"/>
            <w:left w:w="108" w:type="dxa"/>
            <w:bottom w:w="0" w:type="dxa"/>
            <w:right w:w="108" w:type="dxa"/>
          </w:tblCellMar>
        </w:tblPrEx>
        <w:trPr>
          <w:trHeight w:val="476" w:hRule="atLeast"/>
        </w:trPr>
        <w:tc>
          <w:tcPr>
            <w:tcW w:w="363"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688"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0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2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26"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c>
          <w:tcPr>
            <w:tcW w:w="830"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c>
          <w:tcPr>
            <w:tcW w:w="659"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r>
      <w:tr>
        <w:tblPrEx>
          <w:tblCellMar>
            <w:top w:w="0" w:type="dxa"/>
            <w:left w:w="108" w:type="dxa"/>
            <w:bottom w:w="0" w:type="dxa"/>
            <w:right w:w="108" w:type="dxa"/>
          </w:tblCellMar>
        </w:tblPrEx>
        <w:trPr>
          <w:trHeight w:val="476" w:hRule="atLeast"/>
        </w:trPr>
        <w:tc>
          <w:tcPr>
            <w:tcW w:w="363"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3</w:t>
            </w:r>
          </w:p>
        </w:tc>
        <w:tc>
          <w:tcPr>
            <w:tcW w:w="688"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0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2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ascii="黑体" w:hAnsi="黑体" w:eastAsia="黑体" w:cs="宋体"/>
                <w:color w:val="000000"/>
                <w:kern w:val="0"/>
                <w:szCs w:val="21"/>
              </w:rPr>
            </w:pPr>
          </w:p>
        </w:tc>
        <w:tc>
          <w:tcPr>
            <w:tcW w:w="826"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c>
          <w:tcPr>
            <w:tcW w:w="830"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c>
          <w:tcPr>
            <w:tcW w:w="659"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r>
      <w:tr>
        <w:tblPrEx>
          <w:tblCellMar>
            <w:top w:w="0" w:type="dxa"/>
            <w:left w:w="108" w:type="dxa"/>
            <w:bottom w:w="0" w:type="dxa"/>
            <w:right w:w="108" w:type="dxa"/>
          </w:tblCellMar>
        </w:tblPrEx>
        <w:trPr>
          <w:trHeight w:val="476" w:hRule="atLeast"/>
        </w:trPr>
        <w:tc>
          <w:tcPr>
            <w:tcW w:w="363" w:type="pct"/>
            <w:tcBorders>
              <w:top w:val="nil"/>
              <w:left w:val="single" w:color="auto" w:sz="4" w:space="0"/>
              <w:bottom w:val="single" w:color="auto" w:sz="4" w:space="0"/>
              <w:right w:val="single" w:color="auto" w:sz="4" w:space="0"/>
            </w:tcBorders>
            <w:noWrap w:val="0"/>
            <w:tcMar>
              <w:left w:w="0" w:type="dxa"/>
              <w:right w:w="0" w:type="dxa"/>
            </w:tcMar>
            <w:vAlign w:val="center"/>
          </w:tcPr>
          <w:p>
            <w:pPr>
              <w:widowControl/>
              <w:jc w:val="center"/>
              <w:rPr>
                <w:rFonts w:hint="eastAsia" w:ascii="黑体" w:hAnsi="黑体" w:eastAsia="黑体" w:cs="宋体"/>
                <w:color w:val="000000"/>
                <w:kern w:val="0"/>
                <w:szCs w:val="21"/>
                <w:lang w:val="en-US" w:eastAsia="zh-CN"/>
              </w:rPr>
            </w:pPr>
            <w:r>
              <w:rPr>
                <w:rFonts w:hint="eastAsia" w:ascii="黑体" w:hAnsi="黑体" w:eastAsia="黑体" w:cs="宋体"/>
                <w:color w:val="000000"/>
                <w:kern w:val="0"/>
                <w:szCs w:val="21"/>
                <w:lang w:val="en-US" w:eastAsia="zh-CN"/>
              </w:rPr>
              <w:t>4</w:t>
            </w:r>
          </w:p>
        </w:tc>
        <w:tc>
          <w:tcPr>
            <w:tcW w:w="688"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hint="eastAsia" w:ascii="仿宋_GB2312" w:hAnsi="宋体" w:eastAsia="仿宋_GB2312" w:cs="宋体"/>
                <w:color w:val="000000"/>
                <w:kern w:val="0"/>
                <w:sz w:val="24"/>
                <w:szCs w:val="24"/>
                <w:lang w:val="en-US" w:eastAsia="zh-CN" w:bidi="ar-SA"/>
              </w:rPr>
            </w:pPr>
          </w:p>
        </w:tc>
        <w:tc>
          <w:tcPr>
            <w:tcW w:w="80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hint="eastAsia"/>
                <w:kern w:val="2"/>
                <w:sz w:val="21"/>
                <w:lang w:val="en-US" w:eastAsia="zh-CN" w:bidi="ar-SA"/>
              </w:rPr>
            </w:pPr>
          </w:p>
        </w:tc>
        <w:tc>
          <w:tcPr>
            <w:tcW w:w="826" w:type="pct"/>
            <w:tcBorders>
              <w:top w:val="nil"/>
              <w:left w:val="nil"/>
              <w:bottom w:val="single" w:color="auto" w:sz="4" w:space="0"/>
              <w:right w:val="single" w:color="auto" w:sz="4" w:space="0"/>
            </w:tcBorders>
            <w:noWrap w:val="0"/>
            <w:tcMar>
              <w:left w:w="0" w:type="dxa"/>
              <w:right w:w="0" w:type="dxa"/>
            </w:tcMar>
            <w:vAlign w:val="center"/>
          </w:tcPr>
          <w:p>
            <w:pPr>
              <w:widowControl/>
              <w:jc w:val="center"/>
              <w:rPr>
                <w:rFonts w:hint="eastAsia" w:ascii="仿宋_GB2312" w:hAnsi="宋体" w:eastAsia="仿宋_GB2312" w:cs="宋体"/>
                <w:color w:val="000000"/>
                <w:kern w:val="0"/>
                <w:sz w:val="24"/>
                <w:szCs w:val="24"/>
                <w:lang w:val="en-US" w:eastAsia="zh-CN" w:bidi="ar-SA"/>
              </w:rPr>
            </w:pPr>
          </w:p>
        </w:tc>
        <w:tc>
          <w:tcPr>
            <w:tcW w:w="826"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hint="eastAsia" w:ascii="仿宋_GB2312" w:hAnsi="宋体" w:eastAsia="仿宋_GB2312" w:cs="宋体"/>
                <w:color w:val="000000"/>
                <w:kern w:val="0"/>
                <w:sz w:val="24"/>
                <w:szCs w:val="24"/>
                <w:lang w:val="en-US" w:eastAsia="zh-CN" w:bidi="ar-SA"/>
              </w:rPr>
            </w:pPr>
          </w:p>
        </w:tc>
        <w:tc>
          <w:tcPr>
            <w:tcW w:w="830"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hint="eastAsia" w:ascii="仿宋_GB2312" w:hAnsi="宋体" w:eastAsia="仿宋_GB2312" w:cs="宋体"/>
                <w:kern w:val="0"/>
                <w:sz w:val="24"/>
                <w:szCs w:val="24"/>
                <w:lang w:val="en-US" w:eastAsia="zh-CN" w:bidi="ar-SA"/>
              </w:rPr>
            </w:pPr>
          </w:p>
        </w:tc>
        <w:tc>
          <w:tcPr>
            <w:tcW w:w="659"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hint="eastAsia" w:ascii="仿宋_GB2312" w:hAnsi="宋体" w:eastAsia="仿宋_GB2312" w:cs="宋体"/>
                <w:color w:val="000000"/>
                <w:kern w:val="0"/>
                <w:sz w:val="24"/>
                <w:szCs w:val="24"/>
                <w:lang w:val="en-US" w:eastAsia="zh-CN" w:bidi="ar-SA"/>
              </w:rPr>
            </w:pPr>
          </w:p>
        </w:tc>
      </w:tr>
      <w:tr>
        <w:tblPrEx>
          <w:tblCellMar>
            <w:top w:w="0" w:type="dxa"/>
            <w:left w:w="108" w:type="dxa"/>
            <w:bottom w:w="0" w:type="dxa"/>
            <w:right w:w="108" w:type="dxa"/>
          </w:tblCellMar>
        </w:tblPrEx>
        <w:trPr>
          <w:trHeight w:val="476" w:hRule="atLeast"/>
        </w:trPr>
        <w:tc>
          <w:tcPr>
            <w:tcW w:w="4340" w:type="pct"/>
            <w:gridSpan w:val="6"/>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合计</w:t>
            </w:r>
          </w:p>
        </w:tc>
        <w:tc>
          <w:tcPr>
            <w:tcW w:w="659" w:type="pct"/>
            <w:tcBorders>
              <w:top w:val="nil"/>
              <w:left w:val="nil"/>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color w:val="000000"/>
                <w:kern w:val="0"/>
                <w:szCs w:val="21"/>
              </w:rPr>
            </w:pPr>
          </w:p>
        </w:tc>
      </w:tr>
    </w:tbl>
    <w:p>
      <w:pPr>
        <w:pStyle w:val="49"/>
        <w:rPr>
          <w:rFonts w:hint="eastAsia" w:ascii="宋体" w:hAnsi="宋体" w:eastAsia="宋体" w:cs="宋体"/>
          <w:lang w:val="en-US" w:eastAsia="zh-CN"/>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both"/>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bCs/>
          <w:color w:val="auto"/>
          <w:sz w:val="36"/>
          <w:szCs w:val="36"/>
          <w:highlight w:val="none"/>
        </w:rPr>
      </w:pPr>
    </w:p>
    <w:p>
      <w:pPr>
        <w:pStyle w:val="6"/>
        <w:spacing w:after="240" w:afterLines="100" w:line="360" w:lineRule="auto"/>
        <w:ind w:firstLine="0"/>
        <w:jc w:val="center"/>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t>四、商务条款偏离表</w:t>
      </w:r>
    </w:p>
    <w:p>
      <w:pPr>
        <w:pStyle w:val="6"/>
        <w:spacing w:after="120" w:afterLines="50"/>
        <w:ind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供应商名称：                                采购项目编号：</w:t>
      </w:r>
      <w:r>
        <w:rPr>
          <w:rFonts w:hint="eastAsia" w:ascii="宋体" w:hAnsi="宋体" w:eastAsia="宋体" w:cs="宋体"/>
          <w:color w:val="auto"/>
          <w:sz w:val="24"/>
          <w:szCs w:val="24"/>
          <w:highlight w:val="none"/>
          <w:lang w:val="en-US" w:eastAsia="zh-CN"/>
        </w:rPr>
        <w:t xml:space="preserve">       </w:t>
      </w:r>
    </w:p>
    <w:tbl>
      <w:tblPr>
        <w:tblStyle w:val="26"/>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135"/>
        <w:gridCol w:w="2344"/>
        <w:gridCol w:w="2287"/>
        <w:gridCol w:w="769"/>
        <w:gridCol w:w="17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35"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文件条目号</w:t>
            </w:r>
          </w:p>
        </w:tc>
        <w:tc>
          <w:tcPr>
            <w:tcW w:w="2344"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磋商文件商务要求</w:t>
            </w:r>
          </w:p>
        </w:tc>
        <w:tc>
          <w:tcPr>
            <w:tcW w:w="2287"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响应文件商务响应</w:t>
            </w:r>
          </w:p>
        </w:tc>
        <w:tc>
          <w:tcPr>
            <w:tcW w:w="769"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1734"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51" w:type="dxa"/>
            <w:noWrap w:val="0"/>
            <w:vAlign w:val="center"/>
          </w:tcPr>
          <w:p>
            <w:pPr>
              <w:adjustRightInd w:val="0"/>
              <w:snapToGrid w:val="0"/>
              <w:spacing w:line="360" w:lineRule="auto"/>
              <w:ind w:right="2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c>
          <w:tcPr>
            <w:tcW w:w="8269" w:type="dxa"/>
            <w:gridSpan w:val="5"/>
            <w:noWrap w:val="0"/>
            <w:vAlign w:val="top"/>
          </w:tcPr>
          <w:p>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1.偏离应按照磋商文件第二章第1.11条款定义理解，本表只填写有偏离的情况。</w:t>
            </w:r>
          </w:p>
          <w:p>
            <w:pPr>
              <w:spacing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2.对商务条款中所有要求，除本表所列出偏离外，均视为供应商响应其余全部商务条款要求；如供应商响应磋商文件所有商务条款要求的，必须提交空白表，否则，其</w:t>
            </w:r>
            <w:r>
              <w:rPr>
                <w:rFonts w:hint="eastAsia" w:ascii="宋体" w:hAnsi="宋体" w:eastAsia="宋体" w:cs="宋体"/>
                <w:b/>
                <w:color w:val="auto"/>
                <w:sz w:val="21"/>
                <w:szCs w:val="21"/>
                <w:highlight w:val="none"/>
              </w:rPr>
              <w:t>响应文件无效</w:t>
            </w:r>
            <w:r>
              <w:rPr>
                <w:rFonts w:hint="eastAsia" w:ascii="宋体" w:hAnsi="宋体" w:eastAsia="宋体" w:cs="宋体"/>
                <w:color w:val="auto"/>
                <w:sz w:val="21"/>
                <w:szCs w:val="21"/>
                <w:highlight w:val="none"/>
              </w:rPr>
              <w:t>。</w:t>
            </w:r>
          </w:p>
        </w:tc>
      </w:tr>
    </w:tbl>
    <w:p>
      <w:pPr>
        <w:adjustRightInd w:val="0"/>
        <w:spacing w:line="400" w:lineRule="exact"/>
        <w:ind w:firstLine="560" w:firstLineChars="200"/>
        <w:jc w:val="left"/>
        <w:rPr>
          <w:rFonts w:hint="eastAsia" w:ascii="宋体" w:hAnsi="宋体" w:eastAsia="宋体" w:cs="宋体"/>
          <w:bCs/>
          <w:color w:val="auto"/>
          <w:sz w:val="28"/>
          <w:szCs w:val="28"/>
          <w:highlight w:val="none"/>
        </w:rPr>
      </w:pPr>
    </w:p>
    <w:p>
      <w:pPr>
        <w:adjustRightInd w:val="0"/>
        <w:spacing w:line="400" w:lineRule="exact"/>
        <w:ind w:firstLine="560" w:firstLineChars="200"/>
        <w:jc w:val="left"/>
        <w:rPr>
          <w:rFonts w:hint="eastAsia" w:ascii="宋体" w:hAnsi="宋体" w:eastAsia="宋体" w:cs="宋体"/>
          <w:bCs/>
          <w:color w:val="auto"/>
          <w:sz w:val="28"/>
          <w:szCs w:val="28"/>
          <w:highlight w:val="none"/>
        </w:rPr>
      </w:pPr>
    </w:p>
    <w:p>
      <w:pPr>
        <w:adjustRightInd w:val="0"/>
        <w:snapToGrid w:val="0"/>
        <w:spacing w:before="480" w:beforeLines="200" w:line="360" w:lineRule="auto"/>
        <w:ind w:firstLine="2354" w:firstLineChars="98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五、</w:t>
      </w:r>
      <w:r>
        <w:rPr>
          <w:rFonts w:hint="eastAsia" w:ascii="宋体" w:hAnsi="宋体" w:eastAsia="宋体" w:cs="宋体"/>
          <w:color w:val="auto"/>
          <w:sz w:val="36"/>
          <w:szCs w:val="36"/>
          <w:highlight w:val="none"/>
        </w:rPr>
        <w:t>承诺文件</w:t>
      </w:r>
    </w:p>
    <w:p>
      <w:pPr>
        <w:pStyle w:val="5"/>
        <w:spacing w:before="240" w:beforeLines="100" w:after="120" w:afterLines="50" w:line="360" w:lineRule="auto"/>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1.质量安全责任承诺书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为保证本采购项目顺利进行，作为投标人，现郑重承诺：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1.我方所投产品的生产（包括设计、制造、安装、改造、维修等）、投入使用的材料等均完全符合国家现行质量、安全、环保标准和要求。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2.我方将严格按照国家现行相关储存、运输、安装调试技术标准及规范、服务标准及规范、施工标准及规范，在规定的时限内，保质、保量完成项目全部内容，并向采购人交付合格产品。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3.对于因产品生产质量以及储存、运输、安装调试、服务、施工等过程中产生的任何安全事故，我方承担全部责任。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4.我方提供的货物、工程、服务等符合现行的国家、行业、地区、企业标准及要求，标准不一致的，以更为严格的为准，我方对提供的货物、工程、服务等的质量、安全、环保等承担全部责任。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adjustRightIn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adjustRightInd w:val="0"/>
        <w:spacing w:line="360" w:lineRule="auto"/>
        <w:ind w:firstLine="420"/>
        <w:jc w:val="left"/>
        <w:rPr>
          <w:rFonts w:hint="eastAsia" w:ascii="宋体" w:hAnsi="宋体" w:eastAsia="宋体" w:cs="宋体"/>
          <w:color w:val="auto"/>
          <w:sz w:val="24"/>
          <w:szCs w:val="24"/>
          <w:highlight w:val="none"/>
        </w:rPr>
      </w:pPr>
    </w:p>
    <w:p>
      <w:pPr>
        <w:adjustRightIn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adjustRightInd w:val="0"/>
        <w:spacing w:line="400" w:lineRule="exact"/>
        <w:jc w:val="left"/>
        <w:rPr>
          <w:rFonts w:hint="eastAsia" w:ascii="宋体" w:hAnsi="宋体" w:eastAsia="宋体" w:cs="宋体"/>
          <w:b/>
          <w:color w:val="auto"/>
          <w:sz w:val="24"/>
          <w:szCs w:val="24"/>
          <w:highlight w:val="none"/>
        </w:rPr>
      </w:pPr>
    </w:p>
    <w:p>
      <w:pPr>
        <w:adjustRightInd w:val="0"/>
        <w:spacing w:line="400" w:lineRule="exact"/>
        <w:jc w:val="left"/>
        <w:rPr>
          <w:rFonts w:hint="eastAsia" w:ascii="宋体" w:hAnsi="宋体" w:eastAsia="宋体" w:cs="宋体"/>
          <w:b/>
          <w:bCs/>
          <w:color w:val="auto"/>
          <w:sz w:val="24"/>
          <w:szCs w:val="24"/>
          <w:highlight w:val="none"/>
        </w:rPr>
      </w:pPr>
    </w:p>
    <w:p>
      <w:pPr>
        <w:adjustRightInd w:val="0"/>
        <w:spacing w:line="400" w:lineRule="exact"/>
        <w:jc w:val="left"/>
        <w:rPr>
          <w:rFonts w:hint="eastAsia" w:ascii="宋体" w:hAnsi="宋体" w:eastAsia="宋体" w:cs="宋体"/>
          <w:b/>
          <w:bCs/>
          <w:color w:val="auto"/>
          <w:sz w:val="24"/>
          <w:szCs w:val="24"/>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说明：供应商未签署承诺书的，</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，责任由供应商自行承担。</w:t>
      </w:r>
    </w:p>
    <w:p>
      <w:pPr>
        <w:pStyle w:val="7"/>
        <w:rPr>
          <w:rFonts w:hint="eastAsia"/>
        </w:rPr>
      </w:pPr>
    </w:p>
    <w:p>
      <w:pPr>
        <w:pStyle w:val="7"/>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5"/>
        <w:spacing w:before="0" w:after="360" w:afterLines="150" w:line="240" w:lineRule="auto"/>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2.参加政府采购活动行为自律承诺书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作为参加本次政府采购项目的投标人，我方郑重承诺在参与政府采购活动中遵纪守法、公平竞争、诚实守信，如有违反愿承担一切责任及后果：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1．不与采购人、采购代理机构、政府采购评审专家恶意串通，不向其行贿或提供其他不正当利益；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2．不与其他投标人恶意串通，采取“围标、串标、陪标”等商业欺诈手段谋取中标、成交；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3．不提供虚假或无效证明文件（包括但不限于资格证明文件、合同及验收文件、检验检测报告、从业人员资格证书、机构或所投产品的各类认证证书等）或虚假材料谋取中标；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4．不采取不正当手段诋毁、排挤其他供应商；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5．不以不正当理由拒不与采购人签订政府采购合同，或逾期签订政府采购合同，或不按照采购文件确定的事项签订政府采购合同；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6．不以不正当理由拒绝履行合同义务，不会擅自变更、中止或者终止政府采购合同或将政府采购合同转包；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7．不在提供商品、服务或工程施工过程中提供假冒伪劣产品，损害采购人的合法权益或公共利益；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8．不采取捏造事实、提供虚假材料或者以非法手段取得证明材料进行质疑和投诉；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10．尊重和接受政府采购监督管理部门的监督和采购人、采购代理机构的政府采购工作要求，愿意承担因违约行为给采购人造成的损失。</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（供应商名称、加盖单位章）</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20" w:firstLineChars="200"/>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3.其他承诺</w:t>
      </w:r>
    </w:p>
    <w:p>
      <w:pPr>
        <w:adjustRightInd w:val="0"/>
        <w:spacing w:line="400" w:lineRule="exact"/>
        <w:ind w:firstLine="420" w:firstLineChars="200"/>
        <w:jc w:val="left"/>
        <w:rPr>
          <w:rFonts w:hint="eastAsia" w:ascii="宋体" w:hAnsi="宋体" w:eastAsia="宋体" w:cs="宋体"/>
          <w:color w:val="auto"/>
          <w:szCs w:val="21"/>
          <w:highlight w:val="none"/>
        </w:rPr>
      </w:pPr>
    </w:p>
    <w:p>
      <w:pPr>
        <w:adjustRightIn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pacing w:line="400" w:lineRule="exact"/>
        <w:ind w:firstLine="840" w:firstLineChars="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服务方案</w:t>
      </w:r>
      <w:r>
        <w:rPr>
          <w:rFonts w:hint="eastAsia" w:ascii="宋体" w:hAnsi="宋体" w:eastAsia="宋体" w:cs="宋体"/>
          <w:color w:val="auto"/>
          <w:szCs w:val="21"/>
          <w:highlight w:val="none"/>
        </w:rPr>
        <w:t>格式自定。投标人根据磋商文件要求和采购需求，作出质保期服务计划等承诺。</w:t>
      </w:r>
    </w:p>
    <w:p>
      <w:pPr>
        <w:adjustRightInd w:val="0"/>
        <w:spacing w:line="400" w:lineRule="exact"/>
        <w:jc w:val="center"/>
        <w:rPr>
          <w:rFonts w:hint="eastAsia" w:ascii="宋体" w:hAnsi="宋体" w:eastAsia="宋体" w:cs="宋体"/>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pStyle w:val="49"/>
        <w:rPr>
          <w:rFonts w:hint="eastAsia" w:ascii="宋体" w:hAnsi="宋体" w:eastAsia="宋体" w:cs="宋体"/>
        </w:rPr>
      </w:pPr>
    </w:p>
    <w:p>
      <w:pPr>
        <w:adjustRightInd w:val="0"/>
        <w:spacing w:line="400" w:lineRule="exact"/>
        <w:jc w:val="left"/>
        <w:rPr>
          <w:rFonts w:hint="eastAsia" w:ascii="宋体" w:hAnsi="宋体" w:eastAsia="宋体" w:cs="宋体"/>
          <w:bCs/>
          <w:color w:val="auto"/>
          <w:sz w:val="24"/>
          <w:highlight w:val="none"/>
        </w:rPr>
      </w:pPr>
    </w:p>
    <w:p>
      <w:pPr>
        <w:spacing w:line="360" w:lineRule="auto"/>
        <w:jc w:val="center"/>
        <w:rPr>
          <w:rFonts w:hint="eastAsia" w:ascii="宋体" w:hAnsi="宋体" w:eastAsia="宋体" w:cs="宋体"/>
          <w:color w:val="auto"/>
          <w:kern w:val="0"/>
          <w:sz w:val="36"/>
          <w:szCs w:val="36"/>
          <w:highlight w:val="none"/>
          <w:lang w:val="en-US" w:eastAsia="zh-CN"/>
        </w:rPr>
      </w:pPr>
    </w:p>
    <w:p>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kern w:val="0"/>
          <w:sz w:val="36"/>
          <w:szCs w:val="36"/>
          <w:highlight w:val="none"/>
          <w:lang w:val="en-US" w:eastAsia="zh-CN"/>
        </w:rPr>
        <w:t>六</w:t>
      </w:r>
      <w:r>
        <w:rPr>
          <w:rFonts w:hint="eastAsia" w:ascii="宋体" w:hAnsi="宋体" w:eastAsia="宋体" w:cs="宋体"/>
          <w:color w:val="auto"/>
          <w:kern w:val="0"/>
          <w:sz w:val="36"/>
          <w:szCs w:val="36"/>
          <w:highlight w:val="none"/>
        </w:rPr>
        <w:t>、</w:t>
      </w:r>
      <w:bookmarkStart w:id="109" w:name="_Toc217446088"/>
      <w:r>
        <w:rPr>
          <w:rFonts w:hint="eastAsia" w:ascii="宋体" w:hAnsi="宋体" w:eastAsia="宋体" w:cs="宋体"/>
          <w:color w:val="auto"/>
          <w:sz w:val="36"/>
          <w:szCs w:val="36"/>
          <w:highlight w:val="none"/>
        </w:rPr>
        <w:t>其他证明材料</w:t>
      </w:r>
    </w:p>
    <w:p>
      <w:pPr>
        <w:spacing w:before="240" w:beforeLines="10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1.提供供应商近</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年完成的类似业绩证明材料；</w:t>
      </w:r>
    </w:p>
    <w:p>
      <w:pPr>
        <w:tabs>
          <w:tab w:val="left" w:pos="3600"/>
        </w:tabs>
        <w:adjustRightInd w:val="0"/>
        <w:snapToGrid w:val="0"/>
        <w:spacing w:line="360" w:lineRule="auto"/>
        <w:ind w:firstLine="480" w:firstLineChars="200"/>
        <w:rPr>
          <w:rFonts w:hint="eastAsia" w:ascii="宋体" w:hAnsi="宋体" w:eastAsia="宋体" w:cs="宋体"/>
          <w:bCs/>
          <w:color w:val="auto"/>
          <w:spacing w:val="6"/>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pacing w:val="6"/>
          <w:kern w:val="0"/>
          <w:sz w:val="24"/>
          <w:szCs w:val="24"/>
          <w:highlight w:val="none"/>
        </w:rPr>
        <w:t>其他证明材料，非供应商的必备证明材料，仅作为评审的因素。</w:t>
      </w:r>
    </w:p>
    <w:p>
      <w:pPr>
        <w:adjustRightInd w:val="0"/>
        <w:snapToGrid w:val="0"/>
        <w:spacing w:line="360" w:lineRule="auto"/>
        <w:jc w:val="left"/>
        <w:rPr>
          <w:rFonts w:hint="eastAsia" w:ascii="宋体" w:hAnsi="宋体" w:eastAsia="宋体" w:cs="宋体"/>
          <w:b/>
          <w:color w:val="auto"/>
          <w:sz w:val="24"/>
          <w:szCs w:val="24"/>
          <w:highlight w:val="none"/>
        </w:rPr>
      </w:pPr>
    </w:p>
    <w:p>
      <w:pPr>
        <w:adjustRightInd w:val="0"/>
        <w:snapToGrid w:val="0"/>
        <w:spacing w:line="360" w:lineRule="auto"/>
        <w:jc w:val="left"/>
        <w:rPr>
          <w:rFonts w:hint="eastAsia" w:ascii="宋体" w:hAnsi="宋体" w:eastAsia="宋体" w:cs="宋体"/>
          <w:b/>
          <w:color w:val="auto"/>
          <w:sz w:val="24"/>
          <w:szCs w:val="24"/>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adjustRightInd w:val="0"/>
        <w:snapToGrid w:val="0"/>
        <w:spacing w:after="120" w:afterLines="50"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1.供应商近</w:t>
      </w:r>
      <w:r>
        <w:rPr>
          <w:rFonts w:hint="eastAsia" w:ascii="宋体" w:hAnsi="宋体" w:eastAsia="宋体" w:cs="宋体"/>
          <w:bCs/>
          <w:color w:val="auto"/>
          <w:sz w:val="36"/>
          <w:szCs w:val="36"/>
          <w:highlight w:val="none"/>
          <w:lang w:val="en-US" w:eastAsia="zh-CN"/>
        </w:rPr>
        <w:t>5</w:t>
      </w:r>
      <w:r>
        <w:rPr>
          <w:rFonts w:hint="eastAsia" w:ascii="宋体" w:hAnsi="宋体" w:eastAsia="宋体" w:cs="宋体"/>
          <w:bCs/>
          <w:color w:val="auto"/>
          <w:sz w:val="36"/>
          <w:szCs w:val="36"/>
          <w:highlight w:val="none"/>
        </w:rPr>
        <w:t>年的类似业绩证明材料</w:t>
      </w:r>
    </w:p>
    <w:p>
      <w:pPr>
        <w:pStyle w:val="4"/>
        <w:spacing w:after="120" w:line="400" w:lineRule="exact"/>
        <w:ind w:firstLine="210" w:firstLineChars="1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                                                  单位：万元</w:t>
      </w:r>
    </w:p>
    <w:tbl>
      <w:tblPr>
        <w:tblStyle w:val="26"/>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733"/>
        <w:gridCol w:w="1276"/>
        <w:gridCol w:w="1275"/>
        <w:gridCol w:w="1560"/>
        <w:gridCol w:w="9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年份</w:t>
            </w:r>
          </w:p>
        </w:tc>
        <w:tc>
          <w:tcPr>
            <w:tcW w:w="162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用户名称</w:t>
            </w:r>
          </w:p>
        </w:tc>
        <w:tc>
          <w:tcPr>
            <w:tcW w:w="1733"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27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tc>
        <w:tc>
          <w:tcPr>
            <w:tcW w:w="1275"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完成时间</w:t>
            </w:r>
          </w:p>
        </w:tc>
        <w:tc>
          <w:tcPr>
            <w:tcW w:w="156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是否通过验收</w:t>
            </w:r>
          </w:p>
        </w:tc>
        <w:tc>
          <w:tcPr>
            <w:tcW w:w="904"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0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c>
          <w:tcPr>
            <w:tcW w:w="8368" w:type="dxa"/>
            <w:gridSpan w:val="6"/>
            <w:noWrap w:val="0"/>
            <w:vAlign w:val="top"/>
          </w:tcPr>
          <w:p>
            <w:pPr>
              <w:autoSpaceDE w:val="0"/>
              <w:autoSpaceDN w:val="0"/>
              <w:rPr>
                <w:rFonts w:hint="eastAsia" w:ascii="宋体" w:hAnsi="宋体" w:eastAsia="宋体" w:cs="宋体"/>
                <w:color w:val="auto"/>
                <w:sz w:val="24"/>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highlight w:val="none"/>
                <w:lang w:val="zh-CN"/>
              </w:rPr>
              <w:t>提供自</w:t>
            </w:r>
            <w:r>
              <w:rPr>
                <w:rFonts w:hint="eastAsia" w:ascii="宋体" w:hAnsi="宋体" w:eastAsia="宋体" w:cs="宋体"/>
                <w:color w:val="auto"/>
                <w:kern w:val="0"/>
                <w:highlight w:val="none"/>
                <w:u w:val="single"/>
                <w:lang w:val="zh-CN"/>
              </w:rPr>
              <w:t xml:space="preserve"> </w:t>
            </w:r>
            <w:r>
              <w:rPr>
                <w:rFonts w:hint="eastAsia" w:ascii="宋体" w:hAnsi="宋体" w:eastAsia="宋体" w:cs="宋体"/>
                <w:color w:val="auto"/>
                <w:kern w:val="0"/>
                <w:highlight w:val="none"/>
                <w:u w:val="single"/>
                <w:lang w:val="en-US" w:eastAsia="zh-CN"/>
              </w:rPr>
              <w:t>2018</w:t>
            </w:r>
            <w:r>
              <w:rPr>
                <w:rFonts w:hint="eastAsia" w:ascii="宋体" w:hAnsi="宋体" w:eastAsia="宋体" w:cs="宋体"/>
                <w:color w:val="auto"/>
                <w:kern w:val="0"/>
                <w:highlight w:val="none"/>
                <w:u w:val="single"/>
                <w:lang w:val="zh-CN"/>
              </w:rPr>
              <w:t xml:space="preserve"> </w:t>
            </w:r>
            <w:r>
              <w:rPr>
                <w:rFonts w:hint="eastAsia" w:ascii="宋体" w:hAnsi="宋体" w:eastAsia="宋体" w:cs="宋体"/>
                <w:color w:val="auto"/>
                <w:kern w:val="0"/>
                <w:highlight w:val="none"/>
                <w:lang w:val="zh-CN"/>
              </w:rPr>
              <w:t>年</w:t>
            </w:r>
            <w:r>
              <w:rPr>
                <w:rFonts w:hint="eastAsia" w:ascii="宋体" w:hAnsi="宋体" w:eastAsia="宋体" w:cs="宋体"/>
                <w:color w:val="auto"/>
                <w:kern w:val="0"/>
                <w:highlight w:val="none"/>
                <w:lang w:val="en-US" w:eastAsia="zh-CN"/>
              </w:rPr>
              <w:t>1月</w:t>
            </w:r>
            <w:r>
              <w:rPr>
                <w:rFonts w:hint="eastAsia" w:ascii="宋体" w:hAnsi="宋体" w:eastAsia="宋体" w:cs="宋体"/>
                <w:color w:val="auto"/>
                <w:kern w:val="0"/>
                <w:highlight w:val="none"/>
                <w:lang w:val="zh-CN"/>
              </w:rPr>
              <w:t>以来的类似业绩证明材料。类似业绩是指与采购项目在服务或产品类型、使用功能等方面相同或相近的项目；2.</w:t>
            </w:r>
            <w:r>
              <w:rPr>
                <w:rFonts w:hint="eastAsia" w:ascii="宋体" w:hAnsi="宋体" w:eastAsia="宋体" w:cs="宋体"/>
                <w:color w:val="auto"/>
                <w:szCs w:val="21"/>
                <w:highlight w:val="none"/>
              </w:rPr>
              <w:t>“合同金额”需提供合同扫描件；3.供应商</w:t>
            </w:r>
            <w:r>
              <w:rPr>
                <w:rFonts w:hint="eastAsia" w:ascii="宋体" w:hAnsi="宋体" w:eastAsia="宋体" w:cs="宋体"/>
                <w:bCs/>
                <w:color w:val="auto"/>
                <w:szCs w:val="21"/>
                <w:highlight w:val="none"/>
              </w:rPr>
              <w:t>未按上述要求提供、</w:t>
            </w:r>
            <w:r>
              <w:rPr>
                <w:rFonts w:hint="eastAsia" w:ascii="宋体" w:hAnsi="宋体" w:eastAsia="宋体" w:cs="宋体"/>
                <w:color w:val="auto"/>
                <w:szCs w:val="21"/>
                <w:highlight w:val="none"/>
              </w:rPr>
              <w:t>填写</w:t>
            </w:r>
            <w:r>
              <w:rPr>
                <w:rFonts w:hint="eastAsia" w:ascii="宋体" w:hAnsi="宋体" w:eastAsia="宋体" w:cs="宋体"/>
                <w:bCs/>
                <w:color w:val="auto"/>
                <w:szCs w:val="21"/>
                <w:highlight w:val="none"/>
              </w:rPr>
              <w:t>的，评审时不予加分。</w:t>
            </w:r>
          </w:p>
        </w:tc>
      </w:tr>
    </w:tbl>
    <w:p>
      <w:pPr>
        <w:pStyle w:val="6"/>
        <w:rPr>
          <w:rFonts w:hint="eastAsia" w:ascii="宋体" w:hAnsi="宋体" w:eastAsia="宋体" w:cs="宋体"/>
          <w:color w:val="auto"/>
          <w:highlight w:val="none"/>
        </w:rPr>
      </w:pPr>
    </w:p>
    <w:p>
      <w:pPr>
        <w:widowControl/>
        <w:spacing w:line="500" w:lineRule="atLeast"/>
        <w:ind w:firstLine="1920" w:firstLineChars="800"/>
        <w:rPr>
          <w:rFonts w:hint="eastAsia" w:ascii="宋体" w:hAnsi="宋体" w:eastAsia="宋体" w:cs="宋体"/>
          <w:kern w:val="0"/>
          <w:sz w:val="24"/>
          <w:szCs w:val="24"/>
          <w:highlight w:val="none"/>
          <w:lang w:val="zh-CN"/>
        </w:rPr>
      </w:pP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应</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商：</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lang w:val="zh-CN"/>
        </w:rPr>
        <w:t>（</w:t>
      </w:r>
      <w:r>
        <w:rPr>
          <w:rFonts w:hint="eastAsia" w:ascii="宋体" w:hAnsi="宋体" w:eastAsia="宋体" w:cs="宋体"/>
          <w:color w:val="auto"/>
          <w:sz w:val="24"/>
          <w:szCs w:val="24"/>
          <w:highlight w:val="none"/>
        </w:rPr>
        <w:t>盖单位章</w:t>
      </w:r>
      <w:r>
        <w:rPr>
          <w:rFonts w:hint="eastAsia" w:ascii="宋体" w:hAnsi="宋体" w:eastAsia="宋体" w:cs="宋体"/>
          <w:kern w:val="0"/>
          <w:sz w:val="24"/>
          <w:szCs w:val="24"/>
          <w:highlight w:val="none"/>
          <w:lang w:val="zh-CN"/>
        </w:rPr>
        <w:t>）</w:t>
      </w: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法定代表人或被授权委托人：</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（签字或盖章）</w:t>
      </w:r>
    </w:p>
    <w:p>
      <w:pPr>
        <w:widowControl/>
        <w:spacing w:line="500" w:lineRule="atLeast"/>
        <w:ind w:firstLine="1920" w:firstLineChars="800"/>
        <w:rPr>
          <w:rFonts w:hint="eastAsia" w:ascii="宋体" w:hAnsi="宋体" w:eastAsia="宋体" w:cs="宋体"/>
        </w:rPr>
      </w:pPr>
      <w:r>
        <w:rPr>
          <w:rFonts w:hint="eastAsia" w:ascii="宋体" w:hAnsi="宋体" w:eastAsia="宋体" w:cs="宋体"/>
          <w:kern w:val="0"/>
          <w:sz w:val="24"/>
          <w:szCs w:val="24"/>
          <w:highlight w:val="none"/>
          <w:lang w:val="zh-CN"/>
        </w:rPr>
        <w:t>日      期：</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年</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日</w:t>
      </w:r>
    </w:p>
    <w:p>
      <w:pPr>
        <w:pStyle w:val="6"/>
        <w:ind w:firstLine="0"/>
        <w:jc w:val="left"/>
        <w:rPr>
          <w:rFonts w:hint="eastAsia" w:ascii="宋体" w:hAnsi="宋体" w:eastAsia="宋体" w:cs="宋体"/>
          <w:b/>
          <w:color w:val="auto"/>
          <w:sz w:val="36"/>
          <w:szCs w:val="36"/>
          <w:highlight w:val="none"/>
        </w:rPr>
      </w:pPr>
    </w:p>
    <w:p>
      <w:pPr>
        <w:pStyle w:val="52"/>
        <w:spacing w:before="360" w:beforeLines="150" w:line="360" w:lineRule="auto"/>
        <w:rPr>
          <w:rFonts w:hint="eastAsia" w:ascii="宋体" w:hAnsi="宋体" w:eastAsia="宋体" w:cs="宋体"/>
          <w:b/>
          <w:bCs/>
          <w:color w:val="auto"/>
          <w:highlight w:val="none"/>
        </w:rPr>
      </w:pPr>
      <w:r>
        <w:rPr>
          <w:rFonts w:hint="eastAsia" w:ascii="宋体" w:hAnsi="宋体" w:eastAsia="宋体" w:cs="宋体"/>
          <w:bCs/>
          <w:color w:val="auto"/>
          <w:highlight w:val="none"/>
        </w:rPr>
        <w:t xml:space="preserve">   </w:t>
      </w:r>
    </w:p>
    <w:bookmarkEnd w:id="109"/>
    <w:p>
      <w:pPr>
        <w:adjustRightInd w:val="0"/>
        <w:spacing w:line="400" w:lineRule="exact"/>
        <w:jc w:val="center"/>
        <w:rPr>
          <w:rFonts w:hint="eastAsia" w:ascii="宋体" w:hAnsi="宋体" w:eastAsia="宋体" w:cs="宋体"/>
          <w:bCs/>
          <w:color w:val="auto"/>
          <w:sz w:val="36"/>
          <w:szCs w:val="36"/>
          <w:highlight w:val="none"/>
        </w:rPr>
      </w:pPr>
      <w:bookmarkStart w:id="110" w:name="_Toc217446089"/>
      <w:r>
        <w:rPr>
          <w:rFonts w:hint="eastAsia" w:ascii="宋体" w:hAnsi="宋体" w:eastAsia="宋体" w:cs="宋体"/>
          <w:bCs/>
          <w:color w:val="auto"/>
          <w:sz w:val="36"/>
          <w:szCs w:val="36"/>
          <w:highlight w:val="none"/>
          <w:lang w:val="en-US" w:eastAsia="zh-CN"/>
        </w:rPr>
        <w:br w:type="page"/>
      </w:r>
      <w:r>
        <w:rPr>
          <w:rFonts w:hint="eastAsia" w:ascii="宋体" w:hAnsi="宋体" w:eastAsia="宋体" w:cs="宋体"/>
          <w:bCs/>
          <w:color w:val="auto"/>
          <w:sz w:val="36"/>
          <w:szCs w:val="36"/>
          <w:highlight w:val="none"/>
          <w:lang w:val="en-US" w:eastAsia="zh-CN"/>
        </w:rPr>
        <w:t>七</w:t>
      </w:r>
      <w:r>
        <w:rPr>
          <w:rFonts w:hint="eastAsia" w:ascii="宋体" w:hAnsi="宋体" w:eastAsia="宋体" w:cs="宋体"/>
          <w:bCs/>
          <w:color w:val="auto"/>
          <w:sz w:val="36"/>
          <w:szCs w:val="36"/>
          <w:highlight w:val="none"/>
        </w:rPr>
        <w:t>、技术文件</w:t>
      </w:r>
    </w:p>
    <w:p>
      <w:pPr>
        <w:adjustRightInd w:val="0"/>
        <w:spacing w:line="400" w:lineRule="exact"/>
        <w:jc w:val="left"/>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格式自定。应当包括（但不限于）供应商须知第4.2.4条款规定的内容。</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6"/>
        <w:ind w:firstLine="0"/>
        <w:rPr>
          <w:rFonts w:hint="eastAsia" w:ascii="宋体" w:hAnsi="宋体" w:eastAsia="宋体" w:cs="宋体"/>
          <w:b/>
          <w:color w:val="auto"/>
          <w:sz w:val="36"/>
          <w:szCs w:val="36"/>
          <w:highlight w:val="none"/>
        </w:rPr>
      </w:pPr>
    </w:p>
    <w:p>
      <w:pP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bookmarkEnd w:id="110"/>
    <w:p>
      <w:pPr>
        <w:adjustRightInd w:val="0"/>
        <w:snapToGrid w:val="0"/>
        <w:spacing w:line="360" w:lineRule="auto"/>
        <w:outlineLvl w:val="0"/>
        <w:rPr>
          <w:rFonts w:hint="eastAsia" w:ascii="宋体" w:hAnsi="宋体" w:eastAsia="宋体" w:cs="宋体"/>
          <w:b/>
          <w:color w:val="auto"/>
          <w:sz w:val="36"/>
          <w:szCs w:val="36"/>
          <w:highlight w:val="none"/>
        </w:rPr>
      </w:pPr>
      <w:bookmarkStart w:id="111" w:name="_Toc217446092"/>
    </w:p>
    <w:p>
      <w:pPr>
        <w:spacing w:line="400" w:lineRule="atLeast"/>
        <w:rPr>
          <w:rFonts w:hint="eastAsia" w:ascii="宋体" w:hAnsi="宋体" w:eastAsia="宋体" w:cs="宋体"/>
          <w:color w:val="auto"/>
          <w:sz w:val="28"/>
          <w:szCs w:val="28"/>
          <w:highlight w:val="none"/>
        </w:rPr>
      </w:pPr>
    </w:p>
    <w:p>
      <w:pPr>
        <w:spacing w:line="400" w:lineRule="atLeast"/>
        <w:rPr>
          <w:rFonts w:hint="eastAsia" w:ascii="宋体" w:hAnsi="宋体" w:eastAsia="宋体" w:cs="宋体"/>
          <w:color w:val="auto"/>
          <w:sz w:val="28"/>
          <w:szCs w:val="28"/>
          <w:highlight w:val="none"/>
        </w:rPr>
      </w:pPr>
    </w:p>
    <w:bookmarkEnd w:id="111"/>
    <w:p>
      <w:pPr>
        <w:pStyle w:val="4"/>
        <w:spacing w:before="0" w:after="0" w:line="360" w:lineRule="auto"/>
        <w:jc w:val="center"/>
        <w:rPr>
          <w:rFonts w:hint="eastAsia" w:ascii="宋体" w:hAnsi="宋体" w:eastAsia="宋体" w:cs="宋体"/>
          <w:b w:val="0"/>
          <w:bCs/>
          <w:color w:val="auto"/>
          <w:kern w:val="0"/>
          <w:sz w:val="36"/>
          <w:szCs w:val="36"/>
          <w:highlight w:val="none"/>
        </w:rPr>
      </w:pPr>
      <w:r>
        <w:rPr>
          <w:rFonts w:hint="eastAsia" w:ascii="宋体" w:hAnsi="宋体" w:eastAsia="宋体" w:cs="宋体"/>
          <w:b w:val="0"/>
          <w:bCs/>
          <w:color w:val="auto"/>
          <w:kern w:val="0"/>
          <w:sz w:val="36"/>
          <w:szCs w:val="36"/>
          <w:highlight w:val="none"/>
          <w:lang w:val="en-US" w:eastAsia="zh-CN"/>
        </w:rPr>
        <w:t>八</w:t>
      </w:r>
      <w:r>
        <w:rPr>
          <w:rFonts w:hint="eastAsia" w:ascii="宋体" w:hAnsi="宋体" w:eastAsia="宋体" w:cs="宋体"/>
          <w:b w:val="0"/>
          <w:bCs/>
          <w:color w:val="auto"/>
          <w:kern w:val="0"/>
          <w:sz w:val="36"/>
          <w:szCs w:val="36"/>
          <w:highlight w:val="none"/>
        </w:rPr>
        <w:t>、服务要求偏离表</w:t>
      </w:r>
    </w:p>
    <w:p>
      <w:pPr>
        <w:pStyle w:val="6"/>
        <w:spacing w:before="120" w:beforeLines="50" w:after="120" w:afterLines="50"/>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供应商名称：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lang w:val="en-US" w:eastAsia="zh-CN"/>
        </w:rPr>
        <w:t xml:space="preserve">           </w:t>
      </w:r>
    </w:p>
    <w:tbl>
      <w:tblPr>
        <w:tblStyle w:val="26"/>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74"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文件条目号</w:t>
            </w:r>
          </w:p>
        </w:tc>
        <w:tc>
          <w:tcPr>
            <w:tcW w:w="1865" w:type="dxa"/>
            <w:noWrap w:val="0"/>
            <w:vAlign w:val="center"/>
          </w:tcPr>
          <w:p>
            <w:pPr>
              <w:adjustRightInd w:val="0"/>
              <w:snapToGrid w:val="0"/>
              <w:ind w:right="23"/>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磋商文件服务</w:t>
            </w:r>
          </w:p>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（技术）</w:t>
            </w:r>
            <w:r>
              <w:rPr>
                <w:rFonts w:hint="eastAsia" w:ascii="宋体" w:hAnsi="宋体" w:eastAsia="宋体" w:cs="宋体"/>
                <w:b/>
                <w:bCs/>
                <w:color w:val="auto"/>
                <w:szCs w:val="21"/>
                <w:highlight w:val="none"/>
              </w:rPr>
              <w:t>要求</w:t>
            </w:r>
          </w:p>
        </w:tc>
        <w:tc>
          <w:tcPr>
            <w:tcW w:w="2542" w:type="dxa"/>
            <w:noWrap w:val="0"/>
            <w:vAlign w:val="center"/>
          </w:tcPr>
          <w:p>
            <w:pPr>
              <w:adjustRightInd w:val="0"/>
              <w:snapToGrid w:val="0"/>
              <w:ind w:right="23"/>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响应文件服务</w:t>
            </w:r>
          </w:p>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（技术）响应</w:t>
            </w:r>
          </w:p>
        </w:tc>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tc>
        <w:tc>
          <w:tcPr>
            <w:tcW w:w="1684"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41" w:type="dxa"/>
            <w:noWrap w:val="0"/>
            <w:vAlign w:val="center"/>
          </w:tcPr>
          <w:p>
            <w:pPr>
              <w:adjustRightInd w:val="0"/>
              <w:snapToGrid w:val="0"/>
              <w:spacing w:line="360" w:lineRule="auto"/>
              <w:ind w:right="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c>
          <w:tcPr>
            <w:tcW w:w="8406" w:type="dxa"/>
            <w:gridSpan w:val="5"/>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1.偏离应按照磋商文件第二章第1.11条款定义理解，本表只填写有偏离的情况。</w:t>
            </w:r>
          </w:p>
          <w:p>
            <w:pPr>
              <w:adjustRightInd w:val="0"/>
              <w:snapToGrid w:val="0"/>
              <w:ind w:right="24"/>
              <w:rPr>
                <w:rFonts w:hint="eastAsia" w:ascii="宋体" w:hAnsi="宋体" w:eastAsia="宋体" w:cs="宋体"/>
                <w:bCs/>
                <w:color w:val="auto"/>
                <w:sz w:val="24"/>
                <w:highlight w:val="none"/>
              </w:rPr>
            </w:pPr>
            <w:r>
              <w:rPr>
                <w:rFonts w:hint="eastAsia" w:ascii="宋体" w:hAnsi="宋体" w:eastAsia="宋体" w:cs="宋体"/>
                <w:color w:val="auto"/>
                <w:szCs w:val="21"/>
                <w:highlight w:val="none"/>
              </w:rPr>
              <w:t>2.对技术条款中所有要求，除本表所列出偏离外，均视为供应商响应其余全部技术条款要求；如供应商响应磋商文件所有技术条款要求的，必须提交空白表，否则，其</w:t>
            </w:r>
            <w:r>
              <w:rPr>
                <w:rFonts w:hint="eastAsia" w:ascii="宋体" w:hAnsi="宋体" w:eastAsia="宋体" w:cs="宋体"/>
                <w:b/>
                <w:color w:val="auto"/>
                <w:szCs w:val="21"/>
                <w:highlight w:val="none"/>
              </w:rPr>
              <w:t>响应文件无效</w:t>
            </w:r>
            <w:r>
              <w:rPr>
                <w:rFonts w:hint="eastAsia" w:ascii="宋体" w:hAnsi="宋体" w:eastAsia="宋体" w:cs="宋体"/>
                <w:color w:val="auto"/>
                <w:szCs w:val="21"/>
                <w:highlight w:val="none"/>
              </w:rPr>
              <w:t>。</w:t>
            </w:r>
          </w:p>
        </w:tc>
      </w:tr>
    </w:tbl>
    <w:p>
      <w:pPr>
        <w:adjustRightInd w:val="0"/>
        <w:spacing w:line="400" w:lineRule="exact"/>
        <w:ind w:firstLine="367" w:firstLineChars="175"/>
        <w:jc w:val="left"/>
        <w:rPr>
          <w:rFonts w:hint="eastAsia" w:ascii="宋体" w:hAnsi="宋体" w:eastAsia="宋体" w:cs="宋体"/>
          <w:bCs/>
          <w:color w:val="auto"/>
          <w:szCs w:val="21"/>
          <w:highlight w:val="none"/>
        </w:rPr>
      </w:pPr>
    </w:p>
    <w:p>
      <w:pPr>
        <w:adjustRightInd w:val="0"/>
        <w:spacing w:line="400" w:lineRule="exact"/>
        <w:ind w:firstLine="367" w:firstLineChars="175"/>
        <w:jc w:val="left"/>
        <w:rPr>
          <w:rFonts w:hint="eastAsia" w:ascii="宋体" w:hAnsi="宋体" w:eastAsia="宋体" w:cs="宋体"/>
          <w:bCs/>
          <w:color w:val="auto"/>
          <w:szCs w:val="21"/>
          <w:highlight w:val="none"/>
        </w:rPr>
      </w:pP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应</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商：</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lang w:val="zh-CN"/>
        </w:rPr>
        <w:t>（</w:t>
      </w:r>
      <w:r>
        <w:rPr>
          <w:rFonts w:hint="eastAsia" w:ascii="宋体" w:hAnsi="宋体" w:eastAsia="宋体" w:cs="宋体"/>
          <w:color w:val="auto"/>
          <w:sz w:val="24"/>
          <w:szCs w:val="24"/>
          <w:highlight w:val="none"/>
        </w:rPr>
        <w:t>盖单位章</w:t>
      </w:r>
      <w:r>
        <w:rPr>
          <w:rFonts w:hint="eastAsia" w:ascii="宋体" w:hAnsi="宋体" w:eastAsia="宋体" w:cs="宋体"/>
          <w:kern w:val="0"/>
          <w:sz w:val="24"/>
          <w:szCs w:val="24"/>
          <w:highlight w:val="none"/>
          <w:lang w:val="zh-CN"/>
        </w:rPr>
        <w:t>）</w:t>
      </w: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法定代表人或被授权委托人：</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（签字或盖章）</w:t>
      </w:r>
    </w:p>
    <w:p>
      <w:pPr>
        <w:widowControl/>
        <w:spacing w:line="500" w:lineRule="atLeast"/>
        <w:ind w:firstLine="1920" w:firstLineChars="800"/>
        <w:rPr>
          <w:rFonts w:hint="eastAsia" w:ascii="宋体" w:hAnsi="宋体" w:eastAsia="宋体" w:cs="宋体"/>
        </w:rPr>
      </w:pPr>
      <w:r>
        <w:rPr>
          <w:rFonts w:hint="eastAsia" w:ascii="宋体" w:hAnsi="宋体" w:eastAsia="宋体" w:cs="宋体"/>
          <w:kern w:val="0"/>
          <w:sz w:val="24"/>
          <w:szCs w:val="24"/>
          <w:highlight w:val="none"/>
          <w:lang w:val="zh-CN"/>
        </w:rPr>
        <w:t>日      期：</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年</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日</w:t>
      </w:r>
    </w:p>
    <w:p>
      <w:pPr>
        <w:pStyle w:val="6"/>
        <w:ind w:firstLine="0"/>
        <w:jc w:val="left"/>
        <w:rPr>
          <w:rFonts w:hint="eastAsia" w:ascii="宋体" w:hAnsi="宋体" w:eastAsia="宋体" w:cs="宋体"/>
          <w:b/>
          <w:color w:val="auto"/>
          <w:sz w:val="36"/>
          <w:szCs w:val="36"/>
          <w:highlight w:val="none"/>
        </w:rPr>
      </w:pPr>
    </w:p>
    <w:p>
      <w:pPr>
        <w:pStyle w:val="52"/>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九</w:t>
      </w:r>
      <w:r>
        <w:rPr>
          <w:rFonts w:hint="eastAsia" w:ascii="宋体" w:hAnsi="宋体" w:eastAsia="宋体" w:cs="宋体"/>
          <w:color w:val="auto"/>
          <w:sz w:val="36"/>
          <w:szCs w:val="36"/>
          <w:highlight w:val="none"/>
        </w:rPr>
        <w:t>、供应商认为有必要补充说明的事项</w:t>
      </w: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 格式自定。</w:t>
      </w: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p>
      <w:pPr>
        <w:pStyle w:val="52"/>
        <w:spacing w:line="400" w:lineRule="exact"/>
        <w:rPr>
          <w:rFonts w:hint="eastAsia" w:ascii="宋体" w:hAnsi="宋体" w:eastAsia="宋体" w:cs="宋体"/>
          <w:color w:val="auto"/>
          <w:highlight w:val="none"/>
        </w:rPr>
      </w:pPr>
    </w:p>
    <w:sectPr>
      <w:footerReference r:id="rId5" w:type="default"/>
      <w:pgSz w:w="11907" w:h="16840"/>
      <w:pgMar w:top="1440" w:right="1474" w:bottom="1440" w:left="1474" w:header="851" w:footer="992" w:gutter="0"/>
      <w:pgNumType w:fmt="decimal" w:start="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8029BF-B839-4E6E-A451-2FDEB3917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06F479F-E3C2-4A88-AD14-FE6E7D527285}"/>
  </w:font>
  <w:font w:name="Arial Unicode MS">
    <w:altName w:val="宋体"/>
    <w:panose1 w:val="020B0604020202020204"/>
    <w:charset w:val="86"/>
    <w:family w:val="swiss"/>
    <w:pitch w:val="default"/>
    <w:sig w:usb0="00000000" w:usb1="00000000" w:usb2="0000003F" w:usb3="00000000" w:csb0="603F01FF" w:csb1="FFFF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SourceHanSansCN-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04A7F51B-CC60-4061-BBEC-E62876E6001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83575"/>
    <w:multiLevelType w:val="singleLevel"/>
    <w:tmpl w:val="C6983575"/>
    <w:lvl w:ilvl="0" w:tentative="0">
      <w:start w:val="1"/>
      <w:numFmt w:val="decimal"/>
      <w:suff w:val="nothing"/>
      <w:lvlText w:val="%1、"/>
      <w:lvlJc w:val="left"/>
    </w:lvl>
  </w:abstractNum>
  <w:abstractNum w:abstractNumId="1">
    <w:nsid w:val="CE7C1AE8"/>
    <w:multiLevelType w:val="singleLevel"/>
    <w:tmpl w:val="CE7C1AE8"/>
    <w:lvl w:ilvl="0" w:tentative="0">
      <w:start w:val="1"/>
      <w:numFmt w:val="chineseCounting"/>
      <w:suff w:val="space"/>
      <w:lvlText w:val="第%1章"/>
      <w:lvlJc w:val="left"/>
      <w:rPr>
        <w:rFonts w:hint="eastAsia"/>
      </w:rPr>
    </w:lvl>
  </w:abstractNum>
  <w:abstractNum w:abstractNumId="2">
    <w:nsid w:val="0000000E"/>
    <w:multiLevelType w:val="multilevel"/>
    <w:tmpl w:val="0000000E"/>
    <w:lvl w:ilvl="0" w:tentative="0">
      <w:start w:val="1"/>
      <w:numFmt w:val="decimal"/>
      <w:pStyle w:val="13"/>
      <w:lvlText w:val="%1."/>
      <w:lvlJc w:val="left"/>
      <w:pPr>
        <w:tabs>
          <w:tab w:val="left" w:pos="900"/>
        </w:tabs>
        <w:ind w:left="900" w:hanging="420"/>
      </w:pPr>
    </w:lvl>
    <w:lvl w:ilvl="1" w:tentative="0">
      <w:start w:val="1"/>
      <w:numFmt w:val="lowerLetter"/>
      <w:lvlText w:val="%2)"/>
      <w:lvlJc w:val="left"/>
      <w:pPr>
        <w:tabs>
          <w:tab w:val="left" w:pos="90"/>
        </w:tabs>
        <w:ind w:left="90" w:hanging="420"/>
      </w:pPr>
    </w:lvl>
    <w:lvl w:ilvl="2" w:tentative="0">
      <w:start w:val="1"/>
      <w:numFmt w:val="lowerRoman"/>
      <w:lvlText w:val="%3."/>
      <w:lvlJc w:val="right"/>
      <w:pPr>
        <w:tabs>
          <w:tab w:val="left" w:pos="510"/>
        </w:tabs>
        <w:ind w:left="510" w:hanging="420"/>
      </w:pPr>
    </w:lvl>
    <w:lvl w:ilvl="3" w:tentative="0">
      <w:start w:val="1"/>
      <w:numFmt w:val="decimal"/>
      <w:lvlText w:val="%4."/>
      <w:lvlJc w:val="left"/>
      <w:pPr>
        <w:tabs>
          <w:tab w:val="left" w:pos="930"/>
        </w:tabs>
        <w:ind w:left="930" w:hanging="420"/>
      </w:pPr>
    </w:lvl>
    <w:lvl w:ilvl="4" w:tentative="0">
      <w:start w:val="1"/>
      <w:numFmt w:val="lowerLetter"/>
      <w:lvlText w:val="%5)"/>
      <w:lvlJc w:val="left"/>
      <w:pPr>
        <w:tabs>
          <w:tab w:val="left" w:pos="1350"/>
        </w:tabs>
        <w:ind w:left="1350" w:hanging="420"/>
      </w:pPr>
    </w:lvl>
    <w:lvl w:ilvl="5" w:tentative="0">
      <w:start w:val="1"/>
      <w:numFmt w:val="lowerRoman"/>
      <w:lvlText w:val="%6."/>
      <w:lvlJc w:val="right"/>
      <w:pPr>
        <w:tabs>
          <w:tab w:val="left" w:pos="1770"/>
        </w:tabs>
        <w:ind w:left="1770" w:hanging="420"/>
      </w:pPr>
    </w:lvl>
    <w:lvl w:ilvl="6" w:tentative="0">
      <w:start w:val="1"/>
      <w:numFmt w:val="decimal"/>
      <w:lvlText w:val="%7."/>
      <w:lvlJc w:val="left"/>
      <w:pPr>
        <w:tabs>
          <w:tab w:val="left" w:pos="2190"/>
        </w:tabs>
        <w:ind w:left="2190" w:hanging="420"/>
      </w:pPr>
    </w:lvl>
    <w:lvl w:ilvl="7" w:tentative="0">
      <w:start w:val="1"/>
      <w:numFmt w:val="lowerLetter"/>
      <w:lvlText w:val="%8)"/>
      <w:lvlJc w:val="left"/>
      <w:pPr>
        <w:tabs>
          <w:tab w:val="left" w:pos="2610"/>
        </w:tabs>
        <w:ind w:left="2610" w:hanging="420"/>
      </w:pPr>
    </w:lvl>
    <w:lvl w:ilvl="8" w:tentative="0">
      <w:start w:val="1"/>
      <w:numFmt w:val="lowerRoman"/>
      <w:lvlText w:val="%9."/>
      <w:lvlJc w:val="right"/>
      <w:pPr>
        <w:tabs>
          <w:tab w:val="left" w:pos="3030"/>
        </w:tabs>
        <w:ind w:left="3030" w:hanging="420"/>
      </w:pPr>
    </w:lvl>
  </w:abstractNum>
  <w:abstractNum w:abstractNumId="3">
    <w:nsid w:val="22055814"/>
    <w:multiLevelType w:val="multilevel"/>
    <w:tmpl w:val="22055814"/>
    <w:lvl w:ilvl="0" w:tentative="0">
      <w:start w:val="1"/>
      <w:numFmt w:val="decimal"/>
      <w:pStyle w:val="6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63"/>
      <w:suff w:val="nothing"/>
      <w:lvlText w:val=""/>
      <w:lvlJc w:val="left"/>
      <w:pPr>
        <w:ind w:left="0" w:firstLine="0"/>
      </w:pPr>
    </w:lvl>
  </w:abstractNum>
  <w:abstractNum w:abstractNumId="5">
    <w:nsid w:val="3FF37759"/>
    <w:multiLevelType w:val="singleLevel"/>
    <w:tmpl w:val="3FF37759"/>
    <w:lvl w:ilvl="0" w:tentative="0">
      <w:start w:val="3"/>
      <w:numFmt w:val="chineseCounting"/>
      <w:suff w:val="nothing"/>
      <w:lvlText w:val="%1、"/>
      <w:lvlJc w:val="left"/>
      <w:rPr>
        <w:rFonts w:hint="eastAsi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TE0NjE3YTdlNTdkMDk1N2E4MWYzYWFiNjZhZDAifQ=="/>
  </w:docVars>
  <w:rsids>
    <w:rsidRoot w:val="00E07E8D"/>
    <w:rsid w:val="00000750"/>
    <w:rsid w:val="00001773"/>
    <w:rsid w:val="000022B9"/>
    <w:rsid w:val="000022E3"/>
    <w:rsid w:val="00002731"/>
    <w:rsid w:val="00002972"/>
    <w:rsid w:val="00002D20"/>
    <w:rsid w:val="00002F7A"/>
    <w:rsid w:val="00003C7F"/>
    <w:rsid w:val="00004491"/>
    <w:rsid w:val="0000477A"/>
    <w:rsid w:val="00005385"/>
    <w:rsid w:val="0000649C"/>
    <w:rsid w:val="000065CF"/>
    <w:rsid w:val="00007D47"/>
    <w:rsid w:val="000107A6"/>
    <w:rsid w:val="00010BA0"/>
    <w:rsid w:val="00010F17"/>
    <w:rsid w:val="000112F4"/>
    <w:rsid w:val="000119D1"/>
    <w:rsid w:val="00011B72"/>
    <w:rsid w:val="0001236F"/>
    <w:rsid w:val="00013324"/>
    <w:rsid w:val="00013BA0"/>
    <w:rsid w:val="000151D8"/>
    <w:rsid w:val="00016B35"/>
    <w:rsid w:val="00016CC4"/>
    <w:rsid w:val="00016DF8"/>
    <w:rsid w:val="00017F51"/>
    <w:rsid w:val="000200BB"/>
    <w:rsid w:val="00020477"/>
    <w:rsid w:val="000218BE"/>
    <w:rsid w:val="00021AE9"/>
    <w:rsid w:val="00021B63"/>
    <w:rsid w:val="00022627"/>
    <w:rsid w:val="0002333B"/>
    <w:rsid w:val="0002418E"/>
    <w:rsid w:val="00024B00"/>
    <w:rsid w:val="00024D77"/>
    <w:rsid w:val="00024EFD"/>
    <w:rsid w:val="00025C24"/>
    <w:rsid w:val="00025DC7"/>
    <w:rsid w:val="000261A3"/>
    <w:rsid w:val="00026B21"/>
    <w:rsid w:val="00027108"/>
    <w:rsid w:val="0003048D"/>
    <w:rsid w:val="0003181B"/>
    <w:rsid w:val="00031C12"/>
    <w:rsid w:val="00031D3B"/>
    <w:rsid w:val="00033490"/>
    <w:rsid w:val="000342F8"/>
    <w:rsid w:val="000349A2"/>
    <w:rsid w:val="000362E9"/>
    <w:rsid w:val="000362F6"/>
    <w:rsid w:val="0003699F"/>
    <w:rsid w:val="00036BD5"/>
    <w:rsid w:val="00037195"/>
    <w:rsid w:val="0004009F"/>
    <w:rsid w:val="00040272"/>
    <w:rsid w:val="00040C76"/>
    <w:rsid w:val="0004115D"/>
    <w:rsid w:val="000420AB"/>
    <w:rsid w:val="000433B9"/>
    <w:rsid w:val="000443F3"/>
    <w:rsid w:val="0004577D"/>
    <w:rsid w:val="00046582"/>
    <w:rsid w:val="000465A6"/>
    <w:rsid w:val="00046A51"/>
    <w:rsid w:val="000500AF"/>
    <w:rsid w:val="000501D5"/>
    <w:rsid w:val="00051FFC"/>
    <w:rsid w:val="00052E44"/>
    <w:rsid w:val="00052F51"/>
    <w:rsid w:val="00053172"/>
    <w:rsid w:val="00053450"/>
    <w:rsid w:val="00053B03"/>
    <w:rsid w:val="000544AB"/>
    <w:rsid w:val="00054888"/>
    <w:rsid w:val="000551FD"/>
    <w:rsid w:val="000561CD"/>
    <w:rsid w:val="000578D3"/>
    <w:rsid w:val="00057966"/>
    <w:rsid w:val="00060684"/>
    <w:rsid w:val="00060B38"/>
    <w:rsid w:val="00060B4C"/>
    <w:rsid w:val="000617AB"/>
    <w:rsid w:val="00061B6E"/>
    <w:rsid w:val="0006207C"/>
    <w:rsid w:val="0006286A"/>
    <w:rsid w:val="000632CD"/>
    <w:rsid w:val="00063592"/>
    <w:rsid w:val="00063CD5"/>
    <w:rsid w:val="00063CEA"/>
    <w:rsid w:val="00064080"/>
    <w:rsid w:val="00064365"/>
    <w:rsid w:val="00064A90"/>
    <w:rsid w:val="00065879"/>
    <w:rsid w:val="00065E40"/>
    <w:rsid w:val="0006604A"/>
    <w:rsid w:val="000668A3"/>
    <w:rsid w:val="0006703E"/>
    <w:rsid w:val="00067B1B"/>
    <w:rsid w:val="00070C3E"/>
    <w:rsid w:val="0007142D"/>
    <w:rsid w:val="0007190E"/>
    <w:rsid w:val="00071E42"/>
    <w:rsid w:val="00072537"/>
    <w:rsid w:val="00072590"/>
    <w:rsid w:val="000727D1"/>
    <w:rsid w:val="00072FDD"/>
    <w:rsid w:val="00072FFE"/>
    <w:rsid w:val="000731E2"/>
    <w:rsid w:val="000734D6"/>
    <w:rsid w:val="00073752"/>
    <w:rsid w:val="00075104"/>
    <w:rsid w:val="00075E0B"/>
    <w:rsid w:val="00076569"/>
    <w:rsid w:val="00076ACA"/>
    <w:rsid w:val="0007760B"/>
    <w:rsid w:val="00077933"/>
    <w:rsid w:val="000779F1"/>
    <w:rsid w:val="00077D71"/>
    <w:rsid w:val="00080440"/>
    <w:rsid w:val="00081035"/>
    <w:rsid w:val="000825C8"/>
    <w:rsid w:val="0008287C"/>
    <w:rsid w:val="00083417"/>
    <w:rsid w:val="000837F0"/>
    <w:rsid w:val="000851C6"/>
    <w:rsid w:val="00086728"/>
    <w:rsid w:val="000868AC"/>
    <w:rsid w:val="00086CA1"/>
    <w:rsid w:val="000871B3"/>
    <w:rsid w:val="00087292"/>
    <w:rsid w:val="00087F47"/>
    <w:rsid w:val="0009005B"/>
    <w:rsid w:val="00090CA3"/>
    <w:rsid w:val="00090EFE"/>
    <w:rsid w:val="00090F7A"/>
    <w:rsid w:val="0009121A"/>
    <w:rsid w:val="00091234"/>
    <w:rsid w:val="000912A2"/>
    <w:rsid w:val="00091C18"/>
    <w:rsid w:val="00091C7B"/>
    <w:rsid w:val="0009201E"/>
    <w:rsid w:val="000927A6"/>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82D"/>
    <w:rsid w:val="000A1612"/>
    <w:rsid w:val="000A34CA"/>
    <w:rsid w:val="000A3CCC"/>
    <w:rsid w:val="000A3CF2"/>
    <w:rsid w:val="000A3D69"/>
    <w:rsid w:val="000A403F"/>
    <w:rsid w:val="000A45DB"/>
    <w:rsid w:val="000A4CC5"/>
    <w:rsid w:val="000A6CAA"/>
    <w:rsid w:val="000A7111"/>
    <w:rsid w:val="000A766E"/>
    <w:rsid w:val="000B039E"/>
    <w:rsid w:val="000B0B6E"/>
    <w:rsid w:val="000B0E51"/>
    <w:rsid w:val="000B12AF"/>
    <w:rsid w:val="000B2517"/>
    <w:rsid w:val="000B43A7"/>
    <w:rsid w:val="000B4E99"/>
    <w:rsid w:val="000B5F7E"/>
    <w:rsid w:val="000B697E"/>
    <w:rsid w:val="000B6D83"/>
    <w:rsid w:val="000C009E"/>
    <w:rsid w:val="000C0130"/>
    <w:rsid w:val="000C03C2"/>
    <w:rsid w:val="000C18DA"/>
    <w:rsid w:val="000C1A60"/>
    <w:rsid w:val="000C1B0C"/>
    <w:rsid w:val="000C252A"/>
    <w:rsid w:val="000C2E15"/>
    <w:rsid w:val="000C31D9"/>
    <w:rsid w:val="000C45B5"/>
    <w:rsid w:val="000C53D9"/>
    <w:rsid w:val="000C5B36"/>
    <w:rsid w:val="000C5C8B"/>
    <w:rsid w:val="000C5E5F"/>
    <w:rsid w:val="000C6149"/>
    <w:rsid w:val="000C6174"/>
    <w:rsid w:val="000C6BD2"/>
    <w:rsid w:val="000C6D58"/>
    <w:rsid w:val="000D023B"/>
    <w:rsid w:val="000D077E"/>
    <w:rsid w:val="000D09C2"/>
    <w:rsid w:val="000D0AC8"/>
    <w:rsid w:val="000D0DA0"/>
    <w:rsid w:val="000D11D7"/>
    <w:rsid w:val="000D14D4"/>
    <w:rsid w:val="000D159E"/>
    <w:rsid w:val="000D1AAE"/>
    <w:rsid w:val="000D20AE"/>
    <w:rsid w:val="000D211D"/>
    <w:rsid w:val="000D216A"/>
    <w:rsid w:val="000D28BD"/>
    <w:rsid w:val="000D356A"/>
    <w:rsid w:val="000D48DB"/>
    <w:rsid w:val="000D4E6D"/>
    <w:rsid w:val="000D5222"/>
    <w:rsid w:val="000D69D8"/>
    <w:rsid w:val="000D769C"/>
    <w:rsid w:val="000D7775"/>
    <w:rsid w:val="000E000E"/>
    <w:rsid w:val="000E0747"/>
    <w:rsid w:val="000E0FC3"/>
    <w:rsid w:val="000E26CF"/>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99F"/>
    <w:rsid w:val="000F1020"/>
    <w:rsid w:val="000F13C1"/>
    <w:rsid w:val="000F1761"/>
    <w:rsid w:val="000F193D"/>
    <w:rsid w:val="000F1B02"/>
    <w:rsid w:val="000F1FD4"/>
    <w:rsid w:val="000F2684"/>
    <w:rsid w:val="000F2C30"/>
    <w:rsid w:val="000F2FCF"/>
    <w:rsid w:val="000F31AD"/>
    <w:rsid w:val="000F31C2"/>
    <w:rsid w:val="000F39CB"/>
    <w:rsid w:val="000F3AC0"/>
    <w:rsid w:val="000F3AFE"/>
    <w:rsid w:val="000F4E52"/>
    <w:rsid w:val="000F65A1"/>
    <w:rsid w:val="000F68C6"/>
    <w:rsid w:val="000F6F99"/>
    <w:rsid w:val="000F733B"/>
    <w:rsid w:val="000F7EF6"/>
    <w:rsid w:val="001010D4"/>
    <w:rsid w:val="00102BC2"/>
    <w:rsid w:val="00103A0C"/>
    <w:rsid w:val="001044F7"/>
    <w:rsid w:val="00104D09"/>
    <w:rsid w:val="00104DCA"/>
    <w:rsid w:val="00106079"/>
    <w:rsid w:val="00107250"/>
    <w:rsid w:val="001101E6"/>
    <w:rsid w:val="001102CC"/>
    <w:rsid w:val="00110D6A"/>
    <w:rsid w:val="00111706"/>
    <w:rsid w:val="0011178F"/>
    <w:rsid w:val="0011238A"/>
    <w:rsid w:val="001128B9"/>
    <w:rsid w:val="00113423"/>
    <w:rsid w:val="00113F51"/>
    <w:rsid w:val="00114975"/>
    <w:rsid w:val="00115838"/>
    <w:rsid w:val="00116653"/>
    <w:rsid w:val="00116CE8"/>
    <w:rsid w:val="001172EB"/>
    <w:rsid w:val="001174C6"/>
    <w:rsid w:val="0011788F"/>
    <w:rsid w:val="00120BA6"/>
    <w:rsid w:val="001215FD"/>
    <w:rsid w:val="0012286F"/>
    <w:rsid w:val="00122955"/>
    <w:rsid w:val="00123B12"/>
    <w:rsid w:val="00123F03"/>
    <w:rsid w:val="001242C0"/>
    <w:rsid w:val="00126512"/>
    <w:rsid w:val="0012672F"/>
    <w:rsid w:val="00126766"/>
    <w:rsid w:val="001267D4"/>
    <w:rsid w:val="001276A2"/>
    <w:rsid w:val="001278FB"/>
    <w:rsid w:val="00131051"/>
    <w:rsid w:val="001317B6"/>
    <w:rsid w:val="00131B49"/>
    <w:rsid w:val="0013209B"/>
    <w:rsid w:val="001326E2"/>
    <w:rsid w:val="00133950"/>
    <w:rsid w:val="001345A3"/>
    <w:rsid w:val="00134814"/>
    <w:rsid w:val="0013529E"/>
    <w:rsid w:val="00135D48"/>
    <w:rsid w:val="001361C5"/>
    <w:rsid w:val="00136242"/>
    <w:rsid w:val="001376FA"/>
    <w:rsid w:val="00137A6A"/>
    <w:rsid w:val="00137C71"/>
    <w:rsid w:val="00137E4B"/>
    <w:rsid w:val="00140486"/>
    <w:rsid w:val="00140600"/>
    <w:rsid w:val="00140D50"/>
    <w:rsid w:val="001419B6"/>
    <w:rsid w:val="00141B50"/>
    <w:rsid w:val="00141C27"/>
    <w:rsid w:val="00142FBD"/>
    <w:rsid w:val="0014361E"/>
    <w:rsid w:val="001437ED"/>
    <w:rsid w:val="001441BB"/>
    <w:rsid w:val="0014435D"/>
    <w:rsid w:val="001449BE"/>
    <w:rsid w:val="00146EAC"/>
    <w:rsid w:val="001475B0"/>
    <w:rsid w:val="0015044A"/>
    <w:rsid w:val="00150FD4"/>
    <w:rsid w:val="00151398"/>
    <w:rsid w:val="00151521"/>
    <w:rsid w:val="00151A8A"/>
    <w:rsid w:val="001520A4"/>
    <w:rsid w:val="001520D3"/>
    <w:rsid w:val="001521FF"/>
    <w:rsid w:val="00152950"/>
    <w:rsid w:val="001542EC"/>
    <w:rsid w:val="0015590F"/>
    <w:rsid w:val="00157425"/>
    <w:rsid w:val="00160013"/>
    <w:rsid w:val="001615ED"/>
    <w:rsid w:val="001623A6"/>
    <w:rsid w:val="0016308D"/>
    <w:rsid w:val="0016326E"/>
    <w:rsid w:val="00163806"/>
    <w:rsid w:val="00163B7B"/>
    <w:rsid w:val="00163FF3"/>
    <w:rsid w:val="00164C1D"/>
    <w:rsid w:val="00164E13"/>
    <w:rsid w:val="00165CCF"/>
    <w:rsid w:val="00166692"/>
    <w:rsid w:val="001669AF"/>
    <w:rsid w:val="001700E9"/>
    <w:rsid w:val="0017046B"/>
    <w:rsid w:val="001706FD"/>
    <w:rsid w:val="001707E5"/>
    <w:rsid w:val="00171298"/>
    <w:rsid w:val="00172BC2"/>
    <w:rsid w:val="0017300B"/>
    <w:rsid w:val="001730A8"/>
    <w:rsid w:val="0017384A"/>
    <w:rsid w:val="00173956"/>
    <w:rsid w:val="00174CEC"/>
    <w:rsid w:val="00174F76"/>
    <w:rsid w:val="0017522E"/>
    <w:rsid w:val="00175C11"/>
    <w:rsid w:val="00176668"/>
    <w:rsid w:val="00176D84"/>
    <w:rsid w:val="00180B00"/>
    <w:rsid w:val="001831B0"/>
    <w:rsid w:val="00183738"/>
    <w:rsid w:val="00183BED"/>
    <w:rsid w:val="00184DB2"/>
    <w:rsid w:val="0018523A"/>
    <w:rsid w:val="00186272"/>
    <w:rsid w:val="00186EF4"/>
    <w:rsid w:val="00187096"/>
    <w:rsid w:val="0018716C"/>
    <w:rsid w:val="00187F2F"/>
    <w:rsid w:val="001904DE"/>
    <w:rsid w:val="001905BD"/>
    <w:rsid w:val="00190FA0"/>
    <w:rsid w:val="0019113C"/>
    <w:rsid w:val="001919B3"/>
    <w:rsid w:val="001926DC"/>
    <w:rsid w:val="00192D0E"/>
    <w:rsid w:val="00193458"/>
    <w:rsid w:val="001937A6"/>
    <w:rsid w:val="001941A7"/>
    <w:rsid w:val="001947A6"/>
    <w:rsid w:val="00194CDC"/>
    <w:rsid w:val="0019573C"/>
    <w:rsid w:val="0019660D"/>
    <w:rsid w:val="0019724F"/>
    <w:rsid w:val="00197543"/>
    <w:rsid w:val="0019768F"/>
    <w:rsid w:val="00197CA6"/>
    <w:rsid w:val="001A003B"/>
    <w:rsid w:val="001A25B5"/>
    <w:rsid w:val="001A2859"/>
    <w:rsid w:val="001A2D95"/>
    <w:rsid w:val="001A2F4F"/>
    <w:rsid w:val="001A31E7"/>
    <w:rsid w:val="001A3B61"/>
    <w:rsid w:val="001A4351"/>
    <w:rsid w:val="001A48D6"/>
    <w:rsid w:val="001A51FF"/>
    <w:rsid w:val="001A5341"/>
    <w:rsid w:val="001A648F"/>
    <w:rsid w:val="001A6914"/>
    <w:rsid w:val="001A7948"/>
    <w:rsid w:val="001B0F19"/>
    <w:rsid w:val="001B10A4"/>
    <w:rsid w:val="001B1BCC"/>
    <w:rsid w:val="001B1D42"/>
    <w:rsid w:val="001B25D5"/>
    <w:rsid w:val="001B4452"/>
    <w:rsid w:val="001B4995"/>
    <w:rsid w:val="001B4CB0"/>
    <w:rsid w:val="001B55AD"/>
    <w:rsid w:val="001B593D"/>
    <w:rsid w:val="001B6214"/>
    <w:rsid w:val="001B62A7"/>
    <w:rsid w:val="001B6719"/>
    <w:rsid w:val="001B6DE5"/>
    <w:rsid w:val="001B7C42"/>
    <w:rsid w:val="001B7DEB"/>
    <w:rsid w:val="001C057A"/>
    <w:rsid w:val="001C0EB0"/>
    <w:rsid w:val="001C177D"/>
    <w:rsid w:val="001C1B0E"/>
    <w:rsid w:val="001C283B"/>
    <w:rsid w:val="001C2C6F"/>
    <w:rsid w:val="001C3129"/>
    <w:rsid w:val="001C3B80"/>
    <w:rsid w:val="001C4011"/>
    <w:rsid w:val="001C455E"/>
    <w:rsid w:val="001C466D"/>
    <w:rsid w:val="001C4C6A"/>
    <w:rsid w:val="001C5087"/>
    <w:rsid w:val="001C52AA"/>
    <w:rsid w:val="001C5333"/>
    <w:rsid w:val="001C5502"/>
    <w:rsid w:val="001C6628"/>
    <w:rsid w:val="001C7A24"/>
    <w:rsid w:val="001D0A8F"/>
    <w:rsid w:val="001D1253"/>
    <w:rsid w:val="001D1543"/>
    <w:rsid w:val="001D15D2"/>
    <w:rsid w:val="001D19F9"/>
    <w:rsid w:val="001D2684"/>
    <w:rsid w:val="001D2835"/>
    <w:rsid w:val="001D336D"/>
    <w:rsid w:val="001D418F"/>
    <w:rsid w:val="001D4463"/>
    <w:rsid w:val="001D44A2"/>
    <w:rsid w:val="001D4A63"/>
    <w:rsid w:val="001D536F"/>
    <w:rsid w:val="001D5987"/>
    <w:rsid w:val="001D65D9"/>
    <w:rsid w:val="001D69BE"/>
    <w:rsid w:val="001D6CB4"/>
    <w:rsid w:val="001D7177"/>
    <w:rsid w:val="001D719E"/>
    <w:rsid w:val="001D73CF"/>
    <w:rsid w:val="001D7DBF"/>
    <w:rsid w:val="001E304C"/>
    <w:rsid w:val="001E3078"/>
    <w:rsid w:val="001E3C15"/>
    <w:rsid w:val="001E44B5"/>
    <w:rsid w:val="001E4B65"/>
    <w:rsid w:val="001E5679"/>
    <w:rsid w:val="001E63B2"/>
    <w:rsid w:val="001E6720"/>
    <w:rsid w:val="001E7B6B"/>
    <w:rsid w:val="001F0232"/>
    <w:rsid w:val="001F04D4"/>
    <w:rsid w:val="001F090D"/>
    <w:rsid w:val="001F09E3"/>
    <w:rsid w:val="001F14A0"/>
    <w:rsid w:val="001F216A"/>
    <w:rsid w:val="001F263C"/>
    <w:rsid w:val="001F2D43"/>
    <w:rsid w:val="001F3490"/>
    <w:rsid w:val="001F34FE"/>
    <w:rsid w:val="001F46BD"/>
    <w:rsid w:val="001F4E58"/>
    <w:rsid w:val="001F4EE5"/>
    <w:rsid w:val="001F58EA"/>
    <w:rsid w:val="001F5CC9"/>
    <w:rsid w:val="001F652E"/>
    <w:rsid w:val="001F6596"/>
    <w:rsid w:val="001F65A6"/>
    <w:rsid w:val="001F6C15"/>
    <w:rsid w:val="001F7B87"/>
    <w:rsid w:val="001F7CCB"/>
    <w:rsid w:val="001F7D2E"/>
    <w:rsid w:val="00200B46"/>
    <w:rsid w:val="0020112E"/>
    <w:rsid w:val="00201BA6"/>
    <w:rsid w:val="0020253F"/>
    <w:rsid w:val="00203608"/>
    <w:rsid w:val="00203D56"/>
    <w:rsid w:val="002042FE"/>
    <w:rsid w:val="00204469"/>
    <w:rsid w:val="0020517F"/>
    <w:rsid w:val="002059A6"/>
    <w:rsid w:val="00206EB2"/>
    <w:rsid w:val="002073EA"/>
    <w:rsid w:val="00207580"/>
    <w:rsid w:val="00210FD7"/>
    <w:rsid w:val="00211D38"/>
    <w:rsid w:val="0021293B"/>
    <w:rsid w:val="00212B2B"/>
    <w:rsid w:val="00212FD8"/>
    <w:rsid w:val="00213246"/>
    <w:rsid w:val="0021360A"/>
    <w:rsid w:val="00213DBA"/>
    <w:rsid w:val="00214082"/>
    <w:rsid w:val="002148C8"/>
    <w:rsid w:val="002148F4"/>
    <w:rsid w:val="002154A7"/>
    <w:rsid w:val="0021575B"/>
    <w:rsid w:val="002157BF"/>
    <w:rsid w:val="00217D62"/>
    <w:rsid w:val="00220101"/>
    <w:rsid w:val="002203C9"/>
    <w:rsid w:val="0022061B"/>
    <w:rsid w:val="002207BF"/>
    <w:rsid w:val="00220D06"/>
    <w:rsid w:val="0022111A"/>
    <w:rsid w:val="00221660"/>
    <w:rsid w:val="002227AD"/>
    <w:rsid w:val="00223E86"/>
    <w:rsid w:val="002246BC"/>
    <w:rsid w:val="0022472C"/>
    <w:rsid w:val="002259B1"/>
    <w:rsid w:val="00225D9B"/>
    <w:rsid w:val="00226424"/>
    <w:rsid w:val="00226497"/>
    <w:rsid w:val="002266A1"/>
    <w:rsid w:val="00226925"/>
    <w:rsid w:val="0022708B"/>
    <w:rsid w:val="002274C9"/>
    <w:rsid w:val="00227A9D"/>
    <w:rsid w:val="00227D9A"/>
    <w:rsid w:val="00230581"/>
    <w:rsid w:val="0023127E"/>
    <w:rsid w:val="00232C77"/>
    <w:rsid w:val="00233069"/>
    <w:rsid w:val="002331E4"/>
    <w:rsid w:val="002333FD"/>
    <w:rsid w:val="002336A1"/>
    <w:rsid w:val="002338A3"/>
    <w:rsid w:val="0023507F"/>
    <w:rsid w:val="00235B94"/>
    <w:rsid w:val="00235CD7"/>
    <w:rsid w:val="00237472"/>
    <w:rsid w:val="002400C2"/>
    <w:rsid w:val="002404A5"/>
    <w:rsid w:val="00240926"/>
    <w:rsid w:val="00240DCF"/>
    <w:rsid w:val="00240F8A"/>
    <w:rsid w:val="00240FD7"/>
    <w:rsid w:val="00241A74"/>
    <w:rsid w:val="002430F9"/>
    <w:rsid w:val="00243721"/>
    <w:rsid w:val="002439C7"/>
    <w:rsid w:val="00244286"/>
    <w:rsid w:val="0024440D"/>
    <w:rsid w:val="00244590"/>
    <w:rsid w:val="00244FF5"/>
    <w:rsid w:val="00245FD9"/>
    <w:rsid w:val="0024631A"/>
    <w:rsid w:val="00246336"/>
    <w:rsid w:val="00246A70"/>
    <w:rsid w:val="00250191"/>
    <w:rsid w:val="00250BB4"/>
    <w:rsid w:val="002513E5"/>
    <w:rsid w:val="00252085"/>
    <w:rsid w:val="00252264"/>
    <w:rsid w:val="00252E18"/>
    <w:rsid w:val="0025374C"/>
    <w:rsid w:val="00253C49"/>
    <w:rsid w:val="0025480E"/>
    <w:rsid w:val="00254B8C"/>
    <w:rsid w:val="00254C78"/>
    <w:rsid w:val="00255656"/>
    <w:rsid w:val="0025569A"/>
    <w:rsid w:val="00255B6A"/>
    <w:rsid w:val="00256A01"/>
    <w:rsid w:val="002609B6"/>
    <w:rsid w:val="00260C2C"/>
    <w:rsid w:val="002612EF"/>
    <w:rsid w:val="002615DB"/>
    <w:rsid w:val="00261BCF"/>
    <w:rsid w:val="00262F17"/>
    <w:rsid w:val="0026318A"/>
    <w:rsid w:val="00263316"/>
    <w:rsid w:val="00263B9C"/>
    <w:rsid w:val="002645AE"/>
    <w:rsid w:val="00264FAF"/>
    <w:rsid w:val="00265263"/>
    <w:rsid w:val="002652BE"/>
    <w:rsid w:val="002653B9"/>
    <w:rsid w:val="00265869"/>
    <w:rsid w:val="00265981"/>
    <w:rsid w:val="00267067"/>
    <w:rsid w:val="00267B37"/>
    <w:rsid w:val="00270095"/>
    <w:rsid w:val="002702A3"/>
    <w:rsid w:val="002702D2"/>
    <w:rsid w:val="00270756"/>
    <w:rsid w:val="0027092F"/>
    <w:rsid w:val="00270F25"/>
    <w:rsid w:val="002731DD"/>
    <w:rsid w:val="002738FA"/>
    <w:rsid w:val="00274E96"/>
    <w:rsid w:val="00275BB1"/>
    <w:rsid w:val="0027628E"/>
    <w:rsid w:val="002801F8"/>
    <w:rsid w:val="002802C9"/>
    <w:rsid w:val="002807A8"/>
    <w:rsid w:val="00280B19"/>
    <w:rsid w:val="00281148"/>
    <w:rsid w:val="002814F7"/>
    <w:rsid w:val="00281985"/>
    <w:rsid w:val="00281DEE"/>
    <w:rsid w:val="002828E0"/>
    <w:rsid w:val="002830A4"/>
    <w:rsid w:val="00283591"/>
    <w:rsid w:val="002840AC"/>
    <w:rsid w:val="00284235"/>
    <w:rsid w:val="00284239"/>
    <w:rsid w:val="00284241"/>
    <w:rsid w:val="00284ADA"/>
    <w:rsid w:val="00284F11"/>
    <w:rsid w:val="002855FD"/>
    <w:rsid w:val="00285701"/>
    <w:rsid w:val="00287A5A"/>
    <w:rsid w:val="00287FBE"/>
    <w:rsid w:val="0029009F"/>
    <w:rsid w:val="00290E3F"/>
    <w:rsid w:val="002923B9"/>
    <w:rsid w:val="00292458"/>
    <w:rsid w:val="00292465"/>
    <w:rsid w:val="00293581"/>
    <w:rsid w:val="00293B34"/>
    <w:rsid w:val="0029412F"/>
    <w:rsid w:val="002942B6"/>
    <w:rsid w:val="002945D4"/>
    <w:rsid w:val="00295346"/>
    <w:rsid w:val="002955CC"/>
    <w:rsid w:val="002960C1"/>
    <w:rsid w:val="002964E9"/>
    <w:rsid w:val="002967BB"/>
    <w:rsid w:val="00296B0A"/>
    <w:rsid w:val="0029770F"/>
    <w:rsid w:val="002A122D"/>
    <w:rsid w:val="002A1572"/>
    <w:rsid w:val="002A1D4E"/>
    <w:rsid w:val="002A1D82"/>
    <w:rsid w:val="002A28B1"/>
    <w:rsid w:val="002A31EA"/>
    <w:rsid w:val="002A3C56"/>
    <w:rsid w:val="002A411C"/>
    <w:rsid w:val="002A4380"/>
    <w:rsid w:val="002A4996"/>
    <w:rsid w:val="002A5275"/>
    <w:rsid w:val="002A58F0"/>
    <w:rsid w:val="002A59F9"/>
    <w:rsid w:val="002A5B8C"/>
    <w:rsid w:val="002A663E"/>
    <w:rsid w:val="002A6C08"/>
    <w:rsid w:val="002A6C4D"/>
    <w:rsid w:val="002A6CD4"/>
    <w:rsid w:val="002A6D8D"/>
    <w:rsid w:val="002A76D8"/>
    <w:rsid w:val="002A7E07"/>
    <w:rsid w:val="002A7F13"/>
    <w:rsid w:val="002B09C0"/>
    <w:rsid w:val="002B12B3"/>
    <w:rsid w:val="002B1570"/>
    <w:rsid w:val="002B2EB4"/>
    <w:rsid w:val="002B32B4"/>
    <w:rsid w:val="002B4586"/>
    <w:rsid w:val="002B46F3"/>
    <w:rsid w:val="002B4B91"/>
    <w:rsid w:val="002B4EA8"/>
    <w:rsid w:val="002B550E"/>
    <w:rsid w:val="002B6304"/>
    <w:rsid w:val="002B71E1"/>
    <w:rsid w:val="002B76AA"/>
    <w:rsid w:val="002B78CB"/>
    <w:rsid w:val="002B7BA4"/>
    <w:rsid w:val="002C052E"/>
    <w:rsid w:val="002C0FA9"/>
    <w:rsid w:val="002C10AB"/>
    <w:rsid w:val="002C13CC"/>
    <w:rsid w:val="002C2151"/>
    <w:rsid w:val="002C40AF"/>
    <w:rsid w:val="002C4726"/>
    <w:rsid w:val="002C50DF"/>
    <w:rsid w:val="002C5A41"/>
    <w:rsid w:val="002C5E8D"/>
    <w:rsid w:val="002C67F2"/>
    <w:rsid w:val="002C6C5B"/>
    <w:rsid w:val="002C6CBA"/>
    <w:rsid w:val="002C7BCD"/>
    <w:rsid w:val="002C7BEC"/>
    <w:rsid w:val="002D15A8"/>
    <w:rsid w:val="002D1CE6"/>
    <w:rsid w:val="002D2922"/>
    <w:rsid w:val="002D2DC9"/>
    <w:rsid w:val="002D2E20"/>
    <w:rsid w:val="002D314D"/>
    <w:rsid w:val="002D3ACE"/>
    <w:rsid w:val="002D3CC8"/>
    <w:rsid w:val="002D3D09"/>
    <w:rsid w:val="002D46A9"/>
    <w:rsid w:val="002D4AA1"/>
    <w:rsid w:val="002D4DE3"/>
    <w:rsid w:val="002D4E59"/>
    <w:rsid w:val="002D4EE4"/>
    <w:rsid w:val="002D5000"/>
    <w:rsid w:val="002D76F7"/>
    <w:rsid w:val="002E0128"/>
    <w:rsid w:val="002E141C"/>
    <w:rsid w:val="002E20A8"/>
    <w:rsid w:val="002E23C3"/>
    <w:rsid w:val="002E2AC3"/>
    <w:rsid w:val="002E41EE"/>
    <w:rsid w:val="002E43A6"/>
    <w:rsid w:val="002E6576"/>
    <w:rsid w:val="002E663A"/>
    <w:rsid w:val="002E74E9"/>
    <w:rsid w:val="002F078C"/>
    <w:rsid w:val="002F0E5D"/>
    <w:rsid w:val="002F1093"/>
    <w:rsid w:val="002F19E0"/>
    <w:rsid w:val="002F1E2B"/>
    <w:rsid w:val="002F1FEC"/>
    <w:rsid w:val="002F2177"/>
    <w:rsid w:val="002F38AF"/>
    <w:rsid w:val="002F4EAA"/>
    <w:rsid w:val="002F68B7"/>
    <w:rsid w:val="002F723A"/>
    <w:rsid w:val="002F767A"/>
    <w:rsid w:val="002F773B"/>
    <w:rsid w:val="002F7C8F"/>
    <w:rsid w:val="00300B25"/>
    <w:rsid w:val="00300C60"/>
    <w:rsid w:val="00300E08"/>
    <w:rsid w:val="00301459"/>
    <w:rsid w:val="00301C60"/>
    <w:rsid w:val="0030216B"/>
    <w:rsid w:val="003022AD"/>
    <w:rsid w:val="003028C1"/>
    <w:rsid w:val="00302E62"/>
    <w:rsid w:val="00302EB7"/>
    <w:rsid w:val="003033B4"/>
    <w:rsid w:val="00303DE7"/>
    <w:rsid w:val="00303E14"/>
    <w:rsid w:val="00304E15"/>
    <w:rsid w:val="00305140"/>
    <w:rsid w:val="003059E3"/>
    <w:rsid w:val="00305A32"/>
    <w:rsid w:val="003060F4"/>
    <w:rsid w:val="00306559"/>
    <w:rsid w:val="00307CD3"/>
    <w:rsid w:val="003106E6"/>
    <w:rsid w:val="00311258"/>
    <w:rsid w:val="00311E05"/>
    <w:rsid w:val="00312335"/>
    <w:rsid w:val="00312F5E"/>
    <w:rsid w:val="00313D87"/>
    <w:rsid w:val="0031498F"/>
    <w:rsid w:val="00314B35"/>
    <w:rsid w:val="003153E0"/>
    <w:rsid w:val="0031584E"/>
    <w:rsid w:val="00315E28"/>
    <w:rsid w:val="00316001"/>
    <w:rsid w:val="00316476"/>
    <w:rsid w:val="00316BFC"/>
    <w:rsid w:val="003173E5"/>
    <w:rsid w:val="00317E54"/>
    <w:rsid w:val="003207E9"/>
    <w:rsid w:val="0032082E"/>
    <w:rsid w:val="00320D7B"/>
    <w:rsid w:val="0032193A"/>
    <w:rsid w:val="00321A77"/>
    <w:rsid w:val="00321E55"/>
    <w:rsid w:val="00321F4F"/>
    <w:rsid w:val="003224B5"/>
    <w:rsid w:val="00322583"/>
    <w:rsid w:val="003226FF"/>
    <w:rsid w:val="0032275F"/>
    <w:rsid w:val="003228A4"/>
    <w:rsid w:val="00322C25"/>
    <w:rsid w:val="0032355E"/>
    <w:rsid w:val="00323B8D"/>
    <w:rsid w:val="0032421B"/>
    <w:rsid w:val="00324AD5"/>
    <w:rsid w:val="00324EE2"/>
    <w:rsid w:val="00325275"/>
    <w:rsid w:val="0032527B"/>
    <w:rsid w:val="00325BC5"/>
    <w:rsid w:val="00326524"/>
    <w:rsid w:val="00327490"/>
    <w:rsid w:val="00327B51"/>
    <w:rsid w:val="00327E83"/>
    <w:rsid w:val="0033018B"/>
    <w:rsid w:val="00330458"/>
    <w:rsid w:val="003310B9"/>
    <w:rsid w:val="00331884"/>
    <w:rsid w:val="003322DA"/>
    <w:rsid w:val="0033295D"/>
    <w:rsid w:val="00332D3C"/>
    <w:rsid w:val="00333318"/>
    <w:rsid w:val="0033375D"/>
    <w:rsid w:val="003348CA"/>
    <w:rsid w:val="00335F4C"/>
    <w:rsid w:val="00336E42"/>
    <w:rsid w:val="0034048B"/>
    <w:rsid w:val="003404D4"/>
    <w:rsid w:val="0034165E"/>
    <w:rsid w:val="003422DB"/>
    <w:rsid w:val="00342F21"/>
    <w:rsid w:val="00343129"/>
    <w:rsid w:val="00343793"/>
    <w:rsid w:val="0034553C"/>
    <w:rsid w:val="00345692"/>
    <w:rsid w:val="00345E21"/>
    <w:rsid w:val="00346549"/>
    <w:rsid w:val="0034700C"/>
    <w:rsid w:val="003471A3"/>
    <w:rsid w:val="003503F4"/>
    <w:rsid w:val="00350537"/>
    <w:rsid w:val="0035081B"/>
    <w:rsid w:val="00350B38"/>
    <w:rsid w:val="00351283"/>
    <w:rsid w:val="00352235"/>
    <w:rsid w:val="00352278"/>
    <w:rsid w:val="003530A7"/>
    <w:rsid w:val="00354166"/>
    <w:rsid w:val="0035422D"/>
    <w:rsid w:val="00354FC3"/>
    <w:rsid w:val="00355956"/>
    <w:rsid w:val="003561A4"/>
    <w:rsid w:val="00356291"/>
    <w:rsid w:val="0035649A"/>
    <w:rsid w:val="00356787"/>
    <w:rsid w:val="0035687B"/>
    <w:rsid w:val="00356B8F"/>
    <w:rsid w:val="00356F5F"/>
    <w:rsid w:val="0035722D"/>
    <w:rsid w:val="00361DFA"/>
    <w:rsid w:val="00362129"/>
    <w:rsid w:val="00363E11"/>
    <w:rsid w:val="00364247"/>
    <w:rsid w:val="00364A60"/>
    <w:rsid w:val="00364BB2"/>
    <w:rsid w:val="00364F98"/>
    <w:rsid w:val="0036661B"/>
    <w:rsid w:val="00366B35"/>
    <w:rsid w:val="003700A1"/>
    <w:rsid w:val="00370727"/>
    <w:rsid w:val="003708C5"/>
    <w:rsid w:val="00370B8D"/>
    <w:rsid w:val="00370BD8"/>
    <w:rsid w:val="00371637"/>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3B6C"/>
    <w:rsid w:val="00383BAA"/>
    <w:rsid w:val="00383C0C"/>
    <w:rsid w:val="00384038"/>
    <w:rsid w:val="0038483D"/>
    <w:rsid w:val="00385552"/>
    <w:rsid w:val="00385662"/>
    <w:rsid w:val="0038602F"/>
    <w:rsid w:val="00386494"/>
    <w:rsid w:val="00386B30"/>
    <w:rsid w:val="00386D5F"/>
    <w:rsid w:val="00390284"/>
    <w:rsid w:val="00391270"/>
    <w:rsid w:val="003918FA"/>
    <w:rsid w:val="00391921"/>
    <w:rsid w:val="003928E9"/>
    <w:rsid w:val="00392E52"/>
    <w:rsid w:val="00393063"/>
    <w:rsid w:val="003931D3"/>
    <w:rsid w:val="0039357D"/>
    <w:rsid w:val="003935F3"/>
    <w:rsid w:val="003939EC"/>
    <w:rsid w:val="00393F6A"/>
    <w:rsid w:val="0039529B"/>
    <w:rsid w:val="0039540F"/>
    <w:rsid w:val="00395B8D"/>
    <w:rsid w:val="00396215"/>
    <w:rsid w:val="003962D6"/>
    <w:rsid w:val="00396A3E"/>
    <w:rsid w:val="00396ABD"/>
    <w:rsid w:val="00396AE1"/>
    <w:rsid w:val="00397274"/>
    <w:rsid w:val="00397681"/>
    <w:rsid w:val="00397DC1"/>
    <w:rsid w:val="003A0323"/>
    <w:rsid w:val="003A0FEB"/>
    <w:rsid w:val="003A207B"/>
    <w:rsid w:val="003A20C7"/>
    <w:rsid w:val="003A29F5"/>
    <w:rsid w:val="003A4105"/>
    <w:rsid w:val="003A42CD"/>
    <w:rsid w:val="003A4618"/>
    <w:rsid w:val="003A4A8E"/>
    <w:rsid w:val="003A4E23"/>
    <w:rsid w:val="003A5A10"/>
    <w:rsid w:val="003A77FD"/>
    <w:rsid w:val="003B0C4B"/>
    <w:rsid w:val="003B0D82"/>
    <w:rsid w:val="003B0E47"/>
    <w:rsid w:val="003B1145"/>
    <w:rsid w:val="003B18A1"/>
    <w:rsid w:val="003B2417"/>
    <w:rsid w:val="003B2BB8"/>
    <w:rsid w:val="003B2C7A"/>
    <w:rsid w:val="003B2ED1"/>
    <w:rsid w:val="003B5071"/>
    <w:rsid w:val="003B5850"/>
    <w:rsid w:val="003B63F9"/>
    <w:rsid w:val="003B657B"/>
    <w:rsid w:val="003B6813"/>
    <w:rsid w:val="003B6E50"/>
    <w:rsid w:val="003B73EE"/>
    <w:rsid w:val="003C01E8"/>
    <w:rsid w:val="003C1534"/>
    <w:rsid w:val="003C171E"/>
    <w:rsid w:val="003C23DF"/>
    <w:rsid w:val="003C24BD"/>
    <w:rsid w:val="003C2949"/>
    <w:rsid w:val="003C35EF"/>
    <w:rsid w:val="003C37B4"/>
    <w:rsid w:val="003C3870"/>
    <w:rsid w:val="003C558F"/>
    <w:rsid w:val="003C5620"/>
    <w:rsid w:val="003C5994"/>
    <w:rsid w:val="003C5BCD"/>
    <w:rsid w:val="003C65CE"/>
    <w:rsid w:val="003C6C4C"/>
    <w:rsid w:val="003C6FCC"/>
    <w:rsid w:val="003C7534"/>
    <w:rsid w:val="003C780C"/>
    <w:rsid w:val="003D04AE"/>
    <w:rsid w:val="003D1A2A"/>
    <w:rsid w:val="003D204F"/>
    <w:rsid w:val="003D2439"/>
    <w:rsid w:val="003D244C"/>
    <w:rsid w:val="003D3692"/>
    <w:rsid w:val="003D5B5A"/>
    <w:rsid w:val="003D6695"/>
    <w:rsid w:val="003D6C1A"/>
    <w:rsid w:val="003D706F"/>
    <w:rsid w:val="003D71F7"/>
    <w:rsid w:val="003D7255"/>
    <w:rsid w:val="003E088B"/>
    <w:rsid w:val="003E1127"/>
    <w:rsid w:val="003E12EF"/>
    <w:rsid w:val="003E1A30"/>
    <w:rsid w:val="003E2468"/>
    <w:rsid w:val="003E2916"/>
    <w:rsid w:val="003E2C08"/>
    <w:rsid w:val="003E3662"/>
    <w:rsid w:val="003E40B5"/>
    <w:rsid w:val="003E41D4"/>
    <w:rsid w:val="003E4D9A"/>
    <w:rsid w:val="003E6188"/>
    <w:rsid w:val="003E6352"/>
    <w:rsid w:val="003E6436"/>
    <w:rsid w:val="003E648F"/>
    <w:rsid w:val="003E6A8D"/>
    <w:rsid w:val="003E79D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4F84"/>
    <w:rsid w:val="003F583B"/>
    <w:rsid w:val="003F5B25"/>
    <w:rsid w:val="003F61C0"/>
    <w:rsid w:val="003F6893"/>
    <w:rsid w:val="003F6C80"/>
    <w:rsid w:val="003F7EEF"/>
    <w:rsid w:val="004002F8"/>
    <w:rsid w:val="0040052D"/>
    <w:rsid w:val="0040176E"/>
    <w:rsid w:val="0040193B"/>
    <w:rsid w:val="00402433"/>
    <w:rsid w:val="00402F62"/>
    <w:rsid w:val="004036A3"/>
    <w:rsid w:val="00403FF7"/>
    <w:rsid w:val="004049CA"/>
    <w:rsid w:val="004053F8"/>
    <w:rsid w:val="00405533"/>
    <w:rsid w:val="00405703"/>
    <w:rsid w:val="0040583E"/>
    <w:rsid w:val="0040695F"/>
    <w:rsid w:val="004074B6"/>
    <w:rsid w:val="004076D5"/>
    <w:rsid w:val="00407D36"/>
    <w:rsid w:val="00407FFE"/>
    <w:rsid w:val="00410F4A"/>
    <w:rsid w:val="004128AC"/>
    <w:rsid w:val="00412BF2"/>
    <w:rsid w:val="00412D5F"/>
    <w:rsid w:val="00412E73"/>
    <w:rsid w:val="00413CCA"/>
    <w:rsid w:val="00414175"/>
    <w:rsid w:val="00414568"/>
    <w:rsid w:val="004152DE"/>
    <w:rsid w:val="00416F4A"/>
    <w:rsid w:val="004171DD"/>
    <w:rsid w:val="00417913"/>
    <w:rsid w:val="00417F34"/>
    <w:rsid w:val="004207A8"/>
    <w:rsid w:val="00421C89"/>
    <w:rsid w:val="0042350E"/>
    <w:rsid w:val="0042427B"/>
    <w:rsid w:val="00424A93"/>
    <w:rsid w:val="00424D63"/>
    <w:rsid w:val="00425947"/>
    <w:rsid w:val="00425BD4"/>
    <w:rsid w:val="004267E6"/>
    <w:rsid w:val="00426A31"/>
    <w:rsid w:val="00430E97"/>
    <w:rsid w:val="0043135E"/>
    <w:rsid w:val="00432269"/>
    <w:rsid w:val="00432C83"/>
    <w:rsid w:val="004339C6"/>
    <w:rsid w:val="00433E47"/>
    <w:rsid w:val="00435437"/>
    <w:rsid w:val="00435679"/>
    <w:rsid w:val="004360B8"/>
    <w:rsid w:val="0043673E"/>
    <w:rsid w:val="00436FAC"/>
    <w:rsid w:val="00437FF0"/>
    <w:rsid w:val="004401D2"/>
    <w:rsid w:val="0044129A"/>
    <w:rsid w:val="004415F7"/>
    <w:rsid w:val="00441CFC"/>
    <w:rsid w:val="00442A9D"/>
    <w:rsid w:val="004431AE"/>
    <w:rsid w:val="00443714"/>
    <w:rsid w:val="004438AF"/>
    <w:rsid w:val="00444376"/>
    <w:rsid w:val="00444619"/>
    <w:rsid w:val="004447BE"/>
    <w:rsid w:val="00444D0A"/>
    <w:rsid w:val="00444FC2"/>
    <w:rsid w:val="00445D24"/>
    <w:rsid w:val="004461C3"/>
    <w:rsid w:val="004466CE"/>
    <w:rsid w:val="004467D9"/>
    <w:rsid w:val="004476EC"/>
    <w:rsid w:val="0045042F"/>
    <w:rsid w:val="004510E9"/>
    <w:rsid w:val="0045186C"/>
    <w:rsid w:val="00451FA0"/>
    <w:rsid w:val="00453781"/>
    <w:rsid w:val="00453B16"/>
    <w:rsid w:val="00454689"/>
    <w:rsid w:val="00454ACA"/>
    <w:rsid w:val="00454AE2"/>
    <w:rsid w:val="00454CBF"/>
    <w:rsid w:val="00456115"/>
    <w:rsid w:val="0045662D"/>
    <w:rsid w:val="00457669"/>
    <w:rsid w:val="00457750"/>
    <w:rsid w:val="00460AA0"/>
    <w:rsid w:val="00460C45"/>
    <w:rsid w:val="00460CA0"/>
    <w:rsid w:val="0046109C"/>
    <w:rsid w:val="00461934"/>
    <w:rsid w:val="00461945"/>
    <w:rsid w:val="00461FEB"/>
    <w:rsid w:val="00464308"/>
    <w:rsid w:val="00464643"/>
    <w:rsid w:val="00465044"/>
    <w:rsid w:val="00465286"/>
    <w:rsid w:val="00465A06"/>
    <w:rsid w:val="00465D98"/>
    <w:rsid w:val="004669A3"/>
    <w:rsid w:val="00466CEE"/>
    <w:rsid w:val="00467947"/>
    <w:rsid w:val="004679F6"/>
    <w:rsid w:val="00467F8A"/>
    <w:rsid w:val="00470B2B"/>
    <w:rsid w:val="00473494"/>
    <w:rsid w:val="0047382C"/>
    <w:rsid w:val="00474115"/>
    <w:rsid w:val="004742D5"/>
    <w:rsid w:val="0047515B"/>
    <w:rsid w:val="004761BC"/>
    <w:rsid w:val="004762A2"/>
    <w:rsid w:val="0047659F"/>
    <w:rsid w:val="004767C6"/>
    <w:rsid w:val="00476D82"/>
    <w:rsid w:val="00476E19"/>
    <w:rsid w:val="0047769A"/>
    <w:rsid w:val="00477A5A"/>
    <w:rsid w:val="00477FCD"/>
    <w:rsid w:val="00480745"/>
    <w:rsid w:val="00482880"/>
    <w:rsid w:val="00482C88"/>
    <w:rsid w:val="004830E7"/>
    <w:rsid w:val="00483AA6"/>
    <w:rsid w:val="00484134"/>
    <w:rsid w:val="00484170"/>
    <w:rsid w:val="00485BFE"/>
    <w:rsid w:val="00485CC8"/>
    <w:rsid w:val="0048608C"/>
    <w:rsid w:val="00486603"/>
    <w:rsid w:val="00486680"/>
    <w:rsid w:val="00486BF3"/>
    <w:rsid w:val="0048777A"/>
    <w:rsid w:val="00487FE5"/>
    <w:rsid w:val="00490402"/>
    <w:rsid w:val="004908BA"/>
    <w:rsid w:val="004916F4"/>
    <w:rsid w:val="00491DAB"/>
    <w:rsid w:val="004922F8"/>
    <w:rsid w:val="0049298C"/>
    <w:rsid w:val="0049313A"/>
    <w:rsid w:val="00493621"/>
    <w:rsid w:val="00493811"/>
    <w:rsid w:val="004940F8"/>
    <w:rsid w:val="004950C6"/>
    <w:rsid w:val="00496E3D"/>
    <w:rsid w:val="00497878"/>
    <w:rsid w:val="00497CFE"/>
    <w:rsid w:val="004A0F19"/>
    <w:rsid w:val="004A3DF3"/>
    <w:rsid w:val="004A42EE"/>
    <w:rsid w:val="004A463D"/>
    <w:rsid w:val="004A4D6D"/>
    <w:rsid w:val="004A5792"/>
    <w:rsid w:val="004A5EBC"/>
    <w:rsid w:val="004A6033"/>
    <w:rsid w:val="004A676C"/>
    <w:rsid w:val="004A6C03"/>
    <w:rsid w:val="004A6E1D"/>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ED"/>
    <w:rsid w:val="004B73F4"/>
    <w:rsid w:val="004B7AFD"/>
    <w:rsid w:val="004C0E2B"/>
    <w:rsid w:val="004C11C9"/>
    <w:rsid w:val="004C1956"/>
    <w:rsid w:val="004C1CB1"/>
    <w:rsid w:val="004C1CE6"/>
    <w:rsid w:val="004C2C94"/>
    <w:rsid w:val="004C3347"/>
    <w:rsid w:val="004C3404"/>
    <w:rsid w:val="004C4166"/>
    <w:rsid w:val="004C42D4"/>
    <w:rsid w:val="004C4992"/>
    <w:rsid w:val="004C512E"/>
    <w:rsid w:val="004C5B27"/>
    <w:rsid w:val="004C5FC5"/>
    <w:rsid w:val="004C654C"/>
    <w:rsid w:val="004C6ACC"/>
    <w:rsid w:val="004C73C2"/>
    <w:rsid w:val="004C74EC"/>
    <w:rsid w:val="004C79AE"/>
    <w:rsid w:val="004C7B72"/>
    <w:rsid w:val="004C7D1F"/>
    <w:rsid w:val="004C7E85"/>
    <w:rsid w:val="004D10AE"/>
    <w:rsid w:val="004D20A2"/>
    <w:rsid w:val="004D235F"/>
    <w:rsid w:val="004D23A4"/>
    <w:rsid w:val="004D24D5"/>
    <w:rsid w:val="004D4022"/>
    <w:rsid w:val="004D500E"/>
    <w:rsid w:val="004D593F"/>
    <w:rsid w:val="004D6055"/>
    <w:rsid w:val="004D608C"/>
    <w:rsid w:val="004D68DE"/>
    <w:rsid w:val="004D7200"/>
    <w:rsid w:val="004D77C4"/>
    <w:rsid w:val="004D7A58"/>
    <w:rsid w:val="004E04EB"/>
    <w:rsid w:val="004E07E3"/>
    <w:rsid w:val="004E08ED"/>
    <w:rsid w:val="004E0FC9"/>
    <w:rsid w:val="004E110F"/>
    <w:rsid w:val="004E171C"/>
    <w:rsid w:val="004E1B5C"/>
    <w:rsid w:val="004E1D06"/>
    <w:rsid w:val="004E2986"/>
    <w:rsid w:val="004E2ADC"/>
    <w:rsid w:val="004E33C6"/>
    <w:rsid w:val="004E34F0"/>
    <w:rsid w:val="004E4AB3"/>
    <w:rsid w:val="004E537C"/>
    <w:rsid w:val="004E5AF9"/>
    <w:rsid w:val="004E61C5"/>
    <w:rsid w:val="004E644A"/>
    <w:rsid w:val="004E6AFB"/>
    <w:rsid w:val="004F0905"/>
    <w:rsid w:val="004F0BB6"/>
    <w:rsid w:val="004F0DD2"/>
    <w:rsid w:val="004F0DD4"/>
    <w:rsid w:val="004F1362"/>
    <w:rsid w:val="004F1514"/>
    <w:rsid w:val="004F1ED0"/>
    <w:rsid w:val="004F281A"/>
    <w:rsid w:val="004F2F26"/>
    <w:rsid w:val="004F3486"/>
    <w:rsid w:val="004F3576"/>
    <w:rsid w:val="004F4B9A"/>
    <w:rsid w:val="004F4D62"/>
    <w:rsid w:val="004F4EC4"/>
    <w:rsid w:val="004F4F72"/>
    <w:rsid w:val="004F551D"/>
    <w:rsid w:val="004F625E"/>
    <w:rsid w:val="004F6BC4"/>
    <w:rsid w:val="004F7720"/>
    <w:rsid w:val="00500384"/>
    <w:rsid w:val="00500607"/>
    <w:rsid w:val="00501225"/>
    <w:rsid w:val="00501D6B"/>
    <w:rsid w:val="00501EE0"/>
    <w:rsid w:val="005027CB"/>
    <w:rsid w:val="0050287A"/>
    <w:rsid w:val="00502B15"/>
    <w:rsid w:val="00503107"/>
    <w:rsid w:val="00503387"/>
    <w:rsid w:val="00503C30"/>
    <w:rsid w:val="00504822"/>
    <w:rsid w:val="00504DE2"/>
    <w:rsid w:val="00504DFC"/>
    <w:rsid w:val="005054B8"/>
    <w:rsid w:val="00505502"/>
    <w:rsid w:val="005057E0"/>
    <w:rsid w:val="00505AC2"/>
    <w:rsid w:val="00505D90"/>
    <w:rsid w:val="00505F94"/>
    <w:rsid w:val="0050658B"/>
    <w:rsid w:val="00506B5E"/>
    <w:rsid w:val="00506FAD"/>
    <w:rsid w:val="00511CCC"/>
    <w:rsid w:val="00512001"/>
    <w:rsid w:val="0051361C"/>
    <w:rsid w:val="00513B63"/>
    <w:rsid w:val="00514198"/>
    <w:rsid w:val="0051494F"/>
    <w:rsid w:val="00514CF6"/>
    <w:rsid w:val="00514D69"/>
    <w:rsid w:val="005160AF"/>
    <w:rsid w:val="005164BD"/>
    <w:rsid w:val="0051654A"/>
    <w:rsid w:val="00520163"/>
    <w:rsid w:val="00520685"/>
    <w:rsid w:val="0052179A"/>
    <w:rsid w:val="00521B30"/>
    <w:rsid w:val="00522B05"/>
    <w:rsid w:val="00523070"/>
    <w:rsid w:val="00523409"/>
    <w:rsid w:val="00523DF3"/>
    <w:rsid w:val="0052531E"/>
    <w:rsid w:val="005259C2"/>
    <w:rsid w:val="005259D4"/>
    <w:rsid w:val="005265A9"/>
    <w:rsid w:val="00526CED"/>
    <w:rsid w:val="00527506"/>
    <w:rsid w:val="00530755"/>
    <w:rsid w:val="0053082B"/>
    <w:rsid w:val="00530BF3"/>
    <w:rsid w:val="0053157A"/>
    <w:rsid w:val="00533017"/>
    <w:rsid w:val="005334E9"/>
    <w:rsid w:val="00533513"/>
    <w:rsid w:val="00534357"/>
    <w:rsid w:val="00535364"/>
    <w:rsid w:val="00537088"/>
    <w:rsid w:val="00537D00"/>
    <w:rsid w:val="00537D2F"/>
    <w:rsid w:val="0054046A"/>
    <w:rsid w:val="00540AA6"/>
    <w:rsid w:val="00541EB7"/>
    <w:rsid w:val="005421D0"/>
    <w:rsid w:val="00542489"/>
    <w:rsid w:val="005425D7"/>
    <w:rsid w:val="00543500"/>
    <w:rsid w:val="005442BE"/>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DD3"/>
    <w:rsid w:val="00554CCF"/>
    <w:rsid w:val="00554F15"/>
    <w:rsid w:val="00555EC6"/>
    <w:rsid w:val="005564B9"/>
    <w:rsid w:val="00556780"/>
    <w:rsid w:val="00556AB5"/>
    <w:rsid w:val="0055705B"/>
    <w:rsid w:val="0055757F"/>
    <w:rsid w:val="00557611"/>
    <w:rsid w:val="00557E0B"/>
    <w:rsid w:val="005603FD"/>
    <w:rsid w:val="00560EF8"/>
    <w:rsid w:val="005610CC"/>
    <w:rsid w:val="0056136E"/>
    <w:rsid w:val="00562397"/>
    <w:rsid w:val="00562CB9"/>
    <w:rsid w:val="00562F7C"/>
    <w:rsid w:val="00564717"/>
    <w:rsid w:val="00565912"/>
    <w:rsid w:val="00565ED1"/>
    <w:rsid w:val="00566327"/>
    <w:rsid w:val="00566B4C"/>
    <w:rsid w:val="00566E73"/>
    <w:rsid w:val="00570383"/>
    <w:rsid w:val="0057074D"/>
    <w:rsid w:val="005707D5"/>
    <w:rsid w:val="0057163E"/>
    <w:rsid w:val="005724B8"/>
    <w:rsid w:val="00572C82"/>
    <w:rsid w:val="005731F8"/>
    <w:rsid w:val="00574A74"/>
    <w:rsid w:val="005759A5"/>
    <w:rsid w:val="00575AA4"/>
    <w:rsid w:val="00576243"/>
    <w:rsid w:val="005768FD"/>
    <w:rsid w:val="00576F56"/>
    <w:rsid w:val="00581110"/>
    <w:rsid w:val="005813B3"/>
    <w:rsid w:val="00581D82"/>
    <w:rsid w:val="0058272C"/>
    <w:rsid w:val="00583009"/>
    <w:rsid w:val="00583D35"/>
    <w:rsid w:val="00583E0F"/>
    <w:rsid w:val="0058406D"/>
    <w:rsid w:val="00585095"/>
    <w:rsid w:val="005853DC"/>
    <w:rsid w:val="00585EAB"/>
    <w:rsid w:val="0058635D"/>
    <w:rsid w:val="0058643B"/>
    <w:rsid w:val="005866A7"/>
    <w:rsid w:val="0058671B"/>
    <w:rsid w:val="00586C5C"/>
    <w:rsid w:val="005871FE"/>
    <w:rsid w:val="005875D4"/>
    <w:rsid w:val="00587646"/>
    <w:rsid w:val="0058768F"/>
    <w:rsid w:val="00587756"/>
    <w:rsid w:val="005907B1"/>
    <w:rsid w:val="00591217"/>
    <w:rsid w:val="0059177C"/>
    <w:rsid w:val="0059224F"/>
    <w:rsid w:val="00592DD8"/>
    <w:rsid w:val="00593393"/>
    <w:rsid w:val="005947C5"/>
    <w:rsid w:val="00594CED"/>
    <w:rsid w:val="0059502D"/>
    <w:rsid w:val="00595B3F"/>
    <w:rsid w:val="00595E39"/>
    <w:rsid w:val="005978C9"/>
    <w:rsid w:val="005979A7"/>
    <w:rsid w:val="00597D47"/>
    <w:rsid w:val="005A099C"/>
    <w:rsid w:val="005A0B1C"/>
    <w:rsid w:val="005A21D8"/>
    <w:rsid w:val="005A2F15"/>
    <w:rsid w:val="005A2FDC"/>
    <w:rsid w:val="005A3335"/>
    <w:rsid w:val="005A5047"/>
    <w:rsid w:val="005A5A3D"/>
    <w:rsid w:val="005A617A"/>
    <w:rsid w:val="005A6186"/>
    <w:rsid w:val="005A6AAA"/>
    <w:rsid w:val="005A6F64"/>
    <w:rsid w:val="005B003D"/>
    <w:rsid w:val="005B045F"/>
    <w:rsid w:val="005B05B0"/>
    <w:rsid w:val="005B116D"/>
    <w:rsid w:val="005B1831"/>
    <w:rsid w:val="005B28C0"/>
    <w:rsid w:val="005B316F"/>
    <w:rsid w:val="005B3380"/>
    <w:rsid w:val="005B373E"/>
    <w:rsid w:val="005B3C5C"/>
    <w:rsid w:val="005B4570"/>
    <w:rsid w:val="005B45A1"/>
    <w:rsid w:val="005B4B95"/>
    <w:rsid w:val="005B5A57"/>
    <w:rsid w:val="005B5DE4"/>
    <w:rsid w:val="005B5F16"/>
    <w:rsid w:val="005B62ED"/>
    <w:rsid w:val="005B70EE"/>
    <w:rsid w:val="005B761C"/>
    <w:rsid w:val="005C005E"/>
    <w:rsid w:val="005C0128"/>
    <w:rsid w:val="005C03A5"/>
    <w:rsid w:val="005C0DDA"/>
    <w:rsid w:val="005C1371"/>
    <w:rsid w:val="005C2734"/>
    <w:rsid w:val="005C3D15"/>
    <w:rsid w:val="005C504A"/>
    <w:rsid w:val="005C5884"/>
    <w:rsid w:val="005C60A3"/>
    <w:rsid w:val="005C612F"/>
    <w:rsid w:val="005C659C"/>
    <w:rsid w:val="005C6DFC"/>
    <w:rsid w:val="005C7F33"/>
    <w:rsid w:val="005D04C8"/>
    <w:rsid w:val="005D075B"/>
    <w:rsid w:val="005D0A28"/>
    <w:rsid w:val="005D14A1"/>
    <w:rsid w:val="005D2202"/>
    <w:rsid w:val="005D3740"/>
    <w:rsid w:val="005D4E46"/>
    <w:rsid w:val="005D4EAB"/>
    <w:rsid w:val="005D53A0"/>
    <w:rsid w:val="005D5D7C"/>
    <w:rsid w:val="005D5EC0"/>
    <w:rsid w:val="005D64E6"/>
    <w:rsid w:val="005D705F"/>
    <w:rsid w:val="005D723A"/>
    <w:rsid w:val="005D74EA"/>
    <w:rsid w:val="005D761E"/>
    <w:rsid w:val="005E03F1"/>
    <w:rsid w:val="005E0A69"/>
    <w:rsid w:val="005E23EE"/>
    <w:rsid w:val="005E269D"/>
    <w:rsid w:val="005E2F5F"/>
    <w:rsid w:val="005E3928"/>
    <w:rsid w:val="005E3EDE"/>
    <w:rsid w:val="005E4BE9"/>
    <w:rsid w:val="005E52BF"/>
    <w:rsid w:val="005E6146"/>
    <w:rsid w:val="005E6623"/>
    <w:rsid w:val="005E6F02"/>
    <w:rsid w:val="005E7720"/>
    <w:rsid w:val="005E792C"/>
    <w:rsid w:val="005E7DDB"/>
    <w:rsid w:val="005F0384"/>
    <w:rsid w:val="005F060B"/>
    <w:rsid w:val="005F1ABF"/>
    <w:rsid w:val="005F238D"/>
    <w:rsid w:val="005F2B29"/>
    <w:rsid w:val="005F37D0"/>
    <w:rsid w:val="005F3A84"/>
    <w:rsid w:val="005F450B"/>
    <w:rsid w:val="005F46CD"/>
    <w:rsid w:val="005F4892"/>
    <w:rsid w:val="005F5DD5"/>
    <w:rsid w:val="005F6533"/>
    <w:rsid w:val="005F67A8"/>
    <w:rsid w:val="005F6A75"/>
    <w:rsid w:val="005F6BB8"/>
    <w:rsid w:val="005F7F7D"/>
    <w:rsid w:val="0060013D"/>
    <w:rsid w:val="0060064A"/>
    <w:rsid w:val="006011B0"/>
    <w:rsid w:val="00601396"/>
    <w:rsid w:val="0060139C"/>
    <w:rsid w:val="00601BFF"/>
    <w:rsid w:val="006025CB"/>
    <w:rsid w:val="00605381"/>
    <w:rsid w:val="00605464"/>
    <w:rsid w:val="00605742"/>
    <w:rsid w:val="00605869"/>
    <w:rsid w:val="00605D6B"/>
    <w:rsid w:val="006061D0"/>
    <w:rsid w:val="00606ED2"/>
    <w:rsid w:val="00607353"/>
    <w:rsid w:val="006079F5"/>
    <w:rsid w:val="00607D8E"/>
    <w:rsid w:val="00610BFF"/>
    <w:rsid w:val="00611740"/>
    <w:rsid w:val="00611D30"/>
    <w:rsid w:val="00612126"/>
    <w:rsid w:val="006124EC"/>
    <w:rsid w:val="00612720"/>
    <w:rsid w:val="006129E5"/>
    <w:rsid w:val="0061323B"/>
    <w:rsid w:val="00613B54"/>
    <w:rsid w:val="00614F32"/>
    <w:rsid w:val="00615077"/>
    <w:rsid w:val="006150AB"/>
    <w:rsid w:val="0061568A"/>
    <w:rsid w:val="00615FE0"/>
    <w:rsid w:val="0061607E"/>
    <w:rsid w:val="00617260"/>
    <w:rsid w:val="00617415"/>
    <w:rsid w:val="006175AA"/>
    <w:rsid w:val="00617F45"/>
    <w:rsid w:val="0062038F"/>
    <w:rsid w:val="00621387"/>
    <w:rsid w:val="00622C86"/>
    <w:rsid w:val="00622E4A"/>
    <w:rsid w:val="006235E6"/>
    <w:rsid w:val="006243D3"/>
    <w:rsid w:val="006244E4"/>
    <w:rsid w:val="006247DC"/>
    <w:rsid w:val="00624B57"/>
    <w:rsid w:val="00625330"/>
    <w:rsid w:val="00625799"/>
    <w:rsid w:val="00625CB4"/>
    <w:rsid w:val="00626F6A"/>
    <w:rsid w:val="006277D4"/>
    <w:rsid w:val="006305B5"/>
    <w:rsid w:val="006306EA"/>
    <w:rsid w:val="00630F29"/>
    <w:rsid w:val="0063153A"/>
    <w:rsid w:val="006316DE"/>
    <w:rsid w:val="00631769"/>
    <w:rsid w:val="00631985"/>
    <w:rsid w:val="00631B0C"/>
    <w:rsid w:val="00632414"/>
    <w:rsid w:val="0063258C"/>
    <w:rsid w:val="00632AE3"/>
    <w:rsid w:val="006338C8"/>
    <w:rsid w:val="00633FA1"/>
    <w:rsid w:val="006347B7"/>
    <w:rsid w:val="00635D98"/>
    <w:rsid w:val="00635F55"/>
    <w:rsid w:val="00636488"/>
    <w:rsid w:val="00636903"/>
    <w:rsid w:val="00637D4A"/>
    <w:rsid w:val="006400D4"/>
    <w:rsid w:val="0064080D"/>
    <w:rsid w:val="0064089D"/>
    <w:rsid w:val="00640BE0"/>
    <w:rsid w:val="006414E2"/>
    <w:rsid w:val="00642453"/>
    <w:rsid w:val="0064286E"/>
    <w:rsid w:val="00642AF6"/>
    <w:rsid w:val="00642E60"/>
    <w:rsid w:val="006435A8"/>
    <w:rsid w:val="00643CD5"/>
    <w:rsid w:val="00644D8A"/>
    <w:rsid w:val="006451B9"/>
    <w:rsid w:val="0064652E"/>
    <w:rsid w:val="006505F5"/>
    <w:rsid w:val="00651419"/>
    <w:rsid w:val="0065145B"/>
    <w:rsid w:val="00651FFD"/>
    <w:rsid w:val="00652C42"/>
    <w:rsid w:val="0065332E"/>
    <w:rsid w:val="00653518"/>
    <w:rsid w:val="00654980"/>
    <w:rsid w:val="00654B37"/>
    <w:rsid w:val="00654DDD"/>
    <w:rsid w:val="00654E8A"/>
    <w:rsid w:val="006572D0"/>
    <w:rsid w:val="00657852"/>
    <w:rsid w:val="00657EE7"/>
    <w:rsid w:val="00660373"/>
    <w:rsid w:val="0066067B"/>
    <w:rsid w:val="0066109A"/>
    <w:rsid w:val="0066110D"/>
    <w:rsid w:val="00661459"/>
    <w:rsid w:val="00661B3E"/>
    <w:rsid w:val="0066275A"/>
    <w:rsid w:val="0066287C"/>
    <w:rsid w:val="00662A44"/>
    <w:rsid w:val="0066317D"/>
    <w:rsid w:val="00663DDD"/>
    <w:rsid w:val="006657E1"/>
    <w:rsid w:val="006667A9"/>
    <w:rsid w:val="00667133"/>
    <w:rsid w:val="006672DA"/>
    <w:rsid w:val="00667DB9"/>
    <w:rsid w:val="006702AC"/>
    <w:rsid w:val="00670913"/>
    <w:rsid w:val="00671DCC"/>
    <w:rsid w:val="00672515"/>
    <w:rsid w:val="006729ED"/>
    <w:rsid w:val="00672AAC"/>
    <w:rsid w:val="00672BD0"/>
    <w:rsid w:val="00673537"/>
    <w:rsid w:val="006739CD"/>
    <w:rsid w:val="0067443A"/>
    <w:rsid w:val="006754F4"/>
    <w:rsid w:val="00675DE1"/>
    <w:rsid w:val="00676496"/>
    <w:rsid w:val="00676904"/>
    <w:rsid w:val="00676956"/>
    <w:rsid w:val="006774F6"/>
    <w:rsid w:val="00677F0B"/>
    <w:rsid w:val="006802E8"/>
    <w:rsid w:val="00680449"/>
    <w:rsid w:val="00680551"/>
    <w:rsid w:val="0068114C"/>
    <w:rsid w:val="006812FE"/>
    <w:rsid w:val="0068230E"/>
    <w:rsid w:val="0068258A"/>
    <w:rsid w:val="00682632"/>
    <w:rsid w:val="00685309"/>
    <w:rsid w:val="0068562D"/>
    <w:rsid w:val="00685BF6"/>
    <w:rsid w:val="00685C6C"/>
    <w:rsid w:val="00686589"/>
    <w:rsid w:val="00686D2B"/>
    <w:rsid w:val="00687BE4"/>
    <w:rsid w:val="0069188C"/>
    <w:rsid w:val="00691A43"/>
    <w:rsid w:val="00693567"/>
    <w:rsid w:val="00693718"/>
    <w:rsid w:val="0069387A"/>
    <w:rsid w:val="0069418A"/>
    <w:rsid w:val="00694CF0"/>
    <w:rsid w:val="00695727"/>
    <w:rsid w:val="00695964"/>
    <w:rsid w:val="00695991"/>
    <w:rsid w:val="00696A90"/>
    <w:rsid w:val="006970B2"/>
    <w:rsid w:val="00697165"/>
    <w:rsid w:val="006A05CF"/>
    <w:rsid w:val="006A0F19"/>
    <w:rsid w:val="006A1A83"/>
    <w:rsid w:val="006A1F3F"/>
    <w:rsid w:val="006A206D"/>
    <w:rsid w:val="006A31E1"/>
    <w:rsid w:val="006A3238"/>
    <w:rsid w:val="006A3335"/>
    <w:rsid w:val="006A3EEA"/>
    <w:rsid w:val="006A4249"/>
    <w:rsid w:val="006A54EF"/>
    <w:rsid w:val="006A5636"/>
    <w:rsid w:val="006A6903"/>
    <w:rsid w:val="006A7660"/>
    <w:rsid w:val="006A77DF"/>
    <w:rsid w:val="006B10C6"/>
    <w:rsid w:val="006B1364"/>
    <w:rsid w:val="006B1804"/>
    <w:rsid w:val="006B1CD2"/>
    <w:rsid w:val="006B1D66"/>
    <w:rsid w:val="006B2616"/>
    <w:rsid w:val="006B2A5C"/>
    <w:rsid w:val="006B354B"/>
    <w:rsid w:val="006B3780"/>
    <w:rsid w:val="006B4671"/>
    <w:rsid w:val="006B4B26"/>
    <w:rsid w:val="006B4BD9"/>
    <w:rsid w:val="006B51AD"/>
    <w:rsid w:val="006B7C54"/>
    <w:rsid w:val="006B7E04"/>
    <w:rsid w:val="006C1732"/>
    <w:rsid w:val="006C2DBC"/>
    <w:rsid w:val="006C3433"/>
    <w:rsid w:val="006C35EF"/>
    <w:rsid w:val="006C36E2"/>
    <w:rsid w:val="006C5C06"/>
    <w:rsid w:val="006C5FA6"/>
    <w:rsid w:val="006D0FEE"/>
    <w:rsid w:val="006D208A"/>
    <w:rsid w:val="006D2681"/>
    <w:rsid w:val="006D3005"/>
    <w:rsid w:val="006D329B"/>
    <w:rsid w:val="006D3964"/>
    <w:rsid w:val="006D39C1"/>
    <w:rsid w:val="006D3FEB"/>
    <w:rsid w:val="006D420C"/>
    <w:rsid w:val="006D4581"/>
    <w:rsid w:val="006D6B94"/>
    <w:rsid w:val="006D7314"/>
    <w:rsid w:val="006D73F5"/>
    <w:rsid w:val="006D7438"/>
    <w:rsid w:val="006E0168"/>
    <w:rsid w:val="006E0329"/>
    <w:rsid w:val="006E050D"/>
    <w:rsid w:val="006E08A9"/>
    <w:rsid w:val="006E12E5"/>
    <w:rsid w:val="006E1920"/>
    <w:rsid w:val="006E2109"/>
    <w:rsid w:val="006E3773"/>
    <w:rsid w:val="006E3DE4"/>
    <w:rsid w:val="006E4300"/>
    <w:rsid w:val="006E571B"/>
    <w:rsid w:val="006E583F"/>
    <w:rsid w:val="006E5A5B"/>
    <w:rsid w:val="006E5F7D"/>
    <w:rsid w:val="006E6B65"/>
    <w:rsid w:val="006E6C70"/>
    <w:rsid w:val="006E6F2E"/>
    <w:rsid w:val="006E6F52"/>
    <w:rsid w:val="006E7263"/>
    <w:rsid w:val="006E7399"/>
    <w:rsid w:val="006E73EC"/>
    <w:rsid w:val="006E7421"/>
    <w:rsid w:val="006E7DCE"/>
    <w:rsid w:val="006F04B9"/>
    <w:rsid w:val="006F054C"/>
    <w:rsid w:val="006F0E18"/>
    <w:rsid w:val="006F1396"/>
    <w:rsid w:val="006F1DF8"/>
    <w:rsid w:val="006F258C"/>
    <w:rsid w:val="006F2C4B"/>
    <w:rsid w:val="006F2E82"/>
    <w:rsid w:val="006F3831"/>
    <w:rsid w:val="006F406F"/>
    <w:rsid w:val="006F5419"/>
    <w:rsid w:val="006F5D25"/>
    <w:rsid w:val="006F68F0"/>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66D1"/>
    <w:rsid w:val="00706A7A"/>
    <w:rsid w:val="007072E5"/>
    <w:rsid w:val="00710044"/>
    <w:rsid w:val="00710060"/>
    <w:rsid w:val="0071031B"/>
    <w:rsid w:val="007104E4"/>
    <w:rsid w:val="00710FBF"/>
    <w:rsid w:val="0071222F"/>
    <w:rsid w:val="007124BB"/>
    <w:rsid w:val="00713714"/>
    <w:rsid w:val="00713BF0"/>
    <w:rsid w:val="00713F8D"/>
    <w:rsid w:val="00714F19"/>
    <w:rsid w:val="00714F38"/>
    <w:rsid w:val="00714FB3"/>
    <w:rsid w:val="00716185"/>
    <w:rsid w:val="00716334"/>
    <w:rsid w:val="00716E35"/>
    <w:rsid w:val="007172A8"/>
    <w:rsid w:val="00717932"/>
    <w:rsid w:val="00717B5D"/>
    <w:rsid w:val="00717D56"/>
    <w:rsid w:val="00720928"/>
    <w:rsid w:val="00720F17"/>
    <w:rsid w:val="00720FFE"/>
    <w:rsid w:val="00721BBB"/>
    <w:rsid w:val="00721D94"/>
    <w:rsid w:val="007221F4"/>
    <w:rsid w:val="007221FF"/>
    <w:rsid w:val="0072239D"/>
    <w:rsid w:val="007225CB"/>
    <w:rsid w:val="00722C87"/>
    <w:rsid w:val="00722D70"/>
    <w:rsid w:val="00723A59"/>
    <w:rsid w:val="0072473C"/>
    <w:rsid w:val="00724D35"/>
    <w:rsid w:val="00726257"/>
    <w:rsid w:val="007262AF"/>
    <w:rsid w:val="007263D1"/>
    <w:rsid w:val="00726577"/>
    <w:rsid w:val="007265B3"/>
    <w:rsid w:val="00726CCB"/>
    <w:rsid w:val="00726EDC"/>
    <w:rsid w:val="00727202"/>
    <w:rsid w:val="00727383"/>
    <w:rsid w:val="00727402"/>
    <w:rsid w:val="0073029E"/>
    <w:rsid w:val="007302DC"/>
    <w:rsid w:val="00731006"/>
    <w:rsid w:val="00731149"/>
    <w:rsid w:val="007319E3"/>
    <w:rsid w:val="00731B92"/>
    <w:rsid w:val="007329AB"/>
    <w:rsid w:val="00732EF6"/>
    <w:rsid w:val="0073323C"/>
    <w:rsid w:val="00733853"/>
    <w:rsid w:val="007355F3"/>
    <w:rsid w:val="007358C4"/>
    <w:rsid w:val="00735919"/>
    <w:rsid w:val="00735D24"/>
    <w:rsid w:val="007364DF"/>
    <w:rsid w:val="00736F40"/>
    <w:rsid w:val="007400E1"/>
    <w:rsid w:val="00740965"/>
    <w:rsid w:val="00740E12"/>
    <w:rsid w:val="00741CDB"/>
    <w:rsid w:val="00741F54"/>
    <w:rsid w:val="00742645"/>
    <w:rsid w:val="007427BD"/>
    <w:rsid w:val="00742D37"/>
    <w:rsid w:val="00742FA3"/>
    <w:rsid w:val="00743296"/>
    <w:rsid w:val="00744033"/>
    <w:rsid w:val="007456C9"/>
    <w:rsid w:val="00745C65"/>
    <w:rsid w:val="00745D04"/>
    <w:rsid w:val="007461C0"/>
    <w:rsid w:val="00746916"/>
    <w:rsid w:val="00747A11"/>
    <w:rsid w:val="00747BD6"/>
    <w:rsid w:val="00747E6E"/>
    <w:rsid w:val="00747F44"/>
    <w:rsid w:val="00750A2F"/>
    <w:rsid w:val="00751A43"/>
    <w:rsid w:val="00751FA8"/>
    <w:rsid w:val="007527CC"/>
    <w:rsid w:val="00752B74"/>
    <w:rsid w:val="00752CF4"/>
    <w:rsid w:val="00752CFE"/>
    <w:rsid w:val="00753164"/>
    <w:rsid w:val="00753273"/>
    <w:rsid w:val="00753AB8"/>
    <w:rsid w:val="00753E22"/>
    <w:rsid w:val="00753EED"/>
    <w:rsid w:val="007542C5"/>
    <w:rsid w:val="00754324"/>
    <w:rsid w:val="00754C1B"/>
    <w:rsid w:val="00754C24"/>
    <w:rsid w:val="00754DE3"/>
    <w:rsid w:val="00755C3E"/>
    <w:rsid w:val="007565F0"/>
    <w:rsid w:val="00756E9F"/>
    <w:rsid w:val="00760136"/>
    <w:rsid w:val="00760165"/>
    <w:rsid w:val="007603CB"/>
    <w:rsid w:val="00760EAB"/>
    <w:rsid w:val="00760FAF"/>
    <w:rsid w:val="007625E6"/>
    <w:rsid w:val="00762772"/>
    <w:rsid w:val="00762BFF"/>
    <w:rsid w:val="007631F6"/>
    <w:rsid w:val="007633D5"/>
    <w:rsid w:val="00764066"/>
    <w:rsid w:val="00764201"/>
    <w:rsid w:val="007646F5"/>
    <w:rsid w:val="00764D3F"/>
    <w:rsid w:val="00765275"/>
    <w:rsid w:val="00765277"/>
    <w:rsid w:val="007653C0"/>
    <w:rsid w:val="00765891"/>
    <w:rsid w:val="00765CFA"/>
    <w:rsid w:val="00765E94"/>
    <w:rsid w:val="00766281"/>
    <w:rsid w:val="00766570"/>
    <w:rsid w:val="00766D29"/>
    <w:rsid w:val="007674FB"/>
    <w:rsid w:val="00770716"/>
    <w:rsid w:val="0077095E"/>
    <w:rsid w:val="007712AC"/>
    <w:rsid w:val="00771A25"/>
    <w:rsid w:val="00771D5D"/>
    <w:rsid w:val="0077242E"/>
    <w:rsid w:val="0077249A"/>
    <w:rsid w:val="00772EED"/>
    <w:rsid w:val="00773619"/>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6DC"/>
    <w:rsid w:val="00790EE1"/>
    <w:rsid w:val="00790F10"/>
    <w:rsid w:val="00791F73"/>
    <w:rsid w:val="007925C4"/>
    <w:rsid w:val="0079271C"/>
    <w:rsid w:val="007938D9"/>
    <w:rsid w:val="00793B0E"/>
    <w:rsid w:val="00794F29"/>
    <w:rsid w:val="007950E9"/>
    <w:rsid w:val="00795702"/>
    <w:rsid w:val="00795A66"/>
    <w:rsid w:val="0079643D"/>
    <w:rsid w:val="00796595"/>
    <w:rsid w:val="00797BF8"/>
    <w:rsid w:val="007A08DD"/>
    <w:rsid w:val="007A15D2"/>
    <w:rsid w:val="007A1B70"/>
    <w:rsid w:val="007A2341"/>
    <w:rsid w:val="007A42E2"/>
    <w:rsid w:val="007A511E"/>
    <w:rsid w:val="007A523F"/>
    <w:rsid w:val="007A5B53"/>
    <w:rsid w:val="007A67C1"/>
    <w:rsid w:val="007B01F0"/>
    <w:rsid w:val="007B0CCF"/>
    <w:rsid w:val="007B0FD5"/>
    <w:rsid w:val="007B1822"/>
    <w:rsid w:val="007B3489"/>
    <w:rsid w:val="007B365E"/>
    <w:rsid w:val="007B3BF0"/>
    <w:rsid w:val="007B3D7B"/>
    <w:rsid w:val="007B4491"/>
    <w:rsid w:val="007B48AA"/>
    <w:rsid w:val="007B4C71"/>
    <w:rsid w:val="007B4EED"/>
    <w:rsid w:val="007B52E7"/>
    <w:rsid w:val="007B5609"/>
    <w:rsid w:val="007B5F76"/>
    <w:rsid w:val="007B64AA"/>
    <w:rsid w:val="007B6BAD"/>
    <w:rsid w:val="007C3130"/>
    <w:rsid w:val="007C3344"/>
    <w:rsid w:val="007C3CA7"/>
    <w:rsid w:val="007C3EA7"/>
    <w:rsid w:val="007C4019"/>
    <w:rsid w:val="007C4868"/>
    <w:rsid w:val="007C52CB"/>
    <w:rsid w:val="007C69DB"/>
    <w:rsid w:val="007C755D"/>
    <w:rsid w:val="007D022D"/>
    <w:rsid w:val="007D0F57"/>
    <w:rsid w:val="007D12C0"/>
    <w:rsid w:val="007D177D"/>
    <w:rsid w:val="007D25BD"/>
    <w:rsid w:val="007D2AE4"/>
    <w:rsid w:val="007D307D"/>
    <w:rsid w:val="007D30AE"/>
    <w:rsid w:val="007D393C"/>
    <w:rsid w:val="007D3F9C"/>
    <w:rsid w:val="007D45BB"/>
    <w:rsid w:val="007D5264"/>
    <w:rsid w:val="007D58EA"/>
    <w:rsid w:val="007D5B46"/>
    <w:rsid w:val="007D6636"/>
    <w:rsid w:val="007D664D"/>
    <w:rsid w:val="007D66DD"/>
    <w:rsid w:val="007D7907"/>
    <w:rsid w:val="007D7ADD"/>
    <w:rsid w:val="007E072F"/>
    <w:rsid w:val="007E08BC"/>
    <w:rsid w:val="007E0D0F"/>
    <w:rsid w:val="007E0F81"/>
    <w:rsid w:val="007E10F5"/>
    <w:rsid w:val="007E1347"/>
    <w:rsid w:val="007E16A4"/>
    <w:rsid w:val="007E23AD"/>
    <w:rsid w:val="007E2598"/>
    <w:rsid w:val="007E28BC"/>
    <w:rsid w:val="007E3FBB"/>
    <w:rsid w:val="007E4289"/>
    <w:rsid w:val="007E447F"/>
    <w:rsid w:val="007E4E4E"/>
    <w:rsid w:val="007E5288"/>
    <w:rsid w:val="007E5346"/>
    <w:rsid w:val="007E562F"/>
    <w:rsid w:val="007E579B"/>
    <w:rsid w:val="007E589A"/>
    <w:rsid w:val="007E5C1A"/>
    <w:rsid w:val="007E5D40"/>
    <w:rsid w:val="007E672A"/>
    <w:rsid w:val="007E704E"/>
    <w:rsid w:val="007E79A0"/>
    <w:rsid w:val="007E7C51"/>
    <w:rsid w:val="007E7E71"/>
    <w:rsid w:val="007F000E"/>
    <w:rsid w:val="007F07C5"/>
    <w:rsid w:val="007F0FB7"/>
    <w:rsid w:val="007F1872"/>
    <w:rsid w:val="007F32F2"/>
    <w:rsid w:val="007F4AD2"/>
    <w:rsid w:val="007F4B95"/>
    <w:rsid w:val="007F53A4"/>
    <w:rsid w:val="007F5D0A"/>
    <w:rsid w:val="007F69AB"/>
    <w:rsid w:val="007F6A94"/>
    <w:rsid w:val="007F6EF2"/>
    <w:rsid w:val="007F7900"/>
    <w:rsid w:val="00800145"/>
    <w:rsid w:val="00801077"/>
    <w:rsid w:val="008017D1"/>
    <w:rsid w:val="00801ED4"/>
    <w:rsid w:val="00802A63"/>
    <w:rsid w:val="00802B13"/>
    <w:rsid w:val="008039CA"/>
    <w:rsid w:val="0080457B"/>
    <w:rsid w:val="00804615"/>
    <w:rsid w:val="00804BD6"/>
    <w:rsid w:val="00804C97"/>
    <w:rsid w:val="00804D3F"/>
    <w:rsid w:val="008050F0"/>
    <w:rsid w:val="00805C68"/>
    <w:rsid w:val="008061E0"/>
    <w:rsid w:val="00806351"/>
    <w:rsid w:val="00806378"/>
    <w:rsid w:val="00806672"/>
    <w:rsid w:val="008069D1"/>
    <w:rsid w:val="00807DD1"/>
    <w:rsid w:val="00810749"/>
    <w:rsid w:val="008111B2"/>
    <w:rsid w:val="00811FC6"/>
    <w:rsid w:val="008138DC"/>
    <w:rsid w:val="00813B39"/>
    <w:rsid w:val="00814455"/>
    <w:rsid w:val="00814AE4"/>
    <w:rsid w:val="00815032"/>
    <w:rsid w:val="00820351"/>
    <w:rsid w:val="008208CE"/>
    <w:rsid w:val="00820A9A"/>
    <w:rsid w:val="00820CD0"/>
    <w:rsid w:val="0082116A"/>
    <w:rsid w:val="008214C5"/>
    <w:rsid w:val="008219BF"/>
    <w:rsid w:val="00822504"/>
    <w:rsid w:val="00822706"/>
    <w:rsid w:val="00822F19"/>
    <w:rsid w:val="00823007"/>
    <w:rsid w:val="0082500E"/>
    <w:rsid w:val="00825597"/>
    <w:rsid w:val="008256C3"/>
    <w:rsid w:val="00827A83"/>
    <w:rsid w:val="00827C7B"/>
    <w:rsid w:val="00830015"/>
    <w:rsid w:val="00830293"/>
    <w:rsid w:val="00831DF6"/>
    <w:rsid w:val="00832ACA"/>
    <w:rsid w:val="00832EC9"/>
    <w:rsid w:val="00832F62"/>
    <w:rsid w:val="008335AE"/>
    <w:rsid w:val="00833626"/>
    <w:rsid w:val="0083384F"/>
    <w:rsid w:val="00834950"/>
    <w:rsid w:val="00834D81"/>
    <w:rsid w:val="00835BB1"/>
    <w:rsid w:val="00835BEE"/>
    <w:rsid w:val="008369AE"/>
    <w:rsid w:val="00837574"/>
    <w:rsid w:val="00837AF4"/>
    <w:rsid w:val="0084015C"/>
    <w:rsid w:val="008402B2"/>
    <w:rsid w:val="00840AD6"/>
    <w:rsid w:val="00840C76"/>
    <w:rsid w:val="00840FDD"/>
    <w:rsid w:val="0084177B"/>
    <w:rsid w:val="008418BD"/>
    <w:rsid w:val="00841D62"/>
    <w:rsid w:val="00841FF9"/>
    <w:rsid w:val="008425D4"/>
    <w:rsid w:val="00842E80"/>
    <w:rsid w:val="00842F27"/>
    <w:rsid w:val="00843075"/>
    <w:rsid w:val="00844158"/>
    <w:rsid w:val="008450A8"/>
    <w:rsid w:val="00845FA1"/>
    <w:rsid w:val="00847C9D"/>
    <w:rsid w:val="00850A88"/>
    <w:rsid w:val="00850E8A"/>
    <w:rsid w:val="0085127D"/>
    <w:rsid w:val="00851AFC"/>
    <w:rsid w:val="00851D87"/>
    <w:rsid w:val="008524C8"/>
    <w:rsid w:val="00852A7F"/>
    <w:rsid w:val="008531DE"/>
    <w:rsid w:val="00853E5C"/>
    <w:rsid w:val="00855072"/>
    <w:rsid w:val="008572EC"/>
    <w:rsid w:val="00857B87"/>
    <w:rsid w:val="00857F62"/>
    <w:rsid w:val="008604E9"/>
    <w:rsid w:val="008605E4"/>
    <w:rsid w:val="00860809"/>
    <w:rsid w:val="00860C09"/>
    <w:rsid w:val="00860C7D"/>
    <w:rsid w:val="00860C95"/>
    <w:rsid w:val="008614BE"/>
    <w:rsid w:val="00862042"/>
    <w:rsid w:val="008637D6"/>
    <w:rsid w:val="008639A5"/>
    <w:rsid w:val="008641D8"/>
    <w:rsid w:val="0086447D"/>
    <w:rsid w:val="00864A4A"/>
    <w:rsid w:val="008657B0"/>
    <w:rsid w:val="00865CAB"/>
    <w:rsid w:val="00867096"/>
    <w:rsid w:val="008672E9"/>
    <w:rsid w:val="008677EB"/>
    <w:rsid w:val="00867D03"/>
    <w:rsid w:val="00867E38"/>
    <w:rsid w:val="00870112"/>
    <w:rsid w:val="0087044E"/>
    <w:rsid w:val="008709E9"/>
    <w:rsid w:val="00870A48"/>
    <w:rsid w:val="00871AE1"/>
    <w:rsid w:val="00872F3E"/>
    <w:rsid w:val="00873E13"/>
    <w:rsid w:val="00874356"/>
    <w:rsid w:val="00874D51"/>
    <w:rsid w:val="00875A4F"/>
    <w:rsid w:val="00875C9C"/>
    <w:rsid w:val="0087696C"/>
    <w:rsid w:val="00876F92"/>
    <w:rsid w:val="0087780E"/>
    <w:rsid w:val="00877AA3"/>
    <w:rsid w:val="00877E9A"/>
    <w:rsid w:val="00881C57"/>
    <w:rsid w:val="00881E98"/>
    <w:rsid w:val="00881EE9"/>
    <w:rsid w:val="008836F9"/>
    <w:rsid w:val="008838E5"/>
    <w:rsid w:val="00884B50"/>
    <w:rsid w:val="008851EE"/>
    <w:rsid w:val="00885B77"/>
    <w:rsid w:val="008874D7"/>
    <w:rsid w:val="008876C3"/>
    <w:rsid w:val="00887904"/>
    <w:rsid w:val="00887DDC"/>
    <w:rsid w:val="00890124"/>
    <w:rsid w:val="008909E2"/>
    <w:rsid w:val="00890EAA"/>
    <w:rsid w:val="00892816"/>
    <w:rsid w:val="008928C6"/>
    <w:rsid w:val="008944D0"/>
    <w:rsid w:val="00894E4E"/>
    <w:rsid w:val="00895459"/>
    <w:rsid w:val="008A055A"/>
    <w:rsid w:val="008A06AB"/>
    <w:rsid w:val="008A200B"/>
    <w:rsid w:val="008A264E"/>
    <w:rsid w:val="008A2846"/>
    <w:rsid w:val="008A2EE9"/>
    <w:rsid w:val="008A2F71"/>
    <w:rsid w:val="008A3181"/>
    <w:rsid w:val="008A36C4"/>
    <w:rsid w:val="008A3735"/>
    <w:rsid w:val="008A3BEC"/>
    <w:rsid w:val="008A5303"/>
    <w:rsid w:val="008A5461"/>
    <w:rsid w:val="008A555C"/>
    <w:rsid w:val="008A56BD"/>
    <w:rsid w:val="008A6067"/>
    <w:rsid w:val="008A688B"/>
    <w:rsid w:val="008A7A19"/>
    <w:rsid w:val="008B0720"/>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32E1"/>
    <w:rsid w:val="008C54E6"/>
    <w:rsid w:val="008C5961"/>
    <w:rsid w:val="008C5A98"/>
    <w:rsid w:val="008C648E"/>
    <w:rsid w:val="008C6563"/>
    <w:rsid w:val="008C7586"/>
    <w:rsid w:val="008C75E4"/>
    <w:rsid w:val="008C7883"/>
    <w:rsid w:val="008D027E"/>
    <w:rsid w:val="008D05E8"/>
    <w:rsid w:val="008D08F1"/>
    <w:rsid w:val="008D0FD6"/>
    <w:rsid w:val="008D13A1"/>
    <w:rsid w:val="008D197B"/>
    <w:rsid w:val="008D1BBF"/>
    <w:rsid w:val="008D1C30"/>
    <w:rsid w:val="008D25FE"/>
    <w:rsid w:val="008D2C6D"/>
    <w:rsid w:val="008D2E4E"/>
    <w:rsid w:val="008D302A"/>
    <w:rsid w:val="008D327E"/>
    <w:rsid w:val="008D3379"/>
    <w:rsid w:val="008D3BFE"/>
    <w:rsid w:val="008D3CFF"/>
    <w:rsid w:val="008D3D40"/>
    <w:rsid w:val="008D53A3"/>
    <w:rsid w:val="008D5DE3"/>
    <w:rsid w:val="008D6935"/>
    <w:rsid w:val="008E192D"/>
    <w:rsid w:val="008E1AF9"/>
    <w:rsid w:val="008E1C52"/>
    <w:rsid w:val="008E1C5F"/>
    <w:rsid w:val="008E2296"/>
    <w:rsid w:val="008E2370"/>
    <w:rsid w:val="008E2558"/>
    <w:rsid w:val="008E259E"/>
    <w:rsid w:val="008E28FA"/>
    <w:rsid w:val="008E2B7A"/>
    <w:rsid w:val="008E3009"/>
    <w:rsid w:val="008E31C3"/>
    <w:rsid w:val="008E3319"/>
    <w:rsid w:val="008E3932"/>
    <w:rsid w:val="008E3C0C"/>
    <w:rsid w:val="008E44EF"/>
    <w:rsid w:val="008E4589"/>
    <w:rsid w:val="008E4A27"/>
    <w:rsid w:val="008E4AFB"/>
    <w:rsid w:val="008E4C94"/>
    <w:rsid w:val="008E534E"/>
    <w:rsid w:val="008E5697"/>
    <w:rsid w:val="008E5BBD"/>
    <w:rsid w:val="008E63B8"/>
    <w:rsid w:val="008F0319"/>
    <w:rsid w:val="008F07C4"/>
    <w:rsid w:val="008F1534"/>
    <w:rsid w:val="008F16ED"/>
    <w:rsid w:val="008F1F10"/>
    <w:rsid w:val="008F2307"/>
    <w:rsid w:val="008F2528"/>
    <w:rsid w:val="008F367C"/>
    <w:rsid w:val="008F3CE7"/>
    <w:rsid w:val="008F3ED0"/>
    <w:rsid w:val="008F4802"/>
    <w:rsid w:val="008F70BD"/>
    <w:rsid w:val="00900141"/>
    <w:rsid w:val="009002FE"/>
    <w:rsid w:val="009015CB"/>
    <w:rsid w:val="009015F3"/>
    <w:rsid w:val="009023C8"/>
    <w:rsid w:val="0090297B"/>
    <w:rsid w:val="00903BF3"/>
    <w:rsid w:val="00904C64"/>
    <w:rsid w:val="00905827"/>
    <w:rsid w:val="0090592B"/>
    <w:rsid w:val="00905C24"/>
    <w:rsid w:val="00905EEA"/>
    <w:rsid w:val="009060F4"/>
    <w:rsid w:val="00906775"/>
    <w:rsid w:val="0090680A"/>
    <w:rsid w:val="009068D7"/>
    <w:rsid w:val="009069EC"/>
    <w:rsid w:val="009100EF"/>
    <w:rsid w:val="00910EAB"/>
    <w:rsid w:val="00911444"/>
    <w:rsid w:val="0091147E"/>
    <w:rsid w:val="0091161A"/>
    <w:rsid w:val="00911B18"/>
    <w:rsid w:val="00912224"/>
    <w:rsid w:val="009123DB"/>
    <w:rsid w:val="009124BE"/>
    <w:rsid w:val="009129B9"/>
    <w:rsid w:val="00913A7D"/>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07"/>
    <w:rsid w:val="009228B0"/>
    <w:rsid w:val="009229E6"/>
    <w:rsid w:val="00922C83"/>
    <w:rsid w:val="009230F0"/>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5D0D"/>
    <w:rsid w:val="009366F4"/>
    <w:rsid w:val="009368D5"/>
    <w:rsid w:val="00936B94"/>
    <w:rsid w:val="00937439"/>
    <w:rsid w:val="00937C70"/>
    <w:rsid w:val="00940F0A"/>
    <w:rsid w:val="00941B6D"/>
    <w:rsid w:val="00941C64"/>
    <w:rsid w:val="00941DF8"/>
    <w:rsid w:val="00941F07"/>
    <w:rsid w:val="00942570"/>
    <w:rsid w:val="009428D9"/>
    <w:rsid w:val="00942E5F"/>
    <w:rsid w:val="0094387C"/>
    <w:rsid w:val="00943AB4"/>
    <w:rsid w:val="00943E19"/>
    <w:rsid w:val="0094454F"/>
    <w:rsid w:val="00944AFD"/>
    <w:rsid w:val="00945029"/>
    <w:rsid w:val="009465A9"/>
    <w:rsid w:val="009469B5"/>
    <w:rsid w:val="00950655"/>
    <w:rsid w:val="00950891"/>
    <w:rsid w:val="00950948"/>
    <w:rsid w:val="00950999"/>
    <w:rsid w:val="00950AE8"/>
    <w:rsid w:val="00950D53"/>
    <w:rsid w:val="00951019"/>
    <w:rsid w:val="0095193A"/>
    <w:rsid w:val="00952E76"/>
    <w:rsid w:val="009577DF"/>
    <w:rsid w:val="0096117C"/>
    <w:rsid w:val="00961401"/>
    <w:rsid w:val="00961636"/>
    <w:rsid w:val="00961ECD"/>
    <w:rsid w:val="0096273B"/>
    <w:rsid w:val="00963F74"/>
    <w:rsid w:val="00965636"/>
    <w:rsid w:val="00965923"/>
    <w:rsid w:val="00966B32"/>
    <w:rsid w:val="00967429"/>
    <w:rsid w:val="00967953"/>
    <w:rsid w:val="009715B4"/>
    <w:rsid w:val="009716C8"/>
    <w:rsid w:val="00973331"/>
    <w:rsid w:val="00973ECC"/>
    <w:rsid w:val="0097412A"/>
    <w:rsid w:val="009744CE"/>
    <w:rsid w:val="009750DE"/>
    <w:rsid w:val="00975A13"/>
    <w:rsid w:val="00975DB4"/>
    <w:rsid w:val="009763E1"/>
    <w:rsid w:val="009766CD"/>
    <w:rsid w:val="00976EAD"/>
    <w:rsid w:val="009773E9"/>
    <w:rsid w:val="00977F79"/>
    <w:rsid w:val="009804D0"/>
    <w:rsid w:val="00980914"/>
    <w:rsid w:val="00980F62"/>
    <w:rsid w:val="0098132F"/>
    <w:rsid w:val="00981F2C"/>
    <w:rsid w:val="00982AFC"/>
    <w:rsid w:val="00982F6F"/>
    <w:rsid w:val="009834E0"/>
    <w:rsid w:val="00983E76"/>
    <w:rsid w:val="00984FFE"/>
    <w:rsid w:val="0098684F"/>
    <w:rsid w:val="00986D6C"/>
    <w:rsid w:val="009871CE"/>
    <w:rsid w:val="00987804"/>
    <w:rsid w:val="00987EE9"/>
    <w:rsid w:val="00990333"/>
    <w:rsid w:val="009905A6"/>
    <w:rsid w:val="00990BBB"/>
    <w:rsid w:val="0099131B"/>
    <w:rsid w:val="00991A10"/>
    <w:rsid w:val="00991DF2"/>
    <w:rsid w:val="00992AFB"/>
    <w:rsid w:val="00993336"/>
    <w:rsid w:val="00993887"/>
    <w:rsid w:val="00993B76"/>
    <w:rsid w:val="00994301"/>
    <w:rsid w:val="00994A43"/>
    <w:rsid w:val="00994C4B"/>
    <w:rsid w:val="009952FE"/>
    <w:rsid w:val="009956D0"/>
    <w:rsid w:val="00996508"/>
    <w:rsid w:val="009968D1"/>
    <w:rsid w:val="00996A69"/>
    <w:rsid w:val="00996D38"/>
    <w:rsid w:val="009970AD"/>
    <w:rsid w:val="00997755"/>
    <w:rsid w:val="00997895"/>
    <w:rsid w:val="0099793D"/>
    <w:rsid w:val="009A048C"/>
    <w:rsid w:val="009A06A2"/>
    <w:rsid w:val="009A0EC3"/>
    <w:rsid w:val="009A0F8A"/>
    <w:rsid w:val="009A3B2D"/>
    <w:rsid w:val="009A3D81"/>
    <w:rsid w:val="009A3E31"/>
    <w:rsid w:val="009A40B4"/>
    <w:rsid w:val="009A4276"/>
    <w:rsid w:val="009A48C7"/>
    <w:rsid w:val="009A64D3"/>
    <w:rsid w:val="009A70D0"/>
    <w:rsid w:val="009A7393"/>
    <w:rsid w:val="009B04D5"/>
    <w:rsid w:val="009B05C7"/>
    <w:rsid w:val="009B068C"/>
    <w:rsid w:val="009B098E"/>
    <w:rsid w:val="009B0BC2"/>
    <w:rsid w:val="009B0E3E"/>
    <w:rsid w:val="009B0F39"/>
    <w:rsid w:val="009B2667"/>
    <w:rsid w:val="009B2FDB"/>
    <w:rsid w:val="009B30D3"/>
    <w:rsid w:val="009B36BE"/>
    <w:rsid w:val="009B3837"/>
    <w:rsid w:val="009B3B5A"/>
    <w:rsid w:val="009B3D13"/>
    <w:rsid w:val="009B4264"/>
    <w:rsid w:val="009B43DD"/>
    <w:rsid w:val="009B4BC4"/>
    <w:rsid w:val="009B5162"/>
    <w:rsid w:val="009B54B1"/>
    <w:rsid w:val="009B5FA4"/>
    <w:rsid w:val="009B66FC"/>
    <w:rsid w:val="009B685E"/>
    <w:rsid w:val="009B6B21"/>
    <w:rsid w:val="009B6F36"/>
    <w:rsid w:val="009B7EF4"/>
    <w:rsid w:val="009B7EF8"/>
    <w:rsid w:val="009B7F82"/>
    <w:rsid w:val="009C059E"/>
    <w:rsid w:val="009C12B2"/>
    <w:rsid w:val="009C146B"/>
    <w:rsid w:val="009C1BCA"/>
    <w:rsid w:val="009C263F"/>
    <w:rsid w:val="009C27DC"/>
    <w:rsid w:val="009C28C1"/>
    <w:rsid w:val="009C3521"/>
    <w:rsid w:val="009C4538"/>
    <w:rsid w:val="009C550B"/>
    <w:rsid w:val="009C5CE3"/>
    <w:rsid w:val="009C681E"/>
    <w:rsid w:val="009C6884"/>
    <w:rsid w:val="009C6AC2"/>
    <w:rsid w:val="009C70D7"/>
    <w:rsid w:val="009C731E"/>
    <w:rsid w:val="009C7CD7"/>
    <w:rsid w:val="009D2A0B"/>
    <w:rsid w:val="009D3985"/>
    <w:rsid w:val="009D42A7"/>
    <w:rsid w:val="009D43F4"/>
    <w:rsid w:val="009D49A1"/>
    <w:rsid w:val="009D5510"/>
    <w:rsid w:val="009D63EA"/>
    <w:rsid w:val="009D70D4"/>
    <w:rsid w:val="009E04E7"/>
    <w:rsid w:val="009E1794"/>
    <w:rsid w:val="009E1B49"/>
    <w:rsid w:val="009E2280"/>
    <w:rsid w:val="009E273E"/>
    <w:rsid w:val="009E2847"/>
    <w:rsid w:val="009E3661"/>
    <w:rsid w:val="009E3E28"/>
    <w:rsid w:val="009E4185"/>
    <w:rsid w:val="009E42A6"/>
    <w:rsid w:val="009E5605"/>
    <w:rsid w:val="009E5A6F"/>
    <w:rsid w:val="009E62B3"/>
    <w:rsid w:val="009E6AAD"/>
    <w:rsid w:val="009E6AC2"/>
    <w:rsid w:val="009E70A8"/>
    <w:rsid w:val="009E7424"/>
    <w:rsid w:val="009F0BEB"/>
    <w:rsid w:val="009F0E86"/>
    <w:rsid w:val="009F0F6B"/>
    <w:rsid w:val="009F18BB"/>
    <w:rsid w:val="009F3266"/>
    <w:rsid w:val="009F3818"/>
    <w:rsid w:val="009F4D58"/>
    <w:rsid w:val="009F4FD8"/>
    <w:rsid w:val="009F5626"/>
    <w:rsid w:val="009F725A"/>
    <w:rsid w:val="009F736C"/>
    <w:rsid w:val="009F7FCD"/>
    <w:rsid w:val="00A003A8"/>
    <w:rsid w:val="00A0044B"/>
    <w:rsid w:val="00A00528"/>
    <w:rsid w:val="00A00BB9"/>
    <w:rsid w:val="00A01FCE"/>
    <w:rsid w:val="00A02006"/>
    <w:rsid w:val="00A02044"/>
    <w:rsid w:val="00A02C8F"/>
    <w:rsid w:val="00A02D16"/>
    <w:rsid w:val="00A02DB0"/>
    <w:rsid w:val="00A041FF"/>
    <w:rsid w:val="00A04A2A"/>
    <w:rsid w:val="00A04EFB"/>
    <w:rsid w:val="00A05736"/>
    <w:rsid w:val="00A0603F"/>
    <w:rsid w:val="00A06603"/>
    <w:rsid w:val="00A06A50"/>
    <w:rsid w:val="00A06A69"/>
    <w:rsid w:val="00A074D0"/>
    <w:rsid w:val="00A0757F"/>
    <w:rsid w:val="00A104E5"/>
    <w:rsid w:val="00A10797"/>
    <w:rsid w:val="00A10840"/>
    <w:rsid w:val="00A110F1"/>
    <w:rsid w:val="00A118BD"/>
    <w:rsid w:val="00A11F66"/>
    <w:rsid w:val="00A12258"/>
    <w:rsid w:val="00A123EB"/>
    <w:rsid w:val="00A127AA"/>
    <w:rsid w:val="00A1315B"/>
    <w:rsid w:val="00A13527"/>
    <w:rsid w:val="00A13AE1"/>
    <w:rsid w:val="00A13AF8"/>
    <w:rsid w:val="00A13BE9"/>
    <w:rsid w:val="00A14B97"/>
    <w:rsid w:val="00A14BC4"/>
    <w:rsid w:val="00A15522"/>
    <w:rsid w:val="00A15A1C"/>
    <w:rsid w:val="00A161A3"/>
    <w:rsid w:val="00A164C0"/>
    <w:rsid w:val="00A16D0C"/>
    <w:rsid w:val="00A171E2"/>
    <w:rsid w:val="00A17BED"/>
    <w:rsid w:val="00A17DF9"/>
    <w:rsid w:val="00A205E2"/>
    <w:rsid w:val="00A20BB1"/>
    <w:rsid w:val="00A20CEE"/>
    <w:rsid w:val="00A2181E"/>
    <w:rsid w:val="00A225FC"/>
    <w:rsid w:val="00A22C7A"/>
    <w:rsid w:val="00A23104"/>
    <w:rsid w:val="00A244CC"/>
    <w:rsid w:val="00A24AEE"/>
    <w:rsid w:val="00A24CC8"/>
    <w:rsid w:val="00A25AAF"/>
    <w:rsid w:val="00A25E8F"/>
    <w:rsid w:val="00A25EF6"/>
    <w:rsid w:val="00A26BB7"/>
    <w:rsid w:val="00A279D0"/>
    <w:rsid w:val="00A27CCB"/>
    <w:rsid w:val="00A301FC"/>
    <w:rsid w:val="00A302B2"/>
    <w:rsid w:val="00A31935"/>
    <w:rsid w:val="00A3325E"/>
    <w:rsid w:val="00A33D79"/>
    <w:rsid w:val="00A34912"/>
    <w:rsid w:val="00A34914"/>
    <w:rsid w:val="00A35027"/>
    <w:rsid w:val="00A353C8"/>
    <w:rsid w:val="00A35528"/>
    <w:rsid w:val="00A36207"/>
    <w:rsid w:val="00A37148"/>
    <w:rsid w:val="00A401D1"/>
    <w:rsid w:val="00A401D5"/>
    <w:rsid w:val="00A405F5"/>
    <w:rsid w:val="00A40D10"/>
    <w:rsid w:val="00A42024"/>
    <w:rsid w:val="00A42485"/>
    <w:rsid w:val="00A42F1A"/>
    <w:rsid w:val="00A4335C"/>
    <w:rsid w:val="00A4363C"/>
    <w:rsid w:val="00A43959"/>
    <w:rsid w:val="00A440C1"/>
    <w:rsid w:val="00A440C8"/>
    <w:rsid w:val="00A4417E"/>
    <w:rsid w:val="00A446C9"/>
    <w:rsid w:val="00A453E6"/>
    <w:rsid w:val="00A45D7A"/>
    <w:rsid w:val="00A46050"/>
    <w:rsid w:val="00A46637"/>
    <w:rsid w:val="00A46C36"/>
    <w:rsid w:val="00A47127"/>
    <w:rsid w:val="00A472B7"/>
    <w:rsid w:val="00A47A27"/>
    <w:rsid w:val="00A47A8C"/>
    <w:rsid w:val="00A505BC"/>
    <w:rsid w:val="00A50B3E"/>
    <w:rsid w:val="00A51190"/>
    <w:rsid w:val="00A51DF4"/>
    <w:rsid w:val="00A523A2"/>
    <w:rsid w:val="00A53000"/>
    <w:rsid w:val="00A53297"/>
    <w:rsid w:val="00A537E5"/>
    <w:rsid w:val="00A5417C"/>
    <w:rsid w:val="00A54517"/>
    <w:rsid w:val="00A55BF6"/>
    <w:rsid w:val="00A563D2"/>
    <w:rsid w:val="00A568D5"/>
    <w:rsid w:val="00A56BDB"/>
    <w:rsid w:val="00A570DB"/>
    <w:rsid w:val="00A5750B"/>
    <w:rsid w:val="00A57594"/>
    <w:rsid w:val="00A576AB"/>
    <w:rsid w:val="00A57958"/>
    <w:rsid w:val="00A60289"/>
    <w:rsid w:val="00A60A3C"/>
    <w:rsid w:val="00A60A67"/>
    <w:rsid w:val="00A60E44"/>
    <w:rsid w:val="00A613BA"/>
    <w:rsid w:val="00A6179C"/>
    <w:rsid w:val="00A61B25"/>
    <w:rsid w:val="00A6202B"/>
    <w:rsid w:val="00A6213A"/>
    <w:rsid w:val="00A62464"/>
    <w:rsid w:val="00A6333A"/>
    <w:rsid w:val="00A63BDA"/>
    <w:rsid w:val="00A64E2F"/>
    <w:rsid w:val="00A65375"/>
    <w:rsid w:val="00A6581A"/>
    <w:rsid w:val="00A65EA8"/>
    <w:rsid w:val="00A66515"/>
    <w:rsid w:val="00A665C7"/>
    <w:rsid w:val="00A666A6"/>
    <w:rsid w:val="00A668FB"/>
    <w:rsid w:val="00A673B5"/>
    <w:rsid w:val="00A67B98"/>
    <w:rsid w:val="00A71D37"/>
    <w:rsid w:val="00A71F60"/>
    <w:rsid w:val="00A726F4"/>
    <w:rsid w:val="00A72863"/>
    <w:rsid w:val="00A7305C"/>
    <w:rsid w:val="00A73B52"/>
    <w:rsid w:val="00A749B3"/>
    <w:rsid w:val="00A753D2"/>
    <w:rsid w:val="00A7689E"/>
    <w:rsid w:val="00A76B7F"/>
    <w:rsid w:val="00A76BD6"/>
    <w:rsid w:val="00A77326"/>
    <w:rsid w:val="00A80ABC"/>
    <w:rsid w:val="00A8101A"/>
    <w:rsid w:val="00A8166A"/>
    <w:rsid w:val="00A820B9"/>
    <w:rsid w:val="00A82B11"/>
    <w:rsid w:val="00A82FCA"/>
    <w:rsid w:val="00A83DBF"/>
    <w:rsid w:val="00A8437B"/>
    <w:rsid w:val="00A84393"/>
    <w:rsid w:val="00A84684"/>
    <w:rsid w:val="00A84BB5"/>
    <w:rsid w:val="00A85539"/>
    <w:rsid w:val="00A85C84"/>
    <w:rsid w:val="00A86306"/>
    <w:rsid w:val="00A86DF9"/>
    <w:rsid w:val="00A87350"/>
    <w:rsid w:val="00A874CC"/>
    <w:rsid w:val="00A90D8B"/>
    <w:rsid w:val="00A90F88"/>
    <w:rsid w:val="00A91865"/>
    <w:rsid w:val="00A91EB8"/>
    <w:rsid w:val="00A927AF"/>
    <w:rsid w:val="00A93ECE"/>
    <w:rsid w:val="00A93FD9"/>
    <w:rsid w:val="00A94245"/>
    <w:rsid w:val="00A944A1"/>
    <w:rsid w:val="00A94ECD"/>
    <w:rsid w:val="00A95176"/>
    <w:rsid w:val="00A9535A"/>
    <w:rsid w:val="00A9541E"/>
    <w:rsid w:val="00A9595F"/>
    <w:rsid w:val="00A96469"/>
    <w:rsid w:val="00A96491"/>
    <w:rsid w:val="00A9674F"/>
    <w:rsid w:val="00A969FC"/>
    <w:rsid w:val="00A9740F"/>
    <w:rsid w:val="00A97581"/>
    <w:rsid w:val="00A9777E"/>
    <w:rsid w:val="00AA3B24"/>
    <w:rsid w:val="00AA43F4"/>
    <w:rsid w:val="00AA4561"/>
    <w:rsid w:val="00AA4686"/>
    <w:rsid w:val="00AA539B"/>
    <w:rsid w:val="00AA5BDB"/>
    <w:rsid w:val="00AA618E"/>
    <w:rsid w:val="00AA6A70"/>
    <w:rsid w:val="00AA7AD9"/>
    <w:rsid w:val="00AB010B"/>
    <w:rsid w:val="00AB157A"/>
    <w:rsid w:val="00AB174A"/>
    <w:rsid w:val="00AB2930"/>
    <w:rsid w:val="00AB2AF3"/>
    <w:rsid w:val="00AB373B"/>
    <w:rsid w:val="00AB391A"/>
    <w:rsid w:val="00AB3AE1"/>
    <w:rsid w:val="00AB4221"/>
    <w:rsid w:val="00AB4330"/>
    <w:rsid w:val="00AB49C0"/>
    <w:rsid w:val="00AB4C1B"/>
    <w:rsid w:val="00AB5119"/>
    <w:rsid w:val="00AB5350"/>
    <w:rsid w:val="00AB5358"/>
    <w:rsid w:val="00AB53E8"/>
    <w:rsid w:val="00AB589C"/>
    <w:rsid w:val="00AB6205"/>
    <w:rsid w:val="00AB639A"/>
    <w:rsid w:val="00AB7282"/>
    <w:rsid w:val="00AB7757"/>
    <w:rsid w:val="00AB7B5D"/>
    <w:rsid w:val="00AC0F51"/>
    <w:rsid w:val="00AC10D1"/>
    <w:rsid w:val="00AC139C"/>
    <w:rsid w:val="00AC146C"/>
    <w:rsid w:val="00AC17A8"/>
    <w:rsid w:val="00AC3B3E"/>
    <w:rsid w:val="00AC3F66"/>
    <w:rsid w:val="00AC4673"/>
    <w:rsid w:val="00AC48CB"/>
    <w:rsid w:val="00AC53EF"/>
    <w:rsid w:val="00AC543F"/>
    <w:rsid w:val="00AC57FD"/>
    <w:rsid w:val="00AC6698"/>
    <w:rsid w:val="00AC7924"/>
    <w:rsid w:val="00AD0552"/>
    <w:rsid w:val="00AD0569"/>
    <w:rsid w:val="00AD0E04"/>
    <w:rsid w:val="00AD1D1E"/>
    <w:rsid w:val="00AD2195"/>
    <w:rsid w:val="00AD23C4"/>
    <w:rsid w:val="00AD2A71"/>
    <w:rsid w:val="00AD2AAE"/>
    <w:rsid w:val="00AD2AD5"/>
    <w:rsid w:val="00AD2B87"/>
    <w:rsid w:val="00AD2D77"/>
    <w:rsid w:val="00AD3838"/>
    <w:rsid w:val="00AD4375"/>
    <w:rsid w:val="00AD4ACE"/>
    <w:rsid w:val="00AD5577"/>
    <w:rsid w:val="00AD57D2"/>
    <w:rsid w:val="00AD5A24"/>
    <w:rsid w:val="00AD5F45"/>
    <w:rsid w:val="00AD6A09"/>
    <w:rsid w:val="00AD7028"/>
    <w:rsid w:val="00AD7396"/>
    <w:rsid w:val="00AD7F25"/>
    <w:rsid w:val="00AE0DE8"/>
    <w:rsid w:val="00AE2490"/>
    <w:rsid w:val="00AE28B0"/>
    <w:rsid w:val="00AE2C17"/>
    <w:rsid w:val="00AE36AB"/>
    <w:rsid w:val="00AE3E1D"/>
    <w:rsid w:val="00AE45C0"/>
    <w:rsid w:val="00AE5019"/>
    <w:rsid w:val="00AE50BF"/>
    <w:rsid w:val="00AE58C7"/>
    <w:rsid w:val="00AE5C15"/>
    <w:rsid w:val="00AE6092"/>
    <w:rsid w:val="00AE639A"/>
    <w:rsid w:val="00AE6484"/>
    <w:rsid w:val="00AE6D77"/>
    <w:rsid w:val="00AE6D97"/>
    <w:rsid w:val="00AE6EDA"/>
    <w:rsid w:val="00AE74AD"/>
    <w:rsid w:val="00AF00E7"/>
    <w:rsid w:val="00AF03CD"/>
    <w:rsid w:val="00AF0C44"/>
    <w:rsid w:val="00AF0DDC"/>
    <w:rsid w:val="00AF0E20"/>
    <w:rsid w:val="00AF3838"/>
    <w:rsid w:val="00AF3A7C"/>
    <w:rsid w:val="00AF3C3D"/>
    <w:rsid w:val="00AF421B"/>
    <w:rsid w:val="00AF451A"/>
    <w:rsid w:val="00AF454C"/>
    <w:rsid w:val="00AF5A46"/>
    <w:rsid w:val="00AF60EA"/>
    <w:rsid w:val="00AF61E4"/>
    <w:rsid w:val="00AF691C"/>
    <w:rsid w:val="00AF6D6E"/>
    <w:rsid w:val="00AF7E7C"/>
    <w:rsid w:val="00B00B73"/>
    <w:rsid w:val="00B00DDE"/>
    <w:rsid w:val="00B00EBA"/>
    <w:rsid w:val="00B01458"/>
    <w:rsid w:val="00B01AE4"/>
    <w:rsid w:val="00B02500"/>
    <w:rsid w:val="00B02AEB"/>
    <w:rsid w:val="00B03103"/>
    <w:rsid w:val="00B03A46"/>
    <w:rsid w:val="00B04174"/>
    <w:rsid w:val="00B04A39"/>
    <w:rsid w:val="00B05C07"/>
    <w:rsid w:val="00B06490"/>
    <w:rsid w:val="00B06654"/>
    <w:rsid w:val="00B06BF0"/>
    <w:rsid w:val="00B06F77"/>
    <w:rsid w:val="00B07091"/>
    <w:rsid w:val="00B0731E"/>
    <w:rsid w:val="00B07890"/>
    <w:rsid w:val="00B12677"/>
    <w:rsid w:val="00B127C7"/>
    <w:rsid w:val="00B13131"/>
    <w:rsid w:val="00B131DE"/>
    <w:rsid w:val="00B134CF"/>
    <w:rsid w:val="00B17198"/>
    <w:rsid w:val="00B174D5"/>
    <w:rsid w:val="00B176EF"/>
    <w:rsid w:val="00B177EB"/>
    <w:rsid w:val="00B20867"/>
    <w:rsid w:val="00B20C00"/>
    <w:rsid w:val="00B20D57"/>
    <w:rsid w:val="00B2138D"/>
    <w:rsid w:val="00B21D49"/>
    <w:rsid w:val="00B225C1"/>
    <w:rsid w:val="00B22C6D"/>
    <w:rsid w:val="00B231F9"/>
    <w:rsid w:val="00B232A6"/>
    <w:rsid w:val="00B24869"/>
    <w:rsid w:val="00B250E2"/>
    <w:rsid w:val="00B2510E"/>
    <w:rsid w:val="00B2623B"/>
    <w:rsid w:val="00B26396"/>
    <w:rsid w:val="00B265E3"/>
    <w:rsid w:val="00B2707F"/>
    <w:rsid w:val="00B2727B"/>
    <w:rsid w:val="00B27AC2"/>
    <w:rsid w:val="00B27C32"/>
    <w:rsid w:val="00B30468"/>
    <w:rsid w:val="00B30E45"/>
    <w:rsid w:val="00B33AF3"/>
    <w:rsid w:val="00B34578"/>
    <w:rsid w:val="00B347EA"/>
    <w:rsid w:val="00B3492B"/>
    <w:rsid w:val="00B34E62"/>
    <w:rsid w:val="00B359EB"/>
    <w:rsid w:val="00B361E3"/>
    <w:rsid w:val="00B366D0"/>
    <w:rsid w:val="00B37BE7"/>
    <w:rsid w:val="00B37E03"/>
    <w:rsid w:val="00B37E1B"/>
    <w:rsid w:val="00B40783"/>
    <w:rsid w:val="00B407B3"/>
    <w:rsid w:val="00B40DEC"/>
    <w:rsid w:val="00B412E2"/>
    <w:rsid w:val="00B4130C"/>
    <w:rsid w:val="00B43043"/>
    <w:rsid w:val="00B43151"/>
    <w:rsid w:val="00B431B8"/>
    <w:rsid w:val="00B440DD"/>
    <w:rsid w:val="00B44B89"/>
    <w:rsid w:val="00B45218"/>
    <w:rsid w:val="00B454F1"/>
    <w:rsid w:val="00B45DDA"/>
    <w:rsid w:val="00B468D1"/>
    <w:rsid w:val="00B46A04"/>
    <w:rsid w:val="00B471E5"/>
    <w:rsid w:val="00B47552"/>
    <w:rsid w:val="00B5022D"/>
    <w:rsid w:val="00B52225"/>
    <w:rsid w:val="00B52DAA"/>
    <w:rsid w:val="00B530A8"/>
    <w:rsid w:val="00B54FBC"/>
    <w:rsid w:val="00B5521D"/>
    <w:rsid w:val="00B555EA"/>
    <w:rsid w:val="00B55D3D"/>
    <w:rsid w:val="00B56525"/>
    <w:rsid w:val="00B56AED"/>
    <w:rsid w:val="00B56DCE"/>
    <w:rsid w:val="00B5706D"/>
    <w:rsid w:val="00B57ABC"/>
    <w:rsid w:val="00B604F2"/>
    <w:rsid w:val="00B6071A"/>
    <w:rsid w:val="00B61099"/>
    <w:rsid w:val="00B62605"/>
    <w:rsid w:val="00B630E0"/>
    <w:rsid w:val="00B6357F"/>
    <w:rsid w:val="00B63614"/>
    <w:rsid w:val="00B63AB7"/>
    <w:rsid w:val="00B64248"/>
    <w:rsid w:val="00B642AB"/>
    <w:rsid w:val="00B644D3"/>
    <w:rsid w:val="00B648D1"/>
    <w:rsid w:val="00B64B31"/>
    <w:rsid w:val="00B65128"/>
    <w:rsid w:val="00B6545F"/>
    <w:rsid w:val="00B654AC"/>
    <w:rsid w:val="00B65D1F"/>
    <w:rsid w:val="00B66555"/>
    <w:rsid w:val="00B66651"/>
    <w:rsid w:val="00B6680B"/>
    <w:rsid w:val="00B6761E"/>
    <w:rsid w:val="00B702AB"/>
    <w:rsid w:val="00B71AF4"/>
    <w:rsid w:val="00B71C54"/>
    <w:rsid w:val="00B72566"/>
    <w:rsid w:val="00B7259B"/>
    <w:rsid w:val="00B72897"/>
    <w:rsid w:val="00B72E63"/>
    <w:rsid w:val="00B7388E"/>
    <w:rsid w:val="00B73F60"/>
    <w:rsid w:val="00B744C2"/>
    <w:rsid w:val="00B75E3C"/>
    <w:rsid w:val="00B76408"/>
    <w:rsid w:val="00B77071"/>
    <w:rsid w:val="00B800B4"/>
    <w:rsid w:val="00B801F9"/>
    <w:rsid w:val="00B81124"/>
    <w:rsid w:val="00B81383"/>
    <w:rsid w:val="00B816E0"/>
    <w:rsid w:val="00B81984"/>
    <w:rsid w:val="00B819AD"/>
    <w:rsid w:val="00B81D52"/>
    <w:rsid w:val="00B83901"/>
    <w:rsid w:val="00B842B3"/>
    <w:rsid w:val="00B852A0"/>
    <w:rsid w:val="00B852D4"/>
    <w:rsid w:val="00B857EF"/>
    <w:rsid w:val="00B863A6"/>
    <w:rsid w:val="00B8707C"/>
    <w:rsid w:val="00B87244"/>
    <w:rsid w:val="00B90917"/>
    <w:rsid w:val="00B90C53"/>
    <w:rsid w:val="00B90CD2"/>
    <w:rsid w:val="00B90EA7"/>
    <w:rsid w:val="00B9123E"/>
    <w:rsid w:val="00B918CF"/>
    <w:rsid w:val="00B9194F"/>
    <w:rsid w:val="00B929B8"/>
    <w:rsid w:val="00B92D50"/>
    <w:rsid w:val="00B9392B"/>
    <w:rsid w:val="00B93A07"/>
    <w:rsid w:val="00B9425F"/>
    <w:rsid w:val="00B9566C"/>
    <w:rsid w:val="00B95677"/>
    <w:rsid w:val="00B95A7A"/>
    <w:rsid w:val="00B95B8C"/>
    <w:rsid w:val="00B96B82"/>
    <w:rsid w:val="00B96FA5"/>
    <w:rsid w:val="00B979F3"/>
    <w:rsid w:val="00BA16CB"/>
    <w:rsid w:val="00BA1808"/>
    <w:rsid w:val="00BA221A"/>
    <w:rsid w:val="00BA3066"/>
    <w:rsid w:val="00BA38C7"/>
    <w:rsid w:val="00BA48D8"/>
    <w:rsid w:val="00BA5269"/>
    <w:rsid w:val="00BA5485"/>
    <w:rsid w:val="00BA5C1E"/>
    <w:rsid w:val="00BA5D37"/>
    <w:rsid w:val="00BA5FD0"/>
    <w:rsid w:val="00BA6201"/>
    <w:rsid w:val="00BA6BE8"/>
    <w:rsid w:val="00BA6F4F"/>
    <w:rsid w:val="00BB0169"/>
    <w:rsid w:val="00BB05FA"/>
    <w:rsid w:val="00BB06EC"/>
    <w:rsid w:val="00BB0DD3"/>
    <w:rsid w:val="00BB145B"/>
    <w:rsid w:val="00BB1C0E"/>
    <w:rsid w:val="00BB22F7"/>
    <w:rsid w:val="00BB33EF"/>
    <w:rsid w:val="00BB3561"/>
    <w:rsid w:val="00BB3A11"/>
    <w:rsid w:val="00BB3A8F"/>
    <w:rsid w:val="00BB3D8C"/>
    <w:rsid w:val="00BB751E"/>
    <w:rsid w:val="00BB7C6C"/>
    <w:rsid w:val="00BC1793"/>
    <w:rsid w:val="00BC21D1"/>
    <w:rsid w:val="00BC3413"/>
    <w:rsid w:val="00BC3D5F"/>
    <w:rsid w:val="00BC5323"/>
    <w:rsid w:val="00BC5980"/>
    <w:rsid w:val="00BC59EA"/>
    <w:rsid w:val="00BC628A"/>
    <w:rsid w:val="00BC6BF9"/>
    <w:rsid w:val="00BD0584"/>
    <w:rsid w:val="00BD106A"/>
    <w:rsid w:val="00BD15B9"/>
    <w:rsid w:val="00BD4662"/>
    <w:rsid w:val="00BD4858"/>
    <w:rsid w:val="00BD55D9"/>
    <w:rsid w:val="00BD606F"/>
    <w:rsid w:val="00BD6A71"/>
    <w:rsid w:val="00BD7186"/>
    <w:rsid w:val="00BE044C"/>
    <w:rsid w:val="00BE153B"/>
    <w:rsid w:val="00BE153E"/>
    <w:rsid w:val="00BE19D3"/>
    <w:rsid w:val="00BE26F7"/>
    <w:rsid w:val="00BE2A76"/>
    <w:rsid w:val="00BE2C19"/>
    <w:rsid w:val="00BE3077"/>
    <w:rsid w:val="00BE33F7"/>
    <w:rsid w:val="00BE3BFA"/>
    <w:rsid w:val="00BE43A5"/>
    <w:rsid w:val="00BE5767"/>
    <w:rsid w:val="00BE5795"/>
    <w:rsid w:val="00BE592C"/>
    <w:rsid w:val="00BE5FC4"/>
    <w:rsid w:val="00BE633A"/>
    <w:rsid w:val="00BE74FA"/>
    <w:rsid w:val="00BE7FAD"/>
    <w:rsid w:val="00BF0257"/>
    <w:rsid w:val="00BF0B35"/>
    <w:rsid w:val="00BF145A"/>
    <w:rsid w:val="00BF188D"/>
    <w:rsid w:val="00BF301D"/>
    <w:rsid w:val="00BF3179"/>
    <w:rsid w:val="00BF334F"/>
    <w:rsid w:val="00BF34EA"/>
    <w:rsid w:val="00BF43D0"/>
    <w:rsid w:val="00BF444A"/>
    <w:rsid w:val="00BF49AF"/>
    <w:rsid w:val="00BF4A46"/>
    <w:rsid w:val="00BF616F"/>
    <w:rsid w:val="00BF64B2"/>
    <w:rsid w:val="00BF6813"/>
    <w:rsid w:val="00BF6CF9"/>
    <w:rsid w:val="00BF6E7E"/>
    <w:rsid w:val="00BF7776"/>
    <w:rsid w:val="00BF7D31"/>
    <w:rsid w:val="00C00111"/>
    <w:rsid w:val="00C003CC"/>
    <w:rsid w:val="00C0134F"/>
    <w:rsid w:val="00C028C8"/>
    <w:rsid w:val="00C0392C"/>
    <w:rsid w:val="00C03C74"/>
    <w:rsid w:val="00C03CD7"/>
    <w:rsid w:val="00C04460"/>
    <w:rsid w:val="00C0489F"/>
    <w:rsid w:val="00C0521B"/>
    <w:rsid w:val="00C06FEB"/>
    <w:rsid w:val="00C1027F"/>
    <w:rsid w:val="00C1044B"/>
    <w:rsid w:val="00C1050B"/>
    <w:rsid w:val="00C11398"/>
    <w:rsid w:val="00C1150D"/>
    <w:rsid w:val="00C119BB"/>
    <w:rsid w:val="00C11ED2"/>
    <w:rsid w:val="00C11F2B"/>
    <w:rsid w:val="00C12096"/>
    <w:rsid w:val="00C125E7"/>
    <w:rsid w:val="00C1474F"/>
    <w:rsid w:val="00C148E3"/>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50B"/>
    <w:rsid w:val="00C21839"/>
    <w:rsid w:val="00C22A28"/>
    <w:rsid w:val="00C22AE1"/>
    <w:rsid w:val="00C22F07"/>
    <w:rsid w:val="00C23D63"/>
    <w:rsid w:val="00C23DE7"/>
    <w:rsid w:val="00C247F3"/>
    <w:rsid w:val="00C25346"/>
    <w:rsid w:val="00C25F35"/>
    <w:rsid w:val="00C2622F"/>
    <w:rsid w:val="00C26D69"/>
    <w:rsid w:val="00C271A7"/>
    <w:rsid w:val="00C272FA"/>
    <w:rsid w:val="00C274A5"/>
    <w:rsid w:val="00C275C3"/>
    <w:rsid w:val="00C30B99"/>
    <w:rsid w:val="00C31A85"/>
    <w:rsid w:val="00C3267F"/>
    <w:rsid w:val="00C326B2"/>
    <w:rsid w:val="00C32AE5"/>
    <w:rsid w:val="00C33286"/>
    <w:rsid w:val="00C34252"/>
    <w:rsid w:val="00C34616"/>
    <w:rsid w:val="00C34689"/>
    <w:rsid w:val="00C34D7C"/>
    <w:rsid w:val="00C36068"/>
    <w:rsid w:val="00C36999"/>
    <w:rsid w:val="00C36E8F"/>
    <w:rsid w:val="00C376E9"/>
    <w:rsid w:val="00C377BB"/>
    <w:rsid w:val="00C3784A"/>
    <w:rsid w:val="00C37A45"/>
    <w:rsid w:val="00C37DF8"/>
    <w:rsid w:val="00C37E05"/>
    <w:rsid w:val="00C4022A"/>
    <w:rsid w:val="00C413B6"/>
    <w:rsid w:val="00C41416"/>
    <w:rsid w:val="00C4155A"/>
    <w:rsid w:val="00C41C67"/>
    <w:rsid w:val="00C41DE9"/>
    <w:rsid w:val="00C42418"/>
    <w:rsid w:val="00C43854"/>
    <w:rsid w:val="00C43A18"/>
    <w:rsid w:val="00C43E04"/>
    <w:rsid w:val="00C447BB"/>
    <w:rsid w:val="00C4492F"/>
    <w:rsid w:val="00C44E15"/>
    <w:rsid w:val="00C45205"/>
    <w:rsid w:val="00C458C4"/>
    <w:rsid w:val="00C46747"/>
    <w:rsid w:val="00C46C86"/>
    <w:rsid w:val="00C46ECF"/>
    <w:rsid w:val="00C4719F"/>
    <w:rsid w:val="00C477B7"/>
    <w:rsid w:val="00C47C4E"/>
    <w:rsid w:val="00C47DB3"/>
    <w:rsid w:val="00C5054E"/>
    <w:rsid w:val="00C50562"/>
    <w:rsid w:val="00C50A52"/>
    <w:rsid w:val="00C51BFC"/>
    <w:rsid w:val="00C52023"/>
    <w:rsid w:val="00C5268A"/>
    <w:rsid w:val="00C52C32"/>
    <w:rsid w:val="00C52FC8"/>
    <w:rsid w:val="00C53A8D"/>
    <w:rsid w:val="00C53B13"/>
    <w:rsid w:val="00C546C9"/>
    <w:rsid w:val="00C54EB8"/>
    <w:rsid w:val="00C54F31"/>
    <w:rsid w:val="00C5538E"/>
    <w:rsid w:val="00C55704"/>
    <w:rsid w:val="00C609D6"/>
    <w:rsid w:val="00C61E17"/>
    <w:rsid w:val="00C6209A"/>
    <w:rsid w:val="00C62165"/>
    <w:rsid w:val="00C621E3"/>
    <w:rsid w:val="00C63BB4"/>
    <w:rsid w:val="00C65071"/>
    <w:rsid w:val="00C6613C"/>
    <w:rsid w:val="00C6618D"/>
    <w:rsid w:val="00C662FE"/>
    <w:rsid w:val="00C66B5D"/>
    <w:rsid w:val="00C67FDF"/>
    <w:rsid w:val="00C705EB"/>
    <w:rsid w:val="00C70AB6"/>
    <w:rsid w:val="00C70D06"/>
    <w:rsid w:val="00C71F8D"/>
    <w:rsid w:val="00C732C2"/>
    <w:rsid w:val="00C73CB9"/>
    <w:rsid w:val="00C7407D"/>
    <w:rsid w:val="00C743CA"/>
    <w:rsid w:val="00C74D73"/>
    <w:rsid w:val="00C74D77"/>
    <w:rsid w:val="00C75219"/>
    <w:rsid w:val="00C753E1"/>
    <w:rsid w:val="00C75552"/>
    <w:rsid w:val="00C757C9"/>
    <w:rsid w:val="00C75901"/>
    <w:rsid w:val="00C75B23"/>
    <w:rsid w:val="00C75F37"/>
    <w:rsid w:val="00C76256"/>
    <w:rsid w:val="00C76FF7"/>
    <w:rsid w:val="00C77195"/>
    <w:rsid w:val="00C7745B"/>
    <w:rsid w:val="00C77A17"/>
    <w:rsid w:val="00C77B02"/>
    <w:rsid w:val="00C77ED9"/>
    <w:rsid w:val="00C80E38"/>
    <w:rsid w:val="00C8109F"/>
    <w:rsid w:val="00C81AAA"/>
    <w:rsid w:val="00C81B82"/>
    <w:rsid w:val="00C8239B"/>
    <w:rsid w:val="00C828B9"/>
    <w:rsid w:val="00C84375"/>
    <w:rsid w:val="00C84734"/>
    <w:rsid w:val="00C84DC5"/>
    <w:rsid w:val="00C84FA4"/>
    <w:rsid w:val="00C862D3"/>
    <w:rsid w:val="00C86756"/>
    <w:rsid w:val="00C86E69"/>
    <w:rsid w:val="00C873B1"/>
    <w:rsid w:val="00C87813"/>
    <w:rsid w:val="00C90284"/>
    <w:rsid w:val="00C90346"/>
    <w:rsid w:val="00C917D7"/>
    <w:rsid w:val="00C918B1"/>
    <w:rsid w:val="00C93178"/>
    <w:rsid w:val="00C931B9"/>
    <w:rsid w:val="00C94116"/>
    <w:rsid w:val="00C959A7"/>
    <w:rsid w:val="00C962E1"/>
    <w:rsid w:val="00C96662"/>
    <w:rsid w:val="00C96A60"/>
    <w:rsid w:val="00C96D6D"/>
    <w:rsid w:val="00CA01DD"/>
    <w:rsid w:val="00CA03BD"/>
    <w:rsid w:val="00CA0C18"/>
    <w:rsid w:val="00CA1EB7"/>
    <w:rsid w:val="00CA224D"/>
    <w:rsid w:val="00CA271F"/>
    <w:rsid w:val="00CA30BE"/>
    <w:rsid w:val="00CA37B6"/>
    <w:rsid w:val="00CA3867"/>
    <w:rsid w:val="00CA3F3A"/>
    <w:rsid w:val="00CA4153"/>
    <w:rsid w:val="00CA43FC"/>
    <w:rsid w:val="00CA4ECC"/>
    <w:rsid w:val="00CA59CD"/>
    <w:rsid w:val="00CA609B"/>
    <w:rsid w:val="00CA7F3F"/>
    <w:rsid w:val="00CB04E6"/>
    <w:rsid w:val="00CB0A26"/>
    <w:rsid w:val="00CB1374"/>
    <w:rsid w:val="00CB197D"/>
    <w:rsid w:val="00CB23D1"/>
    <w:rsid w:val="00CB2760"/>
    <w:rsid w:val="00CB2AE8"/>
    <w:rsid w:val="00CB2E7C"/>
    <w:rsid w:val="00CB2F71"/>
    <w:rsid w:val="00CB30E4"/>
    <w:rsid w:val="00CB3D4D"/>
    <w:rsid w:val="00CB407A"/>
    <w:rsid w:val="00CB49B3"/>
    <w:rsid w:val="00CB4AFA"/>
    <w:rsid w:val="00CB4F59"/>
    <w:rsid w:val="00CB5612"/>
    <w:rsid w:val="00CB70A4"/>
    <w:rsid w:val="00CB7148"/>
    <w:rsid w:val="00CB7232"/>
    <w:rsid w:val="00CB7E1F"/>
    <w:rsid w:val="00CC0916"/>
    <w:rsid w:val="00CC0BE3"/>
    <w:rsid w:val="00CC0F02"/>
    <w:rsid w:val="00CC146D"/>
    <w:rsid w:val="00CC16BC"/>
    <w:rsid w:val="00CC187B"/>
    <w:rsid w:val="00CC2256"/>
    <w:rsid w:val="00CC245F"/>
    <w:rsid w:val="00CC32BB"/>
    <w:rsid w:val="00CC38E9"/>
    <w:rsid w:val="00CC3C62"/>
    <w:rsid w:val="00CC4F75"/>
    <w:rsid w:val="00CC51B5"/>
    <w:rsid w:val="00CC5C5F"/>
    <w:rsid w:val="00CC66A6"/>
    <w:rsid w:val="00CC6D21"/>
    <w:rsid w:val="00CC7593"/>
    <w:rsid w:val="00CD04BC"/>
    <w:rsid w:val="00CD0626"/>
    <w:rsid w:val="00CD0BE8"/>
    <w:rsid w:val="00CD23B4"/>
    <w:rsid w:val="00CD2855"/>
    <w:rsid w:val="00CD2B95"/>
    <w:rsid w:val="00CD2E32"/>
    <w:rsid w:val="00CD375E"/>
    <w:rsid w:val="00CD3D2B"/>
    <w:rsid w:val="00CD43B2"/>
    <w:rsid w:val="00CD4A3E"/>
    <w:rsid w:val="00CD4B3E"/>
    <w:rsid w:val="00CD5B58"/>
    <w:rsid w:val="00CD6102"/>
    <w:rsid w:val="00CD669D"/>
    <w:rsid w:val="00CE08AF"/>
    <w:rsid w:val="00CE0F83"/>
    <w:rsid w:val="00CE1FAF"/>
    <w:rsid w:val="00CE23F0"/>
    <w:rsid w:val="00CE2BA1"/>
    <w:rsid w:val="00CE3EBA"/>
    <w:rsid w:val="00CE40A2"/>
    <w:rsid w:val="00CE432C"/>
    <w:rsid w:val="00CE4FBD"/>
    <w:rsid w:val="00CE5545"/>
    <w:rsid w:val="00CE621F"/>
    <w:rsid w:val="00CE6449"/>
    <w:rsid w:val="00CE7260"/>
    <w:rsid w:val="00CE7C1C"/>
    <w:rsid w:val="00CE7E6E"/>
    <w:rsid w:val="00CE7F90"/>
    <w:rsid w:val="00CF00E1"/>
    <w:rsid w:val="00CF03B9"/>
    <w:rsid w:val="00CF12BA"/>
    <w:rsid w:val="00CF174B"/>
    <w:rsid w:val="00CF1896"/>
    <w:rsid w:val="00CF3437"/>
    <w:rsid w:val="00CF37F0"/>
    <w:rsid w:val="00CF5136"/>
    <w:rsid w:val="00CF5528"/>
    <w:rsid w:val="00CF70AE"/>
    <w:rsid w:val="00CF7449"/>
    <w:rsid w:val="00CF75BC"/>
    <w:rsid w:val="00CF798C"/>
    <w:rsid w:val="00D00886"/>
    <w:rsid w:val="00D008BF"/>
    <w:rsid w:val="00D0127E"/>
    <w:rsid w:val="00D0195A"/>
    <w:rsid w:val="00D02C7C"/>
    <w:rsid w:val="00D04011"/>
    <w:rsid w:val="00D04060"/>
    <w:rsid w:val="00D0410D"/>
    <w:rsid w:val="00D04D06"/>
    <w:rsid w:val="00D05C72"/>
    <w:rsid w:val="00D05CD7"/>
    <w:rsid w:val="00D0689D"/>
    <w:rsid w:val="00D06EDB"/>
    <w:rsid w:val="00D06F8C"/>
    <w:rsid w:val="00D07649"/>
    <w:rsid w:val="00D0796F"/>
    <w:rsid w:val="00D0799C"/>
    <w:rsid w:val="00D1024C"/>
    <w:rsid w:val="00D111B3"/>
    <w:rsid w:val="00D12131"/>
    <w:rsid w:val="00D125F0"/>
    <w:rsid w:val="00D126DB"/>
    <w:rsid w:val="00D130B9"/>
    <w:rsid w:val="00D13964"/>
    <w:rsid w:val="00D13A27"/>
    <w:rsid w:val="00D13D3A"/>
    <w:rsid w:val="00D1471D"/>
    <w:rsid w:val="00D1488A"/>
    <w:rsid w:val="00D14E2D"/>
    <w:rsid w:val="00D1506C"/>
    <w:rsid w:val="00D151EA"/>
    <w:rsid w:val="00D1658D"/>
    <w:rsid w:val="00D172D1"/>
    <w:rsid w:val="00D17BEE"/>
    <w:rsid w:val="00D2034E"/>
    <w:rsid w:val="00D20820"/>
    <w:rsid w:val="00D209E6"/>
    <w:rsid w:val="00D20FF1"/>
    <w:rsid w:val="00D2193D"/>
    <w:rsid w:val="00D21A4C"/>
    <w:rsid w:val="00D21CC3"/>
    <w:rsid w:val="00D21F6B"/>
    <w:rsid w:val="00D22DEB"/>
    <w:rsid w:val="00D248A2"/>
    <w:rsid w:val="00D24F63"/>
    <w:rsid w:val="00D254C1"/>
    <w:rsid w:val="00D264E1"/>
    <w:rsid w:val="00D273EC"/>
    <w:rsid w:val="00D3095B"/>
    <w:rsid w:val="00D30E43"/>
    <w:rsid w:val="00D31002"/>
    <w:rsid w:val="00D31EC4"/>
    <w:rsid w:val="00D32B30"/>
    <w:rsid w:val="00D32D57"/>
    <w:rsid w:val="00D33261"/>
    <w:rsid w:val="00D335F5"/>
    <w:rsid w:val="00D33B10"/>
    <w:rsid w:val="00D33BD9"/>
    <w:rsid w:val="00D34515"/>
    <w:rsid w:val="00D345F9"/>
    <w:rsid w:val="00D34D6F"/>
    <w:rsid w:val="00D34D87"/>
    <w:rsid w:val="00D34F00"/>
    <w:rsid w:val="00D35870"/>
    <w:rsid w:val="00D35942"/>
    <w:rsid w:val="00D35A1A"/>
    <w:rsid w:val="00D363F5"/>
    <w:rsid w:val="00D36DD8"/>
    <w:rsid w:val="00D37358"/>
    <w:rsid w:val="00D3736A"/>
    <w:rsid w:val="00D3743F"/>
    <w:rsid w:val="00D37778"/>
    <w:rsid w:val="00D406EA"/>
    <w:rsid w:val="00D4154F"/>
    <w:rsid w:val="00D41A32"/>
    <w:rsid w:val="00D41F7A"/>
    <w:rsid w:val="00D4300D"/>
    <w:rsid w:val="00D43903"/>
    <w:rsid w:val="00D473DC"/>
    <w:rsid w:val="00D4762B"/>
    <w:rsid w:val="00D47D2F"/>
    <w:rsid w:val="00D51962"/>
    <w:rsid w:val="00D51FBA"/>
    <w:rsid w:val="00D526E3"/>
    <w:rsid w:val="00D52ADB"/>
    <w:rsid w:val="00D52DE4"/>
    <w:rsid w:val="00D532B1"/>
    <w:rsid w:val="00D534A7"/>
    <w:rsid w:val="00D542B7"/>
    <w:rsid w:val="00D54B76"/>
    <w:rsid w:val="00D54F45"/>
    <w:rsid w:val="00D553DC"/>
    <w:rsid w:val="00D554C8"/>
    <w:rsid w:val="00D557F7"/>
    <w:rsid w:val="00D5630C"/>
    <w:rsid w:val="00D56861"/>
    <w:rsid w:val="00D5761C"/>
    <w:rsid w:val="00D57CB8"/>
    <w:rsid w:val="00D57F7C"/>
    <w:rsid w:val="00D60819"/>
    <w:rsid w:val="00D60973"/>
    <w:rsid w:val="00D61B47"/>
    <w:rsid w:val="00D61CB1"/>
    <w:rsid w:val="00D61D71"/>
    <w:rsid w:val="00D627AA"/>
    <w:rsid w:val="00D62FF7"/>
    <w:rsid w:val="00D631FD"/>
    <w:rsid w:val="00D63667"/>
    <w:rsid w:val="00D636E5"/>
    <w:rsid w:val="00D63834"/>
    <w:rsid w:val="00D638D2"/>
    <w:rsid w:val="00D658BB"/>
    <w:rsid w:val="00D65964"/>
    <w:rsid w:val="00D65F59"/>
    <w:rsid w:val="00D65F79"/>
    <w:rsid w:val="00D6633A"/>
    <w:rsid w:val="00D6651F"/>
    <w:rsid w:val="00D66CA4"/>
    <w:rsid w:val="00D66F85"/>
    <w:rsid w:val="00D66F8D"/>
    <w:rsid w:val="00D70E4D"/>
    <w:rsid w:val="00D715A4"/>
    <w:rsid w:val="00D717F6"/>
    <w:rsid w:val="00D71CC0"/>
    <w:rsid w:val="00D71F0E"/>
    <w:rsid w:val="00D7302F"/>
    <w:rsid w:val="00D75798"/>
    <w:rsid w:val="00D766F6"/>
    <w:rsid w:val="00D7758E"/>
    <w:rsid w:val="00D800F8"/>
    <w:rsid w:val="00D80719"/>
    <w:rsid w:val="00D808DB"/>
    <w:rsid w:val="00D80C2B"/>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D7C"/>
    <w:rsid w:val="00D873AB"/>
    <w:rsid w:val="00D875FF"/>
    <w:rsid w:val="00D876A4"/>
    <w:rsid w:val="00D87A83"/>
    <w:rsid w:val="00D902FC"/>
    <w:rsid w:val="00D9041A"/>
    <w:rsid w:val="00D9120F"/>
    <w:rsid w:val="00D914AE"/>
    <w:rsid w:val="00D91B4E"/>
    <w:rsid w:val="00D92330"/>
    <w:rsid w:val="00D92CD8"/>
    <w:rsid w:val="00D93AFB"/>
    <w:rsid w:val="00D93CCF"/>
    <w:rsid w:val="00D93F23"/>
    <w:rsid w:val="00D93F5C"/>
    <w:rsid w:val="00D94C35"/>
    <w:rsid w:val="00D955E3"/>
    <w:rsid w:val="00D959D7"/>
    <w:rsid w:val="00D95A4C"/>
    <w:rsid w:val="00D95AB8"/>
    <w:rsid w:val="00D96946"/>
    <w:rsid w:val="00D97103"/>
    <w:rsid w:val="00D971CF"/>
    <w:rsid w:val="00D977E0"/>
    <w:rsid w:val="00D97979"/>
    <w:rsid w:val="00D97F14"/>
    <w:rsid w:val="00DA0BD0"/>
    <w:rsid w:val="00DA0CAE"/>
    <w:rsid w:val="00DA104D"/>
    <w:rsid w:val="00DA2557"/>
    <w:rsid w:val="00DA3532"/>
    <w:rsid w:val="00DA39EE"/>
    <w:rsid w:val="00DA4641"/>
    <w:rsid w:val="00DA47F4"/>
    <w:rsid w:val="00DA4B3A"/>
    <w:rsid w:val="00DA50AB"/>
    <w:rsid w:val="00DA5206"/>
    <w:rsid w:val="00DA521A"/>
    <w:rsid w:val="00DA5EAC"/>
    <w:rsid w:val="00DA605D"/>
    <w:rsid w:val="00DA7826"/>
    <w:rsid w:val="00DB0408"/>
    <w:rsid w:val="00DB06D1"/>
    <w:rsid w:val="00DB0EB5"/>
    <w:rsid w:val="00DB1480"/>
    <w:rsid w:val="00DB155F"/>
    <w:rsid w:val="00DB1708"/>
    <w:rsid w:val="00DB1CD4"/>
    <w:rsid w:val="00DB2016"/>
    <w:rsid w:val="00DB24D1"/>
    <w:rsid w:val="00DB2E19"/>
    <w:rsid w:val="00DB2F15"/>
    <w:rsid w:val="00DB328C"/>
    <w:rsid w:val="00DB3823"/>
    <w:rsid w:val="00DB3AD2"/>
    <w:rsid w:val="00DB3C70"/>
    <w:rsid w:val="00DB3CBA"/>
    <w:rsid w:val="00DB3E4B"/>
    <w:rsid w:val="00DB4596"/>
    <w:rsid w:val="00DB56F7"/>
    <w:rsid w:val="00DB5AE6"/>
    <w:rsid w:val="00DB6050"/>
    <w:rsid w:val="00DB7C79"/>
    <w:rsid w:val="00DB7E8F"/>
    <w:rsid w:val="00DC014B"/>
    <w:rsid w:val="00DC02ED"/>
    <w:rsid w:val="00DC0712"/>
    <w:rsid w:val="00DC0981"/>
    <w:rsid w:val="00DC09DB"/>
    <w:rsid w:val="00DC1C8F"/>
    <w:rsid w:val="00DC1EC6"/>
    <w:rsid w:val="00DC28AF"/>
    <w:rsid w:val="00DC3999"/>
    <w:rsid w:val="00DC3EEE"/>
    <w:rsid w:val="00DC5C2C"/>
    <w:rsid w:val="00DC6423"/>
    <w:rsid w:val="00DC7ACE"/>
    <w:rsid w:val="00DD06F8"/>
    <w:rsid w:val="00DD1031"/>
    <w:rsid w:val="00DD1063"/>
    <w:rsid w:val="00DD1926"/>
    <w:rsid w:val="00DD2144"/>
    <w:rsid w:val="00DD28FD"/>
    <w:rsid w:val="00DD2B74"/>
    <w:rsid w:val="00DD3D1C"/>
    <w:rsid w:val="00DD3F96"/>
    <w:rsid w:val="00DD497A"/>
    <w:rsid w:val="00DD4F1C"/>
    <w:rsid w:val="00DD4F63"/>
    <w:rsid w:val="00DD54EF"/>
    <w:rsid w:val="00DD6BC7"/>
    <w:rsid w:val="00DD6E1C"/>
    <w:rsid w:val="00DD7897"/>
    <w:rsid w:val="00DD7CF5"/>
    <w:rsid w:val="00DD7D21"/>
    <w:rsid w:val="00DE07C7"/>
    <w:rsid w:val="00DE1466"/>
    <w:rsid w:val="00DE15A9"/>
    <w:rsid w:val="00DE1B8A"/>
    <w:rsid w:val="00DE23F1"/>
    <w:rsid w:val="00DE25EC"/>
    <w:rsid w:val="00DE2F20"/>
    <w:rsid w:val="00DE393D"/>
    <w:rsid w:val="00DE4A2C"/>
    <w:rsid w:val="00DE5FCB"/>
    <w:rsid w:val="00DE63FE"/>
    <w:rsid w:val="00DE6A41"/>
    <w:rsid w:val="00DE6C21"/>
    <w:rsid w:val="00DE6CB3"/>
    <w:rsid w:val="00DE7548"/>
    <w:rsid w:val="00DF0135"/>
    <w:rsid w:val="00DF067A"/>
    <w:rsid w:val="00DF06A9"/>
    <w:rsid w:val="00DF089D"/>
    <w:rsid w:val="00DF0DEC"/>
    <w:rsid w:val="00DF0E8D"/>
    <w:rsid w:val="00DF13B1"/>
    <w:rsid w:val="00DF2EE9"/>
    <w:rsid w:val="00DF31BE"/>
    <w:rsid w:val="00DF32CE"/>
    <w:rsid w:val="00DF32FC"/>
    <w:rsid w:val="00DF3A9A"/>
    <w:rsid w:val="00DF3F0C"/>
    <w:rsid w:val="00DF4096"/>
    <w:rsid w:val="00DF42FE"/>
    <w:rsid w:val="00DF46E5"/>
    <w:rsid w:val="00DF4D3E"/>
    <w:rsid w:val="00DF633B"/>
    <w:rsid w:val="00DF6766"/>
    <w:rsid w:val="00DF6A8B"/>
    <w:rsid w:val="00DF7883"/>
    <w:rsid w:val="00DF7E41"/>
    <w:rsid w:val="00E00989"/>
    <w:rsid w:val="00E00C95"/>
    <w:rsid w:val="00E00CCD"/>
    <w:rsid w:val="00E00FE9"/>
    <w:rsid w:val="00E01A1E"/>
    <w:rsid w:val="00E02077"/>
    <w:rsid w:val="00E03059"/>
    <w:rsid w:val="00E036DD"/>
    <w:rsid w:val="00E048FC"/>
    <w:rsid w:val="00E04AF3"/>
    <w:rsid w:val="00E04B22"/>
    <w:rsid w:val="00E0547D"/>
    <w:rsid w:val="00E058A2"/>
    <w:rsid w:val="00E05A01"/>
    <w:rsid w:val="00E060EF"/>
    <w:rsid w:val="00E0624F"/>
    <w:rsid w:val="00E066BA"/>
    <w:rsid w:val="00E0679B"/>
    <w:rsid w:val="00E07E8D"/>
    <w:rsid w:val="00E1076D"/>
    <w:rsid w:val="00E1106F"/>
    <w:rsid w:val="00E12A9A"/>
    <w:rsid w:val="00E13696"/>
    <w:rsid w:val="00E1478F"/>
    <w:rsid w:val="00E14DDA"/>
    <w:rsid w:val="00E15405"/>
    <w:rsid w:val="00E157F9"/>
    <w:rsid w:val="00E15A19"/>
    <w:rsid w:val="00E16B25"/>
    <w:rsid w:val="00E16BD2"/>
    <w:rsid w:val="00E2050F"/>
    <w:rsid w:val="00E211F5"/>
    <w:rsid w:val="00E214B9"/>
    <w:rsid w:val="00E21501"/>
    <w:rsid w:val="00E215BA"/>
    <w:rsid w:val="00E2279F"/>
    <w:rsid w:val="00E22B16"/>
    <w:rsid w:val="00E231DF"/>
    <w:rsid w:val="00E23637"/>
    <w:rsid w:val="00E23AE1"/>
    <w:rsid w:val="00E24730"/>
    <w:rsid w:val="00E24A71"/>
    <w:rsid w:val="00E250DC"/>
    <w:rsid w:val="00E25A02"/>
    <w:rsid w:val="00E265DA"/>
    <w:rsid w:val="00E267D9"/>
    <w:rsid w:val="00E26E72"/>
    <w:rsid w:val="00E26FA7"/>
    <w:rsid w:val="00E271FF"/>
    <w:rsid w:val="00E27FA9"/>
    <w:rsid w:val="00E300A2"/>
    <w:rsid w:val="00E30703"/>
    <w:rsid w:val="00E30B83"/>
    <w:rsid w:val="00E30D1E"/>
    <w:rsid w:val="00E31D19"/>
    <w:rsid w:val="00E320B6"/>
    <w:rsid w:val="00E32728"/>
    <w:rsid w:val="00E32998"/>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33CC"/>
    <w:rsid w:val="00E43A35"/>
    <w:rsid w:val="00E4570B"/>
    <w:rsid w:val="00E457F9"/>
    <w:rsid w:val="00E460B3"/>
    <w:rsid w:val="00E4672C"/>
    <w:rsid w:val="00E4700B"/>
    <w:rsid w:val="00E4749B"/>
    <w:rsid w:val="00E47BC1"/>
    <w:rsid w:val="00E506B6"/>
    <w:rsid w:val="00E50BB9"/>
    <w:rsid w:val="00E51997"/>
    <w:rsid w:val="00E51A5B"/>
    <w:rsid w:val="00E51AB8"/>
    <w:rsid w:val="00E523A9"/>
    <w:rsid w:val="00E52673"/>
    <w:rsid w:val="00E526B9"/>
    <w:rsid w:val="00E52AAA"/>
    <w:rsid w:val="00E5381D"/>
    <w:rsid w:val="00E5435D"/>
    <w:rsid w:val="00E5452D"/>
    <w:rsid w:val="00E55B86"/>
    <w:rsid w:val="00E56175"/>
    <w:rsid w:val="00E56F1B"/>
    <w:rsid w:val="00E56F83"/>
    <w:rsid w:val="00E5703D"/>
    <w:rsid w:val="00E57E6C"/>
    <w:rsid w:val="00E603C0"/>
    <w:rsid w:val="00E60E08"/>
    <w:rsid w:val="00E60EE0"/>
    <w:rsid w:val="00E60F0D"/>
    <w:rsid w:val="00E618E0"/>
    <w:rsid w:val="00E620CD"/>
    <w:rsid w:val="00E625B6"/>
    <w:rsid w:val="00E63891"/>
    <w:rsid w:val="00E64119"/>
    <w:rsid w:val="00E648B2"/>
    <w:rsid w:val="00E64B88"/>
    <w:rsid w:val="00E64BF7"/>
    <w:rsid w:val="00E65193"/>
    <w:rsid w:val="00E65654"/>
    <w:rsid w:val="00E66016"/>
    <w:rsid w:val="00E66A24"/>
    <w:rsid w:val="00E67004"/>
    <w:rsid w:val="00E6705C"/>
    <w:rsid w:val="00E67672"/>
    <w:rsid w:val="00E67A78"/>
    <w:rsid w:val="00E705B1"/>
    <w:rsid w:val="00E70C4C"/>
    <w:rsid w:val="00E71510"/>
    <w:rsid w:val="00E71569"/>
    <w:rsid w:val="00E71934"/>
    <w:rsid w:val="00E71E88"/>
    <w:rsid w:val="00E726CA"/>
    <w:rsid w:val="00E72C97"/>
    <w:rsid w:val="00E73532"/>
    <w:rsid w:val="00E73709"/>
    <w:rsid w:val="00E73A6A"/>
    <w:rsid w:val="00E751DB"/>
    <w:rsid w:val="00E75719"/>
    <w:rsid w:val="00E774FB"/>
    <w:rsid w:val="00E7788A"/>
    <w:rsid w:val="00E80424"/>
    <w:rsid w:val="00E81296"/>
    <w:rsid w:val="00E81EDC"/>
    <w:rsid w:val="00E826AF"/>
    <w:rsid w:val="00E82DF1"/>
    <w:rsid w:val="00E83157"/>
    <w:rsid w:val="00E849BA"/>
    <w:rsid w:val="00E85389"/>
    <w:rsid w:val="00E854DD"/>
    <w:rsid w:val="00E85BD1"/>
    <w:rsid w:val="00E8604F"/>
    <w:rsid w:val="00E86AC8"/>
    <w:rsid w:val="00E86F23"/>
    <w:rsid w:val="00E87095"/>
    <w:rsid w:val="00E87826"/>
    <w:rsid w:val="00E9142D"/>
    <w:rsid w:val="00E916D4"/>
    <w:rsid w:val="00E9182E"/>
    <w:rsid w:val="00E91983"/>
    <w:rsid w:val="00E9324D"/>
    <w:rsid w:val="00E94742"/>
    <w:rsid w:val="00E947AD"/>
    <w:rsid w:val="00E9481C"/>
    <w:rsid w:val="00E949C6"/>
    <w:rsid w:val="00E94C3E"/>
    <w:rsid w:val="00E954E4"/>
    <w:rsid w:val="00E957CB"/>
    <w:rsid w:val="00E96FF9"/>
    <w:rsid w:val="00EA01C2"/>
    <w:rsid w:val="00EA081D"/>
    <w:rsid w:val="00EA0C14"/>
    <w:rsid w:val="00EA2FEF"/>
    <w:rsid w:val="00EA3142"/>
    <w:rsid w:val="00EA32FB"/>
    <w:rsid w:val="00EA463B"/>
    <w:rsid w:val="00EA4AFF"/>
    <w:rsid w:val="00EA4B67"/>
    <w:rsid w:val="00EA60D8"/>
    <w:rsid w:val="00EA669D"/>
    <w:rsid w:val="00EA6BC9"/>
    <w:rsid w:val="00EA76BF"/>
    <w:rsid w:val="00EA7727"/>
    <w:rsid w:val="00EA7A40"/>
    <w:rsid w:val="00EB1304"/>
    <w:rsid w:val="00EB1D5B"/>
    <w:rsid w:val="00EB1F21"/>
    <w:rsid w:val="00EB2071"/>
    <w:rsid w:val="00EB21B8"/>
    <w:rsid w:val="00EB2696"/>
    <w:rsid w:val="00EB318B"/>
    <w:rsid w:val="00EB33EA"/>
    <w:rsid w:val="00EB397F"/>
    <w:rsid w:val="00EB3DEA"/>
    <w:rsid w:val="00EB45FA"/>
    <w:rsid w:val="00EB4AAA"/>
    <w:rsid w:val="00EB4B44"/>
    <w:rsid w:val="00EB4D93"/>
    <w:rsid w:val="00EB4E08"/>
    <w:rsid w:val="00EB5862"/>
    <w:rsid w:val="00EB60CC"/>
    <w:rsid w:val="00EB663E"/>
    <w:rsid w:val="00EC00BA"/>
    <w:rsid w:val="00EC0381"/>
    <w:rsid w:val="00EC0968"/>
    <w:rsid w:val="00EC1160"/>
    <w:rsid w:val="00EC16B6"/>
    <w:rsid w:val="00EC1FA6"/>
    <w:rsid w:val="00EC2220"/>
    <w:rsid w:val="00EC23A0"/>
    <w:rsid w:val="00EC2578"/>
    <w:rsid w:val="00EC29B9"/>
    <w:rsid w:val="00EC2AEB"/>
    <w:rsid w:val="00EC4029"/>
    <w:rsid w:val="00EC46B3"/>
    <w:rsid w:val="00EC4845"/>
    <w:rsid w:val="00EC4CAF"/>
    <w:rsid w:val="00EC53A0"/>
    <w:rsid w:val="00EC5972"/>
    <w:rsid w:val="00EC60D5"/>
    <w:rsid w:val="00EC6DCB"/>
    <w:rsid w:val="00EC77A9"/>
    <w:rsid w:val="00EC7B23"/>
    <w:rsid w:val="00ED03EF"/>
    <w:rsid w:val="00ED112B"/>
    <w:rsid w:val="00ED1A2D"/>
    <w:rsid w:val="00ED1D37"/>
    <w:rsid w:val="00ED38A1"/>
    <w:rsid w:val="00ED3929"/>
    <w:rsid w:val="00ED5544"/>
    <w:rsid w:val="00ED657B"/>
    <w:rsid w:val="00ED6642"/>
    <w:rsid w:val="00ED6E30"/>
    <w:rsid w:val="00ED70B7"/>
    <w:rsid w:val="00ED7282"/>
    <w:rsid w:val="00ED72C6"/>
    <w:rsid w:val="00ED794E"/>
    <w:rsid w:val="00EE001B"/>
    <w:rsid w:val="00EE00D4"/>
    <w:rsid w:val="00EE1B92"/>
    <w:rsid w:val="00EE2968"/>
    <w:rsid w:val="00EE3002"/>
    <w:rsid w:val="00EE39DD"/>
    <w:rsid w:val="00EE552F"/>
    <w:rsid w:val="00EE5EEB"/>
    <w:rsid w:val="00EE5F32"/>
    <w:rsid w:val="00EE6144"/>
    <w:rsid w:val="00EE6170"/>
    <w:rsid w:val="00EE7624"/>
    <w:rsid w:val="00EF01F6"/>
    <w:rsid w:val="00EF03A0"/>
    <w:rsid w:val="00EF0BD0"/>
    <w:rsid w:val="00EF0BE0"/>
    <w:rsid w:val="00EF1880"/>
    <w:rsid w:val="00EF1AF1"/>
    <w:rsid w:val="00EF2E1F"/>
    <w:rsid w:val="00EF3376"/>
    <w:rsid w:val="00EF5134"/>
    <w:rsid w:val="00EF579B"/>
    <w:rsid w:val="00EF5804"/>
    <w:rsid w:val="00EF58C2"/>
    <w:rsid w:val="00EF5B8D"/>
    <w:rsid w:val="00EF62B5"/>
    <w:rsid w:val="00EF638C"/>
    <w:rsid w:val="00EF687B"/>
    <w:rsid w:val="00EF6BEA"/>
    <w:rsid w:val="00EF7B59"/>
    <w:rsid w:val="00F004D1"/>
    <w:rsid w:val="00F00525"/>
    <w:rsid w:val="00F008FC"/>
    <w:rsid w:val="00F0104A"/>
    <w:rsid w:val="00F01065"/>
    <w:rsid w:val="00F01492"/>
    <w:rsid w:val="00F01BE9"/>
    <w:rsid w:val="00F0297B"/>
    <w:rsid w:val="00F02F4F"/>
    <w:rsid w:val="00F0413B"/>
    <w:rsid w:val="00F04154"/>
    <w:rsid w:val="00F042AB"/>
    <w:rsid w:val="00F0432F"/>
    <w:rsid w:val="00F04D59"/>
    <w:rsid w:val="00F05912"/>
    <w:rsid w:val="00F05D1D"/>
    <w:rsid w:val="00F06353"/>
    <w:rsid w:val="00F07E82"/>
    <w:rsid w:val="00F109D6"/>
    <w:rsid w:val="00F109E9"/>
    <w:rsid w:val="00F11022"/>
    <w:rsid w:val="00F110E9"/>
    <w:rsid w:val="00F11130"/>
    <w:rsid w:val="00F132E6"/>
    <w:rsid w:val="00F13890"/>
    <w:rsid w:val="00F14060"/>
    <w:rsid w:val="00F14338"/>
    <w:rsid w:val="00F14E13"/>
    <w:rsid w:val="00F17871"/>
    <w:rsid w:val="00F17EF8"/>
    <w:rsid w:val="00F206E9"/>
    <w:rsid w:val="00F20D19"/>
    <w:rsid w:val="00F20F42"/>
    <w:rsid w:val="00F218CF"/>
    <w:rsid w:val="00F22041"/>
    <w:rsid w:val="00F22102"/>
    <w:rsid w:val="00F22401"/>
    <w:rsid w:val="00F22454"/>
    <w:rsid w:val="00F22905"/>
    <w:rsid w:val="00F22F80"/>
    <w:rsid w:val="00F23361"/>
    <w:rsid w:val="00F2372A"/>
    <w:rsid w:val="00F23E2E"/>
    <w:rsid w:val="00F24C19"/>
    <w:rsid w:val="00F26064"/>
    <w:rsid w:val="00F26293"/>
    <w:rsid w:val="00F26318"/>
    <w:rsid w:val="00F26570"/>
    <w:rsid w:val="00F26728"/>
    <w:rsid w:val="00F273DA"/>
    <w:rsid w:val="00F274D7"/>
    <w:rsid w:val="00F27796"/>
    <w:rsid w:val="00F301CB"/>
    <w:rsid w:val="00F31901"/>
    <w:rsid w:val="00F31AFF"/>
    <w:rsid w:val="00F31DB6"/>
    <w:rsid w:val="00F321B0"/>
    <w:rsid w:val="00F325B4"/>
    <w:rsid w:val="00F32B38"/>
    <w:rsid w:val="00F33CED"/>
    <w:rsid w:val="00F35386"/>
    <w:rsid w:val="00F354EC"/>
    <w:rsid w:val="00F36725"/>
    <w:rsid w:val="00F40DDA"/>
    <w:rsid w:val="00F4175F"/>
    <w:rsid w:val="00F41A91"/>
    <w:rsid w:val="00F41AA9"/>
    <w:rsid w:val="00F421AC"/>
    <w:rsid w:val="00F43710"/>
    <w:rsid w:val="00F44195"/>
    <w:rsid w:val="00F457A4"/>
    <w:rsid w:val="00F472CF"/>
    <w:rsid w:val="00F47AF8"/>
    <w:rsid w:val="00F50EDB"/>
    <w:rsid w:val="00F512D6"/>
    <w:rsid w:val="00F514D9"/>
    <w:rsid w:val="00F51C42"/>
    <w:rsid w:val="00F51CAA"/>
    <w:rsid w:val="00F520EA"/>
    <w:rsid w:val="00F521D5"/>
    <w:rsid w:val="00F52A3D"/>
    <w:rsid w:val="00F53330"/>
    <w:rsid w:val="00F534D2"/>
    <w:rsid w:val="00F53687"/>
    <w:rsid w:val="00F53DAA"/>
    <w:rsid w:val="00F53DCD"/>
    <w:rsid w:val="00F5486C"/>
    <w:rsid w:val="00F54E62"/>
    <w:rsid w:val="00F550B6"/>
    <w:rsid w:val="00F55694"/>
    <w:rsid w:val="00F55F9E"/>
    <w:rsid w:val="00F56F50"/>
    <w:rsid w:val="00F6042E"/>
    <w:rsid w:val="00F60C57"/>
    <w:rsid w:val="00F60D3C"/>
    <w:rsid w:val="00F61742"/>
    <w:rsid w:val="00F618C7"/>
    <w:rsid w:val="00F632B6"/>
    <w:rsid w:val="00F63324"/>
    <w:rsid w:val="00F64541"/>
    <w:rsid w:val="00F6488D"/>
    <w:rsid w:val="00F650E8"/>
    <w:rsid w:val="00F657AE"/>
    <w:rsid w:val="00F65B68"/>
    <w:rsid w:val="00F660B3"/>
    <w:rsid w:val="00F66E7B"/>
    <w:rsid w:val="00F6795E"/>
    <w:rsid w:val="00F67CB0"/>
    <w:rsid w:val="00F70398"/>
    <w:rsid w:val="00F7045A"/>
    <w:rsid w:val="00F70BA3"/>
    <w:rsid w:val="00F711B4"/>
    <w:rsid w:val="00F711B5"/>
    <w:rsid w:val="00F714EC"/>
    <w:rsid w:val="00F71AE9"/>
    <w:rsid w:val="00F72D08"/>
    <w:rsid w:val="00F7424E"/>
    <w:rsid w:val="00F748A6"/>
    <w:rsid w:val="00F748EB"/>
    <w:rsid w:val="00F74ADD"/>
    <w:rsid w:val="00F74FC2"/>
    <w:rsid w:val="00F75837"/>
    <w:rsid w:val="00F76669"/>
    <w:rsid w:val="00F77A49"/>
    <w:rsid w:val="00F77C73"/>
    <w:rsid w:val="00F77E6A"/>
    <w:rsid w:val="00F80507"/>
    <w:rsid w:val="00F80EF1"/>
    <w:rsid w:val="00F81031"/>
    <w:rsid w:val="00F81437"/>
    <w:rsid w:val="00F815A6"/>
    <w:rsid w:val="00F82628"/>
    <w:rsid w:val="00F8299B"/>
    <w:rsid w:val="00F83FC5"/>
    <w:rsid w:val="00F85055"/>
    <w:rsid w:val="00F8736C"/>
    <w:rsid w:val="00F87A9A"/>
    <w:rsid w:val="00F87AB7"/>
    <w:rsid w:val="00F90288"/>
    <w:rsid w:val="00F919A1"/>
    <w:rsid w:val="00F92BD0"/>
    <w:rsid w:val="00F9321F"/>
    <w:rsid w:val="00F935A6"/>
    <w:rsid w:val="00F93F09"/>
    <w:rsid w:val="00F94243"/>
    <w:rsid w:val="00F94903"/>
    <w:rsid w:val="00F96536"/>
    <w:rsid w:val="00F96ACE"/>
    <w:rsid w:val="00F9752A"/>
    <w:rsid w:val="00FA0467"/>
    <w:rsid w:val="00FA054E"/>
    <w:rsid w:val="00FA1A1A"/>
    <w:rsid w:val="00FA2093"/>
    <w:rsid w:val="00FA22A5"/>
    <w:rsid w:val="00FA27B9"/>
    <w:rsid w:val="00FA28B0"/>
    <w:rsid w:val="00FA2B69"/>
    <w:rsid w:val="00FA311D"/>
    <w:rsid w:val="00FA45D6"/>
    <w:rsid w:val="00FA4B2B"/>
    <w:rsid w:val="00FA52EB"/>
    <w:rsid w:val="00FA612F"/>
    <w:rsid w:val="00FA67CD"/>
    <w:rsid w:val="00FA689D"/>
    <w:rsid w:val="00FA72BC"/>
    <w:rsid w:val="00FB02C4"/>
    <w:rsid w:val="00FB173D"/>
    <w:rsid w:val="00FB1B76"/>
    <w:rsid w:val="00FB1C45"/>
    <w:rsid w:val="00FB1DB5"/>
    <w:rsid w:val="00FB1EF0"/>
    <w:rsid w:val="00FB2FD5"/>
    <w:rsid w:val="00FB3098"/>
    <w:rsid w:val="00FB39A5"/>
    <w:rsid w:val="00FB3B23"/>
    <w:rsid w:val="00FB49A6"/>
    <w:rsid w:val="00FB49DF"/>
    <w:rsid w:val="00FB5FF8"/>
    <w:rsid w:val="00FB695F"/>
    <w:rsid w:val="00FB6D77"/>
    <w:rsid w:val="00FB7308"/>
    <w:rsid w:val="00FB775E"/>
    <w:rsid w:val="00FC0B5C"/>
    <w:rsid w:val="00FC0D11"/>
    <w:rsid w:val="00FC1149"/>
    <w:rsid w:val="00FC16C6"/>
    <w:rsid w:val="00FC264D"/>
    <w:rsid w:val="00FC28EA"/>
    <w:rsid w:val="00FC298B"/>
    <w:rsid w:val="00FC2CB4"/>
    <w:rsid w:val="00FC44F3"/>
    <w:rsid w:val="00FC4AA0"/>
    <w:rsid w:val="00FC539D"/>
    <w:rsid w:val="00FC5A4F"/>
    <w:rsid w:val="00FC5E55"/>
    <w:rsid w:val="00FC6BAD"/>
    <w:rsid w:val="00FC6E85"/>
    <w:rsid w:val="00FC720E"/>
    <w:rsid w:val="00FC74FF"/>
    <w:rsid w:val="00FD004B"/>
    <w:rsid w:val="00FD037C"/>
    <w:rsid w:val="00FD0C36"/>
    <w:rsid w:val="00FD0FDD"/>
    <w:rsid w:val="00FD1454"/>
    <w:rsid w:val="00FD19F5"/>
    <w:rsid w:val="00FD237A"/>
    <w:rsid w:val="00FD2580"/>
    <w:rsid w:val="00FD3FAD"/>
    <w:rsid w:val="00FD460D"/>
    <w:rsid w:val="00FD5557"/>
    <w:rsid w:val="00FD5F94"/>
    <w:rsid w:val="00FD6174"/>
    <w:rsid w:val="00FD6B90"/>
    <w:rsid w:val="00FD6E14"/>
    <w:rsid w:val="00FD6E17"/>
    <w:rsid w:val="00FD7035"/>
    <w:rsid w:val="00FD7CC4"/>
    <w:rsid w:val="00FE06DB"/>
    <w:rsid w:val="00FE1201"/>
    <w:rsid w:val="00FE29A4"/>
    <w:rsid w:val="00FE3EBA"/>
    <w:rsid w:val="00FE4559"/>
    <w:rsid w:val="00FE4A89"/>
    <w:rsid w:val="00FE559F"/>
    <w:rsid w:val="00FE563C"/>
    <w:rsid w:val="00FE5F38"/>
    <w:rsid w:val="00FE6100"/>
    <w:rsid w:val="00FE6DE0"/>
    <w:rsid w:val="00FF053C"/>
    <w:rsid w:val="00FF0549"/>
    <w:rsid w:val="00FF0815"/>
    <w:rsid w:val="00FF0E06"/>
    <w:rsid w:val="00FF0F33"/>
    <w:rsid w:val="00FF12AB"/>
    <w:rsid w:val="00FF1323"/>
    <w:rsid w:val="00FF351A"/>
    <w:rsid w:val="00FF4202"/>
    <w:rsid w:val="00FF5792"/>
    <w:rsid w:val="00FF7FC6"/>
    <w:rsid w:val="03157356"/>
    <w:rsid w:val="0324067A"/>
    <w:rsid w:val="0398212A"/>
    <w:rsid w:val="03CA0201"/>
    <w:rsid w:val="03F62F35"/>
    <w:rsid w:val="05045A86"/>
    <w:rsid w:val="05852631"/>
    <w:rsid w:val="05AD3F45"/>
    <w:rsid w:val="06C13B3D"/>
    <w:rsid w:val="073509DA"/>
    <w:rsid w:val="073F2733"/>
    <w:rsid w:val="074F186B"/>
    <w:rsid w:val="081D1C8F"/>
    <w:rsid w:val="082542DE"/>
    <w:rsid w:val="0A4B5323"/>
    <w:rsid w:val="0B03192A"/>
    <w:rsid w:val="0B070A5E"/>
    <w:rsid w:val="0B2D12F4"/>
    <w:rsid w:val="0BED6DDF"/>
    <w:rsid w:val="0C70080F"/>
    <w:rsid w:val="0D251429"/>
    <w:rsid w:val="0D8A2A65"/>
    <w:rsid w:val="0E77636A"/>
    <w:rsid w:val="0ECD543D"/>
    <w:rsid w:val="0F612D98"/>
    <w:rsid w:val="12833A99"/>
    <w:rsid w:val="12AF3986"/>
    <w:rsid w:val="12B47007"/>
    <w:rsid w:val="12FE0C9D"/>
    <w:rsid w:val="14F85755"/>
    <w:rsid w:val="1528122B"/>
    <w:rsid w:val="15587404"/>
    <w:rsid w:val="16175D54"/>
    <w:rsid w:val="173B3498"/>
    <w:rsid w:val="176000E3"/>
    <w:rsid w:val="176B1BE8"/>
    <w:rsid w:val="17C57C54"/>
    <w:rsid w:val="19951210"/>
    <w:rsid w:val="1A2E5491"/>
    <w:rsid w:val="1AF35B65"/>
    <w:rsid w:val="1B4A3CA9"/>
    <w:rsid w:val="1B7462B3"/>
    <w:rsid w:val="1CC161ED"/>
    <w:rsid w:val="1DCB671C"/>
    <w:rsid w:val="1F7E0BE0"/>
    <w:rsid w:val="20100E0B"/>
    <w:rsid w:val="20E51468"/>
    <w:rsid w:val="217267F7"/>
    <w:rsid w:val="21C30CBF"/>
    <w:rsid w:val="22B77FC4"/>
    <w:rsid w:val="24521E21"/>
    <w:rsid w:val="247863AB"/>
    <w:rsid w:val="24AE04E3"/>
    <w:rsid w:val="24C148B0"/>
    <w:rsid w:val="24E44F93"/>
    <w:rsid w:val="266E238F"/>
    <w:rsid w:val="26C433E3"/>
    <w:rsid w:val="2A1060BE"/>
    <w:rsid w:val="2BD21C09"/>
    <w:rsid w:val="2E831077"/>
    <w:rsid w:val="2F1749E6"/>
    <w:rsid w:val="2F280A0F"/>
    <w:rsid w:val="2F445065"/>
    <w:rsid w:val="312F69C4"/>
    <w:rsid w:val="31B06C69"/>
    <w:rsid w:val="31F36B8C"/>
    <w:rsid w:val="33DA2B9D"/>
    <w:rsid w:val="33FF7F86"/>
    <w:rsid w:val="340D5BED"/>
    <w:rsid w:val="34E24AFB"/>
    <w:rsid w:val="35AE5FAF"/>
    <w:rsid w:val="38683569"/>
    <w:rsid w:val="39306CE0"/>
    <w:rsid w:val="393D0552"/>
    <w:rsid w:val="3B181276"/>
    <w:rsid w:val="3CF773E9"/>
    <w:rsid w:val="3EE651E8"/>
    <w:rsid w:val="40CF189E"/>
    <w:rsid w:val="40DC4AF4"/>
    <w:rsid w:val="41500624"/>
    <w:rsid w:val="41970A1B"/>
    <w:rsid w:val="41A97B88"/>
    <w:rsid w:val="41E225DE"/>
    <w:rsid w:val="41E40104"/>
    <w:rsid w:val="42764AD5"/>
    <w:rsid w:val="43396953"/>
    <w:rsid w:val="448434D9"/>
    <w:rsid w:val="45912351"/>
    <w:rsid w:val="464C2236"/>
    <w:rsid w:val="46BD2B0D"/>
    <w:rsid w:val="46D03249"/>
    <w:rsid w:val="4704181D"/>
    <w:rsid w:val="475B213B"/>
    <w:rsid w:val="486D2D45"/>
    <w:rsid w:val="4877313D"/>
    <w:rsid w:val="496569FC"/>
    <w:rsid w:val="4A133A43"/>
    <w:rsid w:val="4A5641F4"/>
    <w:rsid w:val="4B1F6E31"/>
    <w:rsid w:val="4B9E03B4"/>
    <w:rsid w:val="4C0B0977"/>
    <w:rsid w:val="4C2A2D37"/>
    <w:rsid w:val="4C5C7D67"/>
    <w:rsid w:val="4CD34FFD"/>
    <w:rsid w:val="4D1856F9"/>
    <w:rsid w:val="4DCE3A17"/>
    <w:rsid w:val="4DDF61F3"/>
    <w:rsid w:val="4E013DEC"/>
    <w:rsid w:val="4F8624A9"/>
    <w:rsid w:val="503D4052"/>
    <w:rsid w:val="51557087"/>
    <w:rsid w:val="522E19EF"/>
    <w:rsid w:val="53272682"/>
    <w:rsid w:val="538E7ED0"/>
    <w:rsid w:val="53951561"/>
    <w:rsid w:val="54837BF3"/>
    <w:rsid w:val="560B4F27"/>
    <w:rsid w:val="57623B4D"/>
    <w:rsid w:val="587F428B"/>
    <w:rsid w:val="589C75F5"/>
    <w:rsid w:val="58BB06F6"/>
    <w:rsid w:val="58C36FD9"/>
    <w:rsid w:val="59714129"/>
    <w:rsid w:val="5A08071D"/>
    <w:rsid w:val="5B0E7B48"/>
    <w:rsid w:val="5B612747"/>
    <w:rsid w:val="5CD26E8A"/>
    <w:rsid w:val="5CD85714"/>
    <w:rsid w:val="5EBF3633"/>
    <w:rsid w:val="608D6D49"/>
    <w:rsid w:val="6263230B"/>
    <w:rsid w:val="635604B6"/>
    <w:rsid w:val="637532C0"/>
    <w:rsid w:val="64E41ED7"/>
    <w:rsid w:val="65F362B8"/>
    <w:rsid w:val="669A4AAF"/>
    <w:rsid w:val="67BA4365"/>
    <w:rsid w:val="67C2339D"/>
    <w:rsid w:val="68572B2F"/>
    <w:rsid w:val="68AA614F"/>
    <w:rsid w:val="6A0075E6"/>
    <w:rsid w:val="6A470AE2"/>
    <w:rsid w:val="6A633A0D"/>
    <w:rsid w:val="6BCE0CC9"/>
    <w:rsid w:val="6BD149A6"/>
    <w:rsid w:val="6C67530A"/>
    <w:rsid w:val="6E3D6E33"/>
    <w:rsid w:val="6E830758"/>
    <w:rsid w:val="6E8E6B7E"/>
    <w:rsid w:val="6FB77468"/>
    <w:rsid w:val="6FFF2BCE"/>
    <w:rsid w:val="70E039B2"/>
    <w:rsid w:val="71A53D84"/>
    <w:rsid w:val="71C44D29"/>
    <w:rsid w:val="72604CD6"/>
    <w:rsid w:val="729014D4"/>
    <w:rsid w:val="730E1CC8"/>
    <w:rsid w:val="739452A9"/>
    <w:rsid w:val="746D0836"/>
    <w:rsid w:val="75814476"/>
    <w:rsid w:val="78081C2B"/>
    <w:rsid w:val="786170B2"/>
    <w:rsid w:val="787F4370"/>
    <w:rsid w:val="78885BCA"/>
    <w:rsid w:val="7A247E8D"/>
    <w:rsid w:val="7B5C798D"/>
    <w:rsid w:val="7C855280"/>
    <w:rsid w:val="7D211600"/>
    <w:rsid w:val="7DC75735"/>
    <w:rsid w:val="7DD9145F"/>
    <w:rsid w:val="7E4B780E"/>
    <w:rsid w:val="7E665930"/>
    <w:rsid w:val="7ECA1D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link w:val="39"/>
    <w:qFormat/>
    <w:uiPriority w:val="0"/>
    <w:pPr>
      <w:keepNext/>
      <w:keepLines/>
      <w:spacing w:before="260" w:after="260" w:line="500" w:lineRule="exact"/>
      <w:outlineLvl w:val="1"/>
    </w:pPr>
    <w:rPr>
      <w:rFonts w:ascii="Arial" w:hAnsi="Arial" w:eastAsia="黑体"/>
      <w:b/>
      <w:sz w:val="28"/>
      <w:szCs w:val="20"/>
    </w:rPr>
  </w:style>
  <w:style w:type="paragraph" w:styleId="5">
    <w:name w:val="heading 3"/>
    <w:basedOn w:val="1"/>
    <w:next w:val="6"/>
    <w:link w:val="40"/>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qFormat/>
    <w:uiPriority w:val="0"/>
    <w:pPr>
      <w:keepNext/>
      <w:keepLines/>
      <w:numPr>
        <w:ilvl w:val="4"/>
        <w:numId w:val="1"/>
      </w:numPr>
      <w:spacing w:before="280" w:after="290" w:line="372" w:lineRule="auto"/>
      <w:outlineLvl w:val="4"/>
    </w:pPr>
    <w:rPr>
      <w:b/>
      <w:sz w:val="28"/>
    </w:rPr>
  </w:style>
  <w:style w:type="paragraph" w:styleId="9">
    <w:name w:val="heading 6"/>
    <w:basedOn w:val="1"/>
    <w:next w:val="6"/>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6"/>
    <w:link w:val="41"/>
    <w:qFormat/>
    <w:uiPriority w:val="0"/>
    <w:pPr>
      <w:keepNext/>
      <w:keepLines/>
      <w:numPr>
        <w:ilvl w:val="6"/>
        <w:numId w:val="1"/>
      </w:numPr>
      <w:spacing w:before="240" w:after="64" w:line="316" w:lineRule="auto"/>
      <w:outlineLvl w:val="6"/>
    </w:pPr>
    <w:rPr>
      <w:b/>
      <w:sz w:val="24"/>
    </w:rPr>
  </w:style>
  <w:style w:type="paragraph" w:styleId="11">
    <w:name w:val="heading 8"/>
    <w:basedOn w:val="1"/>
    <w:next w:val="6"/>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6"/>
    <w:qFormat/>
    <w:uiPriority w:val="0"/>
    <w:pPr>
      <w:keepNext/>
      <w:keepLines/>
      <w:numPr>
        <w:ilvl w:val="8"/>
        <w:numId w:val="1"/>
      </w:numPr>
      <w:spacing w:before="240" w:after="64" w:line="316" w:lineRule="auto"/>
      <w:outlineLvl w:val="8"/>
    </w:pPr>
    <w:rPr>
      <w:rFonts w:ascii="Arial" w:hAnsi="Arial" w:eastAsia="黑体"/>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Normal Indent"/>
    <w:basedOn w:val="1"/>
    <w:next w:val="1"/>
    <w:link w:val="38"/>
    <w:qFormat/>
    <w:uiPriority w:val="0"/>
    <w:pPr>
      <w:ind w:firstLine="420"/>
    </w:pPr>
    <w:rPr>
      <w:szCs w:val="20"/>
    </w:rPr>
  </w:style>
  <w:style w:type="paragraph" w:styleId="13">
    <w:name w:val="caption"/>
    <w:basedOn w:val="1"/>
    <w:next w:val="1"/>
    <w:qFormat/>
    <w:uiPriority w:val="0"/>
    <w:pPr>
      <w:numPr>
        <w:ilvl w:val="0"/>
        <w:numId w:val="2"/>
      </w:numPr>
      <w:spacing w:line="360" w:lineRule="auto"/>
      <w:ind w:left="0" w:firstLine="0"/>
      <w:jc w:val="center"/>
    </w:pPr>
    <w:rPr>
      <w:rFonts w:ascii="Arial Unicode MS" w:hAnsi="Arial Unicode MS" w:cs="宋体"/>
    </w:rPr>
  </w:style>
  <w:style w:type="paragraph" w:styleId="14">
    <w:name w:val="toa heading"/>
    <w:basedOn w:val="1"/>
    <w:next w:val="1"/>
    <w:qFormat/>
    <w:uiPriority w:val="0"/>
    <w:pPr>
      <w:autoSpaceDE w:val="0"/>
      <w:autoSpaceDN w:val="0"/>
      <w:adjustRightInd w:val="0"/>
      <w:spacing w:before="120" w:beforeLines="0" w:beforeAutospacing="0"/>
      <w:jc w:val="left"/>
    </w:pPr>
    <w:rPr>
      <w:rFonts w:ascii="Arial" w:hAnsi="Arial"/>
      <w:kern w:val="0"/>
      <w:sz w:val="24"/>
    </w:rPr>
  </w:style>
  <w:style w:type="paragraph" w:styleId="15">
    <w:name w:val="annotation text"/>
    <w:basedOn w:val="1"/>
    <w:qFormat/>
    <w:uiPriority w:val="0"/>
    <w:pPr>
      <w:jc w:val="left"/>
    </w:pPr>
  </w:style>
  <w:style w:type="paragraph" w:styleId="16">
    <w:name w:val="Body Text Indent"/>
    <w:basedOn w:val="1"/>
    <w:next w:val="17"/>
    <w:link w:val="42"/>
    <w:qFormat/>
    <w:uiPriority w:val="0"/>
    <w:pPr>
      <w:ind w:firstLine="630"/>
    </w:pPr>
    <w:rPr>
      <w:sz w:val="32"/>
      <w:szCs w:val="20"/>
    </w:rPr>
  </w:style>
  <w:style w:type="paragraph" w:styleId="17">
    <w:name w:val="Body Text Indent 2"/>
    <w:basedOn w:val="1"/>
    <w:next w:val="1"/>
    <w:link w:val="43"/>
    <w:qFormat/>
    <w:uiPriority w:val="0"/>
    <w:pPr>
      <w:ind w:firstLine="630"/>
    </w:pPr>
    <w:rPr>
      <w:sz w:val="32"/>
      <w:szCs w:val="20"/>
    </w:rPr>
  </w:style>
  <w:style w:type="paragraph" w:styleId="18">
    <w:name w:val="Plain Text"/>
    <w:basedOn w:val="1"/>
    <w:link w:val="44"/>
    <w:qFormat/>
    <w:uiPriority w:val="0"/>
    <w:rPr>
      <w:rFonts w:ascii="宋体" w:hAnsi="Courier New" w:cs="Courier New"/>
      <w:szCs w:val="21"/>
    </w:rPr>
  </w:style>
  <w:style w:type="paragraph" w:styleId="19">
    <w:name w:val="Date"/>
    <w:basedOn w:val="1"/>
    <w:next w:val="1"/>
    <w:qFormat/>
    <w:uiPriority w:val="0"/>
    <w:pPr>
      <w:ind w:left="100" w:leftChars="2500"/>
    </w:pPr>
  </w:style>
  <w:style w:type="paragraph" w:styleId="20">
    <w:name w:val="Balloon Text"/>
    <w:basedOn w:val="1"/>
    <w:link w:val="45"/>
    <w:qFormat/>
    <w:uiPriority w:val="0"/>
    <w:rPr>
      <w:sz w:val="18"/>
      <w:szCs w:val="18"/>
    </w:rPr>
  </w:style>
  <w:style w:type="paragraph" w:styleId="21">
    <w:name w:val="footer"/>
    <w:basedOn w:val="1"/>
    <w:link w:val="46"/>
    <w:qFormat/>
    <w:uiPriority w:val="0"/>
    <w:pPr>
      <w:tabs>
        <w:tab w:val="center" w:pos="4153"/>
        <w:tab w:val="right" w:pos="8306"/>
      </w:tabs>
      <w:snapToGrid w:val="0"/>
      <w:jc w:val="left"/>
    </w:pPr>
    <w:rPr>
      <w:sz w:val="18"/>
      <w:szCs w:val="20"/>
    </w:rPr>
  </w:style>
  <w:style w:type="paragraph" w:styleId="22">
    <w:name w:val="header"/>
    <w:basedOn w:val="1"/>
    <w:link w:val="47"/>
    <w:qFormat/>
    <w:uiPriority w:val="0"/>
    <w:pPr>
      <w:pBdr>
        <w:bottom w:val="single" w:color="auto" w:sz="6" w:space="1"/>
      </w:pBdr>
      <w:tabs>
        <w:tab w:val="center" w:pos="4153"/>
        <w:tab w:val="right" w:pos="8306"/>
      </w:tabs>
      <w:snapToGrid w:val="0"/>
      <w:jc w:val="center"/>
    </w:pPr>
    <w:rPr>
      <w:sz w:val="18"/>
      <w:szCs w:val="20"/>
    </w:rPr>
  </w:style>
  <w:style w:type="paragraph" w:styleId="23">
    <w:name w:val="Body Text Indent 3"/>
    <w:basedOn w:val="1"/>
    <w:link w:val="48"/>
    <w:qFormat/>
    <w:uiPriority w:val="0"/>
    <w:pPr>
      <w:adjustRightInd w:val="0"/>
      <w:snapToGrid w:val="0"/>
      <w:spacing w:line="360" w:lineRule="auto"/>
      <w:ind w:firstLine="600" w:firstLineChars="200"/>
    </w:pPr>
    <w:rPr>
      <w:rFonts w:ascii="黑体" w:eastAsia="黑体"/>
      <w:sz w:val="30"/>
      <w:szCs w:val="28"/>
    </w:rPr>
  </w:style>
  <w:style w:type="paragraph" w:styleId="2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5">
    <w:name w:val="Body Text First Indent 2"/>
    <w:basedOn w:val="16"/>
    <w:qFormat/>
    <w:uiPriority w:val="0"/>
    <w:pPr>
      <w:ind w:firstLine="420" w:firstLineChars="200"/>
    </w:pPr>
    <w:rPr>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yperlink"/>
    <w:qFormat/>
    <w:uiPriority w:val="0"/>
    <w:rPr>
      <w:color w:val="136EC2"/>
      <w:u w:val="single"/>
    </w:rPr>
  </w:style>
  <w:style w:type="character" w:styleId="35">
    <w:name w:val="HTML Code"/>
    <w:basedOn w:val="28"/>
    <w:qFormat/>
    <w:uiPriority w:val="0"/>
    <w:rPr>
      <w:rFonts w:hint="default" w:ascii="Consolas" w:hAnsi="Consolas" w:eastAsia="Consolas" w:cs="Consolas"/>
      <w:color w:val="C7254E"/>
      <w:sz w:val="21"/>
      <w:szCs w:val="21"/>
      <w:shd w:val="clear" w:color="auto" w:fill="F9F2F4"/>
    </w:rPr>
  </w:style>
  <w:style w:type="character" w:styleId="36">
    <w:name w:val="HTML Keyboard"/>
    <w:basedOn w:val="28"/>
    <w:qFormat/>
    <w:uiPriority w:val="0"/>
    <w:rPr>
      <w:rFonts w:hint="default" w:ascii="Consolas" w:hAnsi="Consolas" w:eastAsia="Consolas" w:cs="Consolas"/>
      <w:color w:val="FFFFFF"/>
      <w:sz w:val="21"/>
      <w:szCs w:val="21"/>
      <w:shd w:val="clear" w:color="auto" w:fill="333333"/>
    </w:rPr>
  </w:style>
  <w:style w:type="character" w:styleId="37">
    <w:name w:val="HTML Sample"/>
    <w:basedOn w:val="28"/>
    <w:qFormat/>
    <w:uiPriority w:val="0"/>
    <w:rPr>
      <w:rFonts w:ascii="Consolas" w:hAnsi="Consolas" w:eastAsia="Consolas" w:cs="Consolas"/>
      <w:sz w:val="21"/>
      <w:szCs w:val="21"/>
    </w:rPr>
  </w:style>
  <w:style w:type="character" w:customStyle="1" w:styleId="38">
    <w:name w:val="正文缩进 Char1"/>
    <w:link w:val="6"/>
    <w:qFormat/>
    <w:uiPriority w:val="0"/>
    <w:rPr>
      <w:rFonts w:eastAsia="宋体"/>
      <w:kern w:val="2"/>
      <w:sz w:val="21"/>
      <w:lang w:val="en-US" w:eastAsia="zh-CN" w:bidi="ar-SA"/>
    </w:rPr>
  </w:style>
  <w:style w:type="character" w:customStyle="1" w:styleId="39">
    <w:name w:val="标题 2 Char"/>
    <w:link w:val="4"/>
    <w:qFormat/>
    <w:uiPriority w:val="0"/>
    <w:rPr>
      <w:rFonts w:ascii="Arial" w:hAnsi="Arial" w:eastAsia="黑体"/>
      <w:b/>
      <w:kern w:val="2"/>
      <w:sz w:val="28"/>
    </w:rPr>
  </w:style>
  <w:style w:type="character" w:customStyle="1" w:styleId="40">
    <w:name w:val="标题 3 Char"/>
    <w:link w:val="5"/>
    <w:qFormat/>
    <w:uiPriority w:val="0"/>
    <w:rPr>
      <w:b/>
      <w:kern w:val="2"/>
      <w:sz w:val="32"/>
    </w:rPr>
  </w:style>
  <w:style w:type="character" w:customStyle="1" w:styleId="41">
    <w:name w:val="标题 7 Char"/>
    <w:link w:val="10"/>
    <w:qFormat/>
    <w:uiPriority w:val="0"/>
    <w:rPr>
      <w:b/>
      <w:kern w:val="2"/>
      <w:sz w:val="24"/>
      <w:szCs w:val="24"/>
    </w:rPr>
  </w:style>
  <w:style w:type="character" w:customStyle="1" w:styleId="42">
    <w:name w:val="正文文本缩进 Char"/>
    <w:link w:val="16"/>
    <w:qFormat/>
    <w:uiPriority w:val="0"/>
    <w:rPr>
      <w:kern w:val="2"/>
      <w:sz w:val="32"/>
    </w:rPr>
  </w:style>
  <w:style w:type="character" w:customStyle="1" w:styleId="43">
    <w:name w:val="正文文本缩进 2 Char"/>
    <w:link w:val="17"/>
    <w:qFormat/>
    <w:uiPriority w:val="0"/>
    <w:rPr>
      <w:kern w:val="2"/>
      <w:sz w:val="32"/>
    </w:rPr>
  </w:style>
  <w:style w:type="character" w:customStyle="1" w:styleId="44">
    <w:name w:val="纯文本 Char"/>
    <w:link w:val="18"/>
    <w:qFormat/>
    <w:locked/>
    <w:uiPriority w:val="0"/>
    <w:rPr>
      <w:rFonts w:ascii="宋体" w:hAnsi="Courier New" w:eastAsia="宋体" w:cs="Courier New"/>
      <w:kern w:val="2"/>
      <w:sz w:val="21"/>
      <w:szCs w:val="21"/>
      <w:lang w:val="en-US" w:eastAsia="zh-CN" w:bidi="ar-SA"/>
    </w:rPr>
  </w:style>
  <w:style w:type="character" w:customStyle="1" w:styleId="45">
    <w:name w:val="批注框文本 Char"/>
    <w:link w:val="20"/>
    <w:qFormat/>
    <w:uiPriority w:val="0"/>
    <w:rPr>
      <w:kern w:val="2"/>
      <w:sz w:val="18"/>
      <w:szCs w:val="18"/>
    </w:rPr>
  </w:style>
  <w:style w:type="character" w:customStyle="1" w:styleId="46">
    <w:name w:val="页脚 Char"/>
    <w:link w:val="21"/>
    <w:qFormat/>
    <w:uiPriority w:val="0"/>
    <w:rPr>
      <w:rFonts w:eastAsia="宋体"/>
      <w:kern w:val="2"/>
      <w:sz w:val="18"/>
      <w:lang w:val="en-US" w:eastAsia="zh-CN" w:bidi="ar-SA"/>
    </w:rPr>
  </w:style>
  <w:style w:type="character" w:customStyle="1" w:styleId="47">
    <w:name w:val="页眉 Char"/>
    <w:link w:val="22"/>
    <w:qFormat/>
    <w:uiPriority w:val="0"/>
    <w:rPr>
      <w:rFonts w:eastAsia="宋体"/>
      <w:kern w:val="2"/>
      <w:sz w:val="18"/>
      <w:lang w:val="en-US" w:eastAsia="zh-CN" w:bidi="ar-SA"/>
    </w:rPr>
  </w:style>
  <w:style w:type="character" w:customStyle="1" w:styleId="48">
    <w:name w:val="正文文本缩进 3 Char"/>
    <w:link w:val="23"/>
    <w:qFormat/>
    <w:uiPriority w:val="0"/>
    <w:rPr>
      <w:rFonts w:ascii="黑体" w:eastAsia="黑体"/>
      <w:kern w:val="2"/>
      <w:sz w:val="30"/>
      <w:szCs w:val="28"/>
    </w:rPr>
  </w:style>
  <w:style w:type="paragraph" w:customStyle="1" w:styleId="49">
    <w:name w:val="Char"/>
    <w:basedOn w:val="1"/>
    <w:qFormat/>
    <w:uiPriority w:val="0"/>
    <w:pPr>
      <w:spacing w:line="360" w:lineRule="auto"/>
    </w:pPr>
    <w:rPr>
      <w:rFonts w:ascii="仿宋_GB2312" w:eastAsia="仿宋_GB2312"/>
      <w:b/>
      <w:sz w:val="32"/>
    </w:rPr>
  </w:style>
  <w:style w:type="paragraph" w:customStyle="1" w:styleId="50">
    <w:name w:val="正文首行缩进两字符"/>
    <w:basedOn w:val="1"/>
    <w:qFormat/>
    <w:uiPriority w:val="0"/>
    <w:pPr>
      <w:spacing w:line="360" w:lineRule="auto"/>
      <w:ind w:firstLine="200" w:firstLineChars="200"/>
    </w:pPr>
  </w:style>
  <w:style w:type="paragraph" w:customStyle="1" w:styleId="51">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2">
    <w:name w:val="Char1"/>
    <w:basedOn w:val="1"/>
    <w:qFormat/>
    <w:uiPriority w:val="0"/>
    <w:rPr>
      <w:szCs w:val="21"/>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样式 首行缩进:  2 字符"/>
    <w:basedOn w:val="1"/>
    <w:qFormat/>
    <w:uiPriority w:val="0"/>
    <w:pPr>
      <w:spacing w:line="400" w:lineRule="exact"/>
      <w:ind w:firstLine="200" w:firstLineChars="200"/>
    </w:pPr>
    <w:rPr>
      <w:rFonts w:cs="宋体"/>
      <w:sz w:val="24"/>
    </w:rPr>
  </w:style>
  <w:style w:type="paragraph" w:customStyle="1" w:styleId="55">
    <w:name w:val="表格"/>
    <w:basedOn w:val="1"/>
    <w:qFormat/>
    <w:uiPriority w:val="0"/>
    <w:pPr>
      <w:spacing w:line="400" w:lineRule="exact"/>
    </w:pPr>
    <w:rPr>
      <w:sz w:val="24"/>
    </w:rPr>
  </w:style>
  <w:style w:type="paragraph" w:customStyle="1" w:styleId="56">
    <w:name w:val="默认段落字体 Para Char Char Char Char Char Char Char"/>
    <w:basedOn w:val="1"/>
    <w:qFormat/>
    <w:uiPriority w:val="0"/>
    <w:rPr>
      <w:rFonts w:ascii="Tahoma" w:hAnsi="Tahoma"/>
      <w:sz w:val="24"/>
      <w:szCs w:val="20"/>
    </w:rPr>
  </w:style>
  <w:style w:type="paragraph" w:customStyle="1" w:styleId="57">
    <w:name w:val=" Char Char Char Char"/>
    <w:basedOn w:val="1"/>
    <w:qFormat/>
    <w:uiPriority w:val="0"/>
    <w:rPr>
      <w:rFonts w:ascii="Tahoma" w:hAnsi="Tahoma"/>
      <w:sz w:val="24"/>
      <w:szCs w:val="20"/>
    </w:rPr>
  </w:style>
  <w:style w:type="character" w:customStyle="1" w:styleId="58">
    <w:name w:val="p0 Char"/>
    <w:link w:val="59"/>
    <w:qFormat/>
    <w:uiPriority w:val="0"/>
    <w:rPr>
      <w:rFonts w:eastAsia="宋体"/>
      <w:sz w:val="21"/>
      <w:szCs w:val="21"/>
      <w:lang w:val="en-US" w:eastAsia="zh-CN" w:bidi="ar-SA"/>
    </w:rPr>
  </w:style>
  <w:style w:type="paragraph" w:customStyle="1" w:styleId="59">
    <w:name w:val="p0"/>
    <w:basedOn w:val="1"/>
    <w:link w:val="58"/>
    <w:qFormat/>
    <w:uiPriority w:val="0"/>
    <w:pPr>
      <w:widowControl/>
    </w:pPr>
    <w:rPr>
      <w:kern w:val="0"/>
      <w:szCs w:val="21"/>
    </w:rPr>
  </w:style>
  <w:style w:type="character" w:customStyle="1" w:styleId="60">
    <w:name w:val="普通文字1 Char"/>
    <w:qFormat/>
    <w:uiPriority w:val="0"/>
    <w:rPr>
      <w:rFonts w:ascii="宋体" w:hAnsi="Courier New" w:eastAsia="宋体"/>
      <w:kern w:val="2"/>
      <w:sz w:val="21"/>
      <w:lang w:val="en-US" w:eastAsia="zh-CN" w:bidi="ar-SA"/>
    </w:rPr>
  </w:style>
  <w:style w:type="character" w:customStyle="1" w:styleId="61">
    <w:name w:val="bds_nopic2"/>
    <w:qFormat/>
    <w:uiPriority w:val="0"/>
    <w:rPr>
      <w:rFonts w:ascii="Times New Roman" w:hAnsi="Times New Roman" w:eastAsia="宋体"/>
    </w:rPr>
  </w:style>
  <w:style w:type="paragraph" w:styleId="62">
    <w:name w:val="List Paragraph"/>
    <w:basedOn w:val="1"/>
    <w:qFormat/>
    <w:uiPriority w:val="0"/>
    <w:pPr>
      <w:ind w:firstLine="420" w:firstLineChars="200"/>
    </w:pPr>
    <w:rPr>
      <w:sz w:val="18"/>
      <w:szCs w:val="18"/>
    </w:rPr>
  </w:style>
  <w:style w:type="paragraph" w:customStyle="1" w:styleId="63">
    <w:name w:val="图标题"/>
    <w:basedOn w:val="1"/>
    <w:qFormat/>
    <w:uiPriority w:val="0"/>
    <w:pPr>
      <w:numPr>
        <w:ilvl w:val="8"/>
        <w:numId w:val="1"/>
      </w:numPr>
      <w:adjustRightInd w:val="0"/>
      <w:spacing w:line="360" w:lineRule="atLeast"/>
      <w:jc w:val="left"/>
      <w:textAlignment w:val="baseline"/>
    </w:pPr>
    <w:rPr>
      <w:kern w:val="0"/>
      <w:sz w:val="24"/>
      <w:szCs w:val="20"/>
    </w:rPr>
  </w:style>
  <w:style w:type="paragraph" w:customStyle="1" w:styleId="64">
    <w:name w:val="样式1"/>
    <w:basedOn w:val="1"/>
    <w:qFormat/>
    <w:uiPriority w:val="0"/>
    <w:pPr>
      <w:numPr>
        <w:ilvl w:val="0"/>
        <w:numId w:val="3"/>
      </w:numPr>
      <w:tabs>
        <w:tab w:val="left" w:pos="709"/>
      </w:tabs>
      <w:adjustRightInd w:val="0"/>
      <w:textAlignment w:val="baseline"/>
    </w:pPr>
    <w:rPr>
      <w:rFonts w:ascii="宋体" w:hAnsi="宋体"/>
      <w:kern w:val="0"/>
      <w:szCs w:val="21"/>
    </w:rPr>
  </w:style>
  <w:style w:type="paragraph" w:customStyle="1" w:styleId="6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66">
    <w:name w:val="before2"/>
    <w:basedOn w:val="28"/>
    <w:qFormat/>
    <w:uiPriority w:val="0"/>
    <w:rPr>
      <w:shd w:val="clear" w:color="auto" w:fill="C20E0C"/>
    </w:rPr>
  </w:style>
  <w:style w:type="character" w:customStyle="1" w:styleId="67">
    <w:name w:val="nth-of-type(10)"/>
    <w:basedOn w:val="28"/>
    <w:qFormat/>
    <w:uiPriority w:val="0"/>
  </w:style>
  <w:style w:type="character" w:customStyle="1" w:styleId="68">
    <w:name w:val="nth-of-type(6)"/>
    <w:basedOn w:val="28"/>
    <w:qFormat/>
    <w:uiPriority w:val="0"/>
  </w:style>
  <w:style w:type="character" w:customStyle="1" w:styleId="69">
    <w:name w:val="last-child1"/>
    <w:basedOn w:val="28"/>
    <w:qFormat/>
    <w:uiPriority w:val="0"/>
  </w:style>
  <w:style w:type="character" w:customStyle="1" w:styleId="70">
    <w:name w:val="last-child2"/>
    <w:basedOn w:val="28"/>
    <w:qFormat/>
    <w:uiPriority w:val="0"/>
    <w:rPr>
      <w:color w:val="FFFFFF"/>
    </w:rPr>
  </w:style>
  <w:style w:type="character" w:customStyle="1" w:styleId="71">
    <w:name w:val="nth-child(3)"/>
    <w:basedOn w:val="28"/>
    <w:qFormat/>
    <w:uiPriority w:val="0"/>
  </w:style>
  <w:style w:type="character" w:customStyle="1" w:styleId="72">
    <w:name w:val="layui-this"/>
    <w:basedOn w:val="28"/>
    <w:qFormat/>
    <w:uiPriority w:val="0"/>
    <w:rPr>
      <w:bdr w:val="single" w:color="EEEEEE" w:sz="6" w:space="0"/>
      <w:shd w:val="clear" w:color="auto" w:fill="FFFFFF"/>
    </w:rPr>
  </w:style>
  <w:style w:type="character" w:customStyle="1" w:styleId="73">
    <w:name w:val="nth-of-type(2)"/>
    <w:basedOn w:val="28"/>
    <w:qFormat/>
    <w:uiPriority w:val="0"/>
  </w:style>
  <w:style w:type="character" w:customStyle="1" w:styleId="74">
    <w:name w:val="nth-of-type(2)1"/>
    <w:basedOn w:val="28"/>
    <w:qFormat/>
    <w:uiPriority w:val="0"/>
  </w:style>
  <w:style w:type="character" w:customStyle="1" w:styleId="75">
    <w:name w:val="nth-of-type(2)2"/>
    <w:basedOn w:val="28"/>
    <w:qFormat/>
    <w:uiPriority w:val="0"/>
  </w:style>
  <w:style w:type="character" w:customStyle="1" w:styleId="76">
    <w:name w:val="nth-of-type(2)3"/>
    <w:basedOn w:val="28"/>
    <w:qFormat/>
    <w:uiPriority w:val="0"/>
  </w:style>
  <w:style w:type="character" w:customStyle="1" w:styleId="77">
    <w:name w:val="nth-of-type(2)4"/>
    <w:basedOn w:val="28"/>
    <w:qFormat/>
    <w:uiPriority w:val="0"/>
  </w:style>
  <w:style w:type="character" w:customStyle="1" w:styleId="78">
    <w:name w:val="nth-of-type(2)5"/>
    <w:basedOn w:val="28"/>
    <w:qFormat/>
    <w:uiPriority w:val="0"/>
  </w:style>
  <w:style w:type="character" w:customStyle="1" w:styleId="79">
    <w:name w:val="nth-of-type(2)6"/>
    <w:basedOn w:val="28"/>
    <w:qFormat/>
    <w:uiPriority w:val="0"/>
  </w:style>
  <w:style w:type="character" w:customStyle="1" w:styleId="80">
    <w:name w:val="nth-of-type(2)7"/>
    <w:basedOn w:val="28"/>
    <w:qFormat/>
    <w:uiPriority w:val="0"/>
  </w:style>
  <w:style w:type="character" w:customStyle="1" w:styleId="81">
    <w:name w:val="nth-of-type(2)8"/>
    <w:basedOn w:val="28"/>
    <w:qFormat/>
    <w:uiPriority w:val="0"/>
  </w:style>
  <w:style w:type="character" w:customStyle="1" w:styleId="82">
    <w:name w:val="nth-of-type(2)9"/>
    <w:basedOn w:val="28"/>
    <w:qFormat/>
    <w:uiPriority w:val="0"/>
  </w:style>
  <w:style w:type="character" w:customStyle="1" w:styleId="83">
    <w:name w:val="nth-of-type(2)10"/>
    <w:basedOn w:val="28"/>
    <w:qFormat/>
    <w:uiPriority w:val="0"/>
  </w:style>
  <w:style w:type="character" w:customStyle="1" w:styleId="84">
    <w:name w:val="nth-of-type(2)11"/>
    <w:basedOn w:val="28"/>
    <w:qFormat/>
    <w:uiPriority w:val="0"/>
  </w:style>
  <w:style w:type="character" w:customStyle="1" w:styleId="85">
    <w:name w:val="nth-of-type(2)12"/>
    <w:basedOn w:val="28"/>
    <w:qFormat/>
    <w:uiPriority w:val="0"/>
  </w:style>
  <w:style w:type="character" w:customStyle="1" w:styleId="86">
    <w:name w:val="nth-of-type(2)13"/>
    <w:basedOn w:val="28"/>
    <w:qFormat/>
    <w:uiPriority w:val="0"/>
    <w:rPr>
      <w:sz w:val="21"/>
      <w:szCs w:val="21"/>
    </w:rPr>
  </w:style>
  <w:style w:type="character" w:customStyle="1" w:styleId="87">
    <w:name w:val="nth-of-type(2)14"/>
    <w:basedOn w:val="28"/>
    <w:qFormat/>
    <w:uiPriority w:val="0"/>
  </w:style>
  <w:style w:type="character" w:customStyle="1" w:styleId="88">
    <w:name w:val="lineshow"/>
    <w:basedOn w:val="28"/>
    <w:qFormat/>
    <w:uiPriority w:val="0"/>
  </w:style>
  <w:style w:type="character" w:customStyle="1" w:styleId="89">
    <w:name w:val="lineshow1"/>
    <w:basedOn w:val="28"/>
    <w:qFormat/>
    <w:uiPriority w:val="0"/>
  </w:style>
  <w:style w:type="character" w:customStyle="1" w:styleId="90">
    <w:name w:val="nth-of-type(4)"/>
    <w:basedOn w:val="28"/>
    <w:qFormat/>
    <w:uiPriority w:val="0"/>
  </w:style>
  <w:style w:type="character" w:customStyle="1" w:styleId="91">
    <w:name w:val="nth-of-type(5)"/>
    <w:basedOn w:val="28"/>
    <w:qFormat/>
    <w:uiPriority w:val="0"/>
  </w:style>
  <w:style w:type="character" w:customStyle="1" w:styleId="92">
    <w:name w:val="nth-of-type(1)"/>
    <w:basedOn w:val="28"/>
    <w:qFormat/>
    <w:uiPriority w:val="0"/>
  </w:style>
  <w:style w:type="character" w:customStyle="1" w:styleId="93">
    <w:name w:val="nth-of-type(1)1"/>
    <w:basedOn w:val="28"/>
    <w:qFormat/>
    <w:uiPriority w:val="0"/>
  </w:style>
  <w:style w:type="character" w:customStyle="1" w:styleId="94">
    <w:name w:val="nth-of-type(1)2"/>
    <w:basedOn w:val="28"/>
    <w:qFormat/>
    <w:uiPriority w:val="0"/>
    <w:rPr>
      <w:color w:val="0082DF"/>
    </w:rPr>
  </w:style>
  <w:style w:type="character" w:customStyle="1" w:styleId="95">
    <w:name w:val="nth-of-type(1)3"/>
    <w:basedOn w:val="28"/>
    <w:qFormat/>
    <w:uiPriority w:val="0"/>
  </w:style>
  <w:style w:type="character" w:customStyle="1" w:styleId="96">
    <w:name w:val="nth-of-type(1)4"/>
    <w:basedOn w:val="28"/>
    <w:qFormat/>
    <w:uiPriority w:val="0"/>
  </w:style>
  <w:style w:type="character" w:customStyle="1" w:styleId="97">
    <w:name w:val="nth-of-type(1)5"/>
    <w:basedOn w:val="28"/>
    <w:qFormat/>
    <w:uiPriority w:val="0"/>
  </w:style>
  <w:style w:type="character" w:customStyle="1" w:styleId="98">
    <w:name w:val="nth-of-type(1)6"/>
    <w:basedOn w:val="28"/>
    <w:qFormat/>
    <w:uiPriority w:val="0"/>
  </w:style>
  <w:style w:type="character" w:customStyle="1" w:styleId="99">
    <w:name w:val="nth-of-type(1)7"/>
    <w:basedOn w:val="28"/>
    <w:qFormat/>
    <w:uiPriority w:val="0"/>
  </w:style>
  <w:style w:type="character" w:customStyle="1" w:styleId="100">
    <w:name w:val="nth-of-type(1)8"/>
    <w:basedOn w:val="28"/>
    <w:qFormat/>
    <w:uiPriority w:val="0"/>
  </w:style>
  <w:style w:type="character" w:customStyle="1" w:styleId="101">
    <w:name w:val="nth-of-type(1)9"/>
    <w:basedOn w:val="28"/>
    <w:qFormat/>
    <w:uiPriority w:val="0"/>
  </w:style>
  <w:style w:type="character" w:customStyle="1" w:styleId="102">
    <w:name w:val="nth-of-type(1)10"/>
    <w:basedOn w:val="28"/>
    <w:qFormat/>
    <w:uiPriority w:val="0"/>
    <w:rPr>
      <w:rFonts w:ascii="SourceHanSansCN-Regular" w:hAnsi="SourceHanSansCN-Regular" w:eastAsia="SourceHanSansCN-Regular" w:cs="SourceHanSansCN-Regular"/>
      <w:color w:val="FB560A"/>
      <w:sz w:val="21"/>
      <w:szCs w:val="21"/>
    </w:rPr>
  </w:style>
  <w:style w:type="character" w:customStyle="1" w:styleId="103">
    <w:name w:val="nth-of-type(1)11"/>
    <w:basedOn w:val="28"/>
    <w:qFormat/>
    <w:uiPriority w:val="0"/>
  </w:style>
  <w:style w:type="character" w:customStyle="1" w:styleId="104">
    <w:name w:val="nth-of-type(1)12"/>
    <w:basedOn w:val="28"/>
    <w:qFormat/>
    <w:uiPriority w:val="0"/>
  </w:style>
  <w:style w:type="character" w:customStyle="1" w:styleId="105">
    <w:name w:val="nth-of-type(1)13"/>
    <w:basedOn w:val="28"/>
    <w:qFormat/>
    <w:uiPriority w:val="0"/>
  </w:style>
  <w:style w:type="character" w:customStyle="1" w:styleId="106">
    <w:name w:val="nth-of-type(1)14"/>
    <w:basedOn w:val="28"/>
    <w:qFormat/>
    <w:uiPriority w:val="0"/>
  </w:style>
  <w:style w:type="character" w:customStyle="1" w:styleId="107">
    <w:name w:val="nth-of-type(1)15"/>
    <w:basedOn w:val="28"/>
    <w:qFormat/>
    <w:uiPriority w:val="0"/>
  </w:style>
  <w:style w:type="character" w:customStyle="1" w:styleId="108">
    <w:name w:val="nth-of-type(1)16"/>
    <w:basedOn w:val="28"/>
    <w:qFormat/>
    <w:uiPriority w:val="0"/>
  </w:style>
  <w:style w:type="character" w:customStyle="1" w:styleId="109">
    <w:name w:val="nth-of-type(1)17"/>
    <w:basedOn w:val="28"/>
    <w:qFormat/>
    <w:uiPriority w:val="0"/>
    <w:rPr>
      <w:sz w:val="21"/>
      <w:szCs w:val="21"/>
    </w:rPr>
  </w:style>
  <w:style w:type="character" w:customStyle="1" w:styleId="110">
    <w:name w:val="nth-of-type(1)18"/>
    <w:basedOn w:val="28"/>
    <w:qFormat/>
    <w:uiPriority w:val="0"/>
  </w:style>
  <w:style w:type="character" w:customStyle="1" w:styleId="111">
    <w:name w:val="first-child1"/>
    <w:basedOn w:val="28"/>
    <w:qFormat/>
    <w:uiPriority w:val="0"/>
  </w:style>
  <w:style w:type="character" w:customStyle="1" w:styleId="112">
    <w:name w:val="first-child2"/>
    <w:basedOn w:val="28"/>
    <w:qFormat/>
    <w:uiPriority w:val="0"/>
  </w:style>
  <w:style w:type="character" w:customStyle="1" w:styleId="113">
    <w:name w:val="first-child3"/>
    <w:basedOn w:val="28"/>
    <w:qFormat/>
    <w:uiPriority w:val="0"/>
  </w:style>
  <w:style w:type="character" w:customStyle="1" w:styleId="114">
    <w:name w:val="first-child4"/>
    <w:basedOn w:val="28"/>
    <w:qFormat/>
    <w:uiPriority w:val="0"/>
  </w:style>
  <w:style w:type="character" w:customStyle="1" w:styleId="115">
    <w:name w:val="nth-child(1)"/>
    <w:basedOn w:val="28"/>
    <w:qFormat/>
    <w:uiPriority w:val="0"/>
  </w:style>
  <w:style w:type="character" w:customStyle="1" w:styleId="116">
    <w:name w:val="nth-child(2)"/>
    <w:basedOn w:val="28"/>
    <w:qFormat/>
    <w:uiPriority w:val="0"/>
  </w:style>
  <w:style w:type="character" w:customStyle="1" w:styleId="117">
    <w:name w:val="nth-of-type(7)"/>
    <w:basedOn w:val="28"/>
    <w:qFormat/>
    <w:uiPriority w:val="0"/>
  </w:style>
  <w:style w:type="character" w:customStyle="1" w:styleId="118">
    <w:name w:val="nth-of-type(3)"/>
    <w:basedOn w:val="28"/>
    <w:qFormat/>
    <w:uiPriority w:val="0"/>
  </w:style>
  <w:style w:type="character" w:customStyle="1" w:styleId="119">
    <w:name w:val="nth-of-type(3)1"/>
    <w:basedOn w:val="28"/>
    <w:qFormat/>
    <w:uiPriority w:val="0"/>
  </w:style>
  <w:style w:type="character" w:customStyle="1" w:styleId="120">
    <w:name w:val="nth-of-type(3)2"/>
    <w:basedOn w:val="28"/>
    <w:qFormat/>
    <w:uiPriority w:val="0"/>
  </w:style>
  <w:style w:type="character" w:customStyle="1" w:styleId="121">
    <w:name w:val="nth-of-type(3)3"/>
    <w:basedOn w:val="28"/>
    <w:qFormat/>
    <w:uiPriority w:val="0"/>
  </w:style>
  <w:style w:type="character" w:customStyle="1" w:styleId="122">
    <w:name w:val="nth-of-type(3)4"/>
    <w:basedOn w:val="28"/>
    <w:qFormat/>
    <w:uiPriority w:val="0"/>
  </w:style>
  <w:style w:type="character" w:customStyle="1" w:styleId="123">
    <w:name w:val="nth-of-type(3)5"/>
    <w:basedOn w:val="28"/>
    <w:qFormat/>
    <w:uiPriority w:val="0"/>
  </w:style>
  <w:style w:type="character" w:customStyle="1" w:styleId="124">
    <w:name w:val="nth-of-type(3)6"/>
    <w:basedOn w:val="28"/>
    <w:qFormat/>
    <w:uiPriority w:val="0"/>
    <w:rPr>
      <w:sz w:val="21"/>
      <w:szCs w:val="21"/>
    </w:rPr>
  </w:style>
  <w:style w:type="character" w:customStyle="1" w:styleId="125">
    <w:name w:val="nth-of-type(3)7"/>
    <w:basedOn w:val="28"/>
    <w:qFormat/>
    <w:uiPriority w:val="0"/>
  </w:style>
  <w:style w:type="character" w:customStyle="1" w:styleId="126">
    <w:name w:val="nth-of-type(8)"/>
    <w:basedOn w:val="28"/>
    <w:qFormat/>
    <w:uiPriority w:val="0"/>
  </w:style>
  <w:style w:type="character" w:customStyle="1" w:styleId="127">
    <w:name w:val="layui-laypage-curr"/>
    <w:basedOn w:val="28"/>
    <w:qFormat/>
    <w:uiPriority w:val="0"/>
  </w:style>
  <w:style w:type="character" w:customStyle="1" w:styleId="128">
    <w:name w:val="nth-of-type(9)"/>
    <w:basedOn w:val="28"/>
    <w:qFormat/>
    <w:uiPriority w:val="0"/>
  </w:style>
  <w:style w:type="character" w:customStyle="1" w:styleId="129">
    <w:name w:val="titleshow"/>
    <w:basedOn w:val="28"/>
    <w:qFormat/>
    <w:uiPriority w:val="0"/>
    <w:rPr>
      <w:color w:val="3E464C"/>
    </w:rPr>
  </w:style>
  <w:style w:type="character" w:customStyle="1" w:styleId="130">
    <w:name w:val="hover25"/>
    <w:basedOn w:val="28"/>
    <w:qFormat/>
    <w:uiPriority w:val="0"/>
    <w:rPr>
      <w:color w:val="167AE0"/>
    </w:rPr>
  </w:style>
  <w:style w:type="character" w:customStyle="1" w:styleId="131">
    <w:name w:val="hover26"/>
    <w:basedOn w:val="28"/>
    <w:qFormat/>
    <w:uiPriority w:val="0"/>
  </w:style>
  <w:style w:type="character" w:customStyle="1" w:styleId="132">
    <w:name w:val="layui-this3"/>
    <w:basedOn w:val="28"/>
    <w:qFormat/>
    <w:uiPriority w:val="0"/>
    <w:rPr>
      <w:bdr w:val="single" w:color="EEEEEE" w:sz="6" w:space="0"/>
      <w:shd w:val="clear" w:color="auto" w:fill="FFFFFF"/>
    </w:rPr>
  </w:style>
  <w:style w:type="character" w:customStyle="1" w:styleId="133">
    <w:name w:val="before"/>
    <w:basedOn w:val="28"/>
    <w:qFormat/>
    <w:uiPriority w:val="0"/>
    <w:rPr>
      <w:shd w:val="clear" w:color="auto" w:fill="C20E0C"/>
    </w:rPr>
  </w:style>
  <w:style w:type="character" w:customStyle="1" w:styleId="134">
    <w:name w:val="nth-of-type(6)1"/>
    <w:basedOn w:val="28"/>
    <w:qFormat/>
    <w:uiPriority w:val="0"/>
  </w:style>
  <w:style w:type="character" w:customStyle="1" w:styleId="135">
    <w:name w:val="nth-of-type(6)2"/>
    <w:basedOn w:val="28"/>
    <w:qFormat/>
    <w:uiPriority w:val="0"/>
  </w:style>
  <w:style w:type="character" w:customStyle="1" w:styleId="136">
    <w:name w:val="nth-of-type(6)3"/>
    <w:basedOn w:val="28"/>
    <w:qFormat/>
    <w:uiPriority w:val="0"/>
    <w:rPr>
      <w:color w:val="0082DF"/>
    </w:rPr>
  </w:style>
  <w:style w:type="character" w:customStyle="1" w:styleId="137">
    <w:name w:val="nth-of-type(6)4"/>
    <w:basedOn w:val="28"/>
    <w:qFormat/>
    <w:uiPriority w:val="0"/>
  </w:style>
  <w:style w:type="character" w:customStyle="1" w:styleId="138">
    <w:name w:val="nth-of-type(6)5"/>
    <w:basedOn w:val="28"/>
    <w:qFormat/>
    <w:uiPriority w:val="0"/>
  </w:style>
  <w:style w:type="character" w:customStyle="1" w:styleId="139">
    <w:name w:val="last-child3"/>
    <w:basedOn w:val="28"/>
    <w:qFormat/>
    <w:uiPriority w:val="0"/>
  </w:style>
  <w:style w:type="character" w:customStyle="1" w:styleId="140">
    <w:name w:val="nth-of-type(4)1"/>
    <w:basedOn w:val="28"/>
    <w:qFormat/>
    <w:uiPriority w:val="0"/>
  </w:style>
  <w:style w:type="character" w:customStyle="1" w:styleId="141">
    <w:name w:val="nth-of-type(4)2"/>
    <w:basedOn w:val="28"/>
    <w:qFormat/>
    <w:uiPriority w:val="0"/>
  </w:style>
  <w:style w:type="character" w:customStyle="1" w:styleId="142">
    <w:name w:val="nth-of-type(4)3"/>
    <w:basedOn w:val="28"/>
    <w:qFormat/>
    <w:uiPriority w:val="0"/>
  </w:style>
  <w:style w:type="character" w:customStyle="1" w:styleId="143">
    <w:name w:val="nth-of-type(4)4"/>
    <w:basedOn w:val="28"/>
    <w:qFormat/>
    <w:uiPriority w:val="0"/>
  </w:style>
  <w:style w:type="character" w:customStyle="1" w:styleId="144">
    <w:name w:val="nth-of-type(4)5"/>
    <w:basedOn w:val="28"/>
    <w:qFormat/>
    <w:uiPriority w:val="0"/>
  </w:style>
  <w:style w:type="character" w:customStyle="1" w:styleId="145">
    <w:name w:val="nth-of-type(4)6"/>
    <w:basedOn w:val="28"/>
    <w:qFormat/>
    <w:uiPriority w:val="0"/>
  </w:style>
  <w:style w:type="character" w:customStyle="1" w:styleId="146">
    <w:name w:val="nth-of-type(4)7"/>
    <w:basedOn w:val="28"/>
    <w:qFormat/>
    <w:uiPriority w:val="0"/>
    <w:rPr>
      <w:sz w:val="21"/>
      <w:szCs w:val="21"/>
    </w:rPr>
  </w:style>
  <w:style w:type="character" w:customStyle="1" w:styleId="147">
    <w:name w:val="nth-of-type(4)8"/>
    <w:basedOn w:val="28"/>
    <w:qFormat/>
    <w:uiPriority w:val="0"/>
  </w:style>
  <w:style w:type="character" w:customStyle="1" w:styleId="148">
    <w:name w:val="nth-of-type(5)1"/>
    <w:basedOn w:val="28"/>
    <w:qFormat/>
    <w:uiPriority w:val="0"/>
  </w:style>
  <w:style w:type="character" w:customStyle="1" w:styleId="149">
    <w:name w:val="nth-of-type(5)2"/>
    <w:basedOn w:val="28"/>
    <w:qFormat/>
    <w:uiPriority w:val="0"/>
  </w:style>
  <w:style w:type="character" w:customStyle="1" w:styleId="150">
    <w:name w:val="nth-of-type(5)3"/>
    <w:basedOn w:val="28"/>
    <w:qFormat/>
    <w:uiPriority w:val="0"/>
  </w:style>
  <w:style w:type="character" w:customStyle="1" w:styleId="151">
    <w:name w:val="nth-of-type(5)4"/>
    <w:basedOn w:val="28"/>
    <w:qFormat/>
    <w:uiPriority w:val="0"/>
  </w:style>
  <w:style w:type="character" w:customStyle="1" w:styleId="152">
    <w:name w:val="nth-of-type(5)5"/>
    <w:basedOn w:val="28"/>
    <w:qFormat/>
    <w:uiPriority w:val="0"/>
    <w:rPr>
      <w:sz w:val="21"/>
      <w:szCs w:val="21"/>
    </w:rPr>
  </w:style>
  <w:style w:type="character" w:customStyle="1" w:styleId="153">
    <w:name w:val="nth-of-type(5)6"/>
    <w:basedOn w:val="28"/>
    <w:qFormat/>
    <w:uiPriority w:val="0"/>
  </w:style>
  <w:style w:type="character" w:customStyle="1" w:styleId="154">
    <w:name w:val="nth-of-type(7)1"/>
    <w:basedOn w:val="28"/>
    <w:qFormat/>
    <w:uiPriority w:val="0"/>
  </w:style>
  <w:style w:type="character" w:customStyle="1" w:styleId="155">
    <w:name w:val="nth-of-type(7)2"/>
    <w:basedOn w:val="28"/>
    <w:qFormat/>
    <w:uiPriority w:val="0"/>
  </w:style>
  <w:style w:type="character" w:customStyle="1" w:styleId="156">
    <w:name w:val="first-child"/>
    <w:basedOn w:val="28"/>
    <w:qFormat/>
    <w:uiPriority w:val="0"/>
  </w:style>
  <w:style w:type="character" w:customStyle="1" w:styleId="157">
    <w:name w:val="layui-this4"/>
    <w:basedOn w:val="28"/>
    <w:qFormat/>
    <w:uiPriority w:val="0"/>
    <w:rPr>
      <w:bdr w:val="single" w:color="EEEEEE" w:sz="6" w:space="0"/>
      <w:shd w:val="clear" w:color="auto" w:fill="FFFFFF"/>
    </w:rPr>
  </w:style>
  <w:style w:type="character" w:customStyle="1" w:styleId="158">
    <w:name w:val="hover24"/>
    <w:basedOn w:val="28"/>
    <w:qFormat/>
    <w:uiPriority w:val="0"/>
    <w:rPr>
      <w:color w:val="167AE0"/>
    </w:rPr>
  </w:style>
  <w:style w:type="paragraph" w:customStyle="1" w:styleId="15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160">
    <w:name w:val="目录"/>
    <w:basedOn w:val="1"/>
    <w:qFormat/>
    <w:uiPriority w:val="99"/>
    <w:pPr>
      <w:widowControl/>
      <w:jc w:val="center"/>
    </w:pPr>
    <w:rPr>
      <w:rFonts w:ascii="宋体"/>
      <w:b/>
      <w:kern w:val="0"/>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95</Pages>
  <Words>48677</Words>
  <Characters>51845</Characters>
  <Lines>458</Lines>
  <Paragraphs>129</Paragraphs>
  <TotalTime>18</TotalTime>
  <ScaleCrop>false</ScaleCrop>
  <LinksUpToDate>false</LinksUpToDate>
  <CharactersWithSpaces>54902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2016-04-15T01:07:00Z</dcterms:created>
  <dc:creator>GZB</dc:creator>
  <cp:lastModifiedBy>北海朝南</cp:lastModifiedBy>
  <cp:lastPrinted>2023-04-21T01:10:00Z</cp:lastPrinted>
  <dcterms:modified xsi:type="dcterms:W3CDTF">2023-06-09T08:58:40Z</dcterms:modified>
  <dc:title>招标编号：xxx政采招[20xxx] xxx号</dc:title>
  <cp:revision>1296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45DDF4E5033A45D597F6373BC06D9767_13</vt:lpwstr>
  </property>
</Properties>
</file>