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sz w:val="36"/>
        </w:rPr>
      </w:pPr>
      <w:r>
        <w:rPr>
          <w:rFonts w:hint="eastAsia" w:hAnsi="宋体" w:cs="宋体"/>
          <w:b/>
          <w:bCs/>
          <w:sz w:val="32"/>
          <w:szCs w:val="32"/>
        </w:rPr>
        <w:t>项目编号：HRC-ZBDL-2023-00522</w:t>
      </w:r>
    </w:p>
    <w:p>
      <w:pPr>
        <w:rPr>
          <w:rFonts w:hAnsi="宋体" w:cs="宋体"/>
          <w:b/>
          <w:sz w:val="36"/>
        </w:rPr>
      </w:pPr>
      <w:r>
        <w:rPr>
          <w:rFonts w:hint="eastAsia" w:hAnsi="宋体" w:cs="宋体"/>
          <w:b/>
          <w:sz w:val="36"/>
        </w:rPr>
        <w:t xml:space="preserve"> </w:t>
      </w:r>
    </w:p>
    <w:p>
      <w:pPr>
        <w:jc w:val="center"/>
        <w:rPr>
          <w:rFonts w:hAnsi="宋体" w:cs="宋体"/>
          <w:b/>
          <w:bCs/>
          <w:sz w:val="56"/>
          <w:szCs w:val="56"/>
        </w:rPr>
      </w:pPr>
      <w:r>
        <w:rPr>
          <w:rFonts w:hint="eastAsia" w:hAnsi="宋体" w:cs="宋体"/>
          <w:b/>
          <w:bCs/>
          <w:sz w:val="56"/>
          <w:szCs w:val="56"/>
        </w:rPr>
        <w:t>2023年陕西省国家水资源监控一期监测站运行维护</w:t>
      </w:r>
    </w:p>
    <w:p>
      <w:pPr>
        <w:jc w:val="center"/>
        <w:rPr>
          <w:rFonts w:hAnsi="宋体" w:cs="宋体"/>
          <w:b/>
          <w:sz w:val="36"/>
          <w:szCs w:val="36"/>
        </w:rPr>
      </w:pPr>
    </w:p>
    <w:p>
      <w:pPr>
        <w:jc w:val="center"/>
        <w:rPr>
          <w:rFonts w:hAnsi="宋体" w:cs="宋体"/>
          <w:b/>
          <w:sz w:val="36"/>
          <w:szCs w:val="36"/>
        </w:rPr>
      </w:pPr>
    </w:p>
    <w:p>
      <w:pPr>
        <w:pStyle w:val="84"/>
        <w:ind w:firstLine="1928"/>
        <w:rPr>
          <w:rFonts w:hAnsi="宋体" w:cs="宋体"/>
          <w:b/>
          <w:sz w:val="96"/>
          <w:szCs w:val="96"/>
        </w:rPr>
      </w:pPr>
    </w:p>
    <w:p>
      <w:pPr>
        <w:pStyle w:val="84"/>
        <w:ind w:firstLine="3132" w:firstLineChars="600"/>
        <w:rPr>
          <w:rFonts w:hAnsi="宋体" w:cs="宋体"/>
          <w:b/>
          <w:sz w:val="52"/>
          <w:szCs w:val="52"/>
        </w:rPr>
      </w:pPr>
      <w:ins w:id="3" w:author="高凌" w:date="2023-05-12T10:46:00Z">
        <w:r>
          <w:rPr>
            <w:rFonts w:hint="eastAsia" w:hAnsi="宋体" w:cs="宋体"/>
            <w:b/>
            <w:sz w:val="52"/>
            <w:szCs w:val="52"/>
          </w:rPr>
          <w:t>（合同包1）</w:t>
        </w:r>
      </w:ins>
    </w:p>
    <w:p>
      <w:pPr>
        <w:spacing w:line="780" w:lineRule="auto"/>
        <w:jc w:val="center"/>
        <w:rPr>
          <w:rFonts w:hAnsi="宋体" w:cs="宋体"/>
          <w:b/>
          <w:sz w:val="56"/>
          <w:szCs w:val="56"/>
        </w:rPr>
      </w:pPr>
      <w:r>
        <w:rPr>
          <w:rFonts w:hint="eastAsia" w:hAnsi="宋体" w:cs="宋体"/>
          <w:b/>
          <w:sz w:val="56"/>
          <w:szCs w:val="56"/>
        </w:rPr>
        <w:t>竞争性磋商文件</w:t>
      </w:r>
    </w:p>
    <w:p>
      <w:pPr>
        <w:rPr>
          <w:rFonts w:hAnsi="宋体" w:cs="宋体"/>
        </w:rPr>
      </w:pPr>
      <w:bookmarkStart w:id="0" w:name="_Toc363463325"/>
    </w:p>
    <w:p>
      <w:pPr>
        <w:rPr>
          <w:rFonts w:hAnsi="宋体" w:cs="宋体"/>
        </w:rPr>
      </w:pPr>
    </w:p>
    <w:bookmarkEnd w:id="0"/>
    <w:p>
      <w:pPr>
        <w:pStyle w:val="84"/>
        <w:ind w:firstLine="0" w:firstLineChars="0"/>
        <w:rPr>
          <w:rFonts w:hAnsi="宋体" w:cs="宋体"/>
          <w:b/>
          <w:sz w:val="36"/>
          <w:szCs w:val="36"/>
        </w:rPr>
      </w:pPr>
    </w:p>
    <w:p>
      <w:pPr>
        <w:rPr>
          <w:rFonts w:hAnsi="宋体" w:cs="宋体"/>
          <w:sz w:val="18"/>
          <w:szCs w:val="18"/>
        </w:rPr>
      </w:pPr>
    </w:p>
    <w:p>
      <w:pPr>
        <w:rPr>
          <w:rFonts w:hAnsi="宋体" w:cs="宋体"/>
          <w:sz w:val="18"/>
          <w:szCs w:val="18"/>
        </w:rPr>
      </w:pPr>
    </w:p>
    <w:p>
      <w:pPr>
        <w:jc w:val="center"/>
        <w:rPr>
          <w:rFonts w:hAnsi="宋体" w:cs="宋体"/>
          <w:b/>
          <w:bCs/>
          <w:sz w:val="32"/>
          <w:szCs w:val="32"/>
        </w:rPr>
      </w:pPr>
    </w:p>
    <w:p>
      <w:pPr>
        <w:jc w:val="center"/>
        <w:rPr>
          <w:rFonts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jc w:val="center"/>
        <w:rPr>
          <w:rFonts w:hAnsi="宋体" w:cs="宋体"/>
          <w:b/>
          <w:bCs/>
          <w:sz w:val="36"/>
          <w:szCs w:val="36"/>
        </w:rPr>
      </w:pPr>
      <w:r>
        <w:rPr>
          <w:rFonts w:hint="eastAsia" w:hAnsi="宋体" w:cs="宋体"/>
          <w:b/>
          <w:bCs/>
          <w:sz w:val="36"/>
          <w:szCs w:val="36"/>
        </w:rPr>
        <w:t>华睿诚项目管理有限公司</w:t>
      </w:r>
    </w:p>
    <w:p>
      <w:pPr>
        <w:jc w:val="center"/>
        <w:rPr>
          <w:rFonts w:hAnsi="宋体" w:cs="宋体"/>
          <w:b/>
          <w:bCs/>
          <w:sz w:val="36"/>
          <w:szCs w:val="36"/>
        </w:rPr>
      </w:pPr>
      <w:r>
        <w:rPr>
          <w:rFonts w:hint="eastAsia" w:hAnsi="宋体" w:cs="宋体"/>
          <w:b/>
          <w:bCs/>
          <w:sz w:val="36"/>
          <w:szCs w:val="36"/>
        </w:rPr>
        <w:t>二零二三年五月</w:t>
      </w:r>
    </w:p>
    <w:p>
      <w:pPr>
        <w:jc w:val="center"/>
        <w:rPr>
          <w:rFonts w:hAnsi="宋体" w:cs="宋体"/>
          <w:b/>
          <w:sz w:val="44"/>
          <w:szCs w:val="44"/>
        </w:rPr>
        <w:sectPr>
          <w:footerReference r:id="rId3" w:type="default"/>
          <w:pgSz w:w="11906" w:h="16838"/>
          <w:pgMar w:top="1418" w:right="1418" w:bottom="1418" w:left="1417" w:header="851" w:footer="992" w:gutter="0"/>
          <w:pgNumType w:start="1"/>
          <w:cols w:space="720" w:num="1"/>
          <w:docGrid w:type="lines" w:linePitch="312" w:charSpace="0"/>
        </w:sectPr>
      </w:pPr>
    </w:p>
    <w:p>
      <w:pPr>
        <w:jc w:val="center"/>
        <w:rPr>
          <w:rFonts w:hAnsi="宋体" w:cs="宋体"/>
          <w:b/>
          <w:sz w:val="44"/>
          <w:szCs w:val="44"/>
        </w:rPr>
      </w:pPr>
      <w:r>
        <w:rPr>
          <w:rFonts w:hint="eastAsia" w:hAnsi="宋体" w:cs="宋体"/>
          <w:b/>
          <w:sz w:val="44"/>
          <w:szCs w:val="44"/>
        </w:rPr>
        <w:t>目  录</w:t>
      </w:r>
    </w:p>
    <w:p>
      <w:pPr>
        <w:pStyle w:val="29"/>
        <w:tabs>
          <w:tab w:val="right" w:leader="middleDot" w:pos="8787"/>
        </w:tabs>
        <w:spacing w:line="600" w:lineRule="auto"/>
        <w:rPr>
          <w:rFonts w:hAnsi="宋体" w:cs="宋体"/>
          <w:sz w:val="28"/>
          <w:szCs w:val="21"/>
        </w:rPr>
      </w:pPr>
      <w:bookmarkStart w:id="1" w:name="_Toc20652"/>
      <w:bookmarkStart w:id="2" w:name="_Toc5293"/>
      <w:bookmarkStart w:id="3" w:name="_Toc16218"/>
      <w:bookmarkStart w:id="4" w:name="_Toc19886"/>
      <w:bookmarkStart w:id="5" w:name="_Toc20858"/>
      <w:bookmarkStart w:id="6" w:name="_Toc389582033"/>
      <w:bookmarkStart w:id="7" w:name="_Toc21518"/>
      <w:bookmarkStart w:id="8" w:name="_Toc27420"/>
      <w:bookmarkStart w:id="9" w:name="_Toc363473971"/>
      <w:bookmarkStart w:id="10" w:name="_Toc403077638"/>
      <w:bookmarkStart w:id="11" w:name="_Toc363474016"/>
    </w:p>
    <w:p>
      <w:pPr>
        <w:pStyle w:val="29"/>
        <w:tabs>
          <w:tab w:val="right" w:leader="middleDot" w:pos="8787"/>
        </w:tabs>
        <w:spacing w:line="600" w:lineRule="auto"/>
        <w:rPr>
          <w:sz w:val="28"/>
          <w:szCs w:val="21"/>
        </w:rPr>
      </w:pPr>
      <w:r>
        <w:rPr>
          <w:rFonts w:hint="eastAsia" w:hAnsi="宋体" w:cs="宋体"/>
          <w:sz w:val="28"/>
          <w:szCs w:val="21"/>
        </w:rPr>
        <w:fldChar w:fldCharType="begin"/>
      </w:r>
      <w:r>
        <w:rPr>
          <w:rFonts w:hint="eastAsia" w:hAnsi="宋体" w:cs="宋体"/>
          <w:sz w:val="28"/>
          <w:szCs w:val="21"/>
        </w:rPr>
        <w:instrText xml:space="preserve">TOC \o "1-1" \h \u </w:instrText>
      </w:r>
      <w:r>
        <w:rPr>
          <w:rFonts w:hint="eastAsia" w:hAnsi="宋体" w:cs="宋体"/>
          <w:sz w:val="28"/>
          <w:szCs w:val="21"/>
        </w:rPr>
        <w:fldChar w:fldCharType="separate"/>
      </w:r>
      <w:r>
        <w:fldChar w:fldCharType="begin"/>
      </w:r>
      <w:r>
        <w:instrText xml:space="preserve"> HYPERLINK \l "_Toc31143" </w:instrText>
      </w:r>
      <w:r>
        <w:fldChar w:fldCharType="separate"/>
      </w:r>
      <w:r>
        <w:rPr>
          <w:rFonts w:hint="eastAsia" w:hAnsi="宋体" w:cs="宋体"/>
          <w:bCs/>
          <w:sz w:val="28"/>
          <w:szCs w:val="40"/>
        </w:rPr>
        <w:t>第一章  竞争性磋商公告</w:t>
      </w:r>
      <w:r>
        <w:rPr>
          <w:sz w:val="22"/>
          <w:szCs w:val="22"/>
        </w:rPr>
        <w:tab/>
      </w:r>
      <w:r>
        <w:rPr>
          <w:sz w:val="28"/>
          <w:szCs w:val="21"/>
        </w:rPr>
        <w:fldChar w:fldCharType="begin"/>
      </w:r>
      <w:r>
        <w:rPr>
          <w:sz w:val="28"/>
          <w:szCs w:val="21"/>
        </w:rPr>
        <w:instrText xml:space="preserve"> PAGEREF _Toc31143 \h </w:instrText>
      </w:r>
      <w:r>
        <w:rPr>
          <w:sz w:val="28"/>
          <w:szCs w:val="21"/>
        </w:rPr>
        <w:fldChar w:fldCharType="separate"/>
      </w:r>
      <w:r>
        <w:rPr>
          <w:sz w:val="28"/>
          <w:szCs w:val="21"/>
        </w:rPr>
        <w:t>1</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"_Toc14912" </w:instrText>
      </w:r>
      <w:r>
        <w:fldChar w:fldCharType="separate"/>
      </w:r>
      <w:r>
        <w:rPr>
          <w:rFonts w:hint="eastAsia" w:hAnsi="宋体" w:cs="宋体"/>
          <w:sz w:val="28"/>
          <w:szCs w:val="40"/>
        </w:rPr>
        <w:t>第二章  供应商须知</w:t>
      </w:r>
      <w:r>
        <w:rPr>
          <w:sz w:val="22"/>
          <w:szCs w:val="22"/>
        </w:rPr>
        <w:tab/>
      </w:r>
      <w:r>
        <w:rPr>
          <w:sz w:val="28"/>
          <w:szCs w:val="21"/>
        </w:rPr>
        <w:fldChar w:fldCharType="begin"/>
      </w:r>
      <w:r>
        <w:rPr>
          <w:sz w:val="28"/>
          <w:szCs w:val="21"/>
        </w:rPr>
        <w:instrText xml:space="preserve"> PAGEREF _Toc14912 \h </w:instrText>
      </w:r>
      <w:r>
        <w:rPr>
          <w:sz w:val="28"/>
          <w:szCs w:val="21"/>
        </w:rPr>
        <w:fldChar w:fldCharType="separate"/>
      </w:r>
      <w:r>
        <w:rPr>
          <w:sz w:val="28"/>
          <w:szCs w:val="21"/>
        </w:rPr>
        <w:t>4</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"_Toc25051" </w:instrText>
      </w:r>
      <w:r>
        <w:fldChar w:fldCharType="separate"/>
      </w:r>
      <w:r>
        <w:rPr>
          <w:rFonts w:hint="eastAsia" w:hAnsi="宋体" w:cs="宋体"/>
          <w:bCs/>
          <w:sz w:val="28"/>
          <w:szCs w:val="40"/>
        </w:rPr>
        <w:t>第三章  合同格式</w:t>
      </w:r>
      <w:r>
        <w:rPr>
          <w:sz w:val="22"/>
          <w:szCs w:val="22"/>
        </w:rPr>
        <w:tab/>
      </w:r>
      <w:r>
        <w:rPr>
          <w:sz w:val="28"/>
          <w:szCs w:val="21"/>
        </w:rPr>
        <w:fldChar w:fldCharType="begin"/>
      </w:r>
      <w:r>
        <w:rPr>
          <w:sz w:val="28"/>
          <w:szCs w:val="21"/>
        </w:rPr>
        <w:instrText xml:space="preserve"> PAGEREF _Toc25051 \h </w:instrText>
      </w:r>
      <w:r>
        <w:rPr>
          <w:sz w:val="28"/>
          <w:szCs w:val="21"/>
        </w:rPr>
        <w:fldChar w:fldCharType="separate"/>
      </w:r>
      <w:r>
        <w:rPr>
          <w:sz w:val="28"/>
          <w:szCs w:val="21"/>
        </w:rPr>
        <w:t>21</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"_Toc15435" </w:instrText>
      </w:r>
      <w:r>
        <w:fldChar w:fldCharType="separate"/>
      </w:r>
      <w:r>
        <w:rPr>
          <w:rFonts w:hint="eastAsia" w:hAnsi="宋体" w:cs="宋体"/>
          <w:sz w:val="28"/>
          <w:szCs w:val="22"/>
        </w:rPr>
        <w:t>第四章  采购内容及要求</w:t>
      </w:r>
      <w:r>
        <w:rPr>
          <w:sz w:val="22"/>
          <w:szCs w:val="22"/>
        </w:rPr>
        <w:tab/>
      </w:r>
      <w:r>
        <w:rPr>
          <w:sz w:val="28"/>
          <w:szCs w:val="21"/>
        </w:rPr>
        <w:fldChar w:fldCharType="begin"/>
      </w:r>
      <w:r>
        <w:rPr>
          <w:sz w:val="28"/>
          <w:szCs w:val="21"/>
        </w:rPr>
        <w:instrText xml:space="preserve"> PAGEREF _Toc15435 \h </w:instrText>
      </w:r>
      <w:r>
        <w:rPr>
          <w:sz w:val="28"/>
          <w:szCs w:val="21"/>
        </w:rPr>
        <w:fldChar w:fldCharType="separate"/>
      </w:r>
      <w:r>
        <w:rPr>
          <w:sz w:val="28"/>
          <w:szCs w:val="21"/>
        </w:rPr>
        <w:t>25</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"_Toc20707" </w:instrText>
      </w:r>
      <w:r>
        <w:fldChar w:fldCharType="separate"/>
      </w:r>
      <w:r>
        <w:rPr>
          <w:rFonts w:hint="eastAsia" w:hAnsi="宋体" w:cs="宋体"/>
          <w:bCs/>
          <w:sz w:val="28"/>
          <w:szCs w:val="40"/>
        </w:rPr>
        <w:t>第五章  评审方法</w:t>
      </w:r>
      <w:r>
        <w:rPr>
          <w:sz w:val="22"/>
          <w:szCs w:val="22"/>
        </w:rPr>
        <w:tab/>
      </w:r>
      <w:r>
        <w:rPr>
          <w:sz w:val="28"/>
          <w:szCs w:val="21"/>
        </w:rPr>
        <w:fldChar w:fldCharType="begin"/>
      </w:r>
      <w:r>
        <w:rPr>
          <w:sz w:val="28"/>
          <w:szCs w:val="21"/>
        </w:rPr>
        <w:instrText xml:space="preserve"> PAGEREF _Toc20707 \h </w:instrText>
      </w:r>
      <w:r>
        <w:rPr>
          <w:sz w:val="28"/>
          <w:szCs w:val="21"/>
        </w:rPr>
        <w:fldChar w:fldCharType="separate"/>
      </w:r>
      <w:r>
        <w:rPr>
          <w:sz w:val="28"/>
          <w:szCs w:val="21"/>
        </w:rPr>
        <w:t>41</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"_Toc8271" </w:instrText>
      </w:r>
      <w:r>
        <w:fldChar w:fldCharType="separate"/>
      </w:r>
      <w:r>
        <w:rPr>
          <w:rFonts w:hint="eastAsia" w:hAnsi="宋体" w:cs="宋体"/>
          <w:bCs/>
          <w:sz w:val="28"/>
          <w:szCs w:val="40"/>
        </w:rPr>
        <w:t>第六章 竞争性磋商响应文件格式</w:t>
      </w:r>
      <w:r>
        <w:rPr>
          <w:sz w:val="22"/>
          <w:szCs w:val="22"/>
        </w:rPr>
        <w:tab/>
      </w:r>
      <w:r>
        <w:rPr>
          <w:sz w:val="28"/>
          <w:szCs w:val="21"/>
        </w:rPr>
        <w:fldChar w:fldCharType="begin"/>
      </w:r>
      <w:r>
        <w:rPr>
          <w:sz w:val="28"/>
          <w:szCs w:val="21"/>
        </w:rPr>
        <w:instrText xml:space="preserve"> PAGEREF _Toc8271 \h </w:instrText>
      </w:r>
      <w:r>
        <w:rPr>
          <w:sz w:val="28"/>
          <w:szCs w:val="21"/>
        </w:rPr>
        <w:fldChar w:fldCharType="separate"/>
      </w:r>
      <w:r>
        <w:rPr>
          <w:sz w:val="28"/>
          <w:szCs w:val="21"/>
        </w:rPr>
        <w:t>45</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p>
    <w:p>
      <w:pPr>
        <w:spacing w:line="600" w:lineRule="auto"/>
        <w:rPr>
          <w:rFonts w:hAnsi="宋体" w:cs="宋体"/>
        </w:rPr>
      </w:pPr>
      <w:r>
        <w:rPr>
          <w:rFonts w:hint="eastAsia" w:hAnsi="宋体" w:cs="宋体"/>
          <w:sz w:val="28"/>
          <w:szCs w:val="21"/>
        </w:rPr>
        <w:fldChar w:fldCharType="end"/>
      </w:r>
    </w:p>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rPr>
          <w:ins w:id="4" w:author="高凌" w:date="2023-05-12T10:45:00Z"/>
          <w:rFonts w:hAnsi="宋体" w:cs="宋体"/>
        </w:rPr>
      </w:pPr>
    </w:p>
    <w:p>
      <w:pPr>
        <w:pStyle w:val="2"/>
        <w:rPr>
          <w:ins w:id="5" w:author="高凌" w:date="2023-05-12T10:45:00Z"/>
          <w:rFonts w:hAnsi="宋体" w:cs="宋体"/>
        </w:rPr>
      </w:pPr>
    </w:p>
    <w:p>
      <w:pPr>
        <w:pStyle w:val="2"/>
        <w:rPr>
          <w:ins w:id="6" w:author="高凌" w:date="2023-05-12T10:45:00Z"/>
          <w:rFonts w:hAnsi="宋体" w:cs="宋体"/>
        </w:rPr>
      </w:pPr>
    </w:p>
    <w:p>
      <w:pPr>
        <w:pStyle w:val="2"/>
        <w:rPr>
          <w:ins w:id="7" w:author="高凌" w:date="2023-05-12T10:45:00Z"/>
          <w:rFonts w:hAnsi="宋体" w:cs="宋体"/>
        </w:rPr>
      </w:pPr>
    </w:p>
    <w:p>
      <w:pPr>
        <w:pStyle w:val="2"/>
        <w:rPr>
          <w:ins w:id="8" w:author="高凌" w:date="2023-05-12T10:45:00Z"/>
          <w:rFonts w:hAnsi="宋体" w:cs="宋体"/>
        </w:rPr>
      </w:pPr>
    </w:p>
    <w:p>
      <w:pPr>
        <w:pStyle w:val="2"/>
        <w:rPr>
          <w:ins w:id="9" w:author="高凌" w:date="2023-05-12T10:45:00Z"/>
          <w:rFonts w:hAnsi="宋体" w:cs="宋体"/>
        </w:rPr>
      </w:pPr>
    </w:p>
    <w:p>
      <w:pPr>
        <w:pStyle w:val="2"/>
        <w:rPr>
          <w:ins w:id="10" w:author="高凌" w:date="2023-05-12T10:45:00Z"/>
          <w:rFonts w:hAnsi="宋体" w:cs="宋体"/>
        </w:rPr>
      </w:pPr>
    </w:p>
    <w:p>
      <w:pPr>
        <w:pStyle w:val="2"/>
        <w:rPr>
          <w:ins w:id="11" w:author="高凌" w:date="2023-05-12T10:45:00Z"/>
          <w:rFonts w:hAnsi="宋体" w:cs="宋体"/>
        </w:rPr>
      </w:pPr>
    </w:p>
    <w:p>
      <w:pPr>
        <w:pStyle w:val="2"/>
        <w:rPr>
          <w:ins w:id="12" w:author="高凌" w:date="2023-05-12T10:45:00Z"/>
          <w:rFonts w:hAnsi="宋体" w:cs="宋体"/>
        </w:rPr>
      </w:pPr>
    </w:p>
    <w:p>
      <w:pPr>
        <w:pStyle w:val="2"/>
        <w:rPr>
          <w:ins w:id="13" w:author="高凌" w:date="2023-05-12T10:45:00Z"/>
          <w:rFonts w:hAnsi="宋体" w:cs="宋体"/>
        </w:rPr>
      </w:pPr>
    </w:p>
    <w:p>
      <w:pPr>
        <w:pStyle w:val="2"/>
        <w:rPr>
          <w:ins w:id="14" w:author="高凌" w:date="2023-05-12T10:45:00Z"/>
          <w:rFonts w:hAnsi="宋体" w:cs="宋体"/>
        </w:rPr>
      </w:pPr>
    </w:p>
    <w:p>
      <w:pPr>
        <w:pStyle w:val="2"/>
        <w:rPr>
          <w:ins w:id="15" w:author="高凌" w:date="2023-05-12T10:45:00Z"/>
          <w:rFonts w:hAnsi="宋体" w:cs="宋体"/>
        </w:rPr>
      </w:pPr>
    </w:p>
    <w:p>
      <w:pPr>
        <w:pStyle w:val="2"/>
        <w:rPr>
          <w:ins w:id="16" w:author="高凌" w:date="2023-05-12T10:45:00Z"/>
          <w:rFonts w:hAnsi="宋体" w:cs="宋体"/>
        </w:rPr>
      </w:pPr>
    </w:p>
    <w:p>
      <w:pPr>
        <w:pStyle w:val="2"/>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pStyle w:val="3"/>
        <w:spacing w:beforeLines="50" w:afterLines="50"/>
        <w:jc w:val="center"/>
        <w:rPr>
          <w:rFonts w:cs="宋体"/>
          <w:b/>
          <w:bCs/>
          <w:color w:val="333333"/>
        </w:rPr>
      </w:pPr>
      <w:bookmarkStart w:id="12" w:name="_Toc26860"/>
      <w:bookmarkStart w:id="13" w:name="_Toc26683"/>
      <w:bookmarkStart w:id="14" w:name="_Toc31143"/>
      <w:bookmarkStart w:id="15" w:name="_Toc423973071"/>
      <w:r>
        <w:rPr>
          <w:rFonts w:hint="eastAsia" w:ascii="宋体" w:eastAsia="宋体" w:cs="宋体"/>
          <w:bCs/>
          <w:sz w:val="36"/>
          <w:szCs w:val="36"/>
        </w:rPr>
        <w:t xml:space="preserve">第一章  </w:t>
      </w:r>
      <w:bookmarkEnd w:id="1"/>
      <w:bookmarkEnd w:id="2"/>
      <w:bookmarkEnd w:id="3"/>
      <w:bookmarkEnd w:id="4"/>
      <w:bookmarkEnd w:id="5"/>
      <w:bookmarkEnd w:id="6"/>
      <w:bookmarkEnd w:id="7"/>
      <w:r>
        <w:rPr>
          <w:rFonts w:hint="eastAsia" w:ascii="宋体" w:eastAsia="宋体" w:cs="宋体"/>
          <w:bCs/>
          <w:sz w:val="36"/>
          <w:szCs w:val="36"/>
        </w:rPr>
        <w:t>竞争性磋商公告</w:t>
      </w:r>
      <w:bookmarkEnd w:id="8"/>
      <w:bookmarkEnd w:id="12"/>
      <w:bookmarkEnd w:id="13"/>
      <w:bookmarkEnd w:id="14"/>
      <w:bookmarkEnd w:id="15"/>
      <w:bookmarkStart w:id="16" w:name="_Toc2929"/>
      <w:bookmarkStart w:id="17" w:name="_Toc389582035"/>
      <w:bookmarkStart w:id="18" w:name="_Toc13746"/>
      <w:bookmarkStart w:id="19" w:name="_Toc423973072"/>
      <w:bookmarkStart w:id="20" w:name="_Toc29249"/>
    </w:p>
    <w:p>
      <w:pPr>
        <w:pStyle w:val="6"/>
        <w:keepNext w:val="0"/>
        <w:keepLines w:val="0"/>
        <w:widowControl/>
        <w:spacing w:before="0"/>
        <w:ind w:leftChars="100" w:hanging="621" w:hangingChars="259"/>
        <w:rPr>
          <w:rFonts w:ascii="宋体" w:hAnsi="宋体" w:cs="宋体"/>
        </w:rPr>
      </w:pPr>
      <w:ins w:id="17" w:author="高凌" w:date="2023-05-15T12:57:33Z">
        <w:r>
          <w:rPr>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50165</wp:posOffset>
                  </wp:positionV>
                  <wp:extent cx="5619750" cy="1628775"/>
                  <wp:effectExtent l="4445" t="4445" r="14605" b="5080"/>
                  <wp:wrapSquare wrapText="bothSides"/>
                  <wp:docPr id="7" name="文本框 7"/>
                  <wp:cNvGraphicFramePr/>
                  <a:graphic xmlns:a="http://schemas.openxmlformats.org/drawingml/2006/main">
                    <a:graphicData uri="http://schemas.microsoft.com/office/word/2010/wordprocessingShape">
                      <wps:wsp>
                        <wps:cNvSpPr txBox="1"/>
                        <wps:spPr>
                          <a:xfrm>
                            <a:off x="0" y="0"/>
                            <a:ext cx="5619750" cy="1628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widowControl/>
                                <w:spacing w:before="150" w:after="150"/>
                                <w:rPr>
                                  <w:rFonts w:ascii="宋体" w:hAnsi="宋体" w:cs="宋体"/>
                                </w:rPr>
                              </w:pPr>
                              <w:r>
                                <w:rPr>
                                  <w:rFonts w:hint="eastAsia" w:ascii="宋体" w:hAnsi="宋体" w:cs="宋体"/>
                                  <w:b/>
                                  <w:color w:val="333333"/>
                                </w:rPr>
                                <w:t xml:space="preserve">项目概况 </w:t>
                              </w:r>
                            </w:p>
                            <w:p>
                              <w:pPr>
                                <w:pStyle w:val="39"/>
                                <w:spacing w:before="150" w:after="150" w:line="360" w:lineRule="auto"/>
                                <w:ind w:firstLine="480" w:firstLineChars="200"/>
                                <w:rPr>
                                  <w:rFonts w:hint="eastAsia" w:cs="宋体"/>
                                  <w:color w:val="333333"/>
                                </w:rPr>
                              </w:pPr>
                              <w:r>
                                <w:rPr>
                                  <w:rFonts w:hint="eastAsia" w:cs="宋体"/>
                                  <w:color w:val="333333"/>
                                </w:rPr>
                                <w:t>2023年陕西省国家水资源监控一期监测站运行维护采购项目的潜在供应商应在陕西省西安市曲江新区雁翔路3269号旺座曲江E座29层2901号获取采购文件，并于 2022年0</w:t>
                              </w:r>
                              <w:r>
                                <w:rPr>
                                  <w:rFonts w:hint="eastAsia" w:cs="宋体"/>
                                  <w:color w:val="333333"/>
                                  <w:lang w:val="en-US" w:eastAsia="zh-CN"/>
                                </w:rPr>
                                <w:t>5</w:t>
                              </w:r>
                              <w:r>
                                <w:rPr>
                                  <w:rFonts w:hint="eastAsia" w:cs="宋体"/>
                                  <w:color w:val="333333"/>
                                </w:rPr>
                                <w:t>月1</w:t>
                              </w:r>
                              <w:r>
                                <w:rPr>
                                  <w:rFonts w:hint="eastAsia" w:cs="宋体"/>
                                  <w:color w:val="333333"/>
                                  <w:lang w:val="en-US" w:eastAsia="zh-CN"/>
                                </w:rPr>
                                <w:t>9</w:t>
                              </w:r>
                              <w:r>
                                <w:rPr>
                                  <w:rFonts w:hint="eastAsia" w:cs="宋体"/>
                                  <w:color w:val="333333"/>
                                </w:rPr>
                                <w:t>日 14时</w:t>
                              </w:r>
                              <w:ins w:id="19" w:author="高凌" w:date="2023-05-15T12:58:15Z">
                                <w:r>
                                  <w:rPr>
                                    <w:rFonts w:hint="eastAsia" w:cs="宋体"/>
                                    <w:color w:val="333333"/>
                                    <w:lang w:val="en-US" w:eastAsia="zh-CN"/>
                                  </w:rPr>
                                  <w:t>30</w:t>
                                </w:r>
                              </w:ins>
                              <w:r>
                                <w:rPr>
                                  <w:rFonts w:hint="eastAsia" w:cs="宋体"/>
                                  <w:color w:val="333333"/>
                                </w:rPr>
                                <w:t>分 （北京时间）前提交响应文件。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3.95pt;height:128.25pt;width:442.5pt;mso-wrap-distance-bottom:0pt;mso-wrap-distance-left:9pt;mso-wrap-distance-right:9pt;mso-wrap-distance-top:0pt;z-index:251662336;mso-width-relative:page;mso-height-relative:page;" fillcolor="#FFFFFF [3201]" filled="t" stroked="t" coordsize="21600,21600" o:gfxdata="UEsDBAoAAAAAAIdO4kAAAAAAAAAAAAAAAAAEAAAAZHJzL1BLAwQUAAAACACHTuJAVNKM3NUAAAAH&#10;AQAADwAAAGRycy9kb3ducmV2LnhtbE2PwU7DMBBE70j8g7VI3KjTpJQQsqkEUiXEjTYXbm68TSLs&#10;dWS7Tfv3mBMcd2Y087beXKwRZ/JhdIywXGQgiDunR+4R2v32oQQRomKtjGNCuFKATXN7U6tKu5k/&#10;6byLvUglHCqFMMQ4VVKGbiCrwsJNxMk7Om9VTKfvpfZqTuXWyDzL1tKqkdPCoCZ6G6j73p0swvv6&#10;NX5Rqz90kRdubmXnjyYg3t8tsxcQkS7xLwy/+AkdmsR0cCfWQRiE9EhEeC6eQCS3LB+TcEAoVvkK&#10;ZFPL//zND1BLAwQUAAAACACHTuJAy4ZnoVcCAAC4BAAADgAAAGRycy9lMm9Eb2MueG1srVTNbhMx&#10;EL4j8Q6W73STkB8adVOFVEFIFa1UEGfH681a2B5jO9kND0DfgBMX7jxXnoOxd5OGlkMP5ODMX76Z&#10;+WYmF5eNVmQrnJdgcto/61EiDIdCmnVOP31cvnpDiQ/MFEyBETndCU8vZy9fXNR2KgZQgSqEIwhi&#10;/LS2Oa1CsNMs87wSmvkzsMKgswSnWUDVrbPCsRrRtcoGvd44q8EV1gEX3qP1qnXSDtE9BxDKUnJx&#10;BXyjhQktqhOKBWzJV9J6OkvVlqXg4aYsvQhE5RQ7DenFJCiv4pvNLth07ZitJO9KYM8p4VFPmkmD&#10;SY9QVywwsnHyCZSW3IGHMpxx0FnbSGIEu+j3HnFzVzErUi9ItbdH0v3/g+UftreOyCKnE0oM0zjw&#10;/Y/7/c/f+1/fySTSU1s/xag7i3GheQsNLs3B7tEYu25Kp+M39kPQj+TujuSKJhCOxtG4fz4ZoYuj&#10;rz+anA+Go4iTPfzcOh/eCdAkCjl1OL1EKtte+9CGHkJiNg9KFkupVFLcerVQjmwZTnqZPh36X2HK&#10;kDqn49dYyBOIiH2EWCnGvzxFwGqVwaIjK233UQrNqumoWkGxQ6YctKvmLV9KxL1mPtwyh7uFDOD1&#10;hRt8SgVYDHQSJRW4b/+yx3gcOXopqXFXc+q/bpgTlKj3BpfhvD8cImxIynA0GaDiTj2rU4/Z6AUg&#10;SX28c8uTGOODOoilA/0Zj3Qes6KLGY65cxoO4iK0F4RHzsV8noJwnS0L1+bO8ggdyTUw3wQoZRpd&#10;pKnlpmMPFzoNvzu+eDGneop6+MOZ/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U0ozc1QAAAAcB&#10;AAAPAAAAAAAAAAEAIAAAACIAAABkcnMvZG93bnJldi54bWxQSwECFAAUAAAACACHTuJAy4ZnoVcC&#10;AAC4BAAADgAAAAAAAAABACAAAAAkAQAAZHJzL2Uyb0RvYy54bWxQSwUGAAAAAAYABgBZAQAA7QUA&#10;AAAA&#10;">
                  <v:fill on="t" focussize="0,0"/>
                  <v:stroke weight="0.5pt" color="#000000 [3204]" joinstyle="round"/>
                  <v:imagedata o:title=""/>
                  <o:lock v:ext="edit" aspectratio="f"/>
                  <v:textbox>
                    <w:txbxContent>
                      <w:p>
                        <w:pPr>
                          <w:pStyle w:val="8"/>
                          <w:keepNext w:val="0"/>
                          <w:keepLines w:val="0"/>
                          <w:widowControl/>
                          <w:spacing w:before="150" w:after="150"/>
                          <w:rPr>
                            <w:rFonts w:ascii="宋体" w:hAnsi="宋体" w:cs="宋体"/>
                          </w:rPr>
                        </w:pPr>
                        <w:r>
                          <w:rPr>
                            <w:rFonts w:hint="eastAsia" w:ascii="宋体" w:hAnsi="宋体" w:cs="宋体"/>
                            <w:b/>
                            <w:color w:val="333333"/>
                          </w:rPr>
                          <w:t xml:space="preserve">项目概况 </w:t>
                        </w:r>
                      </w:p>
                      <w:p>
                        <w:pPr>
                          <w:pStyle w:val="39"/>
                          <w:spacing w:before="150" w:after="150" w:line="360" w:lineRule="auto"/>
                          <w:ind w:firstLine="480" w:firstLineChars="200"/>
                          <w:rPr>
                            <w:rFonts w:hint="eastAsia" w:cs="宋体"/>
                            <w:color w:val="333333"/>
                          </w:rPr>
                        </w:pPr>
                        <w:r>
                          <w:rPr>
                            <w:rFonts w:hint="eastAsia" w:cs="宋体"/>
                            <w:color w:val="333333"/>
                          </w:rPr>
                          <w:t>2023年陕西省国家水资源监控一期监测站运行维护采购项目的潜在供应商应在陕西省西安市曲江新区雁翔路3269号旺座曲江E座29层2901号获取采购文件，并于 2022年0</w:t>
                        </w:r>
                        <w:r>
                          <w:rPr>
                            <w:rFonts w:hint="eastAsia" w:cs="宋体"/>
                            <w:color w:val="333333"/>
                            <w:lang w:val="en-US" w:eastAsia="zh-CN"/>
                          </w:rPr>
                          <w:t>5</w:t>
                        </w:r>
                        <w:r>
                          <w:rPr>
                            <w:rFonts w:hint="eastAsia" w:cs="宋体"/>
                            <w:color w:val="333333"/>
                          </w:rPr>
                          <w:t>月1</w:t>
                        </w:r>
                        <w:r>
                          <w:rPr>
                            <w:rFonts w:hint="eastAsia" w:cs="宋体"/>
                            <w:color w:val="333333"/>
                            <w:lang w:val="en-US" w:eastAsia="zh-CN"/>
                          </w:rPr>
                          <w:t>9</w:t>
                        </w:r>
                        <w:r>
                          <w:rPr>
                            <w:rFonts w:hint="eastAsia" w:cs="宋体"/>
                            <w:color w:val="333333"/>
                          </w:rPr>
                          <w:t>日 14时</w:t>
                        </w:r>
                        <w:ins w:id="20" w:author="高凌" w:date="2023-05-15T12:58:15Z">
                          <w:r>
                            <w:rPr>
                              <w:rFonts w:hint="eastAsia" w:cs="宋体"/>
                              <w:color w:val="333333"/>
                              <w:lang w:val="en-US" w:eastAsia="zh-CN"/>
                            </w:rPr>
                            <w:t>30</w:t>
                          </w:r>
                        </w:ins>
                        <w:r>
                          <w:rPr>
                            <w:rFonts w:hint="eastAsia" w:cs="宋体"/>
                            <w:color w:val="333333"/>
                          </w:rPr>
                          <w:t>分 （北京时间）前提交响应文件。</w:t>
                        </w:r>
                      </w:p>
                    </w:txbxContent>
                  </v:textbox>
                  <w10:wrap type="square"/>
                </v:shape>
              </w:pict>
            </mc:Fallback>
          </mc:AlternateContent>
        </w:r>
      </w:ins>
      <w:r>
        <w:rPr>
          <w:rFonts w:hint="eastAsia" w:ascii="宋体" w:hAnsi="宋体" w:cs="宋体"/>
          <w:b/>
          <w:color w:val="333333"/>
        </w:rPr>
        <w:t>一、项目基本情况</w:t>
      </w:r>
    </w:p>
    <w:p>
      <w:pPr>
        <w:pStyle w:val="39"/>
        <w:spacing w:before="0" w:beforeAutospacing="0" w:after="0" w:afterAutospacing="0" w:line="360" w:lineRule="auto"/>
        <w:rPr>
          <w:rFonts w:cs="宋体"/>
        </w:rPr>
      </w:pPr>
      <w:r>
        <w:rPr>
          <w:rFonts w:hint="eastAsia" w:cs="宋体"/>
          <w:color w:val="333333"/>
        </w:rPr>
        <w:t>项目编号：HRC-ZBDL-2023-00522</w:t>
      </w:r>
    </w:p>
    <w:p>
      <w:pPr>
        <w:pStyle w:val="39"/>
        <w:spacing w:before="0" w:beforeAutospacing="0" w:after="0" w:afterAutospacing="0" w:line="360" w:lineRule="auto"/>
        <w:rPr>
          <w:rFonts w:cs="宋体"/>
        </w:rPr>
      </w:pPr>
      <w:r>
        <w:rPr>
          <w:rFonts w:hint="eastAsia" w:cs="宋体"/>
          <w:color w:val="333333"/>
        </w:rPr>
        <w:t>项目名称：2023年陕西省国家水资源监控一期监测站运行维护</w:t>
      </w:r>
    </w:p>
    <w:p>
      <w:pPr>
        <w:pStyle w:val="39"/>
        <w:spacing w:before="0" w:beforeAutospacing="0" w:after="0" w:afterAutospacing="0" w:line="360" w:lineRule="auto"/>
        <w:rPr>
          <w:rFonts w:cs="宋体"/>
        </w:rPr>
      </w:pPr>
      <w:r>
        <w:rPr>
          <w:rFonts w:hint="eastAsia" w:cs="宋体"/>
          <w:color w:val="333333"/>
        </w:rPr>
        <w:t>采购方式：竞争性磋商</w:t>
      </w:r>
    </w:p>
    <w:p>
      <w:pPr>
        <w:pStyle w:val="39"/>
        <w:spacing w:before="0" w:beforeAutospacing="0" w:after="0" w:afterAutospacing="0" w:line="360" w:lineRule="auto"/>
        <w:rPr>
          <w:rFonts w:cs="宋体"/>
        </w:rPr>
      </w:pPr>
      <w:r>
        <w:rPr>
          <w:rFonts w:hint="eastAsia" w:cs="宋体"/>
          <w:color w:val="333333"/>
        </w:rPr>
        <w:t>预算金额：1500000.00元</w:t>
      </w:r>
    </w:p>
    <w:p>
      <w:pPr>
        <w:pStyle w:val="39"/>
        <w:spacing w:before="0" w:beforeAutospacing="0" w:after="0" w:afterAutospacing="0" w:line="360" w:lineRule="auto"/>
        <w:rPr>
          <w:rFonts w:cs="宋体"/>
        </w:rPr>
      </w:pPr>
      <w:r>
        <w:rPr>
          <w:rFonts w:hint="eastAsia" w:cs="宋体"/>
          <w:color w:val="333333"/>
        </w:rPr>
        <w:t>采购需求：</w:t>
      </w:r>
    </w:p>
    <w:p>
      <w:pPr>
        <w:pStyle w:val="39"/>
        <w:spacing w:before="0" w:beforeAutospacing="0" w:after="0" w:afterAutospacing="0" w:line="360" w:lineRule="auto"/>
        <w:rPr>
          <w:rFonts w:cs="宋体"/>
          <w:sz w:val="21"/>
          <w:szCs w:val="21"/>
        </w:rPr>
      </w:pPr>
      <w:r>
        <w:rPr>
          <w:rFonts w:hint="eastAsia" w:cs="宋体"/>
          <w:color w:val="333333"/>
          <w:sz w:val="21"/>
          <w:szCs w:val="21"/>
        </w:rPr>
        <w:t>合同包1(1):</w:t>
      </w:r>
    </w:p>
    <w:tbl>
      <w:tblPr>
        <w:tblStyle w:val="43"/>
        <w:tblpPr w:leftFromText="180" w:rightFromText="180" w:vertAnchor="text" w:horzAnchor="page" w:tblpX="1378" w:tblpY="432"/>
        <w:tblOverlap w:val="never"/>
        <w:tblW w:w="90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52"/>
        <w:gridCol w:w="1259"/>
        <w:gridCol w:w="2292"/>
        <w:gridCol w:w="1058"/>
        <w:gridCol w:w="1616"/>
        <w:gridCol w:w="1276"/>
        <w:gridCol w:w="1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rPr>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品目号</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品目名称</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采购标的</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数量（单位）</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技术规格、参数及要求</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品目预算(元)</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1-1</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其他专业技术服务</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国家水资源监测站运行维护及升级</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1(项)</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详见采购文件</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999000.00</w:t>
            </w:r>
          </w:p>
        </w:tc>
        <w:tc>
          <w:tcPr>
            <w:tcW w:w="102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999000.00</w:t>
            </w:r>
          </w:p>
        </w:tc>
      </w:tr>
    </w:tbl>
    <w:p>
      <w:pPr>
        <w:pStyle w:val="39"/>
        <w:spacing w:before="0" w:beforeAutospacing="0" w:after="0" w:afterAutospacing="0" w:line="360" w:lineRule="auto"/>
        <w:ind w:firstLine="630"/>
        <w:rPr>
          <w:rFonts w:cs="宋体"/>
        </w:rPr>
      </w:pPr>
      <w:r>
        <w:rPr>
          <w:rFonts w:hint="eastAsia" w:cs="宋体"/>
          <w:color w:val="333333"/>
        </w:rPr>
        <w:t>合同包预算金额：999000.00元</w:t>
      </w:r>
    </w:p>
    <w:p>
      <w:pPr>
        <w:pStyle w:val="39"/>
        <w:spacing w:before="0" w:beforeAutospacing="0" w:after="0" w:afterAutospacing="0" w:line="360" w:lineRule="auto"/>
        <w:ind w:firstLine="630"/>
        <w:rPr>
          <w:rFonts w:cs="宋体"/>
        </w:rPr>
      </w:pPr>
      <w:r>
        <w:rPr>
          <w:rFonts w:hint="eastAsia" w:cs="宋体"/>
          <w:color w:val="333333"/>
        </w:rPr>
        <w:t xml:space="preserve">本合同包不接受联合体投标 </w:t>
      </w:r>
    </w:p>
    <w:p>
      <w:pPr>
        <w:pStyle w:val="39"/>
        <w:spacing w:before="0" w:beforeAutospacing="0" w:after="0" w:afterAutospacing="0" w:line="360" w:lineRule="auto"/>
        <w:ind w:firstLine="630"/>
        <w:rPr>
          <w:rFonts w:cs="宋体"/>
          <w:color w:val="333333"/>
        </w:rPr>
      </w:pPr>
      <w:r>
        <w:rPr>
          <w:rFonts w:hint="eastAsia" w:cs="宋体"/>
          <w:color w:val="333333"/>
        </w:rPr>
        <w:t>合同履行期限：自合同签订之日起12个月</w:t>
      </w:r>
    </w:p>
    <w:p>
      <w:pPr>
        <w:pStyle w:val="39"/>
        <w:spacing w:before="0" w:beforeAutospacing="0" w:after="0" w:afterAutospacing="0" w:line="360" w:lineRule="auto"/>
        <w:rPr>
          <w:rFonts w:cs="宋体"/>
          <w:color w:val="333333"/>
        </w:rPr>
      </w:pPr>
      <w:r>
        <w:rPr>
          <w:rFonts w:hint="eastAsia" w:cs="宋体"/>
          <w:color w:val="333333"/>
          <w:highlight w:val="yellow"/>
        </w:rPr>
        <w:t>合同包</w:t>
      </w:r>
      <w:r>
        <w:rPr>
          <w:rFonts w:cs="宋体"/>
          <w:color w:val="333333"/>
          <w:highlight w:val="yellow"/>
        </w:rPr>
        <w:t>2(1):</w:t>
      </w:r>
    </w:p>
    <w:tbl>
      <w:tblPr>
        <w:tblStyle w:val="43"/>
        <w:tblpPr w:leftFromText="180" w:rightFromText="180" w:vertAnchor="text" w:horzAnchor="page" w:tblpX="1378" w:tblpY="432"/>
        <w:tblOverlap w:val="never"/>
        <w:tblW w:w="90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68"/>
        <w:gridCol w:w="1365"/>
        <w:gridCol w:w="2017"/>
        <w:gridCol w:w="1111"/>
        <w:gridCol w:w="1616"/>
        <w:gridCol w:w="1276"/>
        <w:gridCol w:w="1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3" w:hRule="atLeast"/>
          <w:tblHeader/>
        </w:trPr>
        <w:tc>
          <w:tcPr>
            <w:tcW w:w="0" w:type="auto"/>
            <w:shd w:val="clear" w:color="auto" w:fill="auto"/>
            <w:tcMar>
              <w:top w:w="0" w:type="dxa"/>
              <w:left w:w="0" w:type="dxa"/>
              <w:bottom w:w="0" w:type="dxa"/>
              <w:right w:w="0" w:type="dxa"/>
            </w:tcMar>
            <w:vAlign w:val="center"/>
          </w:tcPr>
          <w:p>
            <w:pPr>
              <w:pStyle w:val="39"/>
              <w:spacing w:before="0" w:beforeAutospacing="0" w:after="0" w:afterAutospacing="0" w:line="360" w:lineRule="auto"/>
              <w:rPr>
                <w:rFonts w:cs="宋体"/>
                <w:color w:val="333333"/>
                <w:sz w:val="21"/>
                <w:szCs w:val="21"/>
              </w:rPr>
            </w:pPr>
            <w:r>
              <w:rPr>
                <w:rFonts w:hint="eastAsia" w:cs="宋体"/>
                <w:color w:val="333333"/>
              </w:rPr>
              <w:t xml:space="preserve"> </w:t>
            </w:r>
            <w:r>
              <w:rPr>
                <w:rFonts w:hint="eastAsia" w:cs="宋体"/>
                <w:color w:val="333333"/>
                <w:sz w:val="21"/>
                <w:szCs w:val="21"/>
              </w:rPr>
              <w:t>品目号</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品目名称</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采购标的</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数量（单位）</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技术规格、参数及要求</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品目预算(元)</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7" w:hRule="atLeast"/>
        </w:trPr>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2-1</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其他专业技术服务</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国家水资源监测站运行维护</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1(项)</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详见采购文件</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501000.00</w:t>
            </w:r>
          </w:p>
        </w:tc>
        <w:tc>
          <w:tcPr>
            <w:tcW w:w="102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501000.00</w:t>
            </w:r>
          </w:p>
        </w:tc>
      </w:tr>
    </w:tbl>
    <w:p>
      <w:pPr>
        <w:pStyle w:val="39"/>
        <w:spacing w:before="0" w:beforeAutospacing="0" w:after="0" w:afterAutospacing="0" w:line="360" w:lineRule="auto"/>
        <w:ind w:firstLine="630"/>
        <w:rPr>
          <w:rFonts w:cs="宋体"/>
        </w:rPr>
      </w:pPr>
      <w:r>
        <w:rPr>
          <w:rFonts w:hint="eastAsia" w:cs="宋体"/>
          <w:color w:val="333333"/>
        </w:rPr>
        <w:t>合同包预算金额：501000.00元</w:t>
      </w:r>
    </w:p>
    <w:p>
      <w:pPr>
        <w:pStyle w:val="39"/>
        <w:spacing w:before="0" w:beforeAutospacing="0" w:after="0" w:afterAutospacing="0" w:line="360" w:lineRule="auto"/>
        <w:ind w:firstLine="630"/>
        <w:rPr>
          <w:rFonts w:cs="宋体"/>
        </w:rPr>
      </w:pPr>
      <w:r>
        <w:rPr>
          <w:rFonts w:hint="eastAsia" w:cs="宋体"/>
          <w:color w:val="333333"/>
        </w:rPr>
        <w:t xml:space="preserve">本合同包不接受联合体投标 </w:t>
      </w:r>
    </w:p>
    <w:p>
      <w:pPr>
        <w:pStyle w:val="6"/>
        <w:keepNext w:val="0"/>
        <w:keepLines w:val="0"/>
        <w:widowControl/>
        <w:spacing w:before="0"/>
        <w:ind w:left="861" w:leftChars="100" w:hanging="621" w:hangingChars="259"/>
        <w:rPr>
          <w:rFonts w:ascii="宋体" w:hAnsi="宋体" w:cs="宋体"/>
          <w:b/>
          <w:color w:val="333333"/>
        </w:rPr>
      </w:pPr>
      <w:r>
        <w:rPr>
          <w:rFonts w:hint="eastAsia" w:ascii="宋体" w:hAnsi="宋体" w:cs="宋体"/>
          <w:color w:val="333333"/>
        </w:rPr>
        <w:t>合同履行期限：自合同签订之日起12个月</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二、申请人的资格要求：</w:t>
      </w:r>
    </w:p>
    <w:p>
      <w:pPr>
        <w:pStyle w:val="39"/>
        <w:spacing w:before="0" w:beforeAutospacing="0" w:after="0" w:afterAutospacing="0" w:line="360" w:lineRule="auto"/>
        <w:ind w:firstLine="240" w:firstLineChars="100"/>
        <w:rPr>
          <w:rFonts w:cs="宋体"/>
        </w:rPr>
      </w:pPr>
      <w:r>
        <w:rPr>
          <w:rFonts w:hint="eastAsia" w:cs="宋体"/>
          <w:color w:val="333333"/>
        </w:rPr>
        <w:t>1.满足《中华人民共和国政府采购法》第二十二条规定;</w:t>
      </w:r>
    </w:p>
    <w:p>
      <w:pPr>
        <w:pStyle w:val="39"/>
        <w:spacing w:before="0" w:beforeAutospacing="0" w:after="0" w:afterAutospacing="0" w:line="360" w:lineRule="auto"/>
        <w:ind w:firstLine="240" w:firstLineChars="100"/>
        <w:rPr>
          <w:rFonts w:cs="宋体"/>
        </w:rPr>
      </w:pPr>
      <w:r>
        <w:rPr>
          <w:rFonts w:hint="eastAsia" w:cs="宋体"/>
          <w:color w:val="333333"/>
        </w:rPr>
        <w:t xml:space="preserve">2.落实政府采购政策需满足的资格要求： </w:t>
      </w:r>
    </w:p>
    <w:p>
      <w:pPr>
        <w:pStyle w:val="39"/>
        <w:spacing w:before="0" w:beforeAutospacing="0" w:after="0" w:afterAutospacing="0" w:line="360" w:lineRule="auto"/>
        <w:ind w:firstLine="240" w:firstLineChars="100"/>
        <w:rPr>
          <w:rFonts w:cs="宋体"/>
        </w:rPr>
      </w:pPr>
      <w:r>
        <w:rPr>
          <w:rFonts w:hint="eastAsia" w:cs="宋体"/>
          <w:color w:val="333333"/>
        </w:rPr>
        <w:t>合同包1(1)落实政府采购政策需满足的资格要求如下:</w:t>
      </w:r>
    </w:p>
    <w:p>
      <w:pPr>
        <w:pStyle w:val="39"/>
        <w:spacing w:before="0" w:beforeAutospacing="0" w:after="0" w:afterAutospacing="0" w:line="360" w:lineRule="auto"/>
        <w:ind w:firstLine="240" w:firstLineChars="100"/>
        <w:rPr>
          <w:rFonts w:cs="宋体"/>
          <w:color w:val="333333"/>
        </w:rPr>
      </w:pPr>
      <w:r>
        <w:rPr>
          <w:rFonts w:hint="eastAsia" w:cs="宋体"/>
          <w:color w:val="333333"/>
        </w:rPr>
        <w:t>（1）《政府采购促进中小企业发展管理办法》的通知--财库〔2020〕46号（2）财政部司法部关于政府采购支持监狱企业发展有关问题的通知--财库[2014]68号 </w:t>
      </w:r>
    </w:p>
    <w:p>
      <w:pPr>
        <w:pStyle w:val="39"/>
        <w:spacing w:before="0" w:beforeAutospacing="0" w:after="0" w:afterAutospacing="0" w:line="360" w:lineRule="auto"/>
        <w:ind w:firstLine="240" w:firstLineChars="100"/>
        <w:rPr>
          <w:rFonts w:cs="宋体"/>
          <w:color w:val="333333"/>
        </w:rPr>
      </w:pPr>
      <w:r>
        <w:rPr>
          <w:rFonts w:hint="eastAsia" w:cs="宋体"/>
          <w:color w:val="333333"/>
        </w:rPr>
        <w:t>（3）《财政部发展改革委生态环境部市场监管总局关于调整优化节能产品环境标志产品政府采购执行机制的通知》（财库〔2019〕9号）</w:t>
      </w:r>
    </w:p>
    <w:p>
      <w:pPr>
        <w:pStyle w:val="39"/>
        <w:spacing w:before="0" w:beforeAutospacing="0" w:after="0" w:afterAutospacing="0" w:line="360" w:lineRule="auto"/>
        <w:ind w:firstLine="240" w:firstLineChars="100"/>
        <w:rPr>
          <w:rFonts w:cs="宋体"/>
          <w:color w:val="333333"/>
        </w:rPr>
      </w:pPr>
      <w:r>
        <w:rPr>
          <w:rFonts w:hint="eastAsia" w:cs="宋体"/>
          <w:color w:val="333333"/>
        </w:rPr>
        <w:t>（4）《节能产品政府采购实施意见》--（财库[2004]185号） </w:t>
      </w:r>
    </w:p>
    <w:p>
      <w:pPr>
        <w:pStyle w:val="39"/>
        <w:spacing w:before="0" w:beforeAutospacing="0" w:after="0" w:afterAutospacing="0" w:line="360" w:lineRule="auto"/>
        <w:ind w:firstLine="240" w:firstLineChars="100"/>
        <w:rPr>
          <w:rFonts w:cs="宋体"/>
          <w:color w:val="333333"/>
        </w:rPr>
      </w:pPr>
      <w:r>
        <w:rPr>
          <w:rFonts w:hint="eastAsia" w:cs="宋体"/>
          <w:color w:val="333333"/>
        </w:rPr>
        <w:t>（5）《关于促进残疾人就业政府采购政策的通知》（财库[2017]141号）</w:t>
      </w:r>
    </w:p>
    <w:p>
      <w:pPr>
        <w:pStyle w:val="39"/>
        <w:spacing w:before="0" w:beforeAutospacing="0" w:after="0" w:afterAutospacing="0" w:line="360" w:lineRule="auto"/>
        <w:ind w:firstLine="240" w:firstLineChars="100"/>
        <w:rPr>
          <w:rFonts w:cs="宋体"/>
          <w:color w:val="333333"/>
        </w:rPr>
      </w:pPr>
      <w:r>
        <w:rPr>
          <w:rFonts w:hint="eastAsia" w:cs="宋体"/>
          <w:color w:val="333333"/>
        </w:rPr>
        <w:t>（6）《关于运用政府采购政策支持乡村产业振兴的通知》财库〔2021〕19号</w:t>
      </w:r>
    </w:p>
    <w:p>
      <w:pPr>
        <w:pStyle w:val="39"/>
        <w:spacing w:before="0" w:beforeAutospacing="0" w:after="0" w:afterAutospacing="0" w:line="360" w:lineRule="auto"/>
        <w:ind w:firstLine="240" w:firstLineChars="100"/>
        <w:rPr>
          <w:rFonts w:cs="宋体"/>
          <w:color w:val="333333"/>
        </w:rPr>
      </w:pPr>
      <w:r>
        <w:rPr>
          <w:rFonts w:hint="eastAsia" w:cs="宋体"/>
          <w:color w:val="333333"/>
        </w:rPr>
        <w:t>（7）《陕西省中小企业政府采购信用融资办法》（陕财办采〔2018〕23号）</w:t>
      </w:r>
    </w:p>
    <w:p>
      <w:pPr>
        <w:pStyle w:val="39"/>
        <w:spacing w:before="0" w:beforeAutospacing="0" w:after="0" w:afterAutospacing="0" w:line="360" w:lineRule="auto"/>
        <w:ind w:firstLine="240" w:firstLineChars="100"/>
        <w:rPr>
          <w:rFonts w:cs="宋体"/>
          <w:color w:val="333333"/>
        </w:rPr>
      </w:pPr>
      <w:r>
        <w:rPr>
          <w:rFonts w:hint="eastAsia" w:cs="宋体"/>
          <w:color w:val="333333"/>
        </w:rPr>
        <w:t>（8） 其他需要落实的政府采购政策。</w:t>
      </w:r>
    </w:p>
    <w:p>
      <w:pPr>
        <w:pStyle w:val="39"/>
        <w:spacing w:before="0" w:beforeAutospacing="0" w:after="0" w:afterAutospacing="0" w:line="360" w:lineRule="auto"/>
        <w:ind w:firstLine="240" w:firstLineChars="100"/>
        <w:rPr>
          <w:rFonts w:cs="宋体"/>
          <w:color w:val="333333"/>
        </w:rPr>
      </w:pPr>
      <w:r>
        <w:rPr>
          <w:rFonts w:hint="eastAsia" w:cs="宋体"/>
          <w:color w:val="333333"/>
        </w:rPr>
        <w:t>3.本项目的特定资格要求：</w:t>
      </w:r>
    </w:p>
    <w:p>
      <w:pPr>
        <w:pStyle w:val="39"/>
        <w:spacing w:before="0" w:beforeAutospacing="0" w:after="0" w:afterAutospacing="0" w:line="360" w:lineRule="auto"/>
        <w:ind w:firstLine="240" w:firstLineChars="100"/>
        <w:rPr>
          <w:rFonts w:cs="宋体"/>
          <w:color w:val="333333"/>
        </w:rPr>
      </w:pPr>
      <w:r>
        <w:rPr>
          <w:rFonts w:hint="eastAsia" w:cs="宋体"/>
          <w:color w:val="333333"/>
        </w:rPr>
        <w:t>合同包1(1)特定资格要求如下:</w:t>
      </w:r>
    </w:p>
    <w:p>
      <w:pPr>
        <w:pStyle w:val="39"/>
        <w:spacing w:before="0" w:beforeAutospacing="0" w:after="0" w:afterAutospacing="0" w:line="360" w:lineRule="auto"/>
        <w:ind w:firstLine="240" w:firstLineChars="100"/>
        <w:rPr>
          <w:rFonts w:cs="宋体"/>
          <w:color w:val="333333"/>
        </w:rPr>
      </w:pPr>
      <w:r>
        <w:rPr>
          <w:rFonts w:hint="eastAsia" w:cs="宋体"/>
          <w:color w:val="333333"/>
        </w:rPr>
        <w:t>（1）提供合格有效的法人或者其他组织的营业执照等证明文件，自然人的身份证明；事业法人应提供事业单位法人证、组织机构代码证等证明文件；（2）法定代表人授权书（附法定代表人、被授权人身份证复印件）及被授权人身份证（法定代表人参加投标只需提供本人身份证）；（3）财务状况：供应商须提供2021或2022年度财务审计报告（成立时间至提交响应文件截止时间不足一年的可提供成立后任意时段的资产负债表），或其基本存款账户开户银行出具的资信证明及基本存款账户开户许可证；（4）税收缴纳证明：供应商提供投标截止时间前一年内已缴纳的至少一个月纳税证明或完税证明，依法免税的单位应提供相关证明材料；（5）社会保障资金缴纳证明：供应商提供投标截止时间前一年内已缴存的至少一个月的社会保障资金缴存单据或社保机构开具的社会保险参保缴费情况证明，依法不需要缴纳社会保障资金的单位应提供相关证明材料；（6）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7）提供参加本次政府采购活动前三年内在经营活动中没有重大违法记录的书面声明；（8）提供具有履行合同所必需的设备和专业技术能力的承诺函；（9）投标保证金缴纳凭证或担保机构出具的保函。</w:t>
      </w:r>
    </w:p>
    <w:p>
      <w:pPr>
        <w:pStyle w:val="39"/>
        <w:spacing w:before="0" w:beforeAutospacing="0" w:after="0" w:afterAutospacing="0" w:line="360" w:lineRule="auto"/>
        <w:ind w:firstLine="240" w:firstLineChars="100"/>
        <w:rPr>
          <w:rFonts w:cs="宋体"/>
          <w:color w:val="333333"/>
        </w:rPr>
      </w:pPr>
      <w:r>
        <w:rPr>
          <w:rFonts w:hint="eastAsia" w:cs="宋体"/>
          <w:color w:val="333333"/>
        </w:rPr>
        <w:t>本项目不允许联合体投标。</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三、获取采购文件</w:t>
      </w:r>
    </w:p>
    <w:p>
      <w:pPr>
        <w:pStyle w:val="39"/>
        <w:spacing w:before="0" w:beforeAutospacing="0" w:after="0" w:afterAutospacing="0" w:line="360" w:lineRule="auto"/>
        <w:ind w:left="240" w:leftChars="100"/>
        <w:rPr>
          <w:rFonts w:cs="宋体"/>
        </w:rPr>
      </w:pPr>
      <w:r>
        <w:rPr>
          <w:rFonts w:hint="eastAsia" w:cs="宋体"/>
          <w:color w:val="333333"/>
        </w:rPr>
        <w:t>时间： 2023年05月0</w:t>
      </w:r>
      <w:ins w:id="21" w:author="高凌" w:date="2023-05-15T12:59:21Z">
        <w:r>
          <w:rPr>
            <w:rFonts w:hint="eastAsia" w:cs="宋体"/>
            <w:color w:val="333333"/>
            <w:lang w:val="en-US" w:eastAsia="zh-CN"/>
          </w:rPr>
          <w:t>8</w:t>
        </w:r>
      </w:ins>
      <w:r>
        <w:rPr>
          <w:rFonts w:hint="eastAsia" w:cs="宋体"/>
          <w:color w:val="333333"/>
        </w:rPr>
        <w:t>日 至 2023年05月1</w:t>
      </w:r>
      <w:ins w:id="22" w:author="高凌" w:date="2023-05-15T12:59:26Z">
        <w:r>
          <w:rPr>
            <w:rFonts w:hint="eastAsia" w:cs="宋体"/>
            <w:color w:val="333333"/>
            <w:lang w:val="en-US" w:eastAsia="zh-CN"/>
          </w:rPr>
          <w:t>5</w:t>
        </w:r>
      </w:ins>
      <w:r>
        <w:rPr>
          <w:rFonts w:hint="eastAsia" w:cs="宋体"/>
          <w:color w:val="333333"/>
        </w:rPr>
        <w:t>日 ，每天上午 08:00:00 至 12:00:00 ，下午 12:00:00 至 18:00:00 （北京时间,法定节假日除外）</w:t>
      </w:r>
    </w:p>
    <w:p>
      <w:pPr>
        <w:pStyle w:val="39"/>
        <w:spacing w:before="0" w:beforeAutospacing="0" w:after="0" w:afterAutospacing="0" w:line="360" w:lineRule="auto"/>
        <w:ind w:firstLine="240" w:firstLineChars="100"/>
        <w:rPr>
          <w:rFonts w:cs="宋体"/>
        </w:rPr>
      </w:pPr>
      <w:r>
        <w:rPr>
          <w:rFonts w:hint="eastAsia" w:cs="宋体"/>
          <w:color w:val="333333"/>
        </w:rPr>
        <w:t>地点：陕西省西安市曲江新区雁翔路3269号旺座曲江E座29层2901号</w:t>
      </w:r>
    </w:p>
    <w:p>
      <w:pPr>
        <w:pStyle w:val="39"/>
        <w:spacing w:before="0" w:beforeAutospacing="0" w:after="0" w:afterAutospacing="0" w:line="360" w:lineRule="auto"/>
        <w:ind w:firstLine="240" w:firstLineChars="100"/>
        <w:rPr>
          <w:rFonts w:cs="宋体"/>
        </w:rPr>
      </w:pPr>
      <w:r>
        <w:rPr>
          <w:rFonts w:hint="eastAsia" w:cs="宋体"/>
          <w:color w:val="333333"/>
        </w:rPr>
        <w:t>方式：现场获取</w:t>
      </w:r>
    </w:p>
    <w:p>
      <w:pPr>
        <w:pStyle w:val="39"/>
        <w:spacing w:before="0" w:beforeAutospacing="0" w:after="0" w:afterAutospacing="0" w:line="360" w:lineRule="auto"/>
        <w:ind w:firstLine="240" w:firstLineChars="100"/>
        <w:rPr>
          <w:rFonts w:cs="宋体"/>
        </w:rPr>
      </w:pPr>
      <w:r>
        <w:rPr>
          <w:rFonts w:hint="eastAsia" w:cs="宋体"/>
          <w:color w:val="333333"/>
        </w:rPr>
        <w:t xml:space="preserve">售价：500元 </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四、响应文件提交</w:t>
      </w:r>
    </w:p>
    <w:p>
      <w:pPr>
        <w:pStyle w:val="39"/>
        <w:spacing w:before="0" w:beforeAutospacing="0" w:after="0" w:afterAutospacing="0" w:line="360" w:lineRule="auto"/>
        <w:ind w:firstLine="240" w:firstLineChars="100"/>
        <w:rPr>
          <w:rFonts w:cs="宋体"/>
        </w:rPr>
      </w:pPr>
      <w:r>
        <w:rPr>
          <w:rFonts w:hint="eastAsia" w:cs="宋体"/>
          <w:color w:val="333333"/>
        </w:rPr>
        <w:t>截止时间： 2023年05月</w:t>
      </w:r>
      <w:ins w:id="23" w:author="高凌" w:date="2023-05-15T12:59:35Z">
        <w:r>
          <w:rPr>
            <w:rFonts w:hint="eastAsia" w:cs="宋体"/>
            <w:color w:val="333333"/>
            <w:lang w:val="en-US" w:eastAsia="zh-CN"/>
          </w:rPr>
          <w:t>19</w:t>
        </w:r>
      </w:ins>
      <w:r>
        <w:rPr>
          <w:rFonts w:hint="eastAsia" w:cs="宋体"/>
          <w:color w:val="333333"/>
        </w:rPr>
        <w:t>日 14时30分 （北京时间）</w:t>
      </w:r>
    </w:p>
    <w:p>
      <w:pPr>
        <w:pStyle w:val="39"/>
        <w:spacing w:before="0" w:beforeAutospacing="0" w:after="0" w:afterAutospacing="0" w:line="360" w:lineRule="auto"/>
        <w:ind w:firstLine="240" w:firstLineChars="100"/>
        <w:rPr>
          <w:rFonts w:cs="宋体"/>
        </w:rPr>
      </w:pPr>
      <w:r>
        <w:rPr>
          <w:rFonts w:hint="eastAsia" w:cs="宋体"/>
          <w:color w:val="333333"/>
        </w:rPr>
        <w:t>地点：陕西省西安市曲江新区雁翔路3269号旺座曲江E座29层2901号</w:t>
      </w:r>
      <w:ins w:id="24" w:author="高凌" w:date="2023-05-15T13:08:41Z">
        <w:r>
          <w:rPr>
            <w:rFonts w:hint="eastAsia" w:cs="宋体"/>
            <w:color w:val="333333"/>
            <w:lang w:eastAsia="zh-CN"/>
          </w:rPr>
          <w:t>（</w:t>
        </w:r>
      </w:ins>
      <w:ins w:id="25" w:author="高凌" w:date="2023-05-15T13:08:44Z">
        <w:r>
          <w:rPr>
            <w:rFonts w:hint="eastAsia" w:cs="宋体"/>
            <w:color w:val="333333"/>
            <w:lang w:eastAsia="zh-CN"/>
          </w:rPr>
          <w:t>第一会议室</w:t>
        </w:r>
      </w:ins>
      <w:ins w:id="26" w:author="高凌" w:date="2023-05-15T13:08:41Z">
        <w:r>
          <w:rPr>
            <w:rFonts w:hint="eastAsia" w:cs="宋体"/>
            <w:color w:val="333333"/>
            <w:lang w:eastAsia="zh-CN"/>
          </w:rPr>
          <w:t>）</w:t>
        </w:r>
      </w:ins>
      <w:r>
        <w:rPr>
          <w:rFonts w:hint="eastAsia" w:cs="宋体"/>
          <w:color w:val="333333"/>
        </w:rPr>
        <w:t xml:space="preserve"> </w:t>
      </w:r>
      <w:bookmarkStart w:id="293" w:name="_GoBack"/>
      <w:bookmarkEnd w:id="293"/>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五、开启</w:t>
      </w:r>
    </w:p>
    <w:p>
      <w:pPr>
        <w:pStyle w:val="39"/>
        <w:spacing w:before="0" w:beforeAutospacing="0" w:after="0" w:afterAutospacing="0" w:line="360" w:lineRule="auto"/>
        <w:ind w:firstLine="240" w:firstLineChars="100"/>
        <w:rPr>
          <w:rFonts w:cs="宋体"/>
        </w:rPr>
      </w:pPr>
      <w:r>
        <w:rPr>
          <w:rFonts w:hint="eastAsia" w:cs="宋体"/>
          <w:color w:val="333333"/>
        </w:rPr>
        <w:t>时间： 2023年05月</w:t>
      </w:r>
      <w:ins w:id="27" w:author="高凌" w:date="2023-05-15T12:59:41Z">
        <w:r>
          <w:rPr>
            <w:rFonts w:hint="eastAsia" w:cs="宋体"/>
            <w:color w:val="333333"/>
            <w:lang w:val="en-US" w:eastAsia="zh-CN"/>
          </w:rPr>
          <w:t>19</w:t>
        </w:r>
      </w:ins>
      <w:r>
        <w:rPr>
          <w:rFonts w:hint="eastAsia" w:cs="宋体"/>
          <w:color w:val="333333"/>
        </w:rPr>
        <w:t>日 14时30分 （北京时间）</w:t>
      </w:r>
    </w:p>
    <w:p>
      <w:pPr>
        <w:pStyle w:val="39"/>
        <w:spacing w:before="0" w:beforeAutospacing="0" w:after="0" w:afterAutospacing="0" w:line="360" w:lineRule="auto"/>
        <w:ind w:firstLine="240" w:firstLineChars="100"/>
        <w:rPr>
          <w:rFonts w:hint="eastAsia" w:eastAsia="宋体" w:cs="宋体"/>
          <w:lang w:eastAsia="zh-CN"/>
        </w:rPr>
      </w:pPr>
      <w:r>
        <w:rPr>
          <w:rFonts w:hint="eastAsia" w:cs="宋体"/>
          <w:color w:val="333333"/>
        </w:rPr>
        <w:t>地点：陕西省西安市曲江新区雁翔路3269号旺座曲江E座29层2901号</w:t>
      </w:r>
      <w:ins w:id="28" w:author="高凌" w:date="2023-05-15T13:08:01Z">
        <w:r>
          <w:rPr>
            <w:rFonts w:hint="eastAsia" w:cs="宋体"/>
            <w:color w:val="333333"/>
            <w:lang w:eastAsia="zh-CN"/>
          </w:rPr>
          <w:t>（</w:t>
        </w:r>
      </w:ins>
      <w:ins w:id="29" w:author="高凌" w:date="2023-05-15T13:08:05Z">
        <w:r>
          <w:rPr>
            <w:rFonts w:hint="eastAsia" w:cs="宋体"/>
            <w:color w:val="333333"/>
            <w:lang w:eastAsia="zh-CN"/>
          </w:rPr>
          <w:t>第一会议室</w:t>
        </w:r>
      </w:ins>
      <w:ins w:id="30" w:author="高凌" w:date="2023-05-15T13:08:01Z">
        <w:r>
          <w:rPr>
            <w:rFonts w:hint="eastAsia" w:cs="宋体"/>
            <w:color w:val="333333"/>
            <w:lang w:eastAsia="zh-CN"/>
          </w:rPr>
          <w:t>）</w:t>
        </w:r>
      </w:ins>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六、公告期限</w:t>
      </w:r>
    </w:p>
    <w:p>
      <w:pPr>
        <w:pStyle w:val="39"/>
        <w:spacing w:before="0" w:beforeAutospacing="0" w:after="0" w:afterAutospacing="0" w:line="360" w:lineRule="auto"/>
        <w:ind w:firstLine="240" w:firstLineChars="100"/>
        <w:rPr>
          <w:rFonts w:cs="宋体"/>
        </w:rPr>
      </w:pPr>
      <w:r>
        <w:rPr>
          <w:rFonts w:hint="eastAsia" w:cs="宋体"/>
          <w:color w:val="333333"/>
        </w:rPr>
        <w:t>自本公告发布之日起3个工作日。</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七、其他补充事宜</w:t>
      </w:r>
    </w:p>
    <w:p>
      <w:pPr>
        <w:pStyle w:val="39"/>
        <w:spacing w:before="0" w:beforeAutospacing="0" w:after="0" w:afterAutospacing="0" w:line="360" w:lineRule="auto"/>
        <w:ind w:firstLine="240" w:firstLineChars="100"/>
        <w:rPr>
          <w:rFonts w:cs="宋体"/>
        </w:rPr>
      </w:pPr>
      <w:r>
        <w:rPr>
          <w:rFonts w:hint="eastAsia" w:cs="宋体"/>
          <w:color w:val="333333"/>
        </w:rPr>
        <w:t>/</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八、凡对本次采购提出询问，请按以下方式联系。</w:t>
      </w:r>
    </w:p>
    <w:p>
      <w:pPr>
        <w:pStyle w:val="8"/>
        <w:keepNext w:val="0"/>
        <w:keepLines w:val="0"/>
        <w:widowControl/>
        <w:spacing w:before="0"/>
        <w:ind w:left="1149" w:leftChars="100" w:hanging="909" w:hangingChars="379"/>
        <w:rPr>
          <w:rFonts w:ascii="宋体" w:hAnsi="宋体" w:cs="宋体"/>
        </w:rPr>
      </w:pPr>
      <w:r>
        <w:rPr>
          <w:rFonts w:hint="eastAsia" w:ascii="宋体" w:hAnsi="宋体" w:cs="宋体"/>
          <w:color w:val="333333"/>
        </w:rPr>
        <w:t>1.采购人信息</w:t>
      </w:r>
    </w:p>
    <w:p>
      <w:pPr>
        <w:pStyle w:val="39"/>
        <w:spacing w:before="0" w:beforeAutospacing="0" w:after="0" w:afterAutospacing="0" w:line="360" w:lineRule="auto"/>
        <w:ind w:firstLine="240" w:firstLineChars="100"/>
        <w:rPr>
          <w:rFonts w:cs="宋体"/>
        </w:rPr>
      </w:pPr>
      <w:r>
        <w:rPr>
          <w:rFonts w:hint="eastAsia" w:cs="宋体"/>
          <w:color w:val="333333"/>
        </w:rPr>
        <w:t>名称：陕西省水资源与河库调度中心</w:t>
      </w:r>
    </w:p>
    <w:p>
      <w:pPr>
        <w:pStyle w:val="39"/>
        <w:spacing w:before="0" w:beforeAutospacing="0" w:after="0" w:afterAutospacing="0" w:line="360" w:lineRule="auto"/>
        <w:ind w:firstLine="240" w:firstLineChars="100"/>
        <w:rPr>
          <w:rFonts w:cs="宋体"/>
        </w:rPr>
      </w:pPr>
      <w:r>
        <w:rPr>
          <w:rFonts w:hint="eastAsia" w:cs="宋体"/>
          <w:color w:val="333333"/>
        </w:rPr>
        <w:t>地址：西安市尚德路150号</w:t>
      </w:r>
    </w:p>
    <w:p>
      <w:pPr>
        <w:pStyle w:val="39"/>
        <w:spacing w:before="0" w:beforeAutospacing="0" w:after="0" w:afterAutospacing="0" w:line="360" w:lineRule="auto"/>
        <w:ind w:firstLine="240" w:firstLineChars="100"/>
        <w:rPr>
          <w:rFonts w:cs="宋体"/>
        </w:rPr>
      </w:pPr>
      <w:r>
        <w:rPr>
          <w:rFonts w:hint="eastAsia" w:cs="宋体"/>
          <w:color w:val="333333"/>
        </w:rPr>
        <w:t>联系方式：029-</w:t>
      </w:r>
      <w:ins w:id="31" w:author="szybzk" w:date="2023-05-08T14:37:00Z">
        <w:r>
          <w:rPr>
            <w:rFonts w:hint="eastAsia" w:cs="宋体"/>
            <w:color w:val="333333"/>
          </w:rPr>
          <w:t>61835521</w:t>
        </w:r>
      </w:ins>
    </w:p>
    <w:p>
      <w:pPr>
        <w:pStyle w:val="8"/>
        <w:keepNext w:val="0"/>
        <w:keepLines w:val="0"/>
        <w:widowControl/>
        <w:spacing w:before="0"/>
        <w:ind w:left="1149" w:leftChars="100" w:hanging="909" w:hangingChars="379"/>
        <w:rPr>
          <w:rFonts w:ascii="宋体" w:hAnsi="宋体" w:cs="宋体"/>
        </w:rPr>
      </w:pPr>
      <w:r>
        <w:rPr>
          <w:rFonts w:hint="eastAsia" w:ascii="宋体" w:hAnsi="宋体" w:cs="宋体"/>
          <w:color w:val="333333"/>
        </w:rPr>
        <w:t>2.采购代理机构信息</w:t>
      </w:r>
    </w:p>
    <w:p>
      <w:pPr>
        <w:pStyle w:val="39"/>
        <w:spacing w:before="0" w:beforeAutospacing="0" w:after="0" w:afterAutospacing="0" w:line="360" w:lineRule="auto"/>
        <w:ind w:firstLine="240" w:firstLineChars="100"/>
        <w:rPr>
          <w:rFonts w:cs="宋体"/>
        </w:rPr>
      </w:pPr>
      <w:r>
        <w:rPr>
          <w:rFonts w:hint="eastAsia" w:cs="宋体"/>
          <w:color w:val="333333"/>
        </w:rPr>
        <w:t>名称：华睿诚项目管理有限公司</w:t>
      </w:r>
    </w:p>
    <w:p>
      <w:pPr>
        <w:pStyle w:val="39"/>
        <w:spacing w:before="0" w:beforeAutospacing="0" w:after="0" w:afterAutospacing="0" w:line="360" w:lineRule="auto"/>
        <w:ind w:firstLine="240" w:firstLineChars="100"/>
        <w:rPr>
          <w:rFonts w:cs="宋体"/>
        </w:rPr>
      </w:pPr>
      <w:r>
        <w:rPr>
          <w:rFonts w:hint="eastAsia" w:cs="宋体"/>
          <w:color w:val="333333"/>
        </w:rPr>
        <w:t>地址：陕西省西安市曲江新区雁翔路3269号旺座曲江E座29层2901号</w:t>
      </w:r>
    </w:p>
    <w:p>
      <w:pPr>
        <w:pStyle w:val="39"/>
        <w:spacing w:before="0" w:beforeAutospacing="0" w:after="0" w:afterAutospacing="0" w:line="360" w:lineRule="auto"/>
        <w:ind w:firstLine="240" w:firstLineChars="100"/>
        <w:rPr>
          <w:rFonts w:cs="宋体"/>
        </w:rPr>
      </w:pPr>
      <w:r>
        <w:rPr>
          <w:rFonts w:hint="eastAsia" w:cs="宋体"/>
          <w:color w:val="333333"/>
        </w:rPr>
        <w:t>联系方式：029-88693077</w:t>
      </w:r>
    </w:p>
    <w:p>
      <w:pPr>
        <w:pStyle w:val="8"/>
        <w:keepNext w:val="0"/>
        <w:keepLines w:val="0"/>
        <w:widowControl/>
        <w:spacing w:before="0"/>
        <w:ind w:left="1149" w:leftChars="100" w:hanging="909" w:hangingChars="379"/>
        <w:rPr>
          <w:rFonts w:ascii="宋体" w:hAnsi="宋体" w:cs="宋体"/>
        </w:rPr>
      </w:pPr>
      <w:r>
        <w:rPr>
          <w:rFonts w:hint="eastAsia" w:ascii="宋体" w:hAnsi="宋体" w:cs="宋体"/>
          <w:color w:val="333333"/>
        </w:rPr>
        <w:t xml:space="preserve">3.项目联系方式 </w:t>
      </w:r>
    </w:p>
    <w:p>
      <w:pPr>
        <w:pStyle w:val="39"/>
        <w:spacing w:before="0" w:beforeAutospacing="0" w:after="0" w:afterAutospacing="0" w:line="360" w:lineRule="auto"/>
        <w:ind w:firstLine="240" w:firstLineChars="100"/>
        <w:rPr>
          <w:rFonts w:cs="宋体"/>
        </w:rPr>
      </w:pPr>
      <w:r>
        <w:rPr>
          <w:rFonts w:hint="eastAsia" w:cs="宋体"/>
          <w:color w:val="333333"/>
        </w:rPr>
        <w:t>项目联系人：高工</w:t>
      </w:r>
    </w:p>
    <w:p>
      <w:pPr>
        <w:pStyle w:val="39"/>
        <w:spacing w:before="0" w:beforeAutospacing="0" w:after="0" w:afterAutospacing="0" w:line="360" w:lineRule="auto"/>
        <w:ind w:firstLine="240" w:firstLineChars="100"/>
        <w:rPr>
          <w:rFonts w:cs="宋体"/>
        </w:rPr>
      </w:pPr>
      <w:r>
        <w:rPr>
          <w:rFonts w:hint="eastAsia" w:cs="宋体"/>
          <w:color w:val="333333"/>
        </w:rPr>
        <w:t>电话：029-88693077</w:t>
      </w:r>
    </w:p>
    <w:p>
      <w:pPr>
        <w:pStyle w:val="39"/>
        <w:spacing w:before="0" w:beforeAutospacing="0" w:after="0" w:afterAutospacing="0" w:line="360" w:lineRule="auto"/>
        <w:jc w:val="right"/>
        <w:rPr>
          <w:rFonts w:cs="宋体"/>
        </w:rPr>
      </w:pPr>
      <w:r>
        <w:rPr>
          <w:rFonts w:hint="eastAsia" w:cs="宋体"/>
          <w:color w:val="333333"/>
        </w:rPr>
        <w:t>华睿诚项目管理有限公司</w:t>
      </w:r>
    </w:p>
    <w:p>
      <w:pPr>
        <w:pStyle w:val="39"/>
        <w:spacing w:before="0" w:beforeAutospacing="0" w:after="0" w:afterAutospacing="0" w:line="360" w:lineRule="auto"/>
        <w:jc w:val="right"/>
        <w:rPr>
          <w:rFonts w:cs="宋体"/>
        </w:rPr>
      </w:pPr>
      <w:r>
        <w:rPr>
          <w:rFonts w:hint="eastAsia" w:cs="宋体"/>
          <w:color w:val="333333"/>
        </w:rPr>
        <w:t>2023年05月08日</w:t>
      </w:r>
    </w:p>
    <w:p>
      <w:pPr>
        <w:rPr>
          <w:rFonts w:hAnsi="宋体" w:cs="宋体"/>
          <w:sz w:val="36"/>
          <w:szCs w:val="36"/>
        </w:rPr>
      </w:pPr>
      <w:r>
        <w:rPr>
          <w:rFonts w:hint="eastAsia" w:hAnsi="宋体" w:cs="宋体"/>
          <w:sz w:val="36"/>
          <w:szCs w:val="36"/>
        </w:rPr>
        <w:br w:type="page"/>
      </w:r>
    </w:p>
    <w:p>
      <w:pPr>
        <w:pStyle w:val="3"/>
        <w:keepNext w:val="0"/>
        <w:spacing w:beforeLines="50" w:afterLines="50" w:line="360" w:lineRule="auto"/>
        <w:jc w:val="center"/>
        <w:rPr>
          <w:rFonts w:ascii="宋体" w:eastAsia="宋体" w:cs="宋体"/>
          <w:bCs/>
          <w:sz w:val="36"/>
          <w:szCs w:val="36"/>
        </w:rPr>
      </w:pPr>
      <w:bookmarkStart w:id="21" w:name="_Toc14912"/>
      <w:bookmarkStart w:id="22" w:name="_Toc8704"/>
      <w:r>
        <w:rPr>
          <w:rFonts w:hint="eastAsia" w:ascii="宋体" w:eastAsia="宋体" w:cs="宋体"/>
          <w:sz w:val="36"/>
          <w:szCs w:val="36"/>
        </w:rPr>
        <w:t xml:space="preserve">第二章  </w:t>
      </w:r>
      <w:bookmarkEnd w:id="16"/>
      <w:bookmarkEnd w:id="17"/>
      <w:bookmarkStart w:id="23" w:name="OLE_LINK3"/>
      <w:r>
        <w:rPr>
          <w:rFonts w:hint="eastAsia" w:ascii="宋体" w:eastAsia="宋体" w:cs="宋体"/>
          <w:sz w:val="36"/>
          <w:szCs w:val="36"/>
        </w:rPr>
        <w:t>供应商须知</w:t>
      </w:r>
      <w:bookmarkEnd w:id="18"/>
      <w:bookmarkEnd w:id="19"/>
      <w:bookmarkEnd w:id="20"/>
      <w:bookmarkEnd w:id="21"/>
      <w:bookmarkEnd w:id="22"/>
      <w:bookmarkEnd w:id="23"/>
    </w:p>
    <w:p>
      <w:pPr>
        <w:pStyle w:val="4"/>
        <w:spacing w:before="6" w:after="6"/>
        <w:ind w:left="283"/>
        <w:jc w:val="center"/>
        <w:rPr>
          <w:rFonts w:ascii="宋体" w:hAnsi="宋体" w:cs="宋体"/>
          <w:szCs w:val="28"/>
        </w:rPr>
      </w:pPr>
      <w:bookmarkStart w:id="24" w:name="_Toc20600"/>
      <w:bookmarkStart w:id="25" w:name="_Toc1319"/>
      <w:bookmarkStart w:id="26" w:name="_Toc528232309"/>
      <w:bookmarkStart w:id="27" w:name="_Toc528326421"/>
      <w:bookmarkStart w:id="28" w:name="_Toc423973073"/>
      <w:bookmarkStart w:id="29" w:name="_Toc19364"/>
      <w:bookmarkStart w:id="30" w:name="OLE_LINK2"/>
      <w:bookmarkStart w:id="31" w:name="_Toc12889634"/>
      <w:r>
        <w:rPr>
          <w:rFonts w:hint="eastAsia" w:ascii="宋体" w:hAnsi="宋体" w:cs="宋体"/>
          <w:szCs w:val="28"/>
        </w:rPr>
        <w:t>一、供应商须知前附表</w:t>
      </w:r>
      <w:bookmarkEnd w:id="24"/>
      <w:bookmarkEnd w:id="25"/>
      <w:bookmarkEnd w:id="26"/>
      <w:bookmarkEnd w:id="27"/>
    </w:p>
    <w:p>
      <w:pPr>
        <w:spacing w:line="440" w:lineRule="exact"/>
        <w:ind w:firstLine="480" w:firstLineChars="200"/>
        <w:rPr>
          <w:rFonts w:hAnsi="宋体" w:cs="宋体"/>
          <w:szCs w:val="24"/>
        </w:rPr>
      </w:pPr>
      <w:r>
        <w:rPr>
          <w:rFonts w:hint="eastAsia" w:hAnsi="宋体" w:cs="宋体"/>
          <w:szCs w:val="24"/>
        </w:rPr>
        <w:t>本表是对供应商须知的具体补充和修改，如有矛盾，应以本资料表为准。</w:t>
      </w:r>
    </w:p>
    <w:tbl>
      <w:tblPr>
        <w:tblStyle w:val="4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006"/>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3" w:type="dxa"/>
            <w:vAlign w:val="center"/>
          </w:tcPr>
          <w:p>
            <w:pPr>
              <w:spacing w:line="460" w:lineRule="exact"/>
              <w:jc w:val="center"/>
              <w:rPr>
                <w:rFonts w:hAnsi="宋体" w:cs="宋体"/>
                <w:b/>
                <w:bCs/>
                <w:szCs w:val="24"/>
              </w:rPr>
            </w:pPr>
            <w:r>
              <w:rPr>
                <w:rFonts w:hint="eastAsia" w:hAnsi="宋体" w:cs="宋体"/>
                <w:b/>
                <w:bCs/>
                <w:szCs w:val="24"/>
              </w:rPr>
              <w:t>序号</w:t>
            </w:r>
          </w:p>
        </w:tc>
        <w:tc>
          <w:tcPr>
            <w:tcW w:w="2006" w:type="dxa"/>
            <w:vAlign w:val="center"/>
          </w:tcPr>
          <w:p>
            <w:pPr>
              <w:spacing w:line="460" w:lineRule="exact"/>
              <w:jc w:val="center"/>
              <w:rPr>
                <w:rFonts w:hAnsi="宋体" w:cs="宋体"/>
                <w:b/>
                <w:bCs/>
                <w:szCs w:val="24"/>
              </w:rPr>
            </w:pPr>
            <w:r>
              <w:rPr>
                <w:rFonts w:hint="eastAsia" w:hAnsi="宋体" w:cs="宋体"/>
                <w:b/>
                <w:bCs/>
                <w:szCs w:val="24"/>
              </w:rPr>
              <w:t>名称</w:t>
            </w:r>
          </w:p>
        </w:tc>
        <w:tc>
          <w:tcPr>
            <w:tcW w:w="6724" w:type="dxa"/>
            <w:vAlign w:val="center"/>
          </w:tcPr>
          <w:p>
            <w:pPr>
              <w:spacing w:line="460" w:lineRule="exact"/>
              <w:jc w:val="center"/>
              <w:rPr>
                <w:rFonts w:hAnsi="宋体" w:cs="宋体"/>
                <w:b/>
                <w:bCs/>
                <w:szCs w:val="24"/>
              </w:rPr>
            </w:pPr>
            <w:r>
              <w:rPr>
                <w:rFonts w:hint="eastAsia" w:hAnsi="宋体" w:cs="宋体"/>
                <w:b/>
                <w:bCs/>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w:t>
            </w:r>
          </w:p>
        </w:tc>
        <w:tc>
          <w:tcPr>
            <w:tcW w:w="2006" w:type="dxa"/>
            <w:vAlign w:val="center"/>
          </w:tcPr>
          <w:p>
            <w:pPr>
              <w:spacing w:line="460" w:lineRule="exact"/>
              <w:jc w:val="center"/>
              <w:rPr>
                <w:rFonts w:hAnsi="宋体" w:cs="宋体"/>
                <w:szCs w:val="24"/>
              </w:rPr>
            </w:pPr>
            <w:r>
              <w:rPr>
                <w:rFonts w:hint="eastAsia" w:hAnsi="宋体" w:cs="宋体"/>
                <w:szCs w:val="24"/>
              </w:rPr>
              <w:t>采购人名称</w:t>
            </w:r>
          </w:p>
        </w:tc>
        <w:tc>
          <w:tcPr>
            <w:tcW w:w="6724" w:type="dxa"/>
            <w:vAlign w:val="center"/>
          </w:tcPr>
          <w:p>
            <w:pPr>
              <w:spacing w:line="460" w:lineRule="exact"/>
              <w:jc w:val="left"/>
              <w:rPr>
                <w:rFonts w:hAnsi="宋体" w:cs="宋体"/>
                <w:szCs w:val="24"/>
              </w:rPr>
            </w:pPr>
            <w:r>
              <w:rPr>
                <w:rFonts w:hint="eastAsia" w:hAnsi="宋体" w:cs="宋体"/>
                <w:szCs w:val="24"/>
              </w:rPr>
              <w:t>采购人名称：陕西省水资源与河库调度中心</w:t>
            </w:r>
          </w:p>
          <w:p>
            <w:pPr>
              <w:spacing w:line="460" w:lineRule="exact"/>
              <w:jc w:val="left"/>
              <w:rPr>
                <w:rFonts w:hAnsi="宋体" w:cs="宋体"/>
                <w:szCs w:val="24"/>
              </w:rPr>
            </w:pPr>
            <w:r>
              <w:rPr>
                <w:rFonts w:hint="eastAsia" w:hAnsi="宋体" w:cs="宋体"/>
                <w:szCs w:val="24"/>
              </w:rPr>
              <w:t>地      址：西安市尚德路150号</w:t>
            </w:r>
          </w:p>
          <w:p>
            <w:pPr>
              <w:spacing w:line="460" w:lineRule="exact"/>
              <w:jc w:val="left"/>
              <w:rPr>
                <w:rFonts w:hAnsi="宋体" w:cs="宋体"/>
                <w:szCs w:val="24"/>
              </w:rPr>
            </w:pPr>
            <w:r>
              <w:rPr>
                <w:rFonts w:hint="eastAsia" w:hAnsi="宋体" w:cs="宋体"/>
                <w:spacing w:val="20"/>
                <w:szCs w:val="24"/>
              </w:rPr>
              <w:t>联</w:t>
            </w:r>
            <w:r>
              <w:rPr>
                <w:rFonts w:hint="eastAsia" w:hAnsi="宋体" w:cs="宋体"/>
                <w:szCs w:val="24"/>
              </w:rPr>
              <w:t>系方式：029-</w:t>
            </w:r>
            <w:ins w:id="32" w:author="szybzk" w:date="2023-05-08T14:35:00Z">
              <w:r>
                <w:rPr>
                  <w:rFonts w:hint="eastAsia" w:hAnsi="宋体" w:cs="宋体"/>
                  <w:szCs w:val="24"/>
                </w:rPr>
                <w:t>61835521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w:t>
            </w:r>
          </w:p>
        </w:tc>
        <w:tc>
          <w:tcPr>
            <w:tcW w:w="2006" w:type="dxa"/>
            <w:vAlign w:val="center"/>
          </w:tcPr>
          <w:p>
            <w:pPr>
              <w:spacing w:line="460" w:lineRule="exact"/>
              <w:jc w:val="center"/>
              <w:rPr>
                <w:rFonts w:hAnsi="宋体" w:cs="宋体"/>
                <w:szCs w:val="24"/>
              </w:rPr>
            </w:pPr>
            <w:r>
              <w:rPr>
                <w:rFonts w:hint="eastAsia" w:hAnsi="宋体" w:cs="宋体"/>
                <w:szCs w:val="24"/>
              </w:rPr>
              <w:t>采购代理机构</w:t>
            </w:r>
          </w:p>
        </w:tc>
        <w:tc>
          <w:tcPr>
            <w:tcW w:w="6724" w:type="dxa"/>
            <w:vAlign w:val="center"/>
          </w:tcPr>
          <w:p>
            <w:pPr>
              <w:spacing w:line="460" w:lineRule="exact"/>
              <w:rPr>
                <w:rFonts w:hAnsi="宋体" w:cs="宋体"/>
                <w:szCs w:val="24"/>
              </w:rPr>
            </w:pPr>
            <w:r>
              <w:rPr>
                <w:rFonts w:hint="eastAsia" w:hAnsi="宋体" w:cs="宋体"/>
                <w:szCs w:val="24"/>
              </w:rPr>
              <w:t>采购代理机构：华睿诚项目管理有限公司</w:t>
            </w:r>
          </w:p>
          <w:p>
            <w:pPr>
              <w:spacing w:line="460" w:lineRule="exact"/>
              <w:rPr>
                <w:rFonts w:hAnsi="宋体" w:cs="宋体"/>
                <w:szCs w:val="24"/>
              </w:rPr>
            </w:pPr>
            <w:r>
              <w:rPr>
                <w:rFonts w:hint="eastAsia" w:hAnsi="宋体" w:cs="宋体"/>
                <w:szCs w:val="24"/>
              </w:rPr>
              <w:t>地        址：陕西省西安市曲江新区雁翔路3269号旺座曲江E座29层2901号</w:t>
            </w:r>
          </w:p>
          <w:p>
            <w:pPr>
              <w:spacing w:line="460" w:lineRule="exact"/>
              <w:rPr>
                <w:rFonts w:hAnsi="宋体" w:cs="宋体"/>
                <w:szCs w:val="24"/>
              </w:rPr>
            </w:pPr>
            <w:r>
              <w:rPr>
                <w:rFonts w:hint="eastAsia" w:hAnsi="宋体" w:cs="宋体"/>
                <w:szCs w:val="24"/>
              </w:rPr>
              <w:t>电        话：029-88693077</w:t>
            </w:r>
          </w:p>
          <w:p>
            <w:pPr>
              <w:pStyle w:val="13"/>
              <w:ind w:firstLine="0" w:firstLineChars="0"/>
              <w:rPr>
                <w:rFonts w:ascii="宋体" w:hAnsi="宋体" w:cs="宋体"/>
                <w:sz w:val="24"/>
              </w:rPr>
            </w:pPr>
            <w:r>
              <w:rPr>
                <w:rFonts w:hint="eastAsia" w:ascii="宋体" w:hAnsi="宋体" w:cs="宋体"/>
                <w:sz w:val="24"/>
              </w:rPr>
              <w:t>电 子  邮 箱：1026328747@qq.com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3</w:t>
            </w:r>
          </w:p>
        </w:tc>
        <w:tc>
          <w:tcPr>
            <w:tcW w:w="2006" w:type="dxa"/>
            <w:vAlign w:val="center"/>
          </w:tcPr>
          <w:p>
            <w:pPr>
              <w:spacing w:line="460" w:lineRule="exact"/>
              <w:jc w:val="center"/>
              <w:rPr>
                <w:rFonts w:hAnsi="宋体" w:cs="宋体"/>
                <w:szCs w:val="24"/>
              </w:rPr>
            </w:pPr>
            <w:r>
              <w:rPr>
                <w:rFonts w:hint="eastAsia" w:hAnsi="宋体" w:cs="宋体"/>
                <w:szCs w:val="24"/>
              </w:rPr>
              <w:t>项目地点</w:t>
            </w:r>
          </w:p>
        </w:tc>
        <w:tc>
          <w:tcPr>
            <w:tcW w:w="6724" w:type="dxa"/>
            <w:vAlign w:val="center"/>
          </w:tcPr>
          <w:p>
            <w:pPr>
              <w:spacing w:line="460" w:lineRule="exact"/>
              <w:jc w:val="left"/>
              <w:rPr>
                <w:rFonts w:hAnsi="宋体" w:cs="宋体"/>
                <w:szCs w:val="24"/>
              </w:rPr>
            </w:pPr>
            <w:r>
              <w:rPr>
                <w:rFonts w:hint="eastAsia" w:hAnsi="宋体" w:cs="宋体"/>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4</w:t>
            </w:r>
          </w:p>
        </w:tc>
        <w:tc>
          <w:tcPr>
            <w:tcW w:w="2006" w:type="dxa"/>
            <w:vAlign w:val="center"/>
          </w:tcPr>
          <w:p>
            <w:pPr>
              <w:spacing w:line="460" w:lineRule="exact"/>
              <w:jc w:val="center"/>
              <w:rPr>
                <w:rFonts w:hAnsi="宋体" w:cs="宋体"/>
                <w:szCs w:val="24"/>
              </w:rPr>
            </w:pPr>
            <w:r>
              <w:rPr>
                <w:rFonts w:hint="eastAsia" w:hAnsi="宋体" w:cs="宋体"/>
                <w:szCs w:val="24"/>
              </w:rPr>
              <w:t>资金来源</w:t>
            </w:r>
          </w:p>
        </w:tc>
        <w:tc>
          <w:tcPr>
            <w:tcW w:w="6724" w:type="dxa"/>
            <w:vAlign w:val="center"/>
          </w:tcPr>
          <w:p>
            <w:pPr>
              <w:spacing w:line="460" w:lineRule="exact"/>
              <w:jc w:val="left"/>
              <w:rPr>
                <w:rFonts w:hAnsi="宋体" w:cs="宋体"/>
                <w:szCs w:val="24"/>
              </w:rPr>
            </w:pPr>
            <w:r>
              <w:rPr>
                <w:rFonts w:hint="eastAsia"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5</w:t>
            </w:r>
          </w:p>
        </w:tc>
        <w:tc>
          <w:tcPr>
            <w:tcW w:w="2006" w:type="dxa"/>
            <w:vAlign w:val="center"/>
          </w:tcPr>
          <w:p>
            <w:pPr>
              <w:spacing w:line="460" w:lineRule="exact"/>
              <w:jc w:val="center"/>
              <w:rPr>
                <w:rFonts w:hAnsi="宋体" w:cs="宋体"/>
                <w:szCs w:val="24"/>
              </w:rPr>
            </w:pPr>
            <w:r>
              <w:rPr>
                <w:rFonts w:hint="eastAsia" w:hAnsi="宋体" w:cs="宋体"/>
                <w:szCs w:val="24"/>
              </w:rPr>
              <w:t>资金落实情况</w:t>
            </w:r>
          </w:p>
        </w:tc>
        <w:tc>
          <w:tcPr>
            <w:tcW w:w="6724" w:type="dxa"/>
            <w:vAlign w:val="center"/>
          </w:tcPr>
          <w:p>
            <w:pPr>
              <w:spacing w:line="460" w:lineRule="exact"/>
              <w:jc w:val="left"/>
              <w:rPr>
                <w:rFonts w:hAnsi="宋体" w:cs="宋体"/>
                <w:szCs w:val="24"/>
              </w:rPr>
            </w:pPr>
            <w:r>
              <w:rPr>
                <w:rFonts w:hint="eastAsia" w:hAnsi="宋体" w:cs="宋体"/>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6</w:t>
            </w:r>
          </w:p>
        </w:tc>
        <w:tc>
          <w:tcPr>
            <w:tcW w:w="2006" w:type="dxa"/>
            <w:vAlign w:val="center"/>
          </w:tcPr>
          <w:p>
            <w:pPr>
              <w:widowControl/>
              <w:spacing w:line="360" w:lineRule="exact"/>
              <w:jc w:val="center"/>
              <w:rPr>
                <w:rFonts w:hAnsi="宋体" w:cs="宋体"/>
                <w:szCs w:val="24"/>
              </w:rPr>
            </w:pPr>
            <w:r>
              <w:rPr>
                <w:rFonts w:hint="eastAsia" w:hAnsi="宋体" w:cs="宋体"/>
                <w:szCs w:val="24"/>
              </w:rPr>
              <w:t>采购内容</w:t>
            </w:r>
          </w:p>
        </w:tc>
        <w:tc>
          <w:tcPr>
            <w:tcW w:w="6724" w:type="dxa"/>
            <w:vAlign w:val="center"/>
          </w:tcPr>
          <w:p>
            <w:pPr>
              <w:widowControl/>
              <w:spacing w:line="360" w:lineRule="exact"/>
              <w:rPr>
                <w:rFonts w:hAnsi="宋体" w:cs="宋体"/>
                <w:szCs w:val="24"/>
              </w:rPr>
            </w:pPr>
            <w:r>
              <w:rPr>
                <w:rFonts w:hint="eastAsia" w:hAnsi="宋体" w:cs="宋体"/>
                <w:szCs w:val="24"/>
              </w:rPr>
              <w:t>合同包1：主要对于宝鸡、咸阳、铜川、韩城、延安、榆林区域内国控水量监测点和水质监测站进行日常运维管理及数据库扩容服务。包括：巡检、故障处理、例行维护等，通过对其系统设备、监测设施和附属设备的维修与更新，确保取用水监测站点的正常运行。验收时实现正常运行无故障的目标。</w:t>
            </w:r>
          </w:p>
          <w:p>
            <w:pPr>
              <w:widowControl/>
              <w:spacing w:line="360" w:lineRule="exact"/>
              <w:rPr>
                <w:rFonts w:hAnsi="宋体" w:cs="宋体"/>
                <w:szCs w:val="24"/>
              </w:rPr>
            </w:pPr>
            <w:r>
              <w:rPr>
                <w:rFonts w:hint="eastAsia" w:hAnsi="宋体" w:cs="宋体"/>
                <w:szCs w:val="24"/>
              </w:rPr>
              <w:t>具体内容详见竞争性磋商文件第四章《采购内容及要求》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7</w:t>
            </w:r>
          </w:p>
        </w:tc>
        <w:tc>
          <w:tcPr>
            <w:tcW w:w="2006" w:type="dxa"/>
            <w:vAlign w:val="center"/>
          </w:tcPr>
          <w:p>
            <w:pPr>
              <w:spacing w:line="460" w:lineRule="exact"/>
              <w:jc w:val="center"/>
              <w:rPr>
                <w:rFonts w:hAnsi="宋体" w:cs="宋体"/>
                <w:szCs w:val="24"/>
              </w:rPr>
            </w:pPr>
            <w:r>
              <w:rPr>
                <w:rFonts w:hint="eastAsia" w:hAnsi="宋体" w:cs="宋体"/>
                <w:szCs w:val="24"/>
              </w:rPr>
              <w:t>服务期</w:t>
            </w:r>
          </w:p>
        </w:tc>
        <w:tc>
          <w:tcPr>
            <w:tcW w:w="6724" w:type="dxa"/>
            <w:vAlign w:val="center"/>
          </w:tcPr>
          <w:p>
            <w:pPr>
              <w:pStyle w:val="16"/>
              <w:spacing w:line="460" w:lineRule="exact"/>
              <w:rPr>
                <w:rFonts w:ascii="宋体" w:hAnsi="宋体" w:cs="宋体"/>
                <w:sz w:val="24"/>
                <w:highlight w:val="yellow"/>
              </w:rPr>
            </w:pPr>
            <w:r>
              <w:rPr>
                <w:rFonts w:hint="eastAsia" w:ascii="宋体" w:hAnsi="宋体" w:cs="宋体"/>
                <w:sz w:val="24"/>
              </w:rPr>
              <w:t>自合同签订之日起12个月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8</w:t>
            </w:r>
          </w:p>
        </w:tc>
        <w:tc>
          <w:tcPr>
            <w:tcW w:w="2006" w:type="dxa"/>
            <w:vAlign w:val="center"/>
          </w:tcPr>
          <w:p>
            <w:pPr>
              <w:spacing w:line="460" w:lineRule="exact"/>
              <w:jc w:val="center"/>
              <w:rPr>
                <w:rFonts w:hAnsi="宋体" w:cs="宋体"/>
                <w:szCs w:val="24"/>
              </w:rPr>
            </w:pPr>
            <w:r>
              <w:rPr>
                <w:rFonts w:hint="eastAsia" w:hAnsi="宋体" w:cs="宋体"/>
                <w:szCs w:val="24"/>
              </w:rPr>
              <w:t>质量标准</w:t>
            </w:r>
          </w:p>
        </w:tc>
        <w:tc>
          <w:tcPr>
            <w:tcW w:w="6724" w:type="dxa"/>
            <w:vAlign w:val="center"/>
          </w:tcPr>
          <w:p>
            <w:pPr>
              <w:spacing w:line="460" w:lineRule="exact"/>
              <w:jc w:val="left"/>
              <w:rPr>
                <w:rFonts w:hAnsi="宋体" w:cs="宋体"/>
                <w:szCs w:val="24"/>
              </w:rPr>
            </w:pPr>
            <w:r>
              <w:rPr>
                <w:rFonts w:hint="eastAsia" w:hAnsi="宋体" w:cs="宋体"/>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9</w:t>
            </w:r>
          </w:p>
        </w:tc>
        <w:tc>
          <w:tcPr>
            <w:tcW w:w="2006" w:type="dxa"/>
            <w:vAlign w:val="center"/>
          </w:tcPr>
          <w:p>
            <w:pPr>
              <w:spacing w:line="460" w:lineRule="exact"/>
              <w:jc w:val="center"/>
              <w:rPr>
                <w:rFonts w:hAnsi="宋体" w:cs="宋体"/>
                <w:szCs w:val="24"/>
              </w:rPr>
            </w:pPr>
            <w:r>
              <w:rPr>
                <w:rFonts w:hint="eastAsia" w:hAnsi="宋体" w:cs="宋体"/>
                <w:szCs w:val="24"/>
              </w:rPr>
              <w:t>供应商资格要求</w:t>
            </w:r>
          </w:p>
        </w:tc>
        <w:tc>
          <w:tcPr>
            <w:tcW w:w="6724" w:type="dxa"/>
          </w:tcPr>
          <w:p>
            <w:pPr>
              <w:spacing w:line="460" w:lineRule="exact"/>
              <w:rPr>
                <w:rFonts w:hAnsi="宋体" w:cs="宋体"/>
                <w:b/>
                <w:color w:val="333333"/>
                <w:szCs w:val="24"/>
              </w:rPr>
            </w:pPr>
            <w:r>
              <w:rPr>
                <w:rFonts w:hint="eastAsia" w:hAnsi="宋体" w:cs="宋体"/>
                <w:b/>
                <w:color w:val="333333"/>
                <w:szCs w:val="24"/>
              </w:rPr>
              <w:t>特定资格条件：</w:t>
            </w:r>
          </w:p>
          <w:p>
            <w:pPr>
              <w:spacing w:line="460" w:lineRule="exact"/>
              <w:ind w:firstLine="480" w:firstLineChars="200"/>
              <w:rPr>
                <w:rFonts w:hAnsi="宋体" w:cs="宋体"/>
                <w:szCs w:val="24"/>
              </w:rPr>
            </w:pPr>
            <w:r>
              <w:rPr>
                <w:rFonts w:hint="eastAsia" w:hAnsi="宋体" w:cs="宋体"/>
                <w:szCs w:val="24"/>
              </w:rPr>
              <w:t>（1）提供合格有效的法人或者其他组织的营业执照等证明文件，自然人的身份证明；事业法人应提供事业单位法人证、组织机构代码证等证明文件；（2）法定代表人授权书（附法定代表人、被授权人身份证复印件）及被授权人身份证（法定代表人参加投标只需提供本人身份证）；（3）财务状况：供应商须提供2021或2022年度财务审计报告（成立时间至提交响应文件截止时间不足一年的可提供成立后任意时段的资产负债表），或其基本存款账户开户银行出具的资信证明及基本存款账户开户许可证；（4）税收缴纳证明：供应商提供投标截止时间前一年内已缴纳的至少一个月纳税证明或完税证明，依法免税的单位应提供相关证明材料；（5）社会保障资金缴纳证明：供应商提供投标截止时间前一年内已缴存的至少一个月的社会保障资金缴存单据或社保机构开具的社会保险参保缴费情况证明，依法不需要缴纳社会保障资金的单位应提供相关证明材料；（6）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7）提供参加本次政府采购活动前三年内在经营活动中没有重大违法记录的书面声明；（8）提供具有履行合同所必需的设备和专业技术能力的承诺函；（9）投标保证金缴纳凭证或担保机构出具的保函。</w:t>
            </w:r>
          </w:p>
          <w:p>
            <w:pPr>
              <w:spacing w:line="460" w:lineRule="exact"/>
              <w:ind w:firstLine="482" w:firstLineChars="200"/>
              <w:rPr>
                <w:rFonts w:hAnsi="宋体" w:cs="宋体"/>
                <w:szCs w:val="24"/>
              </w:rPr>
            </w:pPr>
            <w:r>
              <w:rPr>
                <w:rFonts w:hint="eastAsia" w:hAnsi="宋体" w:cs="宋体"/>
                <w:b/>
                <w:bCs/>
                <w:color w:val="333333"/>
                <w:szCs w:val="24"/>
              </w:rPr>
              <w:t>以上1-9项为必备资质，按照磋商文件要求将加盖公章的资格证明文件的复印件提供在磋商响应文件中。缺一项或某项达不到要求，按无效投标处理。</w:t>
            </w:r>
            <w:r>
              <w:rPr>
                <w:rFonts w:hint="eastAsia" w:hAnsi="宋体" w:cs="宋体"/>
                <w:b/>
                <w:bCs/>
                <w:color w:val="333333"/>
                <w:kern w:val="2"/>
                <w:szCs w:val="24"/>
              </w:rPr>
              <w:t>（磋商当天投标人授权代表须携带本人身份证原件参会）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10</w:t>
            </w:r>
          </w:p>
        </w:tc>
        <w:tc>
          <w:tcPr>
            <w:tcW w:w="2006" w:type="dxa"/>
            <w:vAlign w:val="center"/>
          </w:tcPr>
          <w:p>
            <w:pPr>
              <w:spacing w:line="460" w:lineRule="exact"/>
              <w:jc w:val="center"/>
              <w:rPr>
                <w:rFonts w:hAnsi="宋体" w:cs="宋体"/>
                <w:szCs w:val="24"/>
              </w:rPr>
            </w:pPr>
            <w:r>
              <w:rPr>
                <w:rFonts w:hint="eastAsia" w:hAnsi="宋体" w:cs="宋体"/>
                <w:szCs w:val="24"/>
              </w:rPr>
              <w:t>磋商文件发售时间/发售地点</w:t>
            </w:r>
          </w:p>
        </w:tc>
        <w:tc>
          <w:tcPr>
            <w:tcW w:w="6724" w:type="dxa"/>
            <w:vAlign w:val="center"/>
          </w:tcPr>
          <w:p>
            <w:pPr>
              <w:autoSpaceDE w:val="0"/>
              <w:autoSpaceDN w:val="0"/>
              <w:adjustRightInd w:val="0"/>
              <w:spacing w:line="460" w:lineRule="exact"/>
              <w:rPr>
                <w:rFonts w:hAnsi="宋体" w:cs="宋体"/>
                <w:szCs w:val="24"/>
              </w:rPr>
            </w:pPr>
            <w:r>
              <w:rPr>
                <w:rFonts w:hint="eastAsia" w:hAnsi="宋体" w:cs="宋体"/>
                <w:szCs w:val="24"/>
              </w:rPr>
              <w:t>发售时间：</w:t>
            </w:r>
            <w:r>
              <w:rPr>
                <w:rFonts w:hint="eastAsia" w:hAnsi="宋体" w:cs="宋体"/>
                <w:color w:val="333333"/>
                <w:szCs w:val="24"/>
              </w:rPr>
              <w:t>2023年05月0</w:t>
            </w:r>
            <w:ins w:id="33" w:author="高凌" w:date="2023-05-15T13:00:02Z">
              <w:r>
                <w:rPr>
                  <w:rFonts w:hint="eastAsia" w:hAnsi="宋体" w:cs="宋体"/>
                  <w:color w:val="333333"/>
                  <w:szCs w:val="24"/>
                  <w:lang w:val="en-US" w:eastAsia="zh-CN"/>
                </w:rPr>
                <w:t>8</w:t>
              </w:r>
            </w:ins>
            <w:r>
              <w:rPr>
                <w:rFonts w:hint="eastAsia" w:hAnsi="宋体" w:cs="宋体"/>
                <w:color w:val="333333"/>
                <w:szCs w:val="24"/>
              </w:rPr>
              <w:t>日至2023年05月1</w:t>
            </w:r>
            <w:ins w:id="34" w:author="高凌" w:date="2023-05-15T13:00:12Z">
              <w:r>
                <w:rPr>
                  <w:rFonts w:hint="eastAsia" w:hAnsi="宋体" w:cs="宋体"/>
                  <w:color w:val="333333"/>
                  <w:szCs w:val="24"/>
                  <w:lang w:val="en-US" w:eastAsia="zh-CN"/>
                </w:rPr>
                <w:t>5</w:t>
              </w:r>
            </w:ins>
            <w:r>
              <w:rPr>
                <w:rFonts w:hint="eastAsia" w:hAnsi="宋体" w:cs="宋体"/>
                <w:color w:val="333333"/>
                <w:szCs w:val="24"/>
              </w:rPr>
              <w:t>日18:00（节假日除外）</w:t>
            </w:r>
          </w:p>
          <w:p>
            <w:pPr>
              <w:autoSpaceDE w:val="0"/>
              <w:autoSpaceDN w:val="0"/>
              <w:adjustRightInd w:val="0"/>
              <w:spacing w:line="460" w:lineRule="exact"/>
              <w:rPr>
                <w:rFonts w:hAnsi="宋体" w:cs="宋体"/>
                <w:szCs w:val="24"/>
              </w:rPr>
            </w:pPr>
            <w:r>
              <w:rPr>
                <w:rFonts w:hint="eastAsia" w:hAnsi="宋体" w:cs="宋体"/>
                <w:szCs w:val="24"/>
              </w:rPr>
              <w:t>发售地点：陕西省西安市曲江新区雁翔路3269号旺座曲江E座29层2901号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11</w:t>
            </w:r>
          </w:p>
        </w:tc>
        <w:tc>
          <w:tcPr>
            <w:tcW w:w="2006" w:type="dxa"/>
            <w:vAlign w:val="center"/>
          </w:tcPr>
          <w:p>
            <w:pPr>
              <w:spacing w:line="460" w:lineRule="exact"/>
              <w:jc w:val="center"/>
              <w:rPr>
                <w:rFonts w:hAnsi="宋体" w:cs="宋体"/>
                <w:szCs w:val="24"/>
              </w:rPr>
            </w:pPr>
            <w:r>
              <w:rPr>
                <w:rFonts w:hint="eastAsia" w:hAnsi="宋体" w:cs="宋体"/>
                <w:szCs w:val="24"/>
              </w:rPr>
              <w:t>踏勘现场</w:t>
            </w:r>
          </w:p>
        </w:tc>
        <w:tc>
          <w:tcPr>
            <w:tcW w:w="6724" w:type="dxa"/>
            <w:vAlign w:val="center"/>
          </w:tcPr>
          <w:p>
            <w:pPr>
              <w:spacing w:line="460" w:lineRule="exact"/>
              <w:rPr>
                <w:rFonts w:hAnsi="宋体" w:cs="宋体"/>
                <w:szCs w:val="24"/>
              </w:rPr>
            </w:pPr>
            <w:r>
              <w:rPr>
                <w:rFonts w:hint="eastAsia" w:hAnsi="宋体" w:cs="宋体"/>
                <w:szCs w:val="24"/>
              </w:rPr>
              <w:t>采购代理机构不组织统一踏勘，各供应商如有需要可自行踏勘，相关费用及安全由供应商自行承担，踏勘时不得扰民，如有疑问请以书面的方式提交给采购代理机构。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12</w:t>
            </w:r>
          </w:p>
        </w:tc>
        <w:tc>
          <w:tcPr>
            <w:tcW w:w="2006" w:type="dxa"/>
            <w:vAlign w:val="center"/>
          </w:tcPr>
          <w:p>
            <w:pPr>
              <w:spacing w:line="460" w:lineRule="exact"/>
              <w:jc w:val="center"/>
              <w:rPr>
                <w:rFonts w:hAnsi="宋体" w:cs="宋体"/>
                <w:szCs w:val="24"/>
              </w:rPr>
            </w:pPr>
            <w:r>
              <w:rPr>
                <w:rFonts w:hint="eastAsia" w:hAnsi="宋体" w:cs="宋体"/>
                <w:szCs w:val="24"/>
              </w:rPr>
              <w:t>磋商答疑会</w:t>
            </w:r>
          </w:p>
        </w:tc>
        <w:tc>
          <w:tcPr>
            <w:tcW w:w="6724" w:type="dxa"/>
            <w:vAlign w:val="center"/>
          </w:tcPr>
          <w:p>
            <w:pPr>
              <w:spacing w:line="460" w:lineRule="exact"/>
              <w:rPr>
                <w:rFonts w:hAnsi="宋体" w:cs="宋体"/>
                <w:szCs w:val="24"/>
              </w:rPr>
            </w:pPr>
            <w:r>
              <w:rPr>
                <w:rFonts w:hint="eastAsia" w:hAnsi="宋体" w:cs="宋体"/>
                <w:szCs w:val="24"/>
              </w:rPr>
              <w:t>不召开；若有疑问，均应在磋商截止日期2日前以书面形式向采购代理机构提出。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13</w:t>
            </w:r>
          </w:p>
        </w:tc>
        <w:tc>
          <w:tcPr>
            <w:tcW w:w="2006" w:type="dxa"/>
            <w:vAlign w:val="center"/>
          </w:tcPr>
          <w:p>
            <w:pPr>
              <w:spacing w:line="460" w:lineRule="exact"/>
              <w:jc w:val="center"/>
              <w:rPr>
                <w:rFonts w:hAnsi="宋体" w:cs="宋体"/>
                <w:szCs w:val="24"/>
              </w:rPr>
            </w:pPr>
            <w:r>
              <w:rPr>
                <w:rFonts w:hint="eastAsia" w:hAnsi="宋体" w:cs="宋体"/>
                <w:szCs w:val="24"/>
              </w:rPr>
              <w:t>分包</w:t>
            </w:r>
          </w:p>
        </w:tc>
        <w:tc>
          <w:tcPr>
            <w:tcW w:w="6724" w:type="dxa"/>
            <w:vAlign w:val="center"/>
          </w:tcPr>
          <w:p>
            <w:pPr>
              <w:spacing w:line="460" w:lineRule="exact"/>
              <w:rPr>
                <w:rFonts w:hAnsi="宋体" w:cs="宋体"/>
                <w:szCs w:val="24"/>
              </w:rPr>
            </w:pPr>
            <w:r>
              <w:rPr>
                <w:rFonts w:hint="eastAsia"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14</w:t>
            </w:r>
          </w:p>
        </w:tc>
        <w:tc>
          <w:tcPr>
            <w:tcW w:w="2006" w:type="dxa"/>
            <w:vAlign w:val="center"/>
          </w:tcPr>
          <w:p>
            <w:pPr>
              <w:spacing w:line="460" w:lineRule="exact"/>
              <w:jc w:val="center"/>
              <w:rPr>
                <w:rFonts w:hAnsi="宋体" w:cs="宋体"/>
                <w:szCs w:val="24"/>
              </w:rPr>
            </w:pPr>
            <w:r>
              <w:rPr>
                <w:rFonts w:hint="eastAsia" w:hAnsi="宋体" w:cs="宋体"/>
                <w:szCs w:val="24"/>
              </w:rPr>
              <w:t>构成磋商文件的其他材料</w:t>
            </w:r>
          </w:p>
        </w:tc>
        <w:tc>
          <w:tcPr>
            <w:tcW w:w="6724" w:type="dxa"/>
            <w:vAlign w:val="center"/>
          </w:tcPr>
          <w:p>
            <w:pPr>
              <w:spacing w:line="460" w:lineRule="exact"/>
              <w:rPr>
                <w:rFonts w:hAnsi="宋体" w:cs="宋体"/>
                <w:szCs w:val="24"/>
              </w:rPr>
            </w:pPr>
            <w:r>
              <w:rPr>
                <w:rFonts w:hint="eastAsia" w:hAnsi="宋体" w:cs="宋体"/>
                <w:szCs w:val="24"/>
              </w:rPr>
              <w:t>磋商澄清、修改、答疑文件等相关材料。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15</w:t>
            </w:r>
          </w:p>
        </w:tc>
        <w:tc>
          <w:tcPr>
            <w:tcW w:w="2006" w:type="dxa"/>
            <w:vAlign w:val="center"/>
          </w:tcPr>
          <w:p>
            <w:pPr>
              <w:spacing w:line="460" w:lineRule="exact"/>
              <w:jc w:val="center"/>
              <w:rPr>
                <w:rFonts w:hAnsi="宋体" w:cs="宋体"/>
                <w:szCs w:val="24"/>
              </w:rPr>
            </w:pPr>
            <w:r>
              <w:rPr>
                <w:rFonts w:hint="eastAsia" w:hAnsi="宋体" w:cs="宋体"/>
                <w:szCs w:val="24"/>
              </w:rPr>
              <w:t>供应商对磋商文件的疑问</w:t>
            </w:r>
          </w:p>
        </w:tc>
        <w:tc>
          <w:tcPr>
            <w:tcW w:w="6724" w:type="dxa"/>
            <w:vAlign w:val="center"/>
          </w:tcPr>
          <w:p>
            <w:pPr>
              <w:pStyle w:val="16"/>
              <w:spacing w:line="460" w:lineRule="exact"/>
              <w:rPr>
                <w:rFonts w:ascii="宋体" w:hAnsi="宋体" w:cs="宋体"/>
                <w:sz w:val="24"/>
              </w:rPr>
            </w:pPr>
            <w:r>
              <w:rPr>
                <w:rFonts w:hint="eastAsia" w:ascii="宋体" w:hAnsi="宋体" w:cs="宋体"/>
                <w:sz w:val="24"/>
              </w:rPr>
              <w:t>磋商截止时间2日前。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16</w:t>
            </w:r>
          </w:p>
        </w:tc>
        <w:tc>
          <w:tcPr>
            <w:tcW w:w="2006" w:type="dxa"/>
            <w:vAlign w:val="center"/>
          </w:tcPr>
          <w:p>
            <w:pPr>
              <w:spacing w:line="460" w:lineRule="exact"/>
              <w:jc w:val="center"/>
              <w:rPr>
                <w:rFonts w:hAnsi="宋体" w:cs="宋体"/>
                <w:szCs w:val="24"/>
              </w:rPr>
            </w:pPr>
            <w:r>
              <w:rPr>
                <w:rFonts w:hint="eastAsia" w:hAnsi="宋体" w:cs="宋体"/>
                <w:szCs w:val="24"/>
              </w:rPr>
              <w:t>采购人澄清</w:t>
            </w:r>
          </w:p>
          <w:p>
            <w:pPr>
              <w:spacing w:line="460" w:lineRule="exact"/>
              <w:jc w:val="center"/>
              <w:rPr>
                <w:rFonts w:hAnsi="宋体" w:cs="宋体"/>
                <w:szCs w:val="24"/>
              </w:rPr>
            </w:pPr>
            <w:r>
              <w:rPr>
                <w:rFonts w:hint="eastAsia" w:hAnsi="宋体" w:cs="宋体"/>
                <w:szCs w:val="24"/>
              </w:rPr>
              <w:t>磋商文件的截止时间</w:t>
            </w:r>
          </w:p>
        </w:tc>
        <w:tc>
          <w:tcPr>
            <w:tcW w:w="6724" w:type="dxa"/>
            <w:vAlign w:val="center"/>
          </w:tcPr>
          <w:p>
            <w:pPr>
              <w:spacing w:line="460" w:lineRule="exact"/>
              <w:rPr>
                <w:rFonts w:hAnsi="宋体" w:cs="宋体"/>
                <w:szCs w:val="24"/>
              </w:rPr>
            </w:pPr>
            <w:r>
              <w:rPr>
                <w:rFonts w:hint="eastAsia" w:hAnsi="宋体" w:cs="宋体"/>
                <w:szCs w:val="24"/>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17</w:t>
            </w:r>
          </w:p>
        </w:tc>
        <w:tc>
          <w:tcPr>
            <w:tcW w:w="2006" w:type="dxa"/>
            <w:vAlign w:val="center"/>
          </w:tcPr>
          <w:p>
            <w:pPr>
              <w:spacing w:line="460" w:lineRule="exact"/>
              <w:jc w:val="center"/>
              <w:rPr>
                <w:rFonts w:hAnsi="宋体" w:cs="宋体"/>
                <w:szCs w:val="24"/>
              </w:rPr>
            </w:pPr>
            <w:r>
              <w:rPr>
                <w:rFonts w:hint="eastAsia" w:hAnsi="宋体" w:cs="宋体"/>
                <w:szCs w:val="24"/>
              </w:rPr>
              <w:t>磋商有效期(含授权期）</w:t>
            </w:r>
          </w:p>
        </w:tc>
        <w:tc>
          <w:tcPr>
            <w:tcW w:w="6724" w:type="dxa"/>
            <w:vAlign w:val="center"/>
          </w:tcPr>
          <w:p>
            <w:pPr>
              <w:spacing w:line="460" w:lineRule="exact"/>
              <w:jc w:val="left"/>
              <w:rPr>
                <w:rFonts w:hAnsi="宋体" w:cs="宋体"/>
                <w:b/>
                <w:szCs w:val="24"/>
              </w:rPr>
            </w:pPr>
            <w:r>
              <w:rPr>
                <w:rFonts w:hint="eastAsia" w:hAnsi="宋体" w:cs="宋体"/>
                <w:b/>
                <w:szCs w:val="24"/>
              </w:rPr>
              <w:t>自提交磋商响应文件的截止之日起90天。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18</w:t>
            </w:r>
          </w:p>
        </w:tc>
        <w:tc>
          <w:tcPr>
            <w:tcW w:w="2006" w:type="dxa"/>
            <w:vAlign w:val="center"/>
          </w:tcPr>
          <w:p>
            <w:pPr>
              <w:spacing w:line="460" w:lineRule="exact"/>
              <w:jc w:val="center"/>
              <w:rPr>
                <w:rFonts w:hAnsi="宋体" w:cs="宋体"/>
                <w:szCs w:val="24"/>
              </w:rPr>
            </w:pPr>
            <w:r>
              <w:rPr>
                <w:rFonts w:hint="eastAsia" w:hAnsi="宋体" w:cs="宋体"/>
                <w:szCs w:val="24"/>
              </w:rPr>
              <w:t>磋商保证金</w:t>
            </w:r>
          </w:p>
        </w:tc>
        <w:tc>
          <w:tcPr>
            <w:tcW w:w="6724" w:type="dxa"/>
            <w:vAlign w:val="center"/>
          </w:tcPr>
          <w:p>
            <w:pPr>
              <w:spacing w:line="460" w:lineRule="exact"/>
              <w:rPr>
                <w:rFonts w:hAnsi="宋体" w:cs="宋体"/>
                <w:szCs w:val="24"/>
              </w:rPr>
            </w:pPr>
            <w:r>
              <w:rPr>
                <w:rFonts w:hint="eastAsia" w:hAnsi="宋体" w:cs="宋体"/>
                <w:szCs w:val="24"/>
              </w:rPr>
              <w:t>磋商保证金：</w:t>
            </w:r>
          </w:p>
          <w:p>
            <w:pPr>
              <w:spacing w:line="460" w:lineRule="exact"/>
              <w:rPr>
                <w:rFonts w:hAnsi="宋体" w:cs="宋体"/>
                <w:b/>
                <w:bCs/>
                <w:szCs w:val="24"/>
              </w:rPr>
            </w:pPr>
            <w:r>
              <w:rPr>
                <w:rFonts w:hint="eastAsia" w:hAnsi="宋体" w:cs="宋体"/>
                <w:b/>
                <w:bCs/>
                <w:szCs w:val="24"/>
              </w:rPr>
              <w:t>合同包1：人民币壹万伍仟元整（￥15000.00元）</w:t>
            </w:r>
          </w:p>
          <w:p>
            <w:pPr>
              <w:spacing w:line="460" w:lineRule="exact"/>
              <w:ind w:firstLine="480" w:firstLineChars="200"/>
              <w:rPr>
                <w:rFonts w:hAnsi="宋体" w:cs="宋体"/>
                <w:szCs w:val="24"/>
              </w:rPr>
            </w:pPr>
            <w:r>
              <w:rPr>
                <w:rFonts w:hint="eastAsia" w:hAnsi="宋体" w:cs="宋体"/>
                <w:szCs w:val="24"/>
              </w:rPr>
              <w:t>磋商保证金的有效期与磋商有效期一致。担保机构出具的保函的有效期为磋商有效期延长一个月。</w:t>
            </w:r>
          </w:p>
          <w:p>
            <w:pPr>
              <w:spacing w:line="460" w:lineRule="exact"/>
              <w:ind w:firstLine="480" w:firstLineChars="200"/>
              <w:rPr>
                <w:rFonts w:hAnsi="宋体" w:cs="宋体"/>
                <w:szCs w:val="24"/>
              </w:rPr>
            </w:pPr>
            <w:r>
              <w:rPr>
                <w:rFonts w:hint="eastAsia" w:hAnsi="宋体" w:cs="宋体"/>
                <w:szCs w:val="24"/>
              </w:rPr>
              <w:t>磋商保证金的缴纳形式：转账、电汇、担保机构保函供应商以银行转账、电汇等非现金（对公）形式缴纳（转账时请注明：</w:t>
            </w:r>
            <w:r>
              <w:rPr>
                <w:rFonts w:hint="eastAsia" w:hAnsi="宋体" w:cs="宋体"/>
                <w:b/>
                <w:bCs/>
                <w:szCs w:val="24"/>
                <w:u w:val="single"/>
              </w:rPr>
              <w:t>2023年陕西省国家水资源监控一期监测站运行维护</w:t>
            </w:r>
            <w:ins w:id="35" w:author="高凌" w:date="2023-05-12T10:47:00Z">
              <w:r>
                <w:rPr>
                  <w:rFonts w:hint="eastAsia" w:hAnsi="宋体" w:cs="宋体"/>
                  <w:b/>
                  <w:bCs/>
                  <w:szCs w:val="24"/>
                  <w:u w:val="single"/>
                </w:rPr>
                <w:t>（</w:t>
              </w:r>
            </w:ins>
            <w:ins w:id="36" w:author="高凌" w:date="2023-05-12T10:48:00Z">
              <w:r>
                <w:rPr>
                  <w:rFonts w:hint="eastAsia" w:hAnsi="宋体" w:cs="宋体"/>
                  <w:b/>
                  <w:bCs/>
                  <w:szCs w:val="24"/>
                  <w:u w:val="single"/>
                </w:rPr>
                <w:t>合同包1</w:t>
              </w:r>
            </w:ins>
            <w:ins w:id="37" w:author="高凌" w:date="2023-05-12T10:47:00Z">
              <w:r>
                <w:rPr>
                  <w:rFonts w:hint="eastAsia" w:hAnsi="宋体" w:cs="宋体"/>
                  <w:b/>
                  <w:bCs/>
                  <w:szCs w:val="24"/>
                  <w:u w:val="single"/>
                </w:rPr>
                <w:t>）</w:t>
              </w:r>
            </w:ins>
            <w:r>
              <w:rPr>
                <w:rFonts w:hint="eastAsia" w:hAnsi="宋体" w:cs="宋体"/>
                <w:b/>
                <w:szCs w:val="24"/>
                <w:u w:val="single"/>
              </w:rPr>
              <w:t>磋商保证金</w:t>
            </w:r>
            <w:r>
              <w:rPr>
                <w:rFonts w:hint="eastAsia" w:hAnsi="宋体" w:cs="宋体"/>
                <w:szCs w:val="24"/>
              </w:rPr>
              <w:t>），磋商结束之后以转账形式退到供应商的账户。</w:t>
            </w:r>
          </w:p>
          <w:p>
            <w:pPr>
              <w:spacing w:line="460" w:lineRule="exact"/>
              <w:ind w:firstLine="480" w:firstLineChars="200"/>
              <w:rPr>
                <w:rFonts w:hAnsi="宋体" w:cs="宋体"/>
                <w:szCs w:val="24"/>
              </w:rPr>
            </w:pPr>
            <w:r>
              <w:rPr>
                <w:rFonts w:hint="eastAsia" w:hAnsi="宋体" w:cs="宋体"/>
                <w:szCs w:val="24"/>
              </w:rPr>
              <w:t>供应商以担保机构保函形式缴纳磋商保证金的，须在磋商响应文件递交截止时间将担保机构保函正本原件提交至采购代理机构备案，并将保函正本复印件粘贴于磋商文件规定处，磋商结束之后将担保机构保函正本原件退回。</w:t>
            </w:r>
          </w:p>
          <w:p>
            <w:pPr>
              <w:spacing w:line="460" w:lineRule="exact"/>
              <w:ind w:firstLine="480" w:firstLineChars="200"/>
              <w:rPr>
                <w:rFonts w:hAnsi="宋体" w:cs="宋体"/>
                <w:szCs w:val="24"/>
              </w:rPr>
            </w:pPr>
            <w:r>
              <w:rPr>
                <w:rFonts w:hint="eastAsia" w:hAnsi="宋体" w:cs="宋体"/>
                <w:szCs w:val="24"/>
              </w:rPr>
              <w:t>供应商磋商保证金的截止时间：保证金须在磋商响应文件递交截止时间前到达采购代理机构指定账户。由于转账当天不一定能够到账，为避免因保证金未到账而导致磋商响应文件被拒绝，建议至少提前2个工作日转账。</w:t>
            </w:r>
          </w:p>
          <w:p>
            <w:pPr>
              <w:spacing w:line="460" w:lineRule="exact"/>
              <w:ind w:firstLine="360" w:firstLineChars="150"/>
              <w:rPr>
                <w:rFonts w:hAnsi="宋体" w:cs="宋体"/>
                <w:szCs w:val="24"/>
              </w:rPr>
            </w:pPr>
            <w:r>
              <w:rPr>
                <w:rFonts w:hint="eastAsia" w:hAnsi="宋体" w:cs="宋体"/>
                <w:szCs w:val="24"/>
              </w:rPr>
              <w:t>磋商保证金到达采购代理机构指定账户后，供应商须与华睿诚项目管理有限公司财务部联系确认到账后（联系电话：029-88693077），将保证金转账凭证复印件附于磋商文件规定处。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19</w:t>
            </w:r>
          </w:p>
        </w:tc>
        <w:tc>
          <w:tcPr>
            <w:tcW w:w="2006" w:type="dxa"/>
            <w:vAlign w:val="center"/>
          </w:tcPr>
          <w:p>
            <w:pPr>
              <w:spacing w:line="460" w:lineRule="exact"/>
              <w:jc w:val="center"/>
              <w:rPr>
                <w:rFonts w:hAnsi="宋体" w:cs="宋体"/>
                <w:szCs w:val="24"/>
              </w:rPr>
            </w:pPr>
            <w:r>
              <w:rPr>
                <w:rFonts w:hint="eastAsia" w:hAnsi="宋体" w:cs="宋体"/>
                <w:szCs w:val="24"/>
              </w:rPr>
              <w:t>银行账户信息</w:t>
            </w:r>
          </w:p>
        </w:tc>
        <w:tc>
          <w:tcPr>
            <w:tcW w:w="6724" w:type="dxa"/>
            <w:vAlign w:val="center"/>
          </w:tcPr>
          <w:p>
            <w:pPr>
              <w:spacing w:line="520" w:lineRule="exact"/>
              <w:rPr>
                <w:rFonts w:hAnsi="宋体" w:cs="宋体"/>
                <w:b/>
                <w:bCs/>
                <w:kern w:val="2"/>
                <w:szCs w:val="24"/>
              </w:rPr>
            </w:pPr>
            <w:r>
              <w:rPr>
                <w:rFonts w:hint="eastAsia" w:hAnsi="宋体" w:cs="宋体"/>
                <w:b/>
                <w:bCs/>
                <w:kern w:val="2"/>
                <w:szCs w:val="24"/>
              </w:rPr>
              <w:t>I．投标保证金账户：</w:t>
            </w:r>
          </w:p>
          <w:p>
            <w:pPr>
              <w:pStyle w:val="13"/>
              <w:ind w:firstLine="0" w:firstLineChars="0"/>
              <w:rPr>
                <w:rFonts w:ascii="宋体" w:hAnsi="宋体" w:cs="宋体"/>
                <w:sz w:val="24"/>
              </w:rPr>
            </w:pPr>
            <w:r>
              <w:rPr>
                <w:rFonts w:hint="eastAsia" w:ascii="宋体" w:hAnsi="宋体" w:cs="宋体"/>
                <w:sz w:val="24"/>
              </w:rPr>
              <w:t>户  名：</w:t>
            </w:r>
            <w:ins w:id="38" w:author="高凌" w:date="2023-05-12T10:49:00Z">
              <w:r>
                <w:rPr>
                  <w:rFonts w:hint="eastAsia" w:ascii="宋体" w:hAnsi="宋体" w:cs="宋体"/>
                  <w:sz w:val="24"/>
                </w:rPr>
                <w:t>华睿诚项目管理有限公司</w:t>
              </w:r>
            </w:ins>
          </w:p>
          <w:p>
            <w:pPr>
              <w:pStyle w:val="13"/>
              <w:ind w:firstLine="0" w:firstLineChars="0"/>
              <w:rPr>
                <w:rFonts w:ascii="宋体" w:hAnsi="宋体" w:cs="宋体"/>
                <w:sz w:val="24"/>
              </w:rPr>
            </w:pPr>
            <w:r>
              <w:rPr>
                <w:rFonts w:hint="eastAsia" w:ascii="宋体" w:hAnsi="宋体" w:cs="宋体"/>
                <w:sz w:val="24"/>
              </w:rPr>
              <w:t>账  号：</w:t>
            </w:r>
            <w:ins w:id="39" w:author="高凌" w:date="2023-05-12T10:49:00Z">
              <w:r>
                <w:rPr>
                  <w:rFonts w:hint="eastAsia" w:ascii="宋体" w:hAnsi="宋体" w:cs="宋体"/>
                  <w:sz w:val="24"/>
                </w:rPr>
                <w:t>30205868004859</w:t>
              </w:r>
            </w:ins>
          </w:p>
          <w:p>
            <w:pPr>
              <w:pStyle w:val="13"/>
              <w:ind w:firstLine="0" w:firstLineChars="0"/>
              <w:rPr>
                <w:rFonts w:ascii="宋体" w:hAnsi="宋体" w:cs="宋体"/>
                <w:sz w:val="24"/>
              </w:rPr>
            </w:pPr>
            <w:r>
              <w:rPr>
                <w:rFonts w:hint="eastAsia" w:ascii="宋体" w:hAnsi="宋体" w:cs="宋体"/>
                <w:sz w:val="24"/>
              </w:rPr>
              <w:t>开户行：</w:t>
            </w:r>
            <w:ins w:id="40" w:author="高凌" w:date="2023-05-12T10:49:00Z">
              <w:r>
                <w:rPr>
                  <w:rFonts w:hint="eastAsia" w:ascii="宋体" w:hAnsi="宋体" w:cs="宋体"/>
                  <w:sz w:val="24"/>
                </w:rPr>
                <w:t>平安银行西安分行营业部/平安银行西安分行</w:t>
              </w:r>
            </w:ins>
          </w:p>
          <w:p>
            <w:pPr>
              <w:spacing w:line="520" w:lineRule="exact"/>
              <w:rPr>
                <w:rFonts w:hAnsi="宋体" w:cs="宋体"/>
                <w:b/>
                <w:bCs/>
                <w:kern w:val="2"/>
                <w:szCs w:val="24"/>
              </w:rPr>
            </w:pPr>
            <w:r>
              <w:rPr>
                <w:rFonts w:hint="eastAsia" w:hAnsi="宋体" w:cs="宋体"/>
                <w:b/>
                <w:bCs/>
                <w:kern w:val="2"/>
                <w:szCs w:val="24"/>
              </w:rPr>
              <w:t>II．招标代理服务费账户：</w:t>
            </w:r>
          </w:p>
          <w:p>
            <w:pPr>
              <w:pStyle w:val="13"/>
              <w:ind w:firstLine="0" w:firstLineChars="0"/>
              <w:rPr>
                <w:rFonts w:ascii="宋体" w:hAnsi="宋体" w:cs="宋体"/>
                <w:sz w:val="24"/>
              </w:rPr>
            </w:pPr>
            <w:r>
              <w:rPr>
                <w:rFonts w:hint="eastAsia" w:ascii="宋体" w:hAnsi="宋体" w:cs="宋体"/>
                <w:sz w:val="24"/>
              </w:rPr>
              <w:t>户  名：华睿诚项目管理有限公司</w:t>
            </w:r>
          </w:p>
          <w:p>
            <w:pPr>
              <w:pStyle w:val="13"/>
              <w:ind w:firstLine="0" w:firstLineChars="0"/>
              <w:rPr>
                <w:rFonts w:ascii="宋体" w:hAnsi="宋体" w:cs="宋体"/>
                <w:sz w:val="24"/>
              </w:rPr>
            </w:pPr>
            <w:r>
              <w:rPr>
                <w:rFonts w:hint="eastAsia" w:ascii="宋体" w:hAnsi="宋体" w:cs="宋体"/>
                <w:sz w:val="24"/>
              </w:rPr>
              <w:t>账  号：</w:t>
            </w:r>
            <w:ins w:id="41" w:author="高凌" w:date="2023-05-15T12:51:59Z">
              <w:r>
                <w:rPr>
                  <w:rFonts w:hint="eastAsia" w:ascii="宋体" w:hAnsi="宋体" w:cs="宋体"/>
                  <w:sz w:val="24"/>
                </w:rPr>
                <w:t>816011580000101224</w:t>
              </w:r>
            </w:ins>
          </w:p>
          <w:p>
            <w:pPr>
              <w:pStyle w:val="13"/>
              <w:ind w:firstLine="0" w:firstLineChars="0"/>
              <w:rPr>
                <w:rFonts w:ascii="宋体" w:hAnsi="宋体" w:cs="宋体"/>
                <w:sz w:val="24"/>
              </w:rPr>
            </w:pPr>
            <w:r>
              <w:rPr>
                <w:rFonts w:hint="eastAsia" w:ascii="宋体" w:hAnsi="宋体" w:cs="宋体"/>
                <w:sz w:val="24"/>
              </w:rPr>
              <w:t>开户行：</w:t>
            </w:r>
            <w:ins w:id="42" w:author="高凌" w:date="2023-05-15T12:52:15Z">
              <w:r>
                <w:rPr>
                  <w:rFonts w:hint="eastAsia" w:ascii="宋体" w:hAnsi="宋体" w:cs="宋体"/>
                  <w:sz w:val="24"/>
                </w:rPr>
                <w:t>西安银行小寨东路支行</w:t>
              </w:r>
            </w:ins>
          </w:p>
          <w:p>
            <w:pPr>
              <w:spacing w:line="460" w:lineRule="exact"/>
              <w:ind w:firstLine="472" w:firstLineChars="196"/>
              <w:rPr>
                <w:rFonts w:hAnsi="宋体" w:cs="宋体"/>
                <w:szCs w:val="24"/>
              </w:rPr>
            </w:pPr>
            <w:r>
              <w:rPr>
                <w:rFonts w:hint="eastAsia" w:hAnsi="宋体" w:cs="宋体"/>
                <w:b/>
                <w:szCs w:val="24"/>
              </w:rPr>
              <w:t>请各供应商按照要求分别将保证金和招标代理服务费汇入以上指定账户，如因自身原因发生错误，产生的不利后果均由供应商自行承担。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20</w:t>
            </w:r>
          </w:p>
        </w:tc>
        <w:tc>
          <w:tcPr>
            <w:tcW w:w="2006" w:type="dxa"/>
            <w:vAlign w:val="center"/>
          </w:tcPr>
          <w:p>
            <w:pPr>
              <w:spacing w:line="460" w:lineRule="exact"/>
              <w:jc w:val="center"/>
              <w:rPr>
                <w:rFonts w:hAnsi="宋体" w:cs="宋体"/>
                <w:szCs w:val="24"/>
              </w:rPr>
            </w:pPr>
            <w:r>
              <w:rPr>
                <w:rFonts w:hint="eastAsia" w:hAnsi="宋体" w:cs="宋体"/>
                <w:szCs w:val="24"/>
              </w:rPr>
              <w:t>磋商响应文件份数</w:t>
            </w:r>
          </w:p>
        </w:tc>
        <w:tc>
          <w:tcPr>
            <w:tcW w:w="6724" w:type="dxa"/>
            <w:vAlign w:val="center"/>
          </w:tcPr>
          <w:p>
            <w:pPr>
              <w:spacing w:line="460" w:lineRule="exact"/>
              <w:rPr>
                <w:rFonts w:hAnsi="宋体" w:cs="宋体"/>
                <w:szCs w:val="24"/>
              </w:rPr>
            </w:pPr>
            <w:r>
              <w:rPr>
                <w:rFonts w:hint="eastAsia" w:hAnsi="宋体" w:cs="宋体"/>
                <w:szCs w:val="24"/>
              </w:rPr>
              <w:t>正本：1份；副本：2份。同时提供与正本内容一致的电子版（U盘1份）。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21</w:t>
            </w:r>
          </w:p>
        </w:tc>
        <w:tc>
          <w:tcPr>
            <w:tcW w:w="2006" w:type="dxa"/>
            <w:vAlign w:val="center"/>
          </w:tcPr>
          <w:p>
            <w:pPr>
              <w:spacing w:line="460" w:lineRule="exact"/>
              <w:jc w:val="center"/>
              <w:rPr>
                <w:rFonts w:hAnsi="宋体" w:cs="宋体"/>
                <w:szCs w:val="24"/>
              </w:rPr>
            </w:pPr>
            <w:r>
              <w:rPr>
                <w:rFonts w:hint="eastAsia" w:hAnsi="宋体" w:cs="宋体"/>
                <w:szCs w:val="24"/>
              </w:rPr>
              <w:t>密封装订要求</w:t>
            </w:r>
          </w:p>
        </w:tc>
        <w:tc>
          <w:tcPr>
            <w:tcW w:w="6724" w:type="dxa"/>
            <w:vAlign w:val="center"/>
          </w:tcPr>
          <w:p>
            <w:pPr>
              <w:spacing w:line="460" w:lineRule="exact"/>
              <w:rPr>
                <w:rFonts w:hAnsi="宋体" w:cs="宋体"/>
                <w:szCs w:val="24"/>
              </w:rPr>
            </w:pPr>
            <w:r>
              <w:rPr>
                <w:rFonts w:hint="eastAsia" w:hAnsi="宋体" w:cs="宋体"/>
                <w:szCs w:val="24"/>
              </w:rPr>
              <w:t>密封：磋商响应文件正本、所有的副本、电子版本需分开密封装在单独的封袋中（封袋不得有破损），且在封袋正面标明“正本”“副本”“电子版本”字样。封袋应加贴封条，并在封线处加盖供应商公章，封袋正面要注明供应商全称、项目名称、编号并且各标袋上注明“磋商时启封”字样。</w:t>
            </w:r>
          </w:p>
          <w:p>
            <w:pPr>
              <w:spacing w:line="460" w:lineRule="exact"/>
              <w:rPr>
                <w:rFonts w:hAnsi="宋体" w:cs="宋体"/>
                <w:szCs w:val="24"/>
              </w:rPr>
            </w:pPr>
            <w:r>
              <w:rPr>
                <w:rFonts w:hint="eastAsia" w:hAnsi="宋体" w:cs="宋体"/>
                <w:szCs w:val="24"/>
              </w:rPr>
              <w:t>装订：每册采用胶装方式装订，装订应牢固、不易拆散和换页，不得采用活页装订。对未按磋商文件要求方式装订和递交的磋商响应文件，将作为无效磋商响应文件。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22</w:t>
            </w:r>
          </w:p>
        </w:tc>
        <w:tc>
          <w:tcPr>
            <w:tcW w:w="2006" w:type="dxa"/>
            <w:vAlign w:val="center"/>
          </w:tcPr>
          <w:p>
            <w:pPr>
              <w:spacing w:line="460" w:lineRule="exact"/>
              <w:jc w:val="center"/>
              <w:rPr>
                <w:rFonts w:hAnsi="宋体" w:cs="宋体"/>
                <w:szCs w:val="24"/>
              </w:rPr>
            </w:pPr>
            <w:r>
              <w:rPr>
                <w:rFonts w:hint="eastAsia" w:hAnsi="宋体" w:cs="宋体"/>
                <w:szCs w:val="24"/>
              </w:rPr>
              <w:t>磋商响应文件递交截止时间及磋商时间和地点：</w:t>
            </w:r>
          </w:p>
        </w:tc>
        <w:tc>
          <w:tcPr>
            <w:tcW w:w="6724" w:type="dxa"/>
            <w:vAlign w:val="center"/>
          </w:tcPr>
          <w:p>
            <w:pPr>
              <w:spacing w:line="460" w:lineRule="exact"/>
              <w:rPr>
                <w:rFonts w:hAnsi="宋体" w:cs="宋体"/>
                <w:szCs w:val="24"/>
              </w:rPr>
            </w:pPr>
            <w:r>
              <w:rPr>
                <w:rFonts w:hint="eastAsia" w:hAnsi="宋体" w:cs="宋体"/>
                <w:szCs w:val="24"/>
              </w:rPr>
              <w:t>1、磋商响应文件递交截止时间：</w:t>
            </w:r>
            <w:r>
              <w:rPr>
                <w:rFonts w:hint="eastAsia" w:hAnsi="宋体" w:cs="宋体"/>
                <w:color w:val="333333"/>
                <w:szCs w:val="24"/>
              </w:rPr>
              <w:t>2023年05月</w:t>
            </w:r>
            <w:ins w:id="43" w:author="高凌" w:date="2023-05-15T12:52:49Z">
              <w:r>
                <w:rPr>
                  <w:rFonts w:hint="eastAsia" w:hAnsi="宋体" w:cs="宋体"/>
                  <w:color w:val="333333"/>
                  <w:szCs w:val="24"/>
                  <w:lang w:val="en-US" w:eastAsia="zh-CN"/>
                </w:rPr>
                <w:t>19</w:t>
              </w:r>
            </w:ins>
            <w:r>
              <w:rPr>
                <w:rFonts w:hint="eastAsia" w:hAnsi="宋体" w:cs="宋体"/>
                <w:color w:val="333333"/>
                <w:szCs w:val="24"/>
              </w:rPr>
              <w:t>日14:30</w:t>
            </w:r>
          </w:p>
          <w:p>
            <w:pPr>
              <w:spacing w:line="460" w:lineRule="exact"/>
              <w:rPr>
                <w:rFonts w:hAnsi="宋体" w:cs="宋体"/>
                <w:szCs w:val="24"/>
              </w:rPr>
            </w:pPr>
            <w:r>
              <w:rPr>
                <w:rFonts w:hint="eastAsia" w:hAnsi="宋体" w:cs="宋体"/>
                <w:szCs w:val="24"/>
              </w:rPr>
              <w:t>2、磋商时间：2023年0</w:t>
            </w:r>
            <w:ins w:id="44" w:author="高凌" w:date="2023-05-15T12:52:32Z">
              <w:r>
                <w:rPr>
                  <w:rFonts w:hint="eastAsia" w:hAnsi="宋体" w:cs="宋体"/>
                  <w:szCs w:val="24"/>
                  <w:lang w:val="en-US" w:eastAsia="zh-CN"/>
                </w:rPr>
                <w:t>5</w:t>
              </w:r>
            </w:ins>
            <w:r>
              <w:rPr>
                <w:rFonts w:hint="eastAsia" w:hAnsi="宋体" w:cs="宋体"/>
                <w:szCs w:val="24"/>
              </w:rPr>
              <w:t>月</w:t>
            </w:r>
            <w:ins w:id="45" w:author="高凌" w:date="2023-05-15T12:52:35Z">
              <w:r>
                <w:rPr>
                  <w:rFonts w:hint="eastAsia" w:hAnsi="宋体" w:cs="宋体"/>
                  <w:szCs w:val="24"/>
                  <w:lang w:val="en-US" w:eastAsia="zh-CN"/>
                </w:rPr>
                <w:t>19</w:t>
              </w:r>
            </w:ins>
            <w:r>
              <w:rPr>
                <w:rFonts w:hint="eastAsia" w:hAnsi="宋体" w:cs="宋体"/>
                <w:szCs w:val="24"/>
              </w:rPr>
              <w:t>日14:30</w:t>
            </w:r>
          </w:p>
          <w:p>
            <w:pPr>
              <w:spacing w:line="460" w:lineRule="exact"/>
              <w:jc w:val="left"/>
              <w:rPr>
                <w:rFonts w:hint="eastAsia" w:hAnsi="宋体" w:eastAsia="宋体" w:cs="宋体"/>
                <w:szCs w:val="24"/>
                <w:lang w:eastAsia="zh-CN"/>
              </w:rPr>
            </w:pPr>
            <w:r>
              <w:rPr>
                <w:rFonts w:hint="eastAsia" w:hAnsi="宋体" w:cs="宋体"/>
                <w:szCs w:val="24"/>
              </w:rPr>
              <w:t>3、磋商地点：陕西省西安市曲江新区雁翔路3269号旺座曲江E座29层2901号</w:t>
            </w:r>
            <w:ins w:id="46" w:author="高凌" w:date="2023-05-15T13:06:27Z">
              <w:r>
                <w:rPr>
                  <w:rFonts w:hint="eastAsia" w:hAnsi="宋体" w:cs="宋体"/>
                  <w:szCs w:val="24"/>
                  <w:lang w:eastAsia="zh-CN"/>
                </w:rPr>
                <w:t>（</w:t>
              </w:r>
            </w:ins>
            <w:ins w:id="47" w:author="高凌" w:date="2023-05-15T13:06:29Z">
              <w:r>
                <w:rPr>
                  <w:rFonts w:hint="eastAsia" w:hAnsi="宋体" w:cs="宋体"/>
                  <w:szCs w:val="24"/>
                  <w:lang w:eastAsia="zh-CN"/>
                </w:rPr>
                <w:t>第一会议室</w:t>
              </w:r>
            </w:ins>
            <w:ins w:id="48" w:author="高凌" w:date="2023-05-15T13:06:27Z">
              <w:r>
                <w:rPr>
                  <w:rFonts w:hint="eastAsia" w:hAnsi="宋体" w:cs="宋体"/>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23</w:t>
            </w:r>
          </w:p>
        </w:tc>
        <w:tc>
          <w:tcPr>
            <w:tcW w:w="2006" w:type="dxa"/>
            <w:vAlign w:val="center"/>
          </w:tcPr>
          <w:p>
            <w:pPr>
              <w:spacing w:line="460" w:lineRule="exact"/>
              <w:jc w:val="center"/>
              <w:rPr>
                <w:rFonts w:hAnsi="宋体" w:cs="宋体"/>
                <w:szCs w:val="24"/>
              </w:rPr>
            </w:pPr>
            <w:r>
              <w:rPr>
                <w:rFonts w:hint="eastAsia" w:hAnsi="宋体" w:cs="宋体"/>
                <w:szCs w:val="24"/>
              </w:rPr>
              <w:t>是否退还磋商响应文件</w:t>
            </w:r>
          </w:p>
        </w:tc>
        <w:tc>
          <w:tcPr>
            <w:tcW w:w="6724" w:type="dxa"/>
            <w:vAlign w:val="center"/>
          </w:tcPr>
          <w:p>
            <w:pPr>
              <w:spacing w:line="460" w:lineRule="exact"/>
              <w:jc w:val="left"/>
              <w:rPr>
                <w:rFonts w:hAnsi="宋体" w:cs="宋体"/>
                <w:szCs w:val="24"/>
              </w:rPr>
            </w:pPr>
            <w:r>
              <w:rPr>
                <w:rFonts w:hint="eastAsia" w:hAnsi="宋体" w:cs="宋体"/>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24</w:t>
            </w:r>
          </w:p>
        </w:tc>
        <w:tc>
          <w:tcPr>
            <w:tcW w:w="2006" w:type="dxa"/>
            <w:vAlign w:val="center"/>
          </w:tcPr>
          <w:p>
            <w:pPr>
              <w:spacing w:line="460" w:lineRule="exact"/>
              <w:jc w:val="center"/>
              <w:rPr>
                <w:rFonts w:hAnsi="宋体" w:cs="宋体"/>
                <w:szCs w:val="24"/>
              </w:rPr>
            </w:pPr>
            <w:r>
              <w:rPr>
                <w:rFonts w:hint="eastAsia" w:hAnsi="宋体" w:cs="宋体"/>
                <w:szCs w:val="24"/>
              </w:rPr>
              <w:t>履约担保</w:t>
            </w:r>
          </w:p>
        </w:tc>
        <w:tc>
          <w:tcPr>
            <w:tcW w:w="6724" w:type="dxa"/>
            <w:vAlign w:val="center"/>
          </w:tcPr>
          <w:p>
            <w:pPr>
              <w:widowControl/>
              <w:spacing w:line="460" w:lineRule="exact"/>
              <w:jc w:val="left"/>
              <w:rPr>
                <w:rFonts w:hAnsi="宋体" w:cs="宋体"/>
                <w:szCs w:val="24"/>
              </w:rPr>
            </w:pPr>
            <w:r>
              <w:rPr>
                <w:rFonts w:hint="eastAsia" w:hAnsi="宋体" w:cs="宋体"/>
                <w:szCs w:val="24"/>
              </w:rPr>
              <w:t>履约担保的形式：/</w:t>
            </w:r>
          </w:p>
          <w:p>
            <w:pPr>
              <w:spacing w:line="460" w:lineRule="exact"/>
              <w:rPr>
                <w:rFonts w:hAnsi="宋体" w:cs="宋体"/>
                <w:szCs w:val="24"/>
              </w:rPr>
            </w:pPr>
            <w:r>
              <w:rPr>
                <w:rFonts w:hint="eastAsia" w:hAnsi="宋体" w:cs="宋体"/>
                <w:szCs w:val="24"/>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25</w:t>
            </w:r>
          </w:p>
        </w:tc>
        <w:tc>
          <w:tcPr>
            <w:tcW w:w="2006" w:type="dxa"/>
            <w:vAlign w:val="center"/>
          </w:tcPr>
          <w:p>
            <w:pPr>
              <w:spacing w:line="460" w:lineRule="exact"/>
              <w:jc w:val="center"/>
              <w:rPr>
                <w:rFonts w:hAnsi="宋体" w:cs="宋体"/>
                <w:szCs w:val="24"/>
              </w:rPr>
            </w:pPr>
            <w:r>
              <w:rPr>
                <w:rFonts w:hint="eastAsia" w:hAnsi="宋体" w:cs="宋体"/>
                <w:szCs w:val="24"/>
              </w:rPr>
              <w:t>招标代理服务费</w:t>
            </w:r>
          </w:p>
          <w:p>
            <w:pPr>
              <w:spacing w:line="460" w:lineRule="exact"/>
              <w:jc w:val="center"/>
              <w:rPr>
                <w:rFonts w:hAnsi="宋体" w:cs="宋体"/>
                <w:szCs w:val="24"/>
              </w:rPr>
            </w:pPr>
          </w:p>
        </w:tc>
        <w:tc>
          <w:tcPr>
            <w:tcW w:w="6724" w:type="dxa"/>
            <w:vAlign w:val="center"/>
          </w:tcPr>
          <w:p>
            <w:pPr>
              <w:numPr>
                <w:ilvl w:val="0"/>
                <w:numId w:val="5"/>
              </w:numPr>
              <w:spacing w:line="420" w:lineRule="exact"/>
              <w:rPr>
                <w:rFonts w:hAnsi="宋体" w:cs="宋体"/>
                <w:szCs w:val="24"/>
              </w:rPr>
            </w:pPr>
            <w:r>
              <w:rPr>
                <w:rFonts w:hint="eastAsia" w:hAnsi="宋体" w:cs="宋体"/>
                <w:szCs w:val="24"/>
              </w:rPr>
              <w:t>招标代理服务费：由成交单位支付，以中标金额为基准计算，参照国家计委颁发的《招标代理服务收费管理暂行办法》（计价格[2002]1980号）和国家发展改革委员会办公厅颁发的《关于招标代理服务收费有关问题的通知》（发改办价格[2003]857号）的有关规定按标准收取。</w:t>
            </w:r>
          </w:p>
          <w:p>
            <w:pPr>
              <w:numPr>
                <w:ilvl w:val="0"/>
                <w:numId w:val="5"/>
              </w:numPr>
              <w:spacing w:line="420" w:lineRule="exact"/>
              <w:rPr>
                <w:rFonts w:hAnsi="宋体" w:cs="宋体"/>
                <w:szCs w:val="24"/>
              </w:rPr>
            </w:pPr>
            <w:r>
              <w:rPr>
                <w:rFonts w:hint="eastAsia" w:hAnsi="宋体" w:cs="宋体"/>
                <w:szCs w:val="24"/>
              </w:rPr>
              <w:t>成交人在领取成交通知书同时，向招标代理机构一次性缴付招标代理服务费。</w:t>
            </w:r>
          </w:p>
          <w:p>
            <w:pPr>
              <w:spacing w:line="460" w:lineRule="exact"/>
              <w:rPr>
                <w:rFonts w:hAnsi="宋体" w:cs="宋体"/>
                <w:szCs w:val="24"/>
              </w:rPr>
            </w:pPr>
            <w:r>
              <w:rPr>
                <w:rFonts w:hint="eastAsia" w:hAnsi="宋体" w:cs="宋体"/>
                <w:szCs w:val="24"/>
              </w:rPr>
              <w:t>3.招标代理服务费以银行转账、电汇等（对公）形式缴纳。</w:t>
            </w:r>
          </w:p>
        </w:tc>
      </w:tr>
      <w:bookmarkEnd w:id="9"/>
      <w:bookmarkEnd w:id="10"/>
      <w:bookmarkEnd w:id="11"/>
      <w:bookmarkEnd w:id="28"/>
      <w:bookmarkEnd w:id="29"/>
      <w:bookmarkEnd w:id="30"/>
      <w:bookmarkEnd w:id="31"/>
    </w:tbl>
    <w:p>
      <w:pPr>
        <w:pStyle w:val="4"/>
        <w:jc w:val="center"/>
        <w:rPr>
          <w:rFonts w:ascii="宋体" w:hAnsi="宋体" w:cs="宋体"/>
          <w:sz w:val="32"/>
        </w:rPr>
      </w:pPr>
      <w:bookmarkStart w:id="32" w:name="_Toc403077639"/>
      <w:bookmarkStart w:id="33" w:name="_Toc363474017"/>
      <w:bookmarkStart w:id="34" w:name="_Toc363473972"/>
      <w:r>
        <w:rPr>
          <w:rFonts w:hint="eastAsia" w:ascii="宋体" w:hAnsi="宋体" w:cs="宋体"/>
          <w:b w:val="0"/>
          <w:sz w:val="32"/>
        </w:rPr>
        <w:br w:type="page"/>
      </w:r>
      <w:r>
        <w:rPr>
          <w:rFonts w:hint="eastAsia" w:ascii="宋体" w:hAnsi="宋体" w:cs="宋体"/>
          <w:bCs w:val="0"/>
          <w:szCs w:val="28"/>
        </w:rPr>
        <w:t>二、总  则</w:t>
      </w:r>
      <w:bookmarkEnd w:id="32"/>
      <w:bookmarkEnd w:id="33"/>
      <w:bookmarkEnd w:id="34"/>
    </w:p>
    <w:p>
      <w:pPr>
        <w:spacing w:line="360" w:lineRule="auto"/>
        <w:outlineLvl w:val="2"/>
        <w:rPr>
          <w:rFonts w:hAnsi="宋体" w:cs="宋体"/>
          <w:b/>
          <w:szCs w:val="24"/>
        </w:rPr>
      </w:pPr>
      <w:r>
        <w:rPr>
          <w:rFonts w:hint="eastAsia" w:hAnsi="宋体" w:cs="宋体"/>
          <w:b/>
          <w:szCs w:val="24"/>
        </w:rPr>
        <w:t>1.资金来源</w:t>
      </w:r>
    </w:p>
    <w:p>
      <w:pPr>
        <w:spacing w:line="360" w:lineRule="auto"/>
        <w:ind w:firstLine="480" w:firstLineChars="200"/>
        <w:rPr>
          <w:rFonts w:hAnsi="宋体" w:cs="宋体"/>
          <w:szCs w:val="24"/>
        </w:rPr>
      </w:pPr>
      <w:r>
        <w:rPr>
          <w:rFonts w:hint="eastAsia" w:hAnsi="宋体" w:cs="宋体"/>
          <w:szCs w:val="24"/>
        </w:rPr>
        <w:t>1.1本次竞争性磋商所签合同使用财政资金支付，资金已落实到位。</w:t>
      </w:r>
    </w:p>
    <w:p>
      <w:pPr>
        <w:numPr>
          <w:ilvl w:val="0"/>
          <w:numId w:val="6"/>
        </w:numPr>
        <w:spacing w:line="500" w:lineRule="exact"/>
        <w:outlineLvl w:val="2"/>
        <w:rPr>
          <w:rFonts w:hAnsi="宋体" w:cs="宋体"/>
          <w:b/>
          <w:szCs w:val="24"/>
        </w:rPr>
      </w:pPr>
      <w:bookmarkStart w:id="35" w:name="_Toc363474018"/>
      <w:bookmarkStart w:id="36" w:name="_Toc363473973"/>
      <w:bookmarkStart w:id="37" w:name="_Toc403077640"/>
      <w:r>
        <w:rPr>
          <w:rFonts w:hint="eastAsia" w:hAnsi="宋体" w:cs="宋体"/>
          <w:b/>
          <w:szCs w:val="24"/>
        </w:rPr>
        <w:t>名词解释</w:t>
      </w:r>
    </w:p>
    <w:p>
      <w:pPr>
        <w:tabs>
          <w:tab w:val="left" w:pos="7665"/>
        </w:tabs>
        <w:spacing w:line="360" w:lineRule="auto"/>
        <w:ind w:firstLine="480" w:firstLineChars="200"/>
        <w:rPr>
          <w:rFonts w:hAnsi="宋体" w:cs="宋体"/>
        </w:rPr>
      </w:pPr>
      <w:r>
        <w:rPr>
          <w:rFonts w:hint="eastAsia" w:hAnsi="宋体" w:cs="宋体"/>
        </w:rPr>
        <w:t>2.1采购人：陕西省水资源与河库调度中心</w:t>
      </w:r>
    </w:p>
    <w:p>
      <w:pPr>
        <w:tabs>
          <w:tab w:val="left" w:pos="7665"/>
        </w:tabs>
        <w:spacing w:line="360" w:lineRule="auto"/>
        <w:ind w:firstLine="480" w:firstLineChars="200"/>
        <w:rPr>
          <w:rFonts w:hAnsi="宋体" w:cs="宋体"/>
        </w:rPr>
      </w:pPr>
      <w:r>
        <w:rPr>
          <w:rFonts w:hint="eastAsia" w:hAnsi="宋体" w:cs="宋体"/>
        </w:rPr>
        <w:t>2.2监督机构：/</w:t>
      </w:r>
    </w:p>
    <w:p>
      <w:pPr>
        <w:tabs>
          <w:tab w:val="left" w:pos="7665"/>
        </w:tabs>
        <w:spacing w:line="360" w:lineRule="auto"/>
        <w:ind w:firstLine="480" w:firstLineChars="200"/>
        <w:rPr>
          <w:rFonts w:hAnsi="宋体" w:cs="宋体"/>
        </w:rPr>
      </w:pPr>
      <w:r>
        <w:rPr>
          <w:rFonts w:hint="eastAsia" w:hAnsi="宋体" w:cs="宋体"/>
        </w:rPr>
        <w:t>2.3采购代理机构：华睿诚项目管理有限公司</w:t>
      </w:r>
    </w:p>
    <w:p>
      <w:pPr>
        <w:tabs>
          <w:tab w:val="left" w:pos="7665"/>
        </w:tabs>
        <w:spacing w:line="360" w:lineRule="auto"/>
        <w:ind w:firstLine="480" w:firstLineChars="200"/>
        <w:rPr>
          <w:rFonts w:hAnsi="宋体" w:cs="宋体"/>
        </w:rPr>
      </w:pPr>
      <w:r>
        <w:rPr>
          <w:rFonts w:hint="eastAsia" w:hAnsi="宋体" w:cs="宋体"/>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rPr>
      </w:pPr>
      <w:r>
        <w:rPr>
          <w:rFonts w:hint="eastAsia" w:hAnsi="宋体" w:cs="宋体"/>
        </w:rPr>
        <w:t>2.5产品或服务是指本竞争性磋商文件中第四章所述所有产品或服务。</w:t>
      </w:r>
    </w:p>
    <w:p>
      <w:pPr>
        <w:adjustRightInd w:val="0"/>
        <w:snapToGrid w:val="0"/>
        <w:spacing w:line="360" w:lineRule="auto"/>
        <w:ind w:firstLine="480" w:firstLineChars="200"/>
        <w:rPr>
          <w:rFonts w:hAnsi="宋体" w:cs="宋体"/>
        </w:rPr>
      </w:pPr>
      <w:r>
        <w:rPr>
          <w:rFonts w:hint="eastAsia" w:hAnsi="宋体" w:cs="宋体"/>
        </w:rPr>
        <w:t>2.6服务是指供应商为满足竞争性磋商文件要求而提供的服务。</w:t>
      </w:r>
    </w:p>
    <w:p>
      <w:pPr>
        <w:adjustRightInd w:val="0"/>
        <w:snapToGrid w:val="0"/>
        <w:spacing w:line="360" w:lineRule="auto"/>
        <w:ind w:firstLine="480" w:firstLineChars="200"/>
        <w:rPr>
          <w:rFonts w:hAnsi="宋体" w:cs="宋体"/>
        </w:rPr>
      </w:pPr>
      <w:r>
        <w:rPr>
          <w:rFonts w:hint="eastAsia" w:hAnsi="宋体" w:cs="宋体"/>
        </w:rPr>
        <w:t>2.7节能产品或者环保产品是指财政部发布的《节能产品政府采购清单》或《环境标志产品政府采购清单》的产品。</w:t>
      </w:r>
    </w:p>
    <w:p>
      <w:pPr>
        <w:adjustRightInd w:val="0"/>
        <w:snapToGrid w:val="0"/>
        <w:spacing w:line="360" w:lineRule="auto"/>
        <w:ind w:firstLine="480" w:firstLineChars="200"/>
        <w:rPr>
          <w:rFonts w:hAnsi="宋体" w:cs="宋体"/>
        </w:rPr>
      </w:pPr>
      <w:r>
        <w:rPr>
          <w:rFonts w:hint="eastAsia" w:hAnsi="宋体" w:cs="宋体"/>
        </w:rPr>
        <w:t>2.8中小企业是指符合《工业和信息化部、国家统计局、国家发展和改革委员会、财政部关于印发中小企业划型标准规定的通知》（工信部联企业[2011]300号）规定的对中小企业的划分标准的企业。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rPr>
      </w:pPr>
      <w:r>
        <w:rPr>
          <w:rFonts w:hint="eastAsia" w:hAnsi="宋体" w:cs="宋体"/>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rPr>
      </w:pPr>
      <w:r>
        <w:rPr>
          <w:rFonts w:hint="eastAsia" w:hAnsi="宋体" w:cs="宋体"/>
        </w:rPr>
        <w:t>2.10残疾人福利性单位是指符合《三部门联合发布关于促进残疾人就业政府采购政策的通知》财库〔2017〕141号规定的对残疾人福利性单位划分标准的单位。</w:t>
      </w:r>
    </w:p>
    <w:p>
      <w:pPr>
        <w:spacing w:line="500" w:lineRule="exact"/>
        <w:outlineLvl w:val="2"/>
        <w:rPr>
          <w:rFonts w:hAnsi="宋体" w:cs="宋体"/>
          <w:b/>
          <w:szCs w:val="24"/>
        </w:rPr>
      </w:pPr>
      <w:r>
        <w:rPr>
          <w:rFonts w:hint="eastAsia" w:hAnsi="宋体" w:cs="宋体"/>
          <w:b/>
          <w:szCs w:val="24"/>
        </w:rPr>
        <w:t>3.合格的供应商</w:t>
      </w:r>
    </w:p>
    <w:p>
      <w:pPr>
        <w:tabs>
          <w:tab w:val="left" w:pos="851"/>
        </w:tabs>
        <w:spacing w:line="500" w:lineRule="exact"/>
        <w:ind w:firstLine="480" w:firstLineChars="200"/>
        <w:rPr>
          <w:rFonts w:hAnsi="宋体" w:cs="宋体"/>
          <w:szCs w:val="24"/>
        </w:rPr>
      </w:pPr>
      <w:r>
        <w:rPr>
          <w:rFonts w:hint="eastAsia" w:hAnsi="宋体" w:cs="宋体"/>
          <w:szCs w:val="24"/>
        </w:rPr>
        <w:t>3.1《政府采购法》第二十二条第一款规定的供应商基本资格条件。</w:t>
      </w:r>
    </w:p>
    <w:p>
      <w:pPr>
        <w:spacing w:line="500" w:lineRule="exact"/>
        <w:ind w:firstLine="480" w:firstLineChars="200"/>
        <w:rPr>
          <w:rFonts w:hAnsi="宋体" w:cs="宋体"/>
          <w:szCs w:val="24"/>
        </w:rPr>
      </w:pPr>
      <w:r>
        <w:rPr>
          <w:rFonts w:hint="eastAsia" w:hAnsi="宋体" w:cs="宋体"/>
          <w:szCs w:val="24"/>
        </w:rPr>
        <w:t>3.2根据本次采购项目的特殊要求，规定的供应商特殊条件（见供应商须知前附表）。</w:t>
      </w:r>
    </w:p>
    <w:p>
      <w:pPr>
        <w:spacing w:line="500" w:lineRule="exact"/>
        <w:ind w:firstLine="480" w:firstLineChars="200"/>
        <w:rPr>
          <w:rFonts w:hAnsi="宋体" w:cs="宋体"/>
          <w:szCs w:val="24"/>
        </w:rPr>
      </w:pPr>
      <w:r>
        <w:rPr>
          <w:rFonts w:hint="eastAsia" w:hAnsi="宋体" w:cs="宋体"/>
          <w:szCs w:val="24"/>
        </w:rPr>
        <w:t>3.3法定代表人为同一人的两个及两个以上的法人，母公司、全资子公司及其控股公司，都不得在同一项目（分包的按包）的货物采购中同时参与磋商，否则均为无效磋商。</w:t>
      </w:r>
    </w:p>
    <w:p>
      <w:pPr>
        <w:spacing w:line="500" w:lineRule="exact"/>
        <w:ind w:firstLine="480" w:firstLineChars="200"/>
        <w:rPr>
          <w:rFonts w:hAnsi="宋体" w:cs="宋体"/>
          <w:szCs w:val="24"/>
        </w:rPr>
      </w:pPr>
      <w:r>
        <w:rPr>
          <w:rFonts w:hint="eastAsia" w:hAnsi="宋体" w:cs="宋体"/>
          <w:szCs w:val="24"/>
        </w:rPr>
        <w:t>3.4供应商不得直接或间接地与采购人或采购代理机构有任何关联，亦不得是采购人或采购代理机构的附属机构。如果供应商在磋商中隐瞒了上述关系，一经证实，则该磋商无效。</w:t>
      </w:r>
    </w:p>
    <w:p>
      <w:pPr>
        <w:spacing w:line="500" w:lineRule="exact"/>
        <w:ind w:firstLine="480" w:firstLineChars="200"/>
        <w:rPr>
          <w:rFonts w:hAnsi="宋体" w:cs="宋体"/>
          <w:szCs w:val="24"/>
        </w:rPr>
      </w:pPr>
      <w:r>
        <w:rPr>
          <w:rFonts w:hint="eastAsia" w:hAnsi="宋体" w:cs="宋体"/>
          <w:szCs w:val="24"/>
        </w:rPr>
        <w:t>3.5供应商必须在华睿诚项目管理有限公司购买</w:t>
      </w:r>
      <w:r>
        <w:rPr>
          <w:rFonts w:hint="eastAsia" w:hAnsi="宋体" w:cs="宋体"/>
        </w:rPr>
        <w:t>竞争性磋商文件</w:t>
      </w:r>
      <w:r>
        <w:rPr>
          <w:rFonts w:hint="eastAsia" w:hAnsi="宋体" w:cs="宋体"/>
          <w:szCs w:val="24"/>
        </w:rPr>
        <w:t>，方可参加磋商。</w:t>
      </w:r>
      <w:r>
        <w:rPr>
          <w:rFonts w:hint="eastAsia" w:hAnsi="宋体" w:cs="宋体"/>
        </w:rPr>
        <w:t>竞争性</w:t>
      </w:r>
      <w:r>
        <w:rPr>
          <w:rFonts w:hint="eastAsia" w:hAnsi="宋体" w:cs="宋体"/>
          <w:szCs w:val="24"/>
        </w:rPr>
        <w:t>磋商文件售后不退。</w:t>
      </w:r>
    </w:p>
    <w:p>
      <w:pPr>
        <w:spacing w:line="500" w:lineRule="exact"/>
        <w:ind w:firstLine="480" w:firstLineChars="200"/>
        <w:rPr>
          <w:rFonts w:hAnsi="宋体" w:cs="宋体"/>
          <w:szCs w:val="24"/>
        </w:rPr>
      </w:pPr>
      <w:bookmarkStart w:id="38" w:name="OLE_LINK33"/>
      <w:r>
        <w:rPr>
          <w:rFonts w:hint="eastAsia" w:hAnsi="宋体" w:cs="宋体"/>
          <w:szCs w:val="24"/>
        </w:rPr>
        <w:t>3.</w:t>
      </w:r>
      <w:bookmarkEnd w:id="38"/>
      <w:r>
        <w:rPr>
          <w:rFonts w:hint="eastAsia" w:hAnsi="宋体" w:cs="宋体"/>
          <w:szCs w:val="24"/>
        </w:rPr>
        <w:t>6联合体磋商</w:t>
      </w:r>
    </w:p>
    <w:p>
      <w:pPr>
        <w:spacing w:line="500" w:lineRule="exact"/>
        <w:ind w:firstLine="480" w:firstLineChars="200"/>
        <w:rPr>
          <w:rFonts w:hAnsi="宋体" w:cs="宋体"/>
          <w:szCs w:val="24"/>
        </w:rPr>
      </w:pPr>
      <w:r>
        <w:rPr>
          <w:rFonts w:hint="eastAsia" w:hAnsi="宋体" w:cs="宋体"/>
          <w:szCs w:val="24"/>
        </w:rPr>
        <w:t>3.6.1如果在</w:t>
      </w:r>
      <w:r>
        <w:rPr>
          <w:rFonts w:hint="eastAsia" w:hAnsi="宋体" w:cs="宋体"/>
        </w:rPr>
        <w:t>竞争性</w:t>
      </w:r>
      <w:r>
        <w:rPr>
          <w:rFonts w:hint="eastAsia" w:hAnsi="宋体" w:cs="宋体"/>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hint="eastAsia" w:hAnsi="宋体" w:cs="宋体"/>
        </w:rPr>
        <w:t>《中华人民共和国政府采购法》及其实施条例和《政府采购竞争性磋商采购方式管理暂行办法》规定的条件</w:t>
      </w:r>
      <w:r>
        <w:rPr>
          <w:rFonts w:hint="eastAsia" w:hAnsi="宋体" w:cs="宋体"/>
          <w:szCs w:val="24"/>
        </w:rPr>
        <w:t>。采购人根据采购项目的特殊要求规定供应商特定条件的，联合体各方中至少应当有一方符合采购人规定的特定条件。</w:t>
      </w:r>
    </w:p>
    <w:p>
      <w:pPr>
        <w:spacing w:line="360" w:lineRule="auto"/>
        <w:ind w:firstLine="468" w:firstLineChars="195"/>
        <w:rPr>
          <w:rFonts w:hAnsi="宋体" w:cs="宋体"/>
          <w:szCs w:val="24"/>
        </w:rPr>
      </w:pPr>
      <w:r>
        <w:rPr>
          <w:rFonts w:hint="eastAsia" w:hAnsi="宋体" w:cs="宋体"/>
          <w:szCs w:val="24"/>
        </w:rPr>
        <w:t>3.6.2联合体各方之间应当签订共同磋商协议，明确约定联合体各方承担的工作和相应的责任，并将共同磋商协议连同</w:t>
      </w:r>
      <w:r>
        <w:rPr>
          <w:rFonts w:hint="eastAsia" w:hAnsi="宋体" w:cs="宋体"/>
        </w:rPr>
        <w:t>竞争性</w:t>
      </w:r>
      <w:r>
        <w:rPr>
          <w:rFonts w:hint="eastAsia" w:hAnsi="宋体" w:cs="宋体"/>
          <w:szCs w:val="24"/>
        </w:rPr>
        <w:t>磋商响应文件一并提交</w:t>
      </w:r>
      <w:r>
        <w:rPr>
          <w:rFonts w:hint="eastAsia" w:hAnsi="宋体" w:cs="宋体"/>
        </w:rPr>
        <w:t>采购代理机构</w:t>
      </w:r>
      <w:r>
        <w:rPr>
          <w:rFonts w:hint="eastAsia" w:hAnsi="宋体" w:cs="宋体"/>
          <w:szCs w:val="24"/>
        </w:rPr>
        <w:t>。联合体各方签订共同磋商协议后，不得再以自己名义单独参与同一项目磋商，也不得组成新的联合体参加同一项目磋商。</w:t>
      </w:r>
    </w:p>
    <w:p>
      <w:pPr>
        <w:pStyle w:val="19"/>
        <w:spacing w:line="360" w:lineRule="auto"/>
        <w:ind w:firstLine="480" w:firstLineChars="200"/>
        <w:rPr>
          <w:rFonts w:ascii="宋体" w:hAnsi="宋体" w:cs="宋体"/>
          <w:szCs w:val="24"/>
        </w:rPr>
      </w:pPr>
      <w:r>
        <w:rPr>
          <w:rFonts w:hint="eastAsia" w:ascii="宋体" w:hAnsi="宋体" w:cs="宋体"/>
          <w:sz w:val="24"/>
          <w:szCs w:val="24"/>
        </w:rPr>
        <w:t>3.6.3联合体各方应当共同与采购人签订采购合同，就采购合同约定的事项对采购人承担连带责任。</w:t>
      </w:r>
    </w:p>
    <w:p>
      <w:pPr>
        <w:spacing w:line="500" w:lineRule="exact"/>
        <w:ind w:firstLine="480" w:firstLineChars="200"/>
        <w:rPr>
          <w:rFonts w:hAnsi="宋体" w:cs="宋体"/>
          <w:szCs w:val="24"/>
        </w:rPr>
      </w:pPr>
      <w:r>
        <w:rPr>
          <w:rFonts w:hint="eastAsia" w:hAnsi="宋体" w:cs="宋体"/>
          <w:szCs w:val="24"/>
        </w:rPr>
        <w:t>3.7磋商费用自理。不论磋商的结果如何，供应商均应自行承担所有与参加磋商有关的费用。</w:t>
      </w:r>
    </w:p>
    <w:p>
      <w:pPr>
        <w:spacing w:line="500" w:lineRule="exact"/>
        <w:outlineLvl w:val="2"/>
        <w:rPr>
          <w:rFonts w:hAnsi="宋体" w:cs="宋体"/>
          <w:b/>
          <w:szCs w:val="24"/>
        </w:rPr>
      </w:pPr>
      <w:r>
        <w:rPr>
          <w:rFonts w:hint="eastAsia" w:hAnsi="宋体" w:cs="宋体"/>
          <w:b/>
          <w:szCs w:val="24"/>
        </w:rPr>
        <w:t>4.竞争性磋商产品（含服务）的合格性和合法性</w:t>
      </w:r>
    </w:p>
    <w:p>
      <w:pPr>
        <w:tabs>
          <w:tab w:val="left" w:pos="747"/>
        </w:tabs>
        <w:snapToGrid w:val="0"/>
        <w:spacing w:line="500" w:lineRule="exact"/>
        <w:ind w:firstLine="480" w:firstLineChars="200"/>
        <w:rPr>
          <w:rFonts w:hAnsi="宋体" w:cs="宋体"/>
        </w:rPr>
      </w:pPr>
      <w:r>
        <w:rPr>
          <w:rFonts w:hint="eastAsia" w:hAnsi="宋体" w:cs="宋体"/>
          <w:szCs w:val="24"/>
        </w:rPr>
        <w:t>4.1竞争性磋商产品（含服务）应满足竞争性磋商文件的要求并应符合国家法律法规、行业管理部门要求的其他强制性标准。</w:t>
      </w:r>
      <w:r>
        <w:rPr>
          <w:rFonts w:hint="eastAsia" w:hAnsi="宋体" w:cs="宋体"/>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rPr>
      </w:pPr>
      <w:r>
        <w:rPr>
          <w:rFonts w:hint="eastAsia" w:hAnsi="宋体" w:cs="宋体"/>
        </w:rPr>
        <w:t>4.2采购人有权拒绝接受任何不合格的产品和服务，由此产生的费用及相关后果均由供应商自行承担。</w:t>
      </w:r>
    </w:p>
    <w:p>
      <w:pPr>
        <w:spacing w:line="360" w:lineRule="auto"/>
        <w:outlineLvl w:val="2"/>
        <w:rPr>
          <w:rFonts w:hAnsi="宋体" w:cs="宋体"/>
          <w:b/>
          <w:szCs w:val="24"/>
        </w:rPr>
      </w:pPr>
      <w:r>
        <w:rPr>
          <w:rFonts w:hint="eastAsia" w:hAnsi="宋体" w:cs="宋体"/>
          <w:b/>
          <w:szCs w:val="24"/>
        </w:rPr>
        <w:t>5.竞争性磋商响应文件内容的真实性</w:t>
      </w:r>
    </w:p>
    <w:p>
      <w:pPr>
        <w:spacing w:line="360" w:lineRule="auto"/>
        <w:ind w:firstLine="480" w:firstLineChars="200"/>
        <w:rPr>
          <w:rFonts w:hAnsi="宋体" w:cs="宋体"/>
          <w:szCs w:val="24"/>
        </w:rPr>
      </w:pPr>
      <w:r>
        <w:rPr>
          <w:rFonts w:hint="eastAsia" w:hAnsi="宋体" w:cs="宋体"/>
          <w:szCs w:val="24"/>
        </w:rPr>
        <w:t>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rPr>
          <w:rFonts w:hAnsi="宋体" w:cs="宋体"/>
          <w:b/>
          <w:sz w:val="32"/>
          <w:szCs w:val="32"/>
        </w:rPr>
      </w:pPr>
      <w:r>
        <w:rPr>
          <w:rFonts w:hint="eastAsia" w:hAnsi="宋体" w:cs="宋体"/>
          <w:b/>
          <w:sz w:val="32"/>
          <w:szCs w:val="32"/>
        </w:rPr>
        <w:t>二.竞争性磋商文件</w:t>
      </w:r>
      <w:bookmarkEnd w:id="35"/>
      <w:bookmarkEnd w:id="36"/>
      <w:bookmarkEnd w:id="37"/>
    </w:p>
    <w:p>
      <w:pPr>
        <w:spacing w:line="360" w:lineRule="auto"/>
        <w:outlineLvl w:val="2"/>
        <w:rPr>
          <w:rFonts w:hAnsi="宋体" w:cs="宋体"/>
          <w:b/>
          <w:szCs w:val="24"/>
        </w:rPr>
      </w:pPr>
      <w:r>
        <w:rPr>
          <w:rFonts w:hint="eastAsia" w:hAnsi="宋体" w:cs="宋体"/>
          <w:b/>
          <w:szCs w:val="24"/>
        </w:rPr>
        <w:t>6.竞争性磋商文件构成　　</w:t>
      </w:r>
    </w:p>
    <w:p>
      <w:pPr>
        <w:spacing w:line="360" w:lineRule="auto"/>
        <w:ind w:firstLine="480" w:firstLineChars="200"/>
        <w:rPr>
          <w:rFonts w:hAnsi="宋体" w:cs="宋体"/>
          <w:szCs w:val="24"/>
        </w:rPr>
      </w:pPr>
      <w:r>
        <w:rPr>
          <w:rFonts w:hint="eastAsia" w:hAnsi="宋体" w:cs="宋体"/>
          <w:szCs w:val="24"/>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rPr>
      </w:pPr>
      <w:r>
        <w:rPr>
          <w:rFonts w:hint="eastAsia" w:hAnsi="宋体" w:cs="宋体"/>
          <w:szCs w:val="24"/>
        </w:rPr>
        <w:t>第一章 竞争性磋商公告</w:t>
      </w:r>
    </w:p>
    <w:p>
      <w:pPr>
        <w:spacing w:line="360" w:lineRule="auto"/>
        <w:ind w:firstLine="480" w:firstLineChars="200"/>
        <w:rPr>
          <w:rFonts w:hAnsi="宋体" w:cs="宋体"/>
          <w:szCs w:val="24"/>
        </w:rPr>
      </w:pPr>
      <w:r>
        <w:rPr>
          <w:rFonts w:hint="eastAsia" w:hAnsi="宋体" w:cs="宋体"/>
          <w:szCs w:val="24"/>
        </w:rPr>
        <w:t>第二章 供应商须知</w:t>
      </w:r>
    </w:p>
    <w:p>
      <w:pPr>
        <w:spacing w:line="360" w:lineRule="auto"/>
        <w:ind w:firstLine="480" w:firstLineChars="200"/>
        <w:rPr>
          <w:rFonts w:hAnsi="宋体" w:cs="宋体"/>
          <w:szCs w:val="24"/>
        </w:rPr>
      </w:pPr>
      <w:r>
        <w:rPr>
          <w:rFonts w:hint="eastAsia" w:hAnsi="宋体" w:cs="宋体"/>
          <w:szCs w:val="24"/>
        </w:rPr>
        <w:t>第三章 合同格式</w:t>
      </w:r>
    </w:p>
    <w:p>
      <w:pPr>
        <w:spacing w:line="360" w:lineRule="auto"/>
        <w:ind w:firstLine="480" w:firstLineChars="200"/>
        <w:rPr>
          <w:rFonts w:hAnsi="宋体" w:cs="宋体"/>
          <w:szCs w:val="24"/>
        </w:rPr>
      </w:pPr>
      <w:r>
        <w:rPr>
          <w:rFonts w:hint="eastAsia" w:hAnsi="宋体" w:cs="宋体"/>
          <w:szCs w:val="24"/>
        </w:rPr>
        <w:t>第四章 采购内容及要求</w:t>
      </w:r>
    </w:p>
    <w:p>
      <w:pPr>
        <w:spacing w:line="360" w:lineRule="auto"/>
        <w:ind w:firstLine="480" w:firstLineChars="200"/>
        <w:rPr>
          <w:rFonts w:hAnsi="宋体" w:cs="宋体"/>
          <w:szCs w:val="24"/>
        </w:rPr>
      </w:pPr>
      <w:r>
        <w:rPr>
          <w:rFonts w:hint="eastAsia" w:hAnsi="宋体" w:cs="宋体"/>
          <w:szCs w:val="24"/>
        </w:rPr>
        <w:t>第五章 评审方法</w:t>
      </w:r>
    </w:p>
    <w:p>
      <w:pPr>
        <w:spacing w:line="360" w:lineRule="auto"/>
        <w:ind w:firstLine="480" w:firstLineChars="200"/>
        <w:rPr>
          <w:rFonts w:hAnsi="宋体" w:cs="宋体"/>
          <w:szCs w:val="24"/>
          <w:highlight w:val="yellow"/>
        </w:rPr>
      </w:pPr>
      <w:r>
        <w:rPr>
          <w:rFonts w:hint="eastAsia" w:hAnsi="宋体" w:cs="宋体"/>
          <w:szCs w:val="24"/>
        </w:rPr>
        <w:t>第六章 竞争性磋商响应文件格式</w:t>
      </w:r>
    </w:p>
    <w:p>
      <w:pPr>
        <w:spacing w:line="360" w:lineRule="auto"/>
        <w:ind w:firstLine="480" w:firstLineChars="200"/>
        <w:rPr>
          <w:rFonts w:hAnsi="宋体" w:cs="宋体"/>
          <w:szCs w:val="24"/>
        </w:rPr>
      </w:pPr>
      <w:r>
        <w:rPr>
          <w:rFonts w:hint="eastAsia" w:hAnsi="宋体" w:cs="宋体"/>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rPr>
      </w:pPr>
      <w:r>
        <w:rPr>
          <w:rFonts w:hint="eastAsia" w:hAnsi="宋体" w:cs="宋体"/>
          <w:szCs w:val="24"/>
        </w:rPr>
        <w:t>6.3本竞争性磋商文件的解释权归华睿诚项目管理有限公司，如发现竞争性磋商响应文件内容与现行法律法规不相符的情况，以现行法律法规为准。</w:t>
      </w:r>
    </w:p>
    <w:p>
      <w:pPr>
        <w:spacing w:line="360" w:lineRule="auto"/>
        <w:outlineLvl w:val="2"/>
        <w:rPr>
          <w:rFonts w:hAnsi="宋体" w:cs="宋体"/>
          <w:b/>
          <w:szCs w:val="24"/>
        </w:rPr>
      </w:pPr>
      <w:r>
        <w:rPr>
          <w:rFonts w:hint="eastAsia" w:hAnsi="宋体" w:cs="宋体"/>
          <w:b/>
          <w:szCs w:val="24"/>
        </w:rPr>
        <w:t>7.竞争性磋商文件的修改和澄清</w:t>
      </w:r>
    </w:p>
    <w:p>
      <w:pPr>
        <w:spacing w:line="360" w:lineRule="auto"/>
        <w:ind w:firstLine="480" w:firstLineChars="200"/>
        <w:rPr>
          <w:rFonts w:hAnsi="宋体" w:cs="宋体"/>
          <w:szCs w:val="24"/>
        </w:rPr>
      </w:pPr>
      <w:r>
        <w:rPr>
          <w:rFonts w:hint="eastAsia" w:hAnsi="宋体" w:cs="宋体"/>
          <w:szCs w:val="24"/>
        </w:rPr>
        <w:t>7.1在磋商响应文件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rPr>
      </w:pPr>
      <w:r>
        <w:rPr>
          <w:rFonts w:hint="eastAsia" w:hAnsi="宋体" w:cs="宋体"/>
          <w:szCs w:val="24"/>
        </w:rPr>
        <w:t>7.2采购单位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rPr>
      </w:pPr>
      <w:r>
        <w:rPr>
          <w:rFonts w:hint="eastAsia" w:hAnsi="宋体" w:cs="宋体"/>
          <w:szCs w:val="24"/>
        </w:rPr>
        <w:t>7.3已经购买竞争性磋商文件的供应商对竞争性磋商文件有疑问的，均应在磋商截止日期2日前以书面形式向采购代理机构提出。采购代理机构视情况必要时将书面答复传送给所有获取竞争性磋商文件的供应商。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rPr>
      </w:pPr>
      <w:r>
        <w:rPr>
          <w:rFonts w:hint="eastAsia" w:hAnsi="宋体" w:cs="宋体"/>
          <w:szCs w:val="24"/>
        </w:rPr>
        <w:t>7.4供应商在收到上述通知后，应立即向采购代理机构回函确认。</w:t>
      </w:r>
    </w:p>
    <w:p>
      <w:pPr>
        <w:keepNext/>
        <w:keepLines/>
        <w:spacing w:beforeLines="100" w:afterLines="50" w:line="360" w:lineRule="auto"/>
        <w:jc w:val="center"/>
        <w:rPr>
          <w:rFonts w:hAnsi="宋体" w:cs="宋体"/>
          <w:b/>
          <w:sz w:val="32"/>
          <w:szCs w:val="32"/>
        </w:rPr>
      </w:pPr>
      <w:bookmarkStart w:id="39" w:name="_Toc363473974"/>
      <w:bookmarkStart w:id="40" w:name="_Toc403077641"/>
      <w:bookmarkStart w:id="41" w:name="_Toc363474019"/>
      <w:r>
        <w:rPr>
          <w:rFonts w:hint="eastAsia" w:hAnsi="宋体" w:cs="宋体"/>
          <w:b/>
          <w:sz w:val="32"/>
          <w:szCs w:val="32"/>
        </w:rPr>
        <w:t>三.磋商响应文件的编制</w:t>
      </w:r>
      <w:bookmarkEnd w:id="39"/>
      <w:bookmarkEnd w:id="40"/>
      <w:bookmarkEnd w:id="41"/>
    </w:p>
    <w:p>
      <w:pPr>
        <w:spacing w:line="360" w:lineRule="auto"/>
        <w:outlineLvl w:val="2"/>
        <w:rPr>
          <w:rFonts w:hAnsi="宋体" w:cs="宋体"/>
          <w:b/>
          <w:szCs w:val="24"/>
        </w:rPr>
      </w:pPr>
      <w:r>
        <w:rPr>
          <w:rFonts w:hint="eastAsia" w:hAnsi="宋体" w:cs="宋体"/>
          <w:b/>
          <w:szCs w:val="24"/>
        </w:rPr>
        <w:t>8. 磋商语言和磋商货币</w:t>
      </w:r>
    </w:p>
    <w:p>
      <w:pPr>
        <w:spacing w:line="360" w:lineRule="auto"/>
        <w:ind w:firstLine="480" w:firstLineChars="200"/>
        <w:rPr>
          <w:rFonts w:hAnsi="宋体" w:cs="宋体"/>
          <w:b/>
          <w:szCs w:val="24"/>
        </w:rPr>
      </w:pPr>
      <w:r>
        <w:rPr>
          <w:rFonts w:hint="eastAsia" w:hAnsi="宋体" w:cs="宋体"/>
          <w:szCs w:val="24"/>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rPr>
      </w:pPr>
      <w:r>
        <w:rPr>
          <w:rFonts w:hint="eastAsia" w:hAnsi="宋体" w:cs="宋体"/>
          <w:szCs w:val="24"/>
        </w:rPr>
        <w:t>8.2磋商应以人民币报价。任何包含非人民币报价的磋商将按无效磋商处理。</w:t>
      </w:r>
    </w:p>
    <w:p>
      <w:pPr>
        <w:spacing w:line="360" w:lineRule="auto"/>
        <w:outlineLvl w:val="2"/>
        <w:rPr>
          <w:rFonts w:hAnsi="宋体" w:cs="宋体"/>
          <w:b/>
          <w:szCs w:val="24"/>
        </w:rPr>
      </w:pPr>
      <w:r>
        <w:rPr>
          <w:rFonts w:hint="eastAsia" w:hAnsi="宋体" w:cs="宋体"/>
          <w:b/>
          <w:szCs w:val="24"/>
        </w:rPr>
        <w:t>9.竞争性磋商响应文件的构成</w:t>
      </w:r>
    </w:p>
    <w:p>
      <w:pPr>
        <w:spacing w:line="360" w:lineRule="auto"/>
        <w:ind w:firstLine="480" w:firstLineChars="200"/>
        <w:rPr>
          <w:rFonts w:hAnsi="宋体" w:cs="宋体"/>
          <w:szCs w:val="24"/>
        </w:rPr>
      </w:pPr>
      <w:r>
        <w:rPr>
          <w:rFonts w:hint="eastAsia" w:hAnsi="宋体" w:cs="宋体"/>
          <w:szCs w:val="24"/>
        </w:rPr>
        <w:t>9.1 供应商提交的竞争性磋商响应文件应包含下列部分的内容：</w:t>
      </w:r>
    </w:p>
    <w:p>
      <w:pPr>
        <w:spacing w:line="360" w:lineRule="auto"/>
        <w:ind w:firstLine="480" w:firstLineChars="200"/>
        <w:rPr>
          <w:rFonts w:hAnsi="宋体" w:cs="宋体"/>
          <w:szCs w:val="24"/>
        </w:rPr>
      </w:pPr>
      <w:r>
        <w:rPr>
          <w:rFonts w:hint="eastAsia" w:hAnsi="宋体" w:cs="宋体"/>
          <w:szCs w:val="24"/>
        </w:rPr>
        <w:t>1） 按照供应商须知的要求和竞争性磋商文件规定格式填写的竞争性磋商响应函、磋商报价表、法定代表人授权委托书。</w:t>
      </w:r>
    </w:p>
    <w:p>
      <w:pPr>
        <w:spacing w:line="500" w:lineRule="exact"/>
        <w:ind w:firstLine="480" w:firstLineChars="200"/>
        <w:rPr>
          <w:rFonts w:hAnsi="宋体" w:cs="宋体"/>
          <w:szCs w:val="24"/>
        </w:rPr>
      </w:pPr>
      <w:r>
        <w:rPr>
          <w:rFonts w:hint="eastAsia" w:hAnsi="宋体" w:cs="宋体"/>
          <w:szCs w:val="24"/>
        </w:rPr>
        <w:t>2）按照竞争性磋商文件的要求编制的磋商方案说明书。</w:t>
      </w:r>
    </w:p>
    <w:p>
      <w:pPr>
        <w:spacing w:line="360" w:lineRule="auto"/>
        <w:ind w:firstLine="480" w:firstLineChars="200"/>
        <w:rPr>
          <w:rFonts w:hAnsi="宋体" w:cs="宋体"/>
          <w:szCs w:val="24"/>
        </w:rPr>
      </w:pPr>
      <w:r>
        <w:rPr>
          <w:rFonts w:hint="eastAsia" w:hAnsi="宋体" w:cs="宋体"/>
          <w:szCs w:val="24"/>
        </w:rPr>
        <w:t>3）按照竞争性磋商文件供应商须知前附表的要求提交的资格证明文件。</w:t>
      </w:r>
    </w:p>
    <w:p>
      <w:pPr>
        <w:spacing w:line="360" w:lineRule="auto"/>
        <w:ind w:firstLine="480" w:firstLineChars="200"/>
        <w:rPr>
          <w:rFonts w:hAnsi="宋体" w:cs="宋体"/>
          <w:szCs w:val="24"/>
        </w:rPr>
      </w:pPr>
      <w:r>
        <w:rPr>
          <w:rFonts w:hint="eastAsia" w:hAnsi="宋体" w:cs="宋体"/>
          <w:szCs w:val="24"/>
        </w:rPr>
        <w:t>4）按照本须知第14条要求提交的磋商保证金。</w:t>
      </w:r>
    </w:p>
    <w:p>
      <w:pPr>
        <w:spacing w:line="360" w:lineRule="auto"/>
        <w:ind w:firstLine="480" w:firstLineChars="200"/>
        <w:rPr>
          <w:rFonts w:hAnsi="宋体" w:cs="宋体"/>
          <w:szCs w:val="24"/>
        </w:rPr>
      </w:pPr>
      <w:r>
        <w:rPr>
          <w:rFonts w:hint="eastAsia" w:hAnsi="宋体" w:cs="宋体"/>
          <w:szCs w:val="24"/>
        </w:rPr>
        <w:t>5）竞争磋商文件中要求的其他证明文件。</w:t>
      </w:r>
    </w:p>
    <w:p>
      <w:pPr>
        <w:spacing w:line="500" w:lineRule="exact"/>
        <w:ind w:firstLine="480" w:firstLineChars="200"/>
        <w:rPr>
          <w:rFonts w:hAnsi="宋体" w:cs="宋体"/>
          <w:szCs w:val="24"/>
        </w:rPr>
      </w:pPr>
      <w:r>
        <w:rPr>
          <w:rFonts w:hint="eastAsia" w:hAnsi="宋体" w:cs="宋体"/>
          <w:szCs w:val="24"/>
        </w:rPr>
        <w:t xml:space="preserve">9.2 如果在竞争性磋商文件中没有允许提供备选方案，则每个供应商只允许提交一个磋商方案，否则，其磋商将按照无效磋商处理。                                                                                                                                                                                                                                                                                                                                                                                                                                                                                                                                                                                                                                                                                                                                                                                                                                                                                                                                                                                                                                                                                                      </w:t>
      </w:r>
    </w:p>
    <w:p>
      <w:pPr>
        <w:spacing w:line="360" w:lineRule="auto"/>
        <w:ind w:firstLine="480" w:firstLineChars="200"/>
        <w:rPr>
          <w:rFonts w:hAnsi="宋体" w:cs="宋体"/>
          <w:szCs w:val="24"/>
        </w:rPr>
      </w:pPr>
      <w:r>
        <w:rPr>
          <w:rFonts w:hint="eastAsia" w:hAnsi="宋体" w:cs="宋体"/>
          <w:szCs w:val="24"/>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outlineLvl w:val="2"/>
        <w:rPr>
          <w:rFonts w:hAnsi="宋体" w:cs="宋体"/>
          <w:b/>
          <w:szCs w:val="24"/>
        </w:rPr>
      </w:pPr>
      <w:r>
        <w:rPr>
          <w:rFonts w:hint="eastAsia" w:hAnsi="宋体" w:cs="宋体"/>
          <w:b/>
          <w:szCs w:val="24"/>
        </w:rPr>
        <w:t xml:space="preserve">10.竞争性磋商响应文件格式 </w:t>
      </w:r>
    </w:p>
    <w:p>
      <w:pPr>
        <w:spacing w:line="360" w:lineRule="auto"/>
        <w:ind w:firstLine="480" w:firstLineChars="200"/>
        <w:rPr>
          <w:rFonts w:hAnsi="宋体" w:cs="宋体"/>
          <w:szCs w:val="24"/>
        </w:rPr>
      </w:pPr>
      <w:r>
        <w:rPr>
          <w:rFonts w:hint="eastAsia" w:hAnsi="宋体" w:cs="宋体"/>
          <w:szCs w:val="24"/>
        </w:rPr>
        <w:t>10.1 供应商应按照竞争性磋商文件中第六章“竞争性磋商响应文件格式”所提供的格式和要求制作竞争性磋商响应文件，明确表达磋商意愿，详细说明磋商方案、承诺及价格。</w:t>
      </w:r>
    </w:p>
    <w:p>
      <w:pPr>
        <w:spacing w:line="360" w:lineRule="auto"/>
        <w:ind w:firstLine="480" w:firstLineChars="200"/>
        <w:rPr>
          <w:rFonts w:hAnsi="宋体" w:cs="宋体"/>
          <w:szCs w:val="24"/>
        </w:rPr>
      </w:pPr>
      <w:r>
        <w:rPr>
          <w:rFonts w:hint="eastAsia" w:hAnsi="宋体" w:cs="宋体"/>
          <w:szCs w:val="24"/>
        </w:rPr>
        <w:t>10.2按竞争性磋商文件第9条的内容及要求和第六章提供的格式和要求编写其竞争性磋商响应文件，供应商不得缺少或留空任何竞争性磋商文件要求填写的表格或提交的资料。</w:t>
      </w:r>
    </w:p>
    <w:p>
      <w:pPr>
        <w:spacing w:line="360" w:lineRule="auto"/>
        <w:outlineLvl w:val="2"/>
        <w:rPr>
          <w:rFonts w:hAnsi="宋体" w:cs="宋体"/>
          <w:b/>
          <w:szCs w:val="24"/>
        </w:rPr>
      </w:pPr>
      <w:r>
        <w:rPr>
          <w:rFonts w:hint="eastAsia" w:hAnsi="宋体" w:cs="宋体"/>
          <w:b/>
          <w:szCs w:val="24"/>
        </w:rPr>
        <w:t>11.磋商报价</w:t>
      </w:r>
    </w:p>
    <w:p>
      <w:pPr>
        <w:spacing w:line="360" w:lineRule="auto"/>
        <w:ind w:firstLine="480" w:firstLineChars="200"/>
        <w:rPr>
          <w:rFonts w:hAnsi="宋体" w:cs="宋体"/>
          <w:szCs w:val="24"/>
        </w:rPr>
      </w:pPr>
      <w:r>
        <w:rPr>
          <w:rFonts w:hint="eastAsia" w:hAnsi="宋体" w:cs="宋体"/>
          <w:szCs w:val="24"/>
        </w:rPr>
        <w:t>11.1磋商报价：包括但不限于系统建设、维护直接成本、间接成本、利润、税金、招标代理服务费等费用。供应商所报的价格应考虑到可能发生的所有与完成相关服务及履行合同义务有关的一切费用。</w:t>
      </w:r>
    </w:p>
    <w:p>
      <w:pPr>
        <w:spacing w:line="360" w:lineRule="auto"/>
        <w:ind w:firstLine="480" w:firstLineChars="200"/>
        <w:rPr>
          <w:rFonts w:hAnsi="宋体" w:cs="宋体"/>
          <w:szCs w:val="24"/>
        </w:rPr>
      </w:pPr>
      <w:r>
        <w:rPr>
          <w:rFonts w:hint="eastAsia" w:hAnsi="宋体" w:cs="宋体"/>
          <w:szCs w:val="24"/>
        </w:rPr>
        <w:t>11.2磋商报价表中标明的价格应为履行合同的总报价，不得以任何理由予以变更。以可调整的价格提交的竞争性磋商响应文件将按无效磋商处理。</w:t>
      </w:r>
    </w:p>
    <w:p>
      <w:pPr>
        <w:spacing w:line="360" w:lineRule="auto"/>
        <w:outlineLvl w:val="2"/>
        <w:rPr>
          <w:rFonts w:hAnsi="宋体" w:cs="宋体"/>
          <w:b/>
          <w:szCs w:val="24"/>
        </w:rPr>
      </w:pPr>
      <w:r>
        <w:rPr>
          <w:rFonts w:hint="eastAsia" w:hAnsi="宋体" w:cs="宋体"/>
          <w:b/>
          <w:szCs w:val="24"/>
        </w:rPr>
        <w:t>12.证明供应商合格的资格证明文件</w:t>
      </w:r>
    </w:p>
    <w:p>
      <w:pPr>
        <w:spacing w:line="360" w:lineRule="auto"/>
        <w:ind w:firstLine="480" w:firstLineChars="200"/>
        <w:rPr>
          <w:rFonts w:hAnsi="宋体" w:cs="宋体"/>
          <w:szCs w:val="24"/>
        </w:rPr>
      </w:pPr>
      <w:r>
        <w:rPr>
          <w:rFonts w:hint="eastAsia" w:hAnsi="宋体" w:cs="宋体"/>
          <w:szCs w:val="24"/>
        </w:rPr>
        <w:t>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outlineLvl w:val="2"/>
        <w:rPr>
          <w:rFonts w:hAnsi="宋体" w:cs="宋体"/>
          <w:b/>
          <w:szCs w:val="24"/>
        </w:rPr>
      </w:pPr>
      <w:r>
        <w:rPr>
          <w:rFonts w:hint="eastAsia" w:hAnsi="宋体" w:cs="宋体"/>
          <w:b/>
          <w:szCs w:val="24"/>
        </w:rPr>
        <w:t>13.证明的合格性和竞争性磋商文件规定的文件</w:t>
      </w:r>
    </w:p>
    <w:p>
      <w:pPr>
        <w:spacing w:line="360" w:lineRule="auto"/>
        <w:ind w:firstLine="480" w:firstLineChars="200"/>
        <w:rPr>
          <w:rFonts w:hAnsi="宋体" w:cs="宋体"/>
          <w:szCs w:val="24"/>
        </w:rPr>
      </w:pPr>
      <w:r>
        <w:rPr>
          <w:rFonts w:hint="eastAsia" w:hAnsi="宋体" w:cs="宋体"/>
          <w:szCs w:val="24"/>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pacing w:line="500" w:lineRule="exact"/>
        <w:ind w:firstLine="480" w:firstLineChars="200"/>
        <w:rPr>
          <w:rFonts w:hAnsi="宋体" w:cs="宋体"/>
          <w:szCs w:val="24"/>
        </w:rPr>
      </w:pPr>
      <w:r>
        <w:rPr>
          <w:rFonts w:hint="eastAsia" w:hAnsi="宋体" w:cs="宋体"/>
          <w:szCs w:val="24"/>
        </w:rPr>
        <w:t>13.2上述证明文件可以是文字资料、图纸、图片、数据、宣传彩页等，所有证明文件表达意思必须统一。</w:t>
      </w:r>
    </w:p>
    <w:p>
      <w:pPr>
        <w:spacing w:line="360" w:lineRule="auto"/>
        <w:outlineLvl w:val="2"/>
        <w:rPr>
          <w:rFonts w:hAnsi="宋体" w:cs="宋体"/>
          <w:b/>
          <w:szCs w:val="24"/>
        </w:rPr>
      </w:pPr>
      <w:r>
        <w:rPr>
          <w:rFonts w:hint="eastAsia" w:hAnsi="宋体" w:cs="宋体"/>
          <w:b/>
          <w:szCs w:val="24"/>
        </w:rPr>
        <w:t>14.磋商保证金</w:t>
      </w:r>
    </w:p>
    <w:p>
      <w:pPr>
        <w:spacing w:line="360" w:lineRule="auto"/>
        <w:ind w:firstLine="480" w:firstLineChars="200"/>
        <w:rPr>
          <w:rFonts w:hAnsi="宋体" w:cs="宋体"/>
          <w:szCs w:val="24"/>
        </w:rPr>
      </w:pPr>
      <w:r>
        <w:rPr>
          <w:rFonts w:hint="eastAsia" w:hAnsi="宋体" w:cs="宋体"/>
          <w:szCs w:val="24"/>
        </w:rPr>
        <w:t>14.1供应商在磋商时应向华睿诚项目管理有限公司提交“供应商须知前附表”规定数额的磋商保证金,并作为其磋商的一部分。</w:t>
      </w:r>
    </w:p>
    <w:p>
      <w:pPr>
        <w:spacing w:line="360" w:lineRule="auto"/>
        <w:ind w:firstLine="480" w:firstLineChars="200"/>
        <w:rPr>
          <w:rFonts w:hAnsi="宋体" w:cs="宋体"/>
          <w:szCs w:val="24"/>
        </w:rPr>
      </w:pPr>
      <w:r>
        <w:rPr>
          <w:rFonts w:hint="eastAsia" w:hAnsi="宋体" w:cs="宋体"/>
          <w:szCs w:val="24"/>
        </w:rPr>
        <w:t>14.2磋商保证金是为了保护采购单位（包括华睿诚项目管理有限公司及采购人）免遭因供应商的行为而蒙受损失。采购单位在因供应商的行为受到损害时可根据本须知的规定没收供应商的磋商保证金。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rPr>
      </w:pPr>
      <w:r>
        <w:rPr>
          <w:rFonts w:hint="eastAsia" w:hAnsi="宋体" w:cs="宋体"/>
          <w:szCs w:val="24"/>
        </w:rPr>
        <w:t>14.3磋商保证金可采取“供应商须知前附表”规定的任何一种形式。</w:t>
      </w:r>
    </w:p>
    <w:p>
      <w:pPr>
        <w:spacing w:line="360" w:lineRule="auto"/>
        <w:ind w:firstLine="480" w:firstLineChars="200"/>
        <w:rPr>
          <w:rFonts w:hAnsi="宋体" w:cs="宋体"/>
          <w:szCs w:val="24"/>
        </w:rPr>
      </w:pPr>
      <w:r>
        <w:rPr>
          <w:rFonts w:hint="eastAsia" w:hAnsi="宋体" w:cs="宋体"/>
          <w:szCs w:val="24"/>
        </w:rPr>
        <w:t>14.4磋商保证金必须按照竞争性磋商文件“供应商须知前附表”中规定的缴纳金额及方式办理。</w:t>
      </w:r>
    </w:p>
    <w:p>
      <w:pPr>
        <w:spacing w:line="360" w:lineRule="auto"/>
        <w:ind w:firstLine="480" w:firstLineChars="200"/>
        <w:rPr>
          <w:rFonts w:hAnsi="宋体" w:cs="宋体"/>
          <w:szCs w:val="24"/>
        </w:rPr>
      </w:pPr>
      <w:r>
        <w:rPr>
          <w:rFonts w:hint="eastAsia" w:hAnsi="宋体" w:cs="宋体"/>
          <w:szCs w:val="24"/>
        </w:rPr>
        <w:t>14.5磋商后经审查，未提交磋商保证金、未按竞争性磋商文件规定时间提交磋商保证金</w:t>
      </w:r>
      <w:r>
        <w:rPr>
          <w:rFonts w:hint="eastAsia" w:hAnsi="宋体" w:cs="宋体"/>
        </w:rPr>
        <w:t>或担保机构出具的保函正本未在采购代理机构备案的</w:t>
      </w:r>
      <w:r>
        <w:rPr>
          <w:rFonts w:hint="eastAsia" w:hAnsi="宋体" w:cs="宋体"/>
          <w:szCs w:val="24"/>
        </w:rPr>
        <w:t>、磋商保证金金额不足或磋商保证金转账凭证复印件/担保机构出具的保函正本复印件未附在磋商响应文件内的磋商将按无效磋商处理。</w:t>
      </w:r>
    </w:p>
    <w:p>
      <w:pPr>
        <w:spacing w:line="360" w:lineRule="auto"/>
        <w:rPr>
          <w:rFonts w:hAnsi="宋体" w:cs="宋体"/>
          <w:szCs w:val="24"/>
        </w:rPr>
      </w:pPr>
      <w:r>
        <w:rPr>
          <w:rFonts w:hint="eastAsia" w:hAnsi="宋体" w:cs="宋体"/>
          <w:szCs w:val="24"/>
        </w:rPr>
        <w:t xml:space="preserve">   14.6未成交供应商的磋商保证金，将在成交通知书发出后五个工作日内按原账户退还；成交供应商的磋商保证金，在采购合同签订之日起五个工作日内退还</w:t>
      </w:r>
      <w:r>
        <w:rPr>
          <w:rFonts w:hint="eastAsia" w:hAnsi="宋体" w:cs="宋体"/>
          <w:b/>
          <w:szCs w:val="24"/>
        </w:rPr>
        <w:t>（退还时，须向采购代理机构提供采购合同壹份，邮箱1026328747@qq.com，</w:t>
      </w:r>
      <w:r>
        <w:rPr>
          <w:rFonts w:hint="eastAsia" w:hAnsi="宋体" w:cs="宋体"/>
          <w:b/>
          <w:bCs/>
          <w:szCs w:val="24"/>
        </w:rPr>
        <w:t>财务联系电话：韩女士029-88693077</w:t>
      </w:r>
      <w:r>
        <w:rPr>
          <w:rFonts w:hint="eastAsia" w:hAnsi="宋体" w:cs="宋体"/>
          <w:b/>
          <w:szCs w:val="24"/>
        </w:rPr>
        <w:t>）</w:t>
      </w:r>
      <w:r>
        <w:rPr>
          <w:rFonts w:hint="eastAsia" w:hAnsi="宋体" w:cs="宋体"/>
          <w:szCs w:val="24"/>
        </w:rPr>
        <w:t>。</w:t>
      </w:r>
    </w:p>
    <w:p>
      <w:pPr>
        <w:spacing w:line="360" w:lineRule="auto"/>
        <w:ind w:firstLine="480" w:firstLineChars="200"/>
        <w:rPr>
          <w:rFonts w:hAnsi="宋体" w:cs="宋体"/>
          <w:szCs w:val="24"/>
        </w:rPr>
      </w:pPr>
      <w:r>
        <w:rPr>
          <w:rFonts w:hint="eastAsia" w:hAnsi="宋体" w:cs="宋体"/>
          <w:szCs w:val="24"/>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b/>
          <w:szCs w:val="24"/>
        </w:rPr>
      </w:pPr>
      <w:r>
        <w:rPr>
          <w:rFonts w:hint="eastAsia" w:hAnsi="宋体" w:cs="宋体"/>
          <w:b/>
          <w:szCs w:val="24"/>
        </w:rPr>
        <w:t>14.8 下列任何情况发生时，视为供应商违约，其磋商保证金将被没收：</w:t>
      </w:r>
    </w:p>
    <w:p>
      <w:pPr>
        <w:spacing w:line="360" w:lineRule="auto"/>
        <w:ind w:firstLine="480" w:firstLineChars="200"/>
        <w:rPr>
          <w:rFonts w:hAnsi="宋体" w:cs="宋体"/>
          <w:color w:val="000000"/>
          <w:szCs w:val="24"/>
        </w:rPr>
      </w:pPr>
      <w:r>
        <w:rPr>
          <w:rFonts w:hint="eastAsia" w:hAnsi="宋体" w:cs="宋体"/>
          <w:color w:val="000000"/>
          <w:szCs w:val="24"/>
        </w:rPr>
        <w:t>1) 供应商在磋商截止后撤回已提交的磋商响应文件；</w:t>
      </w:r>
    </w:p>
    <w:p>
      <w:pPr>
        <w:spacing w:line="360" w:lineRule="auto"/>
        <w:ind w:firstLine="480" w:firstLineChars="200"/>
        <w:rPr>
          <w:rFonts w:hAnsi="宋体" w:cs="宋体"/>
          <w:color w:val="000000"/>
          <w:szCs w:val="24"/>
        </w:rPr>
      </w:pPr>
      <w:r>
        <w:rPr>
          <w:rFonts w:hint="eastAsia" w:hAnsi="宋体" w:cs="宋体"/>
          <w:color w:val="000000"/>
          <w:szCs w:val="24"/>
        </w:rPr>
        <w:t>2）供应商成交后未能按相关规定与采购人签订合同；</w:t>
      </w:r>
    </w:p>
    <w:p>
      <w:pPr>
        <w:spacing w:line="360" w:lineRule="auto"/>
        <w:ind w:firstLine="480" w:firstLineChars="200"/>
        <w:rPr>
          <w:rFonts w:hAnsi="宋体" w:cs="宋体"/>
          <w:szCs w:val="24"/>
        </w:rPr>
      </w:pPr>
      <w:r>
        <w:rPr>
          <w:rFonts w:hint="eastAsia" w:hAnsi="宋体" w:cs="宋体"/>
          <w:color w:val="000000"/>
          <w:szCs w:val="24"/>
        </w:rPr>
        <w:t>3）法律规定的其他情形。</w:t>
      </w:r>
    </w:p>
    <w:p>
      <w:pPr>
        <w:spacing w:line="360" w:lineRule="auto"/>
        <w:ind w:firstLine="480" w:firstLineChars="200"/>
        <w:rPr>
          <w:rFonts w:hAnsi="宋体" w:cs="宋体"/>
          <w:szCs w:val="24"/>
        </w:rPr>
      </w:pPr>
      <w:r>
        <w:rPr>
          <w:rFonts w:hint="eastAsia" w:hAnsi="宋体" w:cs="宋体"/>
          <w:szCs w:val="24"/>
        </w:rPr>
        <w:t>14.9磋商保证金的有效期与磋商有效期一致。担保机构出具的保函的有效期为磋商有效期延长一个月。</w:t>
      </w:r>
    </w:p>
    <w:p>
      <w:pPr>
        <w:spacing w:line="360" w:lineRule="auto"/>
        <w:outlineLvl w:val="2"/>
        <w:rPr>
          <w:rFonts w:hAnsi="宋体" w:cs="宋体"/>
          <w:b/>
          <w:szCs w:val="24"/>
        </w:rPr>
      </w:pPr>
      <w:r>
        <w:rPr>
          <w:rFonts w:hint="eastAsia" w:hAnsi="宋体" w:cs="宋体"/>
          <w:b/>
          <w:szCs w:val="24"/>
        </w:rPr>
        <w:t>15.磋商有效期</w:t>
      </w:r>
    </w:p>
    <w:p>
      <w:pPr>
        <w:spacing w:line="360" w:lineRule="auto"/>
        <w:ind w:firstLine="480" w:firstLineChars="200"/>
        <w:rPr>
          <w:rFonts w:hAnsi="宋体" w:cs="宋体"/>
          <w:szCs w:val="24"/>
        </w:rPr>
      </w:pPr>
      <w:bookmarkStart w:id="42" w:name="OLE_LINK4"/>
      <w:r>
        <w:rPr>
          <w:rFonts w:hint="eastAsia" w:hAnsi="宋体" w:cs="宋体"/>
          <w:szCs w:val="24"/>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Ansi="宋体" w:cs="宋体"/>
          <w:szCs w:val="24"/>
        </w:rPr>
      </w:pPr>
      <w:r>
        <w:rPr>
          <w:rFonts w:hint="eastAsia" w:hAnsi="宋体" w:cs="宋体"/>
          <w:szCs w:val="24"/>
        </w:rPr>
        <w:t>15.2在特殊情况下，在原磋商有效期期满之前，采购代理机构可向供应商提出延长磋商有效期的要求。这种要求与答复均应以书面的形式。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outlineLvl w:val="2"/>
        <w:rPr>
          <w:rFonts w:hAnsi="宋体" w:cs="宋体"/>
          <w:b/>
          <w:szCs w:val="24"/>
        </w:rPr>
      </w:pPr>
      <w:r>
        <w:rPr>
          <w:rFonts w:hint="eastAsia" w:hAnsi="宋体" w:cs="宋体"/>
          <w:b/>
          <w:szCs w:val="24"/>
        </w:rPr>
        <w:t>16.竞争性磋商响应文件的式样和签署</w:t>
      </w:r>
    </w:p>
    <w:p>
      <w:pPr>
        <w:spacing w:line="360" w:lineRule="auto"/>
        <w:ind w:firstLine="480" w:firstLineChars="200"/>
        <w:rPr>
          <w:rFonts w:hAnsi="宋体" w:cs="宋体"/>
          <w:szCs w:val="24"/>
        </w:rPr>
      </w:pPr>
      <w:r>
        <w:rPr>
          <w:rFonts w:hint="eastAsia" w:hAnsi="宋体" w:cs="宋体"/>
          <w:szCs w:val="24"/>
        </w:rPr>
        <w:t>16.1供应商应按照供应商须知的要求, 准备一份竞争性磋商响应文件正本和“供应商须知前附表”中规定数量的副本，每套竞争性磋商响应文件封面须清楚地标明“正本”或“副本”。同时提供与正本内容一致的</w:t>
      </w:r>
      <w:r>
        <w:rPr>
          <w:rFonts w:hint="eastAsia" w:hAnsi="宋体" w:cs="宋体"/>
          <w:spacing w:val="4"/>
        </w:rPr>
        <w:t>电子版（U盘），</w:t>
      </w:r>
      <w:r>
        <w:rPr>
          <w:rFonts w:hint="eastAsia" w:hAnsi="宋体" w:cs="宋体"/>
          <w:szCs w:val="24"/>
        </w:rPr>
        <w:t>并标注供应商全称、项目名称、项目编号，并与竞争性磋商响应文件同时递交。</w:t>
      </w:r>
    </w:p>
    <w:p>
      <w:pPr>
        <w:spacing w:line="500" w:lineRule="exact"/>
        <w:ind w:firstLine="480" w:firstLineChars="200"/>
        <w:rPr>
          <w:rFonts w:hAnsi="宋体" w:cs="宋体"/>
        </w:rPr>
      </w:pPr>
      <w:r>
        <w:rPr>
          <w:rFonts w:hint="eastAsia" w:hAnsi="宋体" w:cs="宋体"/>
          <w:szCs w:val="24"/>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所有竞争性磋商响应文件正本和副本应编制目录、标注连续页码，并分别胶装成册。</w:t>
      </w:r>
    </w:p>
    <w:p>
      <w:pPr>
        <w:spacing w:line="360" w:lineRule="auto"/>
        <w:ind w:firstLine="480" w:firstLineChars="200"/>
        <w:rPr>
          <w:rFonts w:hAnsi="宋体" w:cs="宋体"/>
          <w:szCs w:val="24"/>
        </w:rPr>
      </w:pPr>
      <w:r>
        <w:rPr>
          <w:rFonts w:hint="eastAsia" w:hAnsi="宋体" w:cs="宋体"/>
          <w:szCs w:val="24"/>
        </w:rPr>
        <w:t>16.3任何行间插字、涂改和增删，必须由供应商的法定代表人或其授权代表在旁边签字才有效。</w:t>
      </w:r>
    </w:p>
    <w:p>
      <w:pPr>
        <w:spacing w:line="360" w:lineRule="auto"/>
        <w:ind w:firstLine="480" w:firstLineChars="200"/>
        <w:rPr>
          <w:rFonts w:hAnsi="宋体" w:cs="宋体"/>
          <w:szCs w:val="24"/>
        </w:rPr>
      </w:pPr>
      <w:r>
        <w:rPr>
          <w:rFonts w:hint="eastAsia" w:hAnsi="宋体" w:cs="宋体"/>
          <w:szCs w:val="24"/>
        </w:rPr>
        <w:t>16.4</w:t>
      </w:r>
      <w:r>
        <w:rPr>
          <w:rFonts w:hint="eastAsia" w:hAnsi="宋体" w:cs="宋体"/>
          <w:b/>
          <w:szCs w:val="24"/>
        </w:rPr>
        <w:t>供应商名称应填写全称，竞争性磋商响应文件正本必须加盖供应商鲜章。</w:t>
      </w:r>
    </w:p>
    <w:p>
      <w:pPr>
        <w:spacing w:line="360" w:lineRule="auto"/>
        <w:ind w:firstLine="480" w:firstLineChars="200"/>
        <w:rPr>
          <w:rFonts w:hAnsi="宋体" w:cs="宋体"/>
          <w:szCs w:val="24"/>
        </w:rPr>
      </w:pPr>
      <w:r>
        <w:rPr>
          <w:rFonts w:hint="eastAsia" w:hAnsi="宋体" w:cs="宋体"/>
          <w:szCs w:val="24"/>
        </w:rPr>
        <w:t>16.5因字迹潦草、表述不清或不按竞争性磋商文件格式编制的竞争性磋商响应文件，所引起的对供应商不利的后果，由供应商自行负责。</w:t>
      </w:r>
    </w:p>
    <w:p>
      <w:pPr>
        <w:spacing w:line="360" w:lineRule="auto"/>
        <w:ind w:firstLine="480" w:firstLineChars="200"/>
        <w:rPr>
          <w:rFonts w:hAnsi="宋体" w:cs="宋体"/>
        </w:rPr>
      </w:pPr>
      <w:r>
        <w:rPr>
          <w:rFonts w:hint="eastAsia" w:hAnsi="宋体" w:cs="宋体"/>
          <w:szCs w:val="24"/>
        </w:rPr>
        <w:t>16.6竞争性磋商文件的副本、电子版须和正本保持一致。</w:t>
      </w:r>
      <w:r>
        <w:rPr>
          <w:rFonts w:hint="eastAsia" w:hAnsi="宋体" w:cs="宋体"/>
        </w:rPr>
        <w:t>若正本、副本和电子版有不一致的内容，以正本为准。</w:t>
      </w:r>
    </w:p>
    <w:p>
      <w:pPr>
        <w:keepNext/>
        <w:keepLines/>
        <w:spacing w:beforeLines="100" w:afterLines="50" w:line="360" w:lineRule="auto"/>
        <w:jc w:val="center"/>
        <w:rPr>
          <w:rFonts w:hAnsi="宋体" w:cs="宋体"/>
          <w:b/>
          <w:sz w:val="32"/>
          <w:szCs w:val="32"/>
        </w:rPr>
      </w:pPr>
      <w:r>
        <w:rPr>
          <w:rFonts w:hint="eastAsia" w:hAnsi="宋体" w:cs="宋体"/>
          <w:b/>
          <w:sz w:val="32"/>
          <w:szCs w:val="32"/>
        </w:rPr>
        <w:t>四.竞争性磋商响应文件的递交</w:t>
      </w:r>
    </w:p>
    <w:p>
      <w:pPr>
        <w:spacing w:line="360" w:lineRule="auto"/>
        <w:outlineLvl w:val="2"/>
        <w:rPr>
          <w:rFonts w:hAnsi="宋体" w:cs="宋体"/>
          <w:b/>
          <w:szCs w:val="24"/>
        </w:rPr>
      </w:pPr>
      <w:r>
        <w:rPr>
          <w:rFonts w:hint="eastAsia" w:hAnsi="宋体" w:cs="宋体"/>
          <w:b/>
          <w:szCs w:val="24"/>
        </w:rPr>
        <w:t>17.竞争性磋商响应文件的密封和标记</w:t>
      </w:r>
    </w:p>
    <w:p>
      <w:pPr>
        <w:spacing w:line="360" w:lineRule="auto"/>
        <w:ind w:firstLine="480" w:firstLineChars="200"/>
        <w:rPr>
          <w:rFonts w:hAnsi="宋体" w:cs="宋体"/>
          <w:szCs w:val="24"/>
        </w:rPr>
      </w:pPr>
      <w:r>
        <w:rPr>
          <w:rFonts w:hint="eastAsia" w:hAnsi="宋体" w:cs="宋体"/>
        </w:rPr>
        <w:t>17.1供应商应将竞争性磋商响应文件正本、</w:t>
      </w:r>
      <w:r>
        <w:rPr>
          <w:rFonts w:hint="eastAsia" w:hAnsi="宋体" w:cs="宋体"/>
          <w:szCs w:val="24"/>
        </w:rPr>
        <w:t>所有的副本、</w:t>
      </w:r>
      <w:r>
        <w:rPr>
          <w:rFonts w:hint="eastAsia" w:hAnsi="宋体" w:cs="宋体"/>
        </w:rPr>
        <w:t>电子版本、单独密封装在封袋中（封袋不得有破损），且在封袋正面标明</w:t>
      </w:r>
      <w:r>
        <w:rPr>
          <w:rFonts w:hint="eastAsia" w:hAnsi="宋体" w:cs="宋体"/>
          <w:szCs w:val="24"/>
        </w:rPr>
        <w:t>“正本”“副本”</w:t>
      </w:r>
      <w:r>
        <w:rPr>
          <w:rFonts w:hint="eastAsia" w:hAnsi="宋体" w:cs="宋体"/>
        </w:rPr>
        <w:t>“电子版本”字样。封袋应加贴封条，并在封线处加盖供应商公章，封袋正面要粘贴供应商全称、项目名称、编号等标识。</w:t>
      </w:r>
    </w:p>
    <w:p>
      <w:pPr>
        <w:spacing w:line="360" w:lineRule="auto"/>
        <w:ind w:firstLine="480" w:firstLineChars="200"/>
        <w:rPr>
          <w:rFonts w:hAnsi="宋体" w:cs="宋体"/>
          <w:szCs w:val="24"/>
        </w:rPr>
      </w:pPr>
      <w:r>
        <w:rPr>
          <w:rFonts w:hint="eastAsia" w:hAnsi="宋体" w:cs="宋体"/>
          <w:szCs w:val="24"/>
        </w:rPr>
        <w:t>17.2如果供应商未对竞争性磋商响应文件按上述要求进行完好密封，由此产生的不利后果由供应商自行承担。</w:t>
      </w:r>
    </w:p>
    <w:p>
      <w:pPr>
        <w:spacing w:line="360" w:lineRule="auto"/>
        <w:outlineLvl w:val="2"/>
        <w:rPr>
          <w:rFonts w:hAnsi="宋体" w:cs="宋体"/>
          <w:b/>
          <w:szCs w:val="24"/>
        </w:rPr>
      </w:pPr>
      <w:r>
        <w:rPr>
          <w:rFonts w:hint="eastAsia" w:hAnsi="宋体" w:cs="宋体"/>
          <w:b/>
          <w:szCs w:val="24"/>
        </w:rPr>
        <w:t>18．竞争性磋商响应文件的递交</w:t>
      </w:r>
    </w:p>
    <w:p>
      <w:pPr>
        <w:spacing w:line="360" w:lineRule="auto"/>
        <w:ind w:firstLine="480" w:firstLineChars="200"/>
        <w:rPr>
          <w:rFonts w:hAnsi="宋体" w:cs="宋体"/>
          <w:szCs w:val="24"/>
        </w:rPr>
      </w:pPr>
      <w:r>
        <w:rPr>
          <w:rFonts w:hint="eastAsia" w:hAnsi="宋体" w:cs="宋体"/>
          <w:szCs w:val="24"/>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rPr>
      </w:pPr>
      <w:r>
        <w:rPr>
          <w:rFonts w:hint="eastAsia" w:hAnsi="宋体" w:cs="宋体"/>
          <w:szCs w:val="24"/>
        </w:rPr>
        <w:t>18.2采购代理机构项目接收人在竞争性磋商文件规定的竞争性磋商响应文件递交截止时间前，只负责竞争性磋商响应文件的接收、清点、造册登记工作，并请递交人签字确认，对其有效性不负任何责任；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rPr>
      </w:pPr>
      <w:r>
        <w:rPr>
          <w:rFonts w:hint="eastAsia" w:hAnsi="宋体" w:cs="宋体"/>
          <w:szCs w:val="24"/>
        </w:rPr>
        <w:t>18.3无论供应商成交与否，其竞争性磋商响应文件恕不退还。</w:t>
      </w:r>
    </w:p>
    <w:p>
      <w:pPr>
        <w:spacing w:line="360" w:lineRule="auto"/>
        <w:outlineLvl w:val="2"/>
        <w:rPr>
          <w:rFonts w:hAnsi="宋体" w:cs="宋体"/>
          <w:b/>
          <w:szCs w:val="24"/>
        </w:rPr>
      </w:pPr>
      <w:r>
        <w:rPr>
          <w:rFonts w:hint="eastAsia" w:hAnsi="宋体" w:cs="宋体"/>
          <w:b/>
          <w:szCs w:val="24"/>
        </w:rPr>
        <w:t>19．递交的竞争性磋商响应文件</w:t>
      </w:r>
    </w:p>
    <w:p>
      <w:pPr>
        <w:spacing w:line="360" w:lineRule="auto"/>
        <w:ind w:firstLine="480" w:firstLineChars="200"/>
        <w:rPr>
          <w:rFonts w:hAnsi="宋体" w:cs="宋体"/>
          <w:szCs w:val="24"/>
        </w:rPr>
      </w:pPr>
      <w:r>
        <w:rPr>
          <w:rFonts w:hint="eastAsia" w:hAnsi="宋体" w:cs="宋体"/>
          <w:szCs w:val="24"/>
        </w:rPr>
        <w:t>按照供应商须知的规定，采购代理机构将拒绝接受在规定的磋商截止时间后递交的任何竞争性磋商响应文件。</w:t>
      </w:r>
    </w:p>
    <w:p>
      <w:pPr>
        <w:spacing w:line="360" w:lineRule="auto"/>
        <w:outlineLvl w:val="2"/>
        <w:rPr>
          <w:rFonts w:hAnsi="宋体" w:cs="宋体"/>
          <w:b/>
          <w:szCs w:val="24"/>
        </w:rPr>
      </w:pPr>
      <w:r>
        <w:rPr>
          <w:rFonts w:hint="eastAsia" w:hAnsi="宋体" w:cs="宋体"/>
          <w:b/>
          <w:szCs w:val="24"/>
        </w:rPr>
        <w:t>20．磋商的修改与撤回</w:t>
      </w:r>
    </w:p>
    <w:p>
      <w:pPr>
        <w:spacing w:line="360" w:lineRule="auto"/>
        <w:ind w:firstLine="480" w:firstLineChars="200"/>
        <w:rPr>
          <w:rFonts w:hAnsi="宋体" w:cs="宋体"/>
          <w:szCs w:val="24"/>
        </w:rPr>
      </w:pPr>
      <w:r>
        <w:rPr>
          <w:rFonts w:hint="eastAsia" w:hAnsi="宋体" w:cs="宋体"/>
          <w:szCs w:val="24"/>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rPr>
      </w:pPr>
      <w:r>
        <w:rPr>
          <w:rFonts w:hint="eastAsia" w:hAnsi="宋体" w:cs="宋体"/>
          <w:szCs w:val="24"/>
        </w:rPr>
        <w:t>20.2 供应商的修改或撤回或变动价格的通知应按本须知第17条的规定编制、密封、标记和递交。</w:t>
      </w:r>
    </w:p>
    <w:p>
      <w:pPr>
        <w:spacing w:line="360" w:lineRule="auto"/>
        <w:ind w:firstLine="480" w:firstLineChars="200"/>
        <w:rPr>
          <w:rFonts w:hAnsi="宋体" w:cs="宋体"/>
          <w:szCs w:val="24"/>
        </w:rPr>
      </w:pPr>
      <w:r>
        <w:rPr>
          <w:rFonts w:hint="eastAsia" w:hAnsi="宋体" w:cs="宋体"/>
          <w:szCs w:val="24"/>
        </w:rPr>
        <w:t>20.3 在磋商截止时间之后，供应商不得对其磋商响应文件做任何修改或撤回。</w:t>
      </w:r>
    </w:p>
    <w:p>
      <w:pPr>
        <w:keepNext/>
        <w:keepLines/>
        <w:spacing w:beforeLines="100" w:afterLines="50" w:line="360" w:lineRule="auto"/>
        <w:jc w:val="center"/>
        <w:rPr>
          <w:rFonts w:hAnsi="宋体" w:cs="宋体"/>
          <w:b/>
          <w:sz w:val="32"/>
          <w:szCs w:val="32"/>
        </w:rPr>
      </w:pPr>
      <w:bookmarkStart w:id="43" w:name="_Toc363473976"/>
      <w:bookmarkStart w:id="44" w:name="_Toc363474021"/>
      <w:bookmarkStart w:id="45" w:name="_Toc403077643"/>
      <w:r>
        <w:rPr>
          <w:rFonts w:hint="eastAsia" w:hAnsi="宋体" w:cs="宋体"/>
          <w:b/>
          <w:sz w:val="32"/>
          <w:szCs w:val="32"/>
        </w:rPr>
        <w:t>五.磋商与评标</w:t>
      </w:r>
      <w:bookmarkEnd w:id="43"/>
      <w:bookmarkEnd w:id="44"/>
      <w:bookmarkEnd w:id="45"/>
    </w:p>
    <w:p>
      <w:pPr>
        <w:spacing w:line="360" w:lineRule="auto"/>
        <w:outlineLvl w:val="2"/>
        <w:rPr>
          <w:rFonts w:hAnsi="宋体" w:cs="宋体"/>
          <w:b/>
          <w:szCs w:val="24"/>
        </w:rPr>
      </w:pPr>
      <w:r>
        <w:rPr>
          <w:rFonts w:hint="eastAsia" w:hAnsi="宋体" w:cs="宋体"/>
          <w:b/>
          <w:szCs w:val="24"/>
        </w:rPr>
        <w:t>21.磋商</w:t>
      </w:r>
    </w:p>
    <w:p>
      <w:pPr>
        <w:spacing w:line="360" w:lineRule="auto"/>
        <w:ind w:firstLine="480" w:firstLineChars="200"/>
        <w:rPr>
          <w:rFonts w:hAnsi="宋体" w:cs="宋体"/>
          <w:szCs w:val="24"/>
        </w:rPr>
      </w:pPr>
      <w:r>
        <w:rPr>
          <w:rFonts w:hint="eastAsia" w:hAnsi="宋体" w:cs="宋体"/>
          <w:szCs w:val="24"/>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szCs w:val="24"/>
        </w:rPr>
      </w:pPr>
      <w:r>
        <w:rPr>
          <w:rFonts w:hint="eastAsia" w:hAnsi="宋体" w:cs="宋体"/>
          <w:szCs w:val="24"/>
        </w:rPr>
        <w:t>21.2采购代理机构将做磋商记录，存档备查。</w:t>
      </w:r>
    </w:p>
    <w:p>
      <w:pPr>
        <w:spacing w:line="360" w:lineRule="auto"/>
        <w:outlineLvl w:val="2"/>
        <w:rPr>
          <w:rFonts w:hAnsi="宋体" w:cs="宋体"/>
          <w:b/>
          <w:szCs w:val="24"/>
        </w:rPr>
      </w:pPr>
      <w:r>
        <w:rPr>
          <w:rFonts w:hint="eastAsia" w:hAnsi="宋体" w:cs="宋体"/>
          <w:b/>
          <w:szCs w:val="24"/>
        </w:rPr>
        <w:t>22．评审组织及评审原则</w:t>
      </w:r>
    </w:p>
    <w:p>
      <w:pPr>
        <w:spacing w:line="500" w:lineRule="exact"/>
        <w:ind w:firstLine="480" w:firstLineChars="200"/>
        <w:rPr>
          <w:rFonts w:hAnsi="宋体" w:cs="宋体"/>
          <w:szCs w:val="24"/>
        </w:rPr>
      </w:pPr>
      <w:r>
        <w:rPr>
          <w:rFonts w:hint="eastAsia" w:hAnsi="宋体" w:cs="宋体"/>
          <w:szCs w:val="24"/>
        </w:rPr>
        <w:t>22.1按照《中华人民共和国政府采购法》及实施条例和关于印发《政府采购竞争性磋商采购方式管理暂行办法》的通知（财库【2014】214号），依法组建磋商小组。磋商小组由采购人代表和评审专家组成，成员人数应当为单数，其中采购人代表须持有评审授权书。磋商小组按照竞争性磋商文件规定的评审方法独立进行评审工作。</w:t>
      </w:r>
    </w:p>
    <w:p>
      <w:pPr>
        <w:spacing w:line="360" w:lineRule="auto"/>
        <w:ind w:firstLine="480" w:firstLineChars="200"/>
        <w:rPr>
          <w:rFonts w:hAnsi="宋体" w:cs="宋体"/>
          <w:szCs w:val="24"/>
        </w:rPr>
      </w:pPr>
      <w:r>
        <w:rPr>
          <w:rFonts w:hint="eastAsia" w:hAnsi="宋体" w:cs="宋体"/>
          <w:szCs w:val="24"/>
        </w:rPr>
        <w:t>22.2竞争性磋商文件和竞争性磋商响应文件是评审的依据。在评审中，不得改变竞争性磋商文件中规定的评审标准、方法和成交条件。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rPr>
      </w:pPr>
      <w:r>
        <w:rPr>
          <w:rFonts w:hint="eastAsia" w:hAnsi="宋体" w:cs="宋体"/>
          <w:szCs w:val="24"/>
        </w:rPr>
        <w:t>22.3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rPr>
      </w:pPr>
      <w:r>
        <w:rPr>
          <w:rFonts w:hint="eastAsia" w:hAnsi="宋体" w:cs="宋体"/>
          <w:szCs w:val="24"/>
        </w:rPr>
        <w:t>22.4如果供应商在澄清规定期限内，未能答复或拒绝答复磋商小组提出的澄清要求，将由磋商小组根据其竞争性磋商响应文件按最大风险进行评审。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rPr>
      </w:pPr>
      <w:r>
        <w:rPr>
          <w:rFonts w:hint="eastAsia" w:hAnsi="宋体" w:cs="宋体"/>
          <w:szCs w:val="24"/>
        </w:rPr>
        <w:t>22.5磋商过程中的实质性变动：</w:t>
      </w:r>
    </w:p>
    <w:p>
      <w:pPr>
        <w:spacing w:line="360" w:lineRule="auto"/>
        <w:ind w:firstLine="480" w:firstLineChars="200"/>
        <w:rPr>
          <w:rFonts w:hAnsi="宋体" w:cs="宋体"/>
          <w:szCs w:val="24"/>
        </w:rPr>
      </w:pPr>
      <w:r>
        <w:rPr>
          <w:rFonts w:hint="eastAsia" w:hAnsi="宋体" w:cs="宋体"/>
          <w:szCs w:val="24"/>
        </w:rPr>
        <w:t>22.5.1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rPr>
      </w:pPr>
      <w:r>
        <w:rPr>
          <w:rFonts w:hint="eastAsia" w:hAnsi="宋体" w:cs="宋体"/>
          <w:szCs w:val="24"/>
        </w:rPr>
        <w:t>22.5.2对竞争性磋商文件做出的实质性变动是磋商文件的有效组成部分，磋商小组应当及时以书面形式通知所有参加磋商的供应商。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rPr>
      </w:pPr>
      <w:r>
        <w:rPr>
          <w:rFonts w:hint="eastAsia" w:hAnsi="宋体" w:cs="宋体"/>
          <w:szCs w:val="24"/>
        </w:rPr>
        <w:t>22.6竞争性磋商响应文件的初审（含资格性检查和符合性检查）</w:t>
      </w:r>
    </w:p>
    <w:p>
      <w:pPr>
        <w:spacing w:line="360" w:lineRule="auto"/>
        <w:ind w:firstLine="480" w:firstLineChars="200"/>
        <w:rPr>
          <w:rFonts w:hAnsi="宋体" w:cs="宋体"/>
          <w:szCs w:val="24"/>
        </w:rPr>
      </w:pPr>
      <w:r>
        <w:rPr>
          <w:rFonts w:hint="eastAsia" w:hAnsi="宋体" w:cs="宋体"/>
          <w:szCs w:val="24"/>
        </w:rPr>
        <w:t>22.6.1磋商小组将审查竞争性磋商响应文件是否完整、资格证明文件是否齐全，磋商保证金是否合格、有无计算上的错误等。</w:t>
      </w:r>
    </w:p>
    <w:p>
      <w:pPr>
        <w:spacing w:line="500" w:lineRule="exact"/>
        <w:ind w:firstLine="480" w:firstLineChars="200"/>
        <w:rPr>
          <w:rFonts w:hAnsi="宋体" w:cs="宋体"/>
          <w:szCs w:val="24"/>
        </w:rPr>
      </w:pPr>
      <w:r>
        <w:rPr>
          <w:rFonts w:hint="eastAsia" w:hAnsi="宋体" w:cs="宋体"/>
          <w:szCs w:val="24"/>
        </w:rPr>
        <w:t>22.6.2计算错误将按以下方法更正：</w:t>
      </w:r>
    </w:p>
    <w:p>
      <w:pPr>
        <w:numPr>
          <w:ilvl w:val="0"/>
          <w:numId w:val="7"/>
        </w:numPr>
        <w:spacing w:line="500" w:lineRule="exact"/>
        <w:ind w:firstLine="480" w:firstLineChars="200"/>
        <w:rPr>
          <w:rFonts w:hAnsi="宋体" w:cs="宋体"/>
          <w:szCs w:val="24"/>
        </w:rPr>
      </w:pPr>
      <w:r>
        <w:rPr>
          <w:rFonts w:hint="eastAsia" w:hAnsi="宋体" w:cs="宋体"/>
          <w:szCs w:val="24"/>
        </w:rPr>
        <w:t>磋商响应文件中磋商一次报价表内容与磋商响应文件中相应内容不一致的，以磋商一次报价表为准。</w:t>
      </w:r>
    </w:p>
    <w:p>
      <w:pPr>
        <w:numPr>
          <w:ilvl w:val="0"/>
          <w:numId w:val="7"/>
        </w:numPr>
        <w:spacing w:line="500" w:lineRule="exact"/>
        <w:ind w:firstLine="480" w:firstLineChars="200"/>
        <w:rPr>
          <w:rFonts w:hAnsi="宋体" w:cs="宋体"/>
          <w:szCs w:val="24"/>
        </w:rPr>
      </w:pPr>
      <w:r>
        <w:rPr>
          <w:rFonts w:hint="eastAsia" w:hAnsi="宋体" w:cs="宋体"/>
          <w:szCs w:val="24"/>
        </w:rPr>
        <w:t>磋商响应文件的大写金额和小写金额不一致的，以大写金额为准；</w:t>
      </w:r>
    </w:p>
    <w:p>
      <w:pPr>
        <w:spacing w:line="500" w:lineRule="exact"/>
        <w:ind w:firstLine="480" w:firstLineChars="200"/>
        <w:rPr>
          <w:rFonts w:hAnsi="宋体" w:cs="宋体"/>
          <w:szCs w:val="24"/>
        </w:rPr>
      </w:pPr>
      <w:r>
        <w:rPr>
          <w:rFonts w:hint="eastAsia" w:hAnsi="宋体" w:cs="宋体"/>
          <w:szCs w:val="24"/>
        </w:rPr>
        <w:t>（3）单价金额小数点或者百分比有明显错位的，以磋商一次报价表的总价为准，并修改单价；</w:t>
      </w:r>
    </w:p>
    <w:p>
      <w:pPr>
        <w:spacing w:line="500" w:lineRule="exact"/>
        <w:ind w:firstLine="480" w:firstLineChars="200"/>
        <w:rPr>
          <w:rFonts w:hAnsi="宋体" w:cs="宋体"/>
          <w:szCs w:val="24"/>
        </w:rPr>
      </w:pPr>
      <w:r>
        <w:rPr>
          <w:rFonts w:hint="eastAsia" w:hAnsi="宋体" w:cs="宋体"/>
          <w:szCs w:val="24"/>
        </w:rPr>
        <w:t>（4）总价金额与按单价汇总金额不一致的，以单价金额计算结果为准；</w:t>
      </w:r>
    </w:p>
    <w:p>
      <w:pPr>
        <w:spacing w:line="500" w:lineRule="exact"/>
        <w:ind w:firstLine="480" w:firstLineChars="200"/>
        <w:rPr>
          <w:rFonts w:hAnsi="宋体" w:cs="宋体"/>
          <w:szCs w:val="24"/>
        </w:rPr>
      </w:pPr>
      <w:r>
        <w:rPr>
          <w:rFonts w:hint="eastAsia" w:hAnsi="宋体" w:cs="宋体"/>
          <w:szCs w:val="24"/>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rPr>
      </w:pPr>
      <w:r>
        <w:rPr>
          <w:rFonts w:hint="eastAsia" w:hAnsi="宋体" w:cs="宋体"/>
          <w:szCs w:val="24"/>
        </w:rPr>
        <w:t>22.6.3对于竞争性磋商响应文件中明显的标点符号错误或不构成实质性偏差的不正规、不一致或不规则，采购人可以接受。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rPr>
      </w:pPr>
      <w:r>
        <w:rPr>
          <w:rFonts w:hint="eastAsia" w:hAnsi="宋体" w:cs="宋体"/>
          <w:szCs w:val="24"/>
        </w:rPr>
        <w:t>22.6.4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b/>
          <w:szCs w:val="24"/>
        </w:rPr>
      </w:pPr>
      <w:r>
        <w:rPr>
          <w:rFonts w:hint="eastAsia" w:hAnsi="宋体" w:cs="宋体"/>
          <w:szCs w:val="24"/>
        </w:rPr>
        <w:t>22.6.5实质上没有响应竞争性磋商文件要求的磋商将被拒绝。供应商不得通过修正或撤销不合要求的偏离从而使其磋商成为实质性响应的磋商。</w:t>
      </w:r>
      <w:r>
        <w:rPr>
          <w:rFonts w:hint="eastAsia" w:hAnsi="宋体" w:cs="宋体"/>
          <w:b/>
          <w:szCs w:val="24"/>
        </w:rPr>
        <w:t>如发现下列情况之一的，其磋商将构成非实质性响应，按无效磋商处理：</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（一）未按照磋商文件的规定提交磋商保证金的；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（二）磋商响应文件未按磋商文件要求签署、盖章的；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（三）不具备磋商文件中规定的资格要求的；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（四）报价超过磋商文件中规定的预算金额或者最高限价的；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（五）磋商响应文件含有采购人不能接受的附加条件的;</w:t>
      </w:r>
    </w:p>
    <w:p>
      <w:pPr>
        <w:pStyle w:val="19"/>
        <w:tabs>
          <w:tab w:val="left" w:pos="600"/>
        </w:tabs>
        <w:spacing w:line="360" w:lineRule="auto"/>
        <w:ind w:firstLine="480" w:firstLineChars="200"/>
        <w:rPr>
          <w:rFonts w:ascii="宋体" w:hAnsi="宋体" w:cs="宋体"/>
          <w:szCs w:val="24"/>
        </w:rPr>
      </w:pPr>
      <w:r>
        <w:rPr>
          <w:rFonts w:hint="eastAsia" w:ascii="宋体" w:hAnsi="宋体" w:cs="宋体"/>
          <w:sz w:val="24"/>
          <w:szCs w:val="24"/>
        </w:rPr>
        <w:t>（六）法律、法规和磋商文件规定的其他无效情形。</w:t>
      </w:r>
    </w:p>
    <w:p>
      <w:pPr>
        <w:spacing w:line="360" w:lineRule="auto"/>
        <w:ind w:firstLine="480" w:firstLineChars="200"/>
        <w:rPr>
          <w:rFonts w:hAnsi="宋体" w:cs="宋体"/>
          <w:szCs w:val="24"/>
        </w:rPr>
      </w:pPr>
      <w:r>
        <w:rPr>
          <w:rFonts w:hint="eastAsia" w:hAnsi="宋体" w:cs="宋体"/>
          <w:szCs w:val="24"/>
        </w:rPr>
        <w:t>22.7竞争性磋商响应文件的详细评审</w:t>
      </w:r>
    </w:p>
    <w:p>
      <w:pPr>
        <w:spacing w:line="360" w:lineRule="auto"/>
        <w:ind w:firstLine="480" w:firstLineChars="200"/>
        <w:rPr>
          <w:rFonts w:hAnsi="宋体" w:cs="宋体"/>
          <w:szCs w:val="24"/>
        </w:rPr>
      </w:pPr>
      <w:r>
        <w:rPr>
          <w:rFonts w:hint="eastAsia" w:hAnsi="宋体" w:cs="宋体"/>
          <w:szCs w:val="24"/>
        </w:rPr>
        <w:t>22.7.1磋商小组将按照本须知第22.6.4条规定，只对确定为实质性响应竞争性磋商文件要求的磋商响应文件进行详细评审。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rPr>
      </w:pPr>
      <w:r>
        <w:rPr>
          <w:rFonts w:hint="eastAsia" w:hAnsi="宋体" w:cs="宋体"/>
          <w:szCs w:val="24"/>
        </w:rPr>
        <w:t>22.7.2详细评审按照“供应商须知前附表”的评审方法进行。</w:t>
      </w:r>
    </w:p>
    <w:p>
      <w:pPr>
        <w:spacing w:line="360" w:lineRule="auto"/>
        <w:ind w:firstLine="480" w:firstLineChars="200"/>
        <w:rPr>
          <w:rFonts w:hAnsi="宋体" w:cs="宋体"/>
          <w:szCs w:val="24"/>
        </w:rPr>
      </w:pPr>
      <w:r>
        <w:rPr>
          <w:rFonts w:hint="eastAsia" w:hAnsi="宋体" w:cs="宋体"/>
          <w:szCs w:val="24"/>
        </w:rPr>
        <w:t>22.8成交候选人的确定</w:t>
      </w:r>
    </w:p>
    <w:p>
      <w:pPr>
        <w:spacing w:line="360" w:lineRule="auto"/>
        <w:ind w:firstLine="480" w:firstLineChars="200"/>
        <w:rPr>
          <w:rFonts w:hAnsi="宋体" w:cs="宋体"/>
          <w:szCs w:val="24"/>
        </w:rPr>
      </w:pPr>
      <w:r>
        <w:rPr>
          <w:rFonts w:hint="eastAsia" w:hAnsi="宋体" w:cs="宋体"/>
          <w:szCs w:val="24"/>
        </w:rPr>
        <w:t>磋商小组完成评审后，向采购人提出书面评审，并推荐1-3名成交候选人，标明排列顺序。</w:t>
      </w:r>
    </w:p>
    <w:p>
      <w:pPr>
        <w:spacing w:line="360" w:lineRule="auto"/>
        <w:outlineLvl w:val="2"/>
        <w:rPr>
          <w:rFonts w:hAnsi="宋体" w:cs="宋体"/>
          <w:b/>
          <w:szCs w:val="24"/>
        </w:rPr>
      </w:pPr>
      <w:r>
        <w:rPr>
          <w:rFonts w:hint="eastAsia" w:hAnsi="宋体" w:cs="宋体"/>
          <w:b/>
          <w:szCs w:val="24"/>
        </w:rPr>
        <w:t>23．评审过程的保密</w:t>
      </w:r>
    </w:p>
    <w:p>
      <w:pPr>
        <w:spacing w:line="360" w:lineRule="auto"/>
        <w:ind w:firstLine="480" w:firstLineChars="200"/>
        <w:rPr>
          <w:rFonts w:hAnsi="宋体" w:cs="宋体"/>
          <w:szCs w:val="24"/>
        </w:rPr>
      </w:pPr>
      <w:r>
        <w:rPr>
          <w:rFonts w:hint="eastAsia" w:hAnsi="宋体" w:cs="宋体"/>
          <w:szCs w:val="24"/>
        </w:rPr>
        <w:t>磋商小组成员和与评审活动有关的工作人员不得泄露有关竞争性磋商响应文件的评审和比较、成交候选人的推荐以及与评审有关的其他情况。</w:t>
      </w:r>
    </w:p>
    <w:p>
      <w:pPr>
        <w:jc w:val="left"/>
        <w:outlineLvl w:val="2"/>
        <w:rPr>
          <w:rFonts w:hAnsi="宋体" w:cs="宋体"/>
          <w:b/>
          <w:szCs w:val="24"/>
        </w:rPr>
      </w:pPr>
      <w:r>
        <w:rPr>
          <w:rFonts w:hint="eastAsia" w:hAnsi="宋体" w:cs="宋体"/>
          <w:b/>
          <w:szCs w:val="24"/>
        </w:rPr>
        <w:t>24．评审方法</w:t>
      </w:r>
    </w:p>
    <w:p>
      <w:pPr>
        <w:spacing w:line="360" w:lineRule="auto"/>
        <w:ind w:firstLine="480" w:firstLineChars="200"/>
        <w:rPr>
          <w:rFonts w:hAnsi="宋体" w:cs="宋体"/>
          <w:szCs w:val="24"/>
        </w:rPr>
      </w:pPr>
      <w:r>
        <w:rPr>
          <w:rFonts w:hint="eastAsia" w:hAnsi="宋体" w:cs="宋体"/>
          <w:szCs w:val="24"/>
        </w:rPr>
        <w:t>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spacing w:line="360" w:lineRule="auto"/>
        <w:outlineLvl w:val="2"/>
        <w:rPr>
          <w:rFonts w:hAnsi="宋体" w:cs="宋体"/>
          <w:b/>
          <w:szCs w:val="24"/>
        </w:rPr>
      </w:pPr>
      <w:r>
        <w:rPr>
          <w:rFonts w:hint="eastAsia" w:hAnsi="宋体" w:cs="宋体"/>
          <w:b/>
          <w:szCs w:val="24"/>
        </w:rPr>
        <w:t>25．评审程序</w:t>
      </w:r>
    </w:p>
    <w:p>
      <w:pPr>
        <w:spacing w:line="360" w:lineRule="auto"/>
        <w:ind w:firstLine="480" w:firstLineChars="200"/>
        <w:rPr>
          <w:rFonts w:hAnsi="宋体" w:cs="宋体"/>
          <w:szCs w:val="24"/>
        </w:rPr>
      </w:pPr>
      <w:r>
        <w:rPr>
          <w:rFonts w:hint="eastAsia" w:hAnsi="宋体" w:cs="宋体"/>
          <w:szCs w:val="24"/>
        </w:rPr>
        <w:t>按照竞争性磋商响应文件初审、澄清有关问题、分别磋商、二次报价、比较与评审、推荐成交候选人名单的工作程序进行评审。在上一步评审中被认定为无效磋商者，不进入下一步的评审。</w:t>
      </w:r>
    </w:p>
    <w:p>
      <w:pPr>
        <w:keepNext/>
        <w:keepLines/>
        <w:spacing w:beforeLines="100" w:afterLines="50" w:line="360" w:lineRule="auto"/>
        <w:jc w:val="center"/>
        <w:rPr>
          <w:rFonts w:hAnsi="宋体" w:cs="宋体"/>
          <w:b/>
          <w:sz w:val="32"/>
          <w:szCs w:val="32"/>
        </w:rPr>
      </w:pPr>
      <w:r>
        <w:rPr>
          <w:rFonts w:hint="eastAsia" w:hAnsi="宋体" w:cs="宋体"/>
          <w:b/>
          <w:sz w:val="32"/>
          <w:szCs w:val="32"/>
        </w:rPr>
        <w:t>六.成交、通知与签约</w:t>
      </w:r>
    </w:p>
    <w:p>
      <w:pPr>
        <w:spacing w:line="360" w:lineRule="auto"/>
        <w:outlineLvl w:val="2"/>
        <w:rPr>
          <w:rFonts w:hAnsi="宋体" w:cs="宋体"/>
          <w:b/>
          <w:szCs w:val="24"/>
        </w:rPr>
      </w:pPr>
      <w:r>
        <w:rPr>
          <w:rFonts w:hint="eastAsia" w:hAnsi="宋体" w:cs="宋体"/>
          <w:b/>
          <w:szCs w:val="24"/>
        </w:rPr>
        <w:t>26．成交程序</w:t>
      </w:r>
    </w:p>
    <w:p>
      <w:pPr>
        <w:spacing w:line="360" w:lineRule="auto"/>
        <w:ind w:firstLine="480" w:firstLineChars="200"/>
        <w:rPr>
          <w:rFonts w:hAnsi="宋体" w:cs="宋体"/>
          <w:szCs w:val="24"/>
        </w:rPr>
      </w:pPr>
      <w:r>
        <w:rPr>
          <w:rFonts w:hint="eastAsia" w:hAnsi="宋体" w:cs="宋体"/>
          <w:szCs w:val="24"/>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rPr>
      </w:pPr>
      <w:r>
        <w:rPr>
          <w:rFonts w:hint="eastAsia" w:hAnsi="宋体" w:cs="宋体"/>
          <w:szCs w:val="24"/>
        </w:rPr>
        <w:t>26.2采购人根据磋商报告中推荐的成交候选人排列顺序，确定排名第一的为成交供应商。</w:t>
      </w:r>
    </w:p>
    <w:p>
      <w:pPr>
        <w:spacing w:line="360" w:lineRule="auto"/>
        <w:ind w:firstLine="480" w:firstLineChars="200"/>
        <w:rPr>
          <w:rFonts w:hAnsi="宋体" w:cs="宋体"/>
          <w:szCs w:val="24"/>
        </w:rPr>
      </w:pPr>
      <w:r>
        <w:rPr>
          <w:rFonts w:hint="eastAsia" w:hAnsi="宋体" w:cs="宋体"/>
          <w:szCs w:val="24"/>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rPr>
      </w:pPr>
      <w:r>
        <w:rPr>
          <w:rFonts w:hint="eastAsia" w:hAnsi="宋体" w:cs="宋体"/>
          <w:szCs w:val="24"/>
        </w:rPr>
        <w:t>26.4采购人也可以授权磋商小组评审后直接确定成交供应商。</w:t>
      </w:r>
    </w:p>
    <w:p>
      <w:pPr>
        <w:spacing w:line="360" w:lineRule="auto"/>
        <w:ind w:firstLine="480" w:firstLineChars="200"/>
        <w:rPr>
          <w:rFonts w:hAnsi="宋体" w:cs="宋体"/>
          <w:szCs w:val="24"/>
        </w:rPr>
      </w:pPr>
      <w:r>
        <w:rPr>
          <w:rFonts w:hint="eastAsia" w:hAnsi="宋体" w:cs="宋体"/>
          <w:szCs w:val="24"/>
        </w:rPr>
        <w:t>26.5成交供应商确定之后，成交结果将在财政部门指定的政府采购信息发布媒体上公告。</w:t>
      </w:r>
    </w:p>
    <w:p>
      <w:pPr>
        <w:spacing w:line="500" w:lineRule="exact"/>
        <w:ind w:firstLine="480" w:firstLineChars="200"/>
        <w:rPr>
          <w:rFonts w:hAnsi="宋体" w:cs="宋体"/>
          <w:szCs w:val="24"/>
        </w:rPr>
      </w:pPr>
      <w:r>
        <w:rPr>
          <w:rFonts w:hint="eastAsia" w:hAnsi="宋体" w:cs="宋体"/>
          <w:szCs w:val="24"/>
        </w:rPr>
        <w:t>26.6供应商或者其他利害关系人对评审结果有异议的，应当在法律规定的时间内提出。</w:t>
      </w:r>
    </w:p>
    <w:p>
      <w:pPr>
        <w:spacing w:line="360" w:lineRule="auto"/>
        <w:outlineLvl w:val="2"/>
        <w:rPr>
          <w:rFonts w:hAnsi="宋体" w:cs="宋体"/>
          <w:b/>
          <w:szCs w:val="24"/>
        </w:rPr>
      </w:pPr>
      <w:r>
        <w:rPr>
          <w:rFonts w:hint="eastAsia" w:hAnsi="宋体" w:cs="宋体"/>
          <w:b/>
          <w:szCs w:val="24"/>
        </w:rPr>
        <w:t>27．成交通知</w:t>
      </w:r>
    </w:p>
    <w:p>
      <w:pPr>
        <w:spacing w:line="360" w:lineRule="auto"/>
        <w:ind w:firstLine="480" w:firstLineChars="200"/>
        <w:rPr>
          <w:rFonts w:hAnsi="宋体" w:cs="宋体"/>
          <w:szCs w:val="24"/>
        </w:rPr>
      </w:pPr>
      <w:r>
        <w:rPr>
          <w:rFonts w:hint="eastAsia" w:hAnsi="宋体" w:cs="宋体"/>
          <w:szCs w:val="24"/>
        </w:rPr>
        <w:t xml:space="preserve">27.1采购代理机构向成交供应商发出《成交通知书》。 </w:t>
      </w:r>
    </w:p>
    <w:p>
      <w:pPr>
        <w:spacing w:line="360" w:lineRule="auto"/>
        <w:ind w:firstLine="480" w:firstLineChars="200"/>
        <w:rPr>
          <w:rFonts w:hAnsi="宋体" w:cs="宋体"/>
          <w:szCs w:val="24"/>
        </w:rPr>
      </w:pPr>
      <w:r>
        <w:rPr>
          <w:rFonts w:hint="eastAsia" w:hAnsi="宋体" w:cs="宋体"/>
          <w:szCs w:val="24"/>
        </w:rPr>
        <w:t>27.2成交通知书对采购人和成交供应商具有同等法律效力。成交通知书发出之后，采购人改变成交结果，或者成交供应商放弃成交，应当承担相应的法律责任。</w:t>
      </w:r>
    </w:p>
    <w:p>
      <w:pPr>
        <w:spacing w:line="360" w:lineRule="auto"/>
        <w:outlineLvl w:val="2"/>
        <w:rPr>
          <w:rFonts w:hAnsi="宋体" w:cs="宋体"/>
          <w:b/>
          <w:szCs w:val="24"/>
        </w:rPr>
      </w:pPr>
      <w:r>
        <w:rPr>
          <w:rFonts w:hint="eastAsia" w:hAnsi="宋体" w:cs="宋体"/>
          <w:b/>
          <w:szCs w:val="24"/>
        </w:rPr>
        <w:t>28. 成交合同的签订</w:t>
      </w:r>
    </w:p>
    <w:p>
      <w:pPr>
        <w:spacing w:line="360" w:lineRule="auto"/>
        <w:ind w:firstLine="480" w:firstLineChars="200"/>
        <w:rPr>
          <w:rFonts w:hAnsi="宋体" w:cs="宋体"/>
          <w:szCs w:val="24"/>
        </w:rPr>
      </w:pPr>
      <w:r>
        <w:rPr>
          <w:rFonts w:hint="eastAsia" w:hAnsi="宋体" w:cs="宋体"/>
          <w:szCs w:val="24"/>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rPr>
      </w:pPr>
      <w:r>
        <w:rPr>
          <w:rFonts w:hint="eastAsia" w:hAnsi="宋体" w:cs="宋体"/>
          <w:szCs w:val="24"/>
        </w:rPr>
        <w:t>28.2采购人自采购合同签订后，将采购合同在财政部门指定官方网站进行公示。</w:t>
      </w:r>
    </w:p>
    <w:p>
      <w:pPr>
        <w:spacing w:line="360" w:lineRule="auto"/>
        <w:outlineLvl w:val="2"/>
        <w:rPr>
          <w:rFonts w:hAnsi="宋体" w:cs="宋体"/>
          <w:b/>
          <w:szCs w:val="24"/>
        </w:rPr>
      </w:pPr>
      <w:r>
        <w:rPr>
          <w:rFonts w:hint="eastAsia" w:hAnsi="宋体" w:cs="宋体"/>
          <w:b/>
          <w:szCs w:val="24"/>
        </w:rPr>
        <w:t>29．成交代理服务费</w:t>
      </w:r>
      <w:r>
        <w:rPr>
          <w:rFonts w:hint="eastAsia" w:hAnsi="宋体" w:cs="宋体"/>
          <w:szCs w:val="24"/>
        </w:rPr>
        <w:t xml:space="preserve"> ：详见供应商须知前附表。</w:t>
      </w:r>
    </w:p>
    <w:p>
      <w:pPr>
        <w:numPr>
          <w:ilvl w:val="0"/>
          <w:numId w:val="8"/>
        </w:numPr>
        <w:spacing w:line="480" w:lineRule="exact"/>
        <w:outlineLvl w:val="2"/>
        <w:rPr>
          <w:rFonts w:hAnsi="宋体" w:cs="宋体"/>
          <w:b/>
          <w:bCs/>
          <w:szCs w:val="24"/>
        </w:rPr>
      </w:pPr>
      <w:r>
        <w:rPr>
          <w:rFonts w:hint="eastAsia" w:hAnsi="宋体" w:cs="宋体"/>
          <w:b/>
          <w:bCs/>
          <w:szCs w:val="24"/>
        </w:rPr>
        <w:t>质疑</w:t>
      </w:r>
    </w:p>
    <w:p>
      <w:pPr>
        <w:spacing w:line="480" w:lineRule="exact"/>
        <w:ind w:right="12" w:firstLine="480"/>
        <w:rPr>
          <w:rFonts w:hAnsi="宋体" w:cs="宋体"/>
          <w:szCs w:val="24"/>
        </w:rPr>
      </w:pPr>
      <w:r>
        <w:rPr>
          <w:rFonts w:hint="eastAsia" w:hAnsi="宋体" w:cs="宋体"/>
          <w:szCs w:val="24"/>
        </w:rPr>
        <w:t>30.1供应商认为磋商文件、采购过程、成交结果使自己的权益受到损害的，可以在知道或者应知其权益受到损害之日起7个工作日内，以书面形式向采购人、采购代理机构提出质疑。</w:t>
      </w:r>
    </w:p>
    <w:p>
      <w:pPr>
        <w:spacing w:line="480" w:lineRule="exact"/>
        <w:ind w:right="12" w:firstLine="480" w:firstLineChars="200"/>
        <w:rPr>
          <w:rFonts w:hAnsi="宋体" w:cs="宋体"/>
          <w:b/>
        </w:rPr>
      </w:pPr>
      <w:r>
        <w:rPr>
          <w:rFonts w:hint="eastAsia" w:hAnsi="宋体" w:cs="宋体"/>
          <w:szCs w:val="24"/>
        </w:rPr>
        <w:t>30.2供应商必须在法定质疑期内一次性提出针对同一采购程序环节的质疑。</w:t>
      </w:r>
    </w:p>
    <w:p>
      <w:pPr>
        <w:spacing w:line="480" w:lineRule="exact"/>
        <w:ind w:right="12" w:firstLine="480" w:firstLineChars="200"/>
        <w:rPr>
          <w:rFonts w:hAnsi="宋体" w:cs="宋体"/>
          <w:bCs/>
        </w:rPr>
      </w:pPr>
      <w:r>
        <w:rPr>
          <w:rFonts w:hint="eastAsia" w:hAnsi="宋体" w:cs="宋体"/>
          <w:bCs/>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80" w:lineRule="exact"/>
        <w:ind w:right="12" w:firstLine="480" w:firstLineChars="200"/>
        <w:rPr>
          <w:rFonts w:hAnsi="宋体" w:cs="宋体"/>
          <w:bCs/>
        </w:rPr>
      </w:pPr>
      <w:r>
        <w:rPr>
          <w:rFonts w:hint="eastAsia" w:hAnsi="宋体" w:cs="宋体"/>
          <w:bCs/>
        </w:rPr>
        <w:t>30.4以联合体形式参加政府采购活动的，其质疑应当由组成联合体的所有供应商共同提出。</w:t>
      </w:r>
    </w:p>
    <w:p>
      <w:pPr>
        <w:spacing w:line="480" w:lineRule="exact"/>
        <w:ind w:right="12" w:firstLine="480" w:firstLineChars="200"/>
        <w:rPr>
          <w:rFonts w:hAnsi="宋体" w:cs="宋体"/>
          <w:szCs w:val="24"/>
        </w:rPr>
      </w:pPr>
      <w:r>
        <w:rPr>
          <w:rFonts w:hint="eastAsia" w:hAnsi="宋体" w:cs="宋体"/>
          <w:szCs w:val="24"/>
        </w:rPr>
        <w:t>30.5供应商提出质疑应当提交质疑函和必要的证明材料。质疑函应当包括下列内容：</w:t>
      </w:r>
    </w:p>
    <w:p>
      <w:pPr>
        <w:spacing w:line="480" w:lineRule="exact"/>
        <w:ind w:right="12" w:firstLine="480" w:firstLineChars="200"/>
        <w:rPr>
          <w:rFonts w:hAnsi="宋体" w:cs="宋体"/>
          <w:szCs w:val="24"/>
        </w:rPr>
      </w:pPr>
      <w:r>
        <w:rPr>
          <w:rFonts w:hint="eastAsia" w:hAnsi="宋体" w:cs="宋体"/>
          <w:szCs w:val="24"/>
        </w:rPr>
        <w:t>30.5.1供应商的姓名或者名称、地址、邮编、联系人及联系电话；</w:t>
      </w:r>
    </w:p>
    <w:p>
      <w:pPr>
        <w:spacing w:line="480" w:lineRule="exact"/>
        <w:ind w:right="12" w:firstLine="480" w:firstLineChars="200"/>
        <w:rPr>
          <w:rFonts w:hAnsi="宋体" w:cs="宋体"/>
          <w:szCs w:val="24"/>
        </w:rPr>
      </w:pPr>
      <w:r>
        <w:rPr>
          <w:rFonts w:hint="eastAsia" w:hAnsi="宋体" w:cs="宋体"/>
          <w:szCs w:val="24"/>
        </w:rPr>
        <w:t>30.5.2质疑项目的名称、编号 ；</w:t>
      </w:r>
    </w:p>
    <w:p>
      <w:pPr>
        <w:spacing w:line="480" w:lineRule="exact"/>
        <w:ind w:right="12" w:firstLine="480" w:firstLineChars="200"/>
        <w:rPr>
          <w:rFonts w:hAnsi="宋体" w:cs="宋体"/>
          <w:szCs w:val="24"/>
        </w:rPr>
      </w:pPr>
      <w:r>
        <w:rPr>
          <w:rFonts w:hint="eastAsia" w:hAnsi="宋体" w:cs="宋体"/>
          <w:szCs w:val="24"/>
        </w:rPr>
        <w:t>30.5.3具体、明确的质疑事项和与质疑事项相关的请求；</w:t>
      </w:r>
    </w:p>
    <w:p>
      <w:pPr>
        <w:spacing w:line="480" w:lineRule="exact"/>
        <w:ind w:right="12" w:firstLine="480" w:firstLineChars="200"/>
        <w:rPr>
          <w:rFonts w:hAnsi="宋体" w:cs="宋体"/>
          <w:szCs w:val="24"/>
        </w:rPr>
      </w:pPr>
      <w:r>
        <w:rPr>
          <w:rFonts w:hint="eastAsia" w:hAnsi="宋体" w:cs="宋体"/>
          <w:szCs w:val="24"/>
        </w:rPr>
        <w:t>30.5.4事实依据；</w:t>
      </w:r>
    </w:p>
    <w:p>
      <w:pPr>
        <w:spacing w:line="480" w:lineRule="exact"/>
        <w:ind w:right="12" w:firstLine="480" w:firstLineChars="200"/>
        <w:rPr>
          <w:rFonts w:hAnsi="宋体" w:cs="宋体"/>
          <w:szCs w:val="24"/>
        </w:rPr>
      </w:pPr>
      <w:r>
        <w:rPr>
          <w:rFonts w:hint="eastAsia" w:hAnsi="宋体" w:cs="宋体"/>
          <w:szCs w:val="24"/>
        </w:rPr>
        <w:t>30.5.5必要的法律依据；</w:t>
      </w:r>
    </w:p>
    <w:p>
      <w:pPr>
        <w:spacing w:line="480" w:lineRule="exact"/>
        <w:ind w:right="12" w:firstLine="480" w:firstLineChars="200"/>
        <w:rPr>
          <w:rStyle w:val="46"/>
          <w:rFonts w:hAnsi="宋体" w:cs="宋体"/>
          <w:b w:val="0"/>
          <w:szCs w:val="24"/>
          <w:shd w:val="clear" w:color="auto" w:fill="FFFFFF"/>
        </w:rPr>
      </w:pPr>
      <w:r>
        <w:rPr>
          <w:rFonts w:hint="eastAsia" w:hAnsi="宋体" w:cs="宋体"/>
          <w:szCs w:val="24"/>
        </w:rPr>
        <w:t>30.5.6提出质疑的日期。</w:t>
      </w:r>
    </w:p>
    <w:p>
      <w:pPr>
        <w:widowControl/>
        <w:spacing w:line="480" w:lineRule="exact"/>
        <w:ind w:firstLine="480" w:firstLineChars="200"/>
        <w:rPr>
          <w:rFonts w:hAnsi="宋体" w:cs="宋体"/>
        </w:rPr>
      </w:pPr>
      <w:r>
        <w:rPr>
          <w:rFonts w:hint="eastAsia" w:hAnsi="宋体" w:cs="宋体"/>
        </w:rPr>
        <w:t>30.6有下列情形之一的，属于无效质疑，采购代理机构和采购人不予受理：</w:t>
      </w:r>
    </w:p>
    <w:p>
      <w:pPr>
        <w:widowControl/>
        <w:spacing w:line="480" w:lineRule="exact"/>
        <w:ind w:firstLine="480" w:firstLineChars="200"/>
        <w:rPr>
          <w:rFonts w:hAnsi="宋体" w:cs="宋体"/>
        </w:rPr>
      </w:pPr>
      <w:r>
        <w:rPr>
          <w:rFonts w:hint="eastAsia" w:hAnsi="宋体" w:cs="宋体"/>
        </w:rPr>
        <w:t>30.6.1质疑供应商不是参与本次政府采购项目的供应商；</w:t>
      </w:r>
    </w:p>
    <w:p>
      <w:pPr>
        <w:widowControl/>
        <w:spacing w:line="480" w:lineRule="exact"/>
        <w:ind w:firstLine="480" w:firstLineChars="200"/>
        <w:rPr>
          <w:rFonts w:hAnsi="宋体" w:cs="宋体"/>
        </w:rPr>
      </w:pPr>
      <w:r>
        <w:rPr>
          <w:rFonts w:hint="eastAsia" w:hAnsi="宋体" w:cs="宋体"/>
        </w:rPr>
        <w:t>30.6.2质疑供应商与质疑事项不存在利害关系的；</w:t>
      </w:r>
    </w:p>
    <w:p>
      <w:pPr>
        <w:widowControl/>
        <w:spacing w:line="480" w:lineRule="exact"/>
        <w:ind w:firstLine="480" w:firstLineChars="200"/>
        <w:rPr>
          <w:rFonts w:hAnsi="宋体" w:cs="宋体"/>
        </w:rPr>
      </w:pPr>
      <w:r>
        <w:rPr>
          <w:rFonts w:hint="eastAsia" w:hAnsi="宋体" w:cs="宋体"/>
        </w:rPr>
        <w:t>30.6.3未在法定期限内提出质疑的；</w:t>
      </w:r>
    </w:p>
    <w:p>
      <w:pPr>
        <w:widowControl/>
        <w:spacing w:line="480" w:lineRule="exact"/>
        <w:ind w:firstLine="480" w:firstLineChars="200"/>
        <w:rPr>
          <w:rFonts w:hAnsi="宋体" w:cs="宋体"/>
        </w:rPr>
      </w:pPr>
      <w:r>
        <w:rPr>
          <w:rFonts w:hint="eastAsia" w:hAnsi="宋体" w:cs="宋体"/>
        </w:rPr>
        <w:t>30.6.4质疑未以书面形式提出，或质疑函主要内容构成不完整的；</w:t>
      </w:r>
    </w:p>
    <w:p>
      <w:pPr>
        <w:widowControl/>
        <w:spacing w:line="480" w:lineRule="exact"/>
        <w:ind w:firstLine="480" w:firstLineChars="200"/>
        <w:rPr>
          <w:rFonts w:hAnsi="宋体" w:cs="宋体"/>
        </w:rPr>
      </w:pPr>
      <w:r>
        <w:rPr>
          <w:rFonts w:hint="eastAsia" w:hAnsi="宋体" w:cs="宋体"/>
        </w:rPr>
        <w:t>30.6.5应当提交授权书而未提交的；</w:t>
      </w:r>
    </w:p>
    <w:p>
      <w:pPr>
        <w:widowControl/>
        <w:spacing w:line="480" w:lineRule="exact"/>
        <w:ind w:firstLine="480" w:firstLineChars="200"/>
        <w:rPr>
          <w:rFonts w:hAnsi="宋体" w:cs="宋体"/>
        </w:rPr>
      </w:pPr>
      <w:r>
        <w:rPr>
          <w:rFonts w:hint="eastAsia" w:hAnsi="宋体" w:cs="宋体"/>
        </w:rPr>
        <w:t>30.6.6以非法手段取得证据、材料的；</w:t>
      </w:r>
    </w:p>
    <w:p>
      <w:pPr>
        <w:widowControl/>
        <w:spacing w:line="480" w:lineRule="exact"/>
        <w:ind w:firstLine="480" w:firstLineChars="200"/>
        <w:rPr>
          <w:rFonts w:hAnsi="宋体" w:cs="宋体"/>
        </w:rPr>
      </w:pPr>
      <w:r>
        <w:rPr>
          <w:rFonts w:hint="eastAsia" w:hAnsi="宋体" w:cs="宋体"/>
        </w:rPr>
        <w:t>30.6.7质疑答复后，同一质疑人就同一事项或同一采购程序环节再次提出质疑的；</w:t>
      </w:r>
    </w:p>
    <w:p>
      <w:pPr>
        <w:widowControl/>
        <w:spacing w:line="480" w:lineRule="exact"/>
        <w:ind w:firstLine="480" w:firstLineChars="200"/>
        <w:rPr>
          <w:rStyle w:val="46"/>
          <w:rFonts w:hAnsi="宋体" w:cs="宋体"/>
          <w:b w:val="0"/>
          <w:szCs w:val="24"/>
          <w:shd w:val="clear" w:color="auto" w:fill="FFFFFF"/>
        </w:rPr>
      </w:pPr>
      <w:r>
        <w:rPr>
          <w:rFonts w:hint="eastAsia" w:hAnsi="宋体" w:cs="宋体"/>
        </w:rPr>
        <w:t>30.6.8不符合法律、法规、规章和政府采购监管机构规定的其他条件的。</w:t>
      </w:r>
    </w:p>
    <w:p>
      <w:pPr>
        <w:spacing w:line="480" w:lineRule="exact"/>
        <w:ind w:right="12"/>
        <w:rPr>
          <w:rFonts w:hAnsi="宋体" w:cs="宋体"/>
          <w:szCs w:val="24"/>
        </w:rPr>
      </w:pPr>
      <w:r>
        <w:rPr>
          <w:rFonts w:hint="eastAsia" w:hAnsi="宋体" w:cs="宋体"/>
          <w:szCs w:val="24"/>
        </w:rPr>
        <w:t xml:space="preserve">    30.7质疑答复</w:t>
      </w:r>
    </w:p>
    <w:p>
      <w:pPr>
        <w:pStyle w:val="132"/>
        <w:spacing w:line="480" w:lineRule="exact"/>
        <w:ind w:firstLine="480"/>
        <w:jc w:val="left"/>
        <w:rPr>
          <w:rFonts w:hAnsi="宋体" w:cs="宋体"/>
          <w:szCs w:val="24"/>
        </w:rPr>
      </w:pPr>
      <w:r>
        <w:rPr>
          <w:rFonts w:hint="eastAsia" w:hAnsi="宋体" w:cs="宋体"/>
          <w:szCs w:val="24"/>
        </w:rPr>
        <w:t>30.7.1采购人或采购代理机构在收到质疑函后7个工作日内作出答复，并以书面形式通知质疑供应商和其他有关供应商。</w:t>
      </w:r>
    </w:p>
    <w:p>
      <w:pPr>
        <w:pStyle w:val="132"/>
        <w:spacing w:line="480" w:lineRule="exact"/>
        <w:ind w:firstLine="480" w:firstLineChars="0"/>
        <w:jc w:val="left"/>
        <w:rPr>
          <w:rFonts w:hAnsi="宋体" w:cs="宋体"/>
          <w:szCs w:val="24"/>
        </w:rPr>
      </w:pPr>
      <w:r>
        <w:rPr>
          <w:rFonts w:hint="eastAsia" w:hAnsi="宋体" w:cs="宋体"/>
          <w:szCs w:val="24"/>
        </w:rPr>
        <w:t>30.7.2质疑供应商对采购人、采购代理机构的答复不满意，或者采购人、采购代理机构未在规定时间内作出答复的，可以在答复期满后15个工作日内向同级财政局提起投诉。</w:t>
      </w:r>
    </w:p>
    <w:p>
      <w:pPr>
        <w:pStyle w:val="132"/>
        <w:spacing w:line="480" w:lineRule="exact"/>
        <w:ind w:firstLine="480" w:firstLineChars="0"/>
        <w:jc w:val="left"/>
        <w:rPr>
          <w:rFonts w:hAnsi="宋体" w:cs="宋体"/>
          <w:szCs w:val="24"/>
        </w:rPr>
      </w:pPr>
      <w:r>
        <w:rPr>
          <w:rFonts w:hint="eastAsia" w:hAnsi="宋体" w:cs="宋体"/>
          <w:szCs w:val="24"/>
        </w:rPr>
        <w:t>30.8其他需要说明的事项</w:t>
      </w:r>
    </w:p>
    <w:p>
      <w:pPr>
        <w:pStyle w:val="132"/>
        <w:spacing w:line="480" w:lineRule="exact"/>
        <w:ind w:firstLine="480" w:firstLineChars="0"/>
        <w:jc w:val="left"/>
        <w:rPr>
          <w:rFonts w:hAnsi="宋体" w:cs="宋体"/>
          <w:szCs w:val="24"/>
        </w:rPr>
      </w:pPr>
      <w:r>
        <w:rPr>
          <w:rFonts w:hint="eastAsia" w:hAnsi="宋体" w:cs="宋体"/>
          <w:szCs w:val="24"/>
        </w:rPr>
        <w:t>30.8.1接收质疑函的方式：书面形式</w:t>
      </w:r>
    </w:p>
    <w:p>
      <w:pPr>
        <w:pStyle w:val="132"/>
        <w:spacing w:line="480" w:lineRule="exact"/>
        <w:ind w:firstLine="480" w:firstLineChars="0"/>
        <w:jc w:val="left"/>
        <w:rPr>
          <w:rFonts w:hAnsi="宋体" w:cs="宋体"/>
          <w:szCs w:val="24"/>
        </w:rPr>
      </w:pPr>
      <w:r>
        <w:rPr>
          <w:rFonts w:hint="eastAsia" w:hAnsi="宋体" w:cs="宋体"/>
          <w:szCs w:val="24"/>
        </w:rPr>
        <w:t>30.8.2联系部门：华睿诚项目管理有限公司招标部</w:t>
      </w:r>
    </w:p>
    <w:p>
      <w:pPr>
        <w:pStyle w:val="132"/>
        <w:spacing w:line="480" w:lineRule="exact"/>
        <w:ind w:firstLine="480" w:firstLineChars="0"/>
        <w:jc w:val="left"/>
        <w:rPr>
          <w:rFonts w:hAnsi="宋体" w:cs="宋体"/>
          <w:szCs w:val="24"/>
        </w:rPr>
      </w:pPr>
      <w:r>
        <w:rPr>
          <w:rFonts w:hint="eastAsia" w:hAnsi="宋体" w:cs="宋体"/>
          <w:szCs w:val="24"/>
        </w:rPr>
        <w:t>30.8.3联系电话：029-88693077</w:t>
      </w:r>
    </w:p>
    <w:p>
      <w:pPr>
        <w:pStyle w:val="132"/>
        <w:spacing w:line="480" w:lineRule="exact"/>
        <w:ind w:firstLine="480" w:firstLineChars="0"/>
        <w:jc w:val="left"/>
        <w:rPr>
          <w:rFonts w:hAnsi="宋体" w:cs="宋体"/>
          <w:szCs w:val="24"/>
        </w:rPr>
      </w:pPr>
      <w:r>
        <w:rPr>
          <w:rFonts w:hint="eastAsia" w:hAnsi="宋体" w:cs="宋体"/>
          <w:szCs w:val="24"/>
        </w:rPr>
        <w:t>30.8.4通讯地址：西安市曲江新区雁翔路3269号旺座曲江E座29层2901号</w:t>
      </w:r>
    </w:p>
    <w:p>
      <w:pPr>
        <w:spacing w:line="480" w:lineRule="exact"/>
        <w:outlineLvl w:val="2"/>
        <w:rPr>
          <w:rFonts w:hAnsi="宋体" w:cs="宋体"/>
          <w:b/>
          <w:szCs w:val="24"/>
        </w:rPr>
      </w:pPr>
      <w:r>
        <w:rPr>
          <w:rFonts w:hint="eastAsia" w:hAnsi="宋体" w:cs="宋体"/>
          <w:b/>
          <w:szCs w:val="24"/>
        </w:rPr>
        <w:t>31.其他</w:t>
      </w:r>
    </w:p>
    <w:p>
      <w:pPr>
        <w:spacing w:line="480" w:lineRule="exact"/>
        <w:ind w:firstLine="480" w:firstLineChars="200"/>
        <w:rPr>
          <w:rFonts w:hAnsi="宋体" w:cs="宋体"/>
          <w:szCs w:val="24"/>
        </w:rPr>
      </w:pPr>
      <w:r>
        <w:rPr>
          <w:rFonts w:hint="eastAsia" w:hAnsi="宋体" w:cs="宋体"/>
          <w:szCs w:val="24"/>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480" w:lineRule="exact"/>
        <w:ind w:firstLine="480" w:firstLineChars="200"/>
        <w:rPr>
          <w:rFonts w:hAnsi="宋体" w:cs="宋体"/>
          <w:szCs w:val="24"/>
        </w:rPr>
      </w:pPr>
      <w:r>
        <w:rPr>
          <w:rFonts w:hint="eastAsia" w:hAnsi="宋体" w:cs="宋体"/>
          <w:szCs w:val="24"/>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480" w:lineRule="exact"/>
        <w:ind w:firstLine="480" w:firstLineChars="200"/>
        <w:jc w:val="left"/>
        <w:rPr>
          <w:rFonts w:hAnsi="宋体" w:cs="宋体"/>
          <w:szCs w:val="24"/>
        </w:rPr>
      </w:pPr>
      <w:r>
        <w:rPr>
          <w:rFonts w:hint="eastAsia" w:hAnsi="宋体" w:cs="宋体"/>
          <w:szCs w:val="24"/>
        </w:rPr>
        <w:t>31.3采用竞争性磋商采购方式采购的政府购买服务项目（含政府和社会资本合作项目），</w:t>
      </w:r>
      <w:r>
        <w:rPr>
          <w:rFonts w:hint="eastAsia" w:hAnsi="宋体" w:cs="宋体"/>
        </w:rPr>
        <w:t>采购过程中符合要求的供应商</w:t>
      </w:r>
      <w:r>
        <w:rPr>
          <w:rFonts w:hint="eastAsia" w:hAnsi="宋体" w:cs="宋体"/>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480" w:lineRule="exact"/>
        <w:ind w:firstLine="480" w:firstLineChars="200"/>
        <w:rPr>
          <w:rFonts w:hAnsi="宋体" w:cs="宋体"/>
          <w:szCs w:val="24"/>
        </w:rPr>
      </w:pPr>
      <w:r>
        <w:rPr>
          <w:rFonts w:hint="eastAsia" w:hAnsi="宋体" w:cs="宋体"/>
          <w:szCs w:val="24"/>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超过磋商保证金额的，供应商还应当对超过部分予以赔偿，并依法承担相应法律责任。</w:t>
      </w:r>
      <w:bookmarkStart w:id="46" w:name="_Toc363474023"/>
    </w:p>
    <w:p>
      <w:pPr>
        <w:pStyle w:val="3"/>
        <w:keepNext w:val="0"/>
        <w:spacing w:beforeLines="50" w:afterLines="50" w:line="360" w:lineRule="auto"/>
        <w:jc w:val="center"/>
        <w:rPr>
          <w:rFonts w:ascii="宋体" w:eastAsia="宋体" w:cs="宋体"/>
          <w:b w:val="0"/>
          <w:bCs/>
          <w:sz w:val="36"/>
          <w:szCs w:val="36"/>
        </w:rPr>
      </w:pPr>
      <w:r>
        <w:rPr>
          <w:rFonts w:hint="eastAsia" w:ascii="宋体" w:eastAsia="宋体" w:cs="宋体"/>
        </w:rPr>
        <w:br w:type="page"/>
      </w:r>
      <w:bookmarkStart w:id="47" w:name="_Toc2174"/>
      <w:bookmarkStart w:id="48" w:name="_Toc403077645"/>
      <w:bookmarkStart w:id="49" w:name="_Toc25051"/>
      <w:bookmarkStart w:id="50" w:name="_Toc6266"/>
      <w:bookmarkStart w:id="51" w:name="_Toc423973074"/>
      <w:bookmarkStart w:id="52" w:name="_Toc25783"/>
      <w:r>
        <w:rPr>
          <w:rFonts w:hint="eastAsia" w:ascii="宋体" w:eastAsia="宋体" w:cs="宋体"/>
          <w:bCs/>
          <w:sz w:val="36"/>
          <w:szCs w:val="36"/>
        </w:rPr>
        <w:t>第三章  合同格式</w:t>
      </w:r>
      <w:bookmarkEnd w:id="47"/>
      <w:bookmarkEnd w:id="48"/>
      <w:bookmarkEnd w:id="49"/>
      <w:bookmarkEnd w:id="50"/>
      <w:bookmarkEnd w:id="51"/>
      <w:bookmarkEnd w:id="52"/>
    </w:p>
    <w:p>
      <w:pPr>
        <w:rPr>
          <w:rFonts w:hAnsi="宋体" w:cs="宋体"/>
          <w:b/>
          <w:bCs/>
          <w:sz w:val="48"/>
          <w:szCs w:val="48"/>
        </w:rPr>
      </w:pPr>
      <w:bookmarkStart w:id="53" w:name="_Toc31520"/>
      <w:bookmarkStart w:id="54" w:name="_Toc389582037"/>
      <w:bookmarkStart w:id="55" w:name="_Toc19199"/>
      <w:bookmarkStart w:id="56" w:name="_Toc8333"/>
      <w:bookmarkStart w:id="57" w:name="_Toc423973075"/>
      <w:bookmarkStart w:id="58" w:name="_Toc26595"/>
      <w:bookmarkStart w:id="59" w:name="_Toc19246"/>
      <w:bookmarkStart w:id="60" w:name="_Toc4679"/>
      <w:bookmarkStart w:id="61" w:name="_Toc29888"/>
    </w:p>
    <w:p>
      <w:pPr>
        <w:spacing w:line="360" w:lineRule="auto"/>
        <w:jc w:val="center"/>
        <w:rPr>
          <w:rFonts w:hAnsi="宋体" w:cs="宋体"/>
          <w:b/>
          <w:bCs/>
          <w:sz w:val="52"/>
          <w:szCs w:val="52"/>
        </w:rPr>
      </w:pPr>
      <w:r>
        <w:rPr>
          <w:rFonts w:hint="eastAsia" w:hAnsi="宋体" w:cs="宋体"/>
          <w:b/>
          <w:bCs/>
          <w:sz w:val="52"/>
          <w:szCs w:val="52"/>
        </w:rPr>
        <w:t>2023年陕西省国家水资源监控一期监测站运行维护</w:t>
      </w:r>
    </w:p>
    <w:p>
      <w:pPr>
        <w:spacing w:line="360" w:lineRule="auto"/>
        <w:jc w:val="center"/>
        <w:rPr>
          <w:rFonts w:hAnsi="宋体" w:cs="宋体"/>
          <w:b/>
          <w:bCs/>
          <w:sz w:val="52"/>
          <w:szCs w:val="52"/>
        </w:rPr>
      </w:pPr>
    </w:p>
    <w:p>
      <w:pPr>
        <w:spacing w:line="360" w:lineRule="auto"/>
        <w:jc w:val="center"/>
        <w:rPr>
          <w:rFonts w:hAnsi="宋体" w:cs="宋体"/>
          <w:b/>
          <w:bCs/>
          <w:sz w:val="52"/>
          <w:szCs w:val="52"/>
        </w:rPr>
      </w:pPr>
    </w:p>
    <w:p>
      <w:pPr>
        <w:spacing w:line="360" w:lineRule="auto"/>
        <w:jc w:val="center"/>
        <w:rPr>
          <w:rFonts w:hAnsi="宋体" w:cs="宋体"/>
          <w:b/>
          <w:bCs/>
          <w:sz w:val="52"/>
          <w:szCs w:val="52"/>
        </w:rPr>
      </w:pPr>
      <w:r>
        <w:rPr>
          <w:rFonts w:hint="eastAsia" w:hAnsi="宋体" w:cs="宋体"/>
          <w:b/>
          <w:bCs/>
          <w:sz w:val="52"/>
          <w:szCs w:val="52"/>
        </w:rPr>
        <w:t>采购合同</w:t>
      </w:r>
    </w:p>
    <w:p>
      <w:pPr>
        <w:jc w:val="center"/>
        <w:rPr>
          <w:rFonts w:hAnsi="宋体" w:cs="宋体"/>
          <w:b/>
          <w:sz w:val="36"/>
          <w:szCs w:val="36"/>
        </w:rPr>
      </w:pPr>
      <w:r>
        <w:rPr>
          <w:rFonts w:hint="eastAsia" w:hAnsi="宋体" w:cs="宋体"/>
          <w:b/>
          <w:sz w:val="36"/>
          <w:szCs w:val="36"/>
        </w:rPr>
        <w:t>（示范文本）</w:t>
      </w:r>
    </w:p>
    <w:p>
      <w:pPr>
        <w:jc w:val="center"/>
        <w:rPr>
          <w:rFonts w:hAnsi="宋体" w:cs="宋体"/>
          <w:b/>
          <w:bCs/>
          <w:sz w:val="44"/>
          <w:szCs w:val="44"/>
        </w:rPr>
      </w:pPr>
    </w:p>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spacing w:line="360" w:lineRule="auto"/>
        <w:jc w:val="center"/>
        <w:rPr>
          <w:rFonts w:hAnsi="宋体" w:cs="宋体"/>
          <w:b/>
          <w:bCs/>
          <w:sz w:val="32"/>
          <w:szCs w:val="32"/>
        </w:rPr>
      </w:pPr>
      <w:r>
        <w:rPr>
          <w:rFonts w:hint="eastAsia" w:hAnsi="宋体" w:cs="宋体"/>
          <w:bCs/>
          <w:sz w:val="48"/>
          <w:szCs w:val="48"/>
        </w:rPr>
        <w:br w:type="page"/>
      </w:r>
      <w:r>
        <w:rPr>
          <w:rFonts w:hint="eastAsia" w:hAnsi="宋体" w:cs="宋体"/>
          <w:b/>
          <w:bCs/>
          <w:sz w:val="32"/>
          <w:szCs w:val="32"/>
        </w:rPr>
        <w:t>合同条件及格式</w:t>
      </w:r>
    </w:p>
    <w:p>
      <w:pPr>
        <w:spacing w:line="432" w:lineRule="auto"/>
        <w:ind w:firstLine="480" w:firstLineChars="200"/>
        <w:jc w:val="center"/>
        <w:rPr>
          <w:rFonts w:hAnsi="宋体" w:cs="宋体"/>
          <w:sz w:val="28"/>
        </w:rPr>
      </w:pPr>
      <w:r>
        <w:rPr>
          <w:rFonts w:hint="eastAsia" w:hAnsi="宋体" w:cs="宋体"/>
          <w:szCs w:val="24"/>
        </w:rPr>
        <w:t>（本合同为合同样稿，最终稿由双方协商后确定）</w:t>
      </w:r>
    </w:p>
    <w:p>
      <w:pPr>
        <w:keepNext/>
        <w:spacing w:line="384" w:lineRule="auto"/>
        <w:jc w:val="center"/>
        <w:rPr>
          <w:rFonts w:hAnsi="宋体" w:cs="宋体"/>
          <w:szCs w:val="24"/>
        </w:rPr>
      </w:pPr>
      <w:bookmarkStart w:id="62" w:name="_Hlt503233640"/>
      <w:bookmarkEnd w:id="62"/>
      <w:r>
        <w:rPr>
          <w:rFonts w:hint="eastAsia" w:hAnsi="宋体" w:cs="宋体"/>
          <w:szCs w:val="24"/>
        </w:rPr>
        <w:t>（参考合同）</w:t>
      </w:r>
    </w:p>
    <w:p>
      <w:pPr>
        <w:pStyle w:val="182"/>
        <w:spacing w:line="384" w:lineRule="auto"/>
        <w:ind w:firstLine="480"/>
        <w:rPr>
          <w:rFonts w:ascii="宋体" w:hAnsi="宋体"/>
          <w:szCs w:val="24"/>
        </w:rPr>
      </w:pPr>
      <w:r>
        <w:rPr>
          <w:rFonts w:hint="eastAsia" w:ascii="宋体" w:hAnsi="宋体"/>
          <w:szCs w:val="24"/>
        </w:rPr>
        <w:t xml:space="preserve">合同编号： </w:t>
      </w:r>
    </w:p>
    <w:p>
      <w:pPr>
        <w:pStyle w:val="182"/>
        <w:spacing w:line="384" w:lineRule="auto"/>
        <w:ind w:firstLine="480"/>
        <w:rPr>
          <w:rFonts w:ascii="宋体" w:hAnsi="宋体"/>
          <w:szCs w:val="24"/>
        </w:rPr>
      </w:pPr>
      <w:r>
        <w:rPr>
          <w:rFonts w:hint="eastAsia" w:ascii="宋体" w:hAnsi="宋体"/>
          <w:szCs w:val="24"/>
        </w:rPr>
        <w:t xml:space="preserve">签订地点： </w:t>
      </w:r>
    </w:p>
    <w:p>
      <w:pPr>
        <w:pStyle w:val="182"/>
        <w:spacing w:line="384" w:lineRule="auto"/>
        <w:ind w:firstLine="480"/>
        <w:rPr>
          <w:rFonts w:ascii="宋体" w:hAnsi="宋体"/>
          <w:szCs w:val="24"/>
        </w:rPr>
      </w:pPr>
      <w:r>
        <w:rPr>
          <w:rFonts w:hint="eastAsia" w:ascii="宋体" w:hAnsi="宋体"/>
          <w:szCs w:val="24"/>
        </w:rPr>
        <w:t>签订时间:</w:t>
      </w:r>
    </w:p>
    <w:p>
      <w:pPr>
        <w:pStyle w:val="182"/>
        <w:spacing w:line="384" w:lineRule="auto"/>
        <w:ind w:firstLine="480"/>
        <w:rPr>
          <w:rFonts w:ascii="宋体" w:hAnsi="宋体"/>
          <w:szCs w:val="24"/>
        </w:rPr>
      </w:pPr>
      <w:r>
        <w:rPr>
          <w:rFonts w:hint="eastAsia" w:ascii="宋体" w:hAnsi="宋体"/>
          <w:szCs w:val="24"/>
        </w:rPr>
        <w:t>采购人（甲方）：</w:t>
      </w:r>
    </w:p>
    <w:p>
      <w:pPr>
        <w:pStyle w:val="182"/>
        <w:spacing w:line="384" w:lineRule="auto"/>
        <w:ind w:firstLine="480"/>
        <w:rPr>
          <w:rFonts w:ascii="宋体" w:hAnsi="宋体"/>
          <w:szCs w:val="24"/>
        </w:rPr>
      </w:pPr>
      <w:r>
        <w:rPr>
          <w:rFonts w:hint="eastAsia" w:ascii="宋体" w:hAnsi="宋体"/>
          <w:szCs w:val="24"/>
        </w:rPr>
        <w:t>供应商（乙方）：</w:t>
      </w:r>
    </w:p>
    <w:p>
      <w:pPr>
        <w:pStyle w:val="182"/>
        <w:spacing w:before="120" w:line="384" w:lineRule="auto"/>
        <w:ind w:firstLine="480"/>
        <w:rPr>
          <w:rFonts w:ascii="宋体" w:hAnsi="宋体"/>
          <w:szCs w:val="24"/>
        </w:rPr>
      </w:pPr>
      <w:r>
        <w:rPr>
          <w:rFonts w:hint="eastAsia" w:ascii="宋体" w:hAnsi="宋体"/>
          <w:szCs w:val="24"/>
        </w:rPr>
        <w:t>根据《中华人民共和国政府采购法》及实施条例、《中华人民共和国民法典》和甲方</w:t>
      </w:r>
      <w:r>
        <w:rPr>
          <w:rFonts w:hint="eastAsia" w:ascii="宋体" w:hAnsi="宋体"/>
          <w:szCs w:val="24"/>
          <w:u w:val="single"/>
        </w:rPr>
        <w:t xml:space="preserve">             </w:t>
      </w:r>
      <w:r>
        <w:rPr>
          <w:rFonts w:hint="eastAsia" w:ascii="宋体" w:hAnsi="宋体"/>
          <w:szCs w:val="24"/>
        </w:rPr>
        <w:t xml:space="preserve"> 采购项目（采购项目编号：</w:t>
      </w:r>
      <w:r>
        <w:rPr>
          <w:rFonts w:hint="eastAsia" w:ascii="宋体" w:hAnsi="宋体"/>
          <w:szCs w:val="24"/>
          <w:u w:val="single"/>
        </w:rPr>
        <w:t xml:space="preserve">             </w:t>
      </w:r>
      <w:r>
        <w:rPr>
          <w:rFonts w:hint="eastAsia" w:ascii="宋体" w:hAnsi="宋体"/>
          <w:szCs w:val="24"/>
        </w:rPr>
        <w:t xml:space="preserve"> ）的磋商文件、响应文件等有关规定，为确保甲方采购项目的顺利实施，甲、乙双方在平等自愿原则下签订本合同，并共同遵守如下条款：</w:t>
      </w:r>
    </w:p>
    <w:p>
      <w:pPr>
        <w:tabs>
          <w:tab w:val="left" w:pos="1379"/>
        </w:tabs>
        <w:spacing w:beforeLines="50" w:afterLines="50" w:line="384" w:lineRule="auto"/>
        <w:ind w:firstLine="482" w:firstLineChars="200"/>
        <w:rPr>
          <w:rFonts w:hAnsi="宋体" w:cs="宋体"/>
          <w:b/>
          <w:szCs w:val="24"/>
        </w:rPr>
      </w:pPr>
      <w:r>
        <w:rPr>
          <w:rFonts w:hint="eastAsia" w:hAnsi="宋体" w:cs="宋体"/>
          <w:b/>
          <w:szCs w:val="24"/>
        </w:rPr>
        <w:t>第一条 服务期限</w:t>
      </w:r>
    </w:p>
    <w:p>
      <w:pPr>
        <w:autoSpaceDE w:val="0"/>
        <w:autoSpaceDN w:val="0"/>
        <w:adjustRightInd w:val="0"/>
        <w:spacing w:line="384" w:lineRule="auto"/>
        <w:ind w:left="1128" w:leftChars="172" w:hanging="715" w:hangingChars="298"/>
        <w:rPr>
          <w:rFonts w:hAnsi="宋体" w:cs="宋体"/>
          <w:bCs/>
          <w:color w:val="000000"/>
          <w:szCs w:val="24"/>
        </w:rPr>
      </w:pPr>
      <w:bookmarkStart w:id="63" w:name="_Toc225244852"/>
      <w:bookmarkStart w:id="64" w:name="_Toc282696226"/>
      <w:bookmarkStart w:id="65" w:name="_Toc225670751"/>
      <w:bookmarkStart w:id="66" w:name="_Toc286993786"/>
      <w:bookmarkStart w:id="67" w:name="_Toc251768862"/>
      <w:bookmarkStart w:id="68" w:name="_Toc211911348"/>
      <w:bookmarkStart w:id="69" w:name="_Toc237145406"/>
      <w:bookmarkStart w:id="70" w:name="_Toc247334841"/>
      <w:bookmarkStart w:id="71" w:name="_Toc185395249"/>
      <w:bookmarkStart w:id="72" w:name="_Toc239233914"/>
      <w:bookmarkStart w:id="73" w:name="_Toc239568418"/>
      <w:bookmarkStart w:id="74" w:name="_Toc211854449"/>
      <w:bookmarkStart w:id="75" w:name="_Toc225654644"/>
      <w:bookmarkStart w:id="76" w:name="_Toc241833903"/>
      <w:bookmarkStart w:id="77" w:name="_Toc212019594"/>
      <w:bookmarkStart w:id="78" w:name="_Toc238984975"/>
      <w:bookmarkStart w:id="79" w:name="_Toc283019214"/>
      <w:bookmarkStart w:id="80" w:name="_Toc232492928"/>
      <w:r>
        <w:rPr>
          <w:rFonts w:hint="eastAsia" w:hAnsi="宋体" w:cs="宋体"/>
          <w:bCs/>
          <w:szCs w:val="24"/>
        </w:rPr>
        <w:t>自合同签订之日起</w:t>
      </w:r>
      <w:r>
        <w:rPr>
          <w:rFonts w:hint="eastAsia" w:hAnsi="宋体" w:cs="宋体"/>
          <w:bCs/>
          <w:szCs w:val="24"/>
          <w:u w:val="single"/>
        </w:rPr>
        <w:t xml:space="preserve">     </w:t>
      </w:r>
      <w:r>
        <w:rPr>
          <w:rFonts w:hint="eastAsia" w:hAnsi="宋体" w:cs="宋体"/>
          <w:bCs/>
          <w:szCs w:val="24"/>
        </w:rPr>
        <w:t>年</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spacing w:line="384" w:lineRule="auto"/>
        <w:ind w:firstLine="482" w:firstLineChars="200"/>
        <w:rPr>
          <w:rFonts w:hAnsi="宋体" w:cs="宋体"/>
          <w:b/>
          <w:szCs w:val="24"/>
        </w:rPr>
      </w:pPr>
      <w:r>
        <w:rPr>
          <w:rFonts w:hint="eastAsia" w:hAnsi="宋体" w:cs="宋体"/>
          <w:b/>
          <w:szCs w:val="24"/>
        </w:rPr>
        <w:t xml:space="preserve">第二条  付款方式 </w:t>
      </w:r>
    </w:p>
    <w:p>
      <w:pPr>
        <w:tabs>
          <w:tab w:val="left" w:pos="1440"/>
        </w:tabs>
        <w:spacing w:line="384" w:lineRule="auto"/>
        <w:ind w:firstLine="480" w:firstLineChars="200"/>
        <w:rPr>
          <w:rFonts w:hAnsi="宋体" w:cs="宋体"/>
          <w:szCs w:val="24"/>
        </w:rPr>
      </w:pPr>
      <w:r>
        <w:rPr>
          <w:rFonts w:hint="eastAsia" w:hAnsi="宋体" w:cs="宋体"/>
          <w:szCs w:val="24"/>
        </w:rPr>
        <w:t>以中标后双方签订的合同条款为准。</w:t>
      </w:r>
    </w:p>
    <w:p>
      <w:pPr>
        <w:spacing w:line="384" w:lineRule="auto"/>
        <w:ind w:firstLine="482" w:firstLineChars="200"/>
        <w:rPr>
          <w:rFonts w:hAnsi="宋体" w:cs="宋体"/>
          <w:b/>
          <w:szCs w:val="24"/>
        </w:rPr>
      </w:pPr>
      <w:r>
        <w:rPr>
          <w:rFonts w:hint="eastAsia" w:hAnsi="宋体" w:cs="宋体"/>
          <w:b/>
          <w:szCs w:val="24"/>
        </w:rPr>
        <w:t xml:space="preserve">第三条   知识产权 </w:t>
      </w:r>
    </w:p>
    <w:p>
      <w:pPr>
        <w:tabs>
          <w:tab w:val="left" w:pos="1440"/>
        </w:tabs>
        <w:spacing w:line="384" w:lineRule="auto"/>
        <w:ind w:firstLine="480" w:firstLineChars="200"/>
        <w:rPr>
          <w:rFonts w:hAnsi="宋体" w:cs="宋体"/>
          <w:szCs w:val="24"/>
        </w:rPr>
      </w:pPr>
      <w:r>
        <w:rPr>
          <w:rFonts w:hint="eastAsia" w:hAnsi="宋体" w:cs="宋体"/>
          <w:szCs w:val="24"/>
        </w:rPr>
        <w:t>乙方应保证所提供的服务或其任何一部分均不会侵犯任何第三方的专利权、商标权或著作权。</w:t>
      </w:r>
    </w:p>
    <w:p>
      <w:pPr>
        <w:spacing w:line="384" w:lineRule="auto"/>
        <w:ind w:firstLine="482" w:firstLineChars="200"/>
        <w:rPr>
          <w:rFonts w:hAnsi="宋体" w:cs="宋体"/>
          <w:b/>
          <w:szCs w:val="24"/>
        </w:rPr>
      </w:pPr>
      <w:r>
        <w:rPr>
          <w:rFonts w:hint="eastAsia" w:hAnsi="宋体" w:cs="宋体"/>
          <w:b/>
          <w:szCs w:val="24"/>
        </w:rPr>
        <w:t xml:space="preserve">第四条  无产权瑕疵条款 </w:t>
      </w:r>
    </w:p>
    <w:p>
      <w:pPr>
        <w:tabs>
          <w:tab w:val="left" w:pos="1440"/>
        </w:tabs>
        <w:spacing w:line="384" w:lineRule="auto"/>
        <w:ind w:firstLine="480" w:firstLineChars="200"/>
        <w:rPr>
          <w:rFonts w:hAnsi="宋体" w:cs="宋体"/>
          <w:szCs w:val="24"/>
        </w:rPr>
      </w:pPr>
      <w:r>
        <w:rPr>
          <w:rFonts w:hint="eastAsia" w:hAnsi="宋体" w:cs="宋体"/>
          <w:szCs w:val="24"/>
        </w:rPr>
        <w:t>乙方保证所提供的服务的所有权完全属于乙方且无任何抵押、查封等产权瑕疵。如有产权瑕疵的，视为乙方违约。乙方应负担由此而产生的一切损失。</w:t>
      </w:r>
    </w:p>
    <w:p>
      <w:pPr>
        <w:spacing w:line="384" w:lineRule="auto"/>
        <w:ind w:firstLine="482" w:firstLineChars="200"/>
        <w:rPr>
          <w:rFonts w:hAnsi="宋体" w:cs="宋体"/>
          <w:b/>
          <w:szCs w:val="24"/>
        </w:rPr>
      </w:pPr>
      <w:r>
        <w:rPr>
          <w:rFonts w:hint="eastAsia" w:hAnsi="宋体" w:cs="宋体"/>
          <w:b/>
          <w:szCs w:val="24"/>
        </w:rPr>
        <w:t>第五条  甲方的权利和义务</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2、负责检查监督乙方管理工作的实施及制度的执行情况。</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3、根据本合同规定，按时向乙方支付应付服务费用。</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4、国家法律、法规所规定由甲方承担的其它责任。</w:t>
      </w:r>
    </w:p>
    <w:p>
      <w:pPr>
        <w:spacing w:line="384" w:lineRule="auto"/>
        <w:ind w:firstLine="482" w:firstLineChars="200"/>
        <w:rPr>
          <w:rFonts w:hAnsi="宋体" w:cs="宋体"/>
          <w:b/>
          <w:szCs w:val="24"/>
        </w:rPr>
      </w:pPr>
      <w:r>
        <w:rPr>
          <w:rFonts w:hint="eastAsia" w:hAnsi="宋体" w:cs="宋体"/>
          <w:b/>
          <w:szCs w:val="24"/>
        </w:rPr>
        <w:t xml:space="preserve">第六条  乙方的权利和义务 </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1、对本合同规定的委托服务范围内的项目享有管理权及服务义务。</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2、根据本合同的规定向甲方收取相关服务费用，并有权在本项目管理范围内管理及合理使用。</w:t>
      </w:r>
    </w:p>
    <w:p>
      <w:pPr>
        <w:adjustRightInd w:val="0"/>
        <w:spacing w:line="384" w:lineRule="auto"/>
        <w:ind w:firstLine="480" w:firstLineChars="200"/>
        <w:jc w:val="left"/>
        <w:textAlignment w:val="baseline"/>
        <w:rPr>
          <w:rFonts w:hAnsi="宋体" w:cs="宋体"/>
          <w:szCs w:val="24"/>
        </w:rPr>
      </w:pPr>
      <w:r>
        <w:rPr>
          <w:rFonts w:hint="eastAsia" w:hAnsi="宋体" w:cs="宋体"/>
          <w:szCs w:val="24"/>
        </w:rPr>
        <w:t>3、及时向甲方通告本项目服务范围内有关服务的重大事项，及时配合处理投诉。</w:t>
      </w:r>
    </w:p>
    <w:p>
      <w:pPr>
        <w:adjustRightInd w:val="0"/>
        <w:spacing w:line="384" w:lineRule="auto"/>
        <w:ind w:firstLine="480" w:firstLineChars="200"/>
        <w:jc w:val="left"/>
        <w:textAlignment w:val="baseline"/>
        <w:rPr>
          <w:rFonts w:hAnsi="宋体" w:cs="宋体"/>
          <w:bCs/>
          <w:szCs w:val="24"/>
        </w:rPr>
      </w:pPr>
      <w:r>
        <w:rPr>
          <w:rFonts w:hint="eastAsia" w:hAnsi="宋体" w:cs="宋体"/>
          <w:szCs w:val="24"/>
        </w:rPr>
        <w:t>4、</w:t>
      </w:r>
      <w:r>
        <w:rPr>
          <w:rFonts w:hint="eastAsia" w:hAnsi="宋体" w:cs="宋体"/>
          <w:bCs/>
          <w:szCs w:val="24"/>
        </w:rPr>
        <w:t>接受项目行业管理部门及政府有关部门的指导，接受甲方的监督。</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5、国家法律、法规所规定由乙方承担的其它责任。</w:t>
      </w:r>
    </w:p>
    <w:p>
      <w:pPr>
        <w:spacing w:line="384" w:lineRule="auto"/>
        <w:ind w:left="426"/>
        <w:rPr>
          <w:rFonts w:hAnsi="宋体" w:cs="宋体"/>
          <w:b/>
          <w:szCs w:val="24"/>
        </w:rPr>
      </w:pPr>
      <w:r>
        <w:rPr>
          <w:rFonts w:hint="eastAsia" w:hAnsi="宋体" w:cs="宋体"/>
          <w:b/>
          <w:szCs w:val="24"/>
        </w:rPr>
        <w:t xml:space="preserve">第七条  违约责任 </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1、甲乙双方必须遵守本合同并执行合同中的各项规定，保证本合同的正常履行。</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384" w:lineRule="auto"/>
        <w:ind w:left="426"/>
        <w:rPr>
          <w:rFonts w:hAnsi="宋体" w:cs="宋体"/>
          <w:b/>
          <w:szCs w:val="24"/>
        </w:rPr>
      </w:pPr>
      <w:r>
        <w:rPr>
          <w:rFonts w:hint="eastAsia" w:hAnsi="宋体" w:cs="宋体"/>
          <w:b/>
          <w:szCs w:val="24"/>
        </w:rPr>
        <w:t xml:space="preserve">第八条  不可抗力事件处理 </w:t>
      </w:r>
    </w:p>
    <w:p>
      <w:pPr>
        <w:tabs>
          <w:tab w:val="left" w:pos="0"/>
        </w:tabs>
        <w:spacing w:line="384" w:lineRule="auto"/>
        <w:ind w:firstLine="480" w:firstLineChars="200"/>
        <w:rPr>
          <w:rFonts w:hAnsi="宋体" w:cs="宋体"/>
          <w:szCs w:val="24"/>
        </w:rPr>
      </w:pPr>
      <w:r>
        <w:rPr>
          <w:rFonts w:hint="eastAsia" w:hAnsi="宋体" w:cs="宋体"/>
          <w:szCs w:val="24"/>
        </w:rPr>
        <w:t>1、在合同有效期内，任何一方因不可抗力事件导致不能履行合同，则合同履行期可延长，其延长期与不可抗力影响期相同。</w:t>
      </w:r>
    </w:p>
    <w:p>
      <w:pPr>
        <w:tabs>
          <w:tab w:val="left" w:pos="0"/>
        </w:tabs>
        <w:spacing w:line="384" w:lineRule="auto"/>
        <w:ind w:firstLine="480" w:firstLineChars="200"/>
        <w:rPr>
          <w:rFonts w:hAnsi="宋体" w:cs="宋体"/>
          <w:szCs w:val="24"/>
        </w:rPr>
      </w:pPr>
      <w:r>
        <w:rPr>
          <w:rFonts w:hint="eastAsia" w:hAnsi="宋体" w:cs="宋体"/>
          <w:szCs w:val="24"/>
        </w:rPr>
        <w:t>2、不可抗力事件发生后，应立即通知对方，并寄送有关权威机构出具的证明。</w:t>
      </w:r>
    </w:p>
    <w:p>
      <w:pPr>
        <w:tabs>
          <w:tab w:val="left" w:pos="0"/>
        </w:tabs>
        <w:spacing w:line="384" w:lineRule="auto"/>
        <w:ind w:firstLine="480" w:firstLineChars="200"/>
        <w:rPr>
          <w:rFonts w:hAnsi="宋体" w:cs="宋体"/>
          <w:szCs w:val="24"/>
        </w:rPr>
      </w:pPr>
      <w:r>
        <w:rPr>
          <w:rFonts w:hint="eastAsia" w:hAnsi="宋体" w:cs="宋体"/>
          <w:szCs w:val="24"/>
        </w:rPr>
        <w:t>3、不可抗力事件延续</w:t>
      </w:r>
      <w:r>
        <w:rPr>
          <w:rFonts w:hint="eastAsia" w:hAnsi="宋体" w:cs="宋体"/>
          <w:szCs w:val="24"/>
          <w:u w:val="single"/>
        </w:rPr>
        <w:t xml:space="preserve">     </w:t>
      </w:r>
      <w:r>
        <w:rPr>
          <w:rFonts w:hint="eastAsia" w:hAnsi="宋体" w:cs="宋体"/>
          <w:szCs w:val="24"/>
        </w:rPr>
        <w:t>天以上，双方应通过友好协商，确定是否继续履行合同。</w:t>
      </w:r>
    </w:p>
    <w:p>
      <w:pPr>
        <w:widowControl/>
        <w:spacing w:beforeLines="50" w:afterLines="50" w:line="384" w:lineRule="auto"/>
        <w:ind w:firstLine="482" w:firstLineChars="200"/>
        <w:jc w:val="left"/>
        <w:rPr>
          <w:rFonts w:hAnsi="宋体" w:cs="宋体"/>
          <w:szCs w:val="24"/>
        </w:rPr>
      </w:pPr>
      <w:bookmarkStart w:id="81" w:name="_Toc238984980"/>
      <w:bookmarkStart w:id="82" w:name="_Toc212019599"/>
      <w:bookmarkStart w:id="83" w:name="_Toc211854454"/>
      <w:bookmarkStart w:id="84" w:name="_Toc239233919"/>
      <w:bookmarkStart w:id="85" w:name="_Toc286993792"/>
      <w:bookmarkStart w:id="86" w:name="_Toc211911353"/>
      <w:bookmarkStart w:id="87" w:name="_Toc241833908"/>
      <w:bookmarkStart w:id="88" w:name="_Toc225654649"/>
      <w:bookmarkStart w:id="89" w:name="_Toc225244857"/>
      <w:bookmarkStart w:id="90" w:name="_Toc247334846"/>
      <w:bookmarkStart w:id="91" w:name="_Toc232492933"/>
      <w:bookmarkStart w:id="92" w:name="_Toc225670756"/>
      <w:bookmarkStart w:id="93" w:name="_Toc185395254"/>
      <w:bookmarkStart w:id="94" w:name="_Toc251768867"/>
      <w:bookmarkStart w:id="95" w:name="_Toc237145411"/>
      <w:bookmarkStart w:id="96" w:name="_Toc239568423"/>
      <w:r>
        <w:rPr>
          <w:rFonts w:hint="eastAsia" w:hAnsi="宋体" w:cs="宋体"/>
          <w:b/>
          <w:szCs w:val="24"/>
        </w:rPr>
        <w:t>第九条  合同的变更和终止</w:t>
      </w:r>
    </w:p>
    <w:p>
      <w:pPr>
        <w:widowControl/>
        <w:spacing w:line="384" w:lineRule="auto"/>
        <w:ind w:firstLine="480" w:firstLineChars="200"/>
        <w:jc w:val="left"/>
        <w:rPr>
          <w:rFonts w:hAnsi="宋体" w:cs="宋体"/>
          <w:szCs w:val="24"/>
        </w:rPr>
      </w:pPr>
      <w:r>
        <w:rPr>
          <w:rFonts w:hint="eastAsia" w:hAnsi="宋体" w:cs="宋体"/>
          <w:szCs w:val="24"/>
        </w:rPr>
        <w:t>除《中华人民共和国政府采购法》第49条、第50条第二款规定的情形外，本合同一经签订，甲乙双方不得擅自变更、中止或终止合同。</w:t>
      </w:r>
    </w:p>
    <w:p>
      <w:pPr>
        <w:spacing w:line="384" w:lineRule="auto"/>
        <w:ind w:left="426"/>
        <w:rPr>
          <w:rFonts w:hAnsi="宋体" w:cs="宋体"/>
          <w:b/>
          <w:kern w:val="2"/>
          <w:szCs w:val="24"/>
        </w:rPr>
      </w:pPr>
      <w:r>
        <w:rPr>
          <w:rFonts w:hint="eastAsia" w:hAnsi="宋体" w:cs="宋体"/>
          <w:b/>
          <w:szCs w:val="24"/>
        </w:rPr>
        <w:t>第十条  解决合同纠纷的方式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Style w:val="182"/>
        <w:spacing w:line="384" w:lineRule="auto"/>
        <w:ind w:firstLine="480"/>
        <w:rPr>
          <w:rFonts w:ascii="宋体" w:hAnsi="宋体"/>
          <w:kern w:val="0"/>
          <w:szCs w:val="24"/>
        </w:rPr>
      </w:pPr>
      <w:r>
        <w:rPr>
          <w:rFonts w:hint="eastAsia" w:ascii="宋体" w:hAnsi="宋体"/>
          <w:szCs w:val="24"/>
        </w:rPr>
        <w:t>1、在执行本合同中发生的或与本合同有关的争端，双方应通过友好协商解决，经协商在</w:t>
      </w:r>
      <w:r>
        <w:rPr>
          <w:rFonts w:hint="eastAsia" w:ascii="宋体" w:hAnsi="宋体"/>
          <w:szCs w:val="24"/>
          <w:u w:val="single"/>
        </w:rPr>
        <w:t xml:space="preserve">     </w:t>
      </w:r>
      <w:r>
        <w:rPr>
          <w:rFonts w:hint="eastAsia" w:ascii="宋体" w:hAnsi="宋体"/>
          <w:szCs w:val="24"/>
        </w:rPr>
        <w:t>天内不能达成协议时，</w:t>
      </w:r>
      <w:r>
        <w:rPr>
          <w:rFonts w:hint="eastAsia" w:ascii="宋体" w:hAnsi="宋体"/>
          <w:kern w:val="0"/>
          <w:szCs w:val="24"/>
        </w:rPr>
        <w:t>则采取以下第__</w:t>
      </w:r>
      <w:r>
        <w:rPr>
          <w:rFonts w:hint="eastAsia" w:ascii="宋体" w:hAnsi="宋体"/>
          <w:kern w:val="0"/>
          <w:szCs w:val="24"/>
          <w:u w:val="single"/>
        </w:rPr>
        <w:t>1</w:t>
      </w:r>
      <w:r>
        <w:rPr>
          <w:rFonts w:hint="eastAsia" w:ascii="宋体" w:hAnsi="宋体"/>
          <w:kern w:val="0"/>
          <w:szCs w:val="24"/>
        </w:rPr>
        <w:t>__种方式解决争议：</w:t>
      </w:r>
    </w:p>
    <w:p>
      <w:pPr>
        <w:pStyle w:val="182"/>
        <w:spacing w:line="384" w:lineRule="auto"/>
        <w:ind w:firstLine="480"/>
        <w:rPr>
          <w:rFonts w:ascii="宋体" w:hAnsi="宋体"/>
          <w:kern w:val="0"/>
          <w:szCs w:val="24"/>
        </w:rPr>
      </w:pPr>
      <w:r>
        <w:rPr>
          <w:rFonts w:hint="eastAsia" w:ascii="宋体" w:hAnsi="宋体"/>
          <w:kern w:val="0"/>
          <w:szCs w:val="24"/>
        </w:rPr>
        <w:t>（1）向甲方所在地有管辖权的人民法院提起诉讼；</w:t>
      </w:r>
    </w:p>
    <w:p>
      <w:pPr>
        <w:pStyle w:val="182"/>
        <w:spacing w:line="384" w:lineRule="auto"/>
        <w:ind w:firstLine="480"/>
        <w:rPr>
          <w:rFonts w:ascii="宋体" w:hAnsi="宋体"/>
          <w:kern w:val="0"/>
          <w:szCs w:val="24"/>
        </w:rPr>
      </w:pPr>
      <w:r>
        <w:rPr>
          <w:rFonts w:hint="eastAsia" w:ascii="宋体" w:hAnsi="宋体"/>
          <w:kern w:val="0"/>
          <w:szCs w:val="24"/>
        </w:rPr>
        <w:t>（2）向</w:t>
      </w:r>
      <w:r>
        <w:rPr>
          <w:rFonts w:hint="eastAsia" w:ascii="宋体" w:hAnsi="宋体"/>
          <w:kern w:val="0"/>
          <w:szCs w:val="24"/>
          <w:u w:val="single"/>
        </w:rPr>
        <w:t>陕西</w:t>
      </w:r>
      <w:r>
        <w:rPr>
          <w:rFonts w:hint="eastAsia" w:ascii="宋体" w:hAnsi="宋体"/>
          <w:kern w:val="0"/>
          <w:szCs w:val="24"/>
        </w:rPr>
        <w:t>仲裁委员会按其仲裁规则申请仲裁。</w:t>
      </w:r>
    </w:p>
    <w:p>
      <w:pPr>
        <w:tabs>
          <w:tab w:val="left" w:pos="0"/>
        </w:tabs>
        <w:spacing w:line="384" w:lineRule="auto"/>
        <w:ind w:firstLine="480" w:firstLineChars="200"/>
        <w:rPr>
          <w:rFonts w:hAnsi="宋体" w:cs="宋体"/>
          <w:kern w:val="2"/>
          <w:szCs w:val="24"/>
        </w:rPr>
      </w:pPr>
      <w:r>
        <w:rPr>
          <w:rFonts w:hint="eastAsia" w:hAnsi="宋体" w:cs="宋体"/>
          <w:szCs w:val="24"/>
        </w:rPr>
        <w:t>2、在仲裁期间，本合同应继续履行。</w:t>
      </w:r>
    </w:p>
    <w:p>
      <w:pPr>
        <w:spacing w:line="384" w:lineRule="auto"/>
        <w:ind w:left="426"/>
        <w:rPr>
          <w:rFonts w:hAnsi="宋体" w:cs="宋体"/>
          <w:b/>
          <w:szCs w:val="24"/>
        </w:rPr>
      </w:pPr>
      <w:bookmarkStart w:id="97" w:name="_Toc225654650"/>
      <w:bookmarkStart w:id="98" w:name="_Toc247334847"/>
      <w:bookmarkStart w:id="99" w:name="_Toc239568424"/>
      <w:bookmarkStart w:id="100" w:name="_Toc241833909"/>
      <w:bookmarkStart w:id="101" w:name="_Toc232492934"/>
      <w:bookmarkStart w:id="102" w:name="_Toc237145412"/>
      <w:bookmarkStart w:id="103" w:name="_Toc211854455"/>
      <w:bookmarkStart w:id="104" w:name="_Toc239233920"/>
      <w:bookmarkStart w:id="105" w:name="_Toc212019600"/>
      <w:bookmarkStart w:id="106" w:name="_Toc282696231"/>
      <w:bookmarkStart w:id="107" w:name="_Toc225244858"/>
      <w:bookmarkStart w:id="108" w:name="_Toc211911354"/>
      <w:bookmarkStart w:id="109" w:name="_Toc238984981"/>
      <w:bookmarkStart w:id="110" w:name="_Toc185395255"/>
      <w:bookmarkStart w:id="111" w:name="_Toc251768868"/>
      <w:bookmarkStart w:id="112" w:name="_Toc286993793"/>
      <w:bookmarkStart w:id="113" w:name="_Toc225670757"/>
      <w:bookmarkStart w:id="114" w:name="_Toc283019219"/>
      <w:r>
        <w:rPr>
          <w:rFonts w:hint="eastAsia" w:hAnsi="宋体" w:cs="宋体"/>
          <w:b/>
          <w:szCs w:val="24"/>
        </w:rPr>
        <w:t>第十一条  合同</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hAnsi="宋体" w:cs="宋体"/>
          <w:b/>
          <w:szCs w:val="24"/>
        </w:rPr>
        <w:t xml:space="preserve">生效及其他 </w:t>
      </w:r>
    </w:p>
    <w:p>
      <w:pPr>
        <w:pStyle w:val="94"/>
        <w:spacing w:line="384" w:lineRule="auto"/>
        <w:ind w:firstLine="480"/>
        <w:rPr>
          <w:rFonts w:ascii="宋体" w:hAnsi="宋体" w:cs="宋体"/>
          <w:sz w:val="24"/>
          <w:szCs w:val="24"/>
        </w:rPr>
      </w:pPr>
      <w:r>
        <w:rPr>
          <w:rFonts w:hint="eastAsia" w:ascii="宋体" w:hAnsi="宋体" w:cs="宋体"/>
          <w:sz w:val="24"/>
          <w:szCs w:val="24"/>
        </w:rPr>
        <w:t>1、合同经双方法定代表人或授权委托代理人签字并加盖单位公章后生效。</w:t>
      </w:r>
    </w:p>
    <w:p>
      <w:pPr>
        <w:pStyle w:val="94"/>
        <w:spacing w:line="384" w:lineRule="auto"/>
        <w:ind w:firstLine="480"/>
        <w:rPr>
          <w:rFonts w:ascii="宋体" w:hAnsi="宋体" w:cs="宋体"/>
          <w:sz w:val="24"/>
          <w:szCs w:val="24"/>
        </w:rPr>
      </w:pPr>
      <w:r>
        <w:rPr>
          <w:rFonts w:hint="eastAsia" w:ascii="宋体" w:hAnsi="宋体" w:cs="宋体"/>
          <w:sz w:val="24"/>
          <w:szCs w:val="24"/>
        </w:rPr>
        <w:t>2、合同执行中涉及采购资金和采购内容修改或补充的，须经政府采购监管部门审批，并签书面补充协议报政府采购监督管理部门备案，方可作为主合同不可分割的一部分。</w:t>
      </w:r>
    </w:p>
    <w:p>
      <w:pPr>
        <w:pStyle w:val="94"/>
        <w:spacing w:line="384" w:lineRule="auto"/>
        <w:ind w:firstLine="480"/>
        <w:rPr>
          <w:rFonts w:ascii="宋体" w:hAnsi="宋体" w:cs="宋体"/>
          <w:sz w:val="24"/>
          <w:szCs w:val="24"/>
        </w:rPr>
      </w:pPr>
      <w:r>
        <w:rPr>
          <w:rFonts w:hint="eastAsia" w:ascii="宋体" w:hAnsi="宋体" w:cs="宋体"/>
          <w:sz w:val="24"/>
          <w:szCs w:val="24"/>
        </w:rPr>
        <w:t>3、本合同一式</w:t>
      </w:r>
      <w:r>
        <w:rPr>
          <w:rFonts w:hint="eastAsia" w:ascii="宋体" w:hAnsi="宋体" w:cs="宋体"/>
          <w:sz w:val="24"/>
          <w:szCs w:val="24"/>
          <w:u w:val="single"/>
        </w:rPr>
        <w:t xml:space="preserve">   </w:t>
      </w:r>
      <w:r>
        <w:rPr>
          <w:rFonts w:hint="eastAsia" w:ascii="宋体" w:hAnsi="宋体" w:cs="宋体"/>
          <w:sz w:val="24"/>
          <w:szCs w:val="24"/>
        </w:rPr>
        <w:t>份，自双方签章之日起起效。甲方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份，政府采购代理机构</w:t>
      </w:r>
      <w:r>
        <w:rPr>
          <w:rFonts w:hint="eastAsia" w:ascii="宋体" w:hAnsi="宋体" w:cs="宋体"/>
          <w:sz w:val="24"/>
          <w:szCs w:val="24"/>
          <w:u w:val="single"/>
        </w:rPr>
        <w:t xml:space="preserve">   </w:t>
      </w:r>
      <w:r>
        <w:rPr>
          <w:rFonts w:hint="eastAsia" w:ascii="宋体" w:hAnsi="宋体" w:cs="宋体"/>
          <w:sz w:val="24"/>
          <w:szCs w:val="24"/>
        </w:rPr>
        <w:t>份，同级财政部门备案</w:t>
      </w:r>
      <w:r>
        <w:rPr>
          <w:rFonts w:hint="eastAsia" w:ascii="宋体" w:hAnsi="宋体" w:cs="宋体"/>
          <w:sz w:val="24"/>
          <w:szCs w:val="24"/>
          <w:u w:val="single"/>
        </w:rPr>
        <w:t xml:space="preserve">   </w:t>
      </w:r>
      <w:r>
        <w:rPr>
          <w:rFonts w:hint="eastAsia" w:ascii="宋体" w:hAnsi="宋体" w:cs="宋体"/>
          <w:sz w:val="24"/>
          <w:szCs w:val="24"/>
        </w:rPr>
        <w:t>份，具有同等法律效力。</w:t>
      </w:r>
    </w:p>
    <w:p>
      <w:pPr>
        <w:spacing w:line="384" w:lineRule="auto"/>
        <w:ind w:left="426"/>
        <w:rPr>
          <w:rFonts w:hAnsi="宋体" w:cs="宋体"/>
          <w:b/>
          <w:szCs w:val="24"/>
        </w:rPr>
      </w:pPr>
      <w:r>
        <w:rPr>
          <w:rFonts w:hint="eastAsia" w:hAnsi="宋体" w:cs="宋体"/>
          <w:b/>
          <w:szCs w:val="24"/>
        </w:rPr>
        <w:t>第十二条  附件</w:t>
      </w:r>
    </w:p>
    <w:p>
      <w:pPr>
        <w:pStyle w:val="94"/>
        <w:spacing w:line="384" w:lineRule="auto"/>
        <w:ind w:firstLine="480"/>
        <w:rPr>
          <w:rFonts w:ascii="宋体" w:hAnsi="宋体" w:cs="宋体"/>
          <w:sz w:val="24"/>
          <w:szCs w:val="24"/>
        </w:rPr>
      </w:pPr>
      <w:r>
        <w:rPr>
          <w:rFonts w:hint="eastAsia" w:ascii="宋体" w:hAnsi="宋体" w:cs="宋体"/>
          <w:sz w:val="24"/>
          <w:szCs w:val="24"/>
        </w:rPr>
        <w:t>1、项目磋商文件</w:t>
      </w:r>
    </w:p>
    <w:p>
      <w:pPr>
        <w:pStyle w:val="94"/>
        <w:spacing w:line="384" w:lineRule="auto"/>
        <w:ind w:firstLine="480"/>
        <w:rPr>
          <w:rFonts w:ascii="宋体" w:hAnsi="宋体" w:cs="宋体"/>
          <w:sz w:val="24"/>
          <w:szCs w:val="24"/>
        </w:rPr>
      </w:pPr>
      <w:r>
        <w:rPr>
          <w:rFonts w:hint="eastAsia" w:ascii="宋体" w:hAnsi="宋体" w:cs="宋体"/>
          <w:sz w:val="24"/>
          <w:szCs w:val="24"/>
        </w:rPr>
        <w:t>2、项目修改澄清文件</w:t>
      </w:r>
    </w:p>
    <w:p>
      <w:pPr>
        <w:pStyle w:val="94"/>
        <w:spacing w:line="384" w:lineRule="auto"/>
        <w:ind w:firstLine="480"/>
        <w:rPr>
          <w:rFonts w:ascii="宋体" w:hAnsi="宋体" w:cs="宋体"/>
          <w:sz w:val="24"/>
          <w:szCs w:val="24"/>
        </w:rPr>
      </w:pPr>
      <w:r>
        <w:rPr>
          <w:rFonts w:hint="eastAsia" w:ascii="宋体" w:hAnsi="宋体" w:cs="宋体"/>
          <w:sz w:val="24"/>
          <w:szCs w:val="24"/>
        </w:rPr>
        <w:t>3、项目磋商响应文件</w:t>
      </w:r>
    </w:p>
    <w:p>
      <w:pPr>
        <w:pStyle w:val="94"/>
        <w:spacing w:line="384" w:lineRule="auto"/>
        <w:ind w:firstLine="480"/>
        <w:rPr>
          <w:rFonts w:ascii="宋体" w:hAnsi="宋体" w:cs="宋体"/>
          <w:sz w:val="24"/>
          <w:szCs w:val="24"/>
        </w:rPr>
      </w:pPr>
      <w:r>
        <w:rPr>
          <w:rFonts w:hint="eastAsia" w:ascii="宋体" w:hAnsi="宋体" w:cs="宋体"/>
          <w:sz w:val="24"/>
          <w:szCs w:val="24"/>
        </w:rPr>
        <w:t>4、成交通知书</w:t>
      </w:r>
    </w:p>
    <w:p>
      <w:pPr>
        <w:pStyle w:val="94"/>
        <w:spacing w:line="384" w:lineRule="auto"/>
        <w:ind w:firstLine="480"/>
        <w:rPr>
          <w:rFonts w:ascii="宋体" w:hAnsi="宋体" w:cs="宋体"/>
          <w:sz w:val="24"/>
          <w:szCs w:val="24"/>
        </w:rPr>
      </w:pPr>
      <w:r>
        <w:rPr>
          <w:rFonts w:hint="eastAsia" w:ascii="宋体" w:hAnsi="宋体" w:cs="宋体"/>
          <w:sz w:val="24"/>
          <w:szCs w:val="24"/>
        </w:rPr>
        <w:t>5、其他</w:t>
      </w:r>
    </w:p>
    <w:p>
      <w:pPr>
        <w:pStyle w:val="94"/>
        <w:spacing w:line="432" w:lineRule="auto"/>
        <w:ind w:firstLine="480"/>
        <w:rPr>
          <w:rFonts w:ascii="宋体" w:hAnsi="宋体" w:cs="宋体"/>
          <w:sz w:val="24"/>
          <w:szCs w:val="24"/>
        </w:rPr>
      </w:pPr>
      <w:r>
        <w:rPr>
          <w:rFonts w:hint="eastAsia" w:ascii="宋体" w:hAnsi="宋体" w:cs="宋体"/>
          <w:sz w:val="24"/>
          <w:szCs w:val="24"/>
        </w:rPr>
        <w:t xml:space="preserve">甲方：   （盖章）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乙方：   （盖章）</w:t>
      </w:r>
    </w:p>
    <w:p>
      <w:pPr>
        <w:pStyle w:val="94"/>
        <w:spacing w:line="432" w:lineRule="auto"/>
        <w:ind w:firstLine="480"/>
        <w:rPr>
          <w:rFonts w:ascii="宋体" w:hAnsi="宋体" w:cs="宋体"/>
          <w:sz w:val="24"/>
          <w:szCs w:val="24"/>
        </w:rPr>
      </w:pPr>
      <w:r>
        <w:rPr>
          <w:rFonts w:hint="eastAsia" w:ascii="宋体" w:hAnsi="宋体" w:cs="宋体"/>
          <w:sz w:val="24"/>
          <w:szCs w:val="24"/>
        </w:rPr>
        <w:t>法定代表人（授权代表）：              法定代表人（授权代表）：</w:t>
      </w:r>
    </w:p>
    <w:p>
      <w:pPr>
        <w:pStyle w:val="94"/>
        <w:spacing w:line="432" w:lineRule="auto"/>
        <w:ind w:firstLine="480"/>
        <w:rPr>
          <w:rFonts w:ascii="宋体" w:hAnsi="宋体" w:cs="宋体"/>
          <w:sz w:val="24"/>
          <w:szCs w:val="24"/>
        </w:rPr>
      </w:pPr>
      <w:r>
        <w:rPr>
          <w:rFonts w:hint="eastAsia" w:ascii="宋体" w:hAnsi="宋体" w:cs="宋体"/>
          <w:sz w:val="24"/>
          <w:szCs w:val="24"/>
        </w:rPr>
        <w:t>地    址：                            地    址：</w:t>
      </w:r>
    </w:p>
    <w:p>
      <w:pPr>
        <w:pStyle w:val="94"/>
        <w:spacing w:line="432" w:lineRule="auto"/>
        <w:ind w:firstLine="480"/>
        <w:rPr>
          <w:rFonts w:ascii="宋体" w:hAnsi="宋体" w:cs="宋体"/>
          <w:sz w:val="24"/>
          <w:szCs w:val="24"/>
        </w:rPr>
      </w:pPr>
      <w:r>
        <w:rPr>
          <w:rFonts w:hint="eastAsia" w:ascii="宋体" w:hAnsi="宋体" w:cs="宋体"/>
          <w:sz w:val="24"/>
          <w:szCs w:val="24"/>
        </w:rPr>
        <w:t>开户银行：                            开户银行：</w:t>
      </w:r>
    </w:p>
    <w:p>
      <w:pPr>
        <w:pStyle w:val="94"/>
        <w:spacing w:line="432" w:lineRule="auto"/>
        <w:ind w:firstLine="480"/>
        <w:rPr>
          <w:rFonts w:ascii="宋体" w:hAnsi="宋体" w:cs="宋体"/>
          <w:sz w:val="24"/>
          <w:szCs w:val="24"/>
        </w:rPr>
      </w:pPr>
      <w:r>
        <w:rPr>
          <w:rFonts w:hint="eastAsia" w:ascii="宋体" w:hAnsi="宋体" w:cs="宋体"/>
          <w:sz w:val="24"/>
          <w:szCs w:val="24"/>
        </w:rPr>
        <w:t>账号：                                账号：</w:t>
      </w:r>
    </w:p>
    <w:p>
      <w:pPr>
        <w:pStyle w:val="94"/>
        <w:spacing w:line="432" w:lineRule="auto"/>
        <w:ind w:firstLine="480"/>
        <w:rPr>
          <w:rFonts w:ascii="宋体" w:hAnsi="宋体" w:cs="宋体"/>
          <w:sz w:val="24"/>
          <w:szCs w:val="24"/>
        </w:rPr>
      </w:pPr>
      <w:r>
        <w:rPr>
          <w:rFonts w:hint="eastAsia" w:ascii="宋体" w:hAnsi="宋体" w:cs="宋体"/>
          <w:sz w:val="24"/>
          <w:szCs w:val="24"/>
        </w:rPr>
        <w:t>电    话：                            电    话：</w:t>
      </w:r>
    </w:p>
    <w:p>
      <w:pPr>
        <w:pStyle w:val="94"/>
        <w:spacing w:line="432" w:lineRule="auto"/>
        <w:ind w:firstLine="480"/>
        <w:rPr>
          <w:rFonts w:ascii="宋体" w:hAnsi="宋体" w:cs="宋体"/>
          <w:sz w:val="24"/>
          <w:szCs w:val="24"/>
        </w:rPr>
      </w:pPr>
      <w:r>
        <w:rPr>
          <w:rFonts w:hint="eastAsia" w:ascii="宋体" w:hAnsi="宋体" w:cs="宋体"/>
          <w:sz w:val="24"/>
          <w:szCs w:val="24"/>
        </w:rPr>
        <w:t>传    真：                            传    真：</w:t>
      </w:r>
    </w:p>
    <w:p>
      <w:pPr>
        <w:pStyle w:val="94"/>
        <w:spacing w:line="432" w:lineRule="auto"/>
        <w:ind w:firstLine="480"/>
        <w:rPr>
          <w:rFonts w:ascii="宋体" w:hAnsi="宋体" w:cs="宋体"/>
          <w:sz w:val="24"/>
          <w:szCs w:val="24"/>
        </w:rPr>
      </w:pPr>
      <w:r>
        <w:rPr>
          <w:rFonts w:hint="eastAsia" w:ascii="宋体" w:hAnsi="宋体" w:cs="宋体"/>
          <w:sz w:val="24"/>
          <w:szCs w:val="24"/>
        </w:rPr>
        <w:t xml:space="preserve">签约日期：  年  月  日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签约日期：  年  月  日  </w:t>
      </w:r>
    </w:p>
    <w:p>
      <w:pPr>
        <w:pStyle w:val="94"/>
        <w:spacing w:line="432" w:lineRule="auto"/>
        <w:ind w:firstLine="2530" w:firstLineChars="1200"/>
        <w:rPr>
          <w:rFonts w:ascii="宋体" w:hAnsi="宋体" w:cs="宋体"/>
          <w:bCs/>
          <w:sz w:val="36"/>
          <w:szCs w:val="36"/>
        </w:rPr>
        <w:sectPr>
          <w:headerReference r:id="rId4" w:type="default"/>
          <w:footerReference r:id="rId5" w:type="default"/>
          <w:pgSz w:w="11906" w:h="16838"/>
          <w:pgMar w:top="1418" w:right="1418" w:bottom="1418" w:left="1417" w:header="851" w:footer="992" w:gutter="0"/>
          <w:pgNumType w:start="1"/>
          <w:cols w:space="720" w:num="1"/>
          <w:docGrid w:type="lines" w:linePitch="312" w:charSpace="0"/>
        </w:sectPr>
      </w:pPr>
      <w:r>
        <w:rPr>
          <w:rFonts w:hint="eastAsia" w:ascii="宋体" w:hAnsi="宋体" w:cs="宋体"/>
          <w:b/>
          <w:bCs/>
          <w:color w:val="000000"/>
          <w:szCs w:val="24"/>
        </w:rPr>
        <w:t>注：具体合同实施内容由双方签订时协商。</w:t>
      </w:r>
    </w:p>
    <w:bookmarkEnd w:id="53"/>
    <w:bookmarkEnd w:id="54"/>
    <w:bookmarkEnd w:id="55"/>
    <w:bookmarkEnd w:id="56"/>
    <w:bookmarkEnd w:id="57"/>
    <w:bookmarkEnd w:id="58"/>
    <w:bookmarkEnd w:id="59"/>
    <w:bookmarkEnd w:id="60"/>
    <w:bookmarkEnd w:id="61"/>
    <w:p>
      <w:pPr>
        <w:pStyle w:val="3"/>
        <w:jc w:val="center"/>
        <w:rPr>
          <w:rFonts w:ascii="宋体" w:eastAsia="宋体" w:cs="宋体"/>
          <w:sz w:val="36"/>
          <w:szCs w:val="21"/>
        </w:rPr>
      </w:pPr>
      <w:bookmarkStart w:id="115" w:name="_Toc15435"/>
      <w:bookmarkStart w:id="116" w:name="_Toc29442"/>
      <w:bookmarkStart w:id="117" w:name="_Toc13146"/>
      <w:bookmarkStart w:id="118" w:name="_Toc423973078"/>
      <w:bookmarkStart w:id="119" w:name="_Toc11450"/>
      <w:bookmarkStart w:id="120" w:name="_Toc4053"/>
      <w:bookmarkStart w:id="121" w:name="_Toc1025"/>
      <w:bookmarkStart w:id="122" w:name="_Toc20481"/>
      <w:bookmarkStart w:id="123" w:name="_Toc2711"/>
      <w:bookmarkStart w:id="124" w:name="_Toc389582038"/>
      <w:bookmarkStart w:id="125" w:name="_Toc23856"/>
      <w:r>
        <w:rPr>
          <w:rFonts w:hint="eastAsia" w:ascii="宋体" w:eastAsia="宋体" w:cs="宋体"/>
          <w:sz w:val="36"/>
          <w:szCs w:val="21"/>
        </w:rPr>
        <w:t>第四章  采购内容及要求</w:t>
      </w:r>
      <w:bookmarkEnd w:id="115"/>
      <w:bookmarkEnd w:id="116"/>
    </w:p>
    <w:p>
      <w:pPr>
        <w:spacing w:line="360" w:lineRule="auto"/>
        <w:ind w:firstLine="470" w:firstLineChars="196"/>
        <w:rPr>
          <w:rFonts w:hAnsi="宋体" w:cs="宋体"/>
          <w:szCs w:val="24"/>
        </w:rPr>
      </w:pPr>
    </w:p>
    <w:p>
      <w:pPr>
        <w:pStyle w:val="3"/>
        <w:spacing w:line="480" w:lineRule="exact"/>
        <w:rPr>
          <w:rFonts w:ascii="宋体" w:eastAsia="宋体" w:cs="宋体"/>
          <w:sz w:val="24"/>
          <w:szCs w:val="24"/>
        </w:rPr>
      </w:pPr>
      <w:bookmarkStart w:id="126" w:name="_Toc19896622"/>
      <w:r>
        <w:rPr>
          <w:rFonts w:hint="eastAsia" w:ascii="宋体" w:eastAsia="宋体" w:cs="宋体"/>
          <w:sz w:val="24"/>
          <w:szCs w:val="24"/>
        </w:rPr>
        <w:t>1.项目</w:t>
      </w:r>
      <w:bookmarkEnd w:id="126"/>
      <w:r>
        <w:rPr>
          <w:rFonts w:hint="eastAsia" w:ascii="宋体" w:eastAsia="宋体" w:cs="宋体"/>
          <w:sz w:val="24"/>
          <w:szCs w:val="24"/>
        </w:rPr>
        <w:t>概况</w:t>
      </w:r>
    </w:p>
    <w:p>
      <w:pPr>
        <w:spacing w:line="480" w:lineRule="exact"/>
        <w:ind w:firstLine="480" w:firstLineChars="200"/>
        <w:rPr>
          <w:rFonts w:hAnsi="宋体" w:cs="宋体"/>
          <w:szCs w:val="24"/>
        </w:rPr>
      </w:pPr>
      <w:bookmarkStart w:id="127" w:name="_Toc19896623"/>
      <w:r>
        <w:rPr>
          <w:rFonts w:hint="eastAsia" w:hAnsi="宋体" w:cs="宋体"/>
          <w:szCs w:val="24"/>
        </w:rPr>
        <w:t>本项目建设内容目的在为已建成的陕西省国家水资源监控能力建设项目(2012-2014年)所建成的取用水水量在线监测站设施，水源地水质在线监测站设施进行运行维护保障及日常管理工作。项目服务内容涵盖：</w:t>
      </w:r>
    </w:p>
    <w:p>
      <w:pPr>
        <w:spacing w:line="480" w:lineRule="exact"/>
        <w:ind w:firstLine="480" w:firstLineChars="200"/>
        <w:rPr>
          <w:rFonts w:hAnsi="宋体" w:cs="宋体"/>
          <w:szCs w:val="24"/>
        </w:rPr>
      </w:pPr>
      <w:r>
        <w:rPr>
          <w:rFonts w:hint="eastAsia" w:hAnsi="宋体" w:cs="宋体"/>
          <w:szCs w:val="24"/>
        </w:rPr>
        <w:t>1．取用水水量监控体系的运行维护。对</w:t>
      </w:r>
      <w:r>
        <w:rPr>
          <w:rFonts w:hint="eastAsia" w:ascii="宋体" w:hAnsi="宋体" w:eastAsia="宋体" w:cs="宋体"/>
          <w:sz w:val="24"/>
          <w:szCs w:val="24"/>
        </w:rPr>
        <w:t>宝鸡、咸阳、铜川、延安、榆林、韩城行政区范围内</w:t>
      </w:r>
      <w:r>
        <w:rPr>
          <w:rFonts w:ascii="宋体" w:hAnsi="宋体" w:eastAsia="宋体" w:cs="宋体"/>
          <w:sz w:val="24"/>
          <w:szCs w:val="24"/>
        </w:rPr>
        <w:t>211个取用水户水量监测点</w:t>
      </w:r>
      <w:r>
        <w:rPr>
          <w:rFonts w:hint="eastAsia" w:hAnsi="宋体" w:cs="宋体"/>
          <w:szCs w:val="24"/>
        </w:rPr>
        <w:t>进行为期一年的运行维护保障服务；</w:t>
      </w:r>
    </w:p>
    <w:p>
      <w:pPr>
        <w:spacing w:line="480" w:lineRule="exact"/>
        <w:ind w:firstLine="480" w:firstLineChars="200"/>
        <w:rPr>
          <w:rFonts w:hAnsi="宋体" w:cs="宋体"/>
          <w:szCs w:val="24"/>
        </w:rPr>
      </w:pPr>
      <w:r>
        <w:rPr>
          <w:rFonts w:hint="eastAsia" w:hAnsi="宋体" w:cs="宋体"/>
          <w:szCs w:val="24"/>
        </w:rPr>
        <w:t>2．水源地水质监控体系的运行维护。对石头河水库水源地、冯家山水库水源地、王瑶水库水源地共计3处水质在线监测站进行为期一年的运行维护保障服务；</w:t>
      </w:r>
    </w:p>
    <w:p>
      <w:pPr>
        <w:spacing w:line="480" w:lineRule="exact"/>
        <w:ind w:firstLine="480" w:firstLineChars="200"/>
        <w:rPr>
          <w:rFonts w:hAnsi="宋体" w:cs="宋体"/>
          <w:szCs w:val="24"/>
        </w:rPr>
      </w:pPr>
      <w:r>
        <w:rPr>
          <w:rFonts w:hint="eastAsia" w:hAnsi="宋体" w:cs="宋体"/>
          <w:szCs w:val="24"/>
        </w:rPr>
        <w:t>3.对水资源系统平台数据库升级扩容及维护。</w:t>
      </w:r>
    </w:p>
    <w:p>
      <w:pPr>
        <w:pStyle w:val="3"/>
        <w:spacing w:line="480" w:lineRule="exact"/>
        <w:rPr>
          <w:rFonts w:ascii="宋体" w:eastAsia="宋体" w:cs="宋体"/>
          <w:sz w:val="24"/>
          <w:szCs w:val="24"/>
        </w:rPr>
      </w:pPr>
      <w:r>
        <w:rPr>
          <w:rFonts w:hint="eastAsia" w:ascii="宋体" w:eastAsia="宋体" w:cs="宋体"/>
          <w:sz w:val="24"/>
          <w:szCs w:val="24"/>
        </w:rPr>
        <w:t>2.运行维护服务依据：</w:t>
      </w:r>
    </w:p>
    <w:p>
      <w:pPr>
        <w:spacing w:line="480" w:lineRule="exact"/>
        <w:ind w:firstLine="480" w:firstLineChars="200"/>
        <w:rPr>
          <w:rFonts w:hAnsi="宋体" w:cs="宋体"/>
          <w:szCs w:val="24"/>
        </w:rPr>
      </w:pPr>
      <w:r>
        <w:rPr>
          <w:rFonts w:hint="eastAsia" w:hAnsi="宋体" w:cs="宋体"/>
          <w:szCs w:val="24"/>
        </w:rPr>
        <w:t>《水利系统通信业务导则》（SL292-2004）；</w:t>
      </w:r>
    </w:p>
    <w:p>
      <w:pPr>
        <w:spacing w:line="480" w:lineRule="exact"/>
        <w:ind w:firstLine="480" w:firstLineChars="200"/>
        <w:rPr>
          <w:rFonts w:hAnsi="宋体" w:cs="宋体"/>
          <w:szCs w:val="24"/>
        </w:rPr>
      </w:pPr>
      <w:r>
        <w:rPr>
          <w:rFonts w:hint="eastAsia" w:hAnsi="宋体" w:cs="宋体"/>
          <w:szCs w:val="24"/>
        </w:rPr>
        <w:t>《水利系统通信运行规程》（SL306-2004）；</w:t>
      </w:r>
    </w:p>
    <w:p>
      <w:pPr>
        <w:spacing w:line="480" w:lineRule="exact"/>
        <w:ind w:firstLine="480" w:firstLineChars="200"/>
        <w:rPr>
          <w:rFonts w:hAnsi="宋体" w:cs="宋体"/>
          <w:szCs w:val="24"/>
        </w:rPr>
      </w:pPr>
      <w:r>
        <w:rPr>
          <w:rFonts w:hint="eastAsia" w:hAnsi="宋体" w:cs="宋体"/>
          <w:szCs w:val="24"/>
        </w:rPr>
        <w:t>《水利信息系统可行性研究报告编制规定（试行）》（SL/Z331-2005）；</w:t>
      </w:r>
    </w:p>
    <w:p>
      <w:pPr>
        <w:spacing w:line="480" w:lineRule="exact"/>
        <w:ind w:firstLine="480" w:firstLineChars="200"/>
        <w:rPr>
          <w:rFonts w:hAnsi="宋体" w:cs="宋体"/>
          <w:szCs w:val="24"/>
        </w:rPr>
      </w:pPr>
      <w:r>
        <w:rPr>
          <w:rFonts w:hint="eastAsia" w:hAnsi="宋体" w:cs="宋体"/>
          <w:szCs w:val="24"/>
        </w:rPr>
        <w:t>《水利信息系统初步设计报告编制规定（试行）》（SL/Z332-2005）；</w:t>
      </w:r>
    </w:p>
    <w:p>
      <w:pPr>
        <w:spacing w:line="480" w:lineRule="exact"/>
        <w:ind w:firstLine="480" w:firstLineChars="200"/>
        <w:rPr>
          <w:rFonts w:hAnsi="宋体" w:cs="宋体"/>
          <w:szCs w:val="24"/>
        </w:rPr>
      </w:pPr>
      <w:r>
        <w:rPr>
          <w:rFonts w:hint="eastAsia" w:hAnsi="宋体" w:cs="宋体"/>
          <w:szCs w:val="24"/>
        </w:rPr>
        <w:t>《水利信息系统项目建议书编制规定》（SL/Z346-2006）；</w:t>
      </w:r>
    </w:p>
    <w:p>
      <w:pPr>
        <w:spacing w:line="480" w:lineRule="exact"/>
        <w:ind w:firstLine="480" w:firstLineChars="200"/>
        <w:rPr>
          <w:rFonts w:hAnsi="宋体" w:cs="宋体"/>
          <w:szCs w:val="24"/>
        </w:rPr>
      </w:pPr>
      <w:r>
        <w:rPr>
          <w:rFonts w:hint="eastAsia" w:hAnsi="宋体" w:cs="宋体"/>
          <w:szCs w:val="24"/>
        </w:rPr>
        <w:t>《水资源水量监测技术导则》（SL365-2007）；</w:t>
      </w:r>
    </w:p>
    <w:p>
      <w:pPr>
        <w:spacing w:line="480" w:lineRule="exact"/>
        <w:ind w:firstLine="480" w:firstLineChars="200"/>
        <w:rPr>
          <w:rFonts w:hAnsi="宋体" w:cs="宋体"/>
          <w:szCs w:val="24"/>
        </w:rPr>
      </w:pPr>
      <w:r>
        <w:rPr>
          <w:rFonts w:hint="eastAsia" w:hAnsi="宋体" w:cs="宋体"/>
          <w:szCs w:val="24"/>
        </w:rPr>
        <w:t>《水资源监控设备基本技术条件》（SL426-2008）；</w:t>
      </w:r>
    </w:p>
    <w:p>
      <w:pPr>
        <w:spacing w:line="480" w:lineRule="exact"/>
        <w:ind w:firstLine="480" w:firstLineChars="200"/>
        <w:rPr>
          <w:rFonts w:hAnsi="宋体" w:cs="宋体"/>
          <w:szCs w:val="24"/>
        </w:rPr>
      </w:pPr>
      <w:r>
        <w:rPr>
          <w:rFonts w:hint="eastAsia" w:hAnsi="宋体" w:cs="宋体"/>
          <w:szCs w:val="24"/>
        </w:rPr>
        <w:t>《水资源监控管理系统数据传输规约》（SL427-2008）；</w:t>
      </w:r>
    </w:p>
    <w:p>
      <w:pPr>
        <w:spacing w:line="480" w:lineRule="exact"/>
        <w:ind w:firstLine="480" w:firstLineChars="200"/>
        <w:rPr>
          <w:rFonts w:hAnsi="宋体" w:cs="宋体"/>
          <w:szCs w:val="24"/>
        </w:rPr>
      </w:pPr>
      <w:r>
        <w:rPr>
          <w:rFonts w:hint="eastAsia" w:hAnsi="宋体" w:cs="宋体"/>
          <w:szCs w:val="24"/>
        </w:rPr>
        <w:t>《水资源管理信息代码编制规定》（SL457-2009）；</w:t>
      </w:r>
    </w:p>
    <w:p>
      <w:pPr>
        <w:spacing w:line="480" w:lineRule="exact"/>
        <w:ind w:firstLine="480" w:firstLineChars="200"/>
        <w:rPr>
          <w:rFonts w:hAnsi="宋体" w:cs="宋体"/>
          <w:szCs w:val="24"/>
        </w:rPr>
      </w:pPr>
      <w:r>
        <w:rPr>
          <w:rFonts w:hint="eastAsia" w:hAnsi="宋体" w:cs="宋体"/>
          <w:szCs w:val="24"/>
        </w:rPr>
        <w:t>《水利信息共用数据元》（SL475-2010）；</w:t>
      </w:r>
    </w:p>
    <w:p>
      <w:pPr>
        <w:spacing w:line="480" w:lineRule="exact"/>
        <w:ind w:firstLine="480" w:firstLineChars="200"/>
        <w:rPr>
          <w:rFonts w:hAnsi="宋体" w:cs="宋体"/>
          <w:szCs w:val="24"/>
        </w:rPr>
      </w:pPr>
      <w:r>
        <w:rPr>
          <w:rFonts w:hint="eastAsia" w:hAnsi="宋体" w:cs="宋体"/>
          <w:szCs w:val="24"/>
        </w:rPr>
        <w:t>《信息分类及编码规定》（SZY 102-2013）；</w:t>
      </w:r>
    </w:p>
    <w:p>
      <w:pPr>
        <w:spacing w:line="480" w:lineRule="exact"/>
        <w:ind w:firstLine="480" w:firstLineChars="200"/>
        <w:rPr>
          <w:rFonts w:hAnsi="宋体" w:cs="宋体"/>
          <w:szCs w:val="24"/>
        </w:rPr>
      </w:pPr>
      <w:r>
        <w:rPr>
          <w:rFonts w:hint="eastAsia" w:hAnsi="宋体" w:cs="宋体"/>
          <w:szCs w:val="24"/>
        </w:rPr>
        <w:t>《水资源监测要素》（SZY 201-2016）；</w:t>
      </w:r>
    </w:p>
    <w:p>
      <w:pPr>
        <w:spacing w:line="480" w:lineRule="exact"/>
        <w:ind w:firstLine="480" w:firstLineChars="200"/>
        <w:rPr>
          <w:rFonts w:hAnsi="宋体" w:cs="宋体"/>
          <w:szCs w:val="24"/>
        </w:rPr>
      </w:pPr>
      <w:r>
        <w:rPr>
          <w:rFonts w:hint="eastAsia" w:hAnsi="宋体" w:cs="宋体"/>
          <w:szCs w:val="24"/>
        </w:rPr>
        <w:t>《水资源监测设备技术要求》（SZY 203-2016）；</w:t>
      </w:r>
    </w:p>
    <w:p>
      <w:pPr>
        <w:spacing w:line="480" w:lineRule="exact"/>
        <w:ind w:firstLine="480" w:firstLineChars="200"/>
        <w:rPr>
          <w:rFonts w:hAnsi="宋体" w:cs="宋体"/>
          <w:szCs w:val="24"/>
        </w:rPr>
      </w:pPr>
      <w:r>
        <w:rPr>
          <w:rFonts w:hint="eastAsia" w:hAnsi="宋体" w:cs="宋体"/>
          <w:szCs w:val="24"/>
        </w:rPr>
        <w:t>《水资源监测设备现场安装调试》（SZY 204-2016）；</w:t>
      </w:r>
    </w:p>
    <w:p>
      <w:pPr>
        <w:spacing w:line="480" w:lineRule="exact"/>
        <w:ind w:firstLine="480" w:firstLineChars="200"/>
        <w:rPr>
          <w:rFonts w:hAnsi="宋体" w:cs="宋体"/>
          <w:szCs w:val="24"/>
        </w:rPr>
      </w:pPr>
      <w:r>
        <w:rPr>
          <w:rFonts w:hint="eastAsia" w:hAnsi="宋体" w:cs="宋体"/>
          <w:szCs w:val="24"/>
        </w:rPr>
        <w:t>《水资源监测设备质量检验》（SZY 205-2016）；</w:t>
      </w:r>
    </w:p>
    <w:p>
      <w:pPr>
        <w:spacing w:line="480" w:lineRule="exact"/>
        <w:ind w:firstLine="480" w:firstLineChars="200"/>
        <w:rPr>
          <w:rFonts w:hAnsi="宋体" w:cs="宋体"/>
          <w:szCs w:val="24"/>
        </w:rPr>
      </w:pPr>
      <w:r>
        <w:rPr>
          <w:rFonts w:hint="eastAsia" w:hAnsi="宋体" w:cs="宋体"/>
          <w:szCs w:val="24"/>
        </w:rPr>
        <w:t>《水资源监测数据传输规约》（SZY 206-2016）；</w:t>
      </w:r>
    </w:p>
    <w:p>
      <w:pPr>
        <w:spacing w:line="480" w:lineRule="exact"/>
        <w:ind w:firstLine="480" w:firstLineChars="200"/>
        <w:rPr>
          <w:rFonts w:hAnsi="宋体" w:cs="宋体"/>
          <w:szCs w:val="24"/>
        </w:rPr>
      </w:pPr>
      <w:r>
        <w:rPr>
          <w:rFonts w:hint="eastAsia" w:hAnsi="宋体" w:cs="宋体"/>
          <w:szCs w:val="24"/>
        </w:rPr>
        <w:t>《基础数据库表结构及标识符》（SZY 301-2013）；</w:t>
      </w:r>
    </w:p>
    <w:p>
      <w:pPr>
        <w:spacing w:line="480" w:lineRule="exact"/>
        <w:ind w:firstLine="480" w:firstLineChars="200"/>
        <w:rPr>
          <w:rFonts w:hAnsi="宋体" w:cs="宋体"/>
          <w:szCs w:val="24"/>
        </w:rPr>
      </w:pPr>
      <w:r>
        <w:rPr>
          <w:rFonts w:hint="eastAsia" w:hAnsi="宋体" w:cs="宋体"/>
          <w:szCs w:val="24"/>
        </w:rPr>
        <w:t>《监测数据库表结构及标识符》（SZY 302-2013）；</w:t>
      </w:r>
    </w:p>
    <w:p>
      <w:pPr>
        <w:spacing w:line="480" w:lineRule="exact"/>
        <w:ind w:firstLine="480" w:firstLineChars="200"/>
        <w:rPr>
          <w:rFonts w:hAnsi="宋体" w:cs="宋体"/>
          <w:szCs w:val="24"/>
        </w:rPr>
      </w:pPr>
      <w:r>
        <w:rPr>
          <w:rFonts w:hint="eastAsia" w:hAnsi="宋体" w:cs="宋体"/>
          <w:szCs w:val="24"/>
        </w:rPr>
        <w:t>《业务数据库表结构及标识符》（SZY 303-2013）；</w:t>
      </w:r>
    </w:p>
    <w:p>
      <w:pPr>
        <w:spacing w:line="480" w:lineRule="exact"/>
        <w:ind w:firstLine="480" w:firstLineChars="200"/>
        <w:rPr>
          <w:rFonts w:hAnsi="宋体" w:cs="宋体"/>
          <w:szCs w:val="24"/>
        </w:rPr>
      </w:pPr>
      <w:r>
        <w:rPr>
          <w:rFonts w:hint="eastAsia" w:hAnsi="宋体" w:cs="宋体"/>
          <w:szCs w:val="24"/>
        </w:rPr>
        <w:t>《空间数据库表结构及标识符》（SZY 304-2013）；</w:t>
      </w:r>
    </w:p>
    <w:p>
      <w:pPr>
        <w:spacing w:line="480" w:lineRule="exact"/>
        <w:ind w:firstLine="480" w:firstLineChars="200"/>
        <w:rPr>
          <w:rFonts w:hAnsi="宋体" w:cs="宋体"/>
          <w:szCs w:val="24"/>
        </w:rPr>
      </w:pPr>
      <w:r>
        <w:rPr>
          <w:rFonts w:hint="eastAsia" w:hAnsi="宋体" w:cs="宋体"/>
          <w:szCs w:val="24"/>
        </w:rPr>
        <w:t>《水利信息系统运行维护规范》(SL 715-2015)</w:t>
      </w:r>
    </w:p>
    <w:p>
      <w:pPr>
        <w:spacing w:line="480" w:lineRule="exact"/>
        <w:ind w:firstLine="480" w:firstLineChars="200"/>
        <w:rPr>
          <w:rFonts w:hAnsi="宋体" w:cs="宋体"/>
          <w:szCs w:val="24"/>
        </w:rPr>
      </w:pPr>
      <w:r>
        <w:rPr>
          <w:rFonts w:hint="eastAsia" w:hAnsi="宋体" w:cs="宋体"/>
          <w:szCs w:val="24"/>
        </w:rPr>
        <w:t>《水利数据中心管理规程》（SL 604-2012）</w:t>
      </w:r>
    </w:p>
    <w:p>
      <w:pPr>
        <w:spacing w:line="480" w:lineRule="exact"/>
        <w:ind w:firstLine="480" w:firstLineChars="200"/>
        <w:rPr>
          <w:rFonts w:hAnsi="宋体" w:cs="宋体"/>
          <w:szCs w:val="24"/>
        </w:rPr>
      </w:pPr>
      <w:r>
        <w:rPr>
          <w:rFonts w:hint="eastAsia" w:hAnsi="宋体" w:cs="宋体"/>
          <w:szCs w:val="24"/>
        </w:rPr>
        <w:t>《国家水资源监控能力建设项目标准（运行维护）》（SZY 505-2015）</w:t>
      </w:r>
      <w:bookmarkEnd w:id="127"/>
    </w:p>
    <w:p>
      <w:pPr>
        <w:pStyle w:val="5"/>
        <w:spacing w:before="624" w:line="480" w:lineRule="exact"/>
        <w:jc w:val="both"/>
        <w:rPr>
          <w:rFonts w:ascii="宋体" w:hAnsi="宋体" w:cs="宋体"/>
        </w:rPr>
      </w:pPr>
      <w:r>
        <w:rPr>
          <w:rFonts w:hint="eastAsia" w:ascii="宋体" w:hAnsi="宋体" w:cs="宋体"/>
        </w:rPr>
        <w:t>3、运行维护服务范围</w:t>
      </w:r>
    </w:p>
    <w:p>
      <w:pPr>
        <w:spacing w:line="360" w:lineRule="auto"/>
        <w:ind w:firstLine="480" w:firstLineChars="200"/>
        <w:rPr>
          <w:rFonts w:hAnsi="宋体" w:cs="宋体"/>
          <w:szCs w:val="24"/>
        </w:rPr>
      </w:pPr>
      <w:r>
        <w:rPr>
          <w:rFonts w:hint="eastAsia" w:hAnsi="宋体" w:cs="宋体"/>
          <w:szCs w:val="24"/>
        </w:rPr>
        <w:t>水源地水质监测站维护及宝鸡市水量监测站维护。具体包括石头河水库、冯家山水库、王瑶水库3个水质监测站；宝鸡、咸阳、铜川、延安、榆林、韩城行政区范围内取用水户水量监测点运行维护。具体包括宝鸡市62个、咸阳市71个、铜川市8个、延安市17个、榆林市41个、韩城市12个，共计211个监测点。水资源系统平台系统数据库服务、存储软硬件设备升级扩容及定期检查维护服务。</w:t>
      </w:r>
    </w:p>
    <w:p>
      <w:pPr>
        <w:pStyle w:val="4"/>
        <w:spacing w:line="360" w:lineRule="auto"/>
        <w:ind w:left="0"/>
        <w:rPr>
          <w:rFonts w:ascii="宋体" w:hAnsi="宋体" w:cs="宋体"/>
          <w:b w:val="0"/>
          <w:bCs w:val="0"/>
          <w:sz w:val="24"/>
          <w:szCs w:val="24"/>
        </w:rPr>
      </w:pPr>
    </w:p>
    <w:p>
      <w:pPr>
        <w:pStyle w:val="272"/>
        <w:spacing w:line="480" w:lineRule="exact"/>
        <w:jc w:val="center"/>
        <w:rPr>
          <w:rFonts w:ascii="宋体" w:hAnsi="宋体" w:eastAsia="宋体" w:cs="宋体"/>
          <w:sz w:val="24"/>
          <w:szCs w:val="24"/>
        </w:rPr>
      </w:pPr>
      <w:r>
        <w:rPr>
          <w:rFonts w:hint="eastAsia" w:ascii="宋体" w:hAnsi="宋体" w:eastAsia="宋体" w:cs="宋体"/>
          <w:sz w:val="24"/>
          <w:szCs w:val="24"/>
        </w:rPr>
        <w:t>第1部分  水源地水质监测站运维</w:t>
      </w:r>
    </w:p>
    <w:p>
      <w:pPr>
        <w:pStyle w:val="5"/>
        <w:spacing w:before="624" w:line="480" w:lineRule="exact"/>
        <w:rPr>
          <w:rFonts w:ascii="宋体" w:hAnsi="宋体" w:cs="宋体"/>
        </w:rPr>
      </w:pPr>
      <w:bookmarkStart w:id="128" w:name="_Toc4746"/>
      <w:bookmarkStart w:id="129" w:name="_Toc31425"/>
      <w:r>
        <w:rPr>
          <w:rFonts w:hint="eastAsia" w:ascii="宋体" w:hAnsi="宋体" w:cs="宋体"/>
        </w:rPr>
        <w:t>1、运维服务内容</w:t>
      </w:r>
      <w:bookmarkEnd w:id="128"/>
      <w:bookmarkEnd w:id="129"/>
    </w:p>
    <w:p>
      <w:pPr>
        <w:spacing w:line="480" w:lineRule="exact"/>
        <w:ind w:firstLine="480" w:firstLineChars="200"/>
        <w:rPr>
          <w:rFonts w:hAnsi="宋体" w:cs="宋体"/>
          <w:szCs w:val="24"/>
        </w:rPr>
      </w:pPr>
      <w:r>
        <w:rPr>
          <w:rFonts w:hint="eastAsia" w:hAnsi="宋体" w:cs="宋体"/>
          <w:szCs w:val="24"/>
        </w:rPr>
        <w:t>本项目运维服务包含但不限于以下内容：</w:t>
      </w:r>
    </w:p>
    <w:p>
      <w:pPr>
        <w:spacing w:line="480" w:lineRule="exact"/>
        <w:ind w:firstLine="480" w:firstLineChars="200"/>
        <w:rPr>
          <w:rFonts w:hAnsi="宋体" w:cs="宋体"/>
          <w:szCs w:val="24"/>
        </w:rPr>
      </w:pPr>
      <w:r>
        <w:rPr>
          <w:rFonts w:hint="eastAsia" w:hAnsi="宋体" w:cs="宋体"/>
          <w:szCs w:val="24"/>
        </w:rPr>
        <w:t>1.1、解决因仪表、管路等问题导致的监测数据产生偏差。</w:t>
      </w:r>
    </w:p>
    <w:p>
      <w:pPr>
        <w:spacing w:line="480" w:lineRule="exact"/>
        <w:ind w:firstLine="480" w:firstLineChars="200"/>
        <w:rPr>
          <w:rFonts w:hAnsi="宋体" w:cs="宋体"/>
          <w:szCs w:val="24"/>
        </w:rPr>
      </w:pPr>
      <w:r>
        <w:rPr>
          <w:rFonts w:hint="eastAsia" w:hAnsi="宋体" w:cs="宋体"/>
          <w:szCs w:val="24"/>
        </w:rPr>
        <w:t>1.2、提供、配制并定期更换水质在线监测站仪表所需试剂（包括进口试剂），按国家危废管理法规要求，必须请有资质的第三方负责转移和处理水站的废液。</w:t>
      </w:r>
    </w:p>
    <w:p>
      <w:pPr>
        <w:spacing w:line="480" w:lineRule="exact"/>
        <w:ind w:firstLine="480" w:firstLineChars="200"/>
        <w:rPr>
          <w:rFonts w:hAnsi="宋体" w:cs="宋体"/>
          <w:szCs w:val="24"/>
        </w:rPr>
      </w:pPr>
      <w:r>
        <w:rPr>
          <w:rFonts w:hint="eastAsia" w:hAnsi="宋体" w:cs="宋体"/>
          <w:szCs w:val="24"/>
        </w:rPr>
        <w:t>1.3、提供并定期更换水质在线监测站系统和仪表所有的损耗件及备品备件（包括备品备件）。</w:t>
      </w:r>
    </w:p>
    <w:p>
      <w:pPr>
        <w:spacing w:line="480" w:lineRule="exact"/>
        <w:ind w:firstLine="480" w:firstLineChars="200"/>
        <w:rPr>
          <w:rFonts w:hAnsi="宋体" w:cs="宋体"/>
          <w:szCs w:val="24"/>
        </w:rPr>
      </w:pPr>
      <w:r>
        <w:rPr>
          <w:rFonts w:hint="eastAsia" w:hAnsi="宋体" w:cs="宋体"/>
          <w:szCs w:val="24"/>
        </w:rPr>
        <w:t>1.4、对水质在线监测站站房、系统、监测分析仪表和辅助设施进行定期检修保养，包括水质在线监测站的水、电、通讯设施、监测设施等的检修保养。</w:t>
      </w:r>
    </w:p>
    <w:p>
      <w:pPr>
        <w:spacing w:line="480" w:lineRule="exact"/>
        <w:ind w:firstLine="480" w:firstLineChars="200"/>
        <w:rPr>
          <w:rFonts w:hAnsi="宋体" w:cs="宋体"/>
          <w:szCs w:val="24"/>
        </w:rPr>
      </w:pPr>
      <w:r>
        <w:rPr>
          <w:rFonts w:hint="eastAsia" w:hAnsi="宋体" w:cs="宋体"/>
          <w:szCs w:val="24"/>
        </w:rPr>
        <w:t>1.5、及时排除水质在线监测站系统、仪表和附属设施出现的故障。</w:t>
      </w:r>
    </w:p>
    <w:p>
      <w:pPr>
        <w:spacing w:line="480" w:lineRule="exact"/>
        <w:ind w:firstLine="480" w:firstLineChars="200"/>
        <w:rPr>
          <w:rFonts w:hAnsi="宋体" w:cs="宋体"/>
          <w:szCs w:val="24"/>
        </w:rPr>
      </w:pPr>
      <w:r>
        <w:rPr>
          <w:rFonts w:hint="eastAsia" w:hAnsi="宋体" w:cs="宋体"/>
          <w:szCs w:val="24"/>
        </w:rPr>
        <w:t>1.6、对水质在线监测站仪表进行定期校准、性能测试；配合委托方核查、比对。</w:t>
      </w:r>
    </w:p>
    <w:p>
      <w:pPr>
        <w:spacing w:line="480" w:lineRule="exact"/>
        <w:ind w:firstLine="480" w:firstLineChars="200"/>
        <w:rPr>
          <w:rFonts w:hAnsi="宋体" w:cs="宋体"/>
          <w:szCs w:val="24"/>
        </w:rPr>
      </w:pPr>
      <w:r>
        <w:rPr>
          <w:rFonts w:hint="eastAsia" w:hAnsi="宋体" w:cs="宋体"/>
          <w:szCs w:val="24"/>
        </w:rPr>
        <w:t>1.7、服从相关管理规定，配合各种指令性监督性监测，完成质量保证和质量控制工作。</w:t>
      </w:r>
    </w:p>
    <w:p>
      <w:pPr>
        <w:spacing w:line="480" w:lineRule="exact"/>
        <w:ind w:firstLine="480" w:firstLineChars="200"/>
        <w:rPr>
          <w:rFonts w:hAnsi="宋体" w:cs="宋体"/>
          <w:szCs w:val="24"/>
        </w:rPr>
      </w:pPr>
      <w:r>
        <w:rPr>
          <w:rFonts w:hint="eastAsia" w:hAnsi="宋体" w:cs="宋体"/>
          <w:szCs w:val="24"/>
        </w:rPr>
        <w:t>1.8、接受委托方组织的考核。</w:t>
      </w:r>
    </w:p>
    <w:p>
      <w:pPr>
        <w:spacing w:line="480" w:lineRule="exact"/>
        <w:ind w:firstLine="480" w:firstLineChars="200"/>
        <w:rPr>
          <w:rFonts w:hAnsi="宋体" w:cs="宋体"/>
          <w:szCs w:val="24"/>
        </w:rPr>
      </w:pPr>
      <w:r>
        <w:rPr>
          <w:rFonts w:hint="eastAsia" w:hAnsi="宋体" w:cs="宋体"/>
          <w:szCs w:val="24"/>
        </w:rPr>
        <w:t>1.9、保证站房清洁，整齐。</w:t>
      </w:r>
    </w:p>
    <w:p>
      <w:pPr>
        <w:spacing w:line="480" w:lineRule="exact"/>
        <w:ind w:firstLine="480" w:firstLineChars="200"/>
        <w:rPr>
          <w:rFonts w:hAnsi="宋体" w:cs="宋体"/>
          <w:szCs w:val="24"/>
        </w:rPr>
      </w:pPr>
      <w:r>
        <w:rPr>
          <w:rFonts w:hint="eastAsia" w:hAnsi="宋体" w:cs="宋体"/>
          <w:szCs w:val="24"/>
        </w:rPr>
        <w:t>1.10、认真、及时做好维护记录，汇总各站点每周维护记录，运营维护报告每月以书面形式报委托方。</w:t>
      </w:r>
    </w:p>
    <w:p>
      <w:pPr>
        <w:spacing w:line="480" w:lineRule="exact"/>
        <w:ind w:firstLine="480" w:firstLineChars="200"/>
        <w:rPr>
          <w:rFonts w:hAnsi="宋体" w:cs="宋体"/>
          <w:szCs w:val="24"/>
        </w:rPr>
      </w:pPr>
      <w:r>
        <w:rPr>
          <w:rFonts w:hint="eastAsia" w:hAnsi="宋体" w:cs="宋体"/>
          <w:szCs w:val="24"/>
        </w:rPr>
        <w:t>1.11、制定突发事件应急预案及节假日值班安排，对突发事件迅速、及时处置。</w:t>
      </w:r>
    </w:p>
    <w:p>
      <w:pPr>
        <w:spacing w:line="480" w:lineRule="exact"/>
        <w:ind w:firstLine="480" w:firstLineChars="200"/>
        <w:rPr>
          <w:rFonts w:hAnsi="宋体" w:cs="宋体"/>
          <w:szCs w:val="24"/>
        </w:rPr>
      </w:pPr>
      <w:r>
        <w:rPr>
          <w:rFonts w:hint="eastAsia" w:hAnsi="宋体" w:cs="宋体"/>
          <w:szCs w:val="24"/>
        </w:rPr>
        <w:t>1.12、负责每天24小时监控各水质在线监测站数据，发现异常及时确认排查，特别是水质数据出现异常波动或超标的，须立即上报给委托方。</w:t>
      </w:r>
    </w:p>
    <w:p>
      <w:pPr>
        <w:spacing w:line="480" w:lineRule="exact"/>
        <w:ind w:firstLine="480" w:firstLineChars="200"/>
        <w:rPr>
          <w:rFonts w:hAnsi="宋体" w:cs="宋体"/>
          <w:szCs w:val="24"/>
        </w:rPr>
      </w:pPr>
      <w:r>
        <w:rPr>
          <w:rFonts w:hint="eastAsia" w:hAnsi="宋体" w:cs="宋体"/>
          <w:szCs w:val="24"/>
        </w:rPr>
        <w:t>1.13、委托方交办的其他相关任务。</w:t>
      </w:r>
    </w:p>
    <w:p>
      <w:pPr>
        <w:pStyle w:val="5"/>
        <w:spacing w:before="624" w:line="480" w:lineRule="exact"/>
        <w:rPr>
          <w:rFonts w:ascii="宋体" w:hAnsi="宋体" w:cs="宋体"/>
        </w:rPr>
      </w:pPr>
      <w:bookmarkStart w:id="130" w:name="_Toc6368"/>
      <w:bookmarkStart w:id="131" w:name="_Toc10845"/>
      <w:r>
        <w:rPr>
          <w:rFonts w:hint="eastAsia" w:ascii="宋体" w:hAnsi="宋体" w:cs="宋体"/>
        </w:rPr>
        <w:t>2、运维目标</w:t>
      </w:r>
      <w:bookmarkEnd w:id="130"/>
      <w:bookmarkEnd w:id="131"/>
    </w:p>
    <w:p>
      <w:pPr>
        <w:spacing w:line="480" w:lineRule="exact"/>
        <w:ind w:firstLine="480" w:firstLineChars="200"/>
        <w:rPr>
          <w:rFonts w:hAnsi="宋体" w:cs="宋体"/>
          <w:szCs w:val="24"/>
        </w:rPr>
      </w:pPr>
      <w:r>
        <w:rPr>
          <w:rFonts w:hint="eastAsia" w:hAnsi="宋体" w:cs="宋体"/>
          <w:szCs w:val="24"/>
        </w:rPr>
        <w:t>以下指标按月统计均应达标：</w:t>
      </w:r>
    </w:p>
    <w:p>
      <w:pPr>
        <w:spacing w:line="480" w:lineRule="exact"/>
        <w:ind w:firstLine="480" w:firstLineChars="200"/>
        <w:rPr>
          <w:rFonts w:hAnsi="宋体" w:cs="宋体"/>
          <w:szCs w:val="24"/>
        </w:rPr>
      </w:pPr>
      <w:r>
        <w:rPr>
          <w:rFonts w:hint="eastAsia" w:hAnsi="宋体" w:cs="宋体"/>
          <w:szCs w:val="24"/>
        </w:rPr>
        <w:t>2.1、上报率 = ∑每天上报国控水源地水质自动站数 /应报国控水源地水质自动站数  * 100%&gt;= 96%；</w:t>
      </w:r>
    </w:p>
    <w:p>
      <w:pPr>
        <w:spacing w:line="480" w:lineRule="exact"/>
        <w:ind w:firstLine="480" w:firstLineChars="200"/>
        <w:rPr>
          <w:rFonts w:hAnsi="宋体" w:cs="宋体"/>
          <w:szCs w:val="24"/>
        </w:rPr>
      </w:pPr>
      <w:r>
        <w:rPr>
          <w:rFonts w:hint="eastAsia" w:hAnsi="宋体" w:cs="宋体"/>
          <w:szCs w:val="24"/>
        </w:rPr>
        <w:t>2.2、到报率 = ∑每天上报国控水源地水质自动站监测数据条数/（每天应报国控水源地水质自动站监测数据条数* 100%）&gt;= 90%以上指标，按月进行统计、考核，均应达标。对于考核不达标的，运维期限在合同期限结束后的基础上依次顺延，即，一个月考核不达标，顺延一个月，两个月不达标，顺延两个月，依次类推。连续三个月考核不达标，甲方有权单方面终止合同，乙方赔偿相应的损失。</w:t>
      </w:r>
    </w:p>
    <w:p>
      <w:pPr>
        <w:pStyle w:val="5"/>
        <w:spacing w:before="624" w:line="480" w:lineRule="exact"/>
        <w:rPr>
          <w:rFonts w:ascii="宋体" w:hAnsi="宋体" w:cs="宋体"/>
        </w:rPr>
      </w:pPr>
      <w:bookmarkStart w:id="132" w:name="_Toc25275"/>
      <w:bookmarkStart w:id="133" w:name="_Toc6273"/>
      <w:r>
        <w:rPr>
          <w:rFonts w:hint="eastAsia" w:ascii="宋体" w:hAnsi="宋体" w:cs="宋体"/>
        </w:rPr>
        <w:t>3、运维服务要求</w:t>
      </w:r>
      <w:bookmarkEnd w:id="132"/>
      <w:bookmarkEnd w:id="133"/>
    </w:p>
    <w:p>
      <w:pPr>
        <w:spacing w:line="480" w:lineRule="exact"/>
        <w:ind w:firstLine="480" w:firstLineChars="200"/>
        <w:rPr>
          <w:rFonts w:hAnsi="宋体" w:cs="宋体"/>
          <w:szCs w:val="24"/>
        </w:rPr>
      </w:pPr>
      <w:r>
        <w:rPr>
          <w:rFonts w:hint="eastAsia" w:hAnsi="宋体" w:cs="宋体"/>
          <w:szCs w:val="24"/>
        </w:rPr>
        <w:t>运维主要包含日常巡检、故障维护、标液检查、比对实验、应急措施、档案记录等内容。</w:t>
      </w:r>
    </w:p>
    <w:p>
      <w:pPr>
        <w:spacing w:line="480" w:lineRule="exact"/>
        <w:ind w:firstLine="482" w:firstLineChars="200"/>
        <w:rPr>
          <w:rFonts w:hAnsi="宋体" w:cs="宋体"/>
          <w:b/>
          <w:szCs w:val="24"/>
        </w:rPr>
      </w:pPr>
      <w:r>
        <w:rPr>
          <w:rFonts w:hint="eastAsia" w:hAnsi="宋体" w:cs="宋体"/>
          <w:b/>
          <w:szCs w:val="24"/>
        </w:rPr>
        <w:t>3.1日常巡检</w:t>
      </w:r>
    </w:p>
    <w:p>
      <w:pPr>
        <w:spacing w:line="480" w:lineRule="exact"/>
        <w:ind w:firstLine="480" w:firstLineChars="200"/>
        <w:rPr>
          <w:rFonts w:hAnsi="宋体" w:cs="宋体"/>
          <w:szCs w:val="24"/>
        </w:rPr>
      </w:pPr>
      <w:r>
        <w:rPr>
          <w:rFonts w:hint="eastAsia" w:hAnsi="宋体" w:cs="宋体"/>
          <w:szCs w:val="24"/>
        </w:rPr>
        <w:t>日常巡检包括远程巡检、现场巡检。</w:t>
      </w:r>
    </w:p>
    <w:p>
      <w:pPr>
        <w:spacing w:line="480" w:lineRule="exact"/>
        <w:ind w:firstLine="480" w:firstLineChars="200"/>
        <w:rPr>
          <w:rFonts w:hAnsi="宋体" w:cs="宋体"/>
          <w:szCs w:val="24"/>
        </w:rPr>
      </w:pPr>
      <w:r>
        <w:rPr>
          <w:rFonts w:hint="eastAsia" w:hAnsi="宋体" w:cs="宋体"/>
          <w:szCs w:val="24"/>
        </w:rPr>
        <w:t>（1）远程巡检</w:t>
      </w:r>
    </w:p>
    <w:p>
      <w:pPr>
        <w:spacing w:line="480" w:lineRule="exact"/>
        <w:ind w:firstLine="480" w:firstLineChars="200"/>
        <w:rPr>
          <w:rFonts w:hAnsi="宋体" w:cs="宋体"/>
          <w:szCs w:val="24"/>
        </w:rPr>
      </w:pPr>
      <w:r>
        <w:rPr>
          <w:rFonts w:hint="eastAsia" w:hAnsi="宋体" w:cs="宋体"/>
          <w:szCs w:val="24"/>
        </w:rPr>
        <w:t>远程巡检，指定专人每日4次，远程查看监测站的运行情况和监测数据的变化，检查自动监测设备的运行情况，并做好值班记录。发现或判断仪器设备出现问题或故障时应及时维修和排除，并及时向甲方报告；必要时采用手工采样和实验室分析等应急补救措施。</w:t>
      </w:r>
    </w:p>
    <w:p>
      <w:pPr>
        <w:spacing w:line="480" w:lineRule="exact"/>
        <w:ind w:firstLine="480" w:firstLineChars="200"/>
        <w:rPr>
          <w:rFonts w:hAnsi="宋体" w:cs="宋体"/>
          <w:szCs w:val="24"/>
        </w:rPr>
      </w:pPr>
      <w:r>
        <w:rPr>
          <w:rFonts w:hint="eastAsia" w:hAnsi="宋体" w:cs="宋体"/>
          <w:szCs w:val="24"/>
        </w:rPr>
        <w:t>（2）现场巡检</w:t>
      </w:r>
    </w:p>
    <w:p>
      <w:pPr>
        <w:spacing w:line="480" w:lineRule="exact"/>
        <w:ind w:firstLine="480" w:firstLineChars="200"/>
        <w:rPr>
          <w:rFonts w:hAnsi="宋体" w:cs="宋体"/>
          <w:szCs w:val="24"/>
        </w:rPr>
      </w:pPr>
      <w:r>
        <w:rPr>
          <w:rFonts w:hint="eastAsia" w:hAnsi="宋体" w:cs="宋体"/>
          <w:szCs w:val="24"/>
        </w:rPr>
        <w:t>水质在线监测站现场巡检包括水站工作环境巡检和水站系统巡检。现场巡检每周至少1次。</w:t>
      </w:r>
    </w:p>
    <w:p>
      <w:pPr>
        <w:spacing w:line="480" w:lineRule="exact"/>
        <w:ind w:firstLine="480" w:firstLineChars="200"/>
        <w:rPr>
          <w:rFonts w:hAnsi="宋体" w:cs="宋体"/>
          <w:szCs w:val="24"/>
        </w:rPr>
      </w:pPr>
      <w:r>
        <w:rPr>
          <w:rFonts w:hint="eastAsia" w:hAnsi="宋体" w:cs="宋体"/>
          <w:szCs w:val="24"/>
        </w:rPr>
        <w:t>工作环境巡检内容如下：检查水站的接地线路是否正常；检查避雷设施是否正常；站房是否有漏雨现象；清除水站采水系统周围的杂草和积水；水站外围的其他设施是否异常或损坏。发现以上情况应立即处理，确保系统安全运行。</w:t>
      </w:r>
    </w:p>
    <w:p>
      <w:pPr>
        <w:spacing w:line="480" w:lineRule="exact"/>
        <w:ind w:firstLine="480" w:firstLineChars="200"/>
        <w:rPr>
          <w:rFonts w:hAnsi="宋体" w:cs="宋体"/>
          <w:szCs w:val="24"/>
        </w:rPr>
      </w:pPr>
      <w:r>
        <w:rPr>
          <w:rFonts w:hint="eastAsia" w:hAnsi="宋体" w:cs="宋体"/>
          <w:szCs w:val="24"/>
        </w:rPr>
        <w:t>水质在线监测站系统巡检：包括采水单元、配水单元、分析单元和传输单元等的巡检，巡检过程中，发现系统异常或存在潜在异常时，应立即处理，确保系统安全运行。巡检工作必须如实填写巡检记录表。</w:t>
      </w:r>
    </w:p>
    <w:p>
      <w:pPr>
        <w:spacing w:line="480" w:lineRule="exact"/>
        <w:ind w:firstLine="480" w:firstLineChars="200"/>
        <w:rPr>
          <w:rFonts w:hAnsi="宋体" w:cs="宋体"/>
          <w:szCs w:val="24"/>
        </w:rPr>
      </w:pPr>
      <w:r>
        <w:rPr>
          <w:rFonts w:hint="eastAsia" w:hAnsi="宋体" w:cs="宋体"/>
          <w:szCs w:val="24"/>
        </w:rPr>
        <w:t>A．采水单元巡检</w:t>
      </w:r>
    </w:p>
    <w:p>
      <w:pPr>
        <w:spacing w:line="480" w:lineRule="exact"/>
        <w:ind w:firstLine="480" w:firstLineChars="200"/>
        <w:rPr>
          <w:rFonts w:hAnsi="宋体" w:cs="宋体"/>
          <w:szCs w:val="24"/>
        </w:rPr>
      </w:pPr>
      <w:r>
        <w:rPr>
          <w:rFonts w:hint="eastAsia" w:hAnsi="宋体" w:cs="宋体"/>
          <w:szCs w:val="24"/>
        </w:rPr>
        <w:t>采水单元定期进行检查维护的内容见表1。</w:t>
      </w:r>
    </w:p>
    <w:p>
      <w:pPr>
        <w:spacing w:line="480" w:lineRule="exact"/>
        <w:ind w:firstLine="480" w:firstLineChars="200"/>
        <w:jc w:val="center"/>
        <w:rPr>
          <w:rFonts w:hAnsi="宋体" w:cs="宋体"/>
          <w:szCs w:val="24"/>
        </w:rPr>
      </w:pPr>
      <w:r>
        <w:rPr>
          <w:rFonts w:hint="eastAsia" w:hAnsi="宋体" w:cs="宋体"/>
          <w:szCs w:val="24"/>
        </w:rPr>
        <w:t>表1  采水单元的检查维护</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83"/>
              <w:spacing w:line="480" w:lineRule="exact"/>
              <w:jc w:val="center"/>
              <w:rPr>
                <w:rFonts w:ascii="宋体" w:hAnsi="宋体" w:cs="宋体"/>
                <w:b/>
                <w:szCs w:val="24"/>
              </w:rPr>
            </w:pPr>
            <w:r>
              <w:rPr>
                <w:rFonts w:hint="eastAsia" w:ascii="宋体" w:hAnsi="宋体" w:cs="宋体"/>
                <w:b/>
                <w:szCs w:val="24"/>
              </w:rPr>
              <w:t>维护对象</w:t>
            </w:r>
          </w:p>
        </w:tc>
        <w:tc>
          <w:tcPr>
            <w:tcW w:w="7702" w:type="dxa"/>
            <w:vAlign w:val="center"/>
          </w:tcPr>
          <w:p>
            <w:pPr>
              <w:pStyle w:val="183"/>
              <w:spacing w:line="480" w:lineRule="exact"/>
              <w:jc w:val="center"/>
              <w:rPr>
                <w:rFonts w:ascii="宋体" w:hAnsi="宋体" w:cs="宋体"/>
                <w:b/>
                <w:szCs w:val="24"/>
              </w:rPr>
            </w:pPr>
            <w:r>
              <w:rPr>
                <w:rFonts w:hint="eastAsia" w:ascii="宋体" w:hAnsi="宋体" w:cs="宋体"/>
                <w:b/>
                <w:szCs w:val="24"/>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83"/>
              <w:spacing w:line="480" w:lineRule="exact"/>
              <w:jc w:val="center"/>
              <w:rPr>
                <w:rFonts w:ascii="宋体" w:hAnsi="宋体" w:cs="宋体"/>
                <w:szCs w:val="24"/>
              </w:rPr>
            </w:pPr>
            <w:r>
              <w:rPr>
                <w:rFonts w:hint="eastAsia" w:ascii="宋体" w:hAnsi="宋体" w:cs="宋体"/>
                <w:szCs w:val="24"/>
              </w:rPr>
              <w:t>采水浮球</w:t>
            </w:r>
          </w:p>
        </w:tc>
        <w:tc>
          <w:tcPr>
            <w:tcW w:w="7702" w:type="dxa"/>
            <w:vAlign w:val="center"/>
          </w:tcPr>
          <w:p>
            <w:pPr>
              <w:pStyle w:val="183"/>
              <w:spacing w:line="480" w:lineRule="exact"/>
              <w:rPr>
                <w:rFonts w:ascii="宋体" w:hAnsi="宋体" w:cs="宋体"/>
                <w:szCs w:val="24"/>
              </w:rPr>
            </w:pPr>
            <w:r>
              <w:rPr>
                <w:rFonts w:hint="eastAsia" w:ascii="宋体" w:hAnsi="宋体" w:cs="宋体"/>
                <w:szCs w:val="24"/>
              </w:rPr>
              <w:t>检查浮筒固定情况。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83"/>
              <w:spacing w:line="480" w:lineRule="exact"/>
              <w:jc w:val="center"/>
              <w:rPr>
                <w:rFonts w:ascii="宋体" w:hAnsi="宋体" w:cs="宋体"/>
                <w:szCs w:val="24"/>
              </w:rPr>
            </w:pPr>
            <w:r>
              <w:rPr>
                <w:rFonts w:hint="eastAsia" w:ascii="宋体" w:hAnsi="宋体" w:cs="宋体"/>
                <w:szCs w:val="24"/>
              </w:rPr>
              <w:t>过滤网</w:t>
            </w:r>
          </w:p>
        </w:tc>
        <w:tc>
          <w:tcPr>
            <w:tcW w:w="7702" w:type="dxa"/>
            <w:vAlign w:val="center"/>
          </w:tcPr>
          <w:p>
            <w:pPr>
              <w:pStyle w:val="183"/>
              <w:spacing w:line="480" w:lineRule="exact"/>
              <w:rPr>
                <w:rFonts w:ascii="宋体" w:hAnsi="宋体" w:cs="宋体"/>
                <w:szCs w:val="24"/>
              </w:rPr>
            </w:pPr>
            <w:r>
              <w:rPr>
                <w:rFonts w:hint="eastAsia" w:ascii="宋体" w:hAnsi="宋体" w:cs="宋体"/>
                <w:szCs w:val="24"/>
              </w:rPr>
              <w:t>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4" w:type="dxa"/>
            <w:vAlign w:val="center"/>
          </w:tcPr>
          <w:p>
            <w:pPr>
              <w:pStyle w:val="183"/>
              <w:spacing w:line="480" w:lineRule="exact"/>
              <w:jc w:val="center"/>
              <w:rPr>
                <w:rFonts w:ascii="宋体" w:hAnsi="宋体" w:cs="宋体"/>
                <w:szCs w:val="24"/>
              </w:rPr>
            </w:pPr>
            <w:r>
              <w:rPr>
                <w:rFonts w:hint="eastAsia" w:ascii="宋体" w:hAnsi="宋体" w:cs="宋体"/>
                <w:szCs w:val="24"/>
              </w:rPr>
              <w:t>潜水泵</w:t>
            </w:r>
          </w:p>
        </w:tc>
        <w:tc>
          <w:tcPr>
            <w:tcW w:w="7702" w:type="dxa"/>
            <w:vAlign w:val="center"/>
          </w:tcPr>
          <w:p>
            <w:pPr>
              <w:pStyle w:val="183"/>
              <w:spacing w:line="480" w:lineRule="exact"/>
              <w:rPr>
                <w:rFonts w:ascii="宋体" w:hAnsi="宋体" w:cs="宋体"/>
                <w:szCs w:val="24"/>
              </w:rPr>
            </w:pPr>
            <w:r>
              <w:rPr>
                <w:rFonts w:hint="eastAsia" w:ascii="宋体" w:hAnsi="宋体" w:cs="宋体"/>
                <w:szCs w:val="24"/>
              </w:rPr>
              <w:t>清洗泵体、吊桶。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83"/>
              <w:spacing w:line="480" w:lineRule="exact"/>
              <w:jc w:val="center"/>
              <w:rPr>
                <w:rFonts w:ascii="宋体" w:hAnsi="宋体" w:cs="宋体"/>
                <w:szCs w:val="24"/>
              </w:rPr>
            </w:pPr>
            <w:r>
              <w:rPr>
                <w:rFonts w:hint="eastAsia" w:ascii="宋体" w:hAnsi="宋体" w:cs="宋体"/>
                <w:szCs w:val="24"/>
              </w:rPr>
              <w:t>取水管路（主要为河道中）</w:t>
            </w:r>
          </w:p>
        </w:tc>
        <w:tc>
          <w:tcPr>
            <w:tcW w:w="7702" w:type="dxa"/>
            <w:vAlign w:val="center"/>
          </w:tcPr>
          <w:p>
            <w:pPr>
              <w:pStyle w:val="183"/>
              <w:spacing w:line="480" w:lineRule="exact"/>
              <w:rPr>
                <w:rFonts w:ascii="宋体" w:hAnsi="宋体" w:cs="宋体"/>
                <w:szCs w:val="24"/>
              </w:rPr>
            </w:pPr>
            <w:r>
              <w:rPr>
                <w:rFonts w:hint="eastAsia" w:ascii="宋体" w:hAnsi="宋体" w:cs="宋体"/>
                <w:szCs w:val="24"/>
              </w:rPr>
              <w:t>①检查是否出现打折现象，是否畅通；</w:t>
            </w:r>
          </w:p>
          <w:p>
            <w:pPr>
              <w:pStyle w:val="183"/>
              <w:spacing w:line="480" w:lineRule="exact"/>
              <w:rPr>
                <w:rFonts w:ascii="宋体" w:hAnsi="宋体" w:cs="宋体"/>
                <w:szCs w:val="24"/>
              </w:rPr>
            </w:pPr>
            <w:r>
              <w:rPr>
                <w:rFonts w:hint="eastAsia" w:ascii="宋体" w:hAnsi="宋体" w:cs="宋体"/>
                <w:szCs w:val="24"/>
              </w:rPr>
              <w:t>②清理管路周边杂物，在泥沙含量大或藻类密集的水体断面应视情况进行人工清洗。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83"/>
              <w:spacing w:line="480" w:lineRule="exact"/>
              <w:jc w:val="center"/>
              <w:rPr>
                <w:rFonts w:ascii="宋体" w:hAnsi="宋体" w:cs="宋体"/>
                <w:szCs w:val="24"/>
              </w:rPr>
            </w:pPr>
            <w:r>
              <w:rPr>
                <w:rFonts w:hint="eastAsia" w:ascii="宋体" w:hAnsi="宋体" w:cs="宋体"/>
                <w:szCs w:val="24"/>
              </w:rPr>
              <w:t>水泵</w:t>
            </w:r>
          </w:p>
        </w:tc>
        <w:tc>
          <w:tcPr>
            <w:tcW w:w="7702" w:type="dxa"/>
            <w:vAlign w:val="center"/>
          </w:tcPr>
          <w:p>
            <w:pPr>
              <w:pStyle w:val="183"/>
              <w:spacing w:line="480" w:lineRule="exact"/>
              <w:rPr>
                <w:rFonts w:ascii="宋体" w:hAnsi="宋体" w:cs="宋体"/>
                <w:szCs w:val="24"/>
              </w:rPr>
            </w:pPr>
            <w:r>
              <w:rPr>
                <w:rFonts w:hint="eastAsia" w:ascii="宋体" w:hAnsi="宋体" w:cs="宋体"/>
                <w:szCs w:val="24"/>
              </w:rPr>
              <w:t>由专业人员维护维修或更换取水泵。</w:t>
            </w:r>
          </w:p>
        </w:tc>
      </w:tr>
    </w:tbl>
    <w:p>
      <w:pPr>
        <w:spacing w:line="480" w:lineRule="exact"/>
        <w:ind w:firstLine="640"/>
        <w:rPr>
          <w:rFonts w:hAnsi="宋体" w:cs="宋体"/>
          <w:szCs w:val="24"/>
        </w:rPr>
      </w:pPr>
    </w:p>
    <w:p>
      <w:pPr>
        <w:spacing w:line="480" w:lineRule="exact"/>
        <w:ind w:firstLine="640"/>
        <w:rPr>
          <w:rFonts w:hAnsi="宋体" w:cs="宋体"/>
          <w:szCs w:val="24"/>
        </w:rPr>
      </w:pPr>
      <w:r>
        <w:rPr>
          <w:rFonts w:hint="eastAsia" w:hAnsi="宋体" w:cs="宋体"/>
          <w:szCs w:val="24"/>
        </w:rPr>
        <w:t>B．配水单元巡检</w:t>
      </w:r>
    </w:p>
    <w:p>
      <w:pPr>
        <w:spacing w:line="480" w:lineRule="exact"/>
        <w:ind w:firstLine="640"/>
        <w:rPr>
          <w:rFonts w:hAnsi="宋体" w:cs="宋体"/>
          <w:szCs w:val="24"/>
        </w:rPr>
      </w:pPr>
      <w:r>
        <w:rPr>
          <w:rFonts w:hint="eastAsia" w:hAnsi="宋体" w:cs="宋体"/>
          <w:szCs w:val="24"/>
        </w:rPr>
        <w:t>配水单元定期进行检查维护的对象及内容见表2。</w:t>
      </w:r>
    </w:p>
    <w:p>
      <w:pPr>
        <w:spacing w:line="480" w:lineRule="exact"/>
        <w:ind w:firstLine="480" w:firstLineChars="200"/>
        <w:jc w:val="center"/>
        <w:rPr>
          <w:rFonts w:hAnsi="宋体" w:cs="宋体"/>
          <w:szCs w:val="24"/>
        </w:rPr>
      </w:pPr>
    </w:p>
    <w:p>
      <w:pPr>
        <w:spacing w:line="480" w:lineRule="exact"/>
        <w:ind w:firstLine="480" w:firstLineChars="200"/>
        <w:jc w:val="center"/>
        <w:rPr>
          <w:rFonts w:hAnsi="宋体" w:cs="宋体"/>
          <w:szCs w:val="24"/>
        </w:rPr>
      </w:pPr>
      <w:r>
        <w:rPr>
          <w:rFonts w:hint="eastAsia" w:hAnsi="宋体" w:cs="宋体"/>
          <w:szCs w:val="24"/>
        </w:rPr>
        <w:t>表2  配水单元检查维护内容</w:t>
      </w:r>
    </w:p>
    <w:tbl>
      <w:tblPr>
        <w:tblStyle w:val="4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6"/>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6" w:type="dxa"/>
            <w:vAlign w:val="center"/>
          </w:tcPr>
          <w:p>
            <w:pPr>
              <w:pStyle w:val="183"/>
              <w:spacing w:line="480" w:lineRule="exact"/>
              <w:jc w:val="center"/>
              <w:rPr>
                <w:rFonts w:ascii="宋体" w:hAnsi="宋体" w:cs="宋体"/>
                <w:b/>
                <w:szCs w:val="24"/>
              </w:rPr>
            </w:pPr>
            <w:r>
              <w:rPr>
                <w:rFonts w:hint="eastAsia" w:ascii="宋体" w:hAnsi="宋体" w:cs="宋体"/>
                <w:b/>
                <w:szCs w:val="24"/>
              </w:rPr>
              <w:t>维护对象</w:t>
            </w:r>
          </w:p>
        </w:tc>
        <w:tc>
          <w:tcPr>
            <w:tcW w:w="5690" w:type="dxa"/>
            <w:vAlign w:val="center"/>
          </w:tcPr>
          <w:p>
            <w:pPr>
              <w:pStyle w:val="183"/>
              <w:spacing w:line="480" w:lineRule="exact"/>
              <w:jc w:val="center"/>
              <w:rPr>
                <w:rFonts w:ascii="宋体" w:hAnsi="宋体" w:cs="宋体"/>
                <w:b/>
                <w:szCs w:val="24"/>
              </w:rPr>
            </w:pPr>
            <w:r>
              <w:rPr>
                <w:rFonts w:hint="eastAsia" w:ascii="宋体" w:hAnsi="宋体" w:cs="宋体"/>
                <w:b/>
                <w:szCs w:val="24"/>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6" w:type="dxa"/>
            <w:vAlign w:val="center"/>
          </w:tcPr>
          <w:p>
            <w:pPr>
              <w:pStyle w:val="183"/>
              <w:spacing w:line="480" w:lineRule="exact"/>
              <w:jc w:val="center"/>
              <w:rPr>
                <w:rFonts w:ascii="宋体" w:hAnsi="宋体" w:cs="宋体"/>
                <w:szCs w:val="24"/>
              </w:rPr>
            </w:pPr>
            <w:r>
              <w:rPr>
                <w:rFonts w:hint="eastAsia" w:ascii="宋体" w:hAnsi="宋体" w:cs="宋体"/>
                <w:szCs w:val="24"/>
              </w:rPr>
              <w:t>气泵和清水增压泵</w:t>
            </w:r>
          </w:p>
        </w:tc>
        <w:tc>
          <w:tcPr>
            <w:tcW w:w="5690" w:type="dxa"/>
            <w:vAlign w:val="center"/>
          </w:tcPr>
          <w:p>
            <w:pPr>
              <w:pStyle w:val="183"/>
              <w:spacing w:line="480" w:lineRule="exact"/>
              <w:rPr>
                <w:rFonts w:ascii="宋体" w:hAnsi="宋体" w:cs="宋体"/>
                <w:szCs w:val="24"/>
              </w:rPr>
            </w:pPr>
            <w:r>
              <w:rPr>
                <w:rFonts w:hint="eastAsia" w:ascii="宋体" w:hAnsi="宋体" w:cs="宋体"/>
                <w:szCs w:val="24"/>
              </w:rPr>
              <w:t>检查气泵和清水增加泵工作状况。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6" w:type="dxa"/>
            <w:vAlign w:val="center"/>
          </w:tcPr>
          <w:p>
            <w:pPr>
              <w:pStyle w:val="183"/>
              <w:spacing w:line="480" w:lineRule="exact"/>
              <w:jc w:val="center"/>
              <w:rPr>
                <w:rFonts w:ascii="宋体" w:hAnsi="宋体" w:cs="宋体"/>
                <w:szCs w:val="24"/>
              </w:rPr>
            </w:pPr>
            <w:r>
              <w:rPr>
                <w:rFonts w:hint="eastAsia" w:ascii="宋体" w:hAnsi="宋体" w:cs="宋体"/>
                <w:szCs w:val="24"/>
              </w:rPr>
              <w:t>各水泵</w:t>
            </w:r>
          </w:p>
        </w:tc>
        <w:tc>
          <w:tcPr>
            <w:tcW w:w="5690" w:type="dxa"/>
            <w:vAlign w:val="center"/>
          </w:tcPr>
          <w:p>
            <w:pPr>
              <w:pStyle w:val="183"/>
              <w:spacing w:line="480" w:lineRule="exact"/>
              <w:rPr>
                <w:rFonts w:ascii="宋体" w:hAnsi="宋体" w:cs="宋体"/>
                <w:szCs w:val="24"/>
              </w:rPr>
            </w:pPr>
            <w:r>
              <w:rPr>
                <w:rFonts w:hint="eastAsia" w:ascii="宋体" w:hAnsi="宋体" w:cs="宋体"/>
                <w:szCs w:val="24"/>
              </w:rPr>
              <w:t>通过管道的压力变送器检查各水泵是否能够达到原设计供水量、供水压力等。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96" w:type="dxa"/>
            <w:vAlign w:val="center"/>
          </w:tcPr>
          <w:p>
            <w:pPr>
              <w:pStyle w:val="183"/>
              <w:spacing w:line="480" w:lineRule="exact"/>
              <w:jc w:val="center"/>
              <w:rPr>
                <w:rFonts w:ascii="宋体" w:hAnsi="宋体" w:cs="宋体"/>
                <w:szCs w:val="24"/>
              </w:rPr>
            </w:pPr>
            <w:r>
              <w:rPr>
                <w:rFonts w:hint="eastAsia" w:ascii="宋体" w:hAnsi="宋体" w:cs="宋体"/>
                <w:szCs w:val="24"/>
              </w:rPr>
              <w:t>仪器采样适配器，包括过滤头、水杯和进样管等</w:t>
            </w:r>
          </w:p>
        </w:tc>
        <w:tc>
          <w:tcPr>
            <w:tcW w:w="5690" w:type="dxa"/>
            <w:vAlign w:val="center"/>
          </w:tcPr>
          <w:p>
            <w:pPr>
              <w:pStyle w:val="183"/>
              <w:spacing w:line="480" w:lineRule="exact"/>
              <w:rPr>
                <w:rFonts w:ascii="宋体" w:hAnsi="宋体" w:cs="宋体"/>
                <w:szCs w:val="24"/>
              </w:rPr>
            </w:pPr>
            <w:r>
              <w:rPr>
                <w:rFonts w:hint="eastAsia" w:ascii="宋体" w:hAnsi="宋体" w:cs="宋体"/>
                <w:szCs w:val="24"/>
              </w:rPr>
              <w:t>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6" w:type="dxa"/>
            <w:vAlign w:val="center"/>
          </w:tcPr>
          <w:p>
            <w:pPr>
              <w:pStyle w:val="183"/>
              <w:spacing w:line="480" w:lineRule="exact"/>
              <w:jc w:val="center"/>
              <w:rPr>
                <w:rFonts w:ascii="宋体" w:hAnsi="宋体" w:cs="宋体"/>
                <w:szCs w:val="24"/>
              </w:rPr>
            </w:pPr>
            <w:r>
              <w:rPr>
                <w:rFonts w:hint="eastAsia" w:ascii="宋体" w:hAnsi="宋体" w:cs="宋体"/>
                <w:szCs w:val="24"/>
              </w:rPr>
              <w:t>配水管路</w:t>
            </w:r>
          </w:p>
        </w:tc>
        <w:tc>
          <w:tcPr>
            <w:tcW w:w="5690" w:type="dxa"/>
            <w:vAlign w:val="center"/>
          </w:tcPr>
          <w:p>
            <w:pPr>
              <w:pStyle w:val="183"/>
              <w:spacing w:line="480" w:lineRule="exact"/>
              <w:rPr>
                <w:rFonts w:ascii="宋体" w:hAnsi="宋体" w:cs="宋体"/>
                <w:szCs w:val="24"/>
              </w:rPr>
            </w:pPr>
            <w:r>
              <w:rPr>
                <w:rFonts w:hint="eastAsia" w:ascii="宋体" w:hAnsi="宋体" w:cs="宋体"/>
                <w:szCs w:val="24"/>
              </w:rPr>
              <w:t>①检查是否有滴漏现象；</w:t>
            </w:r>
          </w:p>
          <w:p>
            <w:pPr>
              <w:pStyle w:val="183"/>
              <w:spacing w:line="480" w:lineRule="exact"/>
              <w:rPr>
                <w:rFonts w:ascii="宋体" w:hAnsi="宋体" w:cs="宋体"/>
                <w:szCs w:val="24"/>
              </w:rPr>
            </w:pPr>
            <w:r>
              <w:rPr>
                <w:rFonts w:hint="eastAsia" w:ascii="宋体" w:hAnsi="宋体" w:cs="宋体"/>
                <w:szCs w:val="24"/>
              </w:rPr>
              <w:t>②根据样品污染情况进行清洗。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6" w:type="dxa"/>
            <w:vAlign w:val="center"/>
          </w:tcPr>
          <w:p>
            <w:pPr>
              <w:pStyle w:val="183"/>
              <w:spacing w:line="480" w:lineRule="exact"/>
              <w:jc w:val="center"/>
              <w:rPr>
                <w:rFonts w:ascii="宋体" w:hAnsi="宋体" w:cs="宋体"/>
                <w:szCs w:val="24"/>
              </w:rPr>
            </w:pPr>
            <w:r>
              <w:rPr>
                <w:rFonts w:hint="eastAsia" w:ascii="宋体" w:hAnsi="宋体" w:cs="宋体"/>
                <w:szCs w:val="24"/>
              </w:rPr>
              <w:t>各电动球阀</w:t>
            </w:r>
          </w:p>
        </w:tc>
        <w:tc>
          <w:tcPr>
            <w:tcW w:w="5690" w:type="dxa"/>
            <w:vAlign w:val="center"/>
          </w:tcPr>
          <w:p>
            <w:pPr>
              <w:pStyle w:val="183"/>
              <w:spacing w:line="480" w:lineRule="exact"/>
              <w:rPr>
                <w:rFonts w:ascii="宋体" w:hAnsi="宋体" w:cs="宋体"/>
                <w:szCs w:val="24"/>
              </w:rPr>
            </w:pPr>
            <w:r>
              <w:rPr>
                <w:rFonts w:hint="eastAsia" w:ascii="宋体" w:hAnsi="宋体" w:cs="宋体"/>
                <w:szCs w:val="24"/>
              </w:rPr>
              <w:t>开关 2～3 次配水管路中的所有手动球阀（必须在不影响系统的运行的前提下，或者关闭系统），清除阀内杂物，防止损坏阀体，防止堵塞，并清洗阀体。</w:t>
            </w:r>
          </w:p>
        </w:tc>
      </w:tr>
    </w:tbl>
    <w:p>
      <w:pPr>
        <w:spacing w:line="480" w:lineRule="exact"/>
        <w:ind w:firstLine="640"/>
        <w:rPr>
          <w:rFonts w:hAnsi="宋体" w:cs="宋体"/>
          <w:szCs w:val="24"/>
        </w:rPr>
      </w:pPr>
    </w:p>
    <w:p>
      <w:pPr>
        <w:spacing w:line="480" w:lineRule="exact"/>
        <w:ind w:firstLine="480" w:firstLineChars="200"/>
        <w:rPr>
          <w:rFonts w:hAnsi="宋体" w:cs="宋体"/>
          <w:szCs w:val="24"/>
        </w:rPr>
      </w:pPr>
      <w:r>
        <w:rPr>
          <w:rFonts w:hint="eastAsia" w:hAnsi="宋体" w:cs="宋体"/>
          <w:szCs w:val="24"/>
        </w:rPr>
        <w:t>C．监测单元巡检</w:t>
      </w:r>
    </w:p>
    <w:p>
      <w:pPr>
        <w:spacing w:line="480" w:lineRule="exact"/>
        <w:ind w:firstLine="480" w:firstLineChars="200"/>
        <w:rPr>
          <w:rFonts w:hAnsi="宋体" w:cs="宋体"/>
          <w:szCs w:val="24"/>
        </w:rPr>
      </w:pPr>
      <w:r>
        <w:rPr>
          <w:rFonts w:hint="eastAsia" w:hAnsi="宋体" w:cs="宋体"/>
          <w:szCs w:val="24"/>
        </w:rPr>
        <w:t>监测单元定期巡检的内容包括：</w:t>
      </w:r>
    </w:p>
    <w:p>
      <w:pPr>
        <w:spacing w:line="480" w:lineRule="exact"/>
        <w:ind w:firstLine="480" w:firstLineChars="200"/>
        <w:rPr>
          <w:rFonts w:hAnsi="宋体" w:cs="宋体"/>
          <w:szCs w:val="24"/>
        </w:rPr>
      </w:pPr>
      <w:r>
        <w:rPr>
          <w:rFonts w:hint="eastAsia" w:hAnsi="宋体" w:cs="宋体"/>
          <w:szCs w:val="24"/>
        </w:rPr>
        <w:t>a．水质多参数分析仪</w:t>
      </w:r>
    </w:p>
    <w:p>
      <w:pPr>
        <w:spacing w:line="480" w:lineRule="exact"/>
        <w:ind w:firstLine="480" w:firstLineChars="200"/>
        <w:rPr>
          <w:rFonts w:hAnsi="宋体" w:cs="宋体"/>
          <w:szCs w:val="24"/>
        </w:rPr>
      </w:pPr>
      <w:r>
        <w:rPr>
          <w:rFonts w:hint="eastAsia" w:hAnsi="宋体" w:cs="宋体"/>
          <w:szCs w:val="24"/>
        </w:rPr>
        <w:t>高锰酸盐、氨氮、浊度、电导率、PH、水温、溶解氧</w:t>
      </w:r>
    </w:p>
    <w:p>
      <w:pPr>
        <w:spacing w:line="480" w:lineRule="exact"/>
        <w:ind w:firstLine="480" w:firstLineChars="200"/>
        <w:rPr>
          <w:rFonts w:hAnsi="宋体" w:cs="宋体"/>
          <w:szCs w:val="24"/>
        </w:rPr>
      </w:pPr>
      <w:r>
        <w:rPr>
          <w:rFonts w:hint="eastAsia" w:hAnsi="宋体" w:cs="宋体"/>
          <w:szCs w:val="24"/>
        </w:rPr>
        <w:t>清洗探头，每月至少1次。</w:t>
      </w:r>
    </w:p>
    <w:p>
      <w:pPr>
        <w:spacing w:line="480" w:lineRule="exact"/>
        <w:ind w:firstLine="480" w:firstLineChars="200"/>
        <w:rPr>
          <w:rFonts w:hAnsi="宋体" w:cs="宋体"/>
          <w:szCs w:val="24"/>
        </w:rPr>
      </w:pPr>
      <w:r>
        <w:rPr>
          <w:rFonts w:hint="eastAsia" w:hAnsi="宋体" w:cs="宋体"/>
          <w:szCs w:val="24"/>
        </w:rPr>
        <w:t>b．总磷</w:t>
      </w:r>
    </w:p>
    <w:p>
      <w:pPr>
        <w:spacing w:line="480" w:lineRule="exact"/>
        <w:ind w:firstLine="480" w:firstLineChars="200"/>
        <w:rPr>
          <w:rFonts w:hAnsi="宋体" w:cs="宋体"/>
          <w:szCs w:val="24"/>
        </w:rPr>
      </w:pPr>
      <w:r>
        <w:rPr>
          <w:rFonts w:hint="eastAsia" w:hAnsi="宋体" w:cs="宋体"/>
          <w:szCs w:val="24"/>
        </w:rPr>
        <w:t>每月至少1次清洗管路和液体计量器、加热分解槽、冷却反应槽、吸收池等部件；检查、清洗仪器管路；定期更换泵管；检查仪器的运行状态参数，发现偏离原设定值时，及时分析产生偏离的原因并进行处理，确保监测单元正常运行。</w:t>
      </w:r>
    </w:p>
    <w:p>
      <w:pPr>
        <w:spacing w:line="480" w:lineRule="exact"/>
        <w:ind w:firstLine="480" w:firstLineChars="200"/>
        <w:rPr>
          <w:rFonts w:hAnsi="宋体" w:cs="宋体"/>
          <w:szCs w:val="24"/>
        </w:rPr>
      </w:pPr>
      <w:r>
        <w:rPr>
          <w:rFonts w:hint="eastAsia" w:hAnsi="宋体" w:cs="宋体"/>
          <w:szCs w:val="24"/>
        </w:rPr>
        <w:t>c．总氮</w:t>
      </w:r>
    </w:p>
    <w:p>
      <w:pPr>
        <w:spacing w:line="480" w:lineRule="exact"/>
        <w:ind w:firstLine="480" w:firstLineChars="200"/>
        <w:rPr>
          <w:rFonts w:hAnsi="宋体" w:cs="宋体"/>
          <w:szCs w:val="24"/>
        </w:rPr>
      </w:pPr>
      <w:r>
        <w:rPr>
          <w:rFonts w:hint="eastAsia" w:hAnsi="宋体" w:cs="宋体"/>
          <w:szCs w:val="24"/>
        </w:rPr>
        <w:t>每月至少1次清洗管路和液体计量器、加热分解槽、冷却反应槽、吸收池等部件；检查、清洗仪器管路；定期更换泵管；检查仪器的运行状态参数，发现偏离原设定值时，及时分析产生偏离的原因并进行处理，确保监测单元正常运行。</w:t>
      </w:r>
    </w:p>
    <w:p>
      <w:pPr>
        <w:spacing w:line="480" w:lineRule="exact"/>
        <w:ind w:firstLine="480" w:firstLineChars="200"/>
        <w:rPr>
          <w:rFonts w:hAnsi="宋体" w:cs="宋体"/>
          <w:szCs w:val="24"/>
        </w:rPr>
      </w:pPr>
      <w:r>
        <w:rPr>
          <w:rFonts w:hint="eastAsia" w:hAnsi="宋体" w:cs="宋体"/>
          <w:szCs w:val="24"/>
        </w:rPr>
        <w:t>D．辅助设备</w:t>
      </w:r>
    </w:p>
    <w:p>
      <w:pPr>
        <w:spacing w:line="480" w:lineRule="exact"/>
        <w:ind w:firstLine="480" w:firstLineChars="200"/>
        <w:rPr>
          <w:rFonts w:hAnsi="宋体" w:cs="宋体"/>
          <w:szCs w:val="24"/>
        </w:rPr>
      </w:pPr>
      <w:r>
        <w:rPr>
          <w:rFonts w:hint="eastAsia" w:hAnsi="宋体" w:cs="宋体"/>
          <w:szCs w:val="24"/>
        </w:rPr>
        <w:t>辅助设备定期检查的内容见表3。</w:t>
      </w:r>
    </w:p>
    <w:p>
      <w:pPr>
        <w:spacing w:line="480" w:lineRule="exact"/>
        <w:ind w:firstLine="480" w:firstLineChars="200"/>
        <w:jc w:val="center"/>
        <w:rPr>
          <w:rFonts w:hAnsi="宋体" w:cs="宋体"/>
          <w:szCs w:val="24"/>
        </w:rPr>
      </w:pPr>
      <w:r>
        <w:rPr>
          <w:rFonts w:hint="eastAsia" w:hAnsi="宋体" w:cs="宋体"/>
          <w:szCs w:val="24"/>
        </w:rPr>
        <w:t>表3 辅助设备检查主要内容</w:t>
      </w:r>
    </w:p>
    <w:tbl>
      <w:tblPr>
        <w:tblStyle w:val="4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558" w:type="dxa"/>
            <w:vAlign w:val="center"/>
          </w:tcPr>
          <w:p>
            <w:pPr>
              <w:snapToGrid w:val="0"/>
              <w:spacing w:line="480" w:lineRule="exact"/>
              <w:jc w:val="center"/>
              <w:rPr>
                <w:rFonts w:hAnsi="宋体" w:cs="宋体"/>
                <w:b/>
                <w:szCs w:val="24"/>
              </w:rPr>
            </w:pPr>
            <w:r>
              <w:rPr>
                <w:rFonts w:hint="eastAsia" w:hAnsi="宋体" w:cs="宋体"/>
                <w:b/>
                <w:szCs w:val="24"/>
              </w:rPr>
              <w:t>维护对象</w:t>
            </w:r>
          </w:p>
        </w:tc>
        <w:tc>
          <w:tcPr>
            <w:tcW w:w="7921" w:type="dxa"/>
            <w:vAlign w:val="center"/>
          </w:tcPr>
          <w:p>
            <w:pPr>
              <w:snapToGrid w:val="0"/>
              <w:spacing w:line="480" w:lineRule="exact"/>
              <w:jc w:val="center"/>
              <w:rPr>
                <w:rFonts w:hAnsi="宋体" w:cs="宋体"/>
                <w:b/>
                <w:szCs w:val="24"/>
              </w:rPr>
            </w:pPr>
            <w:r>
              <w:rPr>
                <w:rFonts w:hint="eastAsia" w:hAnsi="宋体" w:cs="宋体"/>
                <w:b/>
                <w:szCs w:val="24"/>
              </w:rPr>
              <w:t>检查维护内容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558" w:type="dxa"/>
            <w:vAlign w:val="center"/>
          </w:tcPr>
          <w:p>
            <w:pPr>
              <w:snapToGrid w:val="0"/>
              <w:spacing w:line="480" w:lineRule="exact"/>
              <w:jc w:val="center"/>
              <w:rPr>
                <w:rFonts w:hAnsi="宋体" w:cs="宋体"/>
                <w:szCs w:val="24"/>
              </w:rPr>
            </w:pPr>
            <w:r>
              <w:rPr>
                <w:rFonts w:hint="eastAsia" w:hAnsi="宋体" w:cs="宋体"/>
                <w:szCs w:val="24"/>
              </w:rPr>
              <w:t>空气压缩机</w:t>
            </w:r>
          </w:p>
        </w:tc>
        <w:tc>
          <w:tcPr>
            <w:tcW w:w="7921" w:type="dxa"/>
            <w:vAlign w:val="center"/>
          </w:tcPr>
          <w:p>
            <w:pPr>
              <w:snapToGrid w:val="0"/>
              <w:spacing w:line="480" w:lineRule="exact"/>
              <w:jc w:val="center"/>
              <w:rPr>
                <w:rFonts w:hAnsi="宋体" w:cs="宋体"/>
                <w:szCs w:val="24"/>
              </w:rPr>
            </w:pPr>
            <w:r>
              <w:rPr>
                <w:rFonts w:hint="eastAsia" w:hAnsi="宋体" w:cs="宋体"/>
                <w:szCs w:val="24"/>
              </w:rPr>
              <w:t>空气过滤器放水，检查气泵和清水增压泵的工作状况，根据其使用情况进行维护。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558" w:type="dxa"/>
            <w:vAlign w:val="center"/>
          </w:tcPr>
          <w:p>
            <w:pPr>
              <w:snapToGrid w:val="0"/>
              <w:spacing w:line="480" w:lineRule="exact"/>
              <w:jc w:val="center"/>
              <w:rPr>
                <w:rFonts w:hAnsi="宋体" w:cs="宋体"/>
                <w:szCs w:val="24"/>
              </w:rPr>
            </w:pPr>
            <w:r>
              <w:rPr>
                <w:rFonts w:hint="eastAsia" w:hAnsi="宋体" w:cs="宋体"/>
                <w:szCs w:val="24"/>
              </w:rPr>
              <w:t>稳压电源</w:t>
            </w:r>
          </w:p>
        </w:tc>
        <w:tc>
          <w:tcPr>
            <w:tcW w:w="7921" w:type="dxa"/>
            <w:vAlign w:val="center"/>
          </w:tcPr>
          <w:p>
            <w:pPr>
              <w:snapToGrid w:val="0"/>
              <w:spacing w:line="480" w:lineRule="exact"/>
              <w:jc w:val="center"/>
              <w:rPr>
                <w:rFonts w:hAnsi="宋体" w:cs="宋体"/>
                <w:szCs w:val="24"/>
              </w:rPr>
            </w:pPr>
            <w:r>
              <w:rPr>
                <w:rFonts w:hint="eastAsia" w:hAnsi="宋体" w:cs="宋体"/>
                <w:szCs w:val="24"/>
              </w:rPr>
              <w:t>定期维护碳刷式电源内部的碳刷和继电器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8" w:type="dxa"/>
            <w:vAlign w:val="center"/>
          </w:tcPr>
          <w:p>
            <w:pPr>
              <w:snapToGrid w:val="0"/>
              <w:spacing w:line="480" w:lineRule="exact"/>
              <w:jc w:val="center"/>
              <w:rPr>
                <w:rFonts w:hAnsi="宋体" w:cs="宋体"/>
                <w:szCs w:val="24"/>
              </w:rPr>
            </w:pPr>
            <w:r>
              <w:rPr>
                <w:rFonts w:hint="eastAsia" w:hAnsi="宋体" w:cs="宋体"/>
                <w:szCs w:val="24"/>
              </w:rPr>
              <w:t>防雷设施</w:t>
            </w:r>
          </w:p>
        </w:tc>
        <w:tc>
          <w:tcPr>
            <w:tcW w:w="7921" w:type="dxa"/>
            <w:vAlign w:val="center"/>
          </w:tcPr>
          <w:p>
            <w:pPr>
              <w:snapToGrid w:val="0"/>
              <w:spacing w:line="480" w:lineRule="exact"/>
              <w:jc w:val="center"/>
              <w:rPr>
                <w:rFonts w:hAnsi="宋体" w:cs="宋体"/>
                <w:szCs w:val="24"/>
              </w:rPr>
            </w:pPr>
            <w:r>
              <w:rPr>
                <w:rFonts w:hint="eastAsia" w:hAnsi="宋体" w:cs="宋体"/>
                <w:szCs w:val="24"/>
              </w:rPr>
              <w:t>定期检测人员进行检测维护</w:t>
            </w:r>
          </w:p>
        </w:tc>
      </w:tr>
    </w:tbl>
    <w:p>
      <w:pPr>
        <w:spacing w:line="480" w:lineRule="exact"/>
        <w:ind w:firstLine="480" w:firstLineChars="200"/>
        <w:rPr>
          <w:rFonts w:hAnsi="宋体" w:cs="宋体"/>
          <w:szCs w:val="24"/>
        </w:rPr>
      </w:pPr>
      <w:r>
        <w:rPr>
          <w:rFonts w:hint="eastAsia" w:hAnsi="宋体" w:cs="宋体"/>
          <w:szCs w:val="24"/>
        </w:rPr>
        <w:t>E．停机维护</w:t>
      </w:r>
    </w:p>
    <w:p>
      <w:pPr>
        <w:spacing w:line="480" w:lineRule="exact"/>
        <w:ind w:firstLine="480" w:firstLineChars="200"/>
        <w:rPr>
          <w:rFonts w:hAnsi="宋体" w:cs="宋体"/>
          <w:szCs w:val="24"/>
        </w:rPr>
      </w:pPr>
      <w:r>
        <w:rPr>
          <w:rFonts w:hint="eastAsia" w:hAnsi="宋体" w:cs="宋体"/>
          <w:szCs w:val="24"/>
        </w:rPr>
        <w:t>短时间停机，一般关机即可，再次运行时需重新校准。长时间（超过 24小时）停机，仪器需关闭进样阀、总电源，并用蒸馏水对仪器内部的管路系统和传感器清洗，测量室排空。测量电极，应取下并将电极头入保护液中存放。长时间停机的仪器再次运行时须重新校准。</w:t>
      </w:r>
    </w:p>
    <w:p>
      <w:pPr>
        <w:spacing w:line="480" w:lineRule="exact"/>
        <w:ind w:firstLine="480" w:firstLineChars="200"/>
        <w:rPr>
          <w:rFonts w:hAnsi="宋体" w:cs="宋体"/>
          <w:szCs w:val="24"/>
        </w:rPr>
      </w:pPr>
      <w:r>
        <w:rPr>
          <w:rFonts w:hint="eastAsia" w:hAnsi="宋体" w:cs="宋体"/>
          <w:szCs w:val="24"/>
        </w:rPr>
        <w:t>F．设备检验</w:t>
      </w:r>
    </w:p>
    <w:p>
      <w:pPr>
        <w:spacing w:line="480" w:lineRule="exact"/>
        <w:ind w:firstLine="480" w:firstLineChars="200"/>
        <w:rPr>
          <w:rFonts w:hAnsi="宋体" w:cs="宋体"/>
          <w:szCs w:val="24"/>
        </w:rPr>
      </w:pPr>
      <w:r>
        <w:rPr>
          <w:rFonts w:hint="eastAsia" w:hAnsi="宋体" w:cs="宋体"/>
          <w:szCs w:val="24"/>
        </w:rPr>
        <w:t>可配置标液试剂水质在线监测站仪器设备须通过运维单位的自校验。自校验包括仪器设备的准确性、仪器分析精度、工作曲线检验。校验工作必须现场记录并备案。自校验每月1次可与标液核查同步校验。</w:t>
      </w:r>
    </w:p>
    <w:p>
      <w:pPr>
        <w:spacing w:line="480" w:lineRule="exact"/>
        <w:ind w:firstLine="482" w:firstLineChars="200"/>
        <w:rPr>
          <w:rFonts w:hAnsi="宋体" w:cs="宋体"/>
          <w:b/>
          <w:szCs w:val="24"/>
        </w:rPr>
      </w:pPr>
      <w:r>
        <w:rPr>
          <w:rFonts w:hint="eastAsia" w:hAnsi="宋体" w:cs="宋体"/>
          <w:b/>
          <w:szCs w:val="24"/>
        </w:rPr>
        <w:t>3.2 故障维护</w:t>
      </w:r>
    </w:p>
    <w:p>
      <w:pPr>
        <w:spacing w:line="480" w:lineRule="exact"/>
        <w:ind w:firstLine="480" w:firstLineChars="200"/>
        <w:rPr>
          <w:rFonts w:hAnsi="宋体" w:cs="宋体"/>
          <w:szCs w:val="24"/>
        </w:rPr>
      </w:pPr>
      <w:r>
        <w:rPr>
          <w:rFonts w:hint="eastAsia" w:hAnsi="宋体" w:cs="宋体"/>
          <w:szCs w:val="24"/>
        </w:rPr>
        <w:t>（1）水质在线监测站发生故障后，必须在6小时内抵达现场， 24小时内恢复水质在线监测站的正常运行；故障发生后必须立即上报委托方。</w:t>
      </w:r>
    </w:p>
    <w:p>
      <w:pPr>
        <w:spacing w:line="480" w:lineRule="exact"/>
        <w:ind w:firstLine="480" w:firstLineChars="200"/>
        <w:rPr>
          <w:rFonts w:hAnsi="宋体" w:cs="宋体"/>
          <w:szCs w:val="24"/>
        </w:rPr>
      </w:pPr>
      <w:r>
        <w:rPr>
          <w:rFonts w:hint="eastAsia" w:hAnsi="宋体" w:cs="宋体"/>
          <w:szCs w:val="24"/>
        </w:rPr>
        <w:t>（2）故障期间应采取人工监测的方式报送数据，频率为每天1次。出具的分析数据必须满足国家相关规定和规范要求，具有法律效力。</w:t>
      </w:r>
    </w:p>
    <w:p>
      <w:pPr>
        <w:spacing w:line="480" w:lineRule="exact"/>
        <w:ind w:firstLine="480" w:firstLineChars="200"/>
        <w:rPr>
          <w:rFonts w:hAnsi="宋体" w:cs="宋体"/>
          <w:szCs w:val="24"/>
        </w:rPr>
      </w:pPr>
      <w:r>
        <w:rPr>
          <w:rFonts w:hint="eastAsia" w:hAnsi="宋体" w:cs="宋体"/>
          <w:szCs w:val="24"/>
        </w:rPr>
        <w:t>（3）故障维护应做到：</w:t>
      </w:r>
    </w:p>
    <w:p>
      <w:pPr>
        <w:spacing w:line="480" w:lineRule="exact"/>
        <w:ind w:firstLine="480" w:firstLineChars="200"/>
        <w:rPr>
          <w:rFonts w:hAnsi="宋体" w:cs="宋体"/>
          <w:szCs w:val="24"/>
        </w:rPr>
      </w:pPr>
      <w:r>
        <w:rPr>
          <w:rFonts w:hint="eastAsia" w:hAnsi="宋体" w:cs="宋体"/>
          <w:szCs w:val="24"/>
        </w:rPr>
        <w:t>①制定详细的故障维护程序和方法，严格按照说明书的要求开展维护工作。</w:t>
      </w:r>
    </w:p>
    <w:p>
      <w:pPr>
        <w:spacing w:line="480" w:lineRule="exact"/>
        <w:ind w:firstLine="480" w:firstLineChars="200"/>
        <w:rPr>
          <w:rFonts w:hAnsi="宋体" w:cs="宋体"/>
          <w:szCs w:val="24"/>
        </w:rPr>
      </w:pPr>
      <w:r>
        <w:rPr>
          <w:rFonts w:hint="eastAsia" w:hAnsi="宋体" w:cs="宋体"/>
          <w:szCs w:val="24"/>
        </w:rPr>
        <w:t>②一般故障应到现场进行检修。</w:t>
      </w:r>
    </w:p>
    <w:p>
      <w:pPr>
        <w:spacing w:line="480" w:lineRule="exact"/>
        <w:ind w:firstLine="480" w:firstLineChars="200"/>
        <w:rPr>
          <w:rFonts w:hAnsi="宋体" w:cs="宋体"/>
          <w:szCs w:val="24"/>
        </w:rPr>
      </w:pPr>
      <w:r>
        <w:rPr>
          <w:rFonts w:hint="eastAsia" w:hAnsi="宋体" w:cs="宋体"/>
          <w:szCs w:val="24"/>
        </w:rPr>
        <w:t>③一般的部件故障维护后，须对仪器重新校准；关键部件（影响分析数据结果的部件）故障维护后，须严格按照说明书的要求，对仪器重新标定或者校准等。故障维护必须有维护记录。</w:t>
      </w:r>
    </w:p>
    <w:p>
      <w:pPr>
        <w:spacing w:line="480" w:lineRule="exact"/>
        <w:ind w:firstLine="480" w:firstLineChars="200"/>
        <w:rPr>
          <w:rFonts w:hAnsi="宋体" w:cs="宋体"/>
          <w:szCs w:val="24"/>
        </w:rPr>
      </w:pPr>
      <w:r>
        <w:rPr>
          <w:rFonts w:hint="eastAsia" w:hAnsi="宋体" w:cs="宋体"/>
          <w:szCs w:val="24"/>
        </w:rPr>
        <w:t>④按照系统和仪器的使用说明要求，每年应对整个系统制定针对故障的预防性维护计划。预防性维护不得影响水站的正常运行。</w:t>
      </w:r>
    </w:p>
    <w:p>
      <w:pPr>
        <w:spacing w:line="480" w:lineRule="exact"/>
        <w:ind w:firstLine="480" w:firstLineChars="200"/>
        <w:rPr>
          <w:rFonts w:hAnsi="宋体" w:cs="宋体"/>
          <w:szCs w:val="24"/>
        </w:rPr>
      </w:pPr>
      <w:r>
        <w:rPr>
          <w:rFonts w:hint="eastAsia" w:hAnsi="宋体" w:cs="宋体"/>
          <w:szCs w:val="24"/>
        </w:rPr>
        <w:t>⑤预防性维护必须提前24小时向甲方上报，经甲方同意后实施，预防性维护工作必须填写维护记录。</w:t>
      </w:r>
    </w:p>
    <w:p>
      <w:pPr>
        <w:spacing w:line="480" w:lineRule="exact"/>
        <w:ind w:firstLine="482" w:firstLineChars="200"/>
        <w:rPr>
          <w:rFonts w:hAnsi="宋体" w:cs="宋体"/>
          <w:b/>
          <w:szCs w:val="24"/>
        </w:rPr>
      </w:pPr>
      <w:r>
        <w:rPr>
          <w:rFonts w:hint="eastAsia" w:hAnsi="宋体" w:cs="宋体"/>
          <w:b/>
          <w:szCs w:val="24"/>
        </w:rPr>
        <w:t>3.3 标液核查</w:t>
      </w:r>
    </w:p>
    <w:p>
      <w:pPr>
        <w:spacing w:line="480" w:lineRule="exact"/>
        <w:ind w:firstLine="480" w:firstLineChars="200"/>
        <w:rPr>
          <w:rFonts w:hAnsi="宋体" w:cs="宋体"/>
          <w:szCs w:val="24"/>
        </w:rPr>
      </w:pPr>
      <w:r>
        <w:rPr>
          <w:rFonts w:hint="eastAsia" w:hAnsi="宋体" w:cs="宋体"/>
          <w:szCs w:val="24"/>
        </w:rPr>
        <w:t>按仪器的使用说明对水质自动监测仪器定期进行校准。标准溶液核查包括以下项目：</w:t>
      </w:r>
    </w:p>
    <w:p>
      <w:pPr>
        <w:spacing w:line="480" w:lineRule="exact"/>
        <w:ind w:firstLine="480" w:firstLineChars="200"/>
        <w:rPr>
          <w:rFonts w:hAnsi="宋体" w:cs="宋体"/>
          <w:szCs w:val="24"/>
        </w:rPr>
      </w:pPr>
      <w:r>
        <w:rPr>
          <w:rFonts w:hint="eastAsia" w:hAnsi="宋体" w:cs="宋体"/>
          <w:szCs w:val="24"/>
        </w:rPr>
        <w:t>乙方在维护合同期内对高锰酸盐指数、总磷、总氮、氨氮等在线分析仪至少做1次标准溶液核查，相对误差应小于±10%，否则须对自动监测仪器重新校准。</w:t>
      </w:r>
    </w:p>
    <w:p>
      <w:pPr>
        <w:spacing w:line="480" w:lineRule="exact"/>
        <w:ind w:firstLine="480" w:firstLineChars="200"/>
        <w:rPr>
          <w:rFonts w:hAnsi="宋体" w:cs="宋体"/>
          <w:szCs w:val="24"/>
        </w:rPr>
      </w:pPr>
      <w:r>
        <w:rPr>
          <w:rFonts w:hint="eastAsia" w:hAnsi="宋体" w:cs="宋体"/>
          <w:szCs w:val="24"/>
        </w:rPr>
        <w:t>相对误差计算的计算见下式：</w:t>
      </w:r>
    </w:p>
    <w:p>
      <w:pPr>
        <w:spacing w:line="480" w:lineRule="exact"/>
        <w:rPr>
          <w:ins w:id="49" w:author="高凌" w:date="2023-05-12T10:51:00Z"/>
          <w:rFonts w:hAnsi="宋体" w:cs="宋体"/>
          <w:szCs w:val="24"/>
        </w:rPr>
      </w:pPr>
    </w:p>
    <w:p>
      <w:pPr>
        <w:spacing w:line="480" w:lineRule="exact"/>
        <w:rPr>
          <w:rFonts w:hAnsi="宋体" w:cs="宋体"/>
          <w:szCs w:val="24"/>
        </w:rPr>
      </w:pPr>
      <w:r>
        <w:rPr>
          <w:rFonts w:hAnsi="宋体" w:cs="宋体"/>
          <w:color w:val="FF0000"/>
          <w:szCs w:val="24"/>
        </w:rPr>
        <w:drawing>
          <wp:anchor distT="0" distB="0" distL="114300" distR="114300" simplePos="0" relativeHeight="251661312" behindDoc="0" locked="0" layoutInCell="1" allowOverlap="1">
            <wp:simplePos x="0" y="0"/>
            <wp:positionH relativeFrom="column">
              <wp:posOffset>1099820</wp:posOffset>
            </wp:positionH>
            <wp:positionV relativeFrom="paragraph">
              <wp:posOffset>219075</wp:posOffset>
            </wp:positionV>
            <wp:extent cx="1950720" cy="564515"/>
            <wp:effectExtent l="0" t="0" r="0" b="5715"/>
            <wp:wrapNone/>
            <wp:docPr id="4" name="对象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对象 8"/>
                    <pic:cNvPicPr>
                      <a:picLocks noChangeAspect="1"/>
                    </pic:cNvPicPr>
                  </pic:nvPicPr>
                  <pic:blipFill>
                    <a:blip r:embed="rId9"/>
                    <a:stretch>
                      <a:fillRect/>
                    </a:stretch>
                  </pic:blipFill>
                  <pic:spPr>
                    <a:xfrm>
                      <a:off x="0" y="0"/>
                      <a:ext cx="1950720" cy="564515"/>
                    </a:xfrm>
                    <a:prstGeom prst="rect">
                      <a:avLst/>
                    </a:prstGeom>
                    <a:noFill/>
                    <a:ln>
                      <a:noFill/>
                    </a:ln>
                  </pic:spPr>
                </pic:pic>
              </a:graphicData>
            </a:graphic>
          </wp:anchor>
        </w:drawing>
      </w:r>
    </w:p>
    <w:p>
      <w:pPr>
        <w:spacing w:line="480" w:lineRule="exact"/>
        <w:ind w:firstLine="480" w:firstLineChars="200"/>
        <w:rPr>
          <w:rFonts w:hAnsi="宋体" w:cs="宋体"/>
          <w:szCs w:val="24"/>
        </w:rPr>
      </w:pPr>
      <w:r>
        <w:rPr>
          <w:rFonts w:hint="eastAsia" w:hAnsi="宋体" w:cs="宋体"/>
          <w:szCs w:val="24"/>
        </w:rPr>
        <w:t>RE(%)=</w:t>
      </w:r>
    </w:p>
    <w:p>
      <w:pPr>
        <w:spacing w:line="480" w:lineRule="exact"/>
        <w:ind w:firstLine="640"/>
        <w:rPr>
          <w:rFonts w:hAnsi="宋体" w:cs="宋体"/>
          <w:szCs w:val="24"/>
        </w:rPr>
      </w:pPr>
    </w:p>
    <w:p>
      <w:pPr>
        <w:spacing w:line="480" w:lineRule="exact"/>
        <w:ind w:firstLine="640"/>
        <w:rPr>
          <w:rFonts w:hAnsi="宋体" w:cs="宋体"/>
          <w:szCs w:val="24"/>
        </w:rPr>
      </w:pPr>
      <w:r>
        <w:rPr>
          <w:rFonts w:hint="eastAsia" w:hAnsi="宋体" w:cs="宋体"/>
          <w:szCs w:val="24"/>
        </w:rPr>
        <w:t>式中：</w:t>
      </w:r>
      <w:r>
        <w:rPr>
          <w:rFonts w:hint="eastAsia" w:hAnsi="宋体" w:cs="宋体"/>
          <w:szCs w:val="24"/>
        </w:rPr>
        <w:drawing>
          <wp:inline distT="0" distB="0" distL="0" distR="0">
            <wp:extent cx="542925" cy="180975"/>
            <wp:effectExtent l="0" t="0" r="9525" b="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a:picLocks noChangeArrowheads="1"/>
                    </pic:cNvPicPr>
                  </pic:nvPicPr>
                  <pic:blipFill>
                    <a:blip r:embed="rId10" cstate="print"/>
                    <a:srcRect/>
                    <a:stretch>
                      <a:fillRect/>
                    </a:stretch>
                  </pic:blipFill>
                  <pic:spPr>
                    <a:xfrm>
                      <a:off x="0" y="0"/>
                      <a:ext cx="542925" cy="180975"/>
                    </a:xfrm>
                    <a:prstGeom prst="rect">
                      <a:avLst/>
                    </a:prstGeom>
                    <a:noFill/>
                    <a:ln w="9525" cmpd="sng">
                      <a:noFill/>
                      <a:miter lim="800000"/>
                      <a:headEnd/>
                      <a:tailEnd/>
                    </a:ln>
                  </pic:spPr>
                </pic:pic>
              </a:graphicData>
            </a:graphic>
          </wp:inline>
        </w:drawing>
      </w:r>
      <w:r>
        <w:rPr>
          <w:rFonts w:hint="eastAsia" w:hAnsi="宋体" w:cs="宋体"/>
          <w:szCs w:val="24"/>
        </w:rPr>
        <w:t>——自动监测仪器测定值；</w:t>
      </w:r>
    </w:p>
    <w:p>
      <w:pPr>
        <w:spacing w:line="480" w:lineRule="exact"/>
        <w:ind w:firstLine="640"/>
        <w:rPr>
          <w:rFonts w:hAnsi="宋体" w:cs="宋体"/>
          <w:szCs w:val="24"/>
        </w:rPr>
      </w:pPr>
      <w:r>
        <w:rPr>
          <w:rFonts w:hint="eastAsia" w:hAnsi="宋体" w:cs="宋体"/>
          <w:szCs w:val="24"/>
        </w:rPr>
        <w:drawing>
          <wp:inline distT="0" distB="0" distL="0" distR="0">
            <wp:extent cx="552450" cy="199390"/>
            <wp:effectExtent l="0" t="0" r="0" b="0"/>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a:picLocks noChangeArrowheads="1"/>
                    </pic:cNvPicPr>
                  </pic:nvPicPr>
                  <pic:blipFill>
                    <a:blip r:embed="rId11" cstate="print"/>
                    <a:srcRect/>
                    <a:stretch>
                      <a:fillRect/>
                    </a:stretch>
                  </pic:blipFill>
                  <pic:spPr>
                    <a:xfrm>
                      <a:off x="0" y="0"/>
                      <a:ext cx="552450" cy="199390"/>
                    </a:xfrm>
                    <a:prstGeom prst="rect">
                      <a:avLst/>
                    </a:prstGeom>
                    <a:noFill/>
                    <a:ln w="9525" cmpd="sng">
                      <a:noFill/>
                      <a:miter lim="800000"/>
                      <a:headEnd/>
                      <a:tailEnd/>
                    </a:ln>
                  </pic:spPr>
                </pic:pic>
              </a:graphicData>
            </a:graphic>
          </wp:inline>
        </w:drawing>
      </w:r>
      <w:r>
        <w:rPr>
          <w:rFonts w:hint="eastAsia" w:hAnsi="宋体" w:cs="宋体"/>
          <w:szCs w:val="24"/>
        </w:rPr>
        <w:t>——国家标准分析方法测定值。</w:t>
      </w:r>
    </w:p>
    <w:p>
      <w:pPr>
        <w:spacing w:line="480" w:lineRule="exact"/>
        <w:ind w:firstLine="480" w:firstLineChars="200"/>
        <w:rPr>
          <w:rFonts w:hAnsi="宋体" w:cs="宋体"/>
          <w:szCs w:val="24"/>
        </w:rPr>
      </w:pPr>
      <w:r>
        <w:rPr>
          <w:rFonts w:hint="eastAsia" w:hAnsi="宋体" w:cs="宋体"/>
          <w:szCs w:val="24"/>
        </w:rPr>
        <w:t>每次进行核查的结果形成报告，上报甲方。</w:t>
      </w:r>
    </w:p>
    <w:p>
      <w:pPr>
        <w:spacing w:line="480" w:lineRule="exact"/>
        <w:ind w:firstLine="482" w:firstLineChars="200"/>
        <w:rPr>
          <w:rFonts w:hAnsi="宋体" w:cs="宋体"/>
          <w:b/>
          <w:szCs w:val="24"/>
        </w:rPr>
      </w:pPr>
      <w:r>
        <w:rPr>
          <w:rFonts w:hint="eastAsia" w:hAnsi="宋体" w:cs="宋体"/>
          <w:b/>
          <w:szCs w:val="24"/>
        </w:rPr>
        <w:t>3.4应急措施</w:t>
      </w:r>
    </w:p>
    <w:p>
      <w:pPr>
        <w:spacing w:line="480" w:lineRule="exact"/>
        <w:ind w:firstLine="480" w:firstLineChars="200"/>
        <w:rPr>
          <w:rFonts w:hAnsi="宋体" w:cs="宋体"/>
          <w:szCs w:val="24"/>
        </w:rPr>
      </w:pPr>
      <w:r>
        <w:rPr>
          <w:rFonts w:hint="eastAsia" w:hAnsi="宋体" w:cs="宋体"/>
          <w:szCs w:val="24"/>
        </w:rPr>
        <w:t>当水质在线监测站监测数据发现异常或水站所在水体发生污染事故时，须立刻报告甲方，同时保证系统仪器正常运行，监测数据准确，传输畅通；根据甲方要求或水质变化情况，增加水站取水监测频次，安排技术人员24小时值班，并进行人工水质监测，直至监测数据恢复正常。</w:t>
      </w:r>
    </w:p>
    <w:p>
      <w:pPr>
        <w:spacing w:line="480" w:lineRule="exact"/>
        <w:ind w:firstLine="480" w:firstLineChars="200"/>
        <w:rPr>
          <w:rFonts w:hAnsi="宋体" w:cs="宋体"/>
          <w:szCs w:val="24"/>
        </w:rPr>
      </w:pPr>
      <w:r>
        <w:rPr>
          <w:rFonts w:hint="eastAsia" w:hAnsi="宋体" w:cs="宋体"/>
          <w:szCs w:val="24"/>
        </w:rPr>
        <w:t>当系统仪器出现故障时，乙方应马上做出响应，并在6小时内到达水站现场检修，同时启动留样、实验室分析或使用备用机替代等补救措施，并及时报告甲方。</w:t>
      </w:r>
    </w:p>
    <w:p>
      <w:pPr>
        <w:spacing w:line="480" w:lineRule="exact"/>
        <w:ind w:firstLine="482" w:firstLineChars="200"/>
        <w:rPr>
          <w:rFonts w:hAnsi="宋体" w:cs="宋体"/>
          <w:b/>
          <w:szCs w:val="24"/>
        </w:rPr>
      </w:pPr>
      <w:r>
        <w:rPr>
          <w:rFonts w:hint="eastAsia" w:hAnsi="宋体" w:cs="宋体"/>
          <w:b/>
          <w:szCs w:val="24"/>
        </w:rPr>
        <w:t>3.5档案记录</w:t>
      </w:r>
    </w:p>
    <w:p>
      <w:pPr>
        <w:spacing w:line="480" w:lineRule="exact"/>
        <w:ind w:firstLine="480" w:firstLineChars="200"/>
        <w:rPr>
          <w:rFonts w:hAnsi="宋体" w:cs="宋体"/>
          <w:szCs w:val="24"/>
        </w:rPr>
      </w:pPr>
      <w:r>
        <w:rPr>
          <w:rFonts w:hint="eastAsia" w:hAnsi="宋体" w:cs="宋体"/>
          <w:szCs w:val="24"/>
        </w:rPr>
        <w:t>水质在线监测站的每项工作必须有工作记录。水质在线监测站巡检、易耗品更换等记录应据实填写，并保证记录连续性；仪器的校准，应记录校准前后的仪器响应值和偏差；设备维修和故障处理等记录应现场填写；以上所有档案记录必须妥善保管，不得毁坏。</w:t>
      </w:r>
    </w:p>
    <w:p>
      <w:pPr>
        <w:spacing w:line="480" w:lineRule="exact"/>
        <w:ind w:firstLine="480" w:firstLineChars="200"/>
        <w:rPr>
          <w:rFonts w:hAnsi="宋体" w:cs="宋体"/>
          <w:szCs w:val="24"/>
        </w:rPr>
      </w:pPr>
      <w:r>
        <w:rPr>
          <w:rFonts w:hint="eastAsia" w:hAnsi="宋体" w:cs="宋体"/>
          <w:szCs w:val="24"/>
        </w:rPr>
        <w:t>各类运维工作及其相关工作的档案记录要真实、可靠，不得伪造。</w:t>
      </w:r>
    </w:p>
    <w:p>
      <w:pPr>
        <w:pStyle w:val="5"/>
        <w:spacing w:before="624" w:line="480" w:lineRule="exact"/>
        <w:rPr>
          <w:rFonts w:ascii="宋体" w:hAnsi="宋体" w:cs="宋体"/>
        </w:rPr>
      </w:pPr>
      <w:bookmarkStart w:id="134" w:name="_Toc7530"/>
      <w:bookmarkStart w:id="135" w:name="_Toc23477"/>
      <w:r>
        <w:rPr>
          <w:rFonts w:hint="eastAsia" w:ascii="宋体" w:hAnsi="宋体" w:cs="宋体"/>
        </w:rPr>
        <w:t>4、运维能力要求</w:t>
      </w:r>
      <w:bookmarkEnd w:id="134"/>
      <w:bookmarkEnd w:id="135"/>
    </w:p>
    <w:p>
      <w:pPr>
        <w:spacing w:line="480" w:lineRule="exact"/>
        <w:ind w:firstLine="480" w:firstLineChars="200"/>
        <w:rPr>
          <w:rFonts w:hAnsi="宋体" w:cs="宋体"/>
          <w:szCs w:val="24"/>
        </w:rPr>
      </w:pPr>
      <w:r>
        <w:rPr>
          <w:rFonts w:hint="eastAsia" w:hAnsi="宋体" w:cs="宋体"/>
          <w:szCs w:val="24"/>
        </w:rPr>
        <w:t>4.1 制度执行</w:t>
      </w:r>
    </w:p>
    <w:p>
      <w:pPr>
        <w:spacing w:line="480" w:lineRule="exact"/>
        <w:ind w:firstLine="480" w:firstLineChars="200"/>
        <w:rPr>
          <w:rFonts w:hAnsi="宋体" w:cs="宋体"/>
          <w:szCs w:val="24"/>
        </w:rPr>
      </w:pPr>
      <w:r>
        <w:rPr>
          <w:rFonts w:hint="eastAsia" w:hAnsi="宋体" w:cs="宋体"/>
          <w:szCs w:val="24"/>
        </w:rPr>
        <w:t>运维单位须建立合格的质量保证体系，制订管理制度与操作规程；包括人员培训、持证上岗、操作规范、岗位职责、日常巡检记录、定期校准记录、设备维修记录、水质在线监测站故障预防和应急措施等制度。</w:t>
      </w:r>
    </w:p>
    <w:p>
      <w:pPr>
        <w:spacing w:line="480" w:lineRule="exact"/>
        <w:ind w:firstLine="480" w:firstLineChars="200"/>
        <w:rPr>
          <w:rFonts w:hAnsi="宋体" w:cs="宋体"/>
          <w:szCs w:val="24"/>
        </w:rPr>
      </w:pPr>
      <w:r>
        <w:rPr>
          <w:rFonts w:hint="eastAsia" w:hAnsi="宋体" w:cs="宋体"/>
          <w:szCs w:val="24"/>
        </w:rPr>
        <w:t>运维单位应编制运维方案，运维方案应包括运维目标、任务、质量保障，运维工作计划，人员配备等内容，运维方案经甲方审查同意后，开展运维工作。</w:t>
      </w:r>
    </w:p>
    <w:p>
      <w:pPr>
        <w:spacing w:line="480" w:lineRule="exact"/>
        <w:ind w:firstLine="480" w:firstLineChars="200"/>
        <w:rPr>
          <w:rFonts w:hAnsi="宋体" w:cs="宋体"/>
          <w:szCs w:val="24"/>
          <w:highlight w:val="red"/>
        </w:rPr>
      </w:pPr>
      <w:r>
        <w:rPr>
          <w:rFonts w:hint="eastAsia" w:hAnsi="宋体" w:cs="宋体"/>
          <w:szCs w:val="24"/>
        </w:rPr>
        <w:t>4.2 人员管理</w:t>
      </w:r>
    </w:p>
    <w:p>
      <w:pPr>
        <w:spacing w:line="480" w:lineRule="exact"/>
        <w:ind w:firstLine="480" w:firstLineChars="200"/>
        <w:rPr>
          <w:rFonts w:hAnsi="宋体" w:cs="宋体"/>
          <w:szCs w:val="24"/>
        </w:rPr>
      </w:pPr>
      <w:r>
        <w:rPr>
          <w:rFonts w:hint="eastAsia" w:hAnsi="宋体" w:cs="宋体"/>
          <w:szCs w:val="24"/>
        </w:rPr>
        <w:t>（1）运维单位负责所有运维相关人员的管理，做好运维人员的人身安全工作。</w:t>
      </w:r>
    </w:p>
    <w:p>
      <w:pPr>
        <w:spacing w:line="480" w:lineRule="exact"/>
        <w:ind w:firstLine="480" w:firstLineChars="200"/>
        <w:rPr>
          <w:rFonts w:hAnsi="宋体" w:cs="宋体"/>
          <w:szCs w:val="24"/>
        </w:rPr>
      </w:pPr>
      <w:r>
        <w:rPr>
          <w:rFonts w:hint="eastAsia" w:hAnsi="宋体" w:cs="宋体"/>
          <w:szCs w:val="24"/>
        </w:rPr>
        <w:t>（2）应在水质在线监测站所在地设置专用服务办公地点。</w:t>
      </w:r>
    </w:p>
    <w:p>
      <w:pPr>
        <w:spacing w:line="480" w:lineRule="exact"/>
        <w:ind w:firstLine="480" w:firstLineChars="200"/>
        <w:rPr>
          <w:rFonts w:hAnsi="宋体" w:cs="宋体"/>
          <w:szCs w:val="24"/>
        </w:rPr>
      </w:pPr>
      <w:r>
        <w:rPr>
          <w:rFonts w:hint="eastAsia" w:hAnsi="宋体" w:cs="宋体"/>
          <w:szCs w:val="24"/>
        </w:rPr>
        <w:t>（3）为满足运维要求，运维单位应明确1名项目负责人，至少1名站点运行及数据监控人员（及时发现设备问题或数据异常时需及时上报甲方及项目负责人，并采取必要措施），水质在线监测站现场工作人员负责日常运维工作。运维人员应具有水质在线监测站运行维护、仪表故障及异常数据识别判断等2年以上工作经验。</w:t>
      </w:r>
    </w:p>
    <w:p>
      <w:pPr>
        <w:spacing w:line="480" w:lineRule="exact"/>
        <w:ind w:firstLine="480" w:firstLineChars="200"/>
        <w:rPr>
          <w:rFonts w:hAnsi="宋体" w:cs="宋体"/>
          <w:szCs w:val="24"/>
        </w:rPr>
      </w:pPr>
      <w:r>
        <w:rPr>
          <w:rFonts w:hint="eastAsia" w:hAnsi="宋体" w:cs="宋体"/>
          <w:szCs w:val="24"/>
        </w:rPr>
        <w:t>（4）运维人员具有相关专业知识，具备中级以上职称。</w:t>
      </w:r>
    </w:p>
    <w:p>
      <w:pPr>
        <w:spacing w:line="480" w:lineRule="exact"/>
        <w:ind w:firstLine="480" w:firstLineChars="200"/>
        <w:rPr>
          <w:rFonts w:hAnsi="宋体" w:cs="宋体"/>
          <w:szCs w:val="24"/>
        </w:rPr>
      </w:pPr>
      <w:r>
        <w:rPr>
          <w:rFonts w:hint="eastAsia" w:hAnsi="宋体" w:cs="宋体"/>
          <w:szCs w:val="24"/>
        </w:rPr>
        <w:t>（5）运维人员调整变动要及时报告甲方。</w:t>
      </w:r>
    </w:p>
    <w:p>
      <w:pPr>
        <w:spacing w:line="480" w:lineRule="exact"/>
        <w:ind w:firstLine="480" w:firstLineChars="200"/>
        <w:rPr>
          <w:rFonts w:hAnsi="宋体" w:cs="宋体"/>
          <w:szCs w:val="24"/>
        </w:rPr>
      </w:pPr>
      <w:r>
        <w:rPr>
          <w:rFonts w:hint="eastAsia" w:hAnsi="宋体" w:cs="宋体"/>
          <w:szCs w:val="24"/>
        </w:rPr>
        <w:t>4.3 硬件配置</w:t>
      </w:r>
    </w:p>
    <w:p>
      <w:pPr>
        <w:spacing w:line="480" w:lineRule="exact"/>
        <w:ind w:firstLine="480" w:firstLineChars="200"/>
        <w:rPr>
          <w:rFonts w:hAnsi="宋体" w:cs="宋体"/>
          <w:szCs w:val="24"/>
        </w:rPr>
      </w:pPr>
      <w:r>
        <w:rPr>
          <w:rFonts w:hint="eastAsia" w:hAnsi="宋体" w:cs="宋体"/>
          <w:szCs w:val="24"/>
        </w:rPr>
        <w:t>（1）必须配备专用工具，包括电工仪表、远程数据查询系统等；同时还须配备通讯调试工具，包括各种硬件接口线、改线工具、接口调试软件及常用零部件等；配置专用运维车辆。</w:t>
      </w:r>
    </w:p>
    <w:p>
      <w:pPr>
        <w:spacing w:line="480" w:lineRule="exact"/>
        <w:ind w:firstLine="480" w:firstLineChars="200"/>
        <w:rPr>
          <w:rFonts w:hAnsi="宋体" w:cs="宋体"/>
          <w:szCs w:val="24"/>
        </w:rPr>
      </w:pPr>
      <w:r>
        <w:rPr>
          <w:rFonts w:hint="eastAsia" w:hAnsi="宋体" w:cs="宋体"/>
          <w:szCs w:val="24"/>
        </w:rPr>
        <w:t>（2）运维单位需配备水质在线监测站分析仪表备用机，在仪表发生故障不能在短期内维修恢复时可使用投标人自备的备用机替代工作（需严格调试、校准后使用）；备用机应具有中华人民共和国计量器具型式批准证书，并具有相关合同证明材料。原则上要求分析仪表备用机需与委托方水站原有分析仪表的测试方法相同。</w:t>
      </w:r>
    </w:p>
    <w:p>
      <w:pPr>
        <w:spacing w:line="480" w:lineRule="exact"/>
        <w:ind w:firstLine="480" w:firstLineChars="200"/>
        <w:rPr>
          <w:rFonts w:hAnsi="宋体" w:cs="宋体"/>
          <w:szCs w:val="24"/>
        </w:rPr>
      </w:pPr>
      <w:r>
        <w:rPr>
          <w:rFonts w:hint="eastAsia" w:hAnsi="宋体" w:cs="宋体"/>
          <w:szCs w:val="24"/>
        </w:rPr>
        <w:t>（3）乙方的备品备件库应备有足够的备品备件及备用仪器，对其使用情况应定期进行清点，并根据实际情况进行补充。</w:t>
      </w:r>
    </w:p>
    <w:p>
      <w:pPr>
        <w:spacing w:line="480" w:lineRule="exact"/>
        <w:ind w:firstLine="480" w:firstLineChars="200"/>
        <w:rPr>
          <w:rFonts w:hAnsi="宋体" w:cs="宋体"/>
          <w:szCs w:val="24"/>
        </w:rPr>
      </w:pPr>
      <w:r>
        <w:rPr>
          <w:rFonts w:hint="eastAsia" w:hAnsi="宋体" w:cs="宋体"/>
          <w:szCs w:val="24"/>
        </w:rPr>
        <w:t>本项目要求根据需求配备备品备件，备品备件须来自正规厂商，并且能提供相关证明材料供甲方备案核查。运维单位应根据情况提前购置，相关费用含在投标报价中。</w:t>
      </w:r>
    </w:p>
    <w:p>
      <w:pPr>
        <w:pStyle w:val="5"/>
        <w:spacing w:before="624" w:line="480" w:lineRule="exact"/>
        <w:rPr>
          <w:rFonts w:ascii="宋体" w:hAnsi="宋体" w:cs="宋体"/>
        </w:rPr>
      </w:pPr>
      <w:bookmarkStart w:id="136" w:name="_Toc4129"/>
      <w:bookmarkStart w:id="137" w:name="_Toc25495"/>
      <w:r>
        <w:rPr>
          <w:rFonts w:hint="eastAsia" w:ascii="宋体" w:hAnsi="宋体" w:cs="宋体"/>
        </w:rPr>
        <w:t>5、其他要求</w:t>
      </w:r>
      <w:bookmarkEnd w:id="136"/>
      <w:bookmarkEnd w:id="137"/>
    </w:p>
    <w:p>
      <w:pPr>
        <w:spacing w:line="480" w:lineRule="exact"/>
        <w:ind w:firstLine="470" w:firstLineChars="196"/>
        <w:rPr>
          <w:rFonts w:hAnsi="宋体" w:cs="宋体"/>
          <w:szCs w:val="24"/>
        </w:rPr>
      </w:pPr>
      <w:r>
        <w:rPr>
          <w:rFonts w:hint="eastAsia" w:hAnsi="宋体" w:cs="宋体"/>
          <w:szCs w:val="24"/>
        </w:rPr>
        <w:t>水质在线监测站的全部资产（包括全部产权和建筑物、设备及配套设施等）未经甲方同意，运维单位不得以任何方式对各类财产进行出售、抵押或转移；同时，在运维期间，运维单位有责任保证上述全部资产的完整、安全并处于良好状态。未经甲方同意，不得对外泄漏水质自动监测站的任何监测数据。</w:t>
      </w:r>
    </w:p>
    <w:p>
      <w:pPr>
        <w:spacing w:line="480" w:lineRule="exact"/>
        <w:ind w:firstLine="470" w:firstLineChars="196"/>
        <w:rPr>
          <w:rFonts w:hAnsi="宋体" w:cs="宋体"/>
          <w:szCs w:val="24"/>
        </w:rPr>
      </w:pPr>
      <w:r>
        <w:rPr>
          <w:rFonts w:hint="eastAsia" w:hAnsi="宋体" w:cs="宋体"/>
          <w:szCs w:val="24"/>
        </w:rPr>
        <w:t>本项目运维方式为包工包料，以及运维所需的试剂、水电费用、场地占用租赁及协调、辅助仪器设备（含配件和易耗件）、分析仪表（含易损件）和备品备件备机等全部由运维单位提供，以上所有工作产生的费用均包含在投标报价中。</w:t>
      </w:r>
    </w:p>
    <w:p>
      <w:pPr>
        <w:spacing w:line="480" w:lineRule="exact"/>
        <w:ind w:firstLine="470" w:firstLineChars="196"/>
        <w:rPr>
          <w:rFonts w:hAnsi="宋体" w:cs="宋体"/>
          <w:szCs w:val="24"/>
        </w:rPr>
      </w:pPr>
      <w:r>
        <w:rPr>
          <w:rFonts w:hint="eastAsia" w:hAnsi="宋体" w:cs="宋体"/>
          <w:szCs w:val="24"/>
        </w:rPr>
        <w:t>运维工作完成且获得甲方认可，在运维合同验收之前，根据备品备件使用情况，将剩余的配品备件一次性移交给甲方。</w:t>
      </w:r>
    </w:p>
    <w:p>
      <w:pPr>
        <w:pStyle w:val="272"/>
        <w:spacing w:line="480" w:lineRule="exact"/>
        <w:jc w:val="center"/>
        <w:rPr>
          <w:rFonts w:ascii="宋体" w:hAnsi="宋体" w:eastAsia="宋体" w:cs="宋体"/>
          <w:sz w:val="24"/>
          <w:szCs w:val="24"/>
        </w:rPr>
      </w:pPr>
      <w:bookmarkStart w:id="138" w:name="_Toc514618416"/>
      <w:bookmarkStart w:id="139" w:name="_Toc9561"/>
      <w:bookmarkStart w:id="140" w:name="_Toc20530"/>
      <w:r>
        <w:rPr>
          <w:rFonts w:hint="eastAsia" w:ascii="宋体" w:hAnsi="宋体" w:eastAsia="宋体" w:cs="宋体"/>
          <w:sz w:val="24"/>
          <w:szCs w:val="24"/>
        </w:rPr>
        <w:t>第2部分  取用水水量监测点运维</w:t>
      </w:r>
      <w:bookmarkEnd w:id="138"/>
      <w:bookmarkEnd w:id="139"/>
      <w:bookmarkEnd w:id="140"/>
    </w:p>
    <w:p>
      <w:pPr>
        <w:pStyle w:val="5"/>
        <w:spacing w:before="624" w:line="480" w:lineRule="exact"/>
        <w:rPr>
          <w:rFonts w:ascii="宋体" w:hAnsi="宋体" w:cs="宋体"/>
        </w:rPr>
      </w:pPr>
      <w:bookmarkStart w:id="141" w:name="_Toc514618417"/>
      <w:bookmarkStart w:id="142" w:name="_Toc2184"/>
      <w:bookmarkStart w:id="143" w:name="_Toc10124"/>
      <w:r>
        <w:rPr>
          <w:rFonts w:hint="eastAsia" w:ascii="宋体" w:hAnsi="宋体" w:cs="宋体"/>
        </w:rPr>
        <w:t>1、运行维护任务</w:t>
      </w:r>
      <w:bookmarkEnd w:id="141"/>
      <w:bookmarkEnd w:id="142"/>
      <w:bookmarkEnd w:id="143"/>
    </w:p>
    <w:p>
      <w:pPr>
        <w:spacing w:line="480" w:lineRule="exact"/>
        <w:ind w:firstLine="480" w:firstLineChars="200"/>
        <w:rPr>
          <w:rFonts w:hAnsi="宋体" w:cs="宋体"/>
          <w:szCs w:val="24"/>
        </w:rPr>
      </w:pPr>
      <w:r>
        <w:rPr>
          <w:rFonts w:hint="eastAsia" w:hAnsi="宋体" w:cs="宋体"/>
          <w:szCs w:val="24"/>
        </w:rPr>
        <w:t>主要对于全省范围内已建成359个国控水量监测点在线监测进行运维及日常管理。运维内容包括：巡检、故障处理、例行维护等，通过对其监测设施和附属设备的维修与更新，确保取用水监测站点的正常运行。</w:t>
      </w:r>
    </w:p>
    <w:p>
      <w:pPr>
        <w:pStyle w:val="5"/>
        <w:spacing w:before="624" w:line="480" w:lineRule="exact"/>
        <w:rPr>
          <w:rFonts w:ascii="宋体" w:hAnsi="宋体" w:cs="宋体"/>
        </w:rPr>
      </w:pPr>
      <w:bookmarkStart w:id="144" w:name="_Toc514618418"/>
      <w:bookmarkStart w:id="145" w:name="_Toc30121"/>
      <w:bookmarkStart w:id="146" w:name="_Toc3117"/>
      <w:r>
        <w:rPr>
          <w:rFonts w:hint="eastAsia" w:ascii="宋体" w:hAnsi="宋体" w:cs="宋体"/>
        </w:rPr>
        <w:t>2、运行维护目标</w:t>
      </w:r>
      <w:bookmarkEnd w:id="144"/>
      <w:bookmarkEnd w:id="145"/>
      <w:bookmarkEnd w:id="146"/>
    </w:p>
    <w:p>
      <w:pPr>
        <w:spacing w:line="480" w:lineRule="exact"/>
        <w:ind w:firstLine="480" w:firstLineChars="200"/>
        <w:rPr>
          <w:rFonts w:hAnsi="宋体" w:cs="宋体"/>
          <w:szCs w:val="24"/>
        </w:rPr>
      </w:pPr>
      <w:r>
        <w:rPr>
          <w:rFonts w:hint="eastAsia" w:hAnsi="宋体" w:cs="宋体"/>
          <w:szCs w:val="24"/>
        </w:rPr>
        <w:t>根据《关于做好国家水资源监控能力建设项目联调联试阶段监测数据报送工作的通知》（水资源办[2014]51号）《关于开展国家水资源监控能力建设项目流域与省级项目整体试运行工作的通知》（水资源办[2015]6号）、《国家水资源监控能力建设项目技术评估指标设计与计算方法》等规定，确定国控取用水监测站点（359个）的运维目标如下：</w:t>
      </w:r>
    </w:p>
    <w:p>
      <w:pPr>
        <w:spacing w:line="480" w:lineRule="exact"/>
        <w:ind w:firstLine="480" w:firstLineChars="200"/>
        <w:rPr>
          <w:rFonts w:hAnsi="宋体" w:cs="宋体"/>
          <w:szCs w:val="24"/>
        </w:rPr>
      </w:pPr>
      <w:r>
        <w:rPr>
          <w:rFonts w:hint="eastAsia" w:hAnsi="宋体" w:cs="宋体"/>
          <w:szCs w:val="24"/>
        </w:rPr>
        <w:t>2.1、上报率 = ∑每天上报国控取用水水量自动站数 /应报国控取用水水量自动站数  * 100%&gt;= 96%；</w:t>
      </w:r>
    </w:p>
    <w:p>
      <w:pPr>
        <w:spacing w:line="480" w:lineRule="exact"/>
        <w:ind w:firstLine="480" w:firstLineChars="200"/>
        <w:rPr>
          <w:ins w:id="50" w:author="szybzk" w:date="2023-05-09T22:01:00Z"/>
          <w:rFonts w:hAnsi="宋体" w:cs="宋体"/>
          <w:szCs w:val="24"/>
        </w:rPr>
      </w:pPr>
      <w:r>
        <w:rPr>
          <w:rFonts w:hint="eastAsia" w:hAnsi="宋体" w:cs="宋体"/>
          <w:szCs w:val="24"/>
        </w:rPr>
        <w:t>2.2、到报率 = ∑每天上报国控取用水水量自动站监测数据条数/（每天应报国控取用水水量自动站监测数据条数* 100%）&gt;= 90%</w:t>
      </w:r>
    </w:p>
    <w:p>
      <w:pPr>
        <w:spacing w:line="480" w:lineRule="exact"/>
        <w:ind w:firstLine="480" w:firstLineChars="200"/>
        <w:rPr>
          <w:rFonts w:hAnsi="宋体" w:cs="宋体"/>
          <w:szCs w:val="24"/>
        </w:rPr>
      </w:pPr>
      <w:r>
        <w:rPr>
          <w:rFonts w:hint="eastAsia" w:hAnsi="宋体" w:cs="宋体"/>
          <w:szCs w:val="24"/>
        </w:rPr>
        <w:t>以上指标，按月进行统计、考核，各月均应达标。对于考核不达标的，运维期限在合同期限结束后的基础上依次顺延，即，一个月考核不达标，顺延一个月，两个月不达标，顺延两个月，依次类推。连续三个月考核不达标，甲方有权单方面终止合同，乙方赔偿相应的损失。</w:t>
      </w:r>
    </w:p>
    <w:p>
      <w:pPr>
        <w:pStyle w:val="5"/>
        <w:spacing w:before="624" w:line="480" w:lineRule="exact"/>
        <w:rPr>
          <w:rFonts w:ascii="宋体" w:hAnsi="宋体" w:cs="宋体"/>
        </w:rPr>
      </w:pPr>
      <w:bookmarkStart w:id="147" w:name="_Toc514618419"/>
      <w:bookmarkStart w:id="148" w:name="_Toc11435"/>
      <w:bookmarkStart w:id="149" w:name="_Toc6060"/>
      <w:r>
        <w:rPr>
          <w:rFonts w:hint="eastAsia" w:ascii="宋体" w:hAnsi="宋体" w:cs="宋体"/>
        </w:rPr>
        <w:t>3、运维期限</w:t>
      </w:r>
      <w:bookmarkEnd w:id="147"/>
      <w:bookmarkEnd w:id="148"/>
      <w:bookmarkEnd w:id="149"/>
    </w:p>
    <w:p>
      <w:pPr>
        <w:widowControl/>
        <w:spacing w:line="480" w:lineRule="exact"/>
        <w:ind w:firstLine="480" w:firstLineChars="200"/>
        <w:jc w:val="left"/>
        <w:textAlignment w:val="baseline"/>
        <w:rPr>
          <w:rFonts w:hAnsi="宋体" w:cs="宋体"/>
          <w:szCs w:val="24"/>
        </w:rPr>
      </w:pPr>
      <w:r>
        <w:rPr>
          <w:rFonts w:hint="eastAsia" w:hAnsi="宋体" w:cs="宋体"/>
          <w:szCs w:val="24"/>
        </w:rPr>
        <w:t>运维期限：自合同签订之日起12个月。</w:t>
      </w:r>
    </w:p>
    <w:p>
      <w:pPr>
        <w:pStyle w:val="5"/>
        <w:spacing w:before="624" w:line="480" w:lineRule="exact"/>
        <w:rPr>
          <w:rFonts w:ascii="宋体" w:hAnsi="宋体" w:cs="宋体"/>
        </w:rPr>
      </w:pPr>
      <w:bookmarkStart w:id="150" w:name="_Toc7355"/>
      <w:bookmarkStart w:id="151" w:name="_Toc514618420"/>
      <w:bookmarkStart w:id="152" w:name="_Toc1315"/>
      <w:r>
        <w:rPr>
          <w:rFonts w:hint="eastAsia" w:ascii="宋体" w:hAnsi="宋体" w:cs="宋体"/>
        </w:rPr>
        <w:t>4、运行维护工作要求</w:t>
      </w:r>
      <w:bookmarkEnd w:id="150"/>
      <w:bookmarkEnd w:id="151"/>
      <w:bookmarkEnd w:id="152"/>
    </w:p>
    <w:p>
      <w:pPr>
        <w:spacing w:line="480" w:lineRule="exact"/>
        <w:ind w:firstLine="480" w:firstLineChars="200"/>
        <w:rPr>
          <w:rFonts w:hAnsi="宋体" w:cs="宋体"/>
          <w:szCs w:val="24"/>
        </w:rPr>
      </w:pPr>
      <w:r>
        <w:rPr>
          <w:rFonts w:hint="eastAsia" w:hAnsi="宋体" w:cs="宋体"/>
          <w:szCs w:val="24"/>
        </w:rPr>
        <w:t>4.1、巡检</w:t>
      </w:r>
    </w:p>
    <w:p>
      <w:pPr>
        <w:spacing w:line="480" w:lineRule="exact"/>
        <w:ind w:firstLine="480" w:firstLineChars="200"/>
        <w:rPr>
          <w:rFonts w:hAnsi="宋体" w:cs="宋体"/>
          <w:szCs w:val="24"/>
        </w:rPr>
      </w:pPr>
      <w:r>
        <w:rPr>
          <w:rFonts w:hint="eastAsia" w:hAnsi="宋体" w:cs="宋体"/>
          <w:szCs w:val="24"/>
        </w:rPr>
        <w:t>（1）工作要求</w:t>
      </w:r>
    </w:p>
    <w:p>
      <w:pPr>
        <w:spacing w:line="480" w:lineRule="exact"/>
        <w:ind w:firstLine="480" w:firstLineChars="200"/>
        <w:rPr>
          <w:rFonts w:hAnsi="宋体" w:cs="宋体"/>
          <w:szCs w:val="24"/>
        </w:rPr>
      </w:pPr>
      <w:r>
        <w:rPr>
          <w:rFonts w:hint="eastAsia" w:hAnsi="宋体" w:cs="宋体"/>
          <w:szCs w:val="24"/>
        </w:rPr>
        <w:t>第一，现场巡检：全省范围内已建成359个国控水量监测点，现场巡检频次应不少于1次/月，根据监测站特点、监测内容确定巡检时间并保持相对固定。</w:t>
      </w:r>
    </w:p>
    <w:p>
      <w:pPr>
        <w:spacing w:line="480" w:lineRule="exact"/>
        <w:ind w:firstLine="480" w:firstLineChars="200"/>
        <w:rPr>
          <w:rFonts w:hAnsi="宋体" w:cs="宋体"/>
          <w:szCs w:val="24"/>
        </w:rPr>
      </w:pPr>
      <w:r>
        <w:rPr>
          <w:rFonts w:hint="eastAsia" w:hAnsi="宋体" w:cs="宋体"/>
          <w:szCs w:val="24"/>
        </w:rPr>
        <w:t>第二：远程巡检，指定专人实时远程查看监测站的运行情况和监测数据的变化，检查自动监测设备的运行情况，并做好值班记录。发现或判断仪器设备出现问题或故障时应及时维修和排除。</w:t>
      </w:r>
    </w:p>
    <w:p>
      <w:pPr>
        <w:spacing w:line="480" w:lineRule="exact"/>
        <w:ind w:firstLine="480" w:firstLineChars="200"/>
        <w:rPr>
          <w:rFonts w:hAnsi="宋体" w:cs="宋体"/>
          <w:szCs w:val="24"/>
        </w:rPr>
      </w:pPr>
      <w:r>
        <w:rPr>
          <w:rFonts w:hint="eastAsia" w:hAnsi="宋体" w:cs="宋体"/>
          <w:szCs w:val="24"/>
        </w:rPr>
        <w:t>第三，现场巡检：应对监测站整个监测系统进行检查，检查设备运行状况及周围环境的变化，发现设施问题和危及安全的隐患，及时采取有效措施，确保整个监测系统正常、稳定运行；除现场巡检外，运维期出现其他影响系统正常运行状况的，应及时排除，必要时，应到现场解决异常问题，确保监测系统正常、稳定运行。</w:t>
      </w:r>
    </w:p>
    <w:p>
      <w:pPr>
        <w:spacing w:line="480" w:lineRule="exact"/>
        <w:ind w:firstLine="360" w:firstLineChars="150"/>
        <w:rPr>
          <w:rFonts w:hAnsi="宋体" w:cs="宋体"/>
          <w:szCs w:val="24"/>
        </w:rPr>
      </w:pPr>
      <w:r>
        <w:rPr>
          <w:rFonts w:hint="eastAsia" w:hAnsi="宋体" w:cs="宋体"/>
          <w:szCs w:val="24"/>
        </w:rPr>
        <w:t>（2）工作内容：</w:t>
      </w:r>
    </w:p>
    <w:p>
      <w:pPr>
        <w:spacing w:line="480" w:lineRule="exact"/>
        <w:ind w:firstLine="480" w:firstLineChars="200"/>
        <w:rPr>
          <w:rFonts w:hAnsi="宋体" w:cs="宋体"/>
          <w:szCs w:val="24"/>
        </w:rPr>
      </w:pPr>
      <w:r>
        <w:rPr>
          <w:rFonts w:hint="eastAsia" w:hAnsi="宋体" w:cs="宋体"/>
          <w:szCs w:val="24"/>
        </w:rPr>
        <w:t>1）外部环境检查：测站周围环境变化以及环境变化对测站的影响。测站外部环境检查时应对测站周边环境进行拍照。</w:t>
      </w:r>
    </w:p>
    <w:p>
      <w:pPr>
        <w:spacing w:line="480" w:lineRule="exact"/>
        <w:ind w:firstLine="480" w:firstLineChars="200"/>
        <w:rPr>
          <w:rFonts w:hAnsi="宋体" w:cs="宋体"/>
          <w:szCs w:val="24"/>
        </w:rPr>
      </w:pPr>
      <w:r>
        <w:rPr>
          <w:rFonts w:hint="eastAsia" w:hAnsi="宋体" w:cs="宋体"/>
          <w:szCs w:val="24"/>
        </w:rPr>
        <w:t>2）监测站附属设施检查：测站仪器安装基础、支架、站房、测井、接地、避雷、链接线路等设施状态。</w:t>
      </w:r>
    </w:p>
    <w:p>
      <w:pPr>
        <w:spacing w:line="480" w:lineRule="exact"/>
        <w:ind w:firstLine="480" w:firstLineChars="200"/>
        <w:rPr>
          <w:rFonts w:hAnsi="宋体" w:cs="宋体"/>
          <w:szCs w:val="24"/>
        </w:rPr>
      </w:pPr>
      <w:r>
        <w:rPr>
          <w:rFonts w:hint="eastAsia" w:hAnsi="宋体" w:cs="宋体"/>
          <w:szCs w:val="24"/>
        </w:rPr>
        <w:t>3）监测站设备检查：测站流量计/水位计、数据采集、传输终端和供电设备等设施外观、工作状态和设备参数等。</w:t>
      </w:r>
    </w:p>
    <w:p>
      <w:pPr>
        <w:spacing w:line="480" w:lineRule="exact"/>
        <w:ind w:firstLine="480" w:firstLineChars="200"/>
        <w:rPr>
          <w:rFonts w:hAnsi="宋体" w:cs="宋体"/>
          <w:szCs w:val="24"/>
        </w:rPr>
      </w:pPr>
      <w:r>
        <w:rPr>
          <w:rFonts w:hint="eastAsia" w:hAnsi="宋体" w:cs="宋体"/>
          <w:szCs w:val="24"/>
        </w:rPr>
        <w:t>4.2、故障处置</w:t>
      </w:r>
    </w:p>
    <w:p>
      <w:pPr>
        <w:spacing w:line="480" w:lineRule="exact"/>
        <w:ind w:firstLine="480" w:firstLineChars="200"/>
        <w:rPr>
          <w:rFonts w:hAnsi="宋体" w:cs="宋体"/>
          <w:szCs w:val="24"/>
        </w:rPr>
      </w:pPr>
      <w:r>
        <w:rPr>
          <w:rFonts w:hint="eastAsia" w:hAnsi="宋体" w:cs="宋体"/>
          <w:szCs w:val="24"/>
        </w:rPr>
        <w:t>测站监测设施发生故障时，应根据故障维护等级控制指标，在规定的时间内消除故障。根据2302SZY505—2015故障严重性和受影响的重要性将故障分为一般故障和重大故障两级。故障处置宜遵循先 “先重大，后一般，先抢通，后修复”的原则。故障处置应根据预设的工作流程开展，并填写故障处置作业单。</w:t>
      </w:r>
    </w:p>
    <w:p>
      <w:pPr>
        <w:spacing w:line="480" w:lineRule="exact"/>
        <w:ind w:firstLine="480" w:firstLineChars="200"/>
        <w:rPr>
          <w:rFonts w:hAnsi="宋体" w:cs="宋体"/>
          <w:szCs w:val="24"/>
        </w:rPr>
      </w:pPr>
      <w:r>
        <w:rPr>
          <w:rFonts w:hint="eastAsia" w:hAnsi="宋体" w:cs="宋体"/>
          <w:szCs w:val="24"/>
        </w:rPr>
        <w:t>（1）一般故障处置。一般故障是指测站设备性能异常或工作状况异常但暂不影响测站设备工作，或数据出现漂移不准确。一般故障修复应不超过两日。</w:t>
      </w:r>
    </w:p>
    <w:p>
      <w:pPr>
        <w:spacing w:line="480" w:lineRule="exact"/>
        <w:ind w:firstLine="480" w:firstLineChars="200"/>
        <w:rPr>
          <w:rFonts w:hAnsi="宋体" w:cs="宋体"/>
          <w:szCs w:val="24"/>
        </w:rPr>
      </w:pPr>
      <w:r>
        <w:rPr>
          <w:rFonts w:hint="eastAsia" w:hAnsi="宋体" w:cs="宋体"/>
          <w:szCs w:val="24"/>
        </w:rPr>
        <w:t>（2）重大故障。重大故障是指测站设备不能正常工作，数据不能采集或传输。重大故障修复应不超过一日。</w:t>
      </w:r>
    </w:p>
    <w:p>
      <w:pPr>
        <w:spacing w:line="480" w:lineRule="exact"/>
        <w:ind w:firstLine="480" w:firstLineChars="200"/>
        <w:rPr>
          <w:rFonts w:hAnsi="宋体" w:cs="宋体"/>
          <w:szCs w:val="24"/>
        </w:rPr>
      </w:pPr>
      <w:r>
        <w:rPr>
          <w:rFonts w:hint="eastAsia" w:hAnsi="宋体" w:cs="宋体"/>
          <w:szCs w:val="24"/>
        </w:rPr>
        <w:t>（3）故障处置完成后应填写故障处置记录表，及时记录故障处理方法、做好故障总结，并定期进行统计分析，对发生频次较多的故障现象应进行重点分析，采取相应措施，降低故障发生率。</w:t>
      </w:r>
    </w:p>
    <w:p>
      <w:pPr>
        <w:spacing w:line="480" w:lineRule="exact"/>
        <w:ind w:firstLine="480" w:firstLineChars="200"/>
        <w:rPr>
          <w:rFonts w:hAnsi="宋体" w:cs="宋体"/>
          <w:szCs w:val="24"/>
        </w:rPr>
      </w:pPr>
      <w:r>
        <w:rPr>
          <w:rFonts w:hint="eastAsia" w:hAnsi="宋体" w:cs="宋体"/>
          <w:szCs w:val="24"/>
        </w:rPr>
        <w:t>（4）工作细则</w:t>
      </w:r>
    </w:p>
    <w:p>
      <w:pPr>
        <w:spacing w:line="480" w:lineRule="exact"/>
        <w:ind w:firstLine="480" w:firstLineChars="200"/>
        <w:rPr>
          <w:rFonts w:hAnsi="宋体" w:cs="宋体"/>
          <w:bCs/>
          <w:szCs w:val="24"/>
        </w:rPr>
      </w:pPr>
      <w:r>
        <w:rPr>
          <w:rFonts w:hint="eastAsia" w:hAnsi="宋体" w:cs="宋体"/>
          <w:bCs/>
          <w:szCs w:val="24"/>
        </w:rPr>
        <w:t>a）故障判断</w:t>
      </w:r>
    </w:p>
    <w:p>
      <w:pPr>
        <w:spacing w:line="480" w:lineRule="exact"/>
        <w:ind w:firstLine="480" w:firstLineChars="200"/>
        <w:rPr>
          <w:rFonts w:hAnsi="宋体" w:cs="宋体"/>
          <w:bCs/>
          <w:szCs w:val="24"/>
        </w:rPr>
      </w:pPr>
      <w:r>
        <w:rPr>
          <w:rFonts w:hint="eastAsia" w:hAnsi="宋体" w:cs="宋体"/>
          <w:bCs/>
          <w:szCs w:val="24"/>
        </w:rPr>
        <w:t>采集系统故障判断：</w:t>
      </w:r>
    </w:p>
    <w:p>
      <w:pPr>
        <w:spacing w:line="480" w:lineRule="exact"/>
        <w:ind w:firstLine="480" w:firstLineChars="200"/>
        <w:rPr>
          <w:rFonts w:hAnsi="宋体" w:cs="宋体"/>
          <w:szCs w:val="24"/>
        </w:rPr>
      </w:pPr>
      <w:r>
        <w:rPr>
          <w:rFonts w:hint="eastAsia" w:hAnsi="宋体" w:cs="宋体"/>
          <w:bCs/>
          <w:szCs w:val="24"/>
        </w:rPr>
        <w:t>分析分中心实</w:t>
      </w:r>
      <w:r>
        <w:rPr>
          <w:rFonts w:hint="eastAsia" w:hAnsi="宋体" w:cs="宋体"/>
          <w:szCs w:val="24"/>
        </w:rPr>
        <w:t>时数据，初步判断故障原因。</w:t>
      </w:r>
    </w:p>
    <w:p>
      <w:pPr>
        <w:spacing w:line="480" w:lineRule="exact"/>
        <w:ind w:firstLine="480" w:firstLineChars="200"/>
        <w:rPr>
          <w:rFonts w:hAnsi="宋体" w:cs="宋体"/>
          <w:szCs w:val="24"/>
        </w:rPr>
      </w:pPr>
      <w:r>
        <w:rPr>
          <w:rFonts w:hint="eastAsia" w:hAnsi="宋体" w:cs="宋体"/>
          <w:szCs w:val="24"/>
        </w:rPr>
        <w:t>遥测站在整点无数据，认定为遥测站故障。</w:t>
      </w:r>
    </w:p>
    <w:p>
      <w:pPr>
        <w:spacing w:line="480" w:lineRule="exact"/>
        <w:ind w:firstLine="480" w:firstLineChars="200"/>
        <w:rPr>
          <w:rFonts w:hAnsi="宋体" w:cs="宋体"/>
          <w:szCs w:val="24"/>
        </w:rPr>
      </w:pPr>
      <w:r>
        <w:rPr>
          <w:rFonts w:hint="eastAsia" w:hAnsi="宋体" w:cs="宋体"/>
          <w:szCs w:val="24"/>
        </w:rPr>
        <w:t>检查通信避雷模块工作是否正常。</w:t>
      </w:r>
    </w:p>
    <w:p>
      <w:pPr>
        <w:spacing w:line="480" w:lineRule="exact"/>
        <w:ind w:firstLine="480" w:firstLineChars="200"/>
        <w:rPr>
          <w:rFonts w:hAnsi="宋体" w:cs="宋体"/>
          <w:szCs w:val="24"/>
        </w:rPr>
      </w:pPr>
      <w:r>
        <w:rPr>
          <w:rFonts w:hint="eastAsia" w:hAnsi="宋体" w:cs="宋体"/>
          <w:szCs w:val="24"/>
        </w:rPr>
        <w:t>如所有遥测站在整点无数据，则可考虑是否为通信网络故障。</w:t>
      </w:r>
    </w:p>
    <w:p>
      <w:pPr>
        <w:spacing w:line="480" w:lineRule="exact"/>
        <w:ind w:firstLine="480" w:firstLineChars="200"/>
        <w:rPr>
          <w:rFonts w:hAnsi="宋体" w:cs="宋体"/>
          <w:szCs w:val="24"/>
        </w:rPr>
      </w:pPr>
      <w:r>
        <w:rPr>
          <w:rFonts w:hint="eastAsia" w:hAnsi="宋体" w:cs="宋体"/>
          <w:szCs w:val="24"/>
        </w:rPr>
        <w:t>遥测终端、数据通信终端故障判断：</w:t>
      </w:r>
    </w:p>
    <w:p>
      <w:pPr>
        <w:spacing w:line="480" w:lineRule="exact"/>
        <w:ind w:firstLine="480" w:firstLineChars="200"/>
        <w:rPr>
          <w:rFonts w:hAnsi="宋体" w:cs="宋体"/>
          <w:szCs w:val="24"/>
        </w:rPr>
      </w:pPr>
      <w:r>
        <w:rPr>
          <w:rFonts w:hint="eastAsia" w:hAnsi="宋体" w:cs="宋体"/>
          <w:szCs w:val="24"/>
        </w:rPr>
        <w:t>使用接收装置，在规定的发信时段内能否接收到RTU发送的数据，不能则初步认定RTU故障，更换RTU进一步判断。</w:t>
      </w:r>
    </w:p>
    <w:p>
      <w:pPr>
        <w:spacing w:line="480" w:lineRule="exact"/>
        <w:ind w:firstLine="480" w:firstLineChars="200"/>
        <w:rPr>
          <w:rFonts w:hAnsi="宋体" w:cs="宋体"/>
          <w:szCs w:val="24"/>
        </w:rPr>
      </w:pPr>
      <w:r>
        <w:rPr>
          <w:rFonts w:hint="eastAsia" w:hAnsi="宋体" w:cs="宋体"/>
          <w:szCs w:val="24"/>
        </w:rPr>
        <w:t>使用发送装置，向DTU发送规定的数据，判断中心站能否接收到正确的数据，不能则初步判断DTU故障，更换DTU或SIM卡进一步判断故障。</w:t>
      </w:r>
    </w:p>
    <w:p>
      <w:pPr>
        <w:spacing w:line="480" w:lineRule="exact"/>
        <w:ind w:firstLine="480" w:firstLineChars="200"/>
        <w:rPr>
          <w:rFonts w:hAnsi="宋体" w:cs="宋体"/>
          <w:szCs w:val="24"/>
        </w:rPr>
      </w:pPr>
      <w:r>
        <w:rPr>
          <w:rFonts w:hint="eastAsia" w:hAnsi="宋体" w:cs="宋体"/>
          <w:szCs w:val="24"/>
        </w:rPr>
        <w:t>计量设备故障判断：</w:t>
      </w:r>
    </w:p>
    <w:p>
      <w:pPr>
        <w:spacing w:line="480" w:lineRule="exact"/>
        <w:ind w:firstLine="480" w:firstLineChars="200"/>
        <w:rPr>
          <w:rFonts w:hAnsi="宋体" w:cs="宋体"/>
          <w:szCs w:val="24"/>
        </w:rPr>
      </w:pPr>
      <w:r>
        <w:rPr>
          <w:rFonts w:hint="eastAsia" w:hAnsi="宋体" w:cs="宋体"/>
          <w:szCs w:val="24"/>
        </w:rPr>
        <w:t>当计量设备采集的数据不正常时，判断计量设备故障。</w:t>
      </w:r>
    </w:p>
    <w:p>
      <w:pPr>
        <w:spacing w:line="480" w:lineRule="exact"/>
        <w:ind w:firstLine="480" w:firstLineChars="200"/>
        <w:rPr>
          <w:rFonts w:hAnsi="宋体" w:cs="宋体"/>
          <w:szCs w:val="24"/>
        </w:rPr>
      </w:pPr>
      <w:r>
        <w:rPr>
          <w:rFonts w:hint="eastAsia" w:hAnsi="宋体" w:cs="宋体"/>
          <w:szCs w:val="24"/>
        </w:rPr>
        <w:t>当计量设备采集的数据正常时，计量设备显示有数据变化，而RTU没有数据变化，初步判断计量设备与RTU的信号传输有故障。通过信号接收装置能否接收到计量设备的数据信号，不能则判断计量设备的信号传输部分有故障；能则判断信号传输线路有故障。</w:t>
      </w:r>
    </w:p>
    <w:p>
      <w:pPr>
        <w:spacing w:line="480" w:lineRule="exact"/>
        <w:ind w:firstLine="480" w:firstLineChars="200"/>
        <w:rPr>
          <w:rFonts w:hAnsi="宋体" w:cs="宋体"/>
          <w:szCs w:val="24"/>
        </w:rPr>
      </w:pPr>
      <w:r>
        <w:rPr>
          <w:rFonts w:hint="eastAsia" w:hAnsi="宋体" w:cs="宋体"/>
          <w:szCs w:val="24"/>
        </w:rPr>
        <w:t>b）故障处理要求</w:t>
      </w:r>
    </w:p>
    <w:p>
      <w:pPr>
        <w:spacing w:line="480" w:lineRule="exact"/>
        <w:ind w:firstLine="480" w:firstLineChars="200"/>
        <w:rPr>
          <w:rFonts w:hAnsi="宋体" w:cs="宋体"/>
          <w:szCs w:val="24"/>
        </w:rPr>
      </w:pPr>
      <w:r>
        <w:rPr>
          <w:rFonts w:hint="eastAsia" w:hAnsi="宋体" w:cs="宋体"/>
          <w:szCs w:val="24"/>
        </w:rPr>
        <w:t>时间要求:</w:t>
      </w:r>
    </w:p>
    <w:p>
      <w:pPr>
        <w:spacing w:line="480" w:lineRule="exact"/>
        <w:ind w:firstLine="480" w:firstLineChars="200"/>
        <w:rPr>
          <w:rFonts w:hAnsi="宋体" w:cs="宋体"/>
          <w:szCs w:val="24"/>
        </w:rPr>
      </w:pPr>
      <w:r>
        <w:rPr>
          <w:rFonts w:hint="eastAsia" w:hAnsi="宋体" w:cs="宋体"/>
          <w:szCs w:val="24"/>
        </w:rPr>
        <w:t>RTU发生故障应在24小时之内处理。</w:t>
      </w:r>
    </w:p>
    <w:p>
      <w:pPr>
        <w:spacing w:line="480" w:lineRule="exact"/>
        <w:ind w:firstLine="480" w:firstLineChars="200"/>
        <w:rPr>
          <w:rFonts w:hAnsi="宋体" w:cs="宋体"/>
          <w:szCs w:val="24"/>
        </w:rPr>
      </w:pPr>
      <w:r>
        <w:rPr>
          <w:rFonts w:hint="eastAsia" w:hAnsi="宋体" w:cs="宋体"/>
          <w:szCs w:val="24"/>
        </w:rPr>
        <w:t>计量设备发生一般故障应在24小时内处理，更换设备应在48小时内处理。</w:t>
      </w:r>
    </w:p>
    <w:p>
      <w:pPr>
        <w:spacing w:line="480" w:lineRule="exact"/>
        <w:ind w:firstLine="480" w:firstLineChars="200"/>
        <w:rPr>
          <w:rFonts w:hAnsi="宋体" w:cs="宋体"/>
          <w:szCs w:val="24"/>
        </w:rPr>
      </w:pPr>
      <w:r>
        <w:rPr>
          <w:rFonts w:hint="eastAsia" w:hAnsi="宋体" w:cs="宋体"/>
          <w:szCs w:val="24"/>
        </w:rPr>
        <w:t>c）处理故障注意事项</w:t>
      </w:r>
    </w:p>
    <w:p>
      <w:pPr>
        <w:spacing w:line="480" w:lineRule="exact"/>
        <w:ind w:firstLine="480" w:firstLineChars="200"/>
        <w:rPr>
          <w:rFonts w:hAnsi="宋体" w:cs="宋体"/>
          <w:szCs w:val="24"/>
        </w:rPr>
      </w:pPr>
      <w:r>
        <w:rPr>
          <w:rFonts w:hint="eastAsia" w:hAnsi="宋体" w:cs="宋体"/>
          <w:szCs w:val="24"/>
        </w:rPr>
        <w:t>各种仪器的电源插座必须是三芯单相制，其中接地端同地线良好连接。</w:t>
      </w:r>
    </w:p>
    <w:p>
      <w:pPr>
        <w:spacing w:line="480" w:lineRule="exact"/>
        <w:ind w:firstLine="480" w:firstLineChars="200"/>
        <w:rPr>
          <w:rFonts w:hAnsi="宋体" w:cs="宋体"/>
          <w:szCs w:val="24"/>
        </w:rPr>
      </w:pPr>
      <w:r>
        <w:rPr>
          <w:rFonts w:hint="eastAsia" w:hAnsi="宋体" w:cs="宋体"/>
          <w:szCs w:val="24"/>
        </w:rPr>
        <w:t>检修工作设备应有良好的接地端子。</w:t>
      </w:r>
    </w:p>
    <w:p>
      <w:pPr>
        <w:spacing w:line="480" w:lineRule="exact"/>
        <w:ind w:firstLine="480" w:firstLineChars="200"/>
        <w:rPr>
          <w:rFonts w:hAnsi="宋体" w:cs="宋体"/>
          <w:szCs w:val="24"/>
        </w:rPr>
      </w:pPr>
      <w:r>
        <w:rPr>
          <w:rFonts w:hint="eastAsia" w:hAnsi="宋体" w:cs="宋体"/>
          <w:szCs w:val="24"/>
        </w:rPr>
        <w:t>检修设备时，设备外壳须接地，并注意不要接触仪器的高压或电源部分。</w:t>
      </w:r>
    </w:p>
    <w:p>
      <w:pPr>
        <w:spacing w:line="480" w:lineRule="exact"/>
        <w:ind w:firstLine="480" w:firstLineChars="200"/>
        <w:rPr>
          <w:rFonts w:hAnsi="宋体" w:cs="宋体"/>
          <w:szCs w:val="24"/>
        </w:rPr>
      </w:pPr>
      <w:r>
        <w:rPr>
          <w:rFonts w:hint="eastAsia" w:hAnsi="宋体" w:cs="宋体"/>
          <w:szCs w:val="24"/>
        </w:rPr>
        <w:t>严禁带电插拔电路板或拆装元件。</w:t>
      </w:r>
    </w:p>
    <w:p>
      <w:pPr>
        <w:spacing w:line="480" w:lineRule="exact"/>
        <w:ind w:firstLine="480" w:firstLineChars="200"/>
        <w:rPr>
          <w:rFonts w:hAnsi="宋体" w:cs="宋体"/>
          <w:szCs w:val="24"/>
        </w:rPr>
      </w:pPr>
      <w:r>
        <w:rPr>
          <w:rFonts w:hint="eastAsia" w:hAnsi="宋体" w:cs="宋体"/>
          <w:szCs w:val="24"/>
        </w:rPr>
        <w:t>待修电路板下不可有金属物（包括金属屑），以防短路。</w:t>
      </w:r>
    </w:p>
    <w:p>
      <w:pPr>
        <w:spacing w:line="480" w:lineRule="exact"/>
        <w:ind w:firstLine="480" w:firstLineChars="200"/>
        <w:rPr>
          <w:rFonts w:hAnsi="宋体" w:cs="宋体"/>
          <w:szCs w:val="24"/>
        </w:rPr>
      </w:pPr>
      <w:r>
        <w:rPr>
          <w:rFonts w:hint="eastAsia" w:hAnsi="宋体" w:cs="宋体"/>
          <w:szCs w:val="24"/>
        </w:rPr>
        <w:t>设备检修工作必须由两人以上进行，其中必须包括工作负责人。</w:t>
      </w:r>
    </w:p>
    <w:p>
      <w:pPr>
        <w:spacing w:line="480" w:lineRule="exact"/>
        <w:ind w:firstLine="480" w:firstLineChars="200"/>
        <w:rPr>
          <w:rFonts w:hAnsi="宋体" w:cs="宋体"/>
          <w:szCs w:val="24"/>
        </w:rPr>
      </w:pPr>
      <w:r>
        <w:rPr>
          <w:rFonts w:hint="eastAsia" w:hAnsi="宋体" w:cs="宋体"/>
          <w:szCs w:val="24"/>
        </w:rPr>
        <w:t>每次检修过程中必须认真做好记录，检修完毕后详细填写检修报告，并存档。</w:t>
      </w:r>
    </w:p>
    <w:p>
      <w:pPr>
        <w:spacing w:line="480" w:lineRule="exact"/>
        <w:ind w:firstLine="480" w:firstLineChars="200"/>
        <w:rPr>
          <w:rFonts w:hAnsi="宋体" w:cs="宋体"/>
          <w:szCs w:val="24"/>
        </w:rPr>
      </w:pPr>
      <w:r>
        <w:rPr>
          <w:rFonts w:hint="eastAsia" w:hAnsi="宋体" w:cs="宋体"/>
          <w:szCs w:val="24"/>
        </w:rPr>
        <w:t>d）故障处理内容</w:t>
      </w:r>
    </w:p>
    <w:p>
      <w:pPr>
        <w:spacing w:line="480" w:lineRule="exact"/>
        <w:ind w:firstLine="480" w:firstLineChars="200"/>
        <w:rPr>
          <w:rFonts w:hAnsi="宋体" w:cs="宋体"/>
          <w:szCs w:val="24"/>
        </w:rPr>
      </w:pPr>
      <w:r>
        <w:rPr>
          <w:rFonts w:hint="eastAsia" w:hAnsi="宋体" w:cs="宋体"/>
          <w:szCs w:val="24"/>
        </w:rPr>
        <w:t>电源、机箱内设备：</w:t>
      </w:r>
    </w:p>
    <w:p>
      <w:pPr>
        <w:spacing w:line="480" w:lineRule="exact"/>
        <w:ind w:firstLine="480" w:firstLineChars="200"/>
        <w:rPr>
          <w:rFonts w:hAnsi="宋体" w:cs="宋体"/>
          <w:szCs w:val="24"/>
        </w:rPr>
      </w:pPr>
      <w:r>
        <w:rPr>
          <w:rFonts w:hint="eastAsia" w:hAnsi="宋体" w:cs="宋体"/>
          <w:szCs w:val="24"/>
        </w:rPr>
        <w:t>检查电源熔丝是否熔断，断路开关是否保护跳闸。</w:t>
      </w:r>
    </w:p>
    <w:p>
      <w:pPr>
        <w:spacing w:line="480" w:lineRule="exact"/>
        <w:ind w:firstLine="480" w:firstLineChars="200"/>
        <w:rPr>
          <w:rFonts w:hAnsi="宋体" w:cs="宋体"/>
          <w:szCs w:val="24"/>
        </w:rPr>
      </w:pPr>
      <w:r>
        <w:rPr>
          <w:rFonts w:hint="eastAsia" w:hAnsi="宋体" w:cs="宋体"/>
          <w:szCs w:val="24"/>
        </w:rPr>
        <w:t>检查设备连接线是否连接正确和接触良好。</w:t>
      </w:r>
    </w:p>
    <w:p>
      <w:pPr>
        <w:spacing w:line="480" w:lineRule="exact"/>
        <w:ind w:firstLine="480" w:firstLineChars="200"/>
        <w:rPr>
          <w:rFonts w:hAnsi="宋体" w:cs="宋体"/>
          <w:szCs w:val="24"/>
        </w:rPr>
      </w:pPr>
      <w:r>
        <w:rPr>
          <w:rFonts w:hint="eastAsia" w:hAnsi="宋体" w:cs="宋体"/>
          <w:szCs w:val="24"/>
        </w:rPr>
        <w:t>检查太阳能电池板、开关电源是否正常。</w:t>
      </w:r>
    </w:p>
    <w:p>
      <w:pPr>
        <w:spacing w:line="480" w:lineRule="exact"/>
        <w:ind w:firstLine="480" w:firstLineChars="200"/>
        <w:rPr>
          <w:rFonts w:hAnsi="宋体" w:cs="宋体"/>
          <w:szCs w:val="24"/>
        </w:rPr>
      </w:pPr>
      <w:r>
        <w:rPr>
          <w:rFonts w:hint="eastAsia" w:hAnsi="宋体" w:cs="宋体"/>
          <w:szCs w:val="24"/>
        </w:rPr>
        <w:t>检查蓄电池电压是否正常。</w:t>
      </w:r>
    </w:p>
    <w:p>
      <w:pPr>
        <w:spacing w:line="480" w:lineRule="exact"/>
        <w:ind w:firstLine="480" w:firstLineChars="200"/>
        <w:rPr>
          <w:rFonts w:hAnsi="宋体" w:cs="宋体"/>
          <w:szCs w:val="24"/>
        </w:rPr>
      </w:pPr>
      <w:r>
        <w:rPr>
          <w:rFonts w:hint="eastAsia" w:hAnsi="宋体" w:cs="宋体"/>
          <w:szCs w:val="24"/>
        </w:rPr>
        <w:t>检查天线与馈线连接是否良好。</w:t>
      </w:r>
    </w:p>
    <w:p>
      <w:pPr>
        <w:spacing w:line="480" w:lineRule="exact"/>
        <w:ind w:firstLine="480" w:firstLineChars="200"/>
        <w:rPr>
          <w:rFonts w:hAnsi="宋体" w:cs="宋体"/>
          <w:szCs w:val="24"/>
        </w:rPr>
      </w:pPr>
      <w:r>
        <w:rPr>
          <w:rFonts w:hint="eastAsia" w:hAnsi="宋体" w:cs="宋体"/>
          <w:szCs w:val="24"/>
        </w:rPr>
        <w:t>检查RTU工作参数设置是否正确。</w:t>
      </w:r>
    </w:p>
    <w:p>
      <w:pPr>
        <w:spacing w:line="480" w:lineRule="exact"/>
        <w:ind w:firstLine="480" w:firstLineChars="200"/>
        <w:rPr>
          <w:rFonts w:hAnsi="宋体" w:cs="宋体"/>
          <w:szCs w:val="24"/>
        </w:rPr>
      </w:pPr>
      <w:r>
        <w:rPr>
          <w:rFonts w:hint="eastAsia" w:hAnsi="宋体" w:cs="宋体"/>
          <w:szCs w:val="24"/>
        </w:rPr>
        <w:t>故障处理完毕，发送/接收数据以确认设备工作是否正常。</w:t>
      </w:r>
    </w:p>
    <w:p>
      <w:pPr>
        <w:spacing w:line="480" w:lineRule="exact"/>
        <w:ind w:firstLine="480" w:firstLineChars="200"/>
        <w:rPr>
          <w:rFonts w:hAnsi="宋体" w:cs="宋体"/>
          <w:szCs w:val="24"/>
        </w:rPr>
      </w:pPr>
      <w:r>
        <w:rPr>
          <w:rFonts w:hint="eastAsia" w:hAnsi="宋体" w:cs="宋体"/>
          <w:szCs w:val="24"/>
        </w:rPr>
        <w:t>设备回装到位后，填写故障处理记录，清理现场。</w:t>
      </w:r>
    </w:p>
    <w:p>
      <w:pPr>
        <w:spacing w:line="480" w:lineRule="exact"/>
        <w:ind w:firstLine="480" w:firstLineChars="200"/>
        <w:rPr>
          <w:rFonts w:hAnsi="宋体" w:cs="宋体"/>
          <w:szCs w:val="24"/>
        </w:rPr>
      </w:pPr>
      <w:r>
        <w:rPr>
          <w:rFonts w:hint="eastAsia" w:hAnsi="宋体" w:cs="宋体"/>
          <w:szCs w:val="24"/>
        </w:rPr>
        <w:t>计量设施：</w:t>
      </w:r>
    </w:p>
    <w:p>
      <w:pPr>
        <w:spacing w:line="480" w:lineRule="exact"/>
        <w:ind w:firstLine="480" w:firstLineChars="200"/>
        <w:rPr>
          <w:rFonts w:hAnsi="宋体" w:cs="宋体"/>
          <w:szCs w:val="24"/>
        </w:rPr>
      </w:pPr>
      <w:r>
        <w:rPr>
          <w:rFonts w:hint="eastAsia" w:hAnsi="宋体" w:cs="宋体"/>
          <w:szCs w:val="24"/>
        </w:rPr>
        <w:t>检查设备连接线是否正确和接触良好。</w:t>
      </w:r>
    </w:p>
    <w:p>
      <w:pPr>
        <w:spacing w:line="480" w:lineRule="exact"/>
        <w:ind w:firstLine="480" w:firstLineChars="200"/>
        <w:rPr>
          <w:rFonts w:hAnsi="宋体" w:cs="宋体"/>
          <w:szCs w:val="24"/>
        </w:rPr>
      </w:pPr>
      <w:r>
        <w:rPr>
          <w:rFonts w:hint="eastAsia" w:hAnsi="宋体" w:cs="宋体"/>
          <w:szCs w:val="24"/>
        </w:rPr>
        <w:t>检查设备参数是否正确。</w:t>
      </w:r>
    </w:p>
    <w:p>
      <w:pPr>
        <w:spacing w:line="480" w:lineRule="exact"/>
        <w:ind w:firstLine="480" w:firstLineChars="200"/>
        <w:rPr>
          <w:rFonts w:hAnsi="宋体" w:cs="宋体"/>
          <w:szCs w:val="24"/>
        </w:rPr>
      </w:pPr>
      <w:r>
        <w:rPr>
          <w:rFonts w:hint="eastAsia" w:hAnsi="宋体" w:cs="宋体"/>
          <w:szCs w:val="24"/>
        </w:rPr>
        <w:t>检查设备状态指示。</w:t>
      </w:r>
    </w:p>
    <w:p>
      <w:pPr>
        <w:spacing w:line="480" w:lineRule="exact"/>
        <w:ind w:firstLine="480" w:firstLineChars="200"/>
        <w:rPr>
          <w:rFonts w:hAnsi="宋体" w:cs="宋体"/>
          <w:szCs w:val="24"/>
        </w:rPr>
      </w:pPr>
      <w:r>
        <w:rPr>
          <w:rFonts w:hint="eastAsia" w:hAnsi="宋体" w:cs="宋体"/>
          <w:szCs w:val="24"/>
        </w:rPr>
        <w:t>检测设备与RTU信号传输是否正确。</w:t>
      </w:r>
    </w:p>
    <w:p>
      <w:pPr>
        <w:spacing w:line="480" w:lineRule="exact"/>
        <w:ind w:firstLine="480" w:firstLineChars="200"/>
        <w:rPr>
          <w:rFonts w:hAnsi="宋体" w:cs="宋体"/>
          <w:szCs w:val="24"/>
        </w:rPr>
      </w:pPr>
      <w:r>
        <w:rPr>
          <w:rFonts w:hint="eastAsia" w:hAnsi="宋体" w:cs="宋体"/>
          <w:szCs w:val="24"/>
        </w:rPr>
        <w:t>设备故障排除后，填写故障处理记录。</w:t>
      </w:r>
    </w:p>
    <w:p>
      <w:pPr>
        <w:spacing w:line="480" w:lineRule="exact"/>
        <w:ind w:firstLine="480" w:firstLineChars="200"/>
        <w:rPr>
          <w:rFonts w:hAnsi="宋体" w:cs="宋体"/>
          <w:szCs w:val="24"/>
        </w:rPr>
      </w:pPr>
      <w:r>
        <w:rPr>
          <w:rFonts w:hint="eastAsia" w:hAnsi="宋体" w:cs="宋体"/>
          <w:szCs w:val="24"/>
        </w:rPr>
        <w:t>4.3、维护</w:t>
      </w:r>
    </w:p>
    <w:p>
      <w:pPr>
        <w:spacing w:line="480" w:lineRule="exact"/>
        <w:ind w:firstLine="480" w:firstLineChars="200"/>
        <w:rPr>
          <w:rFonts w:hAnsi="宋体" w:cs="宋体"/>
          <w:szCs w:val="24"/>
        </w:rPr>
      </w:pPr>
      <w:r>
        <w:rPr>
          <w:rFonts w:hint="eastAsia" w:hAnsi="宋体" w:cs="宋体"/>
          <w:szCs w:val="24"/>
        </w:rPr>
        <w:t>a）每日对测站上传数据分析，检查数据到达率，数据合理性，故障数据的分析和研判，根据工作内容做好记录。</w:t>
      </w:r>
    </w:p>
    <w:p>
      <w:pPr>
        <w:spacing w:line="480" w:lineRule="exact"/>
        <w:ind w:firstLine="480" w:firstLineChars="200"/>
        <w:rPr>
          <w:rFonts w:hAnsi="宋体" w:cs="宋体"/>
          <w:szCs w:val="24"/>
        </w:rPr>
      </w:pPr>
      <w:r>
        <w:rPr>
          <w:rFonts w:hint="eastAsia" w:hAnsi="宋体" w:cs="宋体"/>
          <w:szCs w:val="24"/>
        </w:rPr>
        <w:t>b）定期做好数据备份，备份频次不少于每月一次。</w:t>
      </w:r>
    </w:p>
    <w:p>
      <w:pPr>
        <w:spacing w:line="480" w:lineRule="exact"/>
        <w:ind w:firstLine="480" w:firstLineChars="200"/>
        <w:rPr>
          <w:rFonts w:hAnsi="宋体" w:cs="宋体"/>
          <w:szCs w:val="24"/>
        </w:rPr>
      </w:pPr>
      <w:r>
        <w:rPr>
          <w:rFonts w:hint="eastAsia" w:hAnsi="宋体" w:cs="宋体"/>
          <w:szCs w:val="24"/>
        </w:rPr>
        <w:t>c）管道型水量自动监测站在质保期内，若使用单位对计量设施的监测数据出现较大异议时，由中标单位和使用单位协商处理，运行维护单位应定期进行分析总结，包括信息系统运行状况的分析总结、运行维护工作的分析总结及安全状况分析总结，提出优化完善建议，并优化改进运行维护工作。</w:t>
      </w:r>
    </w:p>
    <w:p>
      <w:pPr>
        <w:spacing w:line="480" w:lineRule="exact"/>
        <w:ind w:firstLine="480" w:firstLineChars="200"/>
        <w:rPr>
          <w:rFonts w:hAnsi="宋体" w:cs="宋体"/>
          <w:szCs w:val="24"/>
        </w:rPr>
      </w:pPr>
      <w:r>
        <w:rPr>
          <w:rFonts w:hint="eastAsia" w:hAnsi="宋体" w:cs="宋体"/>
          <w:szCs w:val="24"/>
        </w:rPr>
        <w:t>e）具体工作细则</w:t>
      </w:r>
    </w:p>
    <w:p>
      <w:pPr>
        <w:spacing w:line="480" w:lineRule="exact"/>
        <w:ind w:firstLine="480" w:firstLineChars="200"/>
        <w:rPr>
          <w:rFonts w:hAnsi="宋体" w:cs="宋体"/>
          <w:szCs w:val="24"/>
        </w:rPr>
      </w:pPr>
      <w:r>
        <w:rPr>
          <w:rFonts w:hint="eastAsia" w:hAnsi="宋体" w:cs="宋体"/>
          <w:szCs w:val="24"/>
        </w:rPr>
        <w:t>(1)日常维护：运行维护单位相关值班人员每天至少一次通过系统软件平台对来自遥测站的累计水量、瞬时流量、电池电压、数据传输通道及设备工作状态进行监视和分析，并做好详细记录，一旦出现故障应及时处理。</w:t>
      </w:r>
    </w:p>
    <w:p>
      <w:pPr>
        <w:spacing w:line="480" w:lineRule="exact"/>
        <w:ind w:firstLine="480" w:firstLineChars="200"/>
        <w:rPr>
          <w:rFonts w:hAnsi="宋体" w:cs="宋体"/>
          <w:szCs w:val="24"/>
        </w:rPr>
      </w:pPr>
      <w:r>
        <w:rPr>
          <w:rFonts w:hint="eastAsia" w:hAnsi="宋体" w:cs="宋体"/>
          <w:szCs w:val="24"/>
        </w:rPr>
        <w:t>(2)巡检内容</w:t>
      </w:r>
    </w:p>
    <w:p>
      <w:pPr>
        <w:spacing w:line="480" w:lineRule="exact"/>
        <w:ind w:firstLine="480" w:firstLineChars="200"/>
        <w:rPr>
          <w:rFonts w:hAnsi="宋体" w:cs="宋体"/>
          <w:szCs w:val="24"/>
        </w:rPr>
      </w:pPr>
      <w:r>
        <w:rPr>
          <w:rFonts w:hint="eastAsia" w:hAnsi="宋体" w:cs="宋体"/>
          <w:szCs w:val="24"/>
        </w:rPr>
        <w:t>全省范围内已建成359个国控水量监测点现场巡检频次应不少于1次/月。</w:t>
      </w:r>
    </w:p>
    <w:p>
      <w:pPr>
        <w:spacing w:line="480" w:lineRule="exact"/>
        <w:ind w:firstLine="480" w:firstLineChars="200"/>
        <w:rPr>
          <w:rFonts w:hAnsi="宋体" w:cs="宋体"/>
          <w:szCs w:val="24"/>
        </w:rPr>
      </w:pPr>
      <w:r>
        <w:rPr>
          <w:rFonts w:hint="eastAsia" w:hAnsi="宋体" w:cs="宋体"/>
          <w:szCs w:val="24"/>
        </w:rPr>
        <w:t>对采集系统设备的运行状态进行全面检查和测试，发现和排除故障，更换存在问题的设备或部件，并做好记录。</w:t>
      </w:r>
    </w:p>
    <w:p>
      <w:pPr>
        <w:spacing w:line="480" w:lineRule="exact"/>
        <w:ind w:firstLine="480" w:firstLineChars="200"/>
        <w:rPr>
          <w:rFonts w:hAnsi="宋体" w:cs="宋体"/>
          <w:szCs w:val="24"/>
        </w:rPr>
      </w:pPr>
      <w:r>
        <w:rPr>
          <w:rFonts w:hint="eastAsia" w:hAnsi="宋体" w:cs="宋体"/>
          <w:szCs w:val="24"/>
        </w:rPr>
        <w:t>清洁设备。清理计量设施、设备箱上的灰尘、杂物，清洗太阳能电池板。</w:t>
      </w:r>
    </w:p>
    <w:p>
      <w:pPr>
        <w:spacing w:line="480" w:lineRule="exact"/>
        <w:ind w:firstLine="480" w:firstLineChars="200"/>
        <w:rPr>
          <w:rFonts w:hAnsi="宋体" w:cs="宋体"/>
          <w:szCs w:val="24"/>
        </w:rPr>
      </w:pPr>
      <w:r>
        <w:rPr>
          <w:rFonts w:hint="eastAsia" w:hAnsi="宋体" w:cs="宋体"/>
          <w:szCs w:val="24"/>
        </w:rPr>
        <w:t>清洗水表叶轮，去除杂物。</w:t>
      </w:r>
    </w:p>
    <w:p>
      <w:pPr>
        <w:spacing w:line="480" w:lineRule="exact"/>
        <w:ind w:firstLine="480" w:firstLineChars="200"/>
        <w:rPr>
          <w:rFonts w:hAnsi="宋体" w:cs="宋体"/>
          <w:szCs w:val="24"/>
        </w:rPr>
      </w:pPr>
      <w:r>
        <w:rPr>
          <w:rFonts w:hint="eastAsia" w:hAnsi="宋体" w:cs="宋体"/>
          <w:szCs w:val="24"/>
        </w:rPr>
        <w:t>查设备的防水防潮情况。</w:t>
      </w:r>
    </w:p>
    <w:p>
      <w:pPr>
        <w:spacing w:line="480" w:lineRule="exact"/>
        <w:ind w:firstLine="480" w:firstLineChars="200"/>
        <w:rPr>
          <w:rFonts w:hAnsi="宋体" w:cs="宋体"/>
          <w:szCs w:val="24"/>
        </w:rPr>
      </w:pPr>
      <w:r>
        <w:rPr>
          <w:rFonts w:hint="eastAsia" w:hAnsi="宋体" w:cs="宋体"/>
          <w:szCs w:val="24"/>
        </w:rPr>
        <w:t>检查电源及设备的通信情况。</w:t>
      </w:r>
    </w:p>
    <w:p>
      <w:pPr>
        <w:spacing w:line="480" w:lineRule="exact"/>
        <w:ind w:firstLine="480" w:firstLineChars="200"/>
        <w:rPr>
          <w:rFonts w:hAnsi="宋体" w:cs="宋体"/>
          <w:szCs w:val="24"/>
        </w:rPr>
      </w:pPr>
      <w:r>
        <w:rPr>
          <w:rFonts w:hint="eastAsia" w:hAnsi="宋体" w:cs="宋体"/>
          <w:szCs w:val="24"/>
        </w:rPr>
        <w:t>检查设备接地情况。</w:t>
      </w:r>
    </w:p>
    <w:p>
      <w:pPr>
        <w:spacing w:line="480" w:lineRule="exact"/>
        <w:ind w:firstLine="480" w:firstLineChars="200"/>
        <w:rPr>
          <w:rFonts w:hAnsi="宋体" w:cs="宋体"/>
          <w:szCs w:val="24"/>
        </w:rPr>
      </w:pPr>
      <w:r>
        <w:rPr>
          <w:rFonts w:hint="eastAsia" w:hAnsi="宋体" w:cs="宋体"/>
          <w:szCs w:val="24"/>
        </w:rPr>
        <w:t>检查有无阻碍计量设施测量的因素。</w:t>
      </w:r>
    </w:p>
    <w:p>
      <w:pPr>
        <w:spacing w:line="480" w:lineRule="exact"/>
        <w:ind w:firstLine="480" w:firstLineChars="200"/>
        <w:rPr>
          <w:rFonts w:hAnsi="宋体" w:cs="宋体"/>
          <w:szCs w:val="24"/>
        </w:rPr>
      </w:pPr>
      <w:r>
        <w:rPr>
          <w:rFonts w:hint="eastAsia" w:hAnsi="宋体" w:cs="宋体"/>
          <w:szCs w:val="24"/>
        </w:rPr>
        <w:t>检查所有的接头接触是否良好、有无腐蚀。</w:t>
      </w:r>
    </w:p>
    <w:p>
      <w:pPr>
        <w:spacing w:line="480" w:lineRule="exact"/>
        <w:ind w:firstLine="480" w:firstLineChars="200"/>
        <w:rPr>
          <w:rFonts w:hAnsi="宋体" w:cs="宋体"/>
          <w:szCs w:val="24"/>
        </w:rPr>
      </w:pPr>
      <w:r>
        <w:rPr>
          <w:rFonts w:hint="eastAsia" w:hAnsi="宋体" w:cs="宋体"/>
          <w:szCs w:val="24"/>
        </w:rPr>
        <w:t>检查设备箱外涂层有无锈蚀、破损。</w:t>
      </w:r>
    </w:p>
    <w:p>
      <w:pPr>
        <w:spacing w:line="480" w:lineRule="exact"/>
        <w:ind w:firstLine="480" w:firstLineChars="200"/>
        <w:rPr>
          <w:rFonts w:hAnsi="宋体" w:cs="宋体"/>
          <w:szCs w:val="24"/>
        </w:rPr>
      </w:pPr>
      <w:r>
        <w:rPr>
          <w:rFonts w:hint="eastAsia" w:hAnsi="宋体" w:cs="宋体"/>
          <w:szCs w:val="24"/>
        </w:rPr>
        <w:t>校核取水计量设施等。</w:t>
      </w:r>
    </w:p>
    <w:p>
      <w:pPr>
        <w:spacing w:line="480" w:lineRule="exact"/>
        <w:ind w:firstLine="480" w:firstLineChars="200"/>
        <w:rPr>
          <w:rFonts w:hAnsi="宋体" w:cs="宋体"/>
          <w:szCs w:val="24"/>
        </w:rPr>
      </w:pPr>
      <w:r>
        <w:rPr>
          <w:rFonts w:hint="eastAsia" w:hAnsi="宋体" w:cs="宋体"/>
          <w:szCs w:val="24"/>
        </w:rPr>
        <w:t>（3）电源维护</w:t>
      </w:r>
    </w:p>
    <w:p>
      <w:pPr>
        <w:spacing w:line="480" w:lineRule="exact"/>
        <w:ind w:firstLine="480" w:firstLineChars="200"/>
        <w:rPr>
          <w:rFonts w:hAnsi="宋体" w:cs="宋体"/>
          <w:szCs w:val="24"/>
        </w:rPr>
      </w:pPr>
      <w:r>
        <w:rPr>
          <w:rFonts w:hint="eastAsia" w:hAnsi="宋体" w:cs="宋体"/>
          <w:szCs w:val="24"/>
        </w:rPr>
        <w:t>第一，蓄电池维护。根据规定要求进行充放电和定期容量校验。蓄电池充电、更换时要注意正负极性。长期保存的蓄电池或新买的蓄电池必须严格按生产厂家提供的方法维护和检验。</w:t>
      </w:r>
    </w:p>
    <w:p>
      <w:pPr>
        <w:spacing w:line="480" w:lineRule="exact"/>
        <w:ind w:firstLine="480" w:firstLineChars="200"/>
        <w:rPr>
          <w:rFonts w:hAnsi="宋体" w:cs="宋体"/>
          <w:szCs w:val="24"/>
        </w:rPr>
      </w:pPr>
      <w:r>
        <w:rPr>
          <w:rFonts w:hint="eastAsia" w:hAnsi="宋体" w:cs="宋体"/>
          <w:szCs w:val="24"/>
        </w:rPr>
        <w:t>第二，浮充电源装置。</w:t>
      </w:r>
    </w:p>
    <w:p>
      <w:pPr>
        <w:spacing w:line="480" w:lineRule="exact"/>
        <w:ind w:firstLine="480" w:firstLineChars="200"/>
        <w:rPr>
          <w:rFonts w:hAnsi="宋体" w:cs="宋体"/>
          <w:szCs w:val="24"/>
        </w:rPr>
      </w:pPr>
      <w:r>
        <w:rPr>
          <w:rFonts w:hint="eastAsia" w:hAnsi="宋体" w:cs="宋体"/>
          <w:szCs w:val="24"/>
        </w:rPr>
        <w:t>太阳能电池板：检查光板防护罩是否破损，有无遮挡。检查开路电压、短路电流。检查太阳能稳定器输出电压是否在正常范围内。</w:t>
      </w:r>
    </w:p>
    <w:p>
      <w:pPr>
        <w:spacing w:line="480" w:lineRule="exact"/>
        <w:ind w:firstLine="480" w:firstLineChars="200"/>
        <w:rPr>
          <w:rFonts w:hAnsi="宋体" w:cs="宋体"/>
          <w:szCs w:val="24"/>
        </w:rPr>
      </w:pPr>
      <w:r>
        <w:rPr>
          <w:rFonts w:hint="eastAsia" w:hAnsi="宋体" w:cs="宋体"/>
          <w:szCs w:val="24"/>
        </w:rPr>
        <w:t>直流充电电源：检查交流供电是否符合要求。检查避雷模块是否正常。断开交流电，检查蓄电池是否失效。</w:t>
      </w:r>
    </w:p>
    <w:p>
      <w:pPr>
        <w:pStyle w:val="5"/>
        <w:spacing w:before="624" w:line="480" w:lineRule="exact"/>
        <w:rPr>
          <w:rFonts w:ascii="宋体" w:hAnsi="宋体" w:cs="宋体"/>
        </w:rPr>
      </w:pPr>
      <w:bookmarkStart w:id="153" w:name="_Toc710"/>
      <w:bookmarkStart w:id="154" w:name="_Toc514618422"/>
      <w:bookmarkStart w:id="155" w:name="_Toc9425"/>
      <w:r>
        <w:rPr>
          <w:rFonts w:hint="eastAsia" w:ascii="宋体" w:hAnsi="宋体" w:cs="宋体"/>
        </w:rPr>
        <w:t>5、运行维护组织体系</w:t>
      </w:r>
      <w:bookmarkEnd w:id="153"/>
      <w:bookmarkEnd w:id="154"/>
      <w:bookmarkEnd w:id="155"/>
    </w:p>
    <w:p>
      <w:pPr>
        <w:spacing w:line="480" w:lineRule="exact"/>
        <w:ind w:firstLine="480" w:firstLineChars="200"/>
        <w:rPr>
          <w:rFonts w:hAnsi="宋体" w:cs="宋体"/>
          <w:szCs w:val="24"/>
        </w:rPr>
      </w:pPr>
      <w:r>
        <w:rPr>
          <w:rFonts w:hint="eastAsia" w:hAnsi="宋体" w:cs="宋体"/>
          <w:szCs w:val="24"/>
        </w:rPr>
        <w:t>5.1、人员组织</w:t>
      </w:r>
    </w:p>
    <w:p>
      <w:pPr>
        <w:spacing w:line="480" w:lineRule="exact"/>
        <w:ind w:firstLine="480" w:firstLineChars="200"/>
        <w:rPr>
          <w:rFonts w:hAnsi="宋体" w:cs="宋体"/>
          <w:szCs w:val="24"/>
        </w:rPr>
      </w:pPr>
      <w:r>
        <w:rPr>
          <w:rFonts w:hint="eastAsia" w:hAnsi="宋体" w:cs="宋体"/>
          <w:szCs w:val="24"/>
        </w:rPr>
        <w:t>运行</w:t>
      </w:r>
      <w:r>
        <w:rPr>
          <w:rFonts w:hint="eastAsia" w:hAnsi="宋体" w:cs="宋体"/>
          <w:bCs/>
          <w:szCs w:val="24"/>
        </w:rPr>
        <w:t>维护</w:t>
      </w:r>
      <w:r>
        <w:rPr>
          <w:rFonts w:hint="eastAsia" w:hAnsi="宋体" w:cs="宋体"/>
          <w:szCs w:val="24"/>
        </w:rPr>
        <w:t>单位应成立专职的队伍负责运行维护工作。运行维护队伍宜由技术人员和管理人员组成，并根据工作内容配备相应专业技术人员。运行维护队伍宜根据运行维护工作对象类别分成多个专业服务组，各专业组分工协作，共同完成运行维护工作。</w:t>
      </w:r>
    </w:p>
    <w:p>
      <w:pPr>
        <w:spacing w:line="480" w:lineRule="exact"/>
        <w:ind w:firstLine="480" w:firstLineChars="200"/>
        <w:rPr>
          <w:rFonts w:hAnsi="宋体" w:cs="宋体"/>
          <w:szCs w:val="24"/>
        </w:rPr>
      </w:pPr>
      <w:r>
        <w:rPr>
          <w:rFonts w:hint="eastAsia" w:hAnsi="宋体" w:cs="宋体"/>
          <w:szCs w:val="24"/>
        </w:rPr>
        <w:t>运行维护</w:t>
      </w:r>
      <w:r>
        <w:rPr>
          <w:rFonts w:hint="eastAsia" w:hAnsi="宋体" w:cs="宋体"/>
          <w:bCs/>
          <w:szCs w:val="24"/>
        </w:rPr>
        <w:t>人员</w:t>
      </w:r>
      <w:r>
        <w:rPr>
          <w:rFonts w:hint="eastAsia" w:hAnsi="宋体" w:cs="宋体"/>
          <w:szCs w:val="24"/>
        </w:rPr>
        <w:t>应具备水文水资源仪器仪表基础知识、运行维护岗位所需的专业知识及信息系统所支撑业务的相关业务知识，具有专业技能。</w:t>
      </w:r>
    </w:p>
    <w:p>
      <w:pPr>
        <w:spacing w:line="480" w:lineRule="exact"/>
        <w:ind w:firstLine="480" w:firstLineChars="200"/>
        <w:rPr>
          <w:rFonts w:hAnsi="宋体" w:cs="宋体"/>
          <w:szCs w:val="24"/>
        </w:rPr>
      </w:pPr>
      <w:r>
        <w:rPr>
          <w:rFonts w:hint="eastAsia" w:hAnsi="宋体" w:cs="宋体"/>
          <w:szCs w:val="24"/>
        </w:rPr>
        <w:t>运行维护单位应加强人才队伍的建设和培养，定期组织各类技术培训。</w:t>
      </w:r>
    </w:p>
    <w:p>
      <w:pPr>
        <w:spacing w:line="480" w:lineRule="exact"/>
        <w:ind w:firstLine="480" w:firstLineChars="200"/>
        <w:rPr>
          <w:rFonts w:hAnsi="宋体" w:cs="宋体"/>
          <w:szCs w:val="24"/>
        </w:rPr>
      </w:pPr>
      <w:r>
        <w:rPr>
          <w:rFonts w:hint="eastAsia" w:hAnsi="宋体" w:cs="宋体"/>
          <w:szCs w:val="24"/>
        </w:rPr>
        <w:t>5.2、工作模式</w:t>
      </w:r>
    </w:p>
    <w:p>
      <w:pPr>
        <w:spacing w:line="480" w:lineRule="exact"/>
        <w:ind w:firstLine="480" w:firstLineChars="200"/>
        <w:rPr>
          <w:rFonts w:hAnsi="宋体" w:cs="宋体"/>
          <w:szCs w:val="24"/>
        </w:rPr>
      </w:pPr>
      <w:r>
        <w:rPr>
          <w:rFonts w:hint="eastAsia" w:hAnsi="宋体" w:cs="宋体"/>
          <w:szCs w:val="24"/>
        </w:rPr>
        <w:t>运行维护队伍应根据运行维护实际建立高效的工作模式，合理利用资源。运维单位要建立，由热线（服务台）、一线（运维工程师）、二线（运维专家）、专业机构组成的多级技术支持体系。热线不能解决的问题提交一线，一线负责监控巡检、一般性的问题处理，并配合二线进行复杂问题处置，一线不能处理的问题提交二线；二线负责解决复杂问题，并进行深度的运行状况分析、评估，二线不能解决的问题提交设备生产厂商、软件开发商或第三方服务单位等专业机构。</w:t>
      </w:r>
    </w:p>
    <w:p>
      <w:pPr>
        <w:pStyle w:val="5"/>
        <w:spacing w:before="624" w:line="480" w:lineRule="exact"/>
        <w:rPr>
          <w:rFonts w:ascii="宋体" w:hAnsi="宋体" w:cs="宋体"/>
        </w:rPr>
      </w:pPr>
      <w:bookmarkStart w:id="156" w:name="_Toc514618423"/>
      <w:bookmarkStart w:id="157" w:name="_Toc6710"/>
      <w:bookmarkStart w:id="158" w:name="_Toc9062"/>
      <w:r>
        <w:rPr>
          <w:rFonts w:hint="eastAsia" w:ascii="宋体" w:hAnsi="宋体" w:cs="宋体"/>
        </w:rPr>
        <w:t>6、运行维护保障资源</w:t>
      </w:r>
      <w:bookmarkEnd w:id="156"/>
      <w:bookmarkEnd w:id="157"/>
      <w:bookmarkEnd w:id="158"/>
    </w:p>
    <w:p>
      <w:pPr>
        <w:spacing w:line="480" w:lineRule="exact"/>
        <w:ind w:firstLine="480" w:firstLineChars="200"/>
        <w:rPr>
          <w:rFonts w:hAnsi="宋体" w:cs="宋体"/>
          <w:szCs w:val="24"/>
        </w:rPr>
      </w:pPr>
      <w:r>
        <w:rPr>
          <w:rFonts w:hint="eastAsia" w:hAnsi="宋体" w:cs="宋体"/>
          <w:szCs w:val="24"/>
        </w:rPr>
        <w:t>6.1、维护器械</w:t>
      </w:r>
    </w:p>
    <w:p>
      <w:pPr>
        <w:spacing w:line="480" w:lineRule="exact"/>
        <w:ind w:firstLine="480" w:firstLineChars="200"/>
        <w:rPr>
          <w:rFonts w:hAnsi="宋体" w:cs="宋体"/>
          <w:szCs w:val="24"/>
        </w:rPr>
      </w:pPr>
      <w:r>
        <w:rPr>
          <w:rFonts w:hint="eastAsia" w:hAnsi="宋体" w:cs="宋体"/>
          <w:szCs w:val="24"/>
        </w:rPr>
        <w:t>运行维护单位应配备必要的专用仪器、仪表、工具等。</w:t>
      </w:r>
    </w:p>
    <w:p>
      <w:pPr>
        <w:spacing w:line="480" w:lineRule="exact"/>
        <w:ind w:firstLine="480" w:firstLineChars="200"/>
        <w:rPr>
          <w:rFonts w:hAnsi="宋体" w:cs="宋体"/>
          <w:szCs w:val="24"/>
        </w:rPr>
      </w:pPr>
      <w:r>
        <w:rPr>
          <w:rFonts w:hint="eastAsia" w:hAnsi="宋体" w:cs="宋体"/>
          <w:szCs w:val="24"/>
        </w:rPr>
        <w:t>6.2、备品备件</w:t>
      </w:r>
    </w:p>
    <w:p>
      <w:pPr>
        <w:spacing w:line="480" w:lineRule="exact"/>
        <w:ind w:firstLine="480" w:firstLineChars="200"/>
        <w:rPr>
          <w:rFonts w:hAnsi="宋体" w:cs="宋体"/>
          <w:szCs w:val="24"/>
        </w:rPr>
      </w:pPr>
      <w:r>
        <w:rPr>
          <w:rFonts w:hint="eastAsia" w:hAnsi="宋体" w:cs="宋体"/>
          <w:szCs w:val="24"/>
        </w:rPr>
        <w:t>运行维护单位应预先储备备品备件，以便在发生故障时能及时更换受损部件。备品备件数量应满足实际工作需要。</w:t>
      </w:r>
    </w:p>
    <w:p>
      <w:pPr>
        <w:spacing w:line="480" w:lineRule="exact"/>
        <w:ind w:firstLine="480" w:firstLineChars="200"/>
        <w:rPr>
          <w:rFonts w:hAnsi="宋体" w:cs="宋体"/>
          <w:szCs w:val="24"/>
        </w:rPr>
      </w:pPr>
      <w:r>
        <w:rPr>
          <w:rFonts w:hint="eastAsia" w:hAnsi="宋体" w:cs="宋体"/>
          <w:szCs w:val="24"/>
        </w:rPr>
        <w:t>6.3、对新购进的各项设备及附件要进行全面检查。</w:t>
      </w:r>
    </w:p>
    <w:p>
      <w:pPr>
        <w:spacing w:line="480" w:lineRule="exact"/>
        <w:ind w:firstLine="480" w:firstLineChars="200"/>
        <w:rPr>
          <w:rFonts w:hAnsi="宋体" w:cs="宋体"/>
          <w:szCs w:val="24"/>
        </w:rPr>
      </w:pPr>
      <w:r>
        <w:rPr>
          <w:rFonts w:hint="eastAsia" w:hAnsi="宋体" w:cs="宋体"/>
          <w:szCs w:val="24"/>
        </w:rPr>
        <w:t>新设备投入运行前应根据系统设计要求进行功能检查和设备技术指标的检查。</w:t>
      </w:r>
    </w:p>
    <w:p>
      <w:pPr>
        <w:spacing w:line="480" w:lineRule="exact"/>
        <w:ind w:firstLine="480" w:firstLineChars="200"/>
        <w:rPr>
          <w:rFonts w:hAnsi="宋体" w:cs="宋体"/>
          <w:szCs w:val="24"/>
        </w:rPr>
      </w:pPr>
      <w:r>
        <w:rPr>
          <w:rFonts w:hint="eastAsia" w:hAnsi="宋体" w:cs="宋体"/>
          <w:szCs w:val="24"/>
        </w:rPr>
        <w:t>对于遥测终端机（RTU），要检查出厂合格证，查看其包装和外观有无损伤。</w:t>
      </w:r>
    </w:p>
    <w:p>
      <w:pPr>
        <w:spacing w:line="480" w:lineRule="exact"/>
        <w:ind w:firstLine="480" w:firstLineChars="200"/>
        <w:rPr>
          <w:rFonts w:hAnsi="宋体" w:cs="宋体"/>
          <w:szCs w:val="24"/>
        </w:rPr>
      </w:pPr>
      <w:r>
        <w:rPr>
          <w:rFonts w:hint="eastAsia" w:hAnsi="宋体" w:cs="宋体"/>
          <w:szCs w:val="24"/>
        </w:rPr>
        <w:t>对于计量设备，除检查合格证外，还要对其外观及附件进行检查。</w:t>
      </w:r>
    </w:p>
    <w:p>
      <w:pPr>
        <w:spacing w:line="480" w:lineRule="exact"/>
        <w:ind w:firstLine="480" w:firstLineChars="200"/>
        <w:rPr>
          <w:rFonts w:hAnsi="宋体" w:cs="宋体"/>
          <w:szCs w:val="24"/>
        </w:rPr>
      </w:pPr>
      <w:r>
        <w:rPr>
          <w:rFonts w:hint="eastAsia" w:hAnsi="宋体" w:cs="宋体"/>
          <w:szCs w:val="24"/>
        </w:rPr>
        <w:t>新购蓄电池按规定进行充、放电，以保证达到完好的使用状态。</w:t>
      </w:r>
    </w:p>
    <w:p>
      <w:pPr>
        <w:spacing w:line="480" w:lineRule="exact"/>
        <w:ind w:firstLine="480" w:firstLineChars="200"/>
        <w:rPr>
          <w:rFonts w:hAnsi="宋体" w:cs="宋体"/>
          <w:szCs w:val="24"/>
        </w:rPr>
      </w:pPr>
      <w:r>
        <w:rPr>
          <w:rFonts w:hint="eastAsia" w:hAnsi="宋体" w:cs="宋体"/>
          <w:szCs w:val="24"/>
        </w:rPr>
        <w:t>对天线、避雷器、电缆等要检查外观有无损伤，紧固件是否齐全，电缆和接头间的焊接是否良好等。</w:t>
      </w:r>
    </w:p>
    <w:p>
      <w:pPr>
        <w:spacing w:line="480" w:lineRule="exact"/>
        <w:ind w:firstLine="480" w:firstLineChars="200"/>
        <w:rPr>
          <w:rFonts w:hAnsi="宋体" w:cs="宋体"/>
          <w:szCs w:val="24"/>
        </w:rPr>
      </w:pPr>
      <w:r>
        <w:rPr>
          <w:rFonts w:hint="eastAsia" w:hAnsi="宋体" w:cs="宋体"/>
          <w:szCs w:val="24"/>
        </w:rPr>
        <w:t>对于太阳能电池板、直流开关电源等从市场购进的设备要检查其合格证。</w:t>
      </w:r>
    </w:p>
    <w:p>
      <w:pPr>
        <w:pStyle w:val="5"/>
        <w:spacing w:before="624" w:line="480" w:lineRule="exact"/>
        <w:rPr>
          <w:rFonts w:ascii="宋体" w:hAnsi="宋体" w:cs="宋体"/>
        </w:rPr>
      </w:pPr>
      <w:bookmarkStart w:id="159" w:name="_Toc5594"/>
      <w:bookmarkStart w:id="160" w:name="_Toc18205"/>
      <w:bookmarkStart w:id="161" w:name="_Toc514618424"/>
      <w:r>
        <w:rPr>
          <w:rFonts w:hint="eastAsia" w:ascii="宋体" w:hAnsi="宋体" w:cs="宋体"/>
        </w:rPr>
        <w:t>7、管理制度</w:t>
      </w:r>
      <w:bookmarkEnd w:id="159"/>
      <w:bookmarkEnd w:id="160"/>
      <w:bookmarkEnd w:id="161"/>
    </w:p>
    <w:p>
      <w:pPr>
        <w:spacing w:line="480" w:lineRule="exact"/>
        <w:ind w:firstLine="480" w:firstLineChars="200"/>
        <w:rPr>
          <w:rFonts w:hAnsi="宋体" w:cs="宋体"/>
          <w:szCs w:val="24"/>
        </w:rPr>
      </w:pPr>
      <w:r>
        <w:rPr>
          <w:rFonts w:hint="eastAsia" w:hAnsi="宋体" w:cs="宋体"/>
          <w:szCs w:val="24"/>
        </w:rPr>
        <w:t>运行维护单位应建立健全运行维护管理制度报甲方审查后依照执行。运行维护管理制度应至少包括工作制度、行为规范、操作规程等。</w:t>
      </w:r>
    </w:p>
    <w:p>
      <w:pPr>
        <w:pStyle w:val="5"/>
        <w:spacing w:before="624" w:line="480" w:lineRule="exact"/>
        <w:rPr>
          <w:rFonts w:ascii="宋体" w:hAnsi="宋体" w:cs="宋体"/>
        </w:rPr>
      </w:pPr>
      <w:bookmarkStart w:id="162" w:name="_Toc6065"/>
      <w:bookmarkStart w:id="163" w:name="_Toc4093"/>
      <w:bookmarkStart w:id="164" w:name="_Toc17365"/>
      <w:bookmarkStart w:id="165" w:name="_Toc514618425"/>
      <w:r>
        <w:rPr>
          <w:rFonts w:hint="eastAsia" w:ascii="宋体" w:hAnsi="宋体" w:cs="宋体"/>
        </w:rPr>
        <w:t>8、其他</w:t>
      </w:r>
      <w:bookmarkEnd w:id="162"/>
      <w:bookmarkEnd w:id="163"/>
      <w:bookmarkEnd w:id="164"/>
      <w:bookmarkEnd w:id="165"/>
    </w:p>
    <w:p>
      <w:pPr>
        <w:spacing w:line="480" w:lineRule="exact"/>
        <w:ind w:firstLine="480" w:firstLineChars="200"/>
        <w:rPr>
          <w:rFonts w:hAnsi="宋体" w:cs="宋体"/>
          <w:szCs w:val="24"/>
        </w:rPr>
      </w:pPr>
      <w:r>
        <w:rPr>
          <w:rFonts w:hint="eastAsia" w:hAnsi="宋体" w:cs="宋体"/>
          <w:szCs w:val="24"/>
        </w:rPr>
        <w:t>8.1、运行维护单位开展运维工作前需制定详实的实施方案，报甲方审批后开展工作。</w:t>
      </w:r>
    </w:p>
    <w:p>
      <w:pPr>
        <w:spacing w:line="480" w:lineRule="exact"/>
        <w:ind w:firstLine="480" w:firstLineChars="200"/>
        <w:rPr>
          <w:rFonts w:hAnsi="宋体" w:cs="宋体"/>
          <w:szCs w:val="24"/>
        </w:rPr>
      </w:pPr>
      <w:r>
        <w:rPr>
          <w:rFonts w:hint="eastAsia" w:hAnsi="宋体" w:cs="宋体"/>
          <w:szCs w:val="24"/>
        </w:rPr>
        <w:t>8.2、运维单位需按月编制并向甲方提供运维月报。</w:t>
      </w:r>
    </w:p>
    <w:p>
      <w:pPr>
        <w:spacing w:line="480" w:lineRule="exact"/>
        <w:ind w:firstLine="480" w:firstLineChars="200"/>
        <w:rPr>
          <w:rFonts w:hAnsi="宋体" w:cs="宋体"/>
          <w:szCs w:val="24"/>
        </w:rPr>
      </w:pPr>
      <w:r>
        <w:rPr>
          <w:rFonts w:hint="eastAsia" w:hAnsi="宋体" w:cs="宋体"/>
          <w:szCs w:val="24"/>
        </w:rPr>
        <w:t>8.3、总结由运行单位在运维期结束前完成，并报甲方审定。总结内容包括设备运行情况、存在问题及改进意见等。</w:t>
      </w:r>
    </w:p>
    <w:p>
      <w:pPr>
        <w:spacing w:line="480" w:lineRule="exact"/>
        <w:ind w:firstLine="480" w:firstLineChars="200"/>
        <w:rPr>
          <w:rFonts w:hAnsi="宋体" w:cs="宋体"/>
          <w:szCs w:val="24"/>
        </w:rPr>
      </w:pPr>
      <w:r>
        <w:rPr>
          <w:rFonts w:hint="eastAsia" w:hAnsi="宋体" w:cs="宋体"/>
          <w:szCs w:val="24"/>
        </w:rPr>
        <w:t>8.4、运维期所产生的所有资料结束后均需报甲方保存。</w:t>
      </w:r>
    </w:p>
    <w:p>
      <w:pPr>
        <w:spacing w:line="480" w:lineRule="exact"/>
        <w:ind w:firstLine="480" w:firstLineChars="200"/>
        <w:rPr>
          <w:rFonts w:hAnsi="宋体" w:cs="宋体"/>
          <w:szCs w:val="24"/>
        </w:rPr>
      </w:pPr>
      <w:r>
        <w:rPr>
          <w:rFonts w:hint="eastAsia" w:hAnsi="宋体" w:cs="宋体"/>
          <w:szCs w:val="24"/>
        </w:rPr>
        <w:t>8.5、所有监测站点的全部资产（包括全部产权和建筑物、设备及配套设施等）属甲方所有。未经甲方同意，运维单位不得以任何方式对各类财产进行出售、抵押或转移；同时，在运维期间，运维单位有责任保证上述全部资产的完整、安全并处于良好状态。</w:t>
      </w:r>
    </w:p>
    <w:p>
      <w:pPr>
        <w:spacing w:line="480" w:lineRule="exact"/>
        <w:ind w:firstLine="480" w:firstLineChars="200"/>
        <w:rPr>
          <w:rFonts w:hAnsi="宋体" w:cs="宋体"/>
          <w:szCs w:val="24"/>
        </w:rPr>
      </w:pPr>
      <w:r>
        <w:rPr>
          <w:rFonts w:hint="eastAsia" w:hAnsi="宋体" w:cs="宋体"/>
          <w:szCs w:val="24"/>
        </w:rPr>
        <w:t>8.6、未经甲方同意，不得对外泄漏任何监测数据。</w:t>
      </w:r>
      <w:bookmarkStart w:id="166" w:name="_Toc514618426"/>
      <w:bookmarkStart w:id="167" w:name="_Toc415772306"/>
      <w:bookmarkStart w:id="168" w:name="_Toc21995"/>
    </w:p>
    <w:bookmarkEnd w:id="166"/>
    <w:bookmarkEnd w:id="167"/>
    <w:bookmarkEnd w:id="168"/>
    <w:p>
      <w:pPr>
        <w:pStyle w:val="4"/>
        <w:spacing w:line="360" w:lineRule="auto"/>
        <w:jc w:val="center"/>
        <w:rPr>
          <w:rFonts w:ascii="宋体" w:hAnsi="宋体" w:cs="宋体"/>
          <w:bCs w:val="0"/>
          <w:sz w:val="24"/>
          <w:szCs w:val="24"/>
        </w:rPr>
      </w:pPr>
      <w:r>
        <w:rPr>
          <w:rFonts w:hint="eastAsia" w:ascii="宋体" w:hAnsi="宋体" w:cs="宋体"/>
          <w:bCs w:val="0"/>
          <w:sz w:val="24"/>
          <w:szCs w:val="24"/>
        </w:rPr>
        <w:t>第3部分    系统平台数据库扩容服务</w:t>
      </w:r>
    </w:p>
    <w:p>
      <w:pPr>
        <w:pStyle w:val="5"/>
        <w:spacing w:beforeLines="50" w:afterLines="50" w:line="360" w:lineRule="auto"/>
        <w:ind w:firstLine="3373" w:firstLineChars="1400"/>
        <w:jc w:val="both"/>
        <w:rPr>
          <w:rFonts w:ascii="宋体" w:hAnsi="宋体" w:cs="宋体"/>
          <w:bCs w:val="0"/>
          <w:kern w:val="0"/>
        </w:rPr>
      </w:pPr>
      <w:r>
        <w:rPr>
          <w:rFonts w:hint="eastAsia" w:ascii="宋体" w:hAnsi="宋体" w:cs="宋体"/>
          <w:bCs w:val="0"/>
          <w:kern w:val="0"/>
        </w:rPr>
        <w:t>1、服务描述</w:t>
      </w:r>
    </w:p>
    <w:p>
      <w:pPr>
        <w:spacing w:line="360" w:lineRule="auto"/>
        <w:ind w:firstLine="480" w:firstLineChars="200"/>
        <w:rPr>
          <w:rFonts w:hAnsi="宋体" w:cs="宋体"/>
          <w:szCs w:val="24"/>
        </w:rPr>
      </w:pPr>
      <w:r>
        <w:rPr>
          <w:rFonts w:hint="eastAsia" w:hAnsi="宋体" w:cs="宋体"/>
          <w:szCs w:val="24"/>
        </w:rPr>
        <w:t>陕西省水资源信息管理平台数据支撑来源于监测体系建设，数据库存储服务是本地存储和跳转交换的重要环节。随着国控水资源监控能力建设项目监测站点全面建成和新增规模以上取用水户自建取用水监测点不断增加，原有数据库存储服务体系已处于满负荷运行状态，严重影响数据安全和服务质量的工作要求。</w:t>
      </w:r>
    </w:p>
    <w:p>
      <w:pPr>
        <w:pStyle w:val="42"/>
        <w:spacing w:before="156" w:after="156"/>
        <w:ind w:left="480" w:firstLine="1928" w:firstLineChars="800"/>
        <w:rPr>
          <w:rFonts w:hAnsi="宋体" w:cs="宋体"/>
          <w:b/>
          <w:szCs w:val="24"/>
        </w:rPr>
      </w:pPr>
      <w:r>
        <w:rPr>
          <w:rFonts w:hint="eastAsia" w:hAnsi="宋体" w:cs="宋体"/>
          <w:b/>
          <w:szCs w:val="24"/>
        </w:rPr>
        <w:t>2、数据库扩容服务内容要求</w:t>
      </w:r>
    </w:p>
    <w:p>
      <w:pPr>
        <w:pStyle w:val="4"/>
        <w:spacing w:line="360" w:lineRule="auto"/>
        <w:ind w:left="0" w:firstLine="480" w:firstLineChars="200"/>
        <w:rPr>
          <w:rFonts w:ascii="宋体" w:hAnsi="宋体" w:cs="宋体"/>
          <w:b w:val="0"/>
          <w:bCs w:val="0"/>
          <w:sz w:val="24"/>
          <w:szCs w:val="24"/>
        </w:rPr>
      </w:pPr>
      <w:r>
        <w:rPr>
          <w:rFonts w:hint="eastAsia" w:ascii="宋体" w:hAnsi="宋体" w:cs="宋体"/>
          <w:b w:val="0"/>
          <w:bCs w:val="0"/>
          <w:sz w:val="24"/>
          <w:szCs w:val="24"/>
        </w:rPr>
        <w:t>2.1严格遵循现有数据需求及分析场景，按照原有框架和成果，注重数据存储格式和数据安全管理。在保证不影响原有数据库服务稳定运行的前提下，增设设施，达到稳定匹配、安全稳定、运行良好的目的。</w:t>
      </w:r>
    </w:p>
    <w:p>
      <w:pPr>
        <w:pStyle w:val="4"/>
        <w:spacing w:line="360" w:lineRule="auto"/>
        <w:ind w:left="0" w:firstLine="480" w:firstLineChars="200"/>
        <w:rPr>
          <w:rFonts w:ascii="宋体" w:hAnsi="宋体" w:cs="宋体"/>
          <w:sz w:val="36"/>
          <w:szCs w:val="36"/>
        </w:rPr>
      </w:pPr>
      <w:r>
        <w:rPr>
          <w:rFonts w:hint="eastAsia" w:ascii="宋体" w:hAnsi="宋体" w:cs="宋体"/>
          <w:b w:val="0"/>
          <w:bCs w:val="0"/>
          <w:sz w:val="24"/>
          <w:szCs w:val="24"/>
        </w:rPr>
        <w:t>2.2满足现有水资源监测数据存储需求，保障水资源软件平台稳定运行的基础上，对水资源平台数据库服务系统软硬件运行环境提供维保服务。</w:t>
      </w:r>
      <w:r>
        <w:rPr>
          <w:rFonts w:hint="eastAsia" w:ascii="宋体" w:hAnsi="宋体" w:cs="宋体"/>
          <w:sz w:val="36"/>
          <w:szCs w:val="36"/>
        </w:rPr>
        <w:br w:type="page"/>
      </w:r>
      <w:r>
        <w:rPr>
          <w:rFonts w:hint="eastAsia" w:ascii="宋体" w:hAnsi="宋体" w:cs="宋体"/>
          <w:sz w:val="36"/>
          <w:szCs w:val="36"/>
        </w:rPr>
        <w:t>商务要求</w:t>
      </w:r>
    </w:p>
    <w:p>
      <w:pPr>
        <w:adjustRightInd w:val="0"/>
        <w:snapToGrid w:val="0"/>
        <w:spacing w:line="460" w:lineRule="exact"/>
        <w:jc w:val="center"/>
        <w:rPr>
          <w:rFonts w:hAnsi="宋体" w:cs="宋体"/>
          <w:b/>
          <w:bCs/>
          <w:sz w:val="32"/>
          <w:szCs w:val="32"/>
        </w:rPr>
      </w:pPr>
    </w:p>
    <w:p>
      <w:pPr>
        <w:adjustRightInd w:val="0"/>
        <w:snapToGrid w:val="0"/>
        <w:spacing w:line="360" w:lineRule="auto"/>
        <w:rPr>
          <w:rFonts w:hAnsi="宋体" w:cs="宋体"/>
          <w:b/>
          <w:bCs/>
          <w:szCs w:val="24"/>
        </w:rPr>
      </w:pPr>
      <w:r>
        <w:rPr>
          <w:rFonts w:hint="eastAsia" w:hAnsi="宋体" w:cs="宋体"/>
          <w:b/>
          <w:bCs/>
          <w:szCs w:val="24"/>
        </w:rPr>
        <w:t>1. 服务期限、地点：</w:t>
      </w:r>
    </w:p>
    <w:p>
      <w:pPr>
        <w:tabs>
          <w:tab w:val="left" w:pos="980"/>
        </w:tabs>
        <w:kinsoku w:val="0"/>
        <w:spacing w:line="360" w:lineRule="auto"/>
        <w:ind w:firstLine="480" w:firstLineChars="200"/>
        <w:rPr>
          <w:rFonts w:hAnsi="宋体" w:cs="宋体"/>
          <w:szCs w:val="24"/>
        </w:rPr>
      </w:pPr>
      <w:r>
        <w:rPr>
          <w:rFonts w:hint="eastAsia" w:hAnsi="宋体" w:cs="宋体"/>
          <w:szCs w:val="24"/>
        </w:rPr>
        <w:t>服务期限：自合同签订之日起12个月。</w:t>
      </w:r>
    </w:p>
    <w:p>
      <w:pPr>
        <w:tabs>
          <w:tab w:val="left" w:pos="980"/>
        </w:tabs>
        <w:kinsoku w:val="0"/>
        <w:spacing w:line="360" w:lineRule="auto"/>
        <w:ind w:firstLine="480" w:firstLineChars="200"/>
        <w:rPr>
          <w:rFonts w:hAnsi="宋体" w:cs="宋体"/>
          <w:szCs w:val="24"/>
        </w:rPr>
      </w:pPr>
      <w:r>
        <w:rPr>
          <w:rFonts w:hint="eastAsia" w:hAnsi="宋体" w:cs="宋体"/>
          <w:szCs w:val="24"/>
        </w:rPr>
        <w:t>服务地点：采购人指定地点</w:t>
      </w:r>
    </w:p>
    <w:p>
      <w:pPr>
        <w:adjustRightInd w:val="0"/>
        <w:snapToGrid w:val="0"/>
        <w:spacing w:line="360" w:lineRule="auto"/>
        <w:rPr>
          <w:rFonts w:hAnsi="宋体" w:cs="宋体"/>
          <w:b/>
          <w:bCs/>
          <w:szCs w:val="24"/>
        </w:rPr>
      </w:pPr>
      <w:r>
        <w:rPr>
          <w:rFonts w:hint="eastAsia" w:hAnsi="宋体" w:cs="宋体"/>
          <w:b/>
          <w:bCs/>
          <w:szCs w:val="24"/>
        </w:rPr>
        <w:t>2、付款方式：</w:t>
      </w:r>
    </w:p>
    <w:p>
      <w:pPr>
        <w:adjustRightInd w:val="0"/>
        <w:snapToGrid w:val="0"/>
        <w:spacing w:line="360" w:lineRule="auto"/>
        <w:ind w:firstLine="480" w:firstLineChars="200"/>
        <w:rPr>
          <w:rFonts w:hAnsi="宋体" w:cs="宋体"/>
          <w:bCs/>
          <w:szCs w:val="24"/>
        </w:rPr>
      </w:pPr>
      <w:bookmarkStart w:id="169" w:name="_Toc167714041"/>
      <w:bookmarkStart w:id="170" w:name="_Toc167712843"/>
      <w:bookmarkStart w:id="171" w:name="_Toc167715238"/>
      <w:r>
        <w:rPr>
          <w:rFonts w:hint="eastAsia" w:hAnsi="宋体" w:cs="宋体"/>
          <w:bCs/>
          <w:szCs w:val="24"/>
        </w:rPr>
        <w:t>合同签订时,采购方与成交单位商议确定。</w:t>
      </w:r>
    </w:p>
    <w:bookmarkEnd w:id="169"/>
    <w:bookmarkEnd w:id="170"/>
    <w:bookmarkEnd w:id="171"/>
    <w:p>
      <w:pPr>
        <w:adjustRightInd w:val="0"/>
        <w:snapToGrid w:val="0"/>
        <w:spacing w:line="360" w:lineRule="auto"/>
        <w:rPr>
          <w:rFonts w:hAnsi="宋体" w:cs="宋体"/>
          <w:b/>
          <w:bCs/>
          <w:szCs w:val="24"/>
        </w:rPr>
      </w:pPr>
      <w:bookmarkStart w:id="172" w:name="_Toc167712868"/>
      <w:bookmarkStart w:id="173" w:name="_Toc167714066"/>
      <w:bookmarkStart w:id="174" w:name="_Toc167715263"/>
      <w:r>
        <w:rPr>
          <w:rFonts w:hint="eastAsia" w:hAnsi="宋体" w:cs="宋体"/>
          <w:b/>
          <w:bCs/>
          <w:szCs w:val="24"/>
        </w:rPr>
        <w:t>3、考核标准：</w:t>
      </w:r>
    </w:p>
    <w:p>
      <w:pPr>
        <w:adjustRightInd w:val="0"/>
        <w:snapToGrid w:val="0"/>
        <w:spacing w:line="360" w:lineRule="auto"/>
        <w:ind w:firstLine="480" w:firstLineChars="200"/>
        <w:rPr>
          <w:rFonts w:hAnsi="宋体" w:cs="宋体"/>
          <w:bCs/>
          <w:szCs w:val="24"/>
        </w:rPr>
      </w:pPr>
      <w:bookmarkStart w:id="175" w:name="_Toc167712846"/>
      <w:bookmarkStart w:id="176" w:name="_Toc167714044"/>
      <w:bookmarkStart w:id="177" w:name="_Toc167715241"/>
      <w:r>
        <w:rPr>
          <w:rFonts w:hint="eastAsia" w:hAnsi="宋体" w:cs="宋体"/>
          <w:bCs/>
          <w:szCs w:val="24"/>
        </w:rPr>
        <w:t>运行维护服务期满，由采购人进行考核验收，全年每季度对每个监测点监测信息的上报率（≥96%），到报率（≥90%），及数据异常值修正等运维质量进行考核。</w:t>
      </w:r>
    </w:p>
    <w:p>
      <w:pPr>
        <w:adjustRightInd w:val="0"/>
        <w:snapToGrid w:val="0"/>
        <w:spacing w:line="360" w:lineRule="auto"/>
        <w:rPr>
          <w:rFonts w:hAnsi="宋体" w:cs="宋体"/>
          <w:b/>
          <w:bCs/>
          <w:szCs w:val="24"/>
        </w:rPr>
      </w:pPr>
      <w:r>
        <w:rPr>
          <w:rFonts w:hint="eastAsia" w:hAnsi="宋体" w:cs="宋体"/>
          <w:b/>
          <w:bCs/>
          <w:szCs w:val="24"/>
        </w:rPr>
        <w:t>4、考核依据</w:t>
      </w:r>
      <w:bookmarkEnd w:id="175"/>
      <w:bookmarkEnd w:id="176"/>
      <w:bookmarkEnd w:id="177"/>
      <w:bookmarkStart w:id="178" w:name="_Toc167714045"/>
      <w:bookmarkStart w:id="179" w:name="_Toc167712847"/>
      <w:bookmarkStart w:id="180" w:name="_Toc167715242"/>
      <w:r>
        <w:rPr>
          <w:rFonts w:hint="eastAsia" w:hAnsi="宋体" w:cs="宋体"/>
          <w:b/>
          <w:bCs/>
          <w:szCs w:val="24"/>
        </w:rPr>
        <w:t>：</w:t>
      </w:r>
    </w:p>
    <w:bookmarkEnd w:id="178"/>
    <w:bookmarkEnd w:id="179"/>
    <w:bookmarkEnd w:id="180"/>
    <w:p>
      <w:pPr>
        <w:adjustRightInd w:val="0"/>
        <w:snapToGrid w:val="0"/>
        <w:spacing w:line="360" w:lineRule="auto"/>
        <w:ind w:firstLine="480" w:firstLineChars="200"/>
        <w:rPr>
          <w:rFonts w:hAnsi="宋体" w:cs="宋体"/>
          <w:bCs/>
          <w:szCs w:val="24"/>
        </w:rPr>
      </w:pPr>
      <w:bookmarkStart w:id="181" w:name="_Toc167712849"/>
      <w:bookmarkStart w:id="182" w:name="_Toc167714047"/>
      <w:bookmarkStart w:id="183" w:name="_Toc167715244"/>
      <w:r>
        <w:rPr>
          <w:rFonts w:hint="eastAsia" w:hAnsi="宋体" w:cs="宋体"/>
          <w:bCs/>
          <w:szCs w:val="24"/>
        </w:rPr>
        <w:t xml:space="preserve">4.1合同文本及合同补充文件（条款）。 </w:t>
      </w:r>
    </w:p>
    <w:p>
      <w:pPr>
        <w:adjustRightInd w:val="0"/>
        <w:snapToGrid w:val="0"/>
        <w:spacing w:line="360" w:lineRule="auto"/>
        <w:ind w:firstLine="480" w:firstLineChars="200"/>
        <w:rPr>
          <w:rFonts w:hAnsi="宋体" w:cs="宋体"/>
          <w:bCs/>
          <w:szCs w:val="24"/>
        </w:rPr>
      </w:pPr>
      <w:r>
        <w:rPr>
          <w:rFonts w:hint="eastAsia" w:hAnsi="宋体" w:cs="宋体"/>
          <w:bCs/>
          <w:szCs w:val="24"/>
        </w:rPr>
        <w:t>4.2磋商文件。</w:t>
      </w:r>
    </w:p>
    <w:p>
      <w:pPr>
        <w:adjustRightInd w:val="0"/>
        <w:snapToGrid w:val="0"/>
        <w:spacing w:line="360" w:lineRule="auto"/>
        <w:ind w:firstLine="480" w:firstLineChars="200"/>
        <w:rPr>
          <w:rFonts w:hAnsi="宋体" w:cs="宋体"/>
          <w:bCs/>
          <w:szCs w:val="24"/>
        </w:rPr>
      </w:pPr>
      <w:r>
        <w:rPr>
          <w:rFonts w:hint="eastAsia" w:hAnsi="宋体" w:cs="宋体"/>
          <w:bCs/>
          <w:szCs w:val="24"/>
        </w:rPr>
        <w:t>4.3成交人的磋商响应文件。</w:t>
      </w:r>
    </w:p>
    <w:p>
      <w:pPr>
        <w:adjustRightInd w:val="0"/>
        <w:snapToGrid w:val="0"/>
        <w:spacing w:line="360" w:lineRule="auto"/>
        <w:ind w:firstLine="480" w:firstLineChars="200"/>
        <w:rPr>
          <w:rFonts w:hAnsi="宋体" w:cs="宋体"/>
          <w:bCs/>
          <w:szCs w:val="24"/>
        </w:rPr>
      </w:pPr>
      <w:r>
        <w:rPr>
          <w:rFonts w:hint="eastAsia" w:hAnsi="宋体" w:cs="宋体"/>
          <w:bCs/>
          <w:szCs w:val="24"/>
        </w:rPr>
        <w:t>4.4合同清单。</w:t>
      </w:r>
    </w:p>
    <w:bookmarkEnd w:id="172"/>
    <w:bookmarkEnd w:id="173"/>
    <w:bookmarkEnd w:id="174"/>
    <w:bookmarkEnd w:id="181"/>
    <w:bookmarkEnd w:id="182"/>
    <w:bookmarkEnd w:id="183"/>
    <w:p>
      <w:pPr>
        <w:pStyle w:val="2"/>
        <w:rPr>
          <w:rFonts w:ascii="宋体" w:hAnsi="宋体" w:cs="宋体"/>
        </w:rPr>
        <w:sectPr>
          <w:pgSz w:w="11906" w:h="16838"/>
          <w:pgMar w:top="1418" w:right="1417" w:bottom="1418" w:left="1418" w:header="851" w:footer="992" w:gutter="0"/>
          <w:cols w:space="720" w:num="1"/>
          <w:docGrid w:type="lines" w:linePitch="312" w:charSpace="0"/>
        </w:sectPr>
      </w:pPr>
    </w:p>
    <w:bookmarkEnd w:id="117"/>
    <w:bookmarkEnd w:id="118"/>
    <w:p>
      <w:pPr>
        <w:pStyle w:val="3"/>
        <w:keepNext w:val="0"/>
        <w:spacing w:beforeLines="50" w:afterLines="50" w:line="360" w:lineRule="auto"/>
        <w:jc w:val="center"/>
        <w:rPr>
          <w:rFonts w:ascii="宋体" w:eastAsia="宋体" w:cs="宋体"/>
          <w:bCs/>
          <w:sz w:val="24"/>
          <w:szCs w:val="24"/>
        </w:rPr>
      </w:pPr>
      <w:bookmarkStart w:id="184" w:name="_Toc8170"/>
      <w:bookmarkStart w:id="185" w:name="_Toc20707"/>
      <w:bookmarkStart w:id="186" w:name="_Toc23118"/>
      <w:r>
        <w:rPr>
          <w:rFonts w:hint="eastAsia" w:ascii="宋体" w:eastAsia="宋体" w:cs="宋体"/>
          <w:bCs/>
          <w:sz w:val="36"/>
          <w:szCs w:val="36"/>
        </w:rPr>
        <w:t>第五章  评审方法</w:t>
      </w:r>
      <w:bookmarkEnd w:id="184"/>
      <w:bookmarkEnd w:id="185"/>
      <w:bookmarkEnd w:id="186"/>
      <w:r>
        <w:rPr>
          <w:rFonts w:hint="eastAsia" w:ascii="宋体" w:eastAsia="宋体" w:cs="宋体"/>
          <w:bCs/>
          <w:sz w:val="36"/>
          <w:szCs w:val="36"/>
        </w:rPr>
        <w:t xml:space="preserve"> </w:t>
      </w:r>
    </w:p>
    <w:p>
      <w:pPr>
        <w:spacing w:line="360" w:lineRule="auto"/>
        <w:rPr>
          <w:rFonts w:hAnsi="宋体" w:cs="宋体"/>
          <w:b/>
          <w:szCs w:val="24"/>
        </w:rPr>
      </w:pPr>
      <w:r>
        <w:rPr>
          <w:rFonts w:hint="eastAsia" w:hAnsi="宋体" w:cs="宋体"/>
          <w:b/>
          <w:szCs w:val="24"/>
        </w:rPr>
        <w:t>一．评审方法：</w:t>
      </w:r>
    </w:p>
    <w:p>
      <w:pPr>
        <w:spacing w:line="500" w:lineRule="exact"/>
        <w:ind w:firstLine="520" w:firstLineChars="217"/>
        <w:rPr>
          <w:rFonts w:hAnsi="宋体" w:cs="宋体"/>
          <w:spacing w:val="4"/>
          <w:szCs w:val="24"/>
        </w:rPr>
      </w:pPr>
      <w:r>
        <w:rPr>
          <w:rFonts w:hint="eastAsia" w:hAnsi="宋体" w:cs="宋体"/>
          <w:szCs w:val="24"/>
        </w:rPr>
        <w:t>按照《中华人民共和国政府采购法》及实施条例和关于印发《政府采购竞争性磋商采购方式管理暂行办法》的通知（财库【2014】214号）</w:t>
      </w:r>
      <w:r>
        <w:rPr>
          <w:rFonts w:hint="eastAsia" w:hAnsi="宋体" w:cs="宋体"/>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spacing w:val="4"/>
          <w:szCs w:val="24"/>
        </w:rPr>
      </w:pPr>
      <w:r>
        <w:rPr>
          <w:rFonts w:hint="eastAsia" w:hAnsi="宋体" w:cs="宋体"/>
          <w:b/>
          <w:spacing w:val="4"/>
          <w:szCs w:val="24"/>
        </w:rPr>
        <w:t>二、评审程序：</w:t>
      </w:r>
    </w:p>
    <w:p>
      <w:pPr>
        <w:pStyle w:val="34"/>
        <w:spacing w:line="500" w:lineRule="exact"/>
        <w:ind w:left="0" w:leftChars="0" w:firstLine="496" w:firstLineChars="200"/>
        <w:rPr>
          <w:rFonts w:cs="宋体"/>
          <w:sz w:val="24"/>
          <w:szCs w:val="24"/>
        </w:rPr>
      </w:pPr>
      <w:r>
        <w:rPr>
          <w:rFonts w:hint="eastAsia" w:cs="宋体"/>
          <w:sz w:val="24"/>
          <w:szCs w:val="24"/>
        </w:rPr>
        <w:t>按照竞争性磋商响应文件初审、澄清有关问题、分别磋商、二次报价、比较与评审、推荐成交候选人名单。在上一步评审中被认定为无效磋商者，不进入下一步的评审。</w:t>
      </w:r>
    </w:p>
    <w:p>
      <w:pPr>
        <w:numPr>
          <w:ilvl w:val="0"/>
          <w:numId w:val="9"/>
        </w:numPr>
        <w:spacing w:line="500" w:lineRule="exact"/>
        <w:ind w:firstLine="498" w:firstLineChars="200"/>
        <w:rPr>
          <w:rFonts w:hAnsi="宋体" w:cs="宋体"/>
          <w:b/>
          <w:bCs/>
          <w:spacing w:val="4"/>
          <w:szCs w:val="24"/>
        </w:rPr>
      </w:pPr>
      <w:r>
        <w:rPr>
          <w:rFonts w:hint="eastAsia" w:hAnsi="宋体" w:cs="宋体"/>
          <w:b/>
          <w:bCs/>
          <w:spacing w:val="4"/>
          <w:szCs w:val="24"/>
        </w:rPr>
        <w:t>对磋商响应文件的初审：</w:t>
      </w:r>
    </w:p>
    <w:p>
      <w:pPr>
        <w:tabs>
          <w:tab w:val="left" w:pos="0"/>
        </w:tabs>
        <w:adjustRightInd w:val="0"/>
        <w:snapToGrid w:val="0"/>
        <w:spacing w:line="500" w:lineRule="exact"/>
        <w:ind w:firstLine="472" w:firstLineChars="196"/>
        <w:rPr>
          <w:rFonts w:hAnsi="宋体" w:cs="宋体"/>
        </w:rPr>
      </w:pPr>
      <w:r>
        <w:rPr>
          <w:rFonts w:hint="eastAsia" w:hAnsi="宋体" w:cs="宋体"/>
          <w:b/>
          <w:bCs/>
        </w:rPr>
        <w:t>1.1资格性审查。</w:t>
      </w:r>
      <w:r>
        <w:rPr>
          <w:rFonts w:hint="eastAsia" w:hAnsi="宋体" w:cs="宋体"/>
        </w:rPr>
        <w:t>采购人将依据磋商响应文件，按照磋商文件第二章供应商须知前附表12.1条所述资格要求进行资格性审查，如果供应商不满足磋商文件所规定的资格要求或提供资格证明文件不全,将被视为未实质性响应磋商文件。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rPr>
      </w:pPr>
      <w:r>
        <w:rPr>
          <w:rFonts w:hint="eastAsia" w:hAnsi="宋体" w:cs="宋体"/>
          <w:b/>
          <w:bCs/>
        </w:rPr>
        <w:t>1.2符合性审查。</w:t>
      </w:r>
      <w:r>
        <w:rPr>
          <w:rFonts w:hint="eastAsia" w:hAnsi="宋体" w:cs="宋体"/>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rPr>
      </w:pPr>
      <w:r>
        <w:rPr>
          <w:rFonts w:hint="eastAsia" w:hAnsi="宋体" w:cs="宋体"/>
          <w:bCs/>
          <w:spacing w:val="4"/>
          <w:szCs w:val="24"/>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rPr>
      </w:pPr>
      <w:r>
        <w:rPr>
          <w:rFonts w:hint="eastAsia" w:hAnsi="宋体" w:cs="宋体"/>
          <w:bCs/>
          <w:spacing w:val="4"/>
          <w:szCs w:val="24"/>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rPr>
      </w:pPr>
      <w:r>
        <w:rPr>
          <w:rFonts w:hint="eastAsia" w:hAnsi="宋体" w:cs="宋体"/>
          <w:bCs/>
          <w:spacing w:val="4"/>
          <w:szCs w:val="24"/>
        </w:rPr>
        <w:t>1.2.3竞争性磋商</w:t>
      </w:r>
      <w:r>
        <w:rPr>
          <w:rFonts w:hint="eastAsia" w:hAnsi="宋体" w:cs="宋体"/>
          <w:szCs w:val="24"/>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rPr>
      </w:pPr>
      <w:r>
        <w:rPr>
          <w:rFonts w:hint="eastAsia" w:hAnsi="宋体" w:cs="宋体"/>
          <w:szCs w:val="24"/>
        </w:rPr>
        <w:t>1.2.4报价是否超过采购预算。</w:t>
      </w:r>
    </w:p>
    <w:p>
      <w:pPr>
        <w:spacing w:beforeLines="50" w:afterLines="50" w:line="500" w:lineRule="exact"/>
        <w:ind w:firstLine="482" w:firstLineChars="200"/>
        <w:rPr>
          <w:rFonts w:hAnsi="宋体" w:cs="宋体"/>
          <w:b/>
        </w:rPr>
      </w:pPr>
      <w:r>
        <w:rPr>
          <w:rFonts w:hint="eastAsia" w:hAnsi="宋体" w:cs="宋体"/>
          <w:b/>
        </w:rPr>
        <w:t>2、磋商响应文件的澄清</w:t>
      </w:r>
    </w:p>
    <w:p>
      <w:pPr>
        <w:spacing w:line="500" w:lineRule="exact"/>
        <w:ind w:firstLine="496" w:firstLineChars="200"/>
        <w:rPr>
          <w:rFonts w:hAnsi="宋体" w:cs="宋体"/>
          <w:bCs/>
          <w:spacing w:val="4"/>
          <w:szCs w:val="24"/>
        </w:rPr>
      </w:pPr>
      <w:r>
        <w:rPr>
          <w:rFonts w:hint="eastAsia" w:hAnsi="宋体" w:cs="宋体"/>
          <w:bCs/>
          <w:spacing w:val="4"/>
          <w:szCs w:val="24"/>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rPr>
      </w:pPr>
      <w:r>
        <w:rPr>
          <w:rFonts w:hint="eastAsia" w:hAnsi="宋体" w:cs="宋体"/>
          <w:szCs w:val="24"/>
        </w:rPr>
        <w:t>2.2有效的书面澄清材料，是磋商响应文件的补充材料，成为磋商响应文件的组成部分。</w:t>
      </w:r>
    </w:p>
    <w:p>
      <w:pPr>
        <w:spacing w:line="500" w:lineRule="exact"/>
        <w:ind w:firstLine="482" w:firstLineChars="200"/>
        <w:rPr>
          <w:rFonts w:hAnsi="宋体" w:cs="宋体"/>
          <w:szCs w:val="24"/>
        </w:rPr>
      </w:pPr>
      <w:r>
        <w:rPr>
          <w:rFonts w:hint="eastAsia" w:hAnsi="宋体" w:cs="宋体"/>
          <w:b/>
          <w:bCs/>
          <w:szCs w:val="24"/>
        </w:rPr>
        <w:t>3、磋商：</w:t>
      </w:r>
      <w:r>
        <w:rPr>
          <w:rFonts w:hint="eastAsia" w:hAnsi="宋体" w:cs="宋体"/>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500" w:lineRule="exact"/>
        <w:ind w:firstLine="472" w:firstLineChars="196"/>
        <w:rPr>
          <w:rFonts w:hAnsi="宋体" w:cs="宋体"/>
          <w:b/>
          <w:spacing w:val="4"/>
          <w:szCs w:val="24"/>
        </w:rPr>
      </w:pPr>
      <w:r>
        <w:rPr>
          <w:rFonts w:hint="eastAsia" w:hAnsi="宋体" w:cs="宋体"/>
          <w:b/>
          <w:bCs/>
          <w:szCs w:val="24"/>
        </w:rPr>
        <w:t>4、综合评审：</w:t>
      </w:r>
      <w:r>
        <w:rPr>
          <w:rFonts w:hint="eastAsia" w:hAnsi="宋体" w:cs="宋体"/>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r>
        <w:rPr>
          <w:rFonts w:hint="eastAsia" w:hAnsi="宋体" w:cs="宋体"/>
          <w:b/>
          <w:spacing w:val="4"/>
          <w:szCs w:val="24"/>
        </w:rPr>
        <w:br w:type="page"/>
      </w:r>
      <w:r>
        <w:rPr>
          <w:rFonts w:hint="eastAsia" w:hAnsi="宋体" w:cs="宋体"/>
          <w:b/>
          <w:spacing w:val="4"/>
          <w:szCs w:val="24"/>
        </w:rPr>
        <w:t>三、详细评审（总分100分）</w:t>
      </w:r>
    </w:p>
    <w:p>
      <w:pPr>
        <w:spacing w:afterLines="50" w:line="360" w:lineRule="auto"/>
        <w:jc w:val="center"/>
        <w:rPr>
          <w:rFonts w:hAnsi="宋体" w:cs="宋体"/>
          <w:b/>
          <w:szCs w:val="24"/>
        </w:rPr>
      </w:pPr>
      <w:r>
        <w:rPr>
          <w:rFonts w:hint="eastAsia" w:hAnsi="宋体" w:cs="宋体"/>
          <w:b/>
          <w:szCs w:val="24"/>
        </w:rPr>
        <w:t>评审要素和分值分解表</w:t>
      </w:r>
    </w:p>
    <w:tbl>
      <w:tblPr>
        <w:tblStyle w:val="4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680"/>
        <w:gridCol w:w="700"/>
        <w:gridCol w:w="6723"/>
        <w:gridCol w:w="837"/>
        <w:tblGridChange w:id="51">
          <w:tblGrid>
            <w:gridCol w:w="737"/>
            <w:gridCol w:w="680"/>
            <w:gridCol w:w="700"/>
            <w:gridCol w:w="6723"/>
            <w:gridCol w:w="83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37" w:type="dxa"/>
            <w:vAlign w:val="center"/>
          </w:tcPr>
          <w:p>
            <w:pPr>
              <w:pStyle w:val="25"/>
              <w:spacing w:line="424" w:lineRule="exact"/>
              <w:jc w:val="center"/>
              <w:rPr>
                <w:rFonts w:ascii="宋体" w:hAnsi="宋体" w:cs="宋体"/>
                <w:b/>
                <w:bCs/>
                <w:kern w:val="0"/>
                <w:sz w:val="24"/>
                <w:szCs w:val="24"/>
              </w:rPr>
            </w:pPr>
            <w:r>
              <w:rPr>
                <w:rFonts w:hint="eastAsia" w:ascii="宋体" w:hAnsi="宋体" w:cs="宋体"/>
                <w:b/>
                <w:bCs/>
                <w:kern w:val="0"/>
                <w:sz w:val="24"/>
                <w:szCs w:val="24"/>
              </w:rPr>
              <w:t>类别</w:t>
            </w:r>
          </w:p>
        </w:tc>
        <w:tc>
          <w:tcPr>
            <w:tcW w:w="680" w:type="dxa"/>
            <w:vAlign w:val="center"/>
          </w:tcPr>
          <w:p>
            <w:pPr>
              <w:spacing w:line="424" w:lineRule="exact"/>
              <w:jc w:val="center"/>
              <w:rPr>
                <w:rFonts w:hAnsi="宋体" w:cs="宋体"/>
                <w:b/>
                <w:bCs/>
                <w:szCs w:val="24"/>
              </w:rPr>
            </w:pPr>
            <w:r>
              <w:rPr>
                <w:rFonts w:hint="eastAsia" w:hAnsi="宋体" w:cs="宋体"/>
                <w:b/>
                <w:bCs/>
                <w:szCs w:val="24"/>
              </w:rPr>
              <w:t>总分</w:t>
            </w:r>
          </w:p>
        </w:tc>
        <w:tc>
          <w:tcPr>
            <w:tcW w:w="7423" w:type="dxa"/>
            <w:gridSpan w:val="2"/>
            <w:vAlign w:val="center"/>
          </w:tcPr>
          <w:p>
            <w:pPr>
              <w:spacing w:line="424" w:lineRule="exact"/>
              <w:jc w:val="center"/>
              <w:rPr>
                <w:rFonts w:hAnsi="宋体" w:cs="宋体"/>
                <w:b/>
                <w:bCs/>
                <w:szCs w:val="24"/>
              </w:rPr>
            </w:pPr>
            <w:r>
              <w:rPr>
                <w:rFonts w:hint="eastAsia" w:hAnsi="宋体" w:cs="宋体"/>
                <w:b/>
                <w:bCs/>
                <w:szCs w:val="24"/>
              </w:rPr>
              <w:t>评标因素</w:t>
            </w:r>
          </w:p>
        </w:tc>
        <w:tc>
          <w:tcPr>
            <w:tcW w:w="837" w:type="dxa"/>
            <w:vAlign w:val="center"/>
          </w:tcPr>
          <w:p>
            <w:pPr>
              <w:spacing w:line="424" w:lineRule="exact"/>
              <w:jc w:val="center"/>
              <w:rPr>
                <w:rFonts w:hAnsi="宋体" w:cs="宋体"/>
                <w:b/>
                <w:bCs/>
                <w:szCs w:val="24"/>
              </w:rPr>
            </w:pPr>
            <w:r>
              <w:rPr>
                <w:rFonts w:hint="eastAsia" w:hAnsi="宋体" w:cs="宋体"/>
                <w:b/>
                <w:bCs/>
                <w:szCs w:val="24"/>
              </w:rPr>
              <w:t>最高</w:t>
            </w:r>
          </w:p>
          <w:p>
            <w:pPr>
              <w:spacing w:line="424" w:lineRule="exact"/>
              <w:jc w:val="center"/>
              <w:rPr>
                <w:rFonts w:hAnsi="宋体" w:cs="宋体"/>
                <w:b/>
                <w:bCs/>
                <w:szCs w:val="24"/>
              </w:rPr>
            </w:pPr>
            <w:r>
              <w:rPr>
                <w:rFonts w:hint="eastAsia" w:hAnsi="宋体" w:cs="宋体"/>
                <w:b/>
                <w:bCs/>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737" w:type="dxa"/>
            <w:vAlign w:val="center"/>
          </w:tcPr>
          <w:p>
            <w:pPr>
              <w:spacing w:line="424" w:lineRule="exact"/>
              <w:jc w:val="center"/>
              <w:rPr>
                <w:rFonts w:hAnsi="宋体" w:cs="宋体"/>
                <w:b/>
                <w:bCs/>
                <w:szCs w:val="24"/>
              </w:rPr>
            </w:pPr>
            <w:r>
              <w:rPr>
                <w:rFonts w:hint="eastAsia" w:hAnsi="宋体" w:cs="宋体"/>
                <w:szCs w:val="24"/>
              </w:rPr>
              <w:t>价格评审</w:t>
            </w:r>
          </w:p>
        </w:tc>
        <w:tc>
          <w:tcPr>
            <w:tcW w:w="680" w:type="dxa"/>
            <w:vAlign w:val="center"/>
          </w:tcPr>
          <w:p>
            <w:pPr>
              <w:spacing w:line="424" w:lineRule="exact"/>
              <w:jc w:val="center"/>
              <w:rPr>
                <w:rFonts w:hAnsi="宋体" w:cs="宋体"/>
                <w:b/>
                <w:bCs/>
                <w:szCs w:val="24"/>
              </w:rPr>
            </w:pPr>
            <w:r>
              <w:rPr>
                <w:rFonts w:hint="eastAsia" w:hAnsi="宋体" w:cs="宋体"/>
                <w:b/>
                <w:bCs/>
                <w:szCs w:val="24"/>
              </w:rPr>
              <w:t>15分</w:t>
            </w:r>
          </w:p>
        </w:tc>
        <w:tc>
          <w:tcPr>
            <w:tcW w:w="7423" w:type="dxa"/>
            <w:gridSpan w:val="2"/>
            <w:vAlign w:val="center"/>
          </w:tcPr>
          <w:p>
            <w:pPr>
              <w:spacing w:line="424" w:lineRule="exact"/>
              <w:rPr>
                <w:rFonts w:hAnsi="宋体" w:cs="宋体"/>
                <w:szCs w:val="24"/>
              </w:rPr>
            </w:pPr>
            <w:r>
              <w:rPr>
                <w:rFonts w:hint="eastAsia" w:hAnsi="宋体" w:cs="宋体"/>
                <w:szCs w:val="24"/>
              </w:rPr>
              <w:t>1.经初审合格的磋商响应文件，其磋商报价为有效磋商报价，对符合政策性扣减的供应商的有效磋商价格进行政策性扣减，并依据扣减后的价格（评审价格）进行价格评审。</w:t>
            </w:r>
          </w:p>
          <w:p>
            <w:pPr>
              <w:spacing w:line="424" w:lineRule="exact"/>
              <w:ind w:left="-108" w:leftChars="-45" w:firstLine="120" w:firstLineChars="50"/>
              <w:rPr>
                <w:rFonts w:hAnsi="宋体" w:cs="宋体"/>
                <w:szCs w:val="24"/>
              </w:rPr>
            </w:pPr>
            <w:r>
              <w:rPr>
                <w:rFonts w:hint="eastAsia" w:hAnsi="宋体" w:cs="宋体"/>
                <w:szCs w:val="24"/>
              </w:rPr>
              <w:t>2.满足磋商文件实质性要求且最终报价最低的供应商的价格为磋商基准价，其价格分为满分15分。</w:t>
            </w:r>
          </w:p>
          <w:p>
            <w:pPr>
              <w:spacing w:line="424" w:lineRule="exact"/>
              <w:ind w:left="-108" w:leftChars="-45" w:firstLine="120" w:firstLineChars="50"/>
              <w:rPr>
                <w:rFonts w:hAnsi="宋体" w:cs="宋体"/>
                <w:szCs w:val="24"/>
              </w:rPr>
            </w:pPr>
            <w:r>
              <w:rPr>
                <w:rFonts w:hint="eastAsia" w:hAnsi="宋体" w:cs="宋体"/>
                <w:szCs w:val="24"/>
              </w:rPr>
              <w:t>3.磋商报价得分=（磋商基准价/最终磋商报价）×15的公式计算得分。</w:t>
            </w:r>
          </w:p>
          <w:p>
            <w:pPr>
              <w:spacing w:line="424" w:lineRule="exact"/>
              <w:ind w:left="-108" w:leftChars="-45" w:firstLine="120" w:firstLineChars="50"/>
              <w:rPr>
                <w:rFonts w:hAnsi="宋体" w:cs="宋体"/>
                <w:szCs w:val="24"/>
              </w:rPr>
            </w:pPr>
            <w:r>
              <w:rPr>
                <w:rFonts w:hint="eastAsia" w:hAnsi="宋体" w:cs="宋体"/>
                <w:szCs w:val="24"/>
              </w:rPr>
              <w:t>4.经评委一致认定，供应商的磋商最终总报价低于公认市场成本，或超过采购预算,其响应将被拒绝。</w:t>
            </w:r>
          </w:p>
        </w:tc>
        <w:tc>
          <w:tcPr>
            <w:tcW w:w="837" w:type="dxa"/>
            <w:vAlign w:val="center"/>
          </w:tcPr>
          <w:p>
            <w:pPr>
              <w:spacing w:line="424" w:lineRule="exact"/>
              <w:jc w:val="center"/>
              <w:rPr>
                <w:rFonts w:hAnsi="宋体" w:cs="宋体"/>
                <w:szCs w:val="24"/>
              </w:rPr>
            </w:pPr>
            <w:r>
              <w:rPr>
                <w:rFonts w:hint="eastAsia" w:hAnsi="宋体" w:cs="宋体"/>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37" w:type="dxa"/>
            <w:vMerge w:val="restart"/>
            <w:vAlign w:val="center"/>
          </w:tcPr>
          <w:p>
            <w:pPr>
              <w:spacing w:line="424" w:lineRule="exact"/>
              <w:rPr>
                <w:rFonts w:hAnsi="宋体" w:cs="宋体"/>
                <w:szCs w:val="24"/>
              </w:rPr>
            </w:pPr>
            <w:r>
              <w:rPr>
                <w:rFonts w:hint="eastAsia" w:hAnsi="宋体" w:cs="宋体"/>
                <w:szCs w:val="24"/>
              </w:rPr>
              <w:t>技术部分评审</w:t>
            </w:r>
          </w:p>
          <w:p>
            <w:pPr>
              <w:spacing w:line="424" w:lineRule="exact"/>
              <w:ind w:left="-108" w:leftChars="-45" w:firstLine="120" w:firstLineChars="50"/>
              <w:rPr>
                <w:rFonts w:hAnsi="宋体" w:cs="宋体"/>
                <w:szCs w:val="24"/>
              </w:rPr>
            </w:pPr>
          </w:p>
        </w:tc>
        <w:tc>
          <w:tcPr>
            <w:tcW w:w="680" w:type="dxa"/>
            <w:vMerge w:val="restart"/>
            <w:vAlign w:val="center"/>
          </w:tcPr>
          <w:p>
            <w:pPr>
              <w:spacing w:line="424" w:lineRule="exact"/>
              <w:jc w:val="center"/>
              <w:rPr>
                <w:rFonts w:hAnsi="宋体" w:cs="宋体"/>
                <w:b/>
                <w:bCs/>
                <w:szCs w:val="24"/>
              </w:rPr>
            </w:pPr>
            <w:r>
              <w:rPr>
                <w:rFonts w:hint="eastAsia" w:hAnsi="宋体" w:cs="宋体"/>
                <w:b/>
                <w:bCs/>
                <w:szCs w:val="24"/>
              </w:rPr>
              <w:t>60分</w:t>
            </w:r>
          </w:p>
        </w:tc>
        <w:tc>
          <w:tcPr>
            <w:tcW w:w="700" w:type="dxa"/>
            <w:vAlign w:val="center"/>
          </w:tcPr>
          <w:p>
            <w:pPr>
              <w:numPr>
                <w:ilvl w:val="0"/>
                <w:numId w:val="10"/>
              </w:numPr>
              <w:spacing w:line="424" w:lineRule="exact"/>
              <w:ind w:left="-108" w:leftChars="-45" w:firstLine="120" w:firstLineChars="50"/>
              <w:jc w:val="center"/>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投标人针对本项目提供详细的运维服务方案。方案编制完整、详细、清晰实施性强15-20分，有服务方案，能保证项目顺利实施的计10-14分，方案内容欠缺、实施性较差计0-9分，未提供不计分。</w:t>
            </w:r>
          </w:p>
        </w:tc>
        <w:tc>
          <w:tcPr>
            <w:tcW w:w="837" w:type="dxa"/>
            <w:vAlign w:val="center"/>
          </w:tcPr>
          <w:p>
            <w:pPr>
              <w:spacing w:line="424" w:lineRule="exact"/>
              <w:rPr>
                <w:rFonts w:hAnsi="宋体" w:cs="宋体"/>
                <w:szCs w:val="24"/>
              </w:rPr>
            </w:pPr>
            <w:r>
              <w:rPr>
                <w:rFonts w:hint="eastAsia" w:hAnsi="宋体" w:cs="宋体"/>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Merge w:val="continue"/>
            <w:vAlign w:val="center"/>
          </w:tcPr>
          <w:p>
            <w:pPr>
              <w:spacing w:line="424" w:lineRule="exact"/>
              <w:rPr>
                <w:rFonts w:hAnsi="宋体" w:cs="宋体"/>
                <w:szCs w:val="24"/>
              </w:rPr>
            </w:pPr>
          </w:p>
        </w:tc>
        <w:tc>
          <w:tcPr>
            <w:tcW w:w="680" w:type="dxa"/>
            <w:vMerge w:val="continue"/>
            <w:vAlign w:val="center"/>
          </w:tcPr>
          <w:p>
            <w:pPr>
              <w:spacing w:line="424" w:lineRule="exact"/>
              <w:jc w:val="center"/>
              <w:rPr>
                <w:rFonts w:hAnsi="宋体" w:cs="宋体"/>
                <w:b/>
                <w:bCs/>
                <w:szCs w:val="24"/>
              </w:rPr>
            </w:pPr>
          </w:p>
        </w:tc>
        <w:tc>
          <w:tcPr>
            <w:tcW w:w="700" w:type="dxa"/>
            <w:vAlign w:val="center"/>
          </w:tcPr>
          <w:p>
            <w:pPr>
              <w:numPr>
                <w:ilvl w:val="0"/>
                <w:numId w:val="10"/>
              </w:numPr>
              <w:spacing w:line="424" w:lineRule="exact"/>
              <w:ind w:left="-108" w:leftChars="-45" w:firstLine="120" w:firstLineChars="50"/>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供</w:t>
            </w:r>
            <w:r>
              <w:rPr>
                <w:rFonts w:hint="eastAsia" w:hAnsi="宋体" w:cs="宋体"/>
                <w:color w:val="000000"/>
                <w:szCs w:val="24"/>
              </w:rPr>
              <w:t>应商须针对本项目具体情况，组建服务团队。细化人员组成、配置分工、项目管理措施等，依据项目团队设置的合理性、可行性进行打分，根据响应程度</w:t>
            </w:r>
            <w:r>
              <w:rPr>
                <w:rFonts w:hint="eastAsia" w:hAnsi="宋体" w:cs="宋体"/>
                <w:szCs w:val="24"/>
              </w:rPr>
              <w:t>计0-18分。</w:t>
            </w:r>
          </w:p>
        </w:tc>
        <w:tc>
          <w:tcPr>
            <w:tcW w:w="837" w:type="dxa"/>
            <w:vAlign w:val="center"/>
          </w:tcPr>
          <w:p>
            <w:pPr>
              <w:spacing w:line="424" w:lineRule="exact"/>
              <w:rPr>
                <w:rFonts w:hAnsi="宋体" w:cs="宋体"/>
                <w:szCs w:val="24"/>
              </w:rPr>
            </w:pPr>
            <w:r>
              <w:rPr>
                <w:rFonts w:hint="eastAsia" w:hAnsi="宋体" w:cs="宋体"/>
                <w:szCs w:val="24"/>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37" w:type="dxa"/>
            <w:vMerge w:val="continue"/>
            <w:vAlign w:val="center"/>
          </w:tcPr>
          <w:p>
            <w:pPr>
              <w:spacing w:line="424" w:lineRule="exact"/>
              <w:rPr>
                <w:rFonts w:hAnsi="宋体" w:cs="宋体"/>
                <w:szCs w:val="24"/>
              </w:rPr>
            </w:pPr>
          </w:p>
        </w:tc>
        <w:tc>
          <w:tcPr>
            <w:tcW w:w="680" w:type="dxa"/>
            <w:vMerge w:val="continue"/>
            <w:vAlign w:val="center"/>
          </w:tcPr>
          <w:p>
            <w:pPr>
              <w:spacing w:line="424" w:lineRule="exact"/>
              <w:jc w:val="center"/>
              <w:rPr>
                <w:rFonts w:hAnsi="宋体" w:cs="宋体"/>
                <w:b/>
                <w:bCs/>
                <w:szCs w:val="24"/>
              </w:rPr>
            </w:pPr>
          </w:p>
        </w:tc>
        <w:tc>
          <w:tcPr>
            <w:tcW w:w="700" w:type="dxa"/>
            <w:vAlign w:val="center"/>
          </w:tcPr>
          <w:p>
            <w:pPr>
              <w:numPr>
                <w:ilvl w:val="0"/>
                <w:numId w:val="10"/>
              </w:numPr>
              <w:spacing w:line="424" w:lineRule="exact"/>
              <w:ind w:left="-108" w:leftChars="-45" w:firstLine="120" w:firstLineChars="50"/>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针对本项目提供详细的应急处置方案, 对本项目实施的重点、难点给出相应的解决方案，包括日常管理、运行巡检、设备维护等，且整体项目符合相关的国家执业标准，在重大节假日有明确的维保服务措施及承诺。承诺内容全面、合理可行、达到服务标准计11-18分，有解决方案，能保证项目顺利实施的计6-10分，方案考虑不全面，实施性较差的计0-5分。</w:t>
            </w:r>
          </w:p>
        </w:tc>
        <w:tc>
          <w:tcPr>
            <w:tcW w:w="837" w:type="dxa"/>
            <w:vAlign w:val="center"/>
          </w:tcPr>
          <w:p>
            <w:pPr>
              <w:spacing w:line="424" w:lineRule="exact"/>
              <w:rPr>
                <w:rFonts w:hAnsi="宋体" w:cs="宋体"/>
                <w:szCs w:val="24"/>
              </w:rPr>
            </w:pPr>
            <w:r>
              <w:rPr>
                <w:rFonts w:hint="eastAsia" w:hAnsi="宋体" w:cs="宋体"/>
                <w:szCs w:val="24"/>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7" w:type="dxa"/>
            <w:vMerge w:val="continue"/>
            <w:vAlign w:val="center"/>
          </w:tcPr>
          <w:p>
            <w:pPr>
              <w:spacing w:line="424" w:lineRule="exact"/>
              <w:rPr>
                <w:rFonts w:hAnsi="宋体" w:cs="宋体"/>
                <w:szCs w:val="24"/>
              </w:rPr>
            </w:pPr>
          </w:p>
        </w:tc>
        <w:tc>
          <w:tcPr>
            <w:tcW w:w="680" w:type="dxa"/>
            <w:vMerge w:val="continue"/>
            <w:vAlign w:val="center"/>
          </w:tcPr>
          <w:p>
            <w:pPr>
              <w:spacing w:line="424" w:lineRule="exact"/>
              <w:jc w:val="center"/>
              <w:rPr>
                <w:rFonts w:hAnsi="宋体" w:cs="宋体"/>
                <w:b/>
                <w:bCs/>
                <w:szCs w:val="24"/>
              </w:rPr>
            </w:pPr>
          </w:p>
        </w:tc>
        <w:tc>
          <w:tcPr>
            <w:tcW w:w="700" w:type="dxa"/>
            <w:vAlign w:val="center"/>
          </w:tcPr>
          <w:p>
            <w:pPr>
              <w:numPr>
                <w:ilvl w:val="0"/>
                <w:numId w:val="10"/>
              </w:numPr>
              <w:spacing w:line="424" w:lineRule="exact"/>
              <w:ind w:left="-108" w:leftChars="-45" w:firstLine="120" w:firstLineChars="50"/>
              <w:rPr>
                <w:rFonts w:hAnsi="宋体" w:cs="宋体"/>
                <w:szCs w:val="24"/>
              </w:rPr>
            </w:pPr>
          </w:p>
        </w:tc>
        <w:tc>
          <w:tcPr>
            <w:tcW w:w="6723" w:type="dxa"/>
            <w:vAlign w:val="center"/>
          </w:tcPr>
          <w:p>
            <w:pPr>
              <w:snapToGrid w:val="0"/>
              <w:spacing w:line="424" w:lineRule="exact"/>
              <w:jc w:val="left"/>
              <w:rPr>
                <w:rFonts w:hAnsi="宋体" w:cs="宋体"/>
                <w:szCs w:val="24"/>
              </w:rPr>
            </w:pPr>
            <w:r>
              <w:rPr>
                <w:rFonts w:hint="eastAsia" w:hAnsi="宋体" w:cs="宋体"/>
                <w:szCs w:val="24"/>
              </w:rPr>
              <w:t>依据供应商投入本项目维护所需的设备、工具、备品备件及试剂等清单，清单完整，能保证正常维护的计0-4分</w:t>
            </w:r>
          </w:p>
        </w:tc>
        <w:tc>
          <w:tcPr>
            <w:tcW w:w="837" w:type="dxa"/>
            <w:vAlign w:val="center"/>
          </w:tcPr>
          <w:p>
            <w:pPr>
              <w:spacing w:line="424" w:lineRule="exact"/>
              <w:jc w:val="center"/>
              <w:rPr>
                <w:rFonts w:hAnsi="宋体" w:cs="宋体"/>
                <w:szCs w:val="24"/>
              </w:rPr>
            </w:pPr>
            <w:r>
              <w:rPr>
                <w:rFonts w:hint="eastAsia" w:hAnsi="宋体" w:cs="宋体"/>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高凌" w:date="2023-05-12T12:11: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89" w:hRule="atLeast"/>
          <w:jc w:val="center"/>
          <w:trPrChange w:id="52" w:author="高凌" w:date="2023-05-12T12:11:09Z">
            <w:trPr>
              <w:trHeight w:val="1714" w:hRule="atLeast"/>
              <w:jc w:val="center"/>
            </w:trPr>
          </w:trPrChange>
        </w:trPr>
        <w:tc>
          <w:tcPr>
            <w:tcW w:w="737" w:type="dxa"/>
            <w:vMerge w:val="restart"/>
            <w:vAlign w:val="center"/>
            <w:tcPrChange w:id="53" w:author="高凌" w:date="2023-05-12T12:11:09Z">
              <w:tcPr>
                <w:tcW w:w="737" w:type="dxa"/>
                <w:vMerge w:val="restart"/>
                <w:vAlign w:val="center"/>
              </w:tcPr>
            </w:tcPrChange>
          </w:tcPr>
          <w:p>
            <w:pPr>
              <w:spacing w:line="424" w:lineRule="exact"/>
              <w:jc w:val="center"/>
              <w:rPr>
                <w:rFonts w:hAnsi="宋体" w:cs="宋体"/>
                <w:szCs w:val="24"/>
              </w:rPr>
            </w:pPr>
            <w:r>
              <w:rPr>
                <w:rFonts w:hint="eastAsia" w:hAnsi="宋体" w:cs="宋体"/>
                <w:szCs w:val="24"/>
              </w:rPr>
              <w:t>商务部分评审</w:t>
            </w:r>
          </w:p>
        </w:tc>
        <w:tc>
          <w:tcPr>
            <w:tcW w:w="680" w:type="dxa"/>
            <w:vMerge w:val="restart"/>
            <w:vAlign w:val="center"/>
            <w:tcPrChange w:id="54" w:author="高凌" w:date="2023-05-12T12:11:09Z">
              <w:tcPr>
                <w:tcW w:w="680" w:type="dxa"/>
                <w:vMerge w:val="restart"/>
                <w:vAlign w:val="center"/>
              </w:tcPr>
            </w:tcPrChange>
          </w:tcPr>
          <w:p>
            <w:pPr>
              <w:spacing w:line="424" w:lineRule="exact"/>
              <w:jc w:val="center"/>
              <w:rPr>
                <w:rFonts w:hAnsi="宋体" w:cs="宋体"/>
                <w:b/>
                <w:bCs/>
                <w:szCs w:val="24"/>
              </w:rPr>
            </w:pPr>
            <w:ins w:id="55" w:author="高凌" w:date="2023-05-11T23:26:00Z">
              <w:r>
                <w:rPr>
                  <w:rFonts w:hint="eastAsia" w:hAnsi="宋体" w:cs="宋体"/>
                  <w:b/>
                  <w:bCs/>
                  <w:szCs w:val="24"/>
                </w:rPr>
                <w:t>25</w:t>
              </w:r>
            </w:ins>
            <w:r>
              <w:rPr>
                <w:rFonts w:hint="eastAsia" w:hAnsi="宋体" w:cs="宋体"/>
                <w:b/>
                <w:bCs/>
                <w:szCs w:val="24"/>
              </w:rPr>
              <w:t>分</w:t>
            </w:r>
          </w:p>
        </w:tc>
        <w:tc>
          <w:tcPr>
            <w:tcW w:w="700" w:type="dxa"/>
            <w:vAlign w:val="center"/>
            <w:tcPrChange w:id="56" w:author="高凌" w:date="2023-05-12T12:11:09Z">
              <w:tcPr>
                <w:tcW w:w="700" w:type="dxa"/>
                <w:vAlign w:val="center"/>
              </w:tcPr>
            </w:tcPrChange>
          </w:tcPr>
          <w:p>
            <w:pPr>
              <w:numPr>
                <w:ilvl w:val="0"/>
                <w:numId w:val="11"/>
              </w:numPr>
              <w:spacing w:line="424" w:lineRule="exact"/>
              <w:jc w:val="center"/>
              <w:rPr>
                <w:rFonts w:hAnsi="宋体" w:cs="宋体"/>
                <w:szCs w:val="24"/>
              </w:rPr>
            </w:pPr>
          </w:p>
        </w:tc>
        <w:tc>
          <w:tcPr>
            <w:tcW w:w="6723" w:type="dxa"/>
            <w:vAlign w:val="center"/>
            <w:tcPrChange w:id="57" w:author="高凌" w:date="2023-05-12T12:11:09Z">
              <w:tcPr>
                <w:tcW w:w="6723" w:type="dxa"/>
                <w:vAlign w:val="center"/>
              </w:tcPr>
            </w:tcPrChange>
          </w:tcPr>
          <w:p>
            <w:pPr>
              <w:spacing w:line="424" w:lineRule="exact"/>
              <w:ind w:left="12"/>
              <w:rPr>
                <w:rFonts w:hAnsi="宋体" w:cs="宋体"/>
                <w:szCs w:val="24"/>
              </w:rPr>
            </w:pPr>
            <w:r>
              <w:rPr>
                <w:rFonts w:hint="eastAsia" w:hAnsi="宋体" w:cs="宋体"/>
                <w:szCs w:val="24"/>
              </w:rPr>
              <w:t>业绩：</w:t>
            </w:r>
          </w:p>
          <w:p>
            <w:pPr>
              <w:pStyle w:val="94"/>
              <w:numPr>
                <w:ilvl w:val="-1"/>
                <w:numId w:val="0"/>
              </w:numPr>
              <w:spacing w:line="424" w:lineRule="exact"/>
              <w:ind w:left="12" w:firstLine="0" w:firstLineChars="0"/>
              <w:rPr>
                <w:rFonts w:hint="eastAsia" w:ascii="宋体" w:hAnsi="宋体" w:cs="宋体"/>
                <w:sz w:val="24"/>
                <w:szCs w:val="24"/>
              </w:rPr>
            </w:pPr>
            <w:ins w:id="58" w:author="高凌" w:date="2023-05-12T12:10:52Z">
              <w:r>
                <w:rPr>
                  <w:rFonts w:hint="eastAsia" w:ascii="宋体" w:hAnsi="宋体" w:cs="宋体"/>
                  <w:sz w:val="24"/>
                  <w:szCs w:val="24"/>
                  <w:lang w:val="en-US" w:eastAsia="zh-CN"/>
                </w:rPr>
                <w:t>1</w:t>
              </w:r>
            </w:ins>
            <w:ins w:id="59" w:author="高凌" w:date="2023-05-12T12:10:57Z">
              <w:r>
                <w:rPr>
                  <w:rFonts w:hint="eastAsia" w:ascii="宋体" w:hAnsi="宋体" w:cs="宋体"/>
                  <w:sz w:val="24"/>
                  <w:szCs w:val="24"/>
                  <w:lang w:val="en-US" w:eastAsia="zh-CN"/>
                </w:rPr>
                <w:t>、</w:t>
              </w:r>
            </w:ins>
            <w:r>
              <w:rPr>
                <w:rFonts w:hint="eastAsia" w:ascii="宋体" w:hAnsi="宋体" w:cs="宋体"/>
                <w:sz w:val="24"/>
                <w:szCs w:val="24"/>
              </w:rPr>
              <w:t>供应商须提供近三年来具有水质监测施工或维护项目的类似业绩，每提供一份得</w:t>
            </w:r>
            <w:ins w:id="60" w:author="高凌" w:date="2023-05-12T12:11:13Z">
              <w:r>
                <w:rPr>
                  <w:rFonts w:hint="eastAsia" w:ascii="宋体" w:hAnsi="宋体" w:cs="宋体"/>
                  <w:sz w:val="24"/>
                  <w:szCs w:val="24"/>
                  <w:lang w:val="en-US" w:eastAsia="zh-CN"/>
                </w:rPr>
                <w:t>3</w:t>
              </w:r>
            </w:ins>
            <w:r>
              <w:rPr>
                <w:rFonts w:hint="eastAsia" w:ascii="宋体" w:hAnsi="宋体" w:cs="宋体"/>
                <w:sz w:val="24"/>
                <w:szCs w:val="24"/>
              </w:rPr>
              <w:t>分，计满</w:t>
            </w:r>
            <w:ins w:id="61" w:author="高凌" w:date="2023-05-12T12:11:16Z">
              <w:r>
                <w:rPr>
                  <w:rFonts w:hint="eastAsia" w:ascii="宋体" w:hAnsi="宋体" w:cs="宋体"/>
                  <w:sz w:val="24"/>
                  <w:szCs w:val="24"/>
                  <w:lang w:val="en-US" w:eastAsia="zh-CN"/>
                </w:rPr>
                <w:t>9</w:t>
              </w:r>
            </w:ins>
            <w:r>
              <w:rPr>
                <w:rFonts w:hint="eastAsia" w:ascii="宋体" w:hAnsi="宋体" w:cs="宋体"/>
                <w:sz w:val="24"/>
                <w:szCs w:val="24"/>
              </w:rPr>
              <w:t>分。</w:t>
            </w:r>
          </w:p>
          <w:p>
            <w:pPr>
              <w:pStyle w:val="94"/>
              <w:numPr>
                <w:ilvl w:val="-1"/>
                <w:numId w:val="0"/>
              </w:numPr>
              <w:spacing w:line="424" w:lineRule="exact"/>
              <w:ind w:left="12" w:firstLine="0" w:firstLineChars="0"/>
              <w:rPr>
                <w:rFonts w:hint="eastAsia" w:ascii="宋体" w:hAnsi="宋体" w:cs="宋体"/>
                <w:sz w:val="24"/>
                <w:szCs w:val="24"/>
              </w:rPr>
            </w:pPr>
            <w:ins w:id="62" w:author="高凌" w:date="2023-05-12T12:11:03Z">
              <w:r>
                <w:rPr>
                  <w:rFonts w:hint="eastAsia" w:ascii="宋体" w:hAnsi="宋体" w:cs="宋体"/>
                  <w:sz w:val="24"/>
                  <w:szCs w:val="24"/>
                  <w:lang w:val="en-US" w:eastAsia="zh-CN"/>
                </w:rPr>
                <w:t>2</w:t>
              </w:r>
            </w:ins>
            <w:ins w:id="63" w:author="高凌" w:date="2023-05-12T12:11:04Z">
              <w:r>
                <w:rPr>
                  <w:rFonts w:hint="eastAsia" w:ascii="宋体" w:hAnsi="宋体" w:cs="宋体"/>
                  <w:sz w:val="24"/>
                  <w:szCs w:val="24"/>
                  <w:lang w:val="en-US" w:eastAsia="zh-CN"/>
                </w:rPr>
                <w:t>、</w:t>
              </w:r>
            </w:ins>
            <w:r>
              <w:rPr>
                <w:rFonts w:hint="eastAsia" w:ascii="宋体" w:hAnsi="宋体" w:cs="宋体"/>
                <w:sz w:val="24"/>
                <w:szCs w:val="24"/>
              </w:rPr>
              <w:t>供应商需提供近三年来具有水量监测施工或维护项目类似业绩，每提供一份得2分，计满6分。</w:t>
            </w:r>
          </w:p>
          <w:p>
            <w:pPr>
              <w:spacing w:line="424" w:lineRule="exact"/>
              <w:ind w:left="12"/>
              <w:rPr>
                <w:rFonts w:hAnsi="宋体" w:cs="宋体"/>
                <w:szCs w:val="24"/>
              </w:rPr>
            </w:pPr>
            <w:r>
              <w:rPr>
                <w:rFonts w:hint="eastAsia" w:hAnsi="宋体" w:cs="宋体"/>
                <w:szCs w:val="24"/>
              </w:rPr>
              <w:t>注：业绩证明（以磋商响应文件中的合同复印件为准，并加盖单位公章）。</w:t>
            </w:r>
          </w:p>
        </w:tc>
        <w:tc>
          <w:tcPr>
            <w:tcW w:w="837" w:type="dxa"/>
            <w:vAlign w:val="center"/>
            <w:tcPrChange w:id="64" w:author="高凌" w:date="2023-05-12T12:11:09Z">
              <w:tcPr>
                <w:tcW w:w="837" w:type="dxa"/>
                <w:vAlign w:val="center"/>
              </w:tcPr>
            </w:tcPrChange>
          </w:tcPr>
          <w:p>
            <w:pPr>
              <w:spacing w:line="424" w:lineRule="exact"/>
              <w:rPr>
                <w:rFonts w:hAnsi="宋体" w:cs="宋体"/>
                <w:szCs w:val="24"/>
              </w:rPr>
            </w:pPr>
            <w:r>
              <w:rPr>
                <w:rFonts w:hint="eastAsia" w:hAnsi="宋体" w:cs="宋体"/>
                <w:szCs w:val="24"/>
              </w:rPr>
              <w:t>1</w:t>
            </w:r>
            <w:ins w:id="65" w:author="高凌" w:date="2023-05-12T12:16:33Z">
              <w:r>
                <w:rPr>
                  <w:rFonts w:hint="eastAsia" w:hAnsi="宋体" w:cs="宋体"/>
                  <w:szCs w:val="24"/>
                  <w:lang w:val="en-US" w:eastAsia="zh-CN"/>
                </w:rPr>
                <w:t>5</w:t>
              </w:r>
            </w:ins>
            <w:r>
              <w:rPr>
                <w:rFonts w:hint="eastAsia" w:hAnsi="宋体" w:cs="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7" w:type="dxa"/>
            <w:vMerge w:val="continue"/>
            <w:vAlign w:val="center"/>
          </w:tcPr>
          <w:p>
            <w:pPr>
              <w:spacing w:line="424" w:lineRule="exact"/>
              <w:ind w:left="-108" w:leftChars="-45" w:firstLine="120" w:firstLineChars="50"/>
              <w:rPr>
                <w:rFonts w:hAnsi="宋体" w:cs="宋体"/>
                <w:szCs w:val="24"/>
              </w:rPr>
            </w:pPr>
          </w:p>
        </w:tc>
        <w:tc>
          <w:tcPr>
            <w:tcW w:w="680" w:type="dxa"/>
            <w:vMerge w:val="continue"/>
            <w:vAlign w:val="center"/>
          </w:tcPr>
          <w:p>
            <w:pPr>
              <w:spacing w:line="424" w:lineRule="exact"/>
              <w:ind w:left="-108" w:leftChars="-45" w:firstLine="120" w:firstLineChars="50"/>
              <w:rPr>
                <w:rFonts w:hAnsi="宋体" w:cs="宋体"/>
                <w:szCs w:val="24"/>
              </w:rPr>
            </w:pPr>
          </w:p>
        </w:tc>
        <w:tc>
          <w:tcPr>
            <w:tcW w:w="700" w:type="dxa"/>
            <w:vAlign w:val="center"/>
          </w:tcPr>
          <w:p>
            <w:pPr>
              <w:numPr>
                <w:ilvl w:val="0"/>
                <w:numId w:val="11"/>
              </w:numPr>
              <w:spacing w:line="424" w:lineRule="exact"/>
              <w:jc w:val="center"/>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合理化建议：</w:t>
            </w:r>
          </w:p>
          <w:p>
            <w:pPr>
              <w:widowControl/>
              <w:spacing w:line="424" w:lineRule="exact"/>
              <w:jc w:val="left"/>
              <w:rPr>
                <w:rFonts w:hAnsi="宋体" w:cs="宋体"/>
                <w:szCs w:val="24"/>
              </w:rPr>
            </w:pPr>
            <w:r>
              <w:rPr>
                <w:rFonts w:hint="eastAsia" w:hAnsi="宋体" w:cs="宋体"/>
                <w:szCs w:val="24"/>
              </w:rPr>
              <w:t>提供针对本项目的合理化建议，内容可行、合理计</w:t>
            </w:r>
            <w:ins w:id="66" w:author="高凌" w:date="2023-05-11T23:25:00Z">
              <w:r>
                <w:rPr>
                  <w:rFonts w:hint="eastAsia" w:hAnsi="宋体" w:cs="宋体"/>
                  <w:szCs w:val="24"/>
                </w:rPr>
                <w:t>3</w:t>
              </w:r>
            </w:ins>
            <w:r>
              <w:rPr>
                <w:rFonts w:hint="eastAsia" w:hAnsi="宋体" w:cs="宋体"/>
                <w:szCs w:val="24"/>
              </w:rPr>
              <w:t>-</w:t>
            </w:r>
            <w:ins w:id="67" w:author="高凌" w:date="2023-05-11T23:25:00Z">
              <w:r>
                <w:rPr>
                  <w:rFonts w:hint="eastAsia" w:hAnsi="宋体" w:cs="宋体"/>
                  <w:szCs w:val="24"/>
                </w:rPr>
                <w:t>5</w:t>
              </w:r>
            </w:ins>
            <w:r>
              <w:rPr>
                <w:rFonts w:hint="eastAsia" w:hAnsi="宋体" w:cs="宋体"/>
                <w:szCs w:val="24"/>
              </w:rPr>
              <w:t>分，内容可行、较合理计0-</w:t>
            </w:r>
            <w:ins w:id="68" w:author="高凌" w:date="2023-05-12T12:16:52Z">
              <w:r>
                <w:rPr>
                  <w:rFonts w:hint="eastAsia" w:hAnsi="宋体" w:cs="宋体"/>
                  <w:szCs w:val="24"/>
                  <w:lang w:val="en-US" w:eastAsia="zh-CN"/>
                </w:rPr>
                <w:t>3</w:t>
              </w:r>
            </w:ins>
            <w:r>
              <w:rPr>
                <w:rFonts w:hint="eastAsia" w:hAnsi="宋体" w:cs="宋体"/>
                <w:szCs w:val="24"/>
              </w:rPr>
              <w:t>分。</w:t>
            </w:r>
          </w:p>
        </w:tc>
        <w:tc>
          <w:tcPr>
            <w:tcW w:w="837" w:type="dxa"/>
            <w:vAlign w:val="center"/>
          </w:tcPr>
          <w:p>
            <w:pPr>
              <w:spacing w:line="424" w:lineRule="exact"/>
              <w:rPr>
                <w:rFonts w:hAnsi="宋体" w:cs="宋体"/>
                <w:szCs w:val="24"/>
              </w:rPr>
            </w:pPr>
            <w:ins w:id="69" w:author="高凌" w:date="2023-05-11T23:31:00Z">
              <w:r>
                <w:rPr>
                  <w:rFonts w:hint="eastAsia" w:hAnsi="宋体" w:cs="宋体"/>
                  <w:szCs w:val="24"/>
                </w:rPr>
                <w:t>5</w:t>
              </w:r>
            </w:ins>
            <w:r>
              <w:rPr>
                <w:rFonts w:hint="eastAsia" w:hAnsi="宋体" w:cs="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37" w:type="dxa"/>
            <w:vMerge w:val="continue"/>
            <w:vAlign w:val="center"/>
          </w:tcPr>
          <w:p>
            <w:pPr>
              <w:spacing w:line="424" w:lineRule="exact"/>
              <w:ind w:left="-108" w:leftChars="-45" w:firstLine="120" w:firstLineChars="50"/>
              <w:rPr>
                <w:rFonts w:hAnsi="宋体" w:cs="宋体"/>
                <w:szCs w:val="24"/>
              </w:rPr>
            </w:pPr>
          </w:p>
        </w:tc>
        <w:tc>
          <w:tcPr>
            <w:tcW w:w="680" w:type="dxa"/>
            <w:vMerge w:val="continue"/>
            <w:vAlign w:val="center"/>
          </w:tcPr>
          <w:p>
            <w:pPr>
              <w:spacing w:line="424" w:lineRule="exact"/>
              <w:ind w:left="-108" w:leftChars="-45" w:firstLine="120" w:firstLineChars="50"/>
              <w:rPr>
                <w:rFonts w:hAnsi="宋体" w:cs="宋体"/>
                <w:szCs w:val="24"/>
              </w:rPr>
            </w:pPr>
          </w:p>
        </w:tc>
        <w:tc>
          <w:tcPr>
            <w:tcW w:w="700" w:type="dxa"/>
            <w:vAlign w:val="center"/>
          </w:tcPr>
          <w:p>
            <w:pPr>
              <w:pStyle w:val="94"/>
              <w:numPr>
                <w:ilvl w:val="0"/>
                <w:numId w:val="11"/>
              </w:numPr>
              <w:spacing w:line="424" w:lineRule="exact"/>
              <w:ind w:firstLineChars="0"/>
              <w:jc w:val="center"/>
              <w:rPr>
                <w:rFonts w:ascii="宋体" w:hAnsi="宋体" w:cs="宋体"/>
                <w:sz w:val="24"/>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售后服务方案及承诺：</w:t>
            </w:r>
          </w:p>
          <w:p>
            <w:pPr>
              <w:widowControl/>
              <w:spacing w:line="424" w:lineRule="exact"/>
              <w:jc w:val="left"/>
              <w:rPr>
                <w:rFonts w:hAnsi="宋体" w:cs="宋体"/>
                <w:szCs w:val="24"/>
              </w:rPr>
            </w:pPr>
            <w:r>
              <w:rPr>
                <w:rFonts w:hint="eastAsia" w:hAnsi="宋体" w:cs="宋体"/>
                <w:szCs w:val="24"/>
              </w:rPr>
              <w:t>供应商承诺为招标人提供本地化服务、服务范围、服务承诺以及故障解决方案、响应时间、应急处理方案、专业技术人员保障、售后服务电话、质量无投诉保障体系等），根据响应程度计0-</w:t>
            </w:r>
            <w:ins w:id="70" w:author="高凌" w:date="2023-05-11T23:25:00Z">
              <w:r>
                <w:rPr>
                  <w:rFonts w:hint="eastAsia" w:hAnsi="宋体" w:cs="宋体"/>
                  <w:szCs w:val="24"/>
                </w:rPr>
                <w:t>5</w:t>
              </w:r>
            </w:ins>
            <w:r>
              <w:rPr>
                <w:rFonts w:hint="eastAsia" w:hAnsi="宋体" w:cs="宋体"/>
                <w:szCs w:val="24"/>
              </w:rPr>
              <w:t>分。</w:t>
            </w:r>
          </w:p>
        </w:tc>
        <w:tc>
          <w:tcPr>
            <w:tcW w:w="837" w:type="dxa"/>
            <w:vAlign w:val="center"/>
          </w:tcPr>
          <w:p>
            <w:pPr>
              <w:spacing w:line="424" w:lineRule="exact"/>
              <w:rPr>
                <w:rFonts w:hAnsi="宋体" w:cs="宋体"/>
                <w:szCs w:val="24"/>
              </w:rPr>
            </w:pPr>
            <w:ins w:id="71" w:author="高凌" w:date="2023-05-11T23:31:00Z">
              <w:r>
                <w:rPr>
                  <w:rFonts w:hint="eastAsia" w:hAnsi="宋体" w:cs="宋体"/>
                  <w:szCs w:val="24"/>
                </w:rPr>
                <w:t>5</w:t>
              </w:r>
            </w:ins>
            <w:r>
              <w:rPr>
                <w:rFonts w:hint="eastAsia" w:hAnsi="宋体" w:cs="宋体"/>
                <w:szCs w:val="24"/>
              </w:rPr>
              <w:t>分</w:t>
            </w:r>
          </w:p>
        </w:tc>
      </w:tr>
    </w:tbl>
    <w:p>
      <w:pPr>
        <w:pStyle w:val="34"/>
        <w:spacing w:line="240" w:lineRule="auto"/>
        <w:ind w:left="0" w:leftChars="0" w:firstLine="0" w:firstLineChars="0"/>
        <w:rPr>
          <w:rFonts w:cs="宋体"/>
          <w:b/>
          <w:sz w:val="24"/>
          <w:szCs w:val="24"/>
        </w:rPr>
      </w:pPr>
      <w:r>
        <w:rPr>
          <w:rFonts w:hint="eastAsia" w:cs="宋体"/>
          <w:b/>
          <w:sz w:val="24"/>
          <w:szCs w:val="24"/>
        </w:rPr>
        <w:t>五、成交：</w:t>
      </w:r>
    </w:p>
    <w:p>
      <w:pPr>
        <w:spacing w:line="360" w:lineRule="auto"/>
        <w:ind w:firstLine="496" w:firstLineChars="200"/>
        <w:rPr>
          <w:rFonts w:hAnsi="宋体" w:cs="宋体"/>
          <w:spacing w:val="4"/>
          <w:szCs w:val="24"/>
        </w:rPr>
      </w:pPr>
      <w:r>
        <w:rPr>
          <w:rFonts w:hint="eastAsia" w:hAnsi="宋体" w:cs="宋体"/>
          <w:spacing w:val="4"/>
          <w:szCs w:val="24"/>
        </w:rPr>
        <w:t>1、磋商结果报告由磋商小组全体成员签字确认。</w:t>
      </w:r>
    </w:p>
    <w:p>
      <w:pPr>
        <w:spacing w:line="360" w:lineRule="auto"/>
        <w:ind w:firstLine="496" w:firstLineChars="200"/>
        <w:rPr>
          <w:rFonts w:hAnsi="宋体" w:cs="宋体"/>
          <w:b/>
          <w:szCs w:val="24"/>
        </w:rPr>
      </w:pPr>
      <w:r>
        <w:rPr>
          <w:rFonts w:hint="eastAsia" w:hAnsi="宋体" w:cs="宋体"/>
          <w:spacing w:val="4"/>
          <w:szCs w:val="24"/>
        </w:rPr>
        <w:t>2、采购人根据磋商结果报告中推荐的成交候选人确定成交供应商，以复函通知采购代理机构。</w:t>
      </w:r>
    </w:p>
    <w:p>
      <w:pPr>
        <w:spacing w:line="520" w:lineRule="exact"/>
        <w:rPr>
          <w:rFonts w:hAnsi="宋体" w:cs="宋体"/>
          <w:b/>
          <w:bCs/>
          <w:spacing w:val="4"/>
          <w:kern w:val="2"/>
          <w:szCs w:val="24"/>
        </w:rPr>
      </w:pPr>
      <w:r>
        <w:rPr>
          <w:rFonts w:hint="eastAsia" w:hAnsi="宋体" w:cs="宋体"/>
          <w:b/>
          <w:bCs/>
          <w:spacing w:val="4"/>
          <w:kern w:val="2"/>
          <w:szCs w:val="24"/>
        </w:rPr>
        <w:t>六、特殊情况的处理</w:t>
      </w:r>
    </w:p>
    <w:p>
      <w:pPr>
        <w:spacing w:line="520" w:lineRule="exact"/>
        <w:ind w:firstLine="496" w:firstLineChars="200"/>
        <w:rPr>
          <w:rFonts w:hAnsi="宋体" w:cs="宋体"/>
          <w:spacing w:val="4"/>
          <w:kern w:val="2"/>
          <w:szCs w:val="24"/>
        </w:rPr>
      </w:pPr>
      <w:r>
        <w:rPr>
          <w:rFonts w:hint="eastAsia" w:hAnsi="宋体" w:cs="宋体"/>
          <w:spacing w:val="4"/>
          <w:kern w:val="2"/>
          <w:szCs w:val="24"/>
        </w:rPr>
        <w:t>磋商过程中，若出现本评审方法以外的特殊情况时，将暂停评审，待磋商小组商榷后，再进行评定。</w:t>
      </w:r>
    </w:p>
    <w:p>
      <w:pPr>
        <w:pStyle w:val="34"/>
        <w:spacing w:line="360" w:lineRule="auto"/>
        <w:ind w:left="708" w:firstLine="446"/>
        <w:rPr>
          <w:rFonts w:cs="宋体"/>
          <w:b/>
          <w:sz w:val="24"/>
          <w:szCs w:val="24"/>
        </w:rPr>
      </w:pPr>
    </w:p>
    <w:bookmarkEnd w:id="46"/>
    <w:bookmarkEnd w:id="119"/>
    <w:bookmarkEnd w:id="120"/>
    <w:bookmarkEnd w:id="121"/>
    <w:bookmarkEnd w:id="122"/>
    <w:bookmarkEnd w:id="123"/>
    <w:bookmarkEnd w:id="124"/>
    <w:bookmarkEnd w:id="125"/>
    <w:p>
      <w:pPr>
        <w:rPr>
          <w:ins w:id="72" w:author="高凌" w:date="2023-05-12T11:17:00Z"/>
          <w:rFonts w:cs="宋体"/>
          <w:bCs/>
          <w:sz w:val="36"/>
          <w:szCs w:val="36"/>
        </w:rPr>
      </w:pPr>
      <w:ins w:id="73" w:author="高凌" w:date="2023-05-12T11:17:00Z">
        <w:bookmarkStart w:id="187" w:name="_Toc16520"/>
        <w:bookmarkStart w:id="188" w:name="_Toc5084"/>
        <w:bookmarkStart w:id="189" w:name="_Toc16852"/>
        <w:bookmarkStart w:id="190" w:name="_Toc423973079"/>
        <w:bookmarkStart w:id="191" w:name="_Toc363474025"/>
        <w:bookmarkStart w:id="192" w:name="_Toc8271"/>
        <w:bookmarkStart w:id="193" w:name="_Toc403077646"/>
        <w:r>
          <w:rPr>
            <w:rFonts w:hint="eastAsia" w:cs="宋体"/>
            <w:bCs/>
            <w:sz w:val="36"/>
            <w:szCs w:val="36"/>
          </w:rPr>
          <w:br w:type="page"/>
        </w:r>
      </w:ins>
    </w:p>
    <w:p>
      <w:pPr>
        <w:pStyle w:val="3"/>
        <w:keepNext w:val="0"/>
        <w:keepLines/>
        <w:spacing w:beforeLines="50" w:afterLines="50"/>
        <w:jc w:val="center"/>
        <w:rPr>
          <w:rFonts w:ascii="宋体" w:eastAsia="宋体" w:cs="宋体"/>
          <w:bCs/>
          <w:sz w:val="36"/>
          <w:szCs w:val="36"/>
        </w:rPr>
      </w:pPr>
      <w:r>
        <w:rPr>
          <w:rFonts w:hint="eastAsia" w:ascii="宋体" w:eastAsia="宋体" w:cs="宋体"/>
          <w:bCs/>
          <w:sz w:val="36"/>
          <w:szCs w:val="36"/>
        </w:rPr>
        <w:t>第六章 竞争性磋商响应文件格式</w:t>
      </w:r>
      <w:bookmarkEnd w:id="187"/>
      <w:bookmarkEnd w:id="188"/>
      <w:bookmarkEnd w:id="189"/>
      <w:bookmarkEnd w:id="190"/>
      <w:bookmarkEnd w:id="191"/>
      <w:bookmarkEnd w:id="192"/>
      <w:bookmarkEnd w:id="193"/>
    </w:p>
    <w:p>
      <w:pPr>
        <w:rPr>
          <w:rFonts w:hAnsi="宋体" w:cs="宋体"/>
        </w:rPr>
      </w:pPr>
    </w:p>
    <w:p>
      <w:pPr>
        <w:rPr>
          <w:rFonts w:hAnsi="宋体" w:cs="宋体"/>
        </w:rPr>
      </w:pPr>
    </w:p>
    <w:p>
      <w:pPr>
        <w:framePr w:hSpace="180" w:wrap="around" w:vAnchor="text" w:hAnchor="page" w:x="1473" w:y="19"/>
        <w:rPr>
          <w:rFonts w:hAnsi="宋体" w:cs="宋体"/>
          <w:b/>
          <w:bCs/>
          <w:sz w:val="32"/>
          <w:szCs w:val="32"/>
        </w:rPr>
      </w:pPr>
      <w:r>
        <w:rPr>
          <w:rFonts w:hint="eastAsia" w:hAnsi="宋体" w:cs="宋体"/>
          <w:b/>
          <w:bCs/>
          <w:sz w:val="32"/>
          <w:szCs w:val="32"/>
        </w:rPr>
        <w:t>项目编号：HRC-ZBDL-2023-00522</w:t>
      </w:r>
    </w:p>
    <w:p>
      <w:pPr>
        <w:ind w:firstLine="4343" w:firstLineChars="1352"/>
        <w:jc w:val="right"/>
        <w:outlineLvl w:val="0"/>
        <w:rPr>
          <w:rFonts w:hAnsi="宋体" w:cs="宋体"/>
          <w:b/>
          <w:sz w:val="32"/>
          <w:szCs w:val="32"/>
        </w:rPr>
      </w:pPr>
      <w:r>
        <w:rPr>
          <w:rFonts w:hint="eastAsia" w:hAnsi="宋体" w:cs="宋体"/>
          <w:b/>
          <w:bCs/>
          <w:sz w:val="32"/>
          <w:szCs w:val="32"/>
        </w:rPr>
        <w:t xml:space="preserve">                          </w:t>
      </w:r>
      <w:bookmarkStart w:id="194" w:name="_Toc24480"/>
      <w:bookmarkStart w:id="195" w:name="_Toc25245"/>
      <w:r>
        <w:rPr>
          <w:rFonts w:hint="eastAsia" w:hAnsi="宋体" w:cs="宋体"/>
          <w:b/>
          <w:sz w:val="32"/>
          <w:szCs w:val="32"/>
        </w:rPr>
        <w:t>（正本或副本）</w:t>
      </w:r>
      <w:bookmarkEnd w:id="194"/>
      <w:bookmarkEnd w:id="195"/>
    </w:p>
    <w:p>
      <w:pPr>
        <w:jc w:val="right"/>
        <w:rPr>
          <w:rFonts w:hAnsi="宋体" w:cs="宋体"/>
          <w:b/>
          <w:sz w:val="32"/>
          <w:szCs w:val="32"/>
        </w:rPr>
      </w:pPr>
    </w:p>
    <w:p>
      <w:pPr>
        <w:jc w:val="center"/>
        <w:rPr>
          <w:rFonts w:hAnsi="宋体" w:cs="宋体"/>
          <w:b/>
          <w:bCs/>
          <w:sz w:val="56"/>
          <w:szCs w:val="56"/>
        </w:rPr>
      </w:pPr>
      <w:r>
        <w:rPr>
          <w:rFonts w:hint="eastAsia" w:hAnsi="宋体" w:cs="宋体"/>
          <w:b/>
          <w:bCs/>
          <w:sz w:val="56"/>
          <w:szCs w:val="56"/>
        </w:rPr>
        <w:t>2023年陕西省国家水资源监控一期监测站运行维护</w:t>
      </w:r>
    </w:p>
    <w:p>
      <w:pPr>
        <w:pStyle w:val="84"/>
        <w:ind w:firstLine="1245"/>
        <w:rPr>
          <w:rFonts w:hAnsi="宋体" w:cs="宋体"/>
          <w:b/>
          <w:sz w:val="62"/>
          <w:szCs w:val="72"/>
        </w:rPr>
      </w:pPr>
    </w:p>
    <w:p>
      <w:pPr>
        <w:rPr>
          <w:rFonts w:hAnsi="宋体" w:cs="宋体"/>
          <w:b/>
          <w:sz w:val="62"/>
          <w:szCs w:val="72"/>
        </w:rPr>
      </w:pPr>
    </w:p>
    <w:p>
      <w:pPr>
        <w:jc w:val="center"/>
        <w:outlineLvl w:val="1"/>
        <w:rPr>
          <w:rFonts w:hAnsi="宋体" w:cs="宋体"/>
          <w:b/>
          <w:sz w:val="56"/>
          <w:szCs w:val="56"/>
        </w:rPr>
      </w:pPr>
      <w:r>
        <w:rPr>
          <w:rFonts w:hint="eastAsia" w:hAnsi="宋体" w:cs="宋体"/>
          <w:b/>
          <w:sz w:val="56"/>
          <w:szCs w:val="56"/>
        </w:rPr>
        <w:t>竞争性磋商响应文件</w:t>
      </w:r>
    </w:p>
    <w:p>
      <w:pPr>
        <w:rPr>
          <w:rFonts w:hAnsi="宋体" w:cs="宋体"/>
          <w:b/>
          <w:sz w:val="36"/>
          <w:szCs w:val="36"/>
        </w:rPr>
      </w:pPr>
      <w:r>
        <w:rPr>
          <w:rFonts w:hint="eastAsia" w:hAnsi="宋体" w:cs="宋体"/>
          <w:b/>
          <w:sz w:val="36"/>
          <w:szCs w:val="36"/>
        </w:rPr>
        <w:t xml:space="preserve">               </w:t>
      </w:r>
    </w:p>
    <w:p>
      <w:pPr>
        <w:jc w:val="center"/>
        <w:rPr>
          <w:rFonts w:hAnsi="宋体" w:cs="宋体"/>
          <w:b/>
          <w:sz w:val="36"/>
          <w:szCs w:val="36"/>
        </w:rPr>
      </w:pPr>
      <w:r>
        <w:rPr>
          <w:rFonts w:hint="eastAsia" w:hAnsi="宋体" w:cs="宋体"/>
          <w:b/>
          <w:sz w:val="36"/>
          <w:szCs w:val="36"/>
        </w:rPr>
        <w:t>（合同包</w:t>
      </w:r>
      <w:r>
        <w:rPr>
          <w:rFonts w:hint="eastAsia" w:hAnsi="宋体" w:cs="宋体"/>
          <w:b/>
          <w:sz w:val="36"/>
          <w:szCs w:val="36"/>
          <w:u w:val="single"/>
        </w:rPr>
        <w:t>1</w:t>
      </w:r>
      <w:r>
        <w:rPr>
          <w:rFonts w:hint="eastAsia" w:hAnsi="宋体" w:cs="宋体"/>
          <w:b/>
          <w:sz w:val="36"/>
          <w:szCs w:val="36"/>
        </w:rPr>
        <w:t>）</w:t>
      </w:r>
    </w:p>
    <w:p>
      <w:pPr>
        <w:pStyle w:val="84"/>
        <w:ind w:firstLine="480"/>
        <w:rPr>
          <w:rFonts w:hAnsi="宋体" w:cs="宋体"/>
        </w:rPr>
      </w:pPr>
    </w:p>
    <w:p>
      <w:pPr>
        <w:rPr>
          <w:rFonts w:hAnsi="宋体" w:cs="宋体"/>
          <w:b/>
          <w:sz w:val="36"/>
          <w:szCs w:val="36"/>
        </w:rPr>
      </w:pPr>
    </w:p>
    <w:p>
      <w:pPr>
        <w:rPr>
          <w:rFonts w:hAnsi="宋体" w:cs="宋体"/>
          <w:b/>
          <w:sz w:val="36"/>
          <w:szCs w:val="36"/>
        </w:rPr>
      </w:pPr>
    </w:p>
    <w:p>
      <w:pPr>
        <w:pStyle w:val="2"/>
        <w:rPr>
          <w:rFonts w:ascii="宋体" w:hAnsi="宋体" w:cs="宋体"/>
          <w:b/>
          <w:sz w:val="36"/>
          <w:szCs w:val="36"/>
        </w:rPr>
      </w:pPr>
    </w:p>
    <w:p>
      <w:pPr>
        <w:pStyle w:val="2"/>
        <w:rPr>
          <w:rFonts w:ascii="宋体" w:hAnsi="宋体" w:cs="宋体"/>
          <w:b/>
          <w:sz w:val="36"/>
          <w:szCs w:val="36"/>
        </w:rPr>
      </w:pPr>
    </w:p>
    <w:p>
      <w:pPr>
        <w:tabs>
          <w:tab w:val="center" w:pos="5346"/>
        </w:tabs>
        <w:spacing w:line="480" w:lineRule="auto"/>
        <w:jc w:val="center"/>
        <w:outlineLvl w:val="1"/>
        <w:rPr>
          <w:rFonts w:hAnsi="宋体" w:cs="宋体"/>
          <w:b/>
          <w:sz w:val="32"/>
          <w:szCs w:val="32"/>
        </w:rPr>
      </w:pPr>
      <w:r>
        <w:rPr>
          <w:rFonts w:hint="eastAsia" w:hAnsi="宋体" w:cs="宋体"/>
          <w:b/>
          <w:sz w:val="32"/>
          <w:szCs w:val="32"/>
        </w:rPr>
        <w:t>供应商名称（公章）：</w:t>
      </w:r>
    </w:p>
    <w:p>
      <w:pPr>
        <w:jc w:val="center"/>
        <w:outlineLvl w:val="1"/>
        <w:rPr>
          <w:rFonts w:hAnsi="宋体" w:cs="宋体"/>
          <w:b/>
          <w:sz w:val="36"/>
          <w:szCs w:val="36"/>
        </w:rPr>
      </w:pPr>
      <w:r>
        <w:rPr>
          <w:rFonts w:hint="eastAsia" w:hAnsi="宋体" w:cs="宋体"/>
          <w:b/>
          <w:sz w:val="32"/>
          <w:szCs w:val="32"/>
        </w:rPr>
        <w:t>年  月  日</w:t>
      </w:r>
      <w:r>
        <w:rPr>
          <w:rFonts w:hint="eastAsia" w:hAnsi="宋体" w:cs="宋体"/>
          <w:b/>
          <w:sz w:val="36"/>
          <w:szCs w:val="36"/>
        </w:rPr>
        <w:br w:type="page"/>
      </w:r>
      <w:bookmarkStart w:id="196" w:name="_Toc344572156"/>
    </w:p>
    <w:p>
      <w:pPr>
        <w:jc w:val="center"/>
        <w:outlineLvl w:val="1"/>
        <w:rPr>
          <w:rFonts w:hAnsi="宋体" w:cs="宋体"/>
          <w:b/>
          <w:sz w:val="44"/>
        </w:rPr>
      </w:pPr>
      <w:r>
        <w:rPr>
          <w:rFonts w:hint="eastAsia" w:hAnsi="宋体" w:cs="宋体"/>
          <w:b/>
          <w:sz w:val="44"/>
        </w:rPr>
        <w:t>目  录</w:t>
      </w:r>
    </w:p>
    <w:p>
      <w:pPr>
        <w:spacing w:line="360" w:lineRule="auto"/>
        <w:ind w:firstLine="496" w:firstLineChars="200"/>
        <w:jc w:val="left"/>
        <w:outlineLvl w:val="0"/>
        <w:rPr>
          <w:rFonts w:hAnsi="宋体" w:cs="宋体"/>
          <w:spacing w:val="4"/>
          <w:szCs w:val="24"/>
        </w:rPr>
      </w:pPr>
      <w:bookmarkStart w:id="197" w:name="_Toc17088"/>
      <w:bookmarkStart w:id="198" w:name="_Toc22878"/>
      <w:r>
        <w:rPr>
          <w:rFonts w:hint="eastAsia" w:hAnsi="宋体" w:cs="宋体"/>
          <w:spacing w:val="4"/>
          <w:szCs w:val="24"/>
        </w:rPr>
        <w:t>一、磋商响应函</w:t>
      </w:r>
      <w:bookmarkEnd w:id="197"/>
      <w:bookmarkEnd w:id="198"/>
    </w:p>
    <w:p>
      <w:pPr>
        <w:spacing w:line="360" w:lineRule="auto"/>
        <w:ind w:firstLine="496" w:firstLineChars="200"/>
        <w:jc w:val="left"/>
        <w:outlineLvl w:val="0"/>
        <w:rPr>
          <w:rFonts w:hAnsi="宋体" w:cs="宋体"/>
          <w:spacing w:val="4"/>
          <w:szCs w:val="24"/>
        </w:rPr>
      </w:pPr>
      <w:bookmarkStart w:id="199" w:name="_Toc17347"/>
      <w:bookmarkStart w:id="200" w:name="_Toc6301"/>
      <w:r>
        <w:rPr>
          <w:rFonts w:hint="eastAsia" w:hAnsi="宋体" w:cs="宋体"/>
          <w:spacing w:val="4"/>
          <w:szCs w:val="24"/>
        </w:rPr>
        <w:t>二、法定代表人证明书与法定代表人授权书</w:t>
      </w:r>
      <w:bookmarkEnd w:id="199"/>
      <w:bookmarkEnd w:id="200"/>
    </w:p>
    <w:p>
      <w:pPr>
        <w:spacing w:line="360" w:lineRule="auto"/>
        <w:ind w:firstLine="496" w:firstLineChars="200"/>
        <w:jc w:val="left"/>
        <w:outlineLvl w:val="0"/>
        <w:rPr>
          <w:rFonts w:hAnsi="宋体" w:cs="宋体"/>
          <w:spacing w:val="4"/>
          <w:szCs w:val="24"/>
        </w:rPr>
      </w:pPr>
      <w:bookmarkStart w:id="201" w:name="_Toc6118"/>
      <w:bookmarkStart w:id="202" w:name="_Toc16805"/>
      <w:r>
        <w:rPr>
          <w:rFonts w:hint="eastAsia" w:hAnsi="宋体" w:cs="宋体"/>
          <w:spacing w:val="4"/>
          <w:szCs w:val="24"/>
        </w:rPr>
        <w:t>三、磋商一次报价表</w:t>
      </w:r>
      <w:bookmarkEnd w:id="201"/>
      <w:bookmarkEnd w:id="202"/>
    </w:p>
    <w:p>
      <w:pPr>
        <w:spacing w:line="360" w:lineRule="auto"/>
        <w:ind w:firstLine="496" w:firstLineChars="200"/>
        <w:jc w:val="left"/>
        <w:outlineLvl w:val="0"/>
        <w:rPr>
          <w:rFonts w:hAnsi="宋体" w:cs="宋体"/>
          <w:spacing w:val="4"/>
          <w:szCs w:val="24"/>
        </w:rPr>
      </w:pPr>
      <w:bookmarkStart w:id="203" w:name="_Toc11355"/>
      <w:bookmarkStart w:id="204" w:name="_Toc1281"/>
      <w:r>
        <w:rPr>
          <w:rFonts w:hint="eastAsia" w:hAnsi="宋体" w:cs="宋体"/>
          <w:spacing w:val="4"/>
          <w:szCs w:val="24"/>
        </w:rPr>
        <w:t>四、技术方案</w:t>
      </w:r>
      <w:bookmarkEnd w:id="203"/>
      <w:bookmarkEnd w:id="204"/>
    </w:p>
    <w:p>
      <w:pPr>
        <w:spacing w:line="360" w:lineRule="auto"/>
        <w:ind w:firstLine="496" w:firstLineChars="200"/>
        <w:jc w:val="left"/>
        <w:outlineLvl w:val="0"/>
        <w:rPr>
          <w:rFonts w:hAnsi="宋体" w:cs="宋体"/>
          <w:spacing w:val="4"/>
          <w:szCs w:val="24"/>
        </w:rPr>
      </w:pPr>
      <w:bookmarkStart w:id="205" w:name="_Toc14655"/>
      <w:bookmarkStart w:id="206" w:name="_Toc26453"/>
      <w:r>
        <w:rPr>
          <w:rFonts w:hint="eastAsia" w:hAnsi="宋体" w:cs="宋体"/>
          <w:spacing w:val="4"/>
          <w:szCs w:val="24"/>
        </w:rPr>
        <w:t>五、合同主要条款响应表</w:t>
      </w:r>
      <w:bookmarkEnd w:id="205"/>
      <w:bookmarkEnd w:id="206"/>
    </w:p>
    <w:p>
      <w:pPr>
        <w:spacing w:line="360" w:lineRule="auto"/>
        <w:ind w:firstLine="496" w:firstLineChars="200"/>
        <w:jc w:val="left"/>
        <w:outlineLvl w:val="0"/>
        <w:rPr>
          <w:rFonts w:hAnsi="宋体" w:cs="宋体"/>
          <w:spacing w:val="4"/>
          <w:szCs w:val="24"/>
        </w:rPr>
      </w:pPr>
      <w:bookmarkStart w:id="207" w:name="_Toc20686"/>
      <w:bookmarkStart w:id="208" w:name="_Toc28728"/>
      <w:r>
        <w:rPr>
          <w:rFonts w:hint="eastAsia" w:hAnsi="宋体" w:cs="宋体"/>
          <w:spacing w:val="4"/>
          <w:szCs w:val="24"/>
        </w:rPr>
        <w:t>六、陕西省政府采购供应商拒绝政府采购领域商业贿赂承诺书</w:t>
      </w:r>
      <w:bookmarkEnd w:id="207"/>
      <w:bookmarkEnd w:id="208"/>
    </w:p>
    <w:p>
      <w:pPr>
        <w:spacing w:line="360" w:lineRule="auto"/>
        <w:ind w:firstLine="496" w:firstLineChars="200"/>
        <w:jc w:val="left"/>
        <w:outlineLvl w:val="0"/>
        <w:rPr>
          <w:rFonts w:hAnsi="宋体" w:cs="宋体"/>
          <w:spacing w:val="4"/>
          <w:szCs w:val="24"/>
        </w:rPr>
      </w:pPr>
      <w:bookmarkStart w:id="209" w:name="_Toc25081"/>
      <w:bookmarkStart w:id="210" w:name="_Toc15636"/>
      <w:r>
        <w:rPr>
          <w:rFonts w:hint="eastAsia" w:hAnsi="宋体" w:cs="宋体"/>
          <w:spacing w:val="4"/>
          <w:szCs w:val="24"/>
        </w:rPr>
        <w:t>七、资格证明文件</w:t>
      </w:r>
      <w:bookmarkEnd w:id="209"/>
      <w:bookmarkEnd w:id="210"/>
    </w:p>
    <w:p>
      <w:pPr>
        <w:spacing w:line="360" w:lineRule="auto"/>
        <w:ind w:firstLine="496" w:firstLineChars="200"/>
        <w:jc w:val="left"/>
        <w:outlineLvl w:val="0"/>
        <w:rPr>
          <w:rFonts w:hAnsi="宋体" w:cs="宋体"/>
          <w:spacing w:val="4"/>
          <w:szCs w:val="24"/>
        </w:rPr>
      </w:pPr>
      <w:bookmarkStart w:id="211" w:name="_Toc2276"/>
      <w:bookmarkStart w:id="212" w:name="_Toc8473"/>
      <w:r>
        <w:rPr>
          <w:rFonts w:hint="eastAsia" w:hAnsi="宋体" w:cs="宋体"/>
          <w:spacing w:val="4"/>
          <w:szCs w:val="24"/>
        </w:rPr>
        <w:t>八、其它事项</w:t>
      </w:r>
      <w:bookmarkEnd w:id="211"/>
      <w:bookmarkEnd w:id="212"/>
    </w:p>
    <w:p>
      <w:pPr>
        <w:spacing w:line="360" w:lineRule="auto"/>
        <w:ind w:firstLine="496" w:firstLineChars="200"/>
        <w:jc w:val="left"/>
        <w:outlineLvl w:val="0"/>
        <w:rPr>
          <w:rFonts w:hAnsi="宋体" w:cs="宋体"/>
          <w:spacing w:val="4"/>
          <w:szCs w:val="24"/>
        </w:rPr>
      </w:pPr>
      <w:bookmarkStart w:id="213" w:name="_Toc31569"/>
      <w:bookmarkStart w:id="214" w:name="_Toc30059"/>
      <w:r>
        <w:rPr>
          <w:rFonts w:hint="eastAsia" w:hAnsi="宋体" w:cs="宋体"/>
          <w:spacing w:val="4"/>
          <w:szCs w:val="24"/>
        </w:rPr>
        <w:t>九、附件（如用）</w:t>
      </w:r>
      <w:bookmarkEnd w:id="213"/>
      <w:bookmarkEnd w:id="214"/>
    </w:p>
    <w:p>
      <w:pPr>
        <w:rPr>
          <w:rFonts w:hAnsi="宋体" w:cs="宋体"/>
        </w:rPr>
      </w:pPr>
    </w:p>
    <w:p>
      <w:pPr>
        <w:rPr>
          <w:rFonts w:hAnsi="宋体" w:cs="宋体"/>
        </w:rPr>
      </w:pPr>
    </w:p>
    <w:p>
      <w:pPr>
        <w:rPr>
          <w:rFonts w:hAnsi="宋体" w:cs="宋体"/>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bookmarkEnd w:id="196"/>
    <w:p>
      <w:pPr>
        <w:pStyle w:val="4"/>
        <w:jc w:val="center"/>
        <w:rPr>
          <w:rFonts w:ascii="宋体" w:hAnsi="宋体" w:cs="宋体"/>
          <w:sz w:val="30"/>
          <w:szCs w:val="30"/>
        </w:rPr>
      </w:pPr>
      <w:bookmarkStart w:id="215" w:name="_Toc403077648"/>
      <w:bookmarkStart w:id="216" w:name="_Toc363474027"/>
      <w:bookmarkStart w:id="217" w:name="_Toc204524343"/>
      <w:r>
        <w:rPr>
          <w:rFonts w:hint="eastAsia" w:ascii="宋体" w:hAnsi="宋体" w:cs="宋体"/>
          <w:sz w:val="30"/>
          <w:szCs w:val="30"/>
        </w:rPr>
        <w:t>一、磋商</w:t>
      </w:r>
      <w:bookmarkEnd w:id="215"/>
      <w:bookmarkEnd w:id="216"/>
      <w:r>
        <w:rPr>
          <w:rFonts w:hint="eastAsia" w:ascii="宋体" w:hAnsi="宋体" w:cs="宋体"/>
          <w:sz w:val="30"/>
          <w:szCs w:val="30"/>
        </w:rPr>
        <w:t>响应函</w:t>
      </w:r>
    </w:p>
    <w:p>
      <w:pPr>
        <w:spacing w:line="360" w:lineRule="auto"/>
        <w:jc w:val="left"/>
        <w:rPr>
          <w:rFonts w:hAnsi="宋体" w:cs="宋体"/>
          <w:spacing w:val="4"/>
          <w:szCs w:val="24"/>
        </w:rPr>
      </w:pPr>
      <w:r>
        <w:rPr>
          <w:rFonts w:hint="eastAsia" w:hAnsi="宋体" w:cs="宋体"/>
          <w:spacing w:val="4"/>
          <w:szCs w:val="24"/>
        </w:rPr>
        <w:t>致：</w:t>
      </w:r>
      <w:r>
        <w:rPr>
          <w:rFonts w:hint="eastAsia" w:hAnsi="宋体" w:cs="宋体"/>
          <w:spacing w:val="4"/>
          <w:szCs w:val="24"/>
          <w:u w:val="single"/>
        </w:rPr>
        <w:t xml:space="preserve">华睿诚项目管理有限公司 </w:t>
      </w:r>
    </w:p>
    <w:p>
      <w:pPr>
        <w:spacing w:line="360" w:lineRule="auto"/>
        <w:ind w:firstLine="496" w:firstLineChars="200"/>
        <w:rPr>
          <w:rFonts w:hAnsi="宋体" w:cs="宋体"/>
          <w:spacing w:val="4"/>
          <w:szCs w:val="24"/>
        </w:rPr>
      </w:pPr>
      <w:r>
        <w:rPr>
          <w:rFonts w:hint="eastAsia" w:hAnsi="宋体" w:cs="宋体"/>
          <w:spacing w:val="4"/>
          <w:szCs w:val="24"/>
        </w:rPr>
        <w:t xml:space="preserve">根据贵方“ </w:t>
      </w:r>
      <w:r>
        <w:rPr>
          <w:rFonts w:hint="eastAsia" w:hAnsi="宋体" w:cs="宋体"/>
          <w:spacing w:val="4"/>
          <w:szCs w:val="24"/>
          <w:u w:val="single"/>
        </w:rPr>
        <w:t xml:space="preserve">                    </w:t>
      </w:r>
      <w:r>
        <w:rPr>
          <w:rFonts w:hint="eastAsia" w:hAnsi="宋体" w:cs="宋体"/>
          <w:spacing w:val="4"/>
          <w:szCs w:val="24"/>
        </w:rPr>
        <w:t>”项目的磋商邀请</w:t>
      </w:r>
      <w:r>
        <w:rPr>
          <w:rFonts w:hint="eastAsia" w:hAnsi="宋体" w:cs="宋体"/>
          <w:spacing w:val="4"/>
          <w:szCs w:val="24"/>
          <w:u w:val="single"/>
        </w:rPr>
        <w:t>(项目编号：        )</w:t>
      </w:r>
      <w:r>
        <w:rPr>
          <w:rFonts w:hint="eastAsia" w:hAnsi="宋体" w:cs="宋体"/>
          <w:spacing w:val="4"/>
          <w:szCs w:val="24"/>
        </w:rPr>
        <w:t>，</w:t>
      </w:r>
      <w:ins w:id="74" w:author="高凌" w:date="2023-05-12T11:18:00Z">
        <w:r>
          <w:rPr>
            <w:rFonts w:hint="eastAsia" w:hAnsi="宋体" w:cs="宋体"/>
            <w:spacing w:val="4"/>
            <w:szCs w:val="24"/>
          </w:rPr>
          <w:t>合同包</w:t>
        </w:r>
      </w:ins>
      <w:ins w:id="75" w:author="高凌" w:date="2023-05-12T11:18:00Z">
        <w:r>
          <w:rPr>
            <w:rFonts w:hint="eastAsia" w:hAnsi="宋体" w:cs="宋体"/>
            <w:spacing w:val="4"/>
            <w:szCs w:val="24"/>
            <w:u w:val="single"/>
          </w:rPr>
          <w:t xml:space="preserve">    </w:t>
        </w:r>
      </w:ins>
      <w:ins w:id="76" w:author="高凌" w:date="2023-05-12T11:18:00Z">
        <w:r>
          <w:rPr>
            <w:rFonts w:hint="eastAsia" w:hAnsi="宋体" w:cs="宋体"/>
            <w:spacing w:val="4"/>
            <w:szCs w:val="24"/>
          </w:rPr>
          <w:t>，</w:t>
        </w:r>
      </w:ins>
      <w:r>
        <w:rPr>
          <w:rFonts w:hint="eastAsia" w:hAnsi="宋体" w:cs="宋体"/>
          <w:spacing w:val="4"/>
          <w:szCs w:val="24"/>
        </w:rPr>
        <w:t>签字代表</w:t>
      </w:r>
      <w:r>
        <w:rPr>
          <w:rFonts w:hint="eastAsia" w:hAnsi="宋体" w:cs="宋体"/>
          <w:spacing w:val="4"/>
          <w:szCs w:val="24"/>
          <w:u w:val="single"/>
        </w:rPr>
        <w:t>（全名、职务）</w:t>
      </w:r>
      <w:r>
        <w:rPr>
          <w:rFonts w:hint="eastAsia" w:hAnsi="宋体" w:cs="宋体"/>
          <w:spacing w:val="4"/>
          <w:szCs w:val="24"/>
        </w:rPr>
        <w:t>经正式授权并代表供应商</w:t>
      </w:r>
      <w:r>
        <w:rPr>
          <w:rFonts w:hint="eastAsia" w:hAnsi="宋体" w:cs="宋体"/>
          <w:spacing w:val="4"/>
          <w:szCs w:val="24"/>
          <w:u w:val="single"/>
        </w:rPr>
        <w:t>(供应商名称、地址)</w:t>
      </w:r>
      <w:r>
        <w:rPr>
          <w:rFonts w:hint="eastAsia" w:hAnsi="宋体" w:cs="宋体"/>
          <w:spacing w:val="4"/>
          <w:szCs w:val="24"/>
        </w:rPr>
        <w:t xml:space="preserve"> 提交竞争性磋商响应文件正本壹份、副本一式</w:t>
      </w:r>
      <w:r>
        <w:rPr>
          <w:rFonts w:hint="eastAsia" w:hAnsi="宋体" w:cs="宋体"/>
          <w:spacing w:val="4"/>
          <w:szCs w:val="24"/>
          <w:u w:val="single"/>
        </w:rPr>
        <w:t xml:space="preserve">   </w:t>
      </w:r>
      <w:r>
        <w:rPr>
          <w:rFonts w:hint="eastAsia" w:hAnsi="宋体" w:cs="宋体"/>
          <w:spacing w:val="4"/>
          <w:szCs w:val="24"/>
        </w:rPr>
        <w:t>份、电子版</w:t>
      </w:r>
      <w:r>
        <w:rPr>
          <w:rFonts w:hint="eastAsia" w:hAnsi="宋体" w:cs="宋体"/>
          <w:spacing w:val="4"/>
          <w:szCs w:val="24"/>
          <w:u w:val="single"/>
        </w:rPr>
        <w:t xml:space="preserve">    </w:t>
      </w:r>
      <w:r>
        <w:rPr>
          <w:rFonts w:hint="eastAsia" w:hAnsi="宋体" w:cs="宋体"/>
          <w:spacing w:val="4"/>
          <w:szCs w:val="24"/>
        </w:rPr>
        <w:t>份。并提交磋商保证金，金额为</w:t>
      </w:r>
      <w:r>
        <w:rPr>
          <w:rFonts w:hint="eastAsia" w:hAnsi="宋体" w:cs="宋体"/>
          <w:spacing w:val="4"/>
          <w:szCs w:val="24"/>
          <w:u w:val="single"/>
        </w:rPr>
        <w:t xml:space="preserve">            </w:t>
      </w:r>
      <w:r>
        <w:rPr>
          <w:rFonts w:hint="eastAsia" w:hAnsi="宋体" w:cs="宋体"/>
          <w:spacing w:val="4"/>
          <w:szCs w:val="24"/>
        </w:rPr>
        <w:t>。</w:t>
      </w:r>
    </w:p>
    <w:p>
      <w:pPr>
        <w:spacing w:line="360" w:lineRule="auto"/>
        <w:ind w:left="624" w:leftChars="251" w:hanging="22" w:hangingChars="9"/>
        <w:jc w:val="left"/>
        <w:rPr>
          <w:rFonts w:hAnsi="宋体" w:cs="宋体"/>
          <w:spacing w:val="4"/>
          <w:szCs w:val="24"/>
        </w:rPr>
      </w:pPr>
      <w:r>
        <w:rPr>
          <w:rFonts w:hint="eastAsia" w:hAnsi="宋体" w:cs="宋体"/>
          <w:spacing w:val="4"/>
          <w:szCs w:val="24"/>
        </w:rPr>
        <w:t>我方承诺如下：</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 xml:space="preserve">1）磋商报价为 </w:t>
      </w:r>
      <w:r>
        <w:rPr>
          <w:rFonts w:hint="eastAsia" w:hAnsi="宋体" w:cs="宋体"/>
          <w:spacing w:val="4"/>
          <w:szCs w:val="24"/>
          <w:u w:val="single"/>
        </w:rPr>
        <w:t xml:space="preserve">        </w:t>
      </w:r>
      <w:r>
        <w:rPr>
          <w:rFonts w:hint="eastAsia" w:hAnsi="宋体" w:cs="宋体"/>
          <w:spacing w:val="4"/>
          <w:szCs w:val="24"/>
        </w:rPr>
        <w:t>（人民币）（用文字和数字表示的磋商总价）。</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2）如果成交，我们根据竞争性磋商文件的规定，履行合同的责任和义务。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4）我们同意在磋商有效期内（</w:t>
      </w:r>
      <w:r>
        <w:rPr>
          <w:rFonts w:hint="eastAsia" w:hAnsi="宋体" w:cs="宋体"/>
          <w:spacing w:val="4"/>
          <w:szCs w:val="24"/>
          <w:u w:val="single"/>
        </w:rPr>
        <w:t>自磋商之日起 90 天</w:t>
      </w:r>
      <w:r>
        <w:rPr>
          <w:rFonts w:hint="eastAsia" w:hAnsi="宋体" w:cs="宋体"/>
          <w:spacing w:val="4"/>
          <w:szCs w:val="24"/>
        </w:rPr>
        <w:t>），本磋商响应函对我方具有约束力。</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7）我们同意，如果成交，向华睿诚项目管理有限公司交纳招标代理服务费。</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8）与本磋商有关的一切正式往来通讯为：</w:t>
      </w:r>
    </w:p>
    <w:p>
      <w:pPr>
        <w:spacing w:line="360" w:lineRule="auto"/>
        <w:ind w:firstLine="1240" w:firstLineChars="500"/>
        <w:jc w:val="left"/>
        <w:rPr>
          <w:rFonts w:hAnsi="宋体" w:cs="宋体"/>
          <w:spacing w:val="4"/>
          <w:szCs w:val="24"/>
        </w:rPr>
      </w:pPr>
      <w:r>
        <w:rPr>
          <w:rFonts w:hint="eastAsia" w:hAnsi="宋体" w:cs="宋体"/>
          <w:spacing w:val="4"/>
          <w:szCs w:val="24"/>
        </w:rPr>
        <w:t>联系地址：</w:t>
      </w:r>
    </w:p>
    <w:p>
      <w:pPr>
        <w:spacing w:line="360" w:lineRule="auto"/>
        <w:ind w:firstLine="1240" w:firstLineChars="500"/>
        <w:jc w:val="left"/>
        <w:rPr>
          <w:rFonts w:hAnsi="宋体" w:cs="宋体"/>
          <w:spacing w:val="4"/>
          <w:szCs w:val="24"/>
        </w:rPr>
      </w:pPr>
      <w:r>
        <w:rPr>
          <w:rFonts w:hint="eastAsia" w:hAnsi="宋体" w:cs="宋体"/>
          <w:spacing w:val="4"/>
          <w:szCs w:val="24"/>
        </w:rPr>
        <w:t>邮政编码：</w:t>
      </w:r>
    </w:p>
    <w:p>
      <w:pPr>
        <w:spacing w:line="360" w:lineRule="auto"/>
        <w:ind w:firstLine="1240" w:firstLineChars="500"/>
        <w:jc w:val="left"/>
        <w:rPr>
          <w:rFonts w:hAnsi="宋体" w:cs="宋体"/>
          <w:spacing w:val="4"/>
          <w:szCs w:val="24"/>
        </w:rPr>
      </w:pPr>
      <w:r>
        <w:rPr>
          <w:rFonts w:hint="eastAsia" w:hAnsi="宋体" w:cs="宋体"/>
          <w:spacing w:val="4"/>
          <w:szCs w:val="24"/>
        </w:rPr>
        <w:t>电    话：</w:t>
      </w:r>
    </w:p>
    <w:p>
      <w:pPr>
        <w:spacing w:line="360" w:lineRule="auto"/>
        <w:ind w:firstLine="1240" w:firstLineChars="500"/>
        <w:jc w:val="left"/>
        <w:rPr>
          <w:rFonts w:hAnsi="宋体" w:cs="宋体"/>
          <w:spacing w:val="4"/>
          <w:szCs w:val="24"/>
        </w:rPr>
      </w:pPr>
      <w:r>
        <w:rPr>
          <w:rFonts w:hint="eastAsia" w:hAnsi="宋体" w:cs="宋体"/>
          <w:spacing w:val="4"/>
          <w:szCs w:val="24"/>
        </w:rPr>
        <w:t>传    真：</w:t>
      </w:r>
    </w:p>
    <w:p>
      <w:pPr>
        <w:spacing w:line="360" w:lineRule="auto"/>
        <w:ind w:firstLine="1240" w:firstLineChars="500"/>
        <w:jc w:val="left"/>
        <w:rPr>
          <w:rFonts w:hAnsi="宋体" w:cs="宋体"/>
          <w:spacing w:val="4"/>
          <w:szCs w:val="24"/>
        </w:rPr>
      </w:pPr>
      <w:r>
        <w:rPr>
          <w:rFonts w:hint="eastAsia" w:hAnsi="宋体" w:cs="宋体"/>
          <w:spacing w:val="4"/>
          <w:szCs w:val="24"/>
        </w:rPr>
        <w:t>供应商名称（盖章）：</w:t>
      </w:r>
    </w:p>
    <w:p>
      <w:pPr>
        <w:spacing w:line="360" w:lineRule="auto"/>
        <w:ind w:firstLine="1240" w:firstLineChars="500"/>
        <w:jc w:val="left"/>
        <w:rPr>
          <w:rFonts w:hAnsi="宋体" w:cs="宋体"/>
          <w:spacing w:val="4"/>
          <w:szCs w:val="24"/>
        </w:rPr>
      </w:pPr>
      <w:r>
        <w:rPr>
          <w:rFonts w:hint="eastAsia" w:hAnsi="宋体" w:cs="宋体"/>
          <w:spacing w:val="4"/>
          <w:szCs w:val="24"/>
        </w:rPr>
        <w:t>供应商法定代表人签字：</w:t>
      </w:r>
    </w:p>
    <w:p>
      <w:pPr>
        <w:spacing w:line="360" w:lineRule="auto"/>
        <w:ind w:firstLine="1240" w:firstLineChars="500"/>
        <w:jc w:val="left"/>
        <w:rPr>
          <w:rFonts w:hAnsi="宋体" w:cs="宋体"/>
          <w:spacing w:val="4"/>
          <w:szCs w:val="24"/>
        </w:rPr>
      </w:pPr>
      <w:r>
        <w:rPr>
          <w:rFonts w:hint="eastAsia" w:hAnsi="宋体" w:cs="宋体"/>
          <w:spacing w:val="4"/>
          <w:szCs w:val="24"/>
        </w:rPr>
        <w:t>日    期：</w:t>
      </w:r>
    </w:p>
    <w:p>
      <w:pPr>
        <w:pStyle w:val="4"/>
        <w:jc w:val="center"/>
        <w:rPr>
          <w:rFonts w:ascii="宋体" w:hAnsi="宋体" w:cs="宋体"/>
          <w:b w:val="0"/>
          <w:sz w:val="32"/>
        </w:rPr>
      </w:pPr>
      <w:r>
        <w:rPr>
          <w:rFonts w:hint="eastAsia" w:ascii="宋体" w:hAnsi="宋体" w:cs="宋体"/>
        </w:rPr>
        <w:br w:type="page"/>
      </w:r>
      <w:bookmarkStart w:id="218" w:name="_Toc363474028"/>
      <w:bookmarkStart w:id="219" w:name="_Toc403077649"/>
      <w:r>
        <w:rPr>
          <w:rStyle w:val="59"/>
          <w:rFonts w:hint="eastAsia" w:ascii="宋体" w:hAnsi="宋体" w:cs="宋体"/>
          <w:b w:val="0"/>
          <w:bCs w:val="0"/>
          <w:sz w:val="30"/>
          <w:szCs w:val="30"/>
        </w:rPr>
        <w:t>二、法定代表人证明书与法定代表人授权书</w:t>
      </w:r>
    </w:p>
    <w:p>
      <w:pPr>
        <w:tabs>
          <w:tab w:val="left" w:pos="210"/>
        </w:tabs>
        <w:spacing w:line="320" w:lineRule="exact"/>
        <w:rPr>
          <w:rFonts w:hAnsi="宋体" w:cs="宋体"/>
          <w:b/>
          <w:sz w:val="32"/>
          <w:szCs w:val="32"/>
        </w:rPr>
      </w:pPr>
    </w:p>
    <w:p>
      <w:pPr>
        <w:tabs>
          <w:tab w:val="left" w:pos="210"/>
        </w:tabs>
        <w:spacing w:line="320" w:lineRule="exact"/>
        <w:jc w:val="center"/>
        <w:rPr>
          <w:rFonts w:hAnsi="宋体" w:cs="宋体"/>
          <w:b/>
          <w:sz w:val="32"/>
          <w:szCs w:val="32"/>
        </w:rPr>
      </w:pPr>
      <w:r>
        <w:rPr>
          <w:rFonts w:hint="eastAsia" w:hAnsi="宋体" w:cs="宋体"/>
          <w:b/>
          <w:sz w:val="32"/>
          <w:szCs w:val="32"/>
        </w:rPr>
        <w:t xml:space="preserve">      </w:t>
      </w:r>
      <w:r>
        <w:rPr>
          <w:rFonts w:hint="eastAsia" w:hAnsi="宋体" w:cs="宋体"/>
          <w:b/>
          <w:sz w:val="30"/>
          <w:szCs w:val="30"/>
        </w:rPr>
        <w:t xml:space="preserve"> 法定代表人证明书</w:t>
      </w:r>
    </w:p>
    <w:p>
      <w:pPr>
        <w:tabs>
          <w:tab w:val="left" w:pos="210"/>
        </w:tabs>
        <w:spacing w:line="320" w:lineRule="exact"/>
        <w:jc w:val="center"/>
        <w:rPr>
          <w:rFonts w:hAnsi="宋体" w:cs="宋体"/>
          <w:b/>
          <w:sz w:val="32"/>
          <w:szCs w:val="32"/>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201"/>
        <w:gridCol w:w="2196"/>
        <w:gridCol w:w="188"/>
        <w:gridCol w:w="2196"/>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07" w:type="dxa"/>
            <w:gridSpan w:val="6"/>
            <w:vAlign w:val="center"/>
          </w:tcPr>
          <w:p>
            <w:pPr>
              <w:tabs>
                <w:tab w:val="left" w:pos="210"/>
              </w:tabs>
              <w:spacing w:line="320" w:lineRule="exact"/>
              <w:rPr>
                <w:rFonts w:hAnsi="宋体" w:cs="宋体"/>
              </w:rPr>
            </w:pPr>
            <w:r>
              <w:rPr>
                <w:rFonts w:hint="eastAsia" w:hAnsi="宋体" w:cs="宋体"/>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vAlign w:val="center"/>
          </w:tcPr>
          <w:p>
            <w:pPr>
              <w:tabs>
                <w:tab w:val="left" w:pos="210"/>
              </w:tabs>
              <w:spacing w:line="320" w:lineRule="exact"/>
              <w:jc w:val="center"/>
              <w:rPr>
                <w:rFonts w:hAnsi="宋体" w:cs="宋体"/>
              </w:rPr>
            </w:pPr>
            <w:r>
              <w:rPr>
                <w:rFonts w:hint="eastAsia" w:hAnsi="宋体" w:cs="宋体"/>
              </w:rPr>
              <w:t>企</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r>
              <w:rPr>
                <w:rFonts w:hint="eastAsia" w:hAnsi="宋体" w:cs="宋体"/>
              </w:rPr>
              <w:t>业</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r>
              <w:rPr>
                <w:rFonts w:hint="eastAsia" w:hAnsi="宋体" w:cs="宋体"/>
              </w:rPr>
              <w:t>法</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r>
              <w:rPr>
                <w:rFonts w:hint="eastAsia" w:hAnsi="宋体" w:cs="宋体"/>
              </w:rPr>
              <w:t>人</w:t>
            </w:r>
          </w:p>
        </w:tc>
        <w:tc>
          <w:tcPr>
            <w:tcW w:w="2201" w:type="dxa"/>
            <w:vAlign w:val="center"/>
          </w:tcPr>
          <w:p>
            <w:pPr>
              <w:tabs>
                <w:tab w:val="left" w:pos="210"/>
              </w:tabs>
              <w:spacing w:line="320" w:lineRule="exact"/>
              <w:jc w:val="center"/>
              <w:rPr>
                <w:rFonts w:hAnsi="宋体" w:cs="宋体"/>
              </w:rPr>
            </w:pPr>
            <w:r>
              <w:rPr>
                <w:rFonts w:hint="eastAsia" w:hAnsi="宋体" w:cs="宋体"/>
              </w:rPr>
              <w:t>企业名称</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法定地址</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邮政编码</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工商登记机关</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税务登记机关</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机构代码证号</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vAlign w:val="center"/>
          </w:tcPr>
          <w:p>
            <w:pPr>
              <w:tabs>
                <w:tab w:val="left" w:pos="210"/>
              </w:tabs>
              <w:spacing w:line="320" w:lineRule="exact"/>
              <w:jc w:val="center"/>
              <w:rPr>
                <w:rFonts w:hAnsi="宋体" w:cs="宋体"/>
              </w:rPr>
            </w:pPr>
            <w:r>
              <w:rPr>
                <w:rFonts w:hint="eastAsia" w:hAnsi="宋体" w:cs="宋体"/>
              </w:rPr>
              <w:t>法定代表人</w:t>
            </w:r>
          </w:p>
        </w:tc>
        <w:tc>
          <w:tcPr>
            <w:tcW w:w="2201" w:type="dxa"/>
            <w:vAlign w:val="center"/>
          </w:tcPr>
          <w:p>
            <w:pPr>
              <w:tabs>
                <w:tab w:val="left" w:pos="210"/>
              </w:tabs>
              <w:spacing w:line="320" w:lineRule="exact"/>
              <w:jc w:val="center"/>
              <w:rPr>
                <w:rFonts w:hAnsi="宋体" w:cs="宋体"/>
              </w:rPr>
            </w:pPr>
            <w:r>
              <w:rPr>
                <w:rFonts w:hint="eastAsia" w:hAnsi="宋体" w:cs="宋体"/>
              </w:rPr>
              <w:t>姓名</w:t>
            </w:r>
          </w:p>
        </w:tc>
        <w:tc>
          <w:tcPr>
            <w:tcW w:w="2384" w:type="dxa"/>
            <w:gridSpan w:val="2"/>
            <w:vAlign w:val="center"/>
          </w:tcPr>
          <w:p>
            <w:pPr>
              <w:tabs>
                <w:tab w:val="left" w:pos="210"/>
              </w:tabs>
              <w:spacing w:line="320" w:lineRule="exact"/>
              <w:jc w:val="center"/>
              <w:rPr>
                <w:rFonts w:hAnsi="宋体" w:cs="宋体"/>
              </w:rPr>
            </w:pPr>
            <w:r>
              <w:rPr>
                <w:rFonts w:hint="eastAsia" w:hAnsi="宋体" w:cs="宋体"/>
              </w:rPr>
              <w:t>（签字或盖章）</w:t>
            </w:r>
          </w:p>
        </w:tc>
        <w:tc>
          <w:tcPr>
            <w:tcW w:w="2196" w:type="dxa"/>
            <w:vAlign w:val="center"/>
          </w:tcPr>
          <w:p>
            <w:pPr>
              <w:tabs>
                <w:tab w:val="left" w:pos="210"/>
              </w:tabs>
              <w:spacing w:line="320" w:lineRule="exact"/>
              <w:jc w:val="center"/>
              <w:rPr>
                <w:rFonts w:hAnsi="宋体" w:cs="宋体"/>
              </w:rPr>
            </w:pPr>
            <w:r>
              <w:rPr>
                <w:rFonts w:hint="eastAsia" w:hAnsi="宋体" w:cs="宋体"/>
              </w:rPr>
              <w:t>性别</w:t>
            </w:r>
          </w:p>
        </w:tc>
        <w:tc>
          <w:tcPr>
            <w:tcW w:w="2148" w:type="dxa"/>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职务</w:t>
            </w:r>
          </w:p>
        </w:tc>
        <w:tc>
          <w:tcPr>
            <w:tcW w:w="2384" w:type="dxa"/>
            <w:gridSpan w:val="2"/>
            <w:vAlign w:val="center"/>
          </w:tcPr>
          <w:p>
            <w:pPr>
              <w:tabs>
                <w:tab w:val="left" w:pos="210"/>
              </w:tabs>
              <w:spacing w:line="320" w:lineRule="exact"/>
              <w:jc w:val="center"/>
              <w:rPr>
                <w:rFonts w:hAnsi="宋体" w:cs="宋体"/>
              </w:rPr>
            </w:pPr>
          </w:p>
        </w:tc>
        <w:tc>
          <w:tcPr>
            <w:tcW w:w="2196" w:type="dxa"/>
            <w:vAlign w:val="center"/>
          </w:tcPr>
          <w:p>
            <w:pPr>
              <w:tabs>
                <w:tab w:val="left" w:pos="210"/>
              </w:tabs>
              <w:spacing w:line="320" w:lineRule="exact"/>
              <w:jc w:val="center"/>
              <w:rPr>
                <w:rFonts w:hAnsi="宋体" w:cs="宋体"/>
              </w:rPr>
            </w:pPr>
            <w:r>
              <w:rPr>
                <w:rFonts w:hint="eastAsia" w:hAnsi="宋体" w:cs="宋体"/>
              </w:rPr>
              <w:t>联系电话</w:t>
            </w:r>
          </w:p>
        </w:tc>
        <w:tc>
          <w:tcPr>
            <w:tcW w:w="2148" w:type="dxa"/>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传真</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78" w:type="dxa"/>
            <w:vMerge w:val="restart"/>
            <w:vAlign w:val="center"/>
          </w:tcPr>
          <w:p>
            <w:pPr>
              <w:tabs>
                <w:tab w:val="left" w:pos="210"/>
              </w:tabs>
              <w:spacing w:line="320" w:lineRule="exact"/>
              <w:jc w:val="center"/>
              <w:rPr>
                <w:rFonts w:hAnsi="宋体" w:cs="宋体"/>
              </w:rPr>
            </w:pPr>
            <w:r>
              <w:rPr>
                <w:rFonts w:hint="eastAsia" w:hAnsi="宋体" w:cs="宋体"/>
              </w:rPr>
              <w:t>法定代表人身份证复印件</w:t>
            </w:r>
          </w:p>
        </w:tc>
        <w:tc>
          <w:tcPr>
            <w:tcW w:w="4397" w:type="dxa"/>
            <w:gridSpan w:val="2"/>
            <w:vMerge w:val="restart"/>
            <w:vAlign w:val="center"/>
          </w:tcPr>
          <w:p>
            <w:pPr>
              <w:tabs>
                <w:tab w:val="left" w:pos="210"/>
              </w:tabs>
              <w:spacing w:line="320" w:lineRule="exact"/>
              <w:jc w:val="center"/>
              <w:rPr>
                <w:rFonts w:hAnsi="宋体" w:cs="宋体"/>
              </w:rPr>
            </w:pPr>
            <w:r>
              <w:rPr>
                <w:rFonts w:hint="eastAsia" w:hAnsi="宋体" w:cs="宋体"/>
              </w:rPr>
              <w:t>（正反面粘贴处）</w:t>
            </w:r>
          </w:p>
        </w:tc>
        <w:tc>
          <w:tcPr>
            <w:tcW w:w="4532" w:type="dxa"/>
            <w:gridSpan w:val="3"/>
            <w:vAlign w:val="center"/>
          </w:tcPr>
          <w:p>
            <w:pPr>
              <w:tabs>
                <w:tab w:val="left" w:pos="210"/>
              </w:tabs>
              <w:spacing w:line="320" w:lineRule="exact"/>
              <w:jc w:val="center"/>
              <w:rPr>
                <w:rFonts w:hAnsi="宋体" w:cs="宋体"/>
              </w:rPr>
            </w:pPr>
            <w:r>
              <w:rPr>
                <w:rFonts w:hint="eastAsia"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78" w:type="dxa"/>
            <w:vMerge w:val="continue"/>
            <w:vAlign w:val="center"/>
          </w:tcPr>
          <w:p>
            <w:pPr>
              <w:tabs>
                <w:tab w:val="left" w:pos="210"/>
              </w:tabs>
              <w:spacing w:line="320" w:lineRule="exact"/>
              <w:jc w:val="center"/>
              <w:rPr>
                <w:rFonts w:hAnsi="宋体" w:cs="宋体"/>
              </w:rPr>
            </w:pPr>
          </w:p>
        </w:tc>
        <w:tc>
          <w:tcPr>
            <w:tcW w:w="4397" w:type="dxa"/>
            <w:gridSpan w:val="2"/>
            <w:vMerge w:val="continue"/>
            <w:vAlign w:val="center"/>
          </w:tcPr>
          <w:p>
            <w:pPr>
              <w:tabs>
                <w:tab w:val="left" w:pos="210"/>
              </w:tabs>
              <w:spacing w:line="320" w:lineRule="exact"/>
              <w:jc w:val="center"/>
              <w:rPr>
                <w:rFonts w:hAnsi="宋体" w:cs="宋体"/>
              </w:rPr>
            </w:pPr>
          </w:p>
        </w:tc>
        <w:tc>
          <w:tcPr>
            <w:tcW w:w="4532" w:type="dxa"/>
            <w:gridSpan w:val="3"/>
            <w:vAlign w:val="bottom"/>
          </w:tcPr>
          <w:p>
            <w:pPr>
              <w:tabs>
                <w:tab w:val="left" w:pos="210"/>
              </w:tabs>
              <w:spacing w:line="320" w:lineRule="exact"/>
              <w:jc w:val="center"/>
              <w:rPr>
                <w:rFonts w:hAnsi="宋体" w:cs="宋体"/>
              </w:rPr>
            </w:pPr>
            <w:r>
              <w:rPr>
                <w:rFonts w:hint="eastAsia" w:hAnsi="宋体" w:cs="宋体"/>
              </w:rPr>
              <w:t>（公章）</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p>
          <w:p>
            <w:pPr>
              <w:tabs>
                <w:tab w:val="left" w:pos="210"/>
              </w:tabs>
              <w:spacing w:line="320" w:lineRule="exact"/>
              <w:jc w:val="right"/>
              <w:rPr>
                <w:rFonts w:hAnsi="宋体" w:cs="宋体"/>
              </w:rPr>
            </w:pPr>
            <w:r>
              <w:rPr>
                <w:rFonts w:hint="eastAsia" w:hAnsi="宋体" w:cs="宋体"/>
              </w:rPr>
              <w:t xml:space="preserve">年  月  日 </w:t>
            </w:r>
          </w:p>
        </w:tc>
      </w:tr>
    </w:tbl>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tabs>
          <w:tab w:val="left" w:pos="210"/>
        </w:tabs>
        <w:spacing w:line="320" w:lineRule="exact"/>
        <w:jc w:val="center"/>
        <w:rPr>
          <w:rFonts w:hAnsi="宋体" w:cs="宋体"/>
          <w:b/>
          <w:sz w:val="30"/>
          <w:szCs w:val="30"/>
        </w:rPr>
      </w:pPr>
      <w:r>
        <w:rPr>
          <w:rFonts w:hint="eastAsia" w:hAnsi="宋体" w:cs="宋体"/>
          <w:b/>
          <w:sz w:val="30"/>
          <w:szCs w:val="30"/>
        </w:rPr>
        <w:t>法定代表人授权委托书</w:t>
      </w:r>
      <w:bookmarkEnd w:id="218"/>
      <w:bookmarkEnd w:id="219"/>
    </w:p>
    <w:p>
      <w:pPr>
        <w:rPr>
          <w:rFonts w:hAnsi="宋体" w:cs="宋体"/>
          <w:b/>
          <w:bCs/>
          <w:szCs w:val="32"/>
        </w:rPr>
      </w:pPr>
      <w:r>
        <w:rPr>
          <w:rFonts w:hint="eastAsia" w:hAnsi="宋体" w:cs="宋体"/>
        </w:rPr>
        <w:t xml:space="preserve">      </w:t>
      </w:r>
      <w:r>
        <w:rPr>
          <w:rFonts w:hint="eastAsia" w:hAnsi="宋体" w:cs="宋体"/>
          <w:szCs w:val="32"/>
        </w:rPr>
        <w:t xml:space="preserve"> </w:t>
      </w:r>
    </w:p>
    <w:p>
      <w:pPr>
        <w:spacing w:line="360" w:lineRule="auto"/>
        <w:jc w:val="left"/>
        <w:rPr>
          <w:rFonts w:hAnsi="宋体" w:cs="宋体"/>
          <w:spacing w:val="4"/>
          <w:szCs w:val="24"/>
        </w:rPr>
      </w:pPr>
      <w:r>
        <w:rPr>
          <w:rFonts w:hint="eastAsia" w:hAnsi="宋体" w:cs="宋体"/>
          <w:spacing w:val="4"/>
          <w:szCs w:val="24"/>
        </w:rPr>
        <w:t>致：</w:t>
      </w:r>
      <w:r>
        <w:rPr>
          <w:rFonts w:hint="eastAsia" w:hAnsi="宋体" w:cs="宋体"/>
          <w:spacing w:val="4"/>
          <w:szCs w:val="24"/>
          <w:u w:val="single"/>
        </w:rPr>
        <w:t xml:space="preserve">华睿诚项目管理有限公司 </w:t>
      </w:r>
    </w:p>
    <w:p>
      <w:pPr>
        <w:spacing w:line="360" w:lineRule="auto"/>
        <w:ind w:firstLine="496" w:firstLineChars="200"/>
        <w:jc w:val="left"/>
        <w:rPr>
          <w:rFonts w:hAnsi="宋体" w:cs="宋体"/>
          <w:spacing w:val="4"/>
          <w:szCs w:val="24"/>
        </w:rPr>
      </w:pPr>
      <w:r>
        <w:rPr>
          <w:rFonts w:hint="eastAsia" w:hAnsi="宋体" w:cs="宋体"/>
          <w:spacing w:val="4"/>
          <w:szCs w:val="24"/>
          <w:u w:val="single"/>
        </w:rPr>
        <w:t>(供应商名称)</w:t>
      </w:r>
      <w:r>
        <w:rPr>
          <w:rFonts w:hint="eastAsia" w:hAnsi="宋体" w:cs="宋体"/>
          <w:spacing w:val="4"/>
          <w:szCs w:val="24"/>
        </w:rPr>
        <w:t>按中华人民共和国法律于</w:t>
      </w:r>
      <w:r>
        <w:rPr>
          <w:rFonts w:hint="eastAsia" w:hAnsi="宋体" w:cs="宋体"/>
          <w:spacing w:val="4"/>
          <w:szCs w:val="24"/>
          <w:u w:val="single"/>
        </w:rPr>
        <w:t xml:space="preserve">（  </w:t>
      </w:r>
      <w:r>
        <w:rPr>
          <w:rFonts w:hint="eastAsia" w:hAnsi="宋体" w:cs="宋体"/>
          <w:spacing w:val="4"/>
          <w:szCs w:val="24"/>
        </w:rPr>
        <w:t>年</w:t>
      </w:r>
      <w:r>
        <w:rPr>
          <w:rFonts w:hint="eastAsia" w:hAnsi="宋体" w:cs="宋体"/>
          <w:spacing w:val="4"/>
          <w:szCs w:val="24"/>
          <w:u w:val="single"/>
        </w:rPr>
        <w:t xml:space="preserve">  </w:t>
      </w:r>
      <w:r>
        <w:rPr>
          <w:rFonts w:hint="eastAsia" w:hAnsi="宋体" w:cs="宋体"/>
          <w:spacing w:val="4"/>
          <w:szCs w:val="24"/>
        </w:rPr>
        <w:t>月</w:t>
      </w:r>
      <w:r>
        <w:rPr>
          <w:rFonts w:hint="eastAsia" w:hAnsi="宋体" w:cs="宋体"/>
          <w:spacing w:val="4"/>
          <w:szCs w:val="24"/>
          <w:u w:val="single"/>
        </w:rPr>
        <w:t xml:space="preserve">  </w:t>
      </w:r>
      <w:r>
        <w:rPr>
          <w:rFonts w:hint="eastAsia" w:hAnsi="宋体" w:cs="宋体"/>
          <w:spacing w:val="4"/>
          <w:szCs w:val="24"/>
        </w:rPr>
        <w:t>日</w:t>
      </w:r>
      <w:r>
        <w:rPr>
          <w:rFonts w:hint="eastAsia" w:hAnsi="宋体" w:cs="宋体"/>
          <w:spacing w:val="4"/>
          <w:szCs w:val="24"/>
          <w:u w:val="single"/>
        </w:rPr>
        <w:t xml:space="preserve"> ）</w:t>
      </w:r>
      <w:r>
        <w:rPr>
          <w:rFonts w:hint="eastAsia" w:hAnsi="宋体" w:cs="宋体"/>
          <w:spacing w:val="4"/>
          <w:szCs w:val="24"/>
        </w:rPr>
        <w:t>成立。</w:t>
      </w:r>
      <w:r>
        <w:rPr>
          <w:rFonts w:hint="eastAsia" w:hAnsi="宋体" w:cs="宋体"/>
          <w:spacing w:val="4"/>
          <w:szCs w:val="24"/>
          <w:u w:val="single"/>
        </w:rPr>
        <w:t>(法定代表人姓名)</w:t>
      </w:r>
      <w:r>
        <w:rPr>
          <w:rFonts w:hint="eastAsia" w:hAnsi="宋体" w:cs="宋体"/>
          <w:spacing w:val="4"/>
          <w:szCs w:val="24"/>
        </w:rPr>
        <w:t>特授权</w:t>
      </w:r>
      <w:r>
        <w:rPr>
          <w:rFonts w:hint="eastAsia" w:hAnsi="宋体" w:cs="宋体"/>
          <w:spacing w:val="4"/>
          <w:szCs w:val="24"/>
          <w:u w:val="single"/>
        </w:rPr>
        <w:t>（ 被授权人姓名 ）</w:t>
      </w:r>
      <w:r>
        <w:rPr>
          <w:rFonts w:hint="eastAsia" w:hAnsi="宋体" w:cs="宋体"/>
          <w:spacing w:val="4"/>
          <w:szCs w:val="24"/>
        </w:rPr>
        <w:t>代表我公司全权办理针对本次</w:t>
      </w:r>
      <w:r>
        <w:rPr>
          <w:rFonts w:hint="eastAsia" w:hAnsi="宋体" w:cs="宋体"/>
          <w:spacing w:val="4"/>
          <w:szCs w:val="24"/>
          <w:u w:val="single"/>
        </w:rPr>
        <w:t xml:space="preserve">         </w:t>
      </w:r>
      <w:r>
        <w:rPr>
          <w:rFonts w:hint="eastAsia" w:hAnsi="宋体" w:cs="宋体"/>
          <w:spacing w:val="4"/>
          <w:szCs w:val="24"/>
        </w:rPr>
        <w:t>项目</w:t>
      </w:r>
      <w:r>
        <w:rPr>
          <w:rFonts w:hint="eastAsia" w:hAnsi="宋体" w:cs="宋体"/>
          <w:spacing w:val="4"/>
          <w:szCs w:val="24"/>
          <w:u w:val="single"/>
        </w:rPr>
        <w:t>（项目编号：     ）</w:t>
      </w:r>
      <w:r>
        <w:rPr>
          <w:rFonts w:hint="eastAsia" w:hAnsi="宋体" w:cs="宋体"/>
          <w:spacing w:val="4"/>
          <w:szCs w:val="24"/>
        </w:rPr>
        <w:t>的磋商、签约等具体工作，并签署全部有关的文件、协议及合同。</w:t>
      </w:r>
    </w:p>
    <w:p>
      <w:pPr>
        <w:spacing w:line="360" w:lineRule="auto"/>
        <w:ind w:firstLine="496" w:firstLineChars="200"/>
        <w:jc w:val="left"/>
        <w:rPr>
          <w:rFonts w:hAnsi="宋体" w:cs="宋体"/>
          <w:spacing w:val="4"/>
          <w:szCs w:val="24"/>
        </w:rPr>
      </w:pPr>
      <w:r>
        <w:rPr>
          <w:rFonts w:hint="eastAsia" w:hAnsi="宋体" w:cs="宋体"/>
          <w:spacing w:val="4"/>
          <w:szCs w:val="24"/>
        </w:rPr>
        <w:t>我公司对被授权人的签名负全部责任。</w:t>
      </w:r>
    </w:p>
    <w:p>
      <w:pPr>
        <w:spacing w:line="360" w:lineRule="auto"/>
        <w:ind w:right="617" w:rightChars="257" w:firstLine="480" w:firstLineChars="200"/>
        <w:jc w:val="left"/>
        <w:rPr>
          <w:rFonts w:hAnsi="宋体" w:cs="宋体"/>
          <w:szCs w:val="24"/>
        </w:rPr>
      </w:pPr>
      <w:r>
        <w:rPr>
          <w:rFonts w:hint="eastAsia" w:hAnsi="宋体" w:cs="宋体"/>
          <w:szCs w:val="24"/>
        </w:rPr>
        <w:t>委托期限：</w:t>
      </w:r>
      <w:r>
        <w:rPr>
          <w:rFonts w:hint="eastAsia" w:hAnsi="宋体" w:cs="宋体"/>
          <w:spacing w:val="4"/>
          <w:szCs w:val="24"/>
        </w:rPr>
        <w:t>自授权之日起直至投标有效期满结束为止</w:t>
      </w:r>
    </w:p>
    <w:tbl>
      <w:tblPr>
        <w:tblStyle w:val="43"/>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r>
              <w:rPr>
                <w:rFonts w:hint="eastAsia" w:hAnsi="宋体" w:cs="宋体"/>
                <w:spacing w:val="4"/>
                <w:szCs w:val="24"/>
              </w:rPr>
              <w:t>法定代表人签字或盖章：</w:t>
            </w:r>
          </w:p>
        </w:tc>
        <w:tc>
          <w:tcPr>
            <w:tcW w:w="3990" w:type="dxa"/>
          </w:tcPr>
          <w:p>
            <w:pPr>
              <w:spacing w:line="360" w:lineRule="auto"/>
              <w:jc w:val="left"/>
              <w:rPr>
                <w:rFonts w:hAnsi="宋体" w:cs="宋体"/>
                <w:spacing w:val="4"/>
                <w:szCs w:val="24"/>
              </w:rPr>
            </w:pPr>
            <w:r>
              <w:rPr>
                <w:rFonts w:hint="eastAsia" w:hAnsi="宋体" w:cs="宋体"/>
                <w:spacing w:val="4"/>
                <w:szCs w:val="24"/>
              </w:rPr>
              <w:t>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r>
              <w:rPr>
                <w:rFonts w:hint="eastAsia" w:hAnsi="宋体" w:cs="宋体"/>
                <w:spacing w:val="4"/>
                <w:szCs w:val="24"/>
              </w:rPr>
              <w:t>职务：</w:t>
            </w:r>
          </w:p>
        </w:tc>
        <w:tc>
          <w:tcPr>
            <w:tcW w:w="3990" w:type="dxa"/>
          </w:tcPr>
          <w:p>
            <w:pPr>
              <w:spacing w:line="360" w:lineRule="auto"/>
              <w:jc w:val="left"/>
              <w:rPr>
                <w:rFonts w:hAnsi="宋体" w:cs="宋体"/>
                <w:spacing w:val="4"/>
                <w:szCs w:val="24"/>
              </w:rPr>
            </w:pPr>
            <w:r>
              <w:rPr>
                <w:rFonts w:hint="eastAsia" w:hAnsi="宋体" w:cs="宋体"/>
                <w:spacing w:val="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r>
              <w:rPr>
                <w:rFonts w:hint="eastAsia" w:hAnsi="宋体" w:cs="宋体"/>
                <w:spacing w:val="4"/>
                <w:szCs w:val="24"/>
              </w:rPr>
              <w:t>身份证号：</w:t>
            </w:r>
          </w:p>
        </w:tc>
        <w:tc>
          <w:tcPr>
            <w:tcW w:w="3990" w:type="dxa"/>
          </w:tcPr>
          <w:p>
            <w:pPr>
              <w:spacing w:line="360" w:lineRule="auto"/>
              <w:jc w:val="left"/>
              <w:rPr>
                <w:rFonts w:hAnsi="宋体" w:cs="宋体"/>
                <w:spacing w:val="4"/>
                <w:szCs w:val="24"/>
              </w:rPr>
            </w:pPr>
            <w:r>
              <w:rPr>
                <w:rFonts w:hint="eastAsia" w:hAnsi="宋体" w:cs="宋体"/>
                <w:spacing w:val="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p>
        </w:tc>
        <w:tc>
          <w:tcPr>
            <w:tcW w:w="3990" w:type="dxa"/>
          </w:tcPr>
          <w:p>
            <w:pPr>
              <w:spacing w:line="360" w:lineRule="auto"/>
              <w:jc w:val="left"/>
              <w:rPr>
                <w:rFonts w:hAnsi="宋体" w:cs="宋体"/>
                <w:spacing w:val="4"/>
                <w:szCs w:val="24"/>
              </w:rPr>
            </w:pPr>
            <w:r>
              <w:rPr>
                <w:rFonts w:hint="eastAsia" w:hAnsi="宋体" w:cs="宋体"/>
                <w:spacing w:val="4"/>
                <w:szCs w:val="24"/>
              </w:rPr>
              <w:t>所在部门：</w:t>
            </w:r>
          </w:p>
        </w:tc>
      </w:tr>
    </w:tbl>
    <w:p>
      <w:pPr>
        <w:spacing w:line="360" w:lineRule="auto"/>
        <w:ind w:firstLine="505" w:firstLineChars="204"/>
        <w:rPr>
          <w:rFonts w:hAnsi="宋体" w:cs="宋体"/>
          <w:spacing w:val="4"/>
          <w:szCs w:val="24"/>
        </w:rPr>
      </w:pPr>
      <w:r>
        <w:rPr>
          <w:rFonts w:hint="eastAsia" w:hAnsi="宋体" w:cs="宋体"/>
          <w:spacing w:val="4"/>
          <w:szCs w:val="24"/>
        </w:rPr>
        <w:t>附：法定代表人、被授权人身份证复印件（正反面）</w:t>
      </w:r>
    </w:p>
    <w:tbl>
      <w:tblPr>
        <w:tblStyle w:val="43"/>
        <w:tblW w:w="0" w:type="auto"/>
        <w:jc w:val="center"/>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335" w:hRule="atLeast"/>
          <w:jc w:val="center"/>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lang w:val="zh-CN"/>
              </w:rPr>
            </w:pPr>
            <w:r>
              <w:rPr>
                <w:rFonts w:hint="eastAsia" w:hAnsi="宋体" w:cs="宋体"/>
                <w:szCs w:val="21"/>
                <w:lang w:val="zh-CN"/>
              </w:rPr>
              <w:t>法定代表人身份证复印件粘贴处</w:t>
            </w:r>
          </w:p>
          <w:p>
            <w:pPr>
              <w:spacing w:line="360" w:lineRule="auto"/>
              <w:jc w:val="center"/>
              <w:rPr>
                <w:rFonts w:hAnsi="宋体" w:cs="宋体"/>
                <w:szCs w:val="21"/>
                <w:u w:val="single"/>
              </w:rPr>
            </w:pP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hAnsi="宋体" w:cs="宋体"/>
                <w:szCs w:val="21"/>
              </w:rPr>
              <w:pPrChange w:id="77" w:author="szybzk" w:date="2023-05-12T12:12:00Z">
                <w:pPr>
                  <w:autoSpaceDE w:val="0"/>
                  <w:autoSpaceDN w:val="0"/>
                  <w:adjustRightInd w:val="0"/>
                  <w:snapToGrid w:val="0"/>
                  <w:spacing w:beforeLines="50" w:line="360" w:lineRule="auto"/>
                  <w:jc w:val="center"/>
                </w:pPr>
              </w:pPrChange>
            </w:pPr>
            <w:r>
              <w:rPr>
                <w:rFonts w:hint="eastAsia" w:hAnsi="宋体" w:cs="宋体"/>
                <w:szCs w:val="21"/>
              </w:rPr>
              <w:t>被授权人身份证复印件粘贴处</w:t>
            </w:r>
          </w:p>
          <w:p>
            <w:pPr>
              <w:autoSpaceDE w:val="0"/>
              <w:autoSpaceDN w:val="0"/>
              <w:adjustRightInd w:val="0"/>
              <w:snapToGrid w:val="0"/>
              <w:spacing w:beforeLines="50" w:line="360" w:lineRule="auto"/>
              <w:jc w:val="center"/>
              <w:rPr>
                <w:rFonts w:hAnsi="宋体" w:cs="宋体"/>
                <w:u w:val="single"/>
              </w:rPr>
              <w:pPrChange w:id="78" w:author="szybzk" w:date="2023-05-12T12:12:00Z">
                <w:pPr>
                  <w:autoSpaceDE w:val="0"/>
                  <w:autoSpaceDN w:val="0"/>
                  <w:adjustRightInd w:val="0"/>
                  <w:snapToGrid w:val="0"/>
                  <w:spacing w:beforeLines="50" w:line="360" w:lineRule="auto"/>
                  <w:jc w:val="center"/>
                </w:pPr>
              </w:pPrChange>
            </w:pPr>
          </w:p>
        </w:tc>
      </w:tr>
      <w:tr>
        <w:tblPrEx>
          <w:tblCellMar>
            <w:top w:w="0" w:type="dxa"/>
            <w:left w:w="108" w:type="dxa"/>
            <w:bottom w:w="0" w:type="dxa"/>
            <w:right w:w="108" w:type="dxa"/>
          </w:tblCellMar>
        </w:tblPrEx>
        <w:trPr>
          <w:trHeight w:val="2146" w:hRule="atLeast"/>
          <w:jc w:val="center"/>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lang w:val="zh-CN"/>
              </w:rPr>
            </w:pPr>
            <w:r>
              <w:rPr>
                <w:rFonts w:hint="eastAsia" w:hAnsi="宋体" w:cs="宋体"/>
                <w:szCs w:val="21"/>
                <w:lang w:val="zh-CN"/>
              </w:rPr>
              <w:t>法定代表人身份证复印件粘贴处</w:t>
            </w:r>
          </w:p>
          <w:p>
            <w:pPr>
              <w:spacing w:line="360" w:lineRule="auto"/>
              <w:jc w:val="center"/>
              <w:rPr>
                <w:rFonts w:hAnsi="宋体" w:cs="宋体"/>
                <w:szCs w:val="21"/>
                <w:u w:val="single"/>
              </w:rPr>
            </w:pP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lang w:val="zh-CN"/>
              </w:rPr>
            </w:pPr>
            <w:r>
              <w:rPr>
                <w:rFonts w:hint="eastAsia" w:hAnsi="宋体" w:cs="宋体"/>
                <w:szCs w:val="21"/>
                <w:lang w:val="zh-CN"/>
              </w:rPr>
              <w:t>法定代表人身份证复印件粘贴处</w:t>
            </w:r>
          </w:p>
          <w:p>
            <w:pPr>
              <w:autoSpaceDE w:val="0"/>
              <w:autoSpaceDN w:val="0"/>
              <w:adjustRightInd w:val="0"/>
              <w:snapToGrid w:val="0"/>
              <w:spacing w:beforeLines="50" w:line="360" w:lineRule="auto"/>
              <w:jc w:val="center"/>
              <w:rPr>
                <w:rFonts w:hAnsi="宋体" w:cs="宋体"/>
                <w:u w:val="single"/>
              </w:rPr>
              <w:pPrChange w:id="79" w:author="szybzk" w:date="2023-05-12T12:12:00Z">
                <w:pPr>
                  <w:autoSpaceDE w:val="0"/>
                  <w:autoSpaceDN w:val="0"/>
                  <w:adjustRightInd w:val="0"/>
                  <w:snapToGrid w:val="0"/>
                  <w:spacing w:beforeLines="50" w:line="360" w:lineRule="auto"/>
                  <w:jc w:val="center"/>
                </w:pPr>
              </w:pPrChange>
            </w:pPr>
          </w:p>
        </w:tc>
      </w:tr>
    </w:tbl>
    <w:p>
      <w:pPr>
        <w:spacing w:line="360" w:lineRule="auto"/>
        <w:ind w:firstLine="510"/>
        <w:rPr>
          <w:rFonts w:hAnsi="宋体" w:cs="宋体"/>
          <w:spacing w:val="4"/>
          <w:szCs w:val="24"/>
        </w:rPr>
      </w:pPr>
    </w:p>
    <w:p>
      <w:pPr>
        <w:spacing w:line="360" w:lineRule="auto"/>
        <w:ind w:firstLine="5250"/>
        <w:rPr>
          <w:rFonts w:hAnsi="宋体" w:cs="宋体"/>
          <w:spacing w:val="4"/>
          <w:szCs w:val="24"/>
        </w:rPr>
      </w:pPr>
      <w:r>
        <w:rPr>
          <w:rFonts w:hint="eastAsia" w:hAnsi="宋体" w:cs="宋体"/>
          <w:spacing w:val="4"/>
          <w:szCs w:val="24"/>
        </w:rPr>
        <w:t>供应商名称（公章）</w:t>
      </w:r>
    </w:p>
    <w:p>
      <w:pPr>
        <w:spacing w:line="360" w:lineRule="auto"/>
        <w:ind w:firstLine="5250"/>
        <w:rPr>
          <w:rFonts w:hAnsi="宋体" w:cs="宋体"/>
          <w:spacing w:val="4"/>
          <w:szCs w:val="24"/>
        </w:rPr>
      </w:pPr>
    </w:p>
    <w:p>
      <w:pPr>
        <w:spacing w:line="360" w:lineRule="auto"/>
        <w:ind w:firstLine="5250"/>
        <w:rPr>
          <w:rFonts w:hAnsi="宋体" w:cs="宋体"/>
          <w:spacing w:val="4"/>
          <w:szCs w:val="24"/>
        </w:rPr>
      </w:pPr>
      <w:r>
        <w:rPr>
          <w:rFonts w:hint="eastAsia" w:hAnsi="宋体" w:cs="宋体"/>
          <w:spacing w:val="4"/>
          <w:szCs w:val="24"/>
        </w:rPr>
        <w:t>日期：</w:t>
      </w:r>
    </w:p>
    <w:p>
      <w:pPr>
        <w:numPr>
          <w:ilvl w:val="0"/>
          <w:numId w:val="12"/>
        </w:numPr>
        <w:ind w:left="284"/>
        <w:jc w:val="center"/>
        <w:rPr>
          <w:rFonts w:hAnsi="宋体" w:cs="宋体"/>
          <w:sz w:val="32"/>
          <w:szCs w:val="32"/>
        </w:rPr>
      </w:pPr>
      <w:bookmarkStart w:id="220" w:name="_Toc403077651"/>
      <w:bookmarkStart w:id="221" w:name="_Toc363474030"/>
      <w:r>
        <w:rPr>
          <w:rFonts w:hint="eastAsia" w:hAnsi="宋体" w:cs="宋体"/>
          <w:szCs w:val="24"/>
        </w:rPr>
        <w:br w:type="page"/>
      </w:r>
      <w:r>
        <w:rPr>
          <w:rFonts w:hint="eastAsia" w:hAnsi="宋体" w:cs="宋体"/>
          <w:sz w:val="32"/>
          <w:szCs w:val="32"/>
        </w:rPr>
        <w:t>磋商一次报价表</w:t>
      </w:r>
      <w:bookmarkEnd w:id="220"/>
      <w:bookmarkEnd w:id="221"/>
    </w:p>
    <w:p>
      <w:pPr>
        <w:jc w:val="center"/>
        <w:rPr>
          <w:rFonts w:hAnsi="宋体" w:cs="宋体"/>
          <w:b/>
          <w:sz w:val="30"/>
          <w:szCs w:val="30"/>
        </w:rPr>
      </w:pPr>
      <w:r>
        <w:rPr>
          <w:rFonts w:hint="eastAsia" w:hAnsi="宋体" w:cs="宋体"/>
          <w:b/>
          <w:bCs/>
          <w:sz w:val="32"/>
          <w:szCs w:val="32"/>
        </w:rPr>
        <w:t>3.1一次报价表</w:t>
      </w:r>
    </w:p>
    <w:p>
      <w:pPr>
        <w:pStyle w:val="84"/>
        <w:ind w:left="284" w:firstLine="0" w:firstLineChars="0"/>
        <w:rPr>
          <w:rFonts w:hAnsi="宋体" w:cs="宋体"/>
          <w:u w:val="single"/>
        </w:rPr>
      </w:pPr>
      <w:r>
        <w:rPr>
          <w:rFonts w:hint="eastAsia" w:hAnsi="宋体" w:cs="宋体"/>
        </w:rPr>
        <w:t>合同包</w:t>
      </w:r>
      <w:r>
        <w:rPr>
          <w:rFonts w:hint="eastAsia" w:hAnsi="宋体" w:cs="宋体"/>
          <w:u w:val="single"/>
        </w:rPr>
        <w:t xml:space="preserve">    </w:t>
      </w:r>
      <w:r>
        <w:rPr>
          <w:rFonts w:hint="eastAsia" w:hAnsi="宋体" w:cs="宋体"/>
        </w:rPr>
        <w:t>：</w:t>
      </w:r>
    </w:p>
    <w:tbl>
      <w:tblPr>
        <w:tblStyle w:val="43"/>
        <w:tblpPr w:leftFromText="180" w:rightFromText="180" w:vertAnchor="text" w:horzAnchor="page" w:tblpX="168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vAlign w:val="center"/>
          </w:tcPr>
          <w:p>
            <w:pPr>
              <w:adjustRightInd w:val="0"/>
              <w:snapToGrid w:val="0"/>
              <w:rPr>
                <w:rFonts w:hAnsi="宋体" w:cs="宋体"/>
                <w:color w:val="000000"/>
                <w:szCs w:val="24"/>
              </w:rPr>
            </w:pPr>
            <w:r>
              <w:rPr>
                <w:rFonts w:hint="eastAsia" w:hAnsi="宋体" w:cs="宋体"/>
                <w:color w:val="000000"/>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vAlign w:val="center"/>
          </w:tcPr>
          <w:p>
            <w:pPr>
              <w:adjustRightInd w:val="0"/>
              <w:snapToGrid w:val="0"/>
              <w:rPr>
                <w:rFonts w:hAnsi="宋体" w:cs="宋体"/>
                <w:color w:val="000000"/>
                <w:szCs w:val="24"/>
              </w:rPr>
            </w:pPr>
            <w:r>
              <w:rPr>
                <w:rFonts w:hint="eastAsia" w:hAnsi="宋体" w:cs="宋体"/>
                <w:color w:val="000000"/>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Merge w:val="restart"/>
            <w:vAlign w:val="center"/>
          </w:tcPr>
          <w:p>
            <w:pPr>
              <w:adjustRightInd w:val="0"/>
              <w:snapToGrid w:val="0"/>
              <w:jc w:val="center"/>
              <w:rPr>
                <w:rFonts w:hAnsi="宋体" w:cs="宋体"/>
                <w:color w:val="000000"/>
                <w:szCs w:val="24"/>
              </w:rPr>
            </w:pPr>
            <w:r>
              <w:rPr>
                <w:rFonts w:hint="eastAsia" w:hAnsi="宋体" w:cs="宋体"/>
                <w:color w:val="000000"/>
                <w:szCs w:val="24"/>
              </w:rPr>
              <w:t>磋商总报价</w:t>
            </w:r>
          </w:p>
          <w:p>
            <w:pPr>
              <w:adjustRightInd w:val="0"/>
              <w:snapToGrid w:val="0"/>
              <w:jc w:val="center"/>
              <w:rPr>
                <w:rFonts w:hAnsi="宋体" w:cs="宋体"/>
                <w:color w:val="000000"/>
                <w:szCs w:val="24"/>
              </w:rPr>
            </w:pPr>
            <w:r>
              <w:rPr>
                <w:rFonts w:hint="eastAsia" w:hAnsi="宋体" w:cs="宋体"/>
                <w:color w:val="000000"/>
                <w:szCs w:val="24"/>
              </w:rPr>
              <w:t>（元）</w:t>
            </w:r>
          </w:p>
        </w:tc>
        <w:tc>
          <w:tcPr>
            <w:tcW w:w="6900" w:type="dxa"/>
            <w:vAlign w:val="center"/>
          </w:tcPr>
          <w:p>
            <w:pPr>
              <w:adjustRightInd w:val="0"/>
              <w:snapToGrid w:val="0"/>
              <w:rPr>
                <w:rFonts w:hAnsi="宋体" w:cs="宋体"/>
                <w:color w:val="000000"/>
                <w:szCs w:val="24"/>
              </w:rPr>
            </w:pPr>
            <w:r>
              <w:rPr>
                <w:rFonts w:hint="eastAsia" w:hAnsi="宋体" w:cs="宋体"/>
                <w:color w:val="000000"/>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Merge w:val="continue"/>
            <w:vAlign w:val="center"/>
          </w:tcPr>
          <w:p>
            <w:pPr>
              <w:adjustRightInd w:val="0"/>
              <w:snapToGrid w:val="0"/>
              <w:jc w:val="center"/>
              <w:rPr>
                <w:rFonts w:hAnsi="宋体" w:cs="宋体"/>
                <w:color w:val="000000"/>
                <w:szCs w:val="24"/>
              </w:rPr>
            </w:pPr>
          </w:p>
        </w:tc>
        <w:tc>
          <w:tcPr>
            <w:tcW w:w="6900" w:type="dxa"/>
            <w:vAlign w:val="center"/>
          </w:tcPr>
          <w:p>
            <w:pPr>
              <w:adjustRightInd w:val="0"/>
              <w:snapToGrid w:val="0"/>
              <w:rPr>
                <w:rFonts w:hAnsi="宋体" w:cs="宋体"/>
                <w:color w:val="000000"/>
                <w:szCs w:val="24"/>
              </w:rPr>
            </w:pPr>
            <w:r>
              <w:rPr>
                <w:rFonts w:hint="eastAsia" w:hAnsi="宋体" w:cs="宋体"/>
                <w:color w:val="000000"/>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Align w:val="center"/>
          </w:tcPr>
          <w:p>
            <w:pPr>
              <w:jc w:val="center"/>
              <w:rPr>
                <w:rFonts w:hAnsi="宋体" w:cs="宋体"/>
                <w:color w:val="000000"/>
                <w:szCs w:val="24"/>
              </w:rPr>
            </w:pPr>
            <w:r>
              <w:rPr>
                <w:rFonts w:hint="eastAsia" w:hAnsi="宋体" w:cs="宋体"/>
                <w:color w:val="000000"/>
                <w:szCs w:val="24"/>
              </w:rPr>
              <w:t>服务期限</w:t>
            </w:r>
          </w:p>
        </w:tc>
        <w:tc>
          <w:tcPr>
            <w:tcW w:w="6900" w:type="dxa"/>
            <w:vAlign w:val="center"/>
          </w:tcPr>
          <w:p>
            <w:pPr>
              <w:adjustRightInd w:val="0"/>
              <w:snapToGrid w:val="0"/>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Align w:val="center"/>
          </w:tcPr>
          <w:p>
            <w:pPr>
              <w:jc w:val="center"/>
              <w:rPr>
                <w:rFonts w:hAnsi="宋体" w:cs="宋体"/>
                <w:color w:val="000000"/>
                <w:szCs w:val="24"/>
              </w:rPr>
            </w:pPr>
            <w:r>
              <w:rPr>
                <w:rFonts w:hint="eastAsia" w:hAnsi="宋体" w:cs="宋体"/>
                <w:color w:val="000000"/>
                <w:szCs w:val="24"/>
              </w:rPr>
              <w:t>质保期</w:t>
            </w:r>
          </w:p>
        </w:tc>
        <w:tc>
          <w:tcPr>
            <w:tcW w:w="6900" w:type="dxa"/>
            <w:vAlign w:val="center"/>
          </w:tcPr>
          <w:p>
            <w:pPr>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Align w:val="center"/>
          </w:tcPr>
          <w:p>
            <w:pPr>
              <w:jc w:val="center"/>
              <w:rPr>
                <w:rFonts w:hAnsi="宋体" w:cs="宋体"/>
                <w:color w:val="000000"/>
                <w:szCs w:val="24"/>
              </w:rPr>
            </w:pPr>
            <w:r>
              <w:rPr>
                <w:rFonts w:hint="eastAsia" w:hAnsi="宋体" w:cs="宋体"/>
                <w:color w:val="000000"/>
                <w:szCs w:val="24"/>
              </w:rPr>
              <w:t>备 注</w:t>
            </w:r>
          </w:p>
        </w:tc>
        <w:tc>
          <w:tcPr>
            <w:tcW w:w="6900" w:type="dxa"/>
            <w:vAlign w:val="center"/>
          </w:tcPr>
          <w:p>
            <w:pPr>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vAlign w:val="center"/>
          </w:tcPr>
          <w:p>
            <w:pPr>
              <w:rPr>
                <w:rFonts w:hAnsi="宋体" w:cs="宋体"/>
                <w:color w:val="000000"/>
                <w:szCs w:val="24"/>
              </w:rPr>
            </w:pPr>
            <w:r>
              <w:rPr>
                <w:rFonts w:hint="eastAsia" w:hAnsi="宋体" w:cs="宋体"/>
                <w:color w:val="000000"/>
              </w:rPr>
              <w:t>备注：表内报价内容以元为单位</w:t>
            </w:r>
          </w:p>
        </w:tc>
      </w:tr>
    </w:tbl>
    <w:p>
      <w:pPr>
        <w:jc w:val="left"/>
        <w:rPr>
          <w:rFonts w:hAnsi="宋体" w:cs="宋体"/>
        </w:rPr>
      </w:pPr>
    </w:p>
    <w:p>
      <w:pPr>
        <w:rPr>
          <w:rFonts w:hAnsi="宋体" w:cs="宋体"/>
        </w:rPr>
      </w:pPr>
    </w:p>
    <w:p>
      <w:pPr>
        <w:rPr>
          <w:rFonts w:hAnsi="宋体" w:cs="宋体"/>
          <w:szCs w:val="24"/>
        </w:rPr>
      </w:pPr>
    </w:p>
    <w:p>
      <w:pPr>
        <w:spacing w:line="280" w:lineRule="exact"/>
        <w:ind w:right="617" w:rightChars="257"/>
        <w:jc w:val="left"/>
        <w:rPr>
          <w:rFonts w:hAnsi="宋体" w:cs="宋体"/>
          <w:szCs w:val="24"/>
        </w:rPr>
      </w:pPr>
      <w:r>
        <w:rPr>
          <w:rFonts w:hint="eastAsia" w:hAnsi="宋体" w:cs="宋体"/>
          <w:szCs w:val="24"/>
        </w:rPr>
        <w:t>供应商名称：</w:t>
      </w:r>
      <w:r>
        <w:rPr>
          <w:rFonts w:hint="eastAsia" w:hAnsi="宋体" w:cs="宋体"/>
          <w:szCs w:val="24"/>
          <w:u w:val="single"/>
        </w:rPr>
        <w:t xml:space="preserve">      （加盖单位公章）      </w:t>
      </w:r>
    </w:p>
    <w:p>
      <w:pPr>
        <w:spacing w:line="280" w:lineRule="exact"/>
        <w:ind w:right="617" w:rightChars="257"/>
        <w:jc w:val="left"/>
        <w:rPr>
          <w:rFonts w:hAnsi="宋体" w:cs="宋体"/>
          <w:szCs w:val="24"/>
        </w:rPr>
      </w:pPr>
    </w:p>
    <w:p>
      <w:pPr>
        <w:spacing w:line="280" w:lineRule="exact"/>
        <w:ind w:right="617" w:rightChars="257"/>
        <w:jc w:val="left"/>
        <w:rPr>
          <w:rFonts w:hAnsi="宋体" w:cs="宋体"/>
          <w:szCs w:val="24"/>
        </w:rPr>
      </w:pPr>
      <w:r>
        <w:rPr>
          <w:rFonts w:hint="eastAsia" w:hAnsi="宋体" w:cs="宋体"/>
          <w:szCs w:val="24"/>
        </w:rPr>
        <w:t>法定代表人或被授权人签字：</w:t>
      </w:r>
    </w:p>
    <w:p>
      <w:pPr>
        <w:spacing w:line="280" w:lineRule="exact"/>
        <w:ind w:right="617" w:rightChars="257"/>
        <w:jc w:val="left"/>
        <w:rPr>
          <w:rFonts w:hAnsi="宋体" w:cs="宋体"/>
          <w:szCs w:val="24"/>
        </w:rPr>
      </w:pPr>
    </w:p>
    <w:p>
      <w:pPr>
        <w:spacing w:line="280" w:lineRule="exact"/>
        <w:ind w:right="617" w:rightChars="257"/>
        <w:rPr>
          <w:rFonts w:hAnsi="宋体" w:cs="宋体"/>
          <w:szCs w:val="24"/>
        </w:rPr>
      </w:pPr>
      <w:r>
        <w:rPr>
          <w:rFonts w:hint="eastAsia" w:hAnsi="宋体" w:cs="宋体"/>
          <w:szCs w:val="24"/>
        </w:rPr>
        <w:t>日    期：</w:t>
      </w:r>
    </w:p>
    <w:p>
      <w:pPr>
        <w:jc w:val="center"/>
        <w:rPr>
          <w:rFonts w:hAnsi="宋体" w:cs="宋体"/>
          <w:szCs w:val="24"/>
        </w:rPr>
      </w:pPr>
    </w:p>
    <w:p>
      <w:pPr>
        <w:spacing w:beforeLines="50" w:afterLines="50" w:line="400" w:lineRule="atLeast"/>
        <w:rPr>
          <w:rFonts w:hAnsi="宋体" w:cs="宋体"/>
          <w:szCs w:val="24"/>
        </w:rPr>
      </w:pPr>
      <w:r>
        <w:rPr>
          <w:rFonts w:hint="eastAsia" w:hAnsi="宋体" w:cs="宋体"/>
          <w:szCs w:val="24"/>
        </w:rPr>
        <w:t>注：本表应按“供应商须知”的规定密封单独提交。若有折扣声明，请与本表一并装订和密封。严格按照表格格式报价。</w:t>
      </w:r>
    </w:p>
    <w:p>
      <w:pPr>
        <w:spacing w:beforeLines="50" w:afterLines="50" w:line="400" w:lineRule="atLeast"/>
        <w:jc w:val="center"/>
        <w:rPr>
          <w:rFonts w:hAnsi="宋体" w:cs="宋体"/>
          <w:b/>
          <w:bCs/>
          <w:sz w:val="32"/>
          <w:szCs w:val="32"/>
        </w:rPr>
      </w:pPr>
      <w:r>
        <w:rPr>
          <w:rFonts w:hint="eastAsia" w:hAnsi="宋体" w:cs="宋体"/>
          <w:szCs w:val="24"/>
        </w:rPr>
        <w:br w:type="page"/>
      </w:r>
      <w:r>
        <w:rPr>
          <w:rFonts w:hint="eastAsia" w:hAnsi="宋体" w:cs="宋体"/>
          <w:b/>
          <w:bCs/>
          <w:sz w:val="32"/>
          <w:szCs w:val="32"/>
        </w:rPr>
        <w:t>3.2分项报价表</w:t>
      </w:r>
    </w:p>
    <w:p>
      <w:pPr>
        <w:jc w:val="center"/>
        <w:rPr>
          <w:rFonts w:hAnsi="宋体" w:cs="宋体"/>
          <w:b/>
        </w:rPr>
      </w:pPr>
      <w:r>
        <w:rPr>
          <w:rFonts w:hint="eastAsia" w:hAnsi="宋体" w:cs="宋体"/>
          <w:b/>
          <w:szCs w:val="24"/>
        </w:rPr>
        <w:t>（格式自拟）</w:t>
      </w:r>
    </w:p>
    <w:p>
      <w:pPr>
        <w:pStyle w:val="84"/>
        <w:ind w:firstLine="480"/>
        <w:rPr>
          <w:rFonts w:hAnsi="宋体" w:cs="宋体"/>
        </w:rPr>
      </w:pPr>
    </w:p>
    <w:p>
      <w:pPr>
        <w:spacing w:beforeLines="50" w:afterLines="50" w:line="400" w:lineRule="atLeast"/>
        <w:rPr>
          <w:rFonts w:hAnsi="宋体" w:cs="宋体"/>
          <w:szCs w:val="24"/>
          <w:u w:val="single"/>
        </w:rPr>
      </w:pPr>
    </w:p>
    <w:p>
      <w:pPr>
        <w:jc w:val="center"/>
        <w:rPr>
          <w:rFonts w:hAnsi="宋体" w:cs="宋体"/>
          <w:b/>
          <w:sz w:val="30"/>
          <w:szCs w:val="30"/>
        </w:rPr>
      </w:pPr>
    </w:p>
    <w:p>
      <w:pPr>
        <w:pStyle w:val="13"/>
        <w:rPr>
          <w:rFonts w:ascii="宋体" w:hAnsi="宋体" w:cs="宋体"/>
        </w:rPr>
      </w:pPr>
    </w:p>
    <w:bookmarkEnd w:id="217"/>
    <w:p>
      <w:pPr>
        <w:rPr>
          <w:rFonts w:hAnsi="宋体" w:cs="宋体"/>
          <w:sz w:val="32"/>
          <w:szCs w:val="32"/>
        </w:rPr>
      </w:pPr>
      <w:bookmarkStart w:id="222" w:name="_Toc344572163"/>
    </w:p>
    <w:p>
      <w:pPr>
        <w:pStyle w:val="4"/>
        <w:jc w:val="center"/>
        <w:rPr>
          <w:rFonts w:ascii="宋体" w:hAnsi="宋体" w:cs="宋体"/>
          <w:sz w:val="32"/>
        </w:rPr>
      </w:pPr>
      <w:r>
        <w:rPr>
          <w:rFonts w:hint="eastAsia" w:ascii="宋体" w:hAnsi="宋体" w:cs="宋体"/>
          <w:sz w:val="32"/>
        </w:rPr>
        <w:br w:type="page"/>
      </w:r>
      <w:r>
        <w:rPr>
          <w:rFonts w:hint="eastAsia" w:ascii="宋体" w:hAnsi="宋体" w:cs="宋体"/>
          <w:szCs w:val="28"/>
        </w:rPr>
        <w:t>四、技术方案</w:t>
      </w:r>
    </w:p>
    <w:p>
      <w:pPr>
        <w:spacing w:line="480" w:lineRule="auto"/>
        <w:ind w:left="480" w:hanging="480" w:hangingChars="200"/>
        <w:rPr>
          <w:rFonts w:hAnsi="宋体" w:cs="宋体"/>
          <w:szCs w:val="24"/>
        </w:rPr>
      </w:pPr>
      <w:r>
        <w:rPr>
          <w:rFonts w:hint="eastAsia" w:hAnsi="宋体" w:cs="宋体"/>
          <w:szCs w:val="24"/>
        </w:rPr>
        <w:t xml:space="preserve">（投标人根据采购内容要求及评审办法中的技术相关要求自行编制，格式自拟。）  </w:t>
      </w:r>
    </w:p>
    <w:p>
      <w:pPr>
        <w:spacing w:line="480" w:lineRule="auto"/>
        <w:rPr>
          <w:rFonts w:hAnsi="宋体" w:cs="宋体"/>
          <w:szCs w:val="24"/>
        </w:rPr>
      </w:pPr>
    </w:p>
    <w:p>
      <w:pPr>
        <w:spacing w:line="480" w:lineRule="auto"/>
        <w:rPr>
          <w:rFonts w:hAnsi="宋体" w:cs="宋体"/>
          <w:szCs w:val="24"/>
        </w:rPr>
      </w:pPr>
    </w:p>
    <w:p>
      <w:pPr>
        <w:pStyle w:val="84"/>
        <w:ind w:firstLine="480"/>
        <w:rPr>
          <w:rFonts w:hAnsi="宋体" w:cs="宋体"/>
          <w:szCs w:val="24"/>
        </w:rPr>
      </w:pPr>
    </w:p>
    <w:p>
      <w:pPr>
        <w:pStyle w:val="84"/>
        <w:ind w:firstLine="480"/>
        <w:rPr>
          <w:rFonts w:hAnsi="宋体" w:cs="宋体"/>
          <w:szCs w:val="24"/>
        </w:rPr>
      </w:pPr>
    </w:p>
    <w:p>
      <w:pPr>
        <w:spacing w:line="480" w:lineRule="auto"/>
        <w:rPr>
          <w:rFonts w:hAnsi="宋体" w:cs="宋体"/>
          <w:szCs w:val="24"/>
        </w:rPr>
      </w:pPr>
    </w:p>
    <w:p>
      <w:pPr>
        <w:spacing w:after="120" w:line="480" w:lineRule="auto"/>
        <w:rPr>
          <w:rFonts w:hAnsi="宋体" w:cs="宋体"/>
          <w:b/>
          <w:szCs w:val="24"/>
        </w:rPr>
      </w:pPr>
    </w:p>
    <w:p>
      <w:pPr>
        <w:spacing w:after="120"/>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spacing w:after="120"/>
        <w:rPr>
          <w:rFonts w:hAnsi="宋体" w:cs="宋体"/>
          <w:b/>
          <w:szCs w:val="24"/>
        </w:rPr>
      </w:pPr>
    </w:p>
    <w:p>
      <w:pPr>
        <w:spacing w:after="120"/>
        <w:rPr>
          <w:rFonts w:hAnsi="宋体" w:cs="宋体"/>
          <w:szCs w:val="24"/>
        </w:rPr>
      </w:pPr>
      <w:bookmarkStart w:id="223" w:name="_Toc225416061"/>
      <w:bookmarkStart w:id="224" w:name="_Toc225409965"/>
      <w:bookmarkStart w:id="225" w:name="_Toc225567481"/>
      <w:bookmarkStart w:id="226" w:name="_Toc225410181"/>
      <w:bookmarkStart w:id="227" w:name="_Toc225415659"/>
      <w:bookmarkStart w:id="228" w:name="_Toc396304713"/>
      <w:bookmarkStart w:id="229" w:name="_Toc225566882"/>
      <w:bookmarkStart w:id="230" w:name="_Toc225415860"/>
      <w:bookmarkStart w:id="231" w:name="_Toc225412171"/>
      <w:bookmarkStart w:id="232" w:name="_Toc225412373"/>
      <w:bookmarkStart w:id="233" w:name="_Toc341541375"/>
      <w:bookmarkStart w:id="234" w:name="_Toc225566701"/>
      <w:bookmarkStart w:id="235" w:name="_Toc225410807"/>
      <w:r>
        <w:rPr>
          <w:rFonts w:hint="eastAsia" w:hAnsi="宋体" w:cs="宋体"/>
          <w:b/>
          <w:szCs w:val="24"/>
        </w:rPr>
        <w:br w:type="page"/>
      </w:r>
      <w:r>
        <w:rPr>
          <w:rFonts w:hint="eastAsia" w:hAnsi="宋体" w:cs="宋体"/>
          <w:b/>
          <w:szCs w:val="24"/>
        </w:rPr>
        <w:t>附表2： 本项目拟投入人员汇总表</w:t>
      </w:r>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160"/>
        <w:ind w:firstLine="0" w:firstLineChars="0"/>
        <w:jc w:val="center"/>
        <w:outlineLvl w:val="9"/>
        <w:rPr>
          <w:rFonts w:hAnsi="宋体"/>
          <w:color w:val="auto"/>
          <w:szCs w:val="24"/>
        </w:rPr>
      </w:pPr>
      <w:bookmarkStart w:id="236" w:name="_Toc17592"/>
      <w:bookmarkStart w:id="237" w:name="_Toc396304714"/>
      <w:bookmarkStart w:id="238" w:name="_Toc4115"/>
      <w:bookmarkStart w:id="239" w:name="_Toc214"/>
      <w:bookmarkStart w:id="240" w:name="_Toc403077652"/>
      <w:bookmarkStart w:id="241" w:name="_Toc2768"/>
      <w:bookmarkStart w:id="242" w:name="_Toc426457710"/>
      <w:bookmarkStart w:id="243" w:name="_Toc14631"/>
      <w:r>
        <w:rPr>
          <w:rFonts w:hint="eastAsia" w:hAnsi="宋体"/>
          <w:color w:val="auto"/>
          <w:szCs w:val="24"/>
        </w:rPr>
        <w:t>（一）本项目拟投入人员汇总表</w:t>
      </w:r>
      <w:bookmarkEnd w:id="236"/>
      <w:bookmarkEnd w:id="237"/>
      <w:bookmarkEnd w:id="238"/>
      <w:bookmarkEnd w:id="239"/>
      <w:bookmarkEnd w:id="240"/>
      <w:bookmarkEnd w:id="241"/>
      <w:bookmarkEnd w:id="242"/>
      <w:bookmarkEnd w:id="243"/>
    </w:p>
    <w:p>
      <w:pPr>
        <w:pStyle w:val="160"/>
        <w:ind w:firstLine="0" w:firstLineChars="0"/>
        <w:outlineLvl w:val="9"/>
        <w:rPr>
          <w:rFonts w:hAnsi="宋体"/>
          <w:color w:val="auto"/>
          <w:szCs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241"/>
        <w:gridCol w:w="571"/>
        <w:gridCol w:w="571"/>
        <w:gridCol w:w="571"/>
        <w:gridCol w:w="836"/>
        <w:gridCol w:w="1159"/>
        <w:gridCol w:w="749"/>
        <w:gridCol w:w="188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558"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序号</w:t>
            </w:r>
          </w:p>
        </w:tc>
        <w:tc>
          <w:tcPr>
            <w:tcW w:w="124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姓  名</w:t>
            </w:r>
          </w:p>
        </w:tc>
        <w:tc>
          <w:tcPr>
            <w:tcW w:w="57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性别</w:t>
            </w:r>
          </w:p>
        </w:tc>
        <w:tc>
          <w:tcPr>
            <w:tcW w:w="57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年龄</w:t>
            </w:r>
          </w:p>
        </w:tc>
        <w:tc>
          <w:tcPr>
            <w:tcW w:w="57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学历</w:t>
            </w:r>
          </w:p>
        </w:tc>
        <w:tc>
          <w:tcPr>
            <w:tcW w:w="836"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技术</w:t>
            </w:r>
          </w:p>
          <w:p>
            <w:pPr>
              <w:pStyle w:val="149"/>
              <w:spacing w:line="400" w:lineRule="exact"/>
              <w:ind w:left="0" w:leftChars="0"/>
              <w:rPr>
                <w:rFonts w:hAnsi="宋体" w:cs="宋体"/>
                <w:b/>
                <w:szCs w:val="21"/>
              </w:rPr>
            </w:pPr>
            <w:r>
              <w:rPr>
                <w:rFonts w:hint="eastAsia" w:hAnsi="宋体" w:cs="宋体"/>
                <w:b/>
                <w:szCs w:val="21"/>
              </w:rPr>
              <w:t>职称</w:t>
            </w:r>
          </w:p>
        </w:tc>
        <w:tc>
          <w:tcPr>
            <w:tcW w:w="1159" w:type="dxa"/>
            <w:tcMar>
              <w:top w:w="15" w:type="dxa"/>
              <w:left w:w="15" w:type="dxa"/>
              <w:bottom w:w="0" w:type="dxa"/>
              <w:right w:w="15" w:type="dxa"/>
            </w:tcMar>
          </w:tcPr>
          <w:p>
            <w:pPr>
              <w:pStyle w:val="149"/>
              <w:spacing w:line="400" w:lineRule="exact"/>
              <w:ind w:left="0" w:leftChars="0"/>
              <w:rPr>
                <w:rFonts w:hAnsi="宋体" w:cs="宋体"/>
                <w:b/>
                <w:szCs w:val="21"/>
              </w:rPr>
            </w:pPr>
            <w:r>
              <w:rPr>
                <w:rFonts w:hint="eastAsia" w:hAnsi="宋体" w:cs="宋体"/>
                <w:b/>
                <w:szCs w:val="21"/>
              </w:rPr>
              <w:t>资格证</w:t>
            </w:r>
          </w:p>
          <w:p>
            <w:pPr>
              <w:pStyle w:val="149"/>
              <w:spacing w:line="400" w:lineRule="exact"/>
              <w:ind w:left="0" w:leftChars="0"/>
              <w:rPr>
                <w:rFonts w:hAnsi="宋体" w:cs="宋体"/>
                <w:b/>
                <w:szCs w:val="21"/>
              </w:rPr>
            </w:pPr>
            <w:r>
              <w:rPr>
                <w:rFonts w:hint="eastAsia" w:hAnsi="宋体" w:cs="宋体"/>
                <w:b/>
                <w:szCs w:val="21"/>
              </w:rPr>
              <w:t>书种类</w:t>
            </w:r>
          </w:p>
        </w:tc>
        <w:tc>
          <w:tcPr>
            <w:tcW w:w="749"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工作</w:t>
            </w:r>
          </w:p>
          <w:p>
            <w:pPr>
              <w:pStyle w:val="149"/>
              <w:spacing w:line="400" w:lineRule="exact"/>
              <w:ind w:left="0" w:leftChars="0"/>
              <w:rPr>
                <w:rFonts w:hAnsi="宋体" w:cs="宋体"/>
                <w:b/>
                <w:szCs w:val="21"/>
              </w:rPr>
            </w:pPr>
            <w:r>
              <w:rPr>
                <w:rFonts w:hint="eastAsia" w:hAnsi="宋体" w:cs="宋体"/>
                <w:b/>
                <w:szCs w:val="21"/>
              </w:rPr>
              <w:t>年限</w:t>
            </w:r>
          </w:p>
        </w:tc>
        <w:tc>
          <w:tcPr>
            <w:tcW w:w="1880"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拟担任的职务</w:t>
            </w:r>
          </w:p>
        </w:tc>
        <w:tc>
          <w:tcPr>
            <w:tcW w:w="68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岗位</w:t>
            </w:r>
          </w:p>
          <w:p>
            <w:pPr>
              <w:pStyle w:val="149"/>
              <w:spacing w:line="400" w:lineRule="exact"/>
              <w:ind w:left="0" w:leftChars="0"/>
              <w:rPr>
                <w:rFonts w:hAnsi="宋体" w:cs="宋体"/>
                <w:b/>
                <w:szCs w:val="21"/>
              </w:rPr>
            </w:pPr>
            <w:r>
              <w:rPr>
                <w:rFonts w:hint="eastAsia" w:hAnsi="宋体" w:cs="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bl>
    <w:p>
      <w:pPr>
        <w:pStyle w:val="130"/>
        <w:tabs>
          <w:tab w:val="left" w:pos="2040"/>
        </w:tabs>
        <w:spacing w:beforeLines="0" w:line="400" w:lineRule="exact"/>
        <w:ind w:left="0" w:firstLine="480" w:firstLineChars="200"/>
        <w:rPr>
          <w:rFonts w:hAnsi="宋体" w:eastAsia="宋体" w:cs="宋体"/>
          <w:color w:val="auto"/>
          <w:szCs w:val="21"/>
        </w:rPr>
      </w:pPr>
      <w:r>
        <w:rPr>
          <w:rFonts w:hint="eastAsia" w:hAnsi="宋体" w:eastAsia="宋体" w:cs="宋体"/>
          <w:color w:val="auto"/>
          <w:szCs w:val="21"/>
        </w:rPr>
        <w:t>注：1.“岗位情况”须注明该人在本单位是在岗、返聘还是外聘。</w:t>
      </w:r>
    </w:p>
    <w:p>
      <w:pPr>
        <w:pStyle w:val="130"/>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2. 供应商可适当调整该表格式，但不得减少信息内容。</w:t>
      </w:r>
    </w:p>
    <w:p>
      <w:pPr>
        <w:pStyle w:val="130"/>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3.供应商应书面承诺磋商响应文件中人员的真实性。</w:t>
      </w:r>
    </w:p>
    <w:p>
      <w:pPr>
        <w:pStyle w:val="130"/>
        <w:tabs>
          <w:tab w:val="left" w:pos="2040"/>
        </w:tabs>
        <w:spacing w:beforeLines="0" w:line="400" w:lineRule="exact"/>
        <w:ind w:left="0" w:firstLine="960" w:firstLineChars="400"/>
        <w:rPr>
          <w:rFonts w:hAnsi="宋体" w:eastAsia="宋体" w:cs="宋体"/>
          <w:color w:val="auto"/>
          <w:szCs w:val="21"/>
        </w:rPr>
      </w:pPr>
    </w:p>
    <w:p>
      <w:pPr>
        <w:pStyle w:val="130"/>
        <w:tabs>
          <w:tab w:val="left" w:pos="2040"/>
        </w:tabs>
        <w:spacing w:beforeLines="0" w:line="400" w:lineRule="exact"/>
        <w:ind w:left="0" w:firstLine="960" w:firstLineChars="400"/>
        <w:rPr>
          <w:rFonts w:hAnsi="宋体" w:eastAsia="宋体" w:cs="宋体"/>
          <w:color w:val="auto"/>
          <w:szCs w:val="21"/>
        </w:rPr>
      </w:pPr>
    </w:p>
    <w:p>
      <w:pPr>
        <w:rPr>
          <w:rFonts w:hAnsi="宋体" w:cs="宋体"/>
          <w:szCs w:val="24"/>
        </w:rPr>
      </w:pPr>
      <w:bookmarkStart w:id="244" w:name="_Toc426457711"/>
      <w:bookmarkStart w:id="245" w:name="_Toc225410808"/>
      <w:bookmarkStart w:id="246" w:name="_Toc225566702"/>
      <w:bookmarkStart w:id="247" w:name="_Toc403077653"/>
      <w:bookmarkStart w:id="248" w:name="_Toc15882"/>
      <w:bookmarkStart w:id="249" w:name="_Toc225409966"/>
      <w:bookmarkStart w:id="250" w:name="_Toc225416062"/>
      <w:bookmarkStart w:id="251" w:name="_Toc225412374"/>
      <w:bookmarkStart w:id="252" w:name="_Toc225415660"/>
      <w:bookmarkStart w:id="253" w:name="_Toc225566883"/>
      <w:bookmarkStart w:id="254" w:name="_Toc16685"/>
      <w:bookmarkStart w:id="255" w:name="_Toc225415861"/>
      <w:bookmarkStart w:id="256" w:name="_Toc341541376"/>
      <w:bookmarkStart w:id="257" w:name="_Toc396304715"/>
      <w:bookmarkStart w:id="258" w:name="_Toc225412172"/>
      <w:bookmarkStart w:id="259" w:name="_Toc26060"/>
      <w:bookmarkStart w:id="260" w:name="_Toc225410182"/>
      <w:bookmarkStart w:id="261" w:name="_Toc4548"/>
      <w:bookmarkStart w:id="262" w:name="_Toc225567482"/>
      <w:bookmarkStart w:id="263" w:name="_Toc14010"/>
      <w:r>
        <w:rPr>
          <w:rFonts w:hint="eastAsia" w:hAnsi="宋体" w:cs="宋体"/>
          <w:szCs w:val="24"/>
        </w:rPr>
        <w:br w:type="page"/>
      </w:r>
    </w:p>
    <w:p>
      <w:pPr>
        <w:pStyle w:val="160"/>
        <w:spacing w:line="400" w:lineRule="exact"/>
        <w:ind w:firstLine="0" w:firstLineChars="0"/>
        <w:jc w:val="center"/>
        <w:outlineLvl w:val="9"/>
        <w:rPr>
          <w:rFonts w:hAnsi="宋体"/>
          <w:color w:val="auto"/>
          <w:szCs w:val="24"/>
        </w:rPr>
      </w:pPr>
      <w:r>
        <w:rPr>
          <w:rFonts w:hint="eastAsia" w:hAnsi="宋体"/>
          <w:color w:val="auto"/>
          <w:szCs w:val="24"/>
        </w:rPr>
        <w:t>（二） 本项目拟投入主要人员简历表</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pStyle w:val="160"/>
        <w:spacing w:line="400" w:lineRule="exact"/>
        <w:ind w:firstLine="0" w:firstLineChars="0"/>
        <w:jc w:val="center"/>
        <w:outlineLvl w:val="9"/>
        <w:rPr>
          <w:rFonts w:hAnsi="宋体"/>
          <w:color w:val="auto"/>
          <w:szCs w:val="24"/>
        </w:rPr>
      </w:pPr>
      <w:bookmarkStart w:id="264" w:name="_Toc426457712"/>
      <w:bookmarkStart w:id="265" w:name="_Toc4640"/>
      <w:bookmarkStart w:id="266" w:name="_Toc12576"/>
      <w:bookmarkStart w:id="267" w:name="_Toc396304716"/>
      <w:bookmarkStart w:id="268" w:name="_Toc1696"/>
      <w:bookmarkStart w:id="269" w:name="_Toc403077654"/>
      <w:bookmarkStart w:id="270" w:name="_Toc21195"/>
      <w:bookmarkStart w:id="271" w:name="_Toc26268"/>
      <w:r>
        <w:rPr>
          <w:rFonts w:hint="eastAsia" w:hAnsi="宋体"/>
          <w:color w:val="auto"/>
          <w:szCs w:val="24"/>
        </w:rPr>
        <w:t>本项目拟投入主要人员简历表</w:t>
      </w:r>
      <w:bookmarkEnd w:id="264"/>
      <w:bookmarkEnd w:id="265"/>
      <w:bookmarkEnd w:id="266"/>
      <w:bookmarkEnd w:id="267"/>
      <w:bookmarkEnd w:id="268"/>
      <w:bookmarkEnd w:id="269"/>
      <w:bookmarkEnd w:id="270"/>
      <w:bookmarkEnd w:id="27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69"/>
        <w:gridCol w:w="1550"/>
        <w:gridCol w:w="1498"/>
        <w:gridCol w:w="1263"/>
        <w:gridCol w:w="44"/>
        <w:gridCol w:w="1680"/>
        <w:gridCol w:w="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姓  名</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性 别</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年 龄</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职  称</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身份证号</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专业/年限</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毕业时间</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毕业学校</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学历/专业</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资格证书</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注册时间</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从业时间</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93" w:type="dxa"/>
            <w:gridSpan w:val="3"/>
            <w:vAlign w:val="center"/>
          </w:tcPr>
          <w:p>
            <w:pPr>
              <w:pStyle w:val="149"/>
              <w:spacing w:line="400" w:lineRule="exact"/>
              <w:ind w:left="0" w:leftChars="0"/>
              <w:rPr>
                <w:rFonts w:hAnsi="宋体" w:cs="宋体"/>
              </w:rPr>
            </w:pPr>
            <w:r>
              <w:rPr>
                <w:rFonts w:hint="eastAsia" w:hAnsi="宋体" w:cs="宋体"/>
              </w:rPr>
              <w:t>拟在本项目担任职务</w:t>
            </w:r>
          </w:p>
        </w:tc>
        <w:tc>
          <w:tcPr>
            <w:tcW w:w="5604" w:type="dxa"/>
            <w:gridSpan w:val="6"/>
            <w:vAlign w:val="center"/>
          </w:tcPr>
          <w:p>
            <w:pPr>
              <w:pStyle w:val="149"/>
              <w:spacing w:line="400" w:lineRule="exact"/>
              <w:ind w:left="0" w:leftChars="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97" w:type="dxa"/>
            <w:gridSpan w:val="9"/>
            <w:vAlign w:val="center"/>
          </w:tcPr>
          <w:p>
            <w:pPr>
              <w:pStyle w:val="149"/>
              <w:spacing w:line="400" w:lineRule="exact"/>
              <w:ind w:left="0" w:leftChars="0"/>
              <w:rPr>
                <w:rFonts w:hAnsi="宋体" w:cs="宋体"/>
              </w:rPr>
            </w:pPr>
            <w:r>
              <w:rPr>
                <w:rFonts w:hint="eastAsia" w:hAnsi="宋体" w:cs="宋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74" w:type="dxa"/>
            <w:vAlign w:val="center"/>
          </w:tcPr>
          <w:p>
            <w:pPr>
              <w:pStyle w:val="149"/>
              <w:spacing w:line="400" w:lineRule="exact"/>
              <w:ind w:left="0" w:leftChars="0"/>
              <w:rPr>
                <w:rFonts w:hAnsi="宋体" w:cs="宋体"/>
              </w:rPr>
            </w:pPr>
            <w:r>
              <w:rPr>
                <w:rFonts w:hint="eastAsia" w:hAnsi="宋体" w:cs="宋体"/>
              </w:rPr>
              <w:t>时  间</w:t>
            </w:r>
          </w:p>
        </w:tc>
        <w:tc>
          <w:tcPr>
            <w:tcW w:w="3317" w:type="dxa"/>
            <w:gridSpan w:val="3"/>
            <w:vAlign w:val="center"/>
          </w:tcPr>
          <w:p>
            <w:pPr>
              <w:pStyle w:val="149"/>
              <w:spacing w:line="400" w:lineRule="exact"/>
              <w:ind w:left="0" w:leftChars="0"/>
              <w:rPr>
                <w:rFonts w:hAnsi="宋体" w:cs="宋体"/>
              </w:rPr>
            </w:pPr>
            <w:r>
              <w:rPr>
                <w:rFonts w:hint="eastAsia" w:hAnsi="宋体" w:cs="宋体"/>
              </w:rPr>
              <w:t>参加过的项目名称</w:t>
            </w:r>
          </w:p>
          <w:p>
            <w:pPr>
              <w:pStyle w:val="149"/>
              <w:spacing w:line="400" w:lineRule="exact"/>
              <w:ind w:left="0" w:leftChars="0"/>
              <w:rPr>
                <w:rFonts w:hAnsi="宋体" w:cs="宋体"/>
              </w:rPr>
            </w:pPr>
            <w:r>
              <w:rPr>
                <w:rFonts w:hint="eastAsia" w:hAnsi="宋体" w:cs="宋体"/>
              </w:rPr>
              <w:t>及当时所在单位</w:t>
            </w:r>
          </w:p>
        </w:tc>
        <w:tc>
          <w:tcPr>
            <w:tcW w:w="1263" w:type="dxa"/>
            <w:vAlign w:val="center"/>
          </w:tcPr>
          <w:p>
            <w:pPr>
              <w:pStyle w:val="149"/>
              <w:spacing w:line="400" w:lineRule="exact"/>
              <w:ind w:left="0" w:leftChars="0"/>
              <w:rPr>
                <w:rFonts w:hAnsi="宋体" w:cs="宋体"/>
              </w:rPr>
            </w:pPr>
            <w:r>
              <w:rPr>
                <w:rFonts w:hint="eastAsia" w:hAnsi="宋体" w:cs="宋体"/>
              </w:rPr>
              <w:t>担任何职</w:t>
            </w:r>
          </w:p>
        </w:tc>
        <w:tc>
          <w:tcPr>
            <w:tcW w:w="1731" w:type="dxa"/>
            <w:gridSpan w:val="3"/>
            <w:vAlign w:val="center"/>
          </w:tcPr>
          <w:p>
            <w:pPr>
              <w:pStyle w:val="149"/>
              <w:spacing w:line="400" w:lineRule="exact"/>
              <w:ind w:left="0" w:leftChars="0"/>
              <w:rPr>
                <w:rFonts w:hAnsi="宋体" w:cs="宋体"/>
              </w:rPr>
            </w:pPr>
            <w:r>
              <w:rPr>
                <w:rFonts w:hint="eastAsia" w:hAnsi="宋体" w:cs="宋体"/>
              </w:rPr>
              <w:t>主要工作内容</w:t>
            </w:r>
          </w:p>
        </w:tc>
        <w:tc>
          <w:tcPr>
            <w:tcW w:w="1112" w:type="dxa"/>
            <w:vAlign w:val="center"/>
          </w:tcPr>
          <w:p>
            <w:pPr>
              <w:pStyle w:val="149"/>
              <w:spacing w:line="400" w:lineRule="exact"/>
              <w:ind w:left="0" w:leftChars="0"/>
              <w:rPr>
                <w:rFonts w:hAnsi="宋体" w:cs="宋体"/>
              </w:rPr>
            </w:pPr>
            <w:r>
              <w:rPr>
                <w:rFonts w:hint="eastAsia" w:hAnsi="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firstLine="480" w:firstLineChars="200"/>
              <w:jc w:val="both"/>
              <w:rPr>
                <w:rFonts w:hAnsi="宋体" w:cs="宋体"/>
              </w:rPr>
            </w:pPr>
          </w:p>
        </w:tc>
        <w:tc>
          <w:tcPr>
            <w:tcW w:w="3317" w:type="dxa"/>
            <w:gridSpan w:val="3"/>
            <w:vAlign w:val="center"/>
          </w:tcPr>
          <w:p>
            <w:pPr>
              <w:pStyle w:val="149"/>
              <w:spacing w:line="400" w:lineRule="exact"/>
              <w:ind w:left="0" w:leftChars="0" w:firstLine="480" w:firstLineChars="200"/>
              <w:jc w:val="both"/>
              <w:rPr>
                <w:rFonts w:hAnsi="宋体" w:cs="宋体"/>
              </w:rPr>
            </w:pPr>
          </w:p>
        </w:tc>
        <w:tc>
          <w:tcPr>
            <w:tcW w:w="1263" w:type="dxa"/>
            <w:vAlign w:val="center"/>
          </w:tcPr>
          <w:p>
            <w:pPr>
              <w:pStyle w:val="149"/>
              <w:spacing w:line="400" w:lineRule="exact"/>
              <w:ind w:left="0" w:leftChars="0" w:firstLine="480" w:firstLineChars="200"/>
              <w:jc w:val="both"/>
              <w:rPr>
                <w:rFonts w:hAnsi="宋体" w:cs="宋体"/>
              </w:rPr>
            </w:pPr>
          </w:p>
        </w:tc>
        <w:tc>
          <w:tcPr>
            <w:tcW w:w="1731" w:type="dxa"/>
            <w:gridSpan w:val="3"/>
            <w:vAlign w:val="center"/>
          </w:tcPr>
          <w:p>
            <w:pPr>
              <w:pStyle w:val="149"/>
              <w:spacing w:line="400" w:lineRule="exact"/>
              <w:ind w:left="0" w:leftChars="0" w:firstLine="480" w:firstLineChars="200"/>
              <w:jc w:val="both"/>
              <w:rPr>
                <w:rFonts w:hAnsi="宋体" w:cs="宋体"/>
              </w:rPr>
            </w:pPr>
          </w:p>
        </w:tc>
        <w:tc>
          <w:tcPr>
            <w:tcW w:w="1112" w:type="dxa"/>
            <w:vAlign w:val="center"/>
          </w:tcPr>
          <w:p>
            <w:pPr>
              <w:pStyle w:val="149"/>
              <w:spacing w:line="400" w:lineRule="exact"/>
              <w:ind w:left="0" w:leftChars="0" w:firstLine="480" w:firstLineChars="20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74" w:type="dxa"/>
            <w:vAlign w:val="center"/>
          </w:tcPr>
          <w:p>
            <w:pPr>
              <w:pStyle w:val="149"/>
              <w:spacing w:line="400" w:lineRule="exact"/>
              <w:ind w:left="0" w:leftChars="0" w:firstLine="480" w:firstLineChars="200"/>
              <w:jc w:val="both"/>
              <w:rPr>
                <w:rFonts w:hAnsi="宋体" w:cs="宋体"/>
              </w:rPr>
            </w:pPr>
          </w:p>
        </w:tc>
        <w:tc>
          <w:tcPr>
            <w:tcW w:w="3317" w:type="dxa"/>
            <w:gridSpan w:val="3"/>
            <w:vAlign w:val="center"/>
          </w:tcPr>
          <w:p>
            <w:pPr>
              <w:pStyle w:val="149"/>
              <w:spacing w:line="400" w:lineRule="exact"/>
              <w:ind w:left="0" w:leftChars="0" w:firstLine="480" w:firstLineChars="200"/>
              <w:jc w:val="both"/>
              <w:rPr>
                <w:rFonts w:hAnsi="宋体" w:cs="宋体"/>
              </w:rPr>
            </w:pPr>
          </w:p>
        </w:tc>
        <w:tc>
          <w:tcPr>
            <w:tcW w:w="1263" w:type="dxa"/>
            <w:vAlign w:val="center"/>
          </w:tcPr>
          <w:p>
            <w:pPr>
              <w:pStyle w:val="149"/>
              <w:spacing w:line="400" w:lineRule="exact"/>
              <w:ind w:left="0" w:leftChars="0" w:firstLine="480" w:firstLineChars="200"/>
              <w:jc w:val="both"/>
              <w:rPr>
                <w:rFonts w:hAnsi="宋体" w:cs="宋体"/>
              </w:rPr>
            </w:pPr>
          </w:p>
        </w:tc>
        <w:tc>
          <w:tcPr>
            <w:tcW w:w="1731" w:type="dxa"/>
            <w:gridSpan w:val="3"/>
            <w:vAlign w:val="center"/>
          </w:tcPr>
          <w:p>
            <w:pPr>
              <w:pStyle w:val="149"/>
              <w:spacing w:line="400" w:lineRule="exact"/>
              <w:ind w:left="0" w:leftChars="0" w:firstLine="480" w:firstLineChars="200"/>
              <w:jc w:val="both"/>
              <w:rPr>
                <w:rFonts w:hAnsi="宋体" w:cs="宋体"/>
              </w:rPr>
            </w:pPr>
          </w:p>
        </w:tc>
        <w:tc>
          <w:tcPr>
            <w:tcW w:w="1112" w:type="dxa"/>
            <w:vAlign w:val="center"/>
          </w:tcPr>
          <w:p>
            <w:pPr>
              <w:pStyle w:val="149"/>
              <w:spacing w:line="400" w:lineRule="exact"/>
              <w:ind w:left="0" w:leftChars="0" w:firstLine="480" w:firstLineChars="200"/>
              <w:jc w:val="both"/>
              <w:rPr>
                <w:rFonts w:hAnsi="宋体" w:cs="宋体"/>
              </w:rPr>
            </w:pPr>
          </w:p>
        </w:tc>
      </w:tr>
    </w:tbl>
    <w:p>
      <w:pPr>
        <w:pStyle w:val="130"/>
        <w:tabs>
          <w:tab w:val="left" w:pos="2040"/>
        </w:tabs>
        <w:spacing w:beforeLines="0" w:line="400" w:lineRule="exact"/>
        <w:ind w:left="0" w:firstLine="480" w:firstLineChars="200"/>
        <w:rPr>
          <w:rFonts w:hAnsi="宋体" w:eastAsia="宋体" w:cs="宋体"/>
          <w:color w:val="auto"/>
          <w:szCs w:val="21"/>
        </w:rPr>
      </w:pPr>
      <w:r>
        <w:rPr>
          <w:rFonts w:hint="eastAsia" w:hAnsi="宋体" w:eastAsia="宋体" w:cs="宋体"/>
          <w:color w:val="auto"/>
          <w:szCs w:val="21"/>
        </w:rPr>
        <w:t>注：</w:t>
      </w:r>
    </w:p>
    <w:p>
      <w:pPr>
        <w:pStyle w:val="130"/>
        <w:tabs>
          <w:tab w:val="left" w:pos="2040"/>
        </w:tabs>
        <w:spacing w:beforeLines="0" w:line="400" w:lineRule="exact"/>
        <w:ind w:left="0" w:firstLine="480" w:firstLineChars="200"/>
        <w:rPr>
          <w:rFonts w:hAnsi="宋体" w:eastAsia="宋体" w:cs="宋体"/>
          <w:color w:val="auto"/>
        </w:rPr>
      </w:pPr>
      <w:r>
        <w:rPr>
          <w:rFonts w:hint="eastAsia" w:hAnsi="宋体" w:eastAsia="宋体" w:cs="宋体"/>
          <w:color w:val="auto"/>
        </w:rPr>
        <w:t>1.表后可附身份证、毕业证、职称证、执业资格证、获奖证书（如果有）复印件。</w:t>
      </w:r>
    </w:p>
    <w:p>
      <w:pPr>
        <w:spacing w:line="440" w:lineRule="exact"/>
        <w:ind w:firstLine="480" w:firstLineChars="200"/>
        <w:jc w:val="left"/>
        <w:rPr>
          <w:rFonts w:hAnsi="宋体" w:cs="宋体"/>
          <w:szCs w:val="24"/>
        </w:rPr>
      </w:pPr>
      <w:r>
        <w:rPr>
          <w:rFonts w:hint="eastAsia" w:hAnsi="宋体" w:cs="宋体"/>
        </w:rPr>
        <w:t>2.获奖情况包括项目、集体或个人获奖情况，如有，应附复印件或者扫描件。</w:t>
      </w:r>
    </w:p>
    <w:p>
      <w:pPr>
        <w:pStyle w:val="4"/>
        <w:jc w:val="center"/>
        <w:rPr>
          <w:rFonts w:ascii="宋体" w:hAnsi="宋体" w:cs="宋体"/>
          <w:b w:val="0"/>
          <w:sz w:val="32"/>
        </w:rPr>
      </w:pPr>
      <w:r>
        <w:rPr>
          <w:rFonts w:hint="eastAsia" w:ascii="宋体" w:hAnsi="宋体" w:cs="宋体"/>
          <w:b w:val="0"/>
          <w:sz w:val="32"/>
        </w:rPr>
        <w:br w:type="page"/>
      </w:r>
      <w:r>
        <w:rPr>
          <w:rFonts w:hint="eastAsia" w:ascii="宋体" w:hAnsi="宋体" w:cs="宋体"/>
          <w:sz w:val="30"/>
          <w:szCs w:val="30"/>
        </w:rPr>
        <w:t>五、合同主要条款响应表</w:t>
      </w:r>
    </w:p>
    <w:tbl>
      <w:tblPr>
        <w:tblStyle w:val="4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3117"/>
        <w:gridCol w:w="3231"/>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41" w:type="dxa"/>
            <w:vAlign w:val="center"/>
          </w:tcPr>
          <w:p>
            <w:pPr>
              <w:jc w:val="center"/>
              <w:rPr>
                <w:rFonts w:hAnsi="宋体" w:cs="宋体"/>
                <w:szCs w:val="24"/>
              </w:rPr>
            </w:pPr>
            <w:r>
              <w:rPr>
                <w:rFonts w:hint="eastAsia" w:hAnsi="宋体" w:cs="宋体"/>
                <w:szCs w:val="24"/>
              </w:rPr>
              <w:t>序号</w:t>
            </w:r>
          </w:p>
        </w:tc>
        <w:tc>
          <w:tcPr>
            <w:tcW w:w="3117" w:type="dxa"/>
            <w:vAlign w:val="center"/>
          </w:tcPr>
          <w:p>
            <w:pPr>
              <w:jc w:val="center"/>
              <w:rPr>
                <w:rFonts w:hAnsi="宋体" w:cs="宋体"/>
                <w:szCs w:val="24"/>
              </w:rPr>
            </w:pPr>
            <w:r>
              <w:rPr>
                <w:rFonts w:hint="eastAsia" w:hAnsi="宋体" w:cs="宋体"/>
                <w:szCs w:val="24"/>
              </w:rPr>
              <w:t>磋商文件</w:t>
            </w:r>
          </w:p>
          <w:p>
            <w:pPr>
              <w:jc w:val="center"/>
              <w:rPr>
                <w:rFonts w:hAnsi="宋体" w:cs="宋体"/>
                <w:szCs w:val="24"/>
              </w:rPr>
            </w:pPr>
            <w:r>
              <w:rPr>
                <w:rFonts w:hint="eastAsia" w:hAnsi="宋体" w:cs="宋体"/>
                <w:szCs w:val="24"/>
              </w:rPr>
              <w:t>合同主要条款要求</w:t>
            </w:r>
          </w:p>
        </w:tc>
        <w:tc>
          <w:tcPr>
            <w:tcW w:w="3231" w:type="dxa"/>
            <w:vAlign w:val="center"/>
          </w:tcPr>
          <w:p>
            <w:pPr>
              <w:jc w:val="center"/>
              <w:rPr>
                <w:rFonts w:hAnsi="宋体" w:cs="宋体"/>
                <w:szCs w:val="24"/>
              </w:rPr>
            </w:pPr>
            <w:r>
              <w:rPr>
                <w:rFonts w:hint="eastAsia" w:hAnsi="宋体" w:cs="宋体"/>
                <w:szCs w:val="24"/>
              </w:rPr>
              <w:t>磋商响应文件</w:t>
            </w:r>
          </w:p>
          <w:p>
            <w:pPr>
              <w:jc w:val="center"/>
              <w:rPr>
                <w:rFonts w:hAnsi="宋体" w:cs="宋体"/>
                <w:szCs w:val="24"/>
              </w:rPr>
            </w:pPr>
            <w:r>
              <w:rPr>
                <w:rFonts w:hint="eastAsia" w:hAnsi="宋体" w:cs="宋体"/>
                <w:szCs w:val="24"/>
              </w:rPr>
              <w:t>合同主要条款响应</w:t>
            </w:r>
          </w:p>
        </w:tc>
        <w:tc>
          <w:tcPr>
            <w:tcW w:w="1929" w:type="dxa"/>
            <w:vAlign w:val="center"/>
          </w:tcPr>
          <w:p>
            <w:pPr>
              <w:jc w:val="center"/>
              <w:rPr>
                <w:rFonts w:hAnsi="宋体" w:cs="宋体"/>
                <w:szCs w:val="24"/>
              </w:rPr>
            </w:pPr>
            <w:r>
              <w:rPr>
                <w:rFonts w:hint="eastAsia" w:hAnsi="宋体" w:cs="宋体"/>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bl>
    <w:p>
      <w:pPr>
        <w:spacing w:line="360" w:lineRule="auto"/>
        <w:ind w:firstLine="480" w:firstLineChars="200"/>
        <w:rPr>
          <w:rFonts w:hAnsi="宋体" w:cs="宋体"/>
          <w:szCs w:val="24"/>
        </w:rPr>
      </w:pPr>
      <w:r>
        <w:rPr>
          <w:rFonts w:hint="eastAsia" w:hAnsi="宋体" w:cs="宋体"/>
          <w:szCs w:val="24"/>
        </w:rPr>
        <w:t>注：1.本表只填写响应文件中与磋商文件有偏离（包括正偏离和负偏离）的内容，响应文件中合同主要条款响应与磋商文件要求完全一致的，不用在此表中列出，但必须提交空白表。</w:t>
      </w:r>
    </w:p>
    <w:p>
      <w:pPr>
        <w:spacing w:line="360" w:lineRule="auto"/>
        <w:ind w:firstLine="480" w:firstLineChars="200"/>
        <w:rPr>
          <w:rFonts w:hAnsi="宋体" w:cs="宋体"/>
          <w:szCs w:val="24"/>
        </w:rPr>
      </w:pPr>
      <w:r>
        <w:rPr>
          <w:rFonts w:hint="eastAsia" w:hAnsi="宋体" w:cs="宋体"/>
          <w:szCs w:val="24"/>
        </w:rPr>
        <w:t>2.供应商必须据实填写，不得虚假响应，否则将取消其评审或成交资格，并按有关规定进处罚。</w:t>
      </w:r>
    </w:p>
    <w:p>
      <w:pPr>
        <w:spacing w:line="360" w:lineRule="auto"/>
        <w:ind w:firstLine="480" w:firstLineChars="200"/>
        <w:rPr>
          <w:rFonts w:hAnsi="宋体" w:cs="宋体"/>
          <w:szCs w:val="24"/>
        </w:rPr>
      </w:pPr>
      <w:r>
        <w:rPr>
          <w:rFonts w:hint="eastAsia" w:hAnsi="宋体" w:cs="宋体"/>
          <w:szCs w:val="24"/>
        </w:rPr>
        <w:t>3.此表可拓展。</w:t>
      </w:r>
    </w:p>
    <w:p>
      <w:pPr>
        <w:pStyle w:val="2"/>
        <w:ind w:left="480" w:leftChars="200"/>
        <w:rPr>
          <w:rFonts w:ascii="宋体" w:hAnsi="宋体" w:cs="宋体"/>
          <w:sz w:val="24"/>
          <w:szCs w:val="24"/>
        </w:rPr>
      </w:pPr>
    </w:p>
    <w:p>
      <w:pPr>
        <w:spacing w:line="360" w:lineRule="auto"/>
        <w:ind w:firstLine="1920" w:firstLineChars="800"/>
        <w:rPr>
          <w:rFonts w:hAnsi="宋体" w:cs="宋体"/>
          <w:szCs w:val="24"/>
          <w:u w:val="single"/>
        </w:rPr>
      </w:pPr>
      <w:r>
        <w:rPr>
          <w:rFonts w:hint="eastAsia" w:hAnsi="宋体" w:cs="宋体"/>
          <w:szCs w:val="24"/>
        </w:rPr>
        <w:t>供应商（公章）：</w:t>
      </w:r>
      <w:r>
        <w:rPr>
          <w:rFonts w:hint="eastAsia" w:hAnsi="宋体" w:cs="宋体"/>
          <w:szCs w:val="24"/>
          <w:u w:val="single"/>
        </w:rPr>
        <w:t xml:space="preserve">                           </w:t>
      </w:r>
    </w:p>
    <w:p>
      <w:pPr>
        <w:spacing w:line="360" w:lineRule="auto"/>
        <w:ind w:firstLine="1920" w:firstLineChars="800"/>
        <w:rPr>
          <w:rFonts w:hAnsi="宋体" w:cs="宋体"/>
          <w:szCs w:val="24"/>
          <w:u w:val="single"/>
        </w:rPr>
      </w:pPr>
      <w:r>
        <w:rPr>
          <w:rFonts w:hint="eastAsia" w:hAnsi="宋体" w:cs="宋体"/>
          <w:szCs w:val="24"/>
        </w:rPr>
        <w:t>法定代表人或授权代表（签字或盖章）：</w:t>
      </w:r>
      <w:r>
        <w:rPr>
          <w:rFonts w:hint="eastAsia" w:hAnsi="宋体" w:cs="宋体"/>
          <w:szCs w:val="24"/>
          <w:u w:val="single"/>
        </w:rPr>
        <w:t xml:space="preserve">       </w:t>
      </w:r>
    </w:p>
    <w:p>
      <w:pPr>
        <w:spacing w:line="360" w:lineRule="auto"/>
        <w:ind w:firstLine="1920" w:firstLineChars="800"/>
        <w:rPr>
          <w:rFonts w:hAnsi="宋体" w:cs="宋体"/>
          <w:szCs w:val="24"/>
        </w:rPr>
      </w:pPr>
      <w:r>
        <w:rPr>
          <w:rFonts w:hint="eastAsia" w:hAnsi="宋体" w:cs="宋体"/>
          <w:szCs w:val="24"/>
        </w:rPr>
        <w:t>日        期：</w:t>
      </w:r>
      <w:r>
        <w:rPr>
          <w:rFonts w:hint="eastAsia" w:hAnsi="宋体" w:cs="宋体"/>
          <w:szCs w:val="24"/>
          <w:u w:val="single"/>
        </w:rPr>
        <w:t xml:space="preserve">      年     月       日     </w:t>
      </w:r>
      <w:r>
        <w:rPr>
          <w:rFonts w:hint="eastAsia" w:hAnsi="宋体" w:cs="宋体"/>
          <w:szCs w:val="24"/>
        </w:rPr>
        <w:t xml:space="preserve">    </w:t>
      </w:r>
    </w:p>
    <w:p>
      <w:pPr>
        <w:spacing w:line="400" w:lineRule="exact"/>
        <w:ind w:firstLine="480" w:firstLineChars="200"/>
        <w:rPr>
          <w:rFonts w:hAnsi="宋体" w:cs="宋体"/>
          <w:szCs w:val="24"/>
        </w:rPr>
      </w:pPr>
    </w:p>
    <w:p>
      <w:pPr>
        <w:spacing w:line="360" w:lineRule="auto"/>
        <w:ind w:left="600" w:leftChars="250"/>
        <w:rPr>
          <w:rFonts w:hAnsi="宋体" w:cs="宋体"/>
          <w:b/>
          <w:bCs/>
          <w:sz w:val="28"/>
          <w:szCs w:val="28"/>
        </w:rPr>
      </w:pPr>
    </w:p>
    <w:p>
      <w:pPr>
        <w:spacing w:line="440" w:lineRule="exact"/>
        <w:ind w:left="3725" w:leftChars="1552"/>
        <w:rPr>
          <w:rFonts w:hAnsi="宋体" w:cs="宋体"/>
          <w:szCs w:val="24"/>
        </w:rPr>
      </w:pPr>
    </w:p>
    <w:bookmarkEnd w:id="222"/>
    <w:p>
      <w:pPr>
        <w:pStyle w:val="4"/>
        <w:ind w:left="0"/>
        <w:jc w:val="center"/>
        <w:rPr>
          <w:rFonts w:ascii="宋体" w:hAnsi="宋体" w:cs="宋体"/>
          <w:b w:val="0"/>
          <w:bCs w:val="0"/>
          <w:sz w:val="30"/>
          <w:szCs w:val="30"/>
        </w:rPr>
      </w:pPr>
      <w:r>
        <w:rPr>
          <w:rFonts w:hint="eastAsia" w:ascii="宋体" w:hAnsi="宋体" w:cs="宋体"/>
          <w:b w:val="0"/>
          <w:spacing w:val="4"/>
          <w:sz w:val="44"/>
        </w:rPr>
        <w:br w:type="column"/>
      </w:r>
      <w:bookmarkStart w:id="272" w:name="_Toc403077656"/>
      <w:bookmarkStart w:id="273" w:name="_Toc363474033"/>
      <w:r>
        <w:rPr>
          <w:rFonts w:hint="eastAsia" w:ascii="宋体" w:hAnsi="宋体" w:cs="宋体"/>
          <w:sz w:val="30"/>
          <w:szCs w:val="30"/>
        </w:rPr>
        <w:t>六、陕西省政府采购供应商拒绝政府采购领域商业贿赂承诺书</w:t>
      </w:r>
      <w:bookmarkEnd w:id="272"/>
      <w:bookmarkEnd w:id="273"/>
    </w:p>
    <w:p>
      <w:pPr>
        <w:spacing w:line="600" w:lineRule="exact"/>
        <w:ind w:firstLine="480" w:firstLineChars="200"/>
        <w:jc w:val="left"/>
        <w:rPr>
          <w:rFonts w:hAnsi="宋体" w:cs="宋体"/>
          <w:szCs w:val="24"/>
        </w:rPr>
      </w:pPr>
      <w:r>
        <w:rPr>
          <w:rFonts w:hint="eastAsia" w:hAnsi="宋体" w:cs="宋体"/>
          <w:szCs w:val="24"/>
        </w:rPr>
        <w:t>为响应党中央、国务院关于治理政府采购领域商业贿赂行为的号召，我公司在此庄严承诺：</w:t>
      </w:r>
    </w:p>
    <w:p>
      <w:pPr>
        <w:spacing w:line="600" w:lineRule="exact"/>
        <w:ind w:firstLine="480" w:firstLineChars="200"/>
        <w:jc w:val="left"/>
        <w:rPr>
          <w:rFonts w:hAnsi="宋体" w:cs="宋体"/>
          <w:szCs w:val="24"/>
        </w:rPr>
      </w:pPr>
      <w:r>
        <w:rPr>
          <w:rFonts w:hint="eastAsia" w:hAnsi="宋体" w:cs="宋体"/>
          <w:szCs w:val="24"/>
        </w:rPr>
        <w:t>1、在参与政府采购活动中遵纪守法、诚信经营、公平竞标。</w:t>
      </w:r>
    </w:p>
    <w:p>
      <w:pPr>
        <w:spacing w:line="600" w:lineRule="exact"/>
        <w:ind w:firstLine="480" w:firstLineChars="200"/>
        <w:jc w:val="left"/>
        <w:rPr>
          <w:rFonts w:hAnsi="宋体" w:cs="宋体"/>
          <w:szCs w:val="24"/>
        </w:rPr>
      </w:pPr>
      <w:r>
        <w:rPr>
          <w:rFonts w:hint="eastAsia" w:hAnsi="宋体" w:cs="宋体"/>
          <w:szCs w:val="24"/>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rPr>
      </w:pPr>
      <w:r>
        <w:rPr>
          <w:rFonts w:hint="eastAsia" w:hAnsi="宋体" w:cs="宋体"/>
          <w:szCs w:val="24"/>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rPr>
      </w:pPr>
      <w:r>
        <w:rPr>
          <w:rFonts w:hint="eastAsia" w:hAnsi="宋体" w:cs="宋体"/>
          <w:szCs w:val="24"/>
        </w:rPr>
        <w:t>4、不采取“围标、陪标”等商业欺诈手段获得政府采购定单。</w:t>
      </w:r>
    </w:p>
    <w:p>
      <w:pPr>
        <w:spacing w:line="600" w:lineRule="exact"/>
        <w:ind w:firstLine="480" w:firstLineChars="200"/>
        <w:jc w:val="left"/>
        <w:rPr>
          <w:rFonts w:hAnsi="宋体" w:cs="宋体"/>
          <w:szCs w:val="24"/>
        </w:rPr>
      </w:pPr>
      <w:r>
        <w:rPr>
          <w:rFonts w:hint="eastAsia" w:hAnsi="宋体" w:cs="宋体"/>
          <w:szCs w:val="24"/>
        </w:rPr>
        <w:t>5、不采取不正当手段诋毁、排挤其他供应商。</w:t>
      </w:r>
    </w:p>
    <w:p>
      <w:pPr>
        <w:spacing w:line="600" w:lineRule="exact"/>
        <w:ind w:firstLine="480" w:firstLineChars="200"/>
        <w:jc w:val="left"/>
        <w:rPr>
          <w:rFonts w:hAnsi="宋体" w:cs="宋体"/>
          <w:szCs w:val="24"/>
        </w:rPr>
      </w:pPr>
      <w:r>
        <w:rPr>
          <w:rFonts w:hint="eastAsia" w:hAnsi="宋体" w:cs="宋体"/>
          <w:szCs w:val="24"/>
        </w:rPr>
        <w:t>6、不在提供商品和服务时“偷梁换柱、以次充好”损害采购人的合法权益。</w:t>
      </w:r>
    </w:p>
    <w:p>
      <w:pPr>
        <w:spacing w:line="600" w:lineRule="exact"/>
        <w:ind w:firstLine="480" w:firstLineChars="200"/>
        <w:jc w:val="left"/>
        <w:rPr>
          <w:rFonts w:hAnsi="宋体" w:cs="宋体"/>
          <w:szCs w:val="24"/>
        </w:rPr>
      </w:pPr>
      <w:r>
        <w:rPr>
          <w:rFonts w:hint="eastAsia" w:hAnsi="宋体" w:cs="宋体"/>
          <w:szCs w:val="24"/>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rPr>
      </w:pPr>
      <w:r>
        <w:rPr>
          <w:rFonts w:hint="eastAsia" w:hAnsi="宋体" w:cs="宋体"/>
          <w:szCs w:val="24"/>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rPr>
      </w:pPr>
      <w:r>
        <w:rPr>
          <w:rFonts w:hint="eastAsia" w:hAnsi="宋体" w:cs="宋体"/>
          <w:szCs w:val="24"/>
        </w:rPr>
        <w:t>9、不发生其他有悖于政府采购公开、公平、公正和诚信原则的行为。</w:t>
      </w:r>
    </w:p>
    <w:p>
      <w:pPr>
        <w:spacing w:line="600" w:lineRule="exact"/>
        <w:ind w:left="761" w:leftChars="267" w:hanging="120" w:hangingChars="50"/>
        <w:jc w:val="left"/>
        <w:rPr>
          <w:rFonts w:hAnsi="宋体" w:cs="宋体"/>
          <w:szCs w:val="24"/>
        </w:rPr>
      </w:pPr>
      <w:r>
        <w:rPr>
          <w:rFonts w:hint="eastAsia" w:hAnsi="宋体" w:cs="宋体"/>
          <w:szCs w:val="24"/>
        </w:rPr>
        <w:t>承诺单位（盖章）：</w:t>
      </w:r>
    </w:p>
    <w:p>
      <w:pPr>
        <w:spacing w:line="600" w:lineRule="exact"/>
        <w:ind w:left="802" w:leftChars="334"/>
        <w:jc w:val="left"/>
        <w:rPr>
          <w:rFonts w:hAnsi="宋体" w:cs="宋体"/>
          <w:szCs w:val="24"/>
        </w:rPr>
      </w:pPr>
      <w:r>
        <w:rPr>
          <w:rFonts w:hint="eastAsia" w:hAnsi="宋体" w:cs="宋体"/>
          <w:szCs w:val="24"/>
        </w:rPr>
        <w:t>全权代表（签字）：</w:t>
      </w:r>
    </w:p>
    <w:p>
      <w:pPr>
        <w:spacing w:line="600" w:lineRule="exact"/>
        <w:ind w:left="802" w:leftChars="334"/>
        <w:jc w:val="left"/>
        <w:rPr>
          <w:rFonts w:hAnsi="宋体" w:cs="宋体"/>
          <w:szCs w:val="24"/>
        </w:rPr>
      </w:pPr>
      <w:r>
        <w:rPr>
          <w:rFonts w:hint="eastAsia" w:hAnsi="宋体" w:cs="宋体"/>
          <w:szCs w:val="24"/>
        </w:rPr>
        <w:t>地  址：                        </w:t>
      </w:r>
    </w:p>
    <w:p>
      <w:pPr>
        <w:spacing w:line="600" w:lineRule="exact"/>
        <w:ind w:left="754" w:leftChars="314"/>
        <w:jc w:val="left"/>
        <w:rPr>
          <w:rFonts w:hAnsi="宋体" w:cs="宋体"/>
          <w:szCs w:val="24"/>
        </w:rPr>
      </w:pPr>
      <w:r>
        <w:rPr>
          <w:rFonts w:hint="eastAsia" w:hAnsi="宋体" w:cs="宋体"/>
          <w:szCs w:val="24"/>
        </w:rPr>
        <w:t>邮  编：</w:t>
      </w:r>
    </w:p>
    <w:p>
      <w:pPr>
        <w:spacing w:line="600" w:lineRule="exact"/>
        <w:ind w:left="754" w:leftChars="314"/>
        <w:jc w:val="left"/>
        <w:rPr>
          <w:rFonts w:hAnsi="宋体" w:cs="宋体"/>
          <w:szCs w:val="24"/>
        </w:rPr>
      </w:pPr>
      <w:r>
        <w:rPr>
          <w:rFonts w:hint="eastAsia" w:hAnsi="宋体" w:cs="宋体"/>
          <w:szCs w:val="24"/>
        </w:rPr>
        <w:t>电  话：                                                 年   月   日</w:t>
      </w:r>
    </w:p>
    <w:p>
      <w:pPr>
        <w:pStyle w:val="4"/>
        <w:jc w:val="center"/>
        <w:rPr>
          <w:rFonts w:ascii="宋体" w:hAnsi="宋体" w:cs="宋体"/>
          <w:sz w:val="30"/>
          <w:szCs w:val="30"/>
        </w:rPr>
      </w:pPr>
      <w:bookmarkStart w:id="274" w:name="_Toc403077657"/>
      <w:bookmarkStart w:id="275" w:name="_Toc363474034"/>
      <w:r>
        <w:rPr>
          <w:rFonts w:hint="eastAsia" w:ascii="宋体" w:hAnsi="宋体" w:cs="宋体"/>
          <w:sz w:val="30"/>
          <w:szCs w:val="30"/>
        </w:rPr>
        <w:t>七、资格证明文件</w:t>
      </w:r>
      <w:bookmarkEnd w:id="274"/>
      <w:bookmarkEnd w:id="275"/>
    </w:p>
    <w:p>
      <w:pPr>
        <w:spacing w:line="500" w:lineRule="exact"/>
        <w:jc w:val="center"/>
        <w:rPr>
          <w:rFonts w:hAnsi="宋体" w:cs="宋体"/>
          <w:szCs w:val="24"/>
        </w:rPr>
      </w:pPr>
      <w:r>
        <w:rPr>
          <w:rFonts w:hint="eastAsia" w:hAnsi="宋体" w:cs="宋体"/>
          <w:szCs w:val="24"/>
        </w:rPr>
        <w:t>（详见供应商须知前附表）</w:t>
      </w:r>
    </w:p>
    <w:p>
      <w:pPr>
        <w:spacing w:line="500" w:lineRule="exact"/>
        <w:ind w:firstLine="480" w:firstLineChars="200"/>
        <w:rPr>
          <w:rFonts w:hAnsi="宋体" w:cs="宋体"/>
          <w:szCs w:val="24"/>
        </w:rPr>
      </w:pPr>
    </w:p>
    <w:p>
      <w:pPr>
        <w:spacing w:line="500" w:lineRule="exact"/>
        <w:ind w:firstLine="480" w:firstLineChars="200"/>
        <w:rPr>
          <w:rFonts w:hAnsi="宋体" w:cs="宋体"/>
          <w:szCs w:val="24"/>
        </w:rPr>
      </w:pPr>
    </w:p>
    <w:p>
      <w:pPr>
        <w:pStyle w:val="13"/>
        <w:rPr>
          <w:rFonts w:ascii="宋体" w:hAnsi="宋体" w:cs="宋体"/>
        </w:rPr>
      </w:pPr>
    </w:p>
    <w:p>
      <w:pPr>
        <w:pStyle w:val="13"/>
        <w:ind w:firstLine="0" w:firstLineChars="0"/>
        <w:outlineLvl w:val="0"/>
        <w:rPr>
          <w:rFonts w:ascii="宋体" w:hAnsi="宋体" w:cs="宋体"/>
          <w:b/>
          <w:bCs/>
          <w:sz w:val="32"/>
          <w:szCs w:val="32"/>
        </w:rPr>
      </w:pPr>
      <w:r>
        <w:rPr>
          <w:rFonts w:hint="eastAsia" w:ascii="宋体" w:hAnsi="宋体" w:cs="宋体"/>
          <w:b/>
          <w:bCs/>
          <w:sz w:val="32"/>
          <w:szCs w:val="32"/>
        </w:rPr>
        <w:br w:type="page"/>
      </w:r>
      <w:bookmarkStart w:id="276" w:name="_Toc5826"/>
      <w:bookmarkStart w:id="277" w:name="_Toc19243"/>
      <w:r>
        <w:rPr>
          <w:rFonts w:hint="eastAsia" w:ascii="宋体" w:hAnsi="宋体" w:cs="宋体"/>
          <w:b/>
          <w:bCs/>
          <w:sz w:val="32"/>
          <w:szCs w:val="32"/>
        </w:rPr>
        <w:t>附件：</w:t>
      </w:r>
      <w:bookmarkEnd w:id="276"/>
      <w:bookmarkEnd w:id="277"/>
    </w:p>
    <w:p>
      <w:pPr>
        <w:pStyle w:val="5"/>
        <w:spacing w:beforeLines="30"/>
        <w:jc w:val="both"/>
        <w:rPr>
          <w:rFonts w:ascii="宋体" w:hAnsi="宋体" w:cs="宋体"/>
        </w:rPr>
      </w:pPr>
      <w:r>
        <w:rPr>
          <w:rFonts w:hint="eastAsia" w:ascii="宋体" w:hAnsi="宋体" w:cs="宋体"/>
        </w:rPr>
        <w:t>格式A.参加政府采购活动近三年内在经营活动中无重大违法记录行为的声明</w:t>
      </w:r>
    </w:p>
    <w:p>
      <w:pPr>
        <w:snapToGrid w:val="0"/>
        <w:spacing w:beforeLines="30" w:line="480" w:lineRule="auto"/>
        <w:jc w:val="left"/>
        <w:rPr>
          <w:rFonts w:hAnsi="宋体" w:cs="宋体"/>
        </w:rPr>
        <w:pPrChange w:id="80" w:author="szybzk" w:date="2023-05-12T12:12:00Z">
          <w:pPr>
            <w:snapToGrid w:val="0"/>
            <w:spacing w:beforeLines="30" w:line="480" w:lineRule="auto"/>
            <w:jc w:val="left"/>
          </w:pPr>
        </w:pPrChange>
      </w:pPr>
      <w:r>
        <w:rPr>
          <w:rFonts w:hint="eastAsia" w:hAnsi="宋体" w:cs="宋体"/>
          <w:u w:val="single"/>
        </w:rPr>
        <w:t>致           （招标人名称）</w:t>
      </w:r>
      <w:r>
        <w:rPr>
          <w:rFonts w:hint="eastAsia" w:hAnsi="宋体" w:cs="宋体"/>
        </w:rPr>
        <w:t>：</w:t>
      </w:r>
    </w:p>
    <w:p>
      <w:pPr>
        <w:snapToGrid w:val="0"/>
        <w:spacing w:line="480" w:lineRule="auto"/>
        <w:jc w:val="left"/>
        <w:rPr>
          <w:rFonts w:hAnsi="宋体" w:cs="宋体"/>
        </w:rPr>
      </w:pPr>
      <w:r>
        <w:rPr>
          <w:rFonts w:hint="eastAsia" w:hAnsi="宋体" w:cs="宋体"/>
        </w:rPr>
        <w:t xml:space="preserve">    我方</w:t>
      </w:r>
      <w:r>
        <w:rPr>
          <w:rFonts w:hint="eastAsia" w:hAnsi="宋体" w:cs="宋体"/>
          <w:u w:val="single"/>
        </w:rPr>
        <w:t xml:space="preserve">                </w:t>
      </w:r>
      <w:r>
        <w:rPr>
          <w:rFonts w:hint="eastAsia" w:hAnsi="宋体" w:cs="宋体"/>
        </w:rPr>
        <w:t>（投标单位名称）郑重声明在参加本次政府采购活动前3年内的经营活动没有重大违法记录。如有不实，我方将无条件地退出本项目的采购活动，并遵照《政府采购法》有关"提供虚假材料的规定"接受处罚。</w:t>
      </w:r>
    </w:p>
    <w:p>
      <w:pPr>
        <w:snapToGrid w:val="0"/>
        <w:spacing w:line="480" w:lineRule="auto"/>
        <w:jc w:val="left"/>
        <w:rPr>
          <w:rFonts w:hAnsi="宋体" w:cs="宋体"/>
        </w:rPr>
      </w:pPr>
      <w:r>
        <w:rPr>
          <w:rFonts w:hint="eastAsia" w:hAnsi="宋体" w:cs="宋体"/>
        </w:rPr>
        <w:t xml:space="preserve">     特此声明。</w:t>
      </w:r>
    </w:p>
    <w:p>
      <w:pPr>
        <w:spacing w:line="360" w:lineRule="auto"/>
        <w:ind w:firstLine="3120" w:firstLineChars="1300"/>
        <w:rPr>
          <w:rFonts w:hAnsi="宋体" w:cs="宋体"/>
        </w:rPr>
      </w:pPr>
      <w:r>
        <w:rPr>
          <w:rFonts w:hint="eastAsia" w:hAnsi="宋体" w:cs="宋体"/>
        </w:rPr>
        <w:t>投标人（公章）：</w:t>
      </w:r>
      <w:r>
        <w:rPr>
          <w:rFonts w:hint="eastAsia" w:hAnsi="宋体" w:cs="宋体"/>
          <w:u w:val="single"/>
        </w:rPr>
        <w:t xml:space="preserve">                       </w:t>
      </w:r>
    </w:p>
    <w:p>
      <w:pPr>
        <w:spacing w:line="360" w:lineRule="auto"/>
        <w:ind w:firstLine="3120" w:firstLineChars="1300"/>
        <w:rPr>
          <w:rFonts w:hAnsi="宋体" w:cs="宋体"/>
          <w:u w:val="single"/>
        </w:rPr>
      </w:pPr>
      <w:r>
        <w:rPr>
          <w:rFonts w:hint="eastAsia" w:hAnsi="宋体" w:cs="宋体"/>
        </w:rPr>
        <w:t>法定代表人或授权代表（签字或盖章）：</w:t>
      </w:r>
      <w:r>
        <w:rPr>
          <w:rFonts w:hint="eastAsia" w:hAnsi="宋体" w:cs="宋体"/>
          <w:u w:val="single"/>
        </w:rPr>
        <w:t xml:space="preserve">   </w:t>
      </w:r>
    </w:p>
    <w:p>
      <w:pPr>
        <w:pStyle w:val="13"/>
        <w:ind w:firstLine="3120" w:firstLineChars="1300"/>
        <w:rPr>
          <w:rFonts w:ascii="宋体" w:hAnsi="宋体" w:cs="宋体"/>
        </w:rPr>
      </w:pPr>
      <w:r>
        <w:rPr>
          <w:rFonts w:hint="eastAsia" w:ascii="宋体" w:hAnsi="宋体" w:cs="宋体"/>
          <w:sz w:val="24"/>
        </w:rPr>
        <w:t>日    期：</w:t>
      </w:r>
      <w:r>
        <w:rPr>
          <w:rFonts w:hint="eastAsia" w:ascii="宋体" w:hAnsi="宋体" w:cs="宋体"/>
          <w:sz w:val="24"/>
          <w:u w:val="single"/>
        </w:rPr>
        <w:t xml:space="preserve">                 </w:t>
      </w:r>
    </w:p>
    <w:p>
      <w:pPr>
        <w:pStyle w:val="5"/>
        <w:spacing w:before="624"/>
        <w:jc w:val="both"/>
        <w:rPr>
          <w:rFonts w:ascii="宋体" w:hAnsi="宋体" w:cs="宋体"/>
        </w:rPr>
      </w:pPr>
      <w:r>
        <w:rPr>
          <w:rFonts w:hint="eastAsia" w:ascii="宋体" w:hAnsi="宋体" w:cs="宋体"/>
        </w:rPr>
        <w:t>格式B.具有履行合同所必需的设备和专业技术能力的声明函</w:t>
      </w:r>
    </w:p>
    <w:p>
      <w:pPr>
        <w:spacing w:line="360" w:lineRule="auto"/>
        <w:rPr>
          <w:rFonts w:hAnsi="宋体" w:cs="宋体"/>
          <w:spacing w:val="4"/>
          <w:u w:val="single"/>
        </w:rPr>
      </w:pPr>
      <w:r>
        <w:rPr>
          <w:rFonts w:hint="eastAsia" w:hAnsi="宋体" w:cs="宋体"/>
          <w:spacing w:val="4"/>
          <w:u w:val="single"/>
        </w:rPr>
        <w:t xml:space="preserve"> （招标人名称） ：</w:t>
      </w:r>
    </w:p>
    <w:p>
      <w:pPr>
        <w:spacing w:beforeLines="100" w:afterLines="50" w:line="360" w:lineRule="auto"/>
        <w:ind w:firstLine="620" w:firstLineChars="250"/>
        <w:rPr>
          <w:rFonts w:hAnsi="宋体" w:cs="宋体"/>
          <w:spacing w:val="4"/>
        </w:rPr>
      </w:pPr>
      <w:r>
        <w:rPr>
          <w:rFonts w:hint="eastAsia" w:hAnsi="宋体" w:cs="宋体"/>
          <w:spacing w:val="4"/>
          <w:u w:val="single"/>
        </w:rPr>
        <w:t xml:space="preserve">   （投标人名称）    </w:t>
      </w:r>
      <w:r>
        <w:rPr>
          <w:rFonts w:hint="eastAsia" w:hAnsi="宋体" w:cs="宋体"/>
          <w:spacing w:val="4"/>
        </w:rPr>
        <w:t xml:space="preserve"> 于</w:t>
      </w:r>
      <w:r>
        <w:rPr>
          <w:rFonts w:hint="eastAsia" w:hAnsi="宋体" w:cs="宋体"/>
          <w:spacing w:val="4"/>
          <w:u w:val="single"/>
        </w:rPr>
        <w:t xml:space="preserve">     </w:t>
      </w:r>
      <w:r>
        <w:rPr>
          <w:rFonts w:hint="eastAsia" w:hAnsi="宋体" w:cs="宋体"/>
          <w:spacing w:val="4"/>
        </w:rPr>
        <w:t>年</w:t>
      </w:r>
      <w:r>
        <w:rPr>
          <w:rFonts w:hint="eastAsia" w:hAnsi="宋体" w:cs="宋体"/>
          <w:spacing w:val="4"/>
          <w:u w:val="single"/>
        </w:rPr>
        <w:t xml:space="preserve">    </w:t>
      </w:r>
      <w:r>
        <w:rPr>
          <w:rFonts w:hint="eastAsia" w:hAnsi="宋体" w:cs="宋体"/>
          <w:spacing w:val="4"/>
        </w:rPr>
        <w:t>月</w:t>
      </w:r>
      <w:r>
        <w:rPr>
          <w:rFonts w:hint="eastAsia" w:hAnsi="宋体" w:cs="宋体"/>
          <w:spacing w:val="4"/>
          <w:u w:val="single"/>
        </w:rPr>
        <w:t xml:space="preserve">   </w:t>
      </w:r>
      <w:r>
        <w:rPr>
          <w:rFonts w:hint="eastAsia" w:hAnsi="宋体" w:cs="宋体"/>
          <w:spacing w:val="4"/>
        </w:rPr>
        <w:t>日在中华人民共和国境内</w:t>
      </w:r>
      <w:r>
        <w:rPr>
          <w:rFonts w:hint="eastAsia" w:hAnsi="宋体" w:cs="宋体"/>
          <w:spacing w:val="4"/>
          <w:u w:val="single"/>
        </w:rPr>
        <w:t xml:space="preserve">               （详细注册地址）     </w:t>
      </w:r>
      <w:r>
        <w:rPr>
          <w:rFonts w:hint="eastAsia" w:hAnsi="宋体" w:cs="宋体"/>
          <w:spacing w:val="4"/>
        </w:rPr>
        <w:t>合法注册并经营，公司主营业务为</w:t>
      </w:r>
      <w:r>
        <w:rPr>
          <w:rFonts w:hint="eastAsia" w:hAnsi="宋体" w:cs="宋体"/>
          <w:spacing w:val="4"/>
          <w:u w:val="single"/>
        </w:rPr>
        <w:t xml:space="preserve">                          </w:t>
      </w:r>
      <w:r>
        <w:rPr>
          <w:rFonts w:hint="eastAsia" w:hAnsi="宋体" w:cs="宋体"/>
          <w:spacing w:val="4"/>
        </w:rPr>
        <w:t>，现有员工数量为</w:t>
      </w:r>
      <w:r>
        <w:rPr>
          <w:rFonts w:hint="eastAsia" w:hAnsi="宋体" w:cs="宋体"/>
          <w:spacing w:val="4"/>
          <w:u w:val="single"/>
        </w:rPr>
        <w:t xml:space="preserve">         </w:t>
      </w:r>
      <w:r>
        <w:rPr>
          <w:rFonts w:hint="eastAsia" w:hAnsi="宋体" w:cs="宋体"/>
          <w:spacing w:val="4"/>
        </w:rPr>
        <w:t>，其中与履行本合同相关的专业技术人员有（</w:t>
      </w:r>
      <w:r>
        <w:rPr>
          <w:rFonts w:hint="eastAsia" w:hAnsi="宋体" w:cs="宋体"/>
          <w:spacing w:val="4"/>
          <w:u w:val="single"/>
        </w:rPr>
        <w:t xml:space="preserve">             专业能力、数量        </w:t>
      </w:r>
      <w:r>
        <w:rPr>
          <w:rFonts w:hint="eastAsia" w:hAnsi="宋体" w:cs="宋体"/>
          <w:spacing w:val="4"/>
        </w:rPr>
        <w:t>），本公司郑重承诺，具有履行本合同所必需的设备和专业技术能力。</w:t>
      </w:r>
    </w:p>
    <w:p>
      <w:pPr>
        <w:spacing w:beforeLines="100" w:afterLines="50" w:line="360" w:lineRule="auto"/>
        <w:ind w:firstLine="612" w:firstLineChars="247"/>
        <w:rPr>
          <w:rFonts w:hAnsi="宋体" w:cs="宋体"/>
          <w:spacing w:val="4"/>
        </w:rPr>
      </w:pPr>
      <w:r>
        <w:rPr>
          <w:rFonts w:hint="eastAsia" w:hAnsi="宋体" w:cs="宋体"/>
          <w:spacing w:val="4"/>
        </w:rPr>
        <w:t>特此声明！</w:t>
      </w:r>
    </w:p>
    <w:p>
      <w:pPr>
        <w:pStyle w:val="2"/>
        <w:spacing w:line="360" w:lineRule="auto"/>
        <w:rPr>
          <w:rFonts w:ascii="宋体" w:hAnsi="宋体" w:cs="宋体"/>
          <w:sz w:val="24"/>
          <w:szCs w:val="24"/>
        </w:rPr>
      </w:pPr>
    </w:p>
    <w:p>
      <w:pPr>
        <w:spacing w:line="360" w:lineRule="auto"/>
        <w:ind w:firstLine="1920" w:firstLineChars="800"/>
        <w:rPr>
          <w:rFonts w:hAnsi="宋体" w:cs="宋体"/>
        </w:rPr>
      </w:pPr>
      <w:r>
        <w:rPr>
          <w:rFonts w:hint="eastAsia" w:hAnsi="宋体" w:cs="宋体"/>
        </w:rPr>
        <w:t>投标人（公章）：</w:t>
      </w:r>
      <w:r>
        <w:rPr>
          <w:rFonts w:hint="eastAsia" w:hAnsi="宋体" w:cs="宋体"/>
          <w:u w:val="single"/>
        </w:rPr>
        <w:t xml:space="preserve">                       </w:t>
      </w:r>
    </w:p>
    <w:p>
      <w:pPr>
        <w:spacing w:line="360" w:lineRule="auto"/>
        <w:ind w:firstLine="1920" w:firstLineChars="800"/>
        <w:rPr>
          <w:rFonts w:hAnsi="宋体" w:cs="宋体"/>
          <w:u w:val="single"/>
        </w:rPr>
      </w:pPr>
      <w:r>
        <w:rPr>
          <w:rFonts w:hint="eastAsia" w:hAnsi="宋体" w:cs="宋体"/>
        </w:rPr>
        <w:t>法定代表人或授权代表（签字或盖章）：</w:t>
      </w:r>
      <w:r>
        <w:rPr>
          <w:rFonts w:hint="eastAsia" w:hAnsi="宋体" w:cs="宋体"/>
          <w:u w:val="single"/>
        </w:rPr>
        <w:t xml:space="preserve">   </w:t>
      </w:r>
    </w:p>
    <w:p>
      <w:pPr>
        <w:autoSpaceDE w:val="0"/>
        <w:autoSpaceDN w:val="0"/>
        <w:adjustRightInd w:val="0"/>
        <w:spacing w:line="360" w:lineRule="auto"/>
        <w:ind w:firstLine="1920" w:firstLineChars="800"/>
        <w:rPr>
          <w:rFonts w:hAnsi="宋体" w:cs="宋体"/>
          <w:u w:val="single"/>
        </w:rPr>
      </w:pPr>
      <w:r>
        <w:rPr>
          <w:rFonts w:hint="eastAsia" w:hAnsi="宋体" w:cs="宋体"/>
        </w:rPr>
        <w:t>日    期：</w:t>
      </w:r>
      <w:r>
        <w:rPr>
          <w:rFonts w:hint="eastAsia" w:hAnsi="宋体" w:cs="宋体"/>
          <w:u w:val="single"/>
        </w:rPr>
        <w:t xml:space="preserve">              </w:t>
      </w:r>
      <w:r>
        <w:rPr>
          <w:rFonts w:hint="eastAsia" w:hAnsi="宋体" w:cs="宋体"/>
          <w:sz w:val="28"/>
          <w:u w:val="single"/>
        </w:rPr>
        <w:t xml:space="preserve">       </w:t>
      </w:r>
      <w:r>
        <w:rPr>
          <w:rFonts w:hint="eastAsia" w:hAnsi="宋体" w:cs="宋体"/>
          <w:u w:val="single"/>
        </w:rPr>
        <w:t xml:space="preserve">        </w:t>
      </w:r>
    </w:p>
    <w:p>
      <w:pPr>
        <w:pStyle w:val="4"/>
        <w:jc w:val="center"/>
        <w:rPr>
          <w:rFonts w:ascii="宋体" w:hAnsi="宋体" w:cs="宋体"/>
          <w:sz w:val="30"/>
          <w:szCs w:val="30"/>
        </w:rPr>
      </w:pPr>
      <w:r>
        <w:rPr>
          <w:rFonts w:hint="eastAsia" w:ascii="宋体" w:hAnsi="宋体" w:cs="宋体"/>
          <w:szCs w:val="24"/>
        </w:rPr>
        <w:br w:type="page"/>
      </w:r>
      <w:r>
        <w:rPr>
          <w:rFonts w:hint="eastAsia" w:ascii="宋体" w:hAnsi="宋体" w:cs="宋体"/>
          <w:sz w:val="30"/>
          <w:szCs w:val="30"/>
        </w:rPr>
        <w:t>八、其它事项</w:t>
      </w:r>
    </w:p>
    <w:p>
      <w:pPr>
        <w:spacing w:line="360" w:lineRule="auto"/>
        <w:ind w:firstLine="480" w:firstLineChars="200"/>
        <w:rPr>
          <w:rFonts w:hAnsi="宋体" w:cs="宋体"/>
          <w:szCs w:val="24"/>
        </w:rPr>
      </w:pPr>
      <w:r>
        <w:rPr>
          <w:rFonts w:hint="eastAsia" w:hAnsi="宋体" w:cs="宋体"/>
          <w:szCs w:val="24"/>
        </w:rPr>
        <w:t>1）供应商业绩证明文件；</w:t>
      </w:r>
    </w:p>
    <w:p>
      <w:pPr>
        <w:pStyle w:val="153"/>
        <w:ind w:firstLine="480"/>
        <w:rPr>
          <w:rFonts w:hAnsi="宋体" w:cs="宋体"/>
        </w:rPr>
      </w:pPr>
      <w:r>
        <w:rPr>
          <w:rFonts w:hint="eastAsia" w:hAnsi="宋体" w:cs="宋体"/>
          <w:szCs w:val="24"/>
        </w:rPr>
        <w:t>2）合理化建议</w:t>
      </w:r>
    </w:p>
    <w:p>
      <w:pPr>
        <w:spacing w:line="360" w:lineRule="auto"/>
        <w:ind w:firstLine="480" w:firstLineChars="200"/>
        <w:rPr>
          <w:rFonts w:hAnsi="宋体" w:cs="宋体"/>
          <w:szCs w:val="24"/>
        </w:rPr>
      </w:pPr>
      <w:r>
        <w:rPr>
          <w:rFonts w:hint="eastAsia" w:hAnsi="宋体" w:cs="宋体"/>
          <w:szCs w:val="24"/>
        </w:rPr>
        <w:t>3）其他可以证明供应商实力的文件（如有）。</w:t>
      </w: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pStyle w:val="4"/>
        <w:jc w:val="center"/>
        <w:rPr>
          <w:rFonts w:ascii="宋体" w:hAnsi="宋体" w:cs="宋体"/>
          <w:b w:val="0"/>
          <w:szCs w:val="28"/>
        </w:rPr>
      </w:pPr>
      <w:r>
        <w:rPr>
          <w:rFonts w:hint="eastAsia" w:ascii="宋体" w:hAnsi="宋体" w:cs="宋体"/>
          <w:b w:val="0"/>
          <w:sz w:val="30"/>
          <w:szCs w:val="30"/>
        </w:rPr>
        <w:br w:type="page"/>
      </w:r>
      <w:r>
        <w:rPr>
          <w:rFonts w:hint="eastAsia" w:ascii="宋体" w:hAnsi="宋体" w:cs="宋体"/>
          <w:sz w:val="30"/>
          <w:szCs w:val="30"/>
        </w:rPr>
        <w:t>九、附件（如用）</w:t>
      </w:r>
    </w:p>
    <w:p>
      <w:pPr>
        <w:ind w:firstLine="480" w:firstLineChars="200"/>
        <w:jc w:val="center"/>
        <w:outlineLvl w:val="0"/>
        <w:rPr>
          <w:rFonts w:hAnsi="宋体" w:cs="宋体"/>
        </w:rPr>
      </w:pPr>
      <w:bookmarkStart w:id="278" w:name="_Toc4138"/>
      <w:bookmarkStart w:id="279" w:name="_Toc14727"/>
      <w:r>
        <w:rPr>
          <w:rFonts w:hint="eastAsia" w:hAnsi="宋体" w:cs="宋体"/>
        </w:rPr>
        <w:t>（注：以下所有附件所规定的情形如有适用者请按要求填写提供，不适用者无需提供。）</w:t>
      </w:r>
      <w:bookmarkEnd w:id="278"/>
      <w:bookmarkEnd w:id="279"/>
    </w:p>
    <w:p>
      <w:pPr>
        <w:outlineLvl w:val="0"/>
        <w:rPr>
          <w:rFonts w:hAnsi="宋体" w:cs="宋体"/>
          <w:b/>
          <w:szCs w:val="24"/>
        </w:rPr>
      </w:pPr>
      <w:bookmarkStart w:id="280" w:name="_Toc22473"/>
      <w:bookmarkStart w:id="281" w:name="_Toc26044"/>
      <w:r>
        <w:rPr>
          <w:rFonts w:hint="eastAsia" w:hAnsi="宋体" w:cs="宋体"/>
          <w:b/>
          <w:szCs w:val="24"/>
        </w:rPr>
        <w:t>附件1： 中小企业声明函</w:t>
      </w:r>
      <w:bookmarkEnd w:id="280"/>
      <w:bookmarkEnd w:id="281"/>
    </w:p>
    <w:p>
      <w:pPr>
        <w:tabs>
          <w:tab w:val="left" w:pos="1620"/>
          <w:tab w:val="left" w:pos="1800"/>
        </w:tabs>
        <w:spacing w:line="500" w:lineRule="exact"/>
        <w:ind w:firstLine="480" w:firstLineChars="200"/>
        <w:rPr>
          <w:rFonts w:hAnsi="宋体" w:cs="宋体"/>
          <w:szCs w:val="24"/>
        </w:rPr>
      </w:pPr>
      <w:r>
        <w:rPr>
          <w:rFonts w:hint="eastAsia" w:hAnsi="宋体" w:cs="宋体"/>
          <w:szCs w:val="24"/>
        </w:rPr>
        <w:t>本公司郑重声明，根据《政府采购促进中小企业发展暂行办法》(财库【2011】181号）的规定，本公司为</w:t>
      </w:r>
      <w:r>
        <w:rPr>
          <w:rFonts w:hint="eastAsia" w:hAnsi="宋体" w:cs="宋体"/>
          <w:szCs w:val="24"/>
          <w:u w:val="single"/>
        </w:rPr>
        <w:t xml:space="preserve">        </w:t>
      </w:r>
      <w:r>
        <w:rPr>
          <w:rFonts w:hint="eastAsia" w:hAnsi="宋体" w:cs="宋体"/>
          <w:szCs w:val="24"/>
        </w:rPr>
        <w:t>(请填写：中型、小型、微型）企业。即，本公司同时满足以下条件：</w:t>
      </w:r>
    </w:p>
    <w:p>
      <w:pPr>
        <w:numPr>
          <w:ilvl w:val="0"/>
          <w:numId w:val="13"/>
        </w:numPr>
        <w:tabs>
          <w:tab w:val="left" w:pos="1620"/>
          <w:tab w:val="left" w:pos="1800"/>
        </w:tabs>
        <w:spacing w:line="500" w:lineRule="exact"/>
        <w:ind w:firstLine="480" w:firstLineChars="200"/>
        <w:rPr>
          <w:rFonts w:hAnsi="宋体" w:cs="宋体"/>
          <w:szCs w:val="24"/>
        </w:rPr>
      </w:pPr>
      <w:r>
        <w:rPr>
          <w:rFonts w:hint="eastAsia" w:hAnsi="宋体" w:cs="宋体"/>
          <w:szCs w:val="24"/>
        </w:rPr>
        <w:t>根据《工业和信息化部、国家统计局、国家发展和改革委员会、财政部关于印发中小企业划分标准规定的通知》（工信部联企业【2011】300号）规定的划分标准，本公司为</w:t>
      </w:r>
      <w:r>
        <w:rPr>
          <w:rFonts w:hint="eastAsia" w:hAnsi="宋体" w:cs="宋体"/>
          <w:szCs w:val="24"/>
          <w:u w:val="single"/>
        </w:rPr>
        <w:t xml:space="preserve">         </w:t>
      </w:r>
      <w:r>
        <w:rPr>
          <w:rFonts w:hint="eastAsia" w:hAnsi="宋体" w:cs="宋体"/>
          <w:szCs w:val="24"/>
        </w:rPr>
        <w:t>（请填写：中型、小型、微型）企业。</w:t>
      </w:r>
    </w:p>
    <w:p>
      <w:pPr>
        <w:numPr>
          <w:ilvl w:val="0"/>
          <w:numId w:val="13"/>
        </w:numPr>
        <w:tabs>
          <w:tab w:val="left" w:pos="1620"/>
          <w:tab w:val="left" w:pos="1800"/>
        </w:tabs>
        <w:spacing w:line="500" w:lineRule="exact"/>
        <w:ind w:firstLine="480" w:firstLineChars="200"/>
        <w:rPr>
          <w:rFonts w:hAnsi="宋体" w:cs="宋体"/>
          <w:szCs w:val="24"/>
        </w:rPr>
      </w:pPr>
      <w:r>
        <w:rPr>
          <w:rFonts w:hint="eastAsia" w:hAnsi="宋体" w:cs="宋体"/>
          <w:szCs w:val="24"/>
        </w:rPr>
        <w:t>本公司参加</w:t>
      </w:r>
      <w:r>
        <w:rPr>
          <w:rFonts w:hint="eastAsia" w:hAnsi="宋体" w:cs="宋体"/>
          <w:szCs w:val="24"/>
          <w:u w:val="single"/>
        </w:rPr>
        <w:t xml:space="preserve">             </w:t>
      </w:r>
      <w:r>
        <w:rPr>
          <w:rFonts w:hint="eastAsia" w:hAnsi="宋体" w:cs="宋体"/>
          <w:szCs w:val="24"/>
        </w:rPr>
        <w:t>单位的</w:t>
      </w:r>
      <w:r>
        <w:rPr>
          <w:rFonts w:hint="eastAsia" w:hAnsi="宋体" w:cs="宋体"/>
          <w:szCs w:val="24"/>
          <w:u w:val="single"/>
        </w:rPr>
        <w:t xml:space="preserve">            </w:t>
      </w:r>
      <w:r>
        <w:rPr>
          <w:rFonts w:hint="eastAsia" w:hAnsi="宋体" w:cs="宋体"/>
          <w:szCs w:val="24"/>
        </w:rPr>
        <w:t>项目采购活动提供本企业制造的货物，由本企业提供服务，或者提供其他</w:t>
      </w:r>
      <w:r>
        <w:rPr>
          <w:rFonts w:hint="eastAsia" w:hAnsi="宋体" w:cs="宋体"/>
          <w:szCs w:val="24"/>
          <w:u w:val="single"/>
        </w:rPr>
        <w:t xml:space="preserve">        </w:t>
      </w:r>
      <w:r>
        <w:rPr>
          <w:rFonts w:hint="eastAsia" w:hAnsi="宋体" w:cs="宋体"/>
          <w:szCs w:val="24"/>
        </w:rPr>
        <w:t>(请填写：中型、小型、微型）企业制造的货物。本条所称货物不包括使用大型企业注册商标的货物。</w:t>
      </w:r>
    </w:p>
    <w:p>
      <w:pPr>
        <w:spacing w:line="500" w:lineRule="exact"/>
        <w:ind w:firstLine="480" w:firstLineChars="200"/>
        <w:rPr>
          <w:rFonts w:hAnsi="宋体" w:cs="宋体"/>
          <w:szCs w:val="24"/>
        </w:rPr>
      </w:pPr>
      <w:r>
        <w:rPr>
          <w:rFonts w:hint="eastAsia" w:hAnsi="宋体" w:cs="宋体"/>
          <w:szCs w:val="24"/>
        </w:rPr>
        <w:t>3、本公司属于</w:t>
      </w:r>
      <w:r>
        <w:rPr>
          <w:rFonts w:hint="eastAsia" w:hAnsi="宋体" w:cs="宋体"/>
          <w:szCs w:val="24"/>
          <w:u w:val="single"/>
        </w:rPr>
        <w:t xml:space="preserve">       </w:t>
      </w:r>
      <w:r>
        <w:rPr>
          <w:rFonts w:hint="eastAsia" w:hAnsi="宋体" w:cs="宋体"/>
          <w:szCs w:val="24"/>
        </w:rPr>
        <w:t>行业，有从业人员</w:t>
      </w:r>
      <w:r>
        <w:rPr>
          <w:rFonts w:hint="eastAsia" w:hAnsi="宋体" w:cs="宋体"/>
          <w:szCs w:val="24"/>
          <w:u w:val="single"/>
        </w:rPr>
        <w:t xml:space="preserve">     </w:t>
      </w:r>
      <w:r>
        <w:rPr>
          <w:rFonts w:hint="eastAsia" w:hAnsi="宋体" w:cs="宋体"/>
          <w:szCs w:val="24"/>
        </w:rPr>
        <w:t>人，最近一年营业收入为</w:t>
      </w:r>
      <w:r>
        <w:rPr>
          <w:rFonts w:hint="eastAsia" w:hAnsi="宋体" w:cs="宋体"/>
          <w:szCs w:val="24"/>
          <w:u w:val="single"/>
        </w:rPr>
        <w:t xml:space="preserve">         </w:t>
      </w:r>
      <w:r>
        <w:rPr>
          <w:rFonts w:hint="eastAsia" w:hAnsi="宋体" w:cs="宋体"/>
          <w:szCs w:val="24"/>
        </w:rPr>
        <w:t>元。</w:t>
      </w:r>
    </w:p>
    <w:p>
      <w:pPr>
        <w:tabs>
          <w:tab w:val="left" w:pos="1620"/>
          <w:tab w:val="left" w:pos="1800"/>
        </w:tabs>
        <w:spacing w:line="500" w:lineRule="exact"/>
        <w:ind w:firstLine="480"/>
        <w:rPr>
          <w:rFonts w:hAnsi="宋体" w:cs="宋体"/>
          <w:szCs w:val="24"/>
        </w:rPr>
      </w:pPr>
      <w:r>
        <w:rPr>
          <w:rFonts w:hint="eastAsia" w:hAnsi="宋体" w:cs="宋体"/>
          <w:szCs w:val="24"/>
        </w:rPr>
        <w:t>本公司对上述声明的真实性负责。如有虚假，将依法承担相应责任。</w:t>
      </w:r>
    </w:p>
    <w:p>
      <w:pPr>
        <w:tabs>
          <w:tab w:val="left" w:pos="1620"/>
          <w:tab w:val="left" w:pos="1800"/>
        </w:tabs>
        <w:spacing w:line="500" w:lineRule="exact"/>
        <w:ind w:firstLine="480"/>
        <w:rPr>
          <w:rFonts w:hAnsi="宋体" w:cs="宋体"/>
          <w:szCs w:val="24"/>
        </w:rPr>
      </w:pPr>
    </w:p>
    <w:p>
      <w:pPr>
        <w:tabs>
          <w:tab w:val="left" w:pos="1620"/>
          <w:tab w:val="left" w:pos="1800"/>
        </w:tabs>
        <w:spacing w:line="500" w:lineRule="exact"/>
        <w:rPr>
          <w:rFonts w:hAnsi="宋体" w:cs="宋体"/>
          <w:szCs w:val="24"/>
        </w:rPr>
      </w:pPr>
      <w:r>
        <w:rPr>
          <w:rFonts w:hint="eastAsia" w:hAnsi="宋体" w:cs="宋体"/>
          <w:szCs w:val="24"/>
        </w:rPr>
        <w:t xml:space="preserve">                                          单位名称（公章）：</w:t>
      </w:r>
      <w:r>
        <w:rPr>
          <w:rFonts w:hint="eastAsia" w:hAnsi="宋体" w:cs="宋体"/>
          <w:szCs w:val="24"/>
          <w:u w:val="single"/>
        </w:rPr>
        <w:t xml:space="preserve">                </w:t>
      </w:r>
    </w:p>
    <w:p>
      <w:pPr>
        <w:tabs>
          <w:tab w:val="left" w:pos="1620"/>
          <w:tab w:val="left" w:pos="1800"/>
        </w:tabs>
        <w:spacing w:line="500" w:lineRule="exact"/>
        <w:rPr>
          <w:rFonts w:hAnsi="宋体" w:cs="宋体"/>
          <w:szCs w:val="24"/>
          <w:u w:val="single"/>
        </w:rPr>
      </w:pPr>
      <w:r>
        <w:rPr>
          <w:rFonts w:hint="eastAsia" w:hAnsi="宋体" w:cs="宋体"/>
          <w:szCs w:val="24"/>
        </w:rPr>
        <w:t xml:space="preserve">                                           日   期：</w:t>
      </w:r>
      <w:r>
        <w:rPr>
          <w:rFonts w:hint="eastAsia" w:hAnsi="宋体" w:cs="宋体"/>
          <w:szCs w:val="24"/>
          <w:u w:val="single"/>
        </w:rPr>
        <w:t xml:space="preserve">                        </w:t>
      </w:r>
    </w:p>
    <w:p>
      <w:pPr>
        <w:tabs>
          <w:tab w:val="left" w:pos="1620"/>
          <w:tab w:val="left" w:pos="1800"/>
        </w:tabs>
        <w:spacing w:line="500" w:lineRule="exact"/>
        <w:rPr>
          <w:rFonts w:hAnsi="宋体" w:cs="宋体"/>
          <w:szCs w:val="24"/>
        </w:rPr>
      </w:pPr>
      <w:r>
        <w:rPr>
          <w:rFonts w:hint="eastAsia" w:hAnsi="宋体" w:cs="宋体"/>
          <w:szCs w:val="24"/>
        </w:rPr>
        <w:t>备注：</w:t>
      </w:r>
    </w:p>
    <w:p>
      <w:pPr>
        <w:tabs>
          <w:tab w:val="left" w:pos="1620"/>
          <w:tab w:val="left" w:pos="1800"/>
        </w:tabs>
        <w:spacing w:line="500" w:lineRule="exact"/>
        <w:ind w:firstLine="480"/>
        <w:rPr>
          <w:rFonts w:hAnsi="宋体" w:cs="宋体"/>
          <w:szCs w:val="24"/>
        </w:rPr>
      </w:pPr>
      <w:r>
        <w:rPr>
          <w:rFonts w:hint="eastAsia" w:hAnsi="宋体" w:cs="宋体"/>
          <w:szCs w:val="24"/>
        </w:rPr>
        <w:t>1、填写前请认真阅读工业和信息化部、国家统计局、国家发展和改革委员会、财政部关于印发中小企业划分标准规定的通知》（工信部联企业【2011】300号）和《财政部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工业和信息化部关于印发政府采购促进中小企业发展暂行办法的通知》（财库【2011】181号）相关规定。</w:t>
      </w:r>
    </w:p>
    <w:p>
      <w:pPr>
        <w:tabs>
          <w:tab w:val="left" w:pos="1620"/>
          <w:tab w:val="left" w:pos="1800"/>
        </w:tabs>
        <w:spacing w:line="500" w:lineRule="exact"/>
        <w:ind w:firstLine="480"/>
        <w:rPr>
          <w:rFonts w:hAnsi="宋体" w:cs="宋体"/>
          <w:szCs w:val="24"/>
        </w:rPr>
      </w:pPr>
      <w:r>
        <w:rPr>
          <w:rFonts w:hint="eastAsia" w:hAnsi="宋体" w:cs="宋体"/>
          <w:szCs w:val="24"/>
        </w:rPr>
        <w:t>2、 小微企业投标的应填写；（提供其他中小企业制造的货物时还需提供货物制造商的声明函、证明函），未提供的不视为小微企业。</w:t>
      </w:r>
    </w:p>
    <w:p>
      <w:pPr>
        <w:spacing w:before="240" w:line="360" w:lineRule="auto"/>
        <w:outlineLvl w:val="0"/>
        <w:rPr>
          <w:rFonts w:hAnsi="宋体" w:cs="宋体"/>
          <w:b/>
          <w:color w:val="000000"/>
          <w:szCs w:val="24"/>
        </w:rPr>
      </w:pPr>
      <w:bookmarkStart w:id="282" w:name="_Toc13836"/>
      <w:r>
        <w:rPr>
          <w:rFonts w:hint="eastAsia" w:hAnsi="宋体" w:cs="宋体"/>
          <w:b/>
          <w:color w:val="000000"/>
          <w:szCs w:val="24"/>
        </w:rPr>
        <w:br w:type="page"/>
      </w:r>
      <w:bookmarkStart w:id="283" w:name="_Toc28872"/>
      <w:bookmarkStart w:id="284" w:name="_Toc22654"/>
      <w:r>
        <w:rPr>
          <w:rFonts w:hint="eastAsia" w:hAnsi="宋体" w:cs="宋体"/>
          <w:b/>
          <w:color w:val="000000"/>
          <w:szCs w:val="24"/>
        </w:rPr>
        <w:t>附件2：磋商产品属节能、环境标志产品列表</w:t>
      </w:r>
      <w:bookmarkEnd w:id="282"/>
      <w:bookmarkEnd w:id="283"/>
      <w:bookmarkEnd w:id="284"/>
    </w:p>
    <w:p>
      <w:pPr>
        <w:spacing w:before="100" w:beforeAutospacing="1" w:afterLines="50" w:line="360" w:lineRule="auto"/>
        <w:jc w:val="center"/>
        <w:rPr>
          <w:rFonts w:hAnsi="宋体" w:cs="宋体"/>
          <w:b/>
          <w:szCs w:val="24"/>
        </w:rPr>
      </w:pPr>
      <w:r>
        <w:rPr>
          <w:rFonts w:hint="eastAsia" w:hAnsi="宋体" w:cs="宋体"/>
          <w:b/>
          <w:szCs w:val="24"/>
        </w:rPr>
        <w:t>磋商产品属节能、环境标志产品列表</w:t>
      </w:r>
    </w:p>
    <w:p>
      <w:pPr>
        <w:spacing w:after="120"/>
        <w:ind w:firstLine="480" w:firstLineChars="200"/>
        <w:rPr>
          <w:rFonts w:hAnsi="宋体" w:cs="宋体"/>
          <w:szCs w:val="24"/>
        </w:rPr>
      </w:pPr>
      <w:r>
        <w:rPr>
          <w:rFonts w:hint="eastAsia" w:hAnsi="宋体" w:cs="宋体"/>
          <w:szCs w:val="24"/>
        </w:rPr>
        <w:t>项目名称：</w:t>
      </w:r>
    </w:p>
    <w:p>
      <w:pPr>
        <w:spacing w:after="120"/>
        <w:ind w:firstLine="480" w:firstLineChars="200"/>
        <w:rPr>
          <w:rFonts w:hAnsi="宋体" w:cs="宋体"/>
          <w:szCs w:val="24"/>
        </w:rPr>
      </w:pPr>
      <w:r>
        <w:rPr>
          <w:rFonts w:hint="eastAsia" w:hAnsi="宋体" w:cs="宋体"/>
          <w:szCs w:val="24"/>
        </w:rPr>
        <w:t>项目编号：</w:t>
      </w:r>
    </w:p>
    <w:tbl>
      <w:tblPr>
        <w:tblStyle w:val="43"/>
        <w:tblW w:w="0" w:type="auto"/>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序</w:t>
            </w:r>
          </w:p>
          <w:p>
            <w:pPr>
              <w:spacing w:after="120"/>
              <w:jc w:val="center"/>
              <w:rPr>
                <w:rFonts w:hAnsi="宋体" w:cs="宋体"/>
                <w:szCs w:val="24"/>
              </w:rPr>
            </w:pPr>
            <w:r>
              <w:rPr>
                <w:rFonts w:hint="eastAsia" w:hAnsi="宋体" w:cs="宋体"/>
                <w:szCs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产品</w:t>
            </w:r>
          </w:p>
          <w:p>
            <w:pPr>
              <w:spacing w:after="120"/>
              <w:jc w:val="center"/>
              <w:rPr>
                <w:rFonts w:hAnsi="宋体" w:cs="宋体"/>
                <w:szCs w:val="24"/>
              </w:rPr>
            </w:pPr>
            <w:r>
              <w:rPr>
                <w:rFonts w:hint="eastAsia" w:hAnsi="宋体" w:cs="宋体"/>
                <w:szCs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Ansi="宋体" w:cs="宋体"/>
                <w:szCs w:val="24"/>
              </w:rPr>
            </w:pPr>
            <w:r>
              <w:rPr>
                <w:rFonts w:hint="eastAsia" w:hAnsi="宋体" w:cs="宋体"/>
                <w:szCs w:val="24"/>
              </w:rPr>
              <w:t>制造</w:t>
            </w:r>
          </w:p>
          <w:p>
            <w:pPr>
              <w:spacing w:after="120"/>
              <w:jc w:val="center"/>
              <w:rPr>
                <w:rFonts w:hAnsi="宋体" w:cs="宋体"/>
                <w:szCs w:val="24"/>
              </w:rPr>
            </w:pPr>
            <w:r>
              <w:rPr>
                <w:rFonts w:hint="eastAsia" w:hAnsi="宋体" w:cs="宋体"/>
                <w:szCs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规格</w:t>
            </w:r>
          </w:p>
          <w:p>
            <w:pPr>
              <w:spacing w:after="120"/>
              <w:jc w:val="center"/>
              <w:rPr>
                <w:rFonts w:hAnsi="宋体" w:cs="宋体"/>
                <w:szCs w:val="24"/>
              </w:rPr>
            </w:pPr>
            <w:r>
              <w:rPr>
                <w:rFonts w:hint="eastAsia" w:hAnsi="宋体" w:cs="宋体"/>
                <w:szCs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lang w:val="zh-CN"/>
              </w:rPr>
            </w:pPr>
            <w:r>
              <w:rPr>
                <w:rFonts w:hint="eastAsia" w:hAnsi="宋体" w:cs="宋体"/>
                <w:szCs w:val="24"/>
                <w:lang w:val="zh-CN"/>
              </w:rPr>
              <w:t>类</w:t>
            </w:r>
          </w:p>
          <w:p>
            <w:pPr>
              <w:spacing w:after="120"/>
              <w:jc w:val="center"/>
              <w:rPr>
                <w:rFonts w:hAnsi="宋体" w:cs="宋体"/>
                <w:szCs w:val="24"/>
                <w:lang w:val="zh-CN"/>
              </w:rPr>
            </w:pPr>
            <w:r>
              <w:rPr>
                <w:rFonts w:hint="eastAsia" w:hAnsi="宋体" w:cs="宋体"/>
                <w:szCs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认证证书</w:t>
            </w:r>
          </w:p>
          <w:p>
            <w:pPr>
              <w:spacing w:after="120"/>
              <w:jc w:val="center"/>
              <w:rPr>
                <w:rFonts w:hAnsi="宋体" w:cs="宋体"/>
                <w:szCs w:val="24"/>
              </w:rPr>
            </w:pPr>
            <w:r>
              <w:rPr>
                <w:rFonts w:hint="eastAsia" w:hAnsi="宋体" w:cs="宋体"/>
                <w:szCs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数</w:t>
            </w:r>
          </w:p>
          <w:p>
            <w:pPr>
              <w:spacing w:after="120"/>
              <w:jc w:val="center"/>
              <w:rPr>
                <w:rFonts w:hAnsi="宋体" w:cs="宋体"/>
                <w:szCs w:val="24"/>
              </w:rPr>
            </w:pPr>
            <w:r>
              <w:rPr>
                <w:rFonts w:hint="eastAsia" w:hAnsi="宋体" w:cs="宋体"/>
                <w:szCs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单</w:t>
            </w:r>
          </w:p>
          <w:p>
            <w:pPr>
              <w:spacing w:after="120"/>
              <w:jc w:val="center"/>
              <w:rPr>
                <w:rFonts w:hAnsi="宋体" w:cs="宋体"/>
                <w:szCs w:val="24"/>
              </w:rPr>
            </w:pPr>
            <w:r>
              <w:rPr>
                <w:rFonts w:hint="eastAsia" w:hAnsi="宋体" w:cs="宋体"/>
                <w:szCs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总</w:t>
            </w:r>
          </w:p>
          <w:p>
            <w:pPr>
              <w:spacing w:after="120"/>
              <w:jc w:val="center"/>
              <w:rPr>
                <w:rFonts w:hAnsi="宋体" w:cs="宋体"/>
                <w:szCs w:val="24"/>
              </w:rPr>
            </w:pPr>
            <w:r>
              <w:rPr>
                <w:rFonts w:hint="eastAsia" w:hAnsi="宋体" w:cs="宋体"/>
                <w:szCs w:val="24"/>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rPr>
            </w:pPr>
            <w:r>
              <w:rPr>
                <w:rFonts w:hint="eastAsia" w:hAnsi="宋体" w:cs="宋体"/>
                <w:szCs w:val="24"/>
              </w:rPr>
              <w:t>合计（元）</w:t>
            </w:r>
          </w:p>
        </w:tc>
        <w:tc>
          <w:tcPr>
            <w:tcW w:w="3824" w:type="dxa"/>
            <w:gridSpan w:val="4"/>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rPr>
            </w:pPr>
          </w:p>
        </w:tc>
      </w:tr>
    </w:tbl>
    <w:p>
      <w:pPr>
        <w:pStyle w:val="172"/>
        <w:spacing w:line="400" w:lineRule="exact"/>
        <w:ind w:left="480" w:leftChars="200" w:firstLine="240" w:firstLineChars="100"/>
        <w:rPr>
          <w:rFonts w:hAnsi="宋体" w:cs="宋体"/>
        </w:rPr>
      </w:pPr>
      <w:r>
        <w:rPr>
          <w:rFonts w:hint="eastAsia" w:hAnsi="宋体" w:cs="宋体"/>
        </w:rPr>
        <w:t>注：1.如供应商所投产品为节能环保、环境标志产品，须按格式逐项填写，并附相关证明。</w:t>
      </w:r>
    </w:p>
    <w:p>
      <w:pPr>
        <w:pStyle w:val="172"/>
        <w:spacing w:line="400" w:lineRule="exact"/>
        <w:ind w:left="480" w:leftChars="200" w:firstLine="720" w:firstLineChars="300"/>
        <w:rPr>
          <w:rFonts w:hAnsi="宋体" w:cs="宋体"/>
        </w:rPr>
      </w:pPr>
      <w:r>
        <w:rPr>
          <w:rFonts w:hint="eastAsia" w:hAnsi="宋体" w:cs="宋体"/>
        </w:rPr>
        <w:t>2.类别填写：节能环保产品或环境标志产品。</w:t>
      </w:r>
    </w:p>
    <w:p>
      <w:pPr>
        <w:adjustRightInd w:val="0"/>
        <w:snapToGrid w:val="0"/>
        <w:spacing w:line="360" w:lineRule="auto"/>
        <w:rPr>
          <w:rFonts w:hAnsi="宋体" w:cs="宋体"/>
          <w:color w:val="000000"/>
          <w:szCs w:val="24"/>
        </w:rPr>
      </w:pPr>
    </w:p>
    <w:p>
      <w:pPr>
        <w:adjustRightInd w:val="0"/>
        <w:snapToGrid w:val="0"/>
        <w:spacing w:line="360" w:lineRule="auto"/>
        <w:rPr>
          <w:rFonts w:hAnsi="宋体" w:cs="宋体"/>
          <w:bCs/>
          <w:color w:val="000000"/>
          <w:szCs w:val="24"/>
        </w:rPr>
      </w:pPr>
    </w:p>
    <w:p>
      <w:pPr>
        <w:spacing w:before="240" w:line="360" w:lineRule="auto"/>
        <w:outlineLvl w:val="0"/>
        <w:rPr>
          <w:rFonts w:hAnsi="宋体" w:cs="宋体"/>
          <w:b/>
          <w:color w:val="000000"/>
          <w:szCs w:val="24"/>
        </w:rPr>
      </w:pPr>
      <w:r>
        <w:rPr>
          <w:rFonts w:hint="eastAsia" w:hAnsi="宋体" w:cs="宋体"/>
          <w:color w:val="000000"/>
          <w:szCs w:val="24"/>
        </w:rPr>
        <w:br w:type="page"/>
      </w:r>
      <w:bookmarkStart w:id="285" w:name="_Toc13921"/>
      <w:bookmarkStart w:id="286" w:name="_Toc17"/>
      <w:r>
        <w:rPr>
          <w:rFonts w:hint="eastAsia" w:hAnsi="宋体" w:cs="宋体"/>
          <w:b/>
          <w:color w:val="000000"/>
          <w:szCs w:val="24"/>
        </w:rPr>
        <w:t xml:space="preserve">附件3： </w:t>
      </w:r>
      <w:bookmarkStart w:id="287" w:name="OLE_LINK13"/>
      <w:bookmarkStart w:id="288" w:name="OLE_LINK14"/>
      <w:r>
        <w:rPr>
          <w:rFonts w:hint="eastAsia" w:hAnsi="宋体" w:cs="宋体"/>
          <w:b/>
          <w:color w:val="000000"/>
          <w:szCs w:val="24"/>
        </w:rPr>
        <w:t>残疾人福利性单位声明函</w:t>
      </w:r>
      <w:bookmarkEnd w:id="285"/>
      <w:bookmarkEnd w:id="286"/>
    </w:p>
    <w:bookmarkEnd w:id="287"/>
    <w:bookmarkEnd w:id="288"/>
    <w:p>
      <w:pPr>
        <w:spacing w:line="588" w:lineRule="exact"/>
        <w:rPr>
          <w:rFonts w:hAnsi="宋体" w:cs="宋体"/>
          <w:b/>
          <w:spacing w:val="6"/>
          <w:szCs w:val="24"/>
        </w:rPr>
      </w:pPr>
    </w:p>
    <w:p>
      <w:pPr>
        <w:spacing w:line="588" w:lineRule="exact"/>
        <w:ind w:firstLine="504" w:firstLineChars="200"/>
        <w:rPr>
          <w:rFonts w:hAnsi="宋体" w:cs="宋体"/>
          <w:spacing w:val="6"/>
          <w:szCs w:val="24"/>
        </w:rPr>
      </w:pPr>
      <w:r>
        <w:rPr>
          <w:rFonts w:hint="eastAsia" w:hAnsi="宋体" w:cs="宋体"/>
          <w:spacing w:val="6"/>
          <w:szCs w:val="24"/>
        </w:rPr>
        <w:t>本单位郑重声明，根据《财政部 民政部 中国残疾人联合会关于促进残疾人就业政府采购政策的通知》（财库</w:t>
      </w:r>
      <w:r>
        <w:rPr>
          <w:rFonts w:hint="eastAsia" w:hAnsi="宋体" w:cs="宋体"/>
          <w:szCs w:val="24"/>
        </w:rPr>
        <w:t>〔2017〕 141</w:t>
      </w:r>
      <w:r>
        <w:rPr>
          <w:rFonts w:hint="eastAsia" w:hAnsi="宋体" w:cs="宋体"/>
          <w:spacing w:val="6"/>
          <w:szCs w:val="24"/>
        </w:rPr>
        <w:t>号）的规定，本单位为符合条件的残疾人福利性单位，且本单位参加</w:t>
      </w:r>
      <w:r>
        <w:rPr>
          <w:rFonts w:hint="eastAsia" w:hAnsi="宋体" w:cs="宋体"/>
          <w:spacing w:val="6"/>
          <w:szCs w:val="24"/>
          <w:u w:val="single"/>
        </w:rPr>
        <w:t>______</w:t>
      </w:r>
      <w:r>
        <w:rPr>
          <w:rFonts w:hint="eastAsia" w:hAnsi="宋体" w:cs="宋体"/>
          <w:spacing w:val="6"/>
          <w:szCs w:val="24"/>
        </w:rPr>
        <w:t>单位的</w:t>
      </w:r>
      <w:r>
        <w:rPr>
          <w:rFonts w:hint="eastAsia" w:hAnsi="宋体" w:cs="宋体"/>
          <w:spacing w:val="6"/>
          <w:szCs w:val="24"/>
          <w:u w:val="single"/>
        </w:rPr>
        <w:t>______</w:t>
      </w:r>
      <w:r>
        <w:rPr>
          <w:rFonts w:hint="eastAsia" w:hAnsi="宋体" w:cs="宋体"/>
          <w:spacing w:val="6"/>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rPr>
      </w:pPr>
      <w:r>
        <w:rPr>
          <w:rFonts w:hint="eastAsia" w:hAnsi="宋体" w:cs="宋体"/>
          <w:spacing w:val="6"/>
          <w:szCs w:val="24"/>
        </w:rPr>
        <w:t>本单位对上述声明的真实性负责。如有虚假，将依法承担相应责任。</w:t>
      </w:r>
    </w:p>
    <w:p>
      <w:pPr>
        <w:spacing w:line="588" w:lineRule="exact"/>
        <w:ind w:firstLine="504" w:firstLineChars="200"/>
        <w:rPr>
          <w:rFonts w:hAnsi="宋体" w:cs="宋体"/>
          <w:spacing w:val="6"/>
          <w:szCs w:val="24"/>
        </w:rPr>
      </w:pPr>
    </w:p>
    <w:p>
      <w:pPr>
        <w:spacing w:line="588" w:lineRule="exact"/>
        <w:ind w:firstLine="504" w:firstLineChars="200"/>
        <w:rPr>
          <w:rFonts w:hAnsi="宋体" w:cs="宋体"/>
          <w:spacing w:val="6"/>
          <w:szCs w:val="24"/>
        </w:rPr>
      </w:pPr>
    </w:p>
    <w:p>
      <w:pPr>
        <w:spacing w:line="588" w:lineRule="exact"/>
        <w:ind w:firstLine="504" w:firstLineChars="200"/>
        <w:rPr>
          <w:rFonts w:hAnsi="宋体" w:cs="宋体"/>
          <w:spacing w:val="6"/>
          <w:szCs w:val="24"/>
        </w:rPr>
      </w:pPr>
    </w:p>
    <w:p>
      <w:pPr>
        <w:spacing w:line="588" w:lineRule="exact"/>
        <w:ind w:firstLine="504" w:firstLineChars="200"/>
        <w:rPr>
          <w:rFonts w:hAnsi="宋体" w:cs="宋体"/>
          <w:spacing w:val="6"/>
          <w:szCs w:val="24"/>
        </w:rPr>
      </w:pPr>
    </w:p>
    <w:p>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单位名称（盖章）：</w:t>
      </w:r>
    </w:p>
    <w:p>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日    期：</w:t>
      </w:r>
    </w:p>
    <w:p>
      <w:pPr>
        <w:tabs>
          <w:tab w:val="left" w:pos="1620"/>
          <w:tab w:val="left" w:pos="1800"/>
        </w:tabs>
        <w:spacing w:line="440" w:lineRule="exact"/>
        <w:ind w:right="617" w:rightChars="257"/>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adjustRightInd w:val="0"/>
        <w:snapToGrid w:val="0"/>
        <w:spacing w:line="360" w:lineRule="auto"/>
        <w:jc w:val="center"/>
        <w:rPr>
          <w:rFonts w:hAnsi="宋体" w:cs="宋体"/>
          <w:b/>
          <w:bCs/>
          <w:spacing w:val="6"/>
          <w:szCs w:val="24"/>
        </w:rPr>
      </w:pPr>
    </w:p>
    <w:p>
      <w:pPr>
        <w:adjustRightInd w:val="0"/>
        <w:snapToGrid w:val="0"/>
        <w:spacing w:line="360" w:lineRule="auto"/>
        <w:outlineLvl w:val="0"/>
        <w:rPr>
          <w:rFonts w:hAnsi="宋体" w:cs="宋体"/>
          <w:b/>
          <w:bCs/>
          <w:spacing w:val="6"/>
          <w:szCs w:val="24"/>
        </w:rPr>
      </w:pPr>
      <w:r>
        <w:rPr>
          <w:rFonts w:hint="eastAsia" w:hAnsi="宋体" w:cs="宋体"/>
          <w:b/>
          <w:color w:val="000000"/>
          <w:szCs w:val="24"/>
        </w:rPr>
        <w:br w:type="page"/>
      </w:r>
      <w:bookmarkStart w:id="289" w:name="_Toc25955"/>
      <w:bookmarkStart w:id="290" w:name="_Toc1504"/>
      <w:r>
        <w:rPr>
          <w:rFonts w:hint="eastAsia" w:hAnsi="宋体" w:cs="宋体"/>
          <w:b/>
          <w:color w:val="000000"/>
          <w:szCs w:val="24"/>
        </w:rPr>
        <w:t xml:space="preserve">附件4： </w:t>
      </w:r>
      <w:r>
        <w:rPr>
          <w:rFonts w:hint="eastAsia" w:hAnsi="宋体" w:cs="宋体"/>
          <w:b/>
          <w:bCs/>
          <w:spacing w:val="6"/>
          <w:szCs w:val="24"/>
        </w:rPr>
        <w:t>政府采购支持监狱企业声明函</w:t>
      </w:r>
      <w:bookmarkEnd w:id="289"/>
      <w:bookmarkEnd w:id="290"/>
    </w:p>
    <w:p>
      <w:pPr>
        <w:adjustRightInd w:val="0"/>
        <w:snapToGrid w:val="0"/>
        <w:spacing w:line="360" w:lineRule="auto"/>
        <w:ind w:firstLine="504" w:firstLineChars="200"/>
        <w:jc w:val="center"/>
        <w:rPr>
          <w:rFonts w:hAnsi="宋体" w:cs="宋体"/>
          <w:spacing w:val="6"/>
          <w:szCs w:val="24"/>
        </w:rPr>
      </w:pPr>
    </w:p>
    <w:p>
      <w:pPr>
        <w:adjustRightInd w:val="0"/>
        <w:snapToGrid w:val="0"/>
        <w:spacing w:line="360" w:lineRule="auto"/>
        <w:ind w:firstLine="504" w:firstLineChars="200"/>
        <w:rPr>
          <w:rFonts w:hAnsi="宋体" w:cs="宋体"/>
          <w:spacing w:val="6"/>
          <w:szCs w:val="24"/>
        </w:rPr>
      </w:pPr>
      <w:r>
        <w:rPr>
          <w:rFonts w:hint="eastAsia" w:hAnsi="宋体" w:cs="宋体"/>
          <w:spacing w:val="6"/>
          <w:szCs w:val="24"/>
        </w:rPr>
        <w:t>本单位郑重声明，根据</w:t>
      </w:r>
      <w:r>
        <w:rPr>
          <w:rFonts w:hint="eastAsia" w:hAnsi="宋体" w:cs="宋体"/>
          <w:szCs w:val="24"/>
        </w:rPr>
        <w:t>《财政部司法部关于政府采购支持监狱企业发展有关问题的通知》（财库〔2014〕68号）</w:t>
      </w:r>
      <w:r>
        <w:rPr>
          <w:rFonts w:hint="eastAsia" w:hAnsi="宋体" w:cs="宋体"/>
          <w:spacing w:val="6"/>
          <w:szCs w:val="24"/>
        </w:rPr>
        <w:t>的规定，本单位为符合条件的监狱企业单位，且本单位参加______单位的______项目采购活动提供本单位制造的货物（由本单位承担工程/提供服务），或者提供其他监狱企业单位制造的货物（不包括使用非监狱企业单位注册商标的货物）。</w:t>
      </w:r>
    </w:p>
    <w:p>
      <w:pPr>
        <w:adjustRightInd w:val="0"/>
        <w:snapToGrid w:val="0"/>
        <w:spacing w:line="360" w:lineRule="auto"/>
        <w:ind w:firstLine="504" w:firstLineChars="200"/>
        <w:rPr>
          <w:rFonts w:hAnsi="宋体" w:cs="宋体"/>
          <w:spacing w:val="6"/>
          <w:szCs w:val="24"/>
        </w:rPr>
      </w:pPr>
      <w:r>
        <w:rPr>
          <w:rFonts w:hint="eastAsia" w:hAnsi="宋体" w:cs="宋体"/>
          <w:spacing w:val="6"/>
          <w:szCs w:val="24"/>
        </w:rPr>
        <w:t>本单位对上述声明的真实性负责。如有虚假，将依法承担相应责任。</w:t>
      </w: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spacing w:val="6"/>
          <w:szCs w:val="24"/>
        </w:rPr>
      </w:pPr>
      <w:r>
        <w:rPr>
          <w:rFonts w:hint="eastAsia" w:hAnsi="宋体" w:cs="宋体"/>
          <w:b/>
          <w:szCs w:val="24"/>
        </w:rPr>
        <w:t>说明：</w:t>
      </w:r>
      <w:r>
        <w:rPr>
          <w:rFonts w:hint="eastAsia" w:hAnsi="宋体" w:cs="宋体"/>
          <w:bCs/>
          <w:szCs w:val="24"/>
        </w:rPr>
        <w:t>后附省级以上监狱管理局、戒毒管理局（含新疆生产建设兵团）出具的属于监狱企业的证明文件。</w:t>
      </w:r>
    </w:p>
    <w:p>
      <w:pPr>
        <w:rPr>
          <w:ins w:id="81" w:author="高凌" w:date="2023-05-12T11:18:00Z"/>
          <w:rFonts w:hAnsi="宋体" w:cs="宋体"/>
          <w:b/>
          <w:szCs w:val="24"/>
        </w:rPr>
      </w:pPr>
      <w:ins w:id="82" w:author="高凌" w:date="2023-05-12T11:18:00Z">
        <w:bookmarkStart w:id="291" w:name="_Toc1106"/>
        <w:bookmarkStart w:id="292" w:name="_Toc19105"/>
        <w:r>
          <w:rPr>
            <w:rFonts w:hint="eastAsia" w:hAnsi="宋体" w:cs="宋体"/>
            <w:b/>
            <w:szCs w:val="24"/>
          </w:rPr>
          <w:br w:type="page"/>
        </w:r>
      </w:ins>
    </w:p>
    <w:p>
      <w:pPr>
        <w:keepLines/>
        <w:spacing w:before="100" w:beforeAutospacing="1" w:afterLines="50" w:line="360" w:lineRule="auto"/>
        <w:outlineLvl w:val="0"/>
        <w:rPr>
          <w:rFonts w:hAnsi="宋体" w:cs="宋体"/>
          <w:b/>
          <w:bCs/>
          <w:szCs w:val="24"/>
        </w:rPr>
      </w:pPr>
      <w:r>
        <w:rPr>
          <w:rFonts w:hint="eastAsia" w:hAnsi="宋体" w:cs="宋体"/>
          <w:b/>
          <w:szCs w:val="24"/>
        </w:rPr>
        <w:t xml:space="preserve">附件5： </w:t>
      </w:r>
      <w:r>
        <w:rPr>
          <w:rFonts w:hint="eastAsia" w:hAnsi="宋体" w:cs="宋体"/>
          <w:b/>
          <w:bCs/>
          <w:szCs w:val="24"/>
        </w:rPr>
        <w:t>磋商担保函</w:t>
      </w:r>
      <w:bookmarkEnd w:id="291"/>
      <w:bookmarkEnd w:id="292"/>
    </w:p>
    <w:p>
      <w:pPr>
        <w:rPr>
          <w:rFonts w:hAnsi="宋体" w:cs="宋体"/>
          <w:szCs w:val="24"/>
        </w:rPr>
      </w:pPr>
      <w:r>
        <w:rPr>
          <w:rFonts w:hint="eastAsia" w:hAnsi="宋体" w:cs="宋体"/>
          <w:szCs w:val="24"/>
        </w:rPr>
        <w:t xml:space="preserve">编号： </w:t>
      </w:r>
    </w:p>
    <w:p>
      <w:pPr>
        <w:rPr>
          <w:rFonts w:hAnsi="宋体" w:cs="宋体"/>
          <w:szCs w:val="24"/>
          <w:u w:val="single"/>
        </w:rPr>
      </w:pPr>
    </w:p>
    <w:p>
      <w:pPr>
        <w:spacing w:line="360" w:lineRule="auto"/>
        <w:rPr>
          <w:rFonts w:hAnsi="宋体" w:cs="宋体"/>
          <w:szCs w:val="24"/>
        </w:rPr>
      </w:pPr>
      <w:r>
        <w:rPr>
          <w:rFonts w:hint="eastAsia" w:hAnsi="宋体" w:cs="宋体"/>
          <w:szCs w:val="24"/>
          <w:u w:val="single"/>
        </w:rPr>
        <w:t>___________________</w:t>
      </w:r>
      <w:r>
        <w:rPr>
          <w:rFonts w:hint="eastAsia" w:hAnsi="宋体" w:cs="宋体"/>
          <w:szCs w:val="24"/>
        </w:rPr>
        <w:t xml:space="preserve">（采购人或采购代理机构）： </w:t>
      </w:r>
    </w:p>
    <w:p>
      <w:pPr>
        <w:spacing w:line="360" w:lineRule="auto"/>
        <w:ind w:firstLine="480" w:firstLineChars="200"/>
        <w:rPr>
          <w:rFonts w:hAnsi="宋体" w:cs="宋体"/>
          <w:szCs w:val="24"/>
        </w:rPr>
      </w:pPr>
      <w:r>
        <w:rPr>
          <w:rFonts w:hint="eastAsia" w:hAnsi="宋体" w:cs="宋体"/>
          <w:szCs w:val="24"/>
        </w:rPr>
        <w:t>鉴于</w:t>
      </w:r>
      <w:r>
        <w:rPr>
          <w:rFonts w:hint="eastAsia" w:hAnsi="宋体" w:cs="宋体"/>
          <w:szCs w:val="24"/>
          <w:u w:val="single"/>
        </w:rPr>
        <w:t>_______________</w:t>
      </w:r>
      <w:r>
        <w:rPr>
          <w:rFonts w:hint="eastAsia" w:hAnsi="宋体" w:cs="宋体"/>
          <w:szCs w:val="24"/>
        </w:rPr>
        <w:t>（以下简称“供应商”）拟参加编号为</w:t>
      </w:r>
      <w:r>
        <w:rPr>
          <w:rFonts w:hint="eastAsia" w:hAnsi="宋体" w:cs="宋体"/>
          <w:szCs w:val="24"/>
          <w:u w:val="single"/>
        </w:rPr>
        <w:t>___________</w:t>
      </w:r>
      <w:r>
        <w:rPr>
          <w:rFonts w:hint="eastAsia" w:hAnsi="宋体" w:cs="宋体"/>
          <w:szCs w:val="24"/>
        </w:rPr>
        <w:t>的</w:t>
      </w:r>
      <w:r>
        <w:rPr>
          <w:rFonts w:hint="eastAsia" w:hAnsi="宋体" w:cs="宋体"/>
          <w:szCs w:val="24"/>
          <w:u w:val="single"/>
        </w:rPr>
        <w:t>________________________</w:t>
      </w:r>
      <w:r>
        <w:rPr>
          <w:rFonts w:hint="eastAsia" w:hAnsi="宋体" w:cs="宋体"/>
          <w:szCs w:val="24"/>
        </w:rPr>
        <w:t xml:space="preserve">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一、保证责任的情形及保证金额 </w:t>
      </w:r>
    </w:p>
    <w:p>
      <w:pPr>
        <w:spacing w:line="360" w:lineRule="auto"/>
        <w:rPr>
          <w:rFonts w:hAnsi="宋体" w:cs="宋体"/>
          <w:szCs w:val="24"/>
        </w:rPr>
      </w:pPr>
      <w:r>
        <w:rPr>
          <w:rFonts w:hint="eastAsia" w:hAnsi="宋体" w:cs="宋体"/>
          <w:szCs w:val="24"/>
        </w:rPr>
        <w:t xml:space="preserve">   （一）在供应商出现下列情形之一时，我方承担保证责任： </w:t>
      </w:r>
    </w:p>
    <w:p>
      <w:pPr>
        <w:spacing w:line="360" w:lineRule="auto"/>
        <w:rPr>
          <w:rFonts w:hAnsi="宋体" w:cs="宋体"/>
          <w:szCs w:val="24"/>
        </w:rPr>
      </w:pPr>
      <w:r>
        <w:rPr>
          <w:rFonts w:hint="eastAsia" w:hAnsi="宋体" w:cs="宋体"/>
          <w:szCs w:val="24"/>
        </w:rPr>
        <w:t xml:space="preserve">    1．成交后供应商无正当理由不与采购人或者采购代理机构签订《政府采购合同》； </w:t>
      </w:r>
    </w:p>
    <w:p>
      <w:pPr>
        <w:spacing w:line="360" w:lineRule="auto"/>
        <w:rPr>
          <w:rFonts w:hAnsi="宋体" w:cs="宋体"/>
          <w:szCs w:val="24"/>
        </w:rPr>
      </w:pPr>
      <w:r>
        <w:rPr>
          <w:rFonts w:hint="eastAsia" w:hAnsi="宋体" w:cs="宋体"/>
          <w:szCs w:val="24"/>
        </w:rPr>
        <w:t xml:space="preserve">    2．竞争性磋商文件规定的供应商应当缴纳保证金的其他情形。 </w:t>
      </w:r>
    </w:p>
    <w:p>
      <w:pPr>
        <w:spacing w:line="360" w:lineRule="auto"/>
        <w:ind w:firstLine="480" w:firstLineChars="200"/>
        <w:jc w:val="left"/>
        <w:rPr>
          <w:rFonts w:hAnsi="宋体" w:cs="宋体"/>
          <w:szCs w:val="24"/>
        </w:rPr>
      </w:pPr>
      <w:r>
        <w:rPr>
          <w:rFonts w:hint="eastAsia" w:hAnsi="宋体" w:cs="宋体"/>
          <w:szCs w:val="24"/>
        </w:rPr>
        <w:t xml:space="preserve">  （二）我方承担保证责任的最高金额为人民币</w:t>
      </w:r>
      <w:r>
        <w:rPr>
          <w:rFonts w:hint="eastAsia" w:hAnsi="宋体" w:cs="宋体"/>
          <w:szCs w:val="24"/>
          <w:u w:val="single"/>
        </w:rPr>
        <w:t>______</w:t>
      </w:r>
      <w:r>
        <w:rPr>
          <w:rFonts w:hint="eastAsia" w:hAnsi="宋体" w:cs="宋体"/>
          <w:szCs w:val="24"/>
        </w:rPr>
        <w:t>元（大写</w:t>
      </w:r>
      <w:r>
        <w:rPr>
          <w:rFonts w:hint="eastAsia" w:hAnsi="宋体" w:cs="宋体"/>
          <w:szCs w:val="24"/>
          <w:u w:val="single"/>
        </w:rPr>
        <w:t>_____________</w:t>
      </w:r>
      <w:r>
        <w:rPr>
          <w:rFonts w:hint="eastAsia" w:hAnsi="宋体" w:cs="宋体"/>
          <w:szCs w:val="24"/>
        </w:rPr>
        <w:t xml:space="preserve">），即本项目的磋商保证金金额。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二、保证的方式及保证期间 </w:t>
      </w:r>
    </w:p>
    <w:p>
      <w:pPr>
        <w:spacing w:line="360" w:lineRule="auto"/>
        <w:rPr>
          <w:rFonts w:hAnsi="宋体" w:cs="宋体"/>
          <w:szCs w:val="24"/>
        </w:rPr>
      </w:pPr>
      <w:r>
        <w:rPr>
          <w:rFonts w:hint="eastAsia" w:hAnsi="宋体" w:cs="宋体"/>
          <w:szCs w:val="24"/>
        </w:rPr>
        <w:t xml:space="preserve">    我方保证的方式为：连带责任保证。 </w:t>
      </w:r>
    </w:p>
    <w:p>
      <w:pPr>
        <w:spacing w:line="360" w:lineRule="auto"/>
        <w:rPr>
          <w:rFonts w:hAnsi="宋体" w:cs="宋体"/>
          <w:szCs w:val="24"/>
        </w:rPr>
      </w:pPr>
      <w:r>
        <w:rPr>
          <w:rFonts w:hint="eastAsia" w:hAnsi="宋体" w:cs="宋体"/>
          <w:szCs w:val="24"/>
        </w:rPr>
        <w:t xml:space="preserve">    我方的保证期间为：自本保函生效之日起</w:t>
      </w:r>
      <w:r>
        <w:rPr>
          <w:rFonts w:hint="eastAsia" w:hAnsi="宋体" w:cs="宋体"/>
          <w:szCs w:val="24"/>
          <w:u w:val="single"/>
        </w:rPr>
        <w:t>______</w:t>
      </w:r>
      <w:r>
        <w:rPr>
          <w:rFonts w:hint="eastAsia" w:hAnsi="宋体" w:cs="宋体"/>
          <w:szCs w:val="24"/>
        </w:rPr>
        <w:t xml:space="preserve">个月止。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三、承担保证责任的程序 </w:t>
      </w:r>
    </w:p>
    <w:p>
      <w:pPr>
        <w:spacing w:line="360" w:lineRule="auto"/>
        <w:rPr>
          <w:rFonts w:hAnsi="宋体" w:cs="宋体"/>
          <w:szCs w:val="24"/>
        </w:rPr>
      </w:pPr>
      <w:r>
        <w:rPr>
          <w:rFonts w:hint="eastAsia" w:hAnsi="宋体" w:cs="宋体"/>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rPr>
      </w:pPr>
      <w:r>
        <w:rPr>
          <w:rFonts w:hint="eastAsia" w:hAnsi="宋体" w:cs="宋体"/>
          <w:szCs w:val="24"/>
        </w:rPr>
        <w:t xml:space="preserve">    2．我方在收到索赔通知及相关证明材料后，在</w:t>
      </w:r>
      <w:r>
        <w:rPr>
          <w:rFonts w:hint="eastAsia" w:hAnsi="宋体" w:cs="宋体"/>
          <w:szCs w:val="24"/>
          <w:u w:val="single"/>
        </w:rPr>
        <w:t>_____</w:t>
      </w:r>
      <w:r>
        <w:rPr>
          <w:rFonts w:hint="eastAsia" w:hAnsi="宋体" w:cs="宋体"/>
          <w:szCs w:val="24"/>
        </w:rPr>
        <w:t xml:space="preserve">个工作日内进行审查，符合应承担保证责任情形的，我方应按照你方的要求代供应商向你方支付磋商保证金。 </w:t>
      </w:r>
    </w:p>
    <w:p>
      <w:pPr>
        <w:spacing w:line="360" w:lineRule="auto"/>
        <w:rPr>
          <w:rFonts w:hAnsi="宋体" w:cs="宋体"/>
          <w:b/>
          <w:szCs w:val="24"/>
        </w:rPr>
      </w:pPr>
      <w:r>
        <w:rPr>
          <w:rFonts w:hint="eastAsia" w:hAnsi="宋体" w:cs="宋体"/>
          <w:b/>
          <w:szCs w:val="24"/>
        </w:rPr>
        <w:t xml:space="preserve">    四、保证责任的终止 </w:t>
      </w:r>
    </w:p>
    <w:p>
      <w:pPr>
        <w:spacing w:line="360" w:lineRule="auto"/>
        <w:rPr>
          <w:rFonts w:hAnsi="宋体" w:cs="宋体"/>
          <w:szCs w:val="24"/>
        </w:rPr>
      </w:pPr>
      <w:r>
        <w:rPr>
          <w:rFonts w:hint="eastAsia" w:hAnsi="宋体" w:cs="宋体"/>
          <w:szCs w:val="24"/>
        </w:rPr>
        <w:t xml:space="preserve">    1．保证期间届满你方未向我方书面主张保证责任的，自保证期间届满次日起，我方保证责任自动终止。 </w:t>
      </w:r>
    </w:p>
    <w:p>
      <w:pPr>
        <w:spacing w:line="360" w:lineRule="auto"/>
        <w:rPr>
          <w:rFonts w:hAnsi="宋体" w:cs="宋体"/>
          <w:szCs w:val="24"/>
        </w:rPr>
      </w:pPr>
      <w:r>
        <w:rPr>
          <w:rFonts w:hint="eastAsia" w:hAnsi="宋体" w:cs="宋体"/>
          <w:szCs w:val="24"/>
        </w:rPr>
        <w:t xml:space="preserve">    2．我方按照本保函向你方履行了保证责任后，自我方向你方支付款项（支付款项从我方账户划出）之日起，保证责任终止。 </w:t>
      </w:r>
    </w:p>
    <w:p>
      <w:pPr>
        <w:spacing w:line="360" w:lineRule="auto"/>
        <w:rPr>
          <w:rFonts w:hAnsi="宋体" w:cs="宋体"/>
          <w:szCs w:val="24"/>
        </w:rPr>
      </w:pPr>
      <w:r>
        <w:rPr>
          <w:rFonts w:hint="eastAsia" w:hAnsi="宋体" w:cs="宋体"/>
          <w:szCs w:val="24"/>
        </w:rPr>
        <w:t xml:space="preserve">    3．按照法律法规的规定或出现我方保证责任终止的其它情形的，我方在本保函项下的保证责任亦终止。 </w:t>
      </w:r>
    </w:p>
    <w:p>
      <w:pPr>
        <w:spacing w:line="360" w:lineRule="auto"/>
        <w:rPr>
          <w:rFonts w:hAnsi="宋体" w:cs="宋体"/>
          <w:b/>
          <w:szCs w:val="24"/>
        </w:rPr>
      </w:pPr>
      <w:r>
        <w:rPr>
          <w:rFonts w:hint="eastAsia" w:hAnsi="宋体" w:cs="宋体"/>
          <w:b/>
          <w:szCs w:val="24"/>
        </w:rPr>
        <w:t xml:space="preserve">    五、免责条款 </w:t>
      </w:r>
    </w:p>
    <w:p>
      <w:pPr>
        <w:spacing w:line="360" w:lineRule="auto"/>
        <w:rPr>
          <w:rFonts w:hAnsi="宋体" w:cs="宋体"/>
          <w:szCs w:val="24"/>
        </w:rPr>
      </w:pPr>
      <w:r>
        <w:rPr>
          <w:rFonts w:hint="eastAsia" w:hAnsi="宋体" w:cs="宋体"/>
          <w:szCs w:val="24"/>
        </w:rPr>
        <w:t xml:space="preserve">    1．依照法律规定或你方与供应商的另行约定，全部或者部分免除供应商磋商保证金义务时，我方亦免除相应的保证责任。 </w:t>
      </w:r>
    </w:p>
    <w:p>
      <w:pPr>
        <w:spacing w:line="360" w:lineRule="auto"/>
        <w:rPr>
          <w:rFonts w:hAnsi="宋体" w:cs="宋体"/>
          <w:szCs w:val="24"/>
        </w:rPr>
      </w:pPr>
      <w:r>
        <w:rPr>
          <w:rFonts w:hint="eastAsia" w:hAnsi="宋体" w:cs="宋体"/>
          <w:szCs w:val="24"/>
        </w:rPr>
        <w:t xml:space="preserve">    2．因你方原因致使供应商发生本保函第一条第（一）款约定情形的，我方不承担保证责任。 </w:t>
      </w:r>
    </w:p>
    <w:p>
      <w:pPr>
        <w:spacing w:line="360" w:lineRule="auto"/>
        <w:rPr>
          <w:rFonts w:hAnsi="宋体" w:cs="宋体"/>
          <w:szCs w:val="24"/>
        </w:rPr>
      </w:pPr>
      <w:r>
        <w:rPr>
          <w:rFonts w:hint="eastAsia" w:hAnsi="宋体" w:cs="宋体"/>
          <w:szCs w:val="24"/>
        </w:rPr>
        <w:t xml:space="preserve">    3．因不可抗力造成供应商发生本保函第一条约定情形的，我方不承担保证责任。 </w:t>
      </w:r>
    </w:p>
    <w:p>
      <w:pPr>
        <w:spacing w:line="360" w:lineRule="auto"/>
        <w:rPr>
          <w:rFonts w:hAnsi="宋体" w:cs="宋体"/>
          <w:szCs w:val="24"/>
        </w:rPr>
      </w:pPr>
      <w:r>
        <w:rPr>
          <w:rFonts w:hint="eastAsia" w:hAnsi="宋体" w:cs="宋体"/>
          <w:szCs w:val="24"/>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六、争议的解决 </w:t>
      </w:r>
    </w:p>
    <w:p>
      <w:pPr>
        <w:spacing w:line="360" w:lineRule="auto"/>
        <w:rPr>
          <w:rFonts w:hAnsi="宋体" w:cs="宋体"/>
          <w:szCs w:val="24"/>
        </w:rPr>
      </w:pPr>
      <w:r>
        <w:rPr>
          <w:rFonts w:hint="eastAsia" w:hAnsi="宋体" w:cs="宋体"/>
          <w:szCs w:val="24"/>
        </w:rPr>
        <w:t xml:space="preserve">    因本保函发生的纠纷，由你我双方协商解决，协商不成的，通过诉讼程序解决，诉讼管辖地法院为</w:t>
      </w:r>
      <w:r>
        <w:rPr>
          <w:rFonts w:hint="eastAsia" w:hAnsi="宋体" w:cs="宋体"/>
          <w:szCs w:val="24"/>
          <w:u w:val="single"/>
        </w:rPr>
        <w:t>________________</w:t>
      </w:r>
      <w:r>
        <w:rPr>
          <w:rFonts w:hint="eastAsia" w:hAnsi="宋体" w:cs="宋体"/>
          <w:szCs w:val="24"/>
        </w:rPr>
        <w:t xml:space="preserve">法院。 </w:t>
      </w:r>
    </w:p>
    <w:p>
      <w:pPr>
        <w:spacing w:line="360" w:lineRule="auto"/>
        <w:rPr>
          <w:rFonts w:hAnsi="宋体" w:cs="宋体"/>
          <w:b/>
          <w:szCs w:val="24"/>
        </w:rPr>
      </w:pPr>
      <w:r>
        <w:rPr>
          <w:rFonts w:hint="eastAsia" w:hAnsi="宋体" w:cs="宋体"/>
          <w:b/>
          <w:szCs w:val="24"/>
        </w:rPr>
        <w:t xml:space="preserve">    七、保函的生效 </w:t>
      </w:r>
    </w:p>
    <w:p>
      <w:pPr>
        <w:spacing w:line="360" w:lineRule="auto"/>
        <w:rPr>
          <w:rFonts w:hAnsi="宋体" w:cs="宋体"/>
          <w:szCs w:val="24"/>
        </w:rPr>
      </w:pPr>
      <w:r>
        <w:rPr>
          <w:rFonts w:hint="eastAsia" w:hAnsi="宋体" w:cs="宋体"/>
          <w:szCs w:val="24"/>
        </w:rPr>
        <w:t xml:space="preserve">    本保函自我方加盖公章之日起生效。 </w:t>
      </w:r>
    </w:p>
    <w:p>
      <w:pPr>
        <w:spacing w:line="360" w:lineRule="auto"/>
        <w:rPr>
          <w:rFonts w:hAnsi="宋体" w:cs="宋体"/>
          <w:szCs w:val="24"/>
        </w:rPr>
      </w:pPr>
      <w:r>
        <w:rPr>
          <w:rFonts w:hint="eastAsia" w:hAnsi="宋体" w:cs="宋体"/>
          <w:szCs w:val="24"/>
        </w:rPr>
        <w:t xml:space="preserve">                             </w:t>
      </w:r>
    </w:p>
    <w:p>
      <w:pPr>
        <w:spacing w:line="360" w:lineRule="auto"/>
        <w:rPr>
          <w:rFonts w:hAnsi="宋体" w:cs="宋体"/>
          <w:szCs w:val="24"/>
        </w:rPr>
      </w:pPr>
    </w:p>
    <w:p>
      <w:pPr>
        <w:spacing w:line="360" w:lineRule="auto"/>
        <w:rPr>
          <w:rFonts w:hAnsi="宋体" w:cs="宋体"/>
          <w:szCs w:val="24"/>
        </w:rPr>
      </w:pPr>
      <w:r>
        <w:rPr>
          <w:rFonts w:hint="eastAsia" w:hAnsi="宋体" w:cs="宋体"/>
          <w:szCs w:val="24"/>
        </w:rPr>
        <w:t xml:space="preserve">                                </w:t>
      </w:r>
    </w:p>
    <w:p>
      <w:pPr>
        <w:spacing w:line="360" w:lineRule="auto"/>
        <w:rPr>
          <w:rFonts w:hAnsi="宋体" w:cs="宋体"/>
          <w:szCs w:val="24"/>
        </w:rPr>
      </w:pPr>
    </w:p>
    <w:p>
      <w:pPr>
        <w:spacing w:line="360" w:lineRule="auto"/>
        <w:ind w:right="640" w:firstLine="3840" w:firstLineChars="1600"/>
        <w:rPr>
          <w:rFonts w:hAnsi="宋体" w:cs="宋体"/>
          <w:szCs w:val="24"/>
        </w:rPr>
      </w:pPr>
      <w:r>
        <w:rPr>
          <w:rFonts w:hint="eastAsia" w:hAnsi="宋体" w:cs="宋体"/>
          <w:szCs w:val="24"/>
        </w:rPr>
        <w:t>保证人：（公章）</w:t>
      </w:r>
    </w:p>
    <w:p>
      <w:pPr>
        <w:spacing w:line="360" w:lineRule="auto"/>
        <w:ind w:right="640"/>
        <w:rPr>
          <w:rFonts w:hAnsi="宋体" w:cs="宋体"/>
          <w:szCs w:val="24"/>
        </w:rPr>
      </w:pPr>
      <w:r>
        <w:rPr>
          <w:rFonts w:hint="eastAsia" w:hAnsi="宋体" w:cs="宋体"/>
          <w:szCs w:val="24"/>
        </w:rPr>
        <w:t xml:space="preserve">                                年     月      日</w:t>
      </w:r>
    </w:p>
    <w:p>
      <w:pPr>
        <w:tabs>
          <w:tab w:val="left" w:pos="7839"/>
        </w:tabs>
        <w:rPr>
          <w:rFonts w:hAnsi="宋体" w:cs="宋体"/>
          <w:szCs w:val="24"/>
        </w:rPr>
      </w:pPr>
      <w:r>
        <w:rPr>
          <w:rFonts w:hint="eastAsia" w:hAnsi="宋体" w:cs="宋体"/>
          <w:szCs w:val="24"/>
        </w:rPr>
        <w:tab/>
      </w:r>
    </w:p>
    <w:p>
      <w:pPr>
        <w:tabs>
          <w:tab w:val="left" w:pos="7839"/>
        </w:tabs>
        <w:rPr>
          <w:rFonts w:hAnsi="宋体" w:cs="宋体"/>
          <w:szCs w:val="24"/>
        </w:rPr>
      </w:pPr>
      <w:r>
        <w:rPr>
          <w:rFonts w:hint="eastAsia" w:hAnsi="宋体" w:cs="宋体"/>
          <w:szCs w:val="24"/>
        </w:rPr>
        <w:tab/>
      </w: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rPr>
      </w:pPr>
    </w:p>
    <w:p>
      <w:pPr>
        <w:rPr>
          <w:rFonts w:hAnsi="宋体" w:cs="宋体"/>
          <w:szCs w:val="24"/>
        </w:rPr>
      </w:pPr>
    </w:p>
    <w:sectPr>
      <w:headerReference r:id="rId6" w:type="default"/>
      <w:footerReference r:id="rId7"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SourceHanSansCN-Regular">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tabs>
        <w:tab w:val="left" w:pos="5646"/>
      </w:tabs>
      <w:rPr>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44</w:t>
                          </w:r>
                          <w:r>
                            <w:rPr>
                              <w:sz w:val="16"/>
                              <w:szCs w:val="16"/>
                            </w:rPr>
                            <w:fldChar w:fldCharType="end"/>
                          </w:r>
                          <w:r>
                            <w:rPr>
                              <w:rFonts w:hint="eastAsia"/>
                              <w:sz w:val="16"/>
                              <w:szCs w:val="16"/>
                            </w:rPr>
                            <w:t xml:space="preserve">   地址：西安市曲江新区雁翔路3269号旺座曲江E座29层2901号</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msqlHsAQAA1gMAAA4AAABkcnMvZTJvRG9jLnhtbK1TzY7TMBC+&#10;I/EOlu80aaVCFDVdAdUiJARICw/gOnZjyX+yp03KA8AbcOLCnefqc+zYSbpoueyBSzLjmflmvs/j&#10;zc1gNDmJEJWzDV0uSkqE5a5V9tDQr19uX1SURGC2ZdpZ0dCziPRm+/zZpve1WLnO6VYEgiA21r1v&#10;aAfg66KIvBOGxYXzwmJQumAYoBsORRtYj+hGF6uyfFn0LrQ+OC5ixNPdGKQTYngKoJNScbFz/GiE&#10;hRE1CM0AKcVO+Ui3eVopBYdPUkYBRDcUmUL+YhO09+lbbDesPgTmO8WnEdhTRnjEyTBlsekVaseA&#10;kWNQ/0AZxYOLTsKCO1OMRLIiyGJZPtLmrmNeZC4odfRX0eP/g+UfT58DUW1D15RYZvDCLz9/XH79&#10;ufz+TpZJnt7HGrPuPObB8MYNuDTzecTDxHqQwaQ/8iEYR3HPV3HFAISnompVVSWGOMZmB/GLh3If&#10;IrwTzpBkNDTg7WVR2elDhDF1TkndrLtVWucb1Jb0iLquXq1zxTWE6NqmZJGXYcJJnMbZkwXDfpiI&#10;7l17Rp74PLB/58I3SnpcjoZafAuU6PcWtU97NBthNvazwSzHwoYCJaP5FsZ9O/qgDl3ewDRQ9K+P&#10;gAwysTTG2BsFSQ5ed5ZmWs20T3/7OevhOW7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Z&#10;rKpR7AEAANYDAAAOAAAAAAAAAAEAIAAAACIBAABkcnMvZTJvRG9jLnhtbFBLBQYAAAAABgAGAFkB&#10;AACABQAAAAA=&#10;">
              <v:fill on="f" focussize="0,0"/>
              <v:stroke on="f" weight="1.25pt"/>
              <v:imagedata o:title=""/>
              <o:lock v:ext="edit" aspectratio="f"/>
              <v:textbox inset="0mm,0mm,0mm,0mm" style="mso-fit-shape-to-text:t;">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44</w:t>
                    </w:r>
                    <w:r>
                      <w:rPr>
                        <w:sz w:val="16"/>
                        <w:szCs w:val="16"/>
                      </w:rPr>
                      <w:fldChar w:fldCharType="end"/>
                    </w:r>
                    <w:r>
                      <w:rPr>
                        <w:rFonts w:hint="eastAsia"/>
                        <w:sz w:val="16"/>
                        <w:szCs w:val="16"/>
                      </w:rPr>
                      <w:t xml:space="preserve">   地址：西安市曲江新区雁翔路3269号旺座曲江E座29层2901号</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47</w:t>
                          </w:r>
                          <w:r>
                            <w:rPr>
                              <w:sz w:val="16"/>
                              <w:szCs w:val="16"/>
                            </w:rPr>
                            <w:fldChar w:fldCharType="end"/>
                          </w:r>
                          <w:r>
                            <w:rPr>
                              <w:rFonts w:hint="eastAsia"/>
                              <w:sz w:val="16"/>
                              <w:szCs w:val="16"/>
                              <w:lang w:val="zh-CN"/>
                            </w:rPr>
                            <w:t xml:space="preserve">     </w:t>
                          </w:r>
                          <w:r>
                            <w:rPr>
                              <w:rFonts w:hint="eastAsia"/>
                              <w:sz w:val="16"/>
                              <w:szCs w:val="16"/>
                            </w:rPr>
                            <w:t>地址：西安市曲江新区雁翔路3269号旺座曲江E座29层2901号</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0rdfsAQAA1gMAAA4AAABkcnMvZTJvRG9jLnhtbK1TwY7TMBC9&#10;I/EPlu802Uq7RFXTFVAtQkKAtPABruM0lmyPNXablA+AP+DEhTvf1e9g7CRdtFz2wCWZ8cy8mfc8&#10;Xt8O1rCjwqDB1fxqUXKmnIRGu33Nv3y+e1FxFqJwjTDgVM1PKvDbzfNn696v1BI6MI1CRiAurHpf&#10;8y5GvyqKIDtlRViAV46CLaAVkVzcFw2KntCtKZZleVP0gI1HkCoEOt2OQT4h4lMAoW21VFuQB6tc&#10;HFFRGRGJUui0D3yTp21bJePHtg0qMlNzYhrzl5qQvUvfYrMWqz0K32k5jSCeMsIjTlZoR00vUFsR&#10;BTug/gfKaokQoI0LCbYYiWRFiMVV+Uib+054lbmQ1MFfRA//D1Z+OH5Cppua33DmhKULP//4fv75&#10;+/zrG1smeXofVpR17ykvDq9hoKWZzwMdJtZDizb9iQ+jOIl7uoirhshkKqqWVVVSSFJsdgi/eCj3&#10;GOJbBZYlo+ZIt5dFFcf3IY6pc0rq5uBOG5Nv0DjWE+p19fI6V1xChG5cSlZ5GSacxGmcPVlx2A0T&#10;0R00J+JJz4P6d4BfOetpOWru6C1wZt450j7t0WzgbOxmQzhJhTWPnI3mmzju28Gj3nd5A9NAwb86&#10;RGKQiaUxxt4kSHLourM002qmffrbz1kPz3H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DJ&#10;9K3X7AEAANYDAAAOAAAAAAAAAAEAIAAAACIBAABkcnMvZTJvRG9jLnhtbFBLBQYAAAAABgAGAFkB&#10;AACABQAAAAA=&#10;">
              <v:fill on="f" focussize="0,0"/>
              <v:stroke on="f" weight="1.25pt"/>
              <v:imagedata o:title=""/>
              <o:lock v:ext="edit" aspectratio="f"/>
              <v:textbox inset="0mm,0mm,0mm,0mm" style="mso-fit-shape-to-text:t;">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47</w:t>
                    </w:r>
                    <w:r>
                      <w:rPr>
                        <w:sz w:val="16"/>
                        <w:szCs w:val="16"/>
                      </w:rPr>
                      <w:fldChar w:fldCharType="end"/>
                    </w:r>
                    <w:r>
                      <w:rPr>
                        <w:rFonts w:hint="eastAsia"/>
                        <w:sz w:val="16"/>
                        <w:szCs w:val="16"/>
                        <w:lang w:val="zh-CN"/>
                      </w:rPr>
                      <w:t xml:space="preserve">     </w:t>
                    </w:r>
                    <w:r>
                      <w:rPr>
                        <w:rFonts w:hint="eastAsia"/>
                        <w:sz w:val="16"/>
                        <w:szCs w:val="16"/>
                      </w:rPr>
                      <w:t>地址：西安市曲江新区雁翔路3269号旺座曲江E座29层2901号</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hAnsi="宋体"/>
        <w:sz w:val="18"/>
        <w:szCs w:val="18"/>
        <w:u w:val="single"/>
      </w:rPr>
      <w:t>2023年陕西省国家水资源监控一期监测站运行维护</w:t>
    </w:r>
    <w:ins w:id="0" w:author="高凌" w:date="2023-05-12T10:44:00Z">
      <w:r>
        <w:rPr>
          <w:rFonts w:hint="eastAsia" w:hAnsi="宋体"/>
          <w:sz w:val="18"/>
          <w:szCs w:val="18"/>
          <w:u w:val="single"/>
        </w:rPr>
        <w:t>(合同包1）</w:t>
      </w:r>
    </w:ins>
    <w:r>
      <w:rPr>
        <w:rFonts w:hint="eastAsia" w:hAnsi="宋体"/>
        <w:sz w:val="18"/>
        <w:szCs w:val="18"/>
        <w:u w:val="single"/>
      </w:rPr>
      <w:t xml:space="preserve">                              </w:t>
    </w:r>
    <w:ins w:id="1" w:author="高凌" w:date="2023-05-12T10:44:00Z">
      <w:r>
        <w:rPr>
          <w:rFonts w:hint="eastAsia" w:hAnsi="宋体"/>
          <w:sz w:val="18"/>
          <w:szCs w:val="18"/>
          <w:u w:val="single"/>
        </w:rPr>
        <w:t xml:space="preserve"> </w:t>
      </w:r>
    </w:ins>
    <w:r>
      <w:rPr>
        <w:rFonts w:hint="eastAsia" w:hAnsi="宋体"/>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hAnsi="宋体"/>
        <w:sz w:val="18"/>
        <w:szCs w:val="18"/>
        <w:u w:val="single"/>
      </w:rPr>
      <w:t>2023年陕西省国家水资源监控一期监测站运行维护</w:t>
    </w:r>
    <w:ins w:id="2" w:author="高凌" w:date="2023-05-12T10:59:00Z">
      <w:r>
        <w:rPr>
          <w:rFonts w:hint="eastAsia" w:hAnsi="宋体"/>
          <w:sz w:val="18"/>
          <w:szCs w:val="18"/>
          <w:u w:val="single"/>
        </w:rPr>
        <w:t>（合同包1）</w:t>
      </w:r>
    </w:ins>
    <w:r>
      <w:rPr>
        <w:rFonts w:hint="eastAsia" w:hAnsi="宋体"/>
        <w:sz w:val="13"/>
        <w:szCs w:val="13"/>
        <w:u w:val="single"/>
      </w:rPr>
      <w:t xml:space="preserve">                                       </w:t>
    </w:r>
    <w:r>
      <w:rPr>
        <w:rFonts w:hint="eastAsia" w:hAnsi="宋体"/>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39F55"/>
    <w:multiLevelType w:val="singleLevel"/>
    <w:tmpl w:val="C7339F55"/>
    <w:lvl w:ilvl="0" w:tentative="0">
      <w:start w:val="1"/>
      <w:numFmt w:val="decimal"/>
      <w:lvlText w:val="%1."/>
      <w:lvlJc w:val="left"/>
      <w:pPr>
        <w:tabs>
          <w:tab w:val="left" w:pos="312"/>
        </w:tabs>
      </w:pPr>
    </w:lvl>
  </w:abstractNum>
  <w:abstractNum w:abstractNumId="1">
    <w:nsid w:val="D7356D9E"/>
    <w:multiLevelType w:val="singleLevel"/>
    <w:tmpl w:val="D7356D9E"/>
    <w:lvl w:ilvl="0" w:tentative="0">
      <w:start w:val="2"/>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165"/>
      <w:lvlText w:val="%1. "/>
      <w:lvlJc w:val="left"/>
      <w:pPr>
        <w:tabs>
          <w:tab w:val="left" w:pos="1406"/>
        </w:tabs>
        <w:ind w:left="1406" w:hanging="419"/>
      </w:pPr>
      <w:rPr>
        <w:rFonts w:hint="eastAsia"/>
      </w:rPr>
    </w:lvl>
    <w:lvl w:ilvl="1" w:tentative="0">
      <w:start w:val="1"/>
      <w:numFmt w:val="upperLetter"/>
      <w:pStyle w:val="176"/>
      <w:lvlText w:val="%2. "/>
      <w:lvlJc w:val="left"/>
      <w:pPr>
        <w:tabs>
          <w:tab w:val="left" w:pos="1616"/>
        </w:tabs>
        <w:ind w:left="1616" w:hanging="420"/>
      </w:pPr>
      <w:rPr>
        <w:rFonts w:hint="eastAsia"/>
      </w:rPr>
    </w:lvl>
    <w:lvl w:ilvl="2" w:tentative="0">
      <w:start w:val="1"/>
      <w:numFmt w:val="lowerLetter"/>
      <w:pStyle w:val="166"/>
      <w:lvlText w:val="%3. "/>
      <w:lvlJc w:val="left"/>
      <w:pPr>
        <w:tabs>
          <w:tab w:val="left" w:pos="1826"/>
        </w:tabs>
        <w:ind w:left="1826" w:hanging="420"/>
      </w:pPr>
      <w:rPr>
        <w:rFonts w:hint="eastAsia"/>
      </w:rPr>
    </w:lvl>
    <w:lvl w:ilvl="3" w:tentative="0">
      <w:start w:val="1"/>
      <w:numFmt w:val="lowerLetter"/>
      <w:pStyle w:val="164"/>
      <w:lvlText w:val="%4) "/>
      <w:lvlJc w:val="left"/>
      <w:pPr>
        <w:tabs>
          <w:tab w:val="left" w:pos="2036"/>
        </w:tabs>
        <w:ind w:left="2036" w:hanging="420"/>
      </w:pPr>
      <w:rPr>
        <w:rFonts w:hint="eastAsia"/>
      </w:rPr>
    </w:lvl>
    <w:lvl w:ilvl="4" w:tentative="0">
      <w:start w:val="1"/>
      <w:numFmt w:val="none"/>
      <w:suff w:val="nothing"/>
      <w:lvlText w:val=""/>
      <w:lvlJc w:val="left"/>
      <w:pPr>
        <w:ind w:left="1826" w:firstLine="0"/>
      </w:pPr>
      <w:rPr>
        <w:rFonts w:hint="eastAsia"/>
      </w:rPr>
    </w:lvl>
    <w:lvl w:ilvl="5" w:tentative="0">
      <w:start w:val="1"/>
      <w:numFmt w:val="none"/>
      <w:suff w:val="nothing"/>
      <w:lvlText w:val=""/>
      <w:lvlJc w:val="left"/>
      <w:pPr>
        <w:ind w:left="1826" w:firstLine="0"/>
      </w:pPr>
      <w:rPr>
        <w:rFonts w:hint="eastAsia"/>
      </w:rPr>
    </w:lvl>
    <w:lvl w:ilvl="6" w:tentative="0">
      <w:start w:val="1"/>
      <w:numFmt w:val="none"/>
      <w:suff w:val="nothing"/>
      <w:lvlText w:val=""/>
      <w:lvlJc w:val="left"/>
      <w:pPr>
        <w:ind w:left="1826" w:firstLine="0"/>
      </w:pPr>
      <w:rPr>
        <w:rFonts w:hint="eastAsia"/>
      </w:rPr>
    </w:lvl>
    <w:lvl w:ilvl="7" w:tentative="0">
      <w:start w:val="1"/>
      <w:numFmt w:val="none"/>
      <w:suff w:val="nothing"/>
      <w:lvlText w:val=""/>
      <w:lvlJc w:val="left"/>
      <w:pPr>
        <w:ind w:left="1826" w:firstLine="0"/>
      </w:pPr>
      <w:rPr>
        <w:rFonts w:hint="eastAsia"/>
      </w:rPr>
    </w:lvl>
    <w:lvl w:ilvl="8" w:tentative="0">
      <w:start w:val="1"/>
      <w:numFmt w:val="none"/>
      <w:suff w:val="nothing"/>
      <w:lvlText w:val=""/>
      <w:lvlJc w:val="left"/>
      <w:pPr>
        <w:ind w:left="1826" w:firstLine="0"/>
      </w:pPr>
      <w:rPr>
        <w:rFonts w:hint="eastAsia"/>
      </w:rPr>
    </w:lvl>
  </w:abstractNum>
  <w:abstractNum w:abstractNumId="3">
    <w:nsid w:val="0000001F"/>
    <w:multiLevelType w:val="singleLevel"/>
    <w:tmpl w:val="0000001F"/>
    <w:lvl w:ilvl="0" w:tentative="0">
      <w:start w:val="1"/>
      <w:numFmt w:val="decimal"/>
      <w:pStyle w:val="157"/>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29"/>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491603"/>
    <w:multiLevelType w:val="singleLevel"/>
    <w:tmpl w:val="58491603"/>
    <w:lvl w:ilvl="0" w:tentative="0">
      <w:start w:val="1"/>
      <w:numFmt w:val="decimal"/>
      <w:suff w:val="nothing"/>
      <w:lvlText w:val="%1、"/>
      <w:lvlJc w:val="left"/>
    </w:lvl>
  </w:abstractNum>
  <w:abstractNum w:abstractNumId="7">
    <w:nsid w:val="590049E8"/>
    <w:multiLevelType w:val="singleLevel"/>
    <w:tmpl w:val="590049E8"/>
    <w:lvl w:ilvl="0" w:tentative="0">
      <w:start w:val="30"/>
      <w:numFmt w:val="decimal"/>
      <w:suff w:val="nothing"/>
      <w:lvlText w:val="%1."/>
      <w:lvlJc w:val="left"/>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CF0981"/>
    <w:multiLevelType w:val="singleLevel"/>
    <w:tmpl w:val="59CF0981"/>
    <w:lvl w:ilvl="0" w:tentative="0">
      <w:start w:val="1"/>
      <w:numFmt w:val="decimal"/>
      <w:suff w:val="nothing"/>
      <w:lvlText w:val="%1、"/>
      <w:lvlJc w:val="left"/>
    </w:lvl>
  </w:abstractNum>
  <w:abstractNum w:abstractNumId="10">
    <w:nsid w:val="5BAE5FC2"/>
    <w:multiLevelType w:val="multilevel"/>
    <w:tmpl w:val="5BAE5FC2"/>
    <w:lvl w:ilvl="0" w:tentative="0">
      <w:start w:val="1"/>
      <w:numFmt w:val="decimalEnclosedCircle"/>
      <w:lvlText w:val="%1"/>
      <w:lvlJc w:val="left"/>
      <w:pPr>
        <w:ind w:left="372" w:hanging="360"/>
      </w:pPr>
      <w:rPr>
        <w:rFonts w:hint="default"/>
      </w:rPr>
    </w:lvl>
    <w:lvl w:ilvl="1" w:tentative="0">
      <w:start w:val="1"/>
      <w:numFmt w:val="lowerLetter"/>
      <w:lvlText w:val="%2)"/>
      <w:lvlJc w:val="left"/>
      <w:pPr>
        <w:ind w:left="852" w:hanging="420"/>
      </w:pPr>
    </w:lvl>
    <w:lvl w:ilvl="2" w:tentative="0">
      <w:start w:val="1"/>
      <w:numFmt w:val="lowerRoman"/>
      <w:lvlText w:val="%3."/>
      <w:lvlJc w:val="right"/>
      <w:pPr>
        <w:ind w:left="1272" w:hanging="420"/>
      </w:pPr>
    </w:lvl>
    <w:lvl w:ilvl="3" w:tentative="0">
      <w:start w:val="1"/>
      <w:numFmt w:val="decimal"/>
      <w:lvlText w:val="%4."/>
      <w:lvlJc w:val="left"/>
      <w:pPr>
        <w:ind w:left="1692" w:hanging="420"/>
      </w:pPr>
    </w:lvl>
    <w:lvl w:ilvl="4" w:tentative="0">
      <w:start w:val="1"/>
      <w:numFmt w:val="lowerLetter"/>
      <w:lvlText w:val="%5)"/>
      <w:lvlJc w:val="left"/>
      <w:pPr>
        <w:ind w:left="2112" w:hanging="420"/>
      </w:pPr>
    </w:lvl>
    <w:lvl w:ilvl="5" w:tentative="0">
      <w:start w:val="1"/>
      <w:numFmt w:val="lowerRoman"/>
      <w:lvlText w:val="%6."/>
      <w:lvlJc w:val="right"/>
      <w:pPr>
        <w:ind w:left="2532" w:hanging="420"/>
      </w:pPr>
    </w:lvl>
    <w:lvl w:ilvl="6" w:tentative="0">
      <w:start w:val="1"/>
      <w:numFmt w:val="decimal"/>
      <w:lvlText w:val="%7."/>
      <w:lvlJc w:val="left"/>
      <w:pPr>
        <w:ind w:left="2952" w:hanging="420"/>
      </w:pPr>
    </w:lvl>
    <w:lvl w:ilvl="7" w:tentative="0">
      <w:start w:val="1"/>
      <w:numFmt w:val="lowerLetter"/>
      <w:lvlText w:val="%8)"/>
      <w:lvlJc w:val="left"/>
      <w:pPr>
        <w:ind w:left="3372" w:hanging="420"/>
      </w:pPr>
    </w:lvl>
    <w:lvl w:ilvl="8" w:tentative="0">
      <w:start w:val="1"/>
      <w:numFmt w:val="lowerRoman"/>
      <w:lvlText w:val="%9."/>
      <w:lvlJc w:val="right"/>
      <w:pPr>
        <w:ind w:left="3792" w:hanging="420"/>
      </w:pPr>
    </w:lvl>
  </w:abstractNum>
  <w:abstractNum w:abstractNumId="11">
    <w:nsid w:val="6D162CDE"/>
    <w:multiLevelType w:val="multilevel"/>
    <w:tmpl w:val="6D162CDE"/>
    <w:lvl w:ilvl="0" w:tentative="0">
      <w:start w:val="1"/>
      <w:numFmt w:val="decimalEnclosedCircle"/>
      <w:lvlText w:val="%1"/>
      <w:lvlJc w:val="left"/>
      <w:pPr>
        <w:ind w:left="50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BD5A2C"/>
    <w:multiLevelType w:val="singleLevel"/>
    <w:tmpl w:val="74BD5A2C"/>
    <w:lvl w:ilvl="0" w:tentative="0">
      <w:start w:val="1"/>
      <w:numFmt w:val="decimal"/>
      <w:suff w:val="nothing"/>
      <w:lvlText w:val="（%1）"/>
      <w:lvlJc w:val="left"/>
    </w:lvl>
  </w:abstractNum>
  <w:num w:numId="1">
    <w:abstractNumId w:val="5"/>
  </w:num>
  <w:num w:numId="2">
    <w:abstractNumId w:val="4"/>
  </w:num>
  <w:num w:numId="3">
    <w:abstractNumId w:val="3"/>
  </w:num>
  <w:num w:numId="4">
    <w:abstractNumId w:val="2"/>
  </w:num>
  <w:num w:numId="5">
    <w:abstractNumId w:val="0"/>
  </w:num>
  <w:num w:numId="6">
    <w:abstractNumId w:val="8"/>
  </w:num>
  <w:num w:numId="7">
    <w:abstractNumId w:val="12"/>
  </w:num>
  <w:num w:numId="8">
    <w:abstractNumId w:val="7"/>
  </w:num>
  <w:num w:numId="9">
    <w:abstractNumId w:val="9"/>
  </w:num>
  <w:num w:numId="10">
    <w:abstractNumId w:val="11"/>
  </w:num>
  <w:num w:numId="11">
    <w:abstractNumId w:val="10"/>
  </w:num>
  <w:num w:numId="12">
    <w:abstractNumId w:val="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凌">
    <w15:presenceInfo w15:providerId="WPS Office" w15:userId="2229228205"/>
  </w15:person>
  <w15:person w15:author="szybzk">
    <w15:presenceInfo w15:providerId="None" w15:userId="szybz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TRlN2JhYWQ1NDNlZTMxOGZiNDNjMjRkMDQyMjUifQ=="/>
  </w:docVars>
  <w:rsids>
    <w:rsidRoot w:val="00172A27"/>
    <w:rsid w:val="00023D7D"/>
    <w:rsid w:val="000241A3"/>
    <w:rsid w:val="000256FB"/>
    <w:rsid w:val="00026984"/>
    <w:rsid w:val="0002765D"/>
    <w:rsid w:val="00041D26"/>
    <w:rsid w:val="00067356"/>
    <w:rsid w:val="0007523B"/>
    <w:rsid w:val="00081C06"/>
    <w:rsid w:val="00083E00"/>
    <w:rsid w:val="0009779F"/>
    <w:rsid w:val="000A08D5"/>
    <w:rsid w:val="000B0B7C"/>
    <w:rsid w:val="000B30ED"/>
    <w:rsid w:val="000C32DB"/>
    <w:rsid w:val="000D0E78"/>
    <w:rsid w:val="000E1123"/>
    <w:rsid w:val="000E780B"/>
    <w:rsid w:val="000F29EB"/>
    <w:rsid w:val="000F2F7D"/>
    <w:rsid w:val="00103B88"/>
    <w:rsid w:val="001136CD"/>
    <w:rsid w:val="00113D70"/>
    <w:rsid w:val="001245F0"/>
    <w:rsid w:val="00125073"/>
    <w:rsid w:val="00127F56"/>
    <w:rsid w:val="00142C29"/>
    <w:rsid w:val="00143F5D"/>
    <w:rsid w:val="0014419E"/>
    <w:rsid w:val="00145282"/>
    <w:rsid w:val="0014603E"/>
    <w:rsid w:val="0015018B"/>
    <w:rsid w:val="00165962"/>
    <w:rsid w:val="00172A27"/>
    <w:rsid w:val="00186411"/>
    <w:rsid w:val="001959CC"/>
    <w:rsid w:val="001961E9"/>
    <w:rsid w:val="001A11F8"/>
    <w:rsid w:val="001C1272"/>
    <w:rsid w:val="001D0E1C"/>
    <w:rsid w:val="001D18ED"/>
    <w:rsid w:val="001D2B70"/>
    <w:rsid w:val="001D4603"/>
    <w:rsid w:val="001D6C7C"/>
    <w:rsid w:val="001D70AB"/>
    <w:rsid w:val="001E04D0"/>
    <w:rsid w:val="001E1E0B"/>
    <w:rsid w:val="001E3CF0"/>
    <w:rsid w:val="001E6E64"/>
    <w:rsid w:val="001F0A52"/>
    <w:rsid w:val="001F50AA"/>
    <w:rsid w:val="001F77E5"/>
    <w:rsid w:val="00202E79"/>
    <w:rsid w:val="002042DC"/>
    <w:rsid w:val="00206B34"/>
    <w:rsid w:val="00221F15"/>
    <w:rsid w:val="00224796"/>
    <w:rsid w:val="00240399"/>
    <w:rsid w:val="00245153"/>
    <w:rsid w:val="00251104"/>
    <w:rsid w:val="002613EE"/>
    <w:rsid w:val="00261513"/>
    <w:rsid w:val="00263592"/>
    <w:rsid w:val="00264A7D"/>
    <w:rsid w:val="00266DB2"/>
    <w:rsid w:val="00266F1F"/>
    <w:rsid w:val="0027159F"/>
    <w:rsid w:val="002815F5"/>
    <w:rsid w:val="0028434B"/>
    <w:rsid w:val="00287090"/>
    <w:rsid w:val="002873E2"/>
    <w:rsid w:val="00296E5F"/>
    <w:rsid w:val="00297319"/>
    <w:rsid w:val="002A2413"/>
    <w:rsid w:val="002A538D"/>
    <w:rsid w:val="002B6808"/>
    <w:rsid w:val="002B7229"/>
    <w:rsid w:val="002C57A4"/>
    <w:rsid w:val="002D476A"/>
    <w:rsid w:val="002D75CD"/>
    <w:rsid w:val="002E07EA"/>
    <w:rsid w:val="002E3D39"/>
    <w:rsid w:val="002F18B0"/>
    <w:rsid w:val="002F7DB1"/>
    <w:rsid w:val="00301624"/>
    <w:rsid w:val="00305220"/>
    <w:rsid w:val="00307A2F"/>
    <w:rsid w:val="003123B1"/>
    <w:rsid w:val="00313C30"/>
    <w:rsid w:val="0032046B"/>
    <w:rsid w:val="003451F2"/>
    <w:rsid w:val="003464B9"/>
    <w:rsid w:val="00353C8A"/>
    <w:rsid w:val="003550F3"/>
    <w:rsid w:val="00356B95"/>
    <w:rsid w:val="00361F50"/>
    <w:rsid w:val="00365EF4"/>
    <w:rsid w:val="0036727F"/>
    <w:rsid w:val="00372A2C"/>
    <w:rsid w:val="00375059"/>
    <w:rsid w:val="003841D8"/>
    <w:rsid w:val="003905F0"/>
    <w:rsid w:val="00395D1A"/>
    <w:rsid w:val="00396E28"/>
    <w:rsid w:val="003A7741"/>
    <w:rsid w:val="003C0495"/>
    <w:rsid w:val="003C1022"/>
    <w:rsid w:val="003E1067"/>
    <w:rsid w:val="003F390A"/>
    <w:rsid w:val="004001B5"/>
    <w:rsid w:val="004017DF"/>
    <w:rsid w:val="00411313"/>
    <w:rsid w:val="004157BE"/>
    <w:rsid w:val="0042320B"/>
    <w:rsid w:val="004310C8"/>
    <w:rsid w:val="0043634B"/>
    <w:rsid w:val="0044158A"/>
    <w:rsid w:val="00442B8A"/>
    <w:rsid w:val="00444521"/>
    <w:rsid w:val="00447108"/>
    <w:rsid w:val="00460A0A"/>
    <w:rsid w:val="00464BE9"/>
    <w:rsid w:val="00464C00"/>
    <w:rsid w:val="004677B8"/>
    <w:rsid w:val="00471EDA"/>
    <w:rsid w:val="00483658"/>
    <w:rsid w:val="004853B6"/>
    <w:rsid w:val="004944E3"/>
    <w:rsid w:val="004A1204"/>
    <w:rsid w:val="004A7314"/>
    <w:rsid w:val="004B271D"/>
    <w:rsid w:val="004B2C69"/>
    <w:rsid w:val="004C1AA8"/>
    <w:rsid w:val="004C3AE1"/>
    <w:rsid w:val="004C5523"/>
    <w:rsid w:val="004C7D93"/>
    <w:rsid w:val="004F4495"/>
    <w:rsid w:val="004F5253"/>
    <w:rsid w:val="004F6E2A"/>
    <w:rsid w:val="004F7264"/>
    <w:rsid w:val="00540708"/>
    <w:rsid w:val="0054213F"/>
    <w:rsid w:val="0055128B"/>
    <w:rsid w:val="005552E6"/>
    <w:rsid w:val="0055621C"/>
    <w:rsid w:val="00557B5B"/>
    <w:rsid w:val="00560A2F"/>
    <w:rsid w:val="00576137"/>
    <w:rsid w:val="00584945"/>
    <w:rsid w:val="00592239"/>
    <w:rsid w:val="005A582B"/>
    <w:rsid w:val="005A5F58"/>
    <w:rsid w:val="005B5074"/>
    <w:rsid w:val="005B6428"/>
    <w:rsid w:val="005B6A59"/>
    <w:rsid w:val="005C3D87"/>
    <w:rsid w:val="005C562B"/>
    <w:rsid w:val="005D25AD"/>
    <w:rsid w:val="005D2E52"/>
    <w:rsid w:val="005D32E2"/>
    <w:rsid w:val="005E74AA"/>
    <w:rsid w:val="00602F7E"/>
    <w:rsid w:val="0060623F"/>
    <w:rsid w:val="00607C86"/>
    <w:rsid w:val="00613C27"/>
    <w:rsid w:val="00620331"/>
    <w:rsid w:val="0062269A"/>
    <w:rsid w:val="0062728A"/>
    <w:rsid w:val="00627479"/>
    <w:rsid w:val="00627F18"/>
    <w:rsid w:val="006307FC"/>
    <w:rsid w:val="0063279C"/>
    <w:rsid w:val="00636BFB"/>
    <w:rsid w:val="00637D9C"/>
    <w:rsid w:val="006420C4"/>
    <w:rsid w:val="00645D5F"/>
    <w:rsid w:val="00664B0F"/>
    <w:rsid w:val="00671DEC"/>
    <w:rsid w:val="00672EA9"/>
    <w:rsid w:val="00681ED3"/>
    <w:rsid w:val="00684FC7"/>
    <w:rsid w:val="006A25C5"/>
    <w:rsid w:val="006B0E7C"/>
    <w:rsid w:val="006B2256"/>
    <w:rsid w:val="006B4017"/>
    <w:rsid w:val="006C5446"/>
    <w:rsid w:val="006C6FE7"/>
    <w:rsid w:val="006C74AB"/>
    <w:rsid w:val="006E6FE6"/>
    <w:rsid w:val="006F55F1"/>
    <w:rsid w:val="006F7FDE"/>
    <w:rsid w:val="007029D3"/>
    <w:rsid w:val="00720841"/>
    <w:rsid w:val="007214CE"/>
    <w:rsid w:val="0072541F"/>
    <w:rsid w:val="00731379"/>
    <w:rsid w:val="00733A3E"/>
    <w:rsid w:val="007419B5"/>
    <w:rsid w:val="0074424C"/>
    <w:rsid w:val="0074735E"/>
    <w:rsid w:val="007501A8"/>
    <w:rsid w:val="007529E9"/>
    <w:rsid w:val="00760473"/>
    <w:rsid w:val="00772B6F"/>
    <w:rsid w:val="007A6215"/>
    <w:rsid w:val="007B230C"/>
    <w:rsid w:val="007C016D"/>
    <w:rsid w:val="007C0757"/>
    <w:rsid w:val="007C1EA4"/>
    <w:rsid w:val="007C4A44"/>
    <w:rsid w:val="007D2C0C"/>
    <w:rsid w:val="007D307E"/>
    <w:rsid w:val="007D43FD"/>
    <w:rsid w:val="007D4C02"/>
    <w:rsid w:val="007E1836"/>
    <w:rsid w:val="007E2AD3"/>
    <w:rsid w:val="007E3E72"/>
    <w:rsid w:val="007F3D3B"/>
    <w:rsid w:val="0080450E"/>
    <w:rsid w:val="00805ADA"/>
    <w:rsid w:val="00806685"/>
    <w:rsid w:val="00806DE4"/>
    <w:rsid w:val="00822AE3"/>
    <w:rsid w:val="00827E30"/>
    <w:rsid w:val="00845597"/>
    <w:rsid w:val="008474F5"/>
    <w:rsid w:val="008542B7"/>
    <w:rsid w:val="00856110"/>
    <w:rsid w:val="00857599"/>
    <w:rsid w:val="00857AF9"/>
    <w:rsid w:val="00860B16"/>
    <w:rsid w:val="00861403"/>
    <w:rsid w:val="00863DB8"/>
    <w:rsid w:val="00865289"/>
    <w:rsid w:val="008679AE"/>
    <w:rsid w:val="00876894"/>
    <w:rsid w:val="0088260C"/>
    <w:rsid w:val="00885B7E"/>
    <w:rsid w:val="00897A89"/>
    <w:rsid w:val="008A1131"/>
    <w:rsid w:val="008A293A"/>
    <w:rsid w:val="008A328E"/>
    <w:rsid w:val="008A4476"/>
    <w:rsid w:val="008A525B"/>
    <w:rsid w:val="008B061B"/>
    <w:rsid w:val="008B1D74"/>
    <w:rsid w:val="008C29F0"/>
    <w:rsid w:val="008C69CE"/>
    <w:rsid w:val="008D1D68"/>
    <w:rsid w:val="009012A8"/>
    <w:rsid w:val="00902A5F"/>
    <w:rsid w:val="009039E9"/>
    <w:rsid w:val="00904D5A"/>
    <w:rsid w:val="00906251"/>
    <w:rsid w:val="00921C5B"/>
    <w:rsid w:val="00922C28"/>
    <w:rsid w:val="009302C2"/>
    <w:rsid w:val="00931C9E"/>
    <w:rsid w:val="00940ED1"/>
    <w:rsid w:val="009420C2"/>
    <w:rsid w:val="009457AA"/>
    <w:rsid w:val="00972E0C"/>
    <w:rsid w:val="0098025F"/>
    <w:rsid w:val="00980AEC"/>
    <w:rsid w:val="0098692E"/>
    <w:rsid w:val="009954DA"/>
    <w:rsid w:val="009977D0"/>
    <w:rsid w:val="009A3641"/>
    <w:rsid w:val="009A623F"/>
    <w:rsid w:val="009B00DA"/>
    <w:rsid w:val="009B2AE7"/>
    <w:rsid w:val="009E0BBB"/>
    <w:rsid w:val="009E275F"/>
    <w:rsid w:val="009E423C"/>
    <w:rsid w:val="009E4823"/>
    <w:rsid w:val="009F4EAC"/>
    <w:rsid w:val="00A02C62"/>
    <w:rsid w:val="00A07EDB"/>
    <w:rsid w:val="00A1349E"/>
    <w:rsid w:val="00A14B65"/>
    <w:rsid w:val="00A16644"/>
    <w:rsid w:val="00A16E7A"/>
    <w:rsid w:val="00A250BB"/>
    <w:rsid w:val="00A26487"/>
    <w:rsid w:val="00A33399"/>
    <w:rsid w:val="00A5106D"/>
    <w:rsid w:val="00A72318"/>
    <w:rsid w:val="00A7321B"/>
    <w:rsid w:val="00A7395C"/>
    <w:rsid w:val="00A848AE"/>
    <w:rsid w:val="00A84C58"/>
    <w:rsid w:val="00A85112"/>
    <w:rsid w:val="00A90C5D"/>
    <w:rsid w:val="00AA3544"/>
    <w:rsid w:val="00AA4B06"/>
    <w:rsid w:val="00AA573D"/>
    <w:rsid w:val="00AA74AC"/>
    <w:rsid w:val="00AB13F3"/>
    <w:rsid w:val="00AB3C9C"/>
    <w:rsid w:val="00AB7BCF"/>
    <w:rsid w:val="00AC0C6F"/>
    <w:rsid w:val="00AC735A"/>
    <w:rsid w:val="00AD189A"/>
    <w:rsid w:val="00AD4FAF"/>
    <w:rsid w:val="00AE28CB"/>
    <w:rsid w:val="00AF3D2D"/>
    <w:rsid w:val="00AF4222"/>
    <w:rsid w:val="00B0399E"/>
    <w:rsid w:val="00B0644F"/>
    <w:rsid w:val="00B12DAC"/>
    <w:rsid w:val="00B14FDD"/>
    <w:rsid w:val="00B24D00"/>
    <w:rsid w:val="00B30A76"/>
    <w:rsid w:val="00B34089"/>
    <w:rsid w:val="00B36575"/>
    <w:rsid w:val="00B52885"/>
    <w:rsid w:val="00B571CA"/>
    <w:rsid w:val="00B6641C"/>
    <w:rsid w:val="00B67889"/>
    <w:rsid w:val="00B67CEE"/>
    <w:rsid w:val="00B7665F"/>
    <w:rsid w:val="00B81F9C"/>
    <w:rsid w:val="00B823AF"/>
    <w:rsid w:val="00B832C6"/>
    <w:rsid w:val="00B83471"/>
    <w:rsid w:val="00B83C3D"/>
    <w:rsid w:val="00B91D72"/>
    <w:rsid w:val="00B9345E"/>
    <w:rsid w:val="00B94C17"/>
    <w:rsid w:val="00BA10C1"/>
    <w:rsid w:val="00BB269E"/>
    <w:rsid w:val="00BC7109"/>
    <w:rsid w:val="00BD39AF"/>
    <w:rsid w:val="00BD3C8E"/>
    <w:rsid w:val="00BD4766"/>
    <w:rsid w:val="00BD54F7"/>
    <w:rsid w:val="00BD7C5E"/>
    <w:rsid w:val="00BF2D34"/>
    <w:rsid w:val="00BF461D"/>
    <w:rsid w:val="00C02C95"/>
    <w:rsid w:val="00C03701"/>
    <w:rsid w:val="00C038E3"/>
    <w:rsid w:val="00C03E52"/>
    <w:rsid w:val="00C1338D"/>
    <w:rsid w:val="00C17736"/>
    <w:rsid w:val="00C2041B"/>
    <w:rsid w:val="00C22118"/>
    <w:rsid w:val="00C23C36"/>
    <w:rsid w:val="00C3340E"/>
    <w:rsid w:val="00C33614"/>
    <w:rsid w:val="00C3398C"/>
    <w:rsid w:val="00C34A84"/>
    <w:rsid w:val="00C429E6"/>
    <w:rsid w:val="00C475CD"/>
    <w:rsid w:val="00C52959"/>
    <w:rsid w:val="00C54E9F"/>
    <w:rsid w:val="00C56EAC"/>
    <w:rsid w:val="00C647BF"/>
    <w:rsid w:val="00C75A6C"/>
    <w:rsid w:val="00C82D60"/>
    <w:rsid w:val="00C96FB5"/>
    <w:rsid w:val="00CA09EE"/>
    <w:rsid w:val="00CA23CD"/>
    <w:rsid w:val="00CA65C5"/>
    <w:rsid w:val="00CB4A17"/>
    <w:rsid w:val="00CC7F6E"/>
    <w:rsid w:val="00CD5CD7"/>
    <w:rsid w:val="00CE029F"/>
    <w:rsid w:val="00CE244B"/>
    <w:rsid w:val="00CF3B71"/>
    <w:rsid w:val="00CF439B"/>
    <w:rsid w:val="00CF46F8"/>
    <w:rsid w:val="00D01D85"/>
    <w:rsid w:val="00D06AAC"/>
    <w:rsid w:val="00D07B9A"/>
    <w:rsid w:val="00D15903"/>
    <w:rsid w:val="00D21EF8"/>
    <w:rsid w:val="00D2411B"/>
    <w:rsid w:val="00D244BC"/>
    <w:rsid w:val="00D35484"/>
    <w:rsid w:val="00D40FA7"/>
    <w:rsid w:val="00D46C43"/>
    <w:rsid w:val="00D47123"/>
    <w:rsid w:val="00D50C36"/>
    <w:rsid w:val="00D638C0"/>
    <w:rsid w:val="00D6766B"/>
    <w:rsid w:val="00D71C9C"/>
    <w:rsid w:val="00D82FAA"/>
    <w:rsid w:val="00D86FE9"/>
    <w:rsid w:val="00D87100"/>
    <w:rsid w:val="00D916C2"/>
    <w:rsid w:val="00DA15C1"/>
    <w:rsid w:val="00DA39F0"/>
    <w:rsid w:val="00DA4FF0"/>
    <w:rsid w:val="00DB3B0C"/>
    <w:rsid w:val="00DB4DD2"/>
    <w:rsid w:val="00DB61C3"/>
    <w:rsid w:val="00DB7457"/>
    <w:rsid w:val="00DB766A"/>
    <w:rsid w:val="00DC2749"/>
    <w:rsid w:val="00DC2AF3"/>
    <w:rsid w:val="00DC5C0D"/>
    <w:rsid w:val="00DD0EA5"/>
    <w:rsid w:val="00DD5733"/>
    <w:rsid w:val="00DD7956"/>
    <w:rsid w:val="00DF1097"/>
    <w:rsid w:val="00DF1659"/>
    <w:rsid w:val="00DF3DE0"/>
    <w:rsid w:val="00DF3EBC"/>
    <w:rsid w:val="00DF6E1A"/>
    <w:rsid w:val="00E027A1"/>
    <w:rsid w:val="00E278EB"/>
    <w:rsid w:val="00E32A49"/>
    <w:rsid w:val="00E33E23"/>
    <w:rsid w:val="00E34D98"/>
    <w:rsid w:val="00E54BF3"/>
    <w:rsid w:val="00E63099"/>
    <w:rsid w:val="00E76861"/>
    <w:rsid w:val="00E824BD"/>
    <w:rsid w:val="00E90398"/>
    <w:rsid w:val="00EB1161"/>
    <w:rsid w:val="00EB256D"/>
    <w:rsid w:val="00EB49DD"/>
    <w:rsid w:val="00EB4AB2"/>
    <w:rsid w:val="00EC1B65"/>
    <w:rsid w:val="00EC2395"/>
    <w:rsid w:val="00EC459E"/>
    <w:rsid w:val="00ED6093"/>
    <w:rsid w:val="00ED66E7"/>
    <w:rsid w:val="00EE4C1F"/>
    <w:rsid w:val="00EE61DC"/>
    <w:rsid w:val="00EF0407"/>
    <w:rsid w:val="00F116BC"/>
    <w:rsid w:val="00F143AB"/>
    <w:rsid w:val="00F253F0"/>
    <w:rsid w:val="00F26308"/>
    <w:rsid w:val="00F26909"/>
    <w:rsid w:val="00F27D4F"/>
    <w:rsid w:val="00F27D75"/>
    <w:rsid w:val="00F4052C"/>
    <w:rsid w:val="00F4383D"/>
    <w:rsid w:val="00F63351"/>
    <w:rsid w:val="00F65D4D"/>
    <w:rsid w:val="00F67D4F"/>
    <w:rsid w:val="00F70B3C"/>
    <w:rsid w:val="00F722DE"/>
    <w:rsid w:val="00F76F54"/>
    <w:rsid w:val="00F83525"/>
    <w:rsid w:val="00F92C25"/>
    <w:rsid w:val="00F94D7A"/>
    <w:rsid w:val="00F95363"/>
    <w:rsid w:val="00FB0B10"/>
    <w:rsid w:val="00FB1999"/>
    <w:rsid w:val="00FB3934"/>
    <w:rsid w:val="00FB3AD4"/>
    <w:rsid w:val="00FC0E28"/>
    <w:rsid w:val="00FC2235"/>
    <w:rsid w:val="00FC3863"/>
    <w:rsid w:val="00FC3A7E"/>
    <w:rsid w:val="00FC6A9E"/>
    <w:rsid w:val="00FD37F6"/>
    <w:rsid w:val="00FD430B"/>
    <w:rsid w:val="00FD4674"/>
    <w:rsid w:val="00FD4AF0"/>
    <w:rsid w:val="00FE1A80"/>
    <w:rsid w:val="00FF5441"/>
    <w:rsid w:val="02640180"/>
    <w:rsid w:val="02920D5D"/>
    <w:rsid w:val="0394077C"/>
    <w:rsid w:val="04477AA3"/>
    <w:rsid w:val="06BF50A9"/>
    <w:rsid w:val="070C7189"/>
    <w:rsid w:val="072E0435"/>
    <w:rsid w:val="090E210A"/>
    <w:rsid w:val="0A5C47F2"/>
    <w:rsid w:val="0AF05F4A"/>
    <w:rsid w:val="0BA4742B"/>
    <w:rsid w:val="0BB50DF1"/>
    <w:rsid w:val="0BE11D30"/>
    <w:rsid w:val="0C1064F9"/>
    <w:rsid w:val="0C8439EF"/>
    <w:rsid w:val="0CAA0F65"/>
    <w:rsid w:val="0CD86FCA"/>
    <w:rsid w:val="0D6B10C0"/>
    <w:rsid w:val="0DD02FC6"/>
    <w:rsid w:val="0EAD542D"/>
    <w:rsid w:val="0EE96C06"/>
    <w:rsid w:val="10251D95"/>
    <w:rsid w:val="10BE1D7F"/>
    <w:rsid w:val="112545DA"/>
    <w:rsid w:val="120C1A69"/>
    <w:rsid w:val="12CB141B"/>
    <w:rsid w:val="12EE3269"/>
    <w:rsid w:val="144B1E9E"/>
    <w:rsid w:val="147C47CA"/>
    <w:rsid w:val="1489797E"/>
    <w:rsid w:val="14CE4247"/>
    <w:rsid w:val="14EC685B"/>
    <w:rsid w:val="1530169E"/>
    <w:rsid w:val="15D92747"/>
    <w:rsid w:val="15E51BA2"/>
    <w:rsid w:val="16002771"/>
    <w:rsid w:val="17D873E3"/>
    <w:rsid w:val="18273A72"/>
    <w:rsid w:val="182F798C"/>
    <w:rsid w:val="188D1B63"/>
    <w:rsid w:val="1907440A"/>
    <w:rsid w:val="1A906328"/>
    <w:rsid w:val="1D1661D1"/>
    <w:rsid w:val="1D927583"/>
    <w:rsid w:val="1E6D03D3"/>
    <w:rsid w:val="1EAC6E65"/>
    <w:rsid w:val="1EAF7DB4"/>
    <w:rsid w:val="1ED57AFE"/>
    <w:rsid w:val="1F463A40"/>
    <w:rsid w:val="1F861A58"/>
    <w:rsid w:val="1FBF52E0"/>
    <w:rsid w:val="214A4BFF"/>
    <w:rsid w:val="216235A0"/>
    <w:rsid w:val="21926127"/>
    <w:rsid w:val="21FF4A70"/>
    <w:rsid w:val="250435FD"/>
    <w:rsid w:val="26775A6E"/>
    <w:rsid w:val="27DD2FD3"/>
    <w:rsid w:val="27E24A0E"/>
    <w:rsid w:val="27FD659C"/>
    <w:rsid w:val="2886373E"/>
    <w:rsid w:val="28AB4FDE"/>
    <w:rsid w:val="296B770E"/>
    <w:rsid w:val="2A577535"/>
    <w:rsid w:val="2AC746A1"/>
    <w:rsid w:val="2B3928C3"/>
    <w:rsid w:val="2C8E670C"/>
    <w:rsid w:val="2D0E4B13"/>
    <w:rsid w:val="2DAE6325"/>
    <w:rsid w:val="2DBB3F2E"/>
    <w:rsid w:val="2DDF59D4"/>
    <w:rsid w:val="2E831E39"/>
    <w:rsid w:val="2EB44669"/>
    <w:rsid w:val="2F441D98"/>
    <w:rsid w:val="2F6F0F28"/>
    <w:rsid w:val="305C4657"/>
    <w:rsid w:val="30C83416"/>
    <w:rsid w:val="31DF3B3A"/>
    <w:rsid w:val="329254B5"/>
    <w:rsid w:val="33DD6448"/>
    <w:rsid w:val="347D5264"/>
    <w:rsid w:val="348D4A2B"/>
    <w:rsid w:val="35421ED9"/>
    <w:rsid w:val="36405066"/>
    <w:rsid w:val="36DB494F"/>
    <w:rsid w:val="37A93380"/>
    <w:rsid w:val="38377CAA"/>
    <w:rsid w:val="392B4507"/>
    <w:rsid w:val="392D2DD0"/>
    <w:rsid w:val="398A7A9A"/>
    <w:rsid w:val="39904FFE"/>
    <w:rsid w:val="3A423449"/>
    <w:rsid w:val="3A5577FE"/>
    <w:rsid w:val="3B116DCC"/>
    <w:rsid w:val="3B5B041A"/>
    <w:rsid w:val="3D2725E1"/>
    <w:rsid w:val="3D3A5DB1"/>
    <w:rsid w:val="3D9E6E78"/>
    <w:rsid w:val="3DBF14EF"/>
    <w:rsid w:val="3E375121"/>
    <w:rsid w:val="3EE21435"/>
    <w:rsid w:val="3F0873DA"/>
    <w:rsid w:val="3F831B34"/>
    <w:rsid w:val="3F842B5B"/>
    <w:rsid w:val="3F9A735D"/>
    <w:rsid w:val="40E21691"/>
    <w:rsid w:val="40F93326"/>
    <w:rsid w:val="42187C76"/>
    <w:rsid w:val="4226683E"/>
    <w:rsid w:val="42BB4F89"/>
    <w:rsid w:val="43C66A6B"/>
    <w:rsid w:val="446F4995"/>
    <w:rsid w:val="45177607"/>
    <w:rsid w:val="476904B3"/>
    <w:rsid w:val="476F2493"/>
    <w:rsid w:val="47BC3824"/>
    <w:rsid w:val="48176F15"/>
    <w:rsid w:val="489E62EC"/>
    <w:rsid w:val="48A13B17"/>
    <w:rsid w:val="49503E9A"/>
    <w:rsid w:val="498A6AE4"/>
    <w:rsid w:val="49E2133F"/>
    <w:rsid w:val="4A783F0F"/>
    <w:rsid w:val="4B03425C"/>
    <w:rsid w:val="4B090764"/>
    <w:rsid w:val="4B100CB1"/>
    <w:rsid w:val="4B114B78"/>
    <w:rsid w:val="4B5A703F"/>
    <w:rsid w:val="4C0E5054"/>
    <w:rsid w:val="4D0927C4"/>
    <w:rsid w:val="4D27508C"/>
    <w:rsid w:val="4EC357CE"/>
    <w:rsid w:val="4EDC1AD1"/>
    <w:rsid w:val="4FD51E90"/>
    <w:rsid w:val="50DB08EC"/>
    <w:rsid w:val="512B46A8"/>
    <w:rsid w:val="52C43540"/>
    <w:rsid w:val="541737A3"/>
    <w:rsid w:val="544210B9"/>
    <w:rsid w:val="54A01099"/>
    <w:rsid w:val="54AC046B"/>
    <w:rsid w:val="54AE08C0"/>
    <w:rsid w:val="54CB4AEB"/>
    <w:rsid w:val="54CB5BDC"/>
    <w:rsid w:val="55B022B0"/>
    <w:rsid w:val="57111822"/>
    <w:rsid w:val="576A7377"/>
    <w:rsid w:val="57F86A27"/>
    <w:rsid w:val="58A628E3"/>
    <w:rsid w:val="58E04BE6"/>
    <w:rsid w:val="598C52E4"/>
    <w:rsid w:val="5A513CBA"/>
    <w:rsid w:val="5A942FE1"/>
    <w:rsid w:val="5AF2125F"/>
    <w:rsid w:val="5BC86048"/>
    <w:rsid w:val="5BE616BC"/>
    <w:rsid w:val="5BFB7312"/>
    <w:rsid w:val="5BFC75D2"/>
    <w:rsid w:val="5CB007E8"/>
    <w:rsid w:val="5CE64449"/>
    <w:rsid w:val="5DCB6B6C"/>
    <w:rsid w:val="5E9E2C9A"/>
    <w:rsid w:val="6072697B"/>
    <w:rsid w:val="612804A5"/>
    <w:rsid w:val="61757C47"/>
    <w:rsid w:val="621F3F59"/>
    <w:rsid w:val="631A422B"/>
    <w:rsid w:val="63B033AD"/>
    <w:rsid w:val="63B10FCE"/>
    <w:rsid w:val="63E73E13"/>
    <w:rsid w:val="644765D2"/>
    <w:rsid w:val="647272CD"/>
    <w:rsid w:val="648E12DF"/>
    <w:rsid w:val="64EC1C58"/>
    <w:rsid w:val="64FA2A38"/>
    <w:rsid w:val="66B53038"/>
    <w:rsid w:val="66D93020"/>
    <w:rsid w:val="673327D2"/>
    <w:rsid w:val="674822B8"/>
    <w:rsid w:val="67D027BE"/>
    <w:rsid w:val="684779B4"/>
    <w:rsid w:val="68DC529F"/>
    <w:rsid w:val="690E02D7"/>
    <w:rsid w:val="692F0680"/>
    <w:rsid w:val="697D3111"/>
    <w:rsid w:val="6A0A36C9"/>
    <w:rsid w:val="6A5D003A"/>
    <w:rsid w:val="6B7009D0"/>
    <w:rsid w:val="6B7A0464"/>
    <w:rsid w:val="6BAA35FD"/>
    <w:rsid w:val="6BD928D2"/>
    <w:rsid w:val="6C99186A"/>
    <w:rsid w:val="6CAB28C7"/>
    <w:rsid w:val="6CEF0736"/>
    <w:rsid w:val="6E8F3A5D"/>
    <w:rsid w:val="6EA625C9"/>
    <w:rsid w:val="6ECD32EA"/>
    <w:rsid w:val="6F2F5238"/>
    <w:rsid w:val="6F6C2355"/>
    <w:rsid w:val="6F6C3152"/>
    <w:rsid w:val="6FBB763D"/>
    <w:rsid w:val="70061533"/>
    <w:rsid w:val="702463B9"/>
    <w:rsid w:val="704C658B"/>
    <w:rsid w:val="70A34F40"/>
    <w:rsid w:val="719E603E"/>
    <w:rsid w:val="71CB072C"/>
    <w:rsid w:val="71E51BE6"/>
    <w:rsid w:val="73540406"/>
    <w:rsid w:val="742F67F0"/>
    <w:rsid w:val="74567E3F"/>
    <w:rsid w:val="758C08C3"/>
    <w:rsid w:val="75E340C3"/>
    <w:rsid w:val="762F3DF8"/>
    <w:rsid w:val="76A60754"/>
    <w:rsid w:val="76DF43E5"/>
    <w:rsid w:val="77F849C9"/>
    <w:rsid w:val="788144DE"/>
    <w:rsid w:val="78923585"/>
    <w:rsid w:val="7ACF3B2C"/>
    <w:rsid w:val="7B4B7B97"/>
    <w:rsid w:val="7C273582"/>
    <w:rsid w:val="7CC4420B"/>
    <w:rsid w:val="7D317842"/>
    <w:rsid w:val="7D86509E"/>
    <w:rsid w:val="7D9C76A8"/>
    <w:rsid w:val="7F0C3F10"/>
    <w:rsid w:val="7FC6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58"/>
    <w:qFormat/>
    <w:uiPriority w:val="0"/>
    <w:pPr>
      <w:keepNext/>
      <w:outlineLvl w:val="0"/>
    </w:pPr>
    <w:rPr>
      <w:rFonts w:ascii="仿宋_GB2312" w:hAnsi="宋体" w:eastAsia="仿宋_GB2312"/>
      <w:b/>
      <w:kern w:val="2"/>
      <w:sz w:val="32"/>
    </w:rPr>
  </w:style>
  <w:style w:type="paragraph" w:styleId="4">
    <w:name w:val="heading 2"/>
    <w:basedOn w:val="1"/>
    <w:next w:val="1"/>
    <w:link w:val="59"/>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60"/>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6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62"/>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63"/>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64"/>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6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7"/>
    <w:qFormat/>
    <w:uiPriority w:val="99"/>
    <w:pPr>
      <w:tabs>
        <w:tab w:val="center" w:pos="4153"/>
        <w:tab w:val="right" w:pos="8306"/>
      </w:tabs>
      <w:snapToGrid w:val="0"/>
      <w:jc w:val="left"/>
    </w:pPr>
    <w:rPr>
      <w:rFonts w:ascii="Times New Roman"/>
      <w:kern w:val="2"/>
      <w:sz w:val="18"/>
      <w:szCs w:val="18"/>
    </w:rPr>
  </w:style>
  <w:style w:type="paragraph" w:styleId="12">
    <w:name w:val="toc 7"/>
    <w:basedOn w:val="1"/>
    <w:next w:val="1"/>
    <w:unhideWhenUsed/>
    <w:qFormat/>
    <w:uiPriority w:val="39"/>
    <w:pPr>
      <w:ind w:left="2520" w:leftChars="1200"/>
    </w:pPr>
  </w:style>
  <w:style w:type="paragraph" w:styleId="13">
    <w:name w:val="Normal Indent"/>
    <w:basedOn w:val="1"/>
    <w:link w:val="67"/>
    <w:qFormat/>
    <w:uiPriority w:val="0"/>
    <w:pPr>
      <w:spacing w:line="300" w:lineRule="auto"/>
      <w:ind w:firstLine="420" w:firstLineChars="200"/>
    </w:pPr>
    <w:rPr>
      <w:rFonts w:ascii="Times New Roman"/>
      <w:kern w:val="2"/>
      <w:sz w:val="21"/>
      <w:szCs w:val="24"/>
    </w:rPr>
  </w:style>
  <w:style w:type="paragraph" w:styleId="14">
    <w:name w:val="caption"/>
    <w:basedOn w:val="1"/>
    <w:next w:val="1"/>
    <w:link w:val="68"/>
    <w:qFormat/>
    <w:uiPriority w:val="0"/>
    <w:pPr>
      <w:spacing w:before="152" w:after="160"/>
    </w:pPr>
    <w:rPr>
      <w:rFonts w:ascii="Arial" w:hAnsi="Arial" w:eastAsia="黑体"/>
      <w:kern w:val="2"/>
      <w:sz w:val="20"/>
    </w:rPr>
  </w:style>
  <w:style w:type="paragraph" w:styleId="15">
    <w:name w:val="Document Map"/>
    <w:basedOn w:val="1"/>
    <w:link w:val="69"/>
    <w:qFormat/>
    <w:uiPriority w:val="0"/>
    <w:pPr>
      <w:shd w:val="clear" w:color="auto" w:fill="000080"/>
    </w:pPr>
    <w:rPr>
      <w:rFonts w:ascii="Times New Roman"/>
      <w:kern w:val="2"/>
      <w:sz w:val="21"/>
    </w:rPr>
  </w:style>
  <w:style w:type="paragraph" w:styleId="16">
    <w:name w:val="annotation text"/>
    <w:basedOn w:val="1"/>
    <w:link w:val="70"/>
    <w:qFormat/>
    <w:uiPriority w:val="99"/>
    <w:pPr>
      <w:jc w:val="left"/>
    </w:pPr>
    <w:rPr>
      <w:rFonts w:ascii="Times New Roman"/>
      <w:kern w:val="2"/>
      <w:sz w:val="21"/>
      <w:szCs w:val="24"/>
    </w:rPr>
  </w:style>
  <w:style w:type="paragraph" w:styleId="17">
    <w:name w:val="Body Text 3"/>
    <w:basedOn w:val="1"/>
    <w:link w:val="71"/>
    <w:qFormat/>
    <w:uiPriority w:val="0"/>
    <w:pPr>
      <w:jc w:val="center"/>
    </w:pPr>
    <w:rPr>
      <w:rFonts w:ascii="Times New Roman"/>
      <w:b/>
      <w:spacing w:val="-20"/>
      <w:w w:val="110"/>
      <w:kern w:val="2"/>
      <w:sz w:val="52"/>
    </w:rPr>
  </w:style>
  <w:style w:type="paragraph" w:styleId="18">
    <w:name w:val="Body Text"/>
    <w:basedOn w:val="1"/>
    <w:next w:val="1"/>
    <w:link w:val="72"/>
    <w:qFormat/>
    <w:uiPriority w:val="0"/>
    <w:pPr>
      <w:spacing w:after="120"/>
    </w:pPr>
    <w:rPr>
      <w:rFonts w:ascii="Times New Roman"/>
      <w:kern w:val="2"/>
      <w:sz w:val="21"/>
    </w:rPr>
  </w:style>
  <w:style w:type="paragraph" w:styleId="19">
    <w:name w:val="Body Text Indent"/>
    <w:basedOn w:val="1"/>
    <w:link w:val="73"/>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74"/>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75"/>
    <w:qFormat/>
    <w:uiPriority w:val="0"/>
    <w:rPr>
      <w:rFonts w:ascii="Times New Roman"/>
      <w:kern w:val="2"/>
      <w:sz w:val="28"/>
    </w:rPr>
  </w:style>
  <w:style w:type="paragraph" w:styleId="26">
    <w:name w:val="Body Text Indent 2"/>
    <w:basedOn w:val="1"/>
    <w:link w:val="76"/>
    <w:qFormat/>
    <w:uiPriority w:val="99"/>
    <w:pPr>
      <w:tabs>
        <w:tab w:val="left" w:pos="5625"/>
      </w:tabs>
      <w:ind w:left="1138" w:leftChars="542"/>
    </w:pPr>
    <w:rPr>
      <w:rFonts w:ascii="Times New Roman"/>
      <w:kern w:val="2"/>
    </w:rPr>
  </w:style>
  <w:style w:type="paragraph" w:styleId="27">
    <w:name w:val="Balloon Text"/>
    <w:basedOn w:val="1"/>
    <w:link w:val="77"/>
    <w:qFormat/>
    <w:uiPriority w:val="99"/>
    <w:rPr>
      <w:rFonts w:ascii="Times New Roman"/>
      <w:kern w:val="2"/>
      <w:sz w:val="18"/>
      <w:szCs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Subtitle"/>
    <w:basedOn w:val="1"/>
    <w:next w:val="1"/>
    <w:link w:val="79"/>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numPr>
        <w:ilvl w:val="1"/>
        <w:numId w:val="1"/>
      </w:numPr>
      <w:spacing w:line="360" w:lineRule="auto"/>
      <w:jc w:val="left"/>
    </w:pPr>
    <w:rPr>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80"/>
    <w:qFormat/>
    <w:uiPriority w:val="0"/>
    <w:pPr>
      <w:spacing w:line="410" w:lineRule="exact"/>
      <w:ind w:left="619" w:leftChars="295" w:firstLine="390" w:firstLineChars="179"/>
    </w:pPr>
    <w:rPr>
      <w:rFonts w:hAnsi="宋体"/>
      <w:spacing w:val="4"/>
      <w:kern w:val="2"/>
      <w:sz w:val="21"/>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81"/>
    <w:qFormat/>
    <w:uiPriority w:val="0"/>
    <w:rPr>
      <w:rFonts w:ascii="楷体_GB2312" w:hAnsi="Copperplate Gothic Bold" w:eastAsia="楷体_GB2312"/>
      <w:kern w:val="2"/>
      <w:sz w:val="28"/>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39">
    <w:name w:val="Normal (Web)"/>
    <w:basedOn w:val="1"/>
    <w:qFormat/>
    <w:uiPriority w:val="0"/>
    <w:pPr>
      <w:widowControl/>
      <w:spacing w:before="100" w:beforeAutospacing="1" w:after="100" w:afterAutospacing="1"/>
      <w:jc w:val="left"/>
    </w:pPr>
    <w:rPr>
      <w:rFonts w:hAnsi="宋体"/>
      <w:szCs w:val="24"/>
    </w:rPr>
  </w:style>
  <w:style w:type="paragraph" w:styleId="40">
    <w:name w:val="Title"/>
    <w:basedOn w:val="1"/>
    <w:next w:val="1"/>
    <w:link w:val="82"/>
    <w:qFormat/>
    <w:uiPriority w:val="0"/>
    <w:pPr>
      <w:spacing w:before="240" w:after="60"/>
      <w:jc w:val="center"/>
      <w:outlineLvl w:val="0"/>
    </w:pPr>
    <w:rPr>
      <w:rFonts w:ascii="Cambria" w:hAnsi="Cambria"/>
      <w:b/>
      <w:bCs/>
      <w:kern w:val="2"/>
      <w:sz w:val="32"/>
      <w:szCs w:val="32"/>
    </w:rPr>
  </w:style>
  <w:style w:type="paragraph" w:styleId="41">
    <w:name w:val="annotation subject"/>
    <w:basedOn w:val="16"/>
    <w:next w:val="16"/>
    <w:link w:val="83"/>
    <w:qFormat/>
    <w:uiPriority w:val="0"/>
    <w:rPr>
      <w:b/>
      <w:bCs/>
    </w:rPr>
  </w:style>
  <w:style w:type="paragraph" w:styleId="42">
    <w:name w:val="Body Text First Indent 2"/>
    <w:basedOn w:val="19"/>
    <w:link w:val="273"/>
    <w:semiHidden/>
    <w:unhideWhenUsed/>
    <w:qFormat/>
    <w:uiPriority w:val="99"/>
    <w:pPr>
      <w:widowControl w:val="0"/>
      <w:spacing w:after="120"/>
      <w:ind w:left="420" w:leftChars="200" w:firstLine="420" w:firstLineChars="200"/>
    </w:pPr>
    <w:rPr>
      <w:rFonts w:ascii="宋体"/>
      <w:sz w:val="24"/>
    </w:rPr>
  </w:style>
  <w:style w:type="table" w:styleId="44">
    <w:name w:val="Table Grid"/>
    <w:basedOn w:val="4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TML Definition"/>
    <w:unhideWhenUsed/>
    <w:qFormat/>
    <w:uiPriority w:val="99"/>
    <w:rPr>
      <w:i/>
      <w:shd w:val="clear" w:color="auto" w:fill="5CB85C"/>
    </w:rPr>
  </w:style>
  <w:style w:type="character" w:styleId="51">
    <w:name w:val="HTML Typewriter"/>
    <w:qFormat/>
    <w:uiPriority w:val="0"/>
    <w:rPr>
      <w:rFonts w:ascii="黑体" w:hAnsi="Courier New" w:eastAsia="黑体" w:cs="Courier New"/>
      <w:sz w:val="20"/>
      <w:szCs w:val="20"/>
    </w:rPr>
  </w:style>
  <w:style w:type="character" w:styleId="52">
    <w:name w:val="Hyperlink"/>
    <w:qFormat/>
    <w:uiPriority w:val="99"/>
    <w:rPr>
      <w:color w:val="333333"/>
      <w:u w:val="none"/>
    </w:rPr>
  </w:style>
  <w:style w:type="character" w:styleId="53">
    <w:name w:val="HTML Code"/>
    <w:unhideWhenUsed/>
    <w:qFormat/>
    <w:uiPriority w:val="99"/>
    <w:rPr>
      <w:rFonts w:hint="default" w:ascii="Consolas" w:hAnsi="Consolas" w:eastAsia="Consolas" w:cs="Consolas"/>
      <w:color w:val="C7254E"/>
      <w:sz w:val="21"/>
      <w:szCs w:val="21"/>
      <w:shd w:val="clear" w:color="auto" w:fill="F9F2F4"/>
    </w:rPr>
  </w:style>
  <w:style w:type="character" w:styleId="54">
    <w:name w:val="annotation reference"/>
    <w:qFormat/>
    <w:uiPriority w:val="99"/>
    <w:rPr>
      <w:sz w:val="21"/>
      <w:szCs w:val="21"/>
    </w:rPr>
  </w:style>
  <w:style w:type="character" w:styleId="55">
    <w:name w:val="HTML Keyboard"/>
    <w:unhideWhenUsed/>
    <w:qFormat/>
    <w:uiPriority w:val="99"/>
    <w:rPr>
      <w:rFonts w:ascii="Consolas" w:hAnsi="Consolas" w:eastAsia="Consolas" w:cs="Consolas"/>
      <w:color w:val="FFFFFF"/>
      <w:sz w:val="21"/>
      <w:szCs w:val="21"/>
      <w:shd w:val="clear" w:color="auto" w:fill="333333"/>
    </w:rPr>
  </w:style>
  <w:style w:type="character" w:styleId="56">
    <w:name w:val="HTML Sample"/>
    <w:unhideWhenUsed/>
    <w:qFormat/>
    <w:uiPriority w:val="99"/>
    <w:rPr>
      <w:rFonts w:hint="default" w:ascii="Consolas" w:hAnsi="Consolas" w:eastAsia="Consolas" w:cs="Consolas"/>
      <w:sz w:val="21"/>
      <w:szCs w:val="21"/>
    </w:rPr>
  </w:style>
  <w:style w:type="character" w:customStyle="1" w:styleId="57">
    <w:name w:val="页脚 Char"/>
    <w:link w:val="2"/>
    <w:qFormat/>
    <w:uiPriority w:val="99"/>
    <w:rPr>
      <w:rFonts w:eastAsia="宋体"/>
      <w:kern w:val="2"/>
      <w:sz w:val="18"/>
      <w:szCs w:val="18"/>
      <w:lang w:val="en-US" w:eastAsia="zh-CN" w:bidi="ar-SA"/>
    </w:rPr>
  </w:style>
  <w:style w:type="character" w:customStyle="1" w:styleId="58">
    <w:name w:val="标题 1 Char"/>
    <w:link w:val="3"/>
    <w:qFormat/>
    <w:uiPriority w:val="0"/>
    <w:rPr>
      <w:rFonts w:ascii="仿宋_GB2312" w:hAnsi="宋体" w:eastAsia="仿宋_GB2312"/>
      <w:b/>
      <w:kern w:val="2"/>
      <w:sz w:val="32"/>
    </w:rPr>
  </w:style>
  <w:style w:type="character" w:customStyle="1" w:styleId="59">
    <w:name w:val="标题 2 Char"/>
    <w:link w:val="4"/>
    <w:qFormat/>
    <w:uiPriority w:val="9"/>
    <w:rPr>
      <w:rFonts w:ascii="Arial" w:hAnsi="Arial"/>
      <w:b/>
      <w:bCs/>
      <w:sz w:val="28"/>
      <w:szCs w:val="32"/>
    </w:rPr>
  </w:style>
  <w:style w:type="character" w:customStyle="1" w:styleId="60">
    <w:name w:val="标题 3 Char"/>
    <w:link w:val="5"/>
    <w:qFormat/>
    <w:uiPriority w:val="0"/>
    <w:rPr>
      <w:b/>
      <w:bCs/>
      <w:kern w:val="2"/>
      <w:sz w:val="24"/>
      <w:szCs w:val="24"/>
    </w:rPr>
  </w:style>
  <w:style w:type="character" w:customStyle="1" w:styleId="61">
    <w:name w:val="标题 4 Char"/>
    <w:link w:val="6"/>
    <w:qFormat/>
    <w:uiPriority w:val="0"/>
    <w:rPr>
      <w:rFonts w:ascii="Arial" w:hAnsi="Arial"/>
      <w:bCs/>
      <w:kern w:val="2"/>
      <w:sz w:val="24"/>
      <w:szCs w:val="28"/>
    </w:rPr>
  </w:style>
  <w:style w:type="character" w:customStyle="1" w:styleId="62">
    <w:name w:val="标题 5 Char"/>
    <w:link w:val="7"/>
    <w:qFormat/>
    <w:uiPriority w:val="0"/>
    <w:rPr>
      <w:rFonts w:ascii="Arial Unicode MS" w:hAnsi="Arial Unicode MS"/>
      <w:bCs/>
      <w:kern w:val="2"/>
      <w:sz w:val="24"/>
      <w:szCs w:val="24"/>
    </w:rPr>
  </w:style>
  <w:style w:type="character" w:customStyle="1" w:styleId="63">
    <w:name w:val="标题 6 Char"/>
    <w:link w:val="8"/>
    <w:qFormat/>
    <w:uiPriority w:val="0"/>
    <w:rPr>
      <w:rFonts w:ascii="Arial Unicode MS" w:hAnsi="Arial Unicode MS"/>
      <w:bCs/>
      <w:kern w:val="2"/>
      <w:sz w:val="24"/>
      <w:szCs w:val="24"/>
    </w:rPr>
  </w:style>
  <w:style w:type="character" w:customStyle="1" w:styleId="64">
    <w:name w:val="标题 7 Char"/>
    <w:link w:val="9"/>
    <w:qFormat/>
    <w:uiPriority w:val="0"/>
    <w:rPr>
      <w:rFonts w:ascii="Arial" w:hAnsi="Arial"/>
      <w:b/>
      <w:color w:val="000000"/>
      <w:kern w:val="2"/>
      <w:sz w:val="15"/>
    </w:rPr>
  </w:style>
  <w:style w:type="character" w:customStyle="1" w:styleId="65">
    <w:name w:val="标题 8 Char"/>
    <w:link w:val="10"/>
    <w:qFormat/>
    <w:uiPriority w:val="0"/>
    <w:rPr>
      <w:rFonts w:ascii="仿宋_GB2312" w:eastAsia="仿宋_GB2312"/>
      <w:b/>
      <w:kern w:val="2"/>
      <w:sz w:val="24"/>
    </w:rPr>
  </w:style>
  <w:style w:type="character" w:customStyle="1" w:styleId="66">
    <w:name w:val="标题 9 Char"/>
    <w:link w:val="11"/>
    <w:qFormat/>
    <w:uiPriority w:val="0"/>
    <w:rPr>
      <w:rFonts w:ascii="Arial" w:hAnsi="Arial" w:eastAsia="黑体"/>
      <w:kern w:val="2"/>
      <w:sz w:val="21"/>
      <w:szCs w:val="21"/>
    </w:rPr>
  </w:style>
  <w:style w:type="character" w:customStyle="1" w:styleId="67">
    <w:name w:val="正文缩进 Char"/>
    <w:link w:val="13"/>
    <w:qFormat/>
    <w:uiPriority w:val="0"/>
    <w:rPr>
      <w:kern w:val="2"/>
      <w:sz w:val="21"/>
      <w:szCs w:val="24"/>
    </w:rPr>
  </w:style>
  <w:style w:type="character" w:customStyle="1" w:styleId="68">
    <w:name w:val="题注 Char"/>
    <w:link w:val="14"/>
    <w:qFormat/>
    <w:uiPriority w:val="0"/>
    <w:rPr>
      <w:rFonts w:ascii="Arial" w:hAnsi="Arial" w:eastAsia="黑体" w:cs="Arial"/>
      <w:kern w:val="2"/>
    </w:rPr>
  </w:style>
  <w:style w:type="character" w:customStyle="1" w:styleId="69">
    <w:name w:val="文档结构图 Char"/>
    <w:link w:val="15"/>
    <w:qFormat/>
    <w:uiPriority w:val="0"/>
    <w:rPr>
      <w:kern w:val="2"/>
      <w:sz w:val="21"/>
      <w:shd w:val="clear" w:color="auto" w:fill="000080"/>
    </w:rPr>
  </w:style>
  <w:style w:type="character" w:customStyle="1" w:styleId="70">
    <w:name w:val="批注文字 Char"/>
    <w:link w:val="16"/>
    <w:qFormat/>
    <w:uiPriority w:val="99"/>
    <w:rPr>
      <w:rFonts w:eastAsia="宋体"/>
      <w:kern w:val="2"/>
      <w:sz w:val="21"/>
      <w:szCs w:val="24"/>
      <w:lang w:val="en-US" w:eastAsia="zh-CN" w:bidi="ar-SA"/>
    </w:rPr>
  </w:style>
  <w:style w:type="character" w:customStyle="1" w:styleId="71">
    <w:name w:val="正文文本 3 Char"/>
    <w:link w:val="17"/>
    <w:qFormat/>
    <w:uiPriority w:val="0"/>
    <w:rPr>
      <w:b/>
      <w:spacing w:val="-20"/>
      <w:w w:val="110"/>
      <w:kern w:val="2"/>
      <w:sz w:val="52"/>
    </w:rPr>
  </w:style>
  <w:style w:type="character" w:customStyle="1" w:styleId="72">
    <w:name w:val="正文文本 Char"/>
    <w:link w:val="18"/>
    <w:qFormat/>
    <w:uiPriority w:val="0"/>
    <w:rPr>
      <w:kern w:val="2"/>
      <w:sz w:val="21"/>
    </w:rPr>
  </w:style>
  <w:style w:type="character" w:customStyle="1" w:styleId="73">
    <w:name w:val="正文文本缩进 Char"/>
    <w:link w:val="19"/>
    <w:qFormat/>
    <w:uiPriority w:val="0"/>
    <w:rPr>
      <w:sz w:val="28"/>
    </w:rPr>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日期 Char"/>
    <w:link w:val="25"/>
    <w:qFormat/>
    <w:uiPriority w:val="0"/>
    <w:rPr>
      <w:kern w:val="2"/>
      <w:sz w:val="28"/>
    </w:rPr>
  </w:style>
  <w:style w:type="character" w:customStyle="1" w:styleId="76">
    <w:name w:val="正文文本缩进 2 Char"/>
    <w:link w:val="26"/>
    <w:qFormat/>
    <w:uiPriority w:val="99"/>
    <w:rPr>
      <w:kern w:val="2"/>
      <w:sz w:val="24"/>
    </w:rPr>
  </w:style>
  <w:style w:type="character" w:customStyle="1" w:styleId="77">
    <w:name w:val="批注框文本 Char"/>
    <w:link w:val="27"/>
    <w:qFormat/>
    <w:uiPriority w:val="99"/>
    <w:rPr>
      <w:kern w:val="2"/>
      <w:sz w:val="18"/>
      <w:szCs w:val="18"/>
    </w:rPr>
  </w:style>
  <w:style w:type="character" w:customStyle="1" w:styleId="78">
    <w:name w:val="页眉 Char"/>
    <w:link w:val="28"/>
    <w:qFormat/>
    <w:uiPriority w:val="99"/>
    <w:rPr>
      <w:rFonts w:eastAsia="宋体"/>
      <w:kern w:val="2"/>
      <w:sz w:val="18"/>
      <w:szCs w:val="18"/>
      <w:lang w:val="en-US" w:eastAsia="zh-CN" w:bidi="ar-SA"/>
    </w:rPr>
  </w:style>
  <w:style w:type="character" w:customStyle="1" w:styleId="79">
    <w:name w:val="副标题 Char"/>
    <w:link w:val="31"/>
    <w:qFormat/>
    <w:uiPriority w:val="0"/>
    <w:rPr>
      <w:rFonts w:ascii="Cambria" w:hAnsi="Cambria"/>
      <w:b/>
      <w:bCs/>
      <w:kern w:val="28"/>
      <w:sz w:val="32"/>
      <w:szCs w:val="32"/>
    </w:rPr>
  </w:style>
  <w:style w:type="character" w:customStyle="1" w:styleId="80">
    <w:name w:val="正文文本缩进 3 Char"/>
    <w:link w:val="34"/>
    <w:qFormat/>
    <w:uiPriority w:val="0"/>
    <w:rPr>
      <w:rFonts w:ascii="宋体" w:hAnsi="宋体"/>
      <w:spacing w:val="4"/>
      <w:kern w:val="2"/>
      <w:sz w:val="21"/>
    </w:rPr>
  </w:style>
  <w:style w:type="character" w:customStyle="1" w:styleId="81">
    <w:name w:val="正文文本 2 Char"/>
    <w:link w:val="37"/>
    <w:qFormat/>
    <w:uiPriority w:val="0"/>
    <w:rPr>
      <w:rFonts w:ascii="楷体_GB2312" w:hAnsi="Copperplate Gothic Bold" w:eastAsia="楷体_GB2312"/>
      <w:kern w:val="2"/>
      <w:sz w:val="28"/>
    </w:rPr>
  </w:style>
  <w:style w:type="character" w:customStyle="1" w:styleId="82">
    <w:name w:val="标题 Char"/>
    <w:link w:val="40"/>
    <w:qFormat/>
    <w:uiPriority w:val="0"/>
    <w:rPr>
      <w:rFonts w:ascii="Cambria" w:hAnsi="Cambria"/>
      <w:b/>
      <w:bCs/>
      <w:kern w:val="2"/>
      <w:sz w:val="32"/>
      <w:szCs w:val="32"/>
    </w:rPr>
  </w:style>
  <w:style w:type="character" w:customStyle="1" w:styleId="83">
    <w:name w:val="批注主题 Char"/>
    <w:link w:val="41"/>
    <w:qFormat/>
    <w:uiPriority w:val="0"/>
    <w:rPr>
      <w:rFonts w:eastAsia="宋体"/>
      <w:b/>
      <w:bCs/>
      <w:kern w:val="2"/>
      <w:sz w:val="21"/>
      <w:szCs w:val="24"/>
      <w:lang w:val="en-US" w:eastAsia="zh-CN" w:bidi="ar-SA"/>
    </w:rPr>
  </w:style>
  <w:style w:type="paragraph" w:customStyle="1" w:styleId="84">
    <w:name w:val="列出段落1"/>
    <w:basedOn w:val="1"/>
    <w:qFormat/>
    <w:uiPriority w:val="0"/>
    <w:pPr>
      <w:ind w:firstLine="420" w:firstLineChars="200"/>
    </w:p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正文文本 2 Char1"/>
    <w:semiHidden/>
    <w:qFormat/>
    <w:uiPriority w:val="99"/>
    <w:rPr>
      <w:kern w:val="2"/>
      <w:sz w:val="21"/>
    </w:rPr>
  </w:style>
  <w:style w:type="character" w:customStyle="1" w:styleId="87">
    <w:name w:val="emtidy-2"/>
    <w:qFormat/>
    <w:uiPriority w:val="0"/>
  </w:style>
  <w:style w:type="character" w:customStyle="1" w:styleId="88">
    <w:name w:val="Char Char7"/>
    <w:qFormat/>
    <w:uiPriority w:val="0"/>
    <w:rPr>
      <w:rFonts w:ascii="宋体" w:hAnsi="Courier New" w:eastAsia="宋体"/>
      <w:kern w:val="2"/>
      <w:sz w:val="21"/>
      <w:lang w:val="en-US" w:eastAsia="zh-CN" w:bidi="ar-SA"/>
    </w:rPr>
  </w:style>
  <w:style w:type="character" w:customStyle="1" w:styleId="89">
    <w:name w:val="emtidy-4"/>
    <w:qFormat/>
    <w:uiPriority w:val="0"/>
  </w:style>
  <w:style w:type="character" w:customStyle="1" w:styleId="90">
    <w:name w:val="hover"/>
    <w:qFormat/>
    <w:uiPriority w:val="0"/>
    <w:rPr>
      <w:shd w:val="clear" w:color="auto" w:fill="EEEEEE"/>
    </w:rPr>
  </w:style>
  <w:style w:type="character" w:customStyle="1" w:styleId="91">
    <w:name w:val="introduction1"/>
    <w:qFormat/>
    <w:uiPriority w:val="0"/>
  </w:style>
  <w:style w:type="character" w:customStyle="1" w:styleId="92">
    <w:name w:val="old"/>
    <w:qFormat/>
    <w:uiPriority w:val="0"/>
    <w:rPr>
      <w:color w:val="999999"/>
    </w:rPr>
  </w:style>
  <w:style w:type="character" w:customStyle="1" w:styleId="93">
    <w:name w:val="列出段落 Char"/>
    <w:link w:val="94"/>
    <w:qFormat/>
    <w:uiPriority w:val="34"/>
    <w:rPr>
      <w:rFonts w:ascii="Calibri" w:hAnsi="Calibri"/>
      <w:kern w:val="2"/>
      <w:sz w:val="21"/>
      <w:szCs w:val="22"/>
    </w:rPr>
  </w:style>
  <w:style w:type="paragraph" w:styleId="94">
    <w:name w:val="List Paragraph"/>
    <w:basedOn w:val="1"/>
    <w:link w:val="93"/>
    <w:qFormat/>
    <w:uiPriority w:val="34"/>
    <w:pPr>
      <w:ind w:firstLine="420" w:firstLineChars="200"/>
    </w:pPr>
    <w:rPr>
      <w:rFonts w:ascii="Calibri" w:hAnsi="Calibri"/>
      <w:kern w:val="2"/>
      <w:sz w:val="21"/>
      <w:szCs w:val="22"/>
    </w:rPr>
  </w:style>
  <w:style w:type="character" w:customStyle="1" w:styleId="95">
    <w:name w:val="Char Char5"/>
    <w:qFormat/>
    <w:uiPriority w:val="0"/>
    <w:rPr>
      <w:rFonts w:ascii="宋体" w:hAnsi="Courier New" w:eastAsia="宋体"/>
      <w:kern w:val="2"/>
      <w:sz w:val="21"/>
      <w:lang w:val="en-US" w:eastAsia="zh-CN" w:bidi="ar-SA"/>
    </w:rPr>
  </w:style>
  <w:style w:type="character" w:customStyle="1" w:styleId="96">
    <w:name w:val="hui3"/>
    <w:qFormat/>
    <w:uiPriority w:val="0"/>
    <w:rPr>
      <w:color w:val="333333"/>
    </w:rPr>
  </w:style>
  <w:style w:type="character" w:customStyle="1" w:styleId="97">
    <w:name w:val="glyphicon4"/>
    <w:qFormat/>
    <w:uiPriority w:val="0"/>
  </w:style>
  <w:style w:type="character" w:customStyle="1" w:styleId="98">
    <w:name w:val="ca-01"/>
    <w:qFormat/>
    <w:uiPriority w:val="0"/>
    <w:rPr>
      <w:rFonts w:hint="eastAsia" w:ascii="宋体" w:hAnsi="宋体" w:eastAsia="宋体"/>
      <w:sz w:val="28"/>
      <w:szCs w:val="28"/>
    </w:rPr>
  </w:style>
  <w:style w:type="character" w:customStyle="1" w:styleId="99">
    <w:name w:val="ziti12-333-25"/>
    <w:qFormat/>
    <w:uiPriority w:val="0"/>
  </w:style>
  <w:style w:type="character" w:customStyle="1" w:styleId="100">
    <w:name w:val="base"/>
    <w:qFormat/>
    <w:uiPriority w:val="0"/>
  </w:style>
  <w:style w:type="character" w:customStyle="1" w:styleId="101">
    <w:name w:val="style5 style5"/>
    <w:qFormat/>
    <w:uiPriority w:val="0"/>
  </w:style>
  <w:style w:type="character" w:customStyle="1" w:styleId="102">
    <w:name w:val="hour_pm"/>
    <w:qFormat/>
    <w:uiPriority w:val="0"/>
  </w:style>
  <w:style w:type="character" w:customStyle="1" w:styleId="103">
    <w:name w:val="emtidy-6"/>
    <w:qFormat/>
    <w:uiPriority w:val="0"/>
  </w:style>
  <w:style w:type="character" w:customStyle="1" w:styleId="104">
    <w:name w:val="para1"/>
    <w:qFormat/>
    <w:uiPriority w:val="0"/>
    <w:rPr>
      <w:rFonts w:hint="default" w:ascii="Arial" w:hAnsi="Arial" w:cs="Arial"/>
      <w:sz w:val="18"/>
      <w:szCs w:val="18"/>
    </w:rPr>
  </w:style>
  <w:style w:type="character" w:customStyle="1" w:styleId="105">
    <w:name w:val="unnamed11"/>
    <w:qFormat/>
    <w:uiPriority w:val="0"/>
  </w:style>
  <w:style w:type="character" w:customStyle="1" w:styleId="106">
    <w:name w:val="tmpztreemove_arrow"/>
    <w:qFormat/>
    <w:uiPriority w:val="0"/>
    <w:rPr>
      <w:shd w:val="clear" w:color="auto" w:fill="FFFFFF"/>
    </w:rPr>
  </w:style>
  <w:style w:type="character" w:customStyle="1" w:styleId="107">
    <w:name w:val="正文文本 3 Char1"/>
    <w:semiHidden/>
    <w:qFormat/>
    <w:uiPriority w:val="99"/>
    <w:rPr>
      <w:kern w:val="2"/>
      <w:sz w:val="16"/>
      <w:szCs w:val="16"/>
    </w:rPr>
  </w:style>
  <w:style w:type="character" w:customStyle="1" w:styleId="108">
    <w:name w:val="hour_am"/>
    <w:qFormat/>
    <w:uiPriority w:val="0"/>
  </w:style>
  <w:style w:type="character" w:customStyle="1" w:styleId="109">
    <w:name w:val="样式 正文缩进 + 首行缩进:  2 字符 段前: 0.5 行 段后: 0.5 行 Char Char"/>
    <w:link w:val="110"/>
    <w:qFormat/>
    <w:uiPriority w:val="0"/>
    <w:rPr>
      <w:rFonts w:cs="宋体"/>
      <w:kern w:val="2"/>
      <w:sz w:val="24"/>
    </w:rPr>
  </w:style>
  <w:style w:type="paragraph" w:customStyle="1" w:styleId="110">
    <w:name w:val="样式 正文缩进 + 首行缩进:  2 字符 段前: 0.5 行 段后: 0.5 行"/>
    <w:basedOn w:val="13"/>
    <w:link w:val="109"/>
    <w:qFormat/>
    <w:uiPriority w:val="0"/>
    <w:pPr>
      <w:spacing w:beforeLines="50" w:afterLines="50" w:line="360" w:lineRule="auto"/>
      <w:ind w:firstLine="480"/>
    </w:pPr>
    <w:rPr>
      <w:sz w:val="24"/>
      <w:szCs w:val="20"/>
    </w:rPr>
  </w:style>
  <w:style w:type="character" w:customStyle="1" w:styleId="111">
    <w:name w:val="button"/>
    <w:qFormat/>
    <w:uiPriority w:val="0"/>
  </w:style>
  <w:style w:type="character" w:customStyle="1" w:styleId="112">
    <w:name w:val="无间隔 Char"/>
    <w:link w:val="113"/>
    <w:qFormat/>
    <w:uiPriority w:val="1"/>
    <w:rPr>
      <w:rFonts w:ascii="Calibri" w:hAnsi="Calibri"/>
      <w:kern w:val="2"/>
      <w:sz w:val="21"/>
      <w:szCs w:val="22"/>
      <w:lang w:val="en-US" w:eastAsia="zh-CN" w:bidi="ar-SA"/>
    </w:rPr>
  </w:style>
  <w:style w:type="paragraph" w:styleId="113">
    <w:name w:val="No Spacing"/>
    <w:link w:val="112"/>
    <w:qFormat/>
    <w:uiPriority w:val="1"/>
    <w:pPr>
      <w:widowControl w:val="0"/>
      <w:jc w:val="both"/>
    </w:pPr>
    <w:rPr>
      <w:rFonts w:ascii="Calibri" w:hAnsi="Calibri" w:eastAsia="宋体" w:cs="Times New Roman"/>
      <w:kern w:val="2"/>
      <w:sz w:val="21"/>
      <w:szCs w:val="22"/>
      <w:lang w:val="en-US" w:eastAsia="zh-CN" w:bidi="ar-SA"/>
    </w:rPr>
  </w:style>
  <w:style w:type="character" w:customStyle="1" w:styleId="114">
    <w:name w:val="hover3"/>
    <w:qFormat/>
    <w:uiPriority w:val="0"/>
    <w:rPr>
      <w:shd w:val="clear" w:color="auto" w:fill="EEEEEE"/>
    </w:rPr>
  </w:style>
  <w:style w:type="character" w:customStyle="1" w:styleId="115">
    <w:name w:val="indent"/>
    <w:uiPriority w:val="0"/>
  </w:style>
  <w:style w:type="character" w:customStyle="1" w:styleId="116">
    <w:name w:val="招标书 正文 Char Char"/>
    <w:link w:val="117"/>
    <w:qFormat/>
    <w:uiPriority w:val="0"/>
    <w:rPr>
      <w:rFonts w:ascii="宋体" w:hAnsi="宋体"/>
      <w:color w:val="000000"/>
      <w:sz w:val="24"/>
      <w:szCs w:val="28"/>
    </w:rPr>
  </w:style>
  <w:style w:type="paragraph" w:customStyle="1" w:styleId="117">
    <w:name w:val="招标书 正文"/>
    <w:basedOn w:val="1"/>
    <w:link w:val="116"/>
    <w:qFormat/>
    <w:uiPriority w:val="0"/>
    <w:pPr>
      <w:widowControl/>
      <w:snapToGrid w:val="0"/>
      <w:spacing w:line="560" w:lineRule="exact"/>
      <w:ind w:firstLine="560" w:firstLineChars="200"/>
      <w:jc w:val="left"/>
    </w:pPr>
    <w:rPr>
      <w:rFonts w:hAnsi="宋体"/>
      <w:color w:val="000000"/>
      <w:szCs w:val="28"/>
    </w:rPr>
  </w:style>
  <w:style w:type="character" w:customStyle="1" w:styleId="118">
    <w:name w:val="c1"/>
    <w:qFormat/>
    <w:uiPriority w:val="0"/>
    <w:rPr>
      <w:sz w:val="28"/>
      <w:szCs w:val="28"/>
    </w:rPr>
  </w:style>
  <w:style w:type="character" w:customStyle="1" w:styleId="119">
    <w:name w:val="c lh15"/>
    <w:qFormat/>
    <w:uiPriority w:val="0"/>
  </w:style>
  <w:style w:type="character" w:customStyle="1" w:styleId="120">
    <w:name w:val="emtidy-5"/>
    <w:qFormat/>
    <w:uiPriority w:val="0"/>
  </w:style>
  <w:style w:type="character" w:customStyle="1" w:styleId="121">
    <w:name w:val="emtidy-3"/>
    <w:qFormat/>
    <w:uiPriority w:val="0"/>
  </w:style>
  <w:style w:type="character" w:customStyle="1" w:styleId="122">
    <w:name w:val="style31"/>
    <w:qFormat/>
    <w:uiPriority w:val="0"/>
    <w:rPr>
      <w:sz w:val="21"/>
      <w:szCs w:val="21"/>
    </w:rPr>
  </w:style>
  <w:style w:type="paragraph" w:customStyle="1" w:styleId="123">
    <w:name w:val="case31"/>
    <w:basedOn w:val="1"/>
    <w:qFormat/>
    <w:uiPriority w:val="0"/>
    <w:pPr>
      <w:widowControl/>
      <w:spacing w:before="100" w:beforeAutospacing="1" w:after="100" w:afterAutospacing="1"/>
      <w:jc w:val="left"/>
    </w:pPr>
    <w:rPr>
      <w:rFonts w:hAnsi="宋体"/>
      <w:color w:val="000000"/>
      <w:szCs w:val="24"/>
    </w:rPr>
  </w:style>
  <w:style w:type="paragraph" w:customStyle="1" w:styleId="124">
    <w:name w:val="文字列表"/>
    <w:basedOn w:val="1"/>
    <w:qFormat/>
    <w:uiPriority w:val="0"/>
    <w:pPr>
      <w:tabs>
        <w:tab w:val="left" w:pos="420"/>
      </w:tabs>
      <w:spacing w:line="360" w:lineRule="auto"/>
      <w:ind w:left="358" w:leftChars="128" w:firstLine="2"/>
    </w:pPr>
    <w:rPr>
      <w:spacing w:val="20"/>
      <w:szCs w:val="24"/>
    </w:rPr>
  </w:style>
  <w:style w:type="paragraph" w:customStyle="1" w:styleId="125">
    <w:name w:val="纯文本1"/>
    <w:basedOn w:val="1"/>
    <w:qFormat/>
    <w:uiPriority w:val="0"/>
    <w:pPr>
      <w:spacing w:line="324" w:lineRule="auto"/>
    </w:pPr>
    <w:rPr>
      <w:rFonts w:hAnsi="Courier New" w:cs="Courier New"/>
      <w:szCs w:val="21"/>
    </w:rPr>
  </w:style>
  <w:style w:type="paragraph" w:customStyle="1" w:styleId="126">
    <w:name w:val="正文段"/>
    <w:basedOn w:val="1"/>
    <w:qFormat/>
    <w:uiPriority w:val="0"/>
    <w:pPr>
      <w:adjustRightInd w:val="0"/>
      <w:snapToGrid w:val="0"/>
      <w:spacing w:line="360" w:lineRule="auto"/>
    </w:pPr>
    <w:rPr>
      <w:rFonts w:eastAsia="仿宋_GB2312"/>
      <w:spacing w:val="-8"/>
    </w:rPr>
  </w:style>
  <w:style w:type="paragraph" w:customStyle="1" w:styleId="127">
    <w:name w:val="普通(网站)1"/>
    <w:basedOn w:val="1"/>
    <w:qFormat/>
    <w:uiPriority w:val="0"/>
    <w:pPr>
      <w:widowControl/>
      <w:spacing w:before="100" w:beforeAutospacing="1" w:after="100" w:afterAutospacing="1"/>
      <w:jc w:val="left"/>
    </w:pPr>
    <w:rPr>
      <w:rFonts w:hAnsi="宋体" w:cs="宋体"/>
      <w:szCs w:val="24"/>
    </w:rPr>
  </w:style>
  <w:style w:type="paragraph" w:customStyle="1" w:styleId="128">
    <w:name w:val="Char12"/>
    <w:basedOn w:val="1"/>
    <w:qFormat/>
    <w:uiPriority w:val="0"/>
    <w:pPr>
      <w:tabs>
        <w:tab w:val="left" w:pos="360"/>
      </w:tabs>
    </w:pPr>
    <w:rPr>
      <w:szCs w:val="24"/>
    </w:rPr>
  </w:style>
  <w:style w:type="paragraph" w:customStyle="1" w:styleId="129">
    <w:name w:val="二级条标题"/>
    <w:basedOn w:val="1"/>
    <w:next w:val="1"/>
    <w:qFormat/>
    <w:uiPriority w:val="0"/>
    <w:pPr>
      <w:widowControl/>
      <w:numPr>
        <w:ilvl w:val="3"/>
        <w:numId w:val="2"/>
      </w:numPr>
      <w:jc w:val="left"/>
      <w:outlineLvl w:val="3"/>
    </w:pPr>
    <w:rPr>
      <w:rFonts w:eastAsia="黑体"/>
    </w:rPr>
  </w:style>
  <w:style w:type="paragraph" w:customStyle="1" w:styleId="130">
    <w:name w:val="表注1"/>
    <w:basedOn w:val="1"/>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31">
    <w:name w:val="_Style 37"/>
    <w:basedOn w:val="1"/>
    <w:qFormat/>
    <w:uiPriority w:val="0"/>
    <w:pPr>
      <w:widowControl/>
      <w:spacing w:after="160" w:line="240" w:lineRule="exact"/>
      <w:jc w:val="center"/>
    </w:pPr>
    <w:rPr>
      <w:rFonts w:hAnsi="宋体"/>
      <w:b/>
      <w:sz w:val="28"/>
      <w:szCs w:val="28"/>
      <w:lang w:eastAsia="en-US"/>
    </w:rPr>
  </w:style>
  <w:style w:type="paragraph" w:customStyle="1" w:styleId="132">
    <w:name w:val="列出段落2"/>
    <w:basedOn w:val="1"/>
    <w:qFormat/>
    <w:uiPriority w:val="34"/>
    <w:pPr>
      <w:ind w:firstLine="420" w:firstLineChars="200"/>
    </w:pPr>
  </w:style>
  <w:style w:type="paragraph" w:customStyle="1" w:styleId="133">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134">
    <w:name w:val="?§?§?¨¤?§o????¨¤?"/>
    <w:basedOn w:val="1"/>
    <w:qFormat/>
    <w:uiPriority w:val="0"/>
    <w:pPr>
      <w:autoSpaceDE w:val="0"/>
      <w:autoSpaceDN w:val="0"/>
      <w:adjustRightInd w:val="0"/>
      <w:jc w:val="left"/>
    </w:pPr>
  </w:style>
  <w:style w:type="paragraph" w:customStyle="1" w:styleId="13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36">
    <w:name w:val="Form Header 1"/>
    <w:basedOn w:val="1"/>
    <w:next w:val="1"/>
    <w:qFormat/>
    <w:uiPriority w:val="0"/>
    <w:pPr>
      <w:widowControl/>
      <w:spacing w:before="80" w:after="80"/>
      <w:jc w:val="left"/>
    </w:pPr>
    <w:rPr>
      <w:rFonts w:ascii="Arial" w:hAnsi="Arial"/>
      <w:b/>
      <w:lang w:val="de-DE" w:eastAsia="en-US"/>
    </w:rPr>
  </w:style>
  <w:style w:type="paragraph" w:customStyle="1" w:styleId="137">
    <w:name w:val="样式3"/>
    <w:basedOn w:val="23"/>
    <w:qFormat/>
    <w:uiPriority w:val="0"/>
    <w:pPr>
      <w:spacing w:line="0" w:lineRule="atLeast"/>
      <w:outlineLvl w:val="0"/>
    </w:pPr>
    <w:rPr>
      <w:sz w:val="28"/>
    </w:rPr>
  </w:style>
  <w:style w:type="paragraph" w:customStyle="1" w:styleId="138">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3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40">
    <w:name w:val="日期1"/>
    <w:basedOn w:val="1"/>
    <w:next w:val="1"/>
    <w:qFormat/>
    <w:uiPriority w:val="0"/>
    <w:rPr>
      <w:rFonts w:ascii="黑体" w:eastAsia="黑体"/>
      <w:sz w:val="28"/>
    </w:rPr>
  </w:style>
  <w:style w:type="paragraph" w:customStyle="1" w:styleId="14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42">
    <w:name w:val="插图编号"/>
    <w:basedOn w:val="1"/>
    <w:next w:val="13"/>
    <w:qFormat/>
    <w:uiPriority w:val="0"/>
    <w:pPr>
      <w:tabs>
        <w:tab w:val="left" w:pos="1440"/>
      </w:tabs>
      <w:spacing w:line="360" w:lineRule="auto"/>
      <w:ind w:left="1021" w:hanging="1021"/>
    </w:pPr>
    <w:rPr>
      <w:spacing w:val="20"/>
      <w:szCs w:val="24"/>
    </w:rPr>
  </w:style>
  <w:style w:type="paragraph" w:customStyle="1" w:styleId="143">
    <w:name w:val="缺省文本"/>
    <w:basedOn w:val="1"/>
    <w:qFormat/>
    <w:uiPriority w:val="0"/>
    <w:pPr>
      <w:autoSpaceDE w:val="0"/>
      <w:autoSpaceDN w:val="0"/>
      <w:adjustRightInd w:val="0"/>
      <w:jc w:val="left"/>
    </w:pPr>
  </w:style>
  <w:style w:type="paragraph" w:customStyle="1" w:styleId="144">
    <w:name w:val="p0"/>
    <w:basedOn w:val="1"/>
    <w:uiPriority w:val="0"/>
    <w:pPr>
      <w:widowControl/>
      <w:snapToGrid w:val="0"/>
      <w:spacing w:line="312" w:lineRule="atLeast"/>
      <w:textAlignment w:val="baseline"/>
    </w:pPr>
    <w:rPr>
      <w:szCs w:val="21"/>
    </w:rPr>
  </w:style>
  <w:style w:type="paragraph" w:customStyle="1" w:styleId="145">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4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47">
    <w:name w:val="Char"/>
    <w:basedOn w:val="1"/>
    <w:qFormat/>
    <w:uiPriority w:val="0"/>
    <w:rPr>
      <w:rFonts w:hAnsi="宋体"/>
      <w:szCs w:val="24"/>
    </w:rPr>
  </w:style>
  <w:style w:type="paragraph" w:customStyle="1" w:styleId="148">
    <w:name w:val="Char1 Char Char Char"/>
    <w:basedOn w:val="1"/>
    <w:qFormat/>
    <w:uiPriority w:val="0"/>
  </w:style>
  <w:style w:type="paragraph" w:customStyle="1" w:styleId="149">
    <w:name w:val="表格文字中"/>
    <w:basedOn w:val="1"/>
    <w:qFormat/>
    <w:uiPriority w:val="0"/>
    <w:pPr>
      <w:adjustRightInd w:val="0"/>
      <w:snapToGrid w:val="0"/>
      <w:ind w:left="22" w:leftChars="8"/>
      <w:jc w:val="center"/>
    </w:pPr>
    <w:rPr>
      <w:szCs w:val="24"/>
    </w:rPr>
  </w:style>
  <w:style w:type="paragraph" w:customStyle="1" w:styleId="150">
    <w:name w:val="普通(网站)2"/>
    <w:basedOn w:val="1"/>
    <w:qFormat/>
    <w:uiPriority w:val="0"/>
    <w:pPr>
      <w:widowControl/>
      <w:spacing w:before="100" w:beforeAutospacing="1" w:after="100" w:afterAutospacing="1"/>
      <w:jc w:val="left"/>
    </w:pPr>
    <w:rPr>
      <w:rFonts w:hAnsi="宋体" w:cs="宋体"/>
      <w:szCs w:val="24"/>
    </w:rPr>
  </w:style>
  <w:style w:type="paragraph" w:customStyle="1" w:styleId="151">
    <w:name w:val="排列"/>
    <w:basedOn w:val="1"/>
    <w:qFormat/>
    <w:uiPriority w:val="0"/>
    <w:pPr>
      <w:adjustRightInd w:val="0"/>
      <w:spacing w:line="360" w:lineRule="auto"/>
      <w:ind w:hanging="627"/>
      <w:jc w:val="left"/>
    </w:pPr>
    <w:rPr>
      <w:b/>
    </w:rPr>
  </w:style>
  <w:style w:type="paragraph" w:customStyle="1" w:styleId="152">
    <w:name w:val="??¨???¨????ì?¨¨??¨?o??????ì?¨¨?"/>
    <w:basedOn w:val="1"/>
    <w:qFormat/>
    <w:uiPriority w:val="0"/>
    <w:pPr>
      <w:autoSpaceDE w:val="0"/>
      <w:autoSpaceDN w:val="0"/>
      <w:adjustRightInd w:val="0"/>
      <w:jc w:val="left"/>
    </w:pPr>
  </w:style>
  <w:style w:type="paragraph" w:customStyle="1" w:styleId="153">
    <w:name w:val="正文缩进1"/>
    <w:basedOn w:val="1"/>
    <w:qFormat/>
    <w:uiPriority w:val="0"/>
    <w:pPr>
      <w:ind w:firstLine="420" w:firstLineChars="200"/>
    </w:pPr>
  </w:style>
  <w:style w:type="paragraph" w:customStyle="1" w:styleId="154">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55">
    <w:name w:val="正文首行缩进2"/>
    <w:basedOn w:val="1"/>
    <w:qFormat/>
    <w:uiPriority w:val="0"/>
    <w:pPr>
      <w:spacing w:line="360" w:lineRule="auto"/>
      <w:ind w:firstLine="600" w:firstLineChars="200"/>
    </w:pPr>
    <w:rPr>
      <w:rFonts w:eastAsia="仿宋_GB2312"/>
      <w:sz w:val="28"/>
      <w:szCs w:val="22"/>
    </w:rPr>
  </w:style>
  <w:style w:type="paragraph" w:customStyle="1" w:styleId="156">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57">
    <w:name w:val="Char111"/>
    <w:basedOn w:val="1"/>
    <w:qFormat/>
    <w:uiPriority w:val="0"/>
    <w:pPr>
      <w:numPr>
        <w:ilvl w:val="0"/>
        <w:numId w:val="3"/>
      </w:numPr>
      <w:tabs>
        <w:tab w:val="left" w:pos="1200"/>
        <w:tab w:val="clear" w:pos="720"/>
      </w:tabs>
      <w:ind w:left="1200" w:hanging="360"/>
    </w:pPr>
    <w:rPr>
      <w:szCs w:val="24"/>
    </w:rPr>
  </w:style>
  <w:style w:type="paragraph" w:customStyle="1" w:styleId="158">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59">
    <w:name w:val="表格文字"/>
    <w:basedOn w:val="1"/>
    <w:qFormat/>
    <w:uiPriority w:val="0"/>
    <w:pPr>
      <w:spacing w:before="120" w:after="120"/>
    </w:pPr>
    <w:rPr>
      <w:rFonts w:ascii="新宋体" w:hAnsi="宋体" w:eastAsia="新宋体"/>
      <w:bCs/>
      <w:color w:val="000000"/>
      <w:sz w:val="18"/>
      <w:szCs w:val="18"/>
    </w:rPr>
  </w:style>
  <w:style w:type="paragraph" w:customStyle="1" w:styleId="16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61">
    <w:name w:val="ec_msonormal"/>
    <w:basedOn w:val="1"/>
    <w:qFormat/>
    <w:uiPriority w:val="0"/>
    <w:pPr>
      <w:widowControl/>
      <w:spacing w:before="100" w:beforeAutospacing="1" w:after="100" w:afterAutospacing="1"/>
      <w:jc w:val="left"/>
    </w:pPr>
    <w:rPr>
      <w:rFonts w:hAnsi="宋体" w:cs="宋体"/>
      <w:szCs w:val="24"/>
    </w:rPr>
  </w:style>
  <w:style w:type="paragraph" w:customStyle="1" w:styleId="162">
    <w:name w:val="表格文本"/>
    <w:basedOn w:val="1"/>
    <w:qFormat/>
    <w:uiPriority w:val="0"/>
    <w:pPr>
      <w:widowControl/>
      <w:jc w:val="left"/>
    </w:pPr>
    <w:rPr>
      <w:rFonts w:ascii="仿宋" w:hAnsi="仿宋" w:cs="微软雅黑"/>
      <w:color w:val="000000"/>
      <w:lang w:eastAsia="en-US"/>
    </w:rPr>
  </w:style>
  <w:style w:type="paragraph" w:customStyle="1" w:styleId="163">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64">
    <w:name w:val="正文序号 4"/>
    <w:basedOn w:val="1"/>
    <w:qFormat/>
    <w:uiPriority w:val="0"/>
    <w:pPr>
      <w:numPr>
        <w:ilvl w:val="3"/>
        <w:numId w:val="4"/>
      </w:numPr>
      <w:tabs>
        <w:tab w:val="left" w:pos="1469"/>
      </w:tabs>
      <w:spacing w:before="60"/>
    </w:pPr>
    <w:rPr>
      <w:szCs w:val="24"/>
    </w:rPr>
  </w:style>
  <w:style w:type="paragraph" w:customStyle="1" w:styleId="165">
    <w:name w:val="正文序号 1"/>
    <w:basedOn w:val="1"/>
    <w:qFormat/>
    <w:uiPriority w:val="0"/>
    <w:pPr>
      <w:numPr>
        <w:ilvl w:val="0"/>
        <w:numId w:val="4"/>
      </w:numPr>
      <w:tabs>
        <w:tab w:val="left" w:pos="839"/>
      </w:tabs>
      <w:spacing w:before="60"/>
    </w:pPr>
    <w:rPr>
      <w:szCs w:val="24"/>
    </w:rPr>
  </w:style>
  <w:style w:type="paragraph" w:customStyle="1" w:styleId="166">
    <w:name w:val="正文序号 3"/>
    <w:basedOn w:val="1"/>
    <w:qFormat/>
    <w:uiPriority w:val="0"/>
    <w:pPr>
      <w:numPr>
        <w:ilvl w:val="2"/>
        <w:numId w:val="4"/>
      </w:numPr>
      <w:tabs>
        <w:tab w:val="left" w:pos="1259"/>
      </w:tabs>
      <w:spacing w:before="60"/>
    </w:pPr>
    <w:rPr>
      <w:szCs w:val="24"/>
    </w:rPr>
  </w:style>
  <w:style w:type="paragraph" w:customStyle="1" w:styleId="167">
    <w:name w:val="4"/>
    <w:basedOn w:val="1"/>
    <w:qFormat/>
    <w:uiPriority w:val="0"/>
    <w:pPr>
      <w:spacing w:line="560" w:lineRule="exact"/>
      <w:ind w:firstLine="200" w:firstLineChars="200"/>
    </w:pPr>
  </w:style>
  <w:style w:type="paragraph" w:customStyle="1" w:styleId="168">
    <w:name w:val="1册标题2"/>
    <w:basedOn w:val="1"/>
    <w:next w:val="1"/>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69">
    <w:name w:val="正文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0">
    <w:name w:val="Char3"/>
    <w:basedOn w:val="1"/>
    <w:qFormat/>
    <w:uiPriority w:val="0"/>
    <w:pPr>
      <w:tabs>
        <w:tab w:val="left" w:pos="360"/>
      </w:tabs>
    </w:pPr>
    <w:rPr>
      <w:szCs w:val="24"/>
    </w:rPr>
  </w:style>
  <w:style w:type="paragraph" w:customStyle="1" w:styleId="171">
    <w:name w:val="Char1"/>
    <w:basedOn w:val="1"/>
    <w:qFormat/>
    <w:uiPriority w:val="0"/>
    <w:pPr>
      <w:tabs>
        <w:tab w:val="left" w:pos="360"/>
      </w:tabs>
      <w:ind w:left="360" w:hanging="360" w:hangingChars="200"/>
    </w:pPr>
    <w:rPr>
      <w:szCs w:val="24"/>
    </w:rPr>
  </w:style>
  <w:style w:type="paragraph" w:customStyle="1" w:styleId="172">
    <w:name w:val="Char13"/>
    <w:basedOn w:val="1"/>
    <w:qFormat/>
    <w:uiPriority w:val="0"/>
    <w:pPr>
      <w:tabs>
        <w:tab w:val="left" w:pos="360"/>
      </w:tabs>
      <w:ind w:left="360" w:hanging="360" w:hangingChars="200"/>
    </w:pPr>
    <w:rPr>
      <w:szCs w:val="24"/>
    </w:rPr>
  </w:style>
  <w:style w:type="paragraph" w:customStyle="1" w:styleId="173">
    <w:name w:val="Q/19LGT01—2001"/>
    <w:basedOn w:val="1"/>
    <w:qFormat/>
    <w:uiPriority w:val="0"/>
    <w:pPr>
      <w:tabs>
        <w:tab w:val="left" w:pos="555"/>
      </w:tabs>
      <w:spacing w:line="360" w:lineRule="auto"/>
      <w:ind w:firstLine="420" w:firstLineChars="200"/>
    </w:pPr>
    <w:rPr>
      <w:rFonts w:hAnsi="宋体"/>
      <w:bCs/>
    </w:rPr>
  </w:style>
  <w:style w:type="paragraph" w:customStyle="1" w:styleId="174">
    <w:name w:val="表内文字"/>
    <w:basedOn w:val="1"/>
    <w:qFormat/>
    <w:uiPriority w:val="0"/>
    <w:pPr>
      <w:jc w:val="left"/>
    </w:pPr>
    <w:rPr>
      <w:szCs w:val="24"/>
    </w:rPr>
  </w:style>
  <w:style w:type="paragraph" w:customStyle="1" w:styleId="175">
    <w:name w:val="日期2"/>
    <w:basedOn w:val="1"/>
    <w:next w:val="1"/>
    <w:qFormat/>
    <w:uiPriority w:val="0"/>
    <w:rPr>
      <w:rFonts w:ascii="黑体" w:eastAsia="黑体"/>
      <w:sz w:val="28"/>
    </w:rPr>
  </w:style>
  <w:style w:type="paragraph" w:customStyle="1" w:styleId="176">
    <w:name w:val="正文序号 2"/>
    <w:basedOn w:val="1"/>
    <w:qFormat/>
    <w:uiPriority w:val="0"/>
    <w:pPr>
      <w:numPr>
        <w:ilvl w:val="1"/>
        <w:numId w:val="4"/>
      </w:numPr>
      <w:tabs>
        <w:tab w:val="left" w:pos="1049"/>
      </w:tabs>
      <w:spacing w:before="60"/>
    </w:pPr>
    <w:rPr>
      <w:szCs w:val="24"/>
    </w:rPr>
  </w:style>
  <w:style w:type="paragraph" w:customStyle="1" w:styleId="177">
    <w:name w:val="Char11"/>
    <w:basedOn w:val="1"/>
    <w:qFormat/>
    <w:uiPriority w:val="0"/>
    <w:rPr>
      <w:rFonts w:hAnsi="宋体"/>
      <w:szCs w:val="24"/>
    </w:rPr>
  </w:style>
  <w:style w:type="paragraph" w:customStyle="1" w:styleId="178">
    <w:name w:val="小标题 2"/>
    <w:basedOn w:val="1"/>
    <w:qFormat/>
    <w:uiPriority w:val="0"/>
    <w:pPr>
      <w:autoSpaceDE w:val="0"/>
      <w:autoSpaceDN w:val="0"/>
      <w:adjustRightInd w:val="0"/>
    </w:pPr>
    <w:rPr>
      <w:rFonts w:ascii="黑体" w:eastAsia="黑体" w:cs="黑体"/>
      <w:szCs w:val="24"/>
    </w:rPr>
  </w:style>
  <w:style w:type="paragraph" w:customStyle="1" w:styleId="179">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80">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paragraph" w:customStyle="1" w:styleId="181">
    <w:name w:val="MTDisplayEquation"/>
    <w:basedOn w:val="1"/>
    <w:next w:val="1"/>
    <w:qFormat/>
    <w:uiPriority w:val="0"/>
    <w:pPr>
      <w:tabs>
        <w:tab w:val="center" w:pos="4160"/>
        <w:tab w:val="right" w:pos="8300"/>
      </w:tabs>
    </w:pPr>
  </w:style>
  <w:style w:type="paragraph" w:customStyle="1" w:styleId="182">
    <w:name w:val="样式 首行缩进:  2 字符"/>
    <w:basedOn w:val="1"/>
    <w:qFormat/>
    <w:uiPriority w:val="0"/>
    <w:pPr>
      <w:spacing w:line="400" w:lineRule="exact"/>
      <w:ind w:firstLine="200" w:firstLineChars="200"/>
    </w:pPr>
    <w:rPr>
      <w:rFonts w:ascii="Calibri" w:hAnsi="Calibri" w:cs="宋体"/>
      <w:kern w:val="2"/>
      <w:szCs w:val="22"/>
    </w:rPr>
  </w:style>
  <w:style w:type="paragraph" w:customStyle="1" w:styleId="183">
    <w:name w:val="1正文内容"/>
    <w:basedOn w:val="1"/>
    <w:qFormat/>
    <w:uiPriority w:val="0"/>
    <w:rPr>
      <w:rFonts w:ascii="Calibri" w:hAnsi="Calibri"/>
      <w:szCs w:val="22"/>
    </w:rPr>
  </w:style>
  <w:style w:type="character" w:customStyle="1" w:styleId="184">
    <w:name w:val="layui-this"/>
    <w:basedOn w:val="45"/>
    <w:qFormat/>
    <w:uiPriority w:val="0"/>
    <w:rPr>
      <w:bdr w:val="single" w:color="EEEEEE" w:sz="6" w:space="0"/>
      <w:shd w:val="clear" w:color="auto" w:fill="FFFFFF"/>
    </w:rPr>
  </w:style>
  <w:style w:type="character" w:customStyle="1" w:styleId="185">
    <w:name w:val="nth-of-type(8)"/>
    <w:basedOn w:val="45"/>
    <w:qFormat/>
    <w:uiPriority w:val="0"/>
  </w:style>
  <w:style w:type="character" w:customStyle="1" w:styleId="186">
    <w:name w:val="nth-of-type(3)"/>
    <w:basedOn w:val="45"/>
    <w:qFormat/>
    <w:uiPriority w:val="0"/>
  </w:style>
  <w:style w:type="character" w:customStyle="1" w:styleId="187">
    <w:name w:val="nth-of-type(3)1"/>
    <w:basedOn w:val="45"/>
    <w:qFormat/>
    <w:uiPriority w:val="0"/>
  </w:style>
  <w:style w:type="character" w:customStyle="1" w:styleId="188">
    <w:name w:val="nth-of-type(3)2"/>
    <w:basedOn w:val="45"/>
    <w:qFormat/>
    <w:uiPriority w:val="0"/>
  </w:style>
  <w:style w:type="character" w:customStyle="1" w:styleId="189">
    <w:name w:val="nth-of-type(3)3"/>
    <w:basedOn w:val="45"/>
    <w:qFormat/>
    <w:uiPriority w:val="0"/>
  </w:style>
  <w:style w:type="character" w:customStyle="1" w:styleId="190">
    <w:name w:val="nth-of-type(3)4"/>
    <w:basedOn w:val="45"/>
    <w:qFormat/>
    <w:uiPriority w:val="0"/>
  </w:style>
  <w:style w:type="character" w:customStyle="1" w:styleId="191">
    <w:name w:val="nth-of-type(3)5"/>
    <w:basedOn w:val="45"/>
    <w:qFormat/>
    <w:uiPriority w:val="0"/>
  </w:style>
  <w:style w:type="character" w:customStyle="1" w:styleId="192">
    <w:name w:val="nth-of-type(3)6"/>
    <w:basedOn w:val="45"/>
    <w:qFormat/>
    <w:uiPriority w:val="0"/>
    <w:rPr>
      <w:sz w:val="21"/>
      <w:szCs w:val="21"/>
    </w:rPr>
  </w:style>
  <w:style w:type="character" w:customStyle="1" w:styleId="193">
    <w:name w:val="nth-of-type(3)7"/>
    <w:basedOn w:val="45"/>
    <w:qFormat/>
    <w:uiPriority w:val="0"/>
  </w:style>
  <w:style w:type="character" w:customStyle="1" w:styleId="194">
    <w:name w:val="nth-of-type(9)"/>
    <w:basedOn w:val="45"/>
    <w:qFormat/>
    <w:uiPriority w:val="0"/>
  </w:style>
  <w:style w:type="character" w:customStyle="1" w:styleId="195">
    <w:name w:val="nth-of-type(2)"/>
    <w:basedOn w:val="45"/>
    <w:qFormat/>
    <w:uiPriority w:val="0"/>
  </w:style>
  <w:style w:type="character" w:customStyle="1" w:styleId="196">
    <w:name w:val="nth-of-type(2)1"/>
    <w:basedOn w:val="45"/>
    <w:qFormat/>
    <w:uiPriority w:val="0"/>
  </w:style>
  <w:style w:type="character" w:customStyle="1" w:styleId="197">
    <w:name w:val="nth-of-type(2)2"/>
    <w:basedOn w:val="45"/>
    <w:qFormat/>
    <w:uiPriority w:val="0"/>
  </w:style>
  <w:style w:type="character" w:customStyle="1" w:styleId="198">
    <w:name w:val="nth-of-type(2)3"/>
    <w:basedOn w:val="45"/>
    <w:qFormat/>
    <w:uiPriority w:val="0"/>
  </w:style>
  <w:style w:type="character" w:customStyle="1" w:styleId="199">
    <w:name w:val="nth-of-type(2)4"/>
    <w:basedOn w:val="45"/>
    <w:qFormat/>
    <w:uiPriority w:val="0"/>
  </w:style>
  <w:style w:type="character" w:customStyle="1" w:styleId="200">
    <w:name w:val="nth-of-type(2)5"/>
    <w:basedOn w:val="45"/>
    <w:qFormat/>
    <w:uiPriority w:val="0"/>
  </w:style>
  <w:style w:type="character" w:customStyle="1" w:styleId="201">
    <w:name w:val="nth-of-type(2)6"/>
    <w:basedOn w:val="45"/>
    <w:qFormat/>
    <w:uiPriority w:val="0"/>
  </w:style>
  <w:style w:type="character" w:customStyle="1" w:styleId="202">
    <w:name w:val="nth-of-type(2)7"/>
    <w:basedOn w:val="45"/>
    <w:uiPriority w:val="0"/>
  </w:style>
  <w:style w:type="character" w:customStyle="1" w:styleId="203">
    <w:name w:val="nth-of-type(2)8"/>
    <w:basedOn w:val="45"/>
    <w:qFormat/>
    <w:uiPriority w:val="0"/>
  </w:style>
  <w:style w:type="character" w:customStyle="1" w:styleId="204">
    <w:name w:val="nth-of-type(2)9"/>
    <w:basedOn w:val="45"/>
    <w:qFormat/>
    <w:uiPriority w:val="0"/>
  </w:style>
  <w:style w:type="character" w:customStyle="1" w:styleId="205">
    <w:name w:val="nth-of-type(2)10"/>
    <w:basedOn w:val="45"/>
    <w:qFormat/>
    <w:uiPriority w:val="0"/>
  </w:style>
  <w:style w:type="character" w:customStyle="1" w:styleId="206">
    <w:name w:val="nth-of-type(2)11"/>
    <w:basedOn w:val="45"/>
    <w:qFormat/>
    <w:uiPriority w:val="0"/>
  </w:style>
  <w:style w:type="character" w:customStyle="1" w:styleId="207">
    <w:name w:val="nth-of-type(2)12"/>
    <w:basedOn w:val="45"/>
    <w:qFormat/>
    <w:uiPriority w:val="0"/>
  </w:style>
  <w:style w:type="character" w:customStyle="1" w:styleId="208">
    <w:name w:val="nth-of-type(2)13"/>
    <w:basedOn w:val="45"/>
    <w:qFormat/>
    <w:uiPriority w:val="0"/>
    <w:rPr>
      <w:sz w:val="21"/>
      <w:szCs w:val="21"/>
    </w:rPr>
  </w:style>
  <w:style w:type="character" w:customStyle="1" w:styleId="209">
    <w:name w:val="nth-of-type(2)14"/>
    <w:basedOn w:val="45"/>
    <w:qFormat/>
    <w:uiPriority w:val="0"/>
  </w:style>
  <w:style w:type="character" w:customStyle="1" w:styleId="210">
    <w:name w:val="nth-of-type(1)"/>
    <w:basedOn w:val="45"/>
    <w:qFormat/>
    <w:uiPriority w:val="0"/>
  </w:style>
  <w:style w:type="character" w:customStyle="1" w:styleId="211">
    <w:name w:val="nth-of-type(1)1"/>
    <w:basedOn w:val="45"/>
    <w:qFormat/>
    <w:uiPriority w:val="0"/>
  </w:style>
  <w:style w:type="character" w:customStyle="1" w:styleId="212">
    <w:name w:val="nth-of-type(1)2"/>
    <w:basedOn w:val="45"/>
    <w:qFormat/>
    <w:uiPriority w:val="0"/>
  </w:style>
  <w:style w:type="character" w:customStyle="1" w:styleId="213">
    <w:name w:val="nth-of-type(1)3"/>
    <w:basedOn w:val="45"/>
    <w:qFormat/>
    <w:uiPriority w:val="0"/>
  </w:style>
  <w:style w:type="character" w:customStyle="1" w:styleId="214">
    <w:name w:val="nth-of-type(1)4"/>
    <w:basedOn w:val="45"/>
    <w:qFormat/>
    <w:uiPriority w:val="0"/>
  </w:style>
  <w:style w:type="character" w:customStyle="1" w:styleId="215">
    <w:name w:val="nth-of-type(1)5"/>
    <w:basedOn w:val="45"/>
    <w:qFormat/>
    <w:uiPriority w:val="0"/>
  </w:style>
  <w:style w:type="character" w:customStyle="1" w:styleId="216">
    <w:name w:val="nth-of-type(1)6"/>
    <w:basedOn w:val="45"/>
    <w:qFormat/>
    <w:uiPriority w:val="0"/>
  </w:style>
  <w:style w:type="character" w:customStyle="1" w:styleId="217">
    <w:name w:val="nth-of-type(1)7"/>
    <w:basedOn w:val="45"/>
    <w:qFormat/>
    <w:uiPriority w:val="0"/>
    <w:rPr>
      <w:rFonts w:ascii="SourceHanSansCN-Regular" w:hAnsi="SourceHanSansCN-Regular" w:eastAsia="SourceHanSansCN-Regular" w:cs="SourceHanSansCN-Regular"/>
      <w:color w:val="FB560A"/>
      <w:sz w:val="21"/>
      <w:szCs w:val="21"/>
    </w:rPr>
  </w:style>
  <w:style w:type="character" w:customStyle="1" w:styleId="218">
    <w:name w:val="nth-of-type(1)8"/>
    <w:basedOn w:val="45"/>
    <w:qFormat/>
    <w:uiPriority w:val="0"/>
  </w:style>
  <w:style w:type="character" w:customStyle="1" w:styleId="219">
    <w:name w:val="nth-of-type(1)9"/>
    <w:basedOn w:val="45"/>
    <w:qFormat/>
    <w:uiPriority w:val="0"/>
  </w:style>
  <w:style w:type="character" w:customStyle="1" w:styleId="220">
    <w:name w:val="nth-of-type(1)10"/>
    <w:basedOn w:val="45"/>
    <w:qFormat/>
    <w:uiPriority w:val="0"/>
  </w:style>
  <w:style w:type="character" w:customStyle="1" w:styleId="221">
    <w:name w:val="nth-of-type(1)11"/>
    <w:basedOn w:val="45"/>
    <w:qFormat/>
    <w:uiPriority w:val="0"/>
  </w:style>
  <w:style w:type="character" w:customStyle="1" w:styleId="222">
    <w:name w:val="nth-of-type(1)12"/>
    <w:basedOn w:val="45"/>
    <w:qFormat/>
    <w:uiPriority w:val="0"/>
  </w:style>
  <w:style w:type="character" w:customStyle="1" w:styleId="223">
    <w:name w:val="nth-of-type(1)13"/>
    <w:basedOn w:val="45"/>
    <w:qFormat/>
    <w:uiPriority w:val="0"/>
  </w:style>
  <w:style w:type="character" w:customStyle="1" w:styleId="224">
    <w:name w:val="nth-of-type(1)14"/>
    <w:basedOn w:val="45"/>
    <w:qFormat/>
    <w:uiPriority w:val="0"/>
  </w:style>
  <w:style w:type="character" w:customStyle="1" w:styleId="225">
    <w:name w:val="nth-of-type(1)15"/>
    <w:basedOn w:val="45"/>
    <w:qFormat/>
    <w:uiPriority w:val="0"/>
  </w:style>
  <w:style w:type="character" w:customStyle="1" w:styleId="226">
    <w:name w:val="nth-of-type(1)16"/>
    <w:basedOn w:val="45"/>
    <w:qFormat/>
    <w:uiPriority w:val="0"/>
  </w:style>
  <w:style w:type="character" w:customStyle="1" w:styleId="227">
    <w:name w:val="nth-of-type(1)17"/>
    <w:basedOn w:val="45"/>
    <w:qFormat/>
    <w:uiPriority w:val="0"/>
    <w:rPr>
      <w:sz w:val="21"/>
      <w:szCs w:val="21"/>
    </w:rPr>
  </w:style>
  <w:style w:type="character" w:customStyle="1" w:styleId="228">
    <w:name w:val="nth-of-type(1)18"/>
    <w:basedOn w:val="45"/>
    <w:qFormat/>
    <w:uiPriority w:val="0"/>
  </w:style>
  <w:style w:type="character" w:customStyle="1" w:styleId="229">
    <w:name w:val="nth-of-type(4)"/>
    <w:basedOn w:val="45"/>
    <w:qFormat/>
    <w:uiPriority w:val="0"/>
  </w:style>
  <w:style w:type="character" w:customStyle="1" w:styleId="230">
    <w:name w:val="nth-of-type(4)1"/>
    <w:basedOn w:val="45"/>
    <w:qFormat/>
    <w:uiPriority w:val="0"/>
  </w:style>
  <w:style w:type="character" w:customStyle="1" w:styleId="231">
    <w:name w:val="nth-of-type(4)2"/>
    <w:basedOn w:val="45"/>
    <w:qFormat/>
    <w:uiPriority w:val="0"/>
  </w:style>
  <w:style w:type="character" w:customStyle="1" w:styleId="232">
    <w:name w:val="nth-of-type(4)3"/>
    <w:basedOn w:val="45"/>
    <w:qFormat/>
    <w:uiPriority w:val="0"/>
  </w:style>
  <w:style w:type="character" w:customStyle="1" w:styleId="233">
    <w:name w:val="nth-of-type(4)4"/>
    <w:basedOn w:val="45"/>
    <w:qFormat/>
    <w:uiPriority w:val="0"/>
  </w:style>
  <w:style w:type="character" w:customStyle="1" w:styleId="234">
    <w:name w:val="nth-of-type(4)5"/>
    <w:basedOn w:val="45"/>
    <w:qFormat/>
    <w:uiPriority w:val="0"/>
  </w:style>
  <w:style w:type="character" w:customStyle="1" w:styleId="235">
    <w:name w:val="nth-of-type(4)6"/>
    <w:basedOn w:val="45"/>
    <w:qFormat/>
    <w:uiPriority w:val="0"/>
  </w:style>
  <w:style w:type="character" w:customStyle="1" w:styleId="236">
    <w:name w:val="nth-of-type(4)7"/>
    <w:basedOn w:val="45"/>
    <w:qFormat/>
    <w:uiPriority w:val="0"/>
    <w:rPr>
      <w:sz w:val="21"/>
      <w:szCs w:val="21"/>
    </w:rPr>
  </w:style>
  <w:style w:type="character" w:customStyle="1" w:styleId="237">
    <w:name w:val="nth-of-type(4)8"/>
    <w:basedOn w:val="45"/>
    <w:qFormat/>
    <w:uiPriority w:val="0"/>
  </w:style>
  <w:style w:type="character" w:customStyle="1" w:styleId="238">
    <w:name w:val="nth-of-type(5)"/>
    <w:basedOn w:val="45"/>
    <w:qFormat/>
    <w:uiPriority w:val="0"/>
  </w:style>
  <w:style w:type="character" w:customStyle="1" w:styleId="239">
    <w:name w:val="nth-of-type(5)1"/>
    <w:basedOn w:val="45"/>
    <w:qFormat/>
    <w:uiPriority w:val="0"/>
  </w:style>
  <w:style w:type="character" w:customStyle="1" w:styleId="240">
    <w:name w:val="nth-of-type(5)2"/>
    <w:basedOn w:val="45"/>
    <w:qFormat/>
    <w:uiPriority w:val="0"/>
  </w:style>
  <w:style w:type="character" w:customStyle="1" w:styleId="241">
    <w:name w:val="nth-of-type(5)3"/>
    <w:basedOn w:val="45"/>
    <w:qFormat/>
    <w:uiPriority w:val="0"/>
  </w:style>
  <w:style w:type="character" w:customStyle="1" w:styleId="242">
    <w:name w:val="nth-of-type(5)4"/>
    <w:basedOn w:val="45"/>
    <w:qFormat/>
    <w:uiPriority w:val="0"/>
  </w:style>
  <w:style w:type="character" w:customStyle="1" w:styleId="243">
    <w:name w:val="nth-of-type(5)5"/>
    <w:basedOn w:val="45"/>
    <w:qFormat/>
    <w:uiPriority w:val="0"/>
    <w:rPr>
      <w:sz w:val="21"/>
      <w:szCs w:val="21"/>
    </w:rPr>
  </w:style>
  <w:style w:type="character" w:customStyle="1" w:styleId="244">
    <w:name w:val="nth-of-type(5)6"/>
    <w:basedOn w:val="45"/>
    <w:qFormat/>
    <w:uiPriority w:val="0"/>
  </w:style>
  <w:style w:type="character" w:customStyle="1" w:styleId="245">
    <w:name w:val="nth-of-type(6)"/>
    <w:basedOn w:val="45"/>
    <w:qFormat/>
    <w:uiPriority w:val="0"/>
  </w:style>
  <w:style w:type="character" w:customStyle="1" w:styleId="246">
    <w:name w:val="nth-of-type(6)1"/>
    <w:basedOn w:val="45"/>
    <w:qFormat/>
    <w:uiPriority w:val="0"/>
  </w:style>
  <w:style w:type="character" w:customStyle="1" w:styleId="247">
    <w:name w:val="nth-of-type(6)2"/>
    <w:basedOn w:val="45"/>
    <w:qFormat/>
    <w:uiPriority w:val="0"/>
  </w:style>
  <w:style w:type="character" w:customStyle="1" w:styleId="248">
    <w:name w:val="nth-of-type(6)3"/>
    <w:basedOn w:val="45"/>
    <w:qFormat/>
    <w:uiPriority w:val="0"/>
    <w:rPr>
      <w:color w:val="0082DF"/>
    </w:rPr>
  </w:style>
  <w:style w:type="character" w:customStyle="1" w:styleId="249">
    <w:name w:val="nth-of-type(6)4"/>
    <w:basedOn w:val="45"/>
    <w:qFormat/>
    <w:uiPriority w:val="0"/>
  </w:style>
  <w:style w:type="character" w:customStyle="1" w:styleId="250">
    <w:name w:val="nth-of-type(6)5"/>
    <w:basedOn w:val="45"/>
    <w:qFormat/>
    <w:uiPriority w:val="0"/>
  </w:style>
  <w:style w:type="character" w:customStyle="1" w:styleId="251">
    <w:name w:val="nth-of-type(7)"/>
    <w:basedOn w:val="45"/>
    <w:qFormat/>
    <w:uiPriority w:val="0"/>
  </w:style>
  <w:style w:type="character" w:customStyle="1" w:styleId="252">
    <w:name w:val="nth-of-type(7)1"/>
    <w:basedOn w:val="45"/>
    <w:qFormat/>
    <w:uiPriority w:val="0"/>
  </w:style>
  <w:style w:type="character" w:customStyle="1" w:styleId="253">
    <w:name w:val="nth-of-type(7)2"/>
    <w:basedOn w:val="45"/>
    <w:qFormat/>
    <w:uiPriority w:val="0"/>
  </w:style>
  <w:style w:type="character" w:customStyle="1" w:styleId="254">
    <w:name w:val="nth-of-type(10)"/>
    <w:basedOn w:val="45"/>
    <w:qFormat/>
    <w:uiPriority w:val="0"/>
  </w:style>
  <w:style w:type="character" w:customStyle="1" w:styleId="255">
    <w:name w:val="first-child"/>
    <w:basedOn w:val="45"/>
    <w:qFormat/>
    <w:uiPriority w:val="0"/>
  </w:style>
  <w:style w:type="character" w:customStyle="1" w:styleId="256">
    <w:name w:val="first-child1"/>
    <w:basedOn w:val="45"/>
    <w:qFormat/>
    <w:uiPriority w:val="0"/>
  </w:style>
  <w:style w:type="character" w:customStyle="1" w:styleId="257">
    <w:name w:val="lineshow"/>
    <w:basedOn w:val="45"/>
    <w:qFormat/>
    <w:uiPriority w:val="0"/>
  </w:style>
  <w:style w:type="character" w:customStyle="1" w:styleId="258">
    <w:name w:val="lineshow1"/>
    <w:basedOn w:val="45"/>
    <w:qFormat/>
    <w:uiPriority w:val="0"/>
  </w:style>
  <w:style w:type="character" w:customStyle="1" w:styleId="259">
    <w:name w:val="layui-laypage-curr"/>
    <w:basedOn w:val="45"/>
    <w:qFormat/>
    <w:uiPriority w:val="0"/>
  </w:style>
  <w:style w:type="character" w:customStyle="1" w:styleId="260">
    <w:name w:val="last-child1"/>
    <w:basedOn w:val="45"/>
    <w:qFormat/>
    <w:uiPriority w:val="0"/>
  </w:style>
  <w:style w:type="character" w:customStyle="1" w:styleId="261">
    <w:name w:val="last-child2"/>
    <w:basedOn w:val="45"/>
    <w:qFormat/>
    <w:uiPriority w:val="0"/>
    <w:rPr>
      <w:color w:val="FFFFFF"/>
    </w:rPr>
  </w:style>
  <w:style w:type="character" w:customStyle="1" w:styleId="262">
    <w:name w:val="last-child3"/>
    <w:basedOn w:val="45"/>
    <w:qFormat/>
    <w:uiPriority w:val="0"/>
  </w:style>
  <w:style w:type="character" w:customStyle="1" w:styleId="263">
    <w:name w:val="titleshow"/>
    <w:basedOn w:val="45"/>
    <w:qFormat/>
    <w:uiPriority w:val="0"/>
    <w:rPr>
      <w:color w:val="3E464C"/>
    </w:rPr>
  </w:style>
  <w:style w:type="character" w:customStyle="1" w:styleId="264">
    <w:name w:val="before2"/>
    <w:basedOn w:val="45"/>
    <w:qFormat/>
    <w:uiPriority w:val="0"/>
    <w:rPr>
      <w:shd w:val="clear" w:color="auto" w:fill="C20E0C"/>
    </w:rPr>
  </w:style>
  <w:style w:type="character" w:customStyle="1" w:styleId="265">
    <w:name w:val="nth-child(2)"/>
    <w:basedOn w:val="45"/>
    <w:qFormat/>
    <w:uiPriority w:val="0"/>
  </w:style>
  <w:style w:type="character" w:customStyle="1" w:styleId="266">
    <w:name w:val="nth-child(3)"/>
    <w:basedOn w:val="45"/>
    <w:qFormat/>
    <w:uiPriority w:val="0"/>
  </w:style>
  <w:style w:type="character" w:customStyle="1" w:styleId="267">
    <w:name w:val="nth-child(1)"/>
    <w:basedOn w:val="45"/>
    <w:qFormat/>
    <w:uiPriority w:val="0"/>
  </w:style>
  <w:style w:type="character" w:customStyle="1" w:styleId="268">
    <w:name w:val="hover25"/>
    <w:basedOn w:val="45"/>
    <w:qFormat/>
    <w:uiPriority w:val="0"/>
    <w:rPr>
      <w:color w:val="167AE0"/>
    </w:rPr>
  </w:style>
  <w:style w:type="character" w:customStyle="1" w:styleId="269">
    <w:name w:val="first-child2"/>
    <w:basedOn w:val="45"/>
    <w:qFormat/>
    <w:uiPriority w:val="0"/>
  </w:style>
  <w:style w:type="character" w:customStyle="1" w:styleId="270">
    <w:name w:val="first-child3"/>
    <w:basedOn w:val="45"/>
    <w:qFormat/>
    <w:uiPriority w:val="0"/>
  </w:style>
  <w:style w:type="character" w:customStyle="1" w:styleId="271">
    <w:name w:val="layui-this4"/>
    <w:basedOn w:val="45"/>
    <w:qFormat/>
    <w:uiPriority w:val="0"/>
    <w:rPr>
      <w:bdr w:val="single" w:color="EEEEEE" w:sz="6" w:space="0"/>
      <w:shd w:val="clear" w:color="auto" w:fill="FFFFFF"/>
    </w:rPr>
  </w:style>
  <w:style w:type="paragraph" w:customStyle="1" w:styleId="272">
    <w:name w:val="2级标题"/>
    <w:next w:val="1"/>
    <w:qFormat/>
    <w:uiPriority w:val="0"/>
    <w:pPr>
      <w:spacing w:line="360" w:lineRule="auto"/>
      <w:outlineLvl w:val="1"/>
    </w:pPr>
    <w:rPr>
      <w:rFonts w:ascii="Calibri" w:hAnsi="Calibri" w:eastAsia="微软雅黑" w:cs="Times New Roman"/>
      <w:b/>
      <w:bCs/>
      <w:kern w:val="44"/>
      <w:sz w:val="32"/>
      <w:szCs w:val="44"/>
      <w:lang w:val="en-US" w:eastAsia="zh-CN" w:bidi="ar-SA"/>
    </w:rPr>
  </w:style>
  <w:style w:type="character" w:customStyle="1" w:styleId="273">
    <w:name w:val="正文首行缩进 2 Char"/>
    <w:basedOn w:val="73"/>
    <w:link w:val="42"/>
    <w:semiHidden/>
    <w:qFormat/>
    <w:uiPriority w:val="99"/>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31460</Words>
  <Characters>33290</Characters>
  <Lines>271</Lines>
  <Paragraphs>76</Paragraphs>
  <TotalTime>7</TotalTime>
  <ScaleCrop>false</ScaleCrop>
  <LinksUpToDate>false</LinksUpToDate>
  <CharactersWithSpaces>35979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2022-06-01T06:39:00Z</dcterms:created>
  <dc:creator>郭颖</dc:creator>
  <cp:lastModifiedBy>高凌</cp:lastModifiedBy>
  <cp:lastPrinted>2022-06-06T00:52:00Z</cp:lastPrinted>
  <dcterms:modified xsi:type="dcterms:W3CDTF">2023-05-15T05:10:01Z</dcterms:modified>
  <dc:title>政府采购货物和服务项目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9D41C0BED020427BA5E654F204171F89_13</vt:lpwstr>
  </property>
</Properties>
</file>