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default" w:ascii="Times New Roman" w:hAnsi="Times New Roman" w:eastAsia="仿宋" w:cs="Times New Roman"/>
          <w:b/>
          <w:bCs/>
          <w:sz w:val="30"/>
          <w:szCs w:val="30"/>
          <w:highlight w:val="none"/>
          <w:lang w:val="zh-CN"/>
        </w:rPr>
      </w:pPr>
    </w:p>
    <w:p>
      <w:pPr>
        <w:autoSpaceDE w:val="0"/>
        <w:autoSpaceDN w:val="0"/>
        <w:adjustRightInd w:val="0"/>
        <w:snapToGrid w:val="0"/>
        <w:spacing w:line="360" w:lineRule="auto"/>
        <w:jc w:val="left"/>
        <w:rPr>
          <w:rFonts w:hint="default" w:ascii="Times New Roman" w:hAnsi="Times New Roman" w:eastAsia="仿宋" w:cs="Times New Roman"/>
          <w:b/>
          <w:bCs/>
          <w:sz w:val="30"/>
          <w:szCs w:val="30"/>
          <w:highlight w:val="none"/>
          <w:lang w:val="zh-CN"/>
        </w:rPr>
      </w:pPr>
      <w:r>
        <w:rPr>
          <w:rFonts w:hint="default" w:ascii="Times New Roman" w:hAnsi="Times New Roman" w:eastAsia="仿宋" w:cs="Times New Roman"/>
          <w:b/>
          <w:bCs/>
          <w:sz w:val="30"/>
          <w:szCs w:val="30"/>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 w:cs="Times New Roman"/>
          <w:b/>
          <w:bCs/>
          <w:sz w:val="30"/>
          <w:szCs w:val="30"/>
          <w:highlight w:val="none"/>
          <w:lang w:val="zh-CN"/>
        </w:rPr>
      </w:pPr>
      <w:r>
        <w:rPr>
          <w:rFonts w:hint="default" w:ascii="Times New Roman" w:hAnsi="Times New Roman" w:eastAsia="仿宋" w:cs="Times New Roman"/>
          <w:b/>
          <w:bCs/>
          <w:sz w:val="30"/>
          <w:szCs w:val="30"/>
          <w:highlight w:val="none"/>
          <w:lang w:val="zh-CN"/>
        </w:rPr>
        <w:t>采购项目编号：SCZB2023-CS-0479/003（</w:t>
      </w:r>
      <w:r>
        <w:rPr>
          <w:rFonts w:hint="default" w:ascii="Times New Roman" w:hAnsi="Times New Roman" w:eastAsia="仿宋" w:cs="Times New Roman"/>
          <w:b/>
          <w:bCs/>
          <w:sz w:val="30"/>
          <w:szCs w:val="30"/>
          <w:highlight w:val="none"/>
          <w:lang w:val="en-US" w:eastAsia="zh-CN"/>
        </w:rPr>
        <w:t>1</w:t>
      </w:r>
      <w:r>
        <w:rPr>
          <w:rFonts w:hint="default" w:ascii="Times New Roman" w:hAnsi="Times New Roman" w:eastAsia="仿宋" w:cs="Times New Roman"/>
          <w:b/>
          <w:bCs/>
          <w:sz w:val="30"/>
          <w:szCs w:val="30"/>
          <w:highlight w:val="none"/>
          <w:lang w:val="zh-CN"/>
        </w:rPr>
        <w:t>）</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30"/>
          <w:szCs w:val="3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sz w:val="44"/>
          <w:szCs w:val="44"/>
          <w:highlight w:val="none"/>
          <w:lang w:eastAsia="zh-CN"/>
        </w:rPr>
      </w:pPr>
      <w:r>
        <w:rPr>
          <w:rFonts w:hint="default" w:ascii="Times New Roman" w:hAnsi="Times New Roman" w:eastAsia="仿宋" w:cs="Times New Roman"/>
          <w:sz w:val="32"/>
          <w:szCs w:val="32"/>
          <w:highlight w:val="none"/>
        </w:rPr>
        <w:t xml:space="preserve"> </w:t>
      </w:r>
      <w:bookmarkStart w:id="0" w:name="_Hlk63694607"/>
      <w:r>
        <w:rPr>
          <w:rFonts w:hint="default" w:ascii="Times New Roman" w:hAnsi="Times New Roman" w:eastAsia="仿宋" w:cs="Times New Roman"/>
          <w:b/>
          <w:bCs/>
          <w:sz w:val="44"/>
          <w:szCs w:val="44"/>
          <w:highlight w:val="none"/>
          <w:lang w:eastAsia="zh-CN"/>
        </w:rPr>
        <w:t>陕西省道路运输事业发展中心后勤服务购买项目（第1包）</w:t>
      </w:r>
    </w:p>
    <w:bookmarkEnd w:id="0"/>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36"/>
          <w:szCs w:val="36"/>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竞争性磋商文件</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50"/>
          <w:szCs w:val="50"/>
          <w:highlight w:val="none"/>
          <w:lang w:val="en-US" w:eastAsia="zh-CN"/>
        </w:rPr>
      </w:pPr>
      <w:r>
        <w:rPr>
          <w:rFonts w:hint="default" w:ascii="Times New Roman" w:hAnsi="Times New Roman" w:eastAsia="仿宋" w:cs="Times New Roman"/>
          <w:sz w:val="50"/>
          <w:szCs w:val="50"/>
          <w:highlight w:val="none"/>
          <w:lang w:val="en-US" w:eastAsia="zh-CN"/>
        </w:rPr>
        <w:t xml:space="preserve"> </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1807" w:firstLineChars="600"/>
        <w:jc w:val="left"/>
        <w:rPr>
          <w:rFonts w:hint="default" w:ascii="Times New Roman" w:hAnsi="Times New Roman" w:eastAsia="仿宋" w:cs="Times New Roman"/>
          <w:b/>
          <w:bCs/>
          <w:sz w:val="30"/>
          <w:szCs w:val="30"/>
          <w:highlight w:val="none"/>
        </w:rPr>
      </w:pPr>
      <w:r>
        <w:rPr>
          <w:rFonts w:hint="default" w:ascii="Times New Roman" w:hAnsi="Times New Roman" w:eastAsia="仿宋" w:cs="Times New Roman"/>
          <w:b/>
          <w:bCs/>
          <w:sz w:val="30"/>
          <w:szCs w:val="30"/>
          <w:highlight w:val="none"/>
        </w:rPr>
        <w:t>采   购   人：陕西省道路运输事业发展中心</w:t>
      </w:r>
    </w:p>
    <w:p>
      <w:pPr>
        <w:pStyle w:val="64"/>
        <w:ind w:firstLine="1807" w:firstLineChars="600"/>
        <w:jc w:val="left"/>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tabs>
          <w:tab w:val="left" w:pos="5670"/>
        </w:tabs>
        <w:autoSpaceDE w:val="0"/>
        <w:autoSpaceDN w:val="0"/>
        <w:adjustRightInd w:val="0"/>
        <w:snapToGrid w:val="0"/>
        <w:spacing w:line="360" w:lineRule="auto"/>
        <w:ind w:firstLine="1807" w:firstLineChars="600"/>
        <w:rPr>
          <w:rFonts w:hint="default" w:ascii="Times New Roman" w:hAnsi="Times New Roman" w:eastAsia="仿宋" w:cs="Times New Roman"/>
          <w:b/>
          <w:bCs/>
          <w:sz w:val="30"/>
          <w:szCs w:val="30"/>
          <w:highlight w:val="none"/>
        </w:rPr>
      </w:pPr>
      <w:r>
        <w:rPr>
          <w:rFonts w:hint="default" w:ascii="Times New Roman" w:hAnsi="Times New Roman" w:eastAsia="仿宋" w:cs="Times New Roman"/>
          <w:b/>
          <w:bCs/>
          <w:sz w:val="30"/>
          <w:szCs w:val="30"/>
          <w:highlight w:val="none"/>
          <w:lang w:val="zh-CN"/>
        </w:rPr>
        <w:t>采购代理机构：陕西省采购招标有限责任公司</w:t>
      </w:r>
      <w:r>
        <w:rPr>
          <w:rFonts w:hint="default" w:ascii="Times New Roman" w:hAnsi="Times New Roman" w:eastAsia="仿宋" w:cs="Times New Roman"/>
          <w:b/>
          <w:bCs/>
          <w:sz w:val="30"/>
          <w:szCs w:val="30"/>
          <w:highlight w:val="none"/>
        </w:rPr>
        <w:t xml:space="preserve"> </w:t>
      </w:r>
    </w:p>
    <w:p>
      <w:pPr>
        <w:tabs>
          <w:tab w:val="left" w:pos="546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lang w:val="zh-CN"/>
        </w:rPr>
      </w:pPr>
    </w:p>
    <w:p>
      <w:pPr>
        <w:tabs>
          <w:tab w:val="left" w:pos="546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lang w:val="zh-CN"/>
        </w:rPr>
      </w:pPr>
      <w:r>
        <w:rPr>
          <w:rFonts w:hint="eastAsia" w:eastAsia="仿宋" w:cs="Times New Roman"/>
          <w:b/>
          <w:bCs/>
          <w:sz w:val="30"/>
          <w:szCs w:val="30"/>
          <w:highlight w:val="none"/>
          <w:lang w:val="zh-CN"/>
        </w:rPr>
        <w:t>二〇二三年六月</w:t>
      </w:r>
    </w:p>
    <w:p>
      <w:pPr>
        <w:pStyle w:val="2"/>
        <w:rPr>
          <w:rFonts w:hint="default" w:ascii="Times New Roman" w:hAnsi="Times New Roman" w:eastAsia="仿宋" w:cs="Times New Roman"/>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目  录</w:t>
      </w:r>
    </w:p>
    <w:sdt>
      <w:sdtPr>
        <w:rPr>
          <w:rFonts w:hint="default" w:ascii="Times New Roman" w:hAnsi="Times New Roman" w:eastAsia="仿宋" w:cs="Times New Roman"/>
          <w:b/>
          <w:bCs/>
          <w:caps/>
          <w:sz w:val="24"/>
          <w:szCs w:val="20"/>
          <w:highlight w:val="none"/>
        </w:rPr>
        <w:id w:val="147476182"/>
        <w:docPartObj>
          <w:docPartGallery w:val="Table of Contents"/>
          <w:docPartUnique/>
        </w:docPartObj>
      </w:sdtPr>
      <w:sdtEndPr>
        <w:rPr>
          <w:rFonts w:hint="default" w:ascii="Times New Roman" w:hAnsi="Times New Roman" w:eastAsia="仿宋" w:cs="Times New Roman"/>
          <w:b w:val="0"/>
          <w:bCs w:val="0"/>
          <w:caps/>
          <w:sz w:val="28"/>
          <w:szCs w:val="28"/>
          <w:highlight w:val="none"/>
        </w:rPr>
      </w:sdtEndPr>
      <w:sdtContent>
        <w:p>
          <w:pPr>
            <w:jc w:val="center"/>
            <w:rPr>
              <w:rFonts w:hint="default" w:ascii="Times New Roman" w:hAnsi="Times New Roman" w:eastAsia="仿宋" w:cs="Times New Roman"/>
              <w:highlight w:val="none"/>
            </w:rPr>
          </w:pPr>
        </w:p>
        <w:p>
          <w:pPr>
            <w:pStyle w:val="35"/>
            <w:tabs>
              <w:tab w:val="right" w:leader="dot" w:pos="9072"/>
              <w:tab w:val="clear" w:pos="9344"/>
            </w:tabs>
            <w:spacing w:line="48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b w:val="0"/>
              <w:bCs w:val="0"/>
              <w:sz w:val="28"/>
              <w:szCs w:val="28"/>
              <w:highlight w:val="none"/>
            </w:rPr>
            <w:fldChar w:fldCharType="begin"/>
          </w:r>
          <w:r>
            <w:rPr>
              <w:rFonts w:hint="default" w:ascii="Times New Roman" w:hAnsi="Times New Roman" w:eastAsia="仿宋" w:cs="Times New Roman"/>
              <w:b w:val="0"/>
              <w:bCs w:val="0"/>
              <w:sz w:val="28"/>
              <w:szCs w:val="28"/>
              <w:highlight w:val="none"/>
            </w:rPr>
            <w:instrText xml:space="preserve">TOC \o "1-1" \h \u </w:instrText>
          </w:r>
          <w:r>
            <w:rPr>
              <w:rFonts w:hint="default" w:ascii="Times New Roman" w:hAnsi="Times New Roman" w:eastAsia="仿宋" w:cs="Times New Roman"/>
              <w:b w:val="0"/>
              <w:bCs w:val="0"/>
              <w:sz w:val="28"/>
              <w:szCs w:val="28"/>
              <w:highlight w:val="none"/>
            </w:rPr>
            <w:fldChar w:fldCharType="separate"/>
          </w: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_Toc23365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第一章  磋商公告</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_Toc23365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_Toc30316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第二章  供应商须知</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_Toc30316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_Toc16158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第三章  评审办法和标准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_Toc16158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24</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_Toc20614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第四章  合同草案条款</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_Toc20614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31</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_Toc13283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第五章  采购内容及要求</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_Toc13283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42</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highlight w:val="none"/>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_Toc12531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bCs/>
              <w:kern w:val="2"/>
              <w:sz w:val="28"/>
              <w:szCs w:val="28"/>
              <w:highlight w:val="none"/>
            </w:rPr>
            <w:t>第六章  磋商响应文件格式</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_Toc12531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45</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bCs w:val="0"/>
              <w:sz w:val="28"/>
              <w:szCs w:val="28"/>
              <w:highlight w:val="none"/>
            </w:rPr>
            <w:fldChar w:fldCharType="end"/>
          </w:r>
        </w:p>
        <w:p>
          <w:pPr>
            <w:pStyle w:val="35"/>
            <w:jc w:val="center"/>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Cs w:val="0"/>
              <w:szCs w:val="28"/>
              <w:highlight w:val="none"/>
            </w:rPr>
            <w:fldChar w:fldCharType="end"/>
          </w:r>
        </w:p>
      </w:sdtContent>
    </w:sdt>
    <w:p>
      <w:pPr>
        <w:pStyle w:val="2"/>
        <w:rPr>
          <w:rFonts w:hint="default" w:ascii="Times New Roman" w:hAnsi="Times New Roman" w:eastAsia="仿宋" w:cs="Times New Roman"/>
          <w:highlight w:val="none"/>
        </w:rPr>
        <w:sectPr>
          <w:footerReference r:id="rId7" w:type="first"/>
          <w:footerReference r:id="rId6" w:type="default"/>
          <w:pgSz w:w="11906" w:h="16838"/>
          <w:pgMar w:top="1417" w:right="1417" w:bottom="1417" w:left="1417" w:header="851" w:footer="992" w:gutter="0"/>
          <w:cols w:space="720" w:num="1"/>
          <w:titlePg/>
          <w:docGrid w:linePitch="312" w:charSpace="0"/>
        </w:sectPr>
      </w:pPr>
    </w:p>
    <w:p>
      <w:pPr>
        <w:pStyle w:val="46"/>
        <w:spacing w:line="360" w:lineRule="auto"/>
        <w:rPr>
          <w:rFonts w:hint="default" w:ascii="Times New Roman" w:hAnsi="Times New Roman" w:eastAsia="仿宋" w:cs="Times New Roman"/>
          <w:highlight w:val="none"/>
        </w:rPr>
      </w:pPr>
      <w:bookmarkStart w:id="1" w:name="_Toc30431"/>
      <w:bookmarkStart w:id="2" w:name="_Toc28401"/>
      <w:bookmarkStart w:id="3" w:name="_Toc58504445"/>
      <w:bookmarkStart w:id="4" w:name="_Toc415499894"/>
      <w:bookmarkStart w:id="5" w:name="_Toc27365"/>
      <w:bookmarkStart w:id="6" w:name="_Toc14552"/>
      <w:bookmarkStart w:id="7" w:name="_Toc23365"/>
      <w:bookmarkStart w:id="8" w:name="_Toc63697166"/>
      <w:bookmarkStart w:id="9" w:name="_Toc21755"/>
      <w:bookmarkStart w:id="10" w:name="_Toc385"/>
      <w:bookmarkStart w:id="11" w:name="_Toc5710"/>
      <w:bookmarkStart w:id="12" w:name="_Toc4132"/>
      <w:bookmarkStart w:id="13" w:name="_Toc24117"/>
      <w:bookmarkStart w:id="14" w:name="_Toc4479"/>
      <w:bookmarkStart w:id="15" w:name="_Toc6274"/>
      <w:bookmarkStart w:id="16" w:name="_Toc492955413"/>
      <w:bookmarkStart w:id="17" w:name="_Toc499711882"/>
      <w:bookmarkStart w:id="18" w:name="_Toc177817333"/>
      <w:bookmarkStart w:id="19" w:name="_Toc500746964"/>
      <w:bookmarkStart w:id="20" w:name="_Toc177189234"/>
      <w:bookmarkStart w:id="21" w:name="_Toc503063420"/>
      <w:bookmarkStart w:id="22" w:name="_Toc177995472"/>
      <w:bookmarkStart w:id="23" w:name="_Toc500747060"/>
      <w:bookmarkStart w:id="24" w:name="_Toc500747187"/>
      <w:bookmarkStart w:id="25" w:name="_Toc53722839"/>
      <w:bookmarkStart w:id="26" w:name="_Toc496324577"/>
      <w:bookmarkStart w:id="27" w:name="_Toc70687138"/>
      <w:bookmarkStart w:id="28" w:name="_Toc176882541"/>
      <w:bookmarkStart w:id="29" w:name="_Toc499711041"/>
      <w:bookmarkStart w:id="30" w:name="_Toc385992325"/>
      <w:bookmarkStart w:id="31" w:name="_Toc385992324"/>
      <w:r>
        <w:rPr>
          <w:rFonts w:hint="default" w:ascii="Times New Roman" w:hAnsi="Times New Roman" w:eastAsia="仿宋" w:cs="Times New Roman"/>
          <w:highlight w:val="none"/>
        </w:rPr>
        <w:t>第一章  磋商公告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360" w:lineRule="auto"/>
        <w:jc w:val="center"/>
        <w:rPr>
          <w:rFonts w:hint="default" w:ascii="Times New Roman" w:hAnsi="Times New Roman" w:eastAsia="仿宋" w:cs="Times New Roman"/>
          <w:b/>
          <w:sz w:val="28"/>
          <w:szCs w:val="28"/>
          <w:highlight w:val="none"/>
          <w:lang w:eastAsia="zh-CN"/>
        </w:rPr>
      </w:pPr>
      <w:r>
        <w:rPr>
          <w:rFonts w:hint="default" w:ascii="Times New Roman" w:hAnsi="Times New Roman" w:eastAsia="仿宋" w:cs="Times New Roman"/>
          <w:b/>
          <w:sz w:val="28"/>
          <w:szCs w:val="28"/>
          <w:highlight w:val="none"/>
          <w:lang w:eastAsia="zh-CN"/>
        </w:rPr>
        <w:t>陕西省道路运输事业发展中心后勤服务购买项目（第1包）</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竞争性磋商公告</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项目概况</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lang w:eastAsia="zh-CN"/>
        </w:rPr>
        <w:t>陕西省道路运输事业发展中心后勤服务购买项目（第1包）</w:t>
      </w:r>
      <w:r>
        <w:rPr>
          <w:rFonts w:hint="default" w:ascii="Times New Roman" w:hAnsi="Times New Roman" w:eastAsia="仿宋" w:cs="Times New Roman"/>
          <w:color w:val="333333"/>
          <w:kern w:val="0"/>
          <w:sz w:val="24"/>
          <w:highlight w:val="none"/>
        </w:rPr>
        <w:t>的潜在供应商应在西安市高新二路2号山西证券大厦8层获取采购文件，并于202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分（北京时间）前提交响应文件。</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一、项目基本情况</w:t>
      </w:r>
    </w:p>
    <w:p>
      <w:pPr>
        <w:widowControl/>
        <w:shd w:val="clear" w:color="auto" w:fill="FFFFFF"/>
        <w:spacing w:line="460" w:lineRule="exact"/>
        <w:ind w:firstLine="480"/>
        <w:textAlignment w:val="baseline"/>
        <w:rPr>
          <w:rFonts w:hint="default" w:ascii="Times New Roman" w:hAnsi="Times New Roman" w:eastAsia="仿宋" w:cs="Times New Roman"/>
          <w:color w:val="auto"/>
          <w:kern w:val="0"/>
          <w:sz w:val="24"/>
          <w:highlight w:val="none"/>
          <w:lang w:eastAsia="zh-CN"/>
        </w:rPr>
      </w:pPr>
      <w:r>
        <w:rPr>
          <w:rFonts w:hint="default" w:ascii="Times New Roman" w:hAnsi="Times New Roman" w:eastAsia="仿宋" w:cs="Times New Roman"/>
          <w:color w:val="auto"/>
          <w:kern w:val="0"/>
          <w:sz w:val="24"/>
          <w:highlight w:val="none"/>
        </w:rPr>
        <w:t>项目编号：SCZB2023-CS-0479/003</w:t>
      </w:r>
      <w:r>
        <w:rPr>
          <w:rFonts w:hint="default" w:ascii="Times New Roman" w:hAnsi="Times New Roman" w:eastAsia="仿宋" w:cs="Times New Roman"/>
          <w:color w:val="auto"/>
          <w:kern w:val="0"/>
          <w:sz w:val="24"/>
          <w:highlight w:val="none"/>
          <w:lang w:eastAsia="zh-CN"/>
        </w:rPr>
        <w:t>（</w:t>
      </w:r>
      <w:r>
        <w:rPr>
          <w:rFonts w:hint="default" w:ascii="Times New Roman" w:hAnsi="Times New Roman" w:eastAsia="仿宋" w:cs="Times New Roman"/>
          <w:color w:val="auto"/>
          <w:kern w:val="0"/>
          <w:sz w:val="24"/>
          <w:highlight w:val="none"/>
          <w:lang w:val="en-US" w:eastAsia="zh-CN"/>
        </w:rPr>
        <w:t>1</w:t>
      </w:r>
      <w:r>
        <w:rPr>
          <w:rFonts w:hint="default" w:ascii="Times New Roman" w:hAnsi="Times New Roman" w:eastAsia="仿宋" w:cs="Times New Roman"/>
          <w:color w:val="auto"/>
          <w:kern w:val="0"/>
          <w:sz w:val="24"/>
          <w:highlight w:val="none"/>
          <w:lang w:eastAsia="zh-CN"/>
        </w:rPr>
        <w:t>）</w:t>
      </w:r>
    </w:p>
    <w:p>
      <w:pPr>
        <w:widowControl/>
        <w:shd w:val="clear" w:color="auto" w:fill="FFFFFF"/>
        <w:spacing w:line="460" w:lineRule="exact"/>
        <w:ind w:firstLine="480"/>
        <w:textAlignment w:val="baseline"/>
        <w:rPr>
          <w:rFonts w:hint="default" w:ascii="Times New Roman" w:hAnsi="Times New Roman" w:eastAsia="仿宋" w:cs="Times New Roman"/>
          <w:color w:val="auto"/>
          <w:kern w:val="0"/>
          <w:sz w:val="24"/>
          <w:highlight w:val="none"/>
          <w:lang w:eastAsia="zh-CN"/>
        </w:rPr>
      </w:pPr>
      <w:r>
        <w:rPr>
          <w:rFonts w:hint="default" w:ascii="Times New Roman" w:hAnsi="Times New Roman" w:eastAsia="仿宋" w:cs="Times New Roman"/>
          <w:color w:val="auto"/>
          <w:kern w:val="0"/>
          <w:sz w:val="24"/>
          <w:highlight w:val="none"/>
        </w:rPr>
        <w:t>项目名称：</w:t>
      </w:r>
      <w:r>
        <w:rPr>
          <w:rFonts w:hint="default" w:ascii="Times New Roman" w:hAnsi="Times New Roman" w:eastAsia="仿宋" w:cs="Times New Roman"/>
          <w:color w:val="auto"/>
          <w:kern w:val="0"/>
          <w:sz w:val="24"/>
          <w:highlight w:val="none"/>
          <w:lang w:eastAsia="zh-CN"/>
        </w:rPr>
        <w:t>陕西省道路运输事业发展中心后勤服务购买项目（第1包）</w:t>
      </w:r>
    </w:p>
    <w:p>
      <w:pPr>
        <w:widowControl/>
        <w:shd w:val="clear" w:color="auto" w:fill="FFFFFF"/>
        <w:spacing w:line="460" w:lineRule="exact"/>
        <w:ind w:firstLine="480"/>
        <w:textAlignment w:val="baseline"/>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采购方式：竞争性磋商</w:t>
      </w:r>
    </w:p>
    <w:p>
      <w:pPr>
        <w:widowControl/>
        <w:shd w:val="clear" w:color="auto" w:fill="FFFFFF"/>
        <w:spacing w:line="460" w:lineRule="exact"/>
        <w:ind w:firstLine="480"/>
        <w:textAlignment w:val="baseline"/>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预算金额：</w:t>
      </w:r>
      <w:r>
        <w:rPr>
          <w:rFonts w:hint="default" w:ascii="Times New Roman" w:hAnsi="Times New Roman" w:eastAsia="仿宋" w:cs="Times New Roman"/>
          <w:color w:val="auto"/>
          <w:kern w:val="0"/>
          <w:sz w:val="24"/>
          <w:highlight w:val="none"/>
          <w:lang w:val="en-US" w:eastAsia="zh-CN"/>
        </w:rPr>
        <w:t>218000.00</w:t>
      </w:r>
      <w:r>
        <w:rPr>
          <w:rFonts w:hint="default" w:ascii="Times New Roman" w:hAnsi="Times New Roman" w:eastAsia="仿宋" w:cs="Times New Roman"/>
          <w:color w:val="auto"/>
          <w:kern w:val="0"/>
          <w:sz w:val="24"/>
          <w:highlight w:val="none"/>
        </w:rPr>
        <w:t>元</w:t>
      </w:r>
    </w:p>
    <w:p>
      <w:pPr>
        <w:widowControl/>
        <w:shd w:val="clear" w:color="auto" w:fill="FFFFFF"/>
        <w:spacing w:line="460" w:lineRule="exact"/>
        <w:ind w:firstLine="480"/>
        <w:textAlignment w:val="baseline"/>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采购需求：</w:t>
      </w:r>
    </w:p>
    <w:tbl>
      <w:tblPr>
        <w:tblStyle w:val="50"/>
        <w:tblW w:w="5134" w:type="pct"/>
        <w:tblInd w:w="-118" w:type="dxa"/>
        <w:tblLayout w:type="autofit"/>
        <w:tblCellMar>
          <w:top w:w="0" w:type="dxa"/>
          <w:left w:w="0" w:type="dxa"/>
          <w:bottom w:w="0" w:type="dxa"/>
          <w:right w:w="0" w:type="dxa"/>
        </w:tblCellMar>
      </w:tblPr>
      <w:tblGrid>
        <w:gridCol w:w="868"/>
        <w:gridCol w:w="1253"/>
        <w:gridCol w:w="2052"/>
        <w:gridCol w:w="1157"/>
        <w:gridCol w:w="1857"/>
        <w:gridCol w:w="1478"/>
        <w:gridCol w:w="1478"/>
      </w:tblGrid>
      <w:tr>
        <w:tblPrEx>
          <w:tblCellMar>
            <w:top w:w="0" w:type="dxa"/>
            <w:left w:w="0" w:type="dxa"/>
            <w:bottom w:w="0" w:type="dxa"/>
            <w:right w:w="0" w:type="dxa"/>
          </w:tblCellMar>
        </w:tblPrEx>
        <w:trPr>
          <w:trHeight w:val="1096" w:hRule="atLeast"/>
          <w:tblHeader/>
        </w:trPr>
        <w:tc>
          <w:tcPr>
            <w:tcW w:w="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highlight w:val="none"/>
              </w:rPr>
            </w:pPr>
            <w:r>
              <w:rPr>
                <w:rFonts w:hint="default" w:ascii="Times New Roman" w:hAnsi="Times New Roman" w:eastAsia="仿宋" w:cs="Times New Roman"/>
                <w:b/>
                <w:bCs/>
                <w:color w:val="auto"/>
                <w:kern w:val="0"/>
                <w:sz w:val="24"/>
                <w:szCs w:val="24"/>
                <w:highlight w:val="none"/>
              </w:rPr>
              <w:t>品目号</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highlight w:val="none"/>
              </w:rPr>
            </w:pPr>
            <w:r>
              <w:rPr>
                <w:rFonts w:hint="default" w:ascii="Times New Roman" w:hAnsi="Times New Roman" w:eastAsia="仿宋" w:cs="Times New Roman"/>
                <w:b/>
                <w:bCs/>
                <w:color w:val="auto"/>
                <w:kern w:val="0"/>
                <w:sz w:val="24"/>
                <w:szCs w:val="24"/>
                <w:highlight w:val="none"/>
              </w:rPr>
              <w:t>品目名称</w:t>
            </w:r>
          </w:p>
        </w:tc>
        <w:tc>
          <w:tcPr>
            <w:tcW w:w="20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rPr>
              <w:t>采购</w:t>
            </w:r>
          </w:p>
          <w:p>
            <w:pPr>
              <w:widowControl/>
              <w:spacing w:line="460" w:lineRule="exact"/>
              <w:jc w:val="center"/>
              <w:rPr>
                <w:rFonts w:hint="default" w:ascii="Times New Roman" w:hAnsi="Times New Roman" w:eastAsia="仿宋" w:cs="Times New Roman"/>
                <w:b/>
                <w:bCs/>
                <w:color w:val="auto"/>
                <w:kern w:val="0"/>
                <w:sz w:val="24"/>
                <w:highlight w:val="none"/>
              </w:rPr>
            </w:pPr>
            <w:r>
              <w:rPr>
                <w:rFonts w:hint="default" w:ascii="Times New Roman" w:hAnsi="Times New Roman" w:eastAsia="仿宋" w:cs="Times New Roman"/>
                <w:b/>
                <w:bCs/>
                <w:color w:val="auto"/>
                <w:kern w:val="0"/>
                <w:sz w:val="24"/>
                <w:szCs w:val="24"/>
                <w:highlight w:val="none"/>
              </w:rPr>
              <w:t>标的</w:t>
            </w:r>
          </w:p>
        </w:tc>
        <w:tc>
          <w:tcPr>
            <w:tcW w:w="1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rPr>
              <w:t>数量</w:t>
            </w:r>
          </w:p>
          <w:p>
            <w:pPr>
              <w:widowControl/>
              <w:spacing w:line="460" w:lineRule="exact"/>
              <w:jc w:val="center"/>
              <w:rPr>
                <w:rFonts w:hint="default" w:ascii="Times New Roman" w:hAnsi="Times New Roman" w:eastAsia="仿宋" w:cs="Times New Roman"/>
                <w:b/>
                <w:bCs/>
                <w:color w:val="auto"/>
                <w:kern w:val="0"/>
                <w:sz w:val="24"/>
                <w:highlight w:val="none"/>
              </w:rPr>
            </w:pPr>
            <w:r>
              <w:rPr>
                <w:rFonts w:hint="default" w:ascii="Times New Roman" w:hAnsi="Times New Roman" w:eastAsia="仿宋" w:cs="Times New Roman"/>
                <w:b/>
                <w:bCs/>
                <w:color w:val="auto"/>
                <w:kern w:val="0"/>
                <w:sz w:val="24"/>
                <w:szCs w:val="24"/>
                <w:highlight w:val="none"/>
              </w:rPr>
              <w:t>（单位）</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highlight w:val="none"/>
              </w:rPr>
            </w:pPr>
            <w:r>
              <w:rPr>
                <w:rFonts w:hint="default" w:ascii="Times New Roman" w:hAnsi="Times New Roman" w:eastAsia="仿宋" w:cs="Times New Roman"/>
                <w:b/>
                <w:bCs/>
                <w:color w:val="auto"/>
                <w:kern w:val="0"/>
                <w:sz w:val="24"/>
                <w:szCs w:val="24"/>
                <w:highlight w:val="none"/>
              </w:rPr>
              <w:t>技术规格、参数及要求</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highlight w:val="none"/>
              </w:rPr>
            </w:pPr>
            <w:r>
              <w:rPr>
                <w:rFonts w:hint="default" w:ascii="Times New Roman" w:hAnsi="Times New Roman" w:eastAsia="仿宋" w:cs="Times New Roman"/>
                <w:b/>
                <w:bCs/>
                <w:color w:val="auto"/>
                <w:kern w:val="0"/>
                <w:sz w:val="24"/>
                <w:szCs w:val="24"/>
                <w:highlight w:val="none"/>
              </w:rPr>
              <w:t>品目预算</w:t>
            </w:r>
            <w:r>
              <w:rPr>
                <w:rFonts w:hint="default" w:ascii="Times New Roman" w:hAnsi="Times New Roman" w:eastAsia="仿宋" w:cs="Times New Roman"/>
                <w:b/>
                <w:bCs/>
                <w:color w:val="auto"/>
                <w:kern w:val="0"/>
                <w:sz w:val="24"/>
                <w:szCs w:val="24"/>
                <w:highlight w:val="none"/>
                <w:lang w:eastAsia="zh-CN"/>
              </w:rPr>
              <w:t>（</w:t>
            </w:r>
            <w:r>
              <w:rPr>
                <w:rFonts w:hint="default" w:ascii="Times New Roman" w:hAnsi="Times New Roman" w:eastAsia="仿宋" w:cs="Times New Roman"/>
                <w:b/>
                <w:bCs/>
                <w:color w:val="auto"/>
                <w:kern w:val="0"/>
                <w:sz w:val="24"/>
                <w:szCs w:val="24"/>
                <w:highlight w:val="none"/>
              </w:rPr>
              <w:t>元</w:t>
            </w:r>
            <w:r>
              <w:rPr>
                <w:rFonts w:hint="default" w:ascii="Times New Roman" w:hAnsi="Times New Roman" w:eastAsia="仿宋" w:cs="Times New Roman"/>
                <w:b/>
                <w:bCs/>
                <w:color w:val="auto"/>
                <w:kern w:val="0"/>
                <w:sz w:val="24"/>
                <w:szCs w:val="24"/>
                <w:highlight w:val="none"/>
                <w:lang w:eastAsia="zh-CN"/>
              </w:rPr>
              <w:t>）</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60" w:lineRule="exact"/>
              <w:jc w:val="center"/>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rPr>
              <w:t>最高限价</w:t>
            </w:r>
            <w:r>
              <w:rPr>
                <w:rFonts w:hint="default" w:ascii="Times New Roman" w:hAnsi="Times New Roman" w:eastAsia="仿宋" w:cs="Times New Roman"/>
                <w:b/>
                <w:bCs/>
                <w:color w:val="auto"/>
                <w:kern w:val="0"/>
                <w:sz w:val="24"/>
                <w:szCs w:val="24"/>
                <w:highlight w:val="none"/>
                <w:lang w:eastAsia="zh-CN"/>
              </w:rPr>
              <w:t>（</w:t>
            </w:r>
            <w:r>
              <w:rPr>
                <w:rFonts w:hint="default" w:ascii="Times New Roman" w:hAnsi="Times New Roman" w:eastAsia="仿宋" w:cs="Times New Roman"/>
                <w:b/>
                <w:bCs/>
                <w:color w:val="auto"/>
                <w:kern w:val="0"/>
                <w:sz w:val="24"/>
                <w:szCs w:val="24"/>
                <w:highlight w:val="none"/>
              </w:rPr>
              <w:t>元</w:t>
            </w:r>
            <w:r>
              <w:rPr>
                <w:rFonts w:hint="default" w:ascii="Times New Roman" w:hAnsi="Times New Roman" w:eastAsia="仿宋" w:cs="Times New Roman"/>
                <w:b/>
                <w:bCs/>
                <w:color w:val="auto"/>
                <w:kern w:val="0"/>
                <w:sz w:val="24"/>
                <w:szCs w:val="24"/>
                <w:highlight w:val="none"/>
                <w:lang w:eastAsia="zh-CN"/>
              </w:rPr>
              <w:t>）</w:t>
            </w:r>
          </w:p>
        </w:tc>
      </w:tr>
      <w:tr>
        <w:tblPrEx>
          <w:tblCellMar>
            <w:top w:w="0" w:type="dxa"/>
            <w:left w:w="0" w:type="dxa"/>
            <w:bottom w:w="0" w:type="dxa"/>
            <w:right w:w="0" w:type="dxa"/>
          </w:tblCellMar>
        </w:tblPrEx>
        <w:trPr>
          <w:trHeight w:val="2035" w:hRule="atLeast"/>
        </w:trPr>
        <w:tc>
          <w:tcPr>
            <w:tcW w:w="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eastAsia="zh-CN"/>
              </w:rPr>
            </w:pPr>
            <w:r>
              <w:rPr>
                <w:rFonts w:hint="default" w:eastAsia="仿宋"/>
                <w:kern w:val="0"/>
                <w:sz w:val="24"/>
                <w:highlight w:val="none"/>
              </w:rPr>
              <w:t>其他服务</w:t>
            </w:r>
          </w:p>
        </w:tc>
        <w:tc>
          <w:tcPr>
            <w:tcW w:w="20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rPr>
            </w:pPr>
            <w:r>
              <w:rPr>
                <w:rFonts w:hint="default" w:ascii="Times New Roman" w:hAnsi="Times New Roman" w:eastAsia="仿宋" w:cs="Times New Roman"/>
                <w:kern w:val="0"/>
                <w:sz w:val="24"/>
                <w:highlight w:val="none"/>
                <w:lang w:eastAsia="zh-CN"/>
              </w:rPr>
              <w:t>陕西省道路运输事业发展中心后勤服务购买项目（第1包）</w:t>
            </w:r>
          </w:p>
        </w:tc>
        <w:tc>
          <w:tcPr>
            <w:tcW w:w="1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eastAsia="zh-CN"/>
              </w:rPr>
            </w:pPr>
            <w:r>
              <w:rPr>
                <w:rFonts w:hint="default" w:ascii="Times New Roman" w:hAnsi="Times New Roman" w:eastAsia="仿宋" w:cs="Times New Roman"/>
                <w:kern w:val="0"/>
                <w:sz w:val="24"/>
                <w:szCs w:val="24"/>
                <w:highlight w:val="none"/>
                <w:lang w:val="en-US" w:eastAsia="zh-CN" w:bidi="ar-SA"/>
              </w:rPr>
              <w:t>1（项）</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详见采购文件</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eastAsia="zh-CN"/>
              </w:rPr>
            </w:pPr>
            <w:r>
              <w:rPr>
                <w:rFonts w:hint="default" w:ascii="Times New Roman" w:hAnsi="Times New Roman" w:eastAsia="仿宋" w:cs="Times New Roman"/>
                <w:kern w:val="0"/>
                <w:sz w:val="24"/>
                <w:highlight w:val="none"/>
                <w:lang w:val="en-US" w:eastAsia="zh-CN"/>
              </w:rPr>
              <w:t>218000.00</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rPr>
            </w:pPr>
            <w:r>
              <w:rPr>
                <w:rFonts w:hint="default" w:ascii="Times New Roman" w:hAnsi="Times New Roman" w:eastAsia="仿宋" w:cs="Times New Roman"/>
                <w:kern w:val="0"/>
                <w:sz w:val="24"/>
                <w:highlight w:val="none"/>
                <w:lang w:val="en-US" w:eastAsia="zh-CN"/>
              </w:rPr>
              <w:t>218000.00</w:t>
            </w:r>
          </w:p>
        </w:tc>
      </w:tr>
    </w:tbl>
    <w:p>
      <w:pPr>
        <w:widowControl/>
        <w:shd w:val="clear" w:color="auto" w:fill="FFFFFF"/>
        <w:spacing w:line="460" w:lineRule="exact"/>
        <w:ind w:firstLine="480" w:firstLineChars="0"/>
        <w:textAlignment w:val="baseline"/>
        <w:outlineLvl w:val="9"/>
        <w:rPr>
          <w:rFonts w:hint="default" w:ascii="Times New Roman" w:hAnsi="Times New Roman" w:eastAsia="仿宋" w:cs="Times New Roman"/>
          <w:color w:val="333333"/>
          <w:kern w:val="0"/>
          <w:sz w:val="24"/>
          <w:szCs w:val="24"/>
          <w:highlight w:val="none"/>
          <w:lang w:eastAsia="zh-CN"/>
        </w:rPr>
      </w:pPr>
      <w:r>
        <w:rPr>
          <w:rFonts w:hint="eastAsia" w:eastAsia="仿宋" w:cs="Times New Roman"/>
          <w:color w:val="333333"/>
          <w:kern w:val="0"/>
          <w:sz w:val="24"/>
          <w:szCs w:val="24"/>
          <w:highlight w:val="none"/>
          <w:lang w:eastAsia="zh-CN"/>
        </w:rPr>
        <w:t>本合同包不接受联合体投标</w:t>
      </w:r>
      <w:r>
        <w:rPr>
          <w:rFonts w:hint="default" w:ascii="Times New Roman" w:hAnsi="Times New Roman" w:eastAsia="仿宋" w:cs="Times New Roman"/>
          <w:color w:val="333333"/>
          <w:kern w:val="0"/>
          <w:sz w:val="24"/>
          <w:szCs w:val="24"/>
          <w:highlight w:val="none"/>
          <w:lang w:eastAsia="zh-CN"/>
        </w:rPr>
        <w:t>。</w:t>
      </w:r>
    </w:p>
    <w:p>
      <w:pPr>
        <w:widowControl/>
        <w:shd w:val="clear" w:color="auto" w:fill="FFFFFF"/>
        <w:spacing w:line="460" w:lineRule="exact"/>
        <w:ind w:firstLine="480" w:firstLineChars="0"/>
        <w:textAlignment w:val="baseline"/>
        <w:outlineLvl w:val="9"/>
        <w:rPr>
          <w:rFonts w:hint="default" w:ascii="Times New Roman" w:hAnsi="Times New Roman" w:eastAsia="仿宋" w:cs="Times New Roman"/>
          <w:color w:val="333333"/>
          <w:kern w:val="0"/>
          <w:sz w:val="24"/>
          <w:szCs w:val="24"/>
          <w:highlight w:val="none"/>
        </w:rPr>
      </w:pPr>
      <w:r>
        <w:rPr>
          <w:rFonts w:hint="default" w:ascii="Times New Roman" w:hAnsi="Times New Roman" w:eastAsia="仿宋" w:cs="Times New Roman"/>
          <w:color w:val="333333"/>
          <w:kern w:val="0"/>
          <w:sz w:val="24"/>
          <w:szCs w:val="24"/>
          <w:highlight w:val="none"/>
        </w:rPr>
        <w:t>合同履行期限：</w:t>
      </w:r>
      <w:r>
        <w:rPr>
          <w:rFonts w:hint="default" w:ascii="Times New Roman" w:hAnsi="Times New Roman" w:eastAsia="仿宋" w:cs="Times New Roman"/>
          <w:color w:val="333333"/>
          <w:kern w:val="0"/>
          <w:sz w:val="24"/>
          <w:szCs w:val="24"/>
          <w:highlight w:val="none"/>
          <w:lang w:val="en-US" w:eastAsia="zh-CN"/>
        </w:rPr>
        <w:t>2023年7月1日至2024年6月30日（具体服务日期可以随合同签订时间顺延）。</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二、申请人的资格要求：</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1.满足《中华人民共和国政府釆购法》第二十二条规定</w:t>
      </w:r>
      <w:r>
        <w:rPr>
          <w:rFonts w:hint="default" w:ascii="Times New Roman" w:hAnsi="Times New Roman" w:eastAsia="仿宋" w:cs="Times New Roman"/>
          <w:color w:val="333333"/>
          <w:kern w:val="0"/>
          <w:sz w:val="24"/>
          <w:highlight w:val="none"/>
          <w:lang w:eastAsia="zh-CN"/>
        </w:rPr>
        <w:t>；</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2.落实政府采购政策需满足的资格要求：</w:t>
      </w:r>
    </w:p>
    <w:p>
      <w:pPr>
        <w:widowControl/>
        <w:shd w:val="clear" w:color="auto" w:fill="FFFFFF"/>
        <w:spacing w:line="460" w:lineRule="exact"/>
        <w:ind w:firstLine="480" w:firstLineChars="20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合同包1(</w:t>
      </w:r>
      <w:r>
        <w:rPr>
          <w:rFonts w:hint="default" w:ascii="Times New Roman" w:hAnsi="Times New Roman" w:eastAsia="仿宋" w:cs="Times New Roman"/>
          <w:color w:val="333333"/>
          <w:kern w:val="0"/>
          <w:sz w:val="24"/>
          <w:highlight w:val="none"/>
          <w:lang w:eastAsia="zh-CN"/>
        </w:rPr>
        <w:t>陕西省道路运输事业发展中心后勤服务购买项目（第1包）</w:t>
      </w:r>
      <w:r>
        <w:rPr>
          <w:rFonts w:hint="default" w:ascii="Times New Roman" w:hAnsi="Times New Roman" w:eastAsia="仿宋" w:cs="Times New Roman"/>
          <w:color w:val="333333"/>
          <w:kern w:val="0"/>
          <w:sz w:val="24"/>
          <w:highlight w:val="none"/>
        </w:rPr>
        <w:t>)落实政府采购政策需满足的资格要求如下</w:t>
      </w:r>
      <w:r>
        <w:rPr>
          <w:rFonts w:hint="default" w:ascii="Times New Roman" w:hAnsi="Times New Roman" w:eastAsia="仿宋" w:cs="Times New Roman"/>
          <w:color w:val="333333"/>
          <w:kern w:val="0"/>
          <w:sz w:val="24"/>
          <w:highlight w:val="none"/>
          <w:lang w:eastAsia="zh-CN"/>
        </w:rPr>
        <w:t>：</w:t>
      </w:r>
    </w:p>
    <w:p>
      <w:pPr>
        <w:widowControl/>
        <w:shd w:val="clear" w:color="auto" w:fill="FFFFFF"/>
        <w:spacing w:line="500" w:lineRule="exact"/>
        <w:ind w:firstLine="480"/>
        <w:textAlignment w:val="baseline"/>
        <w:rPr>
          <w:rFonts w:hint="eastAsia" w:eastAsia="仿宋" w:cs="Times New Roman"/>
          <w:color w:val="333333"/>
          <w:kern w:val="0"/>
          <w:sz w:val="24"/>
          <w:highlight w:val="none"/>
          <w:lang w:eastAsia="zh-CN"/>
        </w:rPr>
      </w:pPr>
      <w:r>
        <w:rPr>
          <w:rFonts w:hint="eastAsia" w:eastAsia="仿宋" w:cs="Times New Roman"/>
          <w:color w:val="333333"/>
          <w:kern w:val="0"/>
          <w:sz w:val="24"/>
          <w:highlight w:val="none"/>
          <w:lang w:eastAsia="zh-CN"/>
        </w:rPr>
        <w:t>本项目为专门面向中小微企业采购项目，供应商应为中小微企业、监狱企业或残疾人福利性单位。</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3.本项目的特定资格要求：</w:t>
      </w:r>
    </w:p>
    <w:p>
      <w:pPr>
        <w:widowControl/>
        <w:shd w:val="clear" w:color="auto" w:fill="FFFFFF"/>
        <w:spacing w:line="500" w:lineRule="exact"/>
        <w:ind w:firstLine="0"/>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合同包1(</w:t>
      </w:r>
      <w:r>
        <w:rPr>
          <w:rFonts w:hint="default" w:ascii="Times New Roman" w:hAnsi="Times New Roman" w:eastAsia="仿宋" w:cs="Times New Roman"/>
          <w:color w:val="333333"/>
          <w:kern w:val="0"/>
          <w:sz w:val="24"/>
          <w:highlight w:val="none"/>
          <w:lang w:eastAsia="zh-CN"/>
        </w:rPr>
        <w:t>陕西省道路运输事业发展中心后勤服务购买项目（第1包）</w:t>
      </w:r>
      <w:r>
        <w:rPr>
          <w:rFonts w:hint="default" w:ascii="Times New Roman" w:hAnsi="Times New Roman" w:eastAsia="仿宋" w:cs="Times New Roman"/>
          <w:color w:val="333333"/>
          <w:kern w:val="0"/>
          <w:sz w:val="24"/>
          <w:highlight w:val="none"/>
        </w:rPr>
        <w:t>)特定资格要求如下:</w:t>
      </w:r>
    </w:p>
    <w:p>
      <w:pPr>
        <w:widowControl/>
        <w:shd w:val="clear" w:color="auto" w:fill="FFFFFF"/>
        <w:spacing w:line="500" w:lineRule="exact"/>
        <w:ind w:firstLine="480" w:firstLineChars="0"/>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3.1</w:t>
      </w:r>
      <w:r>
        <w:rPr>
          <w:rFonts w:hint="default" w:eastAsia="仿宋"/>
          <w:color w:val="333333"/>
          <w:kern w:val="0"/>
          <w:sz w:val="24"/>
          <w:highlight w:val="none"/>
          <w:lang w:eastAsia="zh-CN"/>
        </w:rPr>
        <w:t>供应商在递交谈判响应文件截止时间前在“信用中国”网站（www.creditchina.gov.cn）、“中国执行信息公开网”网站（http://zxgk.court.gov.cn/）和中国政府采购网（www.ccgp.gov.cn）上被列入重大税收违法失信主体、失信被执行人、政府采购严重违法失信行为记录名单的，不得参加磋商；</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3.2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val="en-US" w:eastAsia="zh-CN"/>
        </w:rPr>
      </w:pPr>
      <w:r>
        <w:rPr>
          <w:rFonts w:hint="default" w:ascii="Times New Roman" w:hAnsi="Times New Roman" w:eastAsia="仿宋" w:cs="Times New Roman"/>
          <w:color w:val="333333"/>
          <w:kern w:val="0"/>
          <w:sz w:val="24"/>
          <w:highlight w:val="none"/>
          <w:lang w:val="en-US" w:eastAsia="zh-CN"/>
        </w:rPr>
        <w:t>3.3</w:t>
      </w:r>
      <w:r>
        <w:rPr>
          <w:rFonts w:hint="default" w:ascii="Times New Roman" w:hAnsi="Times New Roman" w:eastAsia="仿宋" w:cs="Times New Roman"/>
          <w:color w:val="333333"/>
          <w:kern w:val="0"/>
          <w:sz w:val="24"/>
          <w:highlight w:val="none"/>
        </w:rPr>
        <w:t>供应商须提供</w:t>
      </w:r>
      <w:r>
        <w:rPr>
          <w:rFonts w:hint="default" w:ascii="Times New Roman" w:hAnsi="Times New Roman" w:eastAsia="仿宋" w:cs="Times New Roman"/>
          <w:color w:val="333333"/>
          <w:kern w:val="0"/>
          <w:sz w:val="24"/>
          <w:highlight w:val="none"/>
          <w:lang w:val="en-US" w:eastAsia="zh-CN"/>
        </w:rPr>
        <w:t>有效的</w:t>
      </w:r>
      <w:r>
        <w:rPr>
          <w:rFonts w:hint="default" w:ascii="Times New Roman" w:hAnsi="Times New Roman" w:eastAsia="仿宋" w:cs="Times New Roman"/>
          <w:color w:val="333333"/>
          <w:kern w:val="0"/>
          <w:sz w:val="24"/>
          <w:highlight w:val="none"/>
          <w:lang w:eastAsia="zh-CN"/>
        </w:rPr>
        <w:t>《劳务派遣经营许可证》或《人力资源服务许可证》</w:t>
      </w:r>
      <w:r>
        <w:rPr>
          <w:rFonts w:hint="default" w:ascii="Times New Roman" w:hAnsi="Times New Roman" w:eastAsia="仿宋" w:cs="Times New Roman"/>
          <w:color w:val="333333"/>
          <w:kern w:val="0"/>
          <w:sz w:val="24"/>
          <w:highlight w:val="none"/>
        </w:rPr>
        <w:t>；</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w:t>
      </w:r>
      <w:r>
        <w:rPr>
          <w:rFonts w:hint="default" w:ascii="Times New Roman" w:hAnsi="Times New Roman" w:eastAsia="仿宋" w:cs="Times New Roman"/>
          <w:color w:val="333333"/>
          <w:kern w:val="0"/>
          <w:sz w:val="24"/>
          <w:highlight w:val="none"/>
          <w:lang w:val="en-US" w:eastAsia="zh-CN"/>
        </w:rPr>
        <w:t>4</w:t>
      </w:r>
      <w:r>
        <w:rPr>
          <w:rFonts w:hint="default" w:ascii="Times New Roman" w:hAnsi="Times New Roman" w:eastAsia="仿宋" w:cs="Times New Roman"/>
          <w:color w:val="333333"/>
          <w:kern w:val="0"/>
          <w:sz w:val="24"/>
          <w:highlight w:val="none"/>
        </w:rPr>
        <w:t>供应商不得存在下列情形之一：</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（1）单位负责人为同一人或者存在直接控股、管理关系的不同供应商，不得参加本次采购活动；</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（2）为本项目提供整体设计、规范编制或者项目管理、监理、检测等服务的供应商，不得再参加本项目的采购活动；</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w:t>
      </w:r>
      <w:r>
        <w:rPr>
          <w:rFonts w:hint="default" w:ascii="Times New Roman" w:hAnsi="Times New Roman" w:eastAsia="仿宋" w:cs="Times New Roman"/>
          <w:color w:val="333333"/>
          <w:kern w:val="0"/>
          <w:sz w:val="24"/>
          <w:highlight w:val="none"/>
          <w:lang w:val="en-US" w:eastAsia="zh-CN"/>
        </w:rPr>
        <w:t>5</w:t>
      </w:r>
      <w:r>
        <w:rPr>
          <w:rFonts w:hint="default" w:ascii="Times New Roman" w:hAnsi="Times New Roman" w:eastAsia="仿宋" w:cs="Times New Roman"/>
          <w:color w:val="333333"/>
          <w:kern w:val="0"/>
          <w:sz w:val="24"/>
          <w:highlight w:val="none"/>
        </w:rPr>
        <w:t>需向采购代理机构购买磋商文件并登记备案，未向采购代理机构购买磋商文件并登记备案的供应商均无资格参加磋商。</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三、获取采购文件</w:t>
      </w:r>
    </w:p>
    <w:p>
      <w:pPr>
        <w:widowControl/>
        <w:shd w:val="clear" w:color="auto" w:fill="FFFFFF"/>
        <w:spacing w:line="46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color w:val="333333"/>
          <w:kern w:val="0"/>
          <w:sz w:val="24"/>
          <w:highlight w:val="none"/>
        </w:rPr>
        <w:t>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01</w:t>
      </w:r>
      <w:r>
        <w:rPr>
          <w:rFonts w:hint="default" w:ascii="Times New Roman" w:hAnsi="Times New Roman" w:eastAsia="仿宋" w:cs="Times New Roman"/>
          <w:color w:val="333333"/>
          <w:kern w:val="0"/>
          <w:sz w:val="24"/>
          <w:highlight w:val="none"/>
        </w:rPr>
        <w:t>日 至 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08</w:t>
      </w:r>
      <w:r>
        <w:rPr>
          <w:rFonts w:hint="default" w:ascii="Times New Roman" w:hAnsi="Times New Roman" w:eastAsia="仿宋" w:cs="Times New Roman"/>
          <w:color w:val="333333"/>
          <w:kern w:val="0"/>
          <w:sz w:val="24"/>
          <w:highlight w:val="none"/>
        </w:rPr>
        <w:t>日 ，每天上午 08:00:00 至 12:00:00 ，下午 </w:t>
      </w:r>
      <w:r>
        <w:rPr>
          <w:rFonts w:hint="default" w:ascii="Times New Roman" w:hAnsi="Times New Roman" w:eastAsia="仿宋" w:cs="Times New Roman"/>
          <w:kern w:val="0"/>
          <w:sz w:val="24"/>
          <w:highlight w:val="none"/>
        </w:rPr>
        <w:t>12:00:00 至 17:00:00 （北京时间</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法定节假日除外）</w:t>
      </w:r>
    </w:p>
    <w:p>
      <w:pPr>
        <w:widowControl/>
        <w:shd w:val="clear" w:color="auto" w:fill="FFFFFF"/>
        <w:spacing w:line="46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地点：</w:t>
      </w:r>
      <w:r>
        <w:rPr>
          <w:rFonts w:hint="default" w:ascii="Times New Roman" w:hAnsi="Times New Roman" w:eastAsia="仿宋" w:cs="Times New Roman"/>
          <w:color w:val="333333"/>
          <w:kern w:val="0"/>
          <w:sz w:val="24"/>
          <w:highlight w:val="none"/>
        </w:rPr>
        <w:t>西安市高新二路2号山西证券大厦8层</w:t>
      </w:r>
    </w:p>
    <w:p>
      <w:pPr>
        <w:widowControl/>
        <w:shd w:val="clear" w:color="auto" w:fill="FFFFFF"/>
        <w:spacing w:line="46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方式：在线获取</w:t>
      </w:r>
    </w:p>
    <w:p>
      <w:pPr>
        <w:widowControl/>
        <w:shd w:val="clear" w:color="auto" w:fill="FFFFFF"/>
        <w:spacing w:line="46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售价：</w:t>
      </w:r>
      <w:r>
        <w:rPr>
          <w:rFonts w:hint="default" w:ascii="Times New Roman" w:hAnsi="Times New Roman" w:eastAsia="仿宋" w:cs="Times New Roman"/>
          <w:kern w:val="0"/>
          <w:sz w:val="24"/>
          <w:highlight w:val="none"/>
          <w:lang w:eastAsia="zh-CN"/>
        </w:rPr>
        <w:t>300元</w:t>
      </w:r>
      <w:r>
        <w:rPr>
          <w:rFonts w:hint="default" w:ascii="Times New Roman" w:hAnsi="Times New Roman" w:eastAsia="仿宋" w:cs="Times New Roman"/>
          <w:kern w:val="0"/>
          <w:sz w:val="24"/>
          <w:highlight w:val="none"/>
        </w:rPr>
        <w:t xml:space="preserve"> </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四、响应文件提交</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截止时间：202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 （北京时间）</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地点：</w:t>
      </w:r>
      <w:r>
        <w:rPr>
          <w:rFonts w:hint="default" w:ascii="Times New Roman" w:hAnsi="Times New Roman" w:eastAsia="仿宋" w:cs="Times New Roman"/>
          <w:color w:val="333333"/>
          <w:kern w:val="0"/>
          <w:sz w:val="24"/>
          <w:highlight w:val="none"/>
          <w:lang w:eastAsia="zh-CN"/>
        </w:rPr>
        <w:t>西安市高新二路2号山西证券大厦</w:t>
      </w:r>
      <w:r>
        <w:rPr>
          <w:rFonts w:hint="eastAsia" w:eastAsia="仿宋" w:cs="Times New Roman"/>
          <w:color w:val="333333"/>
          <w:kern w:val="0"/>
          <w:sz w:val="24"/>
          <w:highlight w:val="none"/>
          <w:lang w:val="en-US" w:eastAsia="zh-CN"/>
        </w:rPr>
        <w:t>21</w:t>
      </w:r>
      <w:r>
        <w:rPr>
          <w:rFonts w:hint="default" w:ascii="Times New Roman" w:hAnsi="Times New Roman" w:eastAsia="仿宋" w:cs="Times New Roman"/>
          <w:color w:val="333333"/>
          <w:kern w:val="0"/>
          <w:sz w:val="24"/>
          <w:highlight w:val="none"/>
          <w:lang w:eastAsia="zh-CN"/>
        </w:rPr>
        <w:t>楼第</w:t>
      </w:r>
      <w:r>
        <w:rPr>
          <w:rFonts w:hint="eastAsia" w:eastAsia="仿宋" w:cs="Times New Roman"/>
          <w:color w:val="333333"/>
          <w:kern w:val="0"/>
          <w:sz w:val="24"/>
          <w:highlight w:val="none"/>
          <w:lang w:val="en-US" w:eastAsia="zh-CN"/>
        </w:rPr>
        <w:t>8</w:t>
      </w:r>
      <w:r>
        <w:rPr>
          <w:rFonts w:hint="default" w:ascii="Times New Roman" w:hAnsi="Times New Roman" w:eastAsia="仿宋" w:cs="Times New Roman"/>
          <w:color w:val="333333"/>
          <w:kern w:val="0"/>
          <w:sz w:val="24"/>
          <w:highlight w:val="none"/>
          <w:lang w:eastAsia="zh-CN"/>
        </w:rPr>
        <w:t>会议室</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五、开启</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分00秒（北京时间）</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地点：</w:t>
      </w:r>
      <w:r>
        <w:rPr>
          <w:rFonts w:hint="default" w:ascii="Times New Roman" w:hAnsi="Times New Roman" w:eastAsia="仿宋" w:cs="Times New Roman"/>
          <w:color w:val="333333"/>
          <w:kern w:val="0"/>
          <w:sz w:val="24"/>
          <w:highlight w:val="none"/>
          <w:lang w:eastAsia="zh-CN"/>
        </w:rPr>
        <w:t>西安市高新二路2号山西证券大厦</w:t>
      </w:r>
      <w:r>
        <w:rPr>
          <w:rFonts w:hint="eastAsia" w:eastAsia="仿宋" w:cs="Times New Roman"/>
          <w:color w:val="333333"/>
          <w:kern w:val="0"/>
          <w:sz w:val="24"/>
          <w:highlight w:val="none"/>
          <w:lang w:val="en-US" w:eastAsia="zh-CN"/>
        </w:rPr>
        <w:t>21</w:t>
      </w:r>
      <w:r>
        <w:rPr>
          <w:rFonts w:hint="default" w:ascii="Times New Roman" w:hAnsi="Times New Roman" w:eastAsia="仿宋" w:cs="Times New Roman"/>
          <w:color w:val="333333"/>
          <w:kern w:val="0"/>
          <w:sz w:val="24"/>
          <w:highlight w:val="none"/>
          <w:lang w:eastAsia="zh-CN"/>
        </w:rPr>
        <w:t>楼第</w:t>
      </w:r>
      <w:r>
        <w:rPr>
          <w:rFonts w:hint="eastAsia" w:eastAsia="仿宋" w:cs="Times New Roman"/>
          <w:color w:val="333333"/>
          <w:kern w:val="0"/>
          <w:sz w:val="24"/>
          <w:highlight w:val="none"/>
          <w:lang w:val="en-US" w:eastAsia="zh-CN"/>
        </w:rPr>
        <w:t>8</w:t>
      </w:r>
      <w:r>
        <w:rPr>
          <w:rFonts w:hint="default" w:ascii="Times New Roman" w:hAnsi="Times New Roman" w:eastAsia="仿宋" w:cs="Times New Roman"/>
          <w:color w:val="333333"/>
          <w:kern w:val="0"/>
          <w:sz w:val="24"/>
          <w:highlight w:val="none"/>
          <w:lang w:eastAsia="zh-CN"/>
        </w:rPr>
        <w:t>会议室</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六、公告期限</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自本公告发布之日起</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个工作日。</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七、其他补充事宜</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1、落实政府采购政策：</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widowControl/>
        <w:shd w:val="clear" w:color="auto" w:fill="FFFFFF"/>
        <w:spacing w:line="460" w:lineRule="exact"/>
        <w:ind w:right="0" w:firstLine="482"/>
        <w:jc w:val="left"/>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1.5 《陕西省财政厅关于加快推进我省中小企业政府采购信用融资工作的通知》（陕财办采〔2020〕15 号）、陕西省财政厅关于印发《陕西省中小企业政府采购信用融资办法》（陕财办采〔2018〕23 号）。</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kern w:val="0"/>
          <w:sz w:val="24"/>
          <w:highlight w:val="none"/>
        </w:rPr>
        <w:t>若享受以上政策优惠的企业，提供相应声明函或品目清单范围内产品的有效认证证书。</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2、供应商可通过电子邮件获取竞争性磋商文件，获取方式如下：</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2.1竞争性磋商文件费用缴纳账户信息：</w:t>
      </w:r>
      <w:r>
        <w:rPr>
          <w:rFonts w:ascii="Times New Roman" w:hAnsi="Times New Roman" w:eastAsia="仿宋" w:cs="Times New Roman"/>
          <w:i w:val="0"/>
          <w:iCs w:val="0"/>
          <w:caps w:val="0"/>
          <w:color w:val="333333"/>
          <w:spacing w:val="0"/>
          <w:kern w:val="0"/>
          <w:sz w:val="24"/>
          <w:szCs w:val="24"/>
          <w:highlight w:val="none"/>
          <w:shd w:val="clear"/>
        </w:rPr>
        <w:t>标书费</w:t>
      </w:r>
      <w:r>
        <w:rPr>
          <w:rFonts w:hint="default" w:ascii="Times New Roman" w:hAnsi="Times New Roman" w:eastAsia="仿宋" w:cs="Times New Roman"/>
          <w:i w:val="0"/>
          <w:iCs w:val="0"/>
          <w:caps w:val="0"/>
          <w:color w:val="333333"/>
          <w:spacing w:val="0"/>
          <w:kern w:val="0"/>
          <w:sz w:val="24"/>
          <w:szCs w:val="24"/>
          <w:highlight w:val="none"/>
          <w:shd w:val="clear"/>
        </w:rPr>
        <w:t>：300元（人民币）/包，售后不退。</w:t>
      </w:r>
      <w:r>
        <w:rPr>
          <w:rFonts w:hint="default" w:ascii="Times New Roman" w:hAnsi="Times New Roman" w:eastAsia="仿宋" w:cs="Times New Roman"/>
          <w:color w:val="333333"/>
          <w:kern w:val="0"/>
          <w:sz w:val="24"/>
          <w:highlight w:val="none"/>
        </w:rPr>
        <w:t>账号：102062456945、账户名称:陕西省采购招标有限责任公司、开户银行</w:t>
      </w:r>
      <w:r>
        <w:rPr>
          <w:rFonts w:hint="default" w:ascii="Times New Roman" w:hAnsi="Times New Roman" w:eastAsia="仿宋" w:cs="Times New Roman"/>
          <w:color w:val="333333"/>
          <w:kern w:val="0"/>
          <w:sz w:val="24"/>
          <w:highlight w:val="none"/>
          <w:lang w:eastAsia="zh-CN"/>
        </w:rPr>
        <w:t>：</w:t>
      </w:r>
      <w:r>
        <w:rPr>
          <w:rFonts w:hint="default" w:ascii="Times New Roman" w:hAnsi="Times New Roman" w:eastAsia="仿宋" w:cs="Times New Roman"/>
          <w:color w:val="333333"/>
          <w:kern w:val="0"/>
          <w:sz w:val="24"/>
          <w:highlight w:val="none"/>
        </w:rPr>
        <w:t>中国银行西安南郊支行（汇款时需备注项目编号：</w:t>
      </w:r>
      <w:r>
        <w:rPr>
          <w:rFonts w:ascii="Times New Roman" w:hAnsi="Times New Roman" w:eastAsia="仿宋" w:cs="Times New Roman"/>
          <w:i w:val="0"/>
          <w:iCs w:val="0"/>
          <w:caps w:val="0"/>
          <w:color w:val="333333"/>
          <w:spacing w:val="0"/>
          <w:kern w:val="0"/>
          <w:sz w:val="24"/>
          <w:szCs w:val="24"/>
          <w:highlight w:val="none"/>
          <w:shd w:val="clear"/>
        </w:rPr>
        <w:t>0479/003（标包号）</w:t>
      </w:r>
      <w:r>
        <w:rPr>
          <w:rFonts w:hint="default" w:ascii="Times New Roman" w:hAnsi="Times New Roman" w:eastAsia="仿宋" w:cs="Times New Roman"/>
          <w:color w:val="333333"/>
          <w:kern w:val="0"/>
          <w:sz w:val="24"/>
          <w:highlight w:val="none"/>
        </w:rPr>
        <w:t>）。</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2.2将缴款凭证、单位介绍信及被介绍人的身份证扫描件（加盖单位公章）发至邮箱2661455685@qq.com，</w:t>
      </w:r>
      <w:r>
        <w:rPr>
          <w:rFonts w:hint="default" w:ascii="Times New Roman" w:hAnsi="Times New Roman" w:eastAsia="仿宋" w:cs="Times New Roman"/>
          <w:color w:val="333333"/>
          <w:kern w:val="0"/>
          <w:sz w:val="24"/>
          <w:highlight w:val="none"/>
          <w:lang w:val="en-US" w:eastAsia="zh-CN"/>
        </w:rPr>
        <w:t>邮箱标题请以项目名称-</w:t>
      </w:r>
      <w:r>
        <w:rPr>
          <w:rFonts w:hint="default" w:ascii="Times New Roman" w:hAnsi="Times New Roman" w:eastAsia="仿宋" w:cs="Times New Roman"/>
          <w:color w:val="333333"/>
          <w:kern w:val="0"/>
          <w:sz w:val="24"/>
          <w:highlight w:val="none"/>
        </w:rPr>
        <w:t>项目编号</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单位名称</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联系人</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联系电话</w:t>
      </w:r>
      <w:r>
        <w:rPr>
          <w:rFonts w:hint="default" w:ascii="Times New Roman" w:hAnsi="Times New Roman" w:eastAsia="仿宋" w:cs="Times New Roman"/>
          <w:color w:val="333333"/>
          <w:kern w:val="0"/>
          <w:sz w:val="24"/>
          <w:highlight w:val="none"/>
          <w:lang w:val="en-US" w:eastAsia="zh-CN"/>
        </w:rPr>
        <w:t>的方式命名</w:t>
      </w:r>
      <w:r>
        <w:rPr>
          <w:rFonts w:hint="default" w:ascii="Times New Roman" w:hAnsi="Times New Roman" w:eastAsia="仿宋" w:cs="Times New Roman"/>
          <w:color w:val="333333"/>
          <w:kern w:val="0"/>
          <w:sz w:val="24"/>
          <w:highlight w:val="none"/>
        </w:rPr>
        <w:t>。</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2.3以供应商名义付款时需备注项目编号、标书费；以个人名义付款时需备注单位名称、项目编号、标书费。</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2.4开具标书费电子发票时请将</w:t>
      </w:r>
      <w:r>
        <w:rPr>
          <w:rFonts w:hint="default" w:ascii="Times New Roman" w:hAnsi="Times New Roman" w:eastAsia="仿宋" w:cs="Times New Roman"/>
          <w:color w:val="333333"/>
          <w:kern w:val="0"/>
          <w:sz w:val="24"/>
          <w:highlight w:val="none"/>
          <w:lang w:val="en-US" w:eastAsia="zh-CN"/>
        </w:rPr>
        <w:t>项目名称、项目编号、</w:t>
      </w:r>
      <w:r>
        <w:rPr>
          <w:rFonts w:hint="default" w:ascii="Times New Roman" w:hAnsi="Times New Roman" w:eastAsia="仿宋" w:cs="Times New Roman"/>
          <w:color w:val="333333"/>
          <w:kern w:val="0"/>
          <w:sz w:val="24"/>
          <w:highlight w:val="none"/>
        </w:rPr>
        <w:t>缴款凭证、委托书、缴款人身份证复印件及开票信息发送至20009180@qq.com。</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2.5各供应商购买竞争性磋商文件后，按照陕西省财政厅《关于政府采购供应商注册登记有关事项的通知》要求，通过陕西省政府采购网注册登记加入陕西省政府采购供应商库。</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八、凡对本次采购提出询问，请按以下方式联系。</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1.釆购人信息</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名称：陕西省道路运输事业发展中心</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地址：</w:t>
      </w:r>
      <w:r>
        <w:rPr>
          <w:rFonts w:hint="default" w:ascii="Times New Roman" w:hAnsi="Times New Roman" w:eastAsia="仿宋" w:cs="Times New Roman"/>
          <w:kern w:val="0"/>
          <w:sz w:val="24"/>
          <w:highlight w:val="none"/>
        </w:rPr>
        <w:t>西安市药王洞18号</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联系方式：</w:t>
      </w:r>
      <w:r>
        <w:rPr>
          <w:rFonts w:hint="default" w:ascii="Times New Roman" w:hAnsi="Times New Roman" w:eastAsia="仿宋" w:cs="Times New Roman"/>
          <w:kern w:val="0"/>
          <w:sz w:val="24"/>
          <w:highlight w:val="none"/>
        </w:rPr>
        <w:t>029-87325926</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2.釆购代理机构信息</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名称：陕西省采购招标有限责任公司</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地址：西安市高新二路2号山西证券大厦8层</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联系方式：029-88481271</w:t>
      </w:r>
    </w:p>
    <w:p>
      <w:pPr>
        <w:widowControl/>
        <w:shd w:val="clear" w:color="auto" w:fill="FFFFFF"/>
        <w:spacing w:line="46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3.项目联系方式</w:t>
      </w:r>
    </w:p>
    <w:p>
      <w:pPr>
        <w:widowControl/>
        <w:shd w:val="clear" w:color="auto" w:fill="FFFFFF"/>
        <w:spacing w:line="46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项目联系人：</w:t>
      </w:r>
      <w:r>
        <w:rPr>
          <w:rFonts w:hint="default" w:ascii="Times New Roman" w:hAnsi="Times New Roman" w:eastAsia="仿宋" w:cs="Times New Roman"/>
          <w:color w:val="333333"/>
          <w:kern w:val="0"/>
          <w:sz w:val="24"/>
          <w:highlight w:val="none"/>
          <w:lang w:eastAsia="zh-CN"/>
        </w:rPr>
        <w:t>秦婧婧、张学强、刘艳</w:t>
      </w:r>
    </w:p>
    <w:p>
      <w:pPr>
        <w:widowControl/>
        <w:snapToGrid w:val="0"/>
        <w:spacing w:before="0" w:line="460" w:lineRule="exact"/>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color w:val="333333"/>
          <w:kern w:val="0"/>
          <w:sz w:val="24"/>
          <w:highlight w:val="none"/>
        </w:rPr>
        <w:t>电话：029-88481271</w:t>
      </w:r>
    </w:p>
    <w:p>
      <w:pPr>
        <w:pStyle w:val="2"/>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bookmarkEnd w:id="16"/>
    <w:bookmarkEnd w:id="17"/>
    <w:bookmarkEnd w:id="18"/>
    <w:bookmarkEnd w:id="19"/>
    <w:bookmarkEnd w:id="20"/>
    <w:bookmarkEnd w:id="21"/>
    <w:bookmarkEnd w:id="22"/>
    <w:bookmarkEnd w:id="23"/>
    <w:bookmarkEnd w:id="24"/>
    <w:bookmarkEnd w:id="25"/>
    <w:bookmarkEnd w:id="26"/>
    <w:bookmarkEnd w:id="27"/>
    <w:bookmarkEnd w:id="28"/>
    <w:bookmarkEnd w:id="29"/>
    <w:p>
      <w:pPr>
        <w:pStyle w:val="46"/>
        <w:spacing w:before="0" w:beforeLines="0" w:after="0" w:afterLines="0" w:line="360" w:lineRule="auto"/>
        <w:rPr>
          <w:rFonts w:hint="default" w:ascii="Times New Roman" w:hAnsi="Times New Roman" w:eastAsia="仿宋" w:cs="Times New Roman"/>
          <w:highlight w:val="none"/>
        </w:rPr>
      </w:pPr>
      <w:bookmarkStart w:id="32" w:name="_Toc63697167"/>
      <w:bookmarkStart w:id="33" w:name="_Toc7403"/>
      <w:bookmarkStart w:id="34" w:name="_Toc230099796"/>
      <w:bookmarkStart w:id="35" w:name="_Toc21126"/>
      <w:bookmarkStart w:id="36" w:name="_Toc232176271"/>
      <w:bookmarkStart w:id="37" w:name="_Toc14293"/>
      <w:bookmarkStart w:id="38" w:name="_Toc415499895"/>
      <w:bookmarkStart w:id="39" w:name="_Toc19615"/>
      <w:bookmarkStart w:id="40" w:name="_Toc2394"/>
      <w:bookmarkStart w:id="41" w:name="_Toc184043011"/>
      <w:bookmarkStart w:id="42" w:name="_Toc249525158"/>
      <w:bookmarkStart w:id="43" w:name="_Toc230013631"/>
      <w:bookmarkStart w:id="44" w:name="_Toc58504446"/>
      <w:bookmarkStart w:id="45" w:name="_Toc249515277"/>
      <w:bookmarkStart w:id="46" w:name="_Toc230583540"/>
      <w:bookmarkStart w:id="47" w:name="_Toc256342142"/>
      <w:bookmarkStart w:id="48" w:name="_Toc5588"/>
      <w:bookmarkStart w:id="49" w:name="_Toc29093"/>
      <w:bookmarkStart w:id="50" w:name="_Toc232395211"/>
      <w:bookmarkStart w:id="51" w:name="_Toc30316"/>
      <w:bookmarkStart w:id="52" w:name="_Toc30406"/>
      <w:bookmarkStart w:id="53" w:name="_Toc249515389"/>
      <w:bookmarkStart w:id="54" w:name="_Toc21079"/>
      <w:bookmarkStart w:id="55" w:name="_Toc10361"/>
      <w:bookmarkStart w:id="56" w:name="_Toc30419"/>
      <w:bookmarkStart w:id="57" w:name="_Toc53722840"/>
      <w:bookmarkStart w:id="58" w:name="_Toc500746965"/>
      <w:bookmarkStart w:id="59" w:name="_Toc503063421"/>
      <w:bookmarkStart w:id="60" w:name="_Toc499711042"/>
      <w:bookmarkStart w:id="61" w:name="_Toc232176272"/>
      <w:bookmarkStart w:id="62" w:name="_Toc177189235"/>
      <w:bookmarkStart w:id="63" w:name="_Toc230099797"/>
      <w:bookmarkStart w:id="64" w:name="_Toc177995473"/>
      <w:bookmarkStart w:id="65" w:name="_Toc70687139"/>
      <w:bookmarkStart w:id="66" w:name="_Toc249515278"/>
      <w:bookmarkStart w:id="67" w:name="_Toc177817334"/>
      <w:bookmarkStart w:id="68" w:name="_Toc232395212"/>
      <w:bookmarkStart w:id="69" w:name="_Toc500747188"/>
      <w:bookmarkStart w:id="70" w:name="_Toc492955414"/>
      <w:bookmarkStart w:id="71" w:name="_Toc184043012"/>
      <w:bookmarkStart w:id="72" w:name="_Toc500747061"/>
      <w:bookmarkStart w:id="73" w:name="_Toc249525159"/>
      <w:bookmarkStart w:id="74" w:name="_Toc176882542"/>
      <w:bookmarkStart w:id="75" w:name="_Toc249515390"/>
      <w:bookmarkStart w:id="76" w:name="_Toc256342143"/>
      <w:bookmarkStart w:id="77" w:name="_Toc230583541"/>
      <w:bookmarkStart w:id="78" w:name="_Toc230013632"/>
      <w:bookmarkStart w:id="79" w:name="_Toc499711883"/>
      <w:bookmarkStart w:id="80" w:name="_Toc496324578"/>
      <w:r>
        <w:rPr>
          <w:rFonts w:hint="default" w:ascii="Times New Roman" w:hAnsi="Times New Roman" w:eastAsia="仿宋" w:cs="Times New Roman"/>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79"/>
        <w:spacing w:before="0" w:beforeLines="0" w:after="0" w:afterLines="0"/>
        <w:jc w:val="center"/>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（一）供应商须知前附表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rPr>
          <w:rFonts w:hint="default" w:ascii="Times New Roman" w:hAnsi="Times New Roman" w:eastAsia="仿宋" w:cs="Times New Roman"/>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本表是对供应商须知的具体补充和修改，如有矛盾，均以本表为准。</w:t>
      </w:r>
    </w:p>
    <w:p>
      <w:pPr>
        <w:ind w:left="720" w:hanging="720" w:hangingChars="343"/>
        <w:rPr>
          <w:rFonts w:hint="default" w:ascii="Times New Roman" w:hAnsi="Times New Roman" w:eastAsia="仿宋" w:cs="Times New Roman"/>
          <w:b/>
          <w:sz w:val="20"/>
          <w:szCs w:val="20"/>
          <w:highlight w:val="none"/>
        </w:rPr>
      </w:pPr>
      <w:r>
        <w:rPr>
          <w:rFonts w:hint="default" w:ascii="Times New Roman" w:hAnsi="Times New Roman" w:eastAsia="仿宋" w:cs="Times New Roman"/>
          <w:szCs w:val="21"/>
          <w:highlight w:val="none"/>
        </w:rPr>
        <w:t xml:space="preserve">   </w:t>
      </w:r>
    </w:p>
    <w:bookmarkEnd w:id="30"/>
    <w:tbl>
      <w:tblPr>
        <w:tblStyle w:val="5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b/>
                <w:sz w:val="24"/>
                <w:szCs w:val="24"/>
                <w:highlight w:val="none"/>
              </w:rPr>
            </w:pPr>
            <w:bookmarkStart w:id="81" w:name="_Hlt14560610"/>
            <w:bookmarkEnd w:id="81"/>
            <w:bookmarkStart w:id="82" w:name="_Toc492955416"/>
            <w:bookmarkStart w:id="83" w:name="_Toc389620165"/>
            <w:bookmarkStart w:id="84" w:name="_Toc499711044"/>
            <w:bookmarkStart w:id="85" w:name="_Toc500746967"/>
            <w:bookmarkStart w:id="86" w:name="_Toc385992326"/>
            <w:bookmarkStart w:id="87" w:name="_Toc500747190"/>
            <w:bookmarkStart w:id="88" w:name="_Toc500747063"/>
            <w:bookmarkStart w:id="89" w:name="_Toc496324580"/>
            <w:bookmarkStart w:id="90" w:name="_Toc499711885"/>
            <w:bookmarkStart w:id="91" w:name="_Toc503063423"/>
            <w:r>
              <w:rPr>
                <w:rFonts w:hint="default" w:ascii="Times New Roman" w:hAnsi="Times New Roman" w:eastAsia="仿宋" w:cs="Times New Roman"/>
                <w:b/>
                <w:sz w:val="24"/>
                <w:szCs w:val="24"/>
                <w:highlight w:val="none"/>
              </w:rPr>
              <w:t>条款号</w:t>
            </w:r>
          </w:p>
        </w:tc>
        <w:tc>
          <w:tcPr>
            <w:tcW w:w="8321" w:type="dxa"/>
            <w:vAlign w:val="center"/>
          </w:tcPr>
          <w:p>
            <w:pPr>
              <w:pStyle w:val="28"/>
              <w:adjustRightInd w:val="0"/>
              <w:snapToGrid w:val="0"/>
              <w:spacing w:line="240" w:lineRule="auto"/>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lang w:eastAsia="zh-CN"/>
              </w:rPr>
              <w:t>陕西省道路运输事业发展中心后勤服务购买项目（第1包）</w:t>
            </w:r>
          </w:p>
          <w:p>
            <w:pPr>
              <w:pStyle w:val="28"/>
              <w:adjustRightInd w:val="0"/>
              <w:snapToGrid w:val="0"/>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项目编号：</w:t>
            </w:r>
            <w:r>
              <w:rPr>
                <w:rFonts w:hint="default" w:ascii="Times New Roman" w:hAnsi="Times New Roman" w:eastAsia="仿宋" w:cs="Times New Roman"/>
                <w:kern w:val="2"/>
                <w:sz w:val="24"/>
                <w:szCs w:val="24"/>
                <w:highlight w:val="none"/>
                <w:lang w:eastAsia="zh-CN"/>
              </w:rPr>
              <w:t>SCZB2023-CS-</w:t>
            </w:r>
            <w:r>
              <w:rPr>
                <w:rFonts w:hint="default" w:ascii="Times New Roman" w:hAnsi="Times New Roman" w:eastAsia="仿宋" w:cs="Times New Roman"/>
                <w:i w:val="0"/>
                <w:iCs w:val="0"/>
                <w:caps w:val="0"/>
                <w:spacing w:val="0"/>
                <w:sz w:val="24"/>
                <w:szCs w:val="24"/>
                <w:highlight w:val="none"/>
                <w:shd w:val="clear"/>
              </w:rPr>
              <w:t>0479/003</w:t>
            </w:r>
            <w:r>
              <w:rPr>
                <w:rFonts w:hint="default" w:ascii="Times New Roman" w:hAnsi="Times New Roman" w:eastAsia="仿宋" w:cs="Times New Roman"/>
                <w:i w:val="0"/>
                <w:iCs w:val="0"/>
                <w:caps w:val="0"/>
                <w:spacing w:val="0"/>
                <w:sz w:val="24"/>
                <w:szCs w:val="24"/>
                <w:highlight w:val="none"/>
                <w:shd w:val="clear"/>
                <w:lang w:eastAsia="zh-CN"/>
              </w:rPr>
              <w:t>（</w:t>
            </w:r>
            <w:r>
              <w:rPr>
                <w:rFonts w:hint="default" w:ascii="Times New Roman" w:hAnsi="Times New Roman" w:eastAsia="仿宋" w:cs="Times New Roman"/>
                <w:i w:val="0"/>
                <w:iCs w:val="0"/>
                <w:caps w:val="0"/>
                <w:spacing w:val="0"/>
                <w:sz w:val="24"/>
                <w:szCs w:val="24"/>
                <w:highlight w:val="none"/>
                <w:shd w:val="clear"/>
                <w:lang w:val="en-US" w:eastAsia="zh-CN"/>
              </w:rPr>
              <w:t>1</w:t>
            </w:r>
            <w:r>
              <w:rPr>
                <w:rFonts w:hint="default" w:ascii="Times New Roman" w:hAnsi="Times New Roman" w:eastAsia="仿宋" w:cs="Times New Roman"/>
                <w:i w:val="0"/>
                <w:iCs w:val="0"/>
                <w:caps w:val="0"/>
                <w:spacing w:val="0"/>
                <w:sz w:val="24"/>
                <w:szCs w:val="24"/>
                <w:highlight w:val="none"/>
                <w:shd w:val="clear"/>
                <w:lang w:eastAsia="zh-CN"/>
              </w:rPr>
              <w:t>）</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资金来源：财政资金</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预算金额：</w:t>
            </w:r>
            <w:r>
              <w:rPr>
                <w:rFonts w:hint="default" w:ascii="Times New Roman" w:hAnsi="Times New Roman" w:eastAsia="仿宋" w:cs="Times New Roman"/>
                <w:kern w:val="2"/>
                <w:sz w:val="24"/>
                <w:szCs w:val="24"/>
                <w:highlight w:val="none"/>
                <w:lang w:val="en-US" w:eastAsia="zh-CN"/>
              </w:rPr>
              <w:t>218000.00</w:t>
            </w:r>
            <w:r>
              <w:rPr>
                <w:rFonts w:hint="default" w:ascii="Times New Roman" w:hAnsi="Times New Roman" w:eastAsia="仿宋" w:cs="Times New Roman"/>
                <w:sz w:val="24"/>
                <w:szCs w:val="24"/>
                <w:highlight w:val="none"/>
              </w:rPr>
              <w:t>元</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最高限价：</w:t>
            </w:r>
            <w:r>
              <w:rPr>
                <w:rFonts w:hint="default" w:ascii="Times New Roman" w:hAnsi="Times New Roman" w:eastAsia="仿宋" w:cs="Times New Roman"/>
                <w:kern w:val="2"/>
                <w:sz w:val="24"/>
                <w:szCs w:val="24"/>
                <w:highlight w:val="none"/>
                <w:lang w:val="en-US" w:eastAsia="zh-CN"/>
              </w:rPr>
              <w:t>218000.00</w:t>
            </w:r>
            <w:r>
              <w:rPr>
                <w:rFonts w:hint="default" w:ascii="Times New Roman" w:hAnsi="Times New Roman" w:eastAsia="仿宋" w:cs="Times New Roman"/>
                <w:sz w:val="24"/>
                <w:szCs w:val="24"/>
                <w:highlight w:val="none"/>
              </w:rPr>
              <w:t>元</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采购方式：竞争性磋商</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采购内容：详见本磋商文件第五章</w:t>
            </w:r>
          </w:p>
          <w:p>
            <w:pPr>
              <w:pStyle w:val="28"/>
              <w:adjustRightInd w:val="0"/>
              <w:snapToGrid w:val="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color w:val="auto"/>
                <w:sz w:val="24"/>
                <w:szCs w:val="24"/>
                <w:highlight w:val="none"/>
              </w:rPr>
              <w:t>项目所属行业：</w:t>
            </w:r>
            <w:r>
              <w:rPr>
                <w:rFonts w:ascii="Times New Roman" w:hAnsi="Times New Roman" w:eastAsia="仿宋" w:cs="Times New Roman"/>
                <w:i w:val="0"/>
                <w:iCs w:val="0"/>
                <w:caps w:val="0"/>
                <w:spacing w:val="0"/>
                <w:sz w:val="24"/>
                <w:szCs w:val="24"/>
                <w:highlight w:val="none"/>
                <w:shd w:val="clear"/>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采购人：陕西省道路运输事业发展中心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2.2</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2.3</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邀请供应商的方式：</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（1）发布磋商公告</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（2）采购人和评审专家分别书面推荐的方式邀请不少于3 家</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符合相应资格条件的供应商</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3.1</w:t>
            </w:r>
          </w:p>
        </w:tc>
        <w:tc>
          <w:tcPr>
            <w:tcW w:w="8321" w:type="dxa"/>
            <w:vAlign w:val="center"/>
          </w:tcPr>
          <w:p>
            <w:pPr>
              <w:pStyle w:val="14"/>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3.5</w:t>
            </w:r>
          </w:p>
        </w:tc>
        <w:tc>
          <w:tcPr>
            <w:tcW w:w="8321" w:type="dxa"/>
            <w:vAlign w:val="center"/>
          </w:tcPr>
          <w:p>
            <w:pPr>
              <w:pStyle w:val="14"/>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3.6</w:t>
            </w:r>
          </w:p>
        </w:tc>
        <w:tc>
          <w:tcPr>
            <w:tcW w:w="8321" w:type="dxa"/>
            <w:vAlign w:val="center"/>
          </w:tcPr>
          <w:p>
            <w:pPr>
              <w:pStyle w:val="14"/>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是否允许联合体磋商：否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3.7</w:t>
            </w:r>
          </w:p>
        </w:tc>
        <w:tc>
          <w:tcPr>
            <w:tcW w:w="8321" w:type="dxa"/>
            <w:vAlign w:val="center"/>
          </w:tcPr>
          <w:p>
            <w:pPr>
              <w:pStyle w:val="14"/>
              <w:spacing w:line="360" w:lineRule="auto"/>
              <w:rPr>
                <w:rFonts w:hint="default" w:ascii="Times New Roman" w:hAnsi="Times New Roman" w:eastAsia="仿宋" w:cs="Times New Roman"/>
                <w:b/>
                <w:bCs/>
                <w:color w:val="auto"/>
                <w:kern w:val="2"/>
                <w:highlight w:val="none"/>
              </w:rPr>
            </w:pPr>
            <w:r>
              <w:rPr>
                <w:rFonts w:hint="default" w:ascii="Times New Roman" w:hAnsi="Times New Roman" w:eastAsia="仿宋" w:cs="Times New Roman"/>
                <w:b/>
                <w:bCs/>
                <w:color w:val="auto"/>
                <w:highlight w:val="none"/>
              </w:rPr>
              <w:t>是否为专门面向中小微企业采购：是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w:t>
            </w:r>
          </w:p>
        </w:tc>
        <w:tc>
          <w:tcPr>
            <w:tcW w:w="8321" w:type="dxa"/>
            <w:vAlign w:val="center"/>
          </w:tcPr>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是否组织现场考察或者召开答疑会：否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12.1</w:t>
            </w:r>
          </w:p>
        </w:tc>
        <w:tc>
          <w:tcPr>
            <w:tcW w:w="8321" w:type="dxa"/>
            <w:vAlign w:val="center"/>
          </w:tcPr>
          <w:p>
            <w:pPr>
              <w:spacing w:line="360" w:lineRule="auto"/>
              <w:rPr>
                <w:rFonts w:hint="default" w:ascii="Times New Roman" w:hAnsi="Times New Roman" w:eastAsia="仿宋" w:cs="Times New Roman"/>
                <w:i/>
                <w:sz w:val="24"/>
                <w:highlight w:val="none"/>
              </w:rPr>
            </w:pPr>
            <w:r>
              <w:rPr>
                <w:rFonts w:hint="default" w:ascii="Times New Roman" w:hAnsi="Times New Roman" w:eastAsia="仿宋" w:cs="Times New Roman"/>
                <w:sz w:val="24"/>
                <w:highlight w:val="none"/>
              </w:rPr>
              <w:t>成交响应报价为完成本项目并达到磋商文件要求所需要的全部费用，包括项目所需的培训费、人工费、服务费、管理费、税金等所有费用。</w:t>
            </w:r>
          </w:p>
          <w:p>
            <w:pPr>
              <w:pStyle w:val="28"/>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（1）报价货币：人民币；</w:t>
            </w:r>
          </w:p>
          <w:p>
            <w:pPr>
              <w:pStyle w:val="28"/>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p>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14.1</w:t>
            </w:r>
          </w:p>
          <w:p>
            <w:pPr>
              <w:pStyle w:val="28"/>
              <w:adjustRightInd w:val="0"/>
              <w:snapToGrid w:val="0"/>
              <w:spacing w:line="240" w:lineRule="auto"/>
              <w:rPr>
                <w:rFonts w:hint="default" w:ascii="Times New Roman" w:hAnsi="Times New Roman" w:eastAsia="仿宋" w:cs="Times New Roman"/>
                <w:sz w:val="24"/>
                <w:szCs w:val="24"/>
                <w:highlight w:val="none"/>
              </w:rPr>
            </w:pPr>
          </w:p>
        </w:tc>
        <w:tc>
          <w:tcPr>
            <w:tcW w:w="8321" w:type="dxa"/>
            <w:vAlign w:val="center"/>
          </w:tcPr>
          <w:p>
            <w:pPr>
              <w:pStyle w:val="28"/>
              <w:adjustRightInd w:val="0"/>
              <w:snapToGrid w:val="0"/>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kern w:val="0"/>
                <w:sz w:val="24"/>
                <w:highlight w:val="none"/>
              </w:rPr>
              <w:t>本项目须提供磋商保证金</w:t>
            </w:r>
            <w:r>
              <w:rPr>
                <w:rFonts w:hint="default" w:ascii="Times New Roman" w:hAnsi="Times New Roman" w:eastAsia="仿宋" w:cs="Times New Roman"/>
                <w:color w:val="auto"/>
                <w:kern w:val="0"/>
                <w:sz w:val="24"/>
                <w:highlight w:val="none"/>
              </w:rPr>
              <w:t>人民币</w:t>
            </w:r>
            <w:r>
              <w:rPr>
                <w:rFonts w:hint="default" w:ascii="Times New Roman" w:hAnsi="Times New Roman" w:eastAsia="仿宋" w:cs="Times New Roman"/>
                <w:color w:val="auto"/>
                <w:kern w:val="0"/>
                <w:sz w:val="24"/>
                <w:highlight w:val="none"/>
                <w:u w:val="single"/>
                <w:lang w:val="en-US" w:eastAsia="zh-CN"/>
              </w:rPr>
              <w:t>叁仟</w:t>
            </w:r>
            <w:r>
              <w:rPr>
                <w:rFonts w:hint="default" w:ascii="Times New Roman" w:hAnsi="Times New Roman" w:eastAsia="仿宋" w:cs="Times New Roman"/>
                <w:color w:val="auto"/>
                <w:kern w:val="0"/>
                <w:sz w:val="24"/>
                <w:highlight w:val="none"/>
                <w:u w:val="single"/>
              </w:rPr>
              <w:t>元整</w:t>
            </w:r>
            <w:r>
              <w:rPr>
                <w:rFonts w:hint="default" w:ascii="Times New Roman" w:hAnsi="Times New Roman" w:eastAsia="仿宋" w:cs="Times New Roman"/>
                <w:color w:val="auto"/>
                <w:kern w:val="0"/>
                <w:sz w:val="24"/>
                <w:highlight w:val="none"/>
              </w:rPr>
              <w:t>（人民币¥</w:t>
            </w:r>
            <w:r>
              <w:rPr>
                <w:rFonts w:hint="default" w:ascii="Times New Roman" w:hAnsi="Times New Roman" w:eastAsia="仿宋" w:cs="Times New Roman"/>
                <w:color w:val="auto"/>
                <w:kern w:val="0"/>
                <w:sz w:val="24"/>
                <w:highlight w:val="none"/>
                <w:u w:val="single"/>
                <w:lang w:val="en-US" w:eastAsia="zh-CN"/>
              </w:rPr>
              <w:t>3000.00</w:t>
            </w:r>
            <w:r>
              <w:rPr>
                <w:rFonts w:hint="default" w:ascii="Times New Roman" w:hAnsi="Times New Roman" w:eastAsia="仿宋" w:cs="Times New Roman"/>
                <w:color w:val="auto"/>
                <w:kern w:val="0"/>
                <w:sz w:val="24"/>
                <w:highlight w:val="none"/>
              </w:rPr>
              <w:t>元）。</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color w:val="auto"/>
                <w:kern w:val="0"/>
                <w:sz w:val="24"/>
                <w:highlight w:val="none"/>
              </w:rPr>
              <w:t>保证金可自主选择采用电汇、银行转账、支票、汇票、本票、金融</w:t>
            </w:r>
            <w:r>
              <w:rPr>
                <w:rFonts w:hint="default" w:ascii="Times New Roman" w:hAnsi="Times New Roman" w:eastAsia="仿宋" w:cs="Times New Roman"/>
                <w:kern w:val="0"/>
                <w:sz w:val="24"/>
                <w:highlight w:val="none"/>
              </w:rPr>
              <w:t>机构或担保机构出具的保函等非现金形式。</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保证金户名：陕西省采购招标有限责任公司</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开户银行：中国银行西安南郊支行营业部 </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账    号：102062456945</w:t>
            </w:r>
            <w:r>
              <w:rPr>
                <w:rFonts w:hint="default" w:ascii="Times New Roman" w:hAnsi="Times New Roman" w:eastAsia="仿宋" w:cs="Times New Roman"/>
                <w:kern w:val="0"/>
                <w:sz w:val="24"/>
                <w:highlight w:val="none"/>
                <w:lang w:val="en-US" w:eastAsia="zh-CN"/>
              </w:rPr>
              <w:t xml:space="preserve"> </w:t>
            </w:r>
            <w:r>
              <w:rPr>
                <w:rFonts w:hint="default" w:ascii="Times New Roman" w:hAnsi="Times New Roman" w:eastAsia="仿宋" w:cs="Times New Roman"/>
                <w:kern w:val="0"/>
                <w:sz w:val="24"/>
                <w:highlight w:val="none"/>
              </w:rPr>
              <w:t xml:space="preserve">      </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联 系 人：</w:t>
            </w:r>
            <w:r>
              <w:rPr>
                <w:rFonts w:hint="default" w:ascii="Times New Roman" w:hAnsi="Times New Roman" w:eastAsia="仿宋" w:cs="Times New Roman"/>
                <w:kern w:val="0"/>
                <w:sz w:val="24"/>
                <w:highlight w:val="none"/>
                <w:lang w:eastAsia="zh-CN"/>
              </w:rPr>
              <w:t>财务部</w:t>
            </w:r>
            <w:r>
              <w:rPr>
                <w:rFonts w:hint="default" w:ascii="Times New Roman" w:hAnsi="Times New Roman" w:eastAsia="仿宋" w:cs="Times New Roman"/>
                <w:kern w:val="0"/>
                <w:sz w:val="24"/>
                <w:highlight w:val="none"/>
              </w:rPr>
              <w:t xml:space="preserve">  电话：029-85256853</w:t>
            </w:r>
          </w:p>
          <w:p>
            <w:pPr>
              <w:pStyle w:val="28"/>
              <w:adjustRightInd w:val="0"/>
              <w:snapToGrid w:val="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备注：</w:t>
            </w:r>
          </w:p>
          <w:p>
            <w:pPr>
              <w:pStyle w:val="28"/>
              <w:adjustRightInd w:val="0"/>
              <w:snapToGrid w:val="0"/>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1、在汇款时务必注明所响应项目的项目编号</w:t>
            </w:r>
            <w:r>
              <w:rPr>
                <w:rFonts w:hint="default" w:ascii="Times New Roman" w:hAnsi="Times New Roman" w:eastAsia="仿宋" w:cs="Times New Roman"/>
                <w:b/>
                <w:bCs/>
                <w:highlight w:val="none"/>
                <w:lang w:eastAsia="zh-CN"/>
              </w:rPr>
              <w:t>“</w:t>
            </w:r>
            <w:r>
              <w:rPr>
                <w:rFonts w:hint="default" w:ascii="Times New Roman" w:hAnsi="Times New Roman" w:eastAsia="仿宋" w:cs="Times New Roman"/>
                <w:b/>
                <w:bCs/>
                <w:i w:val="0"/>
                <w:iCs w:val="0"/>
                <w:caps w:val="0"/>
                <w:spacing w:val="0"/>
                <w:sz w:val="21"/>
                <w:szCs w:val="21"/>
                <w:highlight w:val="none"/>
                <w:shd w:val="clear"/>
              </w:rPr>
              <w:t>0479/003</w:t>
            </w:r>
            <w:r>
              <w:rPr>
                <w:rFonts w:hint="default" w:ascii="Times New Roman" w:hAnsi="Times New Roman" w:eastAsia="仿宋" w:cs="Times New Roman"/>
                <w:b/>
                <w:bCs/>
                <w:i w:val="0"/>
                <w:iCs w:val="0"/>
                <w:caps w:val="0"/>
                <w:spacing w:val="0"/>
                <w:sz w:val="21"/>
                <w:szCs w:val="21"/>
                <w:highlight w:val="none"/>
                <w:shd w:val="clear"/>
                <w:lang w:eastAsia="zh-CN"/>
              </w:rPr>
              <w:t>（</w:t>
            </w:r>
            <w:r>
              <w:rPr>
                <w:rFonts w:hint="default" w:ascii="Times New Roman" w:hAnsi="Times New Roman" w:eastAsia="仿宋" w:cs="Times New Roman"/>
                <w:b/>
                <w:bCs/>
                <w:i w:val="0"/>
                <w:iCs w:val="0"/>
                <w:caps w:val="0"/>
                <w:spacing w:val="0"/>
                <w:sz w:val="21"/>
                <w:szCs w:val="21"/>
                <w:highlight w:val="none"/>
                <w:shd w:val="clear"/>
                <w:lang w:val="en-US" w:eastAsia="zh-CN"/>
              </w:rPr>
              <w:t>1</w:t>
            </w:r>
            <w:r>
              <w:rPr>
                <w:rFonts w:hint="default" w:ascii="Times New Roman" w:hAnsi="Times New Roman" w:eastAsia="仿宋" w:cs="Times New Roman"/>
                <w:b/>
                <w:bCs/>
                <w:i w:val="0"/>
                <w:iCs w:val="0"/>
                <w:caps w:val="0"/>
                <w:spacing w:val="0"/>
                <w:sz w:val="21"/>
                <w:szCs w:val="21"/>
                <w:highlight w:val="none"/>
                <w:shd w:val="clear"/>
                <w:lang w:eastAsia="zh-CN"/>
              </w:rPr>
              <w:t>）</w:t>
            </w:r>
            <w:r>
              <w:rPr>
                <w:rFonts w:hint="default" w:ascii="Times New Roman" w:hAnsi="Times New Roman" w:eastAsia="仿宋" w:cs="Times New Roman"/>
                <w:b/>
                <w:bCs/>
                <w:highlight w:val="none"/>
                <w:lang w:eastAsia="zh-CN"/>
              </w:rPr>
              <w:t>”</w:t>
            </w:r>
            <w:r>
              <w:rPr>
                <w:rFonts w:hint="default" w:ascii="Times New Roman" w:hAnsi="Times New Roman" w:eastAsia="仿宋" w:cs="Times New Roman"/>
                <w:b/>
                <w:bCs/>
                <w:highlight w:val="none"/>
              </w:rPr>
              <w:t>；</w:t>
            </w:r>
          </w:p>
          <w:p>
            <w:pPr>
              <w:pStyle w:val="28"/>
              <w:adjustRightInd w:val="0"/>
              <w:snapToGrid w:val="0"/>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2、请各供应商在响应文件递交截止时间前，按文件的要求向招标代理机构递交磋商保证金；</w:t>
            </w:r>
          </w:p>
          <w:p>
            <w:pPr>
              <w:pStyle w:val="28"/>
              <w:adjustRightInd w:val="0"/>
              <w:snapToGrid w:val="0"/>
              <w:ind w:firstLine="42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highlight w:val="none"/>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磋商有效期：自响应文件递交之日起</w:t>
            </w:r>
            <w:r>
              <w:rPr>
                <w:rFonts w:hint="default" w:ascii="Times New Roman" w:hAnsi="Times New Roman" w:eastAsia="仿宋" w:cs="Times New Roman"/>
                <w:sz w:val="24"/>
                <w:szCs w:val="24"/>
                <w:highlight w:val="none"/>
                <w:u w:val="single"/>
              </w:rPr>
              <w:t xml:space="preserve">  60  </w:t>
            </w:r>
            <w:r>
              <w:rPr>
                <w:rFonts w:hint="default" w:ascii="Times New Roman" w:hAnsi="Times New Roman" w:eastAsia="仿宋" w:cs="Times New Roman"/>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响应文件的份数：正本1份，副本2份</w:t>
            </w:r>
            <w:r>
              <w:rPr>
                <w:rFonts w:hint="default" w:ascii="Times New Roman" w:hAnsi="Times New Roman" w:eastAsia="仿宋" w:cs="Times New Roman"/>
                <w:i/>
                <w:sz w:val="24"/>
                <w:szCs w:val="24"/>
                <w:highlight w:val="none"/>
              </w:rPr>
              <w:t>，</w:t>
            </w:r>
            <w:r>
              <w:rPr>
                <w:rFonts w:hint="default" w:ascii="Times New Roman" w:hAnsi="Times New Roman" w:eastAsia="仿宋" w:cs="Times New Roman"/>
                <w:sz w:val="24"/>
                <w:szCs w:val="24"/>
                <w:highlight w:val="none"/>
              </w:rPr>
              <w:t>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17.2</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密封袋（箱）上须标注：</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（l）采购项目编号：</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（2）项目名称：</w:t>
            </w:r>
          </w:p>
          <w:p>
            <w:pPr>
              <w:pStyle w:val="28"/>
              <w:adjustRightInd w:val="0"/>
              <w:snapToGrid w:val="0"/>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（3）供应商的名称、地址、联系人、电话和传真。</w:t>
            </w:r>
          </w:p>
          <w:p>
            <w:pPr>
              <w:pStyle w:val="28"/>
              <w:adjustRightInd w:val="0"/>
              <w:snapToGrid w:val="0"/>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（4）在</w:t>
            </w:r>
            <w:r>
              <w:rPr>
                <w:rFonts w:hint="default" w:ascii="Times New Roman" w:hAnsi="Times New Roman" w:eastAsia="仿宋" w:cs="Times New Roman"/>
                <w:color w:val="333333"/>
                <w:kern w:val="0"/>
                <w:sz w:val="24"/>
                <w:highlight w:val="none"/>
              </w:rPr>
              <w:t>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w:t>
            </w:r>
            <w:r>
              <w:rPr>
                <w:rFonts w:hint="default" w:ascii="Times New Roman" w:hAnsi="Times New Roman" w:eastAsia="仿宋" w:cs="Times New Roman"/>
                <w:sz w:val="24"/>
                <w:szCs w:val="24"/>
                <w:highlight w:val="none"/>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17.3</w:t>
            </w:r>
          </w:p>
        </w:tc>
        <w:tc>
          <w:tcPr>
            <w:tcW w:w="8321" w:type="dxa"/>
            <w:vAlign w:val="center"/>
          </w:tcPr>
          <w:p>
            <w:pPr>
              <w:pStyle w:val="28"/>
              <w:adjustRightInd w:val="0"/>
              <w:snapToGrid w:val="0"/>
              <w:ind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本项目不要求提交样品。</w:t>
            </w:r>
          </w:p>
          <w:p>
            <w:pPr>
              <w:pStyle w:val="28"/>
              <w:adjustRightInd w:val="0"/>
              <w:snapToGrid w:val="0"/>
              <w:ind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□本项目要求提交样品。样品为响应文件的一部分，随响应文件同时递交。</w:t>
            </w:r>
          </w:p>
          <w:p>
            <w:pPr>
              <w:pStyle w:val="28"/>
              <w:adjustRightInd w:val="0"/>
              <w:snapToGrid w:val="0"/>
              <w:ind w:firstLine="360" w:firstLineChars="1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（1）样品需标明：项目名称、供应商名称、样品名称等内容。</w:t>
            </w:r>
          </w:p>
          <w:p>
            <w:pPr>
              <w:pStyle w:val="28"/>
              <w:adjustRightInd w:val="0"/>
              <w:snapToGrid w:val="0"/>
              <w:ind w:firstLine="360" w:firstLineChars="1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18.1</w:t>
            </w:r>
          </w:p>
        </w:tc>
        <w:tc>
          <w:tcPr>
            <w:tcW w:w="8321" w:type="dxa"/>
            <w:vAlign w:val="center"/>
          </w:tcPr>
          <w:p>
            <w:pPr>
              <w:tabs>
                <w:tab w:val="left" w:pos="588"/>
              </w:tabs>
              <w:spacing w:line="360" w:lineRule="auto"/>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24"/>
                <w:sz w:val="24"/>
                <w:szCs w:val="21"/>
                <w:highlight w:val="none"/>
              </w:rPr>
              <w:t>响应文件递交截止时</w:t>
            </w:r>
            <w:r>
              <w:rPr>
                <w:rFonts w:hint="default" w:ascii="Times New Roman" w:hAnsi="Times New Roman" w:eastAsia="仿宋" w:cs="Times New Roman"/>
                <w:b/>
                <w:bCs/>
                <w:kern w:val="0"/>
                <w:sz w:val="24"/>
                <w:szCs w:val="24"/>
                <w:highlight w:val="none"/>
              </w:rPr>
              <w:t>间：</w:t>
            </w:r>
            <w:r>
              <w:rPr>
                <w:rFonts w:hint="default" w:ascii="Times New Roman" w:hAnsi="Times New Roman" w:eastAsia="仿宋" w:cs="Times New Roman"/>
                <w:b/>
                <w:bCs/>
                <w:kern w:val="0"/>
                <w:sz w:val="24"/>
                <w:highlight w:val="none"/>
              </w:rPr>
              <w:t>202</w:t>
            </w:r>
            <w:r>
              <w:rPr>
                <w:rFonts w:hint="default" w:ascii="Times New Roman" w:hAnsi="Times New Roman" w:eastAsia="仿宋" w:cs="Times New Roman"/>
                <w:b/>
                <w:bCs/>
                <w:kern w:val="0"/>
                <w:sz w:val="24"/>
                <w:highlight w:val="none"/>
                <w:lang w:val="en-US" w:eastAsia="zh-CN"/>
              </w:rPr>
              <w:t>3</w:t>
            </w:r>
            <w:r>
              <w:rPr>
                <w:rFonts w:hint="default" w:ascii="Times New Roman" w:hAnsi="Times New Roman" w:eastAsia="仿宋" w:cs="Times New Roman"/>
                <w:b/>
                <w:bCs/>
                <w:kern w:val="0"/>
                <w:sz w:val="24"/>
                <w:highlight w:val="none"/>
              </w:rPr>
              <w:t>年</w:t>
            </w:r>
            <w:r>
              <w:rPr>
                <w:rFonts w:hint="default" w:eastAsia="仿宋" w:cs="Times New Roman"/>
                <w:b/>
                <w:bCs/>
                <w:kern w:val="0"/>
                <w:sz w:val="24"/>
                <w:highlight w:val="none"/>
                <w:lang w:val="en-US" w:eastAsia="zh-CN"/>
              </w:rPr>
              <w:t>06</w:t>
            </w:r>
            <w:r>
              <w:rPr>
                <w:rFonts w:hint="default" w:ascii="Times New Roman" w:hAnsi="Times New Roman" w:eastAsia="仿宋" w:cs="Times New Roman"/>
                <w:b/>
                <w:bCs/>
                <w:kern w:val="0"/>
                <w:sz w:val="24"/>
                <w:highlight w:val="none"/>
              </w:rPr>
              <w:t>月</w:t>
            </w:r>
            <w:r>
              <w:rPr>
                <w:rFonts w:hint="default" w:eastAsia="仿宋" w:cs="Times New Roman"/>
                <w:b/>
                <w:bCs/>
                <w:kern w:val="0"/>
                <w:sz w:val="24"/>
                <w:highlight w:val="none"/>
                <w:lang w:val="en-US" w:eastAsia="zh-CN"/>
              </w:rPr>
              <w:t>14</w:t>
            </w:r>
            <w:r>
              <w:rPr>
                <w:rFonts w:hint="default" w:ascii="Times New Roman" w:hAnsi="Times New Roman" w:eastAsia="仿宋" w:cs="Times New Roman"/>
                <w:b/>
                <w:bCs/>
                <w:kern w:val="0"/>
                <w:sz w:val="24"/>
                <w:highlight w:val="none"/>
              </w:rPr>
              <w:t>日</w:t>
            </w:r>
            <w:r>
              <w:rPr>
                <w:rFonts w:hint="default" w:eastAsia="仿宋" w:cs="Times New Roman"/>
                <w:b/>
                <w:bCs/>
                <w:kern w:val="0"/>
                <w:sz w:val="24"/>
                <w:highlight w:val="none"/>
                <w:lang w:val="en-US" w:eastAsia="zh-CN"/>
              </w:rPr>
              <w:t>14</w:t>
            </w:r>
            <w:r>
              <w:rPr>
                <w:rFonts w:hint="default" w:ascii="Times New Roman" w:hAnsi="Times New Roman" w:eastAsia="仿宋" w:cs="Times New Roman"/>
                <w:b/>
                <w:bCs/>
                <w:kern w:val="0"/>
                <w:sz w:val="24"/>
                <w:highlight w:val="none"/>
              </w:rPr>
              <w:t>时</w:t>
            </w:r>
            <w:r>
              <w:rPr>
                <w:rFonts w:hint="default" w:ascii="Times New Roman" w:hAnsi="Times New Roman" w:eastAsia="仿宋" w:cs="Times New Roman"/>
                <w:b/>
                <w:bCs/>
                <w:kern w:val="0"/>
                <w:sz w:val="24"/>
                <w:highlight w:val="none"/>
                <w:lang w:val="en-US" w:eastAsia="zh-CN"/>
              </w:rPr>
              <w:t>30</w:t>
            </w:r>
            <w:r>
              <w:rPr>
                <w:rFonts w:hint="default" w:ascii="Times New Roman" w:hAnsi="Times New Roman" w:eastAsia="仿宋" w:cs="Times New Roman"/>
                <w:b/>
                <w:bCs/>
                <w:kern w:val="0"/>
                <w:sz w:val="24"/>
                <w:highlight w:val="none"/>
              </w:rPr>
              <w:t>分00秒（</w:t>
            </w:r>
            <w:r>
              <w:rPr>
                <w:rFonts w:hint="default" w:ascii="Times New Roman" w:hAnsi="Times New Roman" w:eastAsia="仿宋" w:cs="Times New Roman"/>
                <w:b/>
                <w:bCs/>
                <w:kern w:val="0"/>
                <w:sz w:val="24"/>
                <w:szCs w:val="24"/>
                <w:highlight w:val="none"/>
              </w:rPr>
              <w:t>北京时间）。</w:t>
            </w:r>
          </w:p>
          <w:p>
            <w:pPr>
              <w:tabs>
                <w:tab w:val="left" w:pos="588"/>
              </w:tabs>
              <w:spacing w:line="360" w:lineRule="auto"/>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响应文件递交地点：</w:t>
            </w:r>
            <w:r>
              <w:rPr>
                <w:rFonts w:hint="default" w:ascii="Times New Roman" w:hAnsi="Times New Roman" w:eastAsia="仿宋" w:cs="Times New Roman"/>
                <w:b/>
                <w:bCs/>
                <w:kern w:val="0"/>
                <w:sz w:val="24"/>
                <w:highlight w:val="none"/>
                <w:lang w:eastAsia="zh-CN"/>
              </w:rPr>
              <w:t>西安市高新二路2号山西证券大厦</w:t>
            </w:r>
            <w:r>
              <w:rPr>
                <w:rFonts w:hint="default" w:eastAsia="仿宋" w:cs="Times New Roman"/>
                <w:b/>
                <w:bCs/>
                <w:kern w:val="0"/>
                <w:sz w:val="24"/>
                <w:highlight w:val="none"/>
                <w:lang w:val="en-US" w:eastAsia="zh-CN"/>
              </w:rPr>
              <w:t>21</w:t>
            </w:r>
            <w:r>
              <w:rPr>
                <w:rFonts w:hint="default" w:ascii="Times New Roman" w:hAnsi="Times New Roman" w:eastAsia="仿宋" w:cs="Times New Roman"/>
                <w:b/>
                <w:bCs/>
                <w:kern w:val="0"/>
                <w:sz w:val="24"/>
                <w:highlight w:val="none"/>
                <w:lang w:eastAsia="zh-CN"/>
              </w:rPr>
              <w:t>楼第</w:t>
            </w:r>
            <w:r>
              <w:rPr>
                <w:rFonts w:hint="default" w:eastAsia="仿宋" w:cs="Times New Roman"/>
                <w:b/>
                <w:bCs/>
                <w:kern w:val="0"/>
                <w:sz w:val="24"/>
                <w:highlight w:val="none"/>
                <w:lang w:val="en-US" w:eastAsia="zh-CN"/>
              </w:rPr>
              <w:t>8</w:t>
            </w:r>
            <w:r>
              <w:rPr>
                <w:rFonts w:hint="default" w:ascii="Times New Roman" w:hAnsi="Times New Roman" w:eastAsia="仿宋" w:cs="Times New Roman"/>
                <w:b/>
                <w:bCs/>
                <w:kern w:val="0"/>
                <w:sz w:val="24"/>
                <w:highlight w:val="none"/>
                <w:lang w:eastAsia="zh-CN"/>
              </w:rPr>
              <w:t>会议室</w:t>
            </w:r>
            <w:r>
              <w:rPr>
                <w:rFonts w:hint="default" w:ascii="Times New Roman" w:hAnsi="Times New Roman" w:eastAsia="仿宋" w:cs="Times New Roman"/>
                <w:b/>
                <w:bCs/>
                <w:kern w:val="0"/>
                <w:sz w:val="24"/>
                <w:szCs w:val="24"/>
                <w:highlight w:val="none"/>
              </w:rPr>
              <w:t>。</w:t>
            </w:r>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21.1</w:t>
            </w:r>
          </w:p>
        </w:tc>
        <w:tc>
          <w:tcPr>
            <w:tcW w:w="8321" w:type="dxa"/>
            <w:vAlign w:val="center"/>
          </w:tcPr>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磋商小组构成：依法组成。</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磋商小组构成：3人，由专家组成。 </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磋商小组确定方式：评审前24小时内在法律认可的专家库中随机抽取技术、经济方面的专家。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jc w:val="center"/>
        </w:trPr>
        <w:tc>
          <w:tcPr>
            <w:tcW w:w="101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28.1</w:t>
            </w:r>
          </w:p>
        </w:tc>
        <w:tc>
          <w:tcPr>
            <w:tcW w:w="8321" w:type="dxa"/>
            <w:vAlign w:val="center"/>
          </w:tcPr>
          <w:p>
            <w:pPr>
              <w:jc w:val="left"/>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本项目要求履约保证金，</w:t>
            </w:r>
            <w:r>
              <w:rPr>
                <w:rFonts w:hint="default" w:ascii="Times New Roman" w:hAnsi="Times New Roman" w:eastAsia="仿宋" w:cs="Times New Roman"/>
                <w:b w:val="0"/>
                <w:bCs w:val="0"/>
                <w:kern w:val="2"/>
                <w:sz w:val="24"/>
                <w:highlight w:val="none"/>
              </w:rPr>
              <w:t>合同签订前，成交供应商需先缴纳合同总价款</w:t>
            </w:r>
            <w:r>
              <w:rPr>
                <w:rFonts w:hint="default" w:ascii="Times New Roman" w:hAnsi="Times New Roman" w:eastAsia="仿宋" w:cs="Times New Roman"/>
                <w:b w:val="0"/>
                <w:bCs w:val="0"/>
                <w:kern w:val="2"/>
                <w:sz w:val="24"/>
                <w:highlight w:val="none"/>
                <w:u w:val="single"/>
              </w:rPr>
              <w:t>5%</w:t>
            </w:r>
            <w:r>
              <w:rPr>
                <w:rFonts w:hint="default" w:ascii="Times New Roman" w:hAnsi="Times New Roman" w:eastAsia="仿宋" w:cs="Times New Roman"/>
                <w:b w:val="0"/>
                <w:bCs w:val="0"/>
                <w:kern w:val="2"/>
                <w:sz w:val="24"/>
                <w:highlight w:val="none"/>
              </w:rPr>
              <w:t>的履约保证金</w:t>
            </w:r>
            <w:r>
              <w:rPr>
                <w:rFonts w:hint="default" w:ascii="Times New Roman" w:hAnsi="Times New Roman" w:eastAsia="仿宋" w:cs="Times New Roman"/>
                <w:b w:val="0"/>
                <w:bCs w:val="0"/>
                <w:kern w:val="2"/>
                <w:sz w:val="24"/>
                <w:highlight w:val="none"/>
                <w:lang w:eastAsia="zh-CN"/>
              </w:rPr>
              <w:t>。</w:t>
            </w:r>
          </w:p>
        </w:tc>
      </w:tr>
    </w:tbl>
    <w:p>
      <w:pPr>
        <w:rPr>
          <w:rFonts w:hint="default" w:ascii="Times New Roman" w:hAnsi="Times New Roman" w:eastAsia="仿宋" w:cs="Times New Roman"/>
          <w:sz w:val="30"/>
          <w:szCs w:val="30"/>
          <w:highlight w:val="none"/>
        </w:rPr>
      </w:pPr>
      <w:bookmarkStart w:id="92" w:name="_Toc256342144"/>
      <w:bookmarkStart w:id="93" w:name="_Toc230013633"/>
      <w:bookmarkStart w:id="94" w:name="_Toc177189236"/>
      <w:bookmarkStart w:id="95" w:name="_Toc232176273"/>
      <w:bookmarkStart w:id="96" w:name="_Toc176882543"/>
      <w:bookmarkStart w:id="97" w:name="_Toc232395213"/>
      <w:bookmarkStart w:id="98" w:name="_Toc230099798"/>
      <w:bookmarkStart w:id="99" w:name="_Toc249525160"/>
      <w:bookmarkStart w:id="100" w:name="_Toc184043013"/>
      <w:bookmarkStart w:id="101" w:name="_Toc70687140"/>
      <w:bookmarkStart w:id="102" w:name="_Toc177817335"/>
      <w:bookmarkStart w:id="103" w:name="_Toc53722841"/>
      <w:bookmarkStart w:id="104" w:name="_Toc249515391"/>
      <w:bookmarkStart w:id="105" w:name="_Toc230583542"/>
      <w:bookmarkStart w:id="106" w:name="_Toc177995474"/>
      <w:bookmarkStart w:id="107" w:name="_Toc249515279"/>
      <w:r>
        <w:rPr>
          <w:rFonts w:hint="default" w:ascii="Times New Roman" w:hAnsi="Times New Roman" w:eastAsia="仿宋" w:cs="Times New Roman"/>
          <w:sz w:val="30"/>
          <w:szCs w:val="30"/>
          <w:highlight w:val="none"/>
        </w:rPr>
        <w:br w:type="page"/>
      </w:r>
    </w:p>
    <w:p>
      <w:pPr>
        <w:pStyle w:val="79"/>
        <w:spacing w:before="0" w:beforeLines="0" w:after="0" w:afterLines="0"/>
        <w:jc w:val="center"/>
        <w:outlineLvl w:val="9"/>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（二）供应商须知</w:t>
      </w:r>
    </w:p>
    <w:p>
      <w:pPr>
        <w:pStyle w:val="79"/>
        <w:spacing w:before="0" w:beforeLines="0" w:after="0" w:afterLines="0"/>
        <w:jc w:val="center"/>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一、总  则</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rPr>
          <w:rFonts w:hint="default" w:ascii="Times New Roman" w:hAnsi="Times New Roman" w:eastAsia="仿宋" w:cs="Times New Roman"/>
          <w:b/>
          <w:sz w:val="24"/>
          <w:szCs w:val="21"/>
          <w:highlight w:val="none"/>
        </w:rPr>
      </w:pPr>
      <w:bookmarkStart w:id="108" w:name="_Hlt14560612"/>
      <w:bookmarkEnd w:id="108"/>
      <w:bookmarkStart w:id="109" w:name="_Toc249515280"/>
      <w:bookmarkStart w:id="110" w:name="_Toc25504"/>
      <w:bookmarkStart w:id="111" w:name="_Toc249525161"/>
      <w:bookmarkStart w:id="112" w:name="_Toc184043014"/>
      <w:bookmarkStart w:id="113" w:name="_Toc249515392"/>
      <w:r>
        <w:rPr>
          <w:rFonts w:hint="default" w:ascii="Times New Roman" w:hAnsi="Times New Roman" w:eastAsia="仿宋" w:cs="Times New Roman"/>
          <w:b/>
          <w:sz w:val="24"/>
          <w:szCs w:val="21"/>
          <w:highlight w:val="none"/>
        </w:rPr>
        <w:t>1.     项目说明</w:t>
      </w:r>
      <w:bookmarkEnd w:id="109"/>
      <w:bookmarkEnd w:id="110"/>
      <w:bookmarkEnd w:id="111"/>
      <w:bookmarkEnd w:id="112"/>
      <w:bookmarkEnd w:id="113"/>
    </w:p>
    <w:p>
      <w:pPr>
        <w:pStyle w:val="65"/>
        <w:widowControl w:val="0"/>
        <w:tabs>
          <w:tab w:val="left" w:pos="588"/>
        </w:tabs>
        <w:spacing w:before="0" w:beforeAutospacing="0" w:after="0" w:afterAutospacing="0"/>
        <w:textAlignment w:val="auto"/>
        <w:rPr>
          <w:rFonts w:hint="default" w:ascii="Times New Roman" w:hAnsi="Times New Roman" w:eastAsia="仿宋" w:cs="Times New Roman"/>
          <w:kern w:val="24"/>
          <w:szCs w:val="21"/>
          <w:highlight w:val="none"/>
        </w:rPr>
      </w:pPr>
      <w:r>
        <w:rPr>
          <w:rFonts w:hint="default" w:ascii="Times New Roman" w:hAnsi="Times New Roman" w:eastAsia="仿宋" w:cs="Times New Roman"/>
          <w:kern w:val="24"/>
          <w:szCs w:val="21"/>
          <w:highlight w:val="none"/>
        </w:rPr>
        <w:t>1.1    项目说明：</w:t>
      </w:r>
      <w:r>
        <w:rPr>
          <w:rFonts w:hint="default" w:ascii="Times New Roman" w:hAnsi="Times New Roman" w:eastAsia="仿宋" w:cs="Times New Roman"/>
          <w:b/>
          <w:kern w:val="24"/>
          <w:szCs w:val="21"/>
          <w:highlight w:val="none"/>
        </w:rPr>
        <w:t>见供应商须知前附表</w:t>
      </w:r>
      <w:r>
        <w:rPr>
          <w:rFonts w:hint="default" w:ascii="Times New Roman" w:hAnsi="Times New Roman" w:eastAsia="仿宋" w:cs="Times New Roman"/>
          <w:kern w:val="24"/>
          <w:szCs w:val="21"/>
          <w:highlight w:val="none"/>
        </w:rPr>
        <w:t>。</w:t>
      </w:r>
    </w:p>
    <w:p>
      <w:pPr>
        <w:rPr>
          <w:rFonts w:hint="default" w:ascii="Times New Roman" w:hAnsi="Times New Roman" w:eastAsia="仿宋" w:cs="Times New Roman"/>
          <w:b/>
          <w:sz w:val="24"/>
          <w:szCs w:val="21"/>
          <w:highlight w:val="none"/>
        </w:rPr>
      </w:pPr>
      <w:bookmarkStart w:id="114" w:name="_Toc249515393"/>
      <w:bookmarkStart w:id="115" w:name="_Toc249525162"/>
      <w:bookmarkStart w:id="116" w:name="_Toc184043015"/>
      <w:bookmarkStart w:id="117" w:name="_Toc249515281"/>
      <w:bookmarkStart w:id="118" w:name="_Toc31509"/>
      <w:bookmarkStart w:id="119" w:name="_Toc70687142"/>
      <w:r>
        <w:rPr>
          <w:rFonts w:hint="default" w:ascii="Times New Roman" w:hAnsi="Times New Roman" w:eastAsia="仿宋" w:cs="Times New Roman"/>
          <w:b/>
          <w:sz w:val="24"/>
          <w:szCs w:val="21"/>
          <w:highlight w:val="none"/>
        </w:rPr>
        <w:t>2.     定义</w:t>
      </w:r>
      <w:bookmarkEnd w:id="114"/>
      <w:bookmarkEnd w:id="115"/>
      <w:bookmarkEnd w:id="116"/>
      <w:bookmarkEnd w:id="117"/>
      <w:bookmarkEnd w:id="118"/>
      <w:bookmarkEnd w:id="119"/>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2.1    采购人：</w:t>
      </w:r>
      <w:r>
        <w:rPr>
          <w:rFonts w:hint="default" w:ascii="Times New Roman" w:hAnsi="Times New Roman" w:eastAsia="仿宋" w:cs="Times New Roman"/>
          <w:b/>
          <w:sz w:val="24"/>
          <w:highlight w:val="none"/>
        </w:rPr>
        <w:t>见供应商须知前附表</w:t>
      </w:r>
      <w:r>
        <w:rPr>
          <w:rFonts w:hint="default" w:ascii="Times New Roman" w:hAnsi="Times New Roman" w:eastAsia="仿宋" w:cs="Times New Roman"/>
          <w:sz w:val="24"/>
          <w:highlight w:val="none"/>
        </w:rPr>
        <w:t>。</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2.2    采购代理机构：</w:t>
      </w:r>
      <w:r>
        <w:rPr>
          <w:rFonts w:hint="default" w:ascii="Times New Roman" w:hAnsi="Times New Roman" w:eastAsia="仿宋" w:cs="Times New Roman"/>
          <w:b/>
          <w:kern w:val="24"/>
          <w:sz w:val="24"/>
          <w:szCs w:val="21"/>
          <w:highlight w:val="none"/>
        </w:rPr>
        <w:t>见供应商须知前附表</w:t>
      </w:r>
      <w:r>
        <w:rPr>
          <w:rFonts w:hint="default" w:ascii="Times New Roman" w:hAnsi="Times New Roman" w:eastAsia="仿宋" w:cs="Times New Roman"/>
          <w:kern w:val="24"/>
          <w:sz w:val="24"/>
          <w:szCs w:val="21"/>
          <w:highlight w:val="none"/>
        </w:rPr>
        <w:t>。</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    供应商：指响应磋商文件要求、参加竞争性磋商采购的法人、其他组织或者自然人。本次政府采购项目邀请供应商方式见</w:t>
      </w:r>
      <w:r>
        <w:rPr>
          <w:rFonts w:hint="default" w:ascii="Times New Roman" w:hAnsi="Times New Roman" w:eastAsia="仿宋" w:cs="Times New Roman"/>
          <w:b/>
          <w:sz w:val="24"/>
          <w:highlight w:val="none"/>
        </w:rPr>
        <w:t>供应商须知前附表。</w:t>
      </w:r>
    </w:p>
    <w:p>
      <w:pPr>
        <w:pStyle w:val="2"/>
        <w:tabs>
          <w:tab w:val="left" w:pos="360"/>
        </w:tabs>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2.4    磋商小组：指依据《中华人民共和国政府采购法》和财政部《政府采购竞争性磋商采购方式管理暂行办法》有关规定组建，依法依规履行其职责和义务的机构。</w:t>
      </w:r>
    </w:p>
    <w:p>
      <w:pPr>
        <w:rPr>
          <w:rFonts w:hint="default" w:ascii="Times New Roman" w:hAnsi="Times New Roman" w:eastAsia="仿宋" w:cs="Times New Roman"/>
          <w:b/>
          <w:sz w:val="24"/>
          <w:szCs w:val="21"/>
          <w:highlight w:val="none"/>
        </w:rPr>
      </w:pPr>
      <w:bookmarkStart w:id="120" w:name="_Toc184043016"/>
      <w:bookmarkStart w:id="121" w:name="_Toc249515282"/>
      <w:bookmarkStart w:id="122" w:name="_Toc389620168"/>
      <w:bookmarkStart w:id="123" w:name="_Toc70687143"/>
      <w:bookmarkStart w:id="124" w:name="_Toc249525163"/>
      <w:bookmarkStart w:id="125" w:name="_Toc249515394"/>
      <w:bookmarkStart w:id="126" w:name="_Toc23705"/>
      <w:bookmarkStart w:id="127" w:name="_Toc385992329"/>
      <w:r>
        <w:rPr>
          <w:rFonts w:hint="default" w:ascii="Times New Roman" w:hAnsi="Times New Roman" w:eastAsia="仿宋" w:cs="Times New Roman"/>
          <w:b/>
          <w:sz w:val="24"/>
          <w:szCs w:val="21"/>
          <w:highlight w:val="none"/>
        </w:rPr>
        <w:t>3.     合格的供应商</w:t>
      </w:r>
      <w:bookmarkEnd w:id="120"/>
      <w:bookmarkEnd w:id="121"/>
      <w:bookmarkEnd w:id="122"/>
      <w:bookmarkEnd w:id="123"/>
      <w:bookmarkEnd w:id="124"/>
      <w:bookmarkEnd w:id="125"/>
      <w:bookmarkEnd w:id="126"/>
      <w:bookmarkEnd w:id="127"/>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3.1    供应商基本资质要求详见</w:t>
      </w:r>
      <w:r>
        <w:rPr>
          <w:rFonts w:hint="default" w:ascii="Times New Roman" w:hAnsi="Times New Roman" w:eastAsia="仿宋" w:cs="Times New Roman"/>
          <w:b/>
          <w:kern w:val="24"/>
          <w:sz w:val="24"/>
          <w:szCs w:val="21"/>
          <w:highlight w:val="none"/>
        </w:rPr>
        <w:t>供应商须知前附表</w:t>
      </w:r>
      <w:r>
        <w:rPr>
          <w:rFonts w:hint="default" w:ascii="Times New Roman" w:hAnsi="Times New Roman" w:eastAsia="仿宋" w:cs="Times New Roman"/>
          <w:kern w:val="24"/>
          <w:sz w:val="24"/>
          <w:szCs w:val="21"/>
          <w:highlight w:val="none"/>
        </w:rPr>
        <w:t>。</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3.2.1  供应商应当未被列入失信被执行人、重大税收违法失信主体、政府采购严重违法失信行为记录名单，否则不得参与政府采购活动。</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3.2.2  信用信息查询的时间：响应文件递交截止时间之后至磋商资格性检查结束。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3.2.3  查询渠道：“信用中国”网站（www.creditchina.gov.cn）</w:t>
      </w:r>
      <w:r>
        <w:rPr>
          <w:rFonts w:hint="default" w:ascii="Times New Roman" w:hAnsi="Times New Roman" w:eastAsia="仿宋" w:cs="Times New Roman"/>
          <w:kern w:val="24"/>
          <w:sz w:val="24"/>
          <w:szCs w:val="21"/>
          <w:highlight w:val="none"/>
          <w:lang w:eastAsia="zh-CN"/>
        </w:rPr>
        <w:t>、</w:t>
      </w:r>
      <w:r>
        <w:rPr>
          <w:rFonts w:hint="default" w:ascii="Times New Roman" w:hAnsi="Times New Roman" w:eastAsia="仿宋" w:cs="Times New Roman"/>
          <w:kern w:val="24"/>
          <w:sz w:val="24"/>
          <w:szCs w:val="21"/>
          <w:highlight w:val="none"/>
          <w:lang w:val="en-US" w:eastAsia="zh-CN"/>
        </w:rPr>
        <w:t>中国执行信息公开网（</w:t>
      </w:r>
      <w:r>
        <w:rPr>
          <w:rFonts w:hint="default" w:ascii="Times New Roman" w:hAnsi="Times New Roman" w:eastAsia="仿宋" w:cs="Times New Roman"/>
          <w:kern w:val="24"/>
          <w:sz w:val="24"/>
          <w:szCs w:val="21"/>
          <w:highlight w:val="none"/>
        </w:rPr>
        <w:t>http://zxgk.court.gov.cn/</w:t>
      </w:r>
      <w:r>
        <w:rPr>
          <w:rFonts w:hint="default" w:ascii="Times New Roman" w:hAnsi="Times New Roman" w:eastAsia="仿宋" w:cs="Times New Roman"/>
          <w:kern w:val="24"/>
          <w:sz w:val="24"/>
          <w:szCs w:val="21"/>
          <w:highlight w:val="none"/>
          <w:lang w:eastAsia="zh-CN"/>
        </w:rPr>
        <w:t>）</w:t>
      </w:r>
      <w:r>
        <w:rPr>
          <w:rFonts w:hint="default" w:ascii="Times New Roman" w:hAnsi="Times New Roman" w:eastAsia="仿宋" w:cs="Times New Roman"/>
          <w:kern w:val="24"/>
          <w:sz w:val="24"/>
          <w:szCs w:val="21"/>
          <w:highlight w:val="none"/>
        </w:rPr>
        <w:t>和中国政府采购网（www.ccgp.gov.cn）；</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3.3   供应商必须向采购人或采购代理机构获取磋商文件，未向采购人或采购代理机构获取磋商文件的潜在供应商均无资格参加本次采购。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3.4    供应商应遵守《中华人民共和国政府采购法》及其它有关的中国法律和法规。</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3.5    若前附表中写明允许采购进口产品，供应商应保证所投产品可履行合法报通关手续进入中国关境内。</w:t>
      </w:r>
    </w:p>
    <w:p>
      <w:pPr>
        <w:pStyle w:val="2"/>
        <w:ind w:left="838" w:leftChars="399"/>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若前附表中不允许采购进口产品，如供应商所投产品为进口产品，其响应文件将被认定为无效。</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    如须知前附表中允许联合体</w:t>
      </w:r>
      <w:r>
        <w:rPr>
          <w:rFonts w:hint="default" w:ascii="Times New Roman" w:hAnsi="Times New Roman" w:eastAsia="仿宋" w:cs="Times New Roman"/>
          <w:kern w:val="24"/>
          <w:sz w:val="24"/>
          <w:szCs w:val="21"/>
          <w:highlight w:val="none"/>
          <w:lang w:val="en-US" w:eastAsia="zh-CN"/>
        </w:rPr>
        <w:t>磋商</w:t>
      </w:r>
      <w:r>
        <w:rPr>
          <w:rFonts w:hint="default" w:ascii="Times New Roman" w:hAnsi="Times New Roman" w:eastAsia="仿宋" w:cs="Times New Roman"/>
          <w:kern w:val="24"/>
          <w:sz w:val="24"/>
          <w:szCs w:val="21"/>
          <w:highlight w:val="none"/>
        </w:rPr>
        <w:t>，对联合体规定如下：</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3.6.1  两个及以上供应商可以组成一个</w:t>
      </w:r>
      <w:r>
        <w:rPr>
          <w:rFonts w:hint="default" w:ascii="Times New Roman" w:hAnsi="Times New Roman" w:eastAsia="仿宋" w:cs="Times New Roman"/>
          <w:kern w:val="24"/>
          <w:sz w:val="24"/>
          <w:szCs w:val="21"/>
          <w:highlight w:val="none"/>
          <w:lang w:val="en-US" w:eastAsia="zh-CN"/>
        </w:rPr>
        <w:t>磋商</w:t>
      </w:r>
      <w:r>
        <w:rPr>
          <w:rFonts w:hint="default" w:ascii="Times New Roman" w:hAnsi="Times New Roman" w:eastAsia="仿宋" w:cs="Times New Roman"/>
          <w:kern w:val="24"/>
          <w:sz w:val="24"/>
          <w:szCs w:val="21"/>
          <w:highlight w:val="none"/>
        </w:rPr>
        <w:t>联合体，以一个供应商的身份</w:t>
      </w:r>
      <w:r>
        <w:rPr>
          <w:rFonts w:hint="default" w:ascii="Times New Roman" w:hAnsi="Times New Roman" w:eastAsia="仿宋" w:cs="Times New Roman"/>
          <w:kern w:val="24"/>
          <w:sz w:val="24"/>
          <w:szCs w:val="21"/>
          <w:highlight w:val="none"/>
          <w:lang w:val="en-US" w:eastAsia="zh-CN"/>
        </w:rPr>
        <w:t>磋商</w:t>
      </w:r>
      <w:r>
        <w:rPr>
          <w:rFonts w:hint="default" w:ascii="Times New Roman" w:hAnsi="Times New Roman" w:eastAsia="仿宋" w:cs="Times New Roman"/>
          <w:kern w:val="24"/>
          <w:sz w:val="24"/>
          <w:szCs w:val="21"/>
          <w:highlight w:val="none"/>
        </w:rPr>
        <w:t>。</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3.6.2  联合体各方均应符合本须知规定。</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3.6.3  采购人根据采购项目对供应商的特殊要求，联合体中至少应当有一方符合相关规定。</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3.6.4  联合体各方应签订共同磋商响应协议，明确约定联合体各方承担的工作和相应的责任，并将共同响应协议作为响应文件的内容提交。</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3.6.6  以联合体形式参加政府采购活动的，联合体各方不得再单独参加或者与其他供应商另外组成联合体参加本项目同一合同项下的磋商，否则相关响应文件将被认定为无效。</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3.6.7  对联合体磋商的其他资格要求见须知前附表。</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3.7    </w:t>
      </w:r>
      <w:r>
        <w:rPr>
          <w:rFonts w:hint="default" w:ascii="Times New Roman" w:hAnsi="Times New Roman" w:eastAsia="仿宋" w:cs="Times New Roman"/>
          <w:sz w:val="24"/>
          <w:highlight w:val="none"/>
        </w:rPr>
        <w:t>若前附表中写明专门面向中小企业采购的，如供应商为非中小企业或所投产品为非中小企业产品，其响应文件将被认定为无效。</w:t>
      </w:r>
    </w:p>
    <w:p>
      <w:pPr>
        <w:rPr>
          <w:rFonts w:hint="default" w:ascii="Times New Roman" w:hAnsi="Times New Roman" w:eastAsia="仿宋" w:cs="Times New Roman"/>
          <w:b/>
          <w:sz w:val="24"/>
          <w:szCs w:val="21"/>
          <w:highlight w:val="none"/>
        </w:rPr>
      </w:pPr>
      <w:bookmarkStart w:id="128" w:name="_Toc70687144"/>
      <w:bookmarkStart w:id="129" w:name="_Toc26580"/>
      <w:bookmarkStart w:id="130" w:name="_Toc184043017"/>
      <w:bookmarkStart w:id="131" w:name="_Toc249515283"/>
      <w:bookmarkStart w:id="132" w:name="_Toc389620169"/>
      <w:bookmarkStart w:id="133" w:name="_Toc249525164"/>
      <w:bookmarkStart w:id="134" w:name="_Toc249515395"/>
      <w:bookmarkStart w:id="135" w:name="_Toc385992330"/>
      <w:r>
        <w:rPr>
          <w:rFonts w:hint="default" w:ascii="Times New Roman" w:hAnsi="Times New Roman" w:eastAsia="仿宋" w:cs="Times New Roman"/>
          <w:b/>
          <w:sz w:val="24"/>
          <w:szCs w:val="21"/>
          <w:highlight w:val="none"/>
        </w:rPr>
        <w:t>4.     磋商费用</w:t>
      </w:r>
      <w:bookmarkEnd w:id="128"/>
      <w:bookmarkEnd w:id="129"/>
      <w:bookmarkEnd w:id="130"/>
      <w:bookmarkEnd w:id="131"/>
      <w:bookmarkEnd w:id="132"/>
      <w:bookmarkEnd w:id="133"/>
      <w:bookmarkEnd w:id="134"/>
      <w:bookmarkEnd w:id="135"/>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4.1    供应商应承担所有与编写和提交响应文件有关的费用，无论磋商过程和结果如何，采购人在任何情况下均无义务和责任承担这些费用。</w:t>
      </w:r>
    </w:p>
    <w:p>
      <w:pPr>
        <w:pStyle w:val="2"/>
        <w:rPr>
          <w:rFonts w:hint="default" w:ascii="Times New Roman" w:hAnsi="Times New Roman" w:eastAsia="仿宋" w:cs="Times New Roman"/>
          <w:highlight w:val="none"/>
        </w:rPr>
      </w:pPr>
    </w:p>
    <w:p>
      <w:pPr>
        <w:pStyle w:val="79"/>
        <w:spacing w:before="24" w:after="24"/>
        <w:ind w:left="3313"/>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二、磋商文件说明</w:t>
      </w:r>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136" w:name="_Toc128"/>
      <w:bookmarkStart w:id="137" w:name="_Toc184043019"/>
      <w:bookmarkStart w:id="138" w:name="_Toc249525166"/>
      <w:bookmarkStart w:id="139" w:name="_Toc389620171"/>
      <w:bookmarkStart w:id="140" w:name="_Toc249515285"/>
      <w:bookmarkStart w:id="141" w:name="_Toc385992332"/>
      <w:bookmarkStart w:id="142" w:name="_Toc249515397"/>
      <w:bookmarkStart w:id="143" w:name="_Toc70687146"/>
      <w:r>
        <w:rPr>
          <w:rFonts w:hint="default" w:ascii="Times New Roman" w:hAnsi="Times New Roman" w:eastAsia="仿宋" w:cs="Times New Roman"/>
          <w:b/>
          <w:sz w:val="24"/>
          <w:szCs w:val="21"/>
          <w:highlight w:val="none"/>
        </w:rPr>
        <w:t>5.     通知</w:t>
      </w:r>
      <w:bookmarkEnd w:id="136"/>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5.2    </w:t>
      </w:r>
      <w:r>
        <w:rPr>
          <w:rFonts w:hint="default" w:ascii="Times New Roman" w:hAnsi="Times New Roman" w:eastAsia="仿宋" w:cs="Times New Roman"/>
          <w:sz w:val="24"/>
          <w:highlight w:val="none"/>
        </w:rPr>
        <w:t>现场考察或者答疑会及相关事项见</w:t>
      </w:r>
      <w:r>
        <w:rPr>
          <w:rFonts w:hint="default" w:ascii="Times New Roman" w:hAnsi="Times New Roman" w:eastAsia="仿宋" w:cs="Times New Roman"/>
          <w:sz w:val="24"/>
          <w:highlight w:val="none"/>
          <w:u w:val="single"/>
        </w:rPr>
        <w:t>供应商须知前附表</w:t>
      </w:r>
      <w:r>
        <w:rPr>
          <w:rFonts w:hint="default" w:ascii="Times New Roman" w:hAnsi="Times New Roman" w:eastAsia="仿宋" w:cs="Times New Roman"/>
          <w:kern w:val="24"/>
          <w:sz w:val="24"/>
          <w:szCs w:val="21"/>
          <w:highlight w:val="none"/>
        </w:rPr>
        <w:t>。</w:t>
      </w:r>
    </w:p>
    <w:p>
      <w:pPr>
        <w:rPr>
          <w:rFonts w:hint="default" w:ascii="Times New Roman" w:hAnsi="Times New Roman" w:eastAsia="仿宋" w:cs="Times New Roman"/>
          <w:b/>
          <w:sz w:val="24"/>
          <w:szCs w:val="21"/>
          <w:highlight w:val="none"/>
        </w:rPr>
      </w:pPr>
      <w:bookmarkStart w:id="144" w:name="_Toc27223"/>
      <w:r>
        <w:rPr>
          <w:rFonts w:hint="default" w:ascii="Times New Roman" w:hAnsi="Times New Roman" w:eastAsia="仿宋" w:cs="Times New Roman"/>
          <w:b/>
          <w:sz w:val="24"/>
          <w:szCs w:val="21"/>
          <w:highlight w:val="none"/>
        </w:rPr>
        <w:t>6.     磋商文件的构成</w:t>
      </w:r>
      <w:bookmarkEnd w:id="137"/>
      <w:bookmarkEnd w:id="138"/>
      <w:bookmarkEnd w:id="139"/>
      <w:bookmarkEnd w:id="140"/>
      <w:bookmarkEnd w:id="141"/>
      <w:bookmarkEnd w:id="142"/>
      <w:bookmarkEnd w:id="143"/>
      <w:bookmarkEnd w:id="144"/>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6.1    磋商文件用以阐明供应商所需提供的服务以及其它类似的义务、采购响应程序和合同条款。磋商文件包括如下五章内容：</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第一章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磋商公告/（或磋商邀请）</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第二章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供应商须知</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第三章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评审办法和标准</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第四章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合同草案条款</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第五章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采购内容及要求</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第六章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磋商响应文件格式</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rPr>
          <w:rFonts w:hint="default" w:ascii="Times New Roman" w:hAnsi="Times New Roman" w:eastAsia="仿宋" w:cs="Times New Roman"/>
          <w:b/>
          <w:sz w:val="24"/>
          <w:szCs w:val="21"/>
          <w:highlight w:val="none"/>
        </w:rPr>
      </w:pPr>
      <w:bookmarkStart w:id="145" w:name="_Toc184043020"/>
      <w:bookmarkStart w:id="146" w:name="_Toc249515398"/>
      <w:bookmarkStart w:id="147" w:name="_Toc385992333"/>
      <w:bookmarkStart w:id="148" w:name="_Toc389620172"/>
      <w:bookmarkStart w:id="149" w:name="_Toc70687147"/>
      <w:bookmarkStart w:id="150" w:name="_Toc249525167"/>
      <w:bookmarkStart w:id="151" w:name="_Toc249515286"/>
      <w:bookmarkStart w:id="152" w:name="_Toc10350"/>
      <w:r>
        <w:rPr>
          <w:rFonts w:hint="default" w:ascii="Times New Roman" w:hAnsi="Times New Roman" w:eastAsia="仿宋" w:cs="Times New Roman"/>
          <w:b/>
          <w:sz w:val="24"/>
          <w:szCs w:val="21"/>
          <w:highlight w:val="none"/>
        </w:rPr>
        <w:t>7.     磋商文件的澄清</w:t>
      </w:r>
      <w:bookmarkEnd w:id="145"/>
      <w:bookmarkEnd w:id="146"/>
      <w:bookmarkEnd w:id="147"/>
      <w:bookmarkEnd w:id="148"/>
      <w:bookmarkEnd w:id="149"/>
      <w:bookmarkEnd w:id="150"/>
      <w:bookmarkEnd w:id="151"/>
      <w:r>
        <w:rPr>
          <w:rFonts w:hint="default" w:ascii="Times New Roman" w:hAnsi="Times New Roman" w:eastAsia="仿宋" w:cs="Times New Roman"/>
          <w:b/>
          <w:sz w:val="24"/>
          <w:szCs w:val="21"/>
          <w:highlight w:val="none"/>
        </w:rPr>
        <w:t>和修改</w:t>
      </w:r>
      <w:bookmarkEnd w:id="152"/>
    </w:p>
    <w:p>
      <w:pPr>
        <w:tabs>
          <w:tab w:val="left" w:pos="588"/>
        </w:tabs>
        <w:spacing w:line="360" w:lineRule="auto"/>
        <w:ind w:left="840" w:hanging="840" w:hangingChars="350"/>
        <w:rPr>
          <w:rFonts w:hint="default" w:ascii="Times New Roman" w:hAnsi="Times New Roman" w:eastAsia="仿宋" w:cs="Times New Roman"/>
          <w:sz w:val="24"/>
          <w:highlight w:val="none"/>
        </w:rPr>
      </w:pPr>
      <w:bookmarkStart w:id="153" w:name="_Toc385992334"/>
      <w:bookmarkStart w:id="154" w:name="_Toc70687148"/>
      <w:bookmarkStart w:id="155" w:name="_Toc389620173"/>
      <w:r>
        <w:rPr>
          <w:rFonts w:hint="default" w:ascii="Times New Roman" w:hAnsi="Times New Roman" w:eastAsia="仿宋" w:cs="Times New Roman"/>
          <w:sz w:val="24"/>
          <w:highlight w:val="none"/>
        </w:rPr>
        <w:t xml:space="preserve">7.1    </w:t>
      </w:r>
      <w:bookmarkEnd w:id="153"/>
      <w:bookmarkEnd w:id="154"/>
      <w:bookmarkEnd w:id="155"/>
      <w:bookmarkStart w:id="156" w:name="_Toc70687149"/>
      <w:bookmarkStart w:id="157" w:name="_Toc389620174"/>
      <w:bookmarkStart w:id="158" w:name="_Toc492955418"/>
      <w:bookmarkStart w:id="159" w:name="_Toc500746969"/>
      <w:bookmarkStart w:id="160" w:name="_Toc53722843"/>
      <w:bookmarkStart w:id="161" w:name="_Toc499711887"/>
      <w:bookmarkStart w:id="162" w:name="_Toc385992335"/>
      <w:bookmarkStart w:id="163" w:name="_Toc503063425"/>
      <w:bookmarkStart w:id="164" w:name="_Toc499711046"/>
      <w:bookmarkStart w:id="165" w:name="_Toc500747065"/>
      <w:bookmarkStart w:id="166" w:name="_Toc500747192"/>
      <w:bookmarkStart w:id="167" w:name="_Toc496324582"/>
      <w:r>
        <w:rPr>
          <w:rFonts w:hint="default" w:ascii="Times New Roman" w:hAnsi="Times New Roman" w:eastAsia="仿宋" w:cs="Times New Roman"/>
          <w:sz w:val="24"/>
          <w:highlight w:val="none"/>
        </w:rPr>
        <w:t>在首次响应文件递交截止时间5日前，采购人或采购代理机构可以对已发出的磋商文件进行必要的澄清或修改，澄清或修改的内容为磋商文件的组成部分。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7.3    澄清或修改的内容可能影响响应文件编制的，采购人或采购代理机构可适当延长首次响应文件递交截止时间，并以书面形式通知所有领取磋商文件的供应商。</w:t>
      </w:r>
    </w:p>
    <w:p>
      <w:pPr>
        <w:pStyle w:val="79"/>
        <w:spacing w:before="24" w:after="24"/>
        <w:ind w:left="3313"/>
        <w:outlineLvl w:val="9"/>
        <w:rPr>
          <w:rFonts w:hint="default" w:ascii="Times New Roman" w:hAnsi="Times New Roman" w:eastAsia="仿宋" w:cs="Times New Roman"/>
          <w:sz w:val="30"/>
          <w:szCs w:val="30"/>
          <w:highlight w:val="none"/>
        </w:rPr>
      </w:pPr>
      <w:bookmarkStart w:id="168" w:name="_Toc249515400"/>
      <w:bookmarkStart w:id="169" w:name="_Toc177995476"/>
      <w:bookmarkStart w:id="170" w:name="_Toc230099800"/>
      <w:bookmarkStart w:id="171" w:name="_Toc177817337"/>
      <w:bookmarkStart w:id="172" w:name="_Toc256342146"/>
      <w:bookmarkStart w:id="173" w:name="_Toc232395215"/>
      <w:bookmarkStart w:id="174" w:name="_Toc230013635"/>
      <w:bookmarkStart w:id="175" w:name="_Toc232176275"/>
      <w:bookmarkStart w:id="176" w:name="_Toc230583544"/>
      <w:bookmarkStart w:id="177" w:name="_Toc176882545"/>
      <w:bookmarkStart w:id="178" w:name="_Toc184043022"/>
      <w:bookmarkStart w:id="179" w:name="_Toc249515288"/>
      <w:bookmarkStart w:id="180" w:name="_Toc177189238"/>
      <w:bookmarkStart w:id="181" w:name="_Toc249525169"/>
      <w:r>
        <w:rPr>
          <w:rFonts w:hint="default" w:ascii="Times New Roman" w:hAnsi="Times New Roman" w:eastAsia="仿宋" w:cs="Times New Roman"/>
          <w:sz w:val="30"/>
          <w:szCs w:val="30"/>
          <w:highlight w:val="none"/>
        </w:rPr>
        <w:t>三、响应文件的编写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rPr>
          <w:rFonts w:hint="default" w:ascii="Times New Roman" w:hAnsi="Times New Roman" w:eastAsia="仿宋" w:cs="Times New Roman"/>
          <w:b/>
          <w:sz w:val="24"/>
          <w:szCs w:val="21"/>
          <w:highlight w:val="none"/>
        </w:rPr>
      </w:pPr>
      <w:bookmarkStart w:id="182" w:name="_Toc249515289"/>
      <w:bookmarkStart w:id="183" w:name="_Toc249525170"/>
      <w:bookmarkStart w:id="184" w:name="_Toc70687150"/>
      <w:bookmarkStart w:id="185" w:name="_Toc184043023"/>
      <w:bookmarkStart w:id="186" w:name="_Toc30150"/>
      <w:bookmarkStart w:id="187" w:name="_Toc249515401"/>
      <w:bookmarkStart w:id="188" w:name="_Toc385992337"/>
      <w:bookmarkStart w:id="189" w:name="_Toc389620176"/>
      <w:r>
        <w:rPr>
          <w:rFonts w:hint="default" w:ascii="Times New Roman" w:hAnsi="Times New Roman" w:eastAsia="仿宋" w:cs="Times New Roman"/>
          <w:b/>
          <w:sz w:val="24"/>
          <w:szCs w:val="21"/>
          <w:highlight w:val="none"/>
        </w:rPr>
        <w:t>8.     响应文件语言</w:t>
      </w:r>
      <w:bookmarkEnd w:id="182"/>
      <w:bookmarkEnd w:id="183"/>
      <w:bookmarkEnd w:id="184"/>
      <w:bookmarkEnd w:id="185"/>
      <w:bookmarkEnd w:id="186"/>
      <w:bookmarkEnd w:id="187"/>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8.1    响应文件及与响应相关的所有文件均应以中文书写。</w:t>
      </w:r>
    </w:p>
    <w:p>
      <w:pPr>
        <w:rPr>
          <w:rFonts w:hint="default" w:ascii="Times New Roman" w:hAnsi="Times New Roman" w:eastAsia="仿宋" w:cs="Times New Roman"/>
          <w:b/>
          <w:sz w:val="24"/>
          <w:szCs w:val="21"/>
          <w:highlight w:val="none"/>
        </w:rPr>
      </w:pPr>
      <w:bookmarkStart w:id="190" w:name="_Toc184043024"/>
      <w:bookmarkStart w:id="191" w:name="_Toc249515402"/>
      <w:bookmarkStart w:id="192" w:name="_Toc249525171"/>
      <w:bookmarkStart w:id="193" w:name="_Toc249515290"/>
      <w:bookmarkStart w:id="194" w:name="_Toc70687151"/>
      <w:bookmarkStart w:id="195" w:name="_Toc18327"/>
      <w:r>
        <w:rPr>
          <w:rFonts w:hint="default" w:ascii="Times New Roman" w:hAnsi="Times New Roman" w:eastAsia="仿宋" w:cs="Times New Roman"/>
          <w:b/>
          <w:sz w:val="24"/>
          <w:szCs w:val="21"/>
          <w:highlight w:val="none"/>
        </w:rPr>
        <w:t>9.     计量单位</w:t>
      </w:r>
      <w:bookmarkEnd w:id="188"/>
      <w:bookmarkEnd w:id="189"/>
      <w:bookmarkEnd w:id="190"/>
      <w:bookmarkEnd w:id="191"/>
      <w:bookmarkEnd w:id="192"/>
      <w:bookmarkEnd w:id="193"/>
      <w:bookmarkEnd w:id="194"/>
      <w:bookmarkEnd w:id="195"/>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9.1    除在磋商文件的技术规格中另有规定外，计量单位应使用中华人民共和国法定计量单位。</w:t>
      </w:r>
    </w:p>
    <w:p>
      <w:pPr>
        <w:pStyle w:val="2"/>
        <w:rPr>
          <w:rFonts w:hint="default" w:ascii="Times New Roman" w:hAnsi="Times New Roman" w:eastAsia="仿宋" w:cs="Times New Roman"/>
          <w:b/>
          <w:sz w:val="24"/>
          <w:szCs w:val="21"/>
          <w:highlight w:val="none"/>
        </w:rPr>
      </w:pPr>
      <w:bookmarkStart w:id="196" w:name="_Toc29318"/>
      <w:bookmarkStart w:id="197" w:name="_Toc249525172"/>
      <w:bookmarkStart w:id="198" w:name="_Toc70687152"/>
      <w:bookmarkStart w:id="199" w:name="_Toc389620177"/>
      <w:bookmarkStart w:id="200" w:name="_Toc184043025"/>
      <w:bookmarkStart w:id="201" w:name="_Toc249515403"/>
      <w:bookmarkStart w:id="202" w:name="_Toc249515291"/>
      <w:bookmarkStart w:id="203" w:name="_Toc385992338"/>
      <w:r>
        <w:rPr>
          <w:rFonts w:hint="default" w:ascii="Times New Roman" w:hAnsi="Times New Roman" w:eastAsia="仿宋" w:cs="Times New Roman"/>
          <w:b/>
          <w:sz w:val="24"/>
          <w:szCs w:val="21"/>
          <w:highlight w:val="none"/>
        </w:rPr>
        <w:t>10.    响应文件的组成</w:t>
      </w:r>
      <w:bookmarkEnd w:id="196"/>
      <w:bookmarkEnd w:id="197"/>
      <w:bookmarkEnd w:id="198"/>
      <w:bookmarkEnd w:id="199"/>
      <w:bookmarkEnd w:id="200"/>
      <w:bookmarkEnd w:id="201"/>
      <w:bookmarkEnd w:id="202"/>
      <w:bookmarkEnd w:id="203"/>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10.1   供应商编写的响应文件</w:t>
      </w:r>
      <w:r>
        <w:rPr>
          <w:rFonts w:hint="default" w:ascii="Times New Roman" w:hAnsi="Times New Roman" w:eastAsia="仿宋" w:cs="Times New Roman"/>
          <w:b/>
          <w:bCs/>
          <w:sz w:val="24"/>
          <w:highlight w:val="none"/>
        </w:rPr>
        <w:t>由《资格证明文件》、《商务及技术文件》两部分</w:t>
      </w:r>
      <w:r>
        <w:rPr>
          <w:rFonts w:hint="default" w:ascii="Times New Roman" w:hAnsi="Times New Roman" w:eastAsia="仿宋" w:cs="Times New Roman"/>
          <w:sz w:val="24"/>
          <w:highlight w:val="none"/>
        </w:rPr>
        <w:t>组成。</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10.2   供应商提供的以上材料必须真实有效，任何一项的虚假将导致其响应被拒绝。</w:t>
      </w:r>
    </w:p>
    <w:p>
      <w:pPr>
        <w:rPr>
          <w:rFonts w:hint="default" w:ascii="Times New Roman" w:hAnsi="Times New Roman" w:eastAsia="仿宋" w:cs="Times New Roman"/>
          <w:b/>
          <w:sz w:val="24"/>
          <w:szCs w:val="21"/>
          <w:highlight w:val="none"/>
        </w:rPr>
      </w:pPr>
      <w:bookmarkStart w:id="204" w:name="_Toc70687153"/>
      <w:bookmarkStart w:id="205" w:name="_Toc385992339"/>
      <w:bookmarkStart w:id="206" w:name="_Toc389620178"/>
      <w:bookmarkStart w:id="207" w:name="_Toc26312"/>
      <w:bookmarkStart w:id="208" w:name="_Toc249515404"/>
      <w:bookmarkStart w:id="209" w:name="_Toc249525173"/>
      <w:bookmarkStart w:id="210" w:name="_Toc249515292"/>
      <w:bookmarkStart w:id="211" w:name="_Toc184043026"/>
      <w:r>
        <w:rPr>
          <w:rFonts w:hint="default" w:ascii="Times New Roman" w:hAnsi="Times New Roman" w:eastAsia="仿宋" w:cs="Times New Roman"/>
          <w:b/>
          <w:sz w:val="24"/>
          <w:highlight w:val="none"/>
        </w:rPr>
        <w:t>11.    响应文件格式</w:t>
      </w:r>
      <w:bookmarkEnd w:id="204"/>
      <w:bookmarkEnd w:id="205"/>
      <w:bookmarkEnd w:id="206"/>
      <w:bookmarkEnd w:id="207"/>
      <w:bookmarkEnd w:id="208"/>
      <w:bookmarkEnd w:id="209"/>
      <w:bookmarkEnd w:id="210"/>
      <w:bookmarkEnd w:id="211"/>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11.1   对于磋商文件第六章中已经提供了格式的响应文件内容，供应商必须按提供的响应文件格式进行填写和编制，没有提供格式的可自行设计。</w:t>
      </w:r>
    </w:p>
    <w:p>
      <w:pPr>
        <w:rPr>
          <w:rFonts w:hint="default" w:ascii="Times New Roman" w:hAnsi="Times New Roman" w:eastAsia="仿宋" w:cs="Times New Roman"/>
          <w:b/>
          <w:sz w:val="24"/>
          <w:szCs w:val="21"/>
          <w:highlight w:val="none"/>
        </w:rPr>
      </w:pPr>
      <w:bookmarkStart w:id="212" w:name="_Toc26688"/>
      <w:r>
        <w:rPr>
          <w:rFonts w:hint="default" w:ascii="Times New Roman" w:hAnsi="Times New Roman" w:eastAsia="仿宋" w:cs="Times New Roman"/>
          <w:b/>
          <w:sz w:val="24"/>
          <w:szCs w:val="21"/>
          <w:highlight w:val="none"/>
        </w:rPr>
        <w:t>12.    响应报价</w:t>
      </w:r>
      <w:bookmarkEnd w:id="212"/>
    </w:p>
    <w:p>
      <w:pPr>
        <w:tabs>
          <w:tab w:val="left" w:pos="0"/>
          <w:tab w:val="left" w:pos="540"/>
          <w:tab w:val="left" w:pos="720"/>
        </w:tabs>
        <w:spacing w:line="360" w:lineRule="auto"/>
        <w:ind w:left="840" w:hanging="840" w:hangingChars="350"/>
        <w:rPr>
          <w:rFonts w:hint="default" w:ascii="Times New Roman" w:hAnsi="Times New Roman" w:eastAsia="仿宋" w:cs="Times New Roman"/>
          <w:highlight w:val="none"/>
        </w:rPr>
      </w:pPr>
      <w:r>
        <w:rPr>
          <w:rFonts w:hint="default" w:ascii="Times New Roman" w:hAnsi="Times New Roman" w:eastAsia="仿宋" w:cs="Times New Roman"/>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default" w:ascii="Times New Roman" w:hAnsi="Times New Roman" w:eastAsia="仿宋" w:cs="Times New Roman"/>
          <w:b/>
          <w:kern w:val="24"/>
          <w:sz w:val="24"/>
          <w:szCs w:val="21"/>
          <w:highlight w:val="none"/>
        </w:rPr>
        <w:t>供应商须知前附表。</w:t>
      </w:r>
    </w:p>
    <w:p>
      <w:pPr>
        <w:tabs>
          <w:tab w:val="left" w:pos="540"/>
          <w:tab w:val="left" w:pos="8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12.2   供应商应在响应分项报价表中详细列出所报货物和</w:t>
      </w:r>
      <w:r>
        <w:rPr>
          <w:rFonts w:hint="default" w:ascii="Times New Roman" w:hAnsi="Times New Roman" w:eastAsia="仿宋" w:cs="Times New Roman"/>
          <w:sz w:val="24"/>
          <w:highlight w:val="none"/>
        </w:rPr>
        <w:t>服务</w:t>
      </w:r>
      <w:r>
        <w:rPr>
          <w:rFonts w:hint="default" w:ascii="Times New Roman" w:hAnsi="Times New Roman" w:eastAsia="仿宋" w:cs="Times New Roman"/>
          <w:kern w:val="24"/>
          <w:sz w:val="24"/>
          <w:szCs w:val="21"/>
          <w:highlight w:val="none"/>
        </w:rPr>
        <w:t>的单价（如适用）和总价，并由法定代表人（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kern w:val="24"/>
          <w:sz w:val="24"/>
          <w:szCs w:val="21"/>
          <w:highlight w:val="none"/>
        </w:rPr>
        <w:t>）或其授权代表签署并加盖公章。响应分项报价表上的价格应按磋商文件第六章的格式填写。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12.5   供应商每次对每种服务只允许有一个报价，采购人不接受有任何选择的报价。</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sz w:val="24"/>
          <w:highlight w:val="none"/>
        </w:rPr>
        <w:t>12.6   供应商根据本须知12.2条规定将响应报价分成几部分并按</w:t>
      </w:r>
      <w:r>
        <w:rPr>
          <w:rFonts w:hint="default" w:ascii="Times New Roman" w:hAnsi="Times New Roman" w:eastAsia="仿宋" w:cs="Times New Roman"/>
          <w:kern w:val="24"/>
          <w:sz w:val="24"/>
          <w:szCs w:val="21"/>
          <w:highlight w:val="none"/>
        </w:rPr>
        <w:t>磋商文件第六章提供的格式填写“响应分项报价表”，只是为了方便采购人对响应文件进行比较，并不限制采购人以其它方式签订合同的权力。</w:t>
      </w:r>
    </w:p>
    <w:p>
      <w:pPr>
        <w:rPr>
          <w:rFonts w:hint="default" w:ascii="Times New Roman" w:hAnsi="Times New Roman" w:eastAsia="仿宋" w:cs="Times New Roman"/>
          <w:b/>
          <w:sz w:val="24"/>
          <w:szCs w:val="21"/>
          <w:highlight w:val="none"/>
        </w:rPr>
      </w:pPr>
      <w:bookmarkStart w:id="213" w:name="_Toc249525175"/>
      <w:bookmarkStart w:id="214" w:name="_Toc389620180"/>
      <w:bookmarkStart w:id="215" w:name="_Toc249515294"/>
      <w:bookmarkStart w:id="216" w:name="_Toc184043028"/>
      <w:bookmarkStart w:id="217" w:name="_Toc249515406"/>
      <w:bookmarkStart w:id="218" w:name="_Toc385992341"/>
      <w:bookmarkStart w:id="219" w:name="_Toc70687155"/>
      <w:bookmarkStart w:id="220" w:name="_Toc20687"/>
      <w:r>
        <w:rPr>
          <w:rFonts w:hint="default" w:ascii="Times New Roman" w:hAnsi="Times New Roman" w:eastAsia="仿宋" w:cs="Times New Roman"/>
          <w:b/>
          <w:sz w:val="24"/>
          <w:szCs w:val="21"/>
          <w:highlight w:val="none"/>
        </w:rPr>
        <w:t>13.    报价货币</w:t>
      </w:r>
      <w:bookmarkEnd w:id="213"/>
      <w:bookmarkEnd w:id="214"/>
      <w:bookmarkEnd w:id="215"/>
      <w:bookmarkEnd w:id="216"/>
      <w:bookmarkEnd w:id="217"/>
      <w:bookmarkEnd w:id="218"/>
      <w:bookmarkEnd w:id="219"/>
      <w:bookmarkEnd w:id="220"/>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13.3   磋商响应函、响应报价一览表、响应分项报价表、最后报价表等所有报价一律用人民币填报。采购人不接受任何非人民币币种的报价。</w:t>
      </w:r>
      <w:bookmarkStart w:id="221" w:name="_Toc389620181"/>
      <w:bookmarkStart w:id="222" w:name="_Toc385992342"/>
    </w:p>
    <w:bookmarkEnd w:id="221"/>
    <w:bookmarkEnd w:id="222"/>
    <w:p>
      <w:pPr>
        <w:rPr>
          <w:rFonts w:hint="default" w:ascii="Times New Roman" w:hAnsi="Times New Roman" w:eastAsia="仿宋" w:cs="Times New Roman"/>
          <w:b/>
          <w:kern w:val="24"/>
          <w:sz w:val="24"/>
          <w:szCs w:val="21"/>
          <w:highlight w:val="none"/>
        </w:rPr>
      </w:pPr>
      <w:bookmarkStart w:id="223" w:name="止观"/>
      <w:bookmarkEnd w:id="223"/>
      <w:r>
        <w:rPr>
          <w:rFonts w:hint="default" w:ascii="Times New Roman" w:hAnsi="Times New Roman" w:eastAsia="仿宋" w:cs="Times New Roman"/>
          <w:b/>
          <w:sz w:val="24"/>
          <w:szCs w:val="21"/>
          <w:highlight w:val="none"/>
        </w:rPr>
        <w:t>14.    磋商保证金</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sz w:val="24"/>
          <w:szCs w:val="21"/>
          <w:highlight w:val="none"/>
        </w:rPr>
        <w:t>14.1   本项目须在磋商前向采购代理机构提供</w:t>
      </w:r>
      <w:r>
        <w:rPr>
          <w:rFonts w:hint="default" w:ascii="Times New Roman" w:hAnsi="Times New Roman" w:eastAsia="仿宋" w:cs="Times New Roman"/>
          <w:b/>
          <w:sz w:val="24"/>
          <w:szCs w:val="21"/>
          <w:highlight w:val="none"/>
        </w:rPr>
        <w:t>供应商须知前附表</w:t>
      </w:r>
      <w:r>
        <w:rPr>
          <w:rFonts w:hint="default" w:ascii="Times New Roman" w:hAnsi="Times New Roman" w:eastAsia="仿宋" w:cs="Times New Roman"/>
          <w:sz w:val="24"/>
          <w:szCs w:val="21"/>
          <w:highlight w:val="none"/>
        </w:rPr>
        <w:t>规定金额的保证金，并作为其响应文件的一部分。</w:t>
      </w:r>
    </w:p>
    <w:p>
      <w:pPr>
        <w:tabs>
          <w:tab w:val="left" w:pos="588"/>
        </w:tabs>
        <w:spacing w:line="360" w:lineRule="auto"/>
        <w:ind w:left="840" w:hanging="840" w:hangingChars="35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14.2   保证金的货币为人民币，并采用下列任何一种非现金形式向采购代理机构递交：</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电汇；</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银行转账；</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14.5   未成交供应商的保证金, 采购代理机构将在成交通知书发出后5个工作日内退还。</w:t>
      </w:r>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14.6   成交供应商的保证金在按本须知第32条规定签订合同后5个工作日退还。</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供应商在提交响应文件截止时间后撤销响应文件的；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供应商在响应文件中提供虚假材料的；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除因不可抗力外，成交供应商在规定期限内未能根据本须知第26条规定签订合同； </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供应商与采购人、其他供应商或者采购代理机构恶意串通的；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成交供应商未按本须知第29条规定缴纳服务费。</w:t>
      </w:r>
    </w:p>
    <w:p>
      <w:pPr>
        <w:rPr>
          <w:rFonts w:hint="default" w:ascii="Times New Roman" w:hAnsi="Times New Roman" w:eastAsia="仿宋" w:cs="Times New Roman"/>
          <w:b/>
          <w:sz w:val="24"/>
          <w:szCs w:val="21"/>
          <w:highlight w:val="none"/>
        </w:rPr>
      </w:pPr>
      <w:bookmarkStart w:id="224" w:name="_Toc249525177"/>
      <w:bookmarkStart w:id="225" w:name="_Toc249515408"/>
      <w:bookmarkStart w:id="226" w:name="_Toc249515296"/>
      <w:bookmarkStart w:id="227" w:name="_Toc7949"/>
      <w:r>
        <w:rPr>
          <w:rFonts w:hint="default" w:ascii="Times New Roman" w:hAnsi="Times New Roman" w:eastAsia="仿宋" w:cs="Times New Roman"/>
          <w:b/>
          <w:sz w:val="24"/>
          <w:szCs w:val="21"/>
          <w:highlight w:val="none"/>
        </w:rPr>
        <w:t>15.    磋商有效期</w:t>
      </w:r>
      <w:bookmarkEnd w:id="224"/>
      <w:bookmarkEnd w:id="225"/>
      <w:bookmarkEnd w:id="226"/>
      <w:bookmarkEnd w:id="227"/>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15.1   磋商有效期见</w:t>
      </w:r>
      <w:r>
        <w:rPr>
          <w:rFonts w:hint="default" w:ascii="Times New Roman" w:hAnsi="Times New Roman" w:eastAsia="仿宋" w:cs="Times New Roman"/>
          <w:b/>
          <w:sz w:val="24"/>
          <w:highlight w:val="none"/>
        </w:rPr>
        <w:t>本须知前附表</w:t>
      </w:r>
      <w:r>
        <w:rPr>
          <w:rFonts w:hint="default" w:ascii="Times New Roman" w:hAnsi="Times New Roman" w:eastAsia="仿宋" w:cs="Times New Roman"/>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15.2   特殊情况下，采购人可于原磋商有效期满之前要求供应商同意延长有效期，要求与答复均应为书面形式。供应商可以拒绝上述要求，其</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保证金不被没收。对于同意该要求的供应商，既不要求也不允许其修改响应文件，但将要求其相应延长磋商保证金的有效期，有关退还和保证金不予退还的规定在磋商有效期的延长期内继续有效。</w:t>
      </w:r>
    </w:p>
    <w:p>
      <w:pPr>
        <w:rPr>
          <w:rFonts w:hint="default" w:ascii="Times New Roman" w:hAnsi="Times New Roman" w:eastAsia="仿宋" w:cs="Times New Roman"/>
          <w:b/>
          <w:sz w:val="24"/>
          <w:szCs w:val="21"/>
          <w:highlight w:val="none"/>
        </w:rPr>
      </w:pPr>
      <w:bookmarkStart w:id="228" w:name="_Toc249525178"/>
      <w:bookmarkStart w:id="229" w:name="_Toc249515409"/>
      <w:bookmarkStart w:id="230" w:name="_Toc389620185"/>
      <w:bookmarkStart w:id="231" w:name="_Toc184043033"/>
      <w:bookmarkStart w:id="232" w:name="_Toc70687160"/>
      <w:bookmarkStart w:id="233" w:name="_Toc249515297"/>
      <w:bookmarkStart w:id="234" w:name="_Toc385992346"/>
      <w:bookmarkStart w:id="235" w:name="_Toc16612"/>
      <w:r>
        <w:rPr>
          <w:rFonts w:hint="default" w:ascii="Times New Roman" w:hAnsi="Times New Roman" w:eastAsia="仿宋" w:cs="Times New Roman"/>
          <w:b/>
          <w:sz w:val="24"/>
          <w:szCs w:val="21"/>
          <w:highlight w:val="none"/>
        </w:rPr>
        <w:t>16.    响应文件的制作和签署</w:t>
      </w:r>
      <w:bookmarkEnd w:id="228"/>
      <w:bookmarkEnd w:id="229"/>
      <w:bookmarkEnd w:id="230"/>
      <w:bookmarkEnd w:id="231"/>
      <w:bookmarkEnd w:id="232"/>
      <w:bookmarkEnd w:id="233"/>
      <w:bookmarkEnd w:id="234"/>
      <w:bookmarkEnd w:id="235"/>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16.1   供应商应准备一份响应文件正本和“</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16.3   响应文件的正本，一律用不褪色的墨水书写或打印，签字页加盖供应商单位公章，并由供应商的法定代表人（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）或其授权的代理人签署。响应文件的副本可采用正本的复印件。</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16.4   任何行间插字、涂改或增删，必须由响应文件签字人将姓或首字母在旁边签字才有效。</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16.5   采购人不接受以电报、电话、传真、电子邮件形式递交的响应文件。</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default" w:ascii="Times New Roman" w:hAnsi="Times New Roman" w:eastAsia="仿宋" w:cs="Times New Roman"/>
          <w:sz w:val="24"/>
          <w:highlight w:val="none"/>
        </w:rPr>
      </w:pPr>
      <w:bookmarkStart w:id="236" w:name="_Hlt491765640"/>
      <w:bookmarkEnd w:id="236"/>
      <w:bookmarkStart w:id="237" w:name="_Toc249515410"/>
      <w:bookmarkStart w:id="238" w:name="_Toc230099801"/>
      <w:bookmarkStart w:id="239" w:name="_Toc230013636"/>
      <w:bookmarkStart w:id="240" w:name="_Toc230583545"/>
      <w:bookmarkStart w:id="241" w:name="_Toc249515298"/>
      <w:bookmarkStart w:id="242" w:name="_Toc500747066"/>
      <w:bookmarkStart w:id="243" w:name="_Toc177995477"/>
      <w:bookmarkStart w:id="244" w:name="_Toc499711888"/>
      <w:bookmarkStart w:id="245" w:name="_Toc499711047"/>
      <w:bookmarkStart w:id="246" w:name="_Toc53722844"/>
      <w:bookmarkStart w:id="247" w:name="_Toc389620186"/>
      <w:bookmarkStart w:id="248" w:name="_Toc177189239"/>
      <w:bookmarkStart w:id="249" w:name="_Toc385992347"/>
      <w:bookmarkStart w:id="250" w:name="_Toc184043034"/>
      <w:bookmarkStart w:id="251" w:name="_Toc70687161"/>
      <w:bookmarkStart w:id="252" w:name="_Toc176882546"/>
      <w:bookmarkStart w:id="253" w:name="_Toc496324583"/>
      <w:bookmarkStart w:id="254" w:name="_Toc503063426"/>
      <w:bookmarkStart w:id="255" w:name="_Toc177817338"/>
      <w:bookmarkStart w:id="256" w:name="_Toc232395216"/>
      <w:bookmarkStart w:id="257" w:name="_Toc232176276"/>
      <w:bookmarkStart w:id="258" w:name="_Toc256342147"/>
      <w:bookmarkStart w:id="259" w:name="_Toc500746970"/>
      <w:bookmarkStart w:id="260" w:name="_Toc249525179"/>
      <w:bookmarkStart w:id="261" w:name="_Toc500747193"/>
      <w:bookmarkStart w:id="262" w:name="_Toc492955419"/>
      <w:r>
        <w:rPr>
          <w:rFonts w:hint="default" w:ascii="Times New Roman" w:hAnsi="Times New Roman" w:eastAsia="仿宋" w:cs="Times New Roman"/>
          <w:sz w:val="24"/>
          <w:highlight w:val="none"/>
        </w:rPr>
        <w:t>16.7   响应文件应按照“资格证明文件”和“商务及技术文件”分成两部分，并用不可拆装的方式分别装订成册。</w:t>
      </w:r>
    </w:p>
    <w:p>
      <w:pPr>
        <w:pStyle w:val="79"/>
        <w:spacing w:before="24" w:after="24"/>
        <w:jc w:val="center"/>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四、响应文件的密封和递交</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263" w:name="_Toc184043035"/>
      <w:bookmarkStart w:id="264" w:name="_Toc389620187"/>
      <w:bookmarkStart w:id="265" w:name="_Toc385992348"/>
      <w:bookmarkStart w:id="266" w:name="_Toc249515411"/>
      <w:bookmarkStart w:id="267" w:name="_Toc70687162"/>
      <w:bookmarkStart w:id="268" w:name="_Toc4042"/>
      <w:bookmarkStart w:id="269" w:name="_Toc249515299"/>
      <w:bookmarkStart w:id="270" w:name="_Toc249525180"/>
      <w:r>
        <w:rPr>
          <w:rFonts w:hint="default" w:ascii="Times New Roman" w:hAnsi="Times New Roman" w:eastAsia="仿宋" w:cs="Times New Roman"/>
          <w:b/>
          <w:sz w:val="24"/>
          <w:szCs w:val="21"/>
          <w:highlight w:val="none"/>
        </w:rPr>
        <w:t>17.    响应文件的密封和标记</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bookmarkEnd w:id="263"/>
    <w:bookmarkEnd w:id="264"/>
    <w:bookmarkEnd w:id="265"/>
    <w:bookmarkEnd w:id="266"/>
    <w:bookmarkEnd w:id="267"/>
    <w:bookmarkEnd w:id="268"/>
    <w:bookmarkEnd w:id="269"/>
    <w:bookmarkEnd w:id="270"/>
    <w:p>
      <w:pPr>
        <w:tabs>
          <w:tab w:val="left" w:pos="588"/>
        </w:tabs>
        <w:autoSpaceDE w:val="0"/>
        <w:autoSpaceDN w:val="0"/>
        <w:adjustRightInd w:val="0"/>
        <w:spacing w:line="360" w:lineRule="auto"/>
        <w:ind w:left="840" w:hanging="840" w:hangingChars="350"/>
        <w:rPr>
          <w:rFonts w:hint="default" w:ascii="Times New Roman" w:hAnsi="Times New Roman" w:eastAsia="仿宋" w:cs="Times New Roman"/>
          <w:sz w:val="24"/>
          <w:szCs w:val="21"/>
          <w:highlight w:val="none"/>
        </w:rPr>
      </w:pPr>
      <w:bookmarkStart w:id="271" w:name="_Toc385992349"/>
      <w:bookmarkStart w:id="272" w:name="_Toc389620188"/>
      <w:bookmarkStart w:id="273" w:name="_Toc184043036"/>
      <w:bookmarkStart w:id="274" w:name="_Toc70687163"/>
      <w:r>
        <w:rPr>
          <w:rFonts w:hint="default" w:ascii="Times New Roman" w:hAnsi="Times New Roman" w:eastAsia="仿宋" w:cs="Times New Roman"/>
          <w:kern w:val="0"/>
          <w:sz w:val="24"/>
          <w:szCs w:val="21"/>
          <w:highlight w:val="none"/>
        </w:rPr>
        <w:t>17.2   密封袋（箱）上标识的内容见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szCs w:val="21"/>
          <w:highlight w:val="none"/>
        </w:rPr>
        <w:t>响应文件</w:t>
      </w:r>
      <w:r>
        <w:rPr>
          <w:rFonts w:hint="default" w:ascii="Times New Roman" w:hAnsi="Times New Roman" w:eastAsia="仿宋" w:cs="Times New Roman"/>
          <w:kern w:val="0"/>
          <w:sz w:val="24"/>
          <w:szCs w:val="21"/>
          <w:highlight w:val="none"/>
        </w:rPr>
        <w:t>如果</w:t>
      </w:r>
      <w:r>
        <w:rPr>
          <w:rFonts w:hint="default" w:ascii="Times New Roman" w:hAnsi="Times New Roman" w:eastAsia="仿宋" w:cs="Times New Roman"/>
          <w:sz w:val="24"/>
          <w:szCs w:val="21"/>
          <w:highlight w:val="none"/>
        </w:rPr>
        <w:t>未按上述规定密封和标记，采购代理机构应当拒绝接收。</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bookmarkEnd w:id="271"/>
    <w:bookmarkEnd w:id="272"/>
    <w:p>
      <w:pPr>
        <w:rPr>
          <w:rFonts w:hint="default" w:ascii="Times New Roman" w:hAnsi="Times New Roman" w:eastAsia="仿宋" w:cs="Times New Roman"/>
          <w:b/>
          <w:sz w:val="24"/>
          <w:szCs w:val="21"/>
          <w:highlight w:val="none"/>
        </w:rPr>
      </w:pPr>
      <w:bookmarkStart w:id="275" w:name="_Toc249515412"/>
      <w:bookmarkStart w:id="276" w:name="_Toc249525181"/>
      <w:bookmarkStart w:id="277" w:name="_Toc31171"/>
      <w:bookmarkStart w:id="278" w:name="_Toc249515300"/>
      <w:r>
        <w:rPr>
          <w:rFonts w:hint="default" w:ascii="Times New Roman" w:hAnsi="Times New Roman" w:eastAsia="仿宋" w:cs="Times New Roman"/>
          <w:b/>
          <w:sz w:val="24"/>
          <w:szCs w:val="21"/>
          <w:highlight w:val="none"/>
        </w:rPr>
        <w:t>18.    响应文件递交截止时间</w:t>
      </w:r>
      <w:bookmarkEnd w:id="273"/>
      <w:bookmarkEnd w:id="274"/>
      <w:bookmarkEnd w:id="275"/>
      <w:bookmarkEnd w:id="276"/>
      <w:bookmarkEnd w:id="277"/>
      <w:bookmarkEnd w:id="278"/>
    </w:p>
    <w:p>
      <w:pPr>
        <w:tabs>
          <w:tab w:val="left" w:pos="588"/>
        </w:tabs>
        <w:spacing w:line="360" w:lineRule="auto"/>
        <w:rPr>
          <w:rFonts w:hint="default" w:ascii="Times New Roman" w:hAnsi="Times New Roman" w:eastAsia="仿宋" w:cs="Times New Roman"/>
          <w:sz w:val="24"/>
          <w:highlight w:val="none"/>
        </w:rPr>
      </w:pPr>
      <w:bookmarkStart w:id="279" w:name="_Toc385992350"/>
      <w:bookmarkStart w:id="280" w:name="_Toc70687164"/>
      <w:bookmarkStart w:id="281" w:name="_Toc184043037"/>
      <w:bookmarkStart w:id="282" w:name="_Toc389620189"/>
      <w:r>
        <w:rPr>
          <w:rFonts w:hint="default" w:ascii="Times New Roman" w:hAnsi="Times New Roman" w:eastAsia="仿宋" w:cs="Times New Roman"/>
          <w:sz w:val="24"/>
          <w:highlight w:val="none"/>
        </w:rPr>
        <w:t>18.1   响应文件递交截止时间和地点见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rPr>
          <w:rFonts w:hint="default" w:ascii="Times New Roman" w:hAnsi="Times New Roman" w:eastAsia="仿宋" w:cs="Times New Roman"/>
          <w:b/>
          <w:sz w:val="24"/>
          <w:szCs w:val="21"/>
          <w:highlight w:val="none"/>
        </w:rPr>
      </w:pPr>
      <w:bookmarkStart w:id="283" w:name="_Toc249525182"/>
      <w:bookmarkStart w:id="284" w:name="_Toc249515413"/>
      <w:bookmarkStart w:id="285" w:name="_Toc7175"/>
      <w:bookmarkStart w:id="286" w:name="_Toc249515301"/>
      <w:r>
        <w:rPr>
          <w:rFonts w:hint="default" w:ascii="Times New Roman" w:hAnsi="Times New Roman" w:eastAsia="仿宋" w:cs="Times New Roman"/>
          <w:b/>
          <w:sz w:val="24"/>
          <w:szCs w:val="21"/>
          <w:highlight w:val="none"/>
        </w:rPr>
        <w:t>19.    迟交的响应文件</w:t>
      </w:r>
      <w:bookmarkEnd w:id="279"/>
      <w:bookmarkEnd w:id="280"/>
      <w:bookmarkEnd w:id="281"/>
      <w:bookmarkEnd w:id="282"/>
      <w:bookmarkEnd w:id="283"/>
      <w:bookmarkEnd w:id="284"/>
      <w:bookmarkEnd w:id="285"/>
      <w:bookmarkEnd w:id="286"/>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19.1   采购人将拒绝接收第18条规定的响应文件递交截止时间后递交的任何响应文件。</w:t>
      </w:r>
    </w:p>
    <w:p>
      <w:pPr>
        <w:rPr>
          <w:rFonts w:hint="default" w:ascii="Times New Roman" w:hAnsi="Times New Roman" w:eastAsia="仿宋" w:cs="Times New Roman"/>
          <w:b/>
          <w:sz w:val="24"/>
          <w:szCs w:val="21"/>
          <w:highlight w:val="none"/>
        </w:rPr>
      </w:pPr>
      <w:bookmarkStart w:id="287" w:name="_Toc249525183"/>
      <w:bookmarkStart w:id="288" w:name="_Toc249515302"/>
      <w:bookmarkStart w:id="289" w:name="_Toc70687165"/>
      <w:bookmarkStart w:id="290" w:name="_Toc184043038"/>
      <w:bookmarkStart w:id="291" w:name="_Toc385992351"/>
      <w:bookmarkStart w:id="292" w:name="_Toc249515414"/>
      <w:bookmarkStart w:id="293" w:name="_Toc389620190"/>
      <w:bookmarkStart w:id="294" w:name="_Toc10272"/>
      <w:r>
        <w:rPr>
          <w:rFonts w:hint="default" w:ascii="Times New Roman" w:hAnsi="Times New Roman" w:eastAsia="仿宋" w:cs="Times New Roman"/>
          <w:b/>
          <w:sz w:val="24"/>
          <w:szCs w:val="21"/>
          <w:highlight w:val="none"/>
        </w:rPr>
        <w:t>20.    响应文件的修改和撤</w:t>
      </w:r>
      <w:bookmarkEnd w:id="287"/>
      <w:bookmarkEnd w:id="288"/>
      <w:bookmarkEnd w:id="289"/>
      <w:bookmarkEnd w:id="290"/>
      <w:bookmarkEnd w:id="291"/>
      <w:bookmarkEnd w:id="292"/>
      <w:bookmarkEnd w:id="293"/>
      <w:bookmarkEnd w:id="294"/>
      <w:r>
        <w:rPr>
          <w:rFonts w:hint="default" w:ascii="Times New Roman" w:hAnsi="Times New Roman" w:eastAsia="仿宋" w:cs="Times New Roman"/>
          <w:b/>
          <w:sz w:val="24"/>
          <w:szCs w:val="21"/>
          <w:highlight w:val="none"/>
        </w:rPr>
        <w:t>回</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供应商在提交响应文件后可对其响应文件进行修改或撤回，但该修改或撤回的书面通知须在响应文件递交截止时间之前送达响应文件递交地点，且该通知需其法定代表人（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）或经正式授权的供应商代表签字或盖章方为有效。</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20.2   在响应文件递交截止时间之后，供应商不得对其响应文件做任何修改。</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20.3   供应商不得在响应文件递交截止时间起至响应文件有效期期满前撤销其响应文件。</w:t>
      </w:r>
    </w:p>
    <w:p>
      <w:pPr>
        <w:pStyle w:val="79"/>
        <w:spacing w:before="24" w:after="24"/>
        <w:ind w:left="3313"/>
        <w:outlineLvl w:val="9"/>
        <w:rPr>
          <w:rFonts w:hint="default" w:ascii="Times New Roman" w:hAnsi="Times New Roman" w:eastAsia="仿宋" w:cs="Times New Roman"/>
          <w:sz w:val="30"/>
          <w:szCs w:val="30"/>
          <w:highlight w:val="none"/>
        </w:rPr>
      </w:pPr>
      <w:bookmarkStart w:id="295" w:name="_Hlt491765712"/>
      <w:bookmarkEnd w:id="295"/>
      <w:bookmarkStart w:id="296" w:name="_Hlt497729441"/>
      <w:bookmarkEnd w:id="296"/>
      <w:bookmarkStart w:id="297" w:name="_Toc249515303"/>
      <w:bookmarkStart w:id="298" w:name="_Toc256342148"/>
      <w:bookmarkStart w:id="299" w:name="_Toc249515415"/>
      <w:bookmarkStart w:id="300" w:name="_Toc249525184"/>
      <w:bookmarkStart w:id="301" w:name="_Toc70687166"/>
      <w:bookmarkStart w:id="302" w:name="_Toc499711889"/>
      <w:bookmarkStart w:id="303" w:name="_Toc492955420"/>
      <w:bookmarkStart w:id="304" w:name="_Toc499711048"/>
      <w:bookmarkStart w:id="305" w:name="_Toc496324584"/>
      <w:bookmarkStart w:id="306" w:name="_Toc500746971"/>
      <w:bookmarkStart w:id="307" w:name="_Toc389620191"/>
      <w:bookmarkStart w:id="308" w:name="_Toc500747194"/>
      <w:bookmarkStart w:id="309" w:name="_Toc177817339"/>
      <w:bookmarkStart w:id="310" w:name="_Toc176882547"/>
      <w:bookmarkStart w:id="311" w:name="_Toc177995478"/>
      <w:bookmarkStart w:id="312" w:name="_Toc500747067"/>
      <w:bookmarkStart w:id="313" w:name="_Toc503063427"/>
      <w:bookmarkStart w:id="314" w:name="_Toc184043039"/>
      <w:bookmarkStart w:id="315" w:name="_Toc385992352"/>
      <w:bookmarkStart w:id="316" w:name="_Toc53722845"/>
      <w:bookmarkStart w:id="317" w:name="_Toc177189240"/>
      <w:r>
        <w:rPr>
          <w:rFonts w:hint="default" w:ascii="Times New Roman" w:hAnsi="Times New Roman" w:eastAsia="仿宋" w:cs="Times New Roman"/>
          <w:sz w:val="30"/>
          <w:szCs w:val="30"/>
          <w:highlight w:val="none"/>
        </w:rPr>
        <w:t>五、评审与</w:t>
      </w:r>
      <w:bookmarkEnd w:id="297"/>
      <w:bookmarkEnd w:id="298"/>
      <w:bookmarkEnd w:id="299"/>
      <w:bookmarkEnd w:id="300"/>
      <w:r>
        <w:rPr>
          <w:rFonts w:hint="default" w:ascii="Times New Roman" w:hAnsi="Times New Roman" w:eastAsia="仿宋" w:cs="Times New Roman"/>
          <w:sz w:val="30"/>
          <w:szCs w:val="30"/>
          <w:highlight w:val="none"/>
        </w:rPr>
        <w:t>磋商</w:t>
      </w:r>
    </w:p>
    <w:p>
      <w:pPr>
        <w:rPr>
          <w:rFonts w:hint="default" w:ascii="Times New Roman" w:hAnsi="Times New Roman" w:eastAsia="仿宋" w:cs="Times New Roman"/>
          <w:b/>
          <w:sz w:val="24"/>
          <w:highlight w:val="none"/>
        </w:rPr>
      </w:pPr>
      <w:bookmarkStart w:id="318" w:name="_Toc249515305"/>
      <w:bookmarkStart w:id="319" w:name="_Toc16042"/>
      <w:bookmarkStart w:id="320" w:name="_Toc249515417"/>
      <w:bookmarkStart w:id="321" w:name="_Toc249525186"/>
      <w:r>
        <w:rPr>
          <w:rFonts w:hint="default" w:ascii="Times New Roman" w:hAnsi="Times New Roman" w:eastAsia="仿宋" w:cs="Times New Roman"/>
          <w:b/>
          <w:sz w:val="24"/>
          <w:szCs w:val="21"/>
          <w:highlight w:val="none"/>
        </w:rPr>
        <w:t xml:space="preserve">21.    </w:t>
      </w:r>
      <w:r>
        <w:rPr>
          <w:rFonts w:hint="default" w:ascii="Times New Roman" w:hAnsi="Times New Roman" w:eastAsia="仿宋" w:cs="Times New Roman"/>
          <w:b/>
          <w:sz w:val="24"/>
          <w:highlight w:val="none"/>
        </w:rPr>
        <w:t>磋商小组</w:t>
      </w:r>
      <w:bookmarkEnd w:id="318"/>
      <w:bookmarkEnd w:id="319"/>
      <w:bookmarkEnd w:id="320"/>
      <w:bookmarkEnd w:id="321"/>
    </w:p>
    <w:p>
      <w:pPr>
        <w:pStyle w:val="28"/>
        <w:adjustRightInd w:val="0"/>
        <w:snapToGrid w:val="0"/>
        <w:ind w:left="840" w:hanging="840" w:hangingChars="350"/>
        <w:rPr>
          <w:rFonts w:hint="default" w:ascii="Times New Roman" w:hAnsi="Times New Roman" w:eastAsia="仿宋" w:cs="Times New Roman"/>
          <w:b/>
          <w:sz w:val="24"/>
          <w:highlight w:val="none"/>
        </w:rPr>
      </w:pPr>
      <w:r>
        <w:rPr>
          <w:rFonts w:hint="default" w:ascii="Times New Roman" w:hAnsi="Times New Roman" w:eastAsia="仿宋" w:cs="Times New Roman"/>
          <w:sz w:val="24"/>
          <w:szCs w:val="24"/>
          <w:highlight w:val="none"/>
        </w:rPr>
        <w:t>21.1   在磋商开始前组建磋商小组，磋商小组由有关专家组成。专家从政府采购评审专家库相关专业中随机抽取。磋商小组组成见</w:t>
      </w:r>
      <w:r>
        <w:rPr>
          <w:rFonts w:hint="default" w:ascii="Times New Roman" w:hAnsi="Times New Roman" w:eastAsia="仿宋" w:cs="Times New Roman"/>
          <w:b/>
          <w:sz w:val="24"/>
          <w:highlight w:val="none"/>
        </w:rPr>
        <w:t>供应商须知前附表。</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21.2   磋商小组职责</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（1）确认竞争性磋商文件；</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（2）审查通过了资格审查的供应商响应文件并做出评价；</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（3）要求供应商解释或者澄清其响应文件；</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）编写评审报告；</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）告知采购人、采购代理机构在评审过程中发现的供应商的违法违规行为。</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21.3   磋商小组义务</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（1）遵纪客观、公正、审慎的原则；</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（2）根据磋商文件的规定评审程序、评审方法和评审标准独立进行评审，对个人的评审意见承担法律责任；</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（3）参与评审报告的起草；</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（4）配合采购人、采购代理机构答复供应商提出的质疑；</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（5）配合财政部门的投诉处理和监督检查工作。</w:t>
      </w:r>
    </w:p>
    <w:p>
      <w:pPr>
        <w:pStyle w:val="28"/>
        <w:adjustRightInd w:val="0"/>
        <w:snapToGrid w:val="0"/>
        <w:ind w:left="840" w:hanging="840" w:hangingChars="3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21.4   确认磋商文件：磋商小组对磋商文件进行审阅，无修改进行签字确认，有修改，修改内容经采购人确认后，磋商小组以书面形式通知所有供应商。</w:t>
      </w:r>
    </w:p>
    <w:p>
      <w:pPr>
        <w:spacing w:line="360" w:lineRule="auto"/>
        <w:rPr>
          <w:rFonts w:hint="default" w:ascii="Times New Roman" w:hAnsi="Times New Roman" w:eastAsia="仿宋" w:cs="Times New Roman"/>
          <w:b/>
          <w:sz w:val="24"/>
          <w:szCs w:val="21"/>
          <w:highlight w:val="none"/>
        </w:rPr>
      </w:pPr>
      <w:r>
        <w:rPr>
          <w:rFonts w:hint="default" w:ascii="Times New Roman" w:hAnsi="Times New Roman" w:eastAsia="仿宋" w:cs="Times New Roman"/>
          <w:b/>
          <w:sz w:val="24"/>
          <w:szCs w:val="21"/>
          <w:highlight w:val="none"/>
        </w:rPr>
        <w:t>22.    磋商小组成员有下列情形之一的，应当回避：</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22.1   参加采购活动前3年内与供应商存在劳动关系；</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22.2   参加采购活动前3年内担任供应商的董事、监事；</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22.3   参加采购活动前3年内是供应商的控股股东或者实际控制人；</w:t>
      </w:r>
    </w:p>
    <w:p>
      <w:pPr>
        <w:spacing w:line="360" w:lineRule="auto"/>
        <w:ind w:left="960" w:hanging="960" w:hangingChars="40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22.4   与供应商的法定代表人或者负责人有夫妻、直系血亲、三代以内旁系血亲或者近姻亲关系；</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22.5   与供应商有其他可能影响政府采购活动公平、公正进行的关系。</w:t>
      </w:r>
    </w:p>
    <w:p>
      <w:pPr>
        <w:spacing w:line="360" w:lineRule="auto"/>
        <w:rPr>
          <w:rFonts w:hint="default" w:ascii="Times New Roman" w:hAnsi="Times New Roman" w:eastAsia="仿宋" w:cs="Times New Roman"/>
          <w:b/>
          <w:sz w:val="24"/>
          <w:szCs w:val="21"/>
          <w:highlight w:val="none"/>
        </w:rPr>
      </w:pPr>
      <w:bookmarkStart w:id="322" w:name="_Toc83547667"/>
      <w:bookmarkStart w:id="323" w:name="_Toc249515418"/>
      <w:bookmarkStart w:id="324" w:name="_Toc20608"/>
      <w:bookmarkStart w:id="325" w:name="_Toc249525187"/>
      <w:bookmarkStart w:id="326" w:name="_Toc249515306"/>
      <w:r>
        <w:rPr>
          <w:rFonts w:hint="default" w:ascii="Times New Roman" w:hAnsi="Times New Roman" w:eastAsia="仿宋" w:cs="Times New Roman"/>
          <w:b/>
          <w:sz w:val="24"/>
          <w:szCs w:val="21"/>
          <w:highlight w:val="none"/>
        </w:rPr>
        <w:t>23.    磋商程序</w:t>
      </w:r>
    </w:p>
    <w:p>
      <w:pPr>
        <w:spacing w:line="360" w:lineRule="auto"/>
        <w:rPr>
          <w:rFonts w:hint="default" w:ascii="Times New Roman" w:hAnsi="Times New Roman" w:eastAsia="仿宋" w:cs="Times New Roman"/>
          <w:b/>
          <w:sz w:val="24"/>
          <w:szCs w:val="21"/>
          <w:highlight w:val="none"/>
        </w:rPr>
      </w:pPr>
      <w:bookmarkStart w:id="327" w:name="_Toc58504507"/>
      <w:r>
        <w:rPr>
          <w:rFonts w:hint="default" w:ascii="Times New Roman" w:hAnsi="Times New Roman" w:eastAsia="仿宋" w:cs="Times New Roman"/>
          <w:b/>
          <w:sz w:val="24"/>
          <w:szCs w:val="21"/>
          <w:highlight w:val="none"/>
        </w:rPr>
        <w:t>23.1   磋商会议</w:t>
      </w:r>
      <w:bookmarkEnd w:id="327"/>
    </w:p>
    <w:p>
      <w:pPr>
        <w:pStyle w:val="2"/>
        <w:ind w:left="840" w:leftChars="400"/>
        <w:rPr>
          <w:rFonts w:hint="default" w:ascii="Times New Roman" w:hAnsi="Times New Roman" w:eastAsia="仿宋" w:cs="Times New Roman"/>
          <w:sz w:val="24"/>
          <w:szCs w:val="32"/>
          <w:highlight w:val="none"/>
        </w:rPr>
      </w:pPr>
      <w:bookmarkStart w:id="328" w:name="_Toc58504508"/>
      <w:r>
        <w:rPr>
          <w:rFonts w:hint="default" w:ascii="Times New Roman" w:hAnsi="Times New Roman" w:eastAsia="仿宋" w:cs="Times New Roman"/>
          <w:sz w:val="24"/>
          <w:szCs w:val="32"/>
          <w:highlight w:val="none"/>
        </w:rPr>
        <w:t>（1）在磋商文件规定的时间和地点，由采购代理机构组织磋商工作，供应商须委派代表参加，签名以证明其出席。</w:t>
      </w:r>
      <w:bookmarkEnd w:id="328"/>
    </w:p>
    <w:p>
      <w:pPr>
        <w:pStyle w:val="2"/>
        <w:ind w:left="840" w:leftChars="400"/>
        <w:rPr>
          <w:rFonts w:hint="default" w:ascii="Times New Roman" w:hAnsi="Times New Roman" w:eastAsia="仿宋" w:cs="Times New Roman"/>
          <w:sz w:val="24"/>
          <w:szCs w:val="32"/>
          <w:highlight w:val="none"/>
        </w:rPr>
      </w:pPr>
      <w:bookmarkStart w:id="329" w:name="_Toc58504509"/>
      <w:r>
        <w:rPr>
          <w:rFonts w:hint="default" w:ascii="Times New Roman" w:hAnsi="Times New Roman" w:eastAsia="仿宋" w:cs="Times New Roman"/>
          <w:sz w:val="24"/>
          <w:szCs w:val="32"/>
          <w:highlight w:val="none"/>
        </w:rPr>
        <w:t>（2）各供应商或其推荐的代表与采购监标人共同检查响应文件的密封情况，经检查无误后，签字确认。</w:t>
      </w:r>
      <w:bookmarkEnd w:id="329"/>
    </w:p>
    <w:p>
      <w:pPr>
        <w:pStyle w:val="2"/>
        <w:ind w:left="840" w:leftChars="400"/>
        <w:rPr>
          <w:rFonts w:hint="default" w:ascii="Times New Roman" w:hAnsi="Times New Roman" w:eastAsia="仿宋" w:cs="Times New Roman"/>
          <w:sz w:val="24"/>
          <w:szCs w:val="32"/>
          <w:highlight w:val="none"/>
        </w:rPr>
      </w:pPr>
      <w:bookmarkStart w:id="330" w:name="_Toc58504510"/>
      <w:r>
        <w:rPr>
          <w:rFonts w:hint="default" w:ascii="Times New Roman" w:hAnsi="Times New Roman" w:eastAsia="仿宋" w:cs="Times New Roman"/>
          <w:sz w:val="24"/>
          <w:szCs w:val="32"/>
          <w:highlight w:val="none"/>
        </w:rPr>
        <w:t>（3）采购代理机构工作人员按照顺序，将各供应商首次响应文件的份数等内容公布，无异议后，由供应商法定代表人（或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szCs w:val="32"/>
          <w:highlight w:val="none"/>
        </w:rPr>
        <w:t>）或其授权代表人和监标人签字或盖章确认。</w:t>
      </w:r>
      <w:bookmarkEnd w:id="330"/>
    </w:p>
    <w:p>
      <w:pPr>
        <w:rPr>
          <w:rFonts w:hint="default" w:ascii="Times New Roman" w:hAnsi="Times New Roman" w:eastAsia="仿宋" w:cs="Times New Roman"/>
          <w:b/>
          <w:sz w:val="24"/>
          <w:szCs w:val="21"/>
          <w:highlight w:val="none"/>
        </w:rPr>
      </w:pPr>
      <w:bookmarkStart w:id="331" w:name="_Toc58504511"/>
      <w:r>
        <w:rPr>
          <w:rFonts w:hint="default" w:ascii="Times New Roman" w:hAnsi="Times New Roman" w:eastAsia="仿宋" w:cs="Times New Roman"/>
          <w:b/>
          <w:sz w:val="24"/>
          <w:szCs w:val="21"/>
          <w:highlight w:val="none"/>
        </w:rPr>
        <w:t>23.2   响应文件</w:t>
      </w:r>
      <w:bookmarkEnd w:id="322"/>
      <w:bookmarkEnd w:id="323"/>
      <w:bookmarkEnd w:id="324"/>
      <w:bookmarkEnd w:id="325"/>
      <w:bookmarkEnd w:id="326"/>
      <w:r>
        <w:rPr>
          <w:rFonts w:hint="default" w:ascii="Times New Roman" w:hAnsi="Times New Roman" w:eastAsia="仿宋" w:cs="Times New Roman"/>
          <w:b/>
          <w:sz w:val="24"/>
          <w:szCs w:val="21"/>
          <w:highlight w:val="none"/>
        </w:rPr>
        <w:t>评审</w:t>
      </w:r>
      <w:bookmarkEnd w:id="331"/>
    </w:p>
    <w:p>
      <w:pPr>
        <w:tabs>
          <w:tab w:val="left" w:pos="360"/>
          <w:tab w:val="left" w:pos="588"/>
        </w:tabs>
        <w:spacing w:line="360" w:lineRule="auto"/>
        <w:ind w:left="843" w:hanging="843" w:hangingChars="350"/>
        <w:rPr>
          <w:rFonts w:hint="default" w:ascii="Times New Roman" w:hAnsi="Times New Roman" w:eastAsia="仿宋" w:cs="Times New Roman"/>
          <w:sz w:val="24"/>
          <w:highlight w:val="none"/>
        </w:rPr>
      </w:pPr>
      <w:bookmarkStart w:id="332" w:name="_Toc83547671"/>
      <w:r>
        <w:rPr>
          <w:rFonts w:hint="default" w:ascii="Times New Roman" w:hAnsi="Times New Roman" w:eastAsia="仿宋" w:cs="Times New Roman"/>
          <w:b/>
          <w:sz w:val="24"/>
          <w:highlight w:val="none"/>
        </w:rPr>
        <w:t>23.2.1 响应文件的资格性审查</w:t>
      </w:r>
      <w:r>
        <w:rPr>
          <w:rFonts w:hint="default" w:ascii="Times New Roman" w:hAnsi="Times New Roman" w:eastAsia="仿宋" w:cs="Times New Roman"/>
          <w:sz w:val="24"/>
          <w:highlight w:val="none"/>
        </w:rPr>
        <w:t>。依据《政府采购法》第二十三条和磋商文件的规定，</w:t>
      </w:r>
      <w:r>
        <w:rPr>
          <w:rFonts w:hint="default" w:ascii="Times New Roman" w:hAnsi="Times New Roman" w:eastAsia="仿宋" w:cs="Times New Roman"/>
          <w:b/>
          <w:sz w:val="24"/>
          <w:highlight w:val="none"/>
        </w:rPr>
        <w:t>采购人或采购代理机构负责</w:t>
      </w:r>
      <w:r>
        <w:rPr>
          <w:rFonts w:hint="default" w:ascii="Times New Roman" w:hAnsi="Times New Roman" w:eastAsia="仿宋" w:cs="Times New Roman"/>
          <w:sz w:val="24"/>
          <w:highlight w:val="none"/>
        </w:rPr>
        <w:t>对响应文件中的资格证明文件、信用查询记录等进行审查，以确认供应商具备相应资格。资格性审查出现下列情况者（但不限于），按无效文件处理：</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sz w:val="24"/>
          <w:highlight w:val="none"/>
        </w:rPr>
        <w:t>1）供应商不符合《中华人民共和国政府采购法》第二十二条的规定和特定资格条件要求的。</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（2）供应商没有经过正常渠道购买或免费领取磋商文件或供应商的名称与登记领取磋商文件单位的名称不符。</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（3）磋商响应文件中未提交法定代表人授权书</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直接参加磋商未按要求提交其有效身份证）或授权书的合法性或有效性不符合磋商文件规定。授权代表本单位证明的有效性或符合性不符合要求的。</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（4）信用查询中列入失信被执行人、</w:t>
      </w:r>
      <w:r>
        <w:rPr>
          <w:rFonts w:hint="default" w:ascii="Times New Roman" w:hAnsi="Times New Roman" w:eastAsia="仿宋" w:cs="Times New Roman"/>
          <w:kern w:val="0"/>
          <w:sz w:val="24"/>
          <w:highlight w:val="none"/>
        </w:rPr>
        <w:t>重大税收违法失信主体</w:t>
      </w:r>
      <w:r>
        <w:rPr>
          <w:rFonts w:hint="default" w:ascii="Times New Roman" w:hAnsi="Times New Roman" w:eastAsia="仿宋" w:cs="Times New Roman"/>
          <w:sz w:val="24"/>
          <w:highlight w:val="none"/>
        </w:rPr>
        <w:t>、政府采购严重违法失信行为记录名单及其他不符合《中华人民共和国政府采购法》第二十二条规定条件的供应商。</w:t>
      </w:r>
    </w:p>
    <w:p>
      <w:pPr>
        <w:pStyle w:val="2"/>
        <w:ind w:left="840" w:leftChars="400"/>
        <w:rPr>
          <w:rFonts w:ascii="Times New Roman" w:hAnsi="Times New Roman" w:eastAsia="仿宋"/>
          <w:sz w:val="24"/>
          <w:highlight w:val="none"/>
        </w:rPr>
      </w:pPr>
      <w:r>
        <w:rPr>
          <w:rFonts w:hint="default" w:ascii="Times New Roman" w:hAnsi="Times New Roman" w:eastAsia="仿宋" w:cs="Times New Roman"/>
          <w:sz w:val="24"/>
          <w:highlight w:val="none"/>
        </w:rPr>
        <w:t>（5）</w:t>
      </w:r>
      <w:r>
        <w:rPr>
          <w:rFonts w:ascii="Times New Roman" w:hAnsi="Times New Roman" w:eastAsia="仿宋"/>
          <w:sz w:val="24"/>
          <w:highlight w:val="none"/>
        </w:rPr>
        <w:t>采购人或采购代理机构通过“信用中国”网站(www.creditchina.gov.cn)、</w:t>
      </w:r>
      <w:r>
        <w:rPr>
          <w:rFonts w:hint="eastAsia" w:ascii="Times New Roman" w:hAnsi="Times New Roman" w:eastAsia="仿宋"/>
          <w:sz w:val="24"/>
          <w:highlight w:val="none"/>
          <w:lang w:val="en-US" w:eastAsia="zh-CN"/>
        </w:rPr>
        <w:t>中国执行信息公开网（</w:t>
      </w:r>
      <w:r>
        <w:rPr>
          <w:rFonts w:hint="eastAsia" w:ascii="Times New Roman" w:hAnsi="Times New Roman" w:eastAsia="仿宋" w:cs="Times New Roman"/>
          <w:color w:val="000000" w:themeColor="text1"/>
          <w:kern w:val="0"/>
          <w:sz w:val="24"/>
          <w:highlight w:val="none"/>
          <w14:textFill>
            <w14:solidFill>
              <w14:schemeClr w14:val="tx1"/>
            </w14:solidFill>
          </w14:textFill>
        </w:rPr>
        <w:t>http://zxgk.court.gov.cn/</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和</w:t>
      </w:r>
      <w:r>
        <w:rPr>
          <w:rFonts w:ascii="Times New Roman" w:hAnsi="Times New Roman" w:eastAsia="仿宋"/>
          <w:sz w:val="24"/>
          <w:highlight w:val="none"/>
        </w:rPr>
        <w:t>中国政府采购网(www.ccgp.gov.cn) 等查询相关主体信用记录，并将查询网页打印、存档备查。</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（6）查询时间为磋商文件发售期至评审截止时间前，此段时间段外，网站信息发生的任何变更均不作为资格审查依据。</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供应商不良信用记录以采购人或采购代理机构查询结果为准。供应商自行提供的与网站信息不一致的其他证明材料亦不作为资格审查依据。</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hint="default" w:ascii="Times New Roman" w:hAnsi="Times New Roman" w:eastAsia="仿宋" w:cs="Times New Roman"/>
          <w:sz w:val="24"/>
          <w:highlight w:val="none"/>
        </w:rPr>
      </w:pPr>
      <w:r>
        <w:rPr>
          <w:rFonts w:hint="default" w:ascii="Times New Roman" w:hAnsi="Times New Roman" w:eastAsia="仿宋" w:cs="Times New Roman"/>
          <w:b/>
          <w:sz w:val="24"/>
          <w:highlight w:val="none"/>
        </w:rPr>
        <w:t>23.2.2 磋商响应文件有效性、完整性和响应程度审查：磋商小组</w:t>
      </w:r>
      <w:r>
        <w:rPr>
          <w:rFonts w:hint="default" w:ascii="Times New Roman" w:hAnsi="Times New Roman" w:eastAsia="仿宋" w:cs="Times New Roman"/>
          <w:sz w:val="24"/>
          <w:highlight w:val="none"/>
        </w:rPr>
        <w:t>负责对通过资格审查的响应文件的有效性、完整性和响应性进行审查，以确定是否满足磋商文件要求，出现下列情况者（但不限于），按无效文件处理。</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（1）供应商未按磋商文件要求加盖单位公章。</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（2）磋商响应文件未按磋商文件要求进行法定代表人（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）或其授权代表签字或盖章。</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（3）无有效期或有效期达不到磋商文件的要求。</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（4）供应商首次磋商报价出现选择性报价。</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（5）首次磋商报价超出采购预算。</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（6）响应文件中对合同草案条款附加了采购人难以接受的条件。</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（7）磋商内容出现漏项或数量与要求不符，出现重大负偏差。</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（8）响应文件中技术指标达不到采购要求，降低了产品档次或影响产品性能、功能。</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（9）响应报价与市场价偏离较大，低于成本，形成不正当竞争。</w:t>
      </w:r>
    </w:p>
    <w:p>
      <w:pPr>
        <w:pStyle w:val="2"/>
        <w:ind w:left="840" w:leftChars="400"/>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（10）供应商提供虚假证明，开具虚假资质，出现虚假应答或故意隐瞒行为。</w:t>
      </w:r>
    </w:p>
    <w:p>
      <w:pPr>
        <w:pStyle w:val="2"/>
        <w:ind w:left="0" w:leftChars="0"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（11）保证金未提交或未提交至指定账户、或提交保证金不符合磋商文件要求的。 </w:t>
      </w:r>
    </w:p>
    <w:p>
      <w:pPr>
        <w:ind w:firstLine="0" w:firstLineChars="0"/>
        <w:rPr>
          <w:rFonts w:hint="default" w:ascii="Times New Roman" w:hAnsi="Times New Roman" w:eastAsia="仿宋" w:cs="Times New Roman"/>
          <w:b/>
          <w:sz w:val="24"/>
          <w:szCs w:val="21"/>
          <w:highlight w:val="none"/>
        </w:rPr>
      </w:pPr>
      <w:bookmarkStart w:id="333" w:name="_Toc58504512"/>
      <w:r>
        <w:rPr>
          <w:rFonts w:hint="default" w:ascii="Times New Roman" w:hAnsi="Times New Roman" w:eastAsia="仿宋" w:cs="Times New Roman"/>
          <w:b/>
          <w:sz w:val="24"/>
          <w:szCs w:val="21"/>
          <w:highlight w:val="none"/>
        </w:rPr>
        <w:t>23.3   磋商</w:t>
      </w:r>
      <w:bookmarkEnd w:id="333"/>
    </w:p>
    <w:p>
      <w:pPr>
        <w:pStyle w:val="2"/>
        <w:ind w:left="840" w:hanging="840" w:hangingChars="350"/>
        <w:rPr>
          <w:rFonts w:hint="default" w:ascii="Times New Roman" w:hAnsi="Times New Roman" w:eastAsia="仿宋" w:cs="Times New Roman"/>
          <w:sz w:val="24"/>
          <w:highlight w:val="none"/>
        </w:rPr>
      </w:pPr>
      <w:bookmarkStart w:id="334" w:name="_Toc58504513"/>
      <w:r>
        <w:rPr>
          <w:rFonts w:hint="default" w:ascii="Times New Roman" w:hAnsi="Times New Roman" w:eastAsia="仿宋" w:cs="Times New Roman"/>
          <w:sz w:val="24"/>
          <w:highlight w:val="none"/>
        </w:rPr>
        <w:t>23.3.1 磋商小组集中与各供应商分别进行磋商，并给所有参加磋商供应商平等的磋商机会。</w:t>
      </w:r>
      <w:bookmarkEnd w:id="334"/>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23.3.2 磋商小组在对响应文件的有效性、完整性和响应程度进行审核时，以</w:t>
      </w:r>
      <w:r>
        <w:rPr>
          <w:rFonts w:hint="default" w:ascii="Times New Roman" w:hAnsi="Times New Roman" w:eastAsia="仿宋" w:cs="Times New Roman"/>
          <w:b/>
          <w:sz w:val="24"/>
          <w:highlight w:val="none"/>
        </w:rPr>
        <w:t>书面形式</w:t>
      </w:r>
      <w:r>
        <w:rPr>
          <w:rFonts w:hint="default" w:ascii="Times New Roman" w:hAnsi="Times New Roman" w:eastAsia="仿宋" w:cs="Times New Roman"/>
          <w:sz w:val="24"/>
          <w:highlight w:val="none"/>
        </w:rPr>
        <w:t>要求供应商对响应文件中含义不明确、同类问题表述不一致、或者明显文字和计算错误的内容在约定时间内做出必要的澄清、说明或更正。供应商澄清、说明或者更正应当由法定代表人（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）或者授权代表签字或者加盖公章。澄清、说明或者更正不得超出响应范围，或者改变响应文件的实质性内容。</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23.3.4 如出现下述情形之一的，视为供应商主动退出磋商，其响应将被拒绝：</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（1）供应商未按要求确认磋商小组确定的本项目最终技术需求的；</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（2）最后报价未实质性响应磋商小组确定的本项目最终技术需求的，或附有采购人无法接受的条件的。</w:t>
      </w:r>
    </w:p>
    <w:p>
      <w:pPr>
        <w:pStyle w:val="2"/>
        <w:rPr>
          <w:rFonts w:hint="default" w:ascii="Times New Roman" w:hAnsi="Times New Roman" w:eastAsia="仿宋" w:cs="Times New Roman"/>
          <w:b/>
          <w:sz w:val="24"/>
          <w:szCs w:val="21"/>
          <w:highlight w:val="none"/>
        </w:rPr>
      </w:pPr>
      <w:r>
        <w:rPr>
          <w:rFonts w:hint="default" w:ascii="Times New Roman" w:hAnsi="Times New Roman" w:eastAsia="仿宋" w:cs="Times New Roman"/>
          <w:b/>
          <w:sz w:val="24"/>
          <w:szCs w:val="21"/>
          <w:highlight w:val="none"/>
        </w:rPr>
        <w:t>23.4   最后报价</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rPr>
          <w:rFonts w:hint="default" w:ascii="Times New Roman" w:hAnsi="Times New Roman" w:eastAsia="仿宋" w:cs="Times New Roman"/>
          <w:b/>
          <w:bCs/>
          <w:sz w:val="24"/>
          <w:szCs w:val="21"/>
          <w:highlight w:val="none"/>
        </w:rPr>
      </w:pPr>
      <w:bookmarkStart w:id="335" w:name="_Toc150480784"/>
      <w:bookmarkStart w:id="336" w:name="_Toc164229241"/>
      <w:bookmarkStart w:id="337" w:name="_Toc150774751"/>
      <w:bookmarkStart w:id="338" w:name="_Toc151193644"/>
      <w:bookmarkStart w:id="339" w:name="_Toc164608660"/>
      <w:bookmarkStart w:id="340" w:name="_Toc142311048"/>
      <w:bookmarkStart w:id="341" w:name="_Toc151193788"/>
      <w:bookmarkStart w:id="342" w:name="_Toc150509297"/>
      <w:bookmarkStart w:id="343" w:name="_Toc249515422"/>
      <w:bookmarkStart w:id="344" w:name="_Ref467307010"/>
      <w:bookmarkStart w:id="345" w:name="_Toc150774646"/>
      <w:bookmarkStart w:id="346" w:name="_Toc127151546"/>
      <w:bookmarkStart w:id="347" w:name="_Toc520356170"/>
      <w:bookmarkStart w:id="348" w:name="_Toc164608815"/>
      <w:bookmarkStart w:id="349" w:name="_Toc151193934"/>
      <w:bookmarkStart w:id="350" w:name="_Toc149720839"/>
      <w:bookmarkStart w:id="351" w:name="_Toc151193716"/>
      <w:bookmarkStart w:id="352" w:name="_Toc151193860"/>
      <w:bookmarkStart w:id="353" w:name="_Toc249515310"/>
      <w:bookmarkStart w:id="354" w:name="_Toc127161460"/>
      <w:bookmarkStart w:id="355" w:name="_Toc127151747"/>
      <w:bookmarkStart w:id="356" w:name="_Toc164229387"/>
      <w:bookmarkStart w:id="357" w:name="_Toc151190173"/>
      <w:bookmarkStart w:id="358" w:name="_Toc195842911"/>
      <w:bookmarkStart w:id="359" w:name="_Toc249525191"/>
      <w:bookmarkStart w:id="360" w:name="_Toc164351640"/>
      <w:bookmarkStart w:id="361" w:name="_Toc13753"/>
      <w:r>
        <w:rPr>
          <w:rFonts w:hint="default" w:ascii="Times New Roman" w:hAnsi="Times New Roman" w:eastAsia="仿宋" w:cs="Times New Roman"/>
          <w:b/>
          <w:bCs/>
          <w:sz w:val="24"/>
          <w:szCs w:val="21"/>
          <w:highlight w:val="none"/>
        </w:rPr>
        <w:t>24.    评审办法及</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default" w:ascii="Times New Roman" w:hAnsi="Times New Roman" w:eastAsia="仿宋" w:cs="Times New Roman"/>
          <w:b/>
          <w:bCs/>
          <w:sz w:val="24"/>
          <w:szCs w:val="21"/>
          <w:highlight w:val="none"/>
        </w:rPr>
        <w:t>落实政府采购政策，详见第三章。</w:t>
      </w:r>
    </w:p>
    <w:p>
      <w:pPr>
        <w:rPr>
          <w:rFonts w:hint="default" w:ascii="Times New Roman" w:hAnsi="Times New Roman" w:eastAsia="仿宋" w:cs="Times New Roman"/>
          <w:highlight w:val="none"/>
        </w:rPr>
      </w:pP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32"/>
    <w:p>
      <w:pPr>
        <w:pStyle w:val="79"/>
        <w:spacing w:before="24" w:after="24"/>
        <w:jc w:val="center"/>
        <w:outlineLvl w:val="9"/>
        <w:rPr>
          <w:rFonts w:hint="default" w:ascii="Times New Roman" w:hAnsi="Times New Roman" w:eastAsia="仿宋" w:cs="Times New Roman"/>
          <w:sz w:val="30"/>
          <w:szCs w:val="30"/>
          <w:highlight w:val="none"/>
        </w:rPr>
      </w:pPr>
      <w:bookmarkStart w:id="362" w:name="_Hlt491765714"/>
      <w:bookmarkEnd w:id="362"/>
      <w:bookmarkStart w:id="363" w:name="_Hlt497729446"/>
      <w:bookmarkEnd w:id="363"/>
      <w:bookmarkStart w:id="364" w:name="_Toc249515311"/>
      <w:bookmarkStart w:id="365" w:name="_Toc249525192"/>
      <w:bookmarkStart w:id="366" w:name="_Toc232395218"/>
      <w:bookmarkStart w:id="367" w:name="_Toc232176278"/>
      <w:bookmarkStart w:id="368" w:name="_Toc249515423"/>
      <w:bookmarkStart w:id="369" w:name="_Toc256342149"/>
      <w:bookmarkStart w:id="370" w:name="_Toc177995479"/>
      <w:bookmarkStart w:id="371" w:name="_Toc385992360"/>
      <w:bookmarkStart w:id="372" w:name="_Toc500746972"/>
      <w:bookmarkStart w:id="373" w:name="_Toc503063428"/>
      <w:bookmarkStart w:id="374" w:name="_Toc499711049"/>
      <w:bookmarkStart w:id="375" w:name="_Toc492955421"/>
      <w:bookmarkStart w:id="376" w:name="_Toc184043047"/>
      <w:bookmarkStart w:id="377" w:name="_Toc53722846"/>
      <w:bookmarkStart w:id="378" w:name="_Toc176882548"/>
      <w:bookmarkStart w:id="379" w:name="_Toc496324585"/>
      <w:bookmarkStart w:id="380" w:name="_Toc389620199"/>
      <w:bookmarkStart w:id="381" w:name="_Toc177817340"/>
      <w:bookmarkStart w:id="382" w:name="_Toc70687174"/>
      <w:bookmarkStart w:id="383" w:name="_Toc177189241"/>
      <w:bookmarkStart w:id="384" w:name="_Toc500747068"/>
      <w:bookmarkStart w:id="385" w:name="_Toc499711890"/>
      <w:bookmarkStart w:id="386" w:name="_Toc500747195"/>
      <w:r>
        <w:rPr>
          <w:rFonts w:hint="default" w:ascii="Times New Roman" w:hAnsi="Times New Roman" w:eastAsia="仿宋" w:cs="Times New Roman"/>
          <w:sz w:val="30"/>
          <w:szCs w:val="30"/>
          <w:highlight w:val="none"/>
        </w:rPr>
        <w:t>六、确定成交单位、授予合同</w:t>
      </w:r>
      <w:bookmarkEnd w:id="364"/>
      <w:bookmarkEnd w:id="365"/>
      <w:bookmarkEnd w:id="366"/>
      <w:bookmarkEnd w:id="367"/>
      <w:bookmarkEnd w:id="368"/>
      <w:bookmarkEnd w:id="369"/>
    </w:p>
    <w:p>
      <w:pPr>
        <w:rPr>
          <w:rFonts w:hint="default" w:ascii="Times New Roman" w:hAnsi="Times New Roman" w:eastAsia="仿宋" w:cs="Times New Roman"/>
          <w:highlight w:val="none"/>
        </w:rPr>
      </w:pP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Pr>
        <w:rPr>
          <w:rFonts w:hint="default" w:ascii="Times New Roman" w:hAnsi="Times New Roman" w:eastAsia="仿宋" w:cs="Times New Roman"/>
          <w:b/>
          <w:bCs/>
          <w:sz w:val="24"/>
          <w:szCs w:val="21"/>
          <w:highlight w:val="none"/>
        </w:rPr>
      </w:pPr>
      <w:bookmarkStart w:id="387" w:name="_Toc184043048"/>
      <w:bookmarkStart w:id="388" w:name="_Toc249515424"/>
      <w:bookmarkStart w:id="389" w:name="_Toc70687175"/>
      <w:bookmarkStart w:id="390" w:name="_Toc385992361"/>
      <w:bookmarkStart w:id="391" w:name="_Toc249525193"/>
      <w:bookmarkStart w:id="392" w:name="_Toc249515312"/>
      <w:bookmarkStart w:id="393" w:name="_Toc389620200"/>
      <w:bookmarkStart w:id="394" w:name="_Toc27151"/>
      <w:r>
        <w:rPr>
          <w:rFonts w:hint="default" w:ascii="Times New Roman" w:hAnsi="Times New Roman" w:eastAsia="仿宋" w:cs="Times New Roman"/>
          <w:b/>
          <w:bCs/>
          <w:sz w:val="24"/>
          <w:szCs w:val="21"/>
          <w:highlight w:val="none"/>
        </w:rPr>
        <w:t>25</w:t>
      </w:r>
      <w:r>
        <w:rPr>
          <w:rFonts w:hint="default" w:ascii="Times New Roman" w:hAnsi="Times New Roman" w:eastAsia="仿宋" w:cs="Times New Roman"/>
          <w:b/>
          <w:sz w:val="24"/>
          <w:szCs w:val="21"/>
          <w:highlight w:val="none"/>
        </w:rPr>
        <w:t xml:space="preserve">     </w:t>
      </w:r>
      <w:r>
        <w:rPr>
          <w:rFonts w:hint="default" w:ascii="Times New Roman" w:hAnsi="Times New Roman" w:eastAsia="仿宋" w:cs="Times New Roman"/>
          <w:b/>
          <w:bCs/>
          <w:sz w:val="24"/>
          <w:szCs w:val="21"/>
          <w:highlight w:val="none"/>
        </w:rPr>
        <w:t>确定成交</w:t>
      </w:r>
      <w:bookmarkEnd w:id="387"/>
      <w:bookmarkEnd w:id="388"/>
      <w:bookmarkEnd w:id="389"/>
      <w:bookmarkEnd w:id="390"/>
      <w:bookmarkEnd w:id="391"/>
      <w:bookmarkEnd w:id="392"/>
      <w:bookmarkEnd w:id="393"/>
      <w:bookmarkEnd w:id="394"/>
      <w:r>
        <w:rPr>
          <w:rFonts w:hint="default" w:ascii="Times New Roman" w:hAnsi="Times New Roman" w:eastAsia="仿宋" w:cs="Times New Roman"/>
          <w:b/>
          <w:bCs/>
          <w:sz w:val="24"/>
          <w:szCs w:val="21"/>
          <w:highlight w:val="none"/>
        </w:rPr>
        <w:t>单位</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25.1   采购代理机构应在评审结束后两个工作日内，将评审报告送采购人。</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25.4   采购代理机构将评审过程及成交供应商情况书面报监督机构备案。</w:t>
      </w:r>
      <w:bookmarkStart w:id="395" w:name="_Toc389620203"/>
      <w:bookmarkStart w:id="396" w:name="_Toc385992364"/>
    </w:p>
    <w:bookmarkEnd w:id="395"/>
    <w:bookmarkEnd w:id="396"/>
    <w:p>
      <w:pPr>
        <w:rPr>
          <w:rFonts w:hint="default" w:ascii="Times New Roman" w:hAnsi="Times New Roman" w:eastAsia="仿宋" w:cs="Times New Roman"/>
          <w:b/>
          <w:bCs/>
          <w:sz w:val="24"/>
          <w:szCs w:val="21"/>
          <w:highlight w:val="none"/>
        </w:rPr>
      </w:pPr>
      <w:bookmarkStart w:id="397" w:name="_Toc385992365"/>
      <w:bookmarkStart w:id="398" w:name="_Toc389620204"/>
      <w:r>
        <w:rPr>
          <w:rFonts w:hint="default" w:ascii="Times New Roman" w:hAnsi="Times New Roman" w:eastAsia="仿宋" w:cs="Times New Roman"/>
          <w:b/>
          <w:bCs/>
          <w:sz w:val="24"/>
          <w:szCs w:val="21"/>
          <w:highlight w:val="none"/>
        </w:rPr>
        <w:t>26.    合同</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26.3   成交供应商签订合同后，持合同原件到采购代理机构，或采购代理机构根据陕西省政府采购网合同备案结果办理保证金退还手续。</w:t>
      </w:r>
    </w:p>
    <w:p>
      <w:pPr>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27.    询问与质疑 </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27.1   供应商对政府采购活动事项有疑问的，可以向采购人提出询问。</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27.2   供应商认为采购文件、采购过程和中标、成交结果使自己的权益受到损害的，可以在知道或者应知其权益受到损害之日起七个工作日内，以书面形式向采购人提出质疑。</w:t>
      </w:r>
    </w:p>
    <w:p>
      <w:pPr>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27.3   质疑供应商应按照财政部制定的《政府采购质疑函范本》格式（可从财政部官方网站下载）和《政府采购质疑和投诉办法》</w:t>
      </w:r>
      <w:r>
        <w:rPr>
          <w:rFonts w:hint="default" w:ascii="Times New Roman" w:hAnsi="Times New Roman" w:eastAsia="仿宋" w:cs="Times New Roman"/>
          <w:b w:val="0"/>
          <w:i w:val="0"/>
          <w:caps w:val="0"/>
          <w:spacing w:val="0"/>
          <w:sz w:val="24"/>
          <w:szCs w:val="24"/>
          <w:highlight w:val="none"/>
          <w:shd w:val="clear"/>
        </w:rPr>
        <w:t>（财政部令第94号）</w:t>
      </w:r>
      <w:r>
        <w:rPr>
          <w:rFonts w:hint="default" w:ascii="Times New Roman" w:hAnsi="Times New Roman" w:eastAsia="仿宋" w:cs="Times New Roman"/>
          <w:sz w:val="24"/>
          <w:highlight w:val="none"/>
        </w:rPr>
        <w:t>的要求，在法定质疑期内以书面形式提出质疑，针对同一采购程序环节的质疑应一次性提出。</w:t>
      </w:r>
    </w:p>
    <w:p>
      <w:pPr>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超出法定质疑期提交的质疑将被拒绝。</w:t>
      </w:r>
    </w:p>
    <w:p>
      <w:pPr>
        <w:spacing w:line="360" w:lineRule="auto"/>
        <w:ind w:left="851" w:leftChars="405" w:hanging="1"/>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重复或分次提出的、内容或形式不符合《政府采购质疑和投诉办法》的，质疑供应商将依法承担不利后果。</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27.4   供应商提出质疑应当提交质疑函和必要的证明材料。质疑函应当包括下列内容：</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供应商的姓名或者名称、地址、邮编、联系人及联系电话；</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质疑项目的名称、编号；</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具体、明确的质疑事项和与质疑事项相关的请求；</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事实依据；</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必要的法律依据；</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提出质疑的日期。</w:t>
      </w:r>
    </w:p>
    <w:p>
      <w:pPr>
        <w:pStyle w:val="69"/>
        <w:tabs>
          <w:tab w:val="left" w:pos="588"/>
        </w:tabs>
        <w:spacing w:line="360" w:lineRule="auto"/>
        <w:ind w:left="838" w:leftChars="399"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供应商为自然人的，应当由本人签字；供应商为法人或者其他组织的，应当由法定代表人或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签字或盖章，同时其授权代表签字，并加盖公章。</w:t>
      </w:r>
    </w:p>
    <w:p>
      <w:pPr>
        <w:tabs>
          <w:tab w:val="left" w:pos="588"/>
        </w:tabs>
        <w:spacing w:line="360" w:lineRule="auto"/>
        <w:ind w:left="960" w:hanging="960" w:hanging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27.5   符合要求的质疑，采购代理机构将予以受理并答复。</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w:t>
      </w:r>
      <w:r>
        <w:rPr>
          <w:rFonts w:hint="default" w:ascii="Times New Roman" w:hAnsi="Times New Roman" w:eastAsia="仿宋" w:cs="Times New Roman"/>
          <w:sz w:val="24"/>
          <w:highlight w:val="none"/>
          <w:lang w:eastAsia="zh-CN"/>
        </w:rPr>
        <w:t>综合办公室</w:t>
      </w:r>
      <w:r>
        <w:rPr>
          <w:rFonts w:hint="default" w:ascii="Times New Roman" w:hAnsi="Times New Roman" w:eastAsia="仿宋" w:cs="Times New Roman"/>
          <w:sz w:val="24"/>
          <w:highlight w:val="none"/>
        </w:rPr>
        <w:t>，联系电话：029-85235014</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27.6   供应商进行虚假和恶意质疑的，采购代理机构将提供相关资料报监督机构，按其情况进行相应处理。</w:t>
      </w:r>
    </w:p>
    <w:bookmarkEnd w:id="397"/>
    <w:bookmarkEnd w:id="398"/>
    <w:p>
      <w:pPr>
        <w:rPr>
          <w:rFonts w:hint="default" w:ascii="Times New Roman" w:hAnsi="Times New Roman" w:eastAsia="仿宋" w:cs="Times New Roman"/>
          <w:b/>
          <w:bCs/>
          <w:sz w:val="24"/>
          <w:szCs w:val="21"/>
          <w:highlight w:val="none"/>
        </w:rPr>
      </w:pPr>
      <w:bookmarkStart w:id="399" w:name="_Toc25547"/>
      <w:r>
        <w:rPr>
          <w:rFonts w:hint="default" w:ascii="Times New Roman" w:hAnsi="Times New Roman" w:eastAsia="仿宋" w:cs="Times New Roman"/>
          <w:b/>
          <w:bCs/>
          <w:sz w:val="24"/>
          <w:szCs w:val="21"/>
          <w:highlight w:val="none"/>
        </w:rPr>
        <w:t>28.    履约保证金</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28.1   履约保证金金额见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28.2   履约保证金缴纳时间：合同签订前必须交纳至（采购人）。</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28.3   履约保证金缴纳形式：成交供应商应当以支票、汇票、本票、保函（格式见附件2）等非现金形式缴纳。</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28.4   履约保证金收取单位名称：</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账号：</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               联系电话：</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28.5   履约保证金退还的方式、时间、条件：/</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28.6   履约保证金不予退还的情况：/</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28.7   逾期退还履约保证金的违约责任：/</w:t>
      </w:r>
    </w:p>
    <w:p>
      <w:pPr>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29.    成交服务费</w:t>
      </w:r>
      <w:bookmarkEnd w:id="399"/>
    </w:p>
    <w:p>
      <w:pPr>
        <w:tabs>
          <w:tab w:val="left" w:pos="588"/>
        </w:tabs>
        <w:spacing w:line="360" w:lineRule="auto"/>
        <w:ind w:left="840" w:hanging="840" w:hangingChars="35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29.1   成交供应商在领取成交通知书前，须向采购代理机构支付成交服务费，服务费由采购人与采购代理机构约定：</w:t>
      </w:r>
      <w:bookmarkStart w:id="400" w:name="_Hlk103936823"/>
      <w:r>
        <w:rPr>
          <w:rFonts w:hint="default" w:ascii="Times New Roman" w:hAnsi="Times New Roman" w:eastAsia="仿宋" w:cs="Times New Roman"/>
          <w:sz w:val="24"/>
          <w:highlight w:val="none"/>
        </w:rPr>
        <w:t>参照《国家计委关于印发&lt;招标代理服务收费管理暂行办法&gt;的通知》（计价格[2002]1980号）规定标准下浮</w:t>
      </w:r>
      <w:r>
        <w:rPr>
          <w:rFonts w:hint="default" w:ascii="Times New Roman" w:hAnsi="Times New Roman" w:eastAsia="仿宋" w:cs="Times New Roman"/>
          <w:sz w:val="24"/>
          <w:highlight w:val="none"/>
          <w:u w:val="single"/>
        </w:rPr>
        <w:t xml:space="preserve"> 20% </w:t>
      </w:r>
      <w:r>
        <w:rPr>
          <w:rFonts w:hint="default" w:ascii="Times New Roman" w:hAnsi="Times New Roman" w:eastAsia="仿宋" w:cs="Times New Roman"/>
          <w:sz w:val="24"/>
          <w:highlight w:val="none"/>
        </w:rPr>
        <w:t>收取</w:t>
      </w:r>
      <w:bookmarkEnd w:id="400"/>
      <w:r>
        <w:rPr>
          <w:rFonts w:hint="default" w:ascii="Times New Roman" w:hAnsi="Times New Roman" w:eastAsia="仿宋" w:cs="Times New Roman"/>
          <w:sz w:val="24"/>
          <w:highlight w:val="none"/>
        </w:rPr>
        <w:t>。</w:t>
      </w:r>
      <w:r>
        <w:rPr>
          <w:rFonts w:hint="eastAsia" w:eastAsia="仿宋" w:cs="Times New Roman"/>
          <w:sz w:val="24"/>
          <w:highlight w:val="none"/>
          <w:lang w:val="en-US" w:eastAsia="zh-CN"/>
        </w:rPr>
        <w:t>不足6000元按6000元收取。</w:t>
      </w:r>
      <w:bookmarkStart w:id="787" w:name="_GoBack"/>
      <w:bookmarkEnd w:id="787"/>
    </w:p>
    <w:p>
      <w:pPr>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29.2   成交单位的代理服务费交纳信息</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银行户名：陕西省采购招标有限责任公司</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开户银行：中国光大银行西安友谊路支行</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    号：78560188000095264</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w:t>
      </w:r>
      <w:r>
        <w:rPr>
          <w:rFonts w:hint="default" w:ascii="Times New Roman" w:hAnsi="Times New Roman" w:eastAsia="仿宋" w:cs="Times New Roman"/>
          <w:sz w:val="24"/>
          <w:highlight w:val="none"/>
          <w:lang w:eastAsia="zh-CN"/>
        </w:rPr>
        <w:t>财务部</w:t>
      </w:r>
      <w:r>
        <w:rPr>
          <w:rFonts w:hint="default" w:ascii="Times New Roman" w:hAnsi="Times New Roman" w:eastAsia="仿宋" w:cs="Times New Roman"/>
          <w:sz w:val="24"/>
          <w:highlight w:val="none"/>
        </w:rPr>
        <w:t xml:space="preserve">   联系电话：029-85263975</w:t>
      </w:r>
    </w:p>
    <w:p>
      <w:pPr>
        <w:pStyle w:val="2"/>
        <w:rPr>
          <w:rFonts w:hint="default" w:ascii="Times New Roman" w:hAnsi="Times New Roman" w:eastAsia="仿宋" w:cs="Times New Roman"/>
          <w:b/>
          <w:bCs/>
          <w:sz w:val="24"/>
          <w:szCs w:val="21"/>
          <w:highlight w:val="none"/>
        </w:rPr>
      </w:pPr>
      <w:bookmarkStart w:id="401" w:name="_Toc1585"/>
      <w:r>
        <w:rPr>
          <w:rFonts w:hint="default" w:ascii="Times New Roman" w:hAnsi="Times New Roman" w:eastAsia="仿宋" w:cs="Times New Roman"/>
          <w:b/>
          <w:bCs/>
          <w:sz w:val="24"/>
          <w:szCs w:val="21"/>
          <w:highlight w:val="none"/>
        </w:rPr>
        <w:t>30.    采购人追加采购数量的权力</w:t>
      </w:r>
      <w:bookmarkEnd w:id="401"/>
    </w:p>
    <w:p>
      <w:pPr>
        <w:tabs>
          <w:tab w:val="left" w:pos="588"/>
        </w:tabs>
        <w:spacing w:line="360" w:lineRule="auto"/>
        <w:ind w:left="840" w:leftChars="400"/>
        <w:rPr>
          <w:rFonts w:hint="default" w:ascii="Times New Roman" w:hAnsi="Times New Roman" w:eastAsia="仿宋" w:cs="Times New Roman"/>
          <w:sz w:val="24"/>
          <w:highlight w:val="none"/>
        </w:rPr>
      </w:pPr>
      <w:bookmarkStart w:id="402" w:name="_Toc389620205"/>
      <w:bookmarkStart w:id="403" w:name="_Toc385992366"/>
      <w:r>
        <w:rPr>
          <w:rFonts w:hint="default" w:ascii="Times New Roman" w:hAnsi="Times New Roman" w:eastAsia="仿宋" w:cs="Times New Roman"/>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31.    其他情况</w:t>
      </w:r>
    </w:p>
    <w:bookmarkEnd w:id="402"/>
    <w:bookmarkEnd w:id="403"/>
    <w:p>
      <w:pPr>
        <w:pStyle w:val="2"/>
        <w:ind w:left="840" w:hanging="840" w:hangingChars="350"/>
        <w:rPr>
          <w:rFonts w:hint="default" w:ascii="Times New Roman" w:hAnsi="Times New Roman" w:eastAsia="仿宋" w:cs="Times New Roman"/>
          <w:sz w:val="24"/>
          <w:highlight w:val="none"/>
        </w:rPr>
      </w:pPr>
      <w:bookmarkStart w:id="404" w:name="_Toc184114070"/>
      <w:bookmarkStart w:id="405" w:name="_Toc230099802"/>
      <w:bookmarkStart w:id="406" w:name="_Toc230013637"/>
      <w:bookmarkStart w:id="407" w:name="_Toc184025279"/>
      <w:r>
        <w:rPr>
          <w:rFonts w:hint="default" w:ascii="Times New Roman" w:hAnsi="Times New Roman" w:eastAsia="仿宋" w:cs="Times New Roman"/>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31.2   连续两次进行竞争性磋商活动，因符合磋商要求供应商不足3家，经请示政府采购管理部门同意后，可继续进行竞争性磋商活动。</w:t>
      </w:r>
    </w:p>
    <w:p>
      <w:pPr>
        <w:pStyle w:val="2"/>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32     政府采购信用担保及融资</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32.1   供应商递交的履约担保函应符合本磋商文件的规定。</w:t>
      </w:r>
    </w:p>
    <w:p>
      <w:pPr>
        <w:spacing w:line="360" w:lineRule="auto"/>
        <w:ind w:left="850" w:hanging="849" w:hangingChars="354"/>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业务流程简图如下：</w:t>
      </w:r>
    </w:p>
    <w:p>
      <w:pPr>
        <w:pStyle w:val="2"/>
        <w:tabs>
          <w:tab w:val="left" w:pos="567"/>
        </w:tabs>
        <w:jc w:val="center"/>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drawing>
          <wp:inline distT="0" distB="0" distL="114300" distR="114300">
            <wp:extent cx="5756275" cy="3310255"/>
            <wp:effectExtent l="0" t="0" r="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756275" cy="3310255"/>
                    </a:xfrm>
                    <a:prstGeom prst="rect">
                      <a:avLst/>
                    </a:prstGeom>
                    <a:noFill/>
                    <a:ln>
                      <a:noFill/>
                    </a:ln>
                  </pic:spPr>
                </pic:pic>
              </a:graphicData>
            </a:graphic>
          </wp:inline>
        </w:drawing>
      </w:r>
    </w:p>
    <w:p>
      <w:pPr>
        <w:pStyle w:val="2"/>
        <w:tabs>
          <w:tab w:val="left" w:pos="567"/>
        </w:tabs>
        <w:jc w:val="center"/>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drawing>
          <wp:inline distT="0" distB="0" distL="114300" distR="114300">
            <wp:extent cx="5758815" cy="32423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bookmarkEnd w:id="404"/>
    <w:bookmarkEnd w:id="405"/>
    <w:bookmarkEnd w:id="406"/>
    <w:bookmarkEnd w:id="407"/>
    <w:p>
      <w:pPr>
        <w:pStyle w:val="2"/>
        <w:tabs>
          <w:tab w:val="left" w:pos="567"/>
        </w:tabs>
        <w:rPr>
          <w:rFonts w:hint="default" w:ascii="Times New Roman" w:hAnsi="Times New Roman" w:eastAsia="仿宋" w:cs="Times New Roman"/>
          <w:sz w:val="24"/>
          <w:szCs w:val="32"/>
          <w:highlight w:val="none"/>
        </w:rPr>
      </w:pPr>
      <w:bookmarkStart w:id="408" w:name="_Toc63697168"/>
      <w:bookmarkStart w:id="409" w:name="_Toc17469"/>
      <w:bookmarkStart w:id="410" w:name="_Toc58504447"/>
      <w:r>
        <w:rPr>
          <w:rFonts w:hint="default" w:ascii="Times New Roman" w:hAnsi="Times New Roman" w:eastAsia="仿宋" w:cs="Times New Roman"/>
          <w:sz w:val="24"/>
          <w:szCs w:val="32"/>
          <w:highlight w:val="none"/>
        </w:rPr>
        <w:t>省级政府采购项目贷款银行信息：</w:t>
      </w:r>
    </w:p>
    <w:p>
      <w:pPr>
        <w:rPr>
          <w:rFonts w:hint="default" w:ascii="Times New Roman" w:hAnsi="Times New Roman" w:eastAsia="仿宋" w:cs="Times New Roman"/>
          <w:b/>
          <w:szCs w:val="21"/>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b/>
          <w:szCs w:val="21"/>
          <w:highlight w:val="none"/>
        </w:rPr>
        <w:t>一、陕西建行（E政通）</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陕西省分行营业部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西安市南广济街38号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白玉皓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13201603166</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西安莲湖路支行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西安市莲湖路35号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冲</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17702902131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西安曲江支行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西安市雁塔南路2216号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樊理君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18691568151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西安高新区支行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西安市高新路42号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卞斯超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15191075651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西安经开区支行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西安市未央路125号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惠  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17792256100</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西安南大街支行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西安市南大街15号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乔  鉴</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18089136919</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西安和平路支行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西安市和平路101号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  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18691816821</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西安兴庆路支行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西安市兴庆路61号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妍</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13892880386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西安新城支行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西安市南新街29号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朱子君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18629286269</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西安长安区支行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西安市长安区青年街2号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王淑芸</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13572289603</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咸阳市西兰路4号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邰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13299079906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宝鸡市红旗路36号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倩</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18629019817</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铜川分行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铜川市新区正阳路与长虹路十字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张小波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18691932636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榆林市高新技术产业园区创业大厦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张君君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15991929275</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延安市宝塔区中心街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陈进佃</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15609110557</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汉中市石灰巷21号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王晨旭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15319375850</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安康分行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安康市育才路102号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张少帅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13165762680</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商洛市名人街广电大楼下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17809267188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二、北京银行（政府订单贷）</w:t>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刘晓伟</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总经理助理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029-61828763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18066630518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西安高新开发区支行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梁凡</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029-61828531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18681945597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西安曲江文创支行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蒋超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029-65667366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15891737329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西安经济技术开发区支行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孟庆龙</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029-61828272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13991990373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西安长缨路支行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范凯</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副行长</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029-68717760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13991315609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长安区西长安街支行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陈明</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029-85724301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18149209660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泾渭工业园支行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杨奕</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029-68213773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15934802021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北客站科技支行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周洁</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副行长</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029-61828129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18629518636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解放路支行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王莉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029-61828185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15802966196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奥宝森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0911-8076038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15592925222</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三、工商银行（政采贷）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0912-6183827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15353386777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0917-3238282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18991749262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安康分行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郑婕</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0915-3236275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15667856663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铜川分行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彭东东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0919-2151878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17392898832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党莹</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0911-2380826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15291142933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杨薇薇</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部门副经理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0916-2606773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18591607453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09132095066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15229730006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袁霖</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029-33259370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18591006506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0914-2310908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18691410305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余勇博</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0914-2310908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18092802280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巩越</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029-87609419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18629450680</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四、中信银行 （政采e贷）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西安市朱雀大街中段1号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曹晓聪</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13759957407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秦皇中路绿苑大厦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杭群</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13992016859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宝鸡市高新大道50号财富大厦B座</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王尧</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13636762976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渭南市朝阳大街中段信达广场世纪明珠大厦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杨阳</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18191815559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榆林市高新区长兴路248号中信银行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刘洪巍</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13636885556</w:t>
      </w:r>
    </w:p>
    <w:p>
      <w:pPr>
        <w:ind w:left="1680" w:leftChars="200" w:hanging="1260" w:hangingChars="6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汉中市汉台区西二环路与劳动西路东南汉中滨江•公园壹号（产业孵化区）3B号楼</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陈真</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18509165068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五、中国光大银行（阳光政采贷）</w:t>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 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0917-3451055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18329677163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尚云鹏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0912-3548019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18690473126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汪昊田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0911-8011831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13509115500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侯 佳</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32100021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15229500088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营销一部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87236311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13772031109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营销二部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朱翰辰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87236201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17791788078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张翔琮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87236306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18829235568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电子城支行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张曼玉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88247071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18009298787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明德门支行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 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85350770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13991249430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东大街支行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87438914</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15029673754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经济开发区支行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陆家俊</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86525176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18629303397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凤城九路支行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宋 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89155022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18966911622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兴庆路支行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司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83290033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18629251819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长乐西路支行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82566208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15877390201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友谊路支行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贠程敏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88422067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18792795210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边家村支行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 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85251673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15309223048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北关支行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菅新培</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86248203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18092169361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南郊支行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程 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85265234</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13772491661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西关正街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马 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89548109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13772337373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丈八东路支行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杨筱凡</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81026910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15129044185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雁塔路支行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闫梓闶</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82222501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18691561524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唐延路支行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尉二宝</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88329478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13991930150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枫林绿洲支行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 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87302120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13609199490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南关正街支行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85230722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18066610983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南二环支行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88362861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18192080396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曲江支行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田 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81205890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13991937977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太白路支行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马振林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68912880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15353736656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明光路支行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刘二渭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81623506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13201793405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凤城二路支行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86680267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13720423343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昆明路支行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洁</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84592506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13991821278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丈八北路支行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浩</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81875192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15667087662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新城支行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余振东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87251680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18066617238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六、浦发银行 （政采e贷）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吴晨雨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029-63603803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15991724645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陈福全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17782511994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韩瑾</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18202909790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李瑞雪</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18220862398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陈晓晓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0912-2216068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15691269965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郭小东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0912-2216008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15291820586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张一岚</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0917-8662919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18690008816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朱强</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0917-8662926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13909176381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王晓峰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0913-3357080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13992363166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薛晗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029-32083788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15109226216</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七、兴业银行（政采贷）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朱靖</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总监</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029-87482998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13363979983</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八、中国民生银行（政采贷）</w:t>
      </w:r>
    </w:p>
    <w:p>
      <w:pPr>
        <w:ind w:left="2310" w:leftChars="200" w:hanging="1890" w:hangingChars="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民生银行西安分行  联系人：陈经理 联系电话：61815275 /18821669199</w:t>
      </w:r>
      <w:r>
        <w:rPr>
          <w:rFonts w:hint="default" w:ascii="Times New Roman" w:hAnsi="Times New Roman" w:eastAsia="仿宋" w:cs="Times New Roman"/>
          <w:szCs w:val="21"/>
          <w:highlight w:val="none"/>
        </w:rPr>
        <w:br w:type="textWrapping"/>
      </w:r>
      <w:r>
        <w:rPr>
          <w:rFonts w:hint="default" w:ascii="Times New Roman" w:hAnsi="Times New Roman" w:eastAsia="仿宋" w:cs="Times New Roman"/>
          <w:szCs w:val="21"/>
          <w:highlight w:val="none"/>
        </w:rPr>
        <w:t xml:space="preserve">联系人：王经理 联系电话：61815280 /18591953690 </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九、浙商银行 （政采贷）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西安市雁塔区科技路259号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曹金辉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18710993980</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 xml:space="preserve">十、 招商银行（政采贷）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招商银行西安分行   联系人：任瑾；85438988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 xml:space="preserve">十一、 长安银行（小微贷）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长安银行西安曲江新区支行 地址：西安市曲江新区雁南一路3号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联系人：陈瑶 13629266833 </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十二、网商银行（合同贷）</w:t>
      </w:r>
      <w:r>
        <w:rPr>
          <w:rFonts w:hint="default" w:ascii="Times New Roman" w:hAnsi="Times New Roman" w:eastAsia="仿宋" w:cs="Times New Roman"/>
          <w:b/>
          <w:szCs w:val="21"/>
          <w:highlight w:val="none"/>
        </w:rPr>
        <w:br w:type="textWrapping"/>
      </w:r>
      <w:r>
        <w:rPr>
          <w:rFonts w:hint="default" w:ascii="Times New Roman" w:hAnsi="Times New Roman" w:eastAsia="仿宋" w:cs="Times New Roman"/>
          <w:b/>
          <w:szCs w:val="21"/>
          <w:highlight w:val="none"/>
        </w:rPr>
        <w:t>十三、中国邮政储蓄银行陕西省分行（政采贷）</w:t>
      </w:r>
    </w:p>
    <w:p>
      <w:pPr>
        <w:pStyle w:val="46"/>
        <w:outlineLvl w:val="9"/>
        <w:rPr>
          <w:rFonts w:hint="default" w:ascii="Times New Roman" w:hAnsi="Times New Roman" w:eastAsia="仿宋" w:cs="Times New Roman"/>
          <w:highlight w:val="none"/>
        </w:rPr>
      </w:pPr>
    </w:p>
    <w:p>
      <w:pPr>
        <w:pStyle w:val="46"/>
        <w:outlineLvl w:val="9"/>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46"/>
        <w:spacing w:line="360" w:lineRule="auto"/>
        <w:jc w:val="center"/>
        <w:rPr>
          <w:rFonts w:hint="default" w:ascii="Times New Roman" w:hAnsi="Times New Roman" w:eastAsia="仿宋" w:cs="Times New Roman"/>
          <w:highlight w:val="none"/>
        </w:rPr>
      </w:pPr>
      <w:bookmarkStart w:id="411" w:name="_Toc2744"/>
      <w:bookmarkStart w:id="412" w:name="_Toc6673"/>
      <w:bookmarkStart w:id="413" w:name="_Toc31160"/>
      <w:bookmarkStart w:id="414" w:name="_Toc6082"/>
      <w:bookmarkStart w:id="415" w:name="_Toc28939"/>
      <w:bookmarkStart w:id="416" w:name="_Toc15771"/>
      <w:bookmarkStart w:id="417" w:name="_Toc20077"/>
      <w:bookmarkStart w:id="418" w:name="_Toc16158"/>
      <w:bookmarkStart w:id="419" w:name="_Toc32520"/>
      <w:bookmarkStart w:id="420" w:name="_Toc17713"/>
      <w:bookmarkStart w:id="421" w:name="_Toc13754"/>
      <w:r>
        <w:rPr>
          <w:rFonts w:hint="default" w:ascii="Times New Roman" w:hAnsi="Times New Roman" w:eastAsia="仿宋" w:cs="Times New Roman"/>
          <w:highlight w:val="none"/>
        </w:rPr>
        <w:t>第三章  评审办法和标准</w:t>
      </w:r>
      <w:bookmarkEnd w:id="408"/>
      <w:bookmarkEnd w:id="411"/>
      <w:bookmarkEnd w:id="412"/>
      <w:bookmarkEnd w:id="413"/>
      <w:bookmarkEnd w:id="414"/>
      <w:bookmarkEnd w:id="415"/>
      <w:bookmarkEnd w:id="416"/>
      <w:bookmarkEnd w:id="417"/>
      <w:bookmarkEnd w:id="418"/>
      <w:bookmarkEnd w:id="419"/>
      <w:bookmarkEnd w:id="420"/>
      <w:bookmarkEnd w:id="421"/>
    </w:p>
    <w:p>
      <w:pPr>
        <w:pStyle w:val="79"/>
        <w:spacing w:before="0" w:beforeLines="0" w:after="0" w:afterLines="0" w:line="460" w:lineRule="exact"/>
        <w:outlineLvl w:val="9"/>
        <w:rPr>
          <w:rFonts w:hint="default" w:ascii="Times New Roman" w:hAnsi="Times New Roman" w:eastAsia="仿宋" w:cs="Times New Roman"/>
          <w:sz w:val="28"/>
          <w:szCs w:val="28"/>
          <w:highlight w:val="none"/>
        </w:rPr>
      </w:pPr>
      <w:bookmarkStart w:id="422" w:name="_Toc7005040"/>
      <w:r>
        <w:rPr>
          <w:rFonts w:hint="default" w:ascii="Times New Roman" w:hAnsi="Times New Roman" w:eastAsia="仿宋" w:cs="Times New Roman"/>
          <w:sz w:val="28"/>
          <w:szCs w:val="28"/>
          <w:highlight w:val="none"/>
        </w:rPr>
        <w:t>1.评审方法</w:t>
      </w:r>
      <w:bookmarkEnd w:id="422"/>
    </w:p>
    <w:p>
      <w:pPr>
        <w:pStyle w:val="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9"/>
        <w:spacing w:before="0" w:beforeLines="0" w:after="0" w:afterLines="0" w:line="460" w:lineRule="exact"/>
        <w:outlineLvl w:val="9"/>
        <w:rPr>
          <w:rFonts w:hint="default" w:ascii="Times New Roman" w:hAnsi="Times New Roman" w:eastAsia="仿宋" w:cs="Times New Roman"/>
          <w:sz w:val="28"/>
          <w:szCs w:val="28"/>
          <w:highlight w:val="none"/>
        </w:rPr>
      </w:pPr>
      <w:bookmarkStart w:id="423" w:name="_Toc7005041"/>
      <w:r>
        <w:rPr>
          <w:rFonts w:hint="default" w:ascii="Times New Roman" w:hAnsi="Times New Roman" w:eastAsia="仿宋" w:cs="Times New Roman"/>
          <w:sz w:val="28"/>
          <w:szCs w:val="28"/>
          <w:highlight w:val="none"/>
        </w:rPr>
        <w:t>2.评审标准</w:t>
      </w:r>
      <w:bookmarkEnd w:id="423"/>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2.1 资格审查和符合性评审标准：见附表一和附表二。</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2.2 分值构成：总分100分，见附表三</w:t>
      </w:r>
    </w:p>
    <w:p>
      <w:pPr>
        <w:pStyle w:val="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价格分值：20分</w:t>
      </w:r>
    </w:p>
    <w:p>
      <w:pPr>
        <w:pStyle w:val="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服务方案分值：</w:t>
      </w:r>
      <w:r>
        <w:rPr>
          <w:rFonts w:hint="default" w:ascii="Times New Roman" w:hAnsi="Times New Roman" w:eastAsia="仿宋" w:cs="Times New Roman"/>
          <w:b/>
          <w:bCs/>
          <w:sz w:val="24"/>
          <w:highlight w:val="none"/>
          <w:lang w:val="en-US" w:eastAsia="zh-CN"/>
        </w:rPr>
        <w:t>60</w:t>
      </w:r>
      <w:r>
        <w:rPr>
          <w:rFonts w:hint="default" w:ascii="Times New Roman" w:hAnsi="Times New Roman" w:eastAsia="仿宋" w:cs="Times New Roman"/>
          <w:b/>
          <w:bCs/>
          <w:sz w:val="24"/>
          <w:highlight w:val="none"/>
        </w:rPr>
        <w:t>分</w:t>
      </w:r>
    </w:p>
    <w:p>
      <w:pPr>
        <w:pStyle w:val="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val="en-US" w:eastAsia="zh-CN"/>
        </w:rPr>
        <w:t>服务承诺</w:t>
      </w:r>
      <w:r>
        <w:rPr>
          <w:rFonts w:hint="default" w:ascii="Times New Roman" w:hAnsi="Times New Roman" w:eastAsia="仿宋" w:cs="Times New Roman"/>
          <w:b/>
          <w:bCs/>
          <w:sz w:val="24"/>
          <w:highlight w:val="none"/>
        </w:rPr>
        <w:t>分值：</w:t>
      </w:r>
      <w:r>
        <w:rPr>
          <w:rFonts w:hint="default" w:ascii="Times New Roman" w:hAnsi="Times New Roman" w:eastAsia="仿宋" w:cs="Times New Roman"/>
          <w:b/>
          <w:bCs/>
          <w:sz w:val="24"/>
          <w:highlight w:val="none"/>
          <w:lang w:val="en-US" w:eastAsia="zh-CN"/>
        </w:rPr>
        <w:t>10</w:t>
      </w:r>
      <w:r>
        <w:rPr>
          <w:rFonts w:hint="default" w:ascii="Times New Roman" w:hAnsi="Times New Roman" w:eastAsia="仿宋" w:cs="Times New Roman"/>
          <w:b/>
          <w:bCs/>
          <w:sz w:val="24"/>
          <w:highlight w:val="none"/>
        </w:rPr>
        <w:t>分</w:t>
      </w:r>
    </w:p>
    <w:p>
      <w:pPr>
        <w:pStyle w:val="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业绩分值：10分</w:t>
      </w:r>
    </w:p>
    <w:p>
      <w:pPr>
        <w:pStyle w:val="2"/>
        <w:spacing w:beforeLines="0" w:afterLines="0" w:line="460" w:lineRule="exact"/>
        <w:rPr>
          <w:rFonts w:hint="default" w:ascii="Times New Roman" w:hAnsi="Times New Roman" w:eastAsia="仿宋" w:cs="Times New Roman"/>
          <w:sz w:val="24"/>
          <w:highlight w:val="none"/>
        </w:rPr>
      </w:pPr>
      <w:bookmarkStart w:id="424" w:name="_Ref426362114"/>
      <w:r>
        <w:rPr>
          <w:rFonts w:hint="default" w:ascii="Times New Roman" w:hAnsi="Times New Roman" w:eastAsia="仿宋" w:cs="Times New Roman"/>
          <w:sz w:val="24"/>
          <w:highlight w:val="none"/>
        </w:rPr>
        <w:t>2.3 评审标准</w:t>
      </w:r>
      <w:bookmarkEnd w:id="424"/>
      <w:r>
        <w:rPr>
          <w:rFonts w:hint="default" w:ascii="Times New Roman" w:hAnsi="Times New Roman" w:eastAsia="仿宋" w:cs="Times New Roman"/>
          <w:sz w:val="24"/>
          <w:highlight w:val="none"/>
        </w:rPr>
        <w:t>：见附表三</w:t>
      </w:r>
    </w:p>
    <w:p>
      <w:pPr>
        <w:pStyle w:val="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（1）根据《关于进一步加大政府采购支持中小企业力度的通知》（财库〔2022〕19号）、《政府采购促进中小企业发展管理办法》（财库〔2020〕46号），本项目已专门面向中小微企业，则不再进行价格扣除。</w:t>
      </w:r>
    </w:p>
    <w:p>
      <w:pPr>
        <w:pStyle w:val="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b w:val="0"/>
          <w:bCs w:val="0"/>
          <w:sz w:val="24"/>
          <w:highlight w:val="none"/>
        </w:rPr>
        <w:t>注：监狱企业、残疾人福利性单位视同小微企业；残疾人福利性单位属于小型、微型企业的，不重复享受政策。</w:t>
      </w:r>
    </w:p>
    <w:p>
      <w:pPr>
        <w:pStyle w:val="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（2）评审基准价。有效响应文件中的最后报价并按本款（1）进行调整的最低报价为评审基准价。</w:t>
      </w:r>
    </w:p>
    <w:p>
      <w:pPr>
        <w:pStyle w:val="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（3）供应商报价（按本款（1）进行调整后价格）得分=(评审基准价／最后报价)×价格分满分分值</w:t>
      </w:r>
    </w:p>
    <w:p>
      <w:pPr>
        <w:tabs>
          <w:tab w:val="left" w:pos="588"/>
        </w:tabs>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 响应文件出现下列情况之一者，磋商小组在评审过程中按以下原则修正：</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（1）大写金额与小写金额不一致的，以大写金额为准；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（2）总价金额与按单价汇总金额不一致的，以单价金额计算结果为准；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（3）单价金额小数点有明显错位的，应以总价为准，并修改单价；</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（4）对不同文字文本响应文件的解释发生异议的，以中文文本为准；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（5）文字与图表不一致的，以文字为准；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（6）正本与副本不一致的，以正本为准；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（7）响应文件的文字叙述与制造厂商的产品样本/检测报告不符时，以产品样本/检测报告为准。</w:t>
      </w:r>
    </w:p>
    <w:p>
      <w:pPr>
        <w:pStyle w:val="79"/>
        <w:spacing w:before="0" w:beforeLines="0" w:after="0" w:afterLines="0" w:line="460" w:lineRule="exact"/>
        <w:outlineLvl w:val="9"/>
        <w:rPr>
          <w:rFonts w:hint="default" w:ascii="Times New Roman" w:hAnsi="Times New Roman" w:eastAsia="仿宋" w:cs="Times New Roman"/>
          <w:sz w:val="28"/>
          <w:szCs w:val="28"/>
          <w:highlight w:val="none"/>
        </w:rPr>
      </w:pPr>
      <w:bookmarkStart w:id="425" w:name="_Toc7005042"/>
      <w:r>
        <w:rPr>
          <w:rFonts w:hint="default" w:ascii="Times New Roman" w:hAnsi="Times New Roman" w:eastAsia="仿宋" w:cs="Times New Roman"/>
          <w:sz w:val="28"/>
          <w:szCs w:val="28"/>
          <w:highlight w:val="none"/>
        </w:rPr>
        <w:t>3.评审程序</w:t>
      </w:r>
      <w:bookmarkEnd w:id="425"/>
    </w:p>
    <w:p>
      <w:pPr>
        <w:pStyle w:val="2"/>
        <w:spacing w:beforeLines="0" w:afterLines="0" w:line="460" w:lineRule="exact"/>
        <w:rPr>
          <w:rFonts w:hint="default" w:ascii="Times New Roman" w:hAnsi="Times New Roman" w:eastAsia="仿宋" w:cs="Times New Roman"/>
          <w:b/>
          <w:sz w:val="24"/>
          <w:highlight w:val="none"/>
        </w:rPr>
      </w:pPr>
      <w:bookmarkStart w:id="426" w:name="_Toc7005043"/>
      <w:r>
        <w:rPr>
          <w:rFonts w:hint="default" w:ascii="Times New Roman" w:hAnsi="Times New Roman" w:eastAsia="仿宋" w:cs="Times New Roman"/>
          <w:b/>
          <w:sz w:val="24"/>
          <w:highlight w:val="none"/>
        </w:rPr>
        <w:t>3.1资格审查及符合性审查</w:t>
      </w:r>
      <w:bookmarkEnd w:id="426"/>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3.1.1 采购人或采购代理机构按附表一所列审查标准对供应商资格进行审查，以确定供应商是否具备磋商资格。</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3.1.2 磋商小组对符合资格要求的供应商按附表二进行符合性审查，以确定其是否满足磋商文件的实质性要求（见本章内的符合性审查表）。</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磋商小组不接受供应商主动提出的澄清、说明或补正。</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供应商的书面澄清、说明和补正属于响应文件的组成部分。</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磋商小组对供应商提交的澄清、说明或补正有疑问的，可以要求供应商进一步澄清、说明或补正，直至满足评审小组的要求。</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3.1.4 不具备磋商文件要求的资格或未通过符合性审查的供应商，不参与磋商，由磋商小组告知该供应商。</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3.1.5 通过资格审查和符合性审查的合格供应商不足3家的，不再进行评审和磋商。</w:t>
      </w:r>
    </w:p>
    <w:p>
      <w:pPr>
        <w:pStyle w:val="2"/>
        <w:spacing w:beforeLines="0" w:afterLines="0" w:line="460" w:lineRule="exact"/>
        <w:rPr>
          <w:rFonts w:hint="default" w:ascii="Times New Roman" w:hAnsi="Times New Roman" w:eastAsia="仿宋" w:cs="Times New Roman"/>
          <w:b/>
          <w:sz w:val="24"/>
          <w:highlight w:val="none"/>
        </w:rPr>
      </w:pPr>
      <w:bookmarkStart w:id="427" w:name="_Toc7005044"/>
      <w:r>
        <w:rPr>
          <w:rFonts w:hint="default" w:ascii="Times New Roman" w:hAnsi="Times New Roman" w:eastAsia="仿宋" w:cs="Times New Roman"/>
          <w:b/>
          <w:sz w:val="24"/>
          <w:highlight w:val="none"/>
        </w:rPr>
        <w:t>3.2 磋商</w:t>
      </w:r>
      <w:bookmarkEnd w:id="427"/>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3.2.1按“供应商须知”第五条规定，由磋商小组与供应商进行磋商。</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3.2.3 磋商结束后，磋商小组可以要求所有继续参加磋商的供应商在规定时间内提交最后报价函，提交最后报价函的供应商不得少于3家。</w:t>
      </w:r>
    </w:p>
    <w:p>
      <w:pPr>
        <w:pStyle w:val="2"/>
        <w:spacing w:beforeLines="0" w:afterLines="0" w:line="460" w:lineRule="exact"/>
        <w:rPr>
          <w:rFonts w:hint="default" w:ascii="Times New Roman" w:hAnsi="Times New Roman" w:eastAsia="仿宋" w:cs="Times New Roman"/>
          <w:b/>
          <w:sz w:val="24"/>
          <w:highlight w:val="none"/>
        </w:rPr>
      </w:pPr>
      <w:bookmarkStart w:id="428" w:name="_Toc7005045"/>
      <w:r>
        <w:rPr>
          <w:rFonts w:hint="default" w:ascii="Times New Roman" w:hAnsi="Times New Roman" w:eastAsia="仿宋" w:cs="Times New Roman"/>
          <w:b/>
          <w:sz w:val="24"/>
          <w:highlight w:val="none"/>
        </w:rPr>
        <w:t>3.3评审</w:t>
      </w:r>
      <w:bookmarkEnd w:id="428"/>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3.3.1 比较与评价</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磋商小组按本章第2.3款[评审标准]对供应商提交的响应文件（包括最后报价函）进行评估，综合比较与评价。</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3.3.2 磋商小组按本章第2.3款规定的量化因素和分值进行打分，并计算出综合评估得分。</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3.3.3评分分值计算保留小数点后两位，小数点后第三位“四舍五入”。</w:t>
      </w:r>
    </w:p>
    <w:p>
      <w:pPr>
        <w:pStyle w:val="2"/>
        <w:spacing w:beforeLines="0" w:afterLines="0" w:line="460" w:lineRule="exact"/>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3.4 评审结果</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3.4.1 除第二章“供应商须知”前附表授权直接确定成交供应商外，磋商小组按照得分由高到低的顺序推荐3名成交候选人。</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3.4.2 磋商小组完成评审后，应当向采购人提交书面评审报告。</w:t>
      </w:r>
    </w:p>
    <w:p>
      <w:pPr>
        <w:pStyle w:val="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spacing w:line="360" w:lineRule="auto"/>
        <w:jc w:val="center"/>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52"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序号</w:t>
            </w:r>
          </w:p>
        </w:tc>
        <w:tc>
          <w:tcPr>
            <w:tcW w:w="2655"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评审内容</w:t>
            </w:r>
          </w:p>
        </w:tc>
        <w:tc>
          <w:tcPr>
            <w:tcW w:w="4677"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评审合格标准</w:t>
            </w:r>
          </w:p>
        </w:tc>
        <w:tc>
          <w:tcPr>
            <w:tcW w:w="1178"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具有独立承担民事责任的能力</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提供了有效的法人或者其他组织的营业执照等证明文件，自然人的身份证明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具有健全的财务会计制度</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提供了满足磋商文件要求的经审计的财务报表或本年度基本开户银行出具的资信证明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具有履行合同所必需的设备和专业技术能力</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提供了可充分满足履行合同所需设备和专业技术能力的证明材料或承诺</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有依法缴纳税收和社会保障资金的良好记录</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1.提供缴纳税收的凭证（银行出具的缴税凭证或税务机关出具的证明的复印件，并加盖本单位公章）或免税证明（复印件加盖公章）。</w:t>
            </w:r>
          </w:p>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2.提供社会保障资金缴纳记录（专用收据或社会保险缴纳清单）或免缴纳证明（复印件加盖公章）</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参加政府采购活动前三年内，在经营活动中没有重大违法记录</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提供了有效的参加政府采购活动前三年内在经营活动中没有重大违法记录的书面声明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w:t>
            </w:r>
          </w:p>
        </w:tc>
        <w:tc>
          <w:tcPr>
            <w:tcW w:w="2655" w:type="dxa"/>
            <w:vAlign w:val="center"/>
          </w:tcPr>
          <w:p>
            <w:pPr>
              <w:snapToGrid w:val="0"/>
              <w:jc w:val="left"/>
              <w:rPr>
                <w:rFonts w:hint="default" w:ascii="Times New Roman" w:hAnsi="Times New Roman" w:eastAsia="仿宋" w:cs="Times New Roman"/>
                <w:szCs w:val="21"/>
                <w:highlight w:val="none"/>
              </w:rPr>
            </w:pPr>
            <w:r>
              <w:rPr>
                <w:rFonts w:eastAsia="仿宋"/>
                <w:szCs w:val="21"/>
                <w:highlight w:val="none"/>
              </w:rPr>
              <w:t>“信用中国”网站</w:t>
            </w:r>
            <w:r>
              <w:rPr>
                <w:rFonts w:hint="eastAsia" w:eastAsia="仿宋"/>
                <w:szCs w:val="21"/>
                <w:highlight w:val="none"/>
                <w:lang w:eastAsia="zh-CN"/>
              </w:rPr>
              <w:t>、</w:t>
            </w:r>
            <w:r>
              <w:rPr>
                <w:rFonts w:hint="eastAsia" w:eastAsia="仿宋"/>
                <w:szCs w:val="21"/>
                <w:highlight w:val="none"/>
                <w:lang w:val="en-US" w:eastAsia="zh-CN"/>
              </w:rPr>
              <w:t>中国执行信息公开网</w:t>
            </w:r>
            <w:r>
              <w:rPr>
                <w:rFonts w:eastAsia="仿宋"/>
                <w:szCs w:val="21"/>
                <w:highlight w:val="none"/>
              </w:rPr>
              <w:t>和中国政府采购网（www.ccgp.gov.cn）查询记录</w:t>
            </w:r>
          </w:p>
        </w:tc>
        <w:tc>
          <w:tcPr>
            <w:tcW w:w="4677" w:type="dxa"/>
            <w:vAlign w:val="center"/>
          </w:tcPr>
          <w:p>
            <w:pPr>
              <w:snapToGrid w:val="0"/>
              <w:jc w:val="both"/>
              <w:rPr>
                <w:rFonts w:eastAsia="仿宋"/>
                <w:szCs w:val="21"/>
                <w:highlight w:val="none"/>
              </w:rPr>
            </w:pPr>
            <w:r>
              <w:rPr>
                <w:rFonts w:eastAsia="仿宋"/>
                <w:szCs w:val="21"/>
                <w:highlight w:val="none"/>
              </w:rPr>
              <w:t>未被“信用中国”网站（</w:t>
            </w:r>
            <w:r>
              <w:rPr>
                <w:rFonts w:eastAsia="仿宋"/>
                <w:szCs w:val="21"/>
                <w:highlight w:val="none"/>
              </w:rPr>
              <w:fldChar w:fldCharType="begin"/>
            </w:r>
            <w:r>
              <w:rPr>
                <w:rFonts w:eastAsia="仿宋"/>
                <w:szCs w:val="21"/>
                <w:highlight w:val="none"/>
              </w:rPr>
              <w:instrText xml:space="preserve"> HYPERLINK "http://www.creditchina.gov.cn）中列入失信被执行人和/" </w:instrText>
            </w:r>
            <w:r>
              <w:rPr>
                <w:rFonts w:eastAsia="仿宋"/>
                <w:szCs w:val="21"/>
                <w:highlight w:val="none"/>
              </w:rPr>
              <w:fldChar w:fldCharType="separate"/>
            </w:r>
            <w:r>
              <w:rPr>
                <w:rFonts w:eastAsia="仿宋"/>
                <w:szCs w:val="21"/>
                <w:highlight w:val="none"/>
              </w:rPr>
              <w:t>www.creditchina.gov.cn）</w:t>
            </w:r>
            <w:r>
              <w:rPr>
                <w:rFonts w:eastAsia="仿宋"/>
                <w:szCs w:val="21"/>
                <w:highlight w:val="none"/>
              </w:rPr>
              <w:fldChar w:fldCharType="end"/>
            </w:r>
          </w:p>
          <w:p>
            <w:pPr>
              <w:snapToGrid w:val="0"/>
              <w:jc w:val="both"/>
              <w:rPr>
                <w:rFonts w:hint="default" w:ascii="Times New Roman" w:hAnsi="Times New Roman" w:eastAsia="仿宋" w:cs="Times New Roman"/>
                <w:szCs w:val="21"/>
                <w:highlight w:val="none"/>
              </w:rPr>
            </w:pPr>
            <w:r>
              <w:rPr>
                <w:rFonts w:hint="eastAsia" w:eastAsia="仿宋"/>
                <w:szCs w:val="21"/>
                <w:highlight w:val="none"/>
                <w:lang w:val="en-US" w:eastAsia="zh-CN"/>
              </w:rPr>
              <w:t>列入</w:t>
            </w:r>
            <w:r>
              <w:rPr>
                <w:rFonts w:eastAsia="仿宋"/>
                <w:szCs w:val="21"/>
                <w:highlight w:val="none"/>
              </w:rPr>
              <w:t>重大税收违法失信主体的供应商、</w:t>
            </w:r>
            <w:r>
              <w:rPr>
                <w:rFonts w:hint="eastAsia" w:eastAsia="仿宋"/>
                <w:szCs w:val="21"/>
                <w:highlight w:val="none"/>
                <w:lang w:val="en-US" w:eastAsia="zh-CN"/>
              </w:rPr>
              <w:t>未被“中国执行信息公开网”（http://zxgk.court.gov.cn/）</w:t>
            </w:r>
            <w:r>
              <w:rPr>
                <w:rFonts w:eastAsia="仿宋"/>
                <w:szCs w:val="21"/>
                <w:highlight w:val="none"/>
              </w:rPr>
              <w:t>未被</w:t>
            </w:r>
            <w:r>
              <w:rPr>
                <w:rFonts w:hint="eastAsia" w:eastAsia="仿宋"/>
                <w:szCs w:val="21"/>
                <w:highlight w:val="none"/>
                <w:lang w:eastAsia="zh-CN"/>
              </w:rPr>
              <w:t>“</w:t>
            </w:r>
            <w:r>
              <w:rPr>
                <w:rFonts w:eastAsia="仿宋"/>
                <w:szCs w:val="21"/>
                <w:highlight w:val="none"/>
              </w:rPr>
              <w:t>中国政府采购网</w:t>
            </w:r>
            <w:r>
              <w:rPr>
                <w:rFonts w:hint="eastAsia" w:eastAsia="仿宋"/>
                <w:szCs w:val="21"/>
                <w:highlight w:val="none"/>
                <w:lang w:eastAsia="zh-CN"/>
              </w:rPr>
              <w:t>”</w:t>
            </w:r>
            <w:r>
              <w:rPr>
                <w:rFonts w:eastAsia="仿宋"/>
                <w:szCs w:val="21"/>
                <w:highlight w:val="none"/>
              </w:rPr>
              <w:t>（www.ccgp.gov.cn）列入政府采购严重违法失信行为记录名单中被财政部门禁止参加政府采购活动的供应商（处罚决定规定的时间和地域范围内）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7</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单位负责人为同一人或者存在控股、管理关系的不同单位，不得同时参加本项目的磋商。</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8</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为本项目提供整体设计、规范编制或者项目管理、监理、检测等服务的供应商，不得再参加本项目磋商。</w:t>
            </w:r>
          </w:p>
        </w:tc>
        <w:tc>
          <w:tcPr>
            <w:tcW w:w="4677" w:type="dxa"/>
            <w:vAlign w:val="center"/>
          </w:tcPr>
          <w:p>
            <w:p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提供了供应商未为本项目提供整体设计、规范编制或者项目管理、监理、检测等服务的声明。</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2" w:type="dxa"/>
            <w:vAlign w:val="center"/>
          </w:tcPr>
          <w:p>
            <w:pPr>
              <w:snapToGrid w:val="0"/>
              <w:jc w:val="center"/>
              <w:rPr>
                <w:rFonts w:hint="default" w:ascii="Times New Roman" w:hAnsi="Times New Roman" w:eastAsia="仿宋" w:cs="Times New Roman"/>
                <w:szCs w:val="21"/>
                <w:highlight w:val="none"/>
                <w:lang w:val="en-US" w:eastAsia="zh-CN"/>
              </w:rPr>
            </w:pPr>
            <w:r>
              <w:rPr>
                <w:rFonts w:hint="default" w:eastAsia="仿宋" w:cs="Times New Roman"/>
                <w:szCs w:val="21"/>
                <w:highlight w:val="none"/>
                <w:lang w:val="en-US" w:eastAsia="zh-CN"/>
              </w:rPr>
              <w:t>9</w:t>
            </w:r>
          </w:p>
        </w:tc>
        <w:tc>
          <w:tcPr>
            <w:tcW w:w="2655" w:type="dxa"/>
            <w:vAlign w:val="center"/>
          </w:tcPr>
          <w:p>
            <w:pPr>
              <w:snapToGrid w:val="0"/>
              <w:jc w:val="left"/>
              <w:rPr>
                <w:rFonts w:hint="default" w:ascii="Times New Roman" w:hAnsi="Times New Roman" w:eastAsia="仿宋" w:cs="Times New Roman"/>
                <w:szCs w:val="21"/>
                <w:highlight w:val="none"/>
              </w:rPr>
            </w:pPr>
            <w:r>
              <w:rPr>
                <w:rFonts w:hint="eastAsia" w:ascii="仿宋" w:hAnsi="仿宋" w:eastAsia="仿宋" w:cs="仿宋_GB2312"/>
                <w:szCs w:val="21"/>
                <w:highlight w:val="none"/>
              </w:rPr>
              <w:t>符合本次采购项目的供应商企业类型</w:t>
            </w:r>
          </w:p>
        </w:tc>
        <w:tc>
          <w:tcPr>
            <w:tcW w:w="4677" w:type="dxa"/>
            <w:vAlign w:val="center"/>
          </w:tcPr>
          <w:p>
            <w:pPr>
              <w:snapToGrid w:val="0"/>
              <w:jc w:val="both"/>
              <w:rPr>
                <w:rFonts w:hint="default" w:ascii="Times New Roman" w:hAnsi="Times New Roman" w:eastAsia="仿宋" w:cs="Times New Roman"/>
                <w:szCs w:val="21"/>
                <w:highlight w:val="none"/>
              </w:rPr>
            </w:pPr>
            <w:r>
              <w:rPr>
                <w:rFonts w:hint="eastAsia" w:ascii="仿宋" w:hAnsi="仿宋" w:eastAsia="仿宋" w:cs="仿宋_GB2312"/>
                <w:szCs w:val="21"/>
                <w:highlight w:val="none"/>
              </w:rPr>
              <w:t>本项目为专门面向小微企业的项目，供应商应为小微企业（需如实填写《中小企业声明函》）</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hint="default" w:ascii="Times New Roman" w:hAnsi="Times New Roman" w:eastAsia="仿宋" w:cs="Times New Roman"/>
                <w:szCs w:val="21"/>
                <w:highlight w:val="none"/>
                <w:lang w:val="en-US" w:eastAsia="zh-CN"/>
              </w:rPr>
            </w:pPr>
            <w:r>
              <w:rPr>
                <w:rFonts w:hint="eastAsia" w:eastAsia="仿宋" w:cs="Times New Roman"/>
                <w:szCs w:val="21"/>
                <w:highlight w:val="none"/>
                <w:lang w:val="en-US" w:eastAsia="zh-CN"/>
              </w:rPr>
              <w:t>10</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供应商特定资格条件</w:t>
            </w:r>
          </w:p>
        </w:tc>
        <w:tc>
          <w:tcPr>
            <w:tcW w:w="4677" w:type="dxa"/>
            <w:vAlign w:val="center"/>
          </w:tcPr>
          <w:p>
            <w:pPr>
              <w:numPr>
                <w:ilvl w:val="0"/>
                <w:numId w:val="8"/>
              </w:numPr>
              <w:snapToGrid w:val="0"/>
              <w:jc w:val="both"/>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r>
              <w:rPr>
                <w:rFonts w:hint="default" w:ascii="Times New Roman" w:hAnsi="Times New Roman" w:eastAsia="仿宋" w:cs="Times New Roman"/>
                <w:szCs w:val="21"/>
                <w:highlight w:val="none"/>
                <w:lang w:val="en-US" w:eastAsia="zh-CN"/>
              </w:rPr>
              <w:t>；</w:t>
            </w:r>
          </w:p>
          <w:p>
            <w:pPr>
              <w:numPr>
                <w:ilvl w:val="0"/>
                <w:numId w:val="8"/>
              </w:numPr>
              <w:snapToGrid w:val="0"/>
              <w:jc w:val="both"/>
              <w:rPr>
                <w:rFonts w:hint="default" w:ascii="Times New Roman" w:hAnsi="Times New Roman" w:eastAsia="仿宋" w:cs="Times New Roman"/>
                <w:szCs w:val="21"/>
                <w:highlight w:val="none"/>
              </w:rPr>
            </w:pPr>
            <w:r>
              <w:rPr>
                <w:rFonts w:hint="default" w:ascii="Times New Roman" w:hAnsi="Times New Roman" w:eastAsia="仿宋" w:cs="Times New Roman"/>
                <w:kern w:val="2"/>
                <w:sz w:val="21"/>
                <w:szCs w:val="21"/>
                <w:highlight w:val="none"/>
              </w:rPr>
              <w:t>供应商须提供</w:t>
            </w:r>
            <w:r>
              <w:rPr>
                <w:rFonts w:hint="default" w:ascii="Times New Roman" w:hAnsi="Times New Roman" w:eastAsia="仿宋" w:cs="Times New Roman"/>
                <w:kern w:val="2"/>
                <w:sz w:val="21"/>
                <w:szCs w:val="21"/>
                <w:highlight w:val="none"/>
                <w:lang w:val="en-US" w:eastAsia="zh-CN"/>
              </w:rPr>
              <w:t>有效的</w:t>
            </w:r>
            <w:r>
              <w:rPr>
                <w:rFonts w:hint="default" w:ascii="Times New Roman" w:hAnsi="Times New Roman" w:eastAsia="仿宋" w:cs="Times New Roman"/>
                <w:kern w:val="2"/>
                <w:sz w:val="21"/>
                <w:szCs w:val="21"/>
                <w:highlight w:val="none"/>
                <w:lang w:eastAsia="zh-CN"/>
              </w:rPr>
              <w:t>《劳务派遣经营许可证》或《人力资源服务许可证》。</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p>
        </w:tc>
        <w:tc>
          <w:tcPr>
            <w:tcW w:w="2655"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结论</w:t>
            </w:r>
          </w:p>
        </w:tc>
        <w:tc>
          <w:tcPr>
            <w:tcW w:w="4677" w:type="dxa"/>
          </w:tcPr>
          <w:p>
            <w:pPr>
              <w:snapToGrid w:val="0"/>
              <w:jc w:val="center"/>
              <w:rPr>
                <w:rFonts w:hint="default" w:ascii="Times New Roman" w:hAnsi="Times New Roman" w:eastAsia="仿宋" w:cs="Times New Roman"/>
                <w:szCs w:val="21"/>
                <w:highlight w:val="none"/>
              </w:rPr>
            </w:pP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bl>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szCs w:val="21"/>
          <w:highlight w:val="none"/>
        </w:rPr>
        <w:t>注：符合要求用“√”表示，不符合用“×”表示。有一项不符合要求，结论为不合格。</w:t>
      </w:r>
      <w:r>
        <w:rPr>
          <w:rFonts w:hint="default" w:ascii="Times New Roman" w:hAnsi="Times New Roman" w:eastAsia="仿宋" w:cs="Times New Roman"/>
          <w:szCs w:val="21"/>
          <w:highlight w:val="none"/>
        </w:rPr>
        <w:br w:type="page"/>
      </w:r>
      <w:r>
        <w:rPr>
          <w:rFonts w:hint="default" w:ascii="Times New Roman" w:hAnsi="Times New Roman" w:eastAsia="仿宋" w:cs="Times New Roman"/>
          <w:b/>
          <w:sz w:val="30"/>
          <w:szCs w:val="30"/>
          <w:highlight w:val="none"/>
        </w:rPr>
        <w:t>附表二 符合性审查表</w:t>
      </w:r>
    </w:p>
    <w:tbl>
      <w:tblPr>
        <w:tblStyle w:val="50"/>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2"/>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序号</w:t>
            </w:r>
          </w:p>
        </w:tc>
        <w:tc>
          <w:tcPr>
            <w:tcW w:w="1723"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评审项目</w:t>
            </w:r>
          </w:p>
        </w:tc>
        <w:tc>
          <w:tcPr>
            <w:tcW w:w="5402"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评审结论</w:t>
            </w:r>
          </w:p>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w:t>
            </w:r>
            <w:r>
              <w:rPr>
                <w:rFonts w:hint="default" w:ascii="Times New Roman" w:hAnsi="Times New Roman" w:eastAsia="仿宋" w:cs="Times New Roman"/>
                <w:szCs w:val="21"/>
                <w:highlight w:val="none"/>
              </w:rPr>
              <w:t>○</w:t>
            </w:r>
            <w:r>
              <w:rPr>
                <w:rFonts w:hint="default" w:ascii="Times New Roman" w:hAnsi="Times New Roman" w:eastAsia="仿宋" w:cs="Times New Roman"/>
                <w:b/>
                <w:caps/>
                <w:szCs w:val="21"/>
                <w:highlight w:val="none"/>
              </w:rPr>
              <w:t>/</w:t>
            </w:r>
            <w:r>
              <w:rPr>
                <w:rFonts w:hint="default" w:ascii="Times New Roman" w:hAnsi="Times New Roman" w:eastAsia="仿宋" w:cs="Times New Roman"/>
                <w:szCs w:val="21"/>
                <w:highlight w:val="none"/>
              </w:rPr>
              <w:t>×</w:t>
            </w:r>
            <w:r>
              <w:rPr>
                <w:rFonts w:hint="default" w:ascii="Times New Roman" w:hAnsi="Times New Roman" w:eastAsia="仿宋" w:cs="Times New Roman"/>
                <w:b/>
                <w:caps/>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磋商文件盖章</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响应文件盖章满足磋商文件的要求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响应文件签字</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响应文件法定代表人（或其他组织负责人）或其授权代表签字盖章满足磋商文件的要求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有效期</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响应文件有效期满足磋商文件的要求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保证金</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保证金提交符合磋商文件要求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报价</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供应商首次磋商报价未出现选择性报价，首次磋商报价未超出采购预算</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6"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合同条款</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响应文件中对合同草案条款未附加采购人难以接受的条件</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1"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7</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磋商内容</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磋商内容未出现漏项，与要求相符，未出现重大负偏差</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8</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合理报价</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响应报价未与市场价偏离较大，低于成本，形成不正当竞争</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jc w:val="center"/>
        </w:trPr>
        <w:tc>
          <w:tcPr>
            <w:tcW w:w="2564" w:type="dxa"/>
            <w:gridSpan w:val="2"/>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b/>
                <w:szCs w:val="21"/>
                <w:highlight w:val="none"/>
              </w:rPr>
              <w:t>结论（通过或未通过）</w:t>
            </w:r>
          </w:p>
        </w:tc>
        <w:tc>
          <w:tcPr>
            <w:tcW w:w="5402"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bl>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注：1、符合磋商文件要求用“</w:t>
      </w:r>
      <w:r>
        <w:rPr>
          <w:rFonts w:hint="default" w:ascii="Times New Roman" w:hAnsi="Times New Roman" w:eastAsia="仿宋" w:cs="Times New Roman"/>
          <w:b w:val="0"/>
          <w:bCs/>
          <w:szCs w:val="21"/>
          <w:highlight w:val="none"/>
        </w:rPr>
        <w:t>√</w:t>
      </w:r>
      <w:r>
        <w:rPr>
          <w:rFonts w:hint="default" w:ascii="Times New Roman" w:hAnsi="Times New Roman" w:eastAsia="仿宋" w:cs="Times New Roman"/>
          <w:b/>
          <w:szCs w:val="21"/>
          <w:highlight w:val="none"/>
        </w:rPr>
        <w:t>”表示，不符合用“×”表示。有一项不符合要求，结论为不合格。</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2、有下列情形之一的，视为供应商相互串通：</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（1）不同供应商的响应文件由同一单位或者个人编制；</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（2）不同供应商委托同一单位或者个人办理参与磋商事宜；</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（3）不同供应商的响应文件载明的项目管理成员或者联系人员为同一人；</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（4）不同供应商的响应文件异常一致或者报价呈规律性差异；</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（5）不同供应商的响应文件相互混装；</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（6）不同供应商的磋商保证金从同一单位或者个人的账户转出。</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3、有下列情形之一的，属于提供虚假材料谋取成交的行为：</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（1）使用伪造、变造的许可证件；</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（2）提供虚假的财务状况或者业绩；</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（3）提供虚假的项目负责人或者主要技术人员简历、劳动关系证明；</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（4）提供虚假的信用状况；</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（5）其他弄虚作假的行为。</w:t>
      </w:r>
    </w:p>
    <w:p>
      <w:pPr>
        <w:tabs>
          <w:tab w:val="left" w:pos="1260"/>
          <w:tab w:val="left" w:pos="1620"/>
        </w:tabs>
        <w:adjustRightInd w:val="0"/>
        <w:spacing w:line="360" w:lineRule="auto"/>
        <w:jc w:val="center"/>
        <w:textAlignment w:val="baseline"/>
        <w:rPr>
          <w:rFonts w:hint="default" w:ascii="Times New Roman" w:hAnsi="Times New Roman" w:eastAsia="仿宋" w:cs="Times New Roman"/>
          <w:b/>
          <w:sz w:val="30"/>
          <w:szCs w:val="30"/>
          <w:highlight w:val="none"/>
        </w:rPr>
      </w:pPr>
      <w:r>
        <w:rPr>
          <w:rFonts w:hint="default" w:ascii="Times New Roman" w:hAnsi="Times New Roman" w:eastAsia="仿宋" w:cs="Times New Roman"/>
          <w:b/>
          <w:szCs w:val="21"/>
          <w:highlight w:val="none"/>
        </w:rPr>
        <w:br w:type="page"/>
      </w:r>
      <w:bookmarkStart w:id="429" w:name="_Toc410631198"/>
      <w:bookmarkStart w:id="430" w:name="_Toc7005048"/>
      <w:bookmarkStart w:id="431" w:name="_Toc414446034"/>
      <w:r>
        <w:rPr>
          <w:rFonts w:hint="default" w:ascii="Times New Roman" w:hAnsi="Times New Roman" w:eastAsia="仿宋" w:cs="Times New Roman"/>
          <w:b/>
          <w:sz w:val="30"/>
          <w:szCs w:val="30"/>
          <w:highlight w:val="none"/>
        </w:rPr>
        <w:t xml:space="preserve">附表三 </w:t>
      </w:r>
      <w:bookmarkEnd w:id="429"/>
      <w:bookmarkEnd w:id="430"/>
      <w:bookmarkEnd w:id="431"/>
      <w:r>
        <w:rPr>
          <w:rFonts w:hint="default" w:ascii="Times New Roman" w:hAnsi="Times New Roman" w:eastAsia="仿宋" w:cs="Times New Roman"/>
          <w:b/>
          <w:sz w:val="30"/>
          <w:szCs w:val="30"/>
          <w:highlight w:val="none"/>
        </w:rPr>
        <w:t>评审因素及权值</w:t>
      </w:r>
    </w:p>
    <w:p>
      <w:pPr>
        <w:tabs>
          <w:tab w:val="left" w:pos="-94"/>
          <w:tab w:val="left" w:pos="1620"/>
        </w:tabs>
        <w:adjustRightInd w:val="0"/>
        <w:spacing w:line="360" w:lineRule="auto"/>
        <w:ind w:left="23" w:leftChars="11"/>
        <w:jc w:val="center"/>
        <w:textAlignment w:val="baseline"/>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（满分100分）</w:t>
      </w:r>
    </w:p>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bookmarkStart w:id="432" w:name="_Toc63697169"/>
    </w:p>
    <w:tbl>
      <w:tblPr>
        <w:tblStyle w:val="50"/>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02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评标因素</w:t>
            </w:r>
          </w:p>
        </w:tc>
        <w:tc>
          <w:tcPr>
            <w:tcW w:w="1029" w:type="dxa"/>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权值%</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color w:val="auto"/>
                <w:szCs w:val="21"/>
                <w:highlight w:val="none"/>
                <w:lang w:val="zh-CN"/>
              </w:rPr>
            </w:pPr>
            <w:r>
              <w:rPr>
                <w:rFonts w:hint="default" w:ascii="Times New Roman" w:hAnsi="Times New Roman" w:eastAsia="仿宋" w:cs="Times New Roman"/>
                <w:b/>
                <w:bCs/>
                <w:color w:val="auto"/>
                <w:szCs w:val="21"/>
                <w:highlight w:val="none"/>
                <w:lang w:val="zh-CN"/>
              </w:rPr>
              <w:t>价格</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
                <w:bCs/>
                <w:color w:val="auto"/>
                <w:szCs w:val="21"/>
                <w:highlight w:val="none"/>
              </w:rPr>
              <w:t>20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满足磋商文件要求且最终磋商报价最低的为基准价，其价格分为满分。其他磋商供应商的价格分统一按照下列公式计算：最终磋商报价得分=（基准价/最终磋商报价）×价格权值%×100（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服务方案</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eastAsia="zh-CN"/>
              </w:rPr>
            </w:pPr>
            <w:r>
              <w:rPr>
                <w:rFonts w:hint="default" w:ascii="Times New Roman" w:hAnsi="Times New Roman" w:eastAsia="仿宋" w:cs="Times New Roman"/>
                <w:b/>
                <w:bCs/>
                <w:szCs w:val="21"/>
                <w:highlight w:val="none"/>
                <w:lang w:val="en-US" w:eastAsia="zh-CN"/>
              </w:rPr>
              <w:t>60</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1、</w:t>
            </w:r>
            <w:r>
              <w:rPr>
                <w:rFonts w:hint="default" w:ascii="Times New Roman" w:hAnsi="Times New Roman" w:eastAsia="仿宋" w:cs="Times New Roman"/>
                <w:szCs w:val="21"/>
                <w:highlight w:val="none"/>
                <w:lang w:val="zh-CN"/>
              </w:rPr>
              <w:t>供应商依照采购人规定及岗位需求，结合工作实际情况，针对采购人要求的服务主要内容、服务工作要求、工作内容要求制订切实可行的整体服务方案，实现项目服务目标。</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方案详细具体、科学合理、可行性高，得（</w:t>
            </w:r>
            <w:r>
              <w:rPr>
                <w:rFonts w:hint="default" w:ascii="Times New Roman" w:hAnsi="Times New Roman" w:eastAsia="仿宋" w:cs="Times New Roman"/>
                <w:color w:val="auto"/>
                <w:szCs w:val="21"/>
                <w:highlight w:val="none"/>
                <w:lang w:val="en-US" w:eastAsia="zh-CN"/>
              </w:rPr>
              <w:t>8</w:t>
            </w:r>
            <w:r>
              <w:rPr>
                <w:rFonts w:hint="default" w:ascii="Times New Roman" w:hAnsi="Times New Roman" w:eastAsia="仿宋" w:cs="Times New Roman"/>
                <w:color w:val="auto"/>
                <w:szCs w:val="21"/>
                <w:highlight w:val="none"/>
                <w:lang w:val="zh-CN"/>
              </w:rPr>
              <w:t>-1</w:t>
            </w:r>
            <w:r>
              <w:rPr>
                <w:rFonts w:hint="default" w:ascii="Times New Roman" w:hAnsi="Times New Roman" w:eastAsia="仿宋" w:cs="Times New Roman"/>
                <w:color w:val="auto"/>
                <w:szCs w:val="21"/>
                <w:highlight w:val="none"/>
                <w:lang w:val="en-US" w:eastAsia="zh-CN"/>
              </w:rPr>
              <w:t>2</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方案较详细、较合理、可行性较高，得（4-</w:t>
            </w:r>
            <w:r>
              <w:rPr>
                <w:rFonts w:hint="default" w:ascii="Times New Roman" w:hAnsi="Times New Roman" w:eastAsia="仿宋" w:cs="Times New Roman"/>
                <w:color w:val="auto"/>
                <w:szCs w:val="21"/>
                <w:highlight w:val="none"/>
                <w:lang w:val="en-US" w:eastAsia="zh-CN"/>
              </w:rPr>
              <w:t>8</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方案一般、可行性一般的，得[1-4]分；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不提供方案的，得0分。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en-US" w:eastAsia="zh-CN"/>
              </w:rPr>
              <w:t>2、</w:t>
            </w:r>
            <w:r>
              <w:rPr>
                <w:rFonts w:hint="default" w:ascii="Times New Roman" w:hAnsi="Times New Roman" w:eastAsia="仿宋" w:cs="Times New Roman"/>
                <w:color w:val="auto"/>
                <w:szCs w:val="21"/>
                <w:highlight w:val="none"/>
                <w:lang w:val="zh-CN"/>
              </w:rPr>
              <w:t>针对本项目所招聘人员进行培训，提供岗前培训、定期培训，并制定详细、可行的培训方案，保证上岗人员的专业素质，服务质量符合采购人要求</w:t>
            </w:r>
            <w:r>
              <w:rPr>
                <w:rFonts w:hint="default" w:ascii="Times New Roman" w:hAnsi="Times New Roman" w:eastAsia="仿宋" w:cs="Times New Roman"/>
                <w:color w:val="auto"/>
                <w:szCs w:val="21"/>
                <w:highlight w:val="none"/>
                <w:lang w:val="zh-CN" w:eastAsia="zh-CN"/>
              </w:rPr>
              <w:t>。</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内容详细完整，详细具体可行得（</w:t>
            </w:r>
            <w:r>
              <w:rPr>
                <w:rFonts w:hint="default" w:ascii="Times New Roman" w:hAnsi="Times New Roman" w:eastAsia="仿宋" w:cs="Times New Roman"/>
                <w:color w:val="auto"/>
                <w:szCs w:val="21"/>
                <w:highlight w:val="none"/>
                <w:lang w:val="en-US" w:eastAsia="zh-CN"/>
              </w:rPr>
              <w:t>7</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szCs w:val="21"/>
                <w:highlight w:val="none"/>
                <w:lang w:val="en-US" w:eastAsia="zh-CN"/>
              </w:rPr>
              <w:t>10</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较完整得（</w:t>
            </w:r>
            <w:r>
              <w:rPr>
                <w:rFonts w:hint="default" w:ascii="Times New Roman" w:hAnsi="Times New Roman" w:eastAsia="仿宋" w:cs="Times New Roman"/>
                <w:color w:val="auto"/>
                <w:kern w:val="2"/>
                <w:sz w:val="21"/>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en-US" w:eastAsia="zh-CN"/>
              </w:rPr>
              <w:t>7</w:t>
            </w:r>
            <w:r>
              <w:rPr>
                <w:rFonts w:hint="default" w:ascii="Times New Roman" w:hAnsi="Times New Roman" w:eastAsia="仿宋" w:cs="Times New Roman"/>
                <w:color w:val="auto"/>
                <w:kern w:val="2"/>
                <w:sz w:val="21"/>
                <w:szCs w:val="21"/>
                <w:highlight w:val="none"/>
                <w:lang w:val="zh-CN" w:eastAsia="zh-CN"/>
              </w:rPr>
              <w:t>]</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kern w:val="2"/>
                <w:sz w:val="21"/>
                <w:szCs w:val="21"/>
                <w:highlight w:val="none"/>
                <w:lang w:val="zh-CN" w:eastAsia="zh-CN"/>
              </w:rPr>
            </w:pPr>
            <w:r>
              <w:rPr>
                <w:rFonts w:hint="default" w:ascii="Times New Roman" w:hAnsi="Times New Roman" w:eastAsia="仿宋" w:cs="Times New Roman"/>
                <w:color w:val="auto"/>
                <w:szCs w:val="21"/>
                <w:highlight w:val="none"/>
                <w:lang w:val="zh-CN"/>
              </w:rPr>
              <w:t>一般得[1-</w:t>
            </w:r>
            <w:r>
              <w:rPr>
                <w:rFonts w:hint="default"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zh-CN" w:eastAsia="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不提供方案的，得0分。</w:t>
            </w:r>
          </w:p>
          <w:p>
            <w:pPr>
              <w:numPr>
                <w:ilvl w:val="-1"/>
                <w:numId w:val="0"/>
              </w:numPr>
              <w:snapToGrid w:val="0"/>
              <w:jc w:val="left"/>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Cs w:val="21"/>
                <w:highlight w:val="none"/>
                <w:lang w:val="en-US" w:eastAsia="zh-CN"/>
              </w:rPr>
              <w:t>3、</w:t>
            </w:r>
            <w:r>
              <w:rPr>
                <w:rFonts w:hint="default" w:ascii="Times New Roman" w:hAnsi="Times New Roman" w:eastAsia="仿宋" w:cs="Times New Roman"/>
                <w:color w:val="auto"/>
                <w:sz w:val="21"/>
                <w:szCs w:val="21"/>
                <w:highlight w:val="none"/>
                <w:lang w:val="zh-CN"/>
              </w:rPr>
              <w:t>供应商制定了完善的</w:t>
            </w:r>
            <w:r>
              <w:rPr>
                <w:rFonts w:hint="default" w:ascii="Times New Roman" w:hAnsi="Times New Roman" w:eastAsia="仿宋" w:cs="Times New Roman"/>
                <w:color w:val="auto"/>
                <w:szCs w:val="21"/>
                <w:highlight w:val="none"/>
                <w:lang w:val="zh-CN" w:bidi="ar"/>
              </w:rPr>
              <w:t>管理制度</w:t>
            </w:r>
            <w:r>
              <w:rPr>
                <w:rFonts w:hint="default" w:ascii="Times New Roman" w:hAnsi="Times New Roman" w:eastAsia="仿宋" w:cs="Times New Roman"/>
                <w:color w:val="auto"/>
                <w:sz w:val="21"/>
                <w:szCs w:val="21"/>
                <w:highlight w:val="none"/>
                <w:lang w:val="zh-CN"/>
              </w:rPr>
              <w:t>，</w:t>
            </w:r>
            <w:r>
              <w:rPr>
                <w:rFonts w:hint="default" w:ascii="Times New Roman" w:hAnsi="Times New Roman" w:eastAsia="仿宋" w:cs="Times New Roman"/>
                <w:color w:val="auto"/>
                <w:sz w:val="21"/>
                <w:szCs w:val="21"/>
                <w:highlight w:val="none"/>
                <w:lang w:val="zh-CN" w:eastAsia="zh-CN"/>
              </w:rPr>
              <w:t>具有可行的内控制度、保密制度、廉洁敬业制度</w:t>
            </w:r>
            <w:r>
              <w:rPr>
                <w:rFonts w:hint="default" w:ascii="Times New Roman" w:hAnsi="Times New Roman" w:eastAsia="仿宋" w:cs="Times New Roman"/>
                <w:color w:val="auto"/>
                <w:sz w:val="21"/>
                <w:szCs w:val="21"/>
                <w:highlight w:val="none"/>
                <w:lang w:val="en-US" w:eastAsia="zh-CN"/>
              </w:rPr>
              <w:t>以及</w:t>
            </w:r>
            <w:r>
              <w:rPr>
                <w:rFonts w:hint="default" w:ascii="Times New Roman" w:hAnsi="Times New Roman" w:eastAsia="仿宋" w:cs="Times New Roman"/>
                <w:color w:val="auto"/>
                <w:szCs w:val="21"/>
                <w:highlight w:val="none"/>
                <w:lang w:val="zh-CN" w:bidi="ar"/>
              </w:rPr>
              <w:t>工作程序制度和</w:t>
            </w:r>
            <w:r>
              <w:rPr>
                <w:rFonts w:hint="default" w:ascii="Times New Roman" w:hAnsi="Times New Roman" w:eastAsia="仿宋" w:cs="Times New Roman"/>
                <w:color w:val="auto"/>
                <w:sz w:val="21"/>
                <w:szCs w:val="21"/>
                <w:highlight w:val="none"/>
                <w:lang w:val="zh-CN"/>
              </w:rPr>
              <w:t>人员管理办法等内容。</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管理制度齐全、合理，得（</w:t>
            </w:r>
            <w:r>
              <w:rPr>
                <w:rFonts w:hint="default" w:ascii="Times New Roman" w:hAnsi="Times New Roman" w:eastAsia="仿宋" w:cs="Times New Roman"/>
                <w:color w:val="auto"/>
                <w:szCs w:val="21"/>
                <w:highlight w:val="none"/>
                <w:lang w:val="en-US" w:eastAsia="zh-CN"/>
              </w:rPr>
              <w:t>7</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szCs w:val="21"/>
                <w:highlight w:val="none"/>
                <w:lang w:val="en-US" w:eastAsia="zh-CN"/>
              </w:rPr>
              <w:t>10</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kern w:val="2"/>
                <w:sz w:val="21"/>
                <w:szCs w:val="21"/>
                <w:highlight w:val="none"/>
                <w:lang w:val="zh-CN" w:eastAsia="zh-CN"/>
              </w:rPr>
            </w:pPr>
            <w:r>
              <w:rPr>
                <w:rFonts w:hint="default" w:ascii="Times New Roman" w:hAnsi="Times New Roman" w:eastAsia="仿宋" w:cs="Times New Roman"/>
                <w:color w:val="auto"/>
                <w:kern w:val="2"/>
                <w:sz w:val="21"/>
                <w:szCs w:val="21"/>
                <w:highlight w:val="none"/>
                <w:lang w:val="zh-CN" w:eastAsia="zh-CN"/>
              </w:rPr>
              <w:t>管理制度一般，较符合采购需求计</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en-US" w:eastAsia="zh-CN"/>
              </w:rPr>
              <w:t>7</w:t>
            </w:r>
            <w:r>
              <w:rPr>
                <w:rFonts w:hint="default" w:ascii="Times New Roman" w:hAnsi="Times New Roman" w:eastAsia="仿宋" w:cs="Times New Roman"/>
                <w:color w:val="auto"/>
                <w:kern w:val="2"/>
                <w:sz w:val="21"/>
                <w:szCs w:val="21"/>
                <w:highlight w:val="none"/>
                <w:lang w:val="zh-CN" w:eastAsia="zh-CN"/>
              </w:rPr>
              <w:t>]分；</w:t>
            </w:r>
          </w:p>
          <w:p>
            <w:pPr>
              <w:numPr>
                <w:ilvl w:val="-1"/>
                <w:numId w:val="0"/>
              </w:numPr>
              <w:snapToGrid w:val="0"/>
              <w:jc w:val="left"/>
              <w:rPr>
                <w:rFonts w:hint="default" w:ascii="Times New Roman" w:hAnsi="Times New Roman" w:eastAsia="仿宋" w:cs="Times New Roman"/>
                <w:color w:val="auto"/>
                <w:kern w:val="2"/>
                <w:sz w:val="21"/>
                <w:szCs w:val="21"/>
                <w:highlight w:val="none"/>
                <w:lang w:val="zh-CN" w:eastAsia="zh-CN"/>
              </w:rPr>
            </w:pPr>
            <w:r>
              <w:rPr>
                <w:rFonts w:hint="default" w:ascii="Times New Roman" w:hAnsi="Times New Roman" w:eastAsia="仿宋" w:cs="Times New Roman"/>
                <w:color w:val="auto"/>
                <w:kern w:val="2"/>
                <w:sz w:val="21"/>
                <w:szCs w:val="21"/>
                <w:highlight w:val="none"/>
                <w:lang w:val="zh-CN" w:eastAsia="zh-CN"/>
              </w:rPr>
              <w:t>管理制度内容欠缺，空泛计</w:t>
            </w:r>
            <w:r>
              <w:rPr>
                <w:rFonts w:hint="default" w:ascii="Times New Roman" w:hAnsi="Times New Roman" w:eastAsia="仿宋" w:cs="Times New Roman"/>
                <w:color w:val="auto"/>
                <w:szCs w:val="21"/>
                <w:highlight w:val="none"/>
                <w:lang w:val="zh-CN"/>
              </w:rPr>
              <w:t>[1-</w:t>
            </w:r>
            <w:r>
              <w:rPr>
                <w:rFonts w:hint="default"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zh-CN" w:eastAsia="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不提供方案的，得0分。</w:t>
            </w:r>
          </w:p>
          <w:p>
            <w:pPr>
              <w:numPr>
                <w:ilvl w:val="-1"/>
                <w:numId w:val="0"/>
              </w:numPr>
              <w:snapToGrid w:val="0"/>
              <w:jc w:val="left"/>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lang w:val="zh-CN"/>
              </w:rPr>
              <w:t>供应商针对本项目服务过程突发和临时事件的预计、应急处理能力，制定完善、具体、可行的应急预案。</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内容详细完整，详细具体可行得（</w:t>
            </w:r>
            <w:r>
              <w:rPr>
                <w:rFonts w:hint="default" w:ascii="Times New Roman" w:hAnsi="Times New Roman" w:eastAsia="仿宋" w:cs="Times New Roman"/>
                <w:color w:val="auto"/>
                <w:szCs w:val="21"/>
                <w:highlight w:val="none"/>
                <w:lang w:val="en-US" w:eastAsia="zh-CN"/>
              </w:rPr>
              <w:t>7</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szCs w:val="21"/>
                <w:highlight w:val="none"/>
                <w:lang w:val="en-US" w:eastAsia="zh-CN"/>
              </w:rPr>
              <w:t>10</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较完整得（</w:t>
            </w:r>
            <w:r>
              <w:rPr>
                <w:rFonts w:hint="default" w:ascii="Times New Roman" w:hAnsi="Times New Roman" w:eastAsia="仿宋" w:cs="Times New Roman"/>
                <w:color w:val="auto"/>
                <w:kern w:val="2"/>
                <w:sz w:val="21"/>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en-US" w:eastAsia="zh-CN"/>
              </w:rPr>
              <w:t>7</w:t>
            </w:r>
            <w:r>
              <w:rPr>
                <w:rFonts w:hint="default" w:ascii="Times New Roman" w:hAnsi="Times New Roman" w:eastAsia="仿宋" w:cs="Times New Roman"/>
                <w:color w:val="auto"/>
                <w:kern w:val="2"/>
                <w:sz w:val="21"/>
                <w:szCs w:val="21"/>
                <w:highlight w:val="none"/>
                <w:lang w:val="zh-CN" w:eastAsia="zh-CN"/>
              </w:rPr>
              <w:t>]</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kern w:val="2"/>
                <w:sz w:val="21"/>
                <w:szCs w:val="21"/>
                <w:highlight w:val="none"/>
                <w:lang w:val="zh-CN" w:eastAsia="zh-CN"/>
              </w:rPr>
            </w:pPr>
            <w:r>
              <w:rPr>
                <w:rFonts w:hint="default" w:ascii="Times New Roman" w:hAnsi="Times New Roman" w:eastAsia="仿宋" w:cs="Times New Roman"/>
                <w:color w:val="auto"/>
                <w:szCs w:val="21"/>
                <w:highlight w:val="none"/>
                <w:lang w:val="zh-CN"/>
              </w:rPr>
              <w:t>一般得[1-</w:t>
            </w:r>
            <w:r>
              <w:rPr>
                <w:rFonts w:hint="default"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zh-CN" w:eastAsia="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不提供方案的，得0分。</w:t>
            </w:r>
          </w:p>
          <w:p>
            <w:pPr>
              <w:numPr>
                <w:ilvl w:val="-1"/>
                <w:numId w:val="0"/>
              </w:numPr>
              <w:snapToGrid w:val="0"/>
              <w:jc w:val="left"/>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Cs w:val="21"/>
                <w:highlight w:val="none"/>
                <w:lang w:val="en-US" w:eastAsia="zh-CN"/>
              </w:rPr>
              <w:t>5</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pacing w:val="0"/>
                <w:sz w:val="21"/>
                <w:szCs w:val="21"/>
                <w:highlight w:val="none"/>
                <w:lang w:val="zh-CN"/>
              </w:rPr>
              <w:t>供应商</w:t>
            </w:r>
            <w:r>
              <w:rPr>
                <w:rFonts w:hint="default" w:ascii="Times New Roman" w:hAnsi="Times New Roman" w:eastAsia="仿宋" w:cs="Times New Roman"/>
                <w:color w:val="auto"/>
                <w:sz w:val="21"/>
                <w:szCs w:val="21"/>
                <w:highlight w:val="none"/>
                <w:lang w:val="zh-CN"/>
              </w:rPr>
              <w:t>针对劳务纠纷的处理办法及形式，</w:t>
            </w:r>
            <w:r>
              <w:rPr>
                <w:rFonts w:hint="default" w:ascii="Times New Roman" w:hAnsi="Times New Roman" w:eastAsia="仿宋" w:cs="Times New Roman"/>
                <w:color w:val="auto"/>
                <w:sz w:val="21"/>
                <w:szCs w:val="21"/>
                <w:highlight w:val="none"/>
                <w:lang w:val="en-US" w:eastAsia="zh-CN"/>
              </w:rPr>
              <w:t>以及对</w:t>
            </w:r>
            <w:r>
              <w:rPr>
                <w:rFonts w:hint="default" w:ascii="Times New Roman" w:hAnsi="Times New Roman" w:eastAsia="仿宋" w:cs="Times New Roman"/>
                <w:color w:val="auto"/>
                <w:szCs w:val="21"/>
                <w:highlight w:val="none"/>
                <w:lang w:val="zh-CN"/>
              </w:rPr>
              <w:t>派遣人员因公患病、工伤或工亡的善后工作的处置措施</w:t>
            </w:r>
            <w:r>
              <w:rPr>
                <w:rFonts w:hint="default" w:ascii="Times New Roman" w:hAnsi="Times New Roman" w:eastAsia="仿宋" w:cs="Times New Roman"/>
                <w:color w:val="auto"/>
                <w:sz w:val="21"/>
                <w:szCs w:val="21"/>
                <w:highlight w:val="none"/>
                <w:lang w:val="zh-CN"/>
              </w:rPr>
              <w:t>。</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内容详细完整，详细具体可行得（</w:t>
            </w:r>
            <w:r>
              <w:rPr>
                <w:rFonts w:hint="default" w:ascii="Times New Roman" w:hAnsi="Times New Roman" w:eastAsia="仿宋" w:cs="Times New Roman"/>
                <w:color w:val="auto"/>
                <w:szCs w:val="21"/>
                <w:highlight w:val="none"/>
                <w:lang w:val="en-US" w:eastAsia="zh-CN"/>
              </w:rPr>
              <w:t>7</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szCs w:val="21"/>
                <w:highlight w:val="none"/>
                <w:lang w:val="en-US" w:eastAsia="zh-CN"/>
              </w:rPr>
              <w:t>10</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较完整得（</w:t>
            </w:r>
            <w:r>
              <w:rPr>
                <w:rFonts w:hint="default" w:ascii="Times New Roman" w:hAnsi="Times New Roman" w:eastAsia="仿宋" w:cs="Times New Roman"/>
                <w:color w:val="auto"/>
                <w:kern w:val="2"/>
                <w:sz w:val="21"/>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en-US" w:eastAsia="zh-CN"/>
              </w:rPr>
              <w:t>7</w:t>
            </w:r>
            <w:r>
              <w:rPr>
                <w:rFonts w:hint="default" w:ascii="Times New Roman" w:hAnsi="Times New Roman" w:eastAsia="仿宋" w:cs="Times New Roman"/>
                <w:color w:val="auto"/>
                <w:kern w:val="2"/>
                <w:sz w:val="21"/>
                <w:szCs w:val="21"/>
                <w:highlight w:val="none"/>
                <w:lang w:val="zh-CN" w:eastAsia="zh-CN"/>
              </w:rPr>
              <w:t>]</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kern w:val="2"/>
                <w:sz w:val="21"/>
                <w:szCs w:val="21"/>
                <w:highlight w:val="none"/>
                <w:lang w:val="zh-CN" w:eastAsia="zh-CN"/>
              </w:rPr>
            </w:pPr>
            <w:r>
              <w:rPr>
                <w:rFonts w:hint="default" w:ascii="Times New Roman" w:hAnsi="Times New Roman" w:eastAsia="仿宋" w:cs="Times New Roman"/>
                <w:color w:val="auto"/>
                <w:szCs w:val="21"/>
                <w:highlight w:val="none"/>
                <w:lang w:val="zh-CN"/>
              </w:rPr>
              <w:t>一般得[1-</w:t>
            </w:r>
            <w:r>
              <w:rPr>
                <w:rFonts w:hint="default"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zh-CN" w:eastAsia="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不提供方案的，得0分。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szCs w:val="21"/>
                <w:highlight w:val="none"/>
                <w:lang w:val="zh-CN"/>
              </w:rPr>
              <w:t>、有利于本项目工作顺利进行的合理化建议。</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内容详细完整，详细具体可行得（</w:t>
            </w:r>
            <w:r>
              <w:rPr>
                <w:rFonts w:hint="default" w:ascii="Times New Roman" w:hAnsi="Times New Roman" w:eastAsia="仿宋" w:cs="Times New Roman"/>
                <w:color w:val="auto"/>
                <w:szCs w:val="21"/>
                <w:highlight w:val="none"/>
                <w:lang w:val="en-US" w:eastAsia="zh-CN"/>
              </w:rPr>
              <w:t>6</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szCs w:val="21"/>
                <w:highlight w:val="none"/>
                <w:lang w:val="en-US" w:eastAsia="zh-CN"/>
              </w:rPr>
              <w:t>8</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较完整得（</w:t>
            </w:r>
            <w:r>
              <w:rPr>
                <w:rFonts w:hint="default" w:ascii="Times New Roman" w:hAnsi="Times New Roman" w:eastAsia="仿宋" w:cs="Times New Roman"/>
                <w:color w:val="auto"/>
                <w:kern w:val="2"/>
                <w:sz w:val="21"/>
                <w:szCs w:val="21"/>
                <w:highlight w:val="none"/>
                <w:lang w:val="en-US" w:eastAsia="zh-CN"/>
              </w:rPr>
              <w:t>3</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en-US" w:eastAsia="zh-CN"/>
              </w:rPr>
              <w:t>6</w:t>
            </w:r>
            <w:r>
              <w:rPr>
                <w:rFonts w:hint="default" w:ascii="Times New Roman" w:hAnsi="Times New Roman" w:eastAsia="仿宋" w:cs="Times New Roman"/>
                <w:color w:val="auto"/>
                <w:kern w:val="2"/>
                <w:sz w:val="21"/>
                <w:szCs w:val="21"/>
                <w:highlight w:val="none"/>
                <w:lang w:val="zh-CN" w:eastAsia="zh-CN"/>
              </w:rPr>
              <w:t>]</w:t>
            </w:r>
            <w:r>
              <w:rPr>
                <w:rFonts w:hint="default" w:ascii="Times New Roman" w:hAnsi="Times New Roman" w:eastAsia="仿宋" w:cs="Times New Roman"/>
                <w:color w:val="auto"/>
                <w:szCs w:val="21"/>
                <w:highlight w:val="none"/>
                <w:lang w:val="zh-CN"/>
              </w:rPr>
              <w:t>分；</w:t>
            </w:r>
          </w:p>
          <w:p>
            <w:pPr>
              <w:numPr>
                <w:ilvl w:val="-1"/>
                <w:numId w:val="0"/>
              </w:numPr>
              <w:snapToGrid w:val="0"/>
              <w:jc w:val="left"/>
              <w:rPr>
                <w:rFonts w:hint="default" w:ascii="Times New Roman" w:hAnsi="Times New Roman" w:eastAsia="仿宋" w:cs="Times New Roman"/>
                <w:color w:val="auto"/>
                <w:kern w:val="2"/>
                <w:sz w:val="21"/>
                <w:szCs w:val="21"/>
                <w:highlight w:val="none"/>
                <w:lang w:val="zh-CN" w:eastAsia="zh-CN"/>
              </w:rPr>
            </w:pPr>
            <w:r>
              <w:rPr>
                <w:rFonts w:hint="default" w:ascii="Times New Roman" w:hAnsi="Times New Roman" w:eastAsia="仿宋" w:cs="Times New Roman"/>
                <w:color w:val="auto"/>
                <w:szCs w:val="21"/>
                <w:highlight w:val="none"/>
                <w:lang w:val="zh-CN"/>
              </w:rPr>
              <w:t>一般得[1-</w:t>
            </w:r>
            <w:r>
              <w:rPr>
                <w:rFonts w:hint="default" w:ascii="Times New Roman" w:hAnsi="Times New Roman" w:eastAsia="仿宋" w:cs="Times New Roman"/>
                <w:color w:val="auto"/>
                <w:szCs w:val="21"/>
                <w:highlight w:val="none"/>
                <w:lang w:val="en-US" w:eastAsia="zh-CN"/>
              </w:rPr>
              <w:t>3</w:t>
            </w:r>
            <w:r>
              <w:rPr>
                <w:rFonts w:hint="default" w:ascii="Times New Roman" w:hAnsi="Times New Roman" w:eastAsia="仿宋" w:cs="Times New Roman"/>
                <w:color w:val="auto"/>
                <w:szCs w:val="21"/>
                <w:highlight w:val="none"/>
                <w:lang w:val="zh-CN"/>
              </w:rPr>
              <w:t>]</w:t>
            </w:r>
            <w:r>
              <w:rPr>
                <w:rFonts w:hint="default" w:ascii="Times New Roman" w:hAnsi="Times New Roman" w:eastAsia="仿宋" w:cs="Times New Roman"/>
                <w:color w:val="auto"/>
                <w:kern w:val="2"/>
                <w:sz w:val="21"/>
                <w:szCs w:val="21"/>
                <w:highlight w:val="none"/>
                <w:lang w:val="zh-CN" w:eastAsia="zh-CN"/>
              </w:rPr>
              <w:t>分；</w:t>
            </w:r>
          </w:p>
          <w:p>
            <w:pPr>
              <w:numPr>
                <w:ilvl w:val="0"/>
                <w:numId w:val="0"/>
              </w:numPr>
              <w:snapToGrid w:val="0"/>
              <w:jc w:val="left"/>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不提供方案的，得0分。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adjustRightInd/>
              <w:snapToGrid w:val="0"/>
              <w:jc w:val="center"/>
              <w:rPr>
                <w:rFonts w:hint="default" w:ascii="Times New Roman" w:hAnsi="Times New Roman" w:eastAsia="仿宋" w:cs="Times New Roman"/>
                <w:b/>
                <w:bCs/>
                <w:kern w:val="2"/>
                <w:sz w:val="21"/>
                <w:szCs w:val="21"/>
                <w:highlight w:val="none"/>
                <w:lang w:val="zh-CN"/>
              </w:rPr>
            </w:pPr>
            <w:r>
              <w:rPr>
                <w:rFonts w:hint="default" w:ascii="Times New Roman" w:hAnsi="Times New Roman" w:eastAsia="仿宋" w:cs="Times New Roman"/>
                <w:b/>
                <w:bCs/>
                <w:kern w:val="2"/>
                <w:sz w:val="21"/>
                <w:szCs w:val="21"/>
                <w:highlight w:val="none"/>
                <w:lang w:val="zh-CN"/>
              </w:rPr>
              <w:t>服务</w:t>
            </w:r>
          </w:p>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kern w:val="2"/>
                <w:sz w:val="21"/>
                <w:szCs w:val="21"/>
                <w:highlight w:val="none"/>
                <w:lang w:val="zh-CN"/>
              </w:rPr>
              <w:t>承诺</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rPr>
            </w:pPr>
            <w:r>
              <w:rPr>
                <w:rFonts w:hint="default" w:ascii="Times New Roman" w:hAnsi="Times New Roman" w:eastAsia="仿宋" w:cs="Times New Roman"/>
                <w:b/>
                <w:bCs/>
                <w:szCs w:val="21"/>
                <w:highlight w:val="none"/>
                <w:lang w:val="en-US" w:eastAsia="zh-CN"/>
              </w:rPr>
              <w:t>10</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1"/>
                <w:numId w:val="0"/>
              </w:numPr>
              <w:adjustRightInd/>
              <w:snapToGrid w:val="0"/>
              <w:ind w:right="0" w:rightChars="0" w:firstLine="0" w:firstLineChars="0"/>
              <w:jc w:val="left"/>
              <w:rPr>
                <w:rFonts w:hint="default" w:ascii="Times New Roman" w:hAnsi="Times New Roman" w:eastAsia="仿宋" w:cs="Times New Roman"/>
                <w:kern w:val="2"/>
                <w:sz w:val="21"/>
                <w:szCs w:val="21"/>
                <w:highlight w:val="none"/>
                <w:lang w:val="zh-CN" w:eastAsia="zh-CN" w:bidi="ar-SA"/>
              </w:rPr>
            </w:pPr>
            <w:r>
              <w:rPr>
                <w:rFonts w:hint="default" w:ascii="Times New Roman" w:hAnsi="Times New Roman" w:eastAsia="仿宋" w:cs="Times New Roman"/>
                <w:kern w:val="2"/>
                <w:sz w:val="21"/>
                <w:szCs w:val="21"/>
                <w:highlight w:val="none"/>
                <w:lang w:val="zh-CN" w:eastAsia="zh-CN" w:bidi="ar-SA"/>
              </w:rPr>
              <w:t>1.承诺接受采购人对服务的考核、监督及管理，定期</w:t>
            </w:r>
            <w:r>
              <w:rPr>
                <w:rFonts w:hint="default" w:ascii="Times New Roman" w:hAnsi="Times New Roman" w:eastAsia="仿宋" w:cs="Times New Roman"/>
                <w:kern w:val="2"/>
                <w:sz w:val="21"/>
                <w:szCs w:val="21"/>
                <w:highlight w:val="none"/>
                <w:lang w:val="en-US" w:eastAsia="zh-CN" w:bidi="ar-SA"/>
              </w:rPr>
              <w:t>回访</w:t>
            </w:r>
            <w:r>
              <w:rPr>
                <w:rFonts w:hint="default" w:ascii="Times New Roman" w:hAnsi="Times New Roman" w:eastAsia="仿宋" w:cs="Times New Roman"/>
                <w:kern w:val="2"/>
                <w:sz w:val="21"/>
                <w:szCs w:val="21"/>
                <w:highlight w:val="none"/>
                <w:lang w:val="zh-CN" w:eastAsia="zh-CN" w:bidi="ar-SA"/>
              </w:rPr>
              <w:t>调研采购人对服务质量的满意度并加以改进，确保服务工作的优质高效。根据承诺</w:t>
            </w:r>
            <w:r>
              <w:rPr>
                <w:rFonts w:hint="default" w:ascii="Times New Roman" w:hAnsi="Times New Roman" w:eastAsia="仿宋" w:cs="Times New Roman"/>
                <w:kern w:val="2"/>
                <w:sz w:val="21"/>
                <w:szCs w:val="21"/>
                <w:highlight w:val="none"/>
                <w:lang w:val="zh-CN"/>
              </w:rPr>
              <w:t>内容</w:t>
            </w:r>
            <w:r>
              <w:rPr>
                <w:rFonts w:hint="default" w:ascii="Times New Roman" w:hAnsi="Times New Roman" w:eastAsia="仿宋" w:cs="Times New Roman"/>
                <w:kern w:val="2"/>
                <w:sz w:val="21"/>
                <w:szCs w:val="21"/>
                <w:highlight w:val="none"/>
                <w:lang w:val="zh-CN" w:eastAsia="zh-CN"/>
              </w:rPr>
              <w:t>完整性</w:t>
            </w:r>
            <w:r>
              <w:rPr>
                <w:rFonts w:hint="default" w:ascii="Times New Roman" w:hAnsi="Times New Roman" w:eastAsia="仿宋" w:cs="Times New Roman"/>
                <w:kern w:val="2"/>
                <w:sz w:val="21"/>
                <w:szCs w:val="21"/>
                <w:highlight w:val="none"/>
                <w:lang w:val="zh-CN" w:eastAsia="zh-CN" w:bidi="ar-SA"/>
              </w:rPr>
              <w:t>计</w:t>
            </w: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szCs w:val="21"/>
                <w:highlight w:val="none"/>
                <w:lang w:val="en-US" w:eastAsia="zh-CN"/>
              </w:rPr>
              <w:t>3.5</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分，不提供计0分。</w:t>
            </w:r>
          </w:p>
          <w:p>
            <w:pPr>
              <w:numPr>
                <w:ilvl w:val="-1"/>
                <w:numId w:val="0"/>
              </w:numPr>
              <w:adjustRightInd/>
              <w:snapToGrid w:val="0"/>
              <w:ind w:right="0" w:rightChars="0" w:firstLine="0" w:firstLineChars="0"/>
              <w:jc w:val="left"/>
              <w:rPr>
                <w:rFonts w:hint="default" w:ascii="Times New Roman" w:hAnsi="Times New Roman" w:eastAsia="仿宋" w:cs="Times New Roman"/>
                <w:kern w:val="2"/>
                <w:sz w:val="21"/>
                <w:szCs w:val="21"/>
                <w:highlight w:val="none"/>
                <w:lang w:val="zh-CN" w:eastAsia="zh-CN" w:bidi="ar-SA"/>
              </w:rPr>
            </w:pPr>
            <w:r>
              <w:rPr>
                <w:rFonts w:hint="default" w:ascii="Times New Roman" w:hAnsi="Times New Roman" w:eastAsia="仿宋" w:cs="Times New Roman"/>
                <w:kern w:val="2"/>
                <w:sz w:val="21"/>
                <w:szCs w:val="21"/>
                <w:highlight w:val="none"/>
                <w:lang w:val="zh-CN" w:eastAsia="zh-CN" w:bidi="ar-SA"/>
              </w:rPr>
              <w:t>2.承诺上岗人员固定不随意更换，若出现服务人员因事、病等不能工作的，及时调整其他服务人员进行补充，确保服务工作的正常进行。根据承诺</w:t>
            </w:r>
            <w:r>
              <w:rPr>
                <w:rFonts w:hint="default" w:ascii="Times New Roman" w:hAnsi="Times New Roman" w:eastAsia="仿宋" w:cs="Times New Roman"/>
                <w:kern w:val="2"/>
                <w:sz w:val="21"/>
                <w:szCs w:val="21"/>
                <w:highlight w:val="none"/>
                <w:lang w:val="zh-CN"/>
              </w:rPr>
              <w:t>内容</w:t>
            </w:r>
            <w:r>
              <w:rPr>
                <w:rFonts w:hint="default" w:ascii="Times New Roman" w:hAnsi="Times New Roman" w:eastAsia="仿宋" w:cs="Times New Roman"/>
                <w:kern w:val="2"/>
                <w:sz w:val="21"/>
                <w:szCs w:val="21"/>
                <w:highlight w:val="none"/>
                <w:lang w:val="zh-CN" w:eastAsia="zh-CN"/>
              </w:rPr>
              <w:t>完整性</w:t>
            </w:r>
            <w:r>
              <w:rPr>
                <w:rFonts w:hint="default" w:ascii="Times New Roman" w:hAnsi="Times New Roman" w:eastAsia="仿宋" w:cs="Times New Roman"/>
                <w:kern w:val="2"/>
                <w:sz w:val="21"/>
                <w:szCs w:val="21"/>
                <w:highlight w:val="none"/>
                <w:lang w:val="zh-CN" w:eastAsia="zh-CN" w:bidi="ar-SA"/>
              </w:rPr>
              <w:t>计</w:t>
            </w: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szCs w:val="21"/>
                <w:highlight w:val="none"/>
                <w:lang w:val="en-US" w:eastAsia="zh-CN"/>
              </w:rPr>
              <w:t>3.5</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分，不提供计0分。</w:t>
            </w:r>
          </w:p>
          <w:p>
            <w:pPr>
              <w:numPr>
                <w:ilvl w:val="0"/>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kern w:val="2"/>
                <w:sz w:val="21"/>
                <w:szCs w:val="21"/>
                <w:highlight w:val="none"/>
                <w:lang w:val="zh-CN" w:eastAsia="zh-CN" w:bidi="ar-SA"/>
              </w:rPr>
              <w:t>3.供应商结合自身情况，提供其他有利于本项目开展的承诺。根据承诺</w:t>
            </w:r>
            <w:r>
              <w:rPr>
                <w:rFonts w:hint="default" w:ascii="Times New Roman" w:hAnsi="Times New Roman" w:eastAsia="仿宋" w:cs="Times New Roman"/>
                <w:kern w:val="2"/>
                <w:sz w:val="21"/>
                <w:szCs w:val="21"/>
                <w:highlight w:val="none"/>
                <w:lang w:val="zh-CN"/>
              </w:rPr>
              <w:t>内容</w:t>
            </w:r>
            <w:r>
              <w:rPr>
                <w:rFonts w:hint="default" w:ascii="Times New Roman" w:hAnsi="Times New Roman" w:eastAsia="仿宋" w:cs="Times New Roman"/>
                <w:kern w:val="2"/>
                <w:sz w:val="21"/>
                <w:szCs w:val="21"/>
                <w:highlight w:val="none"/>
                <w:lang w:val="zh-CN" w:eastAsia="zh-CN"/>
              </w:rPr>
              <w:t>完整性</w:t>
            </w:r>
            <w:r>
              <w:rPr>
                <w:rFonts w:hint="default" w:ascii="Times New Roman" w:hAnsi="Times New Roman" w:eastAsia="仿宋" w:cs="Times New Roman"/>
                <w:kern w:val="2"/>
                <w:sz w:val="21"/>
                <w:szCs w:val="21"/>
                <w:highlight w:val="none"/>
                <w:lang w:val="zh-CN" w:eastAsia="zh-CN" w:bidi="ar-SA"/>
              </w:rPr>
              <w:t>计</w:t>
            </w: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szCs w:val="21"/>
                <w:highlight w:val="none"/>
                <w:lang w:val="en-US" w:eastAsia="zh-CN"/>
              </w:rPr>
              <w:t>3</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分，不提供计0分。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业绩</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eastAsia="zh-CN"/>
              </w:rPr>
            </w:pPr>
            <w:r>
              <w:rPr>
                <w:rFonts w:hint="default" w:ascii="Times New Roman" w:hAnsi="Times New Roman" w:eastAsia="仿宋" w:cs="Times New Roman"/>
                <w:b/>
                <w:bCs/>
                <w:szCs w:val="21"/>
                <w:highlight w:val="none"/>
                <w:lang w:val="en-US" w:eastAsia="zh-CN"/>
              </w:rPr>
              <w:t>10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供应商具有（20</w:t>
            </w:r>
            <w:r>
              <w:rPr>
                <w:rFonts w:hint="default" w:ascii="Times New Roman" w:hAnsi="Times New Roman" w:eastAsia="仿宋" w:cs="Times New Roman"/>
                <w:szCs w:val="21"/>
                <w:highlight w:val="none"/>
                <w:lang w:val="en-US" w:eastAsia="zh-CN"/>
              </w:rPr>
              <w:t>19</w:t>
            </w:r>
            <w:r>
              <w:rPr>
                <w:rFonts w:hint="default" w:ascii="Times New Roman" w:hAnsi="Times New Roman" w:eastAsia="仿宋" w:cs="Times New Roman"/>
                <w:szCs w:val="21"/>
                <w:highlight w:val="none"/>
                <w:lang w:val="zh-CN"/>
              </w:rPr>
              <w:t>年至今）的类似项目业绩（时间以合同签订的日期为准），提供1份得</w:t>
            </w:r>
            <w:r>
              <w:rPr>
                <w:rFonts w:hint="default" w:ascii="Times New Roman" w:hAnsi="Times New Roman" w:eastAsia="仿宋" w:cs="Times New Roman"/>
                <w:szCs w:val="21"/>
                <w:highlight w:val="none"/>
                <w:lang w:val="en-US" w:eastAsia="zh-CN"/>
              </w:rPr>
              <w:t>2.5</w:t>
            </w:r>
            <w:r>
              <w:rPr>
                <w:rFonts w:hint="default" w:ascii="Times New Roman" w:hAnsi="Times New Roman" w:eastAsia="仿宋" w:cs="Times New Roman"/>
                <w:szCs w:val="21"/>
                <w:highlight w:val="none"/>
                <w:lang w:val="zh-CN"/>
              </w:rPr>
              <w:t>分，满分</w:t>
            </w:r>
            <w:r>
              <w:rPr>
                <w:rFonts w:hint="default" w:ascii="Times New Roman" w:hAnsi="Times New Roman" w:eastAsia="仿宋" w:cs="Times New Roman"/>
                <w:szCs w:val="21"/>
                <w:highlight w:val="none"/>
                <w:lang w:val="en-US" w:eastAsia="zh-CN"/>
              </w:rPr>
              <w:t>10</w:t>
            </w:r>
            <w:r>
              <w:rPr>
                <w:rFonts w:hint="default" w:ascii="Times New Roman" w:hAnsi="Times New Roman" w:eastAsia="仿宋" w:cs="Times New Roman"/>
                <w:szCs w:val="21"/>
                <w:highlight w:val="none"/>
                <w:lang w:val="zh-CN"/>
              </w:rPr>
              <w:t>分。</w:t>
            </w:r>
          </w:p>
          <w:p>
            <w:p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备注：以上证明材料</w:t>
            </w:r>
            <w:r>
              <w:rPr>
                <w:rFonts w:hint="default" w:ascii="Times New Roman" w:hAnsi="Times New Roman" w:eastAsia="仿宋" w:cs="Times New Roman"/>
                <w:szCs w:val="21"/>
                <w:highlight w:val="none"/>
                <w:lang w:val="en-US" w:eastAsia="zh-CN"/>
              </w:rPr>
              <w:t>须</w:t>
            </w:r>
            <w:r>
              <w:rPr>
                <w:rFonts w:hint="default" w:ascii="Times New Roman" w:hAnsi="Times New Roman" w:eastAsia="仿宋" w:cs="Times New Roman"/>
                <w:szCs w:val="21"/>
                <w:highlight w:val="none"/>
                <w:lang w:val="zh-CN"/>
              </w:rPr>
              <w:t>提供合同复印件并加盖供应商单位公章，否则不得分。</w:t>
            </w:r>
          </w:p>
        </w:tc>
      </w:tr>
    </w:tbl>
    <w:p>
      <w:pPr>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46"/>
        <w:spacing w:line="360" w:lineRule="auto"/>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bookmarkStart w:id="433" w:name="_Toc11239"/>
      <w:bookmarkStart w:id="434" w:name="_Toc27194"/>
      <w:bookmarkStart w:id="435" w:name="_Toc1651"/>
      <w:bookmarkStart w:id="436" w:name="_Toc2115"/>
      <w:bookmarkStart w:id="437" w:name="_Toc20614"/>
      <w:bookmarkStart w:id="438" w:name="_Toc18256"/>
      <w:bookmarkStart w:id="439" w:name="_Toc3254"/>
      <w:bookmarkStart w:id="440" w:name="_Toc968"/>
      <w:bookmarkStart w:id="441" w:name="_Toc8920"/>
      <w:bookmarkStart w:id="442" w:name="_Toc29186"/>
      <w:bookmarkStart w:id="443" w:name="_Toc12613"/>
      <w:r>
        <w:rPr>
          <w:rFonts w:hint="default" w:ascii="Times New Roman" w:hAnsi="Times New Roman" w:eastAsia="仿宋" w:cs="Times New Roman"/>
          <w:color w:val="auto"/>
          <w:highlight w:val="none"/>
        </w:rPr>
        <w:t>第四章  合同草案条款</w:t>
      </w:r>
      <w:bookmarkEnd w:id="31"/>
      <w:bookmarkEnd w:id="409"/>
      <w:bookmarkEnd w:id="410"/>
      <w:bookmarkEnd w:id="432"/>
      <w:bookmarkEnd w:id="433"/>
      <w:bookmarkEnd w:id="434"/>
      <w:bookmarkEnd w:id="435"/>
      <w:bookmarkEnd w:id="436"/>
      <w:bookmarkEnd w:id="437"/>
      <w:bookmarkEnd w:id="438"/>
      <w:bookmarkEnd w:id="439"/>
      <w:bookmarkEnd w:id="440"/>
      <w:bookmarkEnd w:id="441"/>
      <w:bookmarkEnd w:id="442"/>
      <w:bookmarkEnd w:id="443"/>
      <w:bookmarkStart w:id="444" w:name="_Toc500747106"/>
      <w:bookmarkStart w:id="445" w:name="_Toc232176282"/>
      <w:bookmarkStart w:id="446" w:name="_Toc70687202"/>
      <w:bookmarkStart w:id="447" w:name="_Toc499711087"/>
      <w:bookmarkStart w:id="448" w:name="_Toc28450"/>
      <w:bookmarkStart w:id="449" w:name="_Toc230013638"/>
      <w:bookmarkStart w:id="450" w:name="_Toc499711928"/>
      <w:bookmarkStart w:id="451" w:name="_Toc177817344"/>
      <w:bookmarkStart w:id="452" w:name="_Toc53722865"/>
      <w:bookmarkStart w:id="453" w:name="_Toc500747233"/>
      <w:bookmarkStart w:id="454" w:name="_Toc503063458"/>
      <w:bookmarkStart w:id="455" w:name="_Toc230099803"/>
      <w:bookmarkStart w:id="456" w:name="_Toc500747010"/>
      <w:bookmarkStart w:id="457" w:name="_Toc176882552"/>
      <w:bookmarkStart w:id="458" w:name="_Toc230583552"/>
      <w:bookmarkStart w:id="459" w:name="_Toc496324623"/>
      <w:bookmarkStart w:id="460" w:name="_Toc184043058"/>
      <w:bookmarkStart w:id="461" w:name="_Toc177995483"/>
      <w:bookmarkStart w:id="462" w:name="_Toc249515482"/>
      <w:bookmarkStart w:id="463" w:name="_Toc232395222"/>
      <w:bookmarkStart w:id="464" w:name="_Toc249525250"/>
      <w:bookmarkStart w:id="465" w:name="_Toc177189245"/>
      <w:bookmarkStart w:id="466" w:name="_Toc249515369"/>
      <w:bookmarkStart w:id="467" w:name="_Toc492955459"/>
      <w:bookmarkStart w:id="468" w:name="_Toc256342152"/>
      <w:bookmarkStart w:id="469" w:name="_Toc415499897"/>
    </w:p>
    <w:p>
      <w:pPr>
        <w:spacing w:line="500" w:lineRule="exact"/>
        <w:ind w:firstLine="482" w:firstLineChars="200"/>
        <w:jc w:val="left"/>
        <w:rPr>
          <w:rFonts w:hint="default" w:ascii="Times New Roman" w:hAnsi="Times New Roman" w:eastAsia="仿宋" w:cs="Times New Roman"/>
          <w:b/>
          <w:bCs/>
          <w:sz w:val="32"/>
          <w:szCs w:val="32"/>
          <w:highlight w:val="none"/>
          <w:u w:val="none"/>
        </w:rPr>
      </w:pPr>
      <w:bookmarkStart w:id="470" w:name="_Toc26893"/>
      <w:bookmarkStart w:id="471" w:name="_Toc24356"/>
      <w:bookmarkStart w:id="472" w:name="_Toc11252"/>
      <w:bookmarkStart w:id="473" w:name="_Toc32018"/>
      <w:bookmarkStart w:id="474" w:name="_Toc58504448"/>
      <w:bookmarkStart w:id="475" w:name="_Toc63697170"/>
      <w:r>
        <w:rPr>
          <w:rFonts w:hint="default" w:ascii="Times New Roman" w:hAnsi="Times New Roman" w:eastAsia="仿宋" w:cs="Times New Roman"/>
          <w:b/>
          <w:color w:val="000000"/>
          <w:sz w:val="24"/>
          <w:highlight w:val="none"/>
          <w:u w:val="single"/>
        </w:rPr>
        <w:t>注：本合同仅为合同的参考文本，合同签订双方可根据项目的具体要求进行修订。</w:t>
      </w:r>
      <w:bookmarkEnd w:id="470"/>
      <w:bookmarkEnd w:id="471"/>
      <w:bookmarkEnd w:id="472"/>
      <w:bookmarkEnd w:id="473"/>
    </w:p>
    <w:p>
      <w:pPr>
        <w:rPr>
          <w:rFonts w:hint="default" w:ascii="Times New Roman" w:hAnsi="Times New Roman" w:eastAsia="仿宋" w:cs="Times New Roman"/>
          <w:b/>
          <w:bCs/>
          <w:sz w:val="32"/>
          <w:szCs w:val="32"/>
          <w:highlight w:val="none"/>
        </w:rPr>
      </w:pPr>
      <w:bookmarkStart w:id="476" w:name="_Toc23240"/>
      <w:bookmarkStart w:id="477" w:name="_Toc24645"/>
      <w:bookmarkStart w:id="478" w:name="_Toc17018"/>
      <w:bookmarkStart w:id="479" w:name="_Toc24759"/>
      <w:bookmarkStart w:id="480" w:name="_Toc25256"/>
      <w:bookmarkStart w:id="481" w:name="_Toc483349426"/>
      <w:bookmarkStart w:id="482" w:name="_Toc484353362"/>
    </w:p>
    <w:p>
      <w:pPr>
        <w:pStyle w:val="46"/>
        <w:spacing w:before="0" w:after="0"/>
        <w:rPr>
          <w:rFonts w:hint="default" w:ascii="Times New Roman" w:hAnsi="Times New Roman" w:eastAsia="仿宋" w:cs="Times New Roman"/>
          <w:b/>
          <w:sz w:val="32"/>
          <w:szCs w:val="32"/>
          <w:highlight w:val="none"/>
        </w:rPr>
      </w:pPr>
      <w:bookmarkStart w:id="483" w:name="_Toc27650"/>
      <w:bookmarkStart w:id="484" w:name="_Toc1459"/>
      <w:bookmarkStart w:id="485" w:name="_Toc24610"/>
      <w:r>
        <w:rPr>
          <w:rFonts w:hint="default" w:ascii="Times New Roman" w:hAnsi="Times New Roman" w:eastAsia="仿宋" w:cs="Times New Roman"/>
          <w:b/>
          <w:sz w:val="32"/>
          <w:szCs w:val="32"/>
          <w:highlight w:val="none"/>
        </w:rPr>
        <w:t>政府采购合同</w:t>
      </w:r>
      <w:bookmarkEnd w:id="483"/>
      <w:bookmarkEnd w:id="484"/>
      <w:bookmarkEnd w:id="485"/>
    </w:p>
    <w:p>
      <w:pPr>
        <w:rPr>
          <w:rFonts w:hint="default" w:ascii="Times New Roman" w:hAnsi="Times New Roman" w:eastAsia="仿宋" w:cs="Times New Roman"/>
          <w:b w:val="0"/>
          <w:sz w:val="21"/>
          <w:szCs w:val="24"/>
          <w:highlight w:val="none"/>
        </w:rPr>
      </w:pP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采购人：</w:t>
      </w:r>
      <w:r>
        <w:rPr>
          <w:rFonts w:hint="default" w:ascii="Times New Roman" w:hAnsi="Times New Roman" w:eastAsia="仿宋" w:cs="Times New Roman"/>
          <w:b/>
          <w:sz w:val="24"/>
          <w:szCs w:val="24"/>
          <w:highlight w:val="none"/>
          <w:u w:val="single"/>
        </w:rPr>
        <w:t>陕西省道路运输事业发展中心</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成交供应商：</w:t>
      </w:r>
      <w:r>
        <w:rPr>
          <w:rFonts w:hint="default" w:ascii="Times New Roman" w:hAnsi="Times New Roman" w:eastAsia="仿宋" w:cs="Times New Roman"/>
          <w:b/>
          <w:sz w:val="24"/>
          <w:szCs w:val="24"/>
          <w:highlight w:val="none"/>
          <w:u w:val="single"/>
        </w:rPr>
        <w:t>（成交供应商名称）</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根据《中华人民共和国民法典》、《中华人民共和国政府采购法》、《中华人民共和国政府采购法实施条例》及国家有关法律和行政法规，遵循平等、自愿和诚实信用的原则，双方就</w:t>
      </w:r>
      <w:r>
        <w:rPr>
          <w:rFonts w:hint="default" w:ascii="Times New Roman" w:hAnsi="Times New Roman" w:eastAsia="仿宋" w:cs="Times New Roman"/>
          <w:b/>
          <w:sz w:val="24"/>
          <w:szCs w:val="24"/>
          <w:highlight w:val="none"/>
          <w:u w:val="single"/>
        </w:rPr>
        <w:t>陕西省道路运输事业发展中心后勤服务购买项目（第1包）</w:t>
      </w:r>
      <w:r>
        <w:rPr>
          <w:rFonts w:hint="default" w:ascii="Times New Roman" w:hAnsi="Times New Roman" w:eastAsia="仿宋" w:cs="Times New Roman"/>
          <w:sz w:val="24"/>
          <w:szCs w:val="24"/>
          <w:highlight w:val="none"/>
        </w:rPr>
        <w:t>，订立服务合同。</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第一章  </w:t>
      </w:r>
      <w:r>
        <w:rPr>
          <w:rFonts w:hint="default" w:ascii="Times New Roman" w:hAnsi="Times New Roman" w:eastAsia="仿宋" w:cs="Times New Roman"/>
          <w:b/>
          <w:sz w:val="24"/>
          <w:szCs w:val="24"/>
          <w:highlight w:val="none"/>
        </w:rPr>
        <w:t>派遣岗位及人员数量</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w:t>
      </w:r>
      <w:r>
        <w:rPr>
          <w:rFonts w:hint="default" w:ascii="Times New Roman" w:hAnsi="Times New Roman" w:eastAsia="仿宋"/>
          <w:sz w:val="24"/>
          <w:szCs w:val="24"/>
          <w:highlight w:val="none"/>
        </w:rPr>
        <w:t>甲、乙双方经协商确认，乙方于本合同有效期内向甲方提供劳务派遣服务。派遣岗位、派遣期限、工作地点、劳动报酬、试用期期限等信息经甲、乙双方共同确认后于本合同附件中载明。</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w:t>
      </w:r>
      <w:r>
        <w:rPr>
          <w:rFonts w:hint="default" w:ascii="Times New Roman" w:hAnsi="Times New Roman" w:eastAsia="仿宋"/>
          <w:sz w:val="24"/>
          <w:szCs w:val="24"/>
          <w:highlight w:val="none"/>
        </w:rPr>
        <w:t>经甲、乙双方协商一致并经派遣员工本人同意，可以对本合同第一条所约定的派遣员工的岗位及工作地点进行变更。</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第二章  </w:t>
      </w:r>
      <w:r>
        <w:rPr>
          <w:rFonts w:hint="default" w:ascii="Times New Roman" w:hAnsi="Times New Roman" w:eastAsia="仿宋" w:cs="Times New Roman"/>
          <w:b/>
          <w:sz w:val="24"/>
          <w:szCs w:val="24"/>
          <w:highlight w:val="none"/>
        </w:rPr>
        <w:t>派遣期限</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u w:val="single"/>
        </w:rPr>
      </w:pPr>
      <w:r>
        <w:rPr>
          <w:rFonts w:hint="default" w:ascii="Times New Roman" w:hAnsi="Times New Roman" w:eastAsia="仿宋"/>
          <w:sz w:val="24"/>
          <w:szCs w:val="24"/>
          <w:highlight w:val="none"/>
        </w:rPr>
        <w:t>派遣期限和甲乙双方签订的服务期限一致。</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lang w:val="en-US" w:eastAsia="zh-CN"/>
        </w:rPr>
        <w:t xml:space="preserve">第三章  </w:t>
      </w:r>
      <w:r>
        <w:rPr>
          <w:rFonts w:hint="default" w:ascii="Times New Roman" w:hAnsi="Times New Roman" w:eastAsia="仿宋" w:cs="Times New Roman"/>
          <w:b/>
          <w:sz w:val="24"/>
          <w:szCs w:val="24"/>
          <w:highlight w:val="none"/>
        </w:rPr>
        <w:t>派遣员工的招聘与录用</w:t>
      </w:r>
    </w:p>
    <w:p>
      <w:pPr>
        <w:pStyle w:val="69"/>
        <w:numPr>
          <w:ilvl w:val="0"/>
          <w:numId w:val="9"/>
        </w:numPr>
        <w:tabs>
          <w:tab w:val="left" w:pos="1428"/>
          <w:tab w:val="left" w:pos="1638"/>
          <w:tab w:val="left" w:pos="2977"/>
        </w:tabs>
        <w:spacing w:line="500" w:lineRule="exact"/>
        <w:ind w:left="0" w:firstLine="42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派遣员工人选按照甲方需求，乙方派遣相应合格的人员到甲方指定工作地点。对于乙方派出的派遣员工，甲方可以设定试用期，试用期期限根据派遣期确定，且计入派遣期。试用期的不超过一个月。</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第四章  </w:t>
      </w:r>
      <w:r>
        <w:rPr>
          <w:rFonts w:hint="default" w:ascii="Times New Roman" w:hAnsi="Times New Roman" w:eastAsia="仿宋" w:cs="Times New Roman"/>
          <w:b/>
          <w:sz w:val="24"/>
          <w:szCs w:val="24"/>
          <w:highlight w:val="none"/>
        </w:rPr>
        <w:t>派遣手续</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color w:val="000000" w:themeColor="text1"/>
          <w:sz w:val="24"/>
          <w:szCs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乙方在合同签订后5日内向甲方提供符合条件的人员名单，甲方确定派遣员工的人选后，应及时向乙方发出《用工通知函》（式样见本协议附件二）。《用工通知函》中应至少明确记载以下事项，且这些事项之内容应符合政府的有关法律规定：</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（一）员工姓名；</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（二）工作内容；</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（三）派遣岗位；</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（四）工作地点；</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（五）派遣期限；</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（六）劳动报酬；</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（七）社会保险基数；</w:t>
      </w:r>
    </w:p>
    <w:p>
      <w:pPr>
        <w:spacing w:line="500" w:lineRule="exact"/>
        <w:ind w:firstLine="480" w:firstLineChars="20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（八）住房公积金缴存额。</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乙方有义务将上述《用工通知函》的内容告知派遣员工。</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乙方应告知派遣员工在甲方确定的派遣日期（派遣日期以甲方出具的《用工通知函》中载明的派遣日期为准）前</w:t>
      </w:r>
      <w:r>
        <w:rPr>
          <w:rFonts w:hint="default" w:ascii="Times New Roman" w:hAnsi="Times New Roman" w:eastAsia="仿宋" w:cs="Times New Roman"/>
          <w:sz w:val="24"/>
          <w:szCs w:val="24"/>
          <w:highlight w:val="none"/>
          <w:u w:val="single"/>
        </w:rPr>
        <w:t>7</w:t>
      </w:r>
      <w:r>
        <w:rPr>
          <w:rFonts w:hint="default" w:ascii="Times New Roman" w:hAnsi="Times New Roman" w:eastAsia="仿宋" w:cs="Times New Roman"/>
          <w:sz w:val="24"/>
          <w:szCs w:val="24"/>
          <w:highlight w:val="none"/>
        </w:rPr>
        <w:t>天到乙方办理相关手续（入职手续包括但不限于入职体检、接转人事、社保、住房公积金手续）。</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 xml:space="preserve"> 乙方接到甲方的《用工通知函》后，应依据其内容为甲方确定的派遣员工人选办理包括签订劳动合同在内的人事手续及派遣手续。乙方在派遣员工时，有义务对派遣员工进行遵守甲、乙双方规章制度的教育。</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第五章  </w:t>
      </w:r>
      <w:r>
        <w:rPr>
          <w:rFonts w:hint="default" w:ascii="Times New Roman" w:hAnsi="Times New Roman" w:eastAsia="仿宋" w:cs="Times New Roman"/>
          <w:b/>
          <w:sz w:val="24"/>
          <w:szCs w:val="24"/>
          <w:highlight w:val="none"/>
        </w:rPr>
        <w:t>派遣员工的劳动报酬、社会保险及福利待遇</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 xml:space="preserve"> </w:t>
      </w:r>
      <w:r>
        <w:rPr>
          <w:rFonts w:hint="default" w:ascii="Times New Roman" w:hAnsi="Times New Roman" w:eastAsia="仿宋"/>
          <w:sz w:val="24"/>
          <w:szCs w:val="24"/>
          <w:highlight w:val="none"/>
        </w:rPr>
        <w:t>乙方应依法确定派遣员工的劳动报酬标准并报甲方，甲方有权对其明显不合理处进行调整，确定的劳动报酬标准在《聘用通知函》（本协议的附件二）中列明。派遣员工试用期内的劳动报酬不得低于商定工资的80%，并不得低于派遣员工工作所在地的最低工资标准。</w:t>
      </w:r>
    </w:p>
    <w:p>
      <w:pPr>
        <w:tabs>
          <w:tab w:val="left" w:pos="2520"/>
        </w:tabs>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派遣员工在医疗期内的工资标准以及女员工在“三期”（孕期、产期、哺乳期）内的工资标准按照政府有关规定执行。</w:t>
      </w:r>
    </w:p>
    <w:p>
      <w:pPr>
        <w:pStyle w:val="69"/>
        <w:numPr>
          <w:ilvl w:val="0"/>
          <w:numId w:val="9"/>
        </w:numPr>
        <w:tabs>
          <w:tab w:val="left" w:pos="1428"/>
          <w:tab w:val="left" w:pos="1638"/>
          <w:tab w:val="left" w:pos="2977"/>
        </w:tabs>
        <w:spacing w:line="500" w:lineRule="exact"/>
        <w:ind w:left="0" w:firstLine="567"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乙方应按照《中华人民共和国劳动合同法》第六十三条的规定确定派遣员工的劳动报酬。</w:t>
      </w:r>
    </w:p>
    <w:p>
      <w:pPr>
        <w:tabs>
          <w:tab w:val="left" w:pos="2520"/>
        </w:tabs>
        <w:spacing w:line="500" w:lineRule="exact"/>
        <w:ind w:firstLine="480" w:firstLineChars="200"/>
        <w:rPr>
          <w:rFonts w:hint="default" w:ascii="Times New Roman" w:hAnsi="Times New Roman" w:eastAsia="仿宋" w:cs="Times New Roman"/>
          <w:sz w:val="24"/>
          <w:szCs w:val="24"/>
          <w:highlight w:val="none"/>
          <w:u w:val="single"/>
        </w:rPr>
      </w:pPr>
      <w:r>
        <w:rPr>
          <w:rFonts w:hint="default" w:eastAsia="仿宋"/>
          <w:sz w:val="24"/>
          <w:highlight w:val="none"/>
        </w:rPr>
        <w:t>乙方负责派遣人员的社保申报及管理工作，如果派遣人员在乙方申报社保费用后离职，已产生的社保费用仍由甲方承担。因甲方原因导致派遣人员超过当地社保部门规定的申报时限入职的，如果发生工伤、医疗事故，所产生的费用由甲方承担。因乙方原因导致派遣人员超过当地社保部门规定的申报时限入职的，如果发生工伤、医疗事故、所产生的费用由乙方承担。</w:t>
      </w:r>
    </w:p>
    <w:p>
      <w:pPr>
        <w:numPr>
          <w:ilvl w:val="0"/>
          <w:numId w:val="9"/>
        </w:numPr>
        <w:tabs>
          <w:tab w:val="left" w:pos="1620"/>
          <w:tab w:val="left" w:pos="1980"/>
        </w:tabs>
        <w:spacing w:line="500" w:lineRule="exact"/>
        <w:ind w:left="0" w:firstLine="540"/>
        <w:rPr>
          <w:rFonts w:hint="default" w:ascii="Times New Roman" w:hAnsi="Times New Roman" w:eastAsia="仿宋" w:cs="Times New Roman"/>
          <w:color w:val="FF0000"/>
          <w:sz w:val="24"/>
          <w:szCs w:val="24"/>
          <w:highlight w:val="none"/>
          <w:u w:val="single"/>
        </w:rPr>
      </w:pPr>
      <w:r>
        <w:rPr>
          <w:rFonts w:hint="default" w:ascii="Times New Roman" w:hAnsi="Times New Roman" w:eastAsia="仿宋" w:cs="Times New Roman"/>
          <w:sz w:val="24"/>
          <w:szCs w:val="24"/>
          <w:highlight w:val="none"/>
        </w:rPr>
        <w:t>甲方应确保派遣人员的劳动报酬和工作岗位及比例数量符合《劳动合同法》第六十三条和第六十六条、《劳务派遣暂行规定》第三条、第四条、第九条及相关规定。甲方不得将派遣人员再派遣到其他用人单位。</w:t>
      </w:r>
    </w:p>
    <w:p>
      <w:pPr>
        <w:numPr>
          <w:ilvl w:val="0"/>
          <w:numId w:val="9"/>
        </w:numPr>
        <w:tabs>
          <w:tab w:val="left" w:pos="1620"/>
          <w:tab w:val="left" w:pos="1980"/>
        </w:tabs>
        <w:spacing w:line="500" w:lineRule="exact"/>
        <w:ind w:left="0" w:firstLine="540"/>
        <w:rPr>
          <w:rFonts w:hint="default" w:ascii="Times New Roman" w:hAnsi="Times New Roman" w:eastAsia="仿宋" w:cs="Times New Roman"/>
          <w:color w:val="FF0000"/>
          <w:sz w:val="24"/>
          <w:szCs w:val="24"/>
          <w:highlight w:val="none"/>
          <w:u w:val="single"/>
        </w:rPr>
      </w:pPr>
      <w:r>
        <w:rPr>
          <w:rFonts w:hint="default" w:ascii="Times New Roman" w:hAnsi="Times New Roman" w:eastAsia="仿宋" w:cs="Times New Roman"/>
          <w:sz w:val="24"/>
          <w:szCs w:val="24"/>
          <w:highlight w:val="none"/>
        </w:rPr>
        <w:t>派遣员工在甲方工作期间参照甲方单位工作规定享受差旅费等工作费用补贴。</w:t>
      </w:r>
    </w:p>
    <w:p>
      <w:pPr>
        <w:numPr>
          <w:ilvl w:val="0"/>
          <w:numId w:val="9"/>
        </w:numPr>
        <w:tabs>
          <w:tab w:val="left" w:pos="1764"/>
          <w:tab w:val="left" w:pos="1800"/>
          <w:tab w:val="left" w:pos="252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派遣员工的劳动报酬由乙方直接向员工支付。</w:t>
      </w:r>
    </w:p>
    <w:p>
      <w:pPr>
        <w:numPr>
          <w:ilvl w:val="0"/>
          <w:numId w:val="9"/>
        </w:numPr>
        <w:tabs>
          <w:tab w:val="left" w:pos="1560"/>
          <w:tab w:val="left" w:pos="1800"/>
          <w:tab w:val="left" w:pos="252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 xml:space="preserve">  </w:t>
      </w:r>
      <w:r>
        <w:rPr>
          <w:rFonts w:hint="default" w:eastAsia="仿宋"/>
          <w:sz w:val="24"/>
          <w:highlight w:val="none"/>
        </w:rPr>
        <w:t>甲方应按实际工资承担派遣员工的社会保险和住房公积金的相关费用，乙方根据甲方在《聘用通知函》中列明的缴纳基数，在收到甲方支付的相关费用后，及时为派遣员工办理社会保险和住房公积金费用的缴纳。因政府新颁布的社会保险费用和住房公积金的调整所需费用由乙方承担。</w:t>
      </w:r>
    </w:p>
    <w:p>
      <w:pPr>
        <w:numPr>
          <w:ilvl w:val="255"/>
          <w:numId w:val="0"/>
        </w:numPr>
        <w:tabs>
          <w:tab w:val="left" w:pos="1800"/>
          <w:tab w:val="left" w:pos="2520"/>
          <w:tab w:val="left" w:pos="3315"/>
          <w:tab w:val="left" w:pos="4795"/>
        </w:tabs>
        <w:spacing w:line="500" w:lineRule="exact"/>
        <w:ind w:firstLine="480" w:firstLineChars="200"/>
        <w:rPr>
          <w:rFonts w:hint="default" w:ascii="Times New Roman" w:hAnsi="Times New Roman" w:eastAsia="仿宋" w:cs="Times New Roman"/>
          <w:color w:val="FF0000"/>
          <w:sz w:val="24"/>
          <w:szCs w:val="24"/>
          <w:highlight w:val="none"/>
          <w:u w:val="single"/>
        </w:rPr>
      </w:pPr>
      <w:r>
        <w:rPr>
          <w:rFonts w:hint="default" w:ascii="Times New Roman" w:hAnsi="Times New Roman" w:eastAsia="仿宋" w:cs="Times New Roman"/>
          <w:sz w:val="24"/>
          <w:szCs w:val="24"/>
          <w:highlight w:val="none"/>
        </w:rPr>
        <w:t>甲方应依法向派遣员工提供符合政府有关劳动保护规定的工作场所、工作条件和福利待遇。</w:t>
      </w:r>
      <w:r>
        <w:rPr>
          <w:rFonts w:hint="default" w:ascii="Times New Roman" w:hAnsi="Times New Roman" w:eastAsia="仿宋" w:cs="Times New Roman"/>
          <w:color w:val="000000"/>
          <w:sz w:val="24"/>
          <w:szCs w:val="24"/>
          <w:highlight w:val="none"/>
        </w:rPr>
        <w:t>派遣员工从事有职业危害工作的，甲方应依照国家相关法律提供职业危害防护，并酌情在派遣期内安排对其进行职业健康检查。</w:t>
      </w:r>
      <w:r>
        <w:rPr>
          <w:rFonts w:hint="default" w:ascii="Times New Roman" w:hAnsi="Times New Roman" w:eastAsia="仿宋" w:cs="Times New Roman"/>
          <w:sz w:val="24"/>
          <w:szCs w:val="24"/>
          <w:highlight w:val="none"/>
        </w:rPr>
        <w:t>按国家规定保证派遣员工的休息、休假</w:t>
      </w:r>
      <w:r>
        <w:rPr>
          <w:rFonts w:hint="default" w:ascii="Times New Roman" w:hAnsi="Times New Roman" w:eastAsia="仿宋" w:cs="Times New Roman"/>
          <w:color w:val="000000"/>
          <w:sz w:val="24"/>
          <w:szCs w:val="24"/>
          <w:highlight w:val="none"/>
        </w:rPr>
        <w:t>。</w:t>
      </w:r>
    </w:p>
    <w:p>
      <w:pPr>
        <w:numPr>
          <w:ilvl w:val="0"/>
          <w:numId w:val="9"/>
        </w:numPr>
        <w:tabs>
          <w:tab w:val="left" w:pos="1800"/>
          <w:tab w:val="left" w:pos="2520"/>
        </w:tabs>
        <w:spacing w:line="500" w:lineRule="exact"/>
        <w:ind w:left="0" w:firstLine="54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派遣人员在派遣期间发生工伤的，甲方应在事发24小时内立即电话或书面通知乙方，并及时将受伤的派遣人员送往工伤治疗医院治疗，所发生的费用由甲方垫付。乙方负责工伤的认定申请和伤残等级鉴定申请。派遣人员的工伤待遇除由社会保险及甲、乙双方约定的商业保险支付的保险赔偿金额外，不足部分由双方协商解决。</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第六章  </w:t>
      </w:r>
      <w:r>
        <w:rPr>
          <w:rFonts w:hint="default" w:ascii="Times New Roman" w:hAnsi="Times New Roman" w:eastAsia="仿宋" w:cs="Times New Roman"/>
          <w:b/>
          <w:sz w:val="24"/>
          <w:szCs w:val="24"/>
          <w:highlight w:val="none"/>
        </w:rPr>
        <w:t>派遣员工的管理</w:t>
      </w:r>
    </w:p>
    <w:p>
      <w:pPr>
        <w:numPr>
          <w:ilvl w:val="0"/>
          <w:numId w:val="9"/>
        </w:numPr>
        <w:tabs>
          <w:tab w:val="left" w:pos="1800"/>
          <w:tab w:val="left" w:pos="2520"/>
        </w:tabs>
        <w:spacing w:line="500" w:lineRule="exact"/>
        <w:ind w:left="0" w:firstLine="540"/>
        <w:rPr>
          <w:rFonts w:hint="default" w:ascii="Times New Roman" w:hAnsi="Times New Roman" w:eastAsia="仿宋" w:cs="Times New Roman"/>
          <w:color w:val="FF0000"/>
          <w:sz w:val="24"/>
          <w:szCs w:val="24"/>
          <w:highlight w:val="none"/>
          <w:u w:val="single"/>
        </w:rPr>
      </w:pPr>
      <w:r>
        <w:rPr>
          <w:rFonts w:hint="default" w:ascii="Times New Roman" w:hAnsi="Times New Roman" w:eastAsia="仿宋" w:cs="Times New Roman"/>
          <w:sz w:val="24"/>
          <w:szCs w:val="24"/>
          <w:highlight w:val="none"/>
        </w:rPr>
        <w:t>甲、乙双方各自有权依法制定对派遣员工的管理制度和劳动纪律，并应按照有关法律规定告知派遣员工。</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乙方负责对派遣员工进行培训（劳务派遣介绍、社保政策、劳动争议处理流程）。</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甲方不得将乙方派遣至甲方的派遣员工转派至第三方。</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乙方按照甲、乙双方商定并体现在《乙方向甲方提供各项服务项目及收费标准》（本协议附件一）中的服务项目及其内容为派遣员工提供人事及福利服务。</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乙方应听取甲方意见，不断改进服务工作。</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第七章  </w:t>
      </w:r>
      <w:r>
        <w:rPr>
          <w:rFonts w:hint="default" w:ascii="Times New Roman" w:hAnsi="Times New Roman" w:eastAsia="仿宋" w:cs="Times New Roman"/>
          <w:b/>
          <w:sz w:val="24"/>
          <w:szCs w:val="24"/>
          <w:highlight w:val="none"/>
        </w:rPr>
        <w:t>派遣终止及员工的退回</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甲方有权将存在如下情形的派遣员工退回乙方，且无须向乙方支付违约金等费用，但必须向乙方提供相应证据和依据：</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一</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派遣员工在试用期内被发现不符合录用条件的；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二</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派遣员工严重违反甲方的规章制度和劳动纪律、并达到应被解除聘用程</w:t>
      </w:r>
    </w:p>
    <w:p>
      <w:pPr>
        <w:numPr>
          <w:ilvl w:val="-1"/>
          <w:numId w:val="0"/>
        </w:numPr>
        <w:spacing w:line="500" w:lineRule="exact"/>
        <w:ind w:left="0" w:firstLine="0"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度的；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三</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派遣员工严重失职、营私舞弊，给甲方的利益造成重大损害的；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四</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派遣员工与甲、乙双方以外的其他用人单位建立劳动关系，对甲方工作</w:t>
      </w:r>
    </w:p>
    <w:p>
      <w:pPr>
        <w:numPr>
          <w:ilvl w:val="-1"/>
          <w:numId w:val="0"/>
        </w:numPr>
        <w:spacing w:line="500" w:lineRule="exact"/>
        <w:ind w:left="0" w:firstLine="0"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造成严重影响，或经甲方提出拒不改正的；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五</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派遣员工被司法机关依法追究刑事责任的。</w:t>
      </w:r>
    </w:p>
    <w:p>
      <w:pPr>
        <w:numPr>
          <w:ilvl w:val="0"/>
          <w:numId w:val="9"/>
        </w:numPr>
        <w:tabs>
          <w:tab w:val="left" w:pos="1800"/>
          <w:tab w:val="left" w:pos="1918"/>
        </w:tabs>
        <w:spacing w:line="500" w:lineRule="exact"/>
        <w:ind w:left="0" w:firstLine="54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有下列情形之一的，甲方应通过乙方向派遣员工支付经济补偿：</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一</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因甲方原因，派遣人员依据《劳动合同法》第38条提出解除聘用关系的；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二</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派遣员工因病或因非因工负伤的医疗期满后，不能从事原工作，也不能从事甲方另行安排的工作，甲方退工的。（甲方对因此而退回的派遣员工除支付经济补偿外，还应按政府有关规定另行支付医疗补助费）；</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三</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甲方能提供证据证明派遣员工不能胜任派遣岗位工作，且经甲方调岗或培训后仍不能胜任工作的，甲方退工的。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四</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经甲、乙双方和派遣员工协商，达成书面协议同意解除派遣的；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五</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甲方聘用的派遣人员岗位或比例数量不符合有关规定，派遣人员同意与甲方解除聘用关系、与乙方同时解除劳动合同的。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六</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甲方提前解除或终止本派遣合同但派遣人员与乙方的劳动合同期限尚未到期，且甲方无意将本派遣合同期限延长至派遣人员的劳动合同期满的；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七</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本协议订立时所依据的客观情况发生重大变化，致使甲方派遣员工的条件不复存在的，甲方退工的。</w:t>
      </w:r>
    </w:p>
    <w:p>
      <w:pPr>
        <w:numPr>
          <w:ilvl w:val="0"/>
          <w:numId w:val="9"/>
        </w:numPr>
        <w:tabs>
          <w:tab w:val="left" w:pos="1800"/>
          <w:tab w:val="left" w:pos="2160"/>
        </w:tabs>
        <w:spacing w:line="500" w:lineRule="exact"/>
        <w:ind w:left="0" w:firstLine="540"/>
        <w:rPr>
          <w:rFonts w:hint="default" w:ascii="Times New Roman" w:hAnsi="Times New Roman" w:eastAsia="仿宋" w:cs="Times New Roman"/>
          <w:color w:val="000000"/>
          <w:sz w:val="24"/>
          <w:szCs w:val="24"/>
          <w:highlight w:val="none"/>
        </w:rPr>
      </w:pPr>
      <w:r>
        <w:rPr>
          <w:rFonts w:hint="eastAsia" w:eastAsia="仿宋" w:cs="Times New Roman"/>
          <w:sz w:val="24"/>
          <w:szCs w:val="24"/>
          <w:highlight w:val="none"/>
          <w:lang w:val="en-US" w:eastAsia="zh-CN"/>
        </w:rPr>
        <w:t xml:space="preserve"> </w:t>
      </w:r>
      <w:r>
        <w:rPr>
          <w:rFonts w:hint="default" w:eastAsia="仿宋"/>
          <w:sz w:val="24"/>
          <w:highlight w:val="none"/>
        </w:rPr>
        <w:t>如派遣员工因被甲方退回乙方而与乙方发生纠纷提起仲裁、诉讼时，甲方退回派遣员工的事由在上述过程中被司法或者行政部门确认不成立时，派遣员工要求履行劳动合同的，甲方可以与该派遣员工继续保持派遣关系；派遣员工不要求履行或乙方与该员工已无法继续履行劳动合同的，甲方向乙方支付仲裁委员会或人民法院确认的赔偿，由乙方向派遣员工支付，不得克扣。</w:t>
      </w:r>
    </w:p>
    <w:p>
      <w:pPr>
        <w:numPr>
          <w:ilvl w:val="0"/>
          <w:numId w:val="9"/>
        </w:numPr>
        <w:tabs>
          <w:tab w:val="left" w:pos="1800"/>
          <w:tab w:val="left" w:pos="2160"/>
        </w:tabs>
        <w:spacing w:line="500" w:lineRule="exact"/>
        <w:ind w:left="0" w:firstLine="540"/>
        <w:rPr>
          <w:rFonts w:hint="default" w:ascii="Times New Roman" w:hAnsi="Times New Roman" w:eastAsia="仿宋" w:cs="Times New Roman"/>
          <w:color w:val="000000"/>
          <w:sz w:val="24"/>
          <w:szCs w:val="24"/>
          <w:highlight w:val="none"/>
        </w:rPr>
      </w:pP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甲方有权将已经开始享受基本养老保险待遇的派遣员工退回</w:t>
      </w:r>
      <w:r>
        <w:rPr>
          <w:rFonts w:hint="default" w:ascii="Times New Roman" w:hAnsi="Times New Roman" w:eastAsia="仿宋" w:cs="Times New Roman"/>
          <w:color w:val="000000"/>
          <w:sz w:val="24"/>
          <w:szCs w:val="24"/>
          <w:highlight w:val="none"/>
        </w:rPr>
        <w:t>乙方，并无须向乙方支付经济补偿。</w:t>
      </w:r>
    </w:p>
    <w:p>
      <w:pPr>
        <w:numPr>
          <w:ilvl w:val="0"/>
          <w:numId w:val="9"/>
        </w:numPr>
        <w:tabs>
          <w:tab w:val="left" w:pos="1800"/>
          <w:tab w:val="left" w:pos="2160"/>
        </w:tabs>
        <w:spacing w:line="500" w:lineRule="exact"/>
        <w:ind w:left="0" w:firstLine="540"/>
        <w:rPr>
          <w:rFonts w:hint="default" w:ascii="Times New Roman" w:hAnsi="Times New Roman" w:eastAsia="仿宋" w:cs="Times New Roman"/>
          <w:b/>
          <w:color w:val="000000"/>
          <w:sz w:val="24"/>
          <w:szCs w:val="24"/>
          <w:highlight w:val="none"/>
        </w:rPr>
      </w:pPr>
      <w:r>
        <w:rPr>
          <w:rFonts w:hint="eastAsia" w:eastAsia="仿宋" w:cs="Times New Roman"/>
          <w:b/>
          <w:color w:val="000000"/>
          <w:sz w:val="24"/>
          <w:szCs w:val="24"/>
          <w:highlight w:val="none"/>
          <w:lang w:val="en-US" w:eastAsia="zh-CN"/>
        </w:rPr>
        <w:t xml:space="preserve"> </w:t>
      </w:r>
      <w:r>
        <w:rPr>
          <w:rFonts w:hint="default" w:ascii="Times New Roman" w:hAnsi="Times New Roman" w:eastAsia="仿宋" w:cs="Times New Roman"/>
          <w:b/>
          <w:color w:val="000000"/>
          <w:sz w:val="24"/>
          <w:szCs w:val="24"/>
          <w:highlight w:val="none"/>
        </w:rPr>
        <w:t>对于存在下列情形的派遣员工，甲方不得终止或解除聘用，并不得退回乙方：</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一</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从事接触职业病危害作业而未进行离岗前职业健康检查或者疑似职业病在诊</w:t>
      </w:r>
    </w:p>
    <w:p>
      <w:pPr>
        <w:numPr>
          <w:ilvl w:val="-1"/>
          <w:numId w:val="0"/>
        </w:numPr>
        <w:spacing w:line="500" w:lineRule="exact"/>
        <w:ind w:left="0" w:firstLine="0"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断或医学观察期间的；</w:t>
      </w:r>
    </w:p>
    <w:p>
      <w:pPr>
        <w:numPr>
          <w:ilvl w:val="-1"/>
          <w:numId w:val="0"/>
        </w:numPr>
        <w:spacing w:line="500" w:lineRule="exact"/>
        <w:ind w:left="0" w:firstLine="480" w:firstLineChars="200"/>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二</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在甲方患职业病或因工负伤并被确认丧失或部分丧失劳动能力的；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三</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患病或非因工负伤，在医疗期内的；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四</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女性派遣员工在孕期、产期、哺乳期内的；</w:t>
      </w:r>
    </w:p>
    <w:p>
      <w:pPr>
        <w:numPr>
          <w:ilvl w:val="-1"/>
          <w:numId w:val="0"/>
        </w:numPr>
        <w:spacing w:line="500" w:lineRule="exact"/>
        <w:ind w:left="0"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五</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法律法规规定的其他情形。</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派遣员工派遣期满甲方需终止该派遣员工的派遣的，应提前三十五日，以书面形式通知派遣员工和乙方。</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甲方接到派遣员工的辞职通知后，应及时以书面形式告知乙方并将派遣员工的辞职函交予乙方，由乙方审核并盖章后送达派遣员工；同时应将甲方就该名派遣员工提出辞职的处理意见书面通知乙方。</w:t>
      </w:r>
    </w:p>
    <w:p>
      <w:pPr>
        <w:numPr>
          <w:ilvl w:val="0"/>
          <w:numId w:val="9"/>
        </w:numPr>
        <w:tabs>
          <w:tab w:val="left" w:pos="1800"/>
          <w:tab w:val="left" w:pos="2160"/>
        </w:tabs>
        <w:spacing w:line="500" w:lineRule="exact"/>
        <w:ind w:left="0" w:firstLine="540"/>
        <w:rPr>
          <w:rFonts w:hint="default" w:ascii="Times New Roman" w:hAnsi="Times New Roman" w:eastAsia="仿宋" w:cs="Times New Roman"/>
          <w:sz w:val="24"/>
          <w:szCs w:val="24"/>
          <w:highlight w:val="none"/>
          <w:u w:val="single"/>
        </w:rPr>
      </w:pP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派遣员工向乙方提出解除或终止劳动合同后，乙方应及时以书面形式通知甲方。</w:t>
      </w:r>
    </w:p>
    <w:p>
      <w:pPr>
        <w:spacing w:line="500" w:lineRule="exact"/>
        <w:ind w:left="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第八章  派遣服务项目及服务费用</w:t>
      </w:r>
    </w:p>
    <w:p>
      <w:pPr>
        <w:numPr>
          <w:ilvl w:val="0"/>
          <w:numId w:val="9"/>
        </w:numPr>
        <w:tabs>
          <w:tab w:val="left" w:pos="1800"/>
          <w:tab w:val="left" w:pos="2160"/>
        </w:tabs>
        <w:spacing w:line="500" w:lineRule="exact"/>
        <w:ind w:left="0" w:firstLine="540"/>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val="en-US" w:eastAsia="zh-CN"/>
        </w:rPr>
        <w:t xml:space="preserve"> </w:t>
      </w:r>
      <w:r>
        <w:rPr>
          <w:rFonts w:hint="default" w:ascii="Times New Roman" w:hAnsi="Times New Roman" w:eastAsia="仿宋" w:cs="Times New Roman"/>
          <w:b/>
          <w:bCs/>
          <w:sz w:val="24"/>
          <w:szCs w:val="24"/>
          <w:highlight w:val="none"/>
        </w:rPr>
        <w:t>合同签订前，成交供应商需先缴纳合同总价款5%履约保证金。</w:t>
      </w:r>
      <w:r>
        <w:rPr>
          <w:rFonts w:hint="default" w:ascii="Times New Roman" w:hAnsi="Times New Roman" w:eastAsia="仿宋" w:cs="Times New Roman"/>
          <w:b/>
          <w:bCs/>
          <w:color w:val="000000" w:themeColor="text1"/>
          <w:sz w:val="24"/>
          <w:highlight w:val="none"/>
          <w14:textFill>
            <w14:solidFill>
              <w14:schemeClr w14:val="tx1"/>
            </w14:solidFill>
          </w14:textFill>
        </w:rPr>
        <w:t>履约保证金在服务期满且验收合格后一次无息退回</w:t>
      </w:r>
      <w:r>
        <w:rPr>
          <w:rFonts w:hint="default" w:ascii="Times New Roman" w:hAnsi="Times New Roman" w:eastAsia="仿宋" w:cs="Times New Roman"/>
          <w:b/>
          <w:bCs/>
          <w:sz w:val="24"/>
          <w:szCs w:val="24"/>
          <w:highlight w:val="none"/>
        </w:rPr>
        <w:t>，若成交供应商违约，采购人有权从履约保证金中直接扣减。</w:t>
      </w:r>
    </w:p>
    <w:p>
      <w:pPr>
        <w:numPr>
          <w:ilvl w:val="0"/>
          <w:numId w:val="0"/>
        </w:numPr>
        <w:tabs>
          <w:tab w:val="left" w:pos="709"/>
          <w:tab w:val="left" w:pos="2160"/>
          <w:tab w:val="left" w:pos="6799"/>
        </w:tabs>
        <w:spacing w:line="500" w:lineRule="exact"/>
        <w:ind w:left="0" w:firstLine="482"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lang w:val="en-US" w:eastAsia="zh-CN"/>
        </w:rPr>
        <w:t xml:space="preserve">第二十九条 </w:t>
      </w:r>
      <w:r>
        <w:rPr>
          <w:rFonts w:hint="default" w:ascii="Times New Roman" w:hAnsi="Times New Roman" w:eastAsia="仿宋" w:cs="Times New Roman"/>
          <w:sz w:val="24"/>
          <w:szCs w:val="24"/>
          <w:highlight w:val="none"/>
        </w:rPr>
        <w:t>服务费支付方式：</w:t>
      </w:r>
    </w:p>
    <w:p>
      <w:pPr>
        <w:numPr>
          <w:ilvl w:val="-1"/>
          <w:numId w:val="0"/>
        </w:numPr>
        <w:tabs>
          <w:tab w:val="left" w:pos="1800"/>
          <w:tab w:val="left" w:pos="2160"/>
          <w:tab w:val="left" w:pos="3315"/>
        </w:tabs>
        <w:spacing w:line="500" w:lineRule="exact"/>
        <w:ind w:left="0"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sz w:val="24"/>
          <w:szCs w:val="24"/>
          <w:highlight w:val="none"/>
        </w:rPr>
        <w:t>（1）合同签订后60日内，支付合同总金额的50%；</w:t>
      </w:r>
    </w:p>
    <w:p>
      <w:pPr>
        <w:numPr>
          <w:ilvl w:val="-1"/>
          <w:numId w:val="0"/>
        </w:numPr>
        <w:tabs>
          <w:tab w:val="left" w:pos="1800"/>
          <w:tab w:val="left" w:pos="2160"/>
          <w:tab w:val="left" w:pos="3315"/>
        </w:tabs>
        <w:spacing w:line="500" w:lineRule="exact"/>
        <w:ind w:left="0"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sz w:val="24"/>
          <w:szCs w:val="24"/>
          <w:highlight w:val="none"/>
        </w:rPr>
        <w:t>（2）2023年11月底前</w:t>
      </w:r>
      <w:r>
        <w:rPr>
          <w:rFonts w:hint="default" w:ascii="Times New Roman" w:hAnsi="Times New Roman" w:eastAsia="仿宋" w:cs="Times New Roman"/>
          <w:sz w:val="24"/>
          <w:szCs w:val="24"/>
          <w:highlight w:val="none"/>
        </w:rPr>
        <w:t>或在财政预算执行时限内，支付剩余50%合同款项；</w:t>
      </w:r>
    </w:p>
    <w:p>
      <w:pPr>
        <w:numPr>
          <w:ilvl w:val="-1"/>
          <w:numId w:val="0"/>
        </w:numPr>
        <w:tabs>
          <w:tab w:val="left" w:pos="1800"/>
          <w:tab w:val="left" w:pos="2160"/>
          <w:tab w:val="left" w:pos="3315"/>
        </w:tabs>
        <w:spacing w:line="500" w:lineRule="exact"/>
        <w:ind w:left="0" w:firstLine="480" w:firstLineChars="200"/>
        <w:rPr>
          <w:rFonts w:hint="default" w:ascii="Times New Roman" w:hAnsi="Times New Roman" w:eastAsia="仿宋" w:cs="Times New Roman"/>
          <w:bCs w:val="0"/>
          <w:sz w:val="24"/>
          <w:highlight w:val="none"/>
        </w:rPr>
      </w:pPr>
      <w:r>
        <w:rPr>
          <w:rFonts w:hint="default" w:ascii="Times New Roman" w:hAnsi="Times New Roman" w:eastAsia="仿宋" w:cs="Times New Roman"/>
          <w:bCs w:val="0"/>
          <w:sz w:val="24"/>
          <w:highlight w:val="none"/>
        </w:rPr>
        <w:t>（3）服务期满且验收合格后，采购人在30日内将履约保证金一次性无息退还；</w:t>
      </w:r>
    </w:p>
    <w:p>
      <w:pPr>
        <w:numPr>
          <w:ilvl w:val="-1"/>
          <w:numId w:val="0"/>
        </w:numPr>
        <w:tabs>
          <w:tab w:val="left" w:pos="1800"/>
          <w:tab w:val="left" w:pos="2160"/>
          <w:tab w:val="left" w:pos="3315"/>
        </w:tabs>
        <w:spacing w:line="500" w:lineRule="exact"/>
        <w:ind w:left="0" w:firstLine="480" w:firstLineChars="200"/>
        <w:rPr>
          <w:rFonts w:hint="default" w:ascii="Times New Roman" w:hAnsi="Times New Roman" w:eastAsia="仿宋" w:cs="Times New Roman"/>
          <w:bCs w:val="0"/>
          <w:sz w:val="24"/>
          <w:highlight w:val="none"/>
        </w:rPr>
      </w:pPr>
      <w:r>
        <w:rPr>
          <w:rFonts w:hint="default" w:ascii="Times New Roman" w:hAnsi="Times New Roman" w:eastAsia="仿宋" w:cs="Times New Roman"/>
          <w:bCs w:val="0"/>
          <w:sz w:val="24"/>
          <w:highlight w:val="none"/>
        </w:rPr>
        <w:t>（4）供应商在采购人办理以上各期付款的支付手续前，应向采购人出具等额的符合国家规定的发票；</w:t>
      </w:r>
    </w:p>
    <w:p>
      <w:pPr>
        <w:numPr>
          <w:ilvl w:val="-1"/>
          <w:numId w:val="0"/>
        </w:numPr>
        <w:tabs>
          <w:tab w:val="left" w:pos="1800"/>
          <w:tab w:val="left" w:pos="2160"/>
          <w:tab w:val="left" w:pos="3315"/>
        </w:tabs>
        <w:spacing w:line="500" w:lineRule="exact"/>
        <w:ind w:left="0" w:firstLine="480" w:firstLineChars="200"/>
        <w:rPr>
          <w:rFonts w:hint="default" w:ascii="Times New Roman" w:hAnsi="Times New Roman" w:eastAsia="仿宋" w:cs="Times New Roman"/>
          <w:bCs w:val="0"/>
          <w:sz w:val="24"/>
          <w:highlight w:val="none"/>
        </w:rPr>
      </w:pPr>
      <w:r>
        <w:rPr>
          <w:rFonts w:hint="default" w:ascii="Times New Roman" w:hAnsi="Times New Roman" w:eastAsia="仿宋" w:cs="Times New Roman"/>
          <w:bCs w:val="0"/>
          <w:sz w:val="24"/>
          <w:highlight w:val="none"/>
        </w:rPr>
        <w:t>（5）上述时间不包括采购人正常办理支付报批手续的时间。</w:t>
      </w:r>
    </w:p>
    <w:p>
      <w:pPr>
        <w:numPr>
          <w:ilvl w:val="-1"/>
          <w:numId w:val="0"/>
        </w:numPr>
        <w:tabs>
          <w:tab w:val="left" w:pos="1800"/>
          <w:tab w:val="left" w:pos="2160"/>
          <w:tab w:val="left" w:pos="3315"/>
        </w:tabs>
        <w:spacing w:line="500" w:lineRule="exact"/>
        <w:ind w:left="0" w:firstLine="480" w:firstLineChars="200"/>
        <w:rPr>
          <w:rFonts w:hint="default" w:ascii="Times New Roman" w:hAnsi="Times New Roman" w:eastAsia="仿宋" w:cs="Times New Roman"/>
          <w:bCs w:val="0"/>
          <w:sz w:val="24"/>
          <w:highlight w:val="none"/>
        </w:rPr>
      </w:pPr>
      <w:r>
        <w:rPr>
          <w:rFonts w:hint="default" w:ascii="Times New Roman" w:hAnsi="Times New Roman" w:eastAsia="仿宋" w:cs="Times New Roman"/>
          <w:bCs w:val="0"/>
          <w:sz w:val="24"/>
          <w:highlight w:val="none"/>
        </w:rPr>
        <w:t>（6）执行过程中，合同总金额如遇财政预算核减，财政核减后金额低于成交总金额的，按财政核减后金额执行。</w:t>
      </w:r>
    </w:p>
    <w:p>
      <w:pPr>
        <w:numPr>
          <w:ilvl w:val="0"/>
          <w:numId w:val="0"/>
        </w:numPr>
        <w:tabs>
          <w:tab w:val="left" w:pos="1800"/>
          <w:tab w:val="left" w:pos="2160"/>
          <w:tab w:val="left" w:pos="3315"/>
        </w:tabs>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第</w:t>
      </w:r>
      <w:r>
        <w:rPr>
          <w:rFonts w:hint="default" w:ascii="Times New Roman" w:hAnsi="Times New Roman" w:eastAsia="仿宋" w:cs="Times New Roman"/>
          <w:b/>
          <w:sz w:val="24"/>
          <w:szCs w:val="24"/>
          <w:highlight w:val="none"/>
          <w:lang w:val="en-US" w:eastAsia="zh-CN"/>
        </w:rPr>
        <w:t>九</w:t>
      </w:r>
      <w:r>
        <w:rPr>
          <w:rFonts w:hint="default" w:ascii="Times New Roman" w:hAnsi="Times New Roman" w:eastAsia="仿宋" w:cs="Times New Roman"/>
          <w:b/>
          <w:sz w:val="24"/>
          <w:szCs w:val="24"/>
          <w:highlight w:val="none"/>
        </w:rPr>
        <w:t>章</w:t>
      </w:r>
      <w:r>
        <w:rPr>
          <w:rFonts w:hint="default" w:ascii="Times New Roman" w:hAnsi="Times New Roman" w:eastAsia="仿宋" w:cs="Times New Roman"/>
          <w:b/>
          <w:sz w:val="24"/>
          <w:szCs w:val="24"/>
          <w:highlight w:val="none"/>
          <w:lang w:val="en-US" w:eastAsia="zh-CN"/>
        </w:rPr>
        <w:t xml:space="preserve">  </w:t>
      </w:r>
      <w:r>
        <w:rPr>
          <w:rFonts w:hint="default" w:ascii="Times New Roman" w:hAnsi="Times New Roman" w:eastAsia="仿宋" w:cs="Times New Roman"/>
          <w:b/>
          <w:sz w:val="24"/>
          <w:szCs w:val="24"/>
          <w:highlight w:val="none"/>
        </w:rPr>
        <w:t>协议的生效、履行、变更及解除</w:t>
      </w:r>
    </w:p>
    <w:p>
      <w:pPr>
        <w:numPr>
          <w:ilvl w:val="-1"/>
          <w:numId w:val="0"/>
        </w:numPr>
        <w:tabs>
          <w:tab w:val="left" w:pos="709"/>
          <w:tab w:val="left" w:pos="1800"/>
          <w:tab w:val="left" w:pos="2160"/>
        </w:tabs>
        <w:spacing w:line="500" w:lineRule="exact"/>
        <w:ind w:left="0" w:firstLine="482" w:firstLineChars="200"/>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b/>
          <w:bCs/>
          <w:sz w:val="24"/>
          <w:szCs w:val="24"/>
          <w:highlight w:val="none"/>
          <w:lang w:val="en-US" w:eastAsia="zh-CN"/>
        </w:rPr>
        <w:t xml:space="preserve">第三十条 </w:t>
      </w:r>
      <w:r>
        <w:rPr>
          <w:rFonts w:hint="default" w:eastAsia="仿宋"/>
          <w:sz w:val="24"/>
          <w:highlight w:val="none"/>
        </w:rPr>
        <w:t>合同自甲、乙双方签字盖章之日起生效，服务期为2023年7月1日至2024年6月30日（具体服务日期可以随合同签订时间顺延）。</w:t>
      </w:r>
    </w:p>
    <w:p>
      <w:pPr>
        <w:numPr>
          <w:ilvl w:val="-1"/>
          <w:numId w:val="0"/>
        </w:numPr>
        <w:tabs>
          <w:tab w:val="left" w:pos="1800"/>
          <w:tab w:val="left" w:pos="2160"/>
          <w:tab w:val="left" w:pos="3315"/>
        </w:tabs>
        <w:spacing w:line="500" w:lineRule="exact"/>
        <w:ind w:left="0" w:firstLine="482" w:firstLineChars="20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b/>
          <w:bCs/>
          <w:sz w:val="24"/>
          <w:szCs w:val="24"/>
          <w:highlight w:val="none"/>
          <w:lang w:val="en-US" w:eastAsia="zh-CN"/>
        </w:rPr>
        <w:t>第三十一条</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甲方因业务需要变更办公地址时，应提前三十日以书面形式通知乙方。甲方变更名称、法定代表人、主要负责人或者投资人等事项，不影响本协议的履行。在本协议的有效期内，甲方发生合并或者分立等情况，本协议继续有效且由继承甲方权利义务的单位继续履行。</w:t>
      </w:r>
    </w:p>
    <w:p>
      <w:pPr>
        <w:numPr>
          <w:ilvl w:val="-1"/>
          <w:numId w:val="0"/>
        </w:numPr>
        <w:tabs>
          <w:tab w:val="left" w:pos="1800"/>
          <w:tab w:val="left" w:pos="2160"/>
          <w:tab w:val="left" w:pos="3315"/>
        </w:tabs>
        <w:spacing w:line="500" w:lineRule="exact"/>
        <w:ind w:left="0" w:firstLine="482"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lang w:val="en-US" w:eastAsia="zh-CN"/>
        </w:rPr>
        <w:t xml:space="preserve">第三十二条 </w:t>
      </w:r>
      <w:r>
        <w:rPr>
          <w:rFonts w:hint="default" w:ascii="Times New Roman" w:hAnsi="Times New Roman" w:eastAsia="仿宋" w:cs="Times New Roman"/>
          <w:sz w:val="24"/>
          <w:szCs w:val="24"/>
          <w:highlight w:val="none"/>
        </w:rPr>
        <w:t>甲、乙双方中任何一方欲变更本协议之有关条款，均需提前三十天以上以书面形式通知另一方，由甲、乙双方协商对有关条款的变更。</w:t>
      </w:r>
    </w:p>
    <w:p>
      <w:pPr>
        <w:numPr>
          <w:ilvl w:val="-1"/>
          <w:numId w:val="0"/>
        </w:numPr>
        <w:tabs>
          <w:tab w:val="left" w:pos="1800"/>
          <w:tab w:val="left" w:pos="2160"/>
          <w:tab w:val="left" w:pos="3315"/>
        </w:tabs>
        <w:spacing w:line="500" w:lineRule="exact"/>
        <w:ind w:left="0" w:firstLine="482" w:firstLineChars="20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b/>
          <w:bCs/>
          <w:sz w:val="24"/>
          <w:szCs w:val="24"/>
          <w:highlight w:val="none"/>
          <w:lang w:val="en-US" w:eastAsia="zh-CN"/>
        </w:rPr>
        <w:t xml:space="preserve">第三十三条 </w:t>
      </w:r>
      <w:r>
        <w:rPr>
          <w:rFonts w:hint="default" w:ascii="Times New Roman" w:hAnsi="Times New Roman" w:eastAsia="仿宋" w:cs="Times New Roman"/>
          <w:sz w:val="24"/>
          <w:szCs w:val="24"/>
          <w:highlight w:val="none"/>
        </w:rPr>
        <w:t>如遇政府颁布新的法律、法规而造成本协议必须修订的，由甲、乙双方根据政府新颁布的法律、法规之内容，协商修订本协议。</w:t>
      </w:r>
    </w:p>
    <w:p>
      <w:pPr>
        <w:numPr>
          <w:ilvl w:val="-1"/>
          <w:numId w:val="0"/>
        </w:numPr>
        <w:tabs>
          <w:tab w:val="left" w:pos="1800"/>
          <w:tab w:val="left" w:pos="2160"/>
          <w:tab w:val="left" w:pos="3315"/>
        </w:tabs>
        <w:spacing w:line="500" w:lineRule="exact"/>
        <w:ind w:left="0" w:firstLine="482"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lang w:val="en-US" w:eastAsia="zh-CN"/>
        </w:rPr>
        <w:t xml:space="preserve">第三十四条 </w:t>
      </w:r>
      <w:r>
        <w:rPr>
          <w:rFonts w:hint="default" w:ascii="Times New Roman" w:hAnsi="Times New Roman" w:eastAsia="仿宋" w:cs="Times New Roman"/>
          <w:sz w:val="24"/>
          <w:szCs w:val="24"/>
          <w:highlight w:val="none"/>
        </w:rPr>
        <w:t>当一方提出提前解除本协议的，需提前三十日以书面形式通知对方，可以解除本协议，并按照以下方式解决：</w:t>
      </w:r>
    </w:p>
    <w:p>
      <w:pPr>
        <w:numPr>
          <w:ilvl w:val="1"/>
          <w:numId w:val="10"/>
        </w:numPr>
        <w:spacing w:line="50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解约方应向对方支付违约金，标准为协议约定的未履行服务期限服务费金额</w:t>
      </w:r>
    </w:p>
    <w:p>
      <w:pPr>
        <w:numPr>
          <w:ilvl w:val="-1"/>
          <w:numId w:val="0"/>
        </w:numPr>
        <w:spacing w:line="500" w:lineRule="exact"/>
        <w:ind w:left="0" w:firstLine="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（按月计算）30%。</w:t>
      </w:r>
    </w:p>
    <w:p>
      <w:pPr>
        <w:numPr>
          <w:ilvl w:val="1"/>
          <w:numId w:val="10"/>
        </w:numPr>
        <w:spacing w:line="50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甲、乙双方按照下列方式处理与派遣员工的劳动关系：</w:t>
      </w:r>
    </w:p>
    <w:p>
      <w:pPr>
        <w:widowControl/>
        <w:numPr>
          <w:ilvl w:val="255"/>
          <w:numId w:val="0"/>
        </w:numPr>
        <w:autoSpaceDE w:val="0"/>
        <w:autoSpaceDN w:val="0"/>
        <w:adjustRightInd w:val="0"/>
        <w:snapToGrid w:val="0"/>
        <w:spacing w:line="500" w:lineRule="exact"/>
        <w:ind w:right="0" w:firstLine="480" w:firstLineChars="200"/>
        <w:textAlignment w:val="bottom"/>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派遣员工同意与甲方或甲方指定的第三方继续履行劳动合同，则在办理相关手续后甲方或甲方指定的第三方作为用人单位继续履行与派遣员工之间的劳动合同，且派遣人员在乙方派遣至甲方工作期间的工龄连续计算；</w:t>
      </w:r>
    </w:p>
    <w:p>
      <w:pPr>
        <w:spacing w:line="500" w:lineRule="exact"/>
        <w:ind w:firstLine="600" w:firstLineChars="2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当乙方提出解除或终止本协议的，原约定的派遣期限尚未履行的期限由乙方与派遣员工协商解决。</w:t>
      </w:r>
    </w:p>
    <w:p>
      <w:pPr>
        <w:spacing w:line="500" w:lineRule="exact"/>
        <w:ind w:firstLine="602" w:firstLineChars="250"/>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第</w:t>
      </w:r>
      <w:r>
        <w:rPr>
          <w:rFonts w:hint="default" w:ascii="Times New Roman" w:hAnsi="Times New Roman" w:eastAsia="仿宋" w:cs="Times New Roman"/>
          <w:b/>
          <w:bCs/>
          <w:sz w:val="24"/>
          <w:szCs w:val="24"/>
          <w:highlight w:val="none"/>
          <w:lang w:val="en-US" w:eastAsia="zh-CN"/>
        </w:rPr>
        <w:t>三十五</w:t>
      </w:r>
      <w:r>
        <w:rPr>
          <w:rFonts w:hint="default" w:ascii="Times New Roman" w:hAnsi="Times New Roman" w:eastAsia="仿宋" w:cs="Times New Roman"/>
          <w:b/>
          <w:bCs/>
          <w:sz w:val="24"/>
          <w:szCs w:val="24"/>
          <w:highlight w:val="none"/>
        </w:rPr>
        <w:t>条</w:t>
      </w:r>
      <w:r>
        <w:rPr>
          <w:rFonts w:hint="default" w:ascii="Times New Roman" w:hAnsi="Times New Roman" w:eastAsia="仿宋" w:cs="Times New Roman"/>
          <w:sz w:val="24"/>
          <w:szCs w:val="24"/>
          <w:highlight w:val="none"/>
        </w:rPr>
        <w:t xml:space="preserve">  因甲方内部或上级单位政策调整等非甲方过失原因，导致本合同无法继续履行的，甲方有权与乙方解除合同。</w:t>
      </w:r>
    </w:p>
    <w:p>
      <w:pPr>
        <w:spacing w:line="500" w:lineRule="exact"/>
        <w:ind w:firstLine="600" w:firstLineChars="2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乙方在派遣员工时应当向员工告知甲方以上情况，若出现甲方需解除合同的情形，乙方应通过转派等方式，自行妥善处理与派遣员工后续劳动关系，甲方不因此向乙方或派遣员工承担违约责任。</w:t>
      </w:r>
    </w:p>
    <w:p>
      <w:pPr>
        <w:numPr>
          <w:ilvl w:val="-1"/>
          <w:numId w:val="0"/>
        </w:numPr>
        <w:spacing w:line="500" w:lineRule="exact"/>
        <w:ind w:left="0" w:firstLine="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 xml:space="preserve">第十章  </w:t>
      </w:r>
      <w:r>
        <w:rPr>
          <w:rFonts w:hint="default" w:ascii="Times New Roman" w:hAnsi="Times New Roman" w:eastAsia="仿宋" w:cs="Times New Roman"/>
          <w:b/>
          <w:sz w:val="24"/>
          <w:szCs w:val="24"/>
          <w:highlight w:val="none"/>
        </w:rPr>
        <w:t>保密</w:t>
      </w:r>
    </w:p>
    <w:p>
      <w:pPr>
        <w:numPr>
          <w:ilvl w:val="255"/>
          <w:numId w:val="0"/>
        </w:numPr>
        <w:tabs>
          <w:tab w:val="left" w:pos="1800"/>
          <w:tab w:val="left" w:pos="2160"/>
        </w:tabs>
        <w:spacing w:line="500" w:lineRule="exact"/>
        <w:ind w:firstLine="482" w:firstLineChars="20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b/>
          <w:bCs/>
          <w:sz w:val="24"/>
          <w:szCs w:val="24"/>
          <w:highlight w:val="none"/>
        </w:rPr>
        <w:t>第</w:t>
      </w:r>
      <w:r>
        <w:rPr>
          <w:rFonts w:hint="default" w:ascii="Times New Roman" w:hAnsi="Times New Roman" w:eastAsia="仿宋" w:cs="Times New Roman"/>
          <w:b/>
          <w:bCs/>
          <w:sz w:val="24"/>
          <w:szCs w:val="24"/>
          <w:highlight w:val="none"/>
          <w:lang w:val="en-US" w:eastAsia="zh-CN"/>
        </w:rPr>
        <w:t>三十六</w:t>
      </w:r>
      <w:r>
        <w:rPr>
          <w:rFonts w:hint="default" w:ascii="Times New Roman" w:hAnsi="Times New Roman" w:eastAsia="仿宋" w:cs="Times New Roman"/>
          <w:b/>
          <w:bCs/>
          <w:sz w:val="24"/>
          <w:szCs w:val="24"/>
          <w:highlight w:val="none"/>
        </w:rPr>
        <w:t>条</w:t>
      </w:r>
      <w:r>
        <w:rPr>
          <w:rFonts w:hint="default" w:ascii="Times New Roman" w:hAnsi="Times New Roman" w:eastAsia="仿宋" w:cs="Times New Roman"/>
          <w:sz w:val="24"/>
          <w:szCs w:val="24"/>
          <w:highlight w:val="none"/>
        </w:rPr>
        <w:t xml:space="preserve"> </w:t>
      </w:r>
      <w:r>
        <w:rPr>
          <w:rFonts w:hint="default" w:eastAsia="仿宋"/>
          <w:sz w:val="24"/>
          <w:highlight w:val="none"/>
        </w:rPr>
        <w:t>甲、乙双方中任何一方对本协议之内容及因履行本协议而获得的对方的所有信息，均负有保密义务，未经对方书面同意，不得将保密信息用于任何与执行职务无关的情形或透露给第三方。甲、乙双方中任何一方因违反前述保密义务而给对方造成损失的，受损失方有权要求对方停止损害、消除影响、赔偿损失。</w:t>
      </w:r>
    </w:p>
    <w:p>
      <w:pPr>
        <w:tabs>
          <w:tab w:val="left" w:pos="2257"/>
        </w:tabs>
        <w:spacing w:line="50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第十一章  违约责任</w:t>
      </w:r>
    </w:p>
    <w:p>
      <w:pPr>
        <w:numPr>
          <w:ilvl w:val="-1"/>
          <w:numId w:val="0"/>
        </w:numPr>
        <w:tabs>
          <w:tab w:val="left" w:pos="2415"/>
        </w:tabs>
        <w:spacing w:line="500" w:lineRule="exact"/>
        <w:ind w:firstLine="482" w:firstLineChars="200"/>
        <w:rPr>
          <w:rFonts w:hint="default" w:ascii="Times New Roman" w:hAnsi="Times New Roman" w:eastAsia="仿宋" w:cs="Times New Roman"/>
          <w:bCs/>
          <w:sz w:val="24"/>
          <w:szCs w:val="24"/>
          <w:highlight w:val="none"/>
          <w:u w:val="none"/>
        </w:rPr>
      </w:pPr>
      <w:r>
        <w:rPr>
          <w:rFonts w:hint="default" w:ascii="Times New Roman" w:hAnsi="Times New Roman" w:eastAsia="仿宋" w:cs="Times New Roman"/>
          <w:b/>
          <w:bCs w:val="0"/>
          <w:sz w:val="24"/>
          <w:szCs w:val="24"/>
          <w:highlight w:val="none"/>
        </w:rPr>
        <w:t>第</w:t>
      </w:r>
      <w:r>
        <w:rPr>
          <w:rFonts w:hint="default" w:ascii="Times New Roman" w:hAnsi="Times New Roman" w:eastAsia="仿宋" w:cs="Times New Roman"/>
          <w:b/>
          <w:bCs/>
          <w:sz w:val="24"/>
          <w:szCs w:val="24"/>
          <w:highlight w:val="none"/>
          <w:lang w:val="en-US" w:eastAsia="zh-CN"/>
        </w:rPr>
        <w:t>三十七</w:t>
      </w:r>
      <w:r>
        <w:rPr>
          <w:rFonts w:hint="default" w:ascii="Times New Roman" w:hAnsi="Times New Roman" w:eastAsia="仿宋" w:cs="Times New Roman"/>
          <w:b/>
          <w:bCs w:val="0"/>
          <w:sz w:val="24"/>
          <w:szCs w:val="24"/>
          <w:highlight w:val="none"/>
        </w:rPr>
        <w:t>条</w:t>
      </w:r>
      <w:r>
        <w:rPr>
          <w:rFonts w:hint="default" w:ascii="Times New Roman" w:hAnsi="Times New Roman" w:eastAsia="仿宋" w:cs="Times New Roman"/>
          <w:bCs/>
          <w:sz w:val="24"/>
          <w:szCs w:val="24"/>
          <w:highlight w:val="none"/>
        </w:rPr>
        <w:t xml:space="preserve"> 甲、乙双方应严格遵守本协议各项约定。本协议履行过程中：</w:t>
      </w:r>
    </w:p>
    <w:p>
      <w:pPr>
        <w:numPr>
          <w:ilvl w:val="0"/>
          <w:numId w:val="11"/>
        </w:numPr>
        <w:spacing w:line="500" w:lineRule="exact"/>
        <w:ind w:left="0"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若甲方迟延向乙方支付本协议约定费用的，或因甲方确定的社会保险及住房公积金缴费基数低于国家法律法规及政策规定的标准，导致乙方无法按时足额发放劳动报酬或缴纳社会保险的，由此产生的劳动监察、仲裁、诉讼等经济和法律责任由乙方承担后可向甲方主张。</w:t>
      </w:r>
    </w:p>
    <w:p>
      <w:pPr>
        <w:tabs>
          <w:tab w:val="left" w:pos="2415"/>
        </w:tabs>
        <w:spacing w:line="500" w:lineRule="exact"/>
        <w:ind w:left="0" w:leftChars="0"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highlight w:val="none"/>
          <w:lang w:eastAsia="zh-CN"/>
        </w:rPr>
        <w:t>（</w:t>
      </w:r>
      <w:r>
        <w:rPr>
          <w:rFonts w:hint="default" w:ascii="Times New Roman" w:hAnsi="Times New Roman" w:eastAsia="仿宋" w:cs="Times New Roman"/>
          <w:bCs/>
          <w:sz w:val="24"/>
          <w:highlight w:val="none"/>
          <w:lang w:val="en-US" w:eastAsia="zh-CN"/>
        </w:rPr>
        <w:t>2</w:t>
      </w:r>
      <w:r>
        <w:rPr>
          <w:rFonts w:hint="default" w:ascii="Times New Roman" w:hAnsi="Times New Roman" w:eastAsia="仿宋" w:cs="Times New Roman"/>
          <w:bCs/>
          <w:sz w:val="24"/>
          <w:highlight w:val="none"/>
          <w:lang w:eastAsia="zh-CN"/>
        </w:rPr>
        <w:t>）</w:t>
      </w:r>
      <w:r>
        <w:rPr>
          <w:rFonts w:hint="default" w:ascii="Times New Roman" w:hAnsi="Times New Roman" w:eastAsia="仿宋" w:cs="Times New Roman"/>
          <w:bCs/>
          <w:sz w:val="24"/>
          <w:szCs w:val="24"/>
          <w:highlight w:val="none"/>
        </w:rPr>
        <w:t>若甲方按时足额向乙方支付本协议约定的费用后，因乙方原因未按时足额向派遣员工发放劳动报酬或缴纳社会保险、住房公积金费用，由此产生的劳动监察、仲裁、诉讼等经济和法律责任由乙方承担。</w:t>
      </w:r>
    </w:p>
    <w:p>
      <w:pPr>
        <w:tabs>
          <w:tab w:val="left" w:pos="2415"/>
        </w:tabs>
        <w:spacing w:line="500" w:lineRule="exact"/>
        <w:ind w:left="0" w:leftChars="0"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highlight w:val="none"/>
          <w:lang w:val="en-US" w:eastAsia="zh-CN"/>
        </w:rPr>
        <w:t>3</w:t>
      </w:r>
      <w:r>
        <w:rPr>
          <w:rFonts w:hint="default"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highlight w:val="none"/>
        </w:rPr>
        <w:t>乙方为专业的劳务派遣公司，应向甲方提供全面的劳务派遣服务，因乙方疏忽未就用工相关事宜向甲方或派遣员工尽到提醒、告知义务，所产生的法律后果由乙方承担。</w:t>
      </w:r>
    </w:p>
    <w:p>
      <w:pPr>
        <w:numPr>
          <w:ilvl w:val="-1"/>
          <w:numId w:val="0"/>
        </w:numPr>
        <w:tabs>
          <w:tab w:val="left" w:pos="2415"/>
        </w:tabs>
        <w:spacing w:line="500" w:lineRule="exact"/>
        <w:ind w:firstLine="482"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b/>
          <w:bCs w:val="0"/>
          <w:sz w:val="24"/>
          <w:szCs w:val="24"/>
          <w:highlight w:val="none"/>
        </w:rPr>
        <w:t>第</w:t>
      </w:r>
      <w:r>
        <w:rPr>
          <w:rFonts w:hint="default" w:ascii="Times New Roman" w:hAnsi="Times New Roman" w:eastAsia="仿宋" w:cs="Times New Roman"/>
          <w:b/>
          <w:bCs/>
          <w:sz w:val="24"/>
          <w:szCs w:val="24"/>
          <w:highlight w:val="none"/>
          <w:lang w:val="en-US" w:eastAsia="zh-CN"/>
        </w:rPr>
        <w:t>三十八</w:t>
      </w:r>
      <w:r>
        <w:rPr>
          <w:rFonts w:hint="default" w:ascii="Times New Roman" w:hAnsi="Times New Roman" w:eastAsia="仿宋" w:cs="Times New Roman"/>
          <w:b/>
          <w:bCs w:val="0"/>
          <w:sz w:val="24"/>
          <w:szCs w:val="24"/>
          <w:highlight w:val="none"/>
        </w:rPr>
        <w:t>条</w:t>
      </w:r>
      <w:r>
        <w:rPr>
          <w:rFonts w:hint="default" w:ascii="Times New Roman" w:hAnsi="Times New Roman" w:eastAsia="仿宋" w:cs="Times New Roman"/>
          <w:bCs/>
          <w:sz w:val="24"/>
          <w:szCs w:val="24"/>
          <w:highlight w:val="none"/>
        </w:rPr>
        <w:t xml:space="preserve"> </w:t>
      </w:r>
      <w:r>
        <w:rPr>
          <w:rFonts w:hint="default" w:eastAsia="仿宋"/>
          <w:bCs/>
          <w:sz w:val="24"/>
          <w:highlight w:val="none"/>
        </w:rPr>
        <w:t>甲、乙双方应严格遵守本协议的各项约定，甲方应及时向乙方支付劳务费和服务费用。若甲方迟付本协议约定的费用，经乙方提出交涉后，甲方逾期15天不向乙方支付的，乙方有权终止派遣员工的社会保险缴纳，由此造成的全部损失由甲方承担。逾期达30天的，乙方有权单方解除本合同。同时，甲方仍有义务向乙方支付所拖欠的费用，以及补偿乙方依法维持至终止或解除与员工劳动合同全部费用。</w:t>
      </w:r>
    </w:p>
    <w:p>
      <w:pPr>
        <w:spacing w:line="50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第十二章  争议解决</w:t>
      </w:r>
    </w:p>
    <w:p>
      <w:pPr>
        <w:numPr>
          <w:ilvl w:val="255"/>
          <w:numId w:val="0"/>
        </w:numPr>
        <w:spacing w:line="500" w:lineRule="exact"/>
        <w:ind w:firstLine="48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rPr>
        <w:t>第</w:t>
      </w:r>
      <w:r>
        <w:rPr>
          <w:rFonts w:hint="default" w:ascii="Times New Roman" w:hAnsi="Times New Roman" w:eastAsia="仿宋" w:cs="Times New Roman"/>
          <w:b/>
          <w:bCs/>
          <w:sz w:val="24"/>
          <w:szCs w:val="24"/>
          <w:highlight w:val="none"/>
          <w:lang w:val="en-US" w:eastAsia="zh-CN"/>
        </w:rPr>
        <w:t>三十九</w:t>
      </w:r>
      <w:r>
        <w:rPr>
          <w:rFonts w:hint="default" w:ascii="Times New Roman" w:hAnsi="Times New Roman" w:eastAsia="仿宋" w:cs="Times New Roman"/>
          <w:b/>
          <w:bCs/>
          <w:sz w:val="24"/>
          <w:szCs w:val="24"/>
          <w:highlight w:val="none"/>
        </w:rPr>
        <w:t>条</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z w:val="24"/>
          <w:highlight w:val="none"/>
        </w:rPr>
        <w:t>合同转让和分包</w:t>
      </w:r>
    </w:p>
    <w:p>
      <w:pPr>
        <w:numPr>
          <w:ilvl w:val="255"/>
          <w:numId w:val="0"/>
        </w:num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合同的权利义务依法不得转让，不允许分包。</w:t>
      </w:r>
    </w:p>
    <w:p>
      <w:pPr>
        <w:numPr>
          <w:ilvl w:val="255"/>
          <w:numId w:val="0"/>
        </w:numPr>
        <w:spacing w:line="500" w:lineRule="exact"/>
        <w:ind w:firstLine="48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rPr>
        <w:t>第四十条</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highlight w:val="none"/>
        </w:rPr>
        <w:t>本合同用中文书写。本合同一式捌份，采购人执肆份，成交供应商执贰份，陕西省财政厅政府采购管理处备案壹份，采购代理机构执壹份，所有合同均具有相同的法律效力。</w:t>
      </w:r>
    </w:p>
    <w:p>
      <w:pPr>
        <w:numPr>
          <w:ilvl w:val="255"/>
          <w:numId w:val="0"/>
        </w:numPr>
        <w:spacing w:line="500" w:lineRule="exact"/>
        <w:ind w:firstLine="48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rPr>
        <w:t>第四十</w:t>
      </w:r>
      <w:r>
        <w:rPr>
          <w:rFonts w:hint="default" w:ascii="Times New Roman" w:hAnsi="Times New Roman" w:eastAsia="仿宋" w:cs="Times New Roman"/>
          <w:b/>
          <w:bCs/>
          <w:sz w:val="24"/>
          <w:szCs w:val="24"/>
          <w:highlight w:val="none"/>
          <w:lang w:val="en-US" w:eastAsia="zh-CN"/>
        </w:rPr>
        <w:t>一</w:t>
      </w:r>
      <w:r>
        <w:rPr>
          <w:rFonts w:hint="default" w:ascii="Times New Roman" w:hAnsi="Times New Roman" w:eastAsia="仿宋" w:cs="Times New Roman"/>
          <w:b/>
          <w:bCs/>
          <w:sz w:val="24"/>
          <w:szCs w:val="24"/>
          <w:highlight w:val="none"/>
        </w:rPr>
        <w:t>条</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highlight w:val="none"/>
        </w:rPr>
        <w:t>其他未尽事宜行业以行业相关法律法规要求和甲、乙双方签订的补充协议为准。</w:t>
      </w:r>
    </w:p>
    <w:p>
      <w:pPr>
        <w:numPr>
          <w:ilvl w:val="255"/>
          <w:numId w:val="0"/>
        </w:numPr>
        <w:spacing w:line="500" w:lineRule="exact"/>
        <w:ind w:firstLine="48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rPr>
        <w:t>第四十</w:t>
      </w:r>
      <w:r>
        <w:rPr>
          <w:rFonts w:hint="default" w:ascii="Times New Roman" w:hAnsi="Times New Roman" w:eastAsia="仿宋" w:cs="Times New Roman"/>
          <w:b/>
          <w:bCs/>
          <w:sz w:val="24"/>
          <w:szCs w:val="24"/>
          <w:highlight w:val="none"/>
          <w:lang w:val="en-US" w:eastAsia="zh-CN"/>
        </w:rPr>
        <w:t>二</w:t>
      </w:r>
      <w:r>
        <w:rPr>
          <w:rFonts w:hint="default" w:ascii="Times New Roman" w:hAnsi="Times New Roman" w:eastAsia="仿宋" w:cs="Times New Roman"/>
          <w:b/>
          <w:bCs/>
          <w:sz w:val="24"/>
          <w:szCs w:val="24"/>
          <w:highlight w:val="none"/>
        </w:rPr>
        <w:t>条</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highlight w:val="none"/>
        </w:rPr>
        <w:t>合同争议的解决：合同执行中发生争议的，当事人双方应协商解决，协商达不成一致时，可向采购人所在地辖区法院提请诉讼。</w:t>
      </w:r>
    </w:p>
    <w:p>
      <w:pPr>
        <w:numPr>
          <w:ilvl w:val="255"/>
          <w:numId w:val="0"/>
        </w:numPr>
        <w:spacing w:line="500" w:lineRule="exact"/>
        <w:ind w:firstLine="48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rPr>
        <w:t>第四十</w:t>
      </w:r>
      <w:r>
        <w:rPr>
          <w:rFonts w:hint="default" w:ascii="Times New Roman" w:hAnsi="Times New Roman" w:eastAsia="仿宋" w:cs="Times New Roman"/>
          <w:b/>
          <w:bCs/>
          <w:sz w:val="24"/>
          <w:szCs w:val="24"/>
          <w:highlight w:val="none"/>
          <w:lang w:val="en-US" w:eastAsia="zh-CN"/>
        </w:rPr>
        <w:t>三</w:t>
      </w:r>
      <w:r>
        <w:rPr>
          <w:rFonts w:hint="default" w:ascii="Times New Roman" w:hAnsi="Times New Roman" w:eastAsia="仿宋" w:cs="Times New Roman"/>
          <w:b/>
          <w:bCs/>
          <w:sz w:val="24"/>
          <w:szCs w:val="24"/>
          <w:highlight w:val="none"/>
        </w:rPr>
        <w:t>条</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highlight w:val="none"/>
          <w:lang w:val="zh-CN"/>
        </w:rPr>
        <w:t>本合同自双方</w:t>
      </w:r>
      <w:r>
        <w:rPr>
          <w:rFonts w:hint="default" w:ascii="Times New Roman" w:hAnsi="Times New Roman" w:eastAsia="仿宋" w:cs="Times New Roman"/>
          <w:sz w:val="24"/>
          <w:highlight w:val="none"/>
        </w:rPr>
        <w:t>法定代表人或授权代表签字并盖公章</w:t>
      </w:r>
      <w:r>
        <w:rPr>
          <w:rFonts w:hint="default" w:ascii="Times New Roman" w:hAnsi="Times New Roman" w:eastAsia="仿宋" w:cs="Times New Roman"/>
          <w:sz w:val="24"/>
          <w:highlight w:val="none"/>
          <w:lang w:val="zh-CN"/>
        </w:rPr>
        <w:t>之日起生效。本合同未涉事宜双方可协商确定并签订补充协议。补充协议、下列合同附件均为合同的有效组成部分，与本合同具有同等法律效力。</w:t>
      </w:r>
    </w:p>
    <w:p>
      <w:pPr>
        <w:tabs>
          <w:tab w:val="left" w:pos="2160"/>
        </w:tabs>
        <w:spacing w:line="500" w:lineRule="exact"/>
        <w:rPr>
          <w:rFonts w:hint="default" w:ascii="Times New Roman" w:hAnsi="Times New Roman" w:eastAsia="仿宋" w:cs="Times New Roman"/>
          <w:b/>
          <w:sz w:val="24"/>
          <w:szCs w:val="24"/>
          <w:highlight w:val="none"/>
          <w:u w:val="single"/>
        </w:rPr>
      </w:pPr>
    </w:p>
    <w:p>
      <w:pPr>
        <w:spacing w:line="500" w:lineRule="exac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甲方（签字盖章）：</w:t>
      </w:r>
    </w:p>
    <w:p>
      <w:pPr>
        <w:spacing w:line="500" w:lineRule="exact"/>
        <w:rPr>
          <w:rFonts w:hint="default" w:ascii="Times New Roman" w:hAnsi="Times New Roman" w:eastAsia="仿宋" w:cs="Times New Roman"/>
          <w:b/>
          <w:sz w:val="24"/>
          <w:szCs w:val="24"/>
          <w:highlight w:val="none"/>
        </w:rPr>
      </w:pPr>
    </w:p>
    <w:p>
      <w:pPr>
        <w:spacing w:line="500" w:lineRule="exact"/>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rPr>
        <w:t>签署日期：      年    月    日</w:t>
      </w:r>
    </w:p>
    <w:p>
      <w:pPr>
        <w:spacing w:line="500" w:lineRule="exact"/>
        <w:rPr>
          <w:rFonts w:hint="default" w:ascii="Times New Roman" w:hAnsi="Times New Roman" w:eastAsia="仿宋" w:cs="Times New Roman"/>
          <w:b/>
          <w:sz w:val="24"/>
          <w:szCs w:val="24"/>
          <w:highlight w:val="none"/>
        </w:rPr>
      </w:pPr>
    </w:p>
    <w:p>
      <w:pPr>
        <w:spacing w:line="500" w:lineRule="exac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乙方（签字盖章）：</w:t>
      </w:r>
    </w:p>
    <w:p>
      <w:pPr>
        <w:spacing w:line="500" w:lineRule="exact"/>
        <w:rPr>
          <w:rFonts w:hint="default" w:ascii="Times New Roman" w:hAnsi="Times New Roman" w:eastAsia="仿宋" w:cs="Times New Roman"/>
          <w:b/>
          <w:sz w:val="24"/>
          <w:szCs w:val="24"/>
          <w:highlight w:val="none"/>
        </w:rPr>
      </w:pPr>
    </w:p>
    <w:p>
      <w:pPr>
        <w:spacing w:line="500" w:lineRule="exac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签署日期：      年    月    日</w:t>
      </w:r>
    </w:p>
    <w:p>
      <w:pPr>
        <w:spacing w:line="500" w:lineRule="exact"/>
        <w:rPr>
          <w:rFonts w:hint="default" w:ascii="Times New Roman" w:hAnsi="Times New Roman" w:eastAsia="仿宋" w:cs="Times New Roman"/>
          <w:b/>
          <w:sz w:val="24"/>
          <w:szCs w:val="24"/>
          <w:highlight w:val="none"/>
        </w:rPr>
      </w:pPr>
    </w:p>
    <w:p>
      <w:pPr>
        <w:spacing w:line="500" w:lineRule="exact"/>
        <w:rPr>
          <w:rFonts w:hint="default" w:ascii="Times New Roman" w:hAnsi="Times New Roman" w:eastAsia="仿宋" w:cs="Times New Roman"/>
          <w:b/>
          <w:sz w:val="24"/>
          <w:szCs w:val="24"/>
          <w:highlight w:val="none"/>
        </w:rPr>
      </w:pPr>
    </w:p>
    <w:p>
      <w:pPr>
        <w:spacing w:line="500" w:lineRule="exac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本协议之附件：</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附件一：《乙方向甲方提供各项服务内容》</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附件二：由甲方向乙方出具的《用工通知函》（式样）</w:t>
      </w:r>
    </w:p>
    <w:p>
      <w:pPr>
        <w:spacing w:line="50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附件三：由乙方出具的《派遣员工确认函》（式样）</w:t>
      </w:r>
    </w:p>
    <w:p>
      <w:pPr>
        <w:spacing w:line="500" w:lineRule="exact"/>
        <w:ind w:firstLine="480" w:firstLineChars="200"/>
        <w:rPr>
          <w:rFonts w:hint="default" w:ascii="Times New Roman" w:hAnsi="Times New Roman" w:eastAsia="仿宋" w:cs="Times New Roman"/>
          <w:sz w:val="24"/>
          <w:szCs w:val="24"/>
          <w:highlight w:val="none"/>
        </w:rPr>
      </w:pPr>
    </w:p>
    <w:p>
      <w:pPr>
        <w:spacing w:line="500" w:lineRule="exact"/>
        <w:ind w:firstLine="480" w:firstLineChars="200"/>
        <w:rPr>
          <w:rFonts w:hint="default" w:ascii="Times New Roman" w:hAnsi="Times New Roman" w:eastAsia="仿宋" w:cs="Times New Roman"/>
          <w:sz w:val="24"/>
          <w:szCs w:val="24"/>
          <w:highlight w:val="none"/>
        </w:rPr>
      </w:pPr>
    </w:p>
    <w:p>
      <w:pPr>
        <w:spacing w:line="500" w:lineRule="exact"/>
        <w:ind w:firstLine="480" w:firstLineChars="200"/>
        <w:rPr>
          <w:rFonts w:hint="default" w:ascii="Times New Roman" w:hAnsi="Times New Roman" w:eastAsia="仿宋" w:cs="Times New Roman"/>
          <w:sz w:val="24"/>
          <w:szCs w:val="24"/>
          <w:highlight w:val="none"/>
        </w:rPr>
      </w:pPr>
    </w:p>
    <w:p>
      <w:pPr>
        <w:pStyle w:val="2"/>
        <w:spacing w:line="500" w:lineRule="exact"/>
        <w:rPr>
          <w:rFonts w:hint="default" w:ascii="Times New Roman" w:hAnsi="Times New Roman" w:eastAsia="仿宋" w:cs="Times New Roman"/>
          <w:sz w:val="24"/>
          <w:szCs w:val="24"/>
          <w:highlight w:val="none"/>
        </w:rPr>
      </w:pPr>
    </w:p>
    <w:p>
      <w:pPr>
        <w:rPr>
          <w:rFonts w:hint="default" w:ascii="Times New Roman" w:hAnsi="Times New Roman" w:eastAsia="仿宋" w:cs="Times New Roman"/>
          <w:sz w:val="24"/>
          <w:szCs w:val="24"/>
          <w:highlight w:val="none"/>
        </w:rPr>
      </w:pPr>
    </w:p>
    <w:p>
      <w:pPr>
        <w:pStyle w:val="2"/>
        <w:rPr>
          <w:rFonts w:hint="default" w:ascii="Times New Roman" w:hAnsi="Times New Roman" w:eastAsia="仿宋" w:cs="Times New Roman"/>
          <w:sz w:val="24"/>
          <w:szCs w:val="24"/>
          <w:highlight w:val="none"/>
        </w:rPr>
      </w:pPr>
    </w:p>
    <w:p>
      <w:pPr>
        <w:rPr>
          <w:rFonts w:hint="default" w:ascii="Times New Roman" w:hAnsi="Times New Roman" w:eastAsia="仿宋" w:cs="Times New Roman"/>
          <w:sz w:val="24"/>
          <w:szCs w:val="24"/>
          <w:highlight w:val="none"/>
        </w:rPr>
      </w:pPr>
    </w:p>
    <w:p>
      <w:pPr>
        <w:pStyle w:val="2"/>
        <w:rPr>
          <w:rFonts w:hint="default"/>
          <w:highlight w:val="none"/>
        </w:rPr>
      </w:pPr>
    </w:p>
    <w:p>
      <w:pPr>
        <w:rPr>
          <w:rFonts w:hint="default"/>
          <w:highlight w:val="none"/>
        </w:rPr>
      </w:pPr>
    </w:p>
    <w:p>
      <w:pPr>
        <w:spacing w:line="500" w:lineRule="exact"/>
        <w:rPr>
          <w:rFonts w:hint="default" w:ascii="Times New Roman" w:hAnsi="Times New Roman" w:eastAsia="仿宋" w:cs="Times New Roman"/>
          <w:sz w:val="24"/>
          <w:szCs w:val="24"/>
          <w:highlight w:val="none"/>
        </w:rPr>
      </w:pPr>
    </w:p>
    <w:p>
      <w:pPr>
        <w:pStyle w:val="2"/>
        <w:spacing w:line="500" w:lineRule="exact"/>
        <w:rPr>
          <w:rFonts w:hint="default" w:ascii="Times New Roman" w:hAnsi="Times New Roman" w:eastAsia="仿宋" w:cs="Times New Roman"/>
          <w:sz w:val="24"/>
          <w:szCs w:val="24"/>
          <w:highlight w:val="none"/>
        </w:rPr>
      </w:pPr>
    </w:p>
    <w:p>
      <w:pPr>
        <w:spacing w:line="500" w:lineRule="exact"/>
        <w:rPr>
          <w:rFonts w:hint="default" w:ascii="Times New Roman" w:hAnsi="Times New Roman" w:eastAsia="仿宋" w:cs="Times New Roman"/>
          <w:sz w:val="24"/>
          <w:szCs w:val="24"/>
          <w:highlight w:val="none"/>
        </w:rPr>
      </w:pPr>
    </w:p>
    <w:p>
      <w:pPr>
        <w:pStyle w:val="2"/>
        <w:rPr>
          <w:rFonts w:hint="default"/>
          <w:highlight w:val="none"/>
        </w:rPr>
      </w:pPr>
    </w:p>
    <w:p>
      <w:pPr>
        <w:spacing w:line="360" w:lineRule="auto"/>
        <w:ind w:firstLine="0" w:firstLineChars="0"/>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rPr>
        <w:t>附件一：服务内容</w:t>
      </w:r>
    </w:p>
    <w:tbl>
      <w:tblPr>
        <w:tblStyle w:val="50"/>
        <w:tblW w:w="9520" w:type="dxa"/>
        <w:tblInd w:w="-318" w:type="dxa"/>
        <w:tblLayout w:type="fixed"/>
        <w:tblCellMar>
          <w:top w:w="0" w:type="dxa"/>
          <w:left w:w="108" w:type="dxa"/>
          <w:bottom w:w="0" w:type="dxa"/>
          <w:right w:w="108" w:type="dxa"/>
        </w:tblCellMar>
      </w:tblPr>
      <w:tblGrid>
        <w:gridCol w:w="537"/>
        <w:gridCol w:w="441"/>
        <w:gridCol w:w="2825"/>
        <w:gridCol w:w="5717"/>
      </w:tblGrid>
      <w:tr>
        <w:tblPrEx>
          <w:tblCellMar>
            <w:top w:w="0" w:type="dxa"/>
            <w:left w:w="108" w:type="dxa"/>
            <w:bottom w:w="0" w:type="dxa"/>
            <w:right w:w="108" w:type="dxa"/>
          </w:tblCellMar>
        </w:tblPrEx>
        <w:trPr>
          <w:trHeight w:val="462" w:hRule="atLeast"/>
        </w:trPr>
        <w:tc>
          <w:tcPr>
            <w:tcW w:w="537" w:type="dxa"/>
            <w:tcBorders>
              <w:top w:val="single" w:color="auto" w:sz="8" w:space="0"/>
              <w:left w:val="single" w:color="auto" w:sz="8" w:space="0"/>
              <w:bottom w:val="single" w:color="auto" w:sz="8" w:space="0"/>
              <w:right w:val="single" w:color="auto" w:sz="4" w:space="0"/>
            </w:tcBorders>
            <w:vAlign w:val="center"/>
          </w:tcPr>
          <w:p>
            <w:pPr>
              <w:widowControl/>
              <w:jc w:val="center"/>
              <w:rPr>
                <w:rFonts w:hint="default" w:ascii="Times New Roman" w:hAnsi="Times New Roman" w:eastAsia="仿宋" w:cs="Times New Roman"/>
                <w:b/>
                <w:bCs/>
                <w:kern w:val="0"/>
                <w:sz w:val="22"/>
                <w:szCs w:val="22"/>
                <w:highlight w:val="none"/>
              </w:rPr>
            </w:pPr>
            <w:r>
              <w:rPr>
                <w:rFonts w:hint="default" w:ascii="Times New Roman" w:hAnsi="Times New Roman" w:eastAsia="仿宋" w:cs="Times New Roman"/>
                <w:b/>
                <w:bCs/>
                <w:kern w:val="0"/>
                <w:sz w:val="22"/>
                <w:szCs w:val="22"/>
                <w:highlight w:val="none"/>
              </w:rPr>
              <w:t>类别</w:t>
            </w:r>
          </w:p>
        </w:tc>
        <w:tc>
          <w:tcPr>
            <w:tcW w:w="441" w:type="dxa"/>
            <w:tcBorders>
              <w:top w:val="single" w:color="auto" w:sz="8" w:space="0"/>
              <w:left w:val="nil"/>
              <w:bottom w:val="single" w:color="auto" w:sz="8" w:space="0"/>
              <w:right w:val="single" w:color="auto" w:sz="4" w:space="0"/>
            </w:tcBorders>
            <w:vAlign w:val="center"/>
          </w:tcPr>
          <w:p>
            <w:pPr>
              <w:widowControl/>
              <w:jc w:val="center"/>
              <w:rPr>
                <w:rFonts w:hint="default" w:ascii="Times New Roman" w:hAnsi="Times New Roman" w:eastAsia="仿宋" w:cs="Times New Roman"/>
                <w:b/>
                <w:bCs/>
                <w:kern w:val="0"/>
                <w:sz w:val="22"/>
                <w:szCs w:val="22"/>
                <w:highlight w:val="none"/>
              </w:rPr>
            </w:pPr>
            <w:r>
              <w:rPr>
                <w:rFonts w:hint="default" w:ascii="Times New Roman" w:hAnsi="Times New Roman" w:eastAsia="仿宋" w:cs="Times New Roman"/>
                <w:b/>
                <w:bCs/>
                <w:kern w:val="0"/>
                <w:sz w:val="22"/>
                <w:szCs w:val="22"/>
                <w:highlight w:val="none"/>
              </w:rPr>
              <w:t>序号</w:t>
            </w:r>
          </w:p>
        </w:tc>
        <w:tc>
          <w:tcPr>
            <w:tcW w:w="2825" w:type="dxa"/>
            <w:tcBorders>
              <w:top w:val="single" w:color="auto" w:sz="8" w:space="0"/>
              <w:left w:val="nil"/>
              <w:bottom w:val="single" w:color="auto" w:sz="8" w:space="0"/>
              <w:right w:val="single" w:color="auto" w:sz="4" w:space="0"/>
            </w:tcBorders>
            <w:vAlign w:val="center"/>
          </w:tcPr>
          <w:p>
            <w:pPr>
              <w:widowControl/>
              <w:jc w:val="center"/>
              <w:rPr>
                <w:rFonts w:hint="default" w:ascii="Times New Roman" w:hAnsi="Times New Roman" w:eastAsia="仿宋" w:cs="Times New Roman"/>
                <w:b/>
                <w:bCs/>
                <w:kern w:val="0"/>
                <w:sz w:val="22"/>
                <w:szCs w:val="22"/>
                <w:highlight w:val="none"/>
              </w:rPr>
            </w:pPr>
            <w:r>
              <w:rPr>
                <w:rFonts w:hint="default" w:ascii="Times New Roman" w:hAnsi="Times New Roman" w:eastAsia="仿宋" w:cs="Times New Roman"/>
                <w:b/>
                <w:bCs/>
                <w:kern w:val="0"/>
                <w:sz w:val="22"/>
                <w:szCs w:val="22"/>
                <w:highlight w:val="none"/>
              </w:rPr>
              <w:t>项目名称</w:t>
            </w:r>
          </w:p>
        </w:tc>
        <w:tc>
          <w:tcPr>
            <w:tcW w:w="5717" w:type="dxa"/>
            <w:tcBorders>
              <w:top w:val="single" w:color="auto" w:sz="8" w:space="0"/>
              <w:left w:val="nil"/>
              <w:bottom w:val="single" w:color="auto" w:sz="8" w:space="0"/>
              <w:right w:val="single" w:color="auto" w:sz="4" w:space="0"/>
            </w:tcBorders>
            <w:vAlign w:val="center"/>
          </w:tcPr>
          <w:p>
            <w:pPr>
              <w:widowControl/>
              <w:jc w:val="center"/>
              <w:rPr>
                <w:rFonts w:hint="default" w:ascii="Times New Roman" w:hAnsi="Times New Roman" w:eastAsia="仿宋" w:cs="Times New Roman"/>
                <w:b/>
                <w:bCs/>
                <w:kern w:val="0"/>
                <w:sz w:val="22"/>
                <w:szCs w:val="22"/>
                <w:highlight w:val="none"/>
              </w:rPr>
            </w:pPr>
            <w:r>
              <w:rPr>
                <w:rFonts w:hint="default" w:ascii="Times New Roman" w:hAnsi="Times New Roman" w:eastAsia="仿宋" w:cs="Times New Roman"/>
                <w:b/>
                <w:bCs/>
                <w:kern w:val="0"/>
                <w:sz w:val="22"/>
                <w:szCs w:val="22"/>
                <w:highlight w:val="none"/>
              </w:rPr>
              <w:t>服务内容</w:t>
            </w:r>
          </w:p>
        </w:tc>
      </w:tr>
      <w:tr>
        <w:tblPrEx>
          <w:tblCellMar>
            <w:top w:w="0" w:type="dxa"/>
            <w:left w:w="108" w:type="dxa"/>
            <w:bottom w:w="0" w:type="dxa"/>
            <w:right w:w="108" w:type="dxa"/>
          </w:tblCellMar>
        </w:tblPrEx>
        <w:trPr>
          <w:trHeight w:val="545" w:hRule="atLeast"/>
        </w:trPr>
        <w:tc>
          <w:tcPr>
            <w:tcW w:w="537" w:type="dxa"/>
            <w:vMerge w:val="restart"/>
            <w:tcBorders>
              <w:top w:val="nil"/>
              <w:left w:val="single" w:color="auto" w:sz="8" w:space="0"/>
              <w:bottom w:val="single" w:color="auto" w:sz="4" w:space="0"/>
              <w:right w:val="single" w:color="auto" w:sz="4" w:space="0"/>
            </w:tcBorders>
            <w:textDirection w:val="tbRlV"/>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劳动关系管理服务</w:t>
            </w: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劳动合同的制定</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制定严密的、合法的《劳动合同》</w:t>
            </w:r>
          </w:p>
        </w:tc>
      </w:tr>
      <w:tr>
        <w:tblPrEx>
          <w:tblCellMar>
            <w:top w:w="0" w:type="dxa"/>
            <w:left w:w="108" w:type="dxa"/>
            <w:bottom w:w="0" w:type="dxa"/>
            <w:right w:w="108" w:type="dxa"/>
          </w:tblCellMar>
        </w:tblPrEx>
        <w:trPr>
          <w:trHeight w:val="545"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2</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劳动合同的签订</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与员工签订劳动合同，建立劳动关系</w:t>
            </w:r>
          </w:p>
        </w:tc>
      </w:tr>
      <w:tr>
        <w:tblPrEx>
          <w:tblCellMar>
            <w:top w:w="0" w:type="dxa"/>
            <w:left w:w="108" w:type="dxa"/>
            <w:bottom w:w="0" w:type="dxa"/>
            <w:right w:w="108" w:type="dxa"/>
          </w:tblCellMar>
        </w:tblPrEx>
        <w:trPr>
          <w:trHeight w:val="545"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3</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劳动合同的归档管理</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对员工劳动合同进行管理，对员工信息进行电脑录入管理</w:t>
            </w:r>
          </w:p>
        </w:tc>
      </w:tr>
      <w:tr>
        <w:tblPrEx>
          <w:tblCellMar>
            <w:top w:w="0" w:type="dxa"/>
            <w:left w:w="108" w:type="dxa"/>
            <w:bottom w:w="0" w:type="dxa"/>
            <w:right w:w="108" w:type="dxa"/>
          </w:tblCellMar>
        </w:tblPrEx>
        <w:trPr>
          <w:trHeight w:val="545"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4</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劳动合同的查阅、材料出具</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提供劳动合同的查阅服务</w:t>
            </w:r>
          </w:p>
        </w:tc>
      </w:tr>
      <w:tr>
        <w:tblPrEx>
          <w:tblCellMar>
            <w:top w:w="0" w:type="dxa"/>
            <w:left w:w="108" w:type="dxa"/>
            <w:bottom w:w="0" w:type="dxa"/>
            <w:right w:w="108" w:type="dxa"/>
          </w:tblCellMar>
        </w:tblPrEx>
        <w:trPr>
          <w:trHeight w:val="591" w:hRule="atLeast"/>
        </w:trPr>
        <w:tc>
          <w:tcPr>
            <w:tcW w:w="537" w:type="dxa"/>
            <w:vMerge w:val="restart"/>
            <w:tcBorders>
              <w:top w:val="nil"/>
              <w:left w:val="single" w:color="auto" w:sz="8" w:space="0"/>
              <w:bottom w:val="single" w:color="auto" w:sz="4" w:space="0"/>
              <w:right w:val="single" w:color="auto" w:sz="4" w:space="0"/>
            </w:tcBorders>
            <w:textDirection w:val="tbRlV"/>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社保缴纳享受</w:t>
            </w: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5</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社保的新建</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按当地社保政策期限建立社会统筹保险，项目包括养老、医疗、失业、生育、工伤保险</w:t>
            </w:r>
          </w:p>
        </w:tc>
      </w:tr>
      <w:tr>
        <w:tblPrEx>
          <w:tblCellMar>
            <w:top w:w="0" w:type="dxa"/>
            <w:left w:w="108" w:type="dxa"/>
            <w:bottom w:w="0" w:type="dxa"/>
            <w:right w:w="108" w:type="dxa"/>
          </w:tblCellMar>
        </w:tblPrEx>
        <w:trPr>
          <w:trHeight w:val="591"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6</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社保的接转</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为派遣员工办理社保的转入（目前规定需要本人办理）、转出手续</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7</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社保的缴纳</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按月将保险费用转至账户名下</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8</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社保的申领</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办理养老金、失业金的申领工作</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9</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社保的报销</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代办医疗、生育、工伤的申报及报销工作</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10</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社保的缴纳核算</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对员工每月需缴纳的保险金额进行核算</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11</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社保查询</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为员工提供参保状况的查询服务，并可为员工开具已参保证明</w:t>
            </w:r>
          </w:p>
        </w:tc>
      </w:tr>
      <w:tr>
        <w:tblPrEx>
          <w:tblCellMar>
            <w:top w:w="0" w:type="dxa"/>
            <w:left w:w="108" w:type="dxa"/>
            <w:bottom w:w="0" w:type="dxa"/>
            <w:right w:w="108" w:type="dxa"/>
          </w:tblCellMar>
        </w:tblPrEx>
        <w:trPr>
          <w:trHeight w:val="606"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12</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养老台账的打印</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为有需要的员工，每年提供养老台账明细的打印（不含工本费）</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13</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医保本、卡的办理</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为员工办理医保本、医保卡手续（不含工本费）</w:t>
            </w:r>
          </w:p>
        </w:tc>
      </w:tr>
      <w:tr>
        <w:tblPrEx>
          <w:tblCellMar>
            <w:top w:w="0" w:type="dxa"/>
            <w:left w:w="108" w:type="dxa"/>
            <w:bottom w:w="0" w:type="dxa"/>
            <w:right w:w="108" w:type="dxa"/>
          </w:tblCellMar>
        </w:tblPrEx>
        <w:trPr>
          <w:trHeight w:val="409"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14</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社保证明开具</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为员工出具各类社保证明服务</w:t>
            </w:r>
          </w:p>
        </w:tc>
      </w:tr>
      <w:tr>
        <w:tblPrEx>
          <w:tblCellMar>
            <w:top w:w="0" w:type="dxa"/>
            <w:left w:w="108" w:type="dxa"/>
            <w:bottom w:w="0" w:type="dxa"/>
            <w:right w:w="108" w:type="dxa"/>
          </w:tblCellMar>
        </w:tblPrEx>
        <w:trPr>
          <w:trHeight w:val="591" w:hRule="atLeast"/>
        </w:trPr>
        <w:tc>
          <w:tcPr>
            <w:tcW w:w="537" w:type="dxa"/>
            <w:vMerge w:val="restart"/>
            <w:tcBorders>
              <w:top w:val="nil"/>
              <w:left w:val="single" w:color="auto" w:sz="8" w:space="0"/>
              <w:bottom w:val="single" w:color="auto" w:sz="4" w:space="0"/>
              <w:right w:val="single" w:color="auto" w:sz="4" w:space="0"/>
            </w:tcBorders>
            <w:textDirection w:val="tbRlV"/>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薪酬发放</w:t>
            </w: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15</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员工工资核算</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为企业工资单进行校对核算，确保工资在收到费用后5个工作日内及时发放</w:t>
            </w:r>
          </w:p>
        </w:tc>
      </w:tr>
      <w:tr>
        <w:tblPrEx>
          <w:tblCellMar>
            <w:top w:w="0" w:type="dxa"/>
            <w:left w:w="108" w:type="dxa"/>
            <w:bottom w:w="0" w:type="dxa"/>
            <w:right w:w="108" w:type="dxa"/>
          </w:tblCellMar>
        </w:tblPrEx>
        <w:trPr>
          <w:trHeight w:val="591"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16</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员工工资发放管理</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可依据员工要求提供工资卡的办理、补发、发放、证明出具等（原则使用招行中智金卡）</w:t>
            </w:r>
          </w:p>
        </w:tc>
      </w:tr>
      <w:tr>
        <w:tblPrEx>
          <w:tblCellMar>
            <w:top w:w="0" w:type="dxa"/>
            <w:left w:w="108" w:type="dxa"/>
            <w:bottom w:w="0" w:type="dxa"/>
            <w:right w:w="108" w:type="dxa"/>
          </w:tblCellMar>
        </w:tblPrEx>
        <w:trPr>
          <w:trHeight w:val="454"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17</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个税代扣代缴</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代理扣缴个人所得税，按需提供缴纳证明</w:t>
            </w:r>
          </w:p>
        </w:tc>
      </w:tr>
      <w:tr>
        <w:tblPrEx>
          <w:tblCellMar>
            <w:top w:w="0" w:type="dxa"/>
            <w:left w:w="108" w:type="dxa"/>
            <w:bottom w:w="0" w:type="dxa"/>
            <w:right w:w="108" w:type="dxa"/>
          </w:tblCellMar>
        </w:tblPrEx>
        <w:trPr>
          <w:trHeight w:val="454" w:hRule="atLeast"/>
        </w:trPr>
        <w:tc>
          <w:tcPr>
            <w:tcW w:w="537"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18</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工资明细查询</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对有查询工资需求的，可提供个人网上查询工资明细服务</w:t>
            </w:r>
          </w:p>
        </w:tc>
      </w:tr>
      <w:tr>
        <w:tblPrEx>
          <w:tblCellMar>
            <w:top w:w="0" w:type="dxa"/>
            <w:left w:w="108" w:type="dxa"/>
            <w:bottom w:w="0" w:type="dxa"/>
            <w:right w:w="108" w:type="dxa"/>
          </w:tblCellMar>
        </w:tblPrEx>
        <w:trPr>
          <w:trHeight w:val="424" w:hRule="atLeast"/>
        </w:trPr>
        <w:tc>
          <w:tcPr>
            <w:tcW w:w="537" w:type="dxa"/>
            <w:vMerge w:val="restart"/>
            <w:tcBorders>
              <w:top w:val="nil"/>
              <w:left w:val="single" w:color="auto" w:sz="8" w:space="0"/>
              <w:right w:val="single" w:color="auto" w:sz="4" w:space="0"/>
            </w:tcBorders>
            <w:textDirection w:val="tbRlV"/>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入离职管理</w:t>
            </w: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19</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入职管理手续办理</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对合格的员工进行规范性、系统性的入职管理服务</w:t>
            </w:r>
          </w:p>
        </w:tc>
      </w:tr>
      <w:tr>
        <w:tblPrEx>
          <w:tblCellMar>
            <w:top w:w="0" w:type="dxa"/>
            <w:left w:w="108" w:type="dxa"/>
            <w:bottom w:w="0" w:type="dxa"/>
            <w:right w:w="108" w:type="dxa"/>
          </w:tblCellMar>
        </w:tblPrEx>
        <w:trPr>
          <w:trHeight w:val="424" w:hRule="atLeast"/>
        </w:trPr>
        <w:tc>
          <w:tcPr>
            <w:tcW w:w="537" w:type="dxa"/>
            <w:vMerge w:val="continue"/>
            <w:tcBorders>
              <w:left w:val="single" w:color="auto" w:sz="8"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20</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离职管理手续办理</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对合格的员工进行规范性、系统性的离职管理服务</w:t>
            </w:r>
          </w:p>
        </w:tc>
      </w:tr>
      <w:tr>
        <w:tblPrEx>
          <w:tblCellMar>
            <w:top w:w="0" w:type="dxa"/>
            <w:left w:w="108" w:type="dxa"/>
            <w:bottom w:w="0" w:type="dxa"/>
            <w:right w:w="108" w:type="dxa"/>
          </w:tblCellMar>
        </w:tblPrEx>
        <w:trPr>
          <w:trHeight w:val="424" w:hRule="atLeast"/>
        </w:trPr>
        <w:tc>
          <w:tcPr>
            <w:tcW w:w="537" w:type="dxa"/>
            <w:vMerge w:val="continue"/>
            <w:tcBorders>
              <w:left w:val="single" w:color="auto" w:sz="8"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21</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入离职率统计、分析报告</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针对企业员工的实际入离职数据，提供分析报告</w:t>
            </w:r>
          </w:p>
        </w:tc>
      </w:tr>
      <w:tr>
        <w:tblPrEx>
          <w:tblCellMar>
            <w:top w:w="0" w:type="dxa"/>
            <w:left w:w="108" w:type="dxa"/>
            <w:bottom w:w="0" w:type="dxa"/>
            <w:right w:w="108" w:type="dxa"/>
          </w:tblCellMar>
        </w:tblPrEx>
        <w:trPr>
          <w:trHeight w:val="424" w:hRule="atLeast"/>
        </w:trPr>
        <w:tc>
          <w:tcPr>
            <w:tcW w:w="537" w:type="dxa"/>
            <w:vMerge w:val="continue"/>
            <w:tcBorders>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p>
        </w:tc>
        <w:tc>
          <w:tcPr>
            <w:tcW w:w="4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22</w:t>
            </w:r>
          </w:p>
        </w:tc>
        <w:tc>
          <w:tcPr>
            <w:tcW w:w="282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培训</w:t>
            </w:r>
          </w:p>
        </w:tc>
        <w:tc>
          <w:tcPr>
            <w:tcW w:w="57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0"/>
                <w:szCs w:val="20"/>
                <w:highlight w:val="none"/>
              </w:rPr>
            </w:pPr>
            <w:r>
              <w:rPr>
                <w:rFonts w:hint="default" w:ascii="Times New Roman" w:hAnsi="Times New Roman" w:eastAsia="仿宋" w:cs="Times New Roman"/>
                <w:kern w:val="0"/>
                <w:sz w:val="20"/>
                <w:szCs w:val="20"/>
                <w:highlight w:val="none"/>
              </w:rPr>
              <w:t>对派遣人员定期进行各项培训，并将培训情况告知用工单位</w:t>
            </w:r>
          </w:p>
        </w:tc>
      </w:tr>
    </w:tbl>
    <w:p>
      <w:pPr>
        <w:spacing w:line="360" w:lineRule="auto"/>
        <w:ind w:firstLine="420" w:firstLineChars="200"/>
        <w:rPr>
          <w:rFonts w:hint="default" w:ascii="Times New Roman" w:hAnsi="Times New Roman" w:eastAsia="仿宋" w:cs="Times New Roman"/>
          <w:szCs w:val="21"/>
          <w:highlight w:val="none"/>
        </w:rPr>
      </w:pPr>
    </w:p>
    <w:p>
      <w:pPr>
        <w:spacing w:line="360" w:lineRule="auto"/>
        <w:ind w:firstLine="420" w:firstLineChars="200"/>
        <w:rPr>
          <w:rFonts w:hint="default" w:ascii="Times New Roman" w:hAnsi="Times New Roman" w:eastAsia="仿宋" w:cs="Times New Roman"/>
          <w:szCs w:val="21"/>
          <w:highlight w:val="none"/>
        </w:rPr>
      </w:pPr>
    </w:p>
    <w:p>
      <w:pPr>
        <w:spacing w:line="360" w:lineRule="auto"/>
        <w:ind w:firstLine="420" w:firstLineChars="200"/>
        <w:rPr>
          <w:rFonts w:hint="default" w:ascii="Times New Roman" w:hAnsi="Times New Roman" w:eastAsia="仿宋" w:cs="Times New Roman"/>
          <w:szCs w:val="21"/>
          <w:highlight w:val="none"/>
        </w:rPr>
      </w:pPr>
    </w:p>
    <w:p>
      <w:pPr>
        <w:spacing w:line="360" w:lineRule="auto"/>
        <w:ind w:firstLine="420" w:firstLineChars="200"/>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p>
    <w:p>
      <w:pPr>
        <w:spacing w:line="360" w:lineRule="auto"/>
        <w:ind w:firstLine="0" w:firstLineChars="0"/>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rPr>
        <w:t>附件二：</w:t>
      </w:r>
    </w:p>
    <w:p>
      <w:pPr>
        <w:spacing w:line="360" w:lineRule="auto"/>
        <w:ind w:firstLine="2400"/>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《用工通知函》（式样）(由甲方向乙方出具)</w:t>
      </w:r>
    </w:p>
    <w:p>
      <w:pPr>
        <w:spacing w:line="360" w:lineRule="auto"/>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u w:val="single"/>
        </w:rPr>
        <w:t>____________________________________</w:t>
      </w:r>
      <w:r>
        <w:rPr>
          <w:rFonts w:hint="default" w:ascii="Times New Roman" w:hAnsi="Times New Roman" w:eastAsia="仿宋" w:cs="Times New Roman"/>
          <w:szCs w:val="21"/>
          <w:highlight w:val="none"/>
        </w:rPr>
        <w:t>公司：</w:t>
      </w:r>
    </w:p>
    <w:p>
      <w:pPr>
        <w:spacing w:line="360" w:lineRule="auto"/>
        <w:ind w:firstLine="420" w:firstLineChars="200"/>
        <w:rPr>
          <w:rFonts w:hint="default" w:ascii="Times New Roman" w:hAnsi="Times New Roman" w:eastAsia="仿宋" w:cs="Times New Roman"/>
          <w:szCs w:val="21"/>
          <w:highlight w:val="none"/>
        </w:rPr>
      </w:pPr>
    </w:p>
    <w:p>
      <w:pPr>
        <w:spacing w:line="360" w:lineRule="auto"/>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我中心决定由贵公司派遣先生/女士到我中心工作，其个人相关信息如下：</w:t>
      </w:r>
    </w:p>
    <w:p>
      <w:pPr>
        <w:spacing w:line="360" w:lineRule="auto"/>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身份证号码：</w:t>
      </w:r>
    </w:p>
    <w:p>
      <w:pPr>
        <w:spacing w:line="360" w:lineRule="auto"/>
        <w:ind w:firstLine="420" w:firstLineChars="200"/>
        <w:rPr>
          <w:rFonts w:hint="default" w:ascii="Times New Roman" w:hAnsi="Times New Roman" w:eastAsia="仿宋" w:cs="Times New Roman"/>
          <w:szCs w:val="21"/>
          <w:highlight w:val="none"/>
          <w:u w:val="single"/>
        </w:rPr>
      </w:pPr>
      <w:r>
        <w:rPr>
          <w:rFonts w:hint="default" w:ascii="Times New Roman" w:hAnsi="Times New Roman" w:eastAsia="仿宋" w:cs="Times New Roman"/>
          <w:szCs w:val="21"/>
          <w:highlight w:val="none"/>
        </w:rPr>
        <w:t>手机号码：</w:t>
      </w:r>
    </w:p>
    <w:p>
      <w:pPr>
        <w:spacing w:line="360" w:lineRule="auto"/>
        <w:ind w:firstLine="403" w:firstLineChars="192"/>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派遣期：自</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年</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月</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日起至</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年</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月</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日止</w:t>
      </w:r>
    </w:p>
    <w:p>
      <w:pPr>
        <w:spacing w:line="360" w:lineRule="auto"/>
        <w:ind w:firstLine="430" w:firstLineChars="205"/>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试用期：自</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年</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月</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日至</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年</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月</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日</w:t>
      </w:r>
    </w:p>
    <w:p>
      <w:pPr>
        <w:spacing w:line="360" w:lineRule="auto"/>
        <w:ind w:firstLine="403" w:firstLineChars="192"/>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工作地点：</w:t>
      </w:r>
    </w:p>
    <w:p>
      <w:pPr>
        <w:spacing w:line="360" w:lineRule="auto"/>
        <w:ind w:firstLine="403" w:firstLineChars="192"/>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工作岗位：</w:t>
      </w:r>
    </w:p>
    <w:p>
      <w:pPr>
        <w:spacing w:line="360" w:lineRule="auto"/>
        <w:ind w:firstLine="403" w:firstLineChars="192"/>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工作内容：</w:t>
      </w:r>
      <w:r>
        <w:rPr>
          <w:rFonts w:hint="default" w:ascii="Times New Roman" w:hAnsi="Times New Roman" w:eastAsia="仿宋" w:cs="Times New Roman"/>
          <w:b w:val="0"/>
          <w:bCs w:val="0"/>
          <w:szCs w:val="21"/>
          <w:highlight w:val="none"/>
          <w:u w:val="single"/>
        </w:rPr>
        <w:t xml:space="preserve">____________________________________ </w:t>
      </w:r>
      <w:r>
        <w:rPr>
          <w:rFonts w:hint="default" w:ascii="Times New Roman" w:hAnsi="Times New Roman" w:eastAsia="仿宋" w:cs="Times New Roman"/>
          <w:szCs w:val="21"/>
          <w:highlight w:val="none"/>
          <w:u w:val="single"/>
        </w:rPr>
        <w:t xml:space="preserve">                </w:t>
      </w:r>
    </w:p>
    <w:p>
      <w:pPr>
        <w:spacing w:line="360" w:lineRule="auto"/>
        <w:ind w:firstLine="315" w:firstLineChars="15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工时实行定时 / 不定时 / 综合工作制（请在选项上划勾）       </w:t>
      </w:r>
    </w:p>
    <w:p>
      <w:pPr>
        <w:spacing w:line="360" w:lineRule="auto"/>
        <w:ind w:firstLine="315" w:firstLineChars="15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社保基数：</w:t>
      </w:r>
      <w:r>
        <w:rPr>
          <w:rFonts w:hint="eastAsia" w:eastAsia="仿宋" w:cs="Times New Roman"/>
          <w:szCs w:val="21"/>
          <w:highlight w:val="none"/>
          <w:u w:val="single"/>
          <w:lang w:val="en-US" w:eastAsia="zh-CN"/>
        </w:rPr>
        <w:t xml:space="preserve">    </w:t>
      </w:r>
      <w:r>
        <w:rPr>
          <w:rFonts w:hint="default" w:ascii="Times New Roman" w:hAnsi="Times New Roman" w:eastAsia="仿宋" w:cs="Times New Roman"/>
          <w:szCs w:val="21"/>
          <w:highlight w:val="none"/>
        </w:rPr>
        <w:t>元，公积金缴纳额：</w:t>
      </w:r>
      <w:r>
        <w:rPr>
          <w:rFonts w:hint="eastAsia" w:eastAsia="仿宋" w:cs="Times New Roman"/>
          <w:szCs w:val="21"/>
          <w:highlight w:val="none"/>
          <w:u w:val="single"/>
          <w:lang w:val="en-US" w:eastAsia="zh-CN"/>
        </w:rPr>
        <w:t xml:space="preserve">    </w:t>
      </w:r>
      <w:r>
        <w:rPr>
          <w:rFonts w:hint="default" w:ascii="Times New Roman" w:hAnsi="Times New Roman" w:eastAsia="仿宋" w:cs="Times New Roman"/>
          <w:szCs w:val="21"/>
          <w:highlight w:val="none"/>
        </w:rPr>
        <w:t>元/月，</w:t>
      </w:r>
    </w:p>
    <w:p>
      <w:pPr>
        <w:spacing w:line="360" w:lineRule="auto"/>
        <w:ind w:firstLine="315" w:firstLineChars="15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员工工资：</w:t>
      </w:r>
      <w:r>
        <w:rPr>
          <w:rFonts w:hint="eastAsia" w:eastAsia="仿宋" w:cs="Times New Roman"/>
          <w:szCs w:val="21"/>
          <w:highlight w:val="none"/>
          <w:u w:val="single"/>
          <w:lang w:val="en-US" w:eastAsia="zh-CN"/>
        </w:rPr>
        <w:t xml:space="preserve">    </w:t>
      </w:r>
      <w:r>
        <w:rPr>
          <w:rFonts w:hint="default" w:ascii="Times New Roman" w:hAnsi="Times New Roman" w:eastAsia="仿宋" w:cs="Times New Roman"/>
          <w:szCs w:val="21"/>
          <w:highlight w:val="none"/>
        </w:rPr>
        <w:t>元/月，各项社保起做月为</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年</w:t>
      </w:r>
      <w:r>
        <w:rPr>
          <w:rFonts w:hint="eastAsia" w:eastAsia="仿宋" w:cs="Times New Roman"/>
          <w:szCs w:val="21"/>
          <w:highlight w:val="none"/>
          <w:u w:val="none"/>
          <w:lang w:eastAsia="zh-CN"/>
        </w:rPr>
        <w:t xml:space="preserve"> </w:t>
      </w:r>
      <w:r>
        <w:rPr>
          <w:rFonts w:hint="eastAsia" w:eastAsia="仿宋" w:cs="Times New Roman"/>
          <w:szCs w:val="21"/>
          <w:highlight w:val="none"/>
          <w:u w:val="none"/>
          <w:lang w:val="en-US" w:eastAsia="zh-CN"/>
        </w:rPr>
        <w:t xml:space="preserve">   </w:t>
      </w:r>
      <w:r>
        <w:rPr>
          <w:rFonts w:hint="default" w:ascii="Times New Roman" w:hAnsi="Times New Roman" w:eastAsia="仿宋" w:cs="Times New Roman"/>
          <w:szCs w:val="21"/>
          <w:highlight w:val="none"/>
        </w:rPr>
        <w:t>月，</w:t>
      </w:r>
    </w:p>
    <w:p>
      <w:pPr>
        <w:spacing w:line="360" w:lineRule="auto"/>
        <w:ind w:firstLine="315" w:firstLineChars="15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入职体检是否需要：是 / 否（请在选项上划勾）</w:t>
      </w:r>
    </w:p>
    <w:p>
      <w:pPr>
        <w:spacing w:line="360" w:lineRule="auto"/>
        <w:ind w:firstLine="315" w:firstLineChars="15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我公司将根据贵我双方协议约定支付相关费用。</w:t>
      </w:r>
    </w:p>
    <w:p>
      <w:pPr>
        <w:spacing w:line="360" w:lineRule="auto"/>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致礼！</w:t>
      </w:r>
    </w:p>
    <w:p>
      <w:pPr>
        <w:spacing w:line="360" w:lineRule="auto"/>
        <w:ind w:firstLine="2940" w:firstLineChars="14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公司名称：（盖章）</w:t>
      </w:r>
    </w:p>
    <w:p>
      <w:pPr>
        <w:spacing w:line="360" w:lineRule="auto"/>
        <w:ind w:firstLine="2940" w:firstLineChars="1400"/>
        <w:rPr>
          <w:rFonts w:hint="default" w:ascii="Times New Roman" w:hAnsi="Times New Roman" w:eastAsia="仿宋" w:cs="Times New Roman"/>
          <w:szCs w:val="21"/>
          <w:highlight w:val="none"/>
        </w:rPr>
      </w:pPr>
    </w:p>
    <w:p>
      <w:pPr>
        <w:spacing w:line="360" w:lineRule="auto"/>
        <w:ind w:firstLine="3045" w:firstLineChars="145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签字：</w:t>
      </w:r>
    </w:p>
    <w:p>
      <w:pPr>
        <w:spacing w:line="360" w:lineRule="auto"/>
        <w:ind w:firstLine="4620" w:firstLineChars="2200"/>
        <w:rPr>
          <w:rFonts w:hint="default" w:ascii="Times New Roman" w:hAnsi="Times New Roman" w:eastAsia="仿宋" w:cs="Times New Roman"/>
          <w:szCs w:val="21"/>
          <w:highlight w:val="none"/>
        </w:rPr>
        <w:sectPr>
          <w:headerReference r:id="rId8" w:type="default"/>
          <w:footerReference r:id="rId9" w:type="default"/>
          <w:footerReference r:id="rId10" w:type="even"/>
          <w:pgSz w:w="11906" w:h="16838"/>
          <w:pgMar w:top="1247" w:right="1134" w:bottom="1247" w:left="1134" w:header="851" w:footer="992" w:gutter="0"/>
          <w:pgNumType w:fmt="decimal" w:start="1"/>
          <w:cols w:space="425" w:num="1"/>
          <w:docGrid w:type="lines" w:linePitch="312" w:charSpace="0"/>
        </w:sectPr>
      </w:pPr>
      <w:r>
        <w:rPr>
          <w:rFonts w:hint="default" w:ascii="Times New Roman" w:hAnsi="Times New Roman" w:eastAsia="仿宋" w:cs="Times New Roman"/>
          <w:szCs w:val="21"/>
          <w:highlight w:val="none"/>
        </w:rPr>
        <w:t>年    月  日</w:t>
      </w:r>
    </w:p>
    <w:p>
      <w:pPr>
        <w:spacing w:line="360" w:lineRule="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rPr>
        <w:t>附件三</w:t>
      </w:r>
    </w:p>
    <w:p>
      <w:pPr>
        <w:spacing w:line="360" w:lineRule="auto"/>
        <w:ind w:firstLine="0"/>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《派遣员工确认函》（式样）（由乙方向甲方出具）</w:t>
      </w:r>
    </w:p>
    <w:p>
      <w:pPr>
        <w:spacing w:line="360" w:lineRule="auto"/>
        <w:ind w:firstLine="2160"/>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r>
        <w:rPr>
          <w:rFonts w:hint="default" w:eastAsia="仿宋"/>
          <w:szCs w:val="21"/>
          <w:highlight w:val="none"/>
        </w:rPr>
        <w:t>陕西省道路运输事业发展中心：</w:t>
      </w:r>
    </w:p>
    <w:p>
      <w:pPr>
        <w:spacing w:line="360" w:lineRule="auto"/>
        <w:ind w:firstLine="420" w:firstLineChars="200"/>
        <w:rPr>
          <w:rFonts w:hint="default" w:ascii="Times New Roman" w:hAnsi="Times New Roman" w:eastAsia="仿宋" w:cs="Times New Roman"/>
          <w:szCs w:val="21"/>
          <w:highlight w:val="none"/>
        </w:rPr>
      </w:pPr>
    </w:p>
    <w:p>
      <w:pPr>
        <w:spacing w:line="360" w:lineRule="auto"/>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经贵我双方商定，</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先生/女士将于</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日起由我公司派遣至贵方从事</w:t>
      </w:r>
    </w:p>
    <w:p>
      <w:pPr>
        <w:spacing w:line="360" w:lineRule="auto"/>
        <w:ind w:firstLine="0" w:firstLineChars="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岗位工作。派遣期自</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日至</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日，试用期</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日至</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w:t>
      </w:r>
    </w:p>
    <w:p>
      <w:pPr>
        <w:spacing w:line="360" w:lineRule="auto"/>
        <w:ind w:firstLine="1470" w:firstLineChars="700"/>
        <w:rPr>
          <w:rFonts w:hint="default" w:ascii="Times New Roman" w:hAnsi="Times New Roman" w:eastAsia="仿宋" w:cs="Times New Roman"/>
          <w:szCs w:val="21"/>
          <w:highlight w:val="none"/>
        </w:rPr>
      </w:pPr>
    </w:p>
    <w:p>
      <w:pPr>
        <w:spacing w:line="360" w:lineRule="auto"/>
        <w:ind w:firstLine="5040" w:firstLineChars="24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公司名称：（盖章）</w:t>
      </w:r>
    </w:p>
    <w:p>
      <w:pPr>
        <w:spacing w:line="360" w:lineRule="auto"/>
        <w:rPr>
          <w:rFonts w:hint="default" w:ascii="Times New Roman" w:hAnsi="Times New Roman" w:eastAsia="仿宋" w:cs="Times New Roman"/>
          <w:szCs w:val="21"/>
          <w:highlight w:val="none"/>
        </w:rPr>
      </w:pPr>
    </w:p>
    <w:p>
      <w:pPr>
        <w:spacing w:line="360" w:lineRule="auto"/>
        <w:ind w:firstLine="56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年   月   日</w:t>
      </w:r>
    </w:p>
    <w:p>
      <w:pPr>
        <w:spacing w:line="360" w:lineRule="auto"/>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sectPr>
          <w:pgSz w:w="11906" w:h="16838"/>
          <w:pgMar w:top="1440" w:right="1800" w:bottom="1440" w:left="1800" w:header="851" w:footer="992" w:gutter="0"/>
          <w:pgNumType w:fmt="decimal"/>
          <w:cols w:space="425" w:num="1"/>
          <w:docGrid w:type="lines" w:linePitch="312" w:charSpace="0"/>
        </w:sectPr>
      </w:pPr>
    </w:p>
    <w:bookmarkEnd w:id="476"/>
    <w:bookmarkEnd w:id="477"/>
    <w:bookmarkEnd w:id="478"/>
    <w:bookmarkEnd w:id="479"/>
    <w:bookmarkEnd w:id="480"/>
    <w:bookmarkEnd w:id="481"/>
    <w:bookmarkEnd w:id="482"/>
    <w:p>
      <w:pPr>
        <w:pStyle w:val="46"/>
        <w:spacing w:line="360" w:lineRule="auto"/>
        <w:jc w:val="center"/>
        <w:rPr>
          <w:rFonts w:hint="default" w:ascii="Times New Roman" w:hAnsi="Times New Roman" w:eastAsia="仿宋" w:cs="Times New Roman"/>
          <w:color w:val="auto"/>
          <w:highlight w:val="none"/>
          <w:lang w:eastAsia="zh-CN"/>
        </w:rPr>
      </w:pPr>
      <w:bookmarkStart w:id="486" w:name="_Toc24840"/>
      <w:bookmarkStart w:id="487" w:name="_Toc8360"/>
      <w:bookmarkStart w:id="488" w:name="_Toc20670"/>
      <w:bookmarkStart w:id="489" w:name="_Toc22432"/>
      <w:bookmarkStart w:id="490" w:name="_Toc6912"/>
      <w:bookmarkStart w:id="491" w:name="_Toc14242"/>
      <w:bookmarkStart w:id="492" w:name="_Toc23959"/>
      <w:bookmarkStart w:id="493" w:name="_Toc20805"/>
      <w:bookmarkStart w:id="494" w:name="_Toc437"/>
      <w:bookmarkStart w:id="495" w:name="_Toc13283"/>
      <w:bookmarkStart w:id="496" w:name="_Toc4728"/>
      <w:r>
        <w:rPr>
          <w:rFonts w:hint="default" w:ascii="Times New Roman" w:hAnsi="Times New Roman" w:eastAsia="仿宋" w:cs="Times New Roman"/>
          <w:color w:val="auto"/>
          <w:highlight w:val="none"/>
        </w:rPr>
        <w:t>第五章  采购内容及要求</w:t>
      </w:r>
      <w:bookmarkEnd w:id="474"/>
      <w:bookmarkEnd w:id="475"/>
      <w:bookmarkEnd w:id="486"/>
      <w:bookmarkEnd w:id="487"/>
      <w:bookmarkEnd w:id="488"/>
      <w:bookmarkEnd w:id="489"/>
      <w:bookmarkEnd w:id="490"/>
      <w:bookmarkEnd w:id="491"/>
      <w:bookmarkEnd w:id="492"/>
      <w:bookmarkEnd w:id="493"/>
      <w:bookmarkEnd w:id="494"/>
      <w:bookmarkEnd w:id="495"/>
      <w:bookmarkEnd w:id="496"/>
    </w:p>
    <w:p>
      <w:pPr>
        <w:widowControl/>
        <w:numPr>
          <w:ilvl w:val="255"/>
          <w:numId w:val="0"/>
        </w:numPr>
        <w:spacing w:line="500" w:lineRule="exact"/>
        <w:ind w:firstLine="482" w:firstLineChars="200"/>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bookmarkStart w:id="497" w:name="_Toc3882"/>
      <w:bookmarkStart w:id="498" w:name="_Toc7169"/>
      <w:bookmarkStart w:id="499" w:name="_Toc17907"/>
      <w:bookmarkStart w:id="500" w:name="_Toc17809"/>
      <w:bookmarkStart w:id="501" w:name="_Toc13171"/>
      <w:bookmarkStart w:id="502" w:name="_Toc1168"/>
      <w:bookmarkStart w:id="503" w:name="_Toc19945"/>
      <w:bookmarkStart w:id="504" w:name="_Toc58504449"/>
      <w:bookmarkStart w:id="505" w:name="_Toc31008"/>
      <w:bookmarkStart w:id="506" w:name="_Toc415499899"/>
      <w:bookmarkStart w:id="507" w:name="_Toc389620241"/>
      <w:bookmarkStart w:id="508" w:name="_Toc385992401"/>
      <w:bookmarkStart w:id="509" w:name="_Toc63697171"/>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一</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w:t>
      </w: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岗位要求</w:t>
      </w:r>
    </w:p>
    <w:p>
      <w:pPr>
        <w:widowControl/>
        <w:numPr>
          <w:ilvl w:val="255"/>
          <w:numId w:val="0"/>
        </w:num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根据工作实际情况，为我单位综合业务提供辅助，拟通过劳务形式派遣3名工作人员，需能满足正常工作开展，确保工作顺利进行。</w:t>
      </w:r>
    </w:p>
    <w:p>
      <w:pPr>
        <w:widowControl/>
        <w:numPr>
          <w:ilvl w:val="255"/>
          <w:numId w:val="0"/>
        </w:num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由采购人与供应商签订采购合同，人员薪酬由供应商负责，日常管理由采购人负责。具体招聘标准如下：</w:t>
      </w:r>
    </w:p>
    <w:tbl>
      <w:tblPr>
        <w:tblStyle w:val="50"/>
        <w:tblW w:w="0" w:type="auto"/>
        <w:jc w:val="center"/>
        <w:tblLayout w:type="fixed"/>
        <w:tblCellMar>
          <w:top w:w="0" w:type="dxa"/>
          <w:left w:w="108" w:type="dxa"/>
          <w:bottom w:w="0" w:type="dxa"/>
          <w:right w:w="108" w:type="dxa"/>
        </w:tblCellMar>
      </w:tblPr>
      <w:tblGrid>
        <w:gridCol w:w="863"/>
        <w:gridCol w:w="1664"/>
        <w:gridCol w:w="1287"/>
        <w:gridCol w:w="1892"/>
        <w:gridCol w:w="3272"/>
      </w:tblGrid>
      <w:tr>
        <w:tblPrEx>
          <w:tblCellMar>
            <w:top w:w="0" w:type="dxa"/>
            <w:left w:w="108" w:type="dxa"/>
            <w:bottom w:w="0" w:type="dxa"/>
            <w:right w:w="108" w:type="dxa"/>
          </w:tblCellMar>
        </w:tblPrEx>
        <w:trPr>
          <w:trHeight w:val="319"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kern w:val="0"/>
                <w:sz w:val="24"/>
                <w:highlight w:val="none"/>
                <w:lang w:bidi="ar"/>
              </w:rPr>
              <w:t>序号</w:t>
            </w:r>
          </w:p>
        </w:tc>
        <w:tc>
          <w:tcPr>
            <w:tcW w:w="16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lang w:bidi="ar"/>
                <w14:textFill>
                  <w14:solidFill>
                    <w14:schemeClr w14:val="tx1"/>
                  </w14:solidFill>
                </w14:textFill>
              </w:rPr>
              <w:t>岗位</w:t>
            </w:r>
            <w:r>
              <w:rPr>
                <w:rFonts w:hint="default" w:ascii="Times New Roman" w:hAnsi="Times New Roman" w:eastAsia="仿宋" w:cs="Times New Roman"/>
                <w:color w:val="000000" w:themeColor="text1"/>
                <w:kern w:val="0"/>
                <w:sz w:val="24"/>
                <w:highlight w:val="none"/>
                <w:lang w:bidi="ar"/>
                <w14:textFill>
                  <w14:solidFill>
                    <w14:schemeClr w14:val="tx1"/>
                  </w14:solidFill>
                </w14:textFill>
              </w:rPr>
              <w:br w:type="textWrapping"/>
            </w:r>
            <w:r>
              <w:rPr>
                <w:rFonts w:hint="default" w:ascii="Times New Roman" w:hAnsi="Times New Roman" w:eastAsia="仿宋" w:cs="Times New Roman"/>
                <w:color w:val="000000" w:themeColor="text1"/>
                <w:kern w:val="0"/>
                <w:sz w:val="24"/>
                <w:highlight w:val="none"/>
                <w:lang w:bidi="ar"/>
                <w14:textFill>
                  <w14:solidFill>
                    <w14:schemeClr w14:val="tx1"/>
                  </w14:solidFill>
                </w14:textFill>
              </w:rPr>
              <w:t>名称</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lang w:bidi="ar"/>
                <w14:textFill>
                  <w14:solidFill>
                    <w14:schemeClr w14:val="tx1"/>
                  </w14:solidFill>
                </w14:textFill>
              </w:rPr>
              <w:t>学历</w:t>
            </w:r>
          </w:p>
        </w:tc>
        <w:tc>
          <w:tcPr>
            <w:tcW w:w="18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lang w:bidi="ar"/>
              </w:rPr>
              <w:t>所学专业</w:t>
            </w:r>
          </w:p>
        </w:tc>
        <w:tc>
          <w:tcPr>
            <w:tcW w:w="3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lang w:bidi="ar"/>
              </w:rPr>
              <w:t>人员要求</w:t>
            </w:r>
          </w:p>
        </w:tc>
      </w:tr>
      <w:tr>
        <w:tblPrEx>
          <w:tblCellMar>
            <w:top w:w="0" w:type="dxa"/>
            <w:left w:w="108" w:type="dxa"/>
            <w:bottom w:w="0" w:type="dxa"/>
            <w:right w:w="108" w:type="dxa"/>
          </w:tblCellMar>
        </w:tblPrEx>
        <w:trPr>
          <w:trHeight w:val="319"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color w:val="000000"/>
                <w:sz w:val="24"/>
                <w:highlight w:val="none"/>
              </w:rPr>
            </w:pPr>
          </w:p>
        </w:tc>
        <w:tc>
          <w:tcPr>
            <w:tcW w:w="16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 w:val="24"/>
                <w:highlight w:val="none"/>
              </w:rPr>
            </w:pPr>
          </w:p>
        </w:tc>
        <w:tc>
          <w:tcPr>
            <w:tcW w:w="3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941"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1</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信息化</w:t>
            </w:r>
            <w:r>
              <w:rPr>
                <w:rFonts w:hint="eastAsia" w:eastAsia="仿宋"/>
                <w:color w:val="auto"/>
                <w:kern w:val="0"/>
                <w:sz w:val="24"/>
                <w:highlight w:val="none"/>
                <w:lang w:bidi="ar"/>
              </w:rPr>
              <w:t>工作</w:t>
            </w:r>
            <w:r>
              <w:rPr>
                <w:rFonts w:eastAsia="仿宋"/>
                <w:color w:val="auto"/>
                <w:kern w:val="0"/>
                <w:sz w:val="24"/>
                <w:highlight w:val="none"/>
                <w:lang w:bidi="ar"/>
              </w:rPr>
              <w:t>辅助岗（1人）</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全日制本科以上</w:t>
            </w:r>
          </w:p>
        </w:tc>
        <w:tc>
          <w:tcPr>
            <w:tcW w:w="18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计算机、信息化相关专业</w:t>
            </w:r>
          </w:p>
        </w:tc>
        <w:tc>
          <w:tcPr>
            <w:tcW w:w="32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kern w:val="0"/>
                <w:sz w:val="24"/>
                <w:highlight w:val="none"/>
                <w:lang w:bidi="ar"/>
              </w:rPr>
            </w:pPr>
            <w:r>
              <w:rPr>
                <w:rFonts w:eastAsia="仿宋"/>
                <w:color w:val="auto"/>
                <w:kern w:val="0"/>
                <w:sz w:val="24"/>
                <w:highlight w:val="none"/>
                <w:lang w:bidi="ar"/>
              </w:rPr>
              <w:t>年龄在35周岁以下，业务能力强、经验丰富的可从宽考虑。</w:t>
            </w:r>
          </w:p>
        </w:tc>
      </w:tr>
      <w:tr>
        <w:tblPrEx>
          <w:tblCellMar>
            <w:top w:w="0" w:type="dxa"/>
            <w:left w:w="108" w:type="dxa"/>
            <w:bottom w:w="0" w:type="dxa"/>
            <w:right w:w="108" w:type="dxa"/>
          </w:tblCellMar>
        </w:tblPrEx>
        <w:trPr>
          <w:trHeight w:val="193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2</w:t>
            </w:r>
          </w:p>
        </w:tc>
        <w:tc>
          <w:tcPr>
            <w:tcW w:w="16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
                <w:color w:val="auto"/>
                <w:kern w:val="0"/>
                <w:sz w:val="24"/>
                <w:highlight w:val="none"/>
                <w:lang w:bidi="ar"/>
              </w:rPr>
            </w:pPr>
            <w:r>
              <w:rPr>
                <w:rFonts w:eastAsia="仿宋"/>
                <w:color w:val="auto"/>
                <w:kern w:val="0"/>
                <w:sz w:val="24"/>
                <w:highlight w:val="none"/>
                <w:lang w:bidi="ar"/>
              </w:rPr>
              <w:t>驾驶员岗</w:t>
            </w:r>
          </w:p>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（1人）</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不限</w:t>
            </w:r>
          </w:p>
        </w:tc>
        <w:tc>
          <w:tcPr>
            <w:tcW w:w="18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不限</w:t>
            </w:r>
          </w:p>
        </w:tc>
        <w:tc>
          <w:tcPr>
            <w:tcW w:w="32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kern w:val="0"/>
                <w:sz w:val="24"/>
                <w:highlight w:val="none"/>
                <w:lang w:bidi="ar"/>
              </w:rPr>
            </w:pPr>
            <w:r>
              <w:rPr>
                <w:rFonts w:eastAsia="仿宋"/>
                <w:color w:val="auto"/>
                <w:kern w:val="0"/>
                <w:sz w:val="24"/>
                <w:highlight w:val="none"/>
                <w:lang w:bidi="ar"/>
              </w:rPr>
              <w:t>具有有效的机动车驾驶证，实际驾龄8年以上，身体健康，严守规矩，具有一定政治素养，无重大机动车交通事故。业务能力强、经验丰富的可从宽考虑。</w:t>
            </w:r>
          </w:p>
        </w:tc>
      </w:tr>
      <w:tr>
        <w:tblPrEx>
          <w:tblCellMar>
            <w:top w:w="0" w:type="dxa"/>
            <w:left w:w="108" w:type="dxa"/>
            <w:bottom w:w="0" w:type="dxa"/>
            <w:right w:w="108" w:type="dxa"/>
          </w:tblCellMar>
        </w:tblPrEx>
        <w:trPr>
          <w:trHeight w:val="1033"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3</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auto"/>
                <w:kern w:val="0"/>
                <w:sz w:val="24"/>
                <w:highlight w:val="none"/>
                <w:lang w:bidi="ar"/>
              </w:rPr>
            </w:pPr>
            <w:r>
              <w:rPr>
                <w:rFonts w:eastAsia="仿宋"/>
                <w:color w:val="auto"/>
                <w:kern w:val="0"/>
                <w:sz w:val="24"/>
                <w:highlight w:val="none"/>
                <w:lang w:bidi="ar"/>
              </w:rPr>
              <w:t>保洁员岗</w:t>
            </w:r>
          </w:p>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（1人）</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不限</w:t>
            </w:r>
          </w:p>
        </w:tc>
        <w:tc>
          <w:tcPr>
            <w:tcW w:w="18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sz w:val="24"/>
                <w:highlight w:val="none"/>
              </w:rPr>
            </w:pPr>
            <w:r>
              <w:rPr>
                <w:rFonts w:eastAsia="仿宋"/>
                <w:color w:val="auto"/>
                <w:kern w:val="0"/>
                <w:sz w:val="24"/>
                <w:highlight w:val="none"/>
                <w:lang w:bidi="ar"/>
              </w:rPr>
              <w:t>不限</w:t>
            </w:r>
          </w:p>
        </w:tc>
        <w:tc>
          <w:tcPr>
            <w:tcW w:w="32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color w:val="auto"/>
                <w:kern w:val="0"/>
                <w:sz w:val="24"/>
                <w:highlight w:val="none"/>
                <w:lang w:bidi="ar"/>
              </w:rPr>
            </w:pPr>
            <w:r>
              <w:rPr>
                <w:rFonts w:eastAsia="仿宋"/>
                <w:color w:val="auto"/>
                <w:kern w:val="0"/>
                <w:sz w:val="24"/>
                <w:highlight w:val="none"/>
                <w:lang w:bidi="ar"/>
              </w:rPr>
              <w:t>经体检身体健康，应具备基础的服务知识理念，具有良好品格，有从业经验。</w:t>
            </w:r>
          </w:p>
        </w:tc>
      </w:tr>
    </w:tbl>
    <w:p>
      <w:pPr>
        <w:widowControl/>
        <w:numPr>
          <w:ilvl w:val="255"/>
          <w:numId w:val="0"/>
        </w:num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注：总人数为3人，具体岗位人数根据工作安排调整。</w:t>
      </w:r>
    </w:p>
    <w:p>
      <w:pPr>
        <w:widowControl/>
        <w:numPr>
          <w:ilvl w:val="255"/>
          <w:numId w:val="0"/>
        </w:numPr>
        <w:spacing w:line="500" w:lineRule="exact"/>
        <w:ind w:firstLine="482" w:firstLineChars="200"/>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二、岗位职责</w:t>
      </w:r>
    </w:p>
    <w:p>
      <w:pPr>
        <w:widowControl/>
        <w:numPr>
          <w:ilvl w:val="255"/>
          <w:numId w:val="0"/>
        </w:numPr>
        <w:spacing w:line="500" w:lineRule="exact"/>
        <w:ind w:firstLine="480" w:firstLineChars="200"/>
        <w:rPr>
          <w:rFonts w:hint="default" w:ascii="Times New Roman" w:hAnsi="Times New Roman" w:eastAsia="仿宋" w:cs="Times New Roman"/>
          <w:sz w:val="24"/>
          <w:highlight w:val="none"/>
          <w:lang w:bidi="ar"/>
        </w:rPr>
      </w:pPr>
      <w:r>
        <w:rPr>
          <w:rFonts w:hint="default" w:ascii="Times New Roman" w:hAnsi="Times New Roman" w:eastAsia="仿宋" w:cs="Times New Roman"/>
          <w:color w:val="000000" w:themeColor="text1"/>
          <w:sz w:val="24"/>
          <w:highlight w:val="none"/>
          <w14:textFill>
            <w14:solidFill>
              <w14:schemeClr w14:val="tx1"/>
            </w14:solidFill>
          </w14:textFill>
        </w:rPr>
        <w:t>1、</w:t>
      </w:r>
      <w:r>
        <w:rPr>
          <w:rFonts w:hint="eastAsia" w:eastAsia="仿宋" w:cs="Times New Roman"/>
          <w:color w:val="000000"/>
          <w:kern w:val="0"/>
          <w:sz w:val="24"/>
          <w:highlight w:val="none"/>
          <w:lang w:eastAsia="zh-CN" w:bidi="ar"/>
        </w:rPr>
        <w:t>信息化工作辅助岗</w:t>
      </w:r>
      <w:r>
        <w:rPr>
          <w:rFonts w:hint="default" w:ascii="Times New Roman" w:hAnsi="Times New Roman" w:eastAsia="仿宋" w:cs="Times New Roman"/>
          <w:sz w:val="24"/>
          <w:highlight w:val="none"/>
          <w:lang w:bidi="ar"/>
        </w:rPr>
        <w:t>：负责</w:t>
      </w:r>
      <w:r>
        <w:rPr>
          <w:rFonts w:hint="default" w:ascii="Times New Roman" w:hAnsi="Times New Roman" w:eastAsia="仿宋" w:cs="Times New Roman"/>
          <w:sz w:val="24"/>
          <w:highlight w:val="none"/>
        </w:rPr>
        <w:t>信息化设备维护等服务保障以及相关各项安全保障工作等。</w:t>
      </w:r>
    </w:p>
    <w:p>
      <w:pPr>
        <w:widowControl/>
        <w:numPr>
          <w:ilvl w:val="255"/>
          <w:numId w:val="0"/>
        </w:num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2、驾驶员</w:t>
      </w:r>
      <w:r>
        <w:rPr>
          <w:rFonts w:hint="default" w:ascii="Times New Roman" w:hAnsi="Times New Roman" w:eastAsia="仿宋" w:cs="Times New Roman"/>
          <w:kern w:val="0"/>
          <w:sz w:val="24"/>
          <w:highlight w:val="none"/>
          <w:lang w:bidi="ar"/>
        </w:rPr>
        <w:t>岗</w:t>
      </w:r>
      <w:r>
        <w:rPr>
          <w:rFonts w:hint="default" w:ascii="Times New Roman" w:hAnsi="Times New Roman" w:eastAsia="仿宋" w:cs="Times New Roman"/>
          <w:sz w:val="24"/>
          <w:highlight w:val="none"/>
        </w:rPr>
        <w:t>：在采购单位办公室的领导下，保障单位各项公务出行任务，配合开展公务用车的维修保养及验车年审、车辆运行等服务保障以及相关安全管理工作等。</w:t>
      </w:r>
    </w:p>
    <w:p>
      <w:pPr>
        <w:widowControl/>
        <w:numPr>
          <w:ilvl w:val="255"/>
          <w:numId w:val="0"/>
        </w:num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3、保洁员</w:t>
      </w:r>
      <w:r>
        <w:rPr>
          <w:rFonts w:hint="default" w:ascii="Times New Roman" w:hAnsi="Times New Roman" w:eastAsia="仿宋" w:cs="Times New Roman"/>
          <w:kern w:val="0"/>
          <w:sz w:val="24"/>
          <w:highlight w:val="none"/>
          <w:lang w:bidi="ar"/>
        </w:rPr>
        <w:t>岗</w:t>
      </w:r>
      <w:r>
        <w:rPr>
          <w:rFonts w:hint="default" w:ascii="Times New Roman" w:hAnsi="Times New Roman" w:eastAsia="仿宋" w:cs="Times New Roman"/>
          <w:sz w:val="24"/>
          <w:highlight w:val="none"/>
          <w:lang w:bidi="ar"/>
        </w:rPr>
        <w:t>：</w:t>
      </w:r>
      <w:r>
        <w:rPr>
          <w:rFonts w:hint="default" w:ascii="Times New Roman" w:hAnsi="Times New Roman" w:eastAsia="仿宋" w:cs="Times New Roman"/>
          <w:sz w:val="24"/>
          <w:highlight w:val="none"/>
        </w:rPr>
        <w:t>负责单位指定区域清理整理卫生清洁等工作。</w:t>
      </w:r>
    </w:p>
    <w:p>
      <w:pPr>
        <w:widowControl/>
        <w:numPr>
          <w:ilvl w:val="255"/>
          <w:numId w:val="0"/>
        </w:numPr>
        <w:spacing w:line="500" w:lineRule="exact"/>
        <w:ind w:firstLine="482" w:firstLineChars="200"/>
        <w:rPr>
          <w:rFonts w:hint="default" w:ascii="Times New Roman" w:hAnsi="Times New Roman" w:eastAsia="仿宋" w:cs="Times New Roman"/>
          <w:highlight w:val="none"/>
        </w:rPr>
      </w:pPr>
      <w:r>
        <w:rPr>
          <w:rFonts w:hint="default" w:ascii="Times New Roman" w:hAnsi="Times New Roman" w:eastAsia="仿宋" w:cs="Times New Roman"/>
          <w:b/>
          <w:bCs/>
          <w:sz w:val="24"/>
          <w:highlight w:val="none"/>
        </w:rPr>
        <w:t>三、服务内容</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1、供应商根据采购人的人力资源需求向其派遣员工，派遣员工的人事劳动关系、行政关系、党团关系和工资关系等不发生转移，保留在供应商单位。由供应商依约向采购人提供相关服务项目。</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2、供应商中标后，应与采购人签署劳务派遣</w:t>
      </w:r>
      <w:r>
        <w:rPr>
          <w:rFonts w:hint="eastAsia" w:eastAsia="仿宋"/>
          <w:sz w:val="24"/>
          <w:highlight w:val="none"/>
        </w:rPr>
        <w:t>合同</w:t>
      </w:r>
      <w:r>
        <w:rPr>
          <w:rFonts w:eastAsia="仿宋"/>
          <w:sz w:val="24"/>
          <w:highlight w:val="none"/>
        </w:rPr>
        <w:t>，在</w:t>
      </w:r>
      <w:r>
        <w:rPr>
          <w:rFonts w:hint="eastAsia" w:eastAsia="仿宋"/>
          <w:sz w:val="24"/>
          <w:highlight w:val="none"/>
        </w:rPr>
        <w:t>合同</w:t>
      </w:r>
      <w:r>
        <w:rPr>
          <w:rFonts w:eastAsia="仿宋"/>
          <w:sz w:val="24"/>
          <w:highlight w:val="none"/>
        </w:rPr>
        <w:t>有效期内向采购人提供劳务派遣服务。</w:t>
      </w:r>
      <w:r>
        <w:rPr>
          <w:rFonts w:hint="eastAsia" w:eastAsia="仿宋"/>
          <w:sz w:val="24"/>
          <w:highlight w:val="none"/>
        </w:rPr>
        <w:t>合同</w:t>
      </w:r>
      <w:r>
        <w:rPr>
          <w:rFonts w:eastAsia="仿宋"/>
          <w:sz w:val="24"/>
          <w:highlight w:val="none"/>
        </w:rPr>
        <w:t>内容应包括：派遣岗位、派遣期限、工作地点、劳动报酬</w:t>
      </w:r>
      <w:r>
        <w:rPr>
          <w:rFonts w:hint="eastAsia" w:eastAsia="仿宋"/>
          <w:sz w:val="24"/>
          <w:highlight w:val="none"/>
        </w:rPr>
        <w:t>标准</w:t>
      </w:r>
      <w:r>
        <w:rPr>
          <w:rFonts w:eastAsia="仿宋"/>
          <w:sz w:val="24"/>
          <w:highlight w:val="none"/>
        </w:rPr>
        <w:t>、试用期期限等内容。</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3、供应商根据采购人的用工需要及岗位说明书，向采购人推荐人选, 并由采购人最终确认。推荐人选的相关费用标准由双方另行约定。</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4、对于供应商与派遣员工签订劳动合同并派遣到采购人处工作的员工，采购人有权设定试用期。</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5、采购人确认派遣员工的人选后，向供应商发出《用工通知函》，供应商应按接到采购人发出的《用工通知函》后，负责与采购人确认的派遣员工签订劳动合同并办理相关派遣手续。收到采购人终止、解除员工劳务派遣关系通知函后，为员工办理离职等手续。</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6、采购人有权制定、修改或者决定有关劳动报酬、工作时间、休息休假、劳动安全卫生、保险福利、职员培训、劳动纪律以及劳动定额管理等相关内容，供应商负责依法为员工办理建立、缴纳、转移、享受各项社会保险(养老保险、失业保险、医疗保险、工伤保险、生育保险以及住房公积金等</w:t>
      </w:r>
      <w:r>
        <w:rPr>
          <w:rFonts w:hint="eastAsia" w:eastAsia="仿宋"/>
          <w:sz w:val="24"/>
          <w:highlight w:val="none"/>
        </w:rPr>
        <w:t>、及其他相关保障措施</w:t>
      </w:r>
      <w:r>
        <w:rPr>
          <w:rFonts w:eastAsia="仿宋"/>
          <w:sz w:val="24"/>
          <w:highlight w:val="none"/>
        </w:rPr>
        <w:t>)</w:t>
      </w:r>
      <w:r>
        <w:rPr>
          <w:rFonts w:hint="eastAsia" w:eastAsia="仿宋"/>
          <w:sz w:val="24"/>
          <w:highlight w:val="none"/>
        </w:rPr>
        <w:t>及其他社会保险</w:t>
      </w:r>
      <w:r>
        <w:rPr>
          <w:rFonts w:eastAsia="仿宋"/>
          <w:sz w:val="24"/>
          <w:highlight w:val="none"/>
        </w:rPr>
        <w:t>的相关手续。</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7、采购人有权根据工作需要对派遣员工进行岗前培训。</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8、派遣人员行为若触犯了刑法等，以及给采购人造成经济损失的，供应商应积极主动配合采购人及公检法部门的工作办理相关事宜。</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9、派遣员工在履行合同期间发生因工人身伤亡事故时，采购人在事发24小时内电话及书面通知供应商，并提供所需资料，由供应商统计、上报、申请理赔。供应商申报完成后，工伤保险机构将赔付及支付待遇支付给供应商后，供应商应依法及时足额支付给员工及其家属。</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1</w:t>
      </w:r>
      <w:r>
        <w:rPr>
          <w:rFonts w:hint="eastAsia" w:eastAsia="仿宋"/>
          <w:sz w:val="24"/>
          <w:highlight w:val="none"/>
        </w:rPr>
        <w:t>0</w:t>
      </w:r>
      <w:r>
        <w:rPr>
          <w:rFonts w:eastAsia="仿宋"/>
          <w:sz w:val="24"/>
          <w:highlight w:val="none"/>
        </w:rPr>
        <w:t>、被派遣人员非因工死亡时，社会保险应支付给派遣员工的费用由供应商负责按照社会保险机构的规定申领并依法支付给派遣员工家属。</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1</w:t>
      </w:r>
      <w:r>
        <w:rPr>
          <w:rFonts w:hint="eastAsia" w:eastAsia="仿宋"/>
          <w:sz w:val="24"/>
          <w:highlight w:val="none"/>
        </w:rPr>
        <w:t>1</w:t>
      </w:r>
      <w:r>
        <w:rPr>
          <w:rFonts w:eastAsia="仿宋"/>
          <w:sz w:val="24"/>
          <w:highlight w:val="none"/>
        </w:rPr>
        <w:t>、派遣期内派遣员工如有不规范行为</w:t>
      </w:r>
      <w:r>
        <w:rPr>
          <w:rFonts w:hint="eastAsia" w:eastAsia="仿宋"/>
          <w:sz w:val="24"/>
          <w:highlight w:val="none"/>
        </w:rPr>
        <w:t>或违反采购人工作规定</w:t>
      </w:r>
      <w:r>
        <w:rPr>
          <w:rFonts w:eastAsia="仿宋"/>
          <w:sz w:val="24"/>
          <w:highlight w:val="none"/>
        </w:rPr>
        <w:t>，采购人有权通知供应商</w:t>
      </w:r>
      <w:r>
        <w:rPr>
          <w:rFonts w:hint="eastAsia" w:eastAsia="仿宋"/>
          <w:sz w:val="24"/>
          <w:highlight w:val="none"/>
        </w:rPr>
        <w:t>替换派遣人员</w:t>
      </w:r>
      <w:r>
        <w:rPr>
          <w:rFonts w:eastAsia="仿宋"/>
          <w:sz w:val="24"/>
          <w:highlight w:val="none"/>
        </w:rPr>
        <w:t>，且无须向供应商支付经济补偿。</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1</w:t>
      </w:r>
      <w:r>
        <w:rPr>
          <w:rFonts w:hint="eastAsia" w:eastAsia="仿宋"/>
          <w:sz w:val="24"/>
          <w:highlight w:val="none"/>
        </w:rPr>
        <w:t>2</w:t>
      </w:r>
      <w:r>
        <w:rPr>
          <w:rFonts w:eastAsia="仿宋"/>
          <w:sz w:val="24"/>
          <w:highlight w:val="none"/>
        </w:rPr>
        <w:t>、</w:t>
      </w:r>
      <w:r>
        <w:rPr>
          <w:rFonts w:hint="eastAsia" w:eastAsia="仿宋"/>
          <w:sz w:val="24"/>
          <w:highlight w:val="none"/>
        </w:rPr>
        <w:t>供应商</w:t>
      </w:r>
      <w:r>
        <w:rPr>
          <w:rFonts w:eastAsia="仿宋"/>
          <w:sz w:val="24"/>
          <w:highlight w:val="none"/>
        </w:rPr>
        <w:t>根据派遣员工工资表，申报社会保险缴费基数，负责代扣代缴应由员工个人缴纳的社会保险费、个人所得税和依法应予代扣代缴的其他费用后，以银行工资卡的方式，按规定的时间发放</w:t>
      </w:r>
      <w:r>
        <w:rPr>
          <w:rFonts w:hint="eastAsia" w:eastAsia="仿宋"/>
          <w:sz w:val="24"/>
          <w:highlight w:val="none"/>
        </w:rPr>
        <w:t>派遣人员</w:t>
      </w:r>
      <w:r>
        <w:rPr>
          <w:rFonts w:eastAsia="仿宋"/>
          <w:sz w:val="24"/>
          <w:highlight w:val="none"/>
        </w:rPr>
        <w:t>的工资。</w:t>
      </w:r>
    </w:p>
    <w:p>
      <w:pPr>
        <w:widowControl/>
        <w:numPr>
          <w:ilvl w:val="255"/>
          <w:numId w:val="0"/>
        </w:numPr>
        <w:spacing w:line="500" w:lineRule="exact"/>
        <w:ind w:firstLine="480" w:firstLineChars="200"/>
        <w:rPr>
          <w:rFonts w:eastAsia="仿宋"/>
          <w:sz w:val="24"/>
          <w:highlight w:val="none"/>
        </w:rPr>
      </w:pPr>
      <w:r>
        <w:rPr>
          <w:rFonts w:eastAsia="仿宋"/>
          <w:sz w:val="24"/>
          <w:highlight w:val="none"/>
        </w:rPr>
        <w:t>1</w:t>
      </w:r>
      <w:r>
        <w:rPr>
          <w:rFonts w:hint="default" w:eastAsia="仿宋"/>
          <w:sz w:val="24"/>
          <w:highlight w:val="none"/>
        </w:rPr>
        <w:t>3</w:t>
      </w:r>
      <w:r>
        <w:rPr>
          <w:rFonts w:eastAsia="仿宋"/>
          <w:sz w:val="24"/>
          <w:highlight w:val="none"/>
        </w:rPr>
        <w:t>、如遇劳务纠纷，由供应商负责处理劳务纠纷，派遣员工的辞退手续，应由供应商负责。</w:t>
      </w:r>
    </w:p>
    <w:p>
      <w:pPr>
        <w:widowControl/>
        <w:numPr>
          <w:ilvl w:val="255"/>
          <w:numId w:val="0"/>
        </w:numPr>
        <w:spacing w:line="500" w:lineRule="exact"/>
        <w:ind w:firstLine="480" w:firstLineChars="200"/>
        <w:rPr>
          <w:rFonts w:eastAsia="仿宋"/>
          <w:sz w:val="24"/>
          <w:highlight w:val="none"/>
        </w:rPr>
      </w:pPr>
      <w:r>
        <w:rPr>
          <w:rFonts w:hint="default" w:eastAsia="仿宋"/>
          <w:sz w:val="24"/>
          <w:highlight w:val="none"/>
        </w:rPr>
        <w:t>14</w:t>
      </w:r>
      <w:r>
        <w:rPr>
          <w:rFonts w:eastAsia="仿宋"/>
          <w:sz w:val="24"/>
          <w:highlight w:val="none"/>
        </w:rPr>
        <w:t>、供应商应负责所有人事档案相关事宜，包括但不限于相关人事档案的收集、鉴定和管理、移交等。</w:t>
      </w:r>
    </w:p>
    <w:p>
      <w:pPr>
        <w:widowControl/>
        <w:numPr>
          <w:ilvl w:val="255"/>
          <w:numId w:val="0"/>
        </w:numPr>
        <w:spacing w:line="500" w:lineRule="exac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四、其他要求</w:t>
      </w:r>
    </w:p>
    <w:p>
      <w:pPr>
        <w:widowControl/>
        <w:numPr>
          <w:ilvl w:val="255"/>
          <w:numId w:val="0"/>
        </w:numPr>
        <w:spacing w:line="500" w:lineRule="exact"/>
        <w:ind w:firstLine="480" w:firstLineChars="200"/>
        <w:rPr>
          <w:rFonts w:eastAsia="仿宋"/>
          <w:color w:val="000000" w:themeColor="text1"/>
          <w:sz w:val="24"/>
          <w:highlight w:val="none"/>
          <w:lang w:val="zh-CN"/>
          <w14:textFill>
            <w14:solidFill>
              <w14:schemeClr w14:val="tx1"/>
            </w14:solidFill>
          </w14:textFill>
        </w:rPr>
      </w:pPr>
      <w:r>
        <w:rPr>
          <w:rFonts w:hint="eastAsia" w:eastAsia="仿宋"/>
          <w:color w:val="000000" w:themeColor="text1"/>
          <w:sz w:val="24"/>
          <w:highlight w:val="none"/>
          <w14:textFill>
            <w14:solidFill>
              <w14:schemeClr w14:val="tx1"/>
            </w14:solidFill>
          </w14:textFill>
        </w:rPr>
        <w:t>1</w:t>
      </w:r>
      <w:r>
        <w:rPr>
          <w:rFonts w:eastAsia="仿宋"/>
          <w:color w:val="000000" w:themeColor="text1"/>
          <w:sz w:val="24"/>
          <w:highlight w:val="none"/>
          <w:lang w:val="zh-CN"/>
          <w14:textFill>
            <w14:solidFill>
              <w14:schemeClr w14:val="tx1"/>
            </w14:solidFill>
          </w14:textFill>
        </w:rPr>
        <w:t xml:space="preserve">、如采购人委托供应商招聘，对成交供应商提供的人员不满意，要求更换时，成交供应商必须及时且无条件的更换合格的人员。 </w:t>
      </w:r>
    </w:p>
    <w:p>
      <w:pPr>
        <w:widowControl/>
        <w:numPr>
          <w:ilvl w:val="255"/>
          <w:numId w:val="0"/>
        </w:numPr>
        <w:spacing w:line="500" w:lineRule="exact"/>
        <w:ind w:firstLine="480" w:firstLineChars="200"/>
        <w:rPr>
          <w:rFonts w:eastAsia="仿宋"/>
          <w:color w:val="000000" w:themeColor="text1"/>
          <w:sz w:val="24"/>
          <w:highlight w:val="none"/>
          <w:lang w:val="zh-CN"/>
          <w14:textFill>
            <w14:solidFill>
              <w14:schemeClr w14:val="tx1"/>
            </w14:solidFill>
          </w14:textFill>
        </w:rPr>
      </w:pPr>
      <w:r>
        <w:rPr>
          <w:rFonts w:hint="eastAsia" w:eastAsia="仿宋"/>
          <w:color w:val="000000" w:themeColor="text1"/>
          <w:sz w:val="24"/>
          <w:highlight w:val="none"/>
          <w14:textFill>
            <w14:solidFill>
              <w14:schemeClr w14:val="tx1"/>
            </w14:solidFill>
          </w14:textFill>
        </w:rPr>
        <w:t>2</w:t>
      </w:r>
      <w:r>
        <w:rPr>
          <w:rFonts w:eastAsia="仿宋"/>
          <w:color w:val="000000" w:themeColor="text1"/>
          <w:sz w:val="24"/>
          <w:highlight w:val="none"/>
          <w:lang w:val="zh-CN"/>
          <w14:textFill>
            <w14:solidFill>
              <w14:schemeClr w14:val="tx1"/>
            </w14:solidFill>
          </w14:textFill>
        </w:rPr>
        <w:t>、服务期内，采购人按季度对成交供应商的工作质量、履约情况、社保购买情况、工作配合度等进行综合评价，评价合格则继续履行服务合同。如项目服务未达到要求，则采购人</w:t>
      </w:r>
      <w:r>
        <w:rPr>
          <w:rFonts w:eastAsia="仿宋"/>
          <w:color w:val="000000" w:themeColor="text1"/>
          <w:sz w:val="24"/>
          <w:highlight w:val="none"/>
          <w14:textFill>
            <w14:solidFill>
              <w14:schemeClr w14:val="tx1"/>
            </w14:solidFill>
          </w14:textFill>
        </w:rPr>
        <w:t>有权</w:t>
      </w:r>
      <w:r>
        <w:rPr>
          <w:rFonts w:eastAsia="仿宋"/>
          <w:color w:val="000000" w:themeColor="text1"/>
          <w:sz w:val="24"/>
          <w:highlight w:val="none"/>
          <w:lang w:val="zh-CN"/>
          <w14:textFill>
            <w14:solidFill>
              <w14:schemeClr w14:val="tx1"/>
            </w14:solidFill>
          </w14:textFill>
        </w:rPr>
        <w:t>终止服务合同。</w:t>
      </w:r>
    </w:p>
    <w:p>
      <w:pPr>
        <w:widowControl/>
        <w:numPr>
          <w:ilvl w:val="255"/>
          <w:numId w:val="0"/>
        </w:numPr>
        <w:spacing w:line="500" w:lineRule="exact"/>
        <w:ind w:firstLine="480" w:firstLineChars="200"/>
        <w:rPr>
          <w:rFonts w:eastAsia="仿宋"/>
          <w:color w:val="000000" w:themeColor="text1"/>
          <w:sz w:val="24"/>
          <w:highlight w:val="none"/>
          <w:lang w:val="zh-CN"/>
          <w14:textFill>
            <w14:solidFill>
              <w14:schemeClr w14:val="tx1"/>
            </w14:solidFill>
          </w14:textFill>
        </w:rPr>
      </w:pPr>
      <w:r>
        <w:rPr>
          <w:rFonts w:hint="eastAsia" w:eastAsia="仿宋"/>
          <w:color w:val="000000" w:themeColor="text1"/>
          <w:sz w:val="24"/>
          <w:highlight w:val="none"/>
          <w14:textFill>
            <w14:solidFill>
              <w14:schemeClr w14:val="tx1"/>
            </w14:solidFill>
          </w14:textFill>
        </w:rPr>
        <w:t>3</w:t>
      </w:r>
      <w:r>
        <w:rPr>
          <w:rFonts w:eastAsia="仿宋"/>
          <w:color w:val="000000" w:themeColor="text1"/>
          <w:sz w:val="24"/>
          <w:highlight w:val="none"/>
          <w:lang w:val="zh-CN"/>
          <w14:textFill>
            <w14:solidFill>
              <w14:schemeClr w14:val="tx1"/>
            </w14:solidFill>
          </w14:textFill>
        </w:rPr>
        <w:t>、</w:t>
      </w:r>
      <w:r>
        <w:rPr>
          <w:rFonts w:hint="eastAsia" w:eastAsia="仿宋"/>
          <w:color w:val="000000" w:themeColor="text1"/>
          <w:sz w:val="24"/>
          <w:highlight w:val="none"/>
          <w:lang w:val="zh-CN"/>
          <w14:textFill>
            <w14:solidFill>
              <w14:schemeClr w14:val="tx1"/>
            </w14:solidFill>
          </w14:textFill>
        </w:rPr>
        <w:t>供应商对</w:t>
      </w:r>
      <w:r>
        <w:rPr>
          <w:rFonts w:eastAsia="仿宋"/>
          <w:color w:val="000000" w:themeColor="text1"/>
          <w:sz w:val="24"/>
          <w:highlight w:val="none"/>
          <w:lang w:val="zh-CN"/>
          <w14:textFill>
            <w14:solidFill>
              <w14:schemeClr w14:val="tx1"/>
            </w14:solidFill>
          </w14:textFill>
        </w:rPr>
        <w:t>派遣人员的工作由采购人进行分配、管理，对派遣人员的奖惩、撤换或辞退等须经采购人同意认可。</w:t>
      </w:r>
    </w:p>
    <w:p>
      <w:pPr>
        <w:widowControl/>
        <w:numPr>
          <w:ilvl w:val="255"/>
          <w:numId w:val="0"/>
        </w:numPr>
        <w:spacing w:line="500" w:lineRule="exact"/>
        <w:ind w:firstLine="480" w:firstLineChars="200"/>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 xml:space="preserve">4、由供应商负责员工的劳动关系管理、社会保险缴纳及享受、薪酬的核发、劳动纠纷处理、人事政策咨询等内容。 </w:t>
      </w:r>
    </w:p>
    <w:p>
      <w:pPr>
        <w:widowControl/>
        <w:numPr>
          <w:ilvl w:val="255"/>
          <w:numId w:val="0"/>
        </w:numPr>
        <w:spacing w:line="500" w:lineRule="exac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五、服务期</w:t>
      </w:r>
    </w:p>
    <w:p>
      <w:pPr>
        <w:widowControl/>
        <w:numPr>
          <w:ilvl w:val="255"/>
          <w:numId w:val="0"/>
        </w:numPr>
        <w:spacing w:line="500" w:lineRule="exact"/>
        <w:ind w:firstLine="480" w:firstLineChars="200"/>
        <w:rPr>
          <w:rFonts w:eastAsia="仿宋"/>
          <w:color w:val="000000" w:themeColor="text1"/>
          <w:sz w:val="24"/>
          <w:highlight w:val="none"/>
          <w14:textFill>
            <w14:solidFill>
              <w14:schemeClr w14:val="tx1"/>
            </w14:solidFill>
          </w14:textFill>
        </w:rPr>
        <w:sectPr>
          <w:footerReference r:id="rId11" w:type="default"/>
          <w:pgSz w:w="11906" w:h="16838"/>
          <w:pgMar w:top="1361" w:right="1361" w:bottom="1361" w:left="1361" w:header="851" w:footer="850" w:gutter="0"/>
          <w:pgNumType w:fmt="decimal"/>
          <w:cols w:space="720" w:num="1"/>
          <w:docGrid w:type="lines" w:linePitch="319" w:charSpace="0"/>
        </w:sectPr>
      </w:pPr>
      <w:r>
        <w:rPr>
          <w:rFonts w:eastAsia="仿宋"/>
          <w:color w:val="000000" w:themeColor="text1"/>
          <w:sz w:val="24"/>
          <w:highlight w:val="none"/>
          <w14:textFill>
            <w14:solidFill>
              <w14:schemeClr w14:val="tx1"/>
            </w14:solidFill>
          </w14:textFill>
        </w:rPr>
        <w:t>2023年7月1日至2024年6月30日（具体服务日期可以随合同签订时间顺延）。</w:t>
      </w:r>
      <w:r>
        <w:rPr>
          <w:rFonts w:eastAsia="仿宋"/>
          <w:color w:val="000000" w:themeColor="text1"/>
          <w:sz w:val="24"/>
          <w:highlight w:val="none"/>
          <w:lang w:val="zh-CN"/>
          <w14:textFill>
            <w14:solidFill>
              <w14:schemeClr w14:val="tx1"/>
            </w14:solidFill>
          </w14:textFill>
        </w:rPr>
        <w:t>若成交供应商在合同期内有违约行为，采购人可以提前终止合同。</w:t>
      </w:r>
    </w:p>
    <w:bookmarkEnd w:id="497"/>
    <w:bookmarkEnd w:id="498"/>
    <w:bookmarkEnd w:id="499"/>
    <w:bookmarkEnd w:id="500"/>
    <w:bookmarkEnd w:id="501"/>
    <w:bookmarkEnd w:id="502"/>
    <w:bookmarkEnd w:id="503"/>
    <w:p>
      <w:pPr>
        <w:pStyle w:val="46"/>
        <w:spacing w:line="360" w:lineRule="auto"/>
        <w:rPr>
          <w:rFonts w:hint="default" w:ascii="Times New Roman" w:hAnsi="Times New Roman" w:eastAsia="仿宋" w:cs="Times New Roman"/>
          <w:color w:val="auto"/>
          <w:highlight w:val="none"/>
        </w:rPr>
      </w:pPr>
      <w:bookmarkStart w:id="510" w:name="_Toc2854"/>
      <w:bookmarkStart w:id="511" w:name="_Toc20322"/>
      <w:bookmarkStart w:id="512" w:name="_Toc16370"/>
      <w:bookmarkStart w:id="513" w:name="_Toc14469"/>
      <w:bookmarkStart w:id="514" w:name="_Toc18202"/>
      <w:bookmarkStart w:id="515" w:name="_Toc31214"/>
      <w:bookmarkStart w:id="516" w:name="_Toc12531"/>
      <w:bookmarkStart w:id="517" w:name="_Toc10318"/>
      <w:bookmarkStart w:id="518" w:name="_Toc3454"/>
      <w:r>
        <w:rPr>
          <w:rFonts w:hint="default" w:ascii="Times New Roman" w:hAnsi="Times New Roman" w:eastAsia="仿宋" w:cs="Times New Roman"/>
          <w:b/>
          <w:bCs/>
          <w:color w:val="auto"/>
          <w:kern w:val="2"/>
          <w:sz w:val="32"/>
          <w:szCs w:val="32"/>
          <w:highlight w:val="none"/>
        </w:rPr>
        <w:t>第六章  磋商响应文件格式</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46"/>
        <w:jc w:val="right"/>
        <w:rPr>
          <w:rFonts w:hint="default" w:ascii="Times New Roman" w:hAnsi="Times New Roman" w:eastAsia="仿宋" w:cs="Times New Roman"/>
          <w:b w:val="0"/>
          <w:bCs w:val="0"/>
          <w:highlight w:val="none"/>
          <w:lang w:val="zh-CN"/>
        </w:rPr>
      </w:pPr>
      <w:bookmarkStart w:id="519" w:name="_Toc14968"/>
      <w:bookmarkStart w:id="520" w:name="_Toc62196433"/>
      <w:bookmarkStart w:id="521" w:name="_Toc24969"/>
      <w:bookmarkStart w:id="522" w:name="_Toc5369"/>
      <w:bookmarkStart w:id="523" w:name="_Toc9915"/>
      <w:bookmarkStart w:id="524" w:name="_Toc6609"/>
      <w:bookmarkStart w:id="525" w:name="_Toc17738"/>
      <w:bookmarkStart w:id="526" w:name="_Toc21052"/>
      <w:bookmarkStart w:id="527" w:name="_Toc24890"/>
      <w:bookmarkStart w:id="528" w:name="_Toc11182"/>
      <w:bookmarkStart w:id="529" w:name="_Toc4381"/>
      <w:bookmarkStart w:id="530" w:name="_Toc18646"/>
      <w:bookmarkStart w:id="531" w:name="_Toc4257"/>
      <w:r>
        <w:rPr>
          <w:rFonts w:hint="default" w:ascii="Times New Roman" w:hAnsi="Times New Roman" w:eastAsia="仿宋" w:cs="Times New Roman"/>
          <w:highlight w:val="none"/>
          <w:lang w:val="zh-CN"/>
        </w:rPr>
        <w:t>正本/副本</w:t>
      </w:r>
      <w:bookmarkEnd w:id="519"/>
      <w:bookmarkEnd w:id="520"/>
      <w:bookmarkEnd w:id="521"/>
      <w:bookmarkEnd w:id="522"/>
      <w:bookmarkEnd w:id="523"/>
      <w:bookmarkEnd w:id="524"/>
      <w:bookmarkEnd w:id="525"/>
      <w:bookmarkEnd w:id="526"/>
      <w:bookmarkEnd w:id="527"/>
      <w:bookmarkEnd w:id="528"/>
      <w:bookmarkEnd w:id="529"/>
      <w:bookmarkEnd w:id="530"/>
      <w:bookmarkEnd w:id="531"/>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32" w:name="_Toc10816"/>
      <w:bookmarkStart w:id="533" w:name="_Toc17410"/>
      <w:bookmarkStart w:id="534" w:name="_Toc30924"/>
      <w:bookmarkStart w:id="535" w:name="_Toc2953"/>
      <w:bookmarkStart w:id="536" w:name="_Toc6984"/>
      <w:bookmarkStart w:id="537" w:name="_Toc11819"/>
      <w:bookmarkStart w:id="538" w:name="_Toc15654"/>
      <w:bookmarkStart w:id="539" w:name="_Toc14917"/>
      <w:bookmarkStart w:id="540" w:name="_Toc30495"/>
      <w:bookmarkStart w:id="541" w:name="_Toc15264"/>
      <w:bookmarkStart w:id="542" w:name="_Toc29615"/>
      <w:bookmarkStart w:id="543" w:name="_Toc28579"/>
      <w:r>
        <w:rPr>
          <w:rFonts w:hint="default" w:ascii="Times New Roman" w:hAnsi="Times New Roman" w:eastAsia="仿宋" w:cs="Times New Roman"/>
          <w:b/>
          <w:bCs/>
          <w:sz w:val="32"/>
          <w:szCs w:val="32"/>
          <w:highlight w:val="none"/>
          <w:lang w:val="zh-CN"/>
        </w:rPr>
        <w:t>政府采购项目</w:t>
      </w:r>
      <w:bookmarkEnd w:id="532"/>
      <w:bookmarkEnd w:id="533"/>
      <w:bookmarkEnd w:id="534"/>
      <w:bookmarkEnd w:id="535"/>
      <w:bookmarkEnd w:id="536"/>
      <w:bookmarkEnd w:id="537"/>
      <w:bookmarkEnd w:id="538"/>
      <w:bookmarkEnd w:id="539"/>
      <w:bookmarkEnd w:id="540"/>
      <w:bookmarkEnd w:id="541"/>
      <w:bookmarkEnd w:id="542"/>
      <w:bookmarkEnd w:id="543"/>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44" w:name="_Toc30433"/>
      <w:bookmarkStart w:id="545" w:name="_Toc25545"/>
      <w:bookmarkStart w:id="546" w:name="_Toc12018"/>
      <w:bookmarkStart w:id="547" w:name="_Toc30289"/>
      <w:bookmarkStart w:id="548" w:name="_Toc4133"/>
      <w:bookmarkStart w:id="549" w:name="_Toc32313"/>
      <w:bookmarkStart w:id="550" w:name="_Toc32703"/>
      <w:bookmarkStart w:id="551" w:name="_Toc7344"/>
      <w:bookmarkStart w:id="552" w:name="_Toc20839"/>
      <w:bookmarkStart w:id="553" w:name="_Toc7231"/>
      <w:bookmarkStart w:id="554" w:name="_Toc1462"/>
      <w:bookmarkStart w:id="555" w:name="_Toc19582"/>
      <w:r>
        <w:rPr>
          <w:rFonts w:hint="default" w:ascii="Times New Roman" w:hAnsi="Times New Roman" w:eastAsia="仿宋" w:cs="Times New Roman"/>
          <w:b/>
          <w:bCs/>
          <w:sz w:val="32"/>
          <w:szCs w:val="32"/>
          <w:highlight w:val="none"/>
          <w:lang w:val="zh-CN"/>
        </w:rPr>
        <w:t>采购项目编号：</w:t>
      </w:r>
      <w:bookmarkEnd w:id="544"/>
      <w:bookmarkEnd w:id="545"/>
      <w:bookmarkEnd w:id="546"/>
      <w:r>
        <w:rPr>
          <w:rFonts w:hint="default" w:ascii="Times New Roman" w:hAnsi="Times New Roman" w:eastAsia="仿宋" w:cs="Times New Roman"/>
          <w:b/>
          <w:bCs/>
          <w:sz w:val="30"/>
          <w:szCs w:val="30"/>
          <w:highlight w:val="none"/>
          <w:lang w:val="zh-CN"/>
        </w:rPr>
        <w:t>SCZB2023-CS-0479/003</w:t>
      </w:r>
      <w:bookmarkEnd w:id="547"/>
      <w:bookmarkEnd w:id="548"/>
      <w:bookmarkEnd w:id="549"/>
      <w:bookmarkEnd w:id="550"/>
      <w:bookmarkEnd w:id="551"/>
      <w:bookmarkEnd w:id="552"/>
      <w:r>
        <w:rPr>
          <w:rFonts w:hint="default" w:ascii="Times New Roman" w:hAnsi="Times New Roman" w:eastAsia="仿宋" w:cs="Times New Roman"/>
          <w:b/>
          <w:bCs/>
          <w:sz w:val="30"/>
          <w:szCs w:val="30"/>
          <w:highlight w:val="none"/>
          <w:lang w:val="zh-CN"/>
        </w:rPr>
        <w:t>（</w:t>
      </w:r>
      <w:r>
        <w:rPr>
          <w:rFonts w:hint="default" w:ascii="Times New Roman" w:hAnsi="Times New Roman" w:eastAsia="仿宋" w:cs="Times New Roman"/>
          <w:b/>
          <w:bCs/>
          <w:sz w:val="30"/>
          <w:szCs w:val="30"/>
          <w:highlight w:val="none"/>
          <w:lang w:val="en-US" w:eastAsia="zh-CN"/>
        </w:rPr>
        <w:t>1</w:t>
      </w:r>
      <w:r>
        <w:rPr>
          <w:rFonts w:hint="default" w:ascii="Times New Roman" w:hAnsi="Times New Roman" w:eastAsia="仿宋" w:cs="Times New Roman"/>
          <w:b/>
          <w:bCs/>
          <w:sz w:val="30"/>
          <w:szCs w:val="30"/>
          <w:highlight w:val="none"/>
          <w:lang w:val="zh-CN"/>
        </w:rPr>
        <w:t>）</w:t>
      </w:r>
      <w:bookmarkEnd w:id="553"/>
      <w:bookmarkEnd w:id="554"/>
      <w:bookmarkEnd w:id="555"/>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40"/>
          <w:szCs w:val="40"/>
          <w:highlight w:val="none"/>
        </w:rPr>
      </w:pPr>
      <w:r>
        <w:rPr>
          <w:rFonts w:hint="default" w:ascii="Times New Roman" w:hAnsi="Times New Roman" w:eastAsia="仿宋" w:cs="Times New Roman"/>
          <w:b/>
          <w:bCs/>
          <w:sz w:val="40"/>
          <w:szCs w:val="40"/>
          <w:highlight w:val="none"/>
        </w:rPr>
        <w:t>陕西省道路运输事业发展中心后勤服务购买项目</w:t>
      </w:r>
    </w:p>
    <w:p>
      <w:pPr>
        <w:tabs>
          <w:tab w:val="left" w:pos="5670"/>
        </w:tabs>
        <w:autoSpaceDE w:val="0"/>
        <w:autoSpaceDN w:val="0"/>
        <w:adjustRightInd w:val="0"/>
        <w:snapToGrid w:val="0"/>
        <w:spacing w:line="360" w:lineRule="auto"/>
        <w:ind w:firstLine="0" w:firstLineChars="0"/>
        <w:jc w:val="center"/>
        <w:rPr>
          <w:rFonts w:hint="default" w:ascii="Times New Roman" w:hAnsi="Times New Roman" w:eastAsia="仿宋" w:cs="Times New Roman"/>
          <w:sz w:val="21"/>
          <w:szCs w:val="24"/>
          <w:highlight w:val="none"/>
          <w:lang w:val="zh-CN"/>
        </w:rPr>
      </w:pPr>
      <w:r>
        <w:rPr>
          <w:rFonts w:hint="default" w:ascii="Times New Roman" w:hAnsi="Times New Roman" w:eastAsia="仿宋" w:cs="Times New Roman"/>
          <w:b/>
          <w:bCs/>
          <w:sz w:val="40"/>
          <w:szCs w:val="40"/>
          <w:highlight w:val="none"/>
        </w:rPr>
        <w:t>（第1包）</w:t>
      </w: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30"/>
          <w:szCs w:val="30"/>
          <w:highlight w:val="none"/>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磋商响应文件</w:t>
      </w:r>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b/>
          <w:bCs/>
          <w:sz w:val="32"/>
          <w:szCs w:val="32"/>
          <w:highlight w:val="none"/>
          <w:lang w:val="zh-CN"/>
        </w:rPr>
        <w:t>（资格证明文件）</w:t>
      </w:r>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u w:val="single"/>
        </w:rPr>
        <w:t xml:space="preserve">           </w:t>
      </w:r>
      <w:r>
        <w:rPr>
          <w:rFonts w:hint="default" w:ascii="Times New Roman" w:hAnsi="Times New Roman" w:eastAsia="仿宋" w:cs="Times New Roman"/>
          <w:b/>
          <w:bCs/>
          <w:sz w:val="32"/>
          <w:szCs w:val="32"/>
          <w:highlight w:val="none"/>
        </w:rPr>
        <w:t xml:space="preserve">   </w:t>
      </w:r>
    </w:p>
    <w:p>
      <w:pPr>
        <w:autoSpaceDE w:val="0"/>
        <w:autoSpaceDN w:val="0"/>
        <w:adjustRightInd w:val="0"/>
        <w:snapToGrid w:val="0"/>
        <w:spacing w:line="360" w:lineRule="auto"/>
        <w:outlineLvl w:val="0"/>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sz w:val="30"/>
          <w:szCs w:val="30"/>
          <w:highlight w:val="none"/>
        </w:rPr>
        <w:t xml:space="preserve">                 </w:t>
      </w:r>
      <w:bookmarkStart w:id="556" w:name="_Toc253"/>
      <w:bookmarkStart w:id="557" w:name="_Toc7589"/>
      <w:bookmarkStart w:id="558" w:name="_Toc28936"/>
      <w:bookmarkStart w:id="559" w:name="_Toc2869"/>
      <w:bookmarkStart w:id="560" w:name="_Toc19891"/>
      <w:bookmarkStart w:id="561" w:name="_Toc23667"/>
      <w:bookmarkStart w:id="562" w:name="_Toc28694"/>
      <w:bookmarkStart w:id="563" w:name="_Toc31758"/>
      <w:bookmarkStart w:id="564" w:name="_Toc14908"/>
      <w:bookmarkStart w:id="565" w:name="_Toc18586"/>
      <w:bookmarkStart w:id="566" w:name="_Toc16993"/>
      <w:bookmarkStart w:id="567" w:name="_Toc455"/>
      <w:r>
        <w:rPr>
          <w:rFonts w:hint="default" w:ascii="Times New Roman" w:hAnsi="Times New Roman" w:eastAsia="仿宋" w:cs="Times New Roman"/>
          <w:b/>
          <w:bCs/>
          <w:sz w:val="32"/>
          <w:szCs w:val="32"/>
          <w:highlight w:val="none"/>
          <w:lang w:val="zh-CN"/>
        </w:rPr>
        <w:t>供应商：</w:t>
      </w:r>
      <w:bookmarkEnd w:id="556"/>
      <w:bookmarkEnd w:id="557"/>
      <w:bookmarkEnd w:id="558"/>
      <w:bookmarkEnd w:id="559"/>
      <w:bookmarkEnd w:id="560"/>
      <w:bookmarkEnd w:id="561"/>
      <w:bookmarkEnd w:id="562"/>
      <w:bookmarkEnd w:id="563"/>
      <w:bookmarkEnd w:id="564"/>
      <w:bookmarkEnd w:id="565"/>
      <w:bookmarkEnd w:id="566"/>
      <w:bookmarkEnd w:id="567"/>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u w:val="single"/>
        </w:rPr>
      </w:pPr>
      <w:r>
        <w:rPr>
          <w:rFonts w:hint="default" w:ascii="Times New Roman" w:hAnsi="Times New Roman" w:eastAsia="仿宋" w:cs="Times New Roman"/>
          <w:b/>
          <w:bCs/>
          <w:sz w:val="32"/>
          <w:szCs w:val="32"/>
          <w:highlight w:val="none"/>
          <w:u w:val="single"/>
        </w:rPr>
        <w:t xml:space="preserve">                 </w:t>
      </w:r>
    </w:p>
    <w:p>
      <w:pPr>
        <w:autoSpaceDE w:val="0"/>
        <w:autoSpaceDN w:val="0"/>
        <w:adjustRightInd w:val="0"/>
        <w:snapToGrid w:val="0"/>
        <w:spacing w:line="360" w:lineRule="auto"/>
        <w:ind w:firstLine="2570" w:firstLineChars="800"/>
        <w:outlineLvl w:val="0"/>
        <w:rPr>
          <w:rFonts w:hint="default" w:ascii="Times New Roman" w:hAnsi="Times New Roman" w:eastAsia="仿宋" w:cs="Times New Roman"/>
          <w:b/>
          <w:bCs/>
          <w:sz w:val="32"/>
          <w:szCs w:val="32"/>
          <w:highlight w:val="none"/>
          <w:u w:val="single"/>
        </w:rPr>
      </w:pPr>
      <w:bookmarkStart w:id="568" w:name="_Toc1266"/>
      <w:bookmarkStart w:id="569" w:name="_Toc5668"/>
      <w:bookmarkStart w:id="570" w:name="_Toc32569"/>
      <w:bookmarkStart w:id="571" w:name="_Toc12255"/>
      <w:bookmarkStart w:id="572" w:name="_Toc23156"/>
      <w:bookmarkStart w:id="573" w:name="_Toc13441"/>
      <w:bookmarkStart w:id="574" w:name="_Toc8126"/>
      <w:bookmarkStart w:id="575" w:name="_Toc5705"/>
      <w:bookmarkStart w:id="576" w:name="_Toc16306"/>
      <w:bookmarkStart w:id="577" w:name="_Toc17503"/>
      <w:bookmarkStart w:id="578" w:name="_Toc19858"/>
      <w:bookmarkStart w:id="579" w:name="_Toc29287"/>
      <w:r>
        <w:rPr>
          <w:rFonts w:hint="default" w:ascii="Times New Roman" w:hAnsi="Times New Roman" w:eastAsia="仿宋" w:cs="Times New Roman"/>
          <w:b/>
          <w:bCs/>
          <w:sz w:val="32"/>
          <w:szCs w:val="32"/>
          <w:highlight w:val="none"/>
          <w:lang w:val="zh-CN"/>
        </w:rPr>
        <w:t>时</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 w:cs="Times New Roman"/>
          <w:b/>
          <w:bCs/>
          <w:sz w:val="32"/>
          <w:szCs w:val="32"/>
          <w:highlight w:val="none"/>
          <w:lang w:val="zh-CN"/>
        </w:rPr>
        <w:t>间：</w:t>
      </w:r>
      <w:bookmarkEnd w:id="568"/>
      <w:bookmarkEnd w:id="569"/>
      <w:bookmarkEnd w:id="570"/>
      <w:bookmarkEnd w:id="571"/>
      <w:bookmarkEnd w:id="572"/>
      <w:bookmarkEnd w:id="573"/>
      <w:bookmarkEnd w:id="574"/>
      <w:bookmarkEnd w:id="575"/>
      <w:bookmarkEnd w:id="576"/>
      <w:bookmarkEnd w:id="577"/>
      <w:bookmarkEnd w:id="578"/>
      <w:bookmarkEnd w:id="579"/>
      <w:r>
        <w:rPr>
          <w:rFonts w:hint="default" w:ascii="Times New Roman" w:hAnsi="Times New Roman" w:eastAsia="仿宋" w:cs="Times New Roman"/>
          <w:b/>
          <w:bCs/>
          <w:sz w:val="32"/>
          <w:szCs w:val="32"/>
          <w:highlight w:val="none"/>
          <w:u w:val="single"/>
        </w:rPr>
        <w:t xml:space="preserve">                   </w:t>
      </w:r>
    </w:p>
    <w:p>
      <w:pPr>
        <w:pStyle w:val="2"/>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pStyle w:val="79"/>
        <w:spacing w:before="24" w:after="24"/>
        <w:ind w:firstLine="0" w:firstLineChars="0"/>
        <w:jc w:val="center"/>
        <w:outlineLvl w:val="0"/>
        <w:rPr>
          <w:rFonts w:hint="default" w:ascii="Times New Roman" w:hAnsi="Times New Roman" w:eastAsia="仿宋" w:cs="Times New Roman"/>
          <w:b/>
          <w:bCs/>
          <w:highlight w:val="none"/>
        </w:rPr>
      </w:pPr>
      <w:bookmarkStart w:id="580" w:name="_Toc5412"/>
      <w:bookmarkStart w:id="581" w:name="_Toc18259"/>
      <w:bookmarkStart w:id="582" w:name="_Toc1523"/>
      <w:bookmarkStart w:id="583" w:name="_Toc21208"/>
      <w:bookmarkStart w:id="584" w:name="_Toc13363"/>
      <w:bookmarkStart w:id="585" w:name="_Toc1564"/>
      <w:bookmarkStart w:id="586" w:name="_Toc18090"/>
      <w:bookmarkStart w:id="587" w:name="_Toc22036"/>
      <w:bookmarkStart w:id="588" w:name="_Toc8006"/>
      <w:bookmarkStart w:id="589" w:name="_Toc21461"/>
      <w:bookmarkStart w:id="590" w:name="_Toc4889"/>
      <w:r>
        <w:rPr>
          <w:rFonts w:hint="default" w:ascii="Times New Roman" w:hAnsi="Times New Roman" w:eastAsia="仿宋" w:cs="Times New Roman"/>
          <w:b/>
          <w:bCs/>
          <w:highlight w:val="none"/>
        </w:rPr>
        <w:t>第一部分  身份证明文件</w:t>
      </w:r>
      <w:bookmarkEnd w:id="580"/>
      <w:bookmarkEnd w:id="581"/>
      <w:bookmarkEnd w:id="582"/>
      <w:bookmarkEnd w:id="583"/>
      <w:bookmarkEnd w:id="584"/>
      <w:bookmarkEnd w:id="585"/>
      <w:bookmarkEnd w:id="586"/>
    </w:p>
    <w:p>
      <w:pPr>
        <w:widowControl/>
        <w:jc w:val="center"/>
        <w:rPr>
          <w:rFonts w:hint="default" w:ascii="Times New Roman" w:hAnsi="Times New Roman" w:eastAsia="仿宋" w:cs="Times New Roman"/>
          <w:b/>
          <w:bCs/>
          <w:sz w:val="28"/>
          <w:szCs w:val="28"/>
          <w:highlight w:val="none"/>
          <w:lang w:val="zh-CN"/>
        </w:rPr>
      </w:pPr>
    </w:p>
    <w:p>
      <w:pPr>
        <w:widowControl/>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zh-CN"/>
        </w:rPr>
        <w:t>1、法定代表人</w:t>
      </w:r>
      <w:r>
        <w:rPr>
          <w:rFonts w:hint="default" w:ascii="Times New Roman" w:hAnsi="Times New Roman" w:eastAsia="仿宋" w:cs="Times New Roman"/>
          <w:b/>
          <w:bCs/>
          <w:i/>
          <w:sz w:val="28"/>
          <w:szCs w:val="28"/>
          <w:highlight w:val="none"/>
          <w:lang w:val="zh-CN"/>
        </w:rPr>
        <w:t>（或其他组织负责人）</w:t>
      </w:r>
      <w:r>
        <w:rPr>
          <w:rFonts w:hint="default" w:ascii="Times New Roman" w:hAnsi="Times New Roman" w:eastAsia="仿宋" w:cs="Times New Roman"/>
          <w:b/>
          <w:bCs/>
          <w:sz w:val="28"/>
          <w:szCs w:val="28"/>
          <w:highlight w:val="none"/>
          <w:lang w:val="zh-CN"/>
        </w:rPr>
        <w:t>授权书</w:t>
      </w:r>
    </w:p>
    <w:p>
      <w:pPr>
        <w:autoSpaceDE w:val="0"/>
        <w:autoSpaceDN w:val="0"/>
        <w:adjustRightInd w:val="0"/>
        <w:spacing w:line="348" w:lineRule="auto"/>
        <w:ind w:firstLine="400"/>
        <w:rPr>
          <w:rFonts w:hint="default" w:ascii="Times New Roman" w:hAnsi="Times New Roman" w:eastAsia="仿宋" w:cs="Times New Roman"/>
          <w:b/>
          <w:bCs/>
          <w:sz w:val="20"/>
          <w:highlight w:val="none"/>
        </w:rPr>
      </w:pPr>
    </w:p>
    <w:p>
      <w:pPr>
        <w:autoSpaceDE w:val="0"/>
        <w:autoSpaceDN w:val="0"/>
        <w:adjustRightInd w:val="0"/>
        <w:spacing w:line="348"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陕西省采购招标有限责任公司：</w:t>
      </w:r>
    </w:p>
    <w:p>
      <w:pPr>
        <w:autoSpaceDE w:val="0"/>
        <w:autoSpaceDN w:val="0"/>
        <w:adjustRightInd w:val="0"/>
        <w:spacing w:line="348" w:lineRule="auto"/>
        <w:ind w:firstLine="6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注册于</w:t>
      </w:r>
      <w:r>
        <w:rPr>
          <w:rFonts w:hint="default" w:ascii="Times New Roman" w:hAnsi="Times New Roman" w:eastAsia="仿宋" w:cs="Times New Roman"/>
          <w:sz w:val="24"/>
          <w:highlight w:val="none"/>
          <w:u w:val="single"/>
          <w:lang w:val="zh-CN"/>
        </w:rPr>
        <w:t>（工商行政管理局名称）</w:t>
      </w:r>
      <w:r>
        <w:rPr>
          <w:rFonts w:hint="default" w:ascii="Times New Roman" w:hAnsi="Times New Roman" w:eastAsia="仿宋" w:cs="Times New Roman"/>
          <w:sz w:val="24"/>
          <w:highlight w:val="none"/>
          <w:lang w:val="zh-CN"/>
        </w:rPr>
        <w:t>之</w:t>
      </w:r>
      <w:r>
        <w:rPr>
          <w:rFonts w:hint="default" w:ascii="Times New Roman" w:hAnsi="Times New Roman" w:eastAsia="仿宋" w:cs="Times New Roman"/>
          <w:sz w:val="24"/>
          <w:highlight w:val="none"/>
          <w:u w:val="single"/>
          <w:lang w:val="zh-CN"/>
        </w:rPr>
        <w:t>（供应商全称）</w:t>
      </w:r>
      <w:r>
        <w:rPr>
          <w:rFonts w:hint="default" w:ascii="Times New Roman" w:hAnsi="Times New Roman" w:eastAsia="仿宋" w:cs="Times New Roman"/>
          <w:sz w:val="24"/>
          <w:highlight w:val="none"/>
          <w:lang w:val="zh-CN"/>
        </w:rPr>
        <w:t>法人代表</w:t>
      </w:r>
      <w:r>
        <w:rPr>
          <w:rFonts w:hint="default" w:ascii="Times New Roman" w:hAnsi="Times New Roman" w:eastAsia="仿宋" w:cs="Times New Roman"/>
          <w:sz w:val="24"/>
          <w:highlight w:val="none"/>
          <w:u w:val="single"/>
          <w:lang w:val="zh-CN"/>
        </w:rPr>
        <w:t>（姓名、职务）</w:t>
      </w:r>
      <w:r>
        <w:rPr>
          <w:rFonts w:hint="default" w:ascii="Times New Roman" w:hAnsi="Times New Roman" w:eastAsia="仿宋" w:cs="Times New Roman"/>
          <w:sz w:val="24"/>
          <w:highlight w:val="none"/>
          <w:lang w:val="zh-CN"/>
        </w:rPr>
        <w:t>授权</w:t>
      </w:r>
      <w:r>
        <w:rPr>
          <w:rFonts w:hint="default" w:ascii="Times New Roman" w:hAnsi="Times New Roman" w:eastAsia="仿宋" w:cs="Times New Roman"/>
          <w:sz w:val="24"/>
          <w:highlight w:val="none"/>
          <w:u w:val="single"/>
          <w:lang w:val="zh-CN"/>
        </w:rPr>
        <w:t>（被授权人姓名、职务）</w:t>
      </w:r>
      <w:r>
        <w:rPr>
          <w:rFonts w:hint="default" w:ascii="Times New Roman" w:hAnsi="Times New Roman" w:eastAsia="仿宋" w:cs="Times New Roman"/>
          <w:sz w:val="24"/>
          <w:highlight w:val="none"/>
          <w:lang w:val="zh-CN"/>
        </w:rPr>
        <w:t>为本公司的合法代理人，就</w:t>
      </w:r>
      <w:r>
        <w:rPr>
          <w:rFonts w:hint="default" w:ascii="Times New Roman" w:hAnsi="Times New Roman" w:eastAsia="仿宋" w:cs="Times New Roman"/>
          <w:sz w:val="24"/>
          <w:highlight w:val="none"/>
          <w:u w:val="single"/>
          <w:lang w:val="zh-CN"/>
        </w:rPr>
        <w:t>（项目名称）</w:t>
      </w:r>
      <w:r>
        <w:rPr>
          <w:rFonts w:hint="default" w:ascii="Times New Roman" w:hAnsi="Times New Roman" w:eastAsia="仿宋" w:cs="Times New Roman"/>
          <w:sz w:val="24"/>
          <w:highlight w:val="none"/>
          <w:lang w:val="zh-CN"/>
        </w:rPr>
        <w:t>的磋商及合同的执行和完成，以本公司的名义处理一切与之有关的事宜。</w:t>
      </w:r>
    </w:p>
    <w:p>
      <w:pPr>
        <w:snapToGrid w:val="0"/>
        <w:spacing w:line="360" w:lineRule="auto"/>
        <w:ind w:firstLine="480" w:firstLineChars="200"/>
        <w:rPr>
          <w:rFonts w:hint="default" w:ascii="Times New Roman" w:hAnsi="Times New Roman" w:eastAsia="仿宋" w:cs="Times New Roman"/>
          <w:b/>
          <w:bCs/>
          <w:sz w:val="24"/>
          <w:highlight w:val="none"/>
          <w:lang w:val="zh-CN"/>
        </w:rPr>
      </w:pPr>
      <w:r>
        <w:rPr>
          <w:rFonts w:hint="default" w:ascii="Times New Roman" w:hAnsi="Times New Roman" w:eastAsia="仿宋" w:cs="Times New Roman"/>
          <w:sz w:val="24"/>
          <w:highlight w:val="none"/>
          <w:lang w:val="zh-CN"/>
        </w:rPr>
        <w:t>本授权自</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日起生效。（</w:t>
      </w:r>
      <w:r>
        <w:rPr>
          <w:rFonts w:hint="default" w:ascii="Times New Roman" w:hAnsi="Times New Roman" w:eastAsia="仿宋" w:cs="Times New Roman"/>
          <w:b/>
          <w:sz w:val="24"/>
          <w:highlight w:val="none"/>
          <w:lang w:val="zh-CN"/>
        </w:rPr>
        <w:t>提示：此日期不应晚于磋商响应函签署日期</w:t>
      </w:r>
      <w:r>
        <w:rPr>
          <w:rFonts w:hint="default" w:ascii="Times New Roman" w:hAnsi="Times New Roman" w:eastAsia="仿宋" w:cs="Times New Roman"/>
          <w:sz w:val="24"/>
          <w:highlight w:val="none"/>
          <w:lang w:val="zh-CN"/>
        </w:rPr>
        <w:t>）</w:t>
      </w:r>
    </w:p>
    <w:p>
      <w:pPr>
        <w:autoSpaceDE w:val="0"/>
        <w:autoSpaceDN w:val="0"/>
        <w:adjustRightInd w:val="0"/>
        <w:spacing w:line="348" w:lineRule="auto"/>
        <w:rPr>
          <w:rFonts w:hint="default" w:ascii="Times New Roman" w:hAnsi="Times New Roman" w:eastAsia="仿宋" w:cs="Times New Roman"/>
          <w:sz w:val="24"/>
          <w:highlight w:val="none"/>
        </w:rPr>
      </w:pPr>
    </w:p>
    <w:p>
      <w:pPr>
        <w:autoSpaceDE w:val="0"/>
        <w:autoSpaceDN w:val="0"/>
        <w:adjustRightInd w:val="0"/>
        <w:spacing w:line="348" w:lineRule="auto"/>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附：被授权人姓名：</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性别：</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年龄：</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职</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务：</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身份证号码：</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通讯地址：</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邮政编码：</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电</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话：</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传真：</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rPr>
          <w:rFonts w:hint="default" w:ascii="Times New Roman" w:hAnsi="Times New Roman" w:eastAsia="仿宋" w:cs="Times New Roman"/>
          <w:sz w:val="24"/>
          <w:highlight w:val="none"/>
        </w:rPr>
      </w:pPr>
    </w:p>
    <w:p>
      <w:pPr>
        <w:autoSpaceDE w:val="0"/>
        <w:autoSpaceDN w:val="0"/>
        <w:adjustRightInd w:val="0"/>
        <w:spacing w:line="348"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法定代表人（或其他组织负责人）</w:t>
      </w:r>
      <w:r>
        <w:rPr>
          <w:rFonts w:hint="default" w:ascii="Times New Roman" w:hAnsi="Times New Roman" w:eastAsia="仿宋" w:cs="Times New Roman"/>
          <w:sz w:val="24"/>
          <w:highlight w:val="none"/>
        </w:rPr>
        <w:t>及</w:t>
      </w:r>
      <w:r>
        <w:rPr>
          <w:rFonts w:hint="default" w:ascii="Times New Roman" w:hAnsi="Times New Roman" w:eastAsia="仿宋" w:cs="Times New Roman"/>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法定代表人（或其他组织负责人）身份证复印件</w:t>
            </w:r>
          </w:p>
          <w:p>
            <w:pPr>
              <w:autoSpaceDE w:val="0"/>
              <w:autoSpaceDN w:val="0"/>
              <w:adjustRightInd w:val="0"/>
              <w:spacing w:line="348" w:lineRule="auto"/>
              <w:jc w:val="center"/>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授权代表身份证复印件</w:t>
            </w:r>
          </w:p>
          <w:p>
            <w:pPr>
              <w:autoSpaceDE w:val="0"/>
              <w:autoSpaceDN w:val="0"/>
              <w:adjustRightInd w:val="0"/>
              <w:spacing w:line="348" w:lineRule="auto"/>
              <w:jc w:val="center"/>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（正反面）</w:t>
            </w:r>
          </w:p>
        </w:tc>
      </w:tr>
    </w:tbl>
    <w:p>
      <w:pPr>
        <w:adjustRightInd w:val="0"/>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供应商            法定代表人（</w:t>
      </w:r>
      <w:r>
        <w:rPr>
          <w:rFonts w:hint="default" w:ascii="Times New Roman" w:hAnsi="Times New Roman" w:eastAsia="仿宋" w:cs="Times New Roman"/>
          <w:sz w:val="24"/>
          <w:highlight w:val="none"/>
          <w:lang w:val="zh-CN"/>
        </w:rPr>
        <w:t>或其他组织负责人</w:t>
      </w:r>
      <w:r>
        <w:rPr>
          <w:rFonts w:hint="default" w:ascii="Times New Roman" w:hAnsi="Times New Roman" w:eastAsia="仿宋" w:cs="Times New Roman"/>
          <w:sz w:val="24"/>
          <w:highlight w:val="none"/>
        </w:rPr>
        <w:t>）   被授权人：</w:t>
      </w:r>
    </w:p>
    <w:p>
      <w:pPr>
        <w:adjustRightInd w:val="0"/>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（公章）：        （签字或盖章）：                （签字或盖章）</w:t>
      </w:r>
    </w:p>
    <w:p>
      <w:pPr>
        <w:spacing w:before="120" w:after="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line="360" w:lineRule="auto"/>
        <w:ind w:firstLine="480"/>
        <w:rPr>
          <w:rFonts w:hint="default" w:ascii="Times New Roman" w:hAnsi="Times New Roman" w:eastAsia="仿宋" w:cs="Times New Roman"/>
          <w:sz w:val="24"/>
          <w:highlight w:val="none"/>
        </w:rPr>
      </w:pPr>
    </w:p>
    <w:p>
      <w:pPr>
        <w:spacing w:line="360" w:lineRule="auto"/>
        <w:ind w:firstLine="48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注：自然人</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的或法定代表人（</w:t>
      </w:r>
      <w:r>
        <w:rPr>
          <w:rFonts w:hint="default" w:ascii="Times New Roman" w:hAnsi="Times New Roman" w:eastAsia="仿宋" w:cs="Times New Roman"/>
          <w:sz w:val="24"/>
          <w:highlight w:val="none"/>
          <w:lang w:val="zh-CN"/>
        </w:rPr>
        <w:t>或其他组织负责人</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的无需提供</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autoSpaceDE w:val="0"/>
        <w:autoSpaceDN w:val="0"/>
        <w:adjustRightIn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2、法定代表人</w:t>
      </w:r>
      <w:r>
        <w:rPr>
          <w:rFonts w:hint="default" w:ascii="Times New Roman" w:hAnsi="Times New Roman" w:eastAsia="仿宋" w:cs="Times New Roman"/>
          <w:b/>
          <w:bCs/>
          <w:i/>
          <w:sz w:val="28"/>
          <w:szCs w:val="28"/>
          <w:highlight w:val="none"/>
          <w:lang w:val="zh-CN"/>
        </w:rPr>
        <w:t>（或其他组织负责人）</w:t>
      </w:r>
      <w:r>
        <w:rPr>
          <w:rFonts w:hint="default" w:ascii="Times New Roman" w:hAnsi="Times New Roman" w:eastAsia="仿宋" w:cs="Times New Roman"/>
          <w:b/>
          <w:kern w:val="0"/>
          <w:sz w:val="28"/>
          <w:szCs w:val="28"/>
          <w:highlight w:val="none"/>
        </w:rPr>
        <w:t>身份证明</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供应商名称：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单位性质： </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地    址： </w:t>
      </w:r>
      <w:r>
        <w:rPr>
          <w:rFonts w:hint="default" w:ascii="Times New Roman" w:hAnsi="Times New Roman" w:eastAsia="仿宋" w:cs="Times New Roman"/>
          <w:kern w:val="0"/>
          <w:sz w:val="24"/>
          <w:highlight w:val="none"/>
          <w:u w:val="singl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成立时间：</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年</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月</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日</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经营期限：</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姓名：</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性别：</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年龄：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职务：</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系</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（供应商名称）的法定代表人或负责人。</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特此证明。</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ind w:left="5399" w:leftChars="2571"/>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供应商：           （公章）</w:t>
      </w:r>
    </w:p>
    <w:p>
      <w:pPr>
        <w:autoSpaceDE w:val="0"/>
        <w:autoSpaceDN w:val="0"/>
        <w:adjustRightInd w:val="0"/>
        <w:spacing w:line="360" w:lineRule="auto"/>
        <w:ind w:left="5399" w:leftChars="2571"/>
        <w:jc w:val="left"/>
        <w:rPr>
          <w:rFonts w:hint="default" w:ascii="Times New Roman" w:hAnsi="Times New Roman" w:eastAsia="仿宋" w:cs="Times New Roman"/>
          <w:kern w:val="0"/>
          <w:sz w:val="24"/>
          <w:highlight w:val="none"/>
        </w:rPr>
      </w:pPr>
    </w:p>
    <w:p>
      <w:pPr>
        <w:autoSpaceDE w:val="0"/>
        <w:autoSpaceDN w:val="0"/>
        <w:adjustRightInd w:val="0"/>
        <w:spacing w:line="360" w:lineRule="auto"/>
        <w:ind w:left="6659" w:leftChars="3171"/>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年  月  日</w:t>
      </w:r>
    </w:p>
    <w:p>
      <w:pPr>
        <w:autoSpaceDE w:val="0"/>
        <w:autoSpaceDN w:val="0"/>
        <w:adjustRightInd w:val="0"/>
        <w:spacing w:line="360" w:lineRule="auto"/>
        <w:jc w:val="center"/>
        <w:rPr>
          <w:rFonts w:hint="default" w:ascii="Times New Roman" w:hAnsi="Times New Roman" w:eastAsia="仿宋" w:cs="Times New Roman"/>
          <w:sz w:val="24"/>
          <w:highlight w:val="none"/>
        </w:rPr>
      </w:pPr>
    </w:p>
    <w:p>
      <w:pPr>
        <w:autoSpaceDE w:val="0"/>
        <w:autoSpaceDN w:val="0"/>
        <w:adjustRightInd w:val="0"/>
        <w:spacing w:line="360" w:lineRule="auto"/>
        <w:jc w:val="center"/>
        <w:rPr>
          <w:rFonts w:hint="default" w:ascii="Times New Roman" w:hAnsi="Times New Roman" w:eastAsia="仿宋" w:cs="Times New Roman"/>
          <w:sz w:val="24"/>
          <w:highlight w:val="none"/>
        </w:rPr>
      </w:pPr>
    </w:p>
    <w:p>
      <w:pPr>
        <w:autoSpaceDE w:val="0"/>
        <w:autoSpaceDN w:val="0"/>
        <w:adjustRightInd w:val="0"/>
        <w:spacing w:line="360" w:lineRule="auto"/>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sz w:val="24"/>
          <w:highlight w:val="none"/>
        </w:rPr>
        <w:t>注：自然人</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的仅需提供身份证</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widowControl/>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3、授权代表本单位证明</w:t>
      </w:r>
    </w:p>
    <w:p>
      <w:pPr>
        <w:spacing w:after="120"/>
        <w:rPr>
          <w:rFonts w:hint="default" w:ascii="Times New Roman" w:hAnsi="Times New Roman" w:eastAsia="仿宋" w:cs="Times New Roman"/>
          <w:highlight w:val="none"/>
        </w:rPr>
      </w:pPr>
    </w:p>
    <w:p>
      <w:pPr>
        <w:autoSpaceDE w:val="0"/>
        <w:autoSpaceDN w:val="0"/>
        <w:adjustRightInd w:val="0"/>
        <w:spacing w:line="348" w:lineRule="auto"/>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rPr>
        <w:t>养老保险缴纳证明或劳动合同复印件</w:t>
      </w:r>
      <w:r>
        <w:rPr>
          <w:rFonts w:hint="default" w:ascii="Times New Roman" w:hAnsi="Times New Roman" w:eastAsia="仿宋" w:cs="Times New Roman"/>
          <w:sz w:val="28"/>
          <w:szCs w:val="28"/>
          <w:highlight w:val="none"/>
          <w:lang w:val="zh-CN"/>
        </w:rPr>
        <w:t>）</w:t>
      </w:r>
    </w:p>
    <w:p>
      <w:pPr>
        <w:pStyle w:val="2"/>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bookmarkStart w:id="591" w:name="_Toc3898"/>
      <w:bookmarkStart w:id="592" w:name="_Toc20859"/>
      <w:bookmarkStart w:id="593" w:name="_Toc5725"/>
      <w:bookmarkStart w:id="594" w:name="_Toc30010"/>
      <w:bookmarkStart w:id="595" w:name="_Toc1229"/>
      <w:bookmarkStart w:id="596" w:name="_Toc23383"/>
      <w:bookmarkStart w:id="597" w:name="_Toc26215"/>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二</w:t>
      </w:r>
      <w:r>
        <w:rPr>
          <w:rFonts w:hint="default" w:ascii="Times New Roman" w:hAnsi="Times New Roman" w:eastAsia="仿宋" w:cs="Times New Roman"/>
          <w:highlight w:val="none"/>
        </w:rPr>
        <w:t>部分  资格证明文件</w:t>
      </w:r>
      <w:bookmarkEnd w:id="591"/>
      <w:bookmarkEnd w:id="592"/>
      <w:bookmarkEnd w:id="593"/>
      <w:bookmarkEnd w:id="594"/>
      <w:bookmarkEnd w:id="595"/>
      <w:bookmarkEnd w:id="596"/>
      <w:bookmarkEnd w:id="597"/>
    </w:p>
    <w:p>
      <w:pPr>
        <w:spacing w:after="120"/>
        <w:rPr>
          <w:rFonts w:hint="default" w:ascii="Times New Roman" w:hAnsi="Times New Roman" w:eastAsia="仿宋" w:cs="Times New Roman"/>
          <w:highlight w:val="none"/>
        </w:rPr>
      </w:pP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1、供应商的企业营业执照副本复印件（格式要求见附件6-1）；</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2、供应商上一年度经审计的财务报表复印件（包括资产负债表、现金流量表、利润表），或本年度基本开户银行出具的资信证明（格式要求见附件6-2）；</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3、依法缴纳税收和社会保障资金的证明材料复印件（格式见附件6-3、6-4）</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4、具备履行合同所必需的设备和专业技术能力的承诺原件（格式见附件6-5）；</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5、供应商参加政府采购活动前3年内在经营活动中没有重大违法记录的书面声明原件（格式见附件6-6）</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6、供应商控股股东名称、控股公司的名称和存在管理、被管理关系的单位名称说明（格式见附件6-7</w:t>
      </w:r>
      <w:r>
        <w:rPr>
          <w:rFonts w:hint="default" w:ascii="Times New Roman" w:hAnsi="Times New Roman" w:eastAsia="仿宋" w:cs="Times New Roman"/>
          <w:sz w:val="24"/>
          <w:highlight w:val="none"/>
          <w:lang w:val="en-US" w:eastAsia="zh-CN"/>
        </w:rPr>
        <w:t>）</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7、供应商是否属于为本项目提供整体设计、规范编制或者项目管理、监理、检测等服务的供应商声明原件（格式见附件6-8</w:t>
      </w:r>
      <w:r>
        <w:rPr>
          <w:rFonts w:hint="default" w:ascii="Times New Roman" w:hAnsi="Times New Roman" w:eastAsia="仿宋" w:cs="Times New Roman"/>
          <w:sz w:val="24"/>
          <w:highlight w:val="none"/>
          <w:lang w:val="en-US" w:eastAsia="zh-CN"/>
        </w:rPr>
        <w:t>）</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ascii="Times New Roman" w:hAnsi="Times New Roman" w:eastAsia="仿宋" w:cs="Times New Roman"/>
          <w:kern w:val="2"/>
          <w:sz w:val="24"/>
          <w:highlight w:val="none"/>
        </w:rPr>
      </w:pPr>
      <w:r>
        <w:rPr>
          <w:rFonts w:ascii="Times New Roman" w:hAnsi="Times New Roman" w:eastAsia="仿宋" w:cs="Times New Roman"/>
          <w:kern w:val="2"/>
          <w:sz w:val="24"/>
          <w:highlight w:val="none"/>
        </w:rPr>
        <w:t>8</w:t>
      </w:r>
      <w:r>
        <w:rPr>
          <w:rFonts w:hint="default" w:ascii="Times New Roman" w:hAnsi="Times New Roman" w:eastAsia="仿宋" w:cs="Times New Roman"/>
          <w:kern w:val="2"/>
          <w:sz w:val="24"/>
          <w:highlight w:val="none"/>
        </w:rPr>
        <w:t>、小微企业、监狱企业、残疾人福利单位声明函或证明</w:t>
      </w:r>
      <w:r>
        <w:rPr>
          <w:rFonts w:hint="default" w:ascii="Times New Roman" w:hAnsi="Times New Roman" w:eastAsia="仿宋" w:cs="Times New Roman"/>
          <w:sz w:val="24"/>
          <w:highlight w:val="none"/>
        </w:rPr>
        <w:t>（格式见附件6-</w:t>
      </w:r>
      <w:r>
        <w:rPr>
          <w:rFonts w:ascii="Times New Roman" w:hAnsi="Times New Roman" w:eastAsia="仿宋" w:cs="Times New Roman"/>
          <w:sz w:val="24"/>
          <w:highlight w:val="none"/>
        </w:rPr>
        <w:t>9</w:t>
      </w:r>
      <w:r>
        <w:rPr>
          <w:rFonts w:hint="default" w:ascii="Times New Roman" w:hAnsi="Times New Roman" w:eastAsia="仿宋" w:cs="Times New Roman"/>
          <w:sz w:val="24"/>
          <w:highlight w:val="none"/>
        </w:rPr>
        <w:t>)。</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lang w:eastAsia="zh-CN"/>
        </w:rPr>
      </w:pPr>
      <w:r>
        <w:rPr>
          <w:rFonts w:hint="default" w:eastAsia="仿宋" w:cs="Times New Roman"/>
          <w:b w:val="0"/>
          <w:kern w:val="2"/>
          <w:sz w:val="24"/>
          <w:szCs w:val="24"/>
          <w:highlight w:val="none"/>
          <w:lang w:val="en-US" w:eastAsia="zh-CN"/>
        </w:rPr>
        <w:t>9</w:t>
      </w:r>
      <w:r>
        <w:rPr>
          <w:rFonts w:hint="default" w:ascii="Times New Roman" w:hAnsi="Times New Roman" w:eastAsia="仿宋" w:cs="Times New Roman"/>
          <w:b w:val="0"/>
          <w:kern w:val="2"/>
          <w:sz w:val="24"/>
          <w:szCs w:val="24"/>
          <w:highlight w:val="none"/>
          <w:lang w:val="en-US" w:eastAsia="zh-CN"/>
        </w:rPr>
        <w:t>、</w:t>
      </w:r>
      <w:r>
        <w:rPr>
          <w:rFonts w:hint="default" w:ascii="Times New Roman" w:hAnsi="Times New Roman" w:eastAsia="仿宋" w:cs="Times New Roman"/>
          <w:b w:val="0"/>
          <w:kern w:val="2"/>
          <w:sz w:val="24"/>
          <w:szCs w:val="24"/>
          <w:highlight w:val="none"/>
          <w:lang w:eastAsia="zh-CN"/>
        </w:rPr>
        <w:t>供应商须提供有效的《劳务派遣经营许可证》或《人力资源服务许可证》</w:t>
      </w:r>
      <w:r>
        <w:rPr>
          <w:rFonts w:hint="default" w:ascii="Times New Roman" w:hAnsi="Times New Roman" w:eastAsia="仿宋" w:cs="Times New Roman"/>
          <w:b w:val="0"/>
          <w:kern w:val="2"/>
          <w:sz w:val="24"/>
          <w:szCs w:val="24"/>
          <w:highlight w:val="none"/>
          <w:lang w:val="en-US" w:eastAsia="zh-CN"/>
        </w:rPr>
        <w:t>复印件或扫描件加盖单位公章</w:t>
      </w:r>
      <w:r>
        <w:rPr>
          <w:rFonts w:hint="default" w:ascii="Times New Roman" w:hAnsi="Times New Roman" w:eastAsia="仿宋" w:cs="Times New Roman"/>
          <w:sz w:val="24"/>
          <w:highlight w:val="none"/>
        </w:rPr>
        <w:t>（格式见附件6-</w:t>
      </w:r>
      <w:r>
        <w:rPr>
          <w:rFonts w:hint="eastAsia" w:eastAsia="仿宋" w:cs="Times New Roman"/>
          <w:sz w:val="24"/>
          <w:highlight w:val="none"/>
          <w:lang w:val="en-US" w:eastAsia="zh-CN"/>
        </w:rPr>
        <w:t>10</w:t>
      </w:r>
      <w:r>
        <w:rPr>
          <w:rFonts w:hint="default" w:ascii="Times New Roman" w:hAnsi="Times New Roman" w:eastAsia="仿宋" w:cs="Times New Roman"/>
          <w:sz w:val="24"/>
          <w:highlight w:val="none"/>
          <w:lang w:val="en-US" w:eastAsia="zh-CN"/>
        </w:rPr>
        <w:t>）</w:t>
      </w:r>
    </w:p>
    <w:p>
      <w:pPr>
        <w:pStyle w:val="2"/>
        <w:rPr>
          <w:rFonts w:hint="default" w:ascii="Times New Roman" w:hAnsi="Times New Roman" w:eastAsia="仿宋" w:cs="Times New Roman"/>
          <w:highlight w:val="none"/>
        </w:rPr>
      </w:pPr>
    </w:p>
    <w:p>
      <w:pPr>
        <w:spacing w:after="120" w:line="360" w:lineRule="auto"/>
        <w:ind w:firstLine="48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sz w:val="24"/>
          <w:highlight w:val="none"/>
        </w:rPr>
        <w:t>以上为供应商资格要求，各供应商在磋商时须提供以上要求加盖供应商公章的复印件，附在磋商响应文件中，在评审过程中由磋商小组进行评审，无效或缺项将被视为无效文件。</w:t>
      </w:r>
      <w:r>
        <w:rPr>
          <w:rFonts w:hint="default" w:ascii="Times New Roman" w:hAnsi="Times New Roman" w:eastAsia="仿宋" w:cs="Times New Roman"/>
          <w:b/>
          <w:bCs/>
          <w:highlight w:val="none"/>
        </w:rPr>
        <w:br w:type="page"/>
      </w: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6-1  供应商的企业营业执照副本复印件（加盖公章）</w:t>
      </w:r>
    </w:p>
    <w:p>
      <w:pPr>
        <w:jc w:val="left"/>
        <w:rPr>
          <w:rFonts w:hint="default" w:ascii="Times New Roman" w:hAnsi="Times New Roman" w:eastAsia="仿宋" w:cs="Times New Roman"/>
          <w:sz w:val="24"/>
          <w:highlight w:val="none"/>
        </w:rPr>
      </w:pPr>
    </w:p>
    <w:p>
      <w:pPr>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default" w:ascii="Times New Roman" w:hAnsi="Times New Roman" w:eastAsia="仿宋" w:cs="Times New Roman"/>
          <w:b/>
          <w:sz w:val="28"/>
          <w:highlight w:val="none"/>
        </w:rPr>
      </w:pPr>
    </w:p>
    <w:p>
      <w:pPr>
        <w:adjustRightInd w:val="0"/>
        <w:spacing w:line="360" w:lineRule="atLeast"/>
        <w:jc w:val="left"/>
        <w:textAlignment w:val="baseline"/>
        <w:rPr>
          <w:rFonts w:hint="default" w:ascii="Times New Roman" w:hAnsi="Times New Roman" w:eastAsia="仿宋" w:cs="Times New Roman"/>
          <w:b/>
          <w:sz w:val="28"/>
          <w:highlight w:val="none"/>
        </w:rPr>
      </w:pPr>
      <w:r>
        <w:rPr>
          <w:rFonts w:hint="default" w:ascii="Times New Roman" w:hAnsi="Times New Roman" w:eastAsia="仿宋" w:cs="Times New Roman"/>
          <w:b/>
          <w:sz w:val="28"/>
          <w:highlight w:val="none"/>
        </w:rPr>
        <w:t xml:space="preserve"> </w:t>
      </w: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6-2  上一年度经审计的财务报表</w:t>
      </w:r>
    </w:p>
    <w:p>
      <w:pPr>
        <w:spacing w:line="360" w:lineRule="auto"/>
        <w:rPr>
          <w:rFonts w:hint="default" w:ascii="Times New Roman" w:hAnsi="Times New Roman" w:eastAsia="仿宋" w:cs="Times New Roman"/>
          <w:szCs w:val="21"/>
          <w:highlight w:val="none"/>
        </w:rPr>
      </w:pPr>
    </w:p>
    <w:p>
      <w:pPr>
        <w:tabs>
          <w:tab w:val="left" w:pos="993"/>
          <w:tab w:val="left" w:pos="1030"/>
          <w:tab w:val="left" w:pos="8364"/>
        </w:tabs>
        <w:snapToGrid w:val="0"/>
        <w:spacing w:after="120" w:afterLines="50"/>
        <w:ind w:right="-57" w:rightChars="-27"/>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提供供应商上一年度经审计的财务报表（包括资产负债表、现金流量表、利润表）复印件或扫描件、所有复印件或扫描件需加盖单位公章。</w:t>
      </w:r>
    </w:p>
    <w:p>
      <w:pPr>
        <w:spacing w:line="360" w:lineRule="auto"/>
        <w:rPr>
          <w:rFonts w:hint="default" w:ascii="Times New Roman" w:hAnsi="Times New Roman" w:eastAsia="仿宋" w:cs="Times New Roman"/>
          <w:szCs w:val="21"/>
          <w:highlight w:val="none"/>
        </w:rPr>
      </w:pPr>
    </w:p>
    <w:p>
      <w:pPr>
        <w:tabs>
          <w:tab w:val="left" w:pos="993"/>
          <w:tab w:val="left" w:pos="1030"/>
          <w:tab w:val="left" w:pos="8364"/>
        </w:tabs>
        <w:snapToGrid w:val="0"/>
        <w:spacing w:after="120" w:afterLines="50"/>
        <w:ind w:left="420" w:right="-57" w:rightChars="-27"/>
        <w:jc w:val="left"/>
        <w:rPr>
          <w:rFonts w:hint="default" w:ascii="Times New Roman" w:hAnsi="Times New Roman" w:eastAsia="仿宋" w:cs="Times New Roman"/>
          <w:b/>
          <w:spacing w:val="20"/>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或  6-2  本年度基本开户银行出具的资信证明</w:t>
      </w:r>
    </w:p>
    <w:p>
      <w:pPr>
        <w:spacing w:line="360" w:lineRule="auto"/>
        <w:rPr>
          <w:rFonts w:hint="default" w:ascii="Times New Roman" w:hAnsi="Times New Roman" w:eastAsia="仿宋" w:cs="Times New Roman"/>
          <w:szCs w:val="21"/>
          <w:highlight w:val="none"/>
        </w:rPr>
      </w:pPr>
    </w:p>
    <w:p>
      <w:pPr>
        <w:widowControl/>
        <w:jc w:val="left"/>
        <w:rPr>
          <w:rFonts w:hint="default" w:ascii="Times New Roman" w:hAnsi="Times New Roman" w:eastAsia="仿宋" w:cs="Times New Roman"/>
          <w:b/>
          <w:spacing w:val="20"/>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6-3 依法缴纳税收的证明</w:t>
      </w:r>
    </w:p>
    <w:p>
      <w:pPr>
        <w:tabs>
          <w:tab w:val="left" w:pos="993"/>
          <w:tab w:val="left" w:pos="1030"/>
          <w:tab w:val="left" w:pos="8364"/>
        </w:tabs>
        <w:snapToGrid w:val="0"/>
        <w:spacing w:after="120" w:afterLines="50"/>
        <w:ind w:left="420" w:right="-57" w:rightChars="-27" w:firstLine="480" w:firstLineChars="200"/>
        <w:jc w:val="left"/>
        <w:rPr>
          <w:rFonts w:hint="default" w:ascii="Times New Roman" w:hAnsi="Times New Roman" w:eastAsia="仿宋" w:cs="Times New Roman"/>
          <w:sz w:val="24"/>
          <w:highlight w:val="none"/>
        </w:rPr>
      </w:pPr>
    </w:p>
    <w:p>
      <w:pPr>
        <w:tabs>
          <w:tab w:val="left" w:pos="993"/>
          <w:tab w:val="left" w:pos="1030"/>
          <w:tab w:val="left" w:pos="8364"/>
        </w:tabs>
        <w:snapToGrid w:val="0"/>
        <w:spacing w:after="120" w:afterLines="50"/>
        <w:ind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说明：</w:t>
      </w:r>
    </w:p>
    <w:p>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供应商应提供自磋商响应文件递交截止时间前近六个月中任何一个月缴纳增值税和企业所得税的凭证，时间以税款所属时期为准（银行出具的缴税凭证或税务机关出具的证明的复印件，并加盖本单位公章）。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采用汇算清缴方式缴纳企业所得税的，应提供自响应文件递交截止时间前近六个月中任何一个月缴纳增值税和最近一期缴纳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left="0"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依法免税的供应商，应提供相应文件证明其依法免税。</w:t>
      </w:r>
    </w:p>
    <w:p>
      <w:pPr>
        <w:pStyle w:val="2"/>
        <w:rPr>
          <w:rFonts w:hint="default" w:ascii="Times New Roman" w:hAnsi="Times New Roman" w:eastAsia="仿宋" w:cs="Times New Roman"/>
          <w:highlight w:val="none"/>
        </w:rPr>
      </w:pPr>
    </w:p>
    <w:p>
      <w:pPr>
        <w:tabs>
          <w:tab w:val="left" w:pos="993"/>
          <w:tab w:val="left" w:pos="1030"/>
          <w:tab w:val="left" w:pos="8364"/>
        </w:tabs>
        <w:snapToGrid w:val="0"/>
        <w:spacing w:after="120" w:afterLines="50"/>
        <w:ind w:left="420" w:right="-57" w:rightChars="-27" w:firstLine="480" w:firstLineChars="200"/>
        <w:jc w:val="left"/>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6-4社会保障资金缴纳记录</w:t>
      </w:r>
    </w:p>
    <w:p>
      <w:pPr>
        <w:tabs>
          <w:tab w:val="left" w:pos="993"/>
          <w:tab w:val="left" w:pos="1030"/>
          <w:tab w:val="left" w:pos="8364"/>
        </w:tabs>
        <w:snapToGrid w:val="0"/>
        <w:spacing w:after="120" w:afterLines="50"/>
        <w:ind w:left="420" w:leftChars="200"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cr/>
      </w:r>
    </w:p>
    <w:p>
      <w:pPr>
        <w:tabs>
          <w:tab w:val="left" w:pos="993"/>
          <w:tab w:val="left" w:pos="1030"/>
          <w:tab w:val="left" w:pos="8364"/>
        </w:tabs>
        <w:snapToGrid w:val="0"/>
        <w:spacing w:after="120" w:afterLines="50"/>
        <w:ind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说明：</w:t>
      </w:r>
    </w:p>
    <w:p>
      <w:pPr>
        <w:numPr>
          <w:ilvl w:val="0"/>
          <w:numId w:val="12"/>
        </w:num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供应商应提供近六个月中至少一个月的社会缴纳社会保险的凭据（专用收据或社会保险缴纳清单），并加盖本单位公章。</w:t>
      </w:r>
    </w:p>
    <w:p>
      <w:pPr>
        <w:numPr>
          <w:ilvl w:val="0"/>
          <w:numId w:val="12"/>
        </w:num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bCs/>
          <w:sz w:val="24"/>
          <w:highlight w:val="none"/>
        </w:rPr>
        <w:t>6-5 具备</w:t>
      </w:r>
      <w:r>
        <w:rPr>
          <w:rFonts w:hint="default" w:ascii="Times New Roman" w:hAnsi="Times New Roman" w:eastAsia="仿宋" w:cs="Times New Roman"/>
          <w:b/>
          <w:sz w:val="24"/>
          <w:highlight w:val="none"/>
        </w:rPr>
        <w:t xml:space="preserve">履行合同所必需的设备和专业技术能力承诺书                                                                                                                                                                                                                                                                                                                                                                                                                                                                                                                                                                                                                                                                                                      </w:t>
      </w:r>
    </w:p>
    <w:p>
      <w:pPr>
        <w:ind w:firstLine="480"/>
        <w:rPr>
          <w:rFonts w:hint="default" w:ascii="Times New Roman" w:hAnsi="Times New Roman" w:eastAsia="仿宋" w:cs="Times New Roman"/>
          <w:kern w:val="0"/>
          <w:sz w:val="24"/>
          <w:highlight w:val="none"/>
        </w:rPr>
      </w:pPr>
    </w:p>
    <w:p>
      <w:pPr>
        <w:ind w:firstLine="480"/>
        <w:rPr>
          <w:rFonts w:hint="default" w:ascii="Times New Roman" w:hAnsi="Times New Roman" w:eastAsia="仿宋" w:cs="Times New Roman"/>
          <w:kern w:val="0"/>
          <w:sz w:val="24"/>
          <w:highlight w:val="none"/>
        </w:rPr>
      </w:pPr>
    </w:p>
    <w:p>
      <w:pPr>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kern w:val="0"/>
          <w:sz w:val="24"/>
          <w:highlight w:val="none"/>
          <w:u w:val="single"/>
        </w:rPr>
        <w:t xml:space="preserve">陕西省采购招标有限责任公司：   </w:t>
      </w:r>
    </w:p>
    <w:p>
      <w:pPr>
        <w:ind w:firstLine="480"/>
        <w:rPr>
          <w:rFonts w:hint="default" w:ascii="Times New Roman" w:hAnsi="Times New Roman" w:eastAsia="仿宋" w:cs="Times New Roman"/>
          <w:kern w:val="0"/>
          <w:sz w:val="24"/>
          <w:highlight w:val="none"/>
        </w:rPr>
      </w:pPr>
    </w:p>
    <w:p>
      <w:pPr>
        <w:ind w:firstLine="48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我公司承诺</w:t>
      </w:r>
      <w:r>
        <w:rPr>
          <w:rFonts w:hint="default" w:ascii="Times New Roman" w:hAnsi="Times New Roman" w:eastAsia="仿宋" w:cs="Times New Roman"/>
          <w:sz w:val="24"/>
          <w:highlight w:val="none"/>
        </w:rPr>
        <w:t>具备履行合同所必需的设备和专业技术能力</w:t>
      </w:r>
      <w:r>
        <w:rPr>
          <w:rFonts w:hint="default" w:ascii="Times New Roman" w:hAnsi="Times New Roman" w:eastAsia="仿宋" w:cs="Times New Roman"/>
          <w:kern w:val="0"/>
          <w:sz w:val="24"/>
          <w:highlight w:val="none"/>
        </w:rPr>
        <w:t>。</w:t>
      </w:r>
    </w:p>
    <w:p>
      <w:pPr>
        <w:ind w:firstLine="480"/>
        <w:rPr>
          <w:rFonts w:hint="default" w:ascii="Times New Roman" w:hAnsi="Times New Roman" w:eastAsia="仿宋" w:cs="Times New Roman"/>
          <w:b/>
          <w:sz w:val="24"/>
          <w:highlight w:val="none"/>
        </w:rPr>
      </w:pPr>
    </w:p>
    <w:p>
      <w:pPr>
        <w:ind w:firstLine="480"/>
        <w:rPr>
          <w:rFonts w:hint="default" w:ascii="Times New Roman" w:hAnsi="Times New Roman" w:eastAsia="仿宋" w:cs="Times New Roman"/>
          <w:b/>
          <w:sz w:val="24"/>
          <w:highlight w:val="none"/>
        </w:rPr>
      </w:pPr>
    </w:p>
    <w:p>
      <w:pPr>
        <w:ind w:firstLine="480"/>
        <w:rPr>
          <w:rFonts w:hint="default" w:ascii="Times New Roman" w:hAnsi="Times New Roman" w:eastAsia="仿宋" w:cs="Times New Roman"/>
          <w:b/>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6-6供应商参加政府采购活动前3年内在经营活动中没有重大违法记录的书面声明（格式）</w:t>
      </w:r>
    </w:p>
    <w:p>
      <w:pPr>
        <w:jc w:val="center"/>
        <w:rPr>
          <w:rFonts w:hint="default" w:ascii="Times New Roman" w:hAnsi="Times New Roman" w:eastAsia="仿宋" w:cs="Times New Roman"/>
          <w:sz w:val="24"/>
          <w:highlight w:val="none"/>
        </w:rPr>
      </w:pPr>
    </w:p>
    <w:p>
      <w:pPr>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声明函</w:t>
      </w:r>
    </w:p>
    <w:p>
      <w:pPr>
        <w:jc w:val="center"/>
        <w:rPr>
          <w:rFonts w:hint="default" w:ascii="Times New Roman" w:hAnsi="Times New Roman" w:eastAsia="仿宋" w:cs="Times New Roman"/>
          <w:sz w:val="24"/>
          <w:highlight w:val="none"/>
        </w:rPr>
      </w:pPr>
    </w:p>
    <w:p>
      <w:pPr>
        <w:tabs>
          <w:tab w:val="left" w:pos="5580"/>
        </w:tabs>
        <w:spacing w:before="120"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en-US" w:eastAsia="zh-CN"/>
        </w:rPr>
        <w:t>致</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陕西省采购招标有限责任公司  </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特此声明。</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pStyle w:val="2"/>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p>
    <w:p>
      <w:pPr>
        <w:pStyle w:val="2"/>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6-7供应商控股股东名称、控股公司的名称和存在管理、被管理关系的单位名称说明</w:t>
      </w:r>
    </w:p>
    <w:p>
      <w:pPr>
        <w:ind w:firstLine="420"/>
        <w:rPr>
          <w:rFonts w:hint="default" w:ascii="Times New Roman" w:hAnsi="Times New Roman" w:eastAsia="仿宋" w:cs="Times New Roman"/>
          <w:szCs w:val="21"/>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after="120"/>
        <w:rPr>
          <w:rFonts w:hint="default" w:ascii="Times New Roman" w:hAnsi="Times New Roman" w:eastAsia="仿宋" w:cs="Times New Roman"/>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与我方的法定代表人（单位负责人）为同一人的企业如下：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我方的控股股东如下：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我方直接控股的企业如下：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与我方存在管理、被管理关系的单位名称如下：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Cs w:val="21"/>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ind w:firstLine="420" w:firstLineChars="200"/>
        <w:rPr>
          <w:rFonts w:hint="default" w:ascii="Times New Roman" w:hAnsi="Times New Roman" w:eastAsia="仿宋" w:cs="Times New Roman"/>
          <w:szCs w:val="21"/>
          <w:highlight w:val="none"/>
        </w:rPr>
      </w:pPr>
    </w:p>
    <w:p>
      <w:pPr>
        <w:ind w:firstLine="420" w:firstLineChars="200"/>
        <w:rPr>
          <w:rFonts w:hint="default" w:ascii="Times New Roman" w:hAnsi="Times New Roman" w:eastAsia="仿宋" w:cs="Times New Roman"/>
          <w:szCs w:val="21"/>
          <w:highlight w:val="none"/>
        </w:rPr>
      </w:pPr>
    </w:p>
    <w:p>
      <w:pPr>
        <w:rPr>
          <w:rFonts w:hint="default" w:ascii="Times New Roman" w:hAnsi="Times New Roman" w:eastAsia="仿宋" w:cs="Times New Roman"/>
          <w:b/>
          <w:sz w:val="24"/>
          <w:szCs w:val="22"/>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6-8供应商是否属于为本项目提供整体设计、规范编制或者项目管理、监理、检测等服务的供应商声明</w:t>
      </w:r>
    </w:p>
    <w:p>
      <w:pPr>
        <w:ind w:firstLine="420"/>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致：陕西省采购招标有限责任公司</w:t>
      </w: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w:t>
      </w:r>
      <w:r>
        <w:rPr>
          <w:rFonts w:hint="default" w:ascii="Times New Roman" w:hAnsi="Times New Roman" w:eastAsia="仿宋" w:cs="Times New Roman"/>
          <w:i/>
          <w:iCs/>
          <w:sz w:val="24"/>
          <w:highlight w:val="none"/>
          <w:u w:val="single"/>
        </w:rPr>
        <w:t xml:space="preserve"> 不属于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为本项目提供整体设计、规范编制或者项目管理、监理、检测等服务的供应商。</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Cs w:val="21"/>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rPr>
          <w:rFonts w:hint="eastAsia" w:ascii="仿宋" w:hAnsi="仿宋" w:eastAsia="仿宋" w:cs="仿宋_GB2312"/>
          <w:b/>
          <w:sz w:val="24"/>
          <w:szCs w:val="22"/>
        </w:rPr>
      </w:pPr>
    </w:p>
    <w:p>
      <w:pPr>
        <w:rPr>
          <w:rFonts w:hint="eastAsia" w:ascii="仿宋" w:hAnsi="仿宋" w:eastAsia="仿宋" w:cs="仿宋_GB2312"/>
          <w:b/>
          <w:sz w:val="24"/>
          <w:szCs w:val="22"/>
        </w:rPr>
      </w:pPr>
    </w:p>
    <w:p>
      <w:pPr>
        <w:rPr>
          <w:rFonts w:hint="eastAsia" w:ascii="仿宋" w:hAnsi="仿宋" w:eastAsia="仿宋" w:cs="仿宋_GB2312"/>
          <w:b/>
          <w:sz w:val="24"/>
          <w:szCs w:val="22"/>
        </w:rPr>
      </w:pPr>
    </w:p>
    <w:p>
      <w:pPr>
        <w:rPr>
          <w:rFonts w:hint="eastAsia" w:ascii="仿宋" w:hAnsi="仿宋" w:eastAsia="仿宋" w:cs="仿宋_GB2312"/>
          <w:b/>
          <w:sz w:val="24"/>
          <w:szCs w:val="22"/>
        </w:rPr>
      </w:pPr>
    </w:p>
    <w:p>
      <w:pPr>
        <w:rPr>
          <w:rFonts w:hint="eastAsia" w:ascii="仿宋" w:hAnsi="仿宋" w:eastAsia="仿宋" w:cs="仿宋_GB2312"/>
          <w:b/>
          <w:sz w:val="24"/>
          <w:szCs w:val="22"/>
        </w:rPr>
      </w:pPr>
    </w:p>
    <w:p>
      <w:pPr>
        <w:rPr>
          <w:rFonts w:hint="eastAsia" w:ascii="仿宋" w:hAnsi="仿宋" w:eastAsia="仿宋" w:cs="仿宋_GB2312"/>
          <w:b/>
          <w:sz w:val="24"/>
          <w:szCs w:val="22"/>
        </w:rPr>
      </w:pPr>
    </w:p>
    <w:p>
      <w:pPr>
        <w:rPr>
          <w:rFonts w:ascii="仿宋" w:hAnsi="仿宋" w:eastAsia="仿宋" w:cs="仿宋_GB2312"/>
          <w:b/>
          <w:sz w:val="24"/>
          <w:szCs w:val="22"/>
        </w:rPr>
      </w:pPr>
      <w:r>
        <w:rPr>
          <w:rFonts w:hint="eastAsia" w:ascii="仿宋" w:hAnsi="仿宋" w:eastAsia="仿宋" w:cs="仿宋_GB2312"/>
          <w:b/>
          <w:sz w:val="24"/>
          <w:szCs w:val="22"/>
        </w:rPr>
        <w:t>6</w:t>
      </w:r>
      <w:r>
        <w:rPr>
          <w:rFonts w:ascii="仿宋" w:hAnsi="仿宋" w:eastAsia="仿宋" w:cs="仿宋_GB2312"/>
          <w:b/>
          <w:sz w:val="24"/>
          <w:szCs w:val="22"/>
        </w:rPr>
        <w:t>-9</w:t>
      </w:r>
      <w:r>
        <w:rPr>
          <w:rFonts w:hint="eastAsia" w:ascii="仿宋" w:hAnsi="仿宋" w:eastAsia="仿宋" w:cs="仿宋_GB2312"/>
          <w:b/>
          <w:sz w:val="24"/>
          <w:szCs w:val="22"/>
        </w:rPr>
        <w:t>小微企业、监狱企业、残疾人福利单位声明函或证明</w:t>
      </w:r>
    </w:p>
    <w:p>
      <w:pPr>
        <w:widowControl/>
        <w:jc w:val="left"/>
        <w:rPr>
          <w:rFonts w:ascii="仿宋_GB2312" w:hAnsi="仿宋_GB2312" w:eastAsia="仿宋_GB2312" w:cs="仿宋_GB2312"/>
          <w:b/>
          <w:bCs/>
          <w:sz w:val="44"/>
          <w:szCs w:val="44"/>
        </w:rPr>
      </w:pPr>
    </w:p>
    <w:p>
      <w:pPr>
        <w:ind w:left="315" w:leftChars="150" w:firstLine="270" w:firstLineChars="150"/>
        <w:rPr>
          <w:rFonts w:ascii="仿宋_GB2312" w:hAnsi="仿宋_GB2312" w:eastAsia="仿宋_GB2312" w:cs="仿宋_GB2312"/>
          <w:kern w:val="0"/>
          <w:sz w:val="18"/>
          <w:szCs w:val="18"/>
        </w:rPr>
      </w:pPr>
    </w:p>
    <w:p>
      <w:pPr>
        <w:jc w:val="center"/>
        <w:outlineLvl w:val="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一、中小企业声明函</w:t>
      </w:r>
    </w:p>
    <w:p>
      <w:pPr>
        <w:jc w:val="center"/>
        <w:rPr>
          <w:rFonts w:hint="default" w:ascii="Times New Roman" w:hAnsi="Times New Roman" w:eastAsia="仿宋" w:cs="Times New Roman"/>
          <w:sz w:val="24"/>
          <w:highlight w:val="none"/>
        </w:rPr>
      </w:pPr>
    </w:p>
    <w:p>
      <w:pPr>
        <w:jc w:val="center"/>
        <w:rPr>
          <w:rFonts w:ascii="仿宋" w:hAnsi="仿宋" w:eastAsia="仿宋" w:cs="仿宋_GB2312"/>
          <w:sz w:val="24"/>
        </w:rPr>
      </w:pPr>
      <w:r>
        <w:rPr>
          <w:rFonts w:hint="eastAsia" w:ascii="仿宋" w:hAnsi="仿宋" w:eastAsia="仿宋" w:cs="仿宋_GB2312"/>
          <w:sz w:val="24"/>
        </w:rPr>
        <w:t>（注：符合中小企业划型标准的企业请提供本函）</w:t>
      </w:r>
    </w:p>
    <w:p>
      <w:pPr>
        <w:snapToGrid w:val="0"/>
        <w:spacing w:before="120" w:beforeLines="50"/>
        <w:ind w:firstLine="480" w:firstLineChars="200"/>
        <w:rPr>
          <w:rFonts w:hint="default" w:ascii="Times New Roman" w:hAnsi="Times New Roman" w:eastAsia="仿宋" w:cs="Times New Roman"/>
          <w:sz w:val="24"/>
          <w:highlight w:val="none"/>
        </w:rPr>
      </w:pP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本公司郑重声明，根据《政府采购促进中小企业发展管理办法》(财库(2020)46号)的规定，本公司参加</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(采购人名称)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(项目名称)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采购活动，服务全部由符合政策要求的中小企业承接。)的具体情况如下：</w:t>
      </w:r>
    </w:p>
    <w:p>
      <w:pPr>
        <w:spacing w:line="560" w:lineRule="exact"/>
        <w:ind w:firstLine="480" w:firstLineChars="200"/>
        <w:rPr>
          <w:rFonts w:hint="default" w:ascii="Times New Roman" w:hAnsi="Times New Roman" w:eastAsia="仿宋" w:cs="Times New Roman"/>
          <w:i/>
          <w:kern w:val="0"/>
          <w:sz w:val="24"/>
          <w:highlight w:val="none"/>
          <w:u w:val="single"/>
          <w:lang w:eastAsia="zh-CN"/>
        </w:rPr>
      </w:pPr>
      <w:r>
        <w:rPr>
          <w:rFonts w:hint="default" w:ascii="Times New Roman" w:hAnsi="Times New Roman" w:eastAsia="仿宋" w:cs="Times New Roman"/>
          <w:i/>
          <w:kern w:val="0"/>
          <w:sz w:val="24"/>
          <w:highlight w:val="none"/>
          <w:u w:val="single"/>
        </w:rPr>
        <w:t xml:space="preserve"> (标的名称) </w:t>
      </w:r>
      <w:r>
        <w:rPr>
          <w:rFonts w:hint="default" w:ascii="Times New Roman" w:hAnsi="Times New Roman" w:eastAsia="仿宋" w:cs="Times New Roman"/>
          <w:kern w:val="0"/>
          <w:sz w:val="24"/>
          <w:highlight w:val="none"/>
        </w:rPr>
        <w:t>，属于</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(采购文件中注明的所属行业)</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；承接企业为</w:t>
      </w:r>
      <w:r>
        <w:rPr>
          <w:rFonts w:hint="default" w:ascii="Times New Roman" w:hAnsi="Times New Roman" w:eastAsia="仿宋" w:cs="Times New Roman"/>
          <w:i/>
          <w:kern w:val="0"/>
          <w:sz w:val="24"/>
          <w:highlight w:val="none"/>
          <w:u w:val="single"/>
        </w:rPr>
        <w:t xml:space="preserve"> (企业名称) </w:t>
      </w:r>
      <w:r>
        <w:rPr>
          <w:rFonts w:hint="default" w:ascii="Times New Roman" w:hAnsi="Times New Roman" w:eastAsia="仿宋" w:cs="Times New Roman"/>
          <w:kern w:val="0"/>
          <w:sz w:val="24"/>
          <w:highlight w:val="none"/>
        </w:rPr>
        <w:t>，从业人员</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人，营业收入为</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万元，资产总额为</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万元，属于</w:t>
      </w:r>
      <w:r>
        <w:rPr>
          <w:rFonts w:hint="default" w:ascii="Times New Roman" w:hAnsi="Times New Roman" w:eastAsia="仿宋" w:cs="Times New Roman"/>
          <w:i/>
          <w:kern w:val="0"/>
          <w:sz w:val="24"/>
          <w:highlight w:val="none"/>
          <w:u w:val="single"/>
        </w:rPr>
        <w:t xml:space="preserve"> (中型企必、小型企业、微型企业)</w:t>
      </w:r>
      <w:r>
        <w:rPr>
          <w:rFonts w:hint="default" w:ascii="Times New Roman" w:hAnsi="Times New Roman" w:eastAsia="仿宋" w:cs="Times New Roman"/>
          <w:i/>
          <w:kern w:val="0"/>
          <w:sz w:val="24"/>
          <w:highlight w:val="none"/>
          <w:u w:val="single"/>
          <w:lang w:eastAsia="zh-CN"/>
        </w:rPr>
        <w:t>；</w:t>
      </w: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本企业对上述声明内容的真实性负责。如有虚假，将依法承担相应责任。</w:t>
      </w:r>
    </w:p>
    <w:p>
      <w:pPr>
        <w:spacing w:line="560" w:lineRule="exact"/>
        <w:ind w:firstLine="3480" w:firstLineChars="14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企业名称(盖章)：</w:t>
      </w:r>
    </w:p>
    <w:p>
      <w:pPr>
        <w:spacing w:line="560" w:lineRule="exact"/>
        <w:ind w:firstLine="3480" w:firstLineChars="14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日期：</w:t>
      </w:r>
    </w:p>
    <w:p>
      <w:pPr>
        <w:pStyle w:val="2"/>
        <w:rPr>
          <w:rFonts w:hint="default" w:ascii="Times New Roman" w:hAnsi="Times New Roman" w:eastAsia="仿宋" w:cs="Times New Roman"/>
          <w:highlight w:val="none"/>
        </w:rPr>
      </w:pPr>
    </w:p>
    <w:p>
      <w:pPr>
        <w:ind w:left="450" w:hanging="450" w:hangingChars="150"/>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kern w:val="0"/>
          <w:sz w:val="30"/>
          <w:szCs w:val="30"/>
          <w:highlight w:val="none"/>
        </w:rPr>
        <w:t xml:space="preserve"> </w:t>
      </w:r>
      <w:r>
        <w:rPr>
          <w:rFonts w:hint="default" w:ascii="Times New Roman" w:hAnsi="Times New Roman" w:eastAsia="仿宋" w:cs="Times New Roman"/>
          <w:kern w:val="0"/>
          <w:sz w:val="30"/>
          <w:szCs w:val="30"/>
          <w:highlight w:val="none"/>
          <w:u w:val="single"/>
        </w:rPr>
        <w:t xml:space="preserve">                                                     </w:t>
      </w:r>
      <w:r>
        <w:rPr>
          <w:rFonts w:hint="default" w:ascii="Times New Roman" w:hAnsi="Times New Roman" w:eastAsia="仿宋" w:cs="Times New Roman"/>
          <w:kern w:val="0"/>
          <w:sz w:val="30"/>
          <w:szCs w:val="30"/>
          <w:highlight w:val="none"/>
        </w:rPr>
        <w:t xml:space="preserve">    </w:t>
      </w:r>
      <w:r>
        <w:rPr>
          <w:rFonts w:hint="default" w:ascii="Times New Roman" w:hAnsi="Times New Roman" w:eastAsia="仿宋" w:cs="Times New Roman"/>
          <w:kern w:val="0"/>
          <w:sz w:val="18"/>
          <w:szCs w:val="18"/>
          <w:highlight w:val="none"/>
        </w:rPr>
        <w:t xml:space="preserve"> </w:t>
      </w:r>
    </w:p>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kern w:val="0"/>
          <w:sz w:val="18"/>
          <w:szCs w:val="18"/>
          <w:highlight w:val="none"/>
        </w:rPr>
        <w:t>（从业人员、营业收入、资产总额填报上一年度数据，无上一年度数据的新成立企业可不填报）</w:t>
      </w:r>
      <w:r>
        <w:rPr>
          <w:rFonts w:hint="default" w:ascii="Times New Roman" w:hAnsi="Times New Roman" w:eastAsia="仿宋" w:cs="Times New Roman"/>
          <w:b/>
          <w:sz w:val="28"/>
          <w:szCs w:val="28"/>
          <w:highlight w:val="none"/>
        </w:rPr>
        <w:br w:type="page"/>
      </w:r>
    </w:p>
    <w:p>
      <w:pPr>
        <w:jc w:val="center"/>
        <w:outlineLvl w:val="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二、监狱企业声明函</w:t>
      </w:r>
    </w:p>
    <w:p>
      <w:pPr>
        <w:spacing w:after="120"/>
        <w:rPr>
          <w:rFonts w:hint="default" w:ascii="Times New Roman" w:hAnsi="Times New Roman" w:eastAsia="仿宋" w:cs="Times New Roman"/>
          <w:highlight w:val="none"/>
        </w:rPr>
      </w:pP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（注：符合条件的监狱企业请提供本函，不符合的不提供本函）</w:t>
      </w:r>
    </w:p>
    <w:p>
      <w:pPr>
        <w:snapToGrid w:val="0"/>
        <w:spacing w:before="120" w:beforeLines="50"/>
        <w:rPr>
          <w:rFonts w:hint="default" w:ascii="Times New Roman" w:hAnsi="Times New Roman" w:eastAsia="仿宋" w:cs="Times New Roman"/>
          <w:sz w:val="24"/>
          <w:highlight w:val="none"/>
        </w:rPr>
      </w:pPr>
    </w:p>
    <w:p>
      <w:pPr>
        <w:widowControl/>
        <w:spacing w:before="100" w:beforeAutospacing="1" w:after="100" w:afterAutospacing="1"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本企业（单位）</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default" w:ascii="Times New Roman" w:hAnsi="Times New Roman" w:eastAsia="仿宋" w:cs="Times New Roman"/>
          <w:b/>
          <w:kern w:val="0"/>
          <w:sz w:val="24"/>
          <w:szCs w:val="20"/>
          <w:highlight w:val="none"/>
        </w:rPr>
      </w:pPr>
      <w:r>
        <w:rPr>
          <w:rFonts w:hint="default" w:ascii="Times New Roman" w:hAnsi="Times New Roman" w:eastAsia="仿宋" w:cs="Times New Roman"/>
          <w:kern w:val="0"/>
          <w:sz w:val="24"/>
          <w:highlight w:val="none"/>
        </w:rPr>
        <w:t>　</w:t>
      </w:r>
      <w:r>
        <w:rPr>
          <w:rFonts w:hint="default" w:ascii="Times New Roman" w:hAnsi="Times New Roman" w:eastAsia="仿宋" w:cs="Times New Roman"/>
          <w:b/>
          <w:kern w:val="0"/>
          <w:sz w:val="24"/>
          <w:szCs w:val="20"/>
          <w:highlight w:val="none"/>
        </w:rPr>
        <w:t>　</w:t>
      </w:r>
    </w:p>
    <w:p>
      <w:pPr>
        <w:spacing w:line="360" w:lineRule="auto"/>
        <w:ind w:firstLine="1920" w:firstLineChars="8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（盖</w:t>
      </w:r>
      <w:r>
        <w:rPr>
          <w:rFonts w:hint="default" w:ascii="Times New Roman" w:hAnsi="Times New Roman" w:eastAsia="仿宋" w:cs="Times New Roman"/>
          <w:sz w:val="24"/>
          <w:highlight w:val="none"/>
          <w:lang w:val="en-US" w:eastAsia="zh-CN"/>
        </w:rPr>
        <w:t>公</w:t>
      </w:r>
      <w:r>
        <w:rPr>
          <w:rFonts w:hint="default" w:ascii="Times New Roman" w:hAnsi="Times New Roman" w:eastAsia="仿宋" w:cs="Times New Roman"/>
          <w:sz w:val="24"/>
          <w:highlight w:val="none"/>
        </w:rPr>
        <w:t>章）：</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lang w:val="en-US" w:eastAsia="zh-CN"/>
        </w:rPr>
        <w:t xml:space="preserve">    </w:t>
      </w:r>
    </w:p>
    <w:p>
      <w:pPr>
        <w:spacing w:line="360" w:lineRule="auto"/>
        <w:ind w:firstLine="1920" w:firstLineChars="8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法定代表人或授权代表（签字</w:t>
      </w:r>
      <w:r>
        <w:rPr>
          <w:rFonts w:hint="default" w:ascii="Times New Roman" w:hAnsi="Times New Roman" w:eastAsia="仿宋" w:cs="Times New Roman"/>
          <w:sz w:val="24"/>
          <w:highlight w:val="none"/>
          <w:lang w:val="en-US" w:eastAsia="zh-CN"/>
        </w:rPr>
        <w:t>或盖章</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p>
    <w:p>
      <w:pPr>
        <w:spacing w:line="360" w:lineRule="auto"/>
        <w:ind w:firstLine="1920" w:firstLineChars="800"/>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32"/>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 w:cs="Times New Roman"/>
          <w:kern w:val="0"/>
          <w:sz w:val="24"/>
          <w:highlight w:val="none"/>
          <w:u w:val="single"/>
        </w:rPr>
      </w:pPr>
    </w:p>
    <w:p>
      <w:pPr>
        <w:rPr>
          <w:rFonts w:hint="default" w:ascii="Times New Roman" w:hAnsi="Times New Roman" w:eastAsia="仿宋" w:cs="Times New Roman"/>
          <w:sz w:val="32"/>
          <w:szCs w:val="32"/>
          <w:highlight w:val="none"/>
        </w:rPr>
      </w:pPr>
    </w:p>
    <w:p>
      <w:pPr>
        <w:rPr>
          <w:rFonts w:hint="default" w:ascii="Times New Roman" w:hAnsi="Times New Roman" w:eastAsia="仿宋" w:cs="Times New Roman"/>
          <w:sz w:val="32"/>
          <w:szCs w:val="32"/>
          <w:highlight w:val="none"/>
        </w:rPr>
      </w:pPr>
    </w:p>
    <w:p>
      <w:pPr>
        <w:jc w:val="center"/>
        <w:outlineLvl w:val="2"/>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仿宋" w:cs="Times New Roman"/>
          <w:b/>
          <w:sz w:val="28"/>
          <w:szCs w:val="28"/>
          <w:highlight w:val="none"/>
        </w:rPr>
        <w:t>三、残疾人福利性单位声明函</w:t>
      </w:r>
    </w:p>
    <w:p>
      <w:pPr>
        <w:spacing w:after="120"/>
        <w:rPr>
          <w:rFonts w:hint="default" w:ascii="Times New Roman" w:hAnsi="Times New Roman" w:eastAsia="仿宋" w:cs="Times New Roman"/>
          <w:highlight w:val="none"/>
        </w:rPr>
      </w:pP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（注：符合条件的残疾人福利性单位请提供本函，不符合的不提供本函）</w:t>
      </w:r>
    </w:p>
    <w:p>
      <w:pPr>
        <w:rPr>
          <w:rFonts w:hint="default" w:ascii="Times New Roman" w:hAnsi="Times New Roman" w:eastAsia="仿宋" w:cs="Times New Roman"/>
          <w:sz w:val="24"/>
          <w:highlight w:val="none"/>
        </w:rPr>
      </w:pPr>
    </w:p>
    <w:p>
      <w:pPr>
        <w:spacing w:line="360" w:lineRule="auto"/>
        <w:rPr>
          <w:rFonts w:hint="default" w:ascii="Times New Roman" w:hAnsi="Times New Roman" w:eastAsia="仿宋" w:cs="Times New Roman"/>
          <w:sz w:val="24"/>
          <w:highlight w:val="none"/>
        </w:rPr>
      </w:pP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本单位对上述声明的真实性负责。如有虚假，将依法承担相应责任。</w:t>
      </w: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rPr>
          <w:rFonts w:hint="default" w:ascii="Times New Roman" w:hAnsi="Times New Roman" w:eastAsia="仿宋" w:cs="Times New Roman"/>
          <w:sz w:val="24"/>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rPr>
          <w:rFonts w:hint="default" w:ascii="Times New Roman" w:hAnsi="Times New Roman" w:eastAsia="仿宋" w:cs="Times New Roman"/>
          <w:sz w:val="24"/>
          <w:highlight w:val="none"/>
        </w:rPr>
      </w:pPr>
    </w:p>
    <w:p>
      <w:pPr>
        <w:ind w:firstLine="3600" w:firstLineChars="15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单位名称（公章）：</w:t>
      </w:r>
    </w:p>
    <w:p>
      <w:pPr>
        <w:rPr>
          <w:rFonts w:hint="default" w:ascii="Times New Roman" w:hAnsi="Times New Roman" w:eastAsia="仿宋" w:cs="Times New Roman"/>
          <w:sz w:val="24"/>
          <w:highlight w:val="none"/>
        </w:rPr>
      </w:pPr>
    </w:p>
    <w:p>
      <w:pPr>
        <w:ind w:firstLine="3600" w:firstLineChars="15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p>
    <w:p>
      <w:pPr>
        <w:rPr>
          <w:rFonts w:hint="default" w:ascii="Times New Roman" w:hAnsi="Times New Roman" w:eastAsia="仿宋" w:cs="Times New Roman"/>
          <w:sz w:val="24"/>
          <w:highlight w:val="none"/>
        </w:rPr>
      </w:pPr>
    </w:p>
    <w:p>
      <w:pPr>
        <w:snapToGrid w:val="0"/>
        <w:spacing w:before="120" w:beforeLines="50"/>
        <w:jc w:val="center"/>
        <w:rPr>
          <w:rFonts w:hint="default" w:ascii="Times New Roman" w:hAnsi="Times New Roman" w:eastAsia="仿宋" w:cs="Times New Roman"/>
          <w:b/>
          <w:sz w:val="24"/>
          <w:szCs w:val="21"/>
          <w:highlight w:val="none"/>
        </w:rPr>
      </w:pPr>
    </w:p>
    <w:p>
      <w:pPr>
        <w:widowControl/>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spacing w:after="120"/>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w:t>
      </w:r>
      <w:r>
        <w:rPr>
          <w:rFonts w:hint="eastAsia" w:eastAsia="仿宋" w:cs="Times New Roman"/>
          <w:b/>
          <w:sz w:val="24"/>
          <w:szCs w:val="22"/>
          <w:highlight w:val="none"/>
          <w:lang w:val="en-US" w:eastAsia="zh-CN"/>
        </w:rPr>
        <w:t>10</w:t>
      </w:r>
      <w:r>
        <w:rPr>
          <w:rFonts w:hint="default" w:ascii="Times New Roman" w:hAnsi="Times New Roman" w:eastAsia="仿宋" w:cs="Times New Roman"/>
          <w:b/>
          <w:kern w:val="2"/>
          <w:sz w:val="24"/>
          <w:szCs w:val="22"/>
          <w:highlight w:val="none"/>
          <w:lang w:eastAsia="zh-CN"/>
        </w:rPr>
        <w:t>供应商须提供有效的《劳务派遣经营许可证》或《人力资源服务许可证》</w:t>
      </w:r>
      <w:r>
        <w:rPr>
          <w:rFonts w:hint="default" w:ascii="Times New Roman" w:hAnsi="Times New Roman" w:eastAsia="仿宋" w:cs="Times New Roman"/>
          <w:b/>
          <w:kern w:val="2"/>
          <w:sz w:val="24"/>
          <w:szCs w:val="22"/>
          <w:highlight w:val="none"/>
          <w:lang w:val="en-US" w:eastAsia="zh-CN"/>
        </w:rPr>
        <w:t>复印件或扫描件加盖单位公章</w:t>
      </w:r>
      <w:r>
        <w:rPr>
          <w:rFonts w:hint="default" w:ascii="Times New Roman" w:hAnsi="Times New Roman" w:eastAsia="仿宋" w:cs="Times New Roman"/>
          <w:b/>
          <w:kern w:val="2"/>
          <w:sz w:val="24"/>
          <w:szCs w:val="22"/>
          <w:highlight w:val="none"/>
          <w:lang w:eastAsia="zh-CN"/>
        </w:rPr>
        <w:t>。</w:t>
      </w:r>
    </w:p>
    <w:p>
      <w:pPr>
        <w:spacing w:after="120"/>
        <w:rPr>
          <w:rFonts w:hint="default" w:ascii="Times New Roman" w:hAnsi="Times New Roman" w:eastAsia="仿宋" w:cs="Times New Roman"/>
          <w:highlight w:val="none"/>
        </w:rPr>
      </w:pPr>
    </w:p>
    <w:p>
      <w:pPr>
        <w:pStyle w:val="63"/>
        <w:rPr>
          <w:rFonts w:hint="default" w:ascii="Times New Roman" w:hAnsi="Times New Roman" w:eastAsia="仿宋" w:cs="Times New Roman"/>
          <w:highlight w:val="none"/>
        </w:rPr>
      </w:pPr>
    </w:p>
    <w:p>
      <w:pPr>
        <w:pStyle w:val="63"/>
        <w:rPr>
          <w:rFonts w:hint="default" w:ascii="Times New Roman" w:hAnsi="Times New Roman" w:eastAsia="仿宋" w:cs="Times New Roman"/>
          <w:highlight w:val="none"/>
        </w:rPr>
      </w:pPr>
    </w:p>
    <w:p>
      <w:pPr>
        <w:autoSpaceDE w:val="0"/>
        <w:autoSpaceDN w:val="0"/>
        <w:adjustRightInd w:val="0"/>
        <w:jc w:val="center"/>
        <w:rPr>
          <w:rFonts w:hint="default" w:ascii="Times New Roman" w:hAnsi="Times New Roman" w:eastAsia="仿宋" w:cs="Times New Roman"/>
          <w:b/>
          <w:kern w:val="0"/>
          <w:sz w:val="28"/>
          <w:szCs w:val="28"/>
          <w:highlight w:val="none"/>
        </w:rPr>
      </w:pPr>
    </w:p>
    <w:bookmarkEnd w:id="587"/>
    <w:bookmarkEnd w:id="588"/>
    <w:bookmarkEnd w:id="589"/>
    <w:bookmarkEnd w:id="590"/>
    <w:p>
      <w:pPr>
        <w:pStyle w:val="46"/>
        <w:jc w:val="right"/>
        <w:rPr>
          <w:rFonts w:hint="default" w:ascii="Times New Roman" w:hAnsi="Times New Roman" w:eastAsia="仿宋" w:cs="Times New Roman"/>
          <w:highlight w:val="none"/>
          <w:lang w:val="zh-CN"/>
        </w:rPr>
      </w:pPr>
      <w:bookmarkStart w:id="598" w:name="_Toc21450"/>
      <w:bookmarkStart w:id="599" w:name="_Toc12747"/>
      <w:bookmarkStart w:id="600" w:name="_Toc63697172"/>
      <w:bookmarkStart w:id="601" w:name="_Toc15065"/>
      <w:bookmarkStart w:id="602" w:name="_Toc20155"/>
      <w:bookmarkStart w:id="603" w:name="_Toc11108"/>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rPr>
          <w:rFonts w:hint="default" w:ascii="Times New Roman" w:hAnsi="Times New Roman" w:eastAsia="仿宋" w:cs="Times New Roman"/>
          <w:highlight w:val="none"/>
          <w:lang w:val="zh-CN"/>
        </w:rPr>
      </w:pPr>
    </w:p>
    <w:p>
      <w:pPr>
        <w:pStyle w:val="2"/>
        <w:rPr>
          <w:rFonts w:hint="default"/>
          <w:lang w:val="zh-CN"/>
        </w:rPr>
      </w:pPr>
    </w:p>
    <w:p>
      <w:pPr>
        <w:pStyle w:val="46"/>
        <w:jc w:val="right"/>
        <w:rPr>
          <w:rFonts w:hint="default" w:ascii="Times New Roman" w:hAnsi="Times New Roman" w:eastAsia="仿宋" w:cs="Times New Roman"/>
          <w:b w:val="0"/>
          <w:bCs w:val="0"/>
          <w:highlight w:val="none"/>
          <w:lang w:val="zh-CN"/>
        </w:rPr>
      </w:pPr>
      <w:bookmarkStart w:id="604" w:name="_Toc4470"/>
      <w:bookmarkStart w:id="605" w:name="_Toc1486"/>
      <w:bookmarkStart w:id="606" w:name="_Toc122"/>
      <w:bookmarkStart w:id="607" w:name="_Toc28518"/>
      <w:bookmarkStart w:id="608" w:name="_Toc23806"/>
      <w:bookmarkStart w:id="609" w:name="_Toc24896"/>
      <w:bookmarkStart w:id="610" w:name="_Toc10838"/>
      <w:r>
        <w:rPr>
          <w:rFonts w:hint="default" w:ascii="Times New Roman" w:hAnsi="Times New Roman" w:eastAsia="仿宋" w:cs="Times New Roman"/>
          <w:highlight w:val="none"/>
          <w:lang w:val="zh-CN"/>
        </w:rPr>
        <w:t>正本/副本</w:t>
      </w:r>
      <w:bookmarkEnd w:id="604"/>
      <w:bookmarkEnd w:id="605"/>
      <w:bookmarkEnd w:id="606"/>
      <w:bookmarkEnd w:id="607"/>
      <w:bookmarkEnd w:id="608"/>
      <w:bookmarkEnd w:id="609"/>
      <w:bookmarkEnd w:id="610"/>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611" w:name="_Toc21729"/>
      <w:bookmarkStart w:id="612" w:name="_Toc9115"/>
      <w:bookmarkStart w:id="613" w:name="_Toc25053"/>
      <w:bookmarkStart w:id="614" w:name="_Toc26758"/>
      <w:bookmarkStart w:id="615" w:name="_Toc32591"/>
      <w:bookmarkStart w:id="616" w:name="_Toc26197"/>
      <w:bookmarkStart w:id="617" w:name="_Toc8521"/>
      <w:r>
        <w:rPr>
          <w:rFonts w:hint="default" w:ascii="Times New Roman" w:hAnsi="Times New Roman" w:eastAsia="仿宋" w:cs="Times New Roman"/>
          <w:b/>
          <w:bCs/>
          <w:sz w:val="32"/>
          <w:szCs w:val="32"/>
          <w:highlight w:val="none"/>
          <w:lang w:val="zh-CN"/>
        </w:rPr>
        <w:t>政府采购项目</w:t>
      </w:r>
      <w:bookmarkEnd w:id="611"/>
      <w:bookmarkEnd w:id="612"/>
      <w:bookmarkEnd w:id="613"/>
      <w:bookmarkEnd w:id="614"/>
      <w:bookmarkEnd w:id="615"/>
      <w:bookmarkEnd w:id="616"/>
      <w:bookmarkEnd w:id="617"/>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618" w:name="_Toc29597"/>
      <w:bookmarkStart w:id="619" w:name="_Toc19839"/>
      <w:bookmarkStart w:id="620" w:name="_Toc300"/>
      <w:bookmarkStart w:id="621" w:name="_Toc30125"/>
      <w:bookmarkStart w:id="622" w:name="_Toc14842"/>
      <w:bookmarkStart w:id="623" w:name="_Toc12775"/>
      <w:bookmarkStart w:id="624" w:name="_Toc11051"/>
      <w:r>
        <w:rPr>
          <w:rFonts w:hint="default" w:ascii="Times New Roman" w:hAnsi="Times New Roman" w:eastAsia="仿宋" w:cs="Times New Roman"/>
          <w:b/>
          <w:bCs/>
          <w:sz w:val="32"/>
          <w:szCs w:val="32"/>
          <w:highlight w:val="none"/>
          <w:lang w:val="zh-CN"/>
        </w:rPr>
        <w:t>采购项目编号：</w:t>
      </w:r>
      <w:r>
        <w:rPr>
          <w:rFonts w:hint="default" w:ascii="Times New Roman" w:hAnsi="Times New Roman" w:eastAsia="仿宋" w:cs="Times New Roman"/>
          <w:b/>
          <w:bCs/>
          <w:sz w:val="30"/>
          <w:szCs w:val="30"/>
          <w:highlight w:val="none"/>
          <w:lang w:val="zh-CN"/>
        </w:rPr>
        <w:t>SCZB2023-CS-0479/003（</w:t>
      </w:r>
      <w:r>
        <w:rPr>
          <w:rFonts w:hint="default" w:ascii="Times New Roman" w:hAnsi="Times New Roman" w:eastAsia="仿宋" w:cs="Times New Roman"/>
          <w:b/>
          <w:bCs/>
          <w:sz w:val="30"/>
          <w:szCs w:val="30"/>
          <w:highlight w:val="none"/>
          <w:lang w:val="en-US" w:eastAsia="zh-CN"/>
        </w:rPr>
        <w:t>1</w:t>
      </w:r>
      <w:r>
        <w:rPr>
          <w:rFonts w:hint="default" w:ascii="Times New Roman" w:hAnsi="Times New Roman" w:eastAsia="仿宋" w:cs="Times New Roman"/>
          <w:b/>
          <w:bCs/>
          <w:sz w:val="30"/>
          <w:szCs w:val="30"/>
          <w:highlight w:val="none"/>
          <w:lang w:val="zh-CN"/>
        </w:rPr>
        <w:t>）</w:t>
      </w:r>
      <w:bookmarkEnd w:id="618"/>
      <w:bookmarkEnd w:id="619"/>
      <w:bookmarkEnd w:id="620"/>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40"/>
          <w:szCs w:val="40"/>
          <w:highlight w:val="none"/>
        </w:rPr>
      </w:pPr>
      <w:r>
        <w:rPr>
          <w:rFonts w:hint="default" w:ascii="Times New Roman" w:hAnsi="Times New Roman" w:eastAsia="仿宋" w:cs="Times New Roman"/>
          <w:b/>
          <w:bCs/>
          <w:sz w:val="40"/>
          <w:szCs w:val="40"/>
          <w:highlight w:val="none"/>
        </w:rPr>
        <w:t>陕西省道路运输事业发展中心后勤服务购买项目</w:t>
      </w:r>
    </w:p>
    <w:p>
      <w:pPr>
        <w:tabs>
          <w:tab w:val="left" w:pos="5670"/>
        </w:tabs>
        <w:autoSpaceDE w:val="0"/>
        <w:autoSpaceDN w:val="0"/>
        <w:adjustRightInd w:val="0"/>
        <w:snapToGrid w:val="0"/>
        <w:spacing w:line="360" w:lineRule="auto"/>
        <w:ind w:firstLine="0" w:firstLineChars="0"/>
        <w:jc w:val="center"/>
        <w:rPr>
          <w:rFonts w:hint="default" w:ascii="Times New Roman" w:hAnsi="Times New Roman" w:eastAsia="仿宋" w:cs="Times New Roman"/>
          <w:sz w:val="21"/>
          <w:szCs w:val="24"/>
          <w:highlight w:val="none"/>
          <w:lang w:val="zh-CN"/>
        </w:rPr>
      </w:pPr>
      <w:r>
        <w:rPr>
          <w:rFonts w:hint="default" w:ascii="Times New Roman" w:hAnsi="Times New Roman" w:eastAsia="仿宋" w:cs="Times New Roman"/>
          <w:b/>
          <w:bCs/>
          <w:sz w:val="40"/>
          <w:szCs w:val="40"/>
          <w:highlight w:val="none"/>
        </w:rPr>
        <w:t>（第1包）</w:t>
      </w:r>
    </w:p>
    <w:bookmarkEnd w:id="621"/>
    <w:bookmarkEnd w:id="622"/>
    <w:bookmarkEnd w:id="623"/>
    <w:bookmarkEnd w:id="624"/>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磋商响应文件</w:t>
      </w:r>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b/>
          <w:bCs/>
          <w:sz w:val="32"/>
          <w:szCs w:val="32"/>
          <w:highlight w:val="none"/>
          <w:lang w:val="zh-CN"/>
        </w:rPr>
        <w:t>（商务及技术文件）</w:t>
      </w:r>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u w:val="single"/>
        </w:rPr>
        <w:t xml:space="preserve">           </w:t>
      </w:r>
      <w:r>
        <w:rPr>
          <w:rFonts w:hint="default" w:ascii="Times New Roman" w:hAnsi="Times New Roman" w:eastAsia="仿宋" w:cs="Times New Roman"/>
          <w:b/>
          <w:bCs/>
          <w:sz w:val="32"/>
          <w:szCs w:val="32"/>
          <w:highlight w:val="none"/>
        </w:rPr>
        <w:t xml:space="preserve">   </w:t>
      </w:r>
    </w:p>
    <w:p>
      <w:pPr>
        <w:autoSpaceDE w:val="0"/>
        <w:autoSpaceDN w:val="0"/>
        <w:adjustRightInd w:val="0"/>
        <w:snapToGrid w:val="0"/>
        <w:spacing w:line="360" w:lineRule="auto"/>
        <w:outlineLvl w:val="0"/>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sz w:val="30"/>
          <w:szCs w:val="30"/>
          <w:highlight w:val="none"/>
        </w:rPr>
        <w:t xml:space="preserve">                 </w:t>
      </w:r>
      <w:bookmarkStart w:id="625" w:name="_Toc1540"/>
      <w:bookmarkStart w:id="626" w:name="_Toc2332"/>
      <w:bookmarkStart w:id="627" w:name="_Toc29890"/>
      <w:bookmarkStart w:id="628" w:name="_Toc3497"/>
      <w:bookmarkStart w:id="629" w:name="_Toc5321"/>
      <w:bookmarkStart w:id="630" w:name="_Toc19561"/>
      <w:bookmarkStart w:id="631" w:name="_Toc411"/>
      <w:r>
        <w:rPr>
          <w:rFonts w:hint="default" w:ascii="Times New Roman" w:hAnsi="Times New Roman" w:eastAsia="仿宋" w:cs="Times New Roman"/>
          <w:b/>
          <w:bCs/>
          <w:sz w:val="32"/>
          <w:szCs w:val="32"/>
          <w:highlight w:val="none"/>
          <w:lang w:val="zh-CN"/>
        </w:rPr>
        <w:t>供应商：</w:t>
      </w:r>
      <w:bookmarkEnd w:id="625"/>
      <w:bookmarkEnd w:id="626"/>
      <w:bookmarkEnd w:id="627"/>
      <w:bookmarkEnd w:id="628"/>
      <w:bookmarkEnd w:id="629"/>
      <w:bookmarkEnd w:id="630"/>
      <w:bookmarkEnd w:id="631"/>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u w:val="single"/>
        </w:rPr>
      </w:pPr>
      <w:r>
        <w:rPr>
          <w:rFonts w:hint="default" w:ascii="Times New Roman" w:hAnsi="Times New Roman" w:eastAsia="仿宋" w:cs="Times New Roman"/>
          <w:b/>
          <w:bCs/>
          <w:sz w:val="32"/>
          <w:szCs w:val="32"/>
          <w:highlight w:val="none"/>
          <w:u w:val="single"/>
        </w:rPr>
        <w:t xml:space="preserve">                 </w:t>
      </w:r>
    </w:p>
    <w:p>
      <w:pPr>
        <w:autoSpaceDE w:val="0"/>
        <w:autoSpaceDN w:val="0"/>
        <w:adjustRightInd w:val="0"/>
        <w:snapToGrid w:val="0"/>
        <w:spacing w:line="360" w:lineRule="auto"/>
        <w:ind w:firstLine="2570" w:firstLineChars="800"/>
        <w:outlineLvl w:val="0"/>
        <w:rPr>
          <w:rFonts w:hint="default" w:ascii="Times New Roman" w:hAnsi="Times New Roman" w:eastAsia="仿宋" w:cs="Times New Roman"/>
          <w:b/>
          <w:bCs/>
          <w:sz w:val="32"/>
          <w:szCs w:val="32"/>
          <w:highlight w:val="none"/>
          <w:u w:val="single"/>
        </w:rPr>
      </w:pPr>
      <w:bookmarkStart w:id="632" w:name="_Toc16588"/>
      <w:bookmarkStart w:id="633" w:name="_Toc6125"/>
      <w:bookmarkStart w:id="634" w:name="_Toc20654"/>
      <w:bookmarkStart w:id="635" w:name="_Toc27813"/>
      <w:bookmarkStart w:id="636" w:name="_Toc13364"/>
      <w:bookmarkStart w:id="637" w:name="_Toc30074"/>
      <w:bookmarkStart w:id="638" w:name="_Toc6088"/>
      <w:r>
        <w:rPr>
          <w:rFonts w:hint="default" w:ascii="Times New Roman" w:hAnsi="Times New Roman" w:eastAsia="仿宋" w:cs="Times New Roman"/>
          <w:b/>
          <w:bCs/>
          <w:sz w:val="32"/>
          <w:szCs w:val="32"/>
          <w:highlight w:val="none"/>
          <w:lang w:val="zh-CN"/>
        </w:rPr>
        <w:t>时</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 w:cs="Times New Roman"/>
          <w:b/>
          <w:bCs/>
          <w:sz w:val="32"/>
          <w:szCs w:val="32"/>
          <w:highlight w:val="none"/>
          <w:lang w:val="zh-CN"/>
        </w:rPr>
        <w:t>间：</w:t>
      </w:r>
      <w:bookmarkEnd w:id="632"/>
      <w:bookmarkEnd w:id="633"/>
      <w:bookmarkEnd w:id="634"/>
      <w:bookmarkEnd w:id="635"/>
      <w:bookmarkEnd w:id="636"/>
      <w:bookmarkEnd w:id="637"/>
      <w:bookmarkEnd w:id="638"/>
      <w:r>
        <w:rPr>
          <w:rFonts w:hint="default" w:ascii="Times New Roman" w:hAnsi="Times New Roman" w:eastAsia="仿宋" w:cs="Times New Roman"/>
          <w:b/>
          <w:bCs/>
          <w:sz w:val="32"/>
          <w:szCs w:val="32"/>
          <w:highlight w:val="none"/>
          <w:u w:val="single"/>
        </w:rPr>
        <w:t xml:space="preserve">                   </w:t>
      </w: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4"/>
        <w:jc w:val="center"/>
        <w:rPr>
          <w:rFonts w:hint="default" w:ascii="Times New Roman" w:hAnsi="Times New Roman" w:eastAsia="仿宋" w:cs="Times New Roman"/>
          <w:b/>
          <w:bCs/>
          <w:highlight w:val="none"/>
          <w:lang w:val="zh-CN"/>
        </w:rPr>
      </w:pPr>
      <w:r>
        <w:rPr>
          <w:rFonts w:hint="default" w:ascii="Times New Roman" w:hAnsi="Times New Roman" w:eastAsia="仿宋" w:cs="Times New Roman"/>
          <w:b/>
          <w:bCs/>
          <w:highlight w:val="none"/>
          <w:lang w:val="zh-CN"/>
        </w:rPr>
        <w:t>目  录</w:t>
      </w:r>
    </w:p>
    <w:p>
      <w:pPr>
        <w:spacing w:after="120"/>
        <w:ind w:firstLine="315" w:firstLineChars="150"/>
        <w:rPr>
          <w:rFonts w:hint="default" w:ascii="Times New Roman" w:hAnsi="Times New Roman" w:eastAsia="仿宋" w:cs="Times New Roman"/>
          <w:highlight w:val="none"/>
        </w:rPr>
      </w:pP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第一部分  磋商响应函</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第二部分  磋商响应报价表 </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第三部分  偏离表</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第四部分  响应方案说明</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第五部分  </w:t>
      </w:r>
      <w:r>
        <w:rPr>
          <w:rFonts w:hint="default" w:ascii="Times New Roman" w:hAnsi="Times New Roman" w:eastAsia="仿宋" w:cs="Times New Roman"/>
          <w:b w:val="0"/>
          <w:bCs w:val="0"/>
          <w:sz w:val="28"/>
          <w:szCs w:val="28"/>
          <w:highlight w:val="none"/>
        </w:rPr>
        <w:t>响应承诺书</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第六部分  保证金支付凭证或担保函（复印件）</w:t>
      </w: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rPr>
          <w:rFonts w:hint="default"/>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rPr>
      </w:pPr>
      <w:bookmarkStart w:id="639" w:name="_Toc25244"/>
      <w:bookmarkStart w:id="640" w:name="_Toc21367"/>
      <w:bookmarkStart w:id="641" w:name="_Toc10428"/>
      <w:bookmarkStart w:id="642" w:name="_Toc29253"/>
      <w:bookmarkStart w:id="643" w:name="_Toc31241"/>
      <w:bookmarkStart w:id="644" w:name="_Toc14136"/>
      <w:bookmarkStart w:id="645" w:name="_Toc7150"/>
      <w:r>
        <w:rPr>
          <w:rFonts w:hint="default" w:ascii="Times New Roman" w:hAnsi="Times New Roman" w:eastAsia="仿宋" w:cs="Times New Roman"/>
          <w:sz w:val="28"/>
          <w:szCs w:val="22"/>
          <w:highlight w:val="none"/>
          <w:lang w:val="zh-CN"/>
        </w:rPr>
        <w:t>第一部分</w:t>
      </w:r>
      <w:r>
        <w:rPr>
          <w:rFonts w:hint="default" w:ascii="Times New Roman" w:hAnsi="Times New Roman" w:eastAsia="仿宋" w:cs="Times New Roman"/>
          <w:sz w:val="28"/>
          <w:szCs w:val="22"/>
          <w:highlight w:val="none"/>
        </w:rPr>
        <w:t xml:space="preserve">  </w:t>
      </w:r>
      <w:r>
        <w:rPr>
          <w:rFonts w:hint="default" w:ascii="Times New Roman" w:hAnsi="Times New Roman" w:eastAsia="仿宋" w:cs="Times New Roman"/>
          <w:sz w:val="28"/>
          <w:szCs w:val="22"/>
          <w:highlight w:val="none"/>
          <w:lang w:val="zh-CN"/>
        </w:rPr>
        <w:t>磋商响应函</w:t>
      </w:r>
      <w:bookmarkEnd w:id="598"/>
      <w:bookmarkEnd w:id="599"/>
      <w:bookmarkEnd w:id="600"/>
      <w:bookmarkEnd w:id="601"/>
      <w:bookmarkEnd w:id="602"/>
      <w:bookmarkEnd w:id="603"/>
      <w:bookmarkEnd w:id="639"/>
      <w:bookmarkEnd w:id="640"/>
      <w:bookmarkEnd w:id="641"/>
      <w:bookmarkEnd w:id="642"/>
      <w:bookmarkEnd w:id="643"/>
      <w:bookmarkEnd w:id="644"/>
      <w:bookmarkEnd w:id="645"/>
    </w:p>
    <w:p>
      <w:pPr>
        <w:autoSpaceDE w:val="0"/>
        <w:autoSpaceDN w:val="0"/>
        <w:adjustRightInd w:val="0"/>
        <w:snapToGrid w:val="0"/>
        <w:spacing w:line="312" w:lineRule="auto"/>
        <w:rPr>
          <w:rFonts w:hint="default" w:ascii="Times New Roman" w:hAnsi="Times New Roman" w:eastAsia="仿宋" w:cs="Times New Roman"/>
          <w:b/>
          <w:bCs/>
          <w:sz w:val="24"/>
          <w:highlight w:val="none"/>
          <w:lang w:val="zh-CN"/>
        </w:rPr>
      </w:pPr>
    </w:p>
    <w:p>
      <w:pPr>
        <w:autoSpaceDE w:val="0"/>
        <w:autoSpaceDN w:val="0"/>
        <w:adjustRightInd w:val="0"/>
        <w:snapToGrid w:val="0"/>
        <w:spacing w:line="312" w:lineRule="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val="zh-CN"/>
        </w:rPr>
        <w:t>陕西省采购招标有限责任公司：</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我单位收到贵公司</w:t>
      </w:r>
      <w:r>
        <w:rPr>
          <w:rFonts w:hint="default" w:ascii="Times New Roman" w:hAnsi="Times New Roman" w:eastAsia="仿宋" w:cs="Times New Roman"/>
          <w:sz w:val="24"/>
          <w:highlight w:val="none"/>
          <w:u w:val="single"/>
          <w:lang w:val="zh-CN"/>
        </w:rPr>
        <w:t>（项目名称）</w:t>
      </w:r>
      <w:r>
        <w:rPr>
          <w:rFonts w:hint="default" w:ascii="Times New Roman" w:hAnsi="Times New Roman" w:eastAsia="仿宋" w:cs="Times New Roman"/>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w:t>
      </w:r>
      <w:r>
        <w:rPr>
          <w:rFonts w:hint="default" w:ascii="Times New Roman" w:hAnsi="Times New Roman" w:eastAsia="仿宋" w:cs="Times New Roman"/>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二</w:t>
      </w:r>
      <w:r>
        <w:rPr>
          <w:rFonts w:hint="default" w:ascii="Times New Roman" w:hAnsi="Times New Roman" w:eastAsia="仿宋" w:cs="Times New Roman"/>
          <w:sz w:val="24"/>
          <w:highlight w:val="none"/>
          <w:lang w:val="zh-CN"/>
        </w:rPr>
        <w:t>、按竞争性磋商文件的规定，我公司的首次磋商响应报价为人民币（大写）：</w:t>
      </w:r>
      <w:r>
        <w:rPr>
          <w:rFonts w:hint="default" w:ascii="Times New Roman" w:hAnsi="Times New Roman" w:eastAsia="仿宋" w:cs="Times New Roman"/>
          <w:sz w:val="24"/>
          <w:highlight w:val="none"/>
          <w:u w:val="single"/>
        </w:rPr>
        <w:t xml:space="preserve">  </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元），并对其后的磋商报价负法律责任。</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三</w:t>
      </w:r>
      <w:r>
        <w:rPr>
          <w:rFonts w:hint="default" w:ascii="Times New Roman" w:hAnsi="Times New Roman" w:eastAsia="仿宋" w:cs="Times New Roman"/>
          <w:sz w:val="24"/>
          <w:highlight w:val="none"/>
          <w:lang w:val="zh-CN"/>
        </w:rPr>
        <w:t>、我方提交的响应文件正本一份、副本</w:t>
      </w:r>
      <w:r>
        <w:rPr>
          <w:rFonts w:hint="default" w:ascii="Times New Roman" w:hAnsi="Times New Roman" w:eastAsia="仿宋" w:cs="Times New Roman"/>
          <w:sz w:val="24"/>
          <w:highlight w:val="none"/>
          <w:u w:val="single"/>
          <w:lang w:val="zh-CN"/>
        </w:rPr>
        <w:t xml:space="preserve"> 两 </w:t>
      </w:r>
      <w:r>
        <w:rPr>
          <w:rFonts w:hint="default" w:ascii="Times New Roman" w:hAnsi="Times New Roman" w:eastAsia="仿宋" w:cs="Times New Roman"/>
          <w:sz w:val="24"/>
          <w:highlight w:val="none"/>
          <w:lang w:val="zh-CN"/>
        </w:rPr>
        <w:t>份、电子版</w:t>
      </w:r>
      <w:r>
        <w:rPr>
          <w:rFonts w:hint="default" w:ascii="Times New Roman" w:hAnsi="Times New Roman" w:eastAsia="仿宋" w:cs="Times New Roman"/>
          <w:sz w:val="24"/>
          <w:highlight w:val="none"/>
          <w:u w:val="single"/>
          <w:lang w:val="zh-CN"/>
        </w:rPr>
        <w:t xml:space="preserve"> 一 </w:t>
      </w:r>
      <w:r>
        <w:rPr>
          <w:rFonts w:hint="default" w:ascii="Times New Roman" w:hAnsi="Times New Roman" w:eastAsia="仿宋" w:cs="Times New Roman"/>
          <w:sz w:val="24"/>
          <w:highlight w:val="none"/>
          <w:lang w:val="zh-CN"/>
        </w:rPr>
        <w:t>份。</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四</w:t>
      </w:r>
      <w:r>
        <w:rPr>
          <w:rFonts w:hint="default" w:ascii="Times New Roman" w:hAnsi="Times New Roman" w:eastAsia="仿宋" w:cs="Times New Roman"/>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六</w:t>
      </w:r>
      <w:r>
        <w:rPr>
          <w:rFonts w:hint="default" w:ascii="Times New Roman" w:hAnsi="Times New Roman" w:eastAsia="仿宋" w:cs="Times New Roman"/>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七、我方的响应文件有效期为自磋商之日起</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u w:val="single"/>
        </w:rPr>
        <w:t xml:space="preserve">60 </w:t>
      </w:r>
      <w:r>
        <w:rPr>
          <w:rFonts w:hint="default" w:ascii="Times New Roman" w:hAnsi="Times New Roman" w:eastAsia="仿宋" w:cs="Times New Roman"/>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八</w:t>
      </w:r>
      <w:r>
        <w:rPr>
          <w:rFonts w:hint="default" w:ascii="Times New Roman" w:hAnsi="Times New Roman" w:eastAsia="仿宋" w:cs="Times New Roman"/>
          <w:sz w:val="24"/>
          <w:highlight w:val="none"/>
          <w:lang w:val="zh-CN"/>
        </w:rPr>
        <w:t>、如我方成交：</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九、有关于本响应文件的函电，请按下列地址联系。</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地</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址：</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开户银行：</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帐</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号：</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电</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话：</w:t>
      </w:r>
      <w:r>
        <w:rPr>
          <w:rFonts w:hint="default" w:ascii="Times New Roman" w:hAnsi="Times New Roman" w:eastAsia="仿宋" w:cs="Times New Roman"/>
          <w:sz w:val="24"/>
          <w:highlight w:val="none"/>
        </w:rPr>
        <w:t>_____________________</w:t>
      </w:r>
      <w:r>
        <w:rPr>
          <w:rFonts w:hint="default" w:ascii="Times New Roman" w:hAnsi="Times New Roman" w:eastAsia="仿宋" w:cs="Times New Roman"/>
          <w:sz w:val="24"/>
          <w:highlight w:val="none"/>
          <w:lang w:val="zh-CN"/>
        </w:rPr>
        <w:t>传</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真：</w:t>
      </w:r>
      <w:r>
        <w:rPr>
          <w:rFonts w:hint="default" w:ascii="Times New Roman" w:hAnsi="Times New Roman" w:eastAsia="仿宋" w:cs="Times New Roman"/>
          <w:sz w:val="24"/>
          <w:highlight w:val="none"/>
        </w:rPr>
        <w:t>________________</w:t>
      </w:r>
    </w:p>
    <w:p>
      <w:pPr>
        <w:pStyle w:val="2"/>
        <w:rPr>
          <w:rFonts w:hint="default" w:ascii="Times New Roman" w:hAnsi="Times New Roman" w:eastAsia="仿宋" w:cs="Times New Roman"/>
          <w:highlight w:val="none"/>
        </w:rPr>
      </w:pPr>
    </w:p>
    <w:p>
      <w:pPr>
        <w:autoSpaceDE w:val="0"/>
        <w:autoSpaceDN w:val="0"/>
        <w:adjustRightInd w:val="0"/>
        <w:snapToGrid w:val="0"/>
        <w:spacing w:line="312" w:lineRule="auto"/>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供应商全称（公章）：</w:t>
      </w:r>
    </w:p>
    <w:p>
      <w:pPr>
        <w:pStyle w:val="2"/>
        <w:rPr>
          <w:rFonts w:hint="default" w:ascii="Times New Roman" w:hAnsi="Times New Roman" w:eastAsia="仿宋" w:cs="Times New Roman"/>
          <w:highlight w:val="none"/>
          <w:lang w:val="zh-CN"/>
        </w:rPr>
      </w:pP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法定代表人（或其他组织负责人）或其授权代表人签字或盖章：</w:t>
      </w:r>
      <w:r>
        <w:rPr>
          <w:rFonts w:hint="default" w:ascii="Times New Roman" w:hAnsi="Times New Roman" w:eastAsia="仿宋" w:cs="Times New Roman"/>
          <w:sz w:val="24"/>
          <w:highlight w:val="none"/>
        </w:rPr>
        <w:t>_______________</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_____</w:t>
      </w:r>
      <w:r>
        <w:rPr>
          <w:rFonts w:hint="default" w:ascii="Times New Roman" w:hAnsi="Times New Roman" w:eastAsia="仿宋" w:cs="Times New Roman"/>
          <w:sz w:val="24"/>
          <w:highlight w:val="none"/>
          <w:lang w:val="zh-CN"/>
        </w:rPr>
        <w:t>年</w:t>
      </w:r>
      <w:r>
        <w:rPr>
          <w:rFonts w:hint="default" w:ascii="Times New Roman" w:hAnsi="Times New Roman" w:eastAsia="仿宋" w:cs="Times New Roman"/>
          <w:sz w:val="24"/>
          <w:highlight w:val="none"/>
        </w:rPr>
        <w:t>_____</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rPr>
        <w:t>_____</w:t>
      </w:r>
      <w:r>
        <w:rPr>
          <w:rFonts w:hint="default" w:ascii="Times New Roman" w:hAnsi="Times New Roman" w:eastAsia="仿宋" w:cs="Times New Roman"/>
          <w:sz w:val="24"/>
          <w:highlight w:val="none"/>
          <w:lang w:val="zh-CN"/>
        </w:rPr>
        <w:t>日</w:t>
      </w:r>
    </w:p>
    <w:p>
      <w:pPr>
        <w:pStyle w:val="2"/>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b w:val="0"/>
          <w:bCs w:val="0"/>
          <w:szCs w:val="32"/>
          <w:highlight w:val="none"/>
        </w:rPr>
      </w:pPr>
      <w:bookmarkStart w:id="646" w:name="_Hlt520356241"/>
      <w:bookmarkEnd w:id="646"/>
      <w:bookmarkStart w:id="647" w:name="_Toc3870"/>
      <w:bookmarkStart w:id="648" w:name="_Toc29603"/>
      <w:bookmarkStart w:id="649" w:name="_Toc32679"/>
      <w:bookmarkStart w:id="650" w:name="_Toc30783"/>
      <w:bookmarkStart w:id="651" w:name="_Toc6604"/>
      <w:bookmarkStart w:id="652" w:name="_Toc63697173"/>
      <w:bookmarkStart w:id="653" w:name="_Toc20523"/>
      <w:bookmarkStart w:id="654" w:name="_Toc19657"/>
      <w:bookmarkStart w:id="655" w:name="_Toc3775"/>
      <w:bookmarkStart w:id="656" w:name="_Toc16646"/>
      <w:bookmarkStart w:id="657" w:name="_Toc19056"/>
      <w:bookmarkStart w:id="658" w:name="_Toc2491"/>
      <w:bookmarkStart w:id="659" w:name="_Toc32540"/>
      <w:bookmarkStart w:id="660" w:name="_Toc8496"/>
      <w:bookmarkStart w:id="661" w:name="_Toc256342154"/>
      <w:bookmarkStart w:id="662" w:name="_Toc230583554"/>
      <w:bookmarkStart w:id="663" w:name="_Toc232395224"/>
      <w:bookmarkStart w:id="664" w:name="_Toc232176284"/>
      <w:bookmarkStart w:id="665" w:name="_Toc249515371"/>
      <w:bookmarkStart w:id="666" w:name="_Toc415499901"/>
      <w:bookmarkStart w:id="667" w:name="_Toc249525252"/>
      <w:bookmarkStart w:id="668" w:name="_Toc230013640"/>
      <w:bookmarkStart w:id="669" w:name="_Toc230099805"/>
      <w:r>
        <w:rPr>
          <w:rFonts w:hint="default" w:ascii="Times New Roman" w:hAnsi="Times New Roman" w:eastAsia="仿宋" w:cs="Times New Roman"/>
          <w:sz w:val="28"/>
          <w:szCs w:val="22"/>
          <w:highlight w:val="none"/>
          <w:lang w:val="zh-CN"/>
        </w:rPr>
        <w:t>第二部分  磋商响应报价表</w:t>
      </w:r>
      <w:bookmarkEnd w:id="647"/>
      <w:bookmarkEnd w:id="648"/>
      <w:bookmarkEnd w:id="649"/>
      <w:bookmarkEnd w:id="650"/>
      <w:bookmarkEnd w:id="651"/>
      <w:bookmarkEnd w:id="652"/>
      <w:bookmarkEnd w:id="653"/>
      <w:bookmarkEnd w:id="654"/>
      <w:bookmarkEnd w:id="655"/>
      <w:bookmarkEnd w:id="656"/>
      <w:bookmarkEnd w:id="657"/>
      <w:bookmarkEnd w:id="658"/>
      <w:bookmarkEnd w:id="659"/>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首次响应</w:t>
      </w:r>
      <w:r>
        <w:rPr>
          <w:rFonts w:hint="default" w:ascii="Times New Roman" w:hAnsi="Times New Roman" w:eastAsia="仿宋" w:cs="Times New Roman"/>
          <w:b/>
          <w:bCs/>
          <w:sz w:val="28"/>
          <w:szCs w:val="28"/>
          <w:highlight w:val="none"/>
          <w:lang w:val="zh-CN"/>
        </w:rPr>
        <w:t>报价表</w:t>
      </w:r>
    </w:p>
    <w:p>
      <w:pPr>
        <w:autoSpaceDE w:val="0"/>
        <w:autoSpaceDN w:val="0"/>
        <w:adjustRightInd w:val="0"/>
        <w:snapToGrid w:val="0"/>
        <w:spacing w:line="360" w:lineRule="auto"/>
        <w:jc w:val="right"/>
        <w:rPr>
          <w:rFonts w:hint="default" w:ascii="Times New Roman" w:hAnsi="Times New Roman" w:eastAsia="仿宋" w:cs="Times New Roman"/>
          <w:sz w:val="24"/>
          <w:highlight w:val="none"/>
          <w:lang w:val="zh-CN"/>
        </w:rPr>
      </w:pPr>
      <w:r>
        <w:rPr>
          <w:rFonts w:hint="default" w:ascii="Times New Roman" w:hAnsi="Times New Roman" w:eastAsia="仿宋" w:cs="Times New Roman"/>
          <w:sz w:val="32"/>
          <w:szCs w:val="32"/>
          <w:highlight w:val="none"/>
        </w:rPr>
        <w:t xml:space="preserve">    </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8"/>
        <w:gridCol w:w="7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lang w:val="zh-CN"/>
              </w:rPr>
              <w:br w:type="page"/>
            </w:r>
            <w:r>
              <w:rPr>
                <w:rFonts w:hint="default" w:ascii="Times New Roman" w:hAnsi="Times New Roman" w:eastAsia="仿宋" w:cs="Times New Roman"/>
                <w:b/>
                <w:sz w:val="24"/>
                <w:highlight w:val="none"/>
              </w:rPr>
              <w:t>项目编号及</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项目名称</w:t>
            </w:r>
          </w:p>
        </w:tc>
        <w:tc>
          <w:tcPr>
            <w:tcW w:w="7341" w:type="dxa"/>
            <w:vAlign w:val="center"/>
          </w:tcPr>
          <w:p>
            <w:pPr>
              <w:pStyle w:val="2"/>
              <w:rPr>
                <w:rFonts w:hint="default" w:ascii="Times New Roman" w:hAnsi="Times New Roman" w:eastAsia="仿宋" w:cs="Times New Roman"/>
                <w:sz w:val="24"/>
                <w:highlight w:val="none"/>
                <w:u w:val="none"/>
              </w:rPr>
            </w:pPr>
            <w:r>
              <w:rPr>
                <w:rFonts w:hint="default" w:ascii="Times New Roman" w:hAnsi="Times New Roman" w:eastAsia="仿宋" w:cs="Times New Roman"/>
                <w:sz w:val="24"/>
                <w:highlight w:val="none"/>
              </w:rPr>
              <w:t>项目编号：SCZB2023-CS-0479/003</w:t>
            </w:r>
            <w:r>
              <w:rPr>
                <w:rFonts w:hint="default" w:ascii="Times New Roman" w:hAnsi="Times New Roman" w:eastAsia="仿宋" w:cs="Times New Roman"/>
                <w:b w:val="0"/>
                <w:bCs w:val="0"/>
                <w:sz w:val="24"/>
                <w:szCs w:val="24"/>
                <w:highlight w:val="none"/>
                <w:lang w:val="zh-CN"/>
              </w:rPr>
              <w:t>（</w:t>
            </w:r>
            <w:r>
              <w:rPr>
                <w:rFonts w:hint="default" w:ascii="Times New Roman" w:hAnsi="Times New Roman" w:eastAsia="仿宋" w:cs="Times New Roman"/>
                <w:b w:val="0"/>
                <w:bCs w:val="0"/>
                <w:sz w:val="24"/>
                <w:szCs w:val="24"/>
                <w:highlight w:val="none"/>
                <w:lang w:val="en-US" w:eastAsia="zh-CN"/>
              </w:rPr>
              <w:t>1</w:t>
            </w:r>
            <w:r>
              <w:rPr>
                <w:rFonts w:hint="default" w:ascii="Times New Roman" w:hAnsi="Times New Roman" w:eastAsia="仿宋" w:cs="Times New Roman"/>
                <w:b w:val="0"/>
                <w:bCs w:val="0"/>
                <w:sz w:val="24"/>
                <w:szCs w:val="24"/>
                <w:highlight w:val="none"/>
                <w:lang w:val="zh-CN"/>
              </w:rPr>
              <w:t>）</w:t>
            </w:r>
            <w:r>
              <w:rPr>
                <w:rFonts w:hint="default" w:ascii="Times New Roman" w:hAnsi="Times New Roman" w:eastAsia="仿宋" w:cs="Times New Roman"/>
                <w:sz w:val="24"/>
                <w:highlight w:val="none"/>
                <w:u w:val="none"/>
              </w:rPr>
              <w:t xml:space="preserve">        </w:t>
            </w:r>
          </w:p>
          <w:p>
            <w:pPr>
              <w:pStyle w:val="2"/>
              <w:rPr>
                <w:rFonts w:hint="default" w:ascii="Times New Roman" w:hAnsi="Times New Roman" w:eastAsia="仿宋" w:cs="Times New Roman"/>
                <w:sz w:val="24"/>
                <w:highlight w:val="none"/>
                <w:u w:val="none"/>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lang w:eastAsia="zh-CN"/>
              </w:rPr>
              <w:t>陕西省道路运输事业发展中心后勤服务购买项目（第1包）</w:t>
            </w:r>
            <w:r>
              <w:rPr>
                <w:rFonts w:hint="default" w:ascii="Times New Roman" w:hAnsi="Times New Roman" w:eastAsia="仿宋" w:cs="Times New Roman"/>
                <w:sz w:val="24"/>
                <w:highlight w:val="none"/>
                <w:u w:val="none"/>
              </w:rPr>
              <w:t xml:space="preserve"> </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响应总报价</w:t>
            </w:r>
          </w:p>
        </w:tc>
        <w:tc>
          <w:tcPr>
            <w:tcW w:w="7341" w:type="dxa"/>
            <w:vAlign w:val="center"/>
          </w:tcPr>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人民币（大写）：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（小写：¥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其中包含：</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人员工资：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r>
              <w:rPr>
                <w:rFonts w:hint="default" w:ascii="Times New Roman" w:hAnsi="Times New Roman" w:eastAsia="仿宋" w:cs="Times New Roman"/>
                <w:sz w:val="24"/>
                <w:highlight w:val="none"/>
                <w:lang w:val="en-US" w:eastAsia="zh-CN"/>
              </w:rPr>
              <w:t>；</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管理费：</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r>
              <w:rPr>
                <w:rFonts w:hint="default" w:ascii="Times New Roman" w:hAnsi="Times New Roman" w:eastAsia="仿宋" w:cs="Times New Roman"/>
                <w:sz w:val="24"/>
                <w:highlight w:val="none"/>
                <w:lang w:val="en-US" w:eastAsia="zh-CN"/>
              </w:rPr>
              <w:t>；</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保险及其他费用：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服务期</w:t>
            </w:r>
          </w:p>
        </w:tc>
        <w:tc>
          <w:tcPr>
            <w:tcW w:w="7341"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服务地点</w:t>
            </w:r>
          </w:p>
        </w:tc>
        <w:tc>
          <w:tcPr>
            <w:tcW w:w="7341"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其他声明</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（如有）</w:t>
            </w:r>
          </w:p>
        </w:tc>
        <w:tc>
          <w:tcPr>
            <w:tcW w:w="7341" w:type="dxa"/>
            <w:vAlign w:val="center"/>
          </w:tcPr>
          <w:p>
            <w:pPr>
              <w:pStyle w:val="2"/>
              <w:rPr>
                <w:rFonts w:hint="default" w:ascii="Times New Roman" w:hAnsi="Times New Roman" w:eastAsia="仿宋" w:cs="Times New Roman"/>
                <w:sz w:val="24"/>
                <w:highlight w:val="none"/>
              </w:rPr>
            </w:pPr>
          </w:p>
        </w:tc>
      </w:tr>
    </w:tbl>
    <w:p>
      <w:pPr>
        <w:pStyle w:val="2"/>
        <w:rPr>
          <w:rFonts w:hint="default" w:ascii="Times New Roman" w:hAnsi="Times New Roman" w:eastAsia="仿宋" w:cs="Times New Roman"/>
          <w:b/>
          <w:bCs/>
          <w:sz w:val="22"/>
          <w:szCs w:val="28"/>
          <w:highlight w:val="none"/>
          <w:lang w:val="en-US" w:eastAsia="zh-CN"/>
        </w:rPr>
      </w:pPr>
      <w:r>
        <w:rPr>
          <w:rFonts w:hint="default" w:ascii="Times New Roman" w:hAnsi="Times New Roman" w:eastAsia="仿宋" w:cs="Times New Roman"/>
          <w:b/>
          <w:bCs/>
          <w:sz w:val="22"/>
          <w:szCs w:val="28"/>
          <w:highlight w:val="none"/>
          <w:lang w:val="en-US" w:eastAsia="zh-CN"/>
        </w:rPr>
        <w:t>注：</w:t>
      </w:r>
      <w:r>
        <w:rPr>
          <w:rFonts w:hint="default" w:ascii="Times New Roman" w:hAnsi="Times New Roman" w:eastAsia="仿宋" w:cs="Times New Roman"/>
          <w:b/>
          <w:bCs/>
          <w:sz w:val="22"/>
          <w:szCs w:val="28"/>
          <w:highlight w:val="none"/>
        </w:rPr>
        <w:t>响应总报价</w:t>
      </w:r>
      <w:r>
        <w:rPr>
          <w:rFonts w:hint="default" w:ascii="Times New Roman" w:hAnsi="Times New Roman" w:eastAsia="仿宋" w:cs="Times New Roman"/>
          <w:b/>
          <w:bCs/>
          <w:sz w:val="22"/>
          <w:szCs w:val="28"/>
          <w:highlight w:val="none"/>
          <w:lang w:val="en-US" w:eastAsia="zh-CN"/>
        </w:rPr>
        <w:t>中应包含工会食堂补助330元/人，由员工入职后上交甲方工会，供应商报价时应自行考虑。</w:t>
      </w:r>
    </w:p>
    <w:p>
      <w:pPr>
        <w:autoSpaceDE w:val="0"/>
        <w:autoSpaceDN w:val="0"/>
        <w:adjustRightInd w:val="0"/>
        <w:snapToGrid w:val="0"/>
        <w:spacing w:line="360" w:lineRule="auto"/>
        <w:ind w:firstLine="0" w:firstLineChars="0"/>
        <w:rPr>
          <w:rFonts w:hint="default" w:ascii="Times New Roman" w:hAnsi="Times New Roman" w:eastAsia="仿宋" w:cs="Times New Roman"/>
          <w:sz w:val="24"/>
          <w:highlight w:val="none"/>
          <w:lang w:val="en-US" w:eastAsia="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lang w:val="zh-CN"/>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lang w:val="zh-CN"/>
        </w:rPr>
      </w:pPr>
      <w:r>
        <w:rPr>
          <w:rFonts w:hint="default" w:ascii="Times New Roman" w:hAnsi="Times New Roman" w:eastAsia="仿宋" w:cs="Times New Roman"/>
          <w:b/>
          <w:bCs/>
          <w:sz w:val="28"/>
          <w:szCs w:val="28"/>
          <w:highlight w:val="none"/>
        </w:rPr>
        <w:t>首次</w:t>
      </w:r>
      <w:r>
        <w:rPr>
          <w:rFonts w:hint="default" w:ascii="Times New Roman" w:hAnsi="Times New Roman" w:eastAsia="仿宋" w:cs="Times New Roman"/>
          <w:b/>
          <w:bCs/>
          <w:sz w:val="28"/>
          <w:szCs w:val="28"/>
          <w:highlight w:val="none"/>
          <w:lang w:val="zh-CN"/>
        </w:rPr>
        <w:t>报价明细表</w:t>
      </w:r>
    </w:p>
    <w:p>
      <w:pPr>
        <w:pStyle w:val="64"/>
        <w:ind w:firstLine="0" w:firstLineChars="0"/>
        <w:jc w:val="center"/>
        <w:rPr>
          <w:rFonts w:hint="default" w:ascii="Times New Roman" w:hAnsi="Times New Roman" w:eastAsia="仿宋" w:cs="Times New Roman"/>
          <w:highlight w:val="none"/>
          <w:lang w:val="zh-CN"/>
        </w:rPr>
      </w:pPr>
    </w:p>
    <w:p>
      <w:pPr>
        <w:pStyle w:val="64"/>
        <w:ind w:firstLine="0" w:firstLineChars="0"/>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格式自拟</w:t>
      </w:r>
    </w:p>
    <w:p>
      <w:pPr>
        <w:adjustRightInd w:val="0"/>
        <w:snapToGrid w:val="0"/>
        <w:spacing w:line="360" w:lineRule="auto"/>
        <w:jc w:val="center"/>
        <w:rPr>
          <w:rFonts w:hint="default" w:ascii="Times New Roman" w:hAnsi="Times New Roman" w:eastAsia="仿宋" w:cs="Times New Roman"/>
          <w:b/>
          <w:sz w:val="42"/>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lang w:val="zh-CN"/>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64"/>
        <w:rPr>
          <w:rFonts w:hint="default" w:ascii="Times New Roman" w:hAnsi="Times New Roman" w:eastAsia="仿宋" w:cs="Times New Roman"/>
          <w:highlight w:val="none"/>
        </w:rPr>
        <w:sectPr>
          <w:footerReference r:id="rId12" w:type="default"/>
          <w:pgSz w:w="11906" w:h="16838"/>
          <w:pgMar w:top="1418" w:right="1417" w:bottom="1418" w:left="1417" w:header="851" w:footer="992" w:gutter="0"/>
          <w:pgNumType w:fmt="decimal"/>
          <w:cols w:space="720" w:num="1"/>
          <w:docGrid w:linePitch="312" w:charSpace="0"/>
        </w:sectPr>
      </w:pP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660"/>
    <w:bookmarkEnd w:id="661"/>
    <w:bookmarkEnd w:id="662"/>
    <w:bookmarkEnd w:id="663"/>
    <w:bookmarkEnd w:id="664"/>
    <w:bookmarkEnd w:id="665"/>
    <w:bookmarkEnd w:id="666"/>
    <w:bookmarkEnd w:id="667"/>
    <w:bookmarkEnd w:id="668"/>
    <w:bookmarkEnd w:id="669"/>
    <w:p>
      <w:pPr>
        <w:pStyle w:val="79"/>
        <w:spacing w:before="24" w:after="24"/>
        <w:jc w:val="center"/>
        <w:outlineLvl w:val="0"/>
        <w:rPr>
          <w:rFonts w:hint="default" w:ascii="Times New Roman" w:hAnsi="Times New Roman" w:eastAsia="仿宋" w:cs="Times New Roman"/>
          <w:highlight w:val="none"/>
        </w:rPr>
      </w:pPr>
      <w:bookmarkStart w:id="670" w:name="_Toc26433"/>
      <w:bookmarkStart w:id="671" w:name="_Toc3247"/>
      <w:bookmarkStart w:id="672" w:name="_Toc4528"/>
      <w:bookmarkStart w:id="673" w:name="_Toc63697174"/>
      <w:bookmarkStart w:id="674" w:name="_Toc22015"/>
      <w:bookmarkStart w:id="675" w:name="_Toc2860"/>
      <w:bookmarkStart w:id="676" w:name="_Toc30426"/>
      <w:bookmarkStart w:id="677" w:name="_Toc13861"/>
      <w:bookmarkStart w:id="678" w:name="_Toc15512"/>
      <w:bookmarkStart w:id="679" w:name="_Toc21508"/>
      <w:bookmarkStart w:id="680" w:name="_Toc28785"/>
      <w:bookmarkStart w:id="681" w:name="_Toc23426"/>
      <w:bookmarkStart w:id="682" w:name="_Toc14462"/>
      <w:bookmarkStart w:id="683" w:name="_Toc232176285"/>
      <w:bookmarkStart w:id="684" w:name="_Toc500747011"/>
      <w:bookmarkStart w:id="685" w:name="_Toc389620242"/>
      <w:bookmarkStart w:id="686" w:name="_Toc500747234"/>
      <w:bookmarkStart w:id="687" w:name="_Toc177817345"/>
      <w:bookmarkStart w:id="688" w:name="_Toc415499902"/>
      <w:bookmarkStart w:id="689" w:name="_Toc225933091"/>
      <w:bookmarkStart w:id="690" w:name="_Toc496324624"/>
      <w:bookmarkStart w:id="691" w:name="_Toc176882553"/>
      <w:bookmarkStart w:id="692" w:name="_Toc385992402"/>
      <w:bookmarkStart w:id="693" w:name="_Toc83547687"/>
      <w:bookmarkStart w:id="694" w:name="_Toc184043059"/>
      <w:bookmarkStart w:id="695" w:name="_Toc500747107"/>
      <w:bookmarkStart w:id="696" w:name="_Toc503063459"/>
      <w:bookmarkStart w:id="697" w:name="_Toc177189246"/>
      <w:bookmarkStart w:id="698" w:name="_Toc230013641"/>
      <w:bookmarkStart w:id="699" w:name="_Toc249515372"/>
      <w:bookmarkStart w:id="700" w:name="_Toc232395225"/>
      <w:bookmarkStart w:id="701" w:name="_Toc499711088"/>
      <w:bookmarkStart w:id="702" w:name="_Toc249525253"/>
      <w:bookmarkStart w:id="703" w:name="_Toc177995484"/>
      <w:bookmarkStart w:id="704" w:name="_Toc492955460"/>
      <w:bookmarkStart w:id="705" w:name="_Toc230583555"/>
      <w:bookmarkStart w:id="706" w:name="_Toc499711929"/>
      <w:bookmarkStart w:id="707" w:name="_Toc230099806"/>
      <w:bookmarkStart w:id="708" w:name="_Toc53722866"/>
      <w:bookmarkStart w:id="709" w:name="_Toc256342155"/>
      <w:bookmarkStart w:id="710" w:name="_Toc70687203"/>
      <w:r>
        <w:rPr>
          <w:rFonts w:hint="default" w:ascii="Times New Roman" w:hAnsi="Times New Roman" w:eastAsia="仿宋" w:cs="Times New Roman"/>
          <w:highlight w:val="none"/>
        </w:rPr>
        <w:t>第三部分  偏离表</w:t>
      </w:r>
      <w:bookmarkEnd w:id="670"/>
      <w:bookmarkEnd w:id="671"/>
      <w:bookmarkEnd w:id="672"/>
      <w:bookmarkEnd w:id="673"/>
      <w:bookmarkEnd w:id="674"/>
      <w:bookmarkEnd w:id="675"/>
      <w:bookmarkEnd w:id="676"/>
      <w:bookmarkEnd w:id="677"/>
      <w:bookmarkEnd w:id="678"/>
      <w:bookmarkEnd w:id="679"/>
      <w:bookmarkEnd w:id="680"/>
      <w:bookmarkEnd w:id="681"/>
      <w:bookmarkEnd w:id="682"/>
    </w:p>
    <w:p>
      <w:pPr>
        <w:rPr>
          <w:rFonts w:hint="default" w:ascii="Times New Roman" w:hAnsi="Times New Roman" w:eastAsia="仿宋" w:cs="Times New Roman"/>
          <w:highlight w:val="none"/>
        </w:rPr>
      </w:pPr>
    </w:p>
    <w:p>
      <w:pPr>
        <w:autoSpaceDE w:val="0"/>
        <w:autoSpaceDN w:val="0"/>
        <w:adjustRightInd w:val="0"/>
        <w:snapToGrid w:val="0"/>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一、商务、合同条款偏离表</w:t>
      </w:r>
    </w:p>
    <w:p>
      <w:pPr>
        <w:pStyle w:val="28"/>
        <w:ind w:left="645" w:leftChars="307" w:right="560"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项目编号:</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283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磋商文件商务、合同条款</w:t>
            </w:r>
          </w:p>
        </w:tc>
        <w:tc>
          <w:tcPr>
            <w:tcW w:w="1701"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完全响应</w:t>
            </w:r>
          </w:p>
        </w:tc>
        <w:tc>
          <w:tcPr>
            <w:tcW w:w="1417"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有偏离</w:t>
            </w:r>
          </w:p>
        </w:tc>
        <w:tc>
          <w:tcPr>
            <w:tcW w:w="219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jc w:val="center"/>
              <w:rPr>
                <w:rFonts w:hint="default" w:ascii="Times New Roman" w:hAnsi="Times New Roman" w:eastAsia="仿宋" w:cs="Times New Roman"/>
                <w:sz w:val="24"/>
                <w:szCs w:val="24"/>
                <w:highlight w:val="none"/>
              </w:rPr>
            </w:pPr>
          </w:p>
        </w:tc>
        <w:tc>
          <w:tcPr>
            <w:tcW w:w="283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(服务地点)</w:t>
            </w:r>
          </w:p>
        </w:tc>
        <w:tc>
          <w:tcPr>
            <w:tcW w:w="1701" w:type="dxa"/>
            <w:vAlign w:val="center"/>
          </w:tcPr>
          <w:p>
            <w:pPr>
              <w:pStyle w:val="28"/>
              <w:jc w:val="center"/>
              <w:rPr>
                <w:rFonts w:hint="default" w:ascii="Times New Roman" w:hAnsi="Times New Roman" w:eastAsia="仿宋" w:cs="Times New Roman"/>
                <w:sz w:val="24"/>
                <w:szCs w:val="24"/>
                <w:highlight w:val="none"/>
              </w:rPr>
            </w:pPr>
          </w:p>
        </w:tc>
        <w:tc>
          <w:tcPr>
            <w:tcW w:w="1417" w:type="dxa"/>
            <w:vAlign w:val="center"/>
          </w:tcPr>
          <w:p>
            <w:pPr>
              <w:pStyle w:val="28"/>
              <w:jc w:val="center"/>
              <w:rPr>
                <w:rFonts w:hint="default" w:ascii="Times New Roman" w:hAnsi="Times New Roman" w:eastAsia="仿宋" w:cs="Times New Roman"/>
                <w:sz w:val="24"/>
                <w:szCs w:val="24"/>
                <w:highlight w:val="none"/>
              </w:rPr>
            </w:pPr>
          </w:p>
        </w:tc>
        <w:tc>
          <w:tcPr>
            <w:tcW w:w="2195" w:type="dxa"/>
            <w:vAlign w:val="center"/>
          </w:tcPr>
          <w:p>
            <w:pPr>
              <w:pStyle w:val="28"/>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(服务期)</w:t>
            </w:r>
          </w:p>
        </w:tc>
        <w:tc>
          <w:tcPr>
            <w:tcW w:w="1701" w:type="dxa"/>
            <w:vAlign w:val="center"/>
          </w:tcPr>
          <w:p>
            <w:pPr>
              <w:pStyle w:val="28"/>
              <w:ind w:left="1080" w:leftChars="257" w:hanging="540"/>
              <w:jc w:val="center"/>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jc w:val="center"/>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(付款方式)</w:t>
            </w: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w:t>
            </w: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bl>
    <w:p>
      <w:pPr>
        <w:pStyle w:val="28"/>
        <w:ind w:left="1080" w:leftChars="257" w:hanging="540"/>
        <w:rPr>
          <w:rFonts w:hint="default" w:ascii="Times New Roman" w:hAnsi="Times New Roman" w:eastAsia="仿宋" w:cs="Times New Roman"/>
          <w:sz w:val="24"/>
          <w:szCs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spacing w:before="120" w:after="120" w:line="360" w:lineRule="auto"/>
        <w:ind w:firstLine="4320" w:firstLineChars="18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napToGrid w:val="0"/>
        <w:spacing w:after="120" w:afterLines="50"/>
        <w:ind w:left="910" w:leftChars="203" w:hanging="484" w:hangingChars="202"/>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注：</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3、</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4、</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jc w:val="center"/>
        <w:rPr>
          <w:rFonts w:hint="default" w:ascii="Times New Roman" w:hAnsi="Times New Roman" w:eastAsia="仿宋" w:cs="Times New Roman"/>
          <w:b/>
          <w:sz w:val="28"/>
          <w:szCs w:val="28"/>
          <w:highlight w:val="none"/>
        </w:rPr>
      </w:pPr>
      <w:bookmarkStart w:id="711" w:name="_Toc410631184"/>
      <w:bookmarkStart w:id="712" w:name="_Toc416103825"/>
      <w:bookmarkStart w:id="713" w:name="_Toc414445775"/>
      <w:bookmarkStart w:id="714" w:name="_Toc7005136"/>
    </w:p>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二、技术偏离表</w:t>
      </w:r>
      <w:bookmarkEnd w:id="711"/>
      <w:bookmarkEnd w:id="712"/>
      <w:bookmarkEnd w:id="713"/>
      <w:bookmarkEnd w:id="714"/>
    </w:p>
    <w:p>
      <w:pPr>
        <w:spacing w:after="240"/>
        <w:ind w:hanging="119"/>
        <w:rPr>
          <w:rFonts w:hint="default" w:ascii="Times New Roman" w:hAnsi="Times New Roman" w:eastAsia="仿宋" w:cs="Times New Roman"/>
          <w:highlight w:val="none"/>
        </w:rPr>
      </w:pPr>
    </w:p>
    <w:p>
      <w:pPr>
        <w:spacing w:after="240"/>
        <w:ind w:left="105" w:leftChars="50" w:firstLine="360" w:firstLineChars="1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项目编号:</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磋商文件条目号</w:t>
            </w:r>
          </w:p>
        </w:tc>
        <w:tc>
          <w:tcPr>
            <w:tcW w:w="1932"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技术条款要求</w:t>
            </w:r>
          </w:p>
        </w:tc>
        <w:tc>
          <w:tcPr>
            <w:tcW w:w="1236"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完全响应</w:t>
            </w:r>
          </w:p>
        </w:tc>
        <w:tc>
          <w:tcPr>
            <w:tcW w:w="1236"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有偏离</w:t>
            </w:r>
          </w:p>
        </w:tc>
        <w:tc>
          <w:tcPr>
            <w:tcW w:w="2394"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bCs/>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bCs/>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bl>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line="360" w:lineRule="auto"/>
        <w:rPr>
          <w:rFonts w:hint="default" w:ascii="Times New Roman" w:hAnsi="Times New Roman" w:eastAsia="仿宋" w:cs="Times New Roman"/>
          <w:highlight w:val="none"/>
        </w:rPr>
      </w:pPr>
    </w:p>
    <w:p>
      <w:pPr>
        <w:snapToGrid w:val="0"/>
        <w:spacing w:after="120" w:afterLines="50"/>
        <w:ind w:left="850" w:hanging="850" w:hangingChars="405"/>
        <w:rPr>
          <w:rFonts w:hint="default" w:ascii="Times New Roman" w:hAnsi="Times New Roman" w:eastAsia="仿宋" w:cs="Times New Roman"/>
          <w:highlight w:val="none"/>
        </w:rPr>
      </w:pPr>
      <w:r>
        <w:rPr>
          <w:rFonts w:hint="default" w:ascii="Times New Roman" w:hAnsi="Times New Roman" w:eastAsia="仿宋" w:cs="Times New Roman"/>
          <w:highlight w:val="none"/>
        </w:rPr>
        <w:t>注：1.</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3</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4</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default" w:ascii="Times New Roman" w:hAnsi="Times New Roman" w:eastAsia="仿宋" w:cs="Times New Roman"/>
          <w:b/>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sz w:val="24"/>
          <w:highlight w:val="none"/>
        </w:rPr>
      </w:pPr>
      <w:r>
        <w:rPr>
          <w:rFonts w:hint="default" w:ascii="Times New Roman" w:hAnsi="Times New Roman" w:eastAsia="仿宋" w:cs="Times New Roman"/>
          <w:highlight w:val="none"/>
        </w:rPr>
        <w:br w:type="page"/>
      </w:r>
    </w:p>
    <w:p>
      <w:pPr>
        <w:pStyle w:val="79"/>
        <w:spacing w:before="24" w:after="24"/>
        <w:jc w:val="center"/>
        <w:outlineLvl w:val="0"/>
        <w:rPr>
          <w:rFonts w:hint="default" w:ascii="Times New Roman" w:hAnsi="Times New Roman" w:eastAsia="仿宋" w:cs="Times New Roman"/>
          <w:highlight w:val="none"/>
        </w:rPr>
      </w:pPr>
      <w:bookmarkStart w:id="715" w:name="_Toc12431"/>
      <w:bookmarkStart w:id="716" w:name="_Toc19506"/>
      <w:bookmarkStart w:id="717" w:name="_Toc12322"/>
      <w:bookmarkStart w:id="718" w:name="_Toc11279"/>
      <w:bookmarkStart w:id="719" w:name="_Toc24351"/>
      <w:bookmarkStart w:id="720" w:name="_Toc30031"/>
      <w:bookmarkStart w:id="721" w:name="_Toc25005"/>
      <w:bookmarkStart w:id="722" w:name="_Toc26652"/>
      <w:bookmarkStart w:id="723" w:name="_Toc14898"/>
      <w:bookmarkStart w:id="724" w:name="_Toc63697175"/>
      <w:bookmarkStart w:id="725" w:name="_Toc27726"/>
      <w:bookmarkStart w:id="726" w:name="_Toc25800"/>
      <w:bookmarkStart w:id="727" w:name="_Toc2338"/>
      <w:r>
        <w:rPr>
          <w:rFonts w:hint="default" w:ascii="Times New Roman" w:hAnsi="Times New Roman" w:eastAsia="仿宋" w:cs="Times New Roman"/>
          <w:highlight w:val="none"/>
        </w:rPr>
        <w:t>第四部分  响应方案说明</w:t>
      </w:r>
      <w:bookmarkEnd w:id="715"/>
      <w:bookmarkEnd w:id="716"/>
      <w:bookmarkEnd w:id="717"/>
      <w:bookmarkEnd w:id="718"/>
      <w:bookmarkEnd w:id="719"/>
      <w:bookmarkEnd w:id="720"/>
      <w:bookmarkEnd w:id="721"/>
      <w:bookmarkEnd w:id="722"/>
      <w:bookmarkEnd w:id="723"/>
      <w:bookmarkEnd w:id="724"/>
      <w:bookmarkEnd w:id="725"/>
      <w:bookmarkEnd w:id="726"/>
      <w:bookmarkEnd w:id="727"/>
    </w:p>
    <w:p>
      <w:pPr>
        <w:pStyle w:val="2"/>
        <w:rPr>
          <w:rFonts w:hint="default" w:ascii="Times New Roman" w:hAnsi="Times New Roman" w:eastAsia="仿宋" w:cs="Times New Roman"/>
          <w:highlight w:val="none"/>
          <w:lang w:val="zh-CN"/>
        </w:rPr>
      </w:pPr>
    </w:p>
    <w:p>
      <w:pPr>
        <w:autoSpaceDE w:val="0"/>
        <w:autoSpaceDN w:val="0"/>
        <w:adjustRightInd w:val="0"/>
        <w:spacing w:line="360" w:lineRule="auto"/>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（格式自拟，内容需符合评审办法中要求的内容要求）</w:t>
      </w:r>
    </w:p>
    <w:p>
      <w:pPr>
        <w:pStyle w:val="2"/>
        <w:rPr>
          <w:rFonts w:hint="default" w:ascii="Times New Roman" w:hAnsi="Times New Roman" w:eastAsia="仿宋" w:cs="Times New Roman"/>
          <w:highlight w:val="none"/>
          <w:lang w:val="zh-CN"/>
        </w:rPr>
      </w:pPr>
      <w:r>
        <w:rPr>
          <w:rFonts w:hint="default" w:ascii="Times New Roman" w:hAnsi="Times New Roman" w:eastAsia="仿宋" w:cs="Times New Roman"/>
          <w:highlight w:val="none"/>
          <w:lang w:val="zh-CN"/>
        </w:rPr>
        <w:br w:type="page"/>
      </w:r>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Pr>
        <w:pStyle w:val="79"/>
        <w:spacing w:before="24" w:after="24"/>
        <w:ind w:firstLine="3213" w:firstLineChars="1000"/>
        <w:outlineLvl w:val="0"/>
        <w:rPr>
          <w:rFonts w:hint="default" w:ascii="Times New Roman" w:hAnsi="Times New Roman" w:eastAsia="仿宋" w:cs="Times New Roman"/>
          <w:b/>
          <w:sz w:val="32"/>
          <w:szCs w:val="24"/>
          <w:highlight w:val="none"/>
        </w:rPr>
      </w:pPr>
      <w:bookmarkStart w:id="728" w:name="_Toc3802"/>
      <w:bookmarkStart w:id="729" w:name="_Toc10017"/>
      <w:bookmarkStart w:id="730" w:name="_Toc63697176"/>
      <w:bookmarkStart w:id="731" w:name="_Toc14834"/>
      <w:bookmarkStart w:id="732" w:name="_Toc2955"/>
      <w:r>
        <w:rPr>
          <w:rFonts w:hint="default" w:ascii="Times New Roman" w:hAnsi="Times New Roman" w:eastAsia="仿宋" w:cs="Times New Roman"/>
          <w:highlight w:val="none"/>
        </w:rPr>
        <w:t xml:space="preserve">第五部分 </w:t>
      </w:r>
      <w:r>
        <w:rPr>
          <w:rFonts w:ascii="Times New Roman" w:hAnsi="Times New Roman" w:eastAsia="仿宋" w:cs="Times New Roman"/>
          <w:highlight w:val="none"/>
        </w:rPr>
        <w:t xml:space="preserve"> </w:t>
      </w:r>
      <w:r>
        <w:rPr>
          <w:rFonts w:hint="default" w:ascii="Times New Roman" w:hAnsi="Times New Roman" w:eastAsia="仿宋" w:cs="Times New Roman"/>
          <w:b/>
          <w:sz w:val="32"/>
          <w:szCs w:val="24"/>
          <w:highlight w:val="none"/>
        </w:rPr>
        <w:t>响应承诺书</w:t>
      </w:r>
    </w:p>
    <w:p>
      <w:pPr>
        <w:spacing w:line="360" w:lineRule="auto"/>
        <w:rPr>
          <w:rFonts w:hint="default" w:ascii="Times New Roman" w:hAnsi="Times New Roman" w:eastAsia="仿宋" w:cs="Times New Roman"/>
          <w:sz w:val="24"/>
          <w:highlight w:val="none"/>
        </w:rPr>
      </w:pP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我方在此声明，我方以下事项进行承诺：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在本次磋商中我公司无与其他供应商相互串通，或与采购人串通的行为；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在本次磋商中我公司无向采购人或磋商小组成员行贿的手段谋取成交的行为；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 在本次磋商中我公司无出借或借用资质行为、在响应文件中所附资料（业绩、项目负责人资料等）无弄虚作假；</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 我公司没有处于被责令停产、停业、投标资格被取消状态；</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（5）我公司不采用非法手段获取证据进行质疑、投诉，在质疑、投诉过程中不提供虚假情况或进行恶意质疑、投诉。</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特此承诺。</w:t>
      </w:r>
    </w:p>
    <w:p>
      <w:pPr>
        <w:spacing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法定代表人（或负责人）或其授权代表人（签字或盖章）：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widowControl/>
        <w:jc w:val="left"/>
        <w:rPr>
          <w:rFonts w:hint="default" w:ascii="Times New Roman" w:hAnsi="Times New Roman" w:eastAsia="仿宋" w:cs="Times New Roman"/>
          <w:sz w:val="24"/>
          <w:highlight w:val="none"/>
        </w:rPr>
      </w:pPr>
    </w:p>
    <w:p>
      <w:pPr>
        <w:rPr>
          <w:rFonts w:hint="default" w:ascii="Times New Roman" w:hAnsi="Times New Roman" w:eastAsia="仿宋" w:cs="Times New Roman"/>
          <w:sz w:val="24"/>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autoSpaceDE w:val="0"/>
        <w:autoSpaceDN w:val="0"/>
        <w:adjustRightInd w:val="0"/>
        <w:spacing w:line="360" w:lineRule="auto"/>
        <w:jc w:val="center"/>
        <w:rPr>
          <w:rFonts w:hint="default" w:ascii="Times New Roman" w:hAnsi="Times New Roman" w:eastAsia="仿宋" w:cs="Times New Roman"/>
          <w:b/>
          <w:bCs/>
          <w:sz w:val="44"/>
          <w:szCs w:val="44"/>
          <w:highlight w:val="none"/>
          <w:lang w:val="zh-CN"/>
        </w:rPr>
      </w:pPr>
    </w:p>
    <w:p>
      <w:pPr>
        <w:autoSpaceDE w:val="0"/>
        <w:autoSpaceDN w:val="0"/>
        <w:adjustRightInd w:val="0"/>
        <w:snapToGrid w:val="0"/>
        <w:spacing w:line="288" w:lineRule="auto"/>
        <w:jc w:val="left"/>
        <w:rPr>
          <w:rFonts w:hint="default" w:ascii="Times New Roman" w:hAnsi="Times New Roman" w:eastAsia="仿宋" w:cs="Times New Roman"/>
          <w:bCs/>
          <w:sz w:val="44"/>
          <w:szCs w:val="44"/>
          <w:highlight w:val="none"/>
        </w:rPr>
        <w:sectPr>
          <w:pgSz w:w="11906" w:h="16838"/>
          <w:pgMar w:top="1418" w:right="1418" w:bottom="1418" w:left="1418" w:header="851" w:footer="992" w:gutter="0"/>
          <w:pgNumType w:fmt="decimal"/>
          <w:cols w:space="720" w:num="1"/>
          <w:docGrid w:linePitch="312" w:charSpace="0"/>
        </w:sectPr>
      </w:pPr>
    </w:p>
    <w:p>
      <w:pPr>
        <w:pStyle w:val="79"/>
        <w:spacing w:before="24" w:after="24"/>
        <w:jc w:val="center"/>
        <w:outlineLvl w:val="0"/>
        <w:rPr>
          <w:rFonts w:hint="default" w:ascii="Times New Roman" w:hAnsi="Times New Roman" w:eastAsia="仿宋" w:cs="Times New Roman"/>
          <w:highlight w:val="none"/>
        </w:rPr>
      </w:pPr>
      <w:bookmarkStart w:id="733" w:name="_Toc27777"/>
      <w:bookmarkStart w:id="734" w:name="_Toc13533"/>
      <w:bookmarkStart w:id="735" w:name="_Toc18486"/>
      <w:bookmarkStart w:id="736" w:name="_Toc5664"/>
      <w:bookmarkStart w:id="737" w:name="_Toc13557"/>
      <w:bookmarkStart w:id="738" w:name="_Toc15837"/>
      <w:bookmarkStart w:id="739" w:name="_Toc18180"/>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六</w:t>
      </w:r>
      <w:r>
        <w:rPr>
          <w:rFonts w:hint="default" w:ascii="Times New Roman" w:hAnsi="Times New Roman" w:eastAsia="仿宋" w:cs="Times New Roman"/>
          <w:highlight w:val="none"/>
        </w:rPr>
        <w:t xml:space="preserve">部分  </w:t>
      </w:r>
      <w:r>
        <w:rPr>
          <w:rFonts w:hint="default" w:ascii="Times New Roman" w:hAnsi="Times New Roman" w:eastAsia="仿宋" w:cs="Times New Roman"/>
          <w:bCs w:val="0"/>
          <w:kern w:val="0"/>
          <w:szCs w:val="32"/>
          <w:highlight w:val="none"/>
        </w:rPr>
        <w:t>保证金支付凭证或担保函（复印件）</w:t>
      </w:r>
      <w:bookmarkEnd w:id="728"/>
      <w:bookmarkEnd w:id="729"/>
      <w:bookmarkEnd w:id="730"/>
      <w:bookmarkEnd w:id="731"/>
      <w:bookmarkEnd w:id="732"/>
      <w:bookmarkEnd w:id="733"/>
      <w:bookmarkEnd w:id="734"/>
      <w:bookmarkEnd w:id="735"/>
      <w:bookmarkEnd w:id="736"/>
      <w:bookmarkEnd w:id="737"/>
      <w:bookmarkEnd w:id="738"/>
      <w:bookmarkEnd w:id="739"/>
    </w:p>
    <w:p>
      <w:pPr>
        <w:spacing w:after="120"/>
        <w:rPr>
          <w:rFonts w:hint="default" w:ascii="Times New Roman" w:hAnsi="Times New Roman" w:eastAsia="仿宋" w:cs="Times New Roman"/>
          <w:highlight w:val="none"/>
          <w:lang w:val="zh-CN"/>
        </w:rPr>
      </w:pPr>
      <w:r>
        <w:rPr>
          <w:rFonts w:hint="default" w:ascii="Times New Roman" w:hAnsi="Times New Roman" w:eastAsia="仿宋" w:cs="Times New Roman"/>
          <w:highlight w:val="none"/>
          <w:lang w:val="zh-CN"/>
        </w:rPr>
        <w:br w:type="page"/>
      </w:r>
    </w:p>
    <w:p>
      <w:pPr>
        <w:widowControl/>
        <w:snapToGrid w:val="0"/>
        <w:spacing w:before="0" w:beforeAutospacing="0" w:after="0" w:afterAutospacing="0" w:line="360" w:lineRule="auto"/>
        <w:outlineLvl w:val="0"/>
        <w:rPr>
          <w:rFonts w:hint="default" w:ascii="Times New Roman" w:hAnsi="Times New Roman" w:eastAsia="仿宋" w:cs="Times New Roman"/>
          <w:b/>
          <w:bCs/>
          <w:kern w:val="0"/>
          <w:sz w:val="28"/>
          <w:szCs w:val="28"/>
          <w:highlight w:val="none"/>
        </w:rPr>
      </w:pPr>
      <w:bookmarkStart w:id="740" w:name="_Toc11742"/>
      <w:bookmarkStart w:id="741" w:name="_Toc20966"/>
      <w:bookmarkStart w:id="742" w:name="_Toc18694"/>
      <w:bookmarkStart w:id="743" w:name="_Toc3865"/>
      <w:bookmarkStart w:id="744" w:name="_Toc10771"/>
      <w:bookmarkStart w:id="745" w:name="_Toc20865"/>
      <w:bookmarkStart w:id="746" w:name="_Toc8846"/>
      <w:bookmarkStart w:id="747" w:name="_Toc17867"/>
      <w:bookmarkStart w:id="748" w:name="_Toc30428"/>
      <w:bookmarkStart w:id="749" w:name="_Toc5584"/>
      <w:bookmarkStart w:id="750" w:name="_Toc15598"/>
      <w:r>
        <w:rPr>
          <w:rFonts w:hint="default" w:ascii="Times New Roman" w:hAnsi="Times New Roman" w:eastAsia="仿宋" w:cs="Times New Roman"/>
          <w:b/>
          <w:bCs/>
          <w:kern w:val="0"/>
          <w:sz w:val="28"/>
          <w:szCs w:val="28"/>
          <w:highlight w:val="none"/>
        </w:rPr>
        <w:t>附件1</w:t>
      </w:r>
      <w:bookmarkEnd w:id="740"/>
      <w:bookmarkEnd w:id="741"/>
      <w:bookmarkEnd w:id="742"/>
      <w:bookmarkEnd w:id="743"/>
      <w:bookmarkEnd w:id="744"/>
      <w:bookmarkEnd w:id="745"/>
      <w:bookmarkEnd w:id="746"/>
      <w:bookmarkEnd w:id="747"/>
      <w:bookmarkEnd w:id="748"/>
      <w:bookmarkEnd w:id="749"/>
      <w:bookmarkEnd w:id="750"/>
    </w:p>
    <w:p>
      <w:pPr>
        <w:widowControl/>
        <w:snapToGrid w:val="0"/>
        <w:spacing w:before="100" w:beforeAutospacing="1" w:after="100" w:afterAutospacing="1" w:line="480" w:lineRule="exact"/>
        <w:jc w:val="center"/>
        <w:rPr>
          <w:rFonts w:hint="default" w:ascii="Times New Roman" w:hAnsi="Times New Roman" w:eastAsia="仿宋" w:cs="Times New Roman"/>
          <w:b/>
          <w:bCs/>
          <w:kern w:val="0"/>
          <w:sz w:val="28"/>
          <w:szCs w:val="28"/>
          <w:highlight w:val="none"/>
        </w:rPr>
      </w:pPr>
      <w:r>
        <w:rPr>
          <w:rFonts w:hint="default" w:ascii="Times New Roman" w:hAnsi="Times New Roman" w:eastAsia="仿宋" w:cs="Times New Roman"/>
          <w:b/>
          <w:bCs/>
          <w:kern w:val="0"/>
          <w:sz w:val="28"/>
          <w:szCs w:val="28"/>
          <w:highlight w:val="none"/>
        </w:rPr>
        <w:t>磋商响应担保函</w:t>
      </w:r>
    </w:p>
    <w:p>
      <w:pPr>
        <w:snapToGrid w:val="0"/>
        <w:spacing w:line="48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rPr>
        <w:t>（适用于保证金保函，非包含方式不提供）</w:t>
      </w:r>
    </w:p>
    <w:p>
      <w:pPr>
        <w:snapToGrid w:val="0"/>
        <w:spacing w:line="480" w:lineRule="exact"/>
        <w:ind w:right="48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保函编号:</w:t>
      </w:r>
    </w:p>
    <w:p>
      <w:pPr>
        <w:snapToGrid w:val="0"/>
        <w:spacing w:line="48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w:t>
      </w:r>
      <w:r>
        <w:rPr>
          <w:rFonts w:hint="default" w:ascii="Times New Roman" w:hAnsi="Times New Roman" w:eastAsia="仿宋" w:cs="Times New Roman"/>
          <w:sz w:val="24"/>
          <w:highlight w:val="none"/>
          <w:u w:val="single"/>
        </w:rPr>
        <w:t>陕西省采购招标有限责任公司</w:t>
      </w:r>
      <w:r>
        <w:rPr>
          <w:rFonts w:hint="default" w:ascii="Times New Roman" w:hAnsi="Times New Roman" w:eastAsia="仿宋" w:cs="Times New Roman"/>
          <w:sz w:val="24"/>
          <w:highlight w:val="none"/>
        </w:rPr>
        <w:t>(下称受益人)</w:t>
      </w:r>
    </w:p>
    <w:p>
      <w:pPr>
        <w:snapToGrid w:val="0"/>
        <w:spacing w:line="48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鉴于</w:t>
      </w:r>
      <w:r>
        <w:rPr>
          <w:rFonts w:hint="default" w:ascii="Times New Roman" w:hAnsi="Times New Roman" w:eastAsia="仿宋" w:cs="Times New Roman"/>
          <w:sz w:val="24"/>
          <w:highlight w:val="none"/>
          <w:u w:val="single"/>
        </w:rPr>
        <w:t>    </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(下称被保证人)将于</w:t>
      </w:r>
      <w:r>
        <w:rPr>
          <w:rFonts w:hint="default" w:ascii="Times New Roman" w:hAnsi="Times New Roman" w:eastAsia="仿宋" w:cs="Times New Roman"/>
          <w:sz w:val="24"/>
          <w:highlight w:val="none"/>
          <w:u w:val="single"/>
        </w:rPr>
        <w:t>    年 </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月 </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日</w:t>
      </w:r>
      <w:r>
        <w:rPr>
          <w:rFonts w:hint="default" w:ascii="Times New Roman" w:hAnsi="Times New Roman" w:eastAsia="仿宋" w:cs="Times New Roman"/>
          <w:sz w:val="24"/>
          <w:highlight w:val="none"/>
        </w:rPr>
        <w:t>参加贵方竞争性磋商文件编号为</w:t>
      </w:r>
      <w:r>
        <w:rPr>
          <w:rFonts w:hint="default" w:ascii="Times New Roman" w:hAnsi="Times New Roman" w:eastAsia="仿宋" w:cs="Times New Roman"/>
          <w:sz w:val="24"/>
          <w:highlight w:val="none"/>
          <w:u w:val="single"/>
        </w:rPr>
        <w:t> （采购项目编号）</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（项目名称） </w:t>
      </w:r>
      <w:r>
        <w:rPr>
          <w:rFonts w:hint="default" w:ascii="Times New Roman" w:hAnsi="Times New Roman" w:eastAsia="仿宋" w:cs="Times New Roman"/>
          <w:sz w:val="24"/>
          <w:highlight w:val="none"/>
        </w:rPr>
        <w:t>的竞争性磋商,我方接受被保证人的委托,在此向受益人提供不可撤销的磋商保证：</w:t>
      </w:r>
    </w:p>
    <w:p>
      <w:pPr>
        <w:numPr>
          <w:ilvl w:val="0"/>
          <w:numId w:val="13"/>
        </w:numPr>
        <w:snapToGrid w:val="0"/>
        <w:spacing w:line="48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本保证担保的担保金额为</w:t>
      </w:r>
      <w:r>
        <w:rPr>
          <w:rFonts w:hint="default" w:ascii="Times New Roman" w:hAnsi="Times New Roman" w:eastAsia="仿宋" w:cs="Times New Roman"/>
          <w:sz w:val="24"/>
          <w:highlight w:val="none"/>
          <w:u w:val="single"/>
        </w:rPr>
        <w:t>人民币</w:t>
      </w:r>
      <w:r>
        <w:rPr>
          <w:rFonts w:hint="default" w:ascii="Times New Roman" w:hAnsi="Times New Roman" w:eastAsia="仿宋" w:cs="Times New Roman"/>
          <w:sz w:val="24"/>
          <w:highlight w:val="none"/>
        </w:rPr>
        <w:t>(币种</w:t>
      </w:r>
      <w:r>
        <w:rPr>
          <w:rFonts w:hint="default" w:ascii="Times New Roman" w:hAnsi="Times New Roman" w:eastAsia="仿宋" w:cs="Times New Roman"/>
          <w:sz w:val="24"/>
          <w:highlight w:val="none"/>
          <w:u w:val="single"/>
        </w:rPr>
        <w:t>)     </w:t>
      </w:r>
      <w:r>
        <w:rPr>
          <w:rFonts w:hint="default" w:ascii="Times New Roman" w:hAnsi="Times New Roman" w:eastAsia="仿宋" w:cs="Times New Roman"/>
          <w:sz w:val="24"/>
          <w:highlight w:val="none"/>
        </w:rPr>
        <w:t>元(小写)</w:t>
      </w:r>
      <w:r>
        <w:rPr>
          <w:rFonts w:hint="default" w:ascii="Times New Roman" w:hAnsi="Times New Roman" w:eastAsia="仿宋" w:cs="Times New Roman"/>
          <w:sz w:val="24"/>
          <w:highlight w:val="none"/>
          <w:u w:val="single"/>
        </w:rPr>
        <w:t xml:space="preserve">     元整</w:t>
      </w:r>
      <w:r>
        <w:rPr>
          <w:rFonts w:hint="default" w:ascii="Times New Roman" w:hAnsi="Times New Roman" w:eastAsia="仿宋" w:cs="Times New Roman"/>
          <w:sz w:val="24"/>
          <w:highlight w:val="none"/>
        </w:rPr>
        <w:t>(大写）。</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二、本保证担保的保证期间为响应文件的有效期(或延长的有效期),延长有效期无须通知我方。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三、在本保证担保的保证期间内,如果被保证人出现下列情形之一,受益人可以向我方提起索赔：</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1.被保证人在响应文件有效期内撤回其响应文件；</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2.被保证人在响应文件有效期内收到受益人发出的成交通知书后,不能或拒绝按竞争性磋商文件的要求签署合同；</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3.被保证人在有效期内收到受益人发出的成交通知书后,不能或拒绝按竞争性磋商文件的规定提交履约担保；</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4.被保证人成交后未按照竞争性磋商文件规定交纳代理服务费。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四、在本保证担保的保证期间内,我方收到受益人经法定代表人（或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）或其授权委托代理人签字并加盖公章的书面索赔通知后,将不争辩、不挑剔、不可撤销地立即向受益人支付本保证担保的担保金额。</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五、受益人的索赔通知应当说明索赔理由,并必须在本保证担保的保证期间内送达我方。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六、本保证担保项下的权利不得转让。</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七、本保证担保的保证期间届满,或我方已向受益人支付本保证担保的担保金额,我方的保证责任免除。</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八、本保证担保适用中华人民共和国法律。</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九、本保证担保以中文文本为准,涂改无效。</w:t>
      </w:r>
    </w:p>
    <w:p>
      <w:pPr>
        <w:snapToGrid w:val="0"/>
        <w:spacing w:line="480" w:lineRule="exact"/>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保证人(盖章):</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 xml:space="preserve">）或其授权代表人（签字或盖章）：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单位地址:</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电话:</w:t>
      </w:r>
      <w:r>
        <w:rPr>
          <w:rFonts w:hint="default" w:ascii="Times New Roman" w:hAnsi="Times New Roman" w:eastAsia="仿宋" w:cs="Times New Roman"/>
          <w:sz w:val="24"/>
          <w:highlight w:val="none"/>
          <w:u w:val="single"/>
        </w:rPr>
        <w:t xml:space="preserve">     </w:t>
      </w:r>
    </w:p>
    <w:p>
      <w:pPr>
        <w:widowControl/>
        <w:snapToGrid w:val="0"/>
        <w:spacing w:before="100" w:beforeAutospacing="1" w:after="100" w:afterAutospacing="1" w:line="288"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日期:</w:t>
      </w:r>
      <w:r>
        <w:rPr>
          <w:rFonts w:hint="default" w:ascii="Times New Roman" w:hAnsi="Times New Roman" w:eastAsia="仿宋" w:cs="Times New Roman"/>
          <w:kern w:val="0"/>
          <w:sz w:val="24"/>
          <w:highlight w:val="none"/>
          <w:u w:val="single"/>
        </w:rPr>
        <w:t xml:space="preserve">     年    月    日</w:t>
      </w: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u w:val="single"/>
        </w:rPr>
        <w:t xml:space="preserve">        </w:t>
      </w: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pStyle w:val="63"/>
        <w:rPr>
          <w:rFonts w:hint="default" w:ascii="Times New Roman" w:hAnsi="Times New Roman" w:eastAsia="仿宋" w:cs="Times New Roman"/>
          <w:sz w:val="28"/>
          <w:szCs w:val="28"/>
          <w:highlight w:val="none"/>
          <w:u w:val="single"/>
        </w:rPr>
      </w:pPr>
    </w:p>
    <w:p>
      <w:pPr>
        <w:pStyle w:val="63"/>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u w:val="single"/>
        </w:rPr>
        <w:t xml:space="preserve">     </w:t>
      </w:r>
    </w:p>
    <w:p>
      <w:pPr>
        <w:pStyle w:val="5"/>
        <w:rPr>
          <w:rFonts w:hint="default" w:ascii="Times New Roman" w:hAnsi="Times New Roman" w:eastAsia="仿宋" w:cs="Times New Roman"/>
          <w:b/>
          <w:bCs/>
          <w:kern w:val="0"/>
          <w:sz w:val="32"/>
          <w:szCs w:val="32"/>
          <w:highlight w:val="none"/>
        </w:rPr>
      </w:pPr>
      <w:bookmarkStart w:id="751" w:name="_Toc532473492"/>
      <w:bookmarkStart w:id="752" w:name="_Toc515647800"/>
      <w:bookmarkStart w:id="753" w:name="_Toc20660404"/>
      <w:bookmarkStart w:id="754" w:name="_Toc6548"/>
      <w:bookmarkStart w:id="755" w:name="_Toc10951"/>
      <w:bookmarkStart w:id="756" w:name="_Toc4588"/>
      <w:bookmarkStart w:id="757" w:name="_Toc4339"/>
      <w:bookmarkStart w:id="758" w:name="_Toc8907"/>
      <w:bookmarkStart w:id="759" w:name="_Toc18627"/>
      <w:bookmarkStart w:id="760" w:name="_Toc16723"/>
      <w:r>
        <w:rPr>
          <w:rFonts w:hint="default" w:ascii="Times New Roman" w:hAnsi="Times New Roman" w:eastAsia="仿宋" w:cs="Times New Roman"/>
          <w:b/>
          <w:bCs/>
          <w:sz w:val="28"/>
          <w:szCs w:val="36"/>
          <w:highlight w:val="none"/>
        </w:rPr>
        <w:t>附件2</w:t>
      </w:r>
    </w:p>
    <w:p>
      <w:pPr>
        <w:pStyle w:val="5"/>
        <w:jc w:val="center"/>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履约担保函格式</w:t>
      </w:r>
      <w:bookmarkEnd w:id="751"/>
      <w:bookmarkEnd w:id="752"/>
      <w:bookmarkEnd w:id="753"/>
      <w:bookmarkEnd w:id="754"/>
      <w:bookmarkEnd w:id="755"/>
    </w:p>
    <w:p>
      <w:pPr>
        <w:snapToGrid w:val="0"/>
        <w:spacing w:line="336"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编号：</w:t>
      </w:r>
    </w:p>
    <w:p>
      <w:pPr>
        <w:snapToGrid w:val="0"/>
        <w:spacing w:line="336" w:lineRule="auto"/>
        <w:rPr>
          <w:rFonts w:hint="default" w:ascii="Times New Roman" w:hAnsi="Times New Roman" w:eastAsia="仿宋" w:cs="Times New Roman"/>
          <w:sz w:val="28"/>
          <w:szCs w:val="28"/>
          <w:highlight w:val="none"/>
        </w:rPr>
      </w:pP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（采购人名称）：</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鉴于你方与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（以下简称供应商）于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日签定编号为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政府采购合同》（以下简称主合同），且依据该合同的约定，供应商应在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一、保证责任的情形及保证金额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（一）在供应商出现下列情形之一时，我方承担保证责任：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1．将成交项目转让给他人，或者在磋商响应文件中未说明，且未经采购人同意，将成交项目分包给他人的；</w:t>
      </w: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2．主合同约定的应当缴纳履约保证金的情形</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 xml:space="preserve"> </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（1）未按主合同约定的质量、数量和期限供应货物/提供服务/完成工程的；</w:t>
      </w:r>
    </w:p>
    <w:p>
      <w:pPr>
        <w:snapToGrid w:val="0"/>
        <w:spacing w:line="336" w:lineRule="auto"/>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（二）我方的保证范围是主合同约定的合同价款总额的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%数额为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），币种为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。（即主合同履约保证金金额）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二、保证的方式及保证期间</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我方保证的方式为：连带责任保证。</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我方保证的期间为：自本合同生效之日起至供应商按照主合同约定的供货/完工期限届满后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日内。</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三、承担保证责任的程序</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如果你方与供应商因货物质量问题产生争议，你方还需同时提供</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我方收到你方的书面索赔通知及相应证明材料，在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工作日内进行核定后按照本保函的承诺承担保证责任。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四、保证责任的终止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五、免责条款</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1．因你方违反主合同约定致使供应商不能履行义务的，我方不承担保证责任。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3．因不可抗力造成供应商不能履行供货义务的，我方不承担保证责任。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六、争议的解决</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因本保函发生的纠纷，由你我双方协商解决，协商不成的，通过诉讼程序解决，诉讼管辖地法院为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法院。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七、保函的生效</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本保函自我方加盖公章之日起生效。</w:t>
      </w:r>
    </w:p>
    <w:p>
      <w:pPr>
        <w:snapToGrid w:val="0"/>
        <w:spacing w:line="336" w:lineRule="auto"/>
        <w:rPr>
          <w:rFonts w:hint="default" w:ascii="Times New Roman" w:hAnsi="Times New Roman" w:eastAsia="仿宋" w:cs="Times New Roman"/>
          <w:sz w:val="24"/>
          <w:highlight w:val="none"/>
        </w:rPr>
      </w:pP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spacing w:line="360" w:lineRule="auto"/>
        <w:ind w:left="1080" w:leftChars="257" w:hanging="5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出具保函单位名称（盖公章）：</w:t>
      </w:r>
      <w:r>
        <w:rPr>
          <w:rFonts w:hint="default" w:ascii="Times New Roman" w:hAnsi="Times New Roman" w:eastAsia="仿宋" w:cs="Times New Roman"/>
          <w:sz w:val="24"/>
          <w:highlight w:val="none"/>
          <w:u w:val="single"/>
        </w:rPr>
        <w:t xml:space="preserve">                   </w:t>
      </w:r>
    </w:p>
    <w:p>
      <w:pPr>
        <w:spacing w:line="360" w:lineRule="auto"/>
        <w:ind w:left="1080" w:leftChars="257" w:hanging="54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签字人姓名和职务：</w:t>
      </w:r>
      <w:r>
        <w:rPr>
          <w:rFonts w:hint="default" w:ascii="Times New Roman" w:hAnsi="Times New Roman" w:eastAsia="仿宋" w:cs="Times New Roman"/>
          <w:sz w:val="24"/>
          <w:highlight w:val="none"/>
          <w:u w:val="single"/>
        </w:rPr>
        <w:t xml:space="preserve">                             </w:t>
      </w:r>
    </w:p>
    <w:p>
      <w:pPr>
        <w:spacing w:line="360" w:lineRule="auto"/>
        <w:ind w:left="1080" w:leftChars="257" w:hanging="5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签字人签名：</w:t>
      </w:r>
      <w:r>
        <w:rPr>
          <w:rFonts w:hint="default" w:ascii="Times New Roman" w:hAnsi="Times New Roman" w:eastAsia="仿宋" w:cs="Times New Roman"/>
          <w:sz w:val="24"/>
          <w:highlight w:val="none"/>
          <w:u w:val="single"/>
        </w:rPr>
        <w:t xml:space="preserve">                                   </w:t>
      </w:r>
    </w:p>
    <w:p>
      <w:pPr>
        <w:autoSpaceDE w:val="0"/>
        <w:autoSpaceDN w:val="0"/>
        <w:adjustRightInd w:val="0"/>
        <w:snapToGrid w:val="0"/>
        <w:spacing w:line="360" w:lineRule="auto"/>
        <w:ind w:firstLine="480" w:firstLineChars="200"/>
        <w:outlineLvl w:val="0"/>
        <w:rPr>
          <w:rFonts w:hint="default" w:ascii="Times New Roman" w:hAnsi="Times New Roman" w:eastAsia="仿宋" w:cs="Times New Roman"/>
          <w:sz w:val="28"/>
          <w:szCs w:val="28"/>
          <w:highlight w:val="none"/>
          <w:u w:val="single"/>
        </w:rPr>
      </w:pPr>
      <w:bookmarkStart w:id="761" w:name="_Toc3301"/>
      <w:bookmarkStart w:id="762" w:name="_Toc32633"/>
      <w:bookmarkStart w:id="763" w:name="_Toc1451"/>
      <w:bookmarkStart w:id="764" w:name="_Toc1872"/>
      <w:bookmarkStart w:id="765" w:name="_Toc5509"/>
      <w:bookmarkStart w:id="766" w:name="_Toc10763"/>
      <w:bookmarkStart w:id="767" w:name="_Toc25333"/>
      <w:r>
        <w:rPr>
          <w:rFonts w:hint="default" w:ascii="Times New Roman" w:hAnsi="Times New Roman" w:eastAsia="仿宋" w:cs="Times New Roman"/>
          <w:sz w:val="24"/>
          <w:highlight w:val="none"/>
          <w:lang w:val="en-US" w:eastAsia="zh-CN"/>
        </w:rPr>
        <w:t>日期</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 xml:space="preserve">   年   月   日</w:t>
      </w:r>
      <w:bookmarkEnd w:id="761"/>
      <w:bookmarkEnd w:id="762"/>
      <w:bookmarkEnd w:id="763"/>
      <w:bookmarkEnd w:id="764"/>
      <w:bookmarkEnd w:id="765"/>
      <w:bookmarkEnd w:id="766"/>
      <w:bookmarkEnd w:id="767"/>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8"/>
          <w:szCs w:val="28"/>
          <w:highlight w:val="none"/>
          <w:u w:val="single"/>
        </w:rPr>
        <w:t xml:space="preserve">          </w:t>
      </w:r>
    </w:p>
    <w:p>
      <w:pPr>
        <w:autoSpaceDE w:val="0"/>
        <w:autoSpaceDN w:val="0"/>
        <w:adjustRightInd w:val="0"/>
        <w:snapToGrid w:val="0"/>
        <w:spacing w:line="360" w:lineRule="auto"/>
        <w:outlineLvl w:val="0"/>
        <w:rPr>
          <w:rFonts w:hint="default" w:ascii="Times New Roman" w:hAnsi="Times New Roman" w:eastAsia="仿宋" w:cs="Times New Roman"/>
          <w:sz w:val="28"/>
          <w:szCs w:val="28"/>
          <w:highlight w:val="none"/>
          <w:u w:val="single"/>
        </w:rPr>
      </w:pPr>
    </w:p>
    <w:p>
      <w:pPr>
        <w:autoSpaceDE w:val="0"/>
        <w:autoSpaceDN w:val="0"/>
        <w:adjustRightInd w:val="0"/>
        <w:snapToGrid w:val="0"/>
        <w:spacing w:line="360" w:lineRule="auto"/>
        <w:outlineLvl w:val="0"/>
        <w:rPr>
          <w:rFonts w:hint="default" w:ascii="Times New Roman" w:hAnsi="Times New Roman" w:eastAsia="仿宋" w:cs="Times New Roman"/>
          <w:sz w:val="28"/>
          <w:szCs w:val="28"/>
          <w:highlight w:val="none"/>
          <w:u w:val="single"/>
        </w:rPr>
      </w:pPr>
    </w:p>
    <w:p>
      <w:pPr>
        <w:autoSpaceDE w:val="0"/>
        <w:autoSpaceDN w:val="0"/>
        <w:adjustRightInd w:val="0"/>
        <w:snapToGrid w:val="0"/>
        <w:spacing w:line="360" w:lineRule="auto"/>
        <w:outlineLvl w:val="0"/>
        <w:rPr>
          <w:rFonts w:hint="default" w:ascii="Times New Roman" w:hAnsi="Times New Roman" w:eastAsia="仿宋" w:cs="Times New Roman"/>
          <w:b/>
          <w:bCs/>
          <w:sz w:val="28"/>
          <w:szCs w:val="28"/>
          <w:highlight w:val="none"/>
          <w:lang w:val="zh-CN" w:eastAsia="zh-CN"/>
        </w:rPr>
      </w:pPr>
      <w:bookmarkStart w:id="768" w:name="_Toc28893"/>
      <w:bookmarkStart w:id="769" w:name="_Toc12573"/>
      <w:bookmarkStart w:id="770" w:name="_Toc24256"/>
      <w:bookmarkStart w:id="771" w:name="_Toc24773"/>
      <w:bookmarkStart w:id="772" w:name="_Toc18271"/>
      <w:bookmarkStart w:id="773" w:name="_Toc13966"/>
      <w:bookmarkStart w:id="774" w:name="_Toc26941"/>
      <w:r>
        <w:rPr>
          <w:rFonts w:hint="default" w:ascii="Times New Roman" w:hAnsi="Times New Roman" w:eastAsia="仿宋" w:cs="Times New Roman"/>
          <w:b/>
          <w:bCs/>
          <w:sz w:val="28"/>
          <w:szCs w:val="28"/>
          <w:highlight w:val="none"/>
          <w:lang w:val="zh-CN"/>
        </w:rPr>
        <w:t>附件</w:t>
      </w:r>
      <w:bookmarkEnd w:id="756"/>
      <w:bookmarkEnd w:id="757"/>
      <w:bookmarkEnd w:id="758"/>
      <w:bookmarkEnd w:id="759"/>
      <w:bookmarkEnd w:id="760"/>
      <w:r>
        <w:rPr>
          <w:rFonts w:hint="default" w:ascii="Times New Roman" w:hAnsi="Times New Roman" w:eastAsia="仿宋" w:cs="Times New Roman"/>
          <w:b/>
          <w:bCs/>
          <w:sz w:val="28"/>
          <w:szCs w:val="28"/>
          <w:highlight w:val="none"/>
          <w:lang w:val="en-US" w:eastAsia="zh-CN"/>
        </w:rPr>
        <w:t>3</w:t>
      </w:r>
      <w:bookmarkEnd w:id="768"/>
      <w:bookmarkEnd w:id="769"/>
      <w:bookmarkEnd w:id="770"/>
      <w:bookmarkEnd w:id="771"/>
      <w:bookmarkEnd w:id="772"/>
      <w:bookmarkEnd w:id="773"/>
      <w:bookmarkEnd w:id="774"/>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 xml:space="preserve"> 最终磋商响应报价表</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highlight w:val="none"/>
          <w:lang w:val="zh-CN"/>
        </w:rPr>
        <w:t>（随身携带，单独提供，无需装订在响应文件中）</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8"/>
        <w:gridCol w:w="7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lang w:val="zh-CN"/>
              </w:rPr>
              <w:br w:type="page"/>
            </w:r>
            <w:r>
              <w:rPr>
                <w:rFonts w:hint="default" w:ascii="Times New Roman" w:hAnsi="Times New Roman" w:eastAsia="仿宋" w:cs="Times New Roman"/>
                <w:b/>
                <w:sz w:val="24"/>
                <w:highlight w:val="none"/>
              </w:rPr>
              <w:t>项目编号及</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项目名称</w:t>
            </w:r>
          </w:p>
        </w:tc>
        <w:tc>
          <w:tcPr>
            <w:tcW w:w="7341" w:type="dxa"/>
            <w:vAlign w:val="center"/>
          </w:tcPr>
          <w:p>
            <w:pPr>
              <w:pStyle w:val="2"/>
              <w:rPr>
                <w:rFonts w:hint="default" w:ascii="Times New Roman" w:hAnsi="Times New Roman" w:eastAsia="仿宋" w:cs="Times New Roman"/>
                <w:sz w:val="24"/>
                <w:highlight w:val="none"/>
                <w:u w:val="none"/>
              </w:rPr>
            </w:pPr>
            <w:r>
              <w:rPr>
                <w:rFonts w:hint="default" w:ascii="Times New Roman" w:hAnsi="Times New Roman" w:eastAsia="仿宋" w:cs="Times New Roman"/>
                <w:sz w:val="24"/>
                <w:highlight w:val="none"/>
              </w:rPr>
              <w:t>项目编号：SCZB2023-CS-0479/003</w:t>
            </w:r>
            <w:r>
              <w:rPr>
                <w:rFonts w:hint="default" w:ascii="Times New Roman" w:hAnsi="Times New Roman" w:eastAsia="仿宋" w:cs="Times New Roman"/>
                <w:b w:val="0"/>
                <w:bCs w:val="0"/>
                <w:sz w:val="24"/>
                <w:szCs w:val="24"/>
                <w:highlight w:val="none"/>
                <w:lang w:val="zh-CN"/>
              </w:rPr>
              <w:t>（</w:t>
            </w:r>
            <w:r>
              <w:rPr>
                <w:rFonts w:hint="default" w:ascii="Times New Roman" w:hAnsi="Times New Roman" w:eastAsia="仿宋" w:cs="Times New Roman"/>
                <w:b w:val="0"/>
                <w:bCs w:val="0"/>
                <w:sz w:val="24"/>
                <w:szCs w:val="24"/>
                <w:highlight w:val="none"/>
                <w:lang w:val="en-US" w:eastAsia="zh-CN"/>
              </w:rPr>
              <w:t>1</w:t>
            </w:r>
            <w:r>
              <w:rPr>
                <w:rFonts w:hint="default" w:ascii="Times New Roman" w:hAnsi="Times New Roman" w:eastAsia="仿宋" w:cs="Times New Roman"/>
                <w:b w:val="0"/>
                <w:bCs w:val="0"/>
                <w:sz w:val="24"/>
                <w:szCs w:val="24"/>
                <w:highlight w:val="none"/>
                <w:lang w:val="zh-CN"/>
              </w:rPr>
              <w:t>）</w:t>
            </w:r>
            <w:r>
              <w:rPr>
                <w:rFonts w:hint="default" w:ascii="Times New Roman" w:hAnsi="Times New Roman" w:eastAsia="仿宋" w:cs="Times New Roman"/>
                <w:sz w:val="24"/>
                <w:highlight w:val="none"/>
                <w:u w:val="none"/>
              </w:rPr>
              <w:t xml:space="preserve">         </w:t>
            </w:r>
          </w:p>
          <w:p>
            <w:pPr>
              <w:pStyle w:val="2"/>
              <w:rPr>
                <w:rFonts w:hint="default" w:ascii="Times New Roman" w:hAnsi="Times New Roman" w:eastAsia="仿宋" w:cs="Times New Roman"/>
                <w:sz w:val="24"/>
                <w:highlight w:val="none"/>
                <w:u w:val="none"/>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lang w:eastAsia="zh-CN"/>
              </w:rPr>
              <w:t>陕西省道路运输事业发展中心后勤服务购买项目（第1包）</w:t>
            </w:r>
            <w:r>
              <w:rPr>
                <w:rFonts w:hint="default" w:ascii="Times New Roman" w:hAnsi="Times New Roman" w:eastAsia="仿宋" w:cs="Times New Roman"/>
                <w:sz w:val="24"/>
                <w:highlight w:val="none"/>
                <w:u w:val="none"/>
              </w:rPr>
              <w:t xml:space="preserve"> </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响应总报价</w:t>
            </w:r>
          </w:p>
        </w:tc>
        <w:tc>
          <w:tcPr>
            <w:tcW w:w="7341" w:type="dxa"/>
            <w:vAlign w:val="center"/>
          </w:tcPr>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人民币（大写）：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（小写：¥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其中包含：</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人员工资：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r>
              <w:rPr>
                <w:rFonts w:hint="default" w:ascii="Times New Roman" w:hAnsi="Times New Roman" w:eastAsia="仿宋" w:cs="Times New Roman"/>
                <w:sz w:val="24"/>
                <w:highlight w:val="none"/>
                <w:lang w:val="en-US" w:eastAsia="zh-CN"/>
              </w:rPr>
              <w:t>；</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管理费：</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r>
              <w:rPr>
                <w:rFonts w:hint="default" w:ascii="Times New Roman" w:hAnsi="Times New Roman" w:eastAsia="仿宋" w:cs="Times New Roman"/>
                <w:sz w:val="24"/>
                <w:highlight w:val="none"/>
                <w:lang w:val="en-US" w:eastAsia="zh-CN"/>
              </w:rPr>
              <w:t>；</w:t>
            </w:r>
          </w:p>
          <w:p>
            <w:pPr>
              <w:pStyle w:val="2"/>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保险及其他费用：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服务期</w:t>
            </w:r>
          </w:p>
        </w:tc>
        <w:tc>
          <w:tcPr>
            <w:tcW w:w="7341"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服务地点</w:t>
            </w:r>
          </w:p>
        </w:tc>
        <w:tc>
          <w:tcPr>
            <w:tcW w:w="7341"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其他声明</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（如有）</w:t>
            </w:r>
          </w:p>
        </w:tc>
        <w:tc>
          <w:tcPr>
            <w:tcW w:w="7341" w:type="dxa"/>
            <w:vAlign w:val="center"/>
          </w:tcPr>
          <w:p>
            <w:pPr>
              <w:pStyle w:val="2"/>
              <w:rPr>
                <w:rFonts w:hint="default" w:ascii="Times New Roman" w:hAnsi="Times New Roman" w:eastAsia="仿宋" w:cs="Times New Roman"/>
                <w:sz w:val="24"/>
                <w:highlight w:val="none"/>
              </w:rPr>
            </w:pPr>
          </w:p>
        </w:tc>
      </w:tr>
    </w:tbl>
    <w:p>
      <w:pPr>
        <w:pStyle w:val="2"/>
        <w:rPr>
          <w:rFonts w:hint="default" w:ascii="Times New Roman" w:hAnsi="Times New Roman" w:eastAsia="仿宋" w:cs="Times New Roman"/>
          <w:b/>
          <w:bCs/>
          <w:sz w:val="22"/>
          <w:szCs w:val="28"/>
          <w:highlight w:val="none"/>
          <w:lang w:val="en-US" w:eastAsia="zh-CN"/>
        </w:rPr>
      </w:pPr>
      <w:r>
        <w:rPr>
          <w:rFonts w:hint="default" w:ascii="Times New Roman" w:hAnsi="Times New Roman" w:eastAsia="仿宋" w:cs="Times New Roman"/>
          <w:b/>
          <w:bCs/>
          <w:sz w:val="22"/>
          <w:szCs w:val="28"/>
          <w:highlight w:val="none"/>
          <w:lang w:val="en-US" w:eastAsia="zh-CN"/>
        </w:rPr>
        <w:t>注：</w:t>
      </w:r>
      <w:r>
        <w:rPr>
          <w:rFonts w:hint="default" w:ascii="Times New Roman" w:hAnsi="Times New Roman" w:eastAsia="仿宋" w:cs="Times New Roman"/>
          <w:b/>
          <w:bCs/>
          <w:sz w:val="22"/>
          <w:szCs w:val="28"/>
          <w:highlight w:val="none"/>
        </w:rPr>
        <w:t>响应总报价</w:t>
      </w:r>
      <w:r>
        <w:rPr>
          <w:rFonts w:hint="default" w:ascii="Times New Roman" w:hAnsi="Times New Roman" w:eastAsia="仿宋" w:cs="Times New Roman"/>
          <w:b/>
          <w:bCs/>
          <w:sz w:val="22"/>
          <w:szCs w:val="28"/>
          <w:highlight w:val="none"/>
          <w:lang w:val="en-US" w:eastAsia="zh-CN"/>
        </w:rPr>
        <w:t>中应包含工会食堂补助330元/人，由员工入职后上交甲方工会，供应商报价时应自行考虑。</w:t>
      </w:r>
    </w:p>
    <w:p>
      <w:pPr>
        <w:autoSpaceDE w:val="0"/>
        <w:autoSpaceDN w:val="0"/>
        <w:adjustRightInd w:val="0"/>
        <w:snapToGrid w:val="0"/>
        <w:spacing w:line="360" w:lineRule="auto"/>
        <w:jc w:val="right"/>
        <w:rPr>
          <w:rFonts w:hint="default" w:ascii="Times New Roman" w:hAnsi="Times New Roman" w:eastAsia="仿宋" w:cs="Times New Roman"/>
          <w:sz w:val="24"/>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28"/>
        <w:spacing w:line="500" w:lineRule="exact"/>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lang w:val="en-US" w:eastAsia="zh-CN"/>
        </w:rPr>
        <w:t>备注：</w:t>
      </w:r>
      <w:r>
        <w:rPr>
          <w:rFonts w:hint="default" w:ascii="Times New Roman" w:hAnsi="Times New Roman" w:eastAsia="仿宋" w:cs="Times New Roman"/>
          <w:b/>
          <w:bCs/>
          <w:highlight w:val="none"/>
        </w:rPr>
        <w:t>请供应商自备表格并加盖公章，无需装订在响应文件中，最终报价环节现场填报使用。落款时间必须为</w:t>
      </w:r>
      <w:r>
        <w:rPr>
          <w:rFonts w:hint="default" w:ascii="Times New Roman" w:hAnsi="Times New Roman" w:eastAsia="仿宋" w:cs="Times New Roman"/>
          <w:b/>
          <w:bCs/>
          <w:highlight w:val="none"/>
          <w:lang w:eastAsia="zh-CN"/>
        </w:rPr>
        <w:t>磋商</w:t>
      </w:r>
      <w:r>
        <w:rPr>
          <w:rFonts w:hint="default" w:ascii="Times New Roman" w:hAnsi="Times New Roman" w:eastAsia="仿宋" w:cs="Times New Roman"/>
          <w:b/>
          <w:bCs/>
          <w:highlight w:val="none"/>
        </w:rPr>
        <w:t>当天。</w:t>
      </w:r>
    </w:p>
    <w:p>
      <w:pPr>
        <w:widowControl/>
        <w:jc w:val="left"/>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lang w:val="zh-CN"/>
        </w:rPr>
      </w:pPr>
      <w:r>
        <w:rPr>
          <w:rFonts w:hint="default" w:ascii="Times New Roman" w:hAnsi="Times New Roman" w:eastAsia="仿宋" w:cs="Times New Roman"/>
          <w:b/>
          <w:bCs/>
          <w:sz w:val="28"/>
          <w:szCs w:val="28"/>
          <w:highlight w:val="none"/>
        </w:rPr>
        <w:t>最终</w:t>
      </w:r>
      <w:r>
        <w:rPr>
          <w:rFonts w:hint="default" w:ascii="Times New Roman" w:hAnsi="Times New Roman" w:eastAsia="仿宋" w:cs="Times New Roman"/>
          <w:b/>
          <w:bCs/>
          <w:sz w:val="28"/>
          <w:szCs w:val="28"/>
          <w:highlight w:val="none"/>
          <w:lang w:val="zh-CN"/>
        </w:rPr>
        <w:t>报价明细表</w:t>
      </w:r>
    </w:p>
    <w:p>
      <w:pPr>
        <w:pStyle w:val="64"/>
        <w:ind w:firstLine="0" w:firstLineChars="0"/>
        <w:jc w:val="center"/>
        <w:rPr>
          <w:rFonts w:hint="default" w:ascii="Times New Roman" w:hAnsi="Times New Roman" w:eastAsia="仿宋" w:cs="Times New Roman"/>
          <w:highlight w:val="none"/>
          <w:lang w:val="zh-CN"/>
        </w:rPr>
      </w:pPr>
    </w:p>
    <w:p>
      <w:pPr>
        <w:pStyle w:val="64"/>
        <w:ind w:firstLine="0" w:firstLineChars="0"/>
        <w:jc w:val="center"/>
        <w:outlineLvl w:val="0"/>
        <w:rPr>
          <w:rFonts w:hint="default" w:ascii="Times New Roman" w:hAnsi="Times New Roman" w:eastAsia="仿宋" w:cs="Times New Roman"/>
          <w:sz w:val="24"/>
          <w:szCs w:val="32"/>
          <w:highlight w:val="none"/>
          <w:lang w:val="zh-CN"/>
        </w:rPr>
      </w:pPr>
      <w:bookmarkStart w:id="775" w:name="_Toc14911"/>
      <w:bookmarkStart w:id="776" w:name="_Toc16003"/>
      <w:bookmarkStart w:id="777" w:name="_Toc2541"/>
      <w:bookmarkStart w:id="778" w:name="_Toc25415"/>
      <w:bookmarkStart w:id="779" w:name="_Toc13422"/>
      <w:bookmarkStart w:id="780" w:name="_Toc12890"/>
      <w:bookmarkStart w:id="781" w:name="_Toc14796"/>
      <w:bookmarkStart w:id="782" w:name="_Toc16569"/>
      <w:bookmarkStart w:id="783" w:name="_Toc23692"/>
      <w:bookmarkStart w:id="784" w:name="_Toc13689"/>
      <w:bookmarkStart w:id="785" w:name="_Toc16787"/>
      <w:bookmarkStart w:id="786" w:name="_Toc8189"/>
      <w:r>
        <w:rPr>
          <w:rFonts w:hint="default" w:ascii="Times New Roman" w:hAnsi="Times New Roman" w:eastAsia="仿宋" w:cs="Times New Roman"/>
          <w:sz w:val="24"/>
          <w:szCs w:val="32"/>
          <w:highlight w:val="none"/>
          <w:lang w:val="zh-CN"/>
        </w:rPr>
        <w:t>格式自拟</w:t>
      </w:r>
      <w:bookmarkEnd w:id="775"/>
      <w:bookmarkEnd w:id="776"/>
      <w:bookmarkEnd w:id="777"/>
      <w:bookmarkEnd w:id="778"/>
      <w:bookmarkEnd w:id="779"/>
      <w:bookmarkEnd w:id="780"/>
      <w:bookmarkEnd w:id="781"/>
      <w:bookmarkEnd w:id="782"/>
      <w:bookmarkEnd w:id="783"/>
      <w:bookmarkEnd w:id="784"/>
      <w:bookmarkEnd w:id="785"/>
      <w:bookmarkEnd w:id="786"/>
    </w:p>
    <w:p>
      <w:pPr>
        <w:adjustRightInd w:val="0"/>
        <w:snapToGrid w:val="0"/>
        <w:spacing w:line="360" w:lineRule="auto"/>
        <w:rPr>
          <w:rFonts w:hint="default" w:ascii="Times New Roman" w:hAnsi="Times New Roman" w:eastAsia="仿宋" w:cs="Times New Roman"/>
          <w:b/>
          <w:sz w:val="42"/>
          <w:highlight w:val="none"/>
        </w:rPr>
      </w:pP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28"/>
        <w:spacing w:line="500" w:lineRule="exact"/>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lang w:val="en-US" w:eastAsia="zh-CN"/>
        </w:rPr>
        <w:t>备注：</w:t>
      </w:r>
      <w:r>
        <w:rPr>
          <w:rFonts w:hint="default" w:ascii="Times New Roman" w:hAnsi="Times New Roman" w:eastAsia="仿宋" w:cs="Times New Roman"/>
          <w:b/>
          <w:bCs/>
          <w:highlight w:val="none"/>
        </w:rPr>
        <w:t>请供应商自备表格并加盖公章，无需装订在响应文件中，最终报价环节现场填报使用。落款时间必须为</w:t>
      </w:r>
      <w:r>
        <w:rPr>
          <w:rFonts w:hint="default" w:ascii="Times New Roman" w:hAnsi="Times New Roman" w:eastAsia="仿宋" w:cs="Times New Roman"/>
          <w:b/>
          <w:bCs/>
          <w:highlight w:val="none"/>
          <w:lang w:eastAsia="zh-CN"/>
        </w:rPr>
        <w:t>磋商</w:t>
      </w:r>
      <w:r>
        <w:rPr>
          <w:rFonts w:hint="default" w:ascii="Times New Roman" w:hAnsi="Times New Roman" w:eastAsia="仿宋" w:cs="Times New Roman"/>
          <w:b/>
          <w:bCs/>
          <w:highlight w:val="none"/>
        </w:rPr>
        <w:t>当天。</w:t>
      </w:r>
    </w:p>
    <w:p>
      <w:pPr>
        <w:spacing w:line="0" w:lineRule="atLeast"/>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sectPr>
      <w:footerReference r:id="rId14" w:type="first"/>
      <w:footerReference r:id="rId13"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Sans Serif">
    <w:altName w:val="Arial"/>
    <w:panose1 w:val="020B05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108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3"/>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ascii="宋体" w:hAnsi="宋体" w:cs="宋体"/>
        <w:sz w:val="16"/>
        <w:szCs w:val="16"/>
        <w:highlight w:val="yellow"/>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33"/>
                    </w:pPr>
                  </w:p>
                </w:txbxContent>
              </v:textbox>
            </v:shape>
          </w:pict>
        </mc:Fallback>
      </mc:AlternateContent>
    </w:r>
    <w:r>
      <w:rPr>
        <w:rFonts w:hint="eastAsia" w:ascii="宋体" w:hAnsi="宋体" w:cs="宋体"/>
      </w:rPr>
      <w:t xml:space="preserve"> </w:t>
    </w: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margin">
                <wp:posOffset>2821940</wp:posOffset>
              </wp:positionH>
              <wp:positionV relativeFrom="paragraph">
                <wp:posOffset>0</wp:posOffset>
              </wp:positionV>
              <wp:extent cx="83185" cy="94615"/>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83185" cy="94615"/>
                      </a:xfrm>
                      <a:prstGeom prst="rect">
                        <a:avLst/>
                      </a:prstGeom>
                      <a:noFill/>
                      <a:ln>
                        <a:noFill/>
                      </a:ln>
                    </wps:spPr>
                    <wps:txbx>
                      <w:txbxContent>
                        <w:p>
                          <w:pPr>
                            <w:snapToGrid w:val="0"/>
                            <w:rPr>
                              <w:sz w:val="13"/>
                            </w:rPr>
                          </w:pPr>
                        </w:p>
                      </w:txbxContent>
                    </wps:txbx>
                    <wps:bodyPr wrap="none" lIns="0" tIns="0" rIns="0" bIns="0" upright="1">
                      <a:spAutoFit/>
                    </wps:bodyPr>
                  </wps:wsp>
                </a:graphicData>
              </a:graphic>
            </wp:anchor>
          </w:drawing>
        </mc:Choice>
        <mc:Fallback>
          <w:pict>
            <v:shape id="文本框 19" o:spid="_x0000_s1026" o:spt="202" type="#_x0000_t202" style="position:absolute;left:0pt;margin-left:222.2pt;margin-top:0pt;height:7.45pt;width:6.55pt;mso-position-horizontal-relative:margin;mso-wrap-style:none;z-index:251662336;mso-width-relative:page;mso-height-relative:page;" filled="f" stroked="f" coordsize="21600,21600" o:gfxdata="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kp83tMAAAAHAQAADwAAAAAAAAABACAAAAAiAAAAZHJzL2Rv&#10;d25yZXYueG1sUEsBAhQAFAAAAAgAh07iQHfp/ZfNAQAAlwMAAA4AAAAAAAAAAQAgAAAAIgEAAGRy&#10;cy9lMm9Eb2MueG1sUEsFBgAAAAAGAAYAWQEAAGEFAAAAAA==&#10;">
              <v:fill on="f" focussize="0,0"/>
              <v:stroke on="f"/>
              <v:imagedata o:title=""/>
              <o:lock v:ext="edit" aspectratio="f"/>
              <v:textbox inset="0mm,0mm,0mm,0mm" style="mso-fit-shape-to-text:t;">
                <w:txbxContent>
                  <w:p>
                    <w:pPr>
                      <w:snapToGrid w:val="0"/>
                      <w:rPr>
                        <w:sz w:val="1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D523483E"/>
    <w:multiLevelType w:val="singleLevel"/>
    <w:tmpl w:val="D523483E"/>
    <w:lvl w:ilvl="0" w:tentative="0">
      <w:start w:val="1"/>
      <w:numFmt w:val="decimal"/>
      <w:suff w:val="nothing"/>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B613698"/>
    <w:multiLevelType w:val="singleLevel"/>
    <w:tmpl w:val="FB613698"/>
    <w:lvl w:ilvl="0" w:tentative="0">
      <w:start w:val="1"/>
      <w:numFmt w:val="decimal"/>
      <w:suff w:val="nothing"/>
      <w:lvlText w:val="%1、"/>
      <w:lvlJc w:val="left"/>
    </w:lvl>
  </w:abstractNum>
  <w:abstractNum w:abstractNumId="3">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09C449FD"/>
    <w:multiLevelType w:val="multilevel"/>
    <w:tmpl w:val="09C449FD"/>
    <w:lvl w:ilvl="0" w:tentative="0">
      <w:start w:val="1"/>
      <w:numFmt w:val="japaneseCounting"/>
      <w:lvlText w:val="第%1条"/>
      <w:lvlJc w:val="left"/>
      <w:pPr>
        <w:tabs>
          <w:tab w:val="left" w:pos="6799"/>
        </w:tabs>
        <w:ind w:left="6799" w:hanging="1695"/>
      </w:pPr>
      <w:rPr>
        <w:rFonts w:hint="default"/>
        <w:b/>
        <w:color w:val="auto"/>
        <w:lang w:val="en-US"/>
      </w:rPr>
    </w:lvl>
    <w:lvl w:ilvl="1" w:tentative="0">
      <w:start w:val="1"/>
      <w:numFmt w:val="lowerLetter"/>
      <w:lvlText w:val="%2)"/>
      <w:lvlJc w:val="left"/>
      <w:pPr>
        <w:tabs>
          <w:tab w:val="left" w:pos="1855"/>
        </w:tabs>
        <w:ind w:left="1855" w:hanging="420"/>
      </w:pPr>
    </w:lvl>
    <w:lvl w:ilvl="2" w:tentative="0">
      <w:start w:val="1"/>
      <w:numFmt w:val="japaneseCounting"/>
      <w:lvlText w:val="（%3）"/>
      <w:lvlJc w:val="right"/>
      <w:pPr>
        <w:tabs>
          <w:tab w:val="left" w:pos="1271"/>
        </w:tabs>
        <w:ind w:left="1271" w:hanging="420"/>
      </w:pPr>
      <w:rPr>
        <w:rFonts w:ascii="Times New Roman" w:hAnsi="Times New Roman" w:eastAsia="Times New Roman" w:cs="Times New Roman"/>
        <w:color w:val="auto"/>
        <w:lang w:val="en-US"/>
      </w:rPr>
    </w:lvl>
    <w:lvl w:ilvl="3" w:tentative="0">
      <w:start w:val="1"/>
      <w:numFmt w:val="decimal"/>
      <w:lvlText w:val="%4."/>
      <w:lvlJc w:val="left"/>
      <w:pPr>
        <w:tabs>
          <w:tab w:val="left" w:pos="2695"/>
        </w:tabs>
        <w:ind w:left="2695" w:hanging="420"/>
      </w:pPr>
    </w:lvl>
    <w:lvl w:ilvl="4" w:tentative="0">
      <w:start w:val="1"/>
      <w:numFmt w:val="lowerLetter"/>
      <w:lvlText w:val="%5)"/>
      <w:lvlJc w:val="left"/>
      <w:pPr>
        <w:tabs>
          <w:tab w:val="left" w:pos="3115"/>
        </w:tabs>
        <w:ind w:left="3115" w:hanging="420"/>
      </w:pPr>
    </w:lvl>
    <w:lvl w:ilvl="5" w:tentative="0">
      <w:start w:val="1"/>
      <w:numFmt w:val="lowerRoman"/>
      <w:lvlText w:val="%6."/>
      <w:lvlJc w:val="right"/>
      <w:pPr>
        <w:tabs>
          <w:tab w:val="left" w:pos="3535"/>
        </w:tabs>
        <w:ind w:left="3535" w:hanging="420"/>
      </w:pPr>
    </w:lvl>
    <w:lvl w:ilvl="6" w:tentative="0">
      <w:start w:val="1"/>
      <w:numFmt w:val="decimal"/>
      <w:lvlText w:val="%7."/>
      <w:lvlJc w:val="left"/>
      <w:pPr>
        <w:tabs>
          <w:tab w:val="left" w:pos="3955"/>
        </w:tabs>
        <w:ind w:left="3955" w:hanging="420"/>
      </w:pPr>
    </w:lvl>
    <w:lvl w:ilvl="7" w:tentative="0">
      <w:start w:val="1"/>
      <w:numFmt w:val="lowerLetter"/>
      <w:lvlText w:val="%8)"/>
      <w:lvlJc w:val="left"/>
      <w:pPr>
        <w:tabs>
          <w:tab w:val="left" w:pos="4375"/>
        </w:tabs>
        <w:ind w:left="4375" w:hanging="420"/>
      </w:pPr>
    </w:lvl>
    <w:lvl w:ilvl="8" w:tentative="0">
      <w:start w:val="1"/>
      <w:numFmt w:val="lowerRoman"/>
      <w:lvlText w:val="%9."/>
      <w:lvlJc w:val="right"/>
      <w:pPr>
        <w:tabs>
          <w:tab w:val="left" w:pos="4795"/>
        </w:tabs>
        <w:ind w:left="4795" w:hanging="420"/>
      </w:pPr>
    </w:lvl>
  </w:abstractNum>
  <w:abstractNum w:abstractNumId="7">
    <w:nsid w:val="2BA34322"/>
    <w:multiLevelType w:val="multilevel"/>
    <w:tmpl w:val="2BA34322"/>
    <w:lvl w:ilvl="0" w:tentative="0">
      <w:start w:val="1"/>
      <w:numFmt w:val="japaneseCounting"/>
      <w:lvlText w:val="第%1章"/>
      <w:lvlJc w:val="left"/>
      <w:pPr>
        <w:tabs>
          <w:tab w:val="left" w:pos="1650"/>
        </w:tabs>
        <w:ind w:left="1650" w:hanging="129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AA8DCB0"/>
    <w:multiLevelType w:val="singleLevel"/>
    <w:tmpl w:val="5AA8DCB0"/>
    <w:lvl w:ilvl="0" w:tentative="0">
      <w:start w:val="1"/>
      <w:numFmt w:val="decimal"/>
      <w:suff w:val="nothing"/>
      <w:lvlText w:val="%1、"/>
      <w:lvlJc w:val="left"/>
    </w:lvl>
  </w:abstractNum>
  <w:abstractNum w:abstractNumId="11">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1"/>
  </w:num>
  <w:num w:numId="4">
    <w:abstractNumId w:val="12"/>
  </w:num>
  <w:num w:numId="5">
    <w:abstractNumId w:val="9"/>
  </w:num>
  <w:num w:numId="6">
    <w:abstractNumId w:val="1"/>
  </w:num>
  <w:num w:numId="7">
    <w:abstractNumId w:val="5"/>
  </w:num>
  <w:num w:numId="8">
    <w:abstractNumId w:val="2"/>
  </w:num>
  <w:num w:numId="9">
    <w:abstractNumId w:val="6"/>
  </w:num>
  <w:num w:numId="10">
    <w:abstractNumId w:val="7"/>
  </w:num>
  <w:num w:numId="11">
    <w:abstractNumId w:val="0"/>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NDFmYjIyMDFmODY4NTU2MDE2MzNmYjkxYzY1YmQifQ=="/>
  </w:docVars>
  <w:rsids>
    <w:rsidRoot w:val="00172A27"/>
    <w:rsid w:val="000056B6"/>
    <w:rsid w:val="000076EB"/>
    <w:rsid w:val="00010824"/>
    <w:rsid w:val="00011C69"/>
    <w:rsid w:val="000176DA"/>
    <w:rsid w:val="00017F4A"/>
    <w:rsid w:val="000259A8"/>
    <w:rsid w:val="0003167F"/>
    <w:rsid w:val="00031B89"/>
    <w:rsid w:val="00034A88"/>
    <w:rsid w:val="000355C3"/>
    <w:rsid w:val="00035C01"/>
    <w:rsid w:val="000360A4"/>
    <w:rsid w:val="00036272"/>
    <w:rsid w:val="00037BFA"/>
    <w:rsid w:val="000432ED"/>
    <w:rsid w:val="00043EA6"/>
    <w:rsid w:val="000449A9"/>
    <w:rsid w:val="000464BC"/>
    <w:rsid w:val="00046AFB"/>
    <w:rsid w:val="00047D64"/>
    <w:rsid w:val="00051DDB"/>
    <w:rsid w:val="000524DF"/>
    <w:rsid w:val="00056106"/>
    <w:rsid w:val="00060BDF"/>
    <w:rsid w:val="00061C01"/>
    <w:rsid w:val="00063097"/>
    <w:rsid w:val="00065875"/>
    <w:rsid w:val="000737FC"/>
    <w:rsid w:val="000739EC"/>
    <w:rsid w:val="0007436A"/>
    <w:rsid w:val="000756F6"/>
    <w:rsid w:val="00075776"/>
    <w:rsid w:val="000763E5"/>
    <w:rsid w:val="00076F96"/>
    <w:rsid w:val="00081029"/>
    <w:rsid w:val="00081465"/>
    <w:rsid w:val="000864F6"/>
    <w:rsid w:val="00090E0B"/>
    <w:rsid w:val="00091CA2"/>
    <w:rsid w:val="00091EC9"/>
    <w:rsid w:val="0009361A"/>
    <w:rsid w:val="00093935"/>
    <w:rsid w:val="0009799D"/>
    <w:rsid w:val="000A09E0"/>
    <w:rsid w:val="000A15A6"/>
    <w:rsid w:val="000A2D28"/>
    <w:rsid w:val="000A4FE6"/>
    <w:rsid w:val="000A5CED"/>
    <w:rsid w:val="000A70C3"/>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06F4"/>
    <w:rsid w:val="00112F6D"/>
    <w:rsid w:val="0011313B"/>
    <w:rsid w:val="001220D4"/>
    <w:rsid w:val="0012603F"/>
    <w:rsid w:val="00130EAA"/>
    <w:rsid w:val="00130EB4"/>
    <w:rsid w:val="00134A1B"/>
    <w:rsid w:val="00134EE0"/>
    <w:rsid w:val="00136E83"/>
    <w:rsid w:val="00143EAA"/>
    <w:rsid w:val="00144CC4"/>
    <w:rsid w:val="00145E81"/>
    <w:rsid w:val="001500A1"/>
    <w:rsid w:val="0015108F"/>
    <w:rsid w:val="0015361A"/>
    <w:rsid w:val="00153D2A"/>
    <w:rsid w:val="001618BA"/>
    <w:rsid w:val="00162B16"/>
    <w:rsid w:val="001633CE"/>
    <w:rsid w:val="00167244"/>
    <w:rsid w:val="00170E92"/>
    <w:rsid w:val="00172395"/>
    <w:rsid w:val="00172A27"/>
    <w:rsid w:val="00173C23"/>
    <w:rsid w:val="00175AAF"/>
    <w:rsid w:val="00183796"/>
    <w:rsid w:val="00185079"/>
    <w:rsid w:val="00186FE1"/>
    <w:rsid w:val="00187220"/>
    <w:rsid w:val="00194AEF"/>
    <w:rsid w:val="00196E91"/>
    <w:rsid w:val="001A31AB"/>
    <w:rsid w:val="001A7A89"/>
    <w:rsid w:val="001B0C85"/>
    <w:rsid w:val="001B18B3"/>
    <w:rsid w:val="001B1FDC"/>
    <w:rsid w:val="001B2823"/>
    <w:rsid w:val="001B354A"/>
    <w:rsid w:val="001B3620"/>
    <w:rsid w:val="001B388E"/>
    <w:rsid w:val="001B3B0E"/>
    <w:rsid w:val="001B7144"/>
    <w:rsid w:val="001C1032"/>
    <w:rsid w:val="001C180D"/>
    <w:rsid w:val="001C3B26"/>
    <w:rsid w:val="001C53BD"/>
    <w:rsid w:val="001D0CC0"/>
    <w:rsid w:val="001D0DA4"/>
    <w:rsid w:val="001D2A08"/>
    <w:rsid w:val="001D3446"/>
    <w:rsid w:val="001D4132"/>
    <w:rsid w:val="001D4D35"/>
    <w:rsid w:val="001D5293"/>
    <w:rsid w:val="001D5A23"/>
    <w:rsid w:val="001D5FDA"/>
    <w:rsid w:val="001E0BCB"/>
    <w:rsid w:val="001E13CC"/>
    <w:rsid w:val="001E1C16"/>
    <w:rsid w:val="001E5ACA"/>
    <w:rsid w:val="001E6427"/>
    <w:rsid w:val="001F0DF3"/>
    <w:rsid w:val="001F0F8F"/>
    <w:rsid w:val="001F2DA3"/>
    <w:rsid w:val="001F642F"/>
    <w:rsid w:val="00200AA2"/>
    <w:rsid w:val="002026DC"/>
    <w:rsid w:val="00210A41"/>
    <w:rsid w:val="002113F6"/>
    <w:rsid w:val="0021263B"/>
    <w:rsid w:val="0021351E"/>
    <w:rsid w:val="002156D3"/>
    <w:rsid w:val="00216B28"/>
    <w:rsid w:val="00216C8E"/>
    <w:rsid w:val="00220DD5"/>
    <w:rsid w:val="00220F00"/>
    <w:rsid w:val="00222276"/>
    <w:rsid w:val="00224D31"/>
    <w:rsid w:val="00225FCB"/>
    <w:rsid w:val="0022669C"/>
    <w:rsid w:val="0022779B"/>
    <w:rsid w:val="00231598"/>
    <w:rsid w:val="00231BC2"/>
    <w:rsid w:val="002329FA"/>
    <w:rsid w:val="00237812"/>
    <w:rsid w:val="00246479"/>
    <w:rsid w:val="00247D31"/>
    <w:rsid w:val="002527EC"/>
    <w:rsid w:val="0026051F"/>
    <w:rsid w:val="00262E9E"/>
    <w:rsid w:val="0026552B"/>
    <w:rsid w:val="002713C4"/>
    <w:rsid w:val="0027169F"/>
    <w:rsid w:val="0027314A"/>
    <w:rsid w:val="00276156"/>
    <w:rsid w:val="0028153C"/>
    <w:rsid w:val="00281B32"/>
    <w:rsid w:val="0028435C"/>
    <w:rsid w:val="00290692"/>
    <w:rsid w:val="00290B93"/>
    <w:rsid w:val="00293DE8"/>
    <w:rsid w:val="0029438A"/>
    <w:rsid w:val="00294F2B"/>
    <w:rsid w:val="002950CF"/>
    <w:rsid w:val="002957B2"/>
    <w:rsid w:val="002A06AB"/>
    <w:rsid w:val="002A4F2C"/>
    <w:rsid w:val="002A5A2C"/>
    <w:rsid w:val="002A6E6C"/>
    <w:rsid w:val="002B1655"/>
    <w:rsid w:val="002B1779"/>
    <w:rsid w:val="002B1CDB"/>
    <w:rsid w:val="002B247F"/>
    <w:rsid w:val="002B28F2"/>
    <w:rsid w:val="002B390F"/>
    <w:rsid w:val="002B4604"/>
    <w:rsid w:val="002B4680"/>
    <w:rsid w:val="002B46E7"/>
    <w:rsid w:val="002B5FA1"/>
    <w:rsid w:val="002B646E"/>
    <w:rsid w:val="002B67C0"/>
    <w:rsid w:val="002B68F2"/>
    <w:rsid w:val="002B7042"/>
    <w:rsid w:val="002C17FA"/>
    <w:rsid w:val="002C20D3"/>
    <w:rsid w:val="002C4263"/>
    <w:rsid w:val="002D1DB2"/>
    <w:rsid w:val="002D224B"/>
    <w:rsid w:val="002D225D"/>
    <w:rsid w:val="002D39CD"/>
    <w:rsid w:val="002E321E"/>
    <w:rsid w:val="002E32E8"/>
    <w:rsid w:val="002E4104"/>
    <w:rsid w:val="002E4832"/>
    <w:rsid w:val="002E5A17"/>
    <w:rsid w:val="002E601A"/>
    <w:rsid w:val="002E7729"/>
    <w:rsid w:val="002F1770"/>
    <w:rsid w:val="002F2F49"/>
    <w:rsid w:val="002F2FB6"/>
    <w:rsid w:val="002F5F72"/>
    <w:rsid w:val="002F6981"/>
    <w:rsid w:val="00304929"/>
    <w:rsid w:val="00310A20"/>
    <w:rsid w:val="00320FEF"/>
    <w:rsid w:val="0032645B"/>
    <w:rsid w:val="00326D08"/>
    <w:rsid w:val="00334EF7"/>
    <w:rsid w:val="003507CC"/>
    <w:rsid w:val="00351E64"/>
    <w:rsid w:val="00355C44"/>
    <w:rsid w:val="00366A8E"/>
    <w:rsid w:val="00367444"/>
    <w:rsid w:val="003703B4"/>
    <w:rsid w:val="00371602"/>
    <w:rsid w:val="0037250B"/>
    <w:rsid w:val="00373E63"/>
    <w:rsid w:val="0037458F"/>
    <w:rsid w:val="00376231"/>
    <w:rsid w:val="003778AA"/>
    <w:rsid w:val="003803CD"/>
    <w:rsid w:val="003816EF"/>
    <w:rsid w:val="00383DEC"/>
    <w:rsid w:val="00385612"/>
    <w:rsid w:val="00387748"/>
    <w:rsid w:val="0039011E"/>
    <w:rsid w:val="00394350"/>
    <w:rsid w:val="003A02D7"/>
    <w:rsid w:val="003A0A59"/>
    <w:rsid w:val="003A1530"/>
    <w:rsid w:val="003A2293"/>
    <w:rsid w:val="003B63AA"/>
    <w:rsid w:val="003C1B37"/>
    <w:rsid w:val="003C2107"/>
    <w:rsid w:val="003C5F20"/>
    <w:rsid w:val="003C7852"/>
    <w:rsid w:val="003D08D2"/>
    <w:rsid w:val="003D1432"/>
    <w:rsid w:val="003D378B"/>
    <w:rsid w:val="003D6AD9"/>
    <w:rsid w:val="003D6CC0"/>
    <w:rsid w:val="003D6F83"/>
    <w:rsid w:val="003E0455"/>
    <w:rsid w:val="003E178A"/>
    <w:rsid w:val="003E6091"/>
    <w:rsid w:val="003E6268"/>
    <w:rsid w:val="003E6E76"/>
    <w:rsid w:val="003F0DEB"/>
    <w:rsid w:val="003F1C98"/>
    <w:rsid w:val="003F79DF"/>
    <w:rsid w:val="00400609"/>
    <w:rsid w:val="00402745"/>
    <w:rsid w:val="0040289E"/>
    <w:rsid w:val="004035B3"/>
    <w:rsid w:val="004104E5"/>
    <w:rsid w:val="00410849"/>
    <w:rsid w:val="0041633C"/>
    <w:rsid w:val="00417F77"/>
    <w:rsid w:val="004219E1"/>
    <w:rsid w:val="00421C0B"/>
    <w:rsid w:val="004232D1"/>
    <w:rsid w:val="004237F8"/>
    <w:rsid w:val="004247BB"/>
    <w:rsid w:val="00424FDA"/>
    <w:rsid w:val="00424FED"/>
    <w:rsid w:val="00425851"/>
    <w:rsid w:val="00425E9F"/>
    <w:rsid w:val="00427494"/>
    <w:rsid w:val="0043286E"/>
    <w:rsid w:val="00432A4C"/>
    <w:rsid w:val="00440313"/>
    <w:rsid w:val="00441077"/>
    <w:rsid w:val="00441E37"/>
    <w:rsid w:val="00442A84"/>
    <w:rsid w:val="00443C15"/>
    <w:rsid w:val="00453363"/>
    <w:rsid w:val="00455B7C"/>
    <w:rsid w:val="004610AF"/>
    <w:rsid w:val="00464592"/>
    <w:rsid w:val="00465512"/>
    <w:rsid w:val="00465B46"/>
    <w:rsid w:val="00467B48"/>
    <w:rsid w:val="004704B2"/>
    <w:rsid w:val="00480069"/>
    <w:rsid w:val="00480EBC"/>
    <w:rsid w:val="00485BC9"/>
    <w:rsid w:val="00494A82"/>
    <w:rsid w:val="00495FF5"/>
    <w:rsid w:val="0049618B"/>
    <w:rsid w:val="00497596"/>
    <w:rsid w:val="004A0A68"/>
    <w:rsid w:val="004A0C81"/>
    <w:rsid w:val="004A4BC1"/>
    <w:rsid w:val="004A58A7"/>
    <w:rsid w:val="004A6CB2"/>
    <w:rsid w:val="004B012C"/>
    <w:rsid w:val="004B1956"/>
    <w:rsid w:val="004B1C0B"/>
    <w:rsid w:val="004B4658"/>
    <w:rsid w:val="004B498E"/>
    <w:rsid w:val="004B631E"/>
    <w:rsid w:val="004C20F8"/>
    <w:rsid w:val="004C2993"/>
    <w:rsid w:val="004D3A80"/>
    <w:rsid w:val="004D5228"/>
    <w:rsid w:val="004E0461"/>
    <w:rsid w:val="004E069A"/>
    <w:rsid w:val="004E62B6"/>
    <w:rsid w:val="004F0CD8"/>
    <w:rsid w:val="004F1C24"/>
    <w:rsid w:val="004F204B"/>
    <w:rsid w:val="004F4B90"/>
    <w:rsid w:val="004F4ECD"/>
    <w:rsid w:val="00500014"/>
    <w:rsid w:val="0050046A"/>
    <w:rsid w:val="00504579"/>
    <w:rsid w:val="00504DD9"/>
    <w:rsid w:val="00505D0E"/>
    <w:rsid w:val="005104F0"/>
    <w:rsid w:val="005118AC"/>
    <w:rsid w:val="005120B4"/>
    <w:rsid w:val="00513729"/>
    <w:rsid w:val="00520A9F"/>
    <w:rsid w:val="00521994"/>
    <w:rsid w:val="0052762D"/>
    <w:rsid w:val="00531619"/>
    <w:rsid w:val="00531E96"/>
    <w:rsid w:val="00532AB0"/>
    <w:rsid w:val="00533DBA"/>
    <w:rsid w:val="005349DD"/>
    <w:rsid w:val="00534AD0"/>
    <w:rsid w:val="00543323"/>
    <w:rsid w:val="00545147"/>
    <w:rsid w:val="00553423"/>
    <w:rsid w:val="00562743"/>
    <w:rsid w:val="00562C82"/>
    <w:rsid w:val="00563FE2"/>
    <w:rsid w:val="005647DA"/>
    <w:rsid w:val="00572023"/>
    <w:rsid w:val="005722EB"/>
    <w:rsid w:val="00572685"/>
    <w:rsid w:val="00572707"/>
    <w:rsid w:val="0057296E"/>
    <w:rsid w:val="00572DA7"/>
    <w:rsid w:val="00573153"/>
    <w:rsid w:val="00573C62"/>
    <w:rsid w:val="00574517"/>
    <w:rsid w:val="00574AC0"/>
    <w:rsid w:val="0057726C"/>
    <w:rsid w:val="005807FA"/>
    <w:rsid w:val="00594BFB"/>
    <w:rsid w:val="005A3176"/>
    <w:rsid w:val="005A3911"/>
    <w:rsid w:val="005B0EE1"/>
    <w:rsid w:val="005B12C4"/>
    <w:rsid w:val="005B4961"/>
    <w:rsid w:val="005C05DD"/>
    <w:rsid w:val="005C1347"/>
    <w:rsid w:val="005C2FC9"/>
    <w:rsid w:val="005C32D0"/>
    <w:rsid w:val="005C5B28"/>
    <w:rsid w:val="005C75CD"/>
    <w:rsid w:val="005D0DAD"/>
    <w:rsid w:val="005D3236"/>
    <w:rsid w:val="005D391F"/>
    <w:rsid w:val="005D5C96"/>
    <w:rsid w:val="005D626C"/>
    <w:rsid w:val="005D62AF"/>
    <w:rsid w:val="005E226F"/>
    <w:rsid w:val="005E62A2"/>
    <w:rsid w:val="005E725B"/>
    <w:rsid w:val="005F2153"/>
    <w:rsid w:val="005F5F4A"/>
    <w:rsid w:val="005F65DF"/>
    <w:rsid w:val="005F7683"/>
    <w:rsid w:val="00601F4C"/>
    <w:rsid w:val="0060375A"/>
    <w:rsid w:val="00607F0D"/>
    <w:rsid w:val="00610176"/>
    <w:rsid w:val="00613879"/>
    <w:rsid w:val="00614F13"/>
    <w:rsid w:val="00622B54"/>
    <w:rsid w:val="00622BD7"/>
    <w:rsid w:val="00622F20"/>
    <w:rsid w:val="00624281"/>
    <w:rsid w:val="00626319"/>
    <w:rsid w:val="0062765A"/>
    <w:rsid w:val="0063060A"/>
    <w:rsid w:val="00630C07"/>
    <w:rsid w:val="00630C0C"/>
    <w:rsid w:val="0063568B"/>
    <w:rsid w:val="00640C51"/>
    <w:rsid w:val="006410EC"/>
    <w:rsid w:val="0064266B"/>
    <w:rsid w:val="00643C14"/>
    <w:rsid w:val="0064785E"/>
    <w:rsid w:val="00651B51"/>
    <w:rsid w:val="00651BB0"/>
    <w:rsid w:val="00654345"/>
    <w:rsid w:val="0065448D"/>
    <w:rsid w:val="006561CA"/>
    <w:rsid w:val="00656D78"/>
    <w:rsid w:val="0065724B"/>
    <w:rsid w:val="00660AD9"/>
    <w:rsid w:val="00661C43"/>
    <w:rsid w:val="0066575C"/>
    <w:rsid w:val="006658AC"/>
    <w:rsid w:val="0066795B"/>
    <w:rsid w:val="00670409"/>
    <w:rsid w:val="0067503A"/>
    <w:rsid w:val="006756FF"/>
    <w:rsid w:val="00675BB2"/>
    <w:rsid w:val="00676E46"/>
    <w:rsid w:val="006802C2"/>
    <w:rsid w:val="00682569"/>
    <w:rsid w:val="00684CC0"/>
    <w:rsid w:val="00685847"/>
    <w:rsid w:val="006859E8"/>
    <w:rsid w:val="00691990"/>
    <w:rsid w:val="00694AD5"/>
    <w:rsid w:val="006A0F51"/>
    <w:rsid w:val="006A3691"/>
    <w:rsid w:val="006A414E"/>
    <w:rsid w:val="006A5F7C"/>
    <w:rsid w:val="006A6858"/>
    <w:rsid w:val="006A7003"/>
    <w:rsid w:val="006B00F6"/>
    <w:rsid w:val="006B2313"/>
    <w:rsid w:val="006B2EFA"/>
    <w:rsid w:val="006C0DD3"/>
    <w:rsid w:val="006C20DF"/>
    <w:rsid w:val="006C3F78"/>
    <w:rsid w:val="006C6120"/>
    <w:rsid w:val="006C7DB2"/>
    <w:rsid w:val="006D02B6"/>
    <w:rsid w:val="006D042E"/>
    <w:rsid w:val="006D2517"/>
    <w:rsid w:val="006D3471"/>
    <w:rsid w:val="006D383C"/>
    <w:rsid w:val="006D4B08"/>
    <w:rsid w:val="006D5FD5"/>
    <w:rsid w:val="006D6999"/>
    <w:rsid w:val="006E165D"/>
    <w:rsid w:val="006E1A31"/>
    <w:rsid w:val="006E2CCD"/>
    <w:rsid w:val="006E2F22"/>
    <w:rsid w:val="006E4B98"/>
    <w:rsid w:val="006E4E35"/>
    <w:rsid w:val="006E6E80"/>
    <w:rsid w:val="006F1B11"/>
    <w:rsid w:val="006F1E2E"/>
    <w:rsid w:val="006F70E2"/>
    <w:rsid w:val="006F72F9"/>
    <w:rsid w:val="006F7DCD"/>
    <w:rsid w:val="0070043D"/>
    <w:rsid w:val="00705212"/>
    <w:rsid w:val="00706AC6"/>
    <w:rsid w:val="007079A5"/>
    <w:rsid w:val="007108A1"/>
    <w:rsid w:val="00711464"/>
    <w:rsid w:val="00711EA4"/>
    <w:rsid w:val="007124BE"/>
    <w:rsid w:val="00715D09"/>
    <w:rsid w:val="00716957"/>
    <w:rsid w:val="00720269"/>
    <w:rsid w:val="007219AF"/>
    <w:rsid w:val="007247E7"/>
    <w:rsid w:val="007249D9"/>
    <w:rsid w:val="00724A04"/>
    <w:rsid w:val="007269C7"/>
    <w:rsid w:val="00731CDC"/>
    <w:rsid w:val="00734807"/>
    <w:rsid w:val="00735AA2"/>
    <w:rsid w:val="00735EA4"/>
    <w:rsid w:val="007369A9"/>
    <w:rsid w:val="00740059"/>
    <w:rsid w:val="00740FB3"/>
    <w:rsid w:val="00742BA4"/>
    <w:rsid w:val="00743F9E"/>
    <w:rsid w:val="00744A89"/>
    <w:rsid w:val="00745687"/>
    <w:rsid w:val="00747962"/>
    <w:rsid w:val="0075070D"/>
    <w:rsid w:val="00751324"/>
    <w:rsid w:val="00752C78"/>
    <w:rsid w:val="00756A7B"/>
    <w:rsid w:val="007603C6"/>
    <w:rsid w:val="00762641"/>
    <w:rsid w:val="00766179"/>
    <w:rsid w:val="00767EB5"/>
    <w:rsid w:val="0077123A"/>
    <w:rsid w:val="00772A0F"/>
    <w:rsid w:val="0077391F"/>
    <w:rsid w:val="00774B74"/>
    <w:rsid w:val="00777AD6"/>
    <w:rsid w:val="007820A4"/>
    <w:rsid w:val="007847E9"/>
    <w:rsid w:val="00787F49"/>
    <w:rsid w:val="00790A08"/>
    <w:rsid w:val="00797C0F"/>
    <w:rsid w:val="007A5B87"/>
    <w:rsid w:val="007A78C7"/>
    <w:rsid w:val="007B3285"/>
    <w:rsid w:val="007B5519"/>
    <w:rsid w:val="007B5E42"/>
    <w:rsid w:val="007B6564"/>
    <w:rsid w:val="007C0417"/>
    <w:rsid w:val="007C2A28"/>
    <w:rsid w:val="007C4C08"/>
    <w:rsid w:val="007C6A3F"/>
    <w:rsid w:val="007D1679"/>
    <w:rsid w:val="007D2F26"/>
    <w:rsid w:val="007D7ED3"/>
    <w:rsid w:val="007E1E5B"/>
    <w:rsid w:val="007E2D8C"/>
    <w:rsid w:val="007E5E5D"/>
    <w:rsid w:val="007E5F14"/>
    <w:rsid w:val="007E71F5"/>
    <w:rsid w:val="007E73B0"/>
    <w:rsid w:val="007F0888"/>
    <w:rsid w:val="007F1017"/>
    <w:rsid w:val="007F4D32"/>
    <w:rsid w:val="00801DEF"/>
    <w:rsid w:val="0080217E"/>
    <w:rsid w:val="008031F1"/>
    <w:rsid w:val="008046AF"/>
    <w:rsid w:val="00804A4E"/>
    <w:rsid w:val="00807872"/>
    <w:rsid w:val="00817CCC"/>
    <w:rsid w:val="00826B74"/>
    <w:rsid w:val="0083050D"/>
    <w:rsid w:val="00831006"/>
    <w:rsid w:val="008334C2"/>
    <w:rsid w:val="00833DD4"/>
    <w:rsid w:val="008357E9"/>
    <w:rsid w:val="00835DAB"/>
    <w:rsid w:val="00840C93"/>
    <w:rsid w:val="0084304E"/>
    <w:rsid w:val="0084478C"/>
    <w:rsid w:val="00845769"/>
    <w:rsid w:val="0084595F"/>
    <w:rsid w:val="00855B04"/>
    <w:rsid w:val="00861FDE"/>
    <w:rsid w:val="008644A5"/>
    <w:rsid w:val="00865539"/>
    <w:rsid w:val="00865C5E"/>
    <w:rsid w:val="00867C65"/>
    <w:rsid w:val="00872B82"/>
    <w:rsid w:val="00874426"/>
    <w:rsid w:val="008761AB"/>
    <w:rsid w:val="00881621"/>
    <w:rsid w:val="00882CB7"/>
    <w:rsid w:val="00883B65"/>
    <w:rsid w:val="008855E4"/>
    <w:rsid w:val="008861AE"/>
    <w:rsid w:val="0088777C"/>
    <w:rsid w:val="00891743"/>
    <w:rsid w:val="008A594E"/>
    <w:rsid w:val="008A785C"/>
    <w:rsid w:val="008B4671"/>
    <w:rsid w:val="008B5C32"/>
    <w:rsid w:val="008B7216"/>
    <w:rsid w:val="008C000B"/>
    <w:rsid w:val="008C0272"/>
    <w:rsid w:val="008C0D6B"/>
    <w:rsid w:val="008C0E5E"/>
    <w:rsid w:val="008C3554"/>
    <w:rsid w:val="008C4E5C"/>
    <w:rsid w:val="008C633E"/>
    <w:rsid w:val="008C6F2C"/>
    <w:rsid w:val="008D1C83"/>
    <w:rsid w:val="008D37E6"/>
    <w:rsid w:val="008D47E6"/>
    <w:rsid w:val="008E1587"/>
    <w:rsid w:val="008E64B8"/>
    <w:rsid w:val="008F2A45"/>
    <w:rsid w:val="008F42F1"/>
    <w:rsid w:val="008F5042"/>
    <w:rsid w:val="00901464"/>
    <w:rsid w:val="00902732"/>
    <w:rsid w:val="00902DE7"/>
    <w:rsid w:val="00904AE8"/>
    <w:rsid w:val="0091049B"/>
    <w:rsid w:val="00912229"/>
    <w:rsid w:val="0091285B"/>
    <w:rsid w:val="00913FFD"/>
    <w:rsid w:val="009152B4"/>
    <w:rsid w:val="00915E8C"/>
    <w:rsid w:val="00916511"/>
    <w:rsid w:val="00921008"/>
    <w:rsid w:val="00921EAB"/>
    <w:rsid w:val="00921EB2"/>
    <w:rsid w:val="009238F5"/>
    <w:rsid w:val="0093690A"/>
    <w:rsid w:val="0094157C"/>
    <w:rsid w:val="00941C0A"/>
    <w:rsid w:val="00942893"/>
    <w:rsid w:val="00944384"/>
    <w:rsid w:val="00945555"/>
    <w:rsid w:val="0095414E"/>
    <w:rsid w:val="00954420"/>
    <w:rsid w:val="00957118"/>
    <w:rsid w:val="00957D1C"/>
    <w:rsid w:val="00961697"/>
    <w:rsid w:val="009633A0"/>
    <w:rsid w:val="00972AD9"/>
    <w:rsid w:val="00972D74"/>
    <w:rsid w:val="0097318E"/>
    <w:rsid w:val="00976425"/>
    <w:rsid w:val="009808B4"/>
    <w:rsid w:val="009864F9"/>
    <w:rsid w:val="0099054D"/>
    <w:rsid w:val="00991605"/>
    <w:rsid w:val="00992349"/>
    <w:rsid w:val="00994A20"/>
    <w:rsid w:val="009954FA"/>
    <w:rsid w:val="00995F1A"/>
    <w:rsid w:val="009A00B0"/>
    <w:rsid w:val="009A5221"/>
    <w:rsid w:val="009A6223"/>
    <w:rsid w:val="009B11D3"/>
    <w:rsid w:val="009B42B8"/>
    <w:rsid w:val="009B45E1"/>
    <w:rsid w:val="009B5AAB"/>
    <w:rsid w:val="009B5D0A"/>
    <w:rsid w:val="009B5E2B"/>
    <w:rsid w:val="009C08A6"/>
    <w:rsid w:val="009C0994"/>
    <w:rsid w:val="009C339F"/>
    <w:rsid w:val="009C401D"/>
    <w:rsid w:val="009C6E88"/>
    <w:rsid w:val="009C7C3E"/>
    <w:rsid w:val="009D1A82"/>
    <w:rsid w:val="009D1BC2"/>
    <w:rsid w:val="009D4E57"/>
    <w:rsid w:val="009E2CC8"/>
    <w:rsid w:val="009E3926"/>
    <w:rsid w:val="009E6071"/>
    <w:rsid w:val="009E66FD"/>
    <w:rsid w:val="009E695E"/>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5ECA"/>
    <w:rsid w:val="00A52C70"/>
    <w:rsid w:val="00A53540"/>
    <w:rsid w:val="00A55409"/>
    <w:rsid w:val="00A556AC"/>
    <w:rsid w:val="00A60B1F"/>
    <w:rsid w:val="00A62048"/>
    <w:rsid w:val="00A627F3"/>
    <w:rsid w:val="00A720FD"/>
    <w:rsid w:val="00A77293"/>
    <w:rsid w:val="00A77387"/>
    <w:rsid w:val="00A80309"/>
    <w:rsid w:val="00A80EE8"/>
    <w:rsid w:val="00A83574"/>
    <w:rsid w:val="00A844F5"/>
    <w:rsid w:val="00A85050"/>
    <w:rsid w:val="00A85AED"/>
    <w:rsid w:val="00A908C4"/>
    <w:rsid w:val="00A91861"/>
    <w:rsid w:val="00AA24F4"/>
    <w:rsid w:val="00AA2A71"/>
    <w:rsid w:val="00AB0C96"/>
    <w:rsid w:val="00AB3A97"/>
    <w:rsid w:val="00AB4BAF"/>
    <w:rsid w:val="00AB5D9E"/>
    <w:rsid w:val="00AB762D"/>
    <w:rsid w:val="00AB7CB0"/>
    <w:rsid w:val="00AC358B"/>
    <w:rsid w:val="00AC3C7D"/>
    <w:rsid w:val="00AC5E2A"/>
    <w:rsid w:val="00AD10E6"/>
    <w:rsid w:val="00AD2213"/>
    <w:rsid w:val="00AE5536"/>
    <w:rsid w:val="00AF0FAA"/>
    <w:rsid w:val="00AF1C97"/>
    <w:rsid w:val="00AF28CD"/>
    <w:rsid w:val="00AF2A35"/>
    <w:rsid w:val="00AF3353"/>
    <w:rsid w:val="00AF5A33"/>
    <w:rsid w:val="00AF674F"/>
    <w:rsid w:val="00AF6F50"/>
    <w:rsid w:val="00AF7370"/>
    <w:rsid w:val="00B01752"/>
    <w:rsid w:val="00B02899"/>
    <w:rsid w:val="00B02F52"/>
    <w:rsid w:val="00B061D5"/>
    <w:rsid w:val="00B07221"/>
    <w:rsid w:val="00B15DFE"/>
    <w:rsid w:val="00B16590"/>
    <w:rsid w:val="00B168B4"/>
    <w:rsid w:val="00B20110"/>
    <w:rsid w:val="00B21407"/>
    <w:rsid w:val="00B23A07"/>
    <w:rsid w:val="00B23DA3"/>
    <w:rsid w:val="00B268AF"/>
    <w:rsid w:val="00B310FE"/>
    <w:rsid w:val="00B31F50"/>
    <w:rsid w:val="00B32028"/>
    <w:rsid w:val="00B324A5"/>
    <w:rsid w:val="00B335B1"/>
    <w:rsid w:val="00B35514"/>
    <w:rsid w:val="00B35E16"/>
    <w:rsid w:val="00B367AE"/>
    <w:rsid w:val="00B36EA2"/>
    <w:rsid w:val="00B3729D"/>
    <w:rsid w:val="00B43AA6"/>
    <w:rsid w:val="00B46D0B"/>
    <w:rsid w:val="00B479B0"/>
    <w:rsid w:val="00B47C31"/>
    <w:rsid w:val="00B5212F"/>
    <w:rsid w:val="00B52AF4"/>
    <w:rsid w:val="00B537AA"/>
    <w:rsid w:val="00B56FF2"/>
    <w:rsid w:val="00B6379E"/>
    <w:rsid w:val="00B65BA6"/>
    <w:rsid w:val="00B66863"/>
    <w:rsid w:val="00B7429A"/>
    <w:rsid w:val="00B8179D"/>
    <w:rsid w:val="00B84903"/>
    <w:rsid w:val="00B86262"/>
    <w:rsid w:val="00B90670"/>
    <w:rsid w:val="00B92025"/>
    <w:rsid w:val="00B92482"/>
    <w:rsid w:val="00B967ED"/>
    <w:rsid w:val="00B96C04"/>
    <w:rsid w:val="00B97A30"/>
    <w:rsid w:val="00BA17CC"/>
    <w:rsid w:val="00BA4CCD"/>
    <w:rsid w:val="00BA5733"/>
    <w:rsid w:val="00BA6742"/>
    <w:rsid w:val="00BA7DCB"/>
    <w:rsid w:val="00BC231E"/>
    <w:rsid w:val="00BC4FE1"/>
    <w:rsid w:val="00BC5F50"/>
    <w:rsid w:val="00BC6211"/>
    <w:rsid w:val="00BD2C47"/>
    <w:rsid w:val="00BD42DF"/>
    <w:rsid w:val="00BD4D76"/>
    <w:rsid w:val="00BD4E36"/>
    <w:rsid w:val="00BD763B"/>
    <w:rsid w:val="00BE0BD0"/>
    <w:rsid w:val="00BE0C40"/>
    <w:rsid w:val="00BE2913"/>
    <w:rsid w:val="00BE32F3"/>
    <w:rsid w:val="00BE4C8A"/>
    <w:rsid w:val="00BE7899"/>
    <w:rsid w:val="00BF233E"/>
    <w:rsid w:val="00BF3315"/>
    <w:rsid w:val="00BF63A3"/>
    <w:rsid w:val="00BF6944"/>
    <w:rsid w:val="00BF69DB"/>
    <w:rsid w:val="00C00D16"/>
    <w:rsid w:val="00C01E4D"/>
    <w:rsid w:val="00C02050"/>
    <w:rsid w:val="00C02E49"/>
    <w:rsid w:val="00C053B5"/>
    <w:rsid w:val="00C05BD3"/>
    <w:rsid w:val="00C06780"/>
    <w:rsid w:val="00C06B71"/>
    <w:rsid w:val="00C12DF3"/>
    <w:rsid w:val="00C15166"/>
    <w:rsid w:val="00C17134"/>
    <w:rsid w:val="00C20ACB"/>
    <w:rsid w:val="00C22317"/>
    <w:rsid w:val="00C224CF"/>
    <w:rsid w:val="00C26C13"/>
    <w:rsid w:val="00C317CA"/>
    <w:rsid w:val="00C34B36"/>
    <w:rsid w:val="00C34CE5"/>
    <w:rsid w:val="00C362FD"/>
    <w:rsid w:val="00C40674"/>
    <w:rsid w:val="00C45201"/>
    <w:rsid w:val="00C5104C"/>
    <w:rsid w:val="00C51A5F"/>
    <w:rsid w:val="00C53775"/>
    <w:rsid w:val="00C57033"/>
    <w:rsid w:val="00C6149A"/>
    <w:rsid w:val="00C61A4D"/>
    <w:rsid w:val="00C63FF4"/>
    <w:rsid w:val="00C650C0"/>
    <w:rsid w:val="00C72612"/>
    <w:rsid w:val="00C90FC0"/>
    <w:rsid w:val="00C94EED"/>
    <w:rsid w:val="00C9738A"/>
    <w:rsid w:val="00CA0562"/>
    <w:rsid w:val="00CA085D"/>
    <w:rsid w:val="00CA5206"/>
    <w:rsid w:val="00CA6B7F"/>
    <w:rsid w:val="00CB450A"/>
    <w:rsid w:val="00CB4882"/>
    <w:rsid w:val="00CB5439"/>
    <w:rsid w:val="00CB689E"/>
    <w:rsid w:val="00CB694A"/>
    <w:rsid w:val="00CB7BC5"/>
    <w:rsid w:val="00CC0844"/>
    <w:rsid w:val="00CC0E95"/>
    <w:rsid w:val="00CC2D24"/>
    <w:rsid w:val="00CC3041"/>
    <w:rsid w:val="00CD26A8"/>
    <w:rsid w:val="00CD369E"/>
    <w:rsid w:val="00CD3EB4"/>
    <w:rsid w:val="00CD4BCD"/>
    <w:rsid w:val="00CD68B8"/>
    <w:rsid w:val="00CD79DA"/>
    <w:rsid w:val="00CE1EC9"/>
    <w:rsid w:val="00CE1FD8"/>
    <w:rsid w:val="00CE68B4"/>
    <w:rsid w:val="00CE768C"/>
    <w:rsid w:val="00CF0CCB"/>
    <w:rsid w:val="00D00BD3"/>
    <w:rsid w:val="00D01379"/>
    <w:rsid w:val="00D0569E"/>
    <w:rsid w:val="00D06203"/>
    <w:rsid w:val="00D068E5"/>
    <w:rsid w:val="00D1137B"/>
    <w:rsid w:val="00D1146C"/>
    <w:rsid w:val="00D23560"/>
    <w:rsid w:val="00D250A4"/>
    <w:rsid w:val="00D27402"/>
    <w:rsid w:val="00D30536"/>
    <w:rsid w:val="00D31E4B"/>
    <w:rsid w:val="00D3220D"/>
    <w:rsid w:val="00D325EA"/>
    <w:rsid w:val="00D3565A"/>
    <w:rsid w:val="00D37D6C"/>
    <w:rsid w:val="00D411BC"/>
    <w:rsid w:val="00D41306"/>
    <w:rsid w:val="00D45F49"/>
    <w:rsid w:val="00D45F64"/>
    <w:rsid w:val="00D45FE6"/>
    <w:rsid w:val="00D506F5"/>
    <w:rsid w:val="00D51A3F"/>
    <w:rsid w:val="00D54273"/>
    <w:rsid w:val="00D55ADC"/>
    <w:rsid w:val="00D571FE"/>
    <w:rsid w:val="00D62DF1"/>
    <w:rsid w:val="00D64327"/>
    <w:rsid w:val="00D646AA"/>
    <w:rsid w:val="00D65D0B"/>
    <w:rsid w:val="00D667BC"/>
    <w:rsid w:val="00D67830"/>
    <w:rsid w:val="00D71514"/>
    <w:rsid w:val="00D72228"/>
    <w:rsid w:val="00D72BB3"/>
    <w:rsid w:val="00D747CE"/>
    <w:rsid w:val="00D75CAE"/>
    <w:rsid w:val="00D761EE"/>
    <w:rsid w:val="00D829AD"/>
    <w:rsid w:val="00D83EE7"/>
    <w:rsid w:val="00D852B7"/>
    <w:rsid w:val="00D860F4"/>
    <w:rsid w:val="00D8765D"/>
    <w:rsid w:val="00D91269"/>
    <w:rsid w:val="00D92486"/>
    <w:rsid w:val="00D96F9A"/>
    <w:rsid w:val="00DA178E"/>
    <w:rsid w:val="00DA1939"/>
    <w:rsid w:val="00DA6A22"/>
    <w:rsid w:val="00DB220B"/>
    <w:rsid w:val="00DB653E"/>
    <w:rsid w:val="00DB7A77"/>
    <w:rsid w:val="00DC0934"/>
    <w:rsid w:val="00DC19F5"/>
    <w:rsid w:val="00DC244A"/>
    <w:rsid w:val="00DD10CD"/>
    <w:rsid w:val="00DD2B8D"/>
    <w:rsid w:val="00DE4818"/>
    <w:rsid w:val="00DE4B0C"/>
    <w:rsid w:val="00DE4B8A"/>
    <w:rsid w:val="00DF0246"/>
    <w:rsid w:val="00DF2F86"/>
    <w:rsid w:val="00DF4D97"/>
    <w:rsid w:val="00DF6191"/>
    <w:rsid w:val="00DF780E"/>
    <w:rsid w:val="00E04115"/>
    <w:rsid w:val="00E05A25"/>
    <w:rsid w:val="00E06BE5"/>
    <w:rsid w:val="00E114E0"/>
    <w:rsid w:val="00E127EE"/>
    <w:rsid w:val="00E1663B"/>
    <w:rsid w:val="00E21620"/>
    <w:rsid w:val="00E22818"/>
    <w:rsid w:val="00E264B0"/>
    <w:rsid w:val="00E26CB6"/>
    <w:rsid w:val="00E32C0B"/>
    <w:rsid w:val="00E33989"/>
    <w:rsid w:val="00E41A7C"/>
    <w:rsid w:val="00E42196"/>
    <w:rsid w:val="00E434F5"/>
    <w:rsid w:val="00E43AA8"/>
    <w:rsid w:val="00E44511"/>
    <w:rsid w:val="00E547C7"/>
    <w:rsid w:val="00E6011D"/>
    <w:rsid w:val="00E66313"/>
    <w:rsid w:val="00E71EEB"/>
    <w:rsid w:val="00E72D95"/>
    <w:rsid w:val="00E7749B"/>
    <w:rsid w:val="00E77FB9"/>
    <w:rsid w:val="00E80D1E"/>
    <w:rsid w:val="00E81B72"/>
    <w:rsid w:val="00E84918"/>
    <w:rsid w:val="00E90FA3"/>
    <w:rsid w:val="00E91137"/>
    <w:rsid w:val="00E94895"/>
    <w:rsid w:val="00E950EE"/>
    <w:rsid w:val="00E972E9"/>
    <w:rsid w:val="00EA293F"/>
    <w:rsid w:val="00EA49D6"/>
    <w:rsid w:val="00EA4AF9"/>
    <w:rsid w:val="00EB0D07"/>
    <w:rsid w:val="00EB1556"/>
    <w:rsid w:val="00EB17A4"/>
    <w:rsid w:val="00EB3115"/>
    <w:rsid w:val="00EB330A"/>
    <w:rsid w:val="00EB54E6"/>
    <w:rsid w:val="00EB556C"/>
    <w:rsid w:val="00EB5B56"/>
    <w:rsid w:val="00EB75AB"/>
    <w:rsid w:val="00EB7D5C"/>
    <w:rsid w:val="00EC3107"/>
    <w:rsid w:val="00EC4AB3"/>
    <w:rsid w:val="00EC603D"/>
    <w:rsid w:val="00EC618E"/>
    <w:rsid w:val="00ED12D4"/>
    <w:rsid w:val="00ED1F4A"/>
    <w:rsid w:val="00ED421F"/>
    <w:rsid w:val="00ED4E89"/>
    <w:rsid w:val="00EE1C32"/>
    <w:rsid w:val="00EE20B7"/>
    <w:rsid w:val="00F00998"/>
    <w:rsid w:val="00F044FB"/>
    <w:rsid w:val="00F045CB"/>
    <w:rsid w:val="00F04AE7"/>
    <w:rsid w:val="00F06D26"/>
    <w:rsid w:val="00F07760"/>
    <w:rsid w:val="00F0784F"/>
    <w:rsid w:val="00F146CD"/>
    <w:rsid w:val="00F148E3"/>
    <w:rsid w:val="00F204B5"/>
    <w:rsid w:val="00F2464A"/>
    <w:rsid w:val="00F25E73"/>
    <w:rsid w:val="00F270CD"/>
    <w:rsid w:val="00F37387"/>
    <w:rsid w:val="00F41DAF"/>
    <w:rsid w:val="00F4432F"/>
    <w:rsid w:val="00F51B64"/>
    <w:rsid w:val="00F52B8C"/>
    <w:rsid w:val="00F602DF"/>
    <w:rsid w:val="00F609AD"/>
    <w:rsid w:val="00F6183C"/>
    <w:rsid w:val="00F66BED"/>
    <w:rsid w:val="00F67C33"/>
    <w:rsid w:val="00F7008C"/>
    <w:rsid w:val="00F730FF"/>
    <w:rsid w:val="00F74506"/>
    <w:rsid w:val="00F77351"/>
    <w:rsid w:val="00F80836"/>
    <w:rsid w:val="00F81A9D"/>
    <w:rsid w:val="00F83C5D"/>
    <w:rsid w:val="00F83DAA"/>
    <w:rsid w:val="00F854CB"/>
    <w:rsid w:val="00F91EFD"/>
    <w:rsid w:val="00F92199"/>
    <w:rsid w:val="00F92B5A"/>
    <w:rsid w:val="00F92E18"/>
    <w:rsid w:val="00F93C95"/>
    <w:rsid w:val="00F95CCB"/>
    <w:rsid w:val="00FA019D"/>
    <w:rsid w:val="00FA1D2C"/>
    <w:rsid w:val="00FA1F1A"/>
    <w:rsid w:val="00FA1F5C"/>
    <w:rsid w:val="00FA2237"/>
    <w:rsid w:val="00FA2C5D"/>
    <w:rsid w:val="00FA5FF9"/>
    <w:rsid w:val="00FA7D49"/>
    <w:rsid w:val="00FB2D68"/>
    <w:rsid w:val="00FB49E3"/>
    <w:rsid w:val="00FB64AE"/>
    <w:rsid w:val="00FB7DA7"/>
    <w:rsid w:val="00FC122F"/>
    <w:rsid w:val="00FC2897"/>
    <w:rsid w:val="00FC3451"/>
    <w:rsid w:val="00FD2F77"/>
    <w:rsid w:val="00FD2F93"/>
    <w:rsid w:val="00FD39DD"/>
    <w:rsid w:val="00FD4264"/>
    <w:rsid w:val="00FD71F3"/>
    <w:rsid w:val="00FE7373"/>
    <w:rsid w:val="00FF1ECD"/>
    <w:rsid w:val="00FF3BB7"/>
    <w:rsid w:val="00FF4339"/>
    <w:rsid w:val="00FF4D2D"/>
    <w:rsid w:val="00FF6AE6"/>
    <w:rsid w:val="0108730E"/>
    <w:rsid w:val="01276CE6"/>
    <w:rsid w:val="01391AF7"/>
    <w:rsid w:val="013F297A"/>
    <w:rsid w:val="014B7C83"/>
    <w:rsid w:val="01536131"/>
    <w:rsid w:val="015B4FE6"/>
    <w:rsid w:val="01610748"/>
    <w:rsid w:val="018536B1"/>
    <w:rsid w:val="018B7D8A"/>
    <w:rsid w:val="01905F0E"/>
    <w:rsid w:val="01973B44"/>
    <w:rsid w:val="01981761"/>
    <w:rsid w:val="01A064DF"/>
    <w:rsid w:val="01A56820"/>
    <w:rsid w:val="01B73196"/>
    <w:rsid w:val="01D93DF4"/>
    <w:rsid w:val="01DB0F21"/>
    <w:rsid w:val="01DD7779"/>
    <w:rsid w:val="01E30D5E"/>
    <w:rsid w:val="01F85948"/>
    <w:rsid w:val="022C6982"/>
    <w:rsid w:val="02421D02"/>
    <w:rsid w:val="027D1EDC"/>
    <w:rsid w:val="02AA6F17"/>
    <w:rsid w:val="02BF15A4"/>
    <w:rsid w:val="02C72207"/>
    <w:rsid w:val="02CD3CC1"/>
    <w:rsid w:val="02D2752A"/>
    <w:rsid w:val="02E6429D"/>
    <w:rsid w:val="03175CD1"/>
    <w:rsid w:val="032E5AB3"/>
    <w:rsid w:val="034A3564"/>
    <w:rsid w:val="03553354"/>
    <w:rsid w:val="03563191"/>
    <w:rsid w:val="0380752A"/>
    <w:rsid w:val="03AA4003"/>
    <w:rsid w:val="03B31109"/>
    <w:rsid w:val="03C54999"/>
    <w:rsid w:val="03E70365"/>
    <w:rsid w:val="03F42DA6"/>
    <w:rsid w:val="04243DB5"/>
    <w:rsid w:val="04267B2D"/>
    <w:rsid w:val="04316173"/>
    <w:rsid w:val="04355073"/>
    <w:rsid w:val="044004C3"/>
    <w:rsid w:val="048474F5"/>
    <w:rsid w:val="04874841"/>
    <w:rsid w:val="04877EA0"/>
    <w:rsid w:val="048E7480"/>
    <w:rsid w:val="04AF0DC0"/>
    <w:rsid w:val="04B47551"/>
    <w:rsid w:val="04DC0C65"/>
    <w:rsid w:val="04E35F2C"/>
    <w:rsid w:val="050D2A9B"/>
    <w:rsid w:val="055D7389"/>
    <w:rsid w:val="05880374"/>
    <w:rsid w:val="058B5170"/>
    <w:rsid w:val="05CA3B1B"/>
    <w:rsid w:val="05D40F8A"/>
    <w:rsid w:val="05D709B3"/>
    <w:rsid w:val="05E97CB2"/>
    <w:rsid w:val="060A6FDB"/>
    <w:rsid w:val="060D6A3B"/>
    <w:rsid w:val="06193B1E"/>
    <w:rsid w:val="06383C8B"/>
    <w:rsid w:val="066300E8"/>
    <w:rsid w:val="06787FCA"/>
    <w:rsid w:val="069C5471"/>
    <w:rsid w:val="06C6067E"/>
    <w:rsid w:val="06CA1A36"/>
    <w:rsid w:val="06DF18E2"/>
    <w:rsid w:val="0707497A"/>
    <w:rsid w:val="07394A3D"/>
    <w:rsid w:val="07416329"/>
    <w:rsid w:val="07501B9E"/>
    <w:rsid w:val="075229E7"/>
    <w:rsid w:val="075B3A48"/>
    <w:rsid w:val="07862691"/>
    <w:rsid w:val="07866B35"/>
    <w:rsid w:val="079750E5"/>
    <w:rsid w:val="07CD6512"/>
    <w:rsid w:val="07F309D2"/>
    <w:rsid w:val="0838785B"/>
    <w:rsid w:val="084542FA"/>
    <w:rsid w:val="085F360E"/>
    <w:rsid w:val="08621D9B"/>
    <w:rsid w:val="087D0B78"/>
    <w:rsid w:val="08895290"/>
    <w:rsid w:val="08980420"/>
    <w:rsid w:val="08B17303"/>
    <w:rsid w:val="08C82A03"/>
    <w:rsid w:val="08DA08BA"/>
    <w:rsid w:val="091F2D9D"/>
    <w:rsid w:val="0920129B"/>
    <w:rsid w:val="092E2FE0"/>
    <w:rsid w:val="09823E4D"/>
    <w:rsid w:val="098852A8"/>
    <w:rsid w:val="099E0166"/>
    <w:rsid w:val="09CF47C3"/>
    <w:rsid w:val="0A1C72DC"/>
    <w:rsid w:val="0A3B59B5"/>
    <w:rsid w:val="0A4B18CE"/>
    <w:rsid w:val="0A726EFC"/>
    <w:rsid w:val="0A8A4B12"/>
    <w:rsid w:val="0A8F3F52"/>
    <w:rsid w:val="0A9B28F7"/>
    <w:rsid w:val="0ABD1A37"/>
    <w:rsid w:val="0AC800D5"/>
    <w:rsid w:val="0ACC485F"/>
    <w:rsid w:val="0AD007F3"/>
    <w:rsid w:val="0ADD2F10"/>
    <w:rsid w:val="0AE97B65"/>
    <w:rsid w:val="0AF02C43"/>
    <w:rsid w:val="0AFA19A7"/>
    <w:rsid w:val="0AFD710E"/>
    <w:rsid w:val="0B0D1FF7"/>
    <w:rsid w:val="0B14507C"/>
    <w:rsid w:val="0B181252"/>
    <w:rsid w:val="0B2543AA"/>
    <w:rsid w:val="0B501E24"/>
    <w:rsid w:val="0B651CEF"/>
    <w:rsid w:val="0BC11EE9"/>
    <w:rsid w:val="0BC419DA"/>
    <w:rsid w:val="0BD51DDE"/>
    <w:rsid w:val="0C1464BD"/>
    <w:rsid w:val="0C19193C"/>
    <w:rsid w:val="0C275A89"/>
    <w:rsid w:val="0C2F1549"/>
    <w:rsid w:val="0C41127C"/>
    <w:rsid w:val="0C4F74F5"/>
    <w:rsid w:val="0CA04243"/>
    <w:rsid w:val="0CAC7F34"/>
    <w:rsid w:val="0CB33F28"/>
    <w:rsid w:val="0CBB5882"/>
    <w:rsid w:val="0CCA46C4"/>
    <w:rsid w:val="0CE91C05"/>
    <w:rsid w:val="0D2B61B4"/>
    <w:rsid w:val="0D4C7ED9"/>
    <w:rsid w:val="0D531CDF"/>
    <w:rsid w:val="0D5373DA"/>
    <w:rsid w:val="0D567AA7"/>
    <w:rsid w:val="0D584ACF"/>
    <w:rsid w:val="0D990137"/>
    <w:rsid w:val="0DC3019B"/>
    <w:rsid w:val="0DC7755F"/>
    <w:rsid w:val="0DCA3125"/>
    <w:rsid w:val="0DE3083D"/>
    <w:rsid w:val="0E1A1D85"/>
    <w:rsid w:val="0E3506BD"/>
    <w:rsid w:val="0E416A77"/>
    <w:rsid w:val="0E5C2657"/>
    <w:rsid w:val="0E702B50"/>
    <w:rsid w:val="0EA34036"/>
    <w:rsid w:val="0EB049DF"/>
    <w:rsid w:val="0EB45D35"/>
    <w:rsid w:val="0EB63F9D"/>
    <w:rsid w:val="0EB67D00"/>
    <w:rsid w:val="0EBF530F"/>
    <w:rsid w:val="0EDD34DE"/>
    <w:rsid w:val="0F245037"/>
    <w:rsid w:val="0F296723"/>
    <w:rsid w:val="0F2D5820"/>
    <w:rsid w:val="0F501F02"/>
    <w:rsid w:val="0F54794B"/>
    <w:rsid w:val="0F5A5680"/>
    <w:rsid w:val="0F615EBD"/>
    <w:rsid w:val="0F6A354E"/>
    <w:rsid w:val="0F88478D"/>
    <w:rsid w:val="0F937B47"/>
    <w:rsid w:val="0F9F59A1"/>
    <w:rsid w:val="0FB72BC0"/>
    <w:rsid w:val="0FB73DA5"/>
    <w:rsid w:val="0FC300AE"/>
    <w:rsid w:val="0FDE2587"/>
    <w:rsid w:val="101D1403"/>
    <w:rsid w:val="10276FD4"/>
    <w:rsid w:val="10345380"/>
    <w:rsid w:val="103649EC"/>
    <w:rsid w:val="104024CE"/>
    <w:rsid w:val="10507757"/>
    <w:rsid w:val="105517FE"/>
    <w:rsid w:val="107A1082"/>
    <w:rsid w:val="108553A4"/>
    <w:rsid w:val="1089436C"/>
    <w:rsid w:val="109E7189"/>
    <w:rsid w:val="10C72BB3"/>
    <w:rsid w:val="10F63C91"/>
    <w:rsid w:val="11124F95"/>
    <w:rsid w:val="115206FB"/>
    <w:rsid w:val="11741F20"/>
    <w:rsid w:val="117F16D1"/>
    <w:rsid w:val="118F0A1B"/>
    <w:rsid w:val="11A2456B"/>
    <w:rsid w:val="11A976A8"/>
    <w:rsid w:val="11B40613"/>
    <w:rsid w:val="11BA18B5"/>
    <w:rsid w:val="11BE2022"/>
    <w:rsid w:val="11C24BBF"/>
    <w:rsid w:val="11D83EA2"/>
    <w:rsid w:val="11D94DA9"/>
    <w:rsid w:val="11DA17E7"/>
    <w:rsid w:val="11E47B0D"/>
    <w:rsid w:val="11F34DC7"/>
    <w:rsid w:val="122510EE"/>
    <w:rsid w:val="1230601B"/>
    <w:rsid w:val="12405481"/>
    <w:rsid w:val="12412B15"/>
    <w:rsid w:val="12433661"/>
    <w:rsid w:val="12704669"/>
    <w:rsid w:val="12791770"/>
    <w:rsid w:val="128D1331"/>
    <w:rsid w:val="12A3368F"/>
    <w:rsid w:val="12B24C82"/>
    <w:rsid w:val="12C1355D"/>
    <w:rsid w:val="12C8707A"/>
    <w:rsid w:val="12CF1390"/>
    <w:rsid w:val="12E45159"/>
    <w:rsid w:val="12EA1EE6"/>
    <w:rsid w:val="12EF7289"/>
    <w:rsid w:val="12FE0E52"/>
    <w:rsid w:val="13002033"/>
    <w:rsid w:val="13010001"/>
    <w:rsid w:val="133D7CD4"/>
    <w:rsid w:val="13405DEA"/>
    <w:rsid w:val="134D5A81"/>
    <w:rsid w:val="13741F37"/>
    <w:rsid w:val="137F4B64"/>
    <w:rsid w:val="13BA001A"/>
    <w:rsid w:val="13BB5F19"/>
    <w:rsid w:val="13BF6991"/>
    <w:rsid w:val="13F03DED"/>
    <w:rsid w:val="13F14CED"/>
    <w:rsid w:val="13F95DC4"/>
    <w:rsid w:val="141B23B3"/>
    <w:rsid w:val="141F00F5"/>
    <w:rsid w:val="142A3E2D"/>
    <w:rsid w:val="144A7973"/>
    <w:rsid w:val="14FA1062"/>
    <w:rsid w:val="14FB7DA2"/>
    <w:rsid w:val="150C2B30"/>
    <w:rsid w:val="151F0D11"/>
    <w:rsid w:val="15363948"/>
    <w:rsid w:val="15427A3C"/>
    <w:rsid w:val="15436E45"/>
    <w:rsid w:val="154F4A0A"/>
    <w:rsid w:val="158710F3"/>
    <w:rsid w:val="15875F52"/>
    <w:rsid w:val="15AD515A"/>
    <w:rsid w:val="15C222D5"/>
    <w:rsid w:val="15C772F3"/>
    <w:rsid w:val="15CE4C34"/>
    <w:rsid w:val="15E45152"/>
    <w:rsid w:val="15F0775C"/>
    <w:rsid w:val="15F15AC1"/>
    <w:rsid w:val="16036691"/>
    <w:rsid w:val="160A0AD0"/>
    <w:rsid w:val="161E145D"/>
    <w:rsid w:val="16401732"/>
    <w:rsid w:val="16425791"/>
    <w:rsid w:val="16436D08"/>
    <w:rsid w:val="164F3B4E"/>
    <w:rsid w:val="165027E8"/>
    <w:rsid w:val="165B6F79"/>
    <w:rsid w:val="166A519E"/>
    <w:rsid w:val="166E5EB0"/>
    <w:rsid w:val="16842491"/>
    <w:rsid w:val="16B8213B"/>
    <w:rsid w:val="16F50974"/>
    <w:rsid w:val="171C1704"/>
    <w:rsid w:val="172123D6"/>
    <w:rsid w:val="17237EFC"/>
    <w:rsid w:val="173871FB"/>
    <w:rsid w:val="174348B8"/>
    <w:rsid w:val="17477C37"/>
    <w:rsid w:val="174E762A"/>
    <w:rsid w:val="177A195D"/>
    <w:rsid w:val="178A2A52"/>
    <w:rsid w:val="17920BDE"/>
    <w:rsid w:val="1796169F"/>
    <w:rsid w:val="17D47448"/>
    <w:rsid w:val="17E458DD"/>
    <w:rsid w:val="17F376B3"/>
    <w:rsid w:val="180104D3"/>
    <w:rsid w:val="1817028F"/>
    <w:rsid w:val="1820060E"/>
    <w:rsid w:val="18205BA9"/>
    <w:rsid w:val="18277D7A"/>
    <w:rsid w:val="18370FAA"/>
    <w:rsid w:val="18395D9C"/>
    <w:rsid w:val="185365BF"/>
    <w:rsid w:val="186407CC"/>
    <w:rsid w:val="187C78C4"/>
    <w:rsid w:val="1881312C"/>
    <w:rsid w:val="18847969"/>
    <w:rsid w:val="188D7D42"/>
    <w:rsid w:val="18C45643"/>
    <w:rsid w:val="18CD0120"/>
    <w:rsid w:val="18DE41CB"/>
    <w:rsid w:val="19185113"/>
    <w:rsid w:val="191C2D0A"/>
    <w:rsid w:val="19241D0A"/>
    <w:rsid w:val="19263CD4"/>
    <w:rsid w:val="193006AE"/>
    <w:rsid w:val="19355CC5"/>
    <w:rsid w:val="19575882"/>
    <w:rsid w:val="195C5947"/>
    <w:rsid w:val="195E155B"/>
    <w:rsid w:val="19671923"/>
    <w:rsid w:val="196D6A1B"/>
    <w:rsid w:val="197B5DCD"/>
    <w:rsid w:val="19831DCC"/>
    <w:rsid w:val="19A430B8"/>
    <w:rsid w:val="19CE05F3"/>
    <w:rsid w:val="19DC15F0"/>
    <w:rsid w:val="19FE4103"/>
    <w:rsid w:val="1A0C41D1"/>
    <w:rsid w:val="1A336BE7"/>
    <w:rsid w:val="1A5905CD"/>
    <w:rsid w:val="1A612D7C"/>
    <w:rsid w:val="1A807E72"/>
    <w:rsid w:val="1A8A2A47"/>
    <w:rsid w:val="1A977FD9"/>
    <w:rsid w:val="1A9D2527"/>
    <w:rsid w:val="1AA61F3E"/>
    <w:rsid w:val="1AC165C1"/>
    <w:rsid w:val="1AC612CA"/>
    <w:rsid w:val="1AD369CC"/>
    <w:rsid w:val="1ADA6B24"/>
    <w:rsid w:val="1B132036"/>
    <w:rsid w:val="1B16166A"/>
    <w:rsid w:val="1B210BF7"/>
    <w:rsid w:val="1B494B83"/>
    <w:rsid w:val="1B4E5194"/>
    <w:rsid w:val="1B594B7B"/>
    <w:rsid w:val="1B8409C7"/>
    <w:rsid w:val="1BA23AE5"/>
    <w:rsid w:val="1BAD5FE6"/>
    <w:rsid w:val="1BB43819"/>
    <w:rsid w:val="1BB93E83"/>
    <w:rsid w:val="1BBE6445"/>
    <w:rsid w:val="1BC644B6"/>
    <w:rsid w:val="1C0974BA"/>
    <w:rsid w:val="1C253C73"/>
    <w:rsid w:val="1C2F20FA"/>
    <w:rsid w:val="1C613AB1"/>
    <w:rsid w:val="1C6C3581"/>
    <w:rsid w:val="1C8B60D1"/>
    <w:rsid w:val="1C8C0466"/>
    <w:rsid w:val="1CB82E95"/>
    <w:rsid w:val="1CC854C2"/>
    <w:rsid w:val="1CCF561B"/>
    <w:rsid w:val="1D0121D0"/>
    <w:rsid w:val="1D17753D"/>
    <w:rsid w:val="1D2A019D"/>
    <w:rsid w:val="1D576B05"/>
    <w:rsid w:val="1D5B524F"/>
    <w:rsid w:val="1D6D3522"/>
    <w:rsid w:val="1D730493"/>
    <w:rsid w:val="1DAA0BF4"/>
    <w:rsid w:val="1DAB5588"/>
    <w:rsid w:val="1DD72694"/>
    <w:rsid w:val="1DDE1DE9"/>
    <w:rsid w:val="1DE02A3F"/>
    <w:rsid w:val="1DFA7416"/>
    <w:rsid w:val="1E05210A"/>
    <w:rsid w:val="1E06560C"/>
    <w:rsid w:val="1E13737A"/>
    <w:rsid w:val="1E541416"/>
    <w:rsid w:val="1E567848"/>
    <w:rsid w:val="1E5B1898"/>
    <w:rsid w:val="1E740AD7"/>
    <w:rsid w:val="1E8F5E77"/>
    <w:rsid w:val="1EAD3F8D"/>
    <w:rsid w:val="1EB853CE"/>
    <w:rsid w:val="1EC44C5C"/>
    <w:rsid w:val="1ED5608C"/>
    <w:rsid w:val="1EDC7DA8"/>
    <w:rsid w:val="1EE12B77"/>
    <w:rsid w:val="1EE937D9"/>
    <w:rsid w:val="1EEC6EBD"/>
    <w:rsid w:val="1EF30CA9"/>
    <w:rsid w:val="1F182311"/>
    <w:rsid w:val="1F222151"/>
    <w:rsid w:val="1F474868"/>
    <w:rsid w:val="1F775289"/>
    <w:rsid w:val="1F7E2174"/>
    <w:rsid w:val="1F804025"/>
    <w:rsid w:val="1F833C2E"/>
    <w:rsid w:val="1F883C9F"/>
    <w:rsid w:val="1F971592"/>
    <w:rsid w:val="1F995C40"/>
    <w:rsid w:val="1FB94E27"/>
    <w:rsid w:val="1FCF2656"/>
    <w:rsid w:val="1FD2749C"/>
    <w:rsid w:val="1FF41576"/>
    <w:rsid w:val="2020053C"/>
    <w:rsid w:val="20411E00"/>
    <w:rsid w:val="20670D04"/>
    <w:rsid w:val="208C6B12"/>
    <w:rsid w:val="209033B2"/>
    <w:rsid w:val="20905467"/>
    <w:rsid w:val="20984D92"/>
    <w:rsid w:val="209C0FA7"/>
    <w:rsid w:val="20AA343C"/>
    <w:rsid w:val="20AF0BE5"/>
    <w:rsid w:val="20AF20C5"/>
    <w:rsid w:val="20CE4A03"/>
    <w:rsid w:val="20D9162C"/>
    <w:rsid w:val="20ED7306"/>
    <w:rsid w:val="20F8421E"/>
    <w:rsid w:val="20F96916"/>
    <w:rsid w:val="210673A4"/>
    <w:rsid w:val="211106C5"/>
    <w:rsid w:val="21156B08"/>
    <w:rsid w:val="211D776A"/>
    <w:rsid w:val="212872DF"/>
    <w:rsid w:val="21431785"/>
    <w:rsid w:val="214E5B76"/>
    <w:rsid w:val="218617B3"/>
    <w:rsid w:val="21933ED0"/>
    <w:rsid w:val="219E251A"/>
    <w:rsid w:val="21C24F4B"/>
    <w:rsid w:val="21C4408A"/>
    <w:rsid w:val="21CB78D8"/>
    <w:rsid w:val="22071464"/>
    <w:rsid w:val="220C40C4"/>
    <w:rsid w:val="223035C8"/>
    <w:rsid w:val="2232235C"/>
    <w:rsid w:val="225C2514"/>
    <w:rsid w:val="22837F01"/>
    <w:rsid w:val="22A06983"/>
    <w:rsid w:val="22C857BE"/>
    <w:rsid w:val="22D35427"/>
    <w:rsid w:val="230C7A96"/>
    <w:rsid w:val="23241284"/>
    <w:rsid w:val="23275FCB"/>
    <w:rsid w:val="23291785"/>
    <w:rsid w:val="23503E27"/>
    <w:rsid w:val="23710488"/>
    <w:rsid w:val="23735D67"/>
    <w:rsid w:val="2381304A"/>
    <w:rsid w:val="23BB002C"/>
    <w:rsid w:val="23C33515"/>
    <w:rsid w:val="23D762F6"/>
    <w:rsid w:val="23F1680C"/>
    <w:rsid w:val="241B53A0"/>
    <w:rsid w:val="243E15D5"/>
    <w:rsid w:val="244A7D07"/>
    <w:rsid w:val="24551238"/>
    <w:rsid w:val="2455546D"/>
    <w:rsid w:val="24673D8A"/>
    <w:rsid w:val="24733BD9"/>
    <w:rsid w:val="248E2DBA"/>
    <w:rsid w:val="249E6E14"/>
    <w:rsid w:val="24E85B0E"/>
    <w:rsid w:val="250C6474"/>
    <w:rsid w:val="251B1B76"/>
    <w:rsid w:val="25224672"/>
    <w:rsid w:val="25250089"/>
    <w:rsid w:val="25252A8D"/>
    <w:rsid w:val="2527505B"/>
    <w:rsid w:val="253B3AD9"/>
    <w:rsid w:val="2540611D"/>
    <w:rsid w:val="254C4AC2"/>
    <w:rsid w:val="256879FB"/>
    <w:rsid w:val="25A67057"/>
    <w:rsid w:val="25A77F4A"/>
    <w:rsid w:val="25D54115"/>
    <w:rsid w:val="25D86356"/>
    <w:rsid w:val="25E44CFA"/>
    <w:rsid w:val="25E82A3D"/>
    <w:rsid w:val="25F123F0"/>
    <w:rsid w:val="25F72F27"/>
    <w:rsid w:val="25FC2EE2"/>
    <w:rsid w:val="260809E9"/>
    <w:rsid w:val="260E7FC9"/>
    <w:rsid w:val="260F4C55"/>
    <w:rsid w:val="26291B1A"/>
    <w:rsid w:val="26763E6F"/>
    <w:rsid w:val="267C3983"/>
    <w:rsid w:val="269E134D"/>
    <w:rsid w:val="26A336EE"/>
    <w:rsid w:val="26A43130"/>
    <w:rsid w:val="26D6070D"/>
    <w:rsid w:val="26D82BDE"/>
    <w:rsid w:val="26E14302"/>
    <w:rsid w:val="26EB0757"/>
    <w:rsid w:val="26F62F37"/>
    <w:rsid w:val="26FE5976"/>
    <w:rsid w:val="270101AC"/>
    <w:rsid w:val="270E5F5C"/>
    <w:rsid w:val="271104C0"/>
    <w:rsid w:val="27142BE7"/>
    <w:rsid w:val="274D71B2"/>
    <w:rsid w:val="2751147F"/>
    <w:rsid w:val="275D2FB6"/>
    <w:rsid w:val="27987969"/>
    <w:rsid w:val="279C6957"/>
    <w:rsid w:val="27D32B77"/>
    <w:rsid w:val="27DE5929"/>
    <w:rsid w:val="27E14C4C"/>
    <w:rsid w:val="283441A8"/>
    <w:rsid w:val="286C62A1"/>
    <w:rsid w:val="28754330"/>
    <w:rsid w:val="289C6BE1"/>
    <w:rsid w:val="28A069B8"/>
    <w:rsid w:val="28BC5ABB"/>
    <w:rsid w:val="28CE7A60"/>
    <w:rsid w:val="28E44E54"/>
    <w:rsid w:val="28EA51C4"/>
    <w:rsid w:val="28F72971"/>
    <w:rsid w:val="290336EA"/>
    <w:rsid w:val="293E17E9"/>
    <w:rsid w:val="29447D5A"/>
    <w:rsid w:val="29826165"/>
    <w:rsid w:val="29F6324E"/>
    <w:rsid w:val="29F80D74"/>
    <w:rsid w:val="2A3073E0"/>
    <w:rsid w:val="2A570191"/>
    <w:rsid w:val="2A6B3D49"/>
    <w:rsid w:val="2A9E191C"/>
    <w:rsid w:val="2AC375D4"/>
    <w:rsid w:val="2ADA50D1"/>
    <w:rsid w:val="2ADE440E"/>
    <w:rsid w:val="2AE35535"/>
    <w:rsid w:val="2AFC5F56"/>
    <w:rsid w:val="2B2638D4"/>
    <w:rsid w:val="2B496FA3"/>
    <w:rsid w:val="2B532BFE"/>
    <w:rsid w:val="2B6E424E"/>
    <w:rsid w:val="2B702E73"/>
    <w:rsid w:val="2B8E1990"/>
    <w:rsid w:val="2B9B22FF"/>
    <w:rsid w:val="2BA07916"/>
    <w:rsid w:val="2BA2368E"/>
    <w:rsid w:val="2BB024B4"/>
    <w:rsid w:val="2BC60F98"/>
    <w:rsid w:val="2BCB45F0"/>
    <w:rsid w:val="2BD1187D"/>
    <w:rsid w:val="2BDA2E28"/>
    <w:rsid w:val="2C066A1A"/>
    <w:rsid w:val="2C0734F1"/>
    <w:rsid w:val="2C0B1233"/>
    <w:rsid w:val="2C0B4AE6"/>
    <w:rsid w:val="2C3D26A8"/>
    <w:rsid w:val="2C586430"/>
    <w:rsid w:val="2C5D5807"/>
    <w:rsid w:val="2C6646BB"/>
    <w:rsid w:val="2C8165FA"/>
    <w:rsid w:val="2CA62D0A"/>
    <w:rsid w:val="2CAC7CBD"/>
    <w:rsid w:val="2CCC08A3"/>
    <w:rsid w:val="2CDC2BCF"/>
    <w:rsid w:val="2CF41CC7"/>
    <w:rsid w:val="2CF63411"/>
    <w:rsid w:val="2D02277D"/>
    <w:rsid w:val="2D0531B6"/>
    <w:rsid w:val="2D0A514C"/>
    <w:rsid w:val="2D1265F1"/>
    <w:rsid w:val="2D442EDC"/>
    <w:rsid w:val="2D636E4D"/>
    <w:rsid w:val="2D83129D"/>
    <w:rsid w:val="2D8E75AC"/>
    <w:rsid w:val="2D940CF3"/>
    <w:rsid w:val="2D9F0E35"/>
    <w:rsid w:val="2DB235BF"/>
    <w:rsid w:val="2DF11432"/>
    <w:rsid w:val="2E3E7D96"/>
    <w:rsid w:val="2E577392"/>
    <w:rsid w:val="2E6764C9"/>
    <w:rsid w:val="2E8B1B62"/>
    <w:rsid w:val="2E970AE4"/>
    <w:rsid w:val="2EB227A5"/>
    <w:rsid w:val="2EDF2503"/>
    <w:rsid w:val="2EE04DBA"/>
    <w:rsid w:val="2EF57F78"/>
    <w:rsid w:val="2F1E37AC"/>
    <w:rsid w:val="2F2A30B8"/>
    <w:rsid w:val="2F3E547B"/>
    <w:rsid w:val="2F4A02C4"/>
    <w:rsid w:val="2F68699C"/>
    <w:rsid w:val="2F822BAC"/>
    <w:rsid w:val="2F9C7A58"/>
    <w:rsid w:val="2FC37E62"/>
    <w:rsid w:val="2FDC6A42"/>
    <w:rsid w:val="30051C7D"/>
    <w:rsid w:val="301F6139"/>
    <w:rsid w:val="30455A0B"/>
    <w:rsid w:val="304A60A2"/>
    <w:rsid w:val="30641E74"/>
    <w:rsid w:val="30656A38"/>
    <w:rsid w:val="306E7FE2"/>
    <w:rsid w:val="307845BC"/>
    <w:rsid w:val="307F7AFA"/>
    <w:rsid w:val="30810E1D"/>
    <w:rsid w:val="30843CF0"/>
    <w:rsid w:val="309440A1"/>
    <w:rsid w:val="30F97581"/>
    <w:rsid w:val="311566B0"/>
    <w:rsid w:val="311B20E0"/>
    <w:rsid w:val="313E23EC"/>
    <w:rsid w:val="314256C4"/>
    <w:rsid w:val="31440D43"/>
    <w:rsid w:val="314F478C"/>
    <w:rsid w:val="31666F0B"/>
    <w:rsid w:val="31947CF5"/>
    <w:rsid w:val="319847E0"/>
    <w:rsid w:val="319B6BB5"/>
    <w:rsid w:val="31BE0AF5"/>
    <w:rsid w:val="31C12394"/>
    <w:rsid w:val="31C14142"/>
    <w:rsid w:val="31F42B05"/>
    <w:rsid w:val="324D0C1D"/>
    <w:rsid w:val="32751F59"/>
    <w:rsid w:val="327B1882"/>
    <w:rsid w:val="329F04E5"/>
    <w:rsid w:val="32B53DB7"/>
    <w:rsid w:val="32EB1476"/>
    <w:rsid w:val="32F13142"/>
    <w:rsid w:val="32F34C4A"/>
    <w:rsid w:val="32F9755F"/>
    <w:rsid w:val="331B2806"/>
    <w:rsid w:val="333214D1"/>
    <w:rsid w:val="33364D55"/>
    <w:rsid w:val="336F1A37"/>
    <w:rsid w:val="3370495E"/>
    <w:rsid w:val="33AE06F6"/>
    <w:rsid w:val="33C85C5B"/>
    <w:rsid w:val="33CC0FC6"/>
    <w:rsid w:val="33D56E29"/>
    <w:rsid w:val="33DD0EAC"/>
    <w:rsid w:val="33EE2A32"/>
    <w:rsid w:val="340A7BE9"/>
    <w:rsid w:val="34143D51"/>
    <w:rsid w:val="342922C1"/>
    <w:rsid w:val="342F68D3"/>
    <w:rsid w:val="34302898"/>
    <w:rsid w:val="343D03F7"/>
    <w:rsid w:val="345B460B"/>
    <w:rsid w:val="348E2B4F"/>
    <w:rsid w:val="349B7613"/>
    <w:rsid w:val="34BB4966"/>
    <w:rsid w:val="34D128EE"/>
    <w:rsid w:val="34DB0F65"/>
    <w:rsid w:val="35067309"/>
    <w:rsid w:val="35260E8C"/>
    <w:rsid w:val="358931C8"/>
    <w:rsid w:val="35A61FCC"/>
    <w:rsid w:val="35C97D56"/>
    <w:rsid w:val="35CD57AB"/>
    <w:rsid w:val="35E30E94"/>
    <w:rsid w:val="35E825E5"/>
    <w:rsid w:val="35EE5D6B"/>
    <w:rsid w:val="35FF6918"/>
    <w:rsid w:val="36247D8C"/>
    <w:rsid w:val="3637765B"/>
    <w:rsid w:val="363A3F05"/>
    <w:rsid w:val="3643476F"/>
    <w:rsid w:val="365311E6"/>
    <w:rsid w:val="367112A8"/>
    <w:rsid w:val="36721EAF"/>
    <w:rsid w:val="368C11C2"/>
    <w:rsid w:val="369E4A52"/>
    <w:rsid w:val="36C344B8"/>
    <w:rsid w:val="36E46467"/>
    <w:rsid w:val="372D0CD9"/>
    <w:rsid w:val="373B263E"/>
    <w:rsid w:val="375445E4"/>
    <w:rsid w:val="37546B18"/>
    <w:rsid w:val="376964D6"/>
    <w:rsid w:val="376C52D4"/>
    <w:rsid w:val="3774040A"/>
    <w:rsid w:val="377A54BF"/>
    <w:rsid w:val="37936580"/>
    <w:rsid w:val="3798104C"/>
    <w:rsid w:val="379C3619"/>
    <w:rsid w:val="37E312B6"/>
    <w:rsid w:val="38003C16"/>
    <w:rsid w:val="38091A73"/>
    <w:rsid w:val="38196102"/>
    <w:rsid w:val="38266F72"/>
    <w:rsid w:val="384A2F51"/>
    <w:rsid w:val="384F7B1A"/>
    <w:rsid w:val="385F1ECE"/>
    <w:rsid w:val="38B67BD2"/>
    <w:rsid w:val="38C74734"/>
    <w:rsid w:val="38CC73F3"/>
    <w:rsid w:val="38EF3EA1"/>
    <w:rsid w:val="3902576C"/>
    <w:rsid w:val="39327F25"/>
    <w:rsid w:val="39346CB9"/>
    <w:rsid w:val="395B66C1"/>
    <w:rsid w:val="395E3B0F"/>
    <w:rsid w:val="39835775"/>
    <w:rsid w:val="398979CE"/>
    <w:rsid w:val="39900FC9"/>
    <w:rsid w:val="39AE15AC"/>
    <w:rsid w:val="39BC591B"/>
    <w:rsid w:val="39CE1AF2"/>
    <w:rsid w:val="39E83FB4"/>
    <w:rsid w:val="39E9692C"/>
    <w:rsid w:val="3A09598D"/>
    <w:rsid w:val="3A153790"/>
    <w:rsid w:val="3A1F11A7"/>
    <w:rsid w:val="3A217E73"/>
    <w:rsid w:val="3A2B2AA0"/>
    <w:rsid w:val="3A3802A8"/>
    <w:rsid w:val="3A86575A"/>
    <w:rsid w:val="3A9044E1"/>
    <w:rsid w:val="3B115AB0"/>
    <w:rsid w:val="3B253629"/>
    <w:rsid w:val="3B341FC1"/>
    <w:rsid w:val="3B3871E5"/>
    <w:rsid w:val="3B4B164C"/>
    <w:rsid w:val="3B516536"/>
    <w:rsid w:val="3B6A75F8"/>
    <w:rsid w:val="3B6E70E8"/>
    <w:rsid w:val="3B6F11E8"/>
    <w:rsid w:val="3B732683"/>
    <w:rsid w:val="3B851216"/>
    <w:rsid w:val="3BA64AD4"/>
    <w:rsid w:val="3BA85F43"/>
    <w:rsid w:val="3BC25F76"/>
    <w:rsid w:val="3BC61395"/>
    <w:rsid w:val="3BD72EE0"/>
    <w:rsid w:val="3BEE1FD7"/>
    <w:rsid w:val="3C925059"/>
    <w:rsid w:val="3C9B215F"/>
    <w:rsid w:val="3CB11983"/>
    <w:rsid w:val="3CB27851"/>
    <w:rsid w:val="3CBE5CDB"/>
    <w:rsid w:val="3CC944E1"/>
    <w:rsid w:val="3CF655E7"/>
    <w:rsid w:val="3D05582A"/>
    <w:rsid w:val="3D0B4A9A"/>
    <w:rsid w:val="3D47738A"/>
    <w:rsid w:val="3D517AA3"/>
    <w:rsid w:val="3D9D1F07"/>
    <w:rsid w:val="3DA349DC"/>
    <w:rsid w:val="3DAB4624"/>
    <w:rsid w:val="3DCF72A0"/>
    <w:rsid w:val="3DDC14C1"/>
    <w:rsid w:val="3DF156C8"/>
    <w:rsid w:val="3E1F11C4"/>
    <w:rsid w:val="3E33172F"/>
    <w:rsid w:val="3E3457B0"/>
    <w:rsid w:val="3E3462AF"/>
    <w:rsid w:val="3E5B4C77"/>
    <w:rsid w:val="3E75078E"/>
    <w:rsid w:val="3E8B6203"/>
    <w:rsid w:val="3E9753EA"/>
    <w:rsid w:val="3E9948D1"/>
    <w:rsid w:val="3EE41CB3"/>
    <w:rsid w:val="3EE6343A"/>
    <w:rsid w:val="3EF35673"/>
    <w:rsid w:val="3F0D7B2F"/>
    <w:rsid w:val="3F0F0BE2"/>
    <w:rsid w:val="3F171845"/>
    <w:rsid w:val="3F204EF0"/>
    <w:rsid w:val="3F23643C"/>
    <w:rsid w:val="3F275F2C"/>
    <w:rsid w:val="3F3862DE"/>
    <w:rsid w:val="3F43088C"/>
    <w:rsid w:val="3F5E71A0"/>
    <w:rsid w:val="3F7C1FEE"/>
    <w:rsid w:val="3F7F3F6B"/>
    <w:rsid w:val="3F9E5A7B"/>
    <w:rsid w:val="3FA44371"/>
    <w:rsid w:val="3FAA346A"/>
    <w:rsid w:val="3FAB317E"/>
    <w:rsid w:val="3FC66F65"/>
    <w:rsid w:val="3FF1653A"/>
    <w:rsid w:val="400B13AA"/>
    <w:rsid w:val="40136EC2"/>
    <w:rsid w:val="40253931"/>
    <w:rsid w:val="40271F5C"/>
    <w:rsid w:val="40496C79"/>
    <w:rsid w:val="40602185"/>
    <w:rsid w:val="406B009A"/>
    <w:rsid w:val="406D3C7A"/>
    <w:rsid w:val="408041CD"/>
    <w:rsid w:val="408D0A8F"/>
    <w:rsid w:val="40D75730"/>
    <w:rsid w:val="40DD4529"/>
    <w:rsid w:val="40F40C4B"/>
    <w:rsid w:val="410A07A5"/>
    <w:rsid w:val="41115290"/>
    <w:rsid w:val="411B561D"/>
    <w:rsid w:val="41214FCA"/>
    <w:rsid w:val="41265D6F"/>
    <w:rsid w:val="4133443E"/>
    <w:rsid w:val="41374AF8"/>
    <w:rsid w:val="414803DC"/>
    <w:rsid w:val="414920DE"/>
    <w:rsid w:val="414C3A28"/>
    <w:rsid w:val="414F176A"/>
    <w:rsid w:val="414F1EE0"/>
    <w:rsid w:val="41550B18"/>
    <w:rsid w:val="415B5CCC"/>
    <w:rsid w:val="416F5968"/>
    <w:rsid w:val="41885B91"/>
    <w:rsid w:val="41BA1D39"/>
    <w:rsid w:val="41C4238D"/>
    <w:rsid w:val="41C537DA"/>
    <w:rsid w:val="41D97671"/>
    <w:rsid w:val="41E371A6"/>
    <w:rsid w:val="41F560D9"/>
    <w:rsid w:val="4206324A"/>
    <w:rsid w:val="42076179"/>
    <w:rsid w:val="42473021"/>
    <w:rsid w:val="424C5BA2"/>
    <w:rsid w:val="424F7CB9"/>
    <w:rsid w:val="425C413F"/>
    <w:rsid w:val="426254CD"/>
    <w:rsid w:val="42707E35"/>
    <w:rsid w:val="42770F78"/>
    <w:rsid w:val="429A368A"/>
    <w:rsid w:val="42B01A80"/>
    <w:rsid w:val="42B540C6"/>
    <w:rsid w:val="42D71A17"/>
    <w:rsid w:val="430D7A9B"/>
    <w:rsid w:val="43124DBF"/>
    <w:rsid w:val="43160791"/>
    <w:rsid w:val="43267EE9"/>
    <w:rsid w:val="43411BCB"/>
    <w:rsid w:val="43562BAD"/>
    <w:rsid w:val="435C4BA0"/>
    <w:rsid w:val="436C03B1"/>
    <w:rsid w:val="4373005F"/>
    <w:rsid w:val="437D0630"/>
    <w:rsid w:val="43875D87"/>
    <w:rsid w:val="43AE4775"/>
    <w:rsid w:val="43B92ECB"/>
    <w:rsid w:val="43CE1D1D"/>
    <w:rsid w:val="43D9531B"/>
    <w:rsid w:val="43F65ECD"/>
    <w:rsid w:val="440C56F0"/>
    <w:rsid w:val="444D52DC"/>
    <w:rsid w:val="445A2900"/>
    <w:rsid w:val="44781DAA"/>
    <w:rsid w:val="44A43B7B"/>
    <w:rsid w:val="44B00772"/>
    <w:rsid w:val="44B244EA"/>
    <w:rsid w:val="44BA4E5D"/>
    <w:rsid w:val="44CA357E"/>
    <w:rsid w:val="44CD5A86"/>
    <w:rsid w:val="44FA0310"/>
    <w:rsid w:val="451A208F"/>
    <w:rsid w:val="451C7BB5"/>
    <w:rsid w:val="454E3B0B"/>
    <w:rsid w:val="458D2861"/>
    <w:rsid w:val="458F359B"/>
    <w:rsid w:val="4596174B"/>
    <w:rsid w:val="45AF0A29"/>
    <w:rsid w:val="45B87EEE"/>
    <w:rsid w:val="45BA084B"/>
    <w:rsid w:val="45CF460B"/>
    <w:rsid w:val="45DB4546"/>
    <w:rsid w:val="45E27E1E"/>
    <w:rsid w:val="46535859"/>
    <w:rsid w:val="466B0DF4"/>
    <w:rsid w:val="469320F9"/>
    <w:rsid w:val="46AE17AB"/>
    <w:rsid w:val="46B81B60"/>
    <w:rsid w:val="46C2653A"/>
    <w:rsid w:val="46C7242A"/>
    <w:rsid w:val="46EB45E4"/>
    <w:rsid w:val="470316C4"/>
    <w:rsid w:val="470431B9"/>
    <w:rsid w:val="470E368E"/>
    <w:rsid w:val="470F7109"/>
    <w:rsid w:val="47150D60"/>
    <w:rsid w:val="47431498"/>
    <w:rsid w:val="47504B9E"/>
    <w:rsid w:val="475E1527"/>
    <w:rsid w:val="478F466E"/>
    <w:rsid w:val="4791488A"/>
    <w:rsid w:val="47AC7367"/>
    <w:rsid w:val="47AF3DC1"/>
    <w:rsid w:val="47B93F31"/>
    <w:rsid w:val="47BA5BC1"/>
    <w:rsid w:val="47C7285C"/>
    <w:rsid w:val="47CB3814"/>
    <w:rsid w:val="47E73AC9"/>
    <w:rsid w:val="480C69CA"/>
    <w:rsid w:val="48164D90"/>
    <w:rsid w:val="48233009"/>
    <w:rsid w:val="48345216"/>
    <w:rsid w:val="483A213A"/>
    <w:rsid w:val="485223CE"/>
    <w:rsid w:val="487519F9"/>
    <w:rsid w:val="48987CCA"/>
    <w:rsid w:val="48AF7300"/>
    <w:rsid w:val="48B34CF4"/>
    <w:rsid w:val="48D32C81"/>
    <w:rsid w:val="48DA5DBD"/>
    <w:rsid w:val="49105C83"/>
    <w:rsid w:val="4914486F"/>
    <w:rsid w:val="49635408"/>
    <w:rsid w:val="496F29A9"/>
    <w:rsid w:val="497D499A"/>
    <w:rsid w:val="497F756E"/>
    <w:rsid w:val="49883A6B"/>
    <w:rsid w:val="49B15FF9"/>
    <w:rsid w:val="49EC224C"/>
    <w:rsid w:val="49F06A6C"/>
    <w:rsid w:val="4A0A5885"/>
    <w:rsid w:val="4A0E2155"/>
    <w:rsid w:val="4A3D4856"/>
    <w:rsid w:val="4A435BE4"/>
    <w:rsid w:val="4A8C4E64"/>
    <w:rsid w:val="4A8E3303"/>
    <w:rsid w:val="4A8F2FFC"/>
    <w:rsid w:val="4AA61AFE"/>
    <w:rsid w:val="4AD24FB7"/>
    <w:rsid w:val="4B073A5C"/>
    <w:rsid w:val="4B3814C1"/>
    <w:rsid w:val="4B3B1CD3"/>
    <w:rsid w:val="4B44760D"/>
    <w:rsid w:val="4B5C5D27"/>
    <w:rsid w:val="4B5E326D"/>
    <w:rsid w:val="4B631AF9"/>
    <w:rsid w:val="4B6F67D8"/>
    <w:rsid w:val="4B840ACD"/>
    <w:rsid w:val="4B8C42AD"/>
    <w:rsid w:val="4BA3693A"/>
    <w:rsid w:val="4BAE3F0C"/>
    <w:rsid w:val="4BEA27BB"/>
    <w:rsid w:val="4BF03B4A"/>
    <w:rsid w:val="4BF72474"/>
    <w:rsid w:val="4C2E5AE5"/>
    <w:rsid w:val="4C4E7751"/>
    <w:rsid w:val="4C4F0B45"/>
    <w:rsid w:val="4C8713F8"/>
    <w:rsid w:val="4CA23096"/>
    <w:rsid w:val="4CCF2AEA"/>
    <w:rsid w:val="4CD46FC7"/>
    <w:rsid w:val="4CE27936"/>
    <w:rsid w:val="4CE3256E"/>
    <w:rsid w:val="4D1B77D3"/>
    <w:rsid w:val="4D1C3501"/>
    <w:rsid w:val="4D2A6BE7"/>
    <w:rsid w:val="4D573E80"/>
    <w:rsid w:val="4D814A59"/>
    <w:rsid w:val="4DA969FC"/>
    <w:rsid w:val="4DB73FDD"/>
    <w:rsid w:val="4DD21759"/>
    <w:rsid w:val="4DE07512"/>
    <w:rsid w:val="4DE75254"/>
    <w:rsid w:val="4DE82D2A"/>
    <w:rsid w:val="4DF25F7F"/>
    <w:rsid w:val="4E037B64"/>
    <w:rsid w:val="4E1C4782"/>
    <w:rsid w:val="4E381F7A"/>
    <w:rsid w:val="4E4658C5"/>
    <w:rsid w:val="4E4E1EE7"/>
    <w:rsid w:val="4E4E2F86"/>
    <w:rsid w:val="4E597784"/>
    <w:rsid w:val="4E6406F0"/>
    <w:rsid w:val="4E807407"/>
    <w:rsid w:val="4EA74993"/>
    <w:rsid w:val="4EB33338"/>
    <w:rsid w:val="4EBB043F"/>
    <w:rsid w:val="4ECF3EEA"/>
    <w:rsid w:val="4EEF00E8"/>
    <w:rsid w:val="4F015CEC"/>
    <w:rsid w:val="4F066320"/>
    <w:rsid w:val="4F0C4606"/>
    <w:rsid w:val="4F4E6EBF"/>
    <w:rsid w:val="4F5F526E"/>
    <w:rsid w:val="4F7800DE"/>
    <w:rsid w:val="4F7C7BCE"/>
    <w:rsid w:val="4F7D4C71"/>
    <w:rsid w:val="4F7E4E76"/>
    <w:rsid w:val="4FB530E0"/>
    <w:rsid w:val="4FBD587C"/>
    <w:rsid w:val="4FC613C8"/>
    <w:rsid w:val="4FCA7073"/>
    <w:rsid w:val="4FE259E9"/>
    <w:rsid w:val="4FE90FDC"/>
    <w:rsid w:val="4FEC4864"/>
    <w:rsid w:val="501D7C2E"/>
    <w:rsid w:val="5051105B"/>
    <w:rsid w:val="50597F0F"/>
    <w:rsid w:val="50963550"/>
    <w:rsid w:val="50A458F7"/>
    <w:rsid w:val="50B415EA"/>
    <w:rsid w:val="50BE4216"/>
    <w:rsid w:val="512C7508"/>
    <w:rsid w:val="51340035"/>
    <w:rsid w:val="51AA66A3"/>
    <w:rsid w:val="51B54FDE"/>
    <w:rsid w:val="51B80F88"/>
    <w:rsid w:val="51BB0BE8"/>
    <w:rsid w:val="52102850"/>
    <w:rsid w:val="521872EE"/>
    <w:rsid w:val="52321D93"/>
    <w:rsid w:val="523C3645"/>
    <w:rsid w:val="52420452"/>
    <w:rsid w:val="52533FC1"/>
    <w:rsid w:val="52534C3F"/>
    <w:rsid w:val="5268268C"/>
    <w:rsid w:val="527B6AAF"/>
    <w:rsid w:val="527D34D3"/>
    <w:rsid w:val="52880638"/>
    <w:rsid w:val="52A1794C"/>
    <w:rsid w:val="52AB52DC"/>
    <w:rsid w:val="52AE4980"/>
    <w:rsid w:val="52F83A10"/>
    <w:rsid w:val="53173BC5"/>
    <w:rsid w:val="53187950"/>
    <w:rsid w:val="53253ACD"/>
    <w:rsid w:val="53326940"/>
    <w:rsid w:val="533662E6"/>
    <w:rsid w:val="533F6A76"/>
    <w:rsid w:val="53780C68"/>
    <w:rsid w:val="53BB70AD"/>
    <w:rsid w:val="53DA43C4"/>
    <w:rsid w:val="53E267AB"/>
    <w:rsid w:val="53F02939"/>
    <w:rsid w:val="54030242"/>
    <w:rsid w:val="543842E0"/>
    <w:rsid w:val="544B4013"/>
    <w:rsid w:val="549C32EC"/>
    <w:rsid w:val="54B65D10"/>
    <w:rsid w:val="54B9769E"/>
    <w:rsid w:val="54BF230B"/>
    <w:rsid w:val="54C618EB"/>
    <w:rsid w:val="54C87412"/>
    <w:rsid w:val="54D02C4B"/>
    <w:rsid w:val="54E16725"/>
    <w:rsid w:val="54FC5126"/>
    <w:rsid w:val="55034B8D"/>
    <w:rsid w:val="551068BB"/>
    <w:rsid w:val="55112B45"/>
    <w:rsid w:val="55171F21"/>
    <w:rsid w:val="55314EF4"/>
    <w:rsid w:val="5533143A"/>
    <w:rsid w:val="55351206"/>
    <w:rsid w:val="554E774F"/>
    <w:rsid w:val="554F40D6"/>
    <w:rsid w:val="55570796"/>
    <w:rsid w:val="55653C63"/>
    <w:rsid w:val="558F79BB"/>
    <w:rsid w:val="55A21A11"/>
    <w:rsid w:val="55A23860"/>
    <w:rsid w:val="55A649AE"/>
    <w:rsid w:val="55AB36FB"/>
    <w:rsid w:val="55B00597"/>
    <w:rsid w:val="55C8799E"/>
    <w:rsid w:val="55D93627"/>
    <w:rsid w:val="561F466D"/>
    <w:rsid w:val="565A4378"/>
    <w:rsid w:val="56602AF8"/>
    <w:rsid w:val="566F4718"/>
    <w:rsid w:val="56757125"/>
    <w:rsid w:val="569A68B2"/>
    <w:rsid w:val="569D1848"/>
    <w:rsid w:val="56A31EE4"/>
    <w:rsid w:val="56B13A64"/>
    <w:rsid w:val="56B40967"/>
    <w:rsid w:val="56BA3AA0"/>
    <w:rsid w:val="56C02A96"/>
    <w:rsid w:val="56CF6D97"/>
    <w:rsid w:val="56D06587"/>
    <w:rsid w:val="56D54068"/>
    <w:rsid w:val="56D66689"/>
    <w:rsid w:val="56D80198"/>
    <w:rsid w:val="56D81ADE"/>
    <w:rsid w:val="56DF0A43"/>
    <w:rsid w:val="56E11927"/>
    <w:rsid w:val="56E11E48"/>
    <w:rsid w:val="570E46A2"/>
    <w:rsid w:val="571E5A0F"/>
    <w:rsid w:val="5756449F"/>
    <w:rsid w:val="575D21E5"/>
    <w:rsid w:val="576378C6"/>
    <w:rsid w:val="577D0D48"/>
    <w:rsid w:val="5784542C"/>
    <w:rsid w:val="57847C36"/>
    <w:rsid w:val="57C93BCD"/>
    <w:rsid w:val="57E91B79"/>
    <w:rsid w:val="57EC3417"/>
    <w:rsid w:val="581B3CFC"/>
    <w:rsid w:val="58410767"/>
    <w:rsid w:val="58496ABB"/>
    <w:rsid w:val="584E40D2"/>
    <w:rsid w:val="58571EAB"/>
    <w:rsid w:val="585B059D"/>
    <w:rsid w:val="586A742C"/>
    <w:rsid w:val="5881039C"/>
    <w:rsid w:val="58825B29"/>
    <w:rsid w:val="58C134D7"/>
    <w:rsid w:val="58C94C3F"/>
    <w:rsid w:val="58D345D7"/>
    <w:rsid w:val="591E42EB"/>
    <w:rsid w:val="592A1676"/>
    <w:rsid w:val="594B4411"/>
    <w:rsid w:val="595C5ED8"/>
    <w:rsid w:val="59701E26"/>
    <w:rsid w:val="59906DCE"/>
    <w:rsid w:val="59B152B3"/>
    <w:rsid w:val="59CD5DF0"/>
    <w:rsid w:val="59E222AF"/>
    <w:rsid w:val="59E71DDE"/>
    <w:rsid w:val="5A064D2E"/>
    <w:rsid w:val="5A296830"/>
    <w:rsid w:val="5A53496E"/>
    <w:rsid w:val="5A56101C"/>
    <w:rsid w:val="5A7756D8"/>
    <w:rsid w:val="5A8B6F17"/>
    <w:rsid w:val="5A957D96"/>
    <w:rsid w:val="5A96078C"/>
    <w:rsid w:val="5A9C7376"/>
    <w:rsid w:val="5ABB0552"/>
    <w:rsid w:val="5ABF3297"/>
    <w:rsid w:val="5AC87CD6"/>
    <w:rsid w:val="5ADF3408"/>
    <w:rsid w:val="5AE85A5C"/>
    <w:rsid w:val="5B18744E"/>
    <w:rsid w:val="5B1E1694"/>
    <w:rsid w:val="5B3A26EB"/>
    <w:rsid w:val="5B410E6C"/>
    <w:rsid w:val="5B4A5024"/>
    <w:rsid w:val="5B5E728F"/>
    <w:rsid w:val="5B6A18C6"/>
    <w:rsid w:val="5B9938B6"/>
    <w:rsid w:val="5BBC68DA"/>
    <w:rsid w:val="5BBC75A4"/>
    <w:rsid w:val="5BD12E9F"/>
    <w:rsid w:val="5BF8682E"/>
    <w:rsid w:val="5C11169E"/>
    <w:rsid w:val="5C4A2BD7"/>
    <w:rsid w:val="5C58551F"/>
    <w:rsid w:val="5C630774"/>
    <w:rsid w:val="5C667E13"/>
    <w:rsid w:val="5C835DA4"/>
    <w:rsid w:val="5CAF68F6"/>
    <w:rsid w:val="5CB36BF9"/>
    <w:rsid w:val="5CC11316"/>
    <w:rsid w:val="5CC42BB4"/>
    <w:rsid w:val="5CD92ABC"/>
    <w:rsid w:val="5CE13766"/>
    <w:rsid w:val="5CF84E92"/>
    <w:rsid w:val="5D213D72"/>
    <w:rsid w:val="5D313D64"/>
    <w:rsid w:val="5D5A0E23"/>
    <w:rsid w:val="5D5F28DD"/>
    <w:rsid w:val="5D63632E"/>
    <w:rsid w:val="5D6E1F0C"/>
    <w:rsid w:val="5DB1138B"/>
    <w:rsid w:val="5DC307FA"/>
    <w:rsid w:val="5DE84681"/>
    <w:rsid w:val="5E000678"/>
    <w:rsid w:val="5E015742"/>
    <w:rsid w:val="5E2775BD"/>
    <w:rsid w:val="5E326512"/>
    <w:rsid w:val="5E4F4700"/>
    <w:rsid w:val="5E504C73"/>
    <w:rsid w:val="5E5220DE"/>
    <w:rsid w:val="5E5B387C"/>
    <w:rsid w:val="5E7D301B"/>
    <w:rsid w:val="5E985E8A"/>
    <w:rsid w:val="5E9860A7"/>
    <w:rsid w:val="5ECE7D1A"/>
    <w:rsid w:val="5ED66BCF"/>
    <w:rsid w:val="5EE54D87"/>
    <w:rsid w:val="5EF66FDC"/>
    <w:rsid w:val="5EF86DE5"/>
    <w:rsid w:val="5F3D09FC"/>
    <w:rsid w:val="5F437D4E"/>
    <w:rsid w:val="5F44784F"/>
    <w:rsid w:val="5F4B4EC3"/>
    <w:rsid w:val="5F571D58"/>
    <w:rsid w:val="5F5B298C"/>
    <w:rsid w:val="5F6441DB"/>
    <w:rsid w:val="5F852350"/>
    <w:rsid w:val="5F9E400E"/>
    <w:rsid w:val="5FB455AB"/>
    <w:rsid w:val="5FB472E2"/>
    <w:rsid w:val="5FD8479E"/>
    <w:rsid w:val="5FEE2A01"/>
    <w:rsid w:val="5FEF4FD0"/>
    <w:rsid w:val="5FF11588"/>
    <w:rsid w:val="5FF7262C"/>
    <w:rsid w:val="60365B77"/>
    <w:rsid w:val="60402552"/>
    <w:rsid w:val="604069F6"/>
    <w:rsid w:val="604362AD"/>
    <w:rsid w:val="60557590"/>
    <w:rsid w:val="60585DBB"/>
    <w:rsid w:val="606C7EF8"/>
    <w:rsid w:val="607246D5"/>
    <w:rsid w:val="60761837"/>
    <w:rsid w:val="60820DBC"/>
    <w:rsid w:val="6094289E"/>
    <w:rsid w:val="60B3541A"/>
    <w:rsid w:val="60D12A29"/>
    <w:rsid w:val="60D76EB0"/>
    <w:rsid w:val="60DE4400"/>
    <w:rsid w:val="60F66071"/>
    <w:rsid w:val="612D0C93"/>
    <w:rsid w:val="61301D16"/>
    <w:rsid w:val="61394E2C"/>
    <w:rsid w:val="613A1697"/>
    <w:rsid w:val="613C540F"/>
    <w:rsid w:val="61686204"/>
    <w:rsid w:val="61774699"/>
    <w:rsid w:val="618F621F"/>
    <w:rsid w:val="61A346A2"/>
    <w:rsid w:val="61AD1E69"/>
    <w:rsid w:val="61CF0031"/>
    <w:rsid w:val="61D82D30"/>
    <w:rsid w:val="61FD3443"/>
    <w:rsid w:val="62133C6E"/>
    <w:rsid w:val="621C6FEF"/>
    <w:rsid w:val="621C7A8F"/>
    <w:rsid w:val="623F6839"/>
    <w:rsid w:val="626230EC"/>
    <w:rsid w:val="62B73849"/>
    <w:rsid w:val="62CE0582"/>
    <w:rsid w:val="62DE3973"/>
    <w:rsid w:val="62E55633"/>
    <w:rsid w:val="62EB255A"/>
    <w:rsid w:val="62F475B6"/>
    <w:rsid w:val="63010268"/>
    <w:rsid w:val="63057A83"/>
    <w:rsid w:val="630C6A64"/>
    <w:rsid w:val="631F7E44"/>
    <w:rsid w:val="63220635"/>
    <w:rsid w:val="63323318"/>
    <w:rsid w:val="63376FCF"/>
    <w:rsid w:val="635527B8"/>
    <w:rsid w:val="63747728"/>
    <w:rsid w:val="637C04DD"/>
    <w:rsid w:val="63964CCA"/>
    <w:rsid w:val="63B3451B"/>
    <w:rsid w:val="63E65341"/>
    <w:rsid w:val="63ED479F"/>
    <w:rsid w:val="63FF44D2"/>
    <w:rsid w:val="641F57D1"/>
    <w:rsid w:val="64254E98"/>
    <w:rsid w:val="642B3519"/>
    <w:rsid w:val="6475070C"/>
    <w:rsid w:val="647C5B23"/>
    <w:rsid w:val="648133BD"/>
    <w:rsid w:val="64A123B3"/>
    <w:rsid w:val="64B406D0"/>
    <w:rsid w:val="64D70FAB"/>
    <w:rsid w:val="64E10103"/>
    <w:rsid w:val="650C1A58"/>
    <w:rsid w:val="652A2E44"/>
    <w:rsid w:val="653F54CE"/>
    <w:rsid w:val="654E4849"/>
    <w:rsid w:val="655D3BA6"/>
    <w:rsid w:val="65686657"/>
    <w:rsid w:val="659C7DF9"/>
    <w:rsid w:val="659F422A"/>
    <w:rsid w:val="65AF3006"/>
    <w:rsid w:val="65B17A4E"/>
    <w:rsid w:val="65B80FE0"/>
    <w:rsid w:val="65BD69EB"/>
    <w:rsid w:val="65D07CD0"/>
    <w:rsid w:val="65DA6B77"/>
    <w:rsid w:val="65F80CFD"/>
    <w:rsid w:val="66004A06"/>
    <w:rsid w:val="66250CCF"/>
    <w:rsid w:val="66276A09"/>
    <w:rsid w:val="664977CF"/>
    <w:rsid w:val="668B598F"/>
    <w:rsid w:val="668F4B68"/>
    <w:rsid w:val="66B15F58"/>
    <w:rsid w:val="66EC4975"/>
    <w:rsid w:val="67016B09"/>
    <w:rsid w:val="67191D4F"/>
    <w:rsid w:val="67386679"/>
    <w:rsid w:val="674A68D1"/>
    <w:rsid w:val="674C7A59"/>
    <w:rsid w:val="67570F78"/>
    <w:rsid w:val="676310B8"/>
    <w:rsid w:val="6779070E"/>
    <w:rsid w:val="67A246CD"/>
    <w:rsid w:val="67A26B47"/>
    <w:rsid w:val="67B101D9"/>
    <w:rsid w:val="681B27B3"/>
    <w:rsid w:val="681C5653"/>
    <w:rsid w:val="681E4BBB"/>
    <w:rsid w:val="683116BC"/>
    <w:rsid w:val="684B64BC"/>
    <w:rsid w:val="688F3871"/>
    <w:rsid w:val="68DC76F5"/>
    <w:rsid w:val="68E74072"/>
    <w:rsid w:val="69173BDC"/>
    <w:rsid w:val="69531548"/>
    <w:rsid w:val="69690D6B"/>
    <w:rsid w:val="69B93D03"/>
    <w:rsid w:val="69BD4674"/>
    <w:rsid w:val="69C6442C"/>
    <w:rsid w:val="69DB137B"/>
    <w:rsid w:val="6A036769"/>
    <w:rsid w:val="6A325674"/>
    <w:rsid w:val="6A52291B"/>
    <w:rsid w:val="6A53191B"/>
    <w:rsid w:val="6A7B10E5"/>
    <w:rsid w:val="6A817F02"/>
    <w:rsid w:val="6A8C3FF3"/>
    <w:rsid w:val="6A9C2F88"/>
    <w:rsid w:val="6AA73632"/>
    <w:rsid w:val="6AB62D79"/>
    <w:rsid w:val="6AC0003B"/>
    <w:rsid w:val="6B074670"/>
    <w:rsid w:val="6B142F59"/>
    <w:rsid w:val="6B274506"/>
    <w:rsid w:val="6B3453A9"/>
    <w:rsid w:val="6B351E6F"/>
    <w:rsid w:val="6B364C7D"/>
    <w:rsid w:val="6B5A1934"/>
    <w:rsid w:val="6B7430BC"/>
    <w:rsid w:val="6B7A4051"/>
    <w:rsid w:val="6B886843"/>
    <w:rsid w:val="6BAB4210"/>
    <w:rsid w:val="6BAC4F3F"/>
    <w:rsid w:val="6BAF1184"/>
    <w:rsid w:val="6BD91777"/>
    <w:rsid w:val="6BDA7CFF"/>
    <w:rsid w:val="6BE14999"/>
    <w:rsid w:val="6BFB5FD1"/>
    <w:rsid w:val="6C03179A"/>
    <w:rsid w:val="6C410A63"/>
    <w:rsid w:val="6C6677E4"/>
    <w:rsid w:val="6C79285C"/>
    <w:rsid w:val="6C9D30F4"/>
    <w:rsid w:val="6CAC5D29"/>
    <w:rsid w:val="6CC51369"/>
    <w:rsid w:val="6CD16F67"/>
    <w:rsid w:val="6CD6609E"/>
    <w:rsid w:val="6D074B26"/>
    <w:rsid w:val="6D12175F"/>
    <w:rsid w:val="6D1E24F7"/>
    <w:rsid w:val="6D1E2B60"/>
    <w:rsid w:val="6D1F5AF0"/>
    <w:rsid w:val="6D723F67"/>
    <w:rsid w:val="6D8C09C0"/>
    <w:rsid w:val="6D9A7502"/>
    <w:rsid w:val="6DAC56CB"/>
    <w:rsid w:val="6DB4632D"/>
    <w:rsid w:val="6DB93944"/>
    <w:rsid w:val="6DCF64EF"/>
    <w:rsid w:val="6E0E62A6"/>
    <w:rsid w:val="6E1D76E4"/>
    <w:rsid w:val="6E1F37E3"/>
    <w:rsid w:val="6E443B55"/>
    <w:rsid w:val="6E67178A"/>
    <w:rsid w:val="6E750743"/>
    <w:rsid w:val="6E777A87"/>
    <w:rsid w:val="6ED00F45"/>
    <w:rsid w:val="6ED0236A"/>
    <w:rsid w:val="6ED54165"/>
    <w:rsid w:val="6EF7760A"/>
    <w:rsid w:val="6F2F0361"/>
    <w:rsid w:val="6F3657AD"/>
    <w:rsid w:val="6F5E47A3"/>
    <w:rsid w:val="6F627807"/>
    <w:rsid w:val="6F68485D"/>
    <w:rsid w:val="6F6F4C02"/>
    <w:rsid w:val="6F760A66"/>
    <w:rsid w:val="6F973F35"/>
    <w:rsid w:val="6F974373"/>
    <w:rsid w:val="6FB3499B"/>
    <w:rsid w:val="6FC74058"/>
    <w:rsid w:val="6FE20FCD"/>
    <w:rsid w:val="6FFD4206"/>
    <w:rsid w:val="6FFF0727"/>
    <w:rsid w:val="70040E87"/>
    <w:rsid w:val="704871A4"/>
    <w:rsid w:val="70592DFA"/>
    <w:rsid w:val="705F4E88"/>
    <w:rsid w:val="70694F36"/>
    <w:rsid w:val="70880C5C"/>
    <w:rsid w:val="709907A0"/>
    <w:rsid w:val="70B523D0"/>
    <w:rsid w:val="70CB2A08"/>
    <w:rsid w:val="70DD3906"/>
    <w:rsid w:val="70DE203F"/>
    <w:rsid w:val="70F14EBA"/>
    <w:rsid w:val="70F27898"/>
    <w:rsid w:val="70F61153"/>
    <w:rsid w:val="7109479F"/>
    <w:rsid w:val="714029EC"/>
    <w:rsid w:val="71512816"/>
    <w:rsid w:val="716D5171"/>
    <w:rsid w:val="716F65DA"/>
    <w:rsid w:val="71775FF0"/>
    <w:rsid w:val="71806CC5"/>
    <w:rsid w:val="719B076B"/>
    <w:rsid w:val="71DC2403"/>
    <w:rsid w:val="71F66F14"/>
    <w:rsid w:val="729B646A"/>
    <w:rsid w:val="731E2E6D"/>
    <w:rsid w:val="732B32D3"/>
    <w:rsid w:val="73393BC2"/>
    <w:rsid w:val="736425A4"/>
    <w:rsid w:val="736D4FA2"/>
    <w:rsid w:val="737B44DB"/>
    <w:rsid w:val="737F118B"/>
    <w:rsid w:val="73893DB8"/>
    <w:rsid w:val="739461A3"/>
    <w:rsid w:val="73CB43D1"/>
    <w:rsid w:val="73EB241B"/>
    <w:rsid w:val="7423420D"/>
    <w:rsid w:val="74262B1B"/>
    <w:rsid w:val="744D3038"/>
    <w:rsid w:val="745B670A"/>
    <w:rsid w:val="745D4F62"/>
    <w:rsid w:val="74A6094A"/>
    <w:rsid w:val="74CC21DF"/>
    <w:rsid w:val="74E16F35"/>
    <w:rsid w:val="74F11C15"/>
    <w:rsid w:val="74FD4A5E"/>
    <w:rsid w:val="75047B9A"/>
    <w:rsid w:val="75532D3D"/>
    <w:rsid w:val="758805C2"/>
    <w:rsid w:val="75883280"/>
    <w:rsid w:val="75A35605"/>
    <w:rsid w:val="75AD720F"/>
    <w:rsid w:val="75E802C1"/>
    <w:rsid w:val="761A37E7"/>
    <w:rsid w:val="761F2330"/>
    <w:rsid w:val="763F26D5"/>
    <w:rsid w:val="764D0528"/>
    <w:rsid w:val="76542DD5"/>
    <w:rsid w:val="7669764A"/>
    <w:rsid w:val="76735B9E"/>
    <w:rsid w:val="76742AFE"/>
    <w:rsid w:val="768E0063"/>
    <w:rsid w:val="768E1E11"/>
    <w:rsid w:val="769413F2"/>
    <w:rsid w:val="76B15A23"/>
    <w:rsid w:val="76C82F19"/>
    <w:rsid w:val="76DA5057"/>
    <w:rsid w:val="76DD4B47"/>
    <w:rsid w:val="77045A49"/>
    <w:rsid w:val="77266E5A"/>
    <w:rsid w:val="77291B31"/>
    <w:rsid w:val="77361931"/>
    <w:rsid w:val="77370768"/>
    <w:rsid w:val="773724A9"/>
    <w:rsid w:val="775C3CBE"/>
    <w:rsid w:val="775C7088"/>
    <w:rsid w:val="7763043E"/>
    <w:rsid w:val="77701354"/>
    <w:rsid w:val="77750DFA"/>
    <w:rsid w:val="77843214"/>
    <w:rsid w:val="77902D8C"/>
    <w:rsid w:val="779A189F"/>
    <w:rsid w:val="779F68FF"/>
    <w:rsid w:val="77A45665"/>
    <w:rsid w:val="77DC3F56"/>
    <w:rsid w:val="77F262AD"/>
    <w:rsid w:val="77FB33C6"/>
    <w:rsid w:val="78085BF3"/>
    <w:rsid w:val="781F51BA"/>
    <w:rsid w:val="78494544"/>
    <w:rsid w:val="786D5A56"/>
    <w:rsid w:val="787768D5"/>
    <w:rsid w:val="78850F31"/>
    <w:rsid w:val="78961451"/>
    <w:rsid w:val="78AA0A59"/>
    <w:rsid w:val="78C17527"/>
    <w:rsid w:val="78D41F79"/>
    <w:rsid w:val="78E431C4"/>
    <w:rsid w:val="78EB4A40"/>
    <w:rsid w:val="791920D0"/>
    <w:rsid w:val="794171A4"/>
    <w:rsid w:val="79627585"/>
    <w:rsid w:val="796E5F2A"/>
    <w:rsid w:val="797572B9"/>
    <w:rsid w:val="79876FEC"/>
    <w:rsid w:val="79BE0C60"/>
    <w:rsid w:val="79C515B9"/>
    <w:rsid w:val="79F944AF"/>
    <w:rsid w:val="7A0D5743"/>
    <w:rsid w:val="7A1B069D"/>
    <w:rsid w:val="7A262361"/>
    <w:rsid w:val="7A2F69EB"/>
    <w:rsid w:val="7A4413F9"/>
    <w:rsid w:val="7A5711E4"/>
    <w:rsid w:val="7A6115EB"/>
    <w:rsid w:val="7A671935"/>
    <w:rsid w:val="7A6C530F"/>
    <w:rsid w:val="7A83378B"/>
    <w:rsid w:val="7A85177D"/>
    <w:rsid w:val="7A9B094E"/>
    <w:rsid w:val="7ACC2F08"/>
    <w:rsid w:val="7ADB314B"/>
    <w:rsid w:val="7AEA0E27"/>
    <w:rsid w:val="7B387B9F"/>
    <w:rsid w:val="7B4154D9"/>
    <w:rsid w:val="7B583FF9"/>
    <w:rsid w:val="7B707D38"/>
    <w:rsid w:val="7B7825EF"/>
    <w:rsid w:val="7BAB6FC2"/>
    <w:rsid w:val="7BAF6112"/>
    <w:rsid w:val="7BD52290"/>
    <w:rsid w:val="7BD75D18"/>
    <w:rsid w:val="7C0466D2"/>
    <w:rsid w:val="7C2B0102"/>
    <w:rsid w:val="7C735E4E"/>
    <w:rsid w:val="7C766320"/>
    <w:rsid w:val="7CC222C0"/>
    <w:rsid w:val="7CC3033B"/>
    <w:rsid w:val="7CF5348D"/>
    <w:rsid w:val="7D0204F2"/>
    <w:rsid w:val="7D071AF5"/>
    <w:rsid w:val="7D151B2C"/>
    <w:rsid w:val="7D6605F4"/>
    <w:rsid w:val="7D7E7646"/>
    <w:rsid w:val="7DAA2961"/>
    <w:rsid w:val="7DAF266D"/>
    <w:rsid w:val="7DB008BF"/>
    <w:rsid w:val="7DC26738"/>
    <w:rsid w:val="7DE30297"/>
    <w:rsid w:val="7E2109BF"/>
    <w:rsid w:val="7E3037AE"/>
    <w:rsid w:val="7E971EA4"/>
    <w:rsid w:val="7E972C19"/>
    <w:rsid w:val="7E9C7095"/>
    <w:rsid w:val="7EA15025"/>
    <w:rsid w:val="7EBB2BFC"/>
    <w:rsid w:val="7ECE1DA5"/>
    <w:rsid w:val="7ED625A7"/>
    <w:rsid w:val="7EDA1142"/>
    <w:rsid w:val="7EF1789F"/>
    <w:rsid w:val="7F2350C1"/>
    <w:rsid w:val="7F272E03"/>
    <w:rsid w:val="7F4A08A0"/>
    <w:rsid w:val="7F621CE0"/>
    <w:rsid w:val="7F695FF0"/>
    <w:rsid w:val="7F6C2F0C"/>
    <w:rsid w:val="7F6E4E40"/>
    <w:rsid w:val="7F7B72FB"/>
    <w:rsid w:val="7F7E2419"/>
    <w:rsid w:val="7F856BE9"/>
    <w:rsid w:val="7F8E2BFA"/>
    <w:rsid w:val="7FCF45C1"/>
    <w:rsid w:val="7FFC4290"/>
    <w:rsid w:val="7FFD59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99"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4"/>
    <w:qFormat/>
    <w:uiPriority w:val="99"/>
    <w:pPr>
      <w:tabs>
        <w:tab w:val="left" w:pos="588"/>
      </w:tabs>
      <w:spacing w:line="360" w:lineRule="auto"/>
      <w:outlineLvl w:val="2"/>
    </w:pPr>
    <w:rPr>
      <w:rFonts w:ascii="Tahoma" w:hAnsi="Tahoma"/>
    </w:rPr>
  </w:style>
  <w:style w:type="paragraph" w:styleId="6">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5"/>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1"/>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7"/>
    <w:qFormat/>
    <w:uiPriority w:val="99"/>
    <w:pPr>
      <w:spacing w:line="360" w:lineRule="auto"/>
      <w:ind w:firstLine="200" w:firstLineChars="200"/>
    </w:pPr>
    <w:rPr>
      <w:sz w:val="24"/>
      <w:szCs w:val="20"/>
    </w:rPr>
  </w:style>
  <w:style w:type="paragraph" w:styleId="16">
    <w:name w:val="caption"/>
    <w:basedOn w:val="1"/>
    <w:next w:val="1"/>
    <w:link w:val="95"/>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1"/>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1"/>
    <w:qFormat/>
    <w:uiPriority w:val="0"/>
    <w:pPr>
      <w:jc w:val="left"/>
    </w:pPr>
    <w:rPr>
      <w:rFonts w:ascii="Tahoma" w:hAnsi="Tahoma"/>
    </w:rPr>
  </w:style>
  <w:style w:type="paragraph" w:styleId="21">
    <w:name w:val="Salutation"/>
    <w:basedOn w:val="14"/>
    <w:next w:val="14"/>
    <w:link w:val="200"/>
    <w:qFormat/>
    <w:uiPriority w:val="0"/>
    <w:rPr>
      <w:rFonts w:ascii="..ì." w:eastAsia="..ì." w:cs="Times New Roman"/>
      <w:color w:val="auto"/>
      <w:szCs w:val="20"/>
    </w:rPr>
  </w:style>
  <w:style w:type="paragraph" w:styleId="22">
    <w:name w:val="Body Text 3"/>
    <w:basedOn w:val="1"/>
    <w:link w:val="208"/>
    <w:qFormat/>
    <w:uiPriority w:val="99"/>
    <w:pPr>
      <w:spacing w:after="120"/>
    </w:pPr>
    <w:rPr>
      <w:rFonts w:eastAsia="宋体"/>
      <w:sz w:val="16"/>
      <w:szCs w:val="16"/>
    </w:rPr>
  </w:style>
  <w:style w:type="paragraph" w:styleId="23">
    <w:name w:val="Body Text Indent"/>
    <w:basedOn w:val="1"/>
    <w:link w:val="167"/>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2"/>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8"/>
    <w:qFormat/>
    <w:uiPriority w:val="99"/>
    <w:pPr>
      <w:spacing w:line="360" w:lineRule="auto"/>
      <w:ind w:left="2500" w:leftChars="2500"/>
    </w:pPr>
    <w:rPr>
      <w:rFonts w:ascii="Tahoma" w:hAnsi="Tahoma"/>
    </w:rPr>
  </w:style>
  <w:style w:type="paragraph" w:styleId="31">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qFormat/>
    <w:uiPriority w:val="0"/>
    <w:rPr>
      <w:sz w:val="18"/>
      <w:szCs w:val="18"/>
    </w:rPr>
  </w:style>
  <w:style w:type="paragraph" w:styleId="33">
    <w:name w:val="footer"/>
    <w:basedOn w:val="1"/>
    <w:link w:val="138"/>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1"/>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9"/>
    <w:qFormat/>
    <w:uiPriority w:val="99"/>
    <w:pPr>
      <w:spacing w:line="360" w:lineRule="auto"/>
      <w:ind w:right="26"/>
    </w:pPr>
    <w:rPr>
      <w:rFonts w:ascii="宋体" w:eastAsia="宋体"/>
      <w:szCs w:val="20"/>
    </w:rPr>
  </w:style>
  <w:style w:type="paragraph" w:styleId="43">
    <w:name w:val="HTML Preformatted"/>
    <w:basedOn w:val="1"/>
    <w:link w:val="29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9"/>
    <w:unhideWhenUsed/>
    <w:qFormat/>
    <w:uiPriority w:val="99"/>
    <w:pPr>
      <w:spacing w:line="440" w:lineRule="exact"/>
    </w:pPr>
    <w:rPr>
      <w:b/>
      <w:bCs/>
      <w:sz w:val="24"/>
      <w:szCs w:val="28"/>
    </w:rPr>
  </w:style>
  <w:style w:type="paragraph" w:styleId="48">
    <w:name w:val="Body Text First Indent"/>
    <w:basedOn w:val="2"/>
    <w:link w:val="132"/>
    <w:qFormat/>
    <w:uiPriority w:val="0"/>
    <w:pPr>
      <w:spacing w:after="120" w:line="240" w:lineRule="auto"/>
      <w:ind w:firstLine="100" w:firstLineChars="100"/>
    </w:pPr>
  </w:style>
  <w:style w:type="paragraph" w:styleId="49">
    <w:name w:val="Body Text First Indent 2"/>
    <w:basedOn w:val="23"/>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缩进1"/>
    <w:basedOn w:val="1"/>
    <w:qFormat/>
    <w:uiPriority w:val="0"/>
    <w:pPr>
      <w:ind w:firstLine="420" w:firstLineChars="200"/>
    </w:p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7"/>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5"/>
    <w:qFormat/>
    <w:uiPriority w:val="0"/>
    <w:pPr>
      <w:ind w:firstLine="420"/>
    </w:pPr>
    <w:rPr>
      <w:sz w:val="21"/>
      <w:szCs w:val="21"/>
    </w:rPr>
  </w:style>
  <w:style w:type="paragraph" w:customStyle="1" w:styleId="79">
    <w:name w:val="标题2"/>
    <w:basedOn w:val="4"/>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6"/>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2"/>
    <w:qFormat/>
    <w:uiPriority w:val="0"/>
    <w:rPr>
      <w:kern w:val="2"/>
      <w:sz w:val="18"/>
      <w:szCs w:val="18"/>
    </w:rPr>
  </w:style>
  <w:style w:type="character" w:customStyle="1" w:styleId="98">
    <w:name w:val="refresh"/>
    <w:basedOn w:val="52"/>
    <w:qFormat/>
    <w:uiPriority w:val="0"/>
  </w:style>
  <w:style w:type="character" w:customStyle="1" w:styleId="99">
    <w:name w:val="小列表 Char Char"/>
    <w:link w:val="93"/>
    <w:qFormat/>
    <w:uiPriority w:val="0"/>
    <w:rPr>
      <w:rFonts w:eastAsia="Arial Unicode MS"/>
      <w:kern w:val="2"/>
      <w:sz w:val="24"/>
      <w:szCs w:val="28"/>
    </w:rPr>
  </w:style>
  <w:style w:type="character" w:customStyle="1" w:styleId="100">
    <w:name w:val="del"/>
    <w:basedOn w:val="52"/>
    <w:qFormat/>
    <w:uiPriority w:val="0"/>
  </w:style>
  <w:style w:type="character" w:customStyle="1" w:styleId="101">
    <w:name w:val="批注文字 Char1"/>
    <w:link w:val="20"/>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7"/>
    <w:qFormat/>
    <w:uiPriority w:val="99"/>
    <w:rPr>
      <w:b/>
      <w:bCs/>
      <w:kern w:val="2"/>
      <w:sz w:val="24"/>
      <w:szCs w:val="28"/>
    </w:rPr>
  </w:style>
  <w:style w:type="character" w:customStyle="1" w:styleId="104">
    <w:name w:val="标题 2 Char"/>
    <w:link w:val="4"/>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2"/>
    <w:qFormat/>
    <w:uiPriority w:val="0"/>
  </w:style>
  <w:style w:type="character" w:customStyle="1" w:styleId="109">
    <w:name w:val="标题 8 Char"/>
    <w:link w:val="10"/>
    <w:qFormat/>
    <w:uiPriority w:val="99"/>
    <w:rPr>
      <w:rFonts w:ascii="Arial" w:hAnsi="Arial" w:eastAsia="黑体"/>
      <w:kern w:val="2"/>
      <w:sz w:val="24"/>
      <w:szCs w:val="28"/>
    </w:rPr>
  </w:style>
  <w:style w:type="character" w:customStyle="1" w:styleId="110">
    <w:name w:val="open2"/>
    <w:basedOn w:val="52"/>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2"/>
    <w:qFormat/>
    <w:uiPriority w:val="0"/>
  </w:style>
  <w:style w:type="character" w:customStyle="1" w:styleId="113">
    <w:name w:val="del2"/>
    <w:basedOn w:val="52"/>
    <w:qFormat/>
    <w:uiPriority w:val="0"/>
  </w:style>
  <w:style w:type="character" w:customStyle="1" w:styleId="114">
    <w:name w:val="标题 3 Char"/>
    <w:link w:val="5"/>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2"/>
    <w:qFormat/>
    <w:uiPriority w:val="0"/>
  </w:style>
  <w:style w:type="character" w:customStyle="1" w:styleId="117">
    <w:name w:val="morewin"/>
    <w:basedOn w:val="52"/>
    <w:qFormat/>
    <w:uiPriority w:val="0"/>
  </w:style>
  <w:style w:type="character" w:customStyle="1" w:styleId="118">
    <w:name w:val="open"/>
    <w:basedOn w:val="52"/>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3"/>
    <w:qFormat/>
    <w:uiPriority w:val="99"/>
    <w:rPr>
      <w:rFonts w:ascii="Tahoma" w:hAnsi="Tahoma"/>
      <w:b/>
      <w:bCs/>
      <w:kern w:val="44"/>
      <w:sz w:val="24"/>
      <w:szCs w:val="44"/>
    </w:rPr>
  </w:style>
  <w:style w:type="character" w:customStyle="1" w:styleId="123">
    <w:name w:val="页眉 Char"/>
    <w:link w:val="34"/>
    <w:qFormat/>
    <w:uiPriority w:val="99"/>
    <w:rPr>
      <w:rFonts w:ascii="Tahoma" w:hAnsi="Tahoma"/>
      <w:kern w:val="2"/>
      <w:sz w:val="18"/>
      <w:szCs w:val="18"/>
    </w:rPr>
  </w:style>
  <w:style w:type="character" w:customStyle="1" w:styleId="124">
    <w:name w:val="标题 7 Char"/>
    <w:link w:val="9"/>
    <w:qFormat/>
    <w:uiPriority w:val="99"/>
    <w:rPr>
      <w:b/>
      <w:bCs/>
      <w:kern w:val="2"/>
      <w:sz w:val="24"/>
      <w:szCs w:val="28"/>
    </w:rPr>
  </w:style>
  <w:style w:type="character" w:customStyle="1" w:styleId="125">
    <w:name w:val="标题 Char"/>
    <w:link w:val="46"/>
    <w:qFormat/>
    <w:uiPriority w:val="0"/>
    <w:rPr>
      <w:rFonts w:ascii="Cambria" w:hAnsi="Cambria"/>
      <w:b/>
      <w:bCs/>
      <w:kern w:val="2"/>
      <w:sz w:val="32"/>
      <w:szCs w:val="32"/>
    </w:rPr>
  </w:style>
  <w:style w:type="character" w:customStyle="1" w:styleId="126">
    <w:name w:val="标题 9 Char"/>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2"/>
    <w:qFormat/>
    <w:uiPriority w:val="0"/>
  </w:style>
  <w:style w:type="character" w:customStyle="1" w:styleId="129">
    <w:name w:val="批注主题 Char"/>
    <w:link w:val="47"/>
    <w:qFormat/>
    <w:uiPriority w:val="99"/>
    <w:rPr>
      <w:rFonts w:ascii="Tahoma" w:hAnsi="Tahoma"/>
      <w:b/>
      <w:bCs/>
      <w:kern w:val="2"/>
      <w:sz w:val="24"/>
      <w:szCs w:val="28"/>
    </w:rPr>
  </w:style>
  <w:style w:type="character" w:customStyle="1" w:styleId="130">
    <w:name w:val="pagebanner"/>
    <w:basedOn w:val="52"/>
    <w:qFormat/>
    <w:uiPriority w:val="0"/>
  </w:style>
  <w:style w:type="character" w:customStyle="1" w:styleId="131">
    <w:name w:val="文档结构图 Char"/>
    <w:link w:val="18"/>
    <w:qFormat/>
    <w:uiPriority w:val="99"/>
    <w:rPr>
      <w:rFonts w:ascii="宋体"/>
      <w:kern w:val="2"/>
      <w:sz w:val="18"/>
      <w:szCs w:val="18"/>
    </w:rPr>
  </w:style>
  <w:style w:type="character" w:customStyle="1" w:styleId="132">
    <w:name w:val="正文首行缩进 Char"/>
    <w:link w:val="48"/>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8"/>
    <w:qFormat/>
    <w:uiPriority w:val="99"/>
    <w:rPr>
      <w:rFonts w:ascii="Arial" w:hAnsi="Arial" w:eastAsia="黑体"/>
      <w:b/>
      <w:bCs/>
      <w:kern w:val="2"/>
      <w:sz w:val="24"/>
      <w:szCs w:val="28"/>
    </w:rPr>
  </w:style>
  <w:style w:type="character" w:customStyle="1" w:styleId="135">
    <w:name w:val="正文文本 Char"/>
    <w:link w:val="2"/>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5"/>
    <w:qFormat/>
    <w:uiPriority w:val="0"/>
    <w:rPr>
      <w:kern w:val="2"/>
      <w:sz w:val="24"/>
    </w:rPr>
  </w:style>
  <w:style w:type="character" w:customStyle="1" w:styleId="138">
    <w:name w:val="页脚 Char"/>
    <w:link w:val="33"/>
    <w:qFormat/>
    <w:uiPriority w:val="0"/>
    <w:rPr>
      <w:rFonts w:ascii="Tahoma" w:hAnsi="Tahoma"/>
      <w:kern w:val="2"/>
      <w:sz w:val="18"/>
      <w:szCs w:val="18"/>
    </w:rPr>
  </w:style>
  <w:style w:type="character" w:customStyle="1" w:styleId="139">
    <w:name w:val="mod"/>
    <w:basedOn w:val="52"/>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6"/>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qFormat/>
    <w:uiPriority w:val="0"/>
    <w:rPr>
      <w:color w:val="BA2636"/>
      <w:sz w:val="12"/>
      <w:szCs w:val="12"/>
    </w:rPr>
  </w:style>
  <w:style w:type="character" w:customStyle="1" w:styleId="144">
    <w:name w:val="gjfg"/>
    <w:basedOn w:val="52"/>
    <w:qFormat/>
    <w:uiPriority w:val="0"/>
  </w:style>
  <w:style w:type="character" w:customStyle="1" w:styleId="145">
    <w:name w:val="redfilenumber"/>
    <w:basedOn w:val="52"/>
    <w:qFormat/>
    <w:uiPriority w:val="0"/>
    <w:rPr>
      <w:color w:val="BA2636"/>
      <w:sz w:val="12"/>
      <w:szCs w:val="12"/>
    </w:rPr>
  </w:style>
  <w:style w:type="character" w:customStyle="1" w:styleId="146">
    <w:name w:val="qxdate"/>
    <w:basedOn w:val="52"/>
    <w:qFormat/>
    <w:uiPriority w:val="0"/>
    <w:rPr>
      <w:color w:val="333333"/>
      <w:sz w:val="12"/>
      <w:szCs w:val="12"/>
    </w:rPr>
  </w:style>
  <w:style w:type="character" w:customStyle="1" w:styleId="147">
    <w:name w:val="prev"/>
    <w:basedOn w:val="52"/>
    <w:qFormat/>
    <w:uiPriority w:val="0"/>
    <w:rPr>
      <w:rFonts w:ascii="微软雅黑" w:hAnsi="微软雅黑" w:eastAsia="微软雅黑" w:cs="微软雅黑"/>
      <w:sz w:val="14"/>
      <w:szCs w:val="14"/>
    </w:rPr>
  </w:style>
  <w:style w:type="character" w:customStyle="1" w:styleId="148">
    <w:name w:val="cfdate"/>
    <w:basedOn w:val="52"/>
    <w:qFormat/>
    <w:uiPriority w:val="0"/>
    <w:rPr>
      <w:color w:val="333333"/>
      <w:sz w:val="12"/>
      <w:szCs w:val="12"/>
    </w:rPr>
  </w:style>
  <w:style w:type="character" w:customStyle="1" w:styleId="149">
    <w:name w:val="displayarti"/>
    <w:basedOn w:val="52"/>
    <w:qFormat/>
    <w:uiPriority w:val="0"/>
    <w:rPr>
      <w:color w:val="FFFFFF"/>
      <w:shd w:val="clear" w:color="auto" w:fill="A00000"/>
    </w:rPr>
  </w:style>
  <w:style w:type="character" w:customStyle="1" w:styleId="150">
    <w:name w:val="next2"/>
    <w:basedOn w:val="52"/>
    <w:qFormat/>
    <w:uiPriority w:val="0"/>
    <w:rPr>
      <w:rFonts w:hint="eastAsia" w:ascii="微软雅黑" w:hAnsi="微软雅黑" w:eastAsia="微软雅黑" w:cs="微软雅黑"/>
      <w:sz w:val="14"/>
      <w:szCs w:val="14"/>
    </w:rPr>
  </w:style>
  <w:style w:type="character" w:customStyle="1" w:styleId="151">
    <w:name w:val="next3"/>
    <w:basedOn w:val="52"/>
    <w:qFormat/>
    <w:uiPriority w:val="0"/>
    <w:rPr>
      <w:color w:val="888888"/>
    </w:rPr>
  </w:style>
  <w:style w:type="character" w:customStyle="1" w:styleId="152">
    <w:name w:val="next"/>
    <w:basedOn w:val="52"/>
    <w:qFormat/>
    <w:uiPriority w:val="0"/>
    <w:rPr>
      <w:rFonts w:ascii="微软雅黑" w:hAnsi="微软雅黑" w:eastAsia="微软雅黑" w:cs="微软雅黑"/>
      <w:sz w:val="14"/>
      <w:szCs w:val="14"/>
    </w:rPr>
  </w:style>
  <w:style w:type="character" w:customStyle="1" w:styleId="153">
    <w:name w:val="prev1"/>
    <w:basedOn w:val="52"/>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2"/>
    <w:link w:val="23"/>
    <w:qFormat/>
    <w:uiPriority w:val="99"/>
    <w:rPr>
      <w:rFonts w:ascii="Tahoma" w:hAnsi="Tahoma" w:eastAsia="Arial Unicode MS" w:cs="Times New Roman"/>
      <w:kern w:val="2"/>
      <w:sz w:val="21"/>
      <w:szCs w:val="24"/>
    </w:rPr>
  </w:style>
  <w:style w:type="character" w:customStyle="1" w:styleId="168">
    <w:name w:val="正文首行缩进 2 Char"/>
    <w:basedOn w:val="167"/>
    <w:link w:val="49"/>
    <w:qFormat/>
    <w:uiPriority w:val="0"/>
    <w:rPr>
      <w:rFonts w:ascii="Times New Roman" w:hAnsi="Times New Roman" w:eastAsia="宋体" w:cs="Times New Roman"/>
      <w:kern w:val="2"/>
      <w:sz w:val="21"/>
      <w:szCs w:val="24"/>
    </w:rPr>
  </w:style>
  <w:style w:type="character" w:customStyle="1" w:styleId="169">
    <w:name w:val="正文文本 2 Char"/>
    <w:basedOn w:val="52"/>
    <w:link w:val="42"/>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5"/>
    <w:qFormat/>
    <w:uiPriority w:val="99"/>
    <w:rPr>
      <w:rFonts w:eastAsia="宋体"/>
      <w:sz w:val="24"/>
      <w:szCs w:val="20"/>
    </w:rPr>
  </w:style>
  <w:style w:type="paragraph" w:customStyle="1" w:styleId="175">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0"/>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2"/>
    <w:link w:val="21"/>
    <w:qFormat/>
    <w:uiPriority w:val="0"/>
    <w:rPr>
      <w:rFonts w:ascii="..ì." w:hAnsi="Times New Roman" w:eastAsia="..ì." w:cs="Times New Roman"/>
      <w:sz w:val="24"/>
    </w:rPr>
  </w:style>
  <w:style w:type="character" w:customStyle="1" w:styleId="201">
    <w:name w:val="注释标题 Char"/>
    <w:basedOn w:val="52"/>
    <w:link w:val="13"/>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2"/>
    <w:qFormat/>
    <w:uiPriority w:val="99"/>
    <w:rPr>
      <w:rFonts w:ascii="宋体" w:eastAsia="宋体"/>
      <w:sz w:val="24"/>
      <w:szCs w:val="20"/>
    </w:rPr>
  </w:style>
  <w:style w:type="character" w:customStyle="1" w:styleId="208">
    <w:name w:val="正文文本 3 Char"/>
    <w:basedOn w:val="52"/>
    <w:link w:val="22"/>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3"/>
    <w:qFormat/>
    <w:uiPriority w:val="99"/>
    <w:pPr>
      <w:ind w:left="432"/>
    </w:pPr>
    <w:rPr>
      <w:rFonts w:eastAsia="宋体"/>
      <w:szCs w:val="20"/>
    </w:rPr>
  </w:style>
  <w:style w:type="character" w:customStyle="1" w:styleId="211">
    <w:name w:val="正文文本缩进 3 Char"/>
    <w:link w:val="39"/>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28"/>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eastAsia="黑体"/>
      <w:sz w:val="21"/>
    </w:rPr>
  </w:style>
  <w:style w:type="character" w:customStyle="1" w:styleId="250">
    <w:name w:val="一级条标题 Char"/>
    <w:link w:val="243"/>
    <w:qFormat/>
    <w:uiPriority w:val="0"/>
    <w:rPr>
      <w:rFonts w:ascii="黑体" w:eastAsia="黑体"/>
      <w:sz w:val="21"/>
    </w:rPr>
  </w:style>
  <w:style w:type="character" w:customStyle="1" w:styleId="251">
    <w:name w:val="二级条标题 Char"/>
    <w:link w:val="244"/>
    <w:qFormat/>
    <w:uiPriority w:val="0"/>
    <w:rPr>
      <w:rFonts w:ascii="黑体" w:eastAsia="黑体"/>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1"/>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Char"/>
    <w:basedOn w:val="52"/>
    <w:link w:val="43"/>
    <w:qFormat/>
    <w:uiPriority w:val="0"/>
    <w:rPr>
      <w:rFonts w:ascii="黑体" w:hAnsi="Courier New" w:eastAsia="黑体"/>
    </w:rPr>
  </w:style>
  <w:style w:type="paragraph" w:customStyle="1" w:styleId="298">
    <w:name w:val="正文（绿盟科技）"/>
    <w:link w:val="299"/>
    <w:qFormat/>
    <w:uiPriority w:val="0"/>
    <w:pPr>
      <w:spacing w:line="300" w:lineRule="auto"/>
    </w:pPr>
    <w:rPr>
      <w:rFonts w:ascii="Arial" w:hAnsi="Arial" w:eastAsia="宋体" w:cs="Times New Roman"/>
      <w:sz w:val="21"/>
      <w:szCs w:val="21"/>
      <w:lang w:val="en-US" w:eastAsia="zh-CN" w:bidi="ar-SA"/>
    </w:rPr>
  </w:style>
  <w:style w:type="character" w:customStyle="1" w:styleId="299">
    <w:name w:val="正文（绿盟科技） Char"/>
    <w:link w:val="298"/>
    <w:qFormat/>
    <w:uiPriority w:val="0"/>
    <w:rPr>
      <w:rFonts w:ascii="Arial" w:hAnsi="Arial"/>
      <w:sz w:val="21"/>
      <w:szCs w:val="21"/>
    </w:rPr>
  </w:style>
  <w:style w:type="paragraph" w:customStyle="1" w:styleId="300">
    <w:name w:val="TOC 标题4"/>
    <w:basedOn w:val="3"/>
    <w:next w:val="1"/>
    <w:unhideWhenUsed/>
    <w:qFormat/>
    <w:uiPriority w:val="39"/>
    <w:pPr>
      <w:widowControl/>
      <w:adjustRightInd/>
      <w:spacing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0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0A5BD-8C42-485A-A488-79AB146E6BC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74</Pages>
  <Words>34922</Words>
  <Characters>38412</Characters>
  <Lines>279</Lines>
  <Paragraphs>78</Paragraphs>
  <TotalTime>4</TotalTime>
  <ScaleCrop>false</ScaleCrop>
  <LinksUpToDate>false</LinksUpToDate>
  <CharactersWithSpaces>42710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2022-06-17T08:06:00Z</dcterms:created>
  <dc:creator>Lv Ji_BM</dc:creator>
  <cp:lastModifiedBy>j@x</cp:lastModifiedBy>
  <cp:lastPrinted>2022-07-18T13:01:00Z</cp:lastPrinted>
  <dcterms:modified xsi:type="dcterms:W3CDTF">2023-06-26T01:15:52Z</dcterms:modified>
  <dc:title>_x0001_</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EB7A73F9E1014A708F77454656C76E41</vt:lpwstr>
  </property>
</Properties>
</file>