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482" w:firstLineChars="150"/>
        <w:jc w:val="center"/>
        <w:outlineLvl w:val="0"/>
        <w:rPr>
          <w:rFonts w:ascii="黑体" w:eastAsia="黑体"/>
          <w:color w:val="auto"/>
          <w:sz w:val="28"/>
          <w:szCs w:val="28"/>
        </w:rPr>
      </w:pPr>
      <w:bookmarkStart w:id="0" w:name="_Toc30839"/>
      <w:bookmarkStart w:id="1" w:name="_Toc29342"/>
      <w:bookmarkStart w:id="2" w:name="_Toc290389759"/>
      <w:bookmarkStart w:id="13" w:name="_GoBack"/>
      <w:bookmarkEnd w:id="13"/>
      <w:r>
        <w:rPr>
          <w:rFonts w:hint="eastAsia" w:ascii="宋体" w:hAnsi="宋体"/>
          <w:b/>
          <w:color w:val="auto"/>
          <w:sz w:val="32"/>
          <w:szCs w:val="32"/>
        </w:rPr>
        <w:t>第七章  发包人要求</w:t>
      </w:r>
      <w:bookmarkEnd w:id="0"/>
      <w:bookmarkEnd w:id="1"/>
      <w:bookmarkEnd w:id="2"/>
    </w:p>
    <w:p>
      <w:pPr>
        <w:pStyle w:val="3"/>
        <w:rPr>
          <w:rFonts w:hint="eastAsia"/>
          <w:color w:val="auto"/>
          <w:sz w:val="22"/>
          <w:szCs w:val="15"/>
        </w:rPr>
      </w:pPr>
      <w:bookmarkStart w:id="3" w:name="_Toc20315"/>
      <w:bookmarkStart w:id="4" w:name="_Toc30823"/>
      <w:r>
        <w:rPr>
          <w:rFonts w:hint="eastAsia"/>
          <w:color w:val="auto"/>
          <w:sz w:val="22"/>
          <w:szCs w:val="15"/>
        </w:rPr>
        <w:t>1.项目基本情况</w:t>
      </w:r>
      <w:bookmarkEnd w:id="3"/>
      <w:bookmarkEnd w:id="4"/>
    </w:p>
    <w:p>
      <w:pPr>
        <w:spacing w:line="360" w:lineRule="auto"/>
        <w:ind w:firstLine="480"/>
        <w:rPr>
          <w:rFonts w:hint="eastAsia"/>
          <w:color w:val="auto"/>
          <w:szCs w:val="21"/>
        </w:rPr>
      </w:pPr>
      <w:bookmarkStart w:id="5" w:name="_Toc29594"/>
      <w:bookmarkStart w:id="6" w:name="_Toc24076"/>
      <w:r>
        <w:rPr>
          <w:rFonts w:hint="eastAsia"/>
          <w:color w:val="auto"/>
          <w:szCs w:val="21"/>
        </w:rPr>
        <w:t>1.1陕西省游泳运动管理中心配电室现有低压配电柜31台，本次改造拆除低压柜24台（其中BFC型抽屉柜19台，GGD柜5台）。本次改造新装GCS型抽屉柜17台，利旧重新安装GGD柜4台。</w:t>
      </w:r>
    </w:p>
    <w:p>
      <w:pPr>
        <w:pStyle w:val="3"/>
        <w:rPr>
          <w:rFonts w:hint="eastAsia"/>
          <w:color w:val="auto"/>
          <w:sz w:val="22"/>
          <w:szCs w:val="15"/>
        </w:rPr>
      </w:pPr>
      <w:r>
        <w:rPr>
          <w:rFonts w:hint="eastAsia"/>
          <w:color w:val="auto"/>
          <w:sz w:val="22"/>
          <w:szCs w:val="15"/>
        </w:rPr>
        <w:t>2.本次招标范围及工程量清单编制图纸涉及范围</w:t>
      </w:r>
      <w:bookmarkEnd w:id="5"/>
      <w:bookmarkEnd w:id="6"/>
    </w:p>
    <w:p>
      <w:pPr>
        <w:spacing w:line="360" w:lineRule="auto"/>
        <w:ind w:firstLine="480"/>
        <w:rPr>
          <w:rFonts w:hint="eastAsia"/>
          <w:color w:val="auto"/>
          <w:szCs w:val="21"/>
        </w:rPr>
      </w:pPr>
      <w:bookmarkStart w:id="7" w:name="_Toc20392"/>
      <w:bookmarkStart w:id="8" w:name="_Toc31687"/>
      <w:r>
        <w:rPr>
          <w:rFonts w:hint="eastAsia"/>
          <w:color w:val="auto"/>
          <w:szCs w:val="21"/>
        </w:rPr>
        <w:t>（1）陕西省游泳运动管理中心配电室现有低压配电柜31台，本次改造拆除低压柜24台（其中BFC型抽屉柜19台，GGD柜5台）。本次改造新装GCS型抽屉柜17台，利旧重新安装GGD柜4台。</w:t>
      </w:r>
    </w:p>
    <w:p>
      <w:pPr>
        <w:spacing w:line="360" w:lineRule="auto"/>
        <w:ind w:firstLine="480"/>
        <w:rPr>
          <w:rFonts w:hint="eastAsia"/>
          <w:color w:val="auto"/>
          <w:szCs w:val="21"/>
        </w:rPr>
      </w:pPr>
      <w:r>
        <w:rPr>
          <w:rFonts w:hint="eastAsia"/>
          <w:color w:val="auto"/>
          <w:szCs w:val="21"/>
        </w:rPr>
        <w:t>（2）拆除原D25与14G柜之间封闭母线5米，拆除原D8与13G柜之间封闭母线5米，拆除2D3与原D12柜之间2000A封闭母线6米，拆除1#变压器与1D1柜之间2000A封闭母线6.5米，拆除2#变压器与1D1柜之间2000A封闭母线6.5米。</w:t>
      </w:r>
    </w:p>
    <w:p>
      <w:pPr>
        <w:spacing w:line="360" w:lineRule="auto"/>
        <w:ind w:firstLine="480"/>
        <w:rPr>
          <w:rFonts w:hint="eastAsia"/>
          <w:color w:val="auto"/>
          <w:szCs w:val="21"/>
        </w:rPr>
      </w:pPr>
      <w:r>
        <w:rPr>
          <w:rFonts w:hint="eastAsia"/>
          <w:color w:val="auto"/>
          <w:szCs w:val="21"/>
        </w:rPr>
        <w:t>（3）新装2000A封闭母线6米2D3与2D4柜连接，新装1#变压器与1D1柜之间2000A封闭母线6.5米，新装2#变压器与1D1柜之间2000A封闭母线6.5米。</w:t>
      </w:r>
    </w:p>
    <w:p>
      <w:pPr>
        <w:spacing w:line="360" w:lineRule="auto"/>
        <w:ind w:firstLine="480"/>
        <w:rPr>
          <w:rFonts w:hint="eastAsia"/>
          <w:color w:val="auto"/>
          <w:szCs w:val="21"/>
        </w:rPr>
      </w:pPr>
      <w:r>
        <w:rPr>
          <w:rFonts w:hint="eastAsia"/>
          <w:color w:val="auto"/>
          <w:szCs w:val="21"/>
        </w:rPr>
        <w:t>（4）热水泵房拆除BFC型抽屉柜有3台，新装GGD型固定柜3台。</w:t>
      </w:r>
    </w:p>
    <w:p>
      <w:pPr>
        <w:spacing w:line="360" w:lineRule="auto"/>
        <w:ind w:firstLine="480"/>
        <w:rPr>
          <w:rFonts w:hint="eastAsia"/>
          <w:color w:val="auto"/>
          <w:szCs w:val="21"/>
        </w:rPr>
      </w:pPr>
      <w:r>
        <w:rPr>
          <w:rFonts w:hint="eastAsia"/>
          <w:color w:val="auto"/>
          <w:szCs w:val="21"/>
        </w:rPr>
        <w:t>（5）拆除GZDW-65AH直流电源系统1套。新装GZDW-65AH直流电源系统1套。</w:t>
      </w:r>
    </w:p>
    <w:p>
      <w:pPr>
        <w:spacing w:line="360" w:lineRule="auto"/>
        <w:ind w:firstLine="480"/>
        <w:rPr>
          <w:rFonts w:hint="eastAsia"/>
          <w:color w:val="auto"/>
          <w:szCs w:val="21"/>
        </w:rPr>
      </w:pPr>
      <w:r>
        <w:rPr>
          <w:rFonts w:hint="eastAsia"/>
          <w:color w:val="auto"/>
          <w:szCs w:val="21"/>
        </w:rPr>
        <w:t>（6）更换游泳中心配电室至地热房配电室供电电缆，由游泳中心配电室低压柜出线。新敷设电缆466米,电缆选用：WDZC-YJY22-0.6/1KV-4*95+1*50、顶管φ110PE 368*2=736 米、新修电力检查井2000mm*1200mm 2 座、新制安电缆终端接头4*95+1*50 2 套。</w:t>
      </w:r>
    </w:p>
    <w:p>
      <w:pPr>
        <w:spacing w:line="360" w:lineRule="auto"/>
        <w:ind w:firstLine="480"/>
        <w:rPr>
          <w:rFonts w:hint="eastAsia"/>
          <w:color w:val="auto"/>
          <w:szCs w:val="21"/>
        </w:rPr>
      </w:pPr>
      <w:r>
        <w:rPr>
          <w:rFonts w:hint="eastAsia"/>
          <w:color w:val="auto"/>
          <w:szCs w:val="21"/>
        </w:rPr>
        <w:t>（7）更换广场东侧高杆灯供电电缆，由门房配电箱出线。 新敷设电缆103 米，电缆选用：WDZC-YJY22-0.6/1KV-5*10、顶管φ110PE 65 米、新制安电缆终端接头 5*10 2 套、更换电动升降控制器1套。</w:t>
      </w:r>
    </w:p>
    <w:p>
      <w:pPr>
        <w:spacing w:line="360" w:lineRule="auto"/>
        <w:ind w:firstLine="480"/>
        <w:rPr>
          <w:rFonts w:hint="eastAsia"/>
          <w:color w:val="auto"/>
          <w:szCs w:val="21"/>
        </w:rPr>
      </w:pPr>
      <w:r>
        <w:rPr>
          <w:rFonts w:hint="eastAsia"/>
          <w:color w:val="auto"/>
          <w:szCs w:val="21"/>
        </w:rPr>
        <w:t>（8）更换广场西侧高杆灯供电电缆，由门房配电箱出线。新敷设电缆 189 米，电缆选用：WDZC-YJY22-0.6/1KV-5*10、顶管φ110PE 86 米、新制安电缆终端接头 5*10 2 套、更换电动升降控制器1套。</w:t>
      </w:r>
    </w:p>
    <w:p>
      <w:pPr>
        <w:spacing w:line="360" w:lineRule="auto"/>
        <w:ind w:firstLine="480"/>
        <w:rPr>
          <w:rFonts w:hint="eastAsia"/>
          <w:color w:val="auto"/>
          <w:szCs w:val="21"/>
        </w:rPr>
      </w:pPr>
      <w:r>
        <w:rPr>
          <w:rFonts w:hint="eastAsia"/>
          <w:color w:val="auto"/>
          <w:szCs w:val="21"/>
        </w:rPr>
        <w:t>（9）更换丈八变电站内部电缆，丈八变电站 145 陕游间隔出线出线。新敷设电缆 240 米，电缆选用：YJV22-8.7/15kV-3*240、新制安电缆终端接头3*240 1套、新制安电缆中间接头 3*240 1套。</w:t>
      </w:r>
    </w:p>
    <w:p>
      <w:pPr>
        <w:spacing w:line="360" w:lineRule="auto"/>
        <w:ind w:firstLine="480"/>
        <w:rPr>
          <w:rFonts w:hint="eastAsia"/>
          <w:color w:val="auto"/>
          <w:szCs w:val="21"/>
        </w:rPr>
      </w:pPr>
      <w:r>
        <w:rPr>
          <w:rFonts w:hint="eastAsia"/>
          <w:color w:val="auto"/>
          <w:szCs w:val="21"/>
        </w:rPr>
        <w:t>（10）排污泵控制柜共 1 台，地辅热控制柜共 1 台，就地控制按钮箱共 6 台，采暖补水泵控制控制柜共 2 台，暖风机房控制柜共 2 台，空压机房电源箱共 1 台，游泳池风机控制箱共 1 台，游泳池、跳水馆、训练馆 7.5kW 风机各1 台。</w:t>
      </w:r>
    </w:p>
    <w:p>
      <w:pPr>
        <w:spacing w:line="360" w:lineRule="auto"/>
        <w:ind w:firstLine="480"/>
        <w:rPr>
          <w:rFonts w:hint="eastAsia"/>
          <w:b w:val="0"/>
          <w:bCs w:val="0"/>
          <w:color w:val="auto"/>
          <w:szCs w:val="21"/>
        </w:rPr>
      </w:pPr>
      <w:r>
        <w:rPr>
          <w:rFonts w:hint="eastAsia"/>
          <w:b w:val="0"/>
          <w:bCs w:val="0"/>
          <w:color w:val="auto"/>
          <w:szCs w:val="21"/>
        </w:rPr>
        <w:t>（11）元器件选用国际一线品牌，分断能力50KA。</w:t>
      </w:r>
    </w:p>
    <w:p>
      <w:pPr>
        <w:spacing w:line="360" w:lineRule="auto"/>
        <w:ind w:firstLine="480"/>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（12）低压柜柜体、主材及元器件（参考品牌）：ABB、施耐德、西门子或相当于同档次品牌；高低压电缆：宝胜、上上、特盛、远东或相当于同档次品牌。</w:t>
      </w:r>
    </w:p>
    <w:p>
      <w:pPr>
        <w:pStyle w:val="3"/>
        <w:rPr>
          <w:rFonts w:hint="eastAsia"/>
          <w:color w:val="auto"/>
          <w:sz w:val="22"/>
          <w:szCs w:val="15"/>
        </w:rPr>
      </w:pPr>
      <w:r>
        <w:rPr>
          <w:rFonts w:hint="eastAsia"/>
          <w:color w:val="auto"/>
          <w:sz w:val="22"/>
          <w:szCs w:val="15"/>
        </w:rPr>
        <w:t>3.技术其他说明：</w:t>
      </w:r>
      <w:bookmarkEnd w:id="7"/>
      <w:bookmarkEnd w:id="8"/>
    </w:p>
    <w:p>
      <w:pPr>
        <w:spacing w:line="360" w:lineRule="auto"/>
        <w:ind w:firstLine="480"/>
        <w:rPr>
          <w:rFonts w:hint="eastAsia"/>
          <w:color w:val="auto"/>
          <w:szCs w:val="21"/>
        </w:rPr>
      </w:pPr>
      <w:r>
        <w:rPr>
          <w:rFonts w:hint="eastAsia"/>
          <w:color w:val="auto"/>
          <w:szCs w:val="21"/>
        </w:rPr>
        <w:t>（1）上述规范、标准、规程仅是本工程建设的最基本要求，并未包括实施中所涉及到的所有规定、标准和规程。在施工中对于上述未尽事宜，按国家和地方现行的规定执行。</w:t>
      </w:r>
    </w:p>
    <w:p>
      <w:pPr>
        <w:spacing w:line="360" w:lineRule="auto"/>
        <w:ind w:firstLine="480"/>
        <w:rPr>
          <w:rFonts w:hint="eastAsia"/>
          <w:color w:val="auto"/>
          <w:szCs w:val="21"/>
        </w:rPr>
      </w:pPr>
      <w:r>
        <w:rPr>
          <w:rFonts w:hint="eastAsia"/>
          <w:color w:val="auto"/>
          <w:szCs w:val="21"/>
        </w:rPr>
        <w:t>（2）本次招标文件技术规格及要求，主要由各相关的工程工程量清单、图纸及相应的技术规格要求组成。</w:t>
      </w:r>
    </w:p>
    <w:p>
      <w:pPr>
        <w:spacing w:line="360" w:lineRule="auto"/>
        <w:ind w:firstLine="480"/>
        <w:rPr>
          <w:rFonts w:hint="eastAsia"/>
          <w:color w:val="auto"/>
          <w:szCs w:val="21"/>
        </w:rPr>
      </w:pPr>
      <w:r>
        <w:rPr>
          <w:rFonts w:hint="eastAsia"/>
          <w:color w:val="auto"/>
          <w:szCs w:val="21"/>
        </w:rPr>
        <w:t>（3）请投标人仔细阅读投标文件的全部条文（包括合同条款），对于投标文件中存在的任何含糊、遗漏、相互矛盾之处或是对于技术规格以及其它内容不清楚、认为存在歧视、限制的情况，供应商应在规定时间之前向采购人或采购代理机构寻求书面澄清。</w:t>
      </w:r>
    </w:p>
    <w:p>
      <w:pPr>
        <w:spacing w:line="360" w:lineRule="auto"/>
        <w:ind w:firstLine="480"/>
        <w:rPr>
          <w:rFonts w:hint="eastAsia"/>
          <w:color w:val="auto"/>
          <w:szCs w:val="21"/>
        </w:rPr>
      </w:pPr>
      <w:r>
        <w:rPr>
          <w:rFonts w:hint="eastAsia"/>
          <w:color w:val="auto"/>
          <w:szCs w:val="21"/>
        </w:rPr>
        <w:t>（4）依据工程技术文件要求，本工程项目的材料、施工必须达到现行中华人民共和国及省、市、行业的一切有关法规、规范的要求。</w:t>
      </w:r>
    </w:p>
    <w:p>
      <w:pPr>
        <w:spacing w:line="360" w:lineRule="auto"/>
        <w:ind w:firstLine="480"/>
        <w:rPr>
          <w:rFonts w:hint="eastAsia"/>
          <w:color w:val="auto"/>
          <w:szCs w:val="21"/>
        </w:rPr>
      </w:pPr>
      <w:r>
        <w:rPr>
          <w:rFonts w:hint="eastAsia"/>
          <w:color w:val="auto"/>
          <w:szCs w:val="21"/>
        </w:rPr>
        <w:t>（5）承包人必须按国家颁布的强制性标准组织施工。本工程采用的标准及规范均为最新版本的国家及部颁和行业现行标准。国家及部颁与本标工程有关的各种现行有效版本的技术规范、规程和供货商技术文件上的质量要求均适用于本工程。</w:t>
      </w:r>
    </w:p>
    <w:p>
      <w:pPr>
        <w:spacing w:line="360" w:lineRule="auto"/>
        <w:ind w:firstLine="480"/>
        <w:rPr>
          <w:rFonts w:hint="eastAsia"/>
          <w:color w:val="auto"/>
          <w:szCs w:val="21"/>
        </w:rPr>
      </w:pPr>
      <w:r>
        <w:rPr>
          <w:rFonts w:hint="eastAsia"/>
          <w:color w:val="auto"/>
          <w:szCs w:val="21"/>
        </w:rPr>
        <w:t>（6）与本工程有关的施工及验收技术规范：工程施工质量检验评定以国家及部颁建筑与安装工程质量检验评定标准为依据。施工过程中，施工单位应全面阅读各专业图纸，特别注意建筑和结构专业对外墙的构造，设备各专业的留洞，如遇到专业间不符，请及时与设计单位沟通，避免不必要的返工。</w:t>
      </w:r>
    </w:p>
    <w:p>
      <w:pPr>
        <w:spacing w:line="360" w:lineRule="auto"/>
        <w:ind w:firstLine="480"/>
        <w:rPr>
          <w:rFonts w:hint="eastAsia"/>
          <w:color w:val="auto"/>
          <w:szCs w:val="21"/>
        </w:rPr>
      </w:pPr>
      <w:r>
        <w:rPr>
          <w:rFonts w:hint="eastAsia"/>
          <w:color w:val="auto"/>
          <w:szCs w:val="21"/>
        </w:rPr>
        <w:t>（7）土建施工与安装工程密切配合，准确预埋和各种预埋件，预留孔洞并保证施工适量，避免遗漏及时候随意开凿。</w:t>
      </w:r>
    </w:p>
    <w:p>
      <w:pPr>
        <w:spacing w:line="360" w:lineRule="auto"/>
        <w:ind w:firstLine="480"/>
        <w:rPr>
          <w:color w:val="auto"/>
          <w:szCs w:val="21"/>
        </w:rPr>
      </w:pPr>
      <w:r>
        <w:rPr>
          <w:rFonts w:hint="eastAsia"/>
          <w:color w:val="auto"/>
          <w:szCs w:val="21"/>
        </w:rPr>
        <w:t>（8）施工过程中，建设单位、施工单位、监理单位不得对图纸进行随意变更，所有变更设计均应先由有关部门协商后再由原设计单位出具正式设计变更为准。凡不符合有关程序的单位或个人的边个设计行为及由此产生的后果，原设计单位不负责任何法律责任。</w:t>
      </w:r>
    </w:p>
    <w:p>
      <w:pPr>
        <w:spacing w:line="360" w:lineRule="auto"/>
        <w:ind w:firstLine="480"/>
        <w:rPr>
          <w:rFonts w:hint="eastAsia"/>
          <w:color w:val="auto"/>
          <w:szCs w:val="21"/>
        </w:rPr>
      </w:pPr>
      <w:r>
        <w:rPr>
          <w:rFonts w:hint="eastAsia"/>
          <w:color w:val="auto"/>
          <w:szCs w:val="21"/>
        </w:rPr>
        <w:t>（9）本工程承包方式为：包工包料。</w:t>
      </w:r>
    </w:p>
    <w:p>
      <w:pPr>
        <w:pStyle w:val="3"/>
        <w:rPr>
          <w:rFonts w:hint="eastAsia"/>
          <w:color w:val="auto"/>
          <w:sz w:val="22"/>
          <w:szCs w:val="15"/>
        </w:rPr>
      </w:pPr>
      <w:bookmarkStart w:id="9" w:name="_Toc16550"/>
      <w:bookmarkStart w:id="10" w:name="_Toc31875"/>
      <w:r>
        <w:rPr>
          <w:rFonts w:hint="eastAsia"/>
          <w:color w:val="auto"/>
          <w:sz w:val="22"/>
          <w:szCs w:val="15"/>
        </w:rPr>
        <w:t>4.其他要求：</w:t>
      </w:r>
      <w:bookmarkEnd w:id="9"/>
      <w:bookmarkEnd w:id="10"/>
    </w:p>
    <w:p>
      <w:pPr>
        <w:spacing w:line="360" w:lineRule="auto"/>
        <w:ind w:firstLine="480"/>
        <w:rPr>
          <w:rFonts w:hint="eastAsia"/>
          <w:color w:val="auto"/>
          <w:szCs w:val="21"/>
        </w:rPr>
      </w:pPr>
      <w:r>
        <w:rPr>
          <w:rFonts w:hint="eastAsia"/>
          <w:color w:val="auto"/>
          <w:szCs w:val="21"/>
        </w:rPr>
        <w:t>（1）本工程的材料及设备由</w:t>
      </w:r>
      <w:r>
        <w:rPr>
          <w:rFonts w:hint="eastAsia"/>
          <w:color w:val="auto"/>
          <w:szCs w:val="21"/>
          <w:lang w:eastAsia="zh-CN"/>
        </w:rPr>
        <w:t>投标人</w:t>
      </w:r>
      <w:r>
        <w:rPr>
          <w:rFonts w:hint="eastAsia"/>
          <w:color w:val="auto"/>
          <w:szCs w:val="21"/>
        </w:rPr>
        <w:t>根据现行规范、标准进行报价，并在</w:t>
      </w:r>
      <w:r>
        <w:rPr>
          <w:rFonts w:hint="eastAsia"/>
          <w:color w:val="auto"/>
          <w:szCs w:val="21"/>
          <w:lang w:eastAsia="zh-CN"/>
        </w:rPr>
        <w:t>投标</w:t>
      </w:r>
      <w:r>
        <w:rPr>
          <w:rFonts w:hint="eastAsia"/>
          <w:color w:val="auto"/>
          <w:szCs w:val="21"/>
        </w:rPr>
        <w:t>文件中按</w:t>
      </w:r>
      <w:r>
        <w:rPr>
          <w:rFonts w:hint="eastAsia"/>
          <w:color w:val="auto"/>
          <w:szCs w:val="21"/>
          <w:lang w:eastAsia="zh-CN"/>
        </w:rPr>
        <w:t>投标文件</w:t>
      </w:r>
      <w:r>
        <w:rPr>
          <w:rFonts w:hint="eastAsia"/>
          <w:color w:val="auto"/>
          <w:szCs w:val="21"/>
        </w:rPr>
        <w:t>给定格式填写出规格、数量、单价、总价、产地、品牌等内容。</w:t>
      </w:r>
    </w:p>
    <w:p>
      <w:pPr>
        <w:spacing w:line="360" w:lineRule="auto"/>
        <w:ind w:firstLine="480"/>
        <w:rPr>
          <w:rFonts w:hint="eastAsia"/>
          <w:color w:val="auto"/>
          <w:szCs w:val="21"/>
        </w:rPr>
      </w:pPr>
      <w:r>
        <w:rPr>
          <w:rFonts w:hint="eastAsia"/>
          <w:color w:val="auto"/>
          <w:szCs w:val="21"/>
        </w:rPr>
        <w:t>（2）实际工程中使用的材料必须经采购人认可后方可用于工程中。</w:t>
      </w:r>
    </w:p>
    <w:p>
      <w:pPr>
        <w:spacing w:line="360" w:lineRule="auto"/>
        <w:ind w:firstLine="480"/>
        <w:rPr>
          <w:rFonts w:hint="eastAsia"/>
          <w:color w:val="auto"/>
          <w:szCs w:val="21"/>
        </w:rPr>
      </w:pPr>
      <w:r>
        <w:rPr>
          <w:rFonts w:hint="eastAsia"/>
          <w:color w:val="auto"/>
          <w:szCs w:val="21"/>
        </w:rPr>
        <w:t>（3）</w:t>
      </w:r>
      <w:r>
        <w:rPr>
          <w:rFonts w:hint="eastAsia"/>
          <w:color w:val="auto"/>
          <w:szCs w:val="21"/>
          <w:lang w:eastAsia="zh-CN"/>
        </w:rPr>
        <w:t>投标人</w:t>
      </w:r>
      <w:r>
        <w:rPr>
          <w:rFonts w:hint="eastAsia"/>
          <w:color w:val="auto"/>
          <w:szCs w:val="21"/>
        </w:rPr>
        <w:t>用于本工程的设备供货、主要材料，其产品许可证、产品鉴定证书。</w:t>
      </w:r>
    </w:p>
    <w:p>
      <w:pPr>
        <w:spacing w:line="360" w:lineRule="auto"/>
        <w:ind w:firstLine="480"/>
        <w:rPr>
          <w:rFonts w:hint="eastAsia"/>
          <w:color w:val="auto"/>
          <w:szCs w:val="21"/>
        </w:rPr>
      </w:pPr>
      <w:r>
        <w:rPr>
          <w:rFonts w:hint="eastAsia"/>
          <w:color w:val="auto"/>
          <w:szCs w:val="21"/>
        </w:rPr>
        <w:t>（4）</w:t>
      </w:r>
      <w:r>
        <w:rPr>
          <w:rFonts w:hint="eastAsia"/>
          <w:color w:val="auto"/>
          <w:szCs w:val="21"/>
          <w:lang w:eastAsia="zh-CN"/>
        </w:rPr>
        <w:t>投标人</w:t>
      </w:r>
      <w:r>
        <w:rPr>
          <w:rFonts w:hint="eastAsia"/>
          <w:color w:val="auto"/>
          <w:szCs w:val="21"/>
        </w:rPr>
        <w:t>应保证工程质量，保证材料质量、规格与数量，满足设计和施工现场要求。</w:t>
      </w:r>
    </w:p>
    <w:p>
      <w:pPr>
        <w:spacing w:line="360" w:lineRule="auto"/>
        <w:ind w:firstLine="480"/>
        <w:rPr>
          <w:rFonts w:hint="eastAsia"/>
          <w:color w:val="auto"/>
          <w:szCs w:val="21"/>
        </w:rPr>
      </w:pPr>
      <w:r>
        <w:rPr>
          <w:rFonts w:hint="eastAsia"/>
          <w:color w:val="auto"/>
          <w:szCs w:val="21"/>
        </w:rPr>
        <w:t>（5）</w:t>
      </w:r>
      <w:r>
        <w:rPr>
          <w:rFonts w:hint="eastAsia"/>
          <w:color w:val="auto"/>
          <w:szCs w:val="21"/>
          <w:lang w:eastAsia="zh-CN"/>
        </w:rPr>
        <w:t>中标人</w:t>
      </w:r>
      <w:r>
        <w:rPr>
          <w:rFonts w:hint="eastAsia"/>
          <w:color w:val="auto"/>
          <w:szCs w:val="21"/>
          <w:lang w:val="en-US" w:eastAsia="zh-CN"/>
        </w:rPr>
        <w:t>施工完成后必须满足采购人用电要求，</w:t>
      </w:r>
      <w:r>
        <w:rPr>
          <w:rFonts w:hint="eastAsia"/>
          <w:color w:val="auto"/>
          <w:szCs w:val="21"/>
          <w:lang w:eastAsia="zh-CN"/>
        </w:rPr>
        <w:t>不得影响采购人正常用电。且</w:t>
      </w:r>
      <w:r>
        <w:rPr>
          <w:rFonts w:hint="eastAsia"/>
          <w:color w:val="auto"/>
          <w:szCs w:val="21"/>
        </w:rPr>
        <w:t>施工时不得破坏原有路面路基，要注意做好线路，必要时要采取有效的线路保护措施，并承担相关费用。</w:t>
      </w:r>
    </w:p>
    <w:p>
      <w:pPr>
        <w:spacing w:line="360" w:lineRule="auto"/>
        <w:ind w:firstLine="480"/>
        <w:rPr>
          <w:rFonts w:hint="eastAsia"/>
          <w:color w:val="auto"/>
          <w:szCs w:val="21"/>
        </w:rPr>
      </w:pPr>
      <w:r>
        <w:rPr>
          <w:rFonts w:hint="eastAsia"/>
          <w:color w:val="auto"/>
          <w:szCs w:val="21"/>
        </w:rPr>
        <w:t>（6）工程竣工验收前，需对现场进行彻底清洁。</w:t>
      </w:r>
    </w:p>
    <w:p>
      <w:pPr>
        <w:pStyle w:val="3"/>
        <w:rPr>
          <w:rFonts w:hint="eastAsia"/>
          <w:color w:val="auto"/>
          <w:sz w:val="22"/>
          <w:szCs w:val="15"/>
        </w:rPr>
      </w:pPr>
      <w:bookmarkStart w:id="11" w:name="_Toc29517"/>
      <w:bookmarkStart w:id="12" w:name="_Toc29200"/>
      <w:r>
        <w:rPr>
          <w:rFonts w:hint="eastAsia"/>
          <w:color w:val="auto"/>
          <w:sz w:val="22"/>
          <w:szCs w:val="15"/>
        </w:rPr>
        <w:t>5.本项目编制依据：</w:t>
      </w:r>
      <w:bookmarkEnd w:id="11"/>
      <w:bookmarkEnd w:id="12"/>
    </w:p>
    <w:p>
      <w:pPr>
        <w:spacing w:line="360" w:lineRule="auto"/>
        <w:ind w:firstLine="480"/>
        <w:rPr>
          <w:rFonts w:hint="eastAsia"/>
          <w:color w:val="auto"/>
          <w:szCs w:val="21"/>
        </w:rPr>
      </w:pPr>
      <w:r>
        <w:rPr>
          <w:rFonts w:hint="eastAsia"/>
          <w:color w:val="auto"/>
          <w:szCs w:val="21"/>
        </w:rPr>
        <w:t>（1）本项目施工图及其它相关工程资料；</w:t>
      </w:r>
    </w:p>
    <w:p>
      <w:pPr>
        <w:spacing w:line="360" w:lineRule="auto"/>
        <w:ind w:firstLine="480"/>
        <w:rPr>
          <w:rFonts w:hint="eastAsia"/>
          <w:color w:val="auto"/>
          <w:szCs w:val="21"/>
        </w:rPr>
      </w:pPr>
      <w:r>
        <w:rPr>
          <w:rFonts w:hint="eastAsia"/>
          <w:color w:val="auto"/>
          <w:szCs w:val="21"/>
        </w:rPr>
        <w:t>（2）《陕西省建设工程工程量清单计价规则》(2009)、《陕西省建设工程工程量清单计价费率》(2009)、《陕西省建筑装饰工程消耗量定额》(2004)、《陕西省安装工程消耗量定额》(2004)、《陕西省市政园林绿化工程消耗量定额》（2004）、《陕西省建设工程消耗量定额补充定额》（2004）、与定额相配套使用的《陕西省建筑装饰市政园林绿化工程价目表》（2004）、《陕西省建筑装饰工程价目表》(2009)、《陕西省安装工程价目表》(2009)、《陕西省建设工程施工机械台班价目表》（2009）等作为计价依据；</w:t>
      </w:r>
    </w:p>
    <w:p>
      <w:pPr>
        <w:spacing w:line="360" w:lineRule="auto"/>
        <w:ind w:firstLine="480"/>
        <w:rPr>
          <w:rFonts w:hint="eastAsia"/>
          <w:color w:val="auto"/>
          <w:szCs w:val="21"/>
        </w:rPr>
      </w:pPr>
      <w:r>
        <w:rPr>
          <w:rFonts w:hint="eastAsia"/>
          <w:color w:val="auto"/>
          <w:szCs w:val="21"/>
        </w:rPr>
        <w:t>（3）措施费执行《关于增加建设工程扬尘治理专项措施费及综合人工单价调整的通知》陕建发【2017】270号文；</w:t>
      </w:r>
    </w:p>
    <w:p>
      <w:pPr>
        <w:spacing w:line="360" w:lineRule="auto"/>
        <w:ind w:firstLine="480"/>
        <w:rPr>
          <w:color w:val="auto"/>
          <w:szCs w:val="21"/>
        </w:rPr>
      </w:pPr>
      <w:r>
        <w:rPr>
          <w:rFonts w:hint="eastAsia"/>
          <w:color w:val="auto"/>
          <w:szCs w:val="21"/>
        </w:rPr>
        <w:t>（4）安全文明施工费执行《关于发布我省落实建筑工人实名制管理计价依据的通知》陕建发【2019】1246号文；</w:t>
      </w:r>
    </w:p>
    <w:p>
      <w:pPr>
        <w:spacing w:line="360" w:lineRule="auto"/>
        <w:ind w:firstLine="480"/>
        <w:rPr>
          <w:rFonts w:hint="eastAsia"/>
          <w:color w:val="auto"/>
          <w:szCs w:val="21"/>
        </w:rPr>
      </w:pPr>
      <w:r>
        <w:rPr>
          <w:rFonts w:hint="eastAsia"/>
          <w:color w:val="auto"/>
          <w:szCs w:val="21"/>
        </w:rPr>
        <w:t>（5）人工费执行《关于调整房屋建筑和市政基础设施工程工程量清单计价综合人工单价的通知》陕建发【2021】1097号文；</w:t>
      </w:r>
    </w:p>
    <w:p>
      <w:pPr>
        <w:spacing w:line="360" w:lineRule="auto"/>
        <w:ind w:firstLine="480"/>
        <w:rPr>
          <w:rFonts w:hint="eastAsia"/>
          <w:color w:val="auto"/>
          <w:szCs w:val="21"/>
        </w:rPr>
      </w:pPr>
      <w:r>
        <w:rPr>
          <w:rFonts w:hint="eastAsia"/>
          <w:color w:val="auto"/>
          <w:szCs w:val="21"/>
        </w:rPr>
        <w:t>（6）税金执行《关于调整我省建设工程计价依据的通知》陕建发【2019】45号文；</w:t>
      </w:r>
    </w:p>
    <w:p>
      <w:pPr>
        <w:spacing w:line="360" w:lineRule="auto"/>
        <w:ind w:firstLine="480"/>
        <w:rPr>
          <w:color w:val="auto"/>
          <w:szCs w:val="21"/>
        </w:rPr>
      </w:pPr>
      <w:r>
        <w:rPr>
          <w:rFonts w:hint="eastAsia"/>
          <w:color w:val="auto"/>
          <w:szCs w:val="21"/>
        </w:rPr>
        <w:t>（7）规费执行《关于调整陕西省建筑施工安全生产责任保险费用计价的通知》陕建发【2019】45号文；</w:t>
      </w:r>
    </w:p>
    <w:p>
      <w:pPr>
        <w:spacing w:line="360" w:lineRule="auto"/>
        <w:ind w:firstLine="480"/>
        <w:rPr>
          <w:rFonts w:hint="eastAsia"/>
          <w:color w:val="auto"/>
          <w:szCs w:val="21"/>
        </w:rPr>
      </w:pPr>
      <w:r>
        <w:rPr>
          <w:rFonts w:hint="eastAsia"/>
          <w:color w:val="auto"/>
          <w:szCs w:val="21"/>
        </w:rPr>
        <w:t>（8）陕建发【2021】1021号文《关于全省统一停止收缴建筑业劳保费用的通知》的相关规定。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YTE3MjhhNmMzZWJlMWUxYzNhYjZkOWMzMzlkNTUifQ=="/>
  </w:docVars>
  <w:rsids>
    <w:rsidRoot w:val="7E165A61"/>
    <w:rsid w:val="7E16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line="360" w:lineRule="auto"/>
      <w:outlineLvl w:val="2"/>
    </w:pPr>
    <w:rPr>
      <w:rFonts w:ascii="Times New Roman" w:hAnsi="Times New Roman" w:cs="Times New Roman"/>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2023-06-01T06:48:00Z</dcterms:created>
  <dc:creator>perfect颖</dc:creator>
  <cp:lastModifiedBy>perfect颖</cp:lastModifiedBy>
  <dcterms:modified xsi:type="dcterms:W3CDTF">2023-06-01T06:48:46Z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1D437452BAFF4E47A2183DAB823ED03D_11</vt:lpwstr>
  </property>
</Properties>
</file>