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right"/>
      </w:pPr>
      <w:r>
        <w:rPr>
          <w:rFonts w:hint="eastAsia" w:ascii="宋体" w:hAnsi="宋体" w:cs="宋体"/>
          <w:b/>
          <w:bCs/>
          <w:sz w:val="32"/>
          <w:bdr w:val="single" w:color="auto" w:sz="4" w:space="0"/>
        </w:rPr>
        <w:t>政府采购项目</w:t>
      </w:r>
      <w:r>
        <w:rPr>
          <w:rFonts w:hint="eastAsia" w:ascii="宋体" w:hAnsi="宋体" w:cs="宋体"/>
          <w:b/>
          <w:bCs/>
          <w:kern w:val="0"/>
          <w:sz w:val="30"/>
          <w:szCs w:val="30"/>
        </w:rPr>
        <w:t xml:space="preserve"> </w:t>
      </w:r>
    </w:p>
    <w:p/>
    <w:p/>
    <w:p>
      <w:pPr>
        <w:jc w:val="center"/>
        <w:rPr>
          <w:rFonts w:hint="eastAsia" w:hAnsi="宋体" w:eastAsia="宋体" w:cs="宋体"/>
          <w:b/>
          <w:sz w:val="36"/>
          <w:szCs w:val="36"/>
          <w:lang w:eastAsia="zh-CN"/>
        </w:rPr>
      </w:pPr>
      <w:r>
        <w:rPr>
          <w:rFonts w:hint="eastAsia" w:hAnsi="宋体" w:cs="宋体"/>
          <w:b/>
          <w:bCs/>
          <w:sz w:val="48"/>
          <w:szCs w:val="48"/>
          <w:lang w:eastAsia="zh-CN"/>
        </w:rPr>
        <w:t>西安科技大学食堂米面油采购项目</w:t>
      </w:r>
    </w:p>
    <w:p/>
    <w:p>
      <w:pPr>
        <w:jc w:val="center"/>
        <w:rPr>
          <w:rFonts w:hint="eastAsia" w:hAnsi="宋体" w:eastAsia="宋体" w:cs="宋体"/>
          <w:b/>
          <w:color w:val="auto"/>
          <w:sz w:val="36"/>
          <w:szCs w:val="36"/>
          <w:lang w:eastAsia="zh-CN"/>
        </w:rPr>
      </w:pPr>
      <w:r>
        <w:rPr>
          <w:rFonts w:hint="eastAsia" w:hAnsi="宋体" w:cs="宋体"/>
          <w:b/>
          <w:sz w:val="36"/>
          <w:szCs w:val="36"/>
        </w:rPr>
        <w:t>项目编号：</w:t>
      </w:r>
      <w:r>
        <w:rPr>
          <w:rFonts w:hint="eastAsia" w:hAnsi="宋体" w:cs="宋体"/>
          <w:b/>
          <w:color w:val="auto"/>
          <w:sz w:val="36"/>
          <w:szCs w:val="36"/>
          <w:lang w:eastAsia="zh-CN"/>
        </w:rPr>
        <w:t>ZHZB-2023-GK-06027</w:t>
      </w:r>
    </w:p>
    <w:p>
      <w:pPr>
        <w:pStyle w:val="10"/>
        <w:rPr>
          <w:rFonts w:ascii="宋体" w:hAnsi="宋体" w:cs="宋体"/>
        </w:rPr>
      </w:pPr>
    </w:p>
    <w:p/>
    <w:p>
      <w:pPr>
        <w:jc w:val="center"/>
        <w:rPr>
          <w:rFonts w:hAnsi="宋体" w:cs="宋体"/>
          <w:b/>
          <w:sz w:val="84"/>
          <w:szCs w:val="84"/>
        </w:rPr>
      </w:pPr>
      <w:r>
        <w:rPr>
          <w:rFonts w:hint="eastAsia" w:hAnsi="宋体" w:cs="宋体"/>
          <w:b/>
          <w:sz w:val="84"/>
          <w:szCs w:val="84"/>
        </w:rPr>
        <w:t>招标文件</w:t>
      </w:r>
    </w:p>
    <w:p>
      <w:pPr>
        <w:jc w:val="center"/>
        <w:rPr>
          <w:rFonts w:hAnsi="宋体" w:cs="宋体"/>
          <w:b/>
          <w:sz w:val="21"/>
          <w:szCs w:val="21"/>
        </w:rPr>
      </w:pPr>
    </w:p>
    <w:p>
      <w:pPr>
        <w:jc w:val="both"/>
        <w:rPr>
          <w:rFonts w:hint="eastAsia" w:hAnsi="宋体" w:cs="宋体"/>
          <w:b/>
          <w:sz w:val="21"/>
          <w:szCs w:val="21"/>
        </w:rPr>
      </w:pPr>
    </w:p>
    <w:p>
      <w:pPr>
        <w:jc w:val="center"/>
        <w:rPr>
          <w:rFonts w:hAnsi="宋体" w:cs="宋体"/>
          <w:sz w:val="72"/>
          <w:szCs w:val="72"/>
        </w:rPr>
      </w:pPr>
      <w:r>
        <w:rPr>
          <w:rFonts w:hint="eastAsia" w:hAnsi="宋体" w:cs="宋体"/>
          <w:b/>
          <w:sz w:val="21"/>
          <w:szCs w:val="21"/>
        </w:rPr>
        <w:br w:type="textWrapping"/>
      </w:r>
      <w:r>
        <w:rPr>
          <w:rFonts w:hint="eastAsia" w:ascii="宋体" w:hAnsi="宋体" w:eastAsia="宋体" w:cs="宋体"/>
          <w:color w:val="auto"/>
          <w:sz w:val="72"/>
          <w:szCs w:val="72"/>
          <w:highlight w:val="none"/>
          <w:lang w:eastAsia="zh-CN"/>
        </w:rPr>
        <w:drawing>
          <wp:inline distT="0" distB="0" distL="114300" distR="114300">
            <wp:extent cx="2736850" cy="2621280"/>
            <wp:effectExtent l="0" t="0" r="6350" b="0"/>
            <wp:docPr id="4" name="图片 4" descr="微信图片_20230210171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30210171440"/>
                    <pic:cNvPicPr>
                      <a:picLocks noChangeAspect="1"/>
                    </pic:cNvPicPr>
                  </pic:nvPicPr>
                  <pic:blipFill>
                    <a:blip r:embed="rId15"/>
                    <a:stretch>
                      <a:fillRect/>
                    </a:stretch>
                  </pic:blipFill>
                  <pic:spPr>
                    <a:xfrm>
                      <a:off x="0" y="0"/>
                      <a:ext cx="2736850" cy="2621280"/>
                    </a:xfrm>
                    <a:prstGeom prst="rect">
                      <a:avLst/>
                    </a:prstGeom>
                    <a:noFill/>
                    <a:ln>
                      <a:noFill/>
                    </a:ln>
                  </pic:spPr>
                </pic:pic>
              </a:graphicData>
            </a:graphic>
          </wp:inline>
        </w:drawing>
      </w:r>
    </w:p>
    <w:p>
      <w:pPr>
        <w:pStyle w:val="10"/>
        <w:rPr>
          <w:rFonts w:hAnsi="宋体" w:cs="宋体"/>
          <w:b/>
          <w:sz w:val="32"/>
          <w:szCs w:val="32"/>
        </w:rPr>
      </w:pPr>
    </w:p>
    <w:p>
      <w:pPr>
        <w:pStyle w:val="10"/>
      </w:pPr>
    </w:p>
    <w:p>
      <w:pPr>
        <w:spacing w:line="360" w:lineRule="auto"/>
        <w:ind w:firstLine="1285" w:firstLineChars="400"/>
        <w:rPr>
          <w:rFonts w:hAnsi="宋体" w:cs="宋体"/>
          <w:b/>
          <w:sz w:val="32"/>
          <w:szCs w:val="32"/>
        </w:rPr>
      </w:pPr>
      <w:r>
        <w:rPr>
          <w:rFonts w:hint="eastAsia" w:hAnsi="宋体" w:cs="宋体"/>
          <w:b/>
          <w:sz w:val="32"/>
          <w:szCs w:val="32"/>
        </w:rPr>
        <w:t>采   购   人：</w:t>
      </w:r>
      <w:r>
        <w:rPr>
          <w:rFonts w:hint="eastAsia" w:hAnsi="宋体" w:cs="宋体"/>
          <w:b/>
          <w:sz w:val="32"/>
          <w:szCs w:val="32"/>
          <w:u w:val="single"/>
        </w:rPr>
        <w:t xml:space="preserve">    西安科技大学     </w:t>
      </w:r>
    </w:p>
    <w:p>
      <w:pPr>
        <w:spacing w:line="360" w:lineRule="auto"/>
        <w:ind w:firstLine="1285" w:firstLineChars="400"/>
        <w:rPr>
          <w:rFonts w:hAnsi="宋体" w:cs="宋体"/>
          <w:b/>
          <w:sz w:val="32"/>
          <w:szCs w:val="32"/>
        </w:rPr>
      </w:pPr>
      <w:r>
        <w:rPr>
          <w:rFonts w:hint="eastAsia" w:hAnsi="宋体" w:cs="宋体"/>
          <w:b/>
          <w:sz w:val="32"/>
          <w:szCs w:val="32"/>
          <w:lang w:eastAsia="zh-CN"/>
        </w:rPr>
        <w:t>招标代理机构</w:t>
      </w:r>
      <w:r>
        <w:rPr>
          <w:rFonts w:hint="eastAsia" w:hAnsi="宋体" w:cs="宋体"/>
          <w:b/>
          <w:sz w:val="32"/>
          <w:szCs w:val="32"/>
        </w:rPr>
        <w:t>:</w:t>
      </w:r>
      <w:r>
        <w:rPr>
          <w:rFonts w:hint="eastAsia" w:hAnsi="宋体" w:cs="宋体"/>
          <w:b/>
          <w:sz w:val="32"/>
          <w:szCs w:val="32"/>
          <w:u w:val="single"/>
        </w:rPr>
        <w:t xml:space="preserve"> </w:t>
      </w:r>
      <w:r>
        <w:rPr>
          <w:rFonts w:hint="eastAsia" w:hAnsi="宋体" w:cs="宋体"/>
          <w:b/>
          <w:sz w:val="32"/>
          <w:szCs w:val="32"/>
          <w:u w:val="single"/>
          <w:lang w:eastAsia="zh-CN"/>
        </w:rPr>
        <w:t>陕西正鸿项目管理有限公司</w:t>
      </w:r>
      <w:r>
        <w:rPr>
          <w:rFonts w:hint="eastAsia" w:hAnsi="宋体" w:cs="宋体"/>
          <w:b/>
          <w:sz w:val="32"/>
          <w:szCs w:val="32"/>
          <w:u w:val="single"/>
        </w:rPr>
        <w:t xml:space="preserve"> </w:t>
      </w:r>
    </w:p>
    <w:p>
      <w:pPr>
        <w:snapToGrid w:val="0"/>
        <w:spacing w:line="360" w:lineRule="auto"/>
        <w:ind w:firstLine="3373" w:firstLineChars="1050"/>
        <w:rPr>
          <w:rFonts w:hint="eastAsia" w:hAnsi="宋体" w:eastAsia="宋体" w:cs="宋体"/>
          <w:b/>
          <w:sz w:val="32"/>
          <w:szCs w:val="32"/>
          <w:lang w:eastAsia="zh-CN"/>
        </w:rPr>
      </w:pPr>
      <w:r>
        <w:rPr>
          <w:rFonts w:hint="eastAsia" w:hAnsi="宋体" w:cs="宋体"/>
          <w:b/>
          <w:sz w:val="32"/>
          <w:szCs w:val="32"/>
          <w:lang w:eastAsia="zh-CN"/>
        </w:rPr>
        <w:t>2023年06月</w:t>
      </w:r>
    </w:p>
    <w:p>
      <w:pPr>
        <w:sectPr>
          <w:headerReference r:id="rId4" w:type="first"/>
          <w:footerReference r:id="rId6" w:type="first"/>
          <w:headerReference r:id="rId3" w:type="default"/>
          <w:footerReference r:id="rId5" w:type="default"/>
          <w:pgSz w:w="11906" w:h="16838"/>
          <w:pgMar w:top="1417" w:right="1417" w:bottom="1417" w:left="1417" w:header="992" w:footer="992" w:gutter="170"/>
          <w:pgNumType w:start="1"/>
          <w:cols w:space="0" w:num="1"/>
          <w:docGrid w:type="lines" w:linePitch="333" w:charSpace="0"/>
        </w:sectPr>
      </w:pPr>
    </w:p>
    <w:p>
      <w:pPr>
        <w:spacing w:before="166" w:beforeLines="50" w:line="360" w:lineRule="auto"/>
        <w:jc w:val="center"/>
        <w:rPr>
          <w:rFonts w:hAnsi="宋体" w:cs="宋体"/>
          <w:b/>
          <w:sz w:val="44"/>
          <w:szCs w:val="44"/>
        </w:rPr>
      </w:pPr>
      <w:r>
        <w:rPr>
          <w:rFonts w:hint="eastAsia" w:hAnsi="宋体" w:cs="宋体"/>
          <w:b/>
          <w:sz w:val="48"/>
          <w:szCs w:val="48"/>
        </w:rPr>
        <w:t>目   录</w:t>
      </w:r>
    </w:p>
    <w:p>
      <w:pPr>
        <w:pStyle w:val="16"/>
        <w:tabs>
          <w:tab w:val="right" w:leader="dot" w:pos="8902"/>
          <w:tab w:val="clear" w:pos="1418"/>
          <w:tab w:val="clear" w:pos="8302"/>
        </w:tabs>
      </w:pPr>
      <w:bookmarkStart w:id="0" w:name="_Toc21518"/>
      <w:bookmarkStart w:id="1" w:name="_Toc16218"/>
      <w:bookmarkStart w:id="2" w:name="_Toc19886"/>
      <w:bookmarkStart w:id="3" w:name="_Toc389582033"/>
      <w:bookmarkStart w:id="4" w:name="_Toc20858"/>
      <w:bookmarkStart w:id="5" w:name="_Toc426457691"/>
      <w:bookmarkStart w:id="6" w:name="_Toc5293"/>
      <w:bookmarkStart w:id="7" w:name="_Toc20652"/>
      <w:bookmarkStart w:id="8" w:name="_Toc403077638"/>
      <w:bookmarkStart w:id="9" w:name="_Toc363474016"/>
      <w:bookmarkStart w:id="10" w:name="_Toc363473971"/>
      <w:r>
        <w:rPr>
          <w:rFonts w:hint="eastAsia" w:cs="宋体"/>
        </w:rPr>
        <w:fldChar w:fldCharType="begin"/>
      </w:r>
      <w:r>
        <w:rPr>
          <w:rFonts w:hint="eastAsia" w:cs="宋体"/>
        </w:rPr>
        <w:instrText xml:space="preserve">TOC \o "1-1" \h \u </w:instrText>
      </w:r>
      <w:r>
        <w:rPr>
          <w:rFonts w:hint="eastAsia" w:cs="宋体"/>
        </w:rPr>
        <w:fldChar w:fldCharType="separate"/>
      </w:r>
      <w:r>
        <w:rPr>
          <w:rFonts w:hint="eastAsia" w:cs="宋体"/>
        </w:rPr>
        <w:fldChar w:fldCharType="begin"/>
      </w:r>
      <w:r>
        <w:rPr>
          <w:rFonts w:hint="eastAsia" w:cs="宋体"/>
        </w:rPr>
        <w:instrText xml:space="preserve"> HYPERLINK \l _Toc3170 </w:instrText>
      </w:r>
      <w:r>
        <w:rPr>
          <w:rFonts w:hint="eastAsia" w:cs="宋体"/>
        </w:rPr>
        <w:fldChar w:fldCharType="separate"/>
      </w:r>
      <w:r>
        <w:rPr>
          <w:rFonts w:hint="eastAsia"/>
          <w:szCs w:val="22"/>
        </w:rPr>
        <w:t>第一</w:t>
      </w:r>
      <w:r>
        <w:rPr>
          <w:rFonts w:hint="eastAsia"/>
          <w:szCs w:val="22"/>
          <w:lang w:val="en-US" w:eastAsia="zh-CN"/>
        </w:rPr>
        <w:t xml:space="preserve">章 </w:t>
      </w:r>
      <w:r>
        <w:rPr>
          <w:rFonts w:hint="eastAsia"/>
          <w:szCs w:val="22"/>
        </w:rPr>
        <w:t xml:space="preserve"> </w:t>
      </w:r>
      <w:r>
        <w:rPr>
          <w:rFonts w:hint="eastAsia"/>
          <w:szCs w:val="22"/>
          <w:lang w:eastAsia="zh-CN"/>
        </w:rPr>
        <w:t>招标公告</w:t>
      </w:r>
      <w:r>
        <w:tab/>
      </w:r>
      <w:r>
        <w:fldChar w:fldCharType="begin"/>
      </w:r>
      <w:r>
        <w:instrText xml:space="preserve"> PAGEREF _Toc3170 \h </w:instrText>
      </w:r>
      <w:r>
        <w:fldChar w:fldCharType="separate"/>
      </w:r>
      <w:r>
        <w:t>1</w:t>
      </w:r>
      <w:r>
        <w:fldChar w:fldCharType="end"/>
      </w:r>
      <w:r>
        <w:rPr>
          <w:rFonts w:hint="eastAsia" w:cs="宋体"/>
        </w:rPr>
        <w:fldChar w:fldCharType="end"/>
      </w:r>
    </w:p>
    <w:p>
      <w:pPr>
        <w:pStyle w:val="16"/>
        <w:tabs>
          <w:tab w:val="right" w:leader="dot" w:pos="8902"/>
          <w:tab w:val="clear" w:pos="1418"/>
          <w:tab w:val="clear" w:pos="8302"/>
        </w:tabs>
      </w:pPr>
      <w:r>
        <w:rPr>
          <w:rFonts w:hint="eastAsia" w:cs="宋体"/>
        </w:rPr>
        <w:fldChar w:fldCharType="begin"/>
      </w:r>
      <w:r>
        <w:rPr>
          <w:rFonts w:hint="eastAsia" w:cs="宋体"/>
        </w:rPr>
        <w:instrText xml:space="preserve"> HYPERLINK \l _Toc8105 </w:instrText>
      </w:r>
      <w:r>
        <w:rPr>
          <w:rFonts w:hint="eastAsia" w:cs="宋体"/>
        </w:rPr>
        <w:fldChar w:fldCharType="separate"/>
      </w:r>
      <w:r>
        <w:rPr>
          <w:rFonts w:hint="eastAsia"/>
        </w:rPr>
        <w:t>第二章  投标人须知</w:t>
      </w:r>
      <w:r>
        <w:tab/>
      </w:r>
      <w:r>
        <w:fldChar w:fldCharType="begin"/>
      </w:r>
      <w:r>
        <w:instrText xml:space="preserve"> PAGEREF _Toc8105 \h </w:instrText>
      </w:r>
      <w:r>
        <w:fldChar w:fldCharType="separate"/>
      </w:r>
      <w:r>
        <w:t>8</w:t>
      </w:r>
      <w:r>
        <w:fldChar w:fldCharType="end"/>
      </w:r>
      <w:r>
        <w:rPr>
          <w:rFonts w:hint="eastAsia" w:cs="宋体"/>
        </w:rPr>
        <w:fldChar w:fldCharType="end"/>
      </w:r>
    </w:p>
    <w:p>
      <w:pPr>
        <w:pStyle w:val="16"/>
        <w:tabs>
          <w:tab w:val="right" w:leader="dot" w:pos="8902"/>
          <w:tab w:val="clear" w:pos="1418"/>
          <w:tab w:val="clear" w:pos="8302"/>
        </w:tabs>
      </w:pPr>
      <w:r>
        <w:rPr>
          <w:rFonts w:hint="eastAsia" w:cs="宋体"/>
        </w:rPr>
        <w:fldChar w:fldCharType="begin"/>
      </w:r>
      <w:r>
        <w:rPr>
          <w:rFonts w:hint="eastAsia" w:cs="宋体"/>
        </w:rPr>
        <w:instrText xml:space="preserve"> HYPERLINK \l _Toc12577 </w:instrText>
      </w:r>
      <w:r>
        <w:rPr>
          <w:rFonts w:hint="eastAsia" w:cs="宋体"/>
        </w:rPr>
        <w:fldChar w:fldCharType="separate"/>
      </w:r>
      <w:r>
        <w:rPr>
          <w:rFonts w:hint="eastAsia"/>
        </w:rPr>
        <w:t xml:space="preserve">第三章  </w:t>
      </w:r>
      <w:r>
        <w:rPr>
          <w:rFonts w:hint="eastAsia"/>
          <w:lang w:eastAsia="zh-CN"/>
        </w:rPr>
        <w:t>商务及合同主要条款</w:t>
      </w:r>
      <w:r>
        <w:tab/>
      </w:r>
      <w:r>
        <w:fldChar w:fldCharType="begin"/>
      </w:r>
      <w:r>
        <w:instrText xml:space="preserve"> PAGEREF _Toc12577 \h </w:instrText>
      </w:r>
      <w:r>
        <w:fldChar w:fldCharType="separate"/>
      </w:r>
      <w:r>
        <w:t>28</w:t>
      </w:r>
      <w:r>
        <w:fldChar w:fldCharType="end"/>
      </w:r>
      <w:r>
        <w:rPr>
          <w:rFonts w:hint="eastAsia" w:cs="宋体"/>
        </w:rPr>
        <w:fldChar w:fldCharType="end"/>
      </w:r>
    </w:p>
    <w:p>
      <w:pPr>
        <w:pStyle w:val="16"/>
        <w:tabs>
          <w:tab w:val="right" w:leader="dot" w:pos="8902"/>
          <w:tab w:val="clear" w:pos="1418"/>
          <w:tab w:val="clear" w:pos="8302"/>
        </w:tabs>
      </w:pPr>
      <w:r>
        <w:rPr>
          <w:rFonts w:hint="eastAsia" w:cs="宋体"/>
        </w:rPr>
        <w:fldChar w:fldCharType="begin"/>
      </w:r>
      <w:r>
        <w:rPr>
          <w:rFonts w:hint="eastAsia" w:cs="宋体"/>
        </w:rPr>
        <w:instrText xml:space="preserve"> HYPERLINK \l _Toc1792 </w:instrText>
      </w:r>
      <w:r>
        <w:rPr>
          <w:rFonts w:hint="eastAsia" w:cs="宋体"/>
        </w:rPr>
        <w:fldChar w:fldCharType="separate"/>
      </w:r>
      <w:r>
        <w:rPr>
          <w:rFonts w:hint="eastAsia"/>
          <w:szCs w:val="36"/>
        </w:rPr>
        <w:t>第四章  采购内容及技术要求</w:t>
      </w:r>
      <w:r>
        <w:tab/>
      </w:r>
      <w:r>
        <w:fldChar w:fldCharType="begin"/>
      </w:r>
      <w:r>
        <w:instrText xml:space="preserve"> PAGEREF _Toc1792 \h </w:instrText>
      </w:r>
      <w:r>
        <w:fldChar w:fldCharType="separate"/>
      </w:r>
      <w:r>
        <w:t>31</w:t>
      </w:r>
      <w:r>
        <w:fldChar w:fldCharType="end"/>
      </w:r>
      <w:r>
        <w:rPr>
          <w:rFonts w:hint="eastAsia" w:cs="宋体"/>
        </w:rPr>
        <w:fldChar w:fldCharType="end"/>
      </w:r>
    </w:p>
    <w:p>
      <w:pPr>
        <w:pStyle w:val="16"/>
        <w:tabs>
          <w:tab w:val="right" w:leader="dot" w:pos="8902"/>
          <w:tab w:val="clear" w:pos="1418"/>
          <w:tab w:val="clear" w:pos="8302"/>
        </w:tabs>
      </w:pPr>
      <w:r>
        <w:rPr>
          <w:rFonts w:hint="eastAsia" w:cs="宋体"/>
        </w:rPr>
        <w:fldChar w:fldCharType="begin"/>
      </w:r>
      <w:r>
        <w:rPr>
          <w:rFonts w:hint="eastAsia" w:cs="宋体"/>
        </w:rPr>
        <w:instrText xml:space="preserve"> HYPERLINK \l _Toc25083 </w:instrText>
      </w:r>
      <w:r>
        <w:rPr>
          <w:rFonts w:hint="eastAsia" w:cs="宋体"/>
        </w:rPr>
        <w:fldChar w:fldCharType="separate"/>
      </w:r>
      <w:r>
        <w:rPr>
          <w:rFonts w:hint="eastAsia"/>
          <w:szCs w:val="36"/>
        </w:rPr>
        <w:t>第五章  评标办法</w:t>
      </w:r>
      <w:r>
        <w:tab/>
      </w:r>
      <w:r>
        <w:fldChar w:fldCharType="begin"/>
      </w:r>
      <w:r>
        <w:instrText xml:space="preserve"> PAGEREF _Toc25083 \h </w:instrText>
      </w:r>
      <w:r>
        <w:fldChar w:fldCharType="separate"/>
      </w:r>
      <w:r>
        <w:t>33</w:t>
      </w:r>
      <w:r>
        <w:fldChar w:fldCharType="end"/>
      </w:r>
      <w:r>
        <w:rPr>
          <w:rFonts w:hint="eastAsia" w:cs="宋体"/>
        </w:rPr>
        <w:fldChar w:fldCharType="end"/>
      </w:r>
    </w:p>
    <w:p>
      <w:pPr>
        <w:pStyle w:val="16"/>
        <w:tabs>
          <w:tab w:val="right" w:leader="dot" w:pos="8902"/>
          <w:tab w:val="clear" w:pos="1418"/>
          <w:tab w:val="clear" w:pos="8302"/>
        </w:tabs>
      </w:pPr>
      <w:r>
        <w:rPr>
          <w:rFonts w:hint="eastAsia" w:cs="宋体"/>
        </w:rPr>
        <w:fldChar w:fldCharType="begin"/>
      </w:r>
      <w:r>
        <w:rPr>
          <w:rFonts w:hint="eastAsia" w:cs="宋体"/>
        </w:rPr>
        <w:instrText xml:space="preserve"> HYPERLINK \l _Toc2292 </w:instrText>
      </w:r>
      <w:r>
        <w:rPr>
          <w:rFonts w:hint="eastAsia" w:cs="宋体"/>
        </w:rPr>
        <w:fldChar w:fldCharType="separate"/>
      </w:r>
      <w:r>
        <w:rPr>
          <w:rFonts w:hint="eastAsia"/>
        </w:rPr>
        <w:t>第六章  投标文件构成及格式</w:t>
      </w:r>
      <w:r>
        <w:tab/>
      </w:r>
      <w:r>
        <w:fldChar w:fldCharType="begin"/>
      </w:r>
      <w:r>
        <w:instrText xml:space="preserve"> PAGEREF _Toc2292 \h </w:instrText>
      </w:r>
      <w:r>
        <w:fldChar w:fldCharType="separate"/>
      </w:r>
      <w:r>
        <w:t>44</w:t>
      </w:r>
      <w:r>
        <w:fldChar w:fldCharType="end"/>
      </w:r>
      <w:r>
        <w:rPr>
          <w:rFonts w:hint="eastAsia" w:cs="宋体"/>
        </w:rPr>
        <w:fldChar w:fldCharType="end"/>
      </w:r>
    </w:p>
    <w:p>
      <w:pPr>
        <w:pStyle w:val="16"/>
        <w:spacing w:line="720" w:lineRule="auto"/>
        <w:rPr>
          <w:rFonts w:cs="宋体"/>
        </w:rPr>
      </w:pPr>
      <w:r>
        <w:rPr>
          <w:rFonts w:hint="eastAsia" w:cs="宋体"/>
        </w:rPr>
        <w:fldChar w:fldCharType="end"/>
      </w:r>
    </w:p>
    <w:p>
      <w:pPr>
        <w:pStyle w:val="8"/>
        <w:ind w:firstLine="480"/>
      </w:pPr>
    </w:p>
    <w:p>
      <w:pPr>
        <w:tabs>
          <w:tab w:val="left" w:pos="525"/>
        </w:tabs>
        <w:spacing w:line="560" w:lineRule="exact"/>
        <w:jc w:val="center"/>
        <w:rPr>
          <w:rFonts w:hAnsi="宋体" w:cs="宋体"/>
        </w:rPr>
        <w:sectPr>
          <w:headerReference r:id="rId8" w:type="first"/>
          <w:footerReference r:id="rId10" w:type="first"/>
          <w:headerReference r:id="rId7" w:type="default"/>
          <w:footerReference r:id="rId9" w:type="default"/>
          <w:pgSz w:w="11906" w:h="16838"/>
          <w:pgMar w:top="1417" w:right="1417" w:bottom="1417" w:left="1417" w:header="992" w:footer="992" w:gutter="170"/>
          <w:pgNumType w:start="1"/>
          <w:cols w:space="0" w:num="1"/>
          <w:docGrid w:type="lines" w:linePitch="333" w:charSpace="0"/>
        </w:sectPr>
      </w:pPr>
    </w:p>
    <w:bookmarkEnd w:id="0"/>
    <w:bookmarkEnd w:id="1"/>
    <w:bookmarkEnd w:id="2"/>
    <w:bookmarkEnd w:id="3"/>
    <w:bookmarkEnd w:id="4"/>
    <w:bookmarkEnd w:id="5"/>
    <w:bookmarkEnd w:id="6"/>
    <w:bookmarkEnd w:id="7"/>
    <w:p>
      <w:pPr>
        <w:pStyle w:val="3"/>
        <w:spacing w:before="0" w:beforeLines="0" w:line="360" w:lineRule="auto"/>
        <w:ind w:left="0"/>
        <w:outlineLvl w:val="0"/>
        <w:rPr>
          <w:rFonts w:hint="eastAsia"/>
          <w:szCs w:val="22"/>
        </w:rPr>
      </w:pPr>
      <w:bookmarkStart w:id="11" w:name="_Toc29642"/>
      <w:bookmarkStart w:id="12" w:name="_Toc3170"/>
      <w:r>
        <w:rPr>
          <w:rFonts w:hint="eastAsia"/>
          <w:szCs w:val="22"/>
        </w:rPr>
        <w:t>第一</w:t>
      </w:r>
      <w:r>
        <w:rPr>
          <w:rFonts w:hint="eastAsia"/>
          <w:szCs w:val="22"/>
          <w:lang w:val="en-US" w:eastAsia="zh-CN"/>
        </w:rPr>
        <w:t xml:space="preserve">章 </w:t>
      </w:r>
      <w:r>
        <w:rPr>
          <w:rFonts w:hint="eastAsia"/>
          <w:szCs w:val="22"/>
        </w:rPr>
        <w:t xml:space="preserve"> </w:t>
      </w:r>
      <w:bookmarkEnd w:id="11"/>
      <w:r>
        <w:rPr>
          <w:rFonts w:hint="eastAsia"/>
          <w:szCs w:val="22"/>
          <w:lang w:eastAsia="zh-CN"/>
        </w:rPr>
        <w:t>招标公告</w:t>
      </w:r>
      <w:bookmarkEnd w:id="12"/>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300" w:afterAutospacing="0" w:line="600" w:lineRule="atLeast"/>
        <w:ind w:left="0" w:right="0" w:firstLine="0"/>
        <w:jc w:val="center"/>
        <w:textAlignment w:val="baseline"/>
        <w:rPr>
          <w:rFonts w:hint="eastAsia" w:ascii="宋体" w:hAnsi="宋体" w:eastAsia="宋体" w:cs="宋体"/>
          <w:b/>
          <w:bCs/>
          <w:i w:val="0"/>
          <w:iCs w:val="0"/>
          <w:caps w:val="0"/>
          <w:color w:val="333333"/>
          <w:spacing w:val="0"/>
          <w:sz w:val="30"/>
          <w:szCs w:val="30"/>
        </w:rPr>
      </w:pPr>
      <w:r>
        <w:rPr>
          <w:rFonts w:hint="eastAsia" w:ascii="宋体" w:hAnsi="宋体" w:eastAsia="宋体" w:cs="宋体"/>
          <w:b/>
          <w:bCs/>
          <w:i w:val="0"/>
          <w:iCs w:val="0"/>
          <w:caps w:val="0"/>
          <w:color w:val="333333"/>
          <w:spacing w:val="0"/>
          <w:sz w:val="30"/>
          <w:szCs w:val="30"/>
          <w:shd w:val="clear" w:fill="FFFFFF"/>
          <w:vertAlign w:val="baseline"/>
        </w:rPr>
        <w:t>西安科技大学食堂米面油采购项目招标公告</w:t>
      </w:r>
    </w:p>
    <w:tbl>
      <w:tblPr>
        <w:tblStyle w:val="20"/>
        <w:tblW w:w="9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jc w:val="center"/>
        </w:trPr>
        <w:tc>
          <w:tcPr>
            <w:tcW w:w="9740"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项目概况</w:t>
            </w:r>
          </w:p>
          <w:p>
            <w:pPr>
              <w:spacing w:line="360" w:lineRule="auto"/>
              <w:ind w:firstLine="480" w:firstLineChars="200"/>
              <w:rPr>
                <w:rFonts w:hint="eastAsia" w:ascii="宋体" w:hAnsi="宋体" w:eastAsia="宋体" w:cs="宋体"/>
                <w:sz w:val="24"/>
                <w:szCs w:val="24"/>
                <w:vertAlign w:val="baseline"/>
              </w:rPr>
            </w:pPr>
            <w:r>
              <w:rPr>
                <w:rFonts w:hint="eastAsia" w:ascii="宋体" w:hAnsi="宋体" w:eastAsia="宋体" w:cs="宋体"/>
                <w:sz w:val="24"/>
                <w:szCs w:val="24"/>
              </w:rPr>
              <w:t>食堂米面油采购项目招标项目的潜在投标人应在陕西省西安市雁塔区南二环凯森盛世一号A座4层408室获取招标文件，并于2023年07月21日 09时30分（北京时间）前递交投标文件。</w:t>
            </w:r>
          </w:p>
        </w:tc>
      </w:tr>
    </w:tbl>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一、项目基本情况</w:t>
      </w:r>
    </w:p>
    <w:p>
      <w:pPr>
        <w:spacing w:line="360" w:lineRule="auto"/>
        <w:rPr>
          <w:rFonts w:hint="eastAsia" w:ascii="宋体" w:hAnsi="宋体" w:eastAsia="宋体" w:cs="宋体"/>
          <w:sz w:val="24"/>
          <w:szCs w:val="24"/>
        </w:rPr>
      </w:pPr>
      <w:r>
        <w:rPr>
          <w:rFonts w:hint="eastAsia" w:ascii="宋体" w:hAnsi="宋体" w:eastAsia="宋体" w:cs="宋体"/>
          <w:sz w:val="24"/>
          <w:szCs w:val="24"/>
        </w:rPr>
        <w:t>项目编号：ZHZB-2023-GK-06027</w:t>
      </w:r>
    </w:p>
    <w:p>
      <w:pPr>
        <w:spacing w:line="360" w:lineRule="auto"/>
        <w:rPr>
          <w:rFonts w:hint="eastAsia" w:ascii="宋体" w:hAnsi="宋体" w:eastAsia="宋体" w:cs="宋体"/>
          <w:sz w:val="24"/>
          <w:szCs w:val="24"/>
        </w:rPr>
      </w:pPr>
      <w:r>
        <w:rPr>
          <w:rFonts w:hint="eastAsia" w:ascii="宋体" w:hAnsi="宋体" w:eastAsia="宋体" w:cs="宋体"/>
          <w:sz w:val="24"/>
          <w:szCs w:val="24"/>
        </w:rPr>
        <w:t>项目名称：食堂米面油采购项目</w:t>
      </w:r>
    </w:p>
    <w:p>
      <w:pPr>
        <w:spacing w:line="360" w:lineRule="auto"/>
        <w:rPr>
          <w:rFonts w:hint="eastAsia" w:ascii="宋体" w:hAnsi="宋体" w:eastAsia="宋体" w:cs="宋体"/>
          <w:sz w:val="24"/>
          <w:szCs w:val="24"/>
        </w:rPr>
      </w:pPr>
      <w:r>
        <w:rPr>
          <w:rFonts w:hint="eastAsia" w:ascii="宋体" w:hAnsi="宋体" w:eastAsia="宋体" w:cs="宋体"/>
          <w:sz w:val="24"/>
          <w:szCs w:val="24"/>
        </w:rPr>
        <w:t>采购方式：公开招标</w:t>
      </w:r>
    </w:p>
    <w:p>
      <w:pPr>
        <w:spacing w:line="360" w:lineRule="auto"/>
        <w:rPr>
          <w:rFonts w:hint="eastAsia" w:ascii="宋体" w:hAnsi="宋体" w:eastAsia="宋体" w:cs="宋体"/>
          <w:sz w:val="24"/>
          <w:szCs w:val="24"/>
        </w:rPr>
      </w:pPr>
      <w:r>
        <w:rPr>
          <w:rFonts w:hint="eastAsia" w:ascii="宋体" w:hAnsi="宋体" w:eastAsia="宋体" w:cs="宋体"/>
          <w:sz w:val="24"/>
          <w:szCs w:val="24"/>
        </w:rPr>
        <w:t>预算金额：3,854,000.00元</w:t>
      </w:r>
    </w:p>
    <w:p>
      <w:pPr>
        <w:spacing w:line="360" w:lineRule="auto"/>
        <w:rPr>
          <w:rFonts w:hint="eastAsia" w:ascii="宋体" w:hAnsi="宋体" w:eastAsia="宋体" w:cs="宋体"/>
          <w:sz w:val="24"/>
          <w:szCs w:val="24"/>
        </w:rPr>
      </w:pPr>
      <w:r>
        <w:rPr>
          <w:rFonts w:hint="eastAsia" w:ascii="宋体" w:hAnsi="宋体" w:eastAsia="宋体" w:cs="宋体"/>
          <w:sz w:val="24"/>
          <w:szCs w:val="24"/>
        </w:rPr>
        <w:t>采购需求：</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合同包1(大米):</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合同包预算金额：1,500,000.00元</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合同包最高限价：1,500,000.00元</w:t>
      </w:r>
    </w:p>
    <w:tbl>
      <w:tblPr>
        <w:tblStyle w:val="19"/>
        <w:tblW w:w="98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04"/>
        <w:gridCol w:w="1513"/>
        <w:gridCol w:w="1513"/>
        <w:gridCol w:w="1070"/>
        <w:gridCol w:w="1654"/>
        <w:gridCol w:w="1760"/>
        <w:gridCol w:w="17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43" w:hRule="atLeast"/>
          <w:tblHeader/>
          <w:jc w:val="center"/>
        </w:trPr>
        <w:tc>
          <w:tcPr>
            <w:tcW w:w="60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154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154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106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159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176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176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58" w:hRule="atLeast"/>
          <w:jc w:val="cent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稻谷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大米</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330(吨)</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1,500,000.00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1,500,000.00</w:t>
            </w:r>
          </w:p>
        </w:tc>
      </w:tr>
    </w:tbl>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本合同包不接受联合体投标</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合同履行期限：一年</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合同包2(面粉):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合同包预算金额：650,000.00元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合同包最高限价：650,000.00元</w:t>
      </w:r>
    </w:p>
    <w:tbl>
      <w:tblPr>
        <w:tblStyle w:val="19"/>
        <w:tblW w:w="96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11"/>
        <w:gridCol w:w="1707"/>
        <w:gridCol w:w="1707"/>
        <w:gridCol w:w="1059"/>
        <w:gridCol w:w="1625"/>
        <w:gridCol w:w="1483"/>
        <w:gridCol w:w="14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60" w:hRule="atLeast"/>
          <w:tblHeader/>
          <w:jc w:val="center"/>
        </w:trPr>
        <w:tc>
          <w:tcPr>
            <w:tcW w:w="61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17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17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102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14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148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148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61" w:hRule="atLeast"/>
          <w:jc w:val="cent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2-1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小麦</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面粉</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160(吨)</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650,000.00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650,000.00</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本合同包不接受联合体投标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合同履行期限：一年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合同包3(食用油):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合同包预算金额：1,704,000.00元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合同包最高限价：1,704,000.00元</w:t>
      </w:r>
    </w:p>
    <w:tbl>
      <w:tblPr>
        <w:tblStyle w:val="19"/>
        <w:tblW w:w="97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72"/>
        <w:gridCol w:w="1211"/>
        <w:gridCol w:w="1641"/>
        <w:gridCol w:w="1365"/>
        <w:gridCol w:w="1458"/>
        <w:gridCol w:w="1765"/>
        <w:gridCol w:w="17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1" w:hRule="atLeast"/>
          <w:tblHeader/>
          <w:jc w:val="center"/>
        </w:trPr>
        <w:tc>
          <w:tcPr>
            <w:tcW w:w="59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143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157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12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133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17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17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50" w:hRule="atLeast"/>
          <w:jc w:val="cent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3-1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其他油料</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大豆油、菜籽油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142,000(升)</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1,704,000.00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1,704,000.00</w:t>
            </w:r>
          </w:p>
        </w:tc>
      </w:tr>
    </w:tbl>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本合同包不接受联合体投标</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合同履行期限：一年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二、申请人的资格要求：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合同包1(大米)落实政府采购政策需满足的资格要求如下: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依据《中华人民共和国政府采购法》和《中华人民共和国政府采购法实施条例》的有关规定，落实政府采购政策，详见招标文件。</w:t>
      </w:r>
      <w:r>
        <w:rPr>
          <w:rFonts w:hint="eastAsia" w:ascii="宋体" w:hAnsi="宋体" w:eastAsia="宋体" w:cs="宋体"/>
          <w:sz w:val="24"/>
          <w:szCs w:val="24"/>
        </w:rPr>
        <w:br w:type="textWrapping"/>
      </w:r>
      <w:r>
        <w:rPr>
          <w:rFonts w:hint="eastAsia" w:ascii="宋体" w:hAnsi="宋体" w:eastAsia="宋体" w:cs="宋体"/>
          <w:sz w:val="24"/>
          <w:szCs w:val="24"/>
        </w:rPr>
        <w:t>1）《政府采购促进中小企业发展管理办法》（财库﹝2020﹞46 号）； </w:t>
      </w:r>
      <w:r>
        <w:rPr>
          <w:rFonts w:hint="eastAsia" w:ascii="宋体" w:hAnsi="宋体" w:eastAsia="宋体" w:cs="宋体"/>
          <w:sz w:val="24"/>
          <w:szCs w:val="24"/>
        </w:rPr>
        <w:br w:type="textWrapping"/>
      </w:r>
      <w:r>
        <w:rPr>
          <w:rFonts w:hint="eastAsia" w:ascii="宋体" w:hAnsi="宋体" w:eastAsia="宋体" w:cs="宋体"/>
          <w:sz w:val="24"/>
          <w:szCs w:val="24"/>
        </w:rPr>
        <w:t>2）《财政部、司法部关于政府采购支持监狱企业发展有关问题的通知》（财库〔2014〕68号）；</w:t>
      </w:r>
      <w:r>
        <w:rPr>
          <w:rFonts w:hint="eastAsia" w:ascii="宋体" w:hAnsi="宋体" w:eastAsia="宋体" w:cs="宋体"/>
          <w:sz w:val="24"/>
          <w:szCs w:val="24"/>
        </w:rPr>
        <w:br w:type="textWrapping"/>
      </w:r>
      <w:r>
        <w:rPr>
          <w:rFonts w:hint="eastAsia" w:ascii="宋体" w:hAnsi="宋体" w:eastAsia="宋体" w:cs="宋体"/>
          <w:sz w:val="24"/>
          <w:szCs w:val="24"/>
        </w:rPr>
        <w:t>3）残疾人福利性单位应符合《财政部、民政部、中国残疾人联合会关于促进残疾人就业政府采购政策的通知》（财库[2017]141号）文件规定； </w:t>
      </w:r>
      <w:r>
        <w:rPr>
          <w:rFonts w:hint="eastAsia" w:ascii="宋体" w:hAnsi="宋体" w:eastAsia="宋体" w:cs="宋体"/>
          <w:sz w:val="24"/>
          <w:szCs w:val="24"/>
        </w:rPr>
        <w:br w:type="textWrapping"/>
      </w:r>
      <w:r>
        <w:rPr>
          <w:rFonts w:hint="eastAsia" w:ascii="宋体" w:hAnsi="宋体" w:eastAsia="宋体" w:cs="宋体"/>
          <w:sz w:val="24"/>
          <w:szCs w:val="24"/>
        </w:rPr>
        <w:t>4）《财政部国家发展改革委关于印发(节能产品政府采购实施意见)的通知》(库(2004)185号)；</w:t>
      </w:r>
      <w:r>
        <w:rPr>
          <w:rFonts w:hint="eastAsia" w:ascii="宋体" w:hAnsi="宋体" w:eastAsia="宋体" w:cs="宋体"/>
          <w:sz w:val="24"/>
          <w:szCs w:val="24"/>
        </w:rPr>
        <w:br w:type="textWrapping"/>
      </w:r>
      <w:r>
        <w:rPr>
          <w:rFonts w:hint="eastAsia" w:ascii="宋体" w:hAnsi="宋体" w:eastAsia="宋体" w:cs="宋体"/>
          <w:sz w:val="24"/>
          <w:szCs w:val="24"/>
        </w:rPr>
        <w:t>5）《国务院办公厅关于建立政府强制采购节能产品制度的通知》(国办发(2007)51号)； </w:t>
      </w:r>
      <w:r>
        <w:rPr>
          <w:rFonts w:hint="eastAsia" w:ascii="宋体" w:hAnsi="宋体" w:eastAsia="宋体" w:cs="宋体"/>
          <w:sz w:val="24"/>
          <w:szCs w:val="24"/>
        </w:rPr>
        <w:br w:type="textWrapping"/>
      </w:r>
      <w:r>
        <w:rPr>
          <w:rFonts w:hint="eastAsia" w:ascii="宋体" w:hAnsi="宋体" w:eastAsia="宋体" w:cs="宋体"/>
          <w:sz w:val="24"/>
          <w:szCs w:val="24"/>
        </w:rPr>
        <w:t>6）《财政部环保总局关于环境标志产品政府采购实施的意见》(财库(2006)90号)；</w:t>
      </w:r>
      <w:r>
        <w:rPr>
          <w:rFonts w:hint="eastAsia" w:ascii="宋体" w:hAnsi="宋体" w:eastAsia="宋体" w:cs="宋体"/>
          <w:sz w:val="24"/>
          <w:szCs w:val="24"/>
        </w:rPr>
        <w:br w:type="textWrapping"/>
      </w:r>
      <w:r>
        <w:rPr>
          <w:rFonts w:hint="eastAsia" w:ascii="宋体" w:hAnsi="宋体" w:eastAsia="宋体" w:cs="宋体"/>
          <w:sz w:val="24"/>
          <w:szCs w:val="24"/>
        </w:rPr>
        <w:t>7）《财政部 发展改革委 生态环境部 市场监管总局关于调整优化节能产品、环境标志产品政府采购执行机制的通知》（财库〔2019〕9号；</w:t>
      </w:r>
      <w:r>
        <w:rPr>
          <w:rFonts w:hint="eastAsia" w:ascii="宋体" w:hAnsi="宋体" w:eastAsia="宋体" w:cs="宋体"/>
          <w:sz w:val="24"/>
          <w:szCs w:val="24"/>
        </w:rPr>
        <w:br w:type="textWrapping"/>
      </w:r>
      <w:r>
        <w:rPr>
          <w:rFonts w:hint="eastAsia" w:ascii="宋体" w:hAnsi="宋体" w:eastAsia="宋体" w:cs="宋体"/>
          <w:sz w:val="24"/>
          <w:szCs w:val="24"/>
        </w:rPr>
        <w:t>8）《财政部办公厅关于政府采购进口产品管理有关问题的通知》（财办库[2008]248号）；</w:t>
      </w:r>
      <w:r>
        <w:rPr>
          <w:rFonts w:hint="eastAsia" w:ascii="宋体" w:hAnsi="宋体" w:eastAsia="宋体" w:cs="宋体"/>
          <w:sz w:val="24"/>
          <w:szCs w:val="24"/>
        </w:rPr>
        <w:br w:type="textWrapping"/>
      </w:r>
      <w:r>
        <w:rPr>
          <w:rFonts w:hint="eastAsia" w:ascii="宋体" w:hAnsi="宋体" w:eastAsia="宋体" w:cs="宋体"/>
          <w:sz w:val="24"/>
          <w:szCs w:val="24"/>
        </w:rPr>
        <w:t>9）陕西省财政厅关于印发《陕西省中小企业政府采购信用融资办法》（陕财办采〔2018〕23号）。 </w:t>
      </w:r>
      <w:r>
        <w:rPr>
          <w:rFonts w:hint="eastAsia" w:ascii="宋体" w:hAnsi="宋体" w:eastAsia="宋体" w:cs="宋体"/>
          <w:sz w:val="24"/>
          <w:szCs w:val="24"/>
        </w:rPr>
        <w:br w:type="textWrapping"/>
      </w:r>
      <w:r>
        <w:rPr>
          <w:rFonts w:hint="eastAsia" w:ascii="宋体" w:hAnsi="宋体" w:eastAsia="宋体" w:cs="宋体"/>
          <w:sz w:val="24"/>
          <w:szCs w:val="24"/>
        </w:rPr>
        <w:t>若享受以上政策优惠的企业，提供相应声明函或产品目录。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合同包2(面粉)落实政府采购政策需满足的资格要求如下: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依据《中华人民共和国政府采购法》和《中华人民共和国政府采购法实施条例》的有关规定，落实政府采购政策，详见招标文件。</w:t>
      </w:r>
      <w:r>
        <w:rPr>
          <w:rFonts w:hint="eastAsia" w:ascii="宋体" w:hAnsi="宋体" w:eastAsia="宋体" w:cs="宋体"/>
          <w:sz w:val="24"/>
          <w:szCs w:val="24"/>
        </w:rPr>
        <w:br w:type="textWrapping"/>
      </w:r>
      <w:r>
        <w:rPr>
          <w:rFonts w:hint="eastAsia" w:ascii="宋体" w:hAnsi="宋体" w:eastAsia="宋体" w:cs="宋体"/>
          <w:sz w:val="24"/>
          <w:szCs w:val="24"/>
        </w:rPr>
        <w:t>1）《政府采购促进中小企业发展管理办法》（财库﹝2020﹞46 号）； </w:t>
      </w:r>
      <w:r>
        <w:rPr>
          <w:rFonts w:hint="eastAsia" w:ascii="宋体" w:hAnsi="宋体" w:eastAsia="宋体" w:cs="宋体"/>
          <w:sz w:val="24"/>
          <w:szCs w:val="24"/>
        </w:rPr>
        <w:br w:type="textWrapping"/>
      </w:r>
      <w:r>
        <w:rPr>
          <w:rFonts w:hint="eastAsia" w:ascii="宋体" w:hAnsi="宋体" w:eastAsia="宋体" w:cs="宋体"/>
          <w:sz w:val="24"/>
          <w:szCs w:val="24"/>
        </w:rPr>
        <w:t>2）《财政部、司法部关于政府采购支持监狱企业发展有关问题的通知》（财库〔2014〕68号）；</w:t>
      </w:r>
      <w:r>
        <w:rPr>
          <w:rFonts w:hint="eastAsia" w:ascii="宋体" w:hAnsi="宋体" w:eastAsia="宋体" w:cs="宋体"/>
          <w:sz w:val="24"/>
          <w:szCs w:val="24"/>
        </w:rPr>
        <w:br w:type="textWrapping"/>
      </w:r>
      <w:r>
        <w:rPr>
          <w:rFonts w:hint="eastAsia" w:ascii="宋体" w:hAnsi="宋体" w:eastAsia="宋体" w:cs="宋体"/>
          <w:sz w:val="24"/>
          <w:szCs w:val="24"/>
        </w:rPr>
        <w:t>3）残疾人福利性单位应符合《财政部、民政部、中国残疾人联合会关于促进残疾人就业政府采购政策的通知》（财库[2017]141号）文件规定； </w:t>
      </w:r>
      <w:r>
        <w:rPr>
          <w:rFonts w:hint="eastAsia" w:ascii="宋体" w:hAnsi="宋体" w:eastAsia="宋体" w:cs="宋体"/>
          <w:sz w:val="24"/>
          <w:szCs w:val="24"/>
        </w:rPr>
        <w:br w:type="textWrapping"/>
      </w:r>
      <w:r>
        <w:rPr>
          <w:rFonts w:hint="eastAsia" w:ascii="宋体" w:hAnsi="宋体" w:eastAsia="宋体" w:cs="宋体"/>
          <w:sz w:val="24"/>
          <w:szCs w:val="24"/>
        </w:rPr>
        <w:t>4）《财政部国家发展改革委关于印发(节能产品政府采购实施意见)的通知》(库(2004)185号)；</w:t>
      </w:r>
      <w:r>
        <w:rPr>
          <w:rFonts w:hint="eastAsia" w:ascii="宋体" w:hAnsi="宋体" w:eastAsia="宋体" w:cs="宋体"/>
          <w:sz w:val="24"/>
          <w:szCs w:val="24"/>
        </w:rPr>
        <w:br w:type="textWrapping"/>
      </w:r>
      <w:r>
        <w:rPr>
          <w:rFonts w:hint="eastAsia" w:ascii="宋体" w:hAnsi="宋体" w:eastAsia="宋体" w:cs="宋体"/>
          <w:sz w:val="24"/>
          <w:szCs w:val="24"/>
        </w:rPr>
        <w:t>5）《国务院办公厅关于建立政府强制采购节能产品制度的通知》(国办发(2007)51号)； </w:t>
      </w:r>
      <w:r>
        <w:rPr>
          <w:rFonts w:hint="eastAsia" w:ascii="宋体" w:hAnsi="宋体" w:eastAsia="宋体" w:cs="宋体"/>
          <w:sz w:val="24"/>
          <w:szCs w:val="24"/>
        </w:rPr>
        <w:br w:type="textWrapping"/>
      </w:r>
      <w:r>
        <w:rPr>
          <w:rFonts w:hint="eastAsia" w:ascii="宋体" w:hAnsi="宋体" w:eastAsia="宋体" w:cs="宋体"/>
          <w:sz w:val="24"/>
          <w:szCs w:val="24"/>
        </w:rPr>
        <w:t>6）《财政部环保总局关于环境标志产品政府采购实施的意见》(财库(2006)90号)；</w:t>
      </w:r>
      <w:r>
        <w:rPr>
          <w:rFonts w:hint="eastAsia" w:ascii="宋体" w:hAnsi="宋体" w:eastAsia="宋体" w:cs="宋体"/>
          <w:sz w:val="24"/>
          <w:szCs w:val="24"/>
        </w:rPr>
        <w:br w:type="textWrapping"/>
      </w:r>
      <w:r>
        <w:rPr>
          <w:rFonts w:hint="eastAsia" w:ascii="宋体" w:hAnsi="宋体" w:eastAsia="宋体" w:cs="宋体"/>
          <w:sz w:val="24"/>
          <w:szCs w:val="24"/>
        </w:rPr>
        <w:t>7）《财政部 发展改革委 生态环境部 市场监管总局关于调整优化节能产品、环境标志产品政府采购执行机制的通知》（财库〔2019〕9号；</w:t>
      </w:r>
      <w:r>
        <w:rPr>
          <w:rFonts w:hint="eastAsia" w:ascii="宋体" w:hAnsi="宋体" w:eastAsia="宋体" w:cs="宋体"/>
          <w:sz w:val="24"/>
          <w:szCs w:val="24"/>
        </w:rPr>
        <w:br w:type="textWrapping"/>
      </w:r>
      <w:r>
        <w:rPr>
          <w:rFonts w:hint="eastAsia" w:ascii="宋体" w:hAnsi="宋体" w:eastAsia="宋体" w:cs="宋体"/>
          <w:sz w:val="24"/>
          <w:szCs w:val="24"/>
        </w:rPr>
        <w:t>8）《财政部办公厅关于政府采购进口产品管理有关问题的通知》（财办库[2008]248号）；</w:t>
      </w:r>
      <w:r>
        <w:rPr>
          <w:rFonts w:hint="eastAsia" w:ascii="宋体" w:hAnsi="宋体" w:eastAsia="宋体" w:cs="宋体"/>
          <w:sz w:val="24"/>
          <w:szCs w:val="24"/>
        </w:rPr>
        <w:br w:type="textWrapping"/>
      </w:r>
      <w:r>
        <w:rPr>
          <w:rFonts w:hint="eastAsia" w:ascii="宋体" w:hAnsi="宋体" w:eastAsia="宋体" w:cs="宋体"/>
          <w:sz w:val="24"/>
          <w:szCs w:val="24"/>
        </w:rPr>
        <w:t>9）陕西省财政厅关于印发《陕西省中小企业政府采购信用融资办法》（陕财办采〔2018〕23号）。 </w:t>
      </w:r>
      <w:r>
        <w:rPr>
          <w:rFonts w:hint="eastAsia" w:ascii="宋体" w:hAnsi="宋体" w:eastAsia="宋体" w:cs="宋体"/>
          <w:sz w:val="24"/>
          <w:szCs w:val="24"/>
        </w:rPr>
        <w:br w:type="textWrapping"/>
      </w:r>
      <w:r>
        <w:rPr>
          <w:rFonts w:hint="eastAsia" w:ascii="宋体" w:hAnsi="宋体" w:eastAsia="宋体" w:cs="宋体"/>
          <w:sz w:val="24"/>
          <w:szCs w:val="24"/>
        </w:rPr>
        <w:t>若享受以上政策优惠的企业，提供相应声明函或产品目录。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合同包3(食用油)落实政府采购政策需满足的资格要求如下: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依据《中华人民共和国政府采购法》和《中华人民共和国政府采购法实施条例》的有关规定，落实政府采购政策，详见招标文件。</w:t>
      </w:r>
      <w:r>
        <w:rPr>
          <w:rFonts w:hint="eastAsia" w:ascii="宋体" w:hAnsi="宋体" w:eastAsia="宋体" w:cs="宋体"/>
          <w:sz w:val="24"/>
          <w:szCs w:val="24"/>
        </w:rPr>
        <w:br w:type="textWrapping"/>
      </w:r>
      <w:r>
        <w:rPr>
          <w:rFonts w:hint="eastAsia" w:ascii="宋体" w:hAnsi="宋体" w:eastAsia="宋体" w:cs="宋体"/>
          <w:sz w:val="24"/>
          <w:szCs w:val="24"/>
        </w:rPr>
        <w:t>1）《政府采购促进中小企业发展管理办法》（财库﹝2020﹞46 号）； </w:t>
      </w:r>
      <w:r>
        <w:rPr>
          <w:rFonts w:hint="eastAsia" w:ascii="宋体" w:hAnsi="宋体" w:eastAsia="宋体" w:cs="宋体"/>
          <w:sz w:val="24"/>
          <w:szCs w:val="24"/>
        </w:rPr>
        <w:br w:type="textWrapping"/>
      </w:r>
      <w:r>
        <w:rPr>
          <w:rFonts w:hint="eastAsia" w:ascii="宋体" w:hAnsi="宋体" w:eastAsia="宋体" w:cs="宋体"/>
          <w:sz w:val="24"/>
          <w:szCs w:val="24"/>
        </w:rPr>
        <w:t>2）《财政部、司法部关于政府采购支持监狱企业发展有关问题的通知》（财库〔2014〕68号）；</w:t>
      </w:r>
      <w:r>
        <w:rPr>
          <w:rFonts w:hint="eastAsia" w:ascii="宋体" w:hAnsi="宋体" w:eastAsia="宋体" w:cs="宋体"/>
          <w:sz w:val="24"/>
          <w:szCs w:val="24"/>
        </w:rPr>
        <w:br w:type="textWrapping"/>
      </w:r>
      <w:r>
        <w:rPr>
          <w:rFonts w:hint="eastAsia" w:ascii="宋体" w:hAnsi="宋体" w:eastAsia="宋体" w:cs="宋体"/>
          <w:sz w:val="24"/>
          <w:szCs w:val="24"/>
        </w:rPr>
        <w:t>3）残疾人福利性单位应符合《财政部、民政部、中国残疾人联合会关于促进残疾人就业政府采购政策的通知》（财库[2017]141号）文件规定； </w:t>
      </w:r>
      <w:r>
        <w:rPr>
          <w:rFonts w:hint="eastAsia" w:ascii="宋体" w:hAnsi="宋体" w:eastAsia="宋体" w:cs="宋体"/>
          <w:sz w:val="24"/>
          <w:szCs w:val="24"/>
        </w:rPr>
        <w:br w:type="textWrapping"/>
      </w:r>
      <w:r>
        <w:rPr>
          <w:rFonts w:hint="eastAsia" w:ascii="宋体" w:hAnsi="宋体" w:eastAsia="宋体" w:cs="宋体"/>
          <w:sz w:val="24"/>
          <w:szCs w:val="24"/>
        </w:rPr>
        <w:t>4）《财政部国家发展改革委关于印发(节能产品政府采购实施意见)的通知》(库(2004)185号)；</w:t>
      </w:r>
      <w:r>
        <w:rPr>
          <w:rFonts w:hint="eastAsia" w:ascii="宋体" w:hAnsi="宋体" w:eastAsia="宋体" w:cs="宋体"/>
          <w:sz w:val="24"/>
          <w:szCs w:val="24"/>
        </w:rPr>
        <w:br w:type="textWrapping"/>
      </w:r>
      <w:r>
        <w:rPr>
          <w:rFonts w:hint="eastAsia" w:ascii="宋体" w:hAnsi="宋体" w:eastAsia="宋体" w:cs="宋体"/>
          <w:sz w:val="24"/>
          <w:szCs w:val="24"/>
        </w:rPr>
        <w:t>5）《国务院办公厅关于建立政府强制采购节能产品制度的通知》(国办发(2007)51号)； </w:t>
      </w:r>
      <w:r>
        <w:rPr>
          <w:rFonts w:hint="eastAsia" w:ascii="宋体" w:hAnsi="宋体" w:eastAsia="宋体" w:cs="宋体"/>
          <w:sz w:val="24"/>
          <w:szCs w:val="24"/>
        </w:rPr>
        <w:br w:type="textWrapping"/>
      </w:r>
      <w:r>
        <w:rPr>
          <w:rFonts w:hint="eastAsia" w:ascii="宋体" w:hAnsi="宋体" w:eastAsia="宋体" w:cs="宋体"/>
          <w:sz w:val="24"/>
          <w:szCs w:val="24"/>
        </w:rPr>
        <w:t>6）《财政部环保总局关于环境标志产品政府采购实施的意见》(财库(2006)90号)；</w:t>
      </w:r>
      <w:r>
        <w:rPr>
          <w:rFonts w:hint="eastAsia" w:ascii="宋体" w:hAnsi="宋体" w:eastAsia="宋体" w:cs="宋体"/>
          <w:sz w:val="24"/>
          <w:szCs w:val="24"/>
        </w:rPr>
        <w:br w:type="textWrapping"/>
      </w:r>
      <w:r>
        <w:rPr>
          <w:rFonts w:hint="eastAsia" w:ascii="宋体" w:hAnsi="宋体" w:eastAsia="宋体" w:cs="宋体"/>
          <w:sz w:val="24"/>
          <w:szCs w:val="24"/>
        </w:rPr>
        <w:t>7）《财政部 发展改革委 生态环境部 市场监管总局关于调整优化节能产品、环境标志产品政府采购执行机制的通知》（财库〔2019〕9号；</w:t>
      </w:r>
      <w:r>
        <w:rPr>
          <w:rFonts w:hint="eastAsia" w:ascii="宋体" w:hAnsi="宋体" w:eastAsia="宋体" w:cs="宋体"/>
          <w:sz w:val="24"/>
          <w:szCs w:val="24"/>
        </w:rPr>
        <w:br w:type="textWrapping"/>
      </w:r>
      <w:r>
        <w:rPr>
          <w:rFonts w:hint="eastAsia" w:ascii="宋体" w:hAnsi="宋体" w:eastAsia="宋体" w:cs="宋体"/>
          <w:sz w:val="24"/>
          <w:szCs w:val="24"/>
        </w:rPr>
        <w:t>8）《财政部办公厅关于政府采购进口产品管理有关问题的通知》（财办库[2008]248号）；</w:t>
      </w:r>
      <w:r>
        <w:rPr>
          <w:rFonts w:hint="eastAsia" w:ascii="宋体" w:hAnsi="宋体" w:eastAsia="宋体" w:cs="宋体"/>
          <w:sz w:val="24"/>
          <w:szCs w:val="24"/>
        </w:rPr>
        <w:br w:type="textWrapping"/>
      </w:r>
      <w:r>
        <w:rPr>
          <w:rFonts w:hint="eastAsia" w:ascii="宋体" w:hAnsi="宋体" w:eastAsia="宋体" w:cs="宋体"/>
          <w:sz w:val="24"/>
          <w:szCs w:val="24"/>
        </w:rPr>
        <w:t>9）陕西省财政厅关于印发《陕西省中小企业政府采购信用融资办法》（陕财办采〔2018〕23号）。 </w:t>
      </w:r>
      <w:r>
        <w:rPr>
          <w:rFonts w:hint="eastAsia" w:ascii="宋体" w:hAnsi="宋体" w:eastAsia="宋体" w:cs="宋体"/>
          <w:sz w:val="24"/>
          <w:szCs w:val="24"/>
        </w:rPr>
        <w:br w:type="textWrapping"/>
      </w:r>
      <w:r>
        <w:rPr>
          <w:rFonts w:hint="eastAsia" w:ascii="宋体" w:hAnsi="宋体" w:eastAsia="宋体" w:cs="宋体"/>
          <w:sz w:val="24"/>
          <w:szCs w:val="24"/>
        </w:rPr>
        <w:t>若享受以上政策优惠的企业，提供相应声明函或产品目录。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合同包1(大米)特定资格要求如下: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法定代表人授权书（附法定代表人、被授权人身份证复印件）、被授权人身份证（法定代表人直接参加投标，须提供法定代表人身份证明及身份证原件）及被授权人递交响应文件截止时间前一年内任意一个月的社会保障资金（养老保险或医疗保险）的缴纳证明；</w:t>
      </w:r>
      <w:r>
        <w:rPr>
          <w:rFonts w:hint="eastAsia" w:ascii="宋体" w:hAnsi="宋体" w:eastAsia="宋体" w:cs="宋体"/>
          <w:sz w:val="24"/>
          <w:szCs w:val="24"/>
        </w:rPr>
        <w:br w:type="textWrapping"/>
      </w:r>
      <w:r>
        <w:rPr>
          <w:rFonts w:hint="eastAsia" w:ascii="宋体" w:hAnsi="宋体" w:eastAsia="宋体" w:cs="宋体"/>
          <w:sz w:val="24"/>
          <w:szCs w:val="24"/>
        </w:rPr>
        <w:t>2）投标人为生产厂家的须提供食品生产许可证或全国工业产品生产许可证；投标人为代理商的须提供食品流通许可证或食品经营许可证及生产厂家的食品生产许可证或全国工业产品生产许可证；</w:t>
      </w:r>
      <w:r>
        <w:rPr>
          <w:rFonts w:hint="eastAsia" w:ascii="宋体" w:hAnsi="宋体" w:eastAsia="宋体" w:cs="宋体"/>
          <w:sz w:val="24"/>
          <w:szCs w:val="24"/>
        </w:rPr>
        <w:br w:type="textWrapping"/>
      </w:r>
      <w:r>
        <w:rPr>
          <w:rFonts w:hint="eastAsia" w:ascii="宋体" w:hAnsi="宋体" w:eastAsia="宋体" w:cs="宋体"/>
          <w:sz w:val="24"/>
          <w:szCs w:val="24"/>
        </w:rPr>
        <w:t>3）投标人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承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合同包2(面粉)特定资格要求如下: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法定代表人授权书（附法定代表人、被授权人身份证复印件）、被授权人身份证（法定代表人直接参加投标，须提供法定代表人身份证明及身份证原件）及被授权人递交响应文件截止时间前一年内任意一个月的社会保障资金（养老保险或医疗保险）的缴纳证明；</w:t>
      </w:r>
      <w:r>
        <w:rPr>
          <w:rFonts w:hint="eastAsia" w:ascii="宋体" w:hAnsi="宋体" w:eastAsia="宋体" w:cs="宋体"/>
          <w:sz w:val="24"/>
          <w:szCs w:val="24"/>
        </w:rPr>
        <w:br w:type="textWrapping"/>
      </w:r>
      <w:r>
        <w:rPr>
          <w:rFonts w:hint="eastAsia" w:ascii="宋体" w:hAnsi="宋体" w:eastAsia="宋体" w:cs="宋体"/>
          <w:sz w:val="24"/>
          <w:szCs w:val="24"/>
        </w:rPr>
        <w:t>2）投标人为生产厂家的须提供食品生产许可证或全国工业产品生产许可证；投标人为代理商的须提供食品流通许可证或食品经营许可证及生产厂家的食品生产许可证或全国工业产品生产许可证；</w:t>
      </w:r>
      <w:r>
        <w:rPr>
          <w:rFonts w:hint="eastAsia" w:ascii="宋体" w:hAnsi="宋体" w:eastAsia="宋体" w:cs="宋体"/>
          <w:sz w:val="24"/>
          <w:szCs w:val="24"/>
        </w:rPr>
        <w:br w:type="textWrapping"/>
      </w:r>
      <w:r>
        <w:rPr>
          <w:rFonts w:hint="eastAsia" w:ascii="宋体" w:hAnsi="宋体" w:eastAsia="宋体" w:cs="宋体"/>
          <w:sz w:val="24"/>
          <w:szCs w:val="24"/>
        </w:rPr>
        <w:t>3）投标人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承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合同包3(食用油)特定资格要求如下:</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法定代表人授权书（附法定代表人、被授权人身份证复印件）、被授权人身份证（法定代表人直接参加投标，须提供法定代表人身份证明及身份证原件）及被授权人递交响应文件截止时间前一年内任意一个月的社会保障资金（养老保险或医疗保险）的缴纳证明；</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2）投标人为生产厂家的须提供食品生产许可证或全国工业产品生产许可证；投标人为代理商的须提供食品流通许可证或食品经营许可证及生产厂家的食品生产许可证或全国工业产品生产许可证；</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投标人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承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三、获取招标文件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时间：2023年06月27日至2023年07月04日，每天上午09:00:00至12:00:00，下午14:00:00至17:00:00（北京时间）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途径：陕西省西安市雁塔区南二环凯森盛世一号A座4层408室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方式：现场获取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售价：300元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四、提交投标文件截止时间、开标时间和地点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时间：2023年07月21日 09时30分</w:t>
      </w:r>
      <w:bookmarkStart w:id="317" w:name="_GoBack"/>
      <w:bookmarkEnd w:id="317"/>
      <w:r>
        <w:rPr>
          <w:rFonts w:hint="eastAsia" w:ascii="宋体" w:hAnsi="宋体" w:eastAsia="宋体" w:cs="宋体"/>
          <w:sz w:val="24"/>
          <w:szCs w:val="24"/>
        </w:rPr>
        <w:t>（北京时间）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提交投标文件地点：陕西省西安市雁塔区南二环凯森盛世一号A座4层408室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开标地点：陕西省西安市雁塔区南二环凯森盛世一号A座4层408室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五、公告期限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自本公告发布之日起5个工作日。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六、其他补充事宜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1.购买招标文件时请携带单位介绍信原件、经办人身份证原件及复印件加盖公章一份。（介绍信须标明所购买文件的合同包号）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2.文件售价：300元/包，售后不退。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3.请供应商按照陕西省财政厅关于政府采购供应商注册登记有关事项的通知中的要求，通过陕西省政府采购网（http://www.ccgp-shaanxi.gov.cn/）注册登记加入陕西省政府采购供应商库。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七、对本次招标提出询问，请按以下方式联系。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1.采购人信息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名称：西安科技大学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地址：西安市雁塔路58号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联系方式：029-83858191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2.采购代理机构信息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名称：陕西正鸿项目管理有限公司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地址：陕西省西安市雁塔区南二环凯森盛世一号A座4层408室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联系方式：029-89338755/81511576转804</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3.项目联系方式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项目联系人：王倩倩、刘晓利、卫钰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电话：029-89338755/81511576转804</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5040" w:firstLineChars="21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5040" w:firstLineChars="2100"/>
        <w:textAlignment w:val="auto"/>
        <w:rPr>
          <w:rFonts w:hint="eastAsia" w:ascii="宋体" w:hAnsi="宋体" w:eastAsia="宋体" w:cs="宋体"/>
          <w:sz w:val="24"/>
          <w:szCs w:val="24"/>
        </w:rPr>
      </w:pPr>
      <w:r>
        <w:rPr>
          <w:rFonts w:hint="eastAsia" w:ascii="宋体" w:hAnsi="宋体" w:eastAsia="宋体" w:cs="宋体"/>
          <w:sz w:val="24"/>
          <w:szCs w:val="24"/>
        </w:rPr>
        <w:t>陕西正鸿项目管理有限公司</w:t>
      </w:r>
    </w:p>
    <w:p>
      <w:pPr>
        <w:keepNext w:val="0"/>
        <w:keepLines w:val="0"/>
        <w:pageBreakBefore w:val="0"/>
        <w:widowControl w:val="0"/>
        <w:kinsoku/>
        <w:wordWrap/>
        <w:overflowPunct/>
        <w:topLinePunct w:val="0"/>
        <w:autoSpaceDE/>
        <w:autoSpaceDN/>
        <w:bidi w:val="0"/>
        <w:adjustRightInd/>
        <w:snapToGrid/>
        <w:spacing w:line="360" w:lineRule="auto"/>
        <w:ind w:firstLine="5280" w:firstLineChars="2200"/>
        <w:textAlignment w:val="auto"/>
        <w:rPr>
          <w:rFonts w:hint="eastAsia" w:ascii="宋体" w:hAnsi="宋体" w:eastAsia="宋体" w:cs="宋体"/>
          <w:sz w:val="24"/>
          <w:szCs w:val="24"/>
        </w:rPr>
      </w:pPr>
      <w:r>
        <w:rPr>
          <w:rFonts w:hint="eastAsia" w:ascii="宋体" w:hAnsi="宋体" w:eastAsia="宋体" w:cs="宋体"/>
          <w:sz w:val="24"/>
          <w:szCs w:val="24"/>
        </w:rPr>
        <w:t>20</w:t>
      </w:r>
      <w:r>
        <w:rPr>
          <w:rFonts w:hint="eastAsia" w:ascii="宋体" w:hAnsi="宋体" w:eastAsia="宋体" w:cs="宋体"/>
          <w:i w:val="0"/>
          <w:iCs w:val="0"/>
          <w:caps w:val="0"/>
          <w:color w:val="333333"/>
          <w:spacing w:val="0"/>
          <w:sz w:val="24"/>
          <w:szCs w:val="24"/>
          <w:shd w:val="clear" w:fill="FFFFFF"/>
          <w:vertAlign w:val="baseline"/>
        </w:rPr>
        <w:t>23年06月27日</w:t>
      </w:r>
    </w:p>
    <w:p>
      <w:pPr>
        <w:spacing w:line="360" w:lineRule="auto"/>
        <w:rPr>
          <w:rFonts w:hint="eastAsia" w:ascii="宋体" w:hAnsi="宋体" w:eastAsia="宋体" w:cs="宋体"/>
          <w:sz w:val="24"/>
          <w:szCs w:val="24"/>
        </w:rPr>
      </w:pP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right"/>
        <w:textAlignment w:val="baseline"/>
        <w:rPr>
          <w:rFonts w:hint="eastAsia" w:ascii="宋体" w:hAnsi="宋体" w:eastAsia="宋体" w:cs="宋体"/>
          <w:i w:val="0"/>
          <w:caps w:val="0"/>
          <w:color w:val="333333"/>
          <w:spacing w:val="0"/>
          <w:sz w:val="24"/>
          <w:szCs w:val="24"/>
          <w:lang w:eastAsia="zh-CN"/>
        </w:rPr>
      </w:pPr>
    </w:p>
    <w:p>
      <w:pPr>
        <w:rPr>
          <w:rFonts w:hint="eastAsia"/>
        </w:rPr>
      </w:pPr>
      <w:bookmarkStart w:id="13" w:name="_Toc389582035"/>
      <w:bookmarkStart w:id="14" w:name="_Toc2929"/>
      <w:bookmarkStart w:id="15" w:name="_Toc426457692"/>
      <w:bookmarkStart w:id="16" w:name="_Toc30304"/>
      <w:bookmarkStart w:id="17" w:name="_Toc18964"/>
      <w:r>
        <w:rPr>
          <w:rFonts w:hint="eastAsia"/>
        </w:rPr>
        <w:br w:type="page"/>
      </w:r>
    </w:p>
    <w:p>
      <w:pPr>
        <w:pStyle w:val="3"/>
        <w:spacing w:before="0" w:beforeLines="0" w:line="360" w:lineRule="auto"/>
        <w:ind w:left="0"/>
      </w:pPr>
      <w:bookmarkStart w:id="18" w:name="_Toc8105"/>
      <w:r>
        <w:rPr>
          <w:rFonts w:hint="eastAsia"/>
        </w:rPr>
        <w:t xml:space="preserve">第二章  </w:t>
      </w:r>
      <w:bookmarkEnd w:id="13"/>
      <w:bookmarkEnd w:id="14"/>
      <w:r>
        <w:rPr>
          <w:rFonts w:hint="eastAsia"/>
        </w:rPr>
        <w:t>投标人须知</w:t>
      </w:r>
      <w:bookmarkEnd w:id="15"/>
      <w:bookmarkEnd w:id="18"/>
    </w:p>
    <w:bookmarkEnd w:id="16"/>
    <w:bookmarkEnd w:id="17"/>
    <w:p>
      <w:pPr>
        <w:pStyle w:val="4"/>
        <w:spacing w:before="0" w:after="0" w:line="360" w:lineRule="auto"/>
        <w:ind w:left="0"/>
      </w:pPr>
      <w:bookmarkStart w:id="19" w:name="_Toc13421"/>
      <w:bookmarkStart w:id="20" w:name="_Toc23108"/>
      <w:bookmarkStart w:id="21" w:name="_Toc30222"/>
      <w:bookmarkStart w:id="22" w:name="_Toc7400"/>
      <w:bookmarkStart w:id="23" w:name="_Toc426457693"/>
      <w:bookmarkStart w:id="24" w:name="_Toc11975"/>
      <w:r>
        <w:rPr>
          <w:rFonts w:hint="eastAsia"/>
        </w:rPr>
        <w:t>投标人须知前附表</w:t>
      </w:r>
      <w:bookmarkEnd w:id="19"/>
      <w:bookmarkEnd w:id="20"/>
      <w:bookmarkEnd w:id="21"/>
      <w:bookmarkEnd w:id="22"/>
      <w:bookmarkEnd w:id="23"/>
      <w:bookmarkEnd w:id="24"/>
    </w:p>
    <w:tbl>
      <w:tblPr>
        <w:tblStyle w:val="19"/>
        <w:tblW w:w="93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40"/>
        <w:gridCol w:w="1619"/>
        <w:gridCol w:w="688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0" w:hRule="atLeast"/>
          <w:tblHeader/>
          <w:jc w:val="center"/>
        </w:trPr>
        <w:tc>
          <w:tcPr>
            <w:tcW w:w="840" w:type="dxa"/>
            <w:vAlign w:val="center"/>
          </w:tcPr>
          <w:p>
            <w:pPr>
              <w:pStyle w:val="29"/>
              <w:spacing w:line="360" w:lineRule="auto"/>
              <w:rPr>
                <w:b/>
                <w:bCs/>
              </w:rPr>
            </w:pPr>
            <w:r>
              <w:rPr>
                <w:rFonts w:hint="eastAsia"/>
                <w:b/>
                <w:bCs/>
              </w:rPr>
              <w:t>条款号</w:t>
            </w:r>
          </w:p>
        </w:tc>
        <w:tc>
          <w:tcPr>
            <w:tcW w:w="1619" w:type="dxa"/>
            <w:vAlign w:val="center"/>
          </w:tcPr>
          <w:p>
            <w:pPr>
              <w:pStyle w:val="29"/>
              <w:spacing w:line="360" w:lineRule="auto"/>
              <w:rPr>
                <w:b/>
                <w:bCs/>
              </w:rPr>
            </w:pPr>
            <w:r>
              <w:rPr>
                <w:rFonts w:hint="eastAsia"/>
                <w:b/>
                <w:bCs/>
              </w:rPr>
              <w:t>条款内容</w:t>
            </w:r>
          </w:p>
        </w:tc>
        <w:tc>
          <w:tcPr>
            <w:tcW w:w="6884" w:type="dxa"/>
            <w:vAlign w:val="center"/>
          </w:tcPr>
          <w:p>
            <w:pPr>
              <w:pStyle w:val="29"/>
              <w:spacing w:line="360" w:lineRule="auto"/>
              <w:rPr>
                <w:b/>
                <w:bCs/>
              </w:rPr>
            </w:pPr>
            <w:r>
              <w:rPr>
                <w:rFonts w:hint="eastAsia"/>
                <w:b/>
                <w:bCs/>
              </w:rPr>
              <w:t>编 列 内 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12" w:hRule="atLeast"/>
          <w:jc w:val="center"/>
        </w:trPr>
        <w:tc>
          <w:tcPr>
            <w:tcW w:w="840" w:type="dxa"/>
            <w:vAlign w:val="center"/>
          </w:tcPr>
          <w:p>
            <w:pPr>
              <w:pStyle w:val="29"/>
              <w:spacing w:line="360" w:lineRule="auto"/>
            </w:pPr>
            <w:r>
              <w:rPr>
                <w:rFonts w:hint="eastAsia"/>
              </w:rPr>
              <w:t>1</w:t>
            </w:r>
          </w:p>
        </w:tc>
        <w:tc>
          <w:tcPr>
            <w:tcW w:w="1619" w:type="dxa"/>
            <w:vAlign w:val="center"/>
          </w:tcPr>
          <w:p>
            <w:pPr>
              <w:pStyle w:val="29"/>
              <w:spacing w:line="360" w:lineRule="auto"/>
            </w:pPr>
            <w:r>
              <w:rPr>
                <w:rFonts w:hint="eastAsia"/>
              </w:rPr>
              <w:t>项目名称</w:t>
            </w:r>
          </w:p>
        </w:tc>
        <w:tc>
          <w:tcPr>
            <w:tcW w:w="6884" w:type="dxa"/>
          </w:tcPr>
          <w:p>
            <w:pPr>
              <w:pStyle w:val="29"/>
              <w:spacing w:line="360" w:lineRule="auto"/>
              <w:jc w:val="left"/>
            </w:pPr>
            <w:r>
              <w:rPr>
                <w:rFonts w:hint="eastAsia"/>
                <w:lang w:val="zh-CN"/>
              </w:rPr>
              <w:t>西安科技大学食堂米面油采购项目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0" w:hRule="atLeast"/>
          <w:jc w:val="center"/>
        </w:trPr>
        <w:tc>
          <w:tcPr>
            <w:tcW w:w="840" w:type="dxa"/>
            <w:vAlign w:val="center"/>
          </w:tcPr>
          <w:p>
            <w:pPr>
              <w:pStyle w:val="29"/>
              <w:spacing w:line="360" w:lineRule="auto"/>
            </w:pPr>
            <w:r>
              <w:rPr>
                <w:rFonts w:hint="eastAsia"/>
              </w:rPr>
              <w:t>2</w:t>
            </w:r>
          </w:p>
        </w:tc>
        <w:tc>
          <w:tcPr>
            <w:tcW w:w="1619" w:type="dxa"/>
            <w:vAlign w:val="center"/>
          </w:tcPr>
          <w:p>
            <w:pPr>
              <w:pStyle w:val="29"/>
              <w:spacing w:line="360" w:lineRule="auto"/>
              <w:rPr>
                <w:rFonts w:hint="eastAsia" w:eastAsia="宋体"/>
                <w:lang w:eastAsia="zh-CN"/>
              </w:rPr>
            </w:pPr>
            <w:r>
              <w:rPr>
                <w:rFonts w:hint="eastAsia"/>
                <w:lang w:eastAsia="zh-CN"/>
              </w:rPr>
              <w:t>招标人</w:t>
            </w:r>
          </w:p>
        </w:tc>
        <w:tc>
          <w:tcPr>
            <w:tcW w:w="6884" w:type="dxa"/>
          </w:tcPr>
          <w:p>
            <w:pPr>
              <w:pStyle w:val="29"/>
              <w:spacing w:line="360" w:lineRule="auto"/>
              <w:jc w:val="left"/>
            </w:pPr>
            <w:r>
              <w:rPr>
                <w:rFonts w:hint="eastAsia"/>
              </w:rPr>
              <w:t>名称：西安科技大学</w:t>
            </w:r>
          </w:p>
          <w:p>
            <w:pPr>
              <w:pStyle w:val="29"/>
              <w:spacing w:line="360" w:lineRule="auto"/>
              <w:jc w:val="left"/>
            </w:pPr>
            <w:r>
              <w:rPr>
                <w:rFonts w:hint="eastAsia"/>
              </w:rPr>
              <w:t>地址：西安市雁塔路58号</w:t>
            </w:r>
          </w:p>
          <w:p>
            <w:pPr>
              <w:pStyle w:val="29"/>
              <w:spacing w:line="360" w:lineRule="auto"/>
              <w:jc w:val="left"/>
            </w:pPr>
            <w:r>
              <w:rPr>
                <w:rFonts w:hint="eastAsia"/>
              </w:rPr>
              <w:t>联系人：王老师</w:t>
            </w:r>
          </w:p>
          <w:p>
            <w:pPr>
              <w:pStyle w:val="29"/>
              <w:spacing w:line="360" w:lineRule="auto"/>
              <w:jc w:val="left"/>
              <w:rPr>
                <w:rFonts w:hint="eastAsia" w:eastAsia="宋体"/>
                <w:lang w:eastAsia="zh-CN"/>
              </w:rPr>
            </w:pPr>
            <w:r>
              <w:rPr>
                <w:rFonts w:hint="eastAsia"/>
              </w:rPr>
              <w:t>联系方式：029-</w:t>
            </w:r>
            <w:r>
              <w:rPr>
                <w:rFonts w:hint="eastAsia"/>
                <w:lang w:eastAsia="zh-CN"/>
              </w:rPr>
              <w:t>83858191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0" w:hRule="atLeast"/>
          <w:jc w:val="center"/>
        </w:trPr>
        <w:tc>
          <w:tcPr>
            <w:tcW w:w="840" w:type="dxa"/>
            <w:vAlign w:val="center"/>
          </w:tcPr>
          <w:p>
            <w:pPr>
              <w:pStyle w:val="29"/>
              <w:spacing w:line="360" w:lineRule="auto"/>
            </w:pPr>
            <w:r>
              <w:rPr>
                <w:rFonts w:hint="eastAsia"/>
              </w:rPr>
              <w:t>3</w:t>
            </w:r>
          </w:p>
        </w:tc>
        <w:tc>
          <w:tcPr>
            <w:tcW w:w="1619" w:type="dxa"/>
            <w:vAlign w:val="center"/>
          </w:tcPr>
          <w:p>
            <w:pPr>
              <w:pStyle w:val="29"/>
              <w:spacing w:line="360" w:lineRule="auto"/>
              <w:rPr>
                <w:rFonts w:hint="eastAsia" w:eastAsia="宋体"/>
                <w:lang w:eastAsia="zh-CN"/>
              </w:rPr>
            </w:pPr>
            <w:r>
              <w:rPr>
                <w:rFonts w:hint="eastAsia"/>
                <w:lang w:eastAsia="zh-CN"/>
              </w:rPr>
              <w:t>招标代理机构</w:t>
            </w:r>
          </w:p>
        </w:tc>
        <w:tc>
          <w:tcPr>
            <w:tcW w:w="6884" w:type="dxa"/>
          </w:tcPr>
          <w:p>
            <w:pPr>
              <w:pStyle w:val="29"/>
              <w:spacing w:line="360" w:lineRule="auto"/>
              <w:jc w:val="left"/>
              <w:rPr>
                <w:rFonts w:hint="eastAsia" w:eastAsia="宋体"/>
                <w:lang w:eastAsia="zh-CN"/>
              </w:rPr>
            </w:pPr>
            <w:r>
              <w:rPr>
                <w:rFonts w:hint="eastAsia"/>
              </w:rPr>
              <w:t>名称：</w:t>
            </w:r>
            <w:r>
              <w:rPr>
                <w:rFonts w:hint="eastAsia"/>
                <w:lang w:eastAsia="zh-CN"/>
              </w:rPr>
              <w:t>陕西正鸿项目管理有限公司</w:t>
            </w:r>
          </w:p>
          <w:p>
            <w:pPr>
              <w:pStyle w:val="29"/>
              <w:spacing w:line="360" w:lineRule="auto"/>
              <w:jc w:val="left"/>
            </w:pPr>
            <w:r>
              <w:rPr>
                <w:rFonts w:hint="eastAsia"/>
              </w:rPr>
              <w:t>地址：陕西省西安市雁塔区南二环东段凯森盛世一号A座4层408室</w:t>
            </w:r>
          </w:p>
          <w:p>
            <w:pPr>
              <w:pStyle w:val="29"/>
              <w:spacing w:line="360" w:lineRule="auto"/>
              <w:jc w:val="left"/>
              <w:rPr>
                <w:rFonts w:hint="eastAsia" w:eastAsia="宋体"/>
                <w:lang w:eastAsia="zh-CN"/>
              </w:rPr>
            </w:pPr>
            <w:r>
              <w:rPr>
                <w:rFonts w:hint="eastAsia"/>
              </w:rPr>
              <w:t>联系人：</w:t>
            </w:r>
            <w:r>
              <w:rPr>
                <w:rFonts w:hint="eastAsia"/>
                <w:lang w:eastAsia="zh-CN"/>
              </w:rPr>
              <w:t>王倩倩、刘晓利、卫钰</w:t>
            </w:r>
          </w:p>
          <w:p>
            <w:pPr>
              <w:pStyle w:val="29"/>
              <w:spacing w:line="360" w:lineRule="auto"/>
              <w:jc w:val="left"/>
              <w:rPr>
                <w:rFonts w:hint="eastAsia" w:eastAsia="宋体"/>
                <w:lang w:eastAsia="zh-CN"/>
              </w:rPr>
            </w:pPr>
            <w:r>
              <w:rPr>
                <w:rFonts w:hint="eastAsia"/>
              </w:rPr>
              <w:t>联系方式：</w:t>
            </w:r>
            <w:r>
              <w:rPr>
                <w:rFonts w:hint="eastAsia"/>
                <w:lang w:eastAsia="zh-CN"/>
              </w:rPr>
              <w:t>029-89338755/81511576转804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48" w:hRule="atLeast"/>
          <w:jc w:val="center"/>
        </w:trPr>
        <w:tc>
          <w:tcPr>
            <w:tcW w:w="840" w:type="dxa"/>
            <w:vAlign w:val="center"/>
          </w:tcPr>
          <w:p>
            <w:pPr>
              <w:pStyle w:val="29"/>
              <w:spacing w:line="360" w:lineRule="auto"/>
            </w:pPr>
            <w:r>
              <w:rPr>
                <w:rFonts w:hint="eastAsia"/>
              </w:rPr>
              <w:t>4</w:t>
            </w:r>
          </w:p>
        </w:tc>
        <w:tc>
          <w:tcPr>
            <w:tcW w:w="1619" w:type="dxa"/>
            <w:vAlign w:val="center"/>
          </w:tcPr>
          <w:p>
            <w:pPr>
              <w:pStyle w:val="29"/>
              <w:spacing w:line="360" w:lineRule="auto"/>
            </w:pPr>
            <w:r>
              <w:rPr>
                <w:rFonts w:hint="eastAsia"/>
                <w:lang w:eastAsia="zh-CN"/>
              </w:rPr>
              <w:t>招标代理机构</w:t>
            </w:r>
            <w:r>
              <w:rPr>
                <w:rFonts w:hint="eastAsia"/>
              </w:rPr>
              <w:t>答疑的时间</w:t>
            </w:r>
          </w:p>
        </w:tc>
        <w:tc>
          <w:tcPr>
            <w:tcW w:w="6884" w:type="dxa"/>
            <w:vAlign w:val="center"/>
          </w:tcPr>
          <w:p>
            <w:pPr>
              <w:pStyle w:val="29"/>
              <w:spacing w:line="360" w:lineRule="auto"/>
              <w:jc w:val="left"/>
            </w:pPr>
            <w:r>
              <w:rPr>
                <w:rFonts w:hint="eastAsia"/>
              </w:rPr>
              <w:t>对于投标人在规定时间内依法提出的询问，</w:t>
            </w:r>
            <w:r>
              <w:rPr>
                <w:rFonts w:hint="eastAsia"/>
                <w:lang w:eastAsia="zh-CN"/>
              </w:rPr>
              <w:t>招标代理机构</w:t>
            </w:r>
            <w:r>
              <w:rPr>
                <w:rFonts w:hint="eastAsia"/>
              </w:rPr>
              <w:t>将在三个工作日内答复询问。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3" w:hRule="atLeast"/>
          <w:jc w:val="center"/>
        </w:trPr>
        <w:tc>
          <w:tcPr>
            <w:tcW w:w="840" w:type="dxa"/>
            <w:vAlign w:val="center"/>
          </w:tcPr>
          <w:p>
            <w:pPr>
              <w:pStyle w:val="29"/>
              <w:spacing w:line="360" w:lineRule="auto"/>
            </w:pPr>
            <w:r>
              <w:rPr>
                <w:rFonts w:hint="eastAsia"/>
              </w:rPr>
              <w:t>5</w:t>
            </w:r>
          </w:p>
        </w:tc>
        <w:tc>
          <w:tcPr>
            <w:tcW w:w="1619" w:type="dxa"/>
            <w:vAlign w:val="center"/>
          </w:tcPr>
          <w:p>
            <w:pPr>
              <w:pStyle w:val="29"/>
              <w:spacing w:line="240" w:lineRule="auto"/>
            </w:pPr>
            <w:r>
              <w:rPr>
                <w:rFonts w:hint="eastAsia"/>
              </w:rPr>
              <w:t>公告发布</w:t>
            </w:r>
          </w:p>
          <w:p>
            <w:pPr>
              <w:pStyle w:val="29"/>
              <w:spacing w:line="240" w:lineRule="auto"/>
            </w:pPr>
            <w:r>
              <w:rPr>
                <w:rFonts w:hint="eastAsia"/>
              </w:rPr>
              <w:t>媒介</w:t>
            </w:r>
          </w:p>
        </w:tc>
        <w:tc>
          <w:tcPr>
            <w:tcW w:w="6884" w:type="dxa"/>
            <w:vAlign w:val="center"/>
          </w:tcPr>
          <w:p>
            <w:pPr>
              <w:pStyle w:val="29"/>
              <w:spacing w:line="240" w:lineRule="auto"/>
              <w:jc w:val="left"/>
            </w:pPr>
            <w:r>
              <w:rPr>
                <w:rFonts w:hint="eastAsia"/>
              </w:rPr>
              <w:t>陕西省政府采购网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1" w:hRule="atLeast"/>
          <w:jc w:val="center"/>
        </w:trPr>
        <w:tc>
          <w:tcPr>
            <w:tcW w:w="840" w:type="dxa"/>
            <w:vAlign w:val="center"/>
          </w:tcPr>
          <w:p>
            <w:pPr>
              <w:pStyle w:val="29"/>
              <w:spacing w:line="360" w:lineRule="auto"/>
            </w:pPr>
            <w:r>
              <w:rPr>
                <w:rFonts w:hint="eastAsia"/>
              </w:rPr>
              <w:t>6</w:t>
            </w:r>
          </w:p>
        </w:tc>
        <w:tc>
          <w:tcPr>
            <w:tcW w:w="1619" w:type="dxa"/>
            <w:vAlign w:val="center"/>
          </w:tcPr>
          <w:p>
            <w:pPr>
              <w:pStyle w:val="29"/>
              <w:spacing w:line="360" w:lineRule="auto"/>
            </w:pPr>
            <w:r>
              <w:rPr>
                <w:rFonts w:hint="eastAsia"/>
              </w:rPr>
              <w:t>资金性质</w:t>
            </w:r>
          </w:p>
        </w:tc>
        <w:tc>
          <w:tcPr>
            <w:tcW w:w="6884" w:type="dxa"/>
            <w:vAlign w:val="center"/>
          </w:tcPr>
          <w:p>
            <w:pPr>
              <w:pStyle w:val="29"/>
              <w:spacing w:line="360" w:lineRule="auto"/>
              <w:jc w:val="left"/>
            </w:pPr>
            <w:r>
              <w:rPr>
                <w:rFonts w:hint="eastAsia"/>
              </w:rPr>
              <w:t>财政资金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1" w:hRule="atLeast"/>
          <w:jc w:val="center"/>
        </w:trPr>
        <w:tc>
          <w:tcPr>
            <w:tcW w:w="840" w:type="dxa"/>
            <w:vAlign w:val="center"/>
          </w:tcPr>
          <w:p>
            <w:pPr>
              <w:pStyle w:val="29"/>
              <w:spacing w:line="360" w:lineRule="auto"/>
            </w:pPr>
            <w:r>
              <w:rPr>
                <w:rFonts w:hint="eastAsia"/>
              </w:rPr>
              <w:t>7</w:t>
            </w:r>
          </w:p>
        </w:tc>
        <w:tc>
          <w:tcPr>
            <w:tcW w:w="1619" w:type="dxa"/>
            <w:vAlign w:val="center"/>
          </w:tcPr>
          <w:p>
            <w:pPr>
              <w:pStyle w:val="29"/>
              <w:spacing w:line="360" w:lineRule="auto"/>
            </w:pPr>
            <w:r>
              <w:rPr>
                <w:rFonts w:hint="eastAsia"/>
              </w:rPr>
              <w:t>预算金额</w:t>
            </w:r>
          </w:p>
        </w:tc>
        <w:tc>
          <w:tcPr>
            <w:tcW w:w="6884" w:type="dxa"/>
            <w:vAlign w:val="center"/>
          </w:tcPr>
          <w:p>
            <w:pPr>
              <w:pStyle w:val="29"/>
              <w:spacing w:line="360" w:lineRule="auto"/>
              <w:jc w:val="left"/>
              <w:rPr>
                <w:rFonts w:hint="eastAsia"/>
                <w:lang w:val="en-US" w:eastAsia="zh-CN"/>
              </w:rPr>
            </w:pPr>
            <w:r>
              <w:rPr>
                <w:rFonts w:hint="eastAsia"/>
                <w:lang w:val="en-US" w:eastAsia="zh-CN"/>
              </w:rPr>
              <w:t>合同包1（大米）：</w:t>
            </w:r>
            <w:r>
              <w:rPr>
                <w:rFonts w:hint="eastAsia" w:ascii="宋体" w:hAnsi="宋体" w:eastAsia="宋体" w:cs="宋体"/>
                <w:kern w:val="0"/>
                <w:sz w:val="24"/>
                <w:szCs w:val="24"/>
                <w:lang w:val="en-US" w:eastAsia="zh-CN" w:bidi="ar-SA"/>
              </w:rPr>
              <w:t>1500000.00元</w:t>
            </w:r>
            <w:r>
              <w:rPr>
                <w:rFonts w:hint="eastAsia"/>
                <w:lang w:val="en-US" w:eastAsia="zh-CN"/>
              </w:rPr>
              <w:t>；</w:t>
            </w:r>
          </w:p>
          <w:p>
            <w:pPr>
              <w:pStyle w:val="29"/>
              <w:spacing w:line="360" w:lineRule="auto"/>
              <w:jc w:val="left"/>
              <w:rPr>
                <w:rFonts w:hint="eastAsia"/>
                <w:lang w:eastAsia="zh-CN"/>
              </w:rPr>
            </w:pPr>
            <w:r>
              <w:rPr>
                <w:rFonts w:hint="eastAsia"/>
                <w:lang w:val="en-US" w:eastAsia="zh-CN"/>
              </w:rPr>
              <w:t>合同包2</w:t>
            </w:r>
            <w:r>
              <w:rPr>
                <w:rFonts w:hint="eastAsia"/>
                <w:lang w:eastAsia="zh-CN"/>
              </w:rPr>
              <w:t>（</w:t>
            </w:r>
            <w:r>
              <w:rPr>
                <w:rFonts w:hint="eastAsia"/>
              </w:rPr>
              <w:t>面粉</w:t>
            </w:r>
            <w:r>
              <w:rPr>
                <w:rFonts w:hint="eastAsia"/>
                <w:lang w:eastAsia="zh-CN"/>
              </w:rPr>
              <w:t>）：650000.00元；</w:t>
            </w:r>
          </w:p>
          <w:p>
            <w:pPr>
              <w:pStyle w:val="29"/>
              <w:spacing w:line="360" w:lineRule="auto"/>
              <w:jc w:val="left"/>
              <w:rPr>
                <w:rFonts w:hint="default" w:eastAsia="宋体"/>
                <w:lang w:val="en-US" w:eastAsia="zh-CN"/>
              </w:rPr>
            </w:pPr>
            <w:r>
              <w:rPr>
                <w:rFonts w:hint="eastAsia"/>
                <w:lang w:val="en-US" w:eastAsia="zh-CN"/>
              </w:rPr>
              <w:t>合同包3</w:t>
            </w:r>
            <w:r>
              <w:rPr>
                <w:rFonts w:hint="eastAsia"/>
                <w:lang w:eastAsia="zh-CN"/>
              </w:rPr>
              <w:t>（</w:t>
            </w:r>
            <w:r>
              <w:rPr>
                <w:rFonts w:hint="eastAsia"/>
              </w:rPr>
              <w:t>食用油</w:t>
            </w:r>
            <w:r>
              <w:rPr>
                <w:rFonts w:hint="eastAsia"/>
                <w:lang w:eastAsia="zh-CN"/>
              </w:rPr>
              <w:t>）</w:t>
            </w:r>
            <w:r>
              <w:rPr>
                <w:rFonts w:hint="eastAsia"/>
              </w:rPr>
              <w:t>：</w:t>
            </w:r>
            <w:r>
              <w:rPr>
                <w:rFonts w:hint="eastAsia"/>
                <w:lang w:eastAsia="zh-CN"/>
              </w:rPr>
              <w:t>1704000.00元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0" w:hRule="atLeast"/>
          <w:jc w:val="center"/>
        </w:trPr>
        <w:tc>
          <w:tcPr>
            <w:tcW w:w="840" w:type="dxa"/>
            <w:vAlign w:val="center"/>
          </w:tcPr>
          <w:p>
            <w:pPr>
              <w:pStyle w:val="29"/>
              <w:spacing w:line="360" w:lineRule="auto"/>
            </w:pPr>
            <w:r>
              <w:rPr>
                <w:rFonts w:hint="eastAsia"/>
              </w:rPr>
              <w:t>8</w:t>
            </w:r>
          </w:p>
        </w:tc>
        <w:tc>
          <w:tcPr>
            <w:tcW w:w="1619" w:type="dxa"/>
            <w:vAlign w:val="center"/>
          </w:tcPr>
          <w:p>
            <w:pPr>
              <w:pStyle w:val="29"/>
              <w:spacing w:line="360" w:lineRule="auto"/>
              <w:jc w:val="center"/>
            </w:pPr>
            <w:r>
              <w:rPr>
                <w:rFonts w:hint="eastAsia"/>
              </w:rPr>
              <w:t>采购内容</w:t>
            </w:r>
          </w:p>
        </w:tc>
        <w:tc>
          <w:tcPr>
            <w:tcW w:w="6884" w:type="dxa"/>
            <w:vAlign w:val="center"/>
          </w:tcPr>
          <w:p>
            <w:pPr>
              <w:pStyle w:val="29"/>
              <w:spacing w:line="360" w:lineRule="auto"/>
              <w:jc w:val="left"/>
            </w:pPr>
            <w:r>
              <w:rPr>
                <w:rFonts w:hint="eastAsia"/>
                <w:lang w:eastAsia="zh-CN"/>
              </w:rPr>
              <w:t>西安科技大学食堂米面油采购项目</w:t>
            </w:r>
            <w:r>
              <w:rPr>
                <w:rFonts w:hint="eastAsia"/>
              </w:rPr>
              <w:t>第四章</w:t>
            </w:r>
            <w:r>
              <w:rPr>
                <w:rFonts w:hint="eastAsia"/>
                <w:lang w:eastAsia="zh-CN"/>
              </w:rPr>
              <w:t>“</w:t>
            </w:r>
            <w:r>
              <w:rPr>
                <w:rFonts w:hint="eastAsia"/>
              </w:rPr>
              <w:t>采购内容及要求</w:t>
            </w:r>
            <w:r>
              <w:rPr>
                <w:rFonts w:hint="eastAsia"/>
                <w:lang w:eastAsia="zh-CN"/>
              </w:rPr>
              <w:t>”</w:t>
            </w:r>
            <w:r>
              <w:rPr>
                <w:rFonts w:hint="eastAsi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0" w:hRule="atLeast"/>
          <w:jc w:val="center"/>
        </w:trPr>
        <w:tc>
          <w:tcPr>
            <w:tcW w:w="840" w:type="dxa"/>
            <w:vAlign w:val="center"/>
          </w:tcPr>
          <w:p>
            <w:pPr>
              <w:pStyle w:val="29"/>
              <w:spacing w:line="360" w:lineRule="auto"/>
              <w:rPr>
                <w:rFonts w:hint="eastAsia" w:eastAsia="宋体"/>
                <w:lang w:val="en-US" w:eastAsia="zh-CN"/>
              </w:rPr>
            </w:pPr>
            <w:r>
              <w:rPr>
                <w:rFonts w:hint="eastAsia"/>
                <w:lang w:val="en-US" w:eastAsia="zh-CN"/>
              </w:rPr>
              <w:t>9</w:t>
            </w:r>
          </w:p>
        </w:tc>
        <w:tc>
          <w:tcPr>
            <w:tcW w:w="1619" w:type="dxa"/>
            <w:vAlign w:val="center"/>
          </w:tcPr>
          <w:p>
            <w:pPr>
              <w:pStyle w:val="29"/>
              <w:spacing w:line="360" w:lineRule="auto"/>
              <w:jc w:val="center"/>
              <w:rPr>
                <w:rFonts w:hint="eastAsia" w:eastAsia="宋体"/>
                <w:color w:val="auto"/>
                <w:lang w:val="en-US" w:eastAsia="zh-CN"/>
              </w:rPr>
            </w:pPr>
            <w:r>
              <w:rPr>
                <w:rFonts w:hint="eastAsia"/>
                <w:color w:val="auto"/>
                <w:lang w:val="en-US" w:eastAsia="zh-CN"/>
              </w:rPr>
              <w:t>供货期</w:t>
            </w:r>
          </w:p>
        </w:tc>
        <w:tc>
          <w:tcPr>
            <w:tcW w:w="6884" w:type="dxa"/>
            <w:vAlign w:val="center"/>
          </w:tcPr>
          <w:p>
            <w:pPr>
              <w:pStyle w:val="29"/>
              <w:spacing w:line="360" w:lineRule="auto"/>
              <w:jc w:val="left"/>
              <w:rPr>
                <w:rFonts w:hint="default"/>
                <w:color w:val="auto"/>
                <w:lang w:val="en-US" w:eastAsia="zh-CN"/>
              </w:rPr>
            </w:pPr>
            <w:r>
              <w:rPr>
                <w:rFonts w:hint="eastAsia"/>
                <w:color w:val="auto"/>
                <w:lang w:val="en-US" w:eastAsia="zh-CN"/>
              </w:rPr>
              <w:t>一年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4" w:hRule="atLeast"/>
          <w:jc w:val="center"/>
        </w:trPr>
        <w:tc>
          <w:tcPr>
            <w:tcW w:w="840" w:type="dxa"/>
            <w:vAlign w:val="center"/>
          </w:tcPr>
          <w:p>
            <w:pPr>
              <w:pStyle w:val="29"/>
              <w:spacing w:line="360" w:lineRule="auto"/>
              <w:rPr>
                <w:rFonts w:hint="default"/>
                <w:color w:val="auto"/>
                <w:lang w:val="en-US" w:eastAsia="zh-CN"/>
              </w:rPr>
            </w:pPr>
            <w:r>
              <w:rPr>
                <w:rFonts w:hint="eastAsia"/>
                <w:color w:val="auto"/>
                <w:lang w:val="en-US" w:eastAsia="zh-CN"/>
              </w:rPr>
              <w:t>10</w:t>
            </w:r>
          </w:p>
        </w:tc>
        <w:tc>
          <w:tcPr>
            <w:tcW w:w="1619" w:type="dxa"/>
            <w:vAlign w:val="center"/>
          </w:tcPr>
          <w:p>
            <w:pPr>
              <w:pStyle w:val="29"/>
              <w:spacing w:line="360" w:lineRule="auto"/>
              <w:jc w:val="center"/>
              <w:rPr>
                <w:rFonts w:hint="eastAsia" w:ascii="宋体" w:hAnsi="宋体" w:eastAsia="宋体" w:cs="宋体"/>
                <w:color w:val="auto"/>
                <w:lang w:val="en-US" w:eastAsia="zh-CN"/>
              </w:rPr>
            </w:pPr>
            <w:r>
              <w:rPr>
                <w:rFonts w:hint="eastAsia" w:cs="宋体"/>
                <w:color w:val="auto"/>
                <w:lang w:val="en-US" w:eastAsia="zh-CN"/>
              </w:rPr>
              <w:t>交付期</w:t>
            </w:r>
          </w:p>
        </w:tc>
        <w:tc>
          <w:tcPr>
            <w:tcW w:w="6884" w:type="dxa"/>
            <w:vAlign w:val="center"/>
          </w:tcPr>
          <w:p>
            <w:pPr>
              <w:pStyle w:val="29"/>
              <w:spacing w:line="360" w:lineRule="auto"/>
              <w:jc w:val="left"/>
              <w:rPr>
                <w:rFonts w:hint="eastAsia" w:ascii="宋体" w:hAnsi="宋体" w:eastAsia="宋体" w:cs="宋体"/>
                <w:color w:val="auto"/>
                <w:lang w:eastAsia="zh-CN"/>
              </w:rPr>
            </w:pPr>
            <w:r>
              <w:rPr>
                <w:rFonts w:hint="eastAsia" w:cs="宋体"/>
                <w:color w:val="auto"/>
                <w:lang w:eastAsia="zh-CN"/>
              </w:rPr>
              <w:t>采购人提前两天向供应商申报供货计划，供应商必须在规定时间内送达</w:t>
            </w:r>
            <w:r>
              <w:rPr>
                <w:rFonts w:hint="eastAsia" w:ascii="宋体" w:hAnsi="宋体" w:eastAsia="宋体" w:cs="宋体"/>
                <w:color w:val="auto"/>
                <w:lang w:eastAsia="zh-CN"/>
              </w:rPr>
              <w:t>。</w:t>
            </w:r>
            <w:r>
              <w:rPr>
                <w:rFonts w:hint="eastAsia"/>
                <w:color w:val="auto"/>
              </w:rPr>
              <w:t>供货商负责送货装卸，费用自理。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4" w:hRule="atLeast"/>
          <w:jc w:val="center"/>
        </w:trPr>
        <w:tc>
          <w:tcPr>
            <w:tcW w:w="840" w:type="dxa"/>
            <w:vAlign w:val="center"/>
          </w:tcPr>
          <w:p>
            <w:pPr>
              <w:pStyle w:val="29"/>
              <w:spacing w:line="360" w:lineRule="auto"/>
              <w:rPr>
                <w:rFonts w:hint="default" w:eastAsia="宋体"/>
                <w:color w:val="auto"/>
                <w:lang w:val="en-US" w:eastAsia="zh-CN"/>
              </w:rPr>
            </w:pPr>
            <w:r>
              <w:rPr>
                <w:rFonts w:hint="eastAsia"/>
                <w:color w:val="auto"/>
                <w:lang w:val="en-US" w:eastAsia="zh-CN"/>
              </w:rPr>
              <w:t>11</w:t>
            </w:r>
          </w:p>
        </w:tc>
        <w:tc>
          <w:tcPr>
            <w:tcW w:w="1619" w:type="dxa"/>
            <w:vAlign w:val="center"/>
          </w:tcPr>
          <w:p>
            <w:pPr>
              <w:pStyle w:val="29"/>
              <w:spacing w:line="360" w:lineRule="auto"/>
              <w:jc w:val="center"/>
              <w:rPr>
                <w:rFonts w:hint="default" w:eastAsia="宋体"/>
                <w:color w:val="auto"/>
                <w:lang w:val="en-US" w:eastAsia="zh-CN"/>
              </w:rPr>
            </w:pPr>
            <w:r>
              <w:rPr>
                <w:rFonts w:hint="eastAsia"/>
                <w:color w:val="auto"/>
                <w:lang w:val="en-US" w:eastAsia="zh-CN"/>
              </w:rPr>
              <w:t>交货具体地点</w:t>
            </w:r>
          </w:p>
        </w:tc>
        <w:tc>
          <w:tcPr>
            <w:tcW w:w="6884" w:type="dxa"/>
            <w:vAlign w:val="center"/>
          </w:tcPr>
          <w:p>
            <w:pPr>
              <w:pStyle w:val="29"/>
              <w:spacing w:line="360" w:lineRule="auto"/>
              <w:jc w:val="left"/>
              <w:rPr>
                <w:rFonts w:hint="eastAsia"/>
                <w:color w:val="auto"/>
                <w:lang w:val="en-US" w:eastAsia="zh-CN"/>
              </w:rPr>
            </w:pPr>
            <w:r>
              <w:rPr>
                <w:rFonts w:hint="eastAsia"/>
                <w:color w:val="auto"/>
                <w:lang w:eastAsia="zh-CN"/>
              </w:rPr>
              <w:t>西安科技大学临潼校区骊山校园和秦汉校园及雁塔校区北院指定库房，并按照采购人要求在指定地点摆放整齐。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4" w:hRule="atLeast"/>
          <w:jc w:val="center"/>
        </w:trPr>
        <w:tc>
          <w:tcPr>
            <w:tcW w:w="840" w:type="dxa"/>
            <w:vAlign w:val="center"/>
          </w:tcPr>
          <w:p>
            <w:pPr>
              <w:pStyle w:val="29"/>
              <w:spacing w:line="360" w:lineRule="auto"/>
              <w:rPr>
                <w:rFonts w:hint="default"/>
                <w:color w:val="auto"/>
                <w:lang w:val="en-US" w:eastAsia="zh-CN"/>
              </w:rPr>
            </w:pPr>
            <w:r>
              <w:rPr>
                <w:rFonts w:hint="eastAsia"/>
                <w:color w:val="auto"/>
                <w:lang w:val="en-US" w:eastAsia="zh-CN"/>
              </w:rPr>
              <w:t>12</w:t>
            </w:r>
          </w:p>
        </w:tc>
        <w:tc>
          <w:tcPr>
            <w:tcW w:w="1619" w:type="dxa"/>
            <w:vAlign w:val="center"/>
          </w:tcPr>
          <w:p>
            <w:pPr>
              <w:pStyle w:val="29"/>
              <w:spacing w:line="360" w:lineRule="auto"/>
              <w:rPr>
                <w:rFonts w:hint="eastAsia" w:eastAsia="宋体"/>
                <w:color w:val="auto"/>
                <w:lang w:val="en-US" w:eastAsia="zh-CN"/>
              </w:rPr>
            </w:pPr>
            <w:r>
              <w:rPr>
                <w:rFonts w:hint="eastAsia"/>
                <w:color w:val="auto"/>
                <w:lang w:val="en-US" w:eastAsia="zh-CN"/>
              </w:rPr>
              <w:t>质保期</w:t>
            </w:r>
          </w:p>
        </w:tc>
        <w:tc>
          <w:tcPr>
            <w:tcW w:w="6884" w:type="dxa"/>
            <w:vAlign w:val="center"/>
          </w:tcPr>
          <w:p>
            <w:pPr>
              <w:pStyle w:val="29"/>
              <w:spacing w:line="360" w:lineRule="auto"/>
              <w:jc w:val="left"/>
              <w:rPr>
                <w:rFonts w:hint="eastAsia" w:ascii="宋体" w:hAnsi="宋体" w:eastAsia="宋体" w:cs="宋体"/>
                <w:color w:val="auto"/>
                <w:kern w:val="0"/>
                <w:sz w:val="24"/>
                <w:lang w:val="en-US" w:eastAsia="zh-CN" w:bidi="ar-SA"/>
              </w:rPr>
            </w:pPr>
            <w:r>
              <w:rPr>
                <w:rFonts w:hint="eastAsia" w:ascii="宋体" w:hAnsi="宋体" w:eastAsia="宋体" w:cs="宋体"/>
                <w:color w:val="auto"/>
                <w:kern w:val="0"/>
                <w:sz w:val="24"/>
                <w:lang w:val="en-US" w:eastAsia="zh-CN" w:bidi="ar-SA"/>
              </w:rPr>
              <w:t>合同包1（大米）：6个月</w:t>
            </w:r>
          </w:p>
          <w:p>
            <w:pPr>
              <w:pStyle w:val="29"/>
              <w:spacing w:line="360" w:lineRule="auto"/>
              <w:jc w:val="left"/>
              <w:rPr>
                <w:rFonts w:hint="eastAsia" w:ascii="宋体" w:hAnsi="宋体" w:eastAsia="宋体" w:cs="宋体"/>
                <w:color w:val="auto"/>
                <w:kern w:val="0"/>
                <w:sz w:val="24"/>
                <w:lang w:val="en-US" w:eastAsia="zh-CN" w:bidi="ar-SA"/>
              </w:rPr>
            </w:pPr>
            <w:r>
              <w:rPr>
                <w:rFonts w:hint="eastAsia" w:ascii="宋体" w:hAnsi="宋体" w:eastAsia="宋体" w:cs="宋体"/>
                <w:color w:val="auto"/>
                <w:kern w:val="0"/>
                <w:sz w:val="24"/>
                <w:lang w:val="en-US" w:eastAsia="zh-CN" w:bidi="ar-SA"/>
              </w:rPr>
              <w:t>合同包2（面粉）：6个月</w:t>
            </w:r>
          </w:p>
          <w:p>
            <w:pPr>
              <w:pStyle w:val="29"/>
              <w:spacing w:line="360" w:lineRule="auto"/>
              <w:jc w:val="left"/>
              <w:rPr>
                <w:rFonts w:hint="eastAsia" w:ascii="宋体" w:hAnsi="宋体" w:eastAsia="宋体" w:cs="宋体"/>
                <w:color w:val="auto"/>
                <w:kern w:val="0"/>
                <w:sz w:val="24"/>
                <w:lang w:val="en-US" w:eastAsia="zh-CN" w:bidi="ar-SA"/>
              </w:rPr>
            </w:pPr>
            <w:r>
              <w:rPr>
                <w:rFonts w:hint="eastAsia" w:ascii="宋体" w:hAnsi="宋体" w:eastAsia="宋体" w:cs="宋体"/>
                <w:color w:val="auto"/>
                <w:kern w:val="0"/>
                <w:sz w:val="24"/>
                <w:lang w:val="en-US" w:eastAsia="zh-CN" w:bidi="ar-SA"/>
              </w:rPr>
              <w:t>合同包3（食用油）：豆油18个月，菜油12个月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4" w:hRule="atLeast"/>
          <w:jc w:val="center"/>
        </w:trPr>
        <w:tc>
          <w:tcPr>
            <w:tcW w:w="840" w:type="dxa"/>
            <w:vAlign w:val="center"/>
          </w:tcPr>
          <w:p>
            <w:pPr>
              <w:pStyle w:val="29"/>
              <w:spacing w:line="360" w:lineRule="auto"/>
              <w:rPr>
                <w:rFonts w:hint="default"/>
                <w:color w:val="auto"/>
                <w:lang w:val="en-US" w:eastAsia="zh-CN"/>
              </w:rPr>
            </w:pPr>
            <w:r>
              <w:rPr>
                <w:rFonts w:hint="eastAsia"/>
                <w:color w:val="auto"/>
                <w:lang w:val="en-US" w:eastAsia="zh-CN"/>
              </w:rPr>
              <w:t>13</w:t>
            </w:r>
          </w:p>
        </w:tc>
        <w:tc>
          <w:tcPr>
            <w:tcW w:w="1619" w:type="dxa"/>
            <w:vAlign w:val="center"/>
          </w:tcPr>
          <w:p>
            <w:pPr>
              <w:pStyle w:val="29"/>
              <w:spacing w:line="360" w:lineRule="auto"/>
              <w:rPr>
                <w:rFonts w:hint="default"/>
                <w:color w:val="auto"/>
                <w:lang w:val="en-US" w:eastAsia="zh-CN"/>
              </w:rPr>
            </w:pPr>
            <w:r>
              <w:rPr>
                <w:rFonts w:hint="eastAsia"/>
                <w:color w:val="auto"/>
                <w:lang w:val="en-US" w:eastAsia="zh-CN"/>
              </w:rPr>
              <w:t>售后服务</w:t>
            </w:r>
          </w:p>
        </w:tc>
        <w:tc>
          <w:tcPr>
            <w:tcW w:w="6884" w:type="dxa"/>
            <w:vAlign w:val="center"/>
          </w:tcPr>
          <w:p>
            <w:pPr>
              <w:pStyle w:val="29"/>
              <w:spacing w:line="360" w:lineRule="auto"/>
              <w:jc w:val="left"/>
              <w:rPr>
                <w:rFonts w:hint="eastAsia" w:ascii="宋体" w:hAnsi="宋体" w:eastAsia="宋体" w:cs="宋体"/>
                <w:color w:val="auto"/>
                <w:kern w:val="0"/>
                <w:sz w:val="24"/>
                <w:lang w:val="en-US" w:eastAsia="zh-CN" w:bidi="ar-SA"/>
              </w:rPr>
            </w:pPr>
            <w:r>
              <w:rPr>
                <w:rFonts w:hint="eastAsia" w:ascii="宋体" w:hAnsi="宋体" w:eastAsia="宋体" w:cs="宋体"/>
                <w:color w:val="auto"/>
                <w:kern w:val="0"/>
                <w:sz w:val="24"/>
                <w:lang w:val="en-US" w:eastAsia="zh-CN" w:bidi="ar-SA"/>
              </w:rPr>
              <w:t>售后服务响应时间（质保期内）：即时响应（包括电话响应）；电话响应无法解决8小时内到达现场。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3" w:hRule="atLeast"/>
          <w:jc w:val="center"/>
        </w:trPr>
        <w:tc>
          <w:tcPr>
            <w:tcW w:w="840" w:type="dxa"/>
            <w:vAlign w:val="center"/>
          </w:tcPr>
          <w:p>
            <w:pPr>
              <w:pStyle w:val="29"/>
              <w:spacing w:line="360" w:lineRule="auto"/>
              <w:rPr>
                <w:rFonts w:hint="default" w:eastAsia="宋体"/>
                <w:lang w:val="en-US" w:eastAsia="zh-CN"/>
              </w:rPr>
            </w:pPr>
            <w:r>
              <w:rPr>
                <w:rFonts w:hint="eastAsia"/>
                <w:lang w:val="en-US" w:eastAsia="zh-CN"/>
              </w:rPr>
              <w:t>14</w:t>
            </w:r>
          </w:p>
        </w:tc>
        <w:tc>
          <w:tcPr>
            <w:tcW w:w="1619" w:type="dxa"/>
            <w:vAlign w:val="center"/>
          </w:tcPr>
          <w:p>
            <w:pPr>
              <w:pStyle w:val="29"/>
              <w:spacing w:line="360" w:lineRule="auto"/>
              <w:rPr>
                <w:color w:val="auto"/>
              </w:rPr>
            </w:pPr>
            <w:r>
              <w:rPr>
                <w:rFonts w:hint="eastAsia"/>
                <w:color w:val="auto"/>
              </w:rPr>
              <w:t>付款方式</w:t>
            </w:r>
          </w:p>
        </w:tc>
        <w:tc>
          <w:tcPr>
            <w:tcW w:w="6884" w:type="dxa"/>
            <w:vAlign w:val="center"/>
          </w:tcPr>
          <w:p>
            <w:pPr>
              <w:pStyle w:val="12"/>
              <w:spacing w:line="360" w:lineRule="auto"/>
              <w:rPr>
                <w:rFonts w:hint="eastAsia" w:ascii="宋体" w:hAnsi="宋体" w:eastAsia="宋体" w:cs="宋体"/>
                <w:color w:val="auto"/>
                <w:kern w:val="0"/>
                <w:sz w:val="24"/>
                <w:lang w:val="en-US" w:eastAsia="zh-CN" w:bidi="ar-SA"/>
              </w:rPr>
            </w:pPr>
            <w:r>
              <w:rPr>
                <w:rFonts w:hint="eastAsia"/>
                <w:color w:val="auto"/>
              </w:rPr>
              <w:t>1</w:t>
            </w:r>
            <w:r>
              <w:rPr>
                <w:rFonts w:hint="eastAsia" w:ascii="宋体" w:hAnsi="宋体" w:eastAsia="宋体" w:cs="宋体"/>
                <w:color w:val="auto"/>
                <w:kern w:val="0"/>
                <w:sz w:val="24"/>
                <w:lang w:val="en-US" w:eastAsia="zh-CN" w:bidi="ar-SA"/>
              </w:rPr>
              <w:t>.结算单位：采购人结算，在付款前必须开具全额增值税发票给采购人。</w:t>
            </w:r>
          </w:p>
          <w:p>
            <w:pPr>
              <w:pStyle w:val="12"/>
              <w:spacing w:line="360" w:lineRule="auto"/>
              <w:rPr>
                <w:color w:val="auto"/>
              </w:rPr>
            </w:pPr>
            <w:r>
              <w:rPr>
                <w:rFonts w:hint="eastAsia" w:ascii="宋体" w:hAnsi="宋体" w:eastAsia="宋体" w:cs="宋体"/>
                <w:color w:val="auto"/>
                <w:kern w:val="0"/>
                <w:sz w:val="24"/>
                <w:lang w:val="en-US" w:eastAsia="zh-CN" w:bidi="ar-SA"/>
              </w:rPr>
              <w:t>2.付款方式：根据实际供货量和所提供发票（如甲方食堂委托经营，需向委托经营方单独开票结账）当月25日结账，次月10日之前转账付款。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840" w:type="dxa"/>
            <w:vAlign w:val="center"/>
          </w:tcPr>
          <w:p>
            <w:pPr>
              <w:pStyle w:val="29"/>
              <w:spacing w:line="360" w:lineRule="auto"/>
              <w:rPr>
                <w:rFonts w:hint="default" w:eastAsia="宋体"/>
                <w:color w:val="auto"/>
                <w:lang w:val="en-US" w:eastAsia="zh-CN"/>
              </w:rPr>
            </w:pPr>
            <w:r>
              <w:rPr>
                <w:rFonts w:hint="eastAsia"/>
                <w:color w:val="auto"/>
                <w:lang w:val="en-US" w:eastAsia="zh-CN"/>
              </w:rPr>
              <w:t>15</w:t>
            </w:r>
          </w:p>
        </w:tc>
        <w:tc>
          <w:tcPr>
            <w:tcW w:w="1619" w:type="dxa"/>
            <w:vAlign w:val="center"/>
          </w:tcPr>
          <w:p>
            <w:pPr>
              <w:pStyle w:val="29"/>
              <w:spacing w:line="360" w:lineRule="auto"/>
              <w:rPr>
                <w:rFonts w:hint="eastAsia"/>
                <w:color w:val="auto"/>
              </w:rPr>
            </w:pPr>
            <w:r>
              <w:rPr>
                <w:rFonts w:hint="eastAsia"/>
                <w:color w:val="auto"/>
              </w:rPr>
              <w:t>履约保证金</w:t>
            </w:r>
          </w:p>
        </w:tc>
        <w:tc>
          <w:tcPr>
            <w:tcW w:w="6884" w:type="dxa"/>
            <w:vAlign w:val="center"/>
          </w:tcPr>
          <w:p>
            <w:pPr>
              <w:spacing w:line="360" w:lineRule="auto"/>
              <w:rPr>
                <w:rFonts w:hint="eastAsia" w:ascii="宋体" w:hAnsi="宋体" w:eastAsia="宋体" w:cs="宋体"/>
                <w:color w:val="auto"/>
                <w:sz w:val="24"/>
                <w:szCs w:val="22"/>
                <w:lang w:val="en-US" w:eastAsia="zh-CN" w:bidi="ar-SA"/>
              </w:rPr>
            </w:pPr>
            <w:r>
              <w:rPr>
                <w:rFonts w:hint="eastAsia" w:hAnsi="宋体" w:cs="宋体"/>
                <w:color w:val="auto"/>
                <w:sz w:val="24"/>
                <w:szCs w:val="24"/>
                <w:lang w:eastAsia="zh-CN"/>
              </w:rPr>
              <w:t>供应商成交后凭成交通知书向采购人缴纳成交金额的5%作为履约保证金，合同期满2个月后无质量问题一次性无息退还。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840" w:type="dxa"/>
            <w:vAlign w:val="center"/>
          </w:tcPr>
          <w:p>
            <w:pPr>
              <w:pStyle w:val="29"/>
              <w:spacing w:line="360" w:lineRule="auto"/>
              <w:rPr>
                <w:rFonts w:hint="default"/>
                <w:color w:val="auto"/>
                <w:lang w:val="en-US" w:eastAsia="zh-CN"/>
              </w:rPr>
            </w:pPr>
            <w:r>
              <w:rPr>
                <w:rFonts w:hint="eastAsia"/>
                <w:color w:val="auto"/>
                <w:lang w:val="en-US" w:eastAsia="zh-CN"/>
              </w:rPr>
              <w:t>16</w:t>
            </w:r>
          </w:p>
        </w:tc>
        <w:tc>
          <w:tcPr>
            <w:tcW w:w="1619" w:type="dxa"/>
            <w:vAlign w:val="center"/>
          </w:tcPr>
          <w:p>
            <w:pPr>
              <w:pStyle w:val="29"/>
              <w:spacing w:line="360" w:lineRule="auto"/>
              <w:rPr>
                <w:rFonts w:hint="eastAsia" w:eastAsia="宋体"/>
                <w:color w:val="auto"/>
                <w:lang w:val="en-US" w:eastAsia="zh-CN"/>
              </w:rPr>
            </w:pPr>
            <w:r>
              <w:rPr>
                <w:rFonts w:hint="eastAsia"/>
                <w:color w:val="auto"/>
                <w:lang w:val="en-US" w:eastAsia="zh-CN"/>
              </w:rPr>
              <w:t>其他要求</w:t>
            </w:r>
          </w:p>
        </w:tc>
        <w:tc>
          <w:tcPr>
            <w:tcW w:w="6884" w:type="dxa"/>
            <w:vAlign w:val="center"/>
          </w:tcPr>
          <w:p>
            <w:pPr>
              <w:spacing w:line="360" w:lineRule="auto"/>
              <w:rPr>
                <w:rFonts w:hint="eastAsia" w:hAnsi="宋体" w:cs="宋体"/>
                <w:color w:val="auto"/>
                <w:sz w:val="24"/>
                <w:szCs w:val="24"/>
                <w:lang w:eastAsia="zh-CN"/>
              </w:rPr>
            </w:pPr>
            <w:r>
              <w:rPr>
                <w:rFonts w:hint="eastAsia" w:hAnsi="宋体" w:cs="宋体"/>
                <w:color w:val="auto"/>
                <w:sz w:val="24"/>
                <w:szCs w:val="24"/>
                <w:lang w:eastAsia="zh-CN"/>
              </w:rPr>
              <w:t>1.中标人不得以任何形式和理由转合同包中标项目。</w:t>
            </w:r>
          </w:p>
          <w:p>
            <w:pPr>
              <w:spacing w:line="360" w:lineRule="auto"/>
              <w:rPr>
                <w:rFonts w:hint="eastAsia" w:hAnsi="宋体" w:cs="宋体"/>
                <w:color w:val="auto"/>
                <w:sz w:val="24"/>
                <w:szCs w:val="24"/>
                <w:lang w:eastAsia="zh-CN"/>
              </w:rPr>
            </w:pPr>
            <w:r>
              <w:rPr>
                <w:rFonts w:hint="eastAsia" w:hAnsi="宋体" w:cs="宋体"/>
                <w:color w:val="auto"/>
                <w:sz w:val="24"/>
                <w:szCs w:val="24"/>
                <w:lang w:eastAsia="zh-CN"/>
              </w:rPr>
              <w:t>2.中标人在10日内签订供货合同。无故不得拖延或终止合同，否则招标方有权取消其中标资格。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2" w:hRule="atLeast"/>
          <w:jc w:val="center"/>
        </w:trPr>
        <w:tc>
          <w:tcPr>
            <w:tcW w:w="840" w:type="dxa"/>
            <w:vAlign w:val="center"/>
          </w:tcPr>
          <w:p>
            <w:pPr>
              <w:pStyle w:val="29"/>
              <w:spacing w:line="360" w:lineRule="auto"/>
              <w:rPr>
                <w:rFonts w:hint="default" w:eastAsia="宋体"/>
                <w:lang w:val="en-US" w:eastAsia="zh-CN"/>
              </w:rPr>
            </w:pPr>
            <w:r>
              <w:rPr>
                <w:rFonts w:hint="eastAsia"/>
                <w:lang w:val="en-US" w:eastAsia="zh-CN"/>
              </w:rPr>
              <w:t>17</w:t>
            </w:r>
          </w:p>
        </w:tc>
        <w:tc>
          <w:tcPr>
            <w:tcW w:w="1619" w:type="dxa"/>
            <w:vAlign w:val="center"/>
          </w:tcPr>
          <w:p>
            <w:pPr>
              <w:pStyle w:val="29"/>
              <w:spacing w:line="360" w:lineRule="auto"/>
            </w:pPr>
            <w:r>
              <w:rPr>
                <w:rFonts w:hint="eastAsia"/>
              </w:rPr>
              <w:t>是否允许备选方案</w:t>
            </w:r>
          </w:p>
        </w:tc>
        <w:tc>
          <w:tcPr>
            <w:tcW w:w="6884" w:type="dxa"/>
            <w:vAlign w:val="center"/>
          </w:tcPr>
          <w:p>
            <w:pPr>
              <w:pStyle w:val="29"/>
              <w:spacing w:line="360" w:lineRule="auto"/>
              <w:jc w:val="left"/>
            </w:pPr>
            <w:r>
              <w:rPr>
                <w:rFonts w:hint="eastAsia"/>
              </w:rPr>
              <w:t>不允许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0" w:hRule="atLeast"/>
          <w:jc w:val="center"/>
        </w:trPr>
        <w:tc>
          <w:tcPr>
            <w:tcW w:w="840" w:type="dxa"/>
            <w:vAlign w:val="center"/>
          </w:tcPr>
          <w:p>
            <w:pPr>
              <w:pStyle w:val="29"/>
              <w:spacing w:line="360" w:lineRule="auto"/>
              <w:rPr>
                <w:rFonts w:hint="default" w:eastAsia="宋体"/>
                <w:lang w:val="en-US" w:eastAsia="zh-CN"/>
              </w:rPr>
            </w:pPr>
            <w:r>
              <w:rPr>
                <w:rFonts w:hint="eastAsia"/>
                <w:lang w:val="en-US" w:eastAsia="zh-CN"/>
              </w:rPr>
              <w:t>18</w:t>
            </w:r>
          </w:p>
        </w:tc>
        <w:tc>
          <w:tcPr>
            <w:tcW w:w="1619" w:type="dxa"/>
            <w:vAlign w:val="center"/>
          </w:tcPr>
          <w:p>
            <w:pPr>
              <w:pStyle w:val="29"/>
              <w:spacing w:line="360" w:lineRule="auto"/>
            </w:pPr>
            <w:r>
              <w:rPr>
                <w:rFonts w:hint="eastAsia"/>
              </w:rPr>
              <w:t>本次投标的最小单元</w:t>
            </w:r>
          </w:p>
        </w:tc>
        <w:tc>
          <w:tcPr>
            <w:tcW w:w="6884" w:type="dxa"/>
          </w:tcPr>
          <w:p>
            <w:pPr>
              <w:pStyle w:val="29"/>
              <w:spacing w:line="360" w:lineRule="auto"/>
              <w:jc w:val="left"/>
            </w:pPr>
            <w:r>
              <w:rPr>
                <w:rFonts w:hint="eastAsia"/>
                <w:lang w:eastAsia="zh-CN"/>
              </w:rPr>
              <w:t>本次投标的最小单元为“</w:t>
            </w:r>
            <w:r>
              <w:rPr>
                <w:rFonts w:hint="eastAsia"/>
                <w:color w:val="auto"/>
                <w:lang w:val="en-US" w:eastAsia="zh-CN"/>
              </w:rPr>
              <w:t>合同包</w:t>
            </w:r>
            <w:r>
              <w:rPr>
                <w:rFonts w:hint="eastAsia"/>
                <w:lang w:eastAsia="zh-CN"/>
              </w:rPr>
              <w:t>”</w:t>
            </w:r>
            <w:r>
              <w:rPr>
                <w:rFonts w:hint="eastAsia"/>
              </w:rPr>
              <w:t>。任何不完全的投标将按照无效投标处理。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550" w:hRule="atLeast"/>
          <w:jc w:val="center"/>
        </w:trPr>
        <w:tc>
          <w:tcPr>
            <w:tcW w:w="840" w:type="dxa"/>
            <w:vAlign w:val="center"/>
          </w:tcPr>
          <w:p>
            <w:pPr>
              <w:pStyle w:val="29"/>
              <w:spacing w:line="360" w:lineRule="auto"/>
              <w:rPr>
                <w:rFonts w:hint="default" w:eastAsia="宋体"/>
                <w:lang w:val="en-US" w:eastAsia="zh-CN"/>
              </w:rPr>
            </w:pPr>
            <w:r>
              <w:rPr>
                <w:rFonts w:hint="eastAsia"/>
                <w:lang w:val="en-US" w:eastAsia="zh-CN"/>
              </w:rPr>
              <w:t>19</w:t>
            </w:r>
          </w:p>
        </w:tc>
        <w:tc>
          <w:tcPr>
            <w:tcW w:w="1619" w:type="dxa"/>
            <w:vAlign w:val="center"/>
          </w:tcPr>
          <w:p>
            <w:pPr>
              <w:pStyle w:val="29"/>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投标报价</w:t>
            </w:r>
          </w:p>
        </w:tc>
        <w:tc>
          <w:tcPr>
            <w:tcW w:w="6884" w:type="dxa"/>
          </w:tcPr>
          <w:p>
            <w:pPr>
              <w:pStyle w:val="29"/>
              <w:spacing w:line="360" w:lineRule="auto"/>
              <w:jc w:val="left"/>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投标报价应以人民币为结算货币，单位为元，投标报价</w:t>
            </w:r>
            <w:r>
              <w:rPr>
                <w:rFonts w:hint="eastAsia"/>
                <w:color w:val="000000" w:themeColor="text1"/>
                <w:lang w:eastAsia="zh-CN"/>
                <w14:textFill>
                  <w14:solidFill>
                    <w14:schemeClr w14:val="tx1"/>
                  </w14:solidFill>
                </w14:textFill>
              </w:rPr>
              <w:t>合同包</w:t>
            </w:r>
            <w:r>
              <w:rPr>
                <w:rFonts w:hint="eastAsia"/>
                <w:color w:val="000000" w:themeColor="text1"/>
                <w14:textFill>
                  <w14:solidFill>
                    <w14:schemeClr w14:val="tx1"/>
                  </w14:solidFill>
                </w14:textFill>
              </w:rPr>
              <w:t>含货款、运费、装卸费、税费等所有费用之和，</w:t>
            </w:r>
            <w:r>
              <w:rPr>
                <w:rFonts w:hint="eastAsia"/>
                <w:color w:val="000000" w:themeColor="text1"/>
                <w:lang w:eastAsia="zh-CN"/>
                <w14:textFill>
                  <w14:solidFill>
                    <w14:schemeClr w14:val="tx1"/>
                  </w14:solidFill>
                </w14:textFill>
              </w:rPr>
              <w:t>并按采购人要求卸到指定库房位置堆放整齐。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840" w:type="dxa"/>
            <w:vAlign w:val="center"/>
          </w:tcPr>
          <w:p>
            <w:pPr>
              <w:pStyle w:val="29"/>
              <w:spacing w:line="360" w:lineRule="auto"/>
              <w:rPr>
                <w:rFonts w:hint="default" w:eastAsia="宋体"/>
                <w:lang w:val="en-US" w:eastAsia="zh-CN"/>
              </w:rPr>
            </w:pPr>
            <w:r>
              <w:rPr>
                <w:rFonts w:hint="eastAsia"/>
                <w:lang w:val="en-US" w:eastAsia="zh-CN"/>
              </w:rPr>
              <w:t>20</w:t>
            </w:r>
          </w:p>
        </w:tc>
        <w:tc>
          <w:tcPr>
            <w:tcW w:w="1619" w:type="dxa"/>
            <w:vAlign w:val="center"/>
          </w:tcPr>
          <w:p>
            <w:pPr>
              <w:pStyle w:val="29"/>
              <w:spacing w:line="360" w:lineRule="auto"/>
            </w:pPr>
          </w:p>
          <w:p>
            <w:pPr>
              <w:pStyle w:val="29"/>
              <w:spacing w:line="360" w:lineRule="auto"/>
            </w:pPr>
            <w:r>
              <w:rPr>
                <w:rFonts w:hint="eastAsia"/>
              </w:rPr>
              <w:t>投标人资格证明文件</w:t>
            </w:r>
          </w:p>
        </w:tc>
        <w:tc>
          <w:tcPr>
            <w:tcW w:w="6884" w:type="dxa"/>
          </w:tcPr>
          <w:p>
            <w:pPr>
              <w:pStyle w:val="29"/>
              <w:spacing w:line="360" w:lineRule="auto"/>
              <w:jc w:val="left"/>
              <w:rPr>
                <w:rFonts w:hint="eastAsia" w:ascii="宋体" w:hAnsi="宋体" w:eastAsia="宋体" w:cs="宋体"/>
                <w:b/>
                <w:bCs/>
                <w:i w:val="0"/>
                <w:caps w:val="0"/>
                <w:color w:val="333333"/>
                <w:spacing w:val="0"/>
                <w:sz w:val="24"/>
                <w:szCs w:val="24"/>
                <w:shd w:val="clear" w:fill="FFFFFF"/>
                <w:vertAlign w:val="baseline"/>
              </w:rPr>
            </w:pPr>
            <w:r>
              <w:rPr>
                <w:rFonts w:hint="eastAsia" w:ascii="宋体" w:hAnsi="宋体"/>
                <w:b/>
                <w:bCs/>
                <w:sz w:val="24"/>
              </w:rPr>
              <w:t>适用</w:t>
            </w:r>
            <w:r>
              <w:rPr>
                <w:rFonts w:hint="eastAsia" w:cs="宋体"/>
                <w:b/>
                <w:bCs/>
                <w:i w:val="0"/>
                <w:caps w:val="0"/>
                <w:color w:val="333333"/>
                <w:spacing w:val="0"/>
                <w:sz w:val="24"/>
                <w:szCs w:val="24"/>
                <w:shd w:val="clear" w:fill="FFFFFF"/>
                <w:vertAlign w:val="baseline"/>
                <w:lang w:val="en-US" w:eastAsia="zh-CN"/>
              </w:rPr>
              <w:t>合同包1</w:t>
            </w:r>
            <w:r>
              <w:rPr>
                <w:rFonts w:hint="eastAsia" w:ascii="宋体" w:hAnsi="宋体" w:eastAsia="宋体" w:cs="宋体"/>
                <w:b/>
                <w:bCs/>
                <w:i w:val="0"/>
                <w:caps w:val="0"/>
                <w:color w:val="333333"/>
                <w:spacing w:val="0"/>
                <w:sz w:val="24"/>
                <w:szCs w:val="24"/>
                <w:shd w:val="clear" w:fill="FFFFFF"/>
                <w:vertAlign w:val="baseline"/>
                <w:lang w:eastAsia="zh-CN"/>
              </w:rPr>
              <w:t>（</w:t>
            </w:r>
            <w:r>
              <w:rPr>
                <w:rFonts w:hint="eastAsia" w:ascii="宋体" w:hAnsi="宋体" w:eastAsia="宋体" w:cs="宋体"/>
                <w:b/>
                <w:bCs/>
                <w:i w:val="0"/>
                <w:caps w:val="0"/>
                <w:color w:val="333333"/>
                <w:spacing w:val="0"/>
                <w:sz w:val="24"/>
                <w:szCs w:val="24"/>
                <w:shd w:val="clear" w:fill="FFFFFF"/>
                <w:vertAlign w:val="baseline"/>
                <w:lang w:val="en-US" w:eastAsia="zh-CN"/>
              </w:rPr>
              <w:t>大米)；</w:t>
            </w:r>
            <w:r>
              <w:rPr>
                <w:rFonts w:hint="eastAsia" w:cs="宋体"/>
                <w:b/>
                <w:bCs/>
                <w:i w:val="0"/>
                <w:caps w:val="0"/>
                <w:color w:val="333333"/>
                <w:spacing w:val="0"/>
                <w:sz w:val="24"/>
                <w:szCs w:val="24"/>
                <w:shd w:val="clear" w:fill="FFFFFF"/>
                <w:vertAlign w:val="baseline"/>
                <w:lang w:val="en-US" w:eastAsia="zh-CN"/>
              </w:rPr>
              <w:t>合同包2</w:t>
            </w:r>
            <w:r>
              <w:rPr>
                <w:rFonts w:hint="eastAsia" w:ascii="宋体" w:hAnsi="宋体" w:eastAsia="宋体" w:cs="宋体"/>
                <w:b/>
                <w:bCs/>
                <w:i w:val="0"/>
                <w:caps w:val="0"/>
                <w:color w:val="333333"/>
                <w:spacing w:val="0"/>
                <w:sz w:val="24"/>
                <w:szCs w:val="24"/>
                <w:shd w:val="clear" w:fill="FFFFFF"/>
                <w:vertAlign w:val="baseline"/>
                <w:lang w:eastAsia="zh-CN"/>
              </w:rPr>
              <w:t>（</w:t>
            </w:r>
            <w:r>
              <w:rPr>
                <w:rFonts w:hint="eastAsia" w:ascii="宋体" w:hAnsi="宋体" w:eastAsia="宋体" w:cs="宋体"/>
                <w:b/>
                <w:bCs/>
                <w:i w:val="0"/>
                <w:caps w:val="0"/>
                <w:color w:val="333333"/>
                <w:spacing w:val="0"/>
                <w:sz w:val="24"/>
                <w:szCs w:val="24"/>
                <w:shd w:val="clear" w:fill="FFFFFF"/>
                <w:vertAlign w:val="baseline"/>
              </w:rPr>
              <w:t>面粉</w:t>
            </w:r>
            <w:r>
              <w:rPr>
                <w:rFonts w:hint="eastAsia" w:ascii="宋体" w:hAnsi="宋体" w:eastAsia="宋体" w:cs="宋体"/>
                <w:b/>
                <w:bCs/>
                <w:i w:val="0"/>
                <w:caps w:val="0"/>
                <w:color w:val="333333"/>
                <w:spacing w:val="0"/>
                <w:sz w:val="24"/>
                <w:szCs w:val="24"/>
                <w:shd w:val="clear" w:fill="FFFFFF"/>
                <w:vertAlign w:val="baseline"/>
                <w:lang w:eastAsia="zh-CN"/>
              </w:rPr>
              <w:t>）；</w:t>
            </w:r>
            <w:r>
              <w:rPr>
                <w:rFonts w:hint="eastAsia" w:cs="宋体"/>
                <w:b/>
                <w:bCs/>
                <w:i w:val="0"/>
                <w:caps w:val="0"/>
                <w:color w:val="333333"/>
                <w:spacing w:val="0"/>
                <w:sz w:val="24"/>
                <w:szCs w:val="24"/>
                <w:shd w:val="clear" w:fill="FFFFFF"/>
                <w:vertAlign w:val="baseline"/>
                <w:lang w:val="en-US" w:eastAsia="zh-CN"/>
              </w:rPr>
              <w:t>合同包3</w:t>
            </w:r>
            <w:r>
              <w:rPr>
                <w:rFonts w:hint="eastAsia" w:ascii="宋体" w:hAnsi="宋体" w:eastAsia="宋体" w:cs="宋体"/>
                <w:b/>
                <w:bCs/>
                <w:i w:val="0"/>
                <w:caps w:val="0"/>
                <w:color w:val="333333"/>
                <w:spacing w:val="0"/>
                <w:sz w:val="24"/>
                <w:szCs w:val="24"/>
                <w:shd w:val="clear" w:fill="FFFFFF"/>
                <w:vertAlign w:val="baseline"/>
                <w:lang w:eastAsia="zh-CN"/>
              </w:rPr>
              <w:t>（</w:t>
            </w:r>
            <w:r>
              <w:rPr>
                <w:rFonts w:hint="eastAsia" w:ascii="宋体" w:hAnsi="宋体" w:eastAsia="宋体" w:cs="宋体"/>
                <w:b/>
                <w:bCs/>
                <w:i w:val="0"/>
                <w:caps w:val="0"/>
                <w:color w:val="333333"/>
                <w:spacing w:val="0"/>
                <w:sz w:val="24"/>
                <w:szCs w:val="24"/>
                <w:shd w:val="clear" w:fill="FFFFFF"/>
                <w:vertAlign w:val="baseline"/>
              </w:rPr>
              <w:t>食用油</w:t>
            </w:r>
            <w:r>
              <w:rPr>
                <w:rFonts w:hint="eastAsia" w:ascii="宋体" w:hAnsi="宋体" w:eastAsia="宋体" w:cs="宋体"/>
                <w:b/>
                <w:bCs/>
                <w:i w:val="0"/>
                <w:caps w:val="0"/>
                <w:color w:val="333333"/>
                <w:spacing w:val="0"/>
                <w:sz w:val="24"/>
                <w:szCs w:val="24"/>
                <w:shd w:val="clear" w:fill="FFFFFF"/>
                <w:vertAlign w:val="baseline"/>
                <w:lang w:eastAsia="zh-CN"/>
              </w:rPr>
              <w:t>）</w:t>
            </w:r>
            <w:r>
              <w:rPr>
                <w:rFonts w:hint="eastAsia" w:ascii="宋体" w:hAnsi="宋体" w:eastAsia="宋体" w:cs="宋体"/>
                <w:b/>
                <w:bCs/>
                <w:i w:val="0"/>
                <w:caps w:val="0"/>
                <w:color w:val="333333"/>
                <w:spacing w:val="0"/>
                <w:sz w:val="24"/>
                <w:szCs w:val="24"/>
                <w:shd w:val="clear" w:fill="FFFFFF"/>
                <w:vertAlign w:val="baseline"/>
              </w:rPr>
              <w:t>：</w:t>
            </w:r>
          </w:p>
          <w:p>
            <w:pPr>
              <w:pStyle w:val="29"/>
              <w:spacing w:line="360" w:lineRule="auto"/>
              <w:jc w:val="left"/>
              <w:rPr>
                <w:rFonts w:hint="eastAsia"/>
                <w:b w:val="0"/>
                <w:bCs w:val="0"/>
                <w:color w:val="auto"/>
              </w:rPr>
            </w:pPr>
            <w:r>
              <w:rPr>
                <w:rFonts w:hint="eastAsia"/>
                <w:b/>
                <w:bCs/>
                <w:color w:val="auto"/>
              </w:rPr>
              <w:t>（1）基本资格条件：</w:t>
            </w:r>
            <w:r>
              <w:rPr>
                <w:rFonts w:hint="eastAsia"/>
                <w:b w:val="0"/>
                <w:bCs w:val="0"/>
                <w:color w:val="auto"/>
              </w:rPr>
              <w:t>符合《中华人民共和国政府采购法》第二十二条的规定，并提供以下资料；</w:t>
            </w:r>
          </w:p>
          <w:p>
            <w:pPr>
              <w:adjustRightInd w:val="0"/>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1）具有独立承担民事责任能力的法人、其他组织或自然人，提供合法有效的统一社会信用代码营业执照（事业单位提供法人证书，自然人提供身份证）；</w:t>
            </w:r>
          </w:p>
          <w:p>
            <w:pPr>
              <w:adjustRightInd w:val="0"/>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2）财务状况报告：</w:t>
            </w:r>
            <w:r>
              <w:rPr>
                <w:rFonts w:hint="eastAsia" w:ascii="宋体" w:hAnsi="宋体" w:cs="宋体"/>
                <w:color w:val="auto"/>
                <w:sz w:val="24"/>
                <w:szCs w:val="24"/>
                <w:highlight w:val="none"/>
                <w:lang w:eastAsia="zh-CN"/>
              </w:rPr>
              <w:t>法人提供经审计的2021或2022年度的财务报告</w:t>
            </w:r>
            <w:r>
              <w:rPr>
                <w:rFonts w:hint="eastAsia" w:ascii="宋体" w:hAnsi="宋体" w:eastAsia="宋体" w:cs="宋体"/>
                <w:color w:val="auto"/>
                <w:sz w:val="24"/>
                <w:szCs w:val="24"/>
                <w:highlight w:val="none"/>
                <w:lang w:eastAsia="zh-CN"/>
              </w:rPr>
              <w:t>（成立时间至递交响应文件截止时间不足一年的可提供成立后任意时段的资产负债表）或递交响应文件截止时间前六个月内银行出具的资信证明；其他组织和自然人提供银行出具的资信证明或财务报表；</w:t>
            </w:r>
          </w:p>
          <w:p>
            <w:pPr>
              <w:adjustRightInd w:val="0"/>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税收缴纳证明：法人提供递交响应文件截止时间前一年内至少一个月依法缴纳税收的相关凭据（时间以税款所属日期为准，税种须包含增值税或企业所得税，凭据应有税务机关或代收机关的公章或业务专用章）；其他组织和自然人提供缴纳税收的凭据；依法免税的供应商应提供相关文件证明；</w:t>
            </w:r>
          </w:p>
          <w:p>
            <w:pPr>
              <w:adjustRightInd w:val="0"/>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社会保障资金缴纳证明：提供递交响应文件截止时间前一年内至少一个月已缴纳的社会保障资金的凭据（社会保障资金缴存单据或社保机构开具的社会保险参保缴费情况证明）；依法不需要缴纳社会保障资金的供应商应提供相关文件证明；</w:t>
            </w:r>
          </w:p>
          <w:p>
            <w:pPr>
              <w:adjustRightInd w:val="0"/>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5）提供具有履行本合同所必需的设备和专业技术能力的说明及承诺；</w:t>
            </w:r>
          </w:p>
          <w:p>
            <w:pPr>
              <w:adjustRightInd w:val="0"/>
              <w:snapToGrid w:val="0"/>
              <w:spacing w:line="360" w:lineRule="auto"/>
              <w:rPr>
                <w:rFonts w:hint="eastAsia"/>
                <w:b w:val="0"/>
                <w:bCs w:val="0"/>
                <w:color w:val="auto"/>
              </w:rPr>
            </w:pPr>
            <w:r>
              <w:rPr>
                <w:rFonts w:hint="eastAsia" w:ascii="宋体" w:hAnsi="宋体" w:eastAsia="宋体" w:cs="宋体"/>
                <w:color w:val="auto"/>
                <w:sz w:val="24"/>
                <w:szCs w:val="24"/>
                <w:highlight w:val="none"/>
                <w:lang w:eastAsia="zh-CN"/>
              </w:rPr>
              <w:t>6）提供参加本次政府采购活动前三年内在经营活动中没有重大违法记录的书面声明；</w:t>
            </w:r>
          </w:p>
          <w:p>
            <w:pPr>
              <w:pStyle w:val="29"/>
              <w:spacing w:line="360" w:lineRule="auto"/>
              <w:jc w:val="left"/>
              <w:rPr>
                <w:rFonts w:hint="eastAsia"/>
                <w:b/>
                <w:bCs/>
                <w:color w:val="auto"/>
              </w:rPr>
            </w:pPr>
            <w:r>
              <w:rPr>
                <w:rFonts w:hint="eastAsia"/>
                <w:b/>
                <w:bCs/>
                <w:color w:val="auto"/>
              </w:rPr>
              <w:t>（2）特定资格条件：</w:t>
            </w:r>
          </w:p>
          <w:p>
            <w:pPr>
              <w:pStyle w:val="29"/>
              <w:spacing w:line="360" w:lineRule="auto"/>
              <w:jc w:val="left"/>
              <w:rPr>
                <w:rFonts w:hint="eastAsia" w:eastAsia="宋体"/>
                <w:b w:val="0"/>
                <w:bCs w:val="0"/>
                <w:color w:val="auto"/>
                <w:lang w:eastAsia="zh-CN"/>
              </w:rPr>
            </w:pPr>
            <w:r>
              <w:rPr>
                <w:rFonts w:hint="eastAsia"/>
                <w:b w:val="0"/>
                <w:bCs w:val="0"/>
                <w:color w:val="auto"/>
                <w:lang w:eastAsia="zh-CN"/>
              </w:rPr>
              <w:t>1）法定代表人授权书（附法定代表人、被授权人身份证复印件）、被授权人身份证（法定代表人直接参加投标，须提供法定代表人身份证明及身份证原件）及被授权人递交响应文件截止时间前一年内任意一个月的社会保障资金（养老保险或医疗保险）的缴纳证明；</w:t>
            </w:r>
          </w:p>
          <w:p>
            <w:pPr>
              <w:pStyle w:val="29"/>
              <w:spacing w:line="360" w:lineRule="auto"/>
              <w:jc w:val="left"/>
              <w:rPr>
                <w:rFonts w:hint="eastAsia"/>
                <w:b w:val="0"/>
                <w:bCs w:val="0"/>
                <w:color w:val="auto"/>
              </w:rPr>
            </w:pPr>
            <w:r>
              <w:rPr>
                <w:rFonts w:hint="eastAsia"/>
                <w:b w:val="0"/>
                <w:bCs w:val="0"/>
                <w:color w:val="auto"/>
              </w:rPr>
              <w:t>2）投标人为生产厂家的须提供食品生产许可证或全国工业产品生产许可证；投标人为代理商的须提供食品流通许可证或食品经营许可证及生产厂家的食品生产许可证或全国工业产品生产许可证；</w:t>
            </w:r>
          </w:p>
          <w:p>
            <w:pPr>
              <w:pStyle w:val="29"/>
              <w:spacing w:line="360" w:lineRule="auto"/>
              <w:jc w:val="left"/>
              <w:rPr>
                <w:rFonts w:hint="eastAsia"/>
                <w:b w:val="0"/>
                <w:bCs w:val="0"/>
                <w:color w:val="auto"/>
              </w:rPr>
            </w:pPr>
            <w:r>
              <w:rPr>
                <w:rFonts w:hint="eastAsia"/>
                <w:b w:val="0"/>
                <w:bCs w:val="0"/>
                <w:color w:val="auto"/>
                <w:lang w:val="en-US" w:eastAsia="zh-CN"/>
              </w:rPr>
              <w:t>3</w:t>
            </w:r>
            <w:r>
              <w:rPr>
                <w:rFonts w:hint="eastAsia"/>
                <w:b w:val="0"/>
                <w:bCs w:val="0"/>
                <w:color w:val="auto"/>
                <w:lang w:eastAsia="zh-CN"/>
              </w:rPr>
              <w:t>）投标人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承诺）</w:t>
            </w:r>
            <w:r>
              <w:rPr>
                <w:rFonts w:hint="eastAsia"/>
                <w:b w:val="0"/>
                <w:bCs w:val="0"/>
                <w:color w:val="auto"/>
              </w:rPr>
              <w:t>。</w:t>
            </w:r>
          </w:p>
          <w:p>
            <w:pPr>
              <w:pStyle w:val="29"/>
              <w:spacing w:line="360" w:lineRule="auto"/>
              <w:jc w:val="left"/>
            </w:pPr>
            <w:r>
              <w:rPr>
                <w:rFonts w:hint="eastAsia"/>
                <w:b/>
                <w:bCs/>
                <w:color w:val="auto"/>
              </w:rPr>
              <w:t>注：以上为必备资格条件，缺一项或某项达不到要求，按无效文件处理。资格审查时以投标文件中所附证明材料（信用中国和中国政府采购网信用记录可不提供，由代理机构查询并留存）为准，原件备查。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840" w:type="dxa"/>
            <w:vAlign w:val="center"/>
          </w:tcPr>
          <w:p>
            <w:pPr>
              <w:pStyle w:val="29"/>
              <w:spacing w:line="360" w:lineRule="auto"/>
              <w:rPr>
                <w:rFonts w:hint="default" w:eastAsia="宋体"/>
                <w:lang w:val="en-US" w:eastAsia="zh-CN"/>
              </w:rPr>
            </w:pPr>
            <w:r>
              <w:rPr>
                <w:rFonts w:hint="eastAsia"/>
                <w:lang w:val="en-US" w:eastAsia="zh-CN"/>
              </w:rPr>
              <w:t>21</w:t>
            </w:r>
          </w:p>
        </w:tc>
        <w:tc>
          <w:tcPr>
            <w:tcW w:w="1619" w:type="dxa"/>
            <w:vAlign w:val="center"/>
          </w:tcPr>
          <w:p>
            <w:pPr>
              <w:pStyle w:val="29"/>
              <w:spacing w:line="360" w:lineRule="auto"/>
            </w:pPr>
            <w:r>
              <w:rPr>
                <w:rFonts w:hint="eastAsia"/>
              </w:rPr>
              <w:t>投标保证金</w:t>
            </w:r>
          </w:p>
        </w:tc>
        <w:tc>
          <w:tcPr>
            <w:tcW w:w="6884" w:type="dxa"/>
          </w:tcPr>
          <w:p>
            <w:pPr>
              <w:pStyle w:val="29"/>
              <w:spacing w:line="360" w:lineRule="auto"/>
              <w:jc w:val="left"/>
            </w:pPr>
            <w:r>
              <w:rPr>
                <w:rFonts w:hint="eastAsia"/>
                <w:lang w:val="en-US" w:eastAsia="zh-CN"/>
              </w:rPr>
              <w:t>不要求</w:t>
            </w:r>
            <w:r>
              <w:rPr>
                <w:rFonts w:hint="eastAsia"/>
              </w:rPr>
              <w:t>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7" w:hRule="atLeast"/>
          <w:jc w:val="center"/>
        </w:trPr>
        <w:tc>
          <w:tcPr>
            <w:tcW w:w="840" w:type="dxa"/>
            <w:vAlign w:val="center"/>
          </w:tcPr>
          <w:p>
            <w:pPr>
              <w:pStyle w:val="29"/>
              <w:spacing w:line="360" w:lineRule="auto"/>
              <w:rPr>
                <w:rFonts w:hint="default" w:eastAsia="宋体"/>
                <w:lang w:val="en-US" w:eastAsia="zh-CN"/>
              </w:rPr>
            </w:pPr>
            <w:r>
              <w:rPr>
                <w:rFonts w:hint="eastAsia"/>
                <w:lang w:val="en-US" w:eastAsia="zh-CN"/>
              </w:rPr>
              <w:t>22</w:t>
            </w:r>
          </w:p>
        </w:tc>
        <w:tc>
          <w:tcPr>
            <w:tcW w:w="1619" w:type="dxa"/>
            <w:vAlign w:val="center"/>
          </w:tcPr>
          <w:p>
            <w:pPr>
              <w:pStyle w:val="29"/>
              <w:spacing w:line="360" w:lineRule="auto"/>
            </w:pPr>
            <w:r>
              <w:rPr>
                <w:rFonts w:hint="eastAsia"/>
              </w:rPr>
              <w:t>投标有效期</w:t>
            </w:r>
          </w:p>
        </w:tc>
        <w:tc>
          <w:tcPr>
            <w:tcW w:w="6884" w:type="dxa"/>
          </w:tcPr>
          <w:p>
            <w:pPr>
              <w:pStyle w:val="29"/>
              <w:spacing w:line="360" w:lineRule="auto"/>
              <w:jc w:val="left"/>
            </w:pPr>
            <w:r>
              <w:rPr>
                <w:rFonts w:hint="eastAsia"/>
              </w:rPr>
              <w:t>投标文件的递交截止之日起90天。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5" w:hRule="atLeast"/>
          <w:jc w:val="center"/>
        </w:trPr>
        <w:tc>
          <w:tcPr>
            <w:tcW w:w="840" w:type="dxa"/>
            <w:vAlign w:val="center"/>
          </w:tcPr>
          <w:p>
            <w:pPr>
              <w:pStyle w:val="29"/>
              <w:spacing w:line="360" w:lineRule="auto"/>
              <w:rPr>
                <w:rFonts w:hint="default" w:eastAsia="宋体"/>
                <w:lang w:val="en-US" w:eastAsia="zh-CN"/>
              </w:rPr>
            </w:pPr>
            <w:r>
              <w:rPr>
                <w:rFonts w:hint="eastAsia"/>
                <w:lang w:val="en-US" w:eastAsia="zh-CN"/>
              </w:rPr>
              <w:t>23</w:t>
            </w:r>
          </w:p>
        </w:tc>
        <w:tc>
          <w:tcPr>
            <w:tcW w:w="1619" w:type="dxa"/>
            <w:vAlign w:val="center"/>
          </w:tcPr>
          <w:p>
            <w:pPr>
              <w:pStyle w:val="29"/>
              <w:spacing w:line="360" w:lineRule="auto"/>
            </w:pPr>
            <w:r>
              <w:rPr>
                <w:rFonts w:hint="eastAsia"/>
              </w:rPr>
              <w:t>投标文件的份数及要求</w:t>
            </w:r>
          </w:p>
        </w:tc>
        <w:tc>
          <w:tcPr>
            <w:tcW w:w="6884" w:type="dxa"/>
            <w:vAlign w:val="center"/>
          </w:tcPr>
          <w:p>
            <w:pPr>
              <w:pStyle w:val="29"/>
              <w:spacing w:line="360" w:lineRule="auto"/>
              <w:jc w:val="left"/>
            </w:pPr>
            <w:r>
              <w:rPr>
                <w:rFonts w:hint="eastAsia"/>
              </w:rPr>
              <w:t>正本的份数：壹份；</w:t>
            </w:r>
          </w:p>
          <w:p>
            <w:pPr>
              <w:pStyle w:val="29"/>
              <w:spacing w:line="360" w:lineRule="auto"/>
              <w:jc w:val="left"/>
            </w:pPr>
            <w:r>
              <w:rPr>
                <w:rFonts w:hint="eastAsia"/>
              </w:rPr>
              <w:t>副本的份数：肆份；</w:t>
            </w:r>
          </w:p>
          <w:p>
            <w:pPr>
              <w:pStyle w:val="29"/>
              <w:spacing w:line="360" w:lineRule="auto"/>
              <w:jc w:val="left"/>
            </w:pPr>
            <w:r>
              <w:rPr>
                <w:rFonts w:hint="eastAsia"/>
              </w:rPr>
              <w:t>开标一览表：壹份；</w:t>
            </w:r>
          </w:p>
          <w:p>
            <w:pPr>
              <w:pStyle w:val="29"/>
              <w:spacing w:line="360" w:lineRule="auto"/>
              <w:jc w:val="left"/>
            </w:pPr>
            <w:r>
              <w:rPr>
                <w:rFonts w:hint="eastAsia"/>
              </w:rPr>
              <w:t>电子版（U盘）：壹份（需在盘面上标注投标人全称、项目名称、项目编号</w:t>
            </w:r>
            <w:r>
              <w:rPr>
                <w:rFonts w:hint="eastAsia"/>
                <w:lang w:eastAsia="zh-CN"/>
              </w:rPr>
              <w:t>、</w:t>
            </w:r>
            <w:r>
              <w:rPr>
                <w:rFonts w:hint="eastAsia"/>
                <w:lang w:val="en-US" w:eastAsia="zh-CN"/>
              </w:rPr>
              <w:t>合同包号</w:t>
            </w:r>
            <w:r>
              <w:rPr>
                <w:rFonts w:hint="eastAsia"/>
              </w:rPr>
              <w:t>）。</w:t>
            </w:r>
          </w:p>
          <w:p>
            <w:pPr>
              <w:pStyle w:val="29"/>
              <w:spacing w:line="360" w:lineRule="auto"/>
              <w:jc w:val="left"/>
            </w:pPr>
            <w:r>
              <w:rPr>
                <w:rFonts w:hint="eastAsia"/>
              </w:rPr>
              <w:t>电子版</w:t>
            </w:r>
            <w:r>
              <w:rPr>
                <w:rFonts w:hint="eastAsia"/>
                <w:lang w:eastAsia="zh-CN"/>
              </w:rPr>
              <w:t>合同包</w:t>
            </w:r>
            <w:r>
              <w:rPr>
                <w:rFonts w:hint="eastAsia"/>
              </w:rPr>
              <w:t>括：</w:t>
            </w:r>
          </w:p>
          <w:p>
            <w:pPr>
              <w:pStyle w:val="29"/>
              <w:spacing w:line="360" w:lineRule="auto"/>
              <w:jc w:val="left"/>
            </w:pPr>
            <w:r>
              <w:rPr>
                <w:rFonts w:hint="eastAsia"/>
              </w:rPr>
              <w:t>（1）word版投标文件；</w:t>
            </w:r>
          </w:p>
          <w:p>
            <w:pPr>
              <w:pStyle w:val="29"/>
              <w:spacing w:line="360" w:lineRule="auto"/>
              <w:jc w:val="left"/>
              <w:rPr>
                <w:rFonts w:hint="eastAsia"/>
              </w:rPr>
            </w:pPr>
            <w:r>
              <w:rPr>
                <w:rFonts w:hint="eastAsia"/>
                <w:b/>
                <w:bCs/>
              </w:rPr>
              <w:t>（2）投标文件正本签字盖章后的PDF格式扫描件，与正本具有同等法律效力。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5" w:hRule="atLeast"/>
          <w:jc w:val="center"/>
        </w:trPr>
        <w:tc>
          <w:tcPr>
            <w:tcW w:w="840" w:type="dxa"/>
            <w:vAlign w:val="center"/>
          </w:tcPr>
          <w:p>
            <w:pPr>
              <w:pStyle w:val="29"/>
              <w:spacing w:line="360" w:lineRule="auto"/>
              <w:rPr>
                <w:rFonts w:hint="default" w:eastAsia="宋体"/>
                <w:lang w:val="en-US" w:eastAsia="zh-CN"/>
              </w:rPr>
            </w:pPr>
            <w:r>
              <w:rPr>
                <w:rFonts w:hint="eastAsia"/>
                <w:lang w:val="en-US" w:eastAsia="zh-CN"/>
              </w:rPr>
              <w:t>24</w:t>
            </w:r>
          </w:p>
        </w:tc>
        <w:tc>
          <w:tcPr>
            <w:tcW w:w="1619" w:type="dxa"/>
            <w:vAlign w:val="center"/>
          </w:tcPr>
          <w:p>
            <w:pPr>
              <w:pStyle w:val="29"/>
              <w:spacing w:line="360" w:lineRule="auto"/>
            </w:pPr>
            <w:r>
              <w:rPr>
                <w:rFonts w:hint="eastAsia"/>
              </w:rPr>
              <w:t>投标文件的制作装订</w:t>
            </w:r>
          </w:p>
        </w:tc>
        <w:tc>
          <w:tcPr>
            <w:tcW w:w="6884" w:type="dxa"/>
            <w:vAlign w:val="center"/>
          </w:tcPr>
          <w:p>
            <w:pPr>
              <w:pStyle w:val="29"/>
              <w:spacing w:line="360" w:lineRule="auto"/>
              <w:jc w:val="left"/>
            </w:pPr>
            <w:r>
              <w:rPr>
                <w:rFonts w:hint="eastAsia"/>
              </w:rPr>
              <w:t>投标文件制作规范、目录清晰、页码标注、对应精准、双面打印。</w:t>
            </w:r>
          </w:p>
          <w:p>
            <w:pPr>
              <w:pStyle w:val="29"/>
              <w:spacing w:line="360" w:lineRule="auto"/>
              <w:jc w:val="left"/>
            </w:pPr>
            <w:r>
              <w:rPr>
                <w:rFonts w:hint="eastAsia"/>
              </w:rPr>
              <w:t>字迹潦草、表达不清、未按要求填写而导致非唯一理解，造成非实质性响应招标文件的投标文件将会被认定为无效投标。</w:t>
            </w:r>
          </w:p>
          <w:p>
            <w:pPr>
              <w:pStyle w:val="29"/>
              <w:spacing w:line="360" w:lineRule="auto"/>
              <w:jc w:val="left"/>
            </w:pPr>
            <w:r>
              <w:rPr>
                <w:rFonts w:hint="eastAsia"/>
              </w:rPr>
              <w:t>投标文件应胶装成册，不可插页抽页。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5" w:hRule="atLeast"/>
          <w:jc w:val="center"/>
        </w:trPr>
        <w:tc>
          <w:tcPr>
            <w:tcW w:w="840" w:type="dxa"/>
            <w:vAlign w:val="center"/>
          </w:tcPr>
          <w:p>
            <w:pPr>
              <w:pStyle w:val="29"/>
              <w:spacing w:line="360" w:lineRule="auto"/>
              <w:rPr>
                <w:rFonts w:hint="default" w:eastAsia="宋体"/>
                <w:lang w:val="en-US" w:eastAsia="zh-CN"/>
              </w:rPr>
            </w:pPr>
            <w:r>
              <w:rPr>
                <w:rFonts w:hint="eastAsia"/>
                <w:lang w:val="en-US" w:eastAsia="zh-CN"/>
              </w:rPr>
              <w:t>25</w:t>
            </w:r>
          </w:p>
        </w:tc>
        <w:tc>
          <w:tcPr>
            <w:tcW w:w="1619" w:type="dxa"/>
            <w:vAlign w:val="center"/>
          </w:tcPr>
          <w:p>
            <w:pPr>
              <w:pStyle w:val="29"/>
              <w:spacing w:line="360" w:lineRule="auto"/>
            </w:pPr>
            <w:r>
              <w:rPr>
                <w:rFonts w:hint="eastAsia"/>
              </w:rPr>
              <w:t>投标文件的签字、盖章要求</w:t>
            </w:r>
          </w:p>
        </w:tc>
        <w:tc>
          <w:tcPr>
            <w:tcW w:w="6884" w:type="dxa"/>
            <w:vAlign w:val="center"/>
          </w:tcPr>
          <w:p>
            <w:pPr>
              <w:pStyle w:val="29"/>
              <w:spacing w:line="360" w:lineRule="auto"/>
              <w:jc w:val="left"/>
            </w:pPr>
            <w:r>
              <w:rPr>
                <w:rFonts w:hint="eastAsia"/>
              </w:rPr>
              <w:t>投标文件封面、投标函及其它有要求处必须加盖投标人公章并经法定代表人或其委托代理人签字或盖章。委托代理人签字的，投标文件应附法定代表人签署的授权委托书。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8" w:hRule="atLeast"/>
          <w:jc w:val="center"/>
        </w:trPr>
        <w:tc>
          <w:tcPr>
            <w:tcW w:w="840" w:type="dxa"/>
            <w:vAlign w:val="center"/>
          </w:tcPr>
          <w:p>
            <w:pPr>
              <w:pStyle w:val="29"/>
              <w:spacing w:line="360" w:lineRule="auto"/>
              <w:rPr>
                <w:rFonts w:hint="default" w:eastAsia="宋体"/>
                <w:lang w:val="en-US" w:eastAsia="zh-CN"/>
              </w:rPr>
            </w:pPr>
            <w:r>
              <w:rPr>
                <w:rFonts w:hint="eastAsia"/>
                <w:lang w:val="en-US" w:eastAsia="zh-CN"/>
              </w:rPr>
              <w:t>26</w:t>
            </w:r>
          </w:p>
        </w:tc>
        <w:tc>
          <w:tcPr>
            <w:tcW w:w="1619" w:type="dxa"/>
            <w:vAlign w:val="center"/>
          </w:tcPr>
          <w:p>
            <w:pPr>
              <w:pStyle w:val="29"/>
              <w:spacing w:line="360" w:lineRule="auto"/>
            </w:pPr>
            <w:r>
              <w:rPr>
                <w:rFonts w:hint="eastAsia"/>
              </w:rPr>
              <w:t>投标文件的密封和标记</w:t>
            </w:r>
          </w:p>
        </w:tc>
        <w:tc>
          <w:tcPr>
            <w:tcW w:w="6884" w:type="dxa"/>
            <w:vAlign w:val="center"/>
          </w:tcPr>
          <w:p>
            <w:pPr>
              <w:pStyle w:val="29"/>
              <w:spacing w:line="360" w:lineRule="auto"/>
              <w:jc w:val="left"/>
            </w:pPr>
            <w:r>
              <w:t>1、密封</w:t>
            </w:r>
            <w:r>
              <w:rPr>
                <w:rFonts w:hint="eastAsia"/>
                <w:lang w:eastAsia="zh-CN"/>
              </w:rPr>
              <w:t>合同包</w:t>
            </w:r>
            <w:r>
              <w:t>装方式：</w:t>
            </w:r>
          </w:p>
          <w:p>
            <w:pPr>
              <w:pStyle w:val="29"/>
              <w:spacing w:line="360" w:lineRule="auto"/>
              <w:jc w:val="left"/>
            </w:pPr>
            <w:r>
              <w:rPr>
                <w:rFonts w:hint="eastAsia"/>
              </w:rPr>
              <w:t>投标人</w:t>
            </w:r>
            <w:r>
              <w:t>应将投标文件正本、所有的副本、电子版本、开标一览表分别单独密封在封袋中（封袋不得有破损）。封袋应加贴封条，并在封线处加盖</w:t>
            </w:r>
            <w:r>
              <w:rPr>
                <w:rFonts w:hint="eastAsia"/>
              </w:rPr>
              <w:t>投标人</w:t>
            </w:r>
            <w:r>
              <w:t>公章。</w:t>
            </w:r>
          </w:p>
          <w:p>
            <w:pPr>
              <w:pStyle w:val="29"/>
              <w:spacing w:line="360" w:lineRule="auto"/>
              <w:jc w:val="left"/>
            </w:pPr>
            <w:r>
              <w:t>2、外层</w:t>
            </w:r>
            <w:r>
              <w:rPr>
                <w:rFonts w:hint="eastAsia"/>
                <w:lang w:eastAsia="zh-CN"/>
              </w:rPr>
              <w:t>合同包</w:t>
            </w:r>
            <w:r>
              <w:t>装请按以下要求标记：</w:t>
            </w:r>
          </w:p>
          <w:p>
            <w:pPr>
              <w:pStyle w:val="29"/>
              <w:spacing w:line="360" w:lineRule="auto"/>
              <w:jc w:val="left"/>
            </w:pPr>
            <w:r>
              <w:t xml:space="preserve">（1) </w:t>
            </w:r>
            <w:r>
              <w:rPr>
                <w:rFonts w:hint="eastAsia"/>
              </w:rPr>
              <w:t>投标人</w:t>
            </w:r>
            <w:r>
              <w:t>的全称；</w:t>
            </w:r>
          </w:p>
          <w:p>
            <w:pPr>
              <w:pStyle w:val="29"/>
              <w:spacing w:line="360" w:lineRule="auto"/>
              <w:jc w:val="left"/>
              <w:rPr>
                <w:rFonts w:hint="default" w:eastAsia="宋体"/>
                <w:lang w:val="en-US" w:eastAsia="zh-CN"/>
              </w:rPr>
            </w:pPr>
            <w:r>
              <w:t>（2）投标项目名称、项目编号</w:t>
            </w:r>
            <w:r>
              <w:rPr>
                <w:rFonts w:hint="eastAsia"/>
                <w:lang w:eastAsia="zh-CN"/>
              </w:rPr>
              <w:t>、</w:t>
            </w:r>
            <w:r>
              <w:rPr>
                <w:rFonts w:hint="eastAsia"/>
                <w:lang w:val="en-US" w:eastAsia="zh-CN"/>
              </w:rPr>
              <w:t>合同包号</w:t>
            </w:r>
          </w:p>
          <w:p>
            <w:pPr>
              <w:pStyle w:val="29"/>
              <w:spacing w:line="360" w:lineRule="auto"/>
              <w:jc w:val="left"/>
            </w:pPr>
            <w:r>
              <w:t>（3）正本、副本、“电子版本”、“开标一览表”、及“请勿在＿＿＿＿＿(开标时间)之前启封”。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33" w:hRule="atLeast"/>
          <w:jc w:val="center"/>
        </w:trPr>
        <w:tc>
          <w:tcPr>
            <w:tcW w:w="840" w:type="dxa"/>
            <w:vAlign w:val="center"/>
          </w:tcPr>
          <w:p>
            <w:pPr>
              <w:pStyle w:val="29"/>
              <w:spacing w:line="360" w:lineRule="auto"/>
              <w:rPr>
                <w:rFonts w:hint="default" w:eastAsia="宋体"/>
                <w:lang w:val="en-US" w:eastAsia="zh-CN"/>
              </w:rPr>
            </w:pPr>
            <w:r>
              <w:rPr>
                <w:rFonts w:hint="eastAsia"/>
                <w:lang w:val="en-US" w:eastAsia="zh-CN"/>
              </w:rPr>
              <w:t>27</w:t>
            </w:r>
          </w:p>
        </w:tc>
        <w:tc>
          <w:tcPr>
            <w:tcW w:w="1619" w:type="dxa"/>
            <w:vAlign w:val="center"/>
          </w:tcPr>
          <w:p>
            <w:pPr>
              <w:pStyle w:val="29"/>
              <w:spacing w:line="360" w:lineRule="auto"/>
            </w:pPr>
            <w:r>
              <w:rPr>
                <w:rFonts w:hint="eastAsia"/>
              </w:rPr>
              <w:t>投标文件的递交</w:t>
            </w:r>
          </w:p>
        </w:tc>
        <w:tc>
          <w:tcPr>
            <w:tcW w:w="6884" w:type="dxa"/>
          </w:tcPr>
          <w:p>
            <w:pPr>
              <w:pStyle w:val="29"/>
              <w:spacing w:line="360" w:lineRule="auto"/>
              <w:jc w:val="left"/>
            </w:pPr>
            <w:r>
              <w:rPr>
                <w:rFonts w:hint="eastAsia"/>
              </w:rPr>
              <w:t>投标文件递交截止时间：详见招标公告。</w:t>
            </w:r>
          </w:p>
          <w:p>
            <w:pPr>
              <w:pStyle w:val="29"/>
              <w:spacing w:line="360" w:lineRule="auto"/>
              <w:jc w:val="left"/>
            </w:pPr>
            <w:r>
              <w:rPr>
                <w:rFonts w:hint="eastAsia"/>
              </w:rPr>
              <w:t>投标文件递交地址：详见招标公告。</w:t>
            </w:r>
          </w:p>
          <w:p>
            <w:pPr>
              <w:pStyle w:val="29"/>
              <w:spacing w:line="360" w:lineRule="auto"/>
              <w:jc w:val="left"/>
            </w:pPr>
            <w:r>
              <w:rPr>
                <w:rFonts w:hint="eastAsia"/>
              </w:rPr>
              <w:t>投标文件接收人：</w:t>
            </w:r>
            <w:r>
              <w:rPr>
                <w:rFonts w:hint="eastAsia"/>
                <w:lang w:eastAsia="zh-CN"/>
              </w:rPr>
              <w:t>陕西正鸿项目管理有限公司</w:t>
            </w:r>
            <w:r>
              <w:rPr>
                <w:rFonts w:hint="eastAsi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40" w:type="dxa"/>
            <w:vAlign w:val="center"/>
          </w:tcPr>
          <w:p>
            <w:pPr>
              <w:pStyle w:val="29"/>
              <w:spacing w:line="360" w:lineRule="auto"/>
              <w:rPr>
                <w:rFonts w:hint="default" w:eastAsia="宋体"/>
                <w:lang w:val="en-US" w:eastAsia="zh-CN"/>
              </w:rPr>
            </w:pPr>
            <w:r>
              <w:rPr>
                <w:rFonts w:hint="eastAsia"/>
                <w:lang w:val="en-US" w:eastAsia="zh-CN"/>
              </w:rPr>
              <w:t>28</w:t>
            </w:r>
          </w:p>
        </w:tc>
        <w:tc>
          <w:tcPr>
            <w:tcW w:w="1619" w:type="dxa"/>
            <w:vAlign w:val="center"/>
          </w:tcPr>
          <w:p>
            <w:pPr>
              <w:pStyle w:val="29"/>
              <w:spacing w:line="360" w:lineRule="auto"/>
            </w:pPr>
            <w:r>
              <w:rPr>
                <w:rFonts w:hint="eastAsia"/>
              </w:rPr>
              <w:t>开标时间和地点</w:t>
            </w:r>
          </w:p>
        </w:tc>
        <w:tc>
          <w:tcPr>
            <w:tcW w:w="6884" w:type="dxa"/>
          </w:tcPr>
          <w:p>
            <w:pPr>
              <w:pStyle w:val="29"/>
              <w:spacing w:line="360" w:lineRule="auto"/>
              <w:jc w:val="left"/>
            </w:pPr>
            <w:r>
              <w:rPr>
                <w:rFonts w:hint="eastAsia"/>
              </w:rPr>
              <w:t>开标时间：详见招标公告。</w:t>
            </w:r>
          </w:p>
          <w:p>
            <w:pPr>
              <w:pStyle w:val="29"/>
              <w:spacing w:line="360" w:lineRule="auto"/>
              <w:jc w:val="left"/>
            </w:pPr>
            <w:r>
              <w:rPr>
                <w:rFonts w:hint="eastAsia"/>
              </w:rPr>
              <w:t>开标地点：详见招标公告。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61" w:hRule="atLeast"/>
          <w:jc w:val="center"/>
        </w:trPr>
        <w:tc>
          <w:tcPr>
            <w:tcW w:w="840" w:type="dxa"/>
            <w:vAlign w:val="center"/>
          </w:tcPr>
          <w:p>
            <w:pPr>
              <w:pStyle w:val="29"/>
              <w:spacing w:line="360" w:lineRule="auto"/>
              <w:rPr>
                <w:rFonts w:hint="default" w:eastAsia="宋体"/>
                <w:lang w:val="en-US" w:eastAsia="zh-CN"/>
              </w:rPr>
            </w:pPr>
            <w:r>
              <w:rPr>
                <w:rFonts w:hint="eastAsia"/>
                <w:lang w:val="en-US" w:eastAsia="zh-CN"/>
              </w:rPr>
              <w:t>29</w:t>
            </w:r>
          </w:p>
        </w:tc>
        <w:tc>
          <w:tcPr>
            <w:tcW w:w="1619" w:type="dxa"/>
            <w:vAlign w:val="center"/>
          </w:tcPr>
          <w:p>
            <w:pPr>
              <w:pStyle w:val="29"/>
              <w:spacing w:line="360" w:lineRule="auto"/>
            </w:pPr>
            <w:r>
              <w:rPr>
                <w:rFonts w:hint="eastAsia"/>
              </w:rPr>
              <w:t>评标委员会的组建</w:t>
            </w:r>
          </w:p>
        </w:tc>
        <w:tc>
          <w:tcPr>
            <w:tcW w:w="6884" w:type="dxa"/>
            <w:vAlign w:val="center"/>
          </w:tcPr>
          <w:p>
            <w:pPr>
              <w:pStyle w:val="29"/>
              <w:spacing w:line="360" w:lineRule="auto"/>
              <w:jc w:val="left"/>
            </w:pPr>
            <w:r>
              <w:rPr>
                <w:rFonts w:hint="eastAsia"/>
              </w:rPr>
              <w:t>评标委员会构成：共5人。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24" w:hRule="atLeast"/>
          <w:jc w:val="center"/>
        </w:trPr>
        <w:tc>
          <w:tcPr>
            <w:tcW w:w="840" w:type="dxa"/>
            <w:vAlign w:val="center"/>
          </w:tcPr>
          <w:p>
            <w:pPr>
              <w:pStyle w:val="29"/>
              <w:spacing w:line="360" w:lineRule="auto"/>
              <w:rPr>
                <w:rFonts w:hint="default" w:eastAsia="宋体"/>
                <w:lang w:val="en-US" w:eastAsia="zh-CN"/>
              </w:rPr>
            </w:pPr>
            <w:r>
              <w:rPr>
                <w:rFonts w:hint="eastAsia"/>
                <w:lang w:val="en-US" w:eastAsia="zh-CN"/>
              </w:rPr>
              <w:t>30</w:t>
            </w:r>
          </w:p>
        </w:tc>
        <w:tc>
          <w:tcPr>
            <w:tcW w:w="1619" w:type="dxa"/>
            <w:vAlign w:val="center"/>
          </w:tcPr>
          <w:p>
            <w:pPr>
              <w:pStyle w:val="29"/>
              <w:spacing w:line="360" w:lineRule="auto"/>
            </w:pPr>
            <w:r>
              <w:rPr>
                <w:rFonts w:hint="eastAsia"/>
              </w:rPr>
              <w:t>评标办法</w:t>
            </w:r>
          </w:p>
        </w:tc>
        <w:tc>
          <w:tcPr>
            <w:tcW w:w="6884" w:type="dxa"/>
            <w:vAlign w:val="center"/>
          </w:tcPr>
          <w:p>
            <w:pPr>
              <w:pStyle w:val="29"/>
              <w:spacing w:line="360" w:lineRule="auto"/>
              <w:jc w:val="left"/>
            </w:pPr>
            <w:r>
              <w:rPr>
                <w:rFonts w:hint="eastAsia"/>
              </w:rPr>
              <w:t>综合评分法（详见第五章</w:t>
            </w:r>
            <w:r>
              <w:rPr>
                <w:rFonts w:hint="eastAsia"/>
                <w:lang w:eastAsia="zh-CN"/>
              </w:rPr>
              <w:t>“</w:t>
            </w:r>
            <w:r>
              <w:rPr>
                <w:rFonts w:hint="eastAsia"/>
                <w:bCs/>
                <w:szCs w:val="36"/>
              </w:rPr>
              <w:t>评标办法</w:t>
            </w:r>
            <w:r>
              <w:rPr>
                <w:rFonts w:hint="eastAsia"/>
                <w:lang w:eastAsia="zh-CN"/>
              </w:rPr>
              <w:t>”</w:t>
            </w:r>
            <w:r>
              <w:rPr>
                <w:rFonts w:hint="eastAsi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18" w:hRule="atLeast"/>
          <w:jc w:val="center"/>
        </w:trPr>
        <w:tc>
          <w:tcPr>
            <w:tcW w:w="840" w:type="dxa"/>
            <w:vMerge w:val="restart"/>
            <w:vAlign w:val="center"/>
          </w:tcPr>
          <w:p>
            <w:pPr>
              <w:pStyle w:val="29"/>
              <w:spacing w:line="360" w:lineRule="auto"/>
              <w:rPr>
                <w:rFonts w:hint="default"/>
                <w:lang w:val="en-US" w:eastAsia="zh-CN"/>
              </w:rPr>
            </w:pPr>
            <w:r>
              <w:rPr>
                <w:rFonts w:hint="eastAsia" w:cs="宋体"/>
                <w:color w:val="auto"/>
                <w:kern w:val="2"/>
                <w:szCs w:val="22"/>
                <w:highlight w:val="none"/>
                <w:lang w:val="en-US" w:eastAsia="zh-CN"/>
              </w:rPr>
              <w:t>31</w:t>
            </w:r>
          </w:p>
        </w:tc>
        <w:tc>
          <w:tcPr>
            <w:tcW w:w="1619" w:type="dxa"/>
            <w:vAlign w:val="center"/>
          </w:tcPr>
          <w:p>
            <w:pPr>
              <w:pStyle w:val="29"/>
              <w:spacing w:line="360" w:lineRule="auto"/>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Cs w:val="22"/>
                <w:highlight w:val="none"/>
                <w:lang w:val="en-US" w:eastAsia="zh-CN"/>
              </w:rPr>
              <w:t>政府采购强制采购：节能产品</w:t>
            </w:r>
          </w:p>
        </w:tc>
        <w:tc>
          <w:tcPr>
            <w:tcW w:w="6884" w:type="dxa"/>
            <w:vAlign w:val="center"/>
          </w:tcPr>
          <w:p>
            <w:pPr>
              <w:pStyle w:val="29"/>
              <w:jc w:val="left"/>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Cs w:val="22"/>
                <w:highlight w:val="none"/>
                <w:lang w:val="en-US" w:eastAsia="zh-CN"/>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317" w:hRule="atLeast"/>
          <w:jc w:val="center"/>
        </w:trPr>
        <w:tc>
          <w:tcPr>
            <w:tcW w:w="840" w:type="dxa"/>
            <w:vMerge w:val="continue"/>
            <w:vAlign w:val="center"/>
          </w:tcPr>
          <w:p>
            <w:pPr>
              <w:pStyle w:val="29"/>
              <w:spacing w:line="360" w:lineRule="auto"/>
              <w:rPr>
                <w:rFonts w:hint="eastAsia"/>
                <w:lang w:val="en-US" w:eastAsia="zh-CN"/>
              </w:rPr>
            </w:pPr>
          </w:p>
        </w:tc>
        <w:tc>
          <w:tcPr>
            <w:tcW w:w="1619" w:type="dxa"/>
            <w:vAlign w:val="center"/>
          </w:tcPr>
          <w:p>
            <w:pPr>
              <w:pStyle w:val="29"/>
              <w:spacing w:line="360" w:lineRule="auto"/>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Cs w:val="22"/>
                <w:highlight w:val="none"/>
                <w:lang w:val="en-US" w:eastAsia="zh-CN"/>
              </w:rPr>
              <w:t>政府采购强制采购：信息安全认证</w:t>
            </w:r>
          </w:p>
        </w:tc>
        <w:tc>
          <w:tcPr>
            <w:tcW w:w="6884" w:type="dxa"/>
            <w:vAlign w:val="center"/>
          </w:tcPr>
          <w:p>
            <w:pPr>
              <w:pStyle w:val="29"/>
              <w:jc w:val="left"/>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Cs w:val="22"/>
                <w:highlight w:val="none"/>
                <w:lang w:val="en-US" w:eastAsia="zh-CN"/>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2" w:hRule="atLeast"/>
          <w:jc w:val="center"/>
        </w:trPr>
        <w:tc>
          <w:tcPr>
            <w:tcW w:w="840" w:type="dxa"/>
            <w:vMerge w:val="restart"/>
            <w:vAlign w:val="center"/>
          </w:tcPr>
          <w:p>
            <w:pPr>
              <w:pStyle w:val="29"/>
              <w:spacing w:line="360" w:lineRule="auto"/>
              <w:rPr>
                <w:rFonts w:hint="eastAsia" w:ascii="宋体" w:hAnsi="宋体" w:eastAsia="宋体" w:cs="宋体"/>
                <w:color w:val="auto"/>
                <w:kern w:val="2"/>
                <w:sz w:val="24"/>
                <w:szCs w:val="22"/>
                <w:highlight w:val="none"/>
                <w:lang w:val="en-US" w:eastAsia="zh-CN" w:bidi="ar-SA"/>
              </w:rPr>
            </w:pPr>
            <w:r>
              <w:rPr>
                <w:rFonts w:hint="eastAsia" w:cs="宋体"/>
                <w:color w:val="auto"/>
                <w:kern w:val="2"/>
                <w:szCs w:val="22"/>
                <w:highlight w:val="none"/>
                <w:lang w:val="en-US" w:eastAsia="zh-CN"/>
              </w:rPr>
              <w:t>32</w:t>
            </w:r>
          </w:p>
        </w:tc>
        <w:tc>
          <w:tcPr>
            <w:tcW w:w="1619" w:type="dxa"/>
            <w:vAlign w:val="center"/>
          </w:tcPr>
          <w:p>
            <w:pPr>
              <w:pStyle w:val="29"/>
              <w:spacing w:line="360" w:lineRule="auto"/>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Cs w:val="22"/>
                <w:highlight w:val="none"/>
                <w:lang w:val="en-US" w:eastAsia="zh-CN"/>
              </w:rPr>
              <w:t>政府采购优先采购：节能产品（非强制类）</w:t>
            </w:r>
          </w:p>
        </w:tc>
        <w:tc>
          <w:tcPr>
            <w:tcW w:w="6884" w:type="dxa"/>
            <w:vAlign w:val="center"/>
          </w:tcPr>
          <w:p>
            <w:pPr>
              <w:pStyle w:val="29"/>
              <w:spacing w:line="360" w:lineRule="auto"/>
              <w:jc w:val="left"/>
              <w:rPr>
                <w:rFonts w:hint="eastAsia" w:ascii="宋体" w:hAnsi="宋体" w:eastAsia="宋体" w:cs="宋体"/>
                <w:color w:val="auto"/>
                <w:kern w:val="2"/>
                <w:szCs w:val="22"/>
                <w:highlight w:val="none"/>
                <w:lang w:val="en-US" w:eastAsia="zh-CN"/>
              </w:rPr>
            </w:pPr>
            <w:r>
              <w:rPr>
                <w:rFonts w:hint="eastAsia" w:ascii="宋体" w:hAnsi="宋体" w:eastAsia="宋体" w:cs="宋体"/>
                <w:color w:val="auto"/>
                <w:kern w:val="2"/>
                <w:szCs w:val="22"/>
                <w:highlight w:val="none"/>
                <w:lang w:val="en-US" w:eastAsia="zh-CN"/>
              </w:rPr>
              <w:t>对列入节能产品政府采购品目清单的产品，且认证机构在《参与实施政府采购节能产品认证机构名录》中的，在评审时按“谈判响应报价×2%”进行扣减。用扣减后的价格参与评审。</w:t>
            </w:r>
          </w:p>
          <w:p>
            <w:pPr>
              <w:pStyle w:val="29"/>
              <w:spacing w:line="360" w:lineRule="auto"/>
              <w:jc w:val="left"/>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Cs w:val="22"/>
                <w:highlight w:val="none"/>
                <w:lang w:val="en-US" w:eastAsia="zh-CN"/>
              </w:rPr>
              <w:t>（注：若节能清单内的产品仅是构成采购产品的部件、组件或零件的，则该谈判响应产品不享受此项鼓励优惠政策）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2" w:hRule="atLeast"/>
          <w:jc w:val="center"/>
        </w:trPr>
        <w:tc>
          <w:tcPr>
            <w:tcW w:w="840" w:type="dxa"/>
            <w:vMerge w:val="continue"/>
            <w:vAlign w:val="center"/>
          </w:tcPr>
          <w:p>
            <w:pPr>
              <w:pStyle w:val="29"/>
              <w:spacing w:line="360" w:lineRule="auto"/>
              <w:rPr>
                <w:rFonts w:hint="eastAsia"/>
                <w:lang w:val="en-US" w:eastAsia="zh-CN"/>
              </w:rPr>
            </w:pPr>
          </w:p>
        </w:tc>
        <w:tc>
          <w:tcPr>
            <w:tcW w:w="1619" w:type="dxa"/>
            <w:vAlign w:val="center"/>
          </w:tcPr>
          <w:p>
            <w:pPr>
              <w:pStyle w:val="29"/>
              <w:spacing w:line="360" w:lineRule="auto"/>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Cs w:val="22"/>
                <w:highlight w:val="none"/>
                <w:lang w:val="en-US" w:eastAsia="zh-CN"/>
              </w:rPr>
              <w:t>政府采购优先采购：环境标志产品</w:t>
            </w:r>
          </w:p>
        </w:tc>
        <w:tc>
          <w:tcPr>
            <w:tcW w:w="6884" w:type="dxa"/>
            <w:vAlign w:val="center"/>
          </w:tcPr>
          <w:p>
            <w:pPr>
              <w:pStyle w:val="29"/>
              <w:spacing w:line="360" w:lineRule="auto"/>
              <w:jc w:val="left"/>
              <w:rPr>
                <w:rFonts w:hint="eastAsia" w:ascii="宋体" w:hAnsi="宋体" w:eastAsia="宋体" w:cs="宋体"/>
                <w:color w:val="auto"/>
                <w:kern w:val="2"/>
                <w:szCs w:val="22"/>
                <w:highlight w:val="none"/>
                <w:lang w:val="en-US" w:eastAsia="zh-CN"/>
              </w:rPr>
            </w:pPr>
            <w:r>
              <w:rPr>
                <w:rFonts w:hint="eastAsia" w:ascii="宋体" w:hAnsi="宋体" w:eastAsia="宋体" w:cs="宋体"/>
                <w:color w:val="auto"/>
                <w:kern w:val="2"/>
                <w:szCs w:val="22"/>
                <w:highlight w:val="none"/>
                <w:lang w:val="en-US" w:eastAsia="zh-CN"/>
              </w:rPr>
              <w:t>对列入环境标志产品政府采购品目清单的产品，且认证机构在《参与实施政府采购节能产品环境标志产品认证机构名录》中的，在评审时按“谈判响应报价×</w:t>
            </w:r>
            <w:r>
              <w:rPr>
                <w:rFonts w:hint="eastAsia" w:eastAsia="宋体" w:cs="宋体"/>
                <w:color w:val="auto"/>
                <w:kern w:val="2"/>
                <w:szCs w:val="22"/>
                <w:highlight w:val="none"/>
                <w:lang w:val="en-US" w:eastAsia="zh-CN"/>
              </w:rPr>
              <w:t>2</w:t>
            </w:r>
            <w:r>
              <w:rPr>
                <w:rFonts w:hint="eastAsia" w:ascii="宋体" w:hAnsi="宋体" w:eastAsia="宋体" w:cs="宋体"/>
                <w:color w:val="auto"/>
                <w:kern w:val="2"/>
                <w:szCs w:val="22"/>
                <w:highlight w:val="none"/>
                <w:lang w:val="en-US" w:eastAsia="zh-CN"/>
              </w:rPr>
              <w:t>%”进行扣减。用扣减后的价格参与评审。</w:t>
            </w:r>
          </w:p>
          <w:p>
            <w:pPr>
              <w:pStyle w:val="29"/>
              <w:spacing w:line="360" w:lineRule="auto"/>
              <w:jc w:val="left"/>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Cs w:val="22"/>
                <w:highlight w:val="none"/>
                <w:lang w:val="en-US" w:eastAsia="zh-CN"/>
              </w:rPr>
              <w:t>（注：</w:t>
            </w:r>
            <w:r>
              <w:rPr>
                <w:rFonts w:hint="eastAsia" w:ascii="宋体" w:hAnsi="宋体" w:eastAsia="宋体" w:cs="宋体"/>
                <w:color w:val="auto"/>
                <w:kern w:val="2"/>
                <w:szCs w:val="22"/>
                <w:highlight w:val="none"/>
                <w:lang w:val="zh-CN" w:eastAsia="zh-CN"/>
              </w:rPr>
              <w:t>若环境标志清单内的产品仅是构成采购产品的部件、组件或零件的，则该谈判响应产品不享受</w:t>
            </w:r>
            <w:r>
              <w:rPr>
                <w:rFonts w:hint="eastAsia" w:ascii="宋体" w:hAnsi="宋体" w:eastAsia="宋体" w:cs="宋体"/>
                <w:color w:val="auto"/>
                <w:kern w:val="2"/>
                <w:szCs w:val="22"/>
                <w:highlight w:val="none"/>
                <w:lang w:val="en-US" w:eastAsia="zh-CN"/>
              </w:rPr>
              <w:t>此项</w:t>
            </w:r>
            <w:r>
              <w:rPr>
                <w:rFonts w:hint="eastAsia" w:ascii="宋体" w:hAnsi="宋体" w:eastAsia="宋体" w:cs="宋体"/>
                <w:color w:val="auto"/>
                <w:kern w:val="2"/>
                <w:szCs w:val="22"/>
                <w:highlight w:val="none"/>
                <w:lang w:val="zh-CN" w:eastAsia="zh-CN"/>
              </w:rPr>
              <w:t>鼓励优惠政策</w:t>
            </w:r>
            <w:r>
              <w:rPr>
                <w:rFonts w:hint="eastAsia" w:ascii="宋体" w:hAnsi="宋体" w:eastAsia="宋体" w:cs="宋体"/>
                <w:color w:val="auto"/>
                <w:kern w:val="2"/>
                <w:szCs w:val="22"/>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2" w:hRule="atLeast"/>
          <w:jc w:val="center"/>
        </w:trPr>
        <w:tc>
          <w:tcPr>
            <w:tcW w:w="840" w:type="dxa"/>
            <w:vMerge w:val="restart"/>
            <w:vAlign w:val="center"/>
          </w:tcPr>
          <w:p>
            <w:pPr>
              <w:pStyle w:val="29"/>
              <w:spacing w:line="360" w:lineRule="auto"/>
              <w:rPr>
                <w:rFonts w:hint="eastAsia" w:ascii="宋体" w:hAnsi="宋体" w:eastAsia="宋体" w:cs="宋体"/>
                <w:color w:val="auto"/>
                <w:kern w:val="2"/>
                <w:sz w:val="24"/>
                <w:szCs w:val="22"/>
                <w:highlight w:val="none"/>
                <w:lang w:val="en-US" w:eastAsia="zh-CN" w:bidi="ar-SA"/>
              </w:rPr>
            </w:pPr>
            <w:r>
              <w:rPr>
                <w:rFonts w:hint="eastAsia" w:cs="宋体"/>
                <w:color w:val="auto"/>
                <w:kern w:val="2"/>
                <w:szCs w:val="22"/>
                <w:highlight w:val="none"/>
                <w:lang w:val="en-US" w:eastAsia="zh-CN"/>
              </w:rPr>
              <w:t>33</w:t>
            </w:r>
          </w:p>
        </w:tc>
        <w:tc>
          <w:tcPr>
            <w:tcW w:w="1619" w:type="dxa"/>
            <w:vAlign w:val="center"/>
          </w:tcPr>
          <w:p>
            <w:pPr>
              <w:pStyle w:val="29"/>
              <w:spacing w:line="360" w:lineRule="auto"/>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Cs w:val="22"/>
                <w:highlight w:val="none"/>
                <w:lang w:val="en-US" w:eastAsia="zh-CN"/>
              </w:rPr>
              <w:t>支持中小企业发展</w:t>
            </w:r>
          </w:p>
        </w:tc>
        <w:tc>
          <w:tcPr>
            <w:tcW w:w="6884" w:type="dxa"/>
            <w:vAlign w:val="center"/>
          </w:tcPr>
          <w:p>
            <w:pPr>
              <w:pStyle w:val="29"/>
              <w:spacing w:line="360" w:lineRule="auto"/>
              <w:jc w:val="left"/>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Cs w:val="22"/>
                <w:highlight w:val="none"/>
                <w:lang w:val="en-US" w:eastAsia="zh-CN"/>
              </w:rPr>
              <w:t>非专门面向中小企业采购项目（价格扣除）：对小型和微型企业的价格给予10%的扣除，用扣除后的价格参与评审。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2" w:hRule="atLeast"/>
          <w:jc w:val="center"/>
        </w:trPr>
        <w:tc>
          <w:tcPr>
            <w:tcW w:w="840" w:type="dxa"/>
            <w:vMerge w:val="continue"/>
            <w:vAlign w:val="center"/>
          </w:tcPr>
          <w:p>
            <w:pPr>
              <w:pStyle w:val="29"/>
              <w:spacing w:line="360" w:lineRule="auto"/>
              <w:rPr>
                <w:rFonts w:hint="eastAsia"/>
                <w:lang w:val="en-US" w:eastAsia="zh-CN"/>
              </w:rPr>
            </w:pPr>
          </w:p>
        </w:tc>
        <w:tc>
          <w:tcPr>
            <w:tcW w:w="1619" w:type="dxa"/>
            <w:vAlign w:val="center"/>
          </w:tcPr>
          <w:p>
            <w:pPr>
              <w:pStyle w:val="29"/>
              <w:spacing w:line="360" w:lineRule="auto"/>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Cs w:val="22"/>
                <w:highlight w:val="none"/>
                <w:lang w:val="en-US" w:eastAsia="zh-CN"/>
              </w:rPr>
              <w:t>支持监狱企业</w:t>
            </w:r>
          </w:p>
        </w:tc>
        <w:tc>
          <w:tcPr>
            <w:tcW w:w="6884" w:type="dxa"/>
            <w:vAlign w:val="center"/>
          </w:tcPr>
          <w:p>
            <w:pPr>
              <w:pStyle w:val="29"/>
              <w:spacing w:line="360" w:lineRule="auto"/>
              <w:jc w:val="left"/>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Cs w:val="22"/>
                <w:highlight w:val="none"/>
                <w:lang w:val="en-US" w:eastAsia="zh-CN"/>
              </w:rPr>
              <w:t>非专门面向监狱采购项目（价格扣除）：监狱企业可视同小微企业在价格评审时给予10%的扣除，用扣除后的价格参与评审。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2" w:hRule="atLeast"/>
          <w:jc w:val="center"/>
        </w:trPr>
        <w:tc>
          <w:tcPr>
            <w:tcW w:w="840" w:type="dxa"/>
            <w:vMerge w:val="continue"/>
            <w:vAlign w:val="center"/>
          </w:tcPr>
          <w:p>
            <w:pPr>
              <w:pStyle w:val="29"/>
              <w:spacing w:line="360" w:lineRule="auto"/>
              <w:rPr>
                <w:rFonts w:hint="eastAsia"/>
                <w:lang w:val="en-US" w:eastAsia="zh-CN"/>
              </w:rPr>
            </w:pPr>
          </w:p>
        </w:tc>
        <w:tc>
          <w:tcPr>
            <w:tcW w:w="1619" w:type="dxa"/>
            <w:vAlign w:val="center"/>
          </w:tcPr>
          <w:p>
            <w:pPr>
              <w:pStyle w:val="29"/>
              <w:spacing w:line="360" w:lineRule="auto"/>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Cs w:val="22"/>
                <w:highlight w:val="none"/>
                <w:lang w:val="en-US" w:eastAsia="zh-CN"/>
              </w:rPr>
              <w:t>支持残疾人福利性单位</w:t>
            </w:r>
          </w:p>
        </w:tc>
        <w:tc>
          <w:tcPr>
            <w:tcW w:w="6884" w:type="dxa"/>
            <w:vAlign w:val="center"/>
          </w:tcPr>
          <w:p>
            <w:pPr>
              <w:pStyle w:val="29"/>
              <w:spacing w:line="360" w:lineRule="auto"/>
              <w:jc w:val="left"/>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Cs w:val="22"/>
                <w:highlight w:val="none"/>
                <w:lang w:val="en-US" w:eastAsia="zh-CN"/>
              </w:rPr>
              <w:t>非专门面向残疾人福利性单位采购项目（价格扣除）：残疾人福利性单位可视同小微企业在价格评审时给予10%的扣除，用扣除后的价格参与评审。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2" w:hRule="atLeast"/>
          <w:jc w:val="center"/>
        </w:trPr>
        <w:tc>
          <w:tcPr>
            <w:tcW w:w="840" w:type="dxa"/>
            <w:vMerge w:val="continue"/>
            <w:vAlign w:val="center"/>
          </w:tcPr>
          <w:p>
            <w:pPr>
              <w:pStyle w:val="29"/>
              <w:spacing w:line="360" w:lineRule="auto"/>
              <w:rPr>
                <w:rFonts w:hint="eastAsia"/>
                <w:lang w:val="en-US" w:eastAsia="zh-CN"/>
              </w:rPr>
            </w:pPr>
          </w:p>
        </w:tc>
        <w:tc>
          <w:tcPr>
            <w:tcW w:w="8503" w:type="dxa"/>
            <w:gridSpan w:val="2"/>
            <w:vAlign w:val="center"/>
          </w:tcPr>
          <w:p>
            <w:pPr>
              <w:pStyle w:val="29"/>
              <w:jc w:val="left"/>
              <w:rPr>
                <w:rFonts w:hint="eastAsia" w:ascii="宋体" w:hAnsi="宋体" w:eastAsia="宋体" w:cs="宋体"/>
                <w:color w:val="auto"/>
                <w:kern w:val="2"/>
                <w:szCs w:val="22"/>
                <w:highlight w:val="none"/>
                <w:lang w:val="en-US" w:eastAsia="zh-CN"/>
              </w:rPr>
            </w:pPr>
            <w:r>
              <w:rPr>
                <w:rFonts w:hint="eastAsia" w:ascii="宋体" w:hAnsi="宋体" w:eastAsia="宋体" w:cs="宋体"/>
                <w:color w:val="auto"/>
                <w:kern w:val="2"/>
                <w:szCs w:val="22"/>
                <w:highlight w:val="none"/>
                <w:lang w:val="en-US" w:eastAsia="zh-CN"/>
              </w:rPr>
              <w:t>备注：</w:t>
            </w:r>
          </w:p>
          <w:p>
            <w:pPr>
              <w:pStyle w:val="29"/>
              <w:jc w:val="left"/>
              <w:rPr>
                <w:rFonts w:hint="eastAsia" w:ascii="宋体" w:hAnsi="宋体" w:eastAsia="宋体" w:cs="宋体"/>
                <w:color w:val="auto"/>
                <w:kern w:val="2"/>
                <w:szCs w:val="22"/>
                <w:highlight w:val="none"/>
                <w:lang w:val="en-US" w:eastAsia="zh-CN"/>
              </w:rPr>
            </w:pPr>
            <w:r>
              <w:rPr>
                <w:rFonts w:hint="eastAsia" w:ascii="宋体" w:hAnsi="宋体" w:eastAsia="宋体" w:cs="宋体"/>
                <w:color w:val="auto"/>
                <w:kern w:val="2"/>
                <w:szCs w:val="22"/>
                <w:highlight w:val="none"/>
                <w:lang w:val="en-US" w:eastAsia="zh-CN"/>
              </w:rPr>
              <w:t>1.上述扣除仅针对非专门面向中小企业的项目。</w:t>
            </w:r>
          </w:p>
          <w:p>
            <w:pPr>
              <w:pStyle w:val="29"/>
              <w:spacing w:line="360" w:lineRule="auto"/>
              <w:jc w:val="left"/>
              <w:rPr>
                <w:rFonts w:hint="eastAsia"/>
                <w:b/>
                <w:bCs/>
              </w:rPr>
            </w:pPr>
            <w:r>
              <w:rPr>
                <w:rFonts w:hint="eastAsia" w:ascii="宋体" w:hAnsi="宋体" w:eastAsia="宋体" w:cs="宋体"/>
                <w:color w:val="auto"/>
                <w:kern w:val="2"/>
                <w:szCs w:val="22"/>
                <w:highlight w:val="none"/>
                <w:lang w:val="en-US" w:eastAsia="zh-CN"/>
              </w:rPr>
              <w:t>2.对于同时属于小微企业、监狱企业或残疾人福利性单位的，不重复进行</w:t>
            </w:r>
            <w:r>
              <w:rPr>
                <w:rFonts w:hint="eastAsia" w:eastAsia="宋体" w:cs="宋体"/>
                <w:color w:val="auto"/>
                <w:kern w:val="2"/>
                <w:szCs w:val="22"/>
                <w:highlight w:val="none"/>
                <w:lang w:val="en-US" w:eastAsia="zh-CN"/>
              </w:rPr>
              <w:t>响应报价</w:t>
            </w:r>
            <w:r>
              <w:rPr>
                <w:rFonts w:hint="eastAsia" w:ascii="宋体" w:hAnsi="宋体" w:eastAsia="宋体" w:cs="宋体"/>
                <w:color w:val="auto"/>
                <w:kern w:val="2"/>
                <w:szCs w:val="22"/>
                <w:highlight w:val="none"/>
                <w:lang w:val="en-US" w:eastAsia="zh-CN"/>
              </w:rPr>
              <w:t>扣除。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2" w:hRule="atLeast"/>
          <w:jc w:val="center"/>
        </w:trPr>
        <w:tc>
          <w:tcPr>
            <w:tcW w:w="840" w:type="dxa"/>
            <w:vAlign w:val="center"/>
          </w:tcPr>
          <w:p>
            <w:pPr>
              <w:pStyle w:val="29"/>
              <w:spacing w:line="360" w:lineRule="auto"/>
              <w:rPr>
                <w:rFonts w:hint="default" w:ascii="宋体" w:hAnsi="宋体" w:eastAsia="宋体" w:cs="宋体"/>
                <w:sz w:val="24"/>
                <w:lang w:val="en-US" w:eastAsia="zh-CN" w:bidi="ar-SA"/>
              </w:rPr>
            </w:pPr>
            <w:r>
              <w:rPr>
                <w:rFonts w:hint="eastAsia"/>
                <w:lang w:val="en-US" w:eastAsia="zh-CN"/>
              </w:rPr>
              <w:t>34</w:t>
            </w:r>
          </w:p>
        </w:tc>
        <w:tc>
          <w:tcPr>
            <w:tcW w:w="1619" w:type="dxa"/>
            <w:vAlign w:val="center"/>
          </w:tcPr>
          <w:p>
            <w:pPr>
              <w:pStyle w:val="29"/>
              <w:spacing w:line="360" w:lineRule="auto"/>
              <w:rPr>
                <w:rFonts w:hint="eastAsia" w:ascii="宋体" w:hAnsi="宋体" w:eastAsia="宋体" w:cs="宋体"/>
                <w:sz w:val="24"/>
                <w:lang w:val="en-US" w:eastAsia="zh-CN" w:bidi="ar-SA"/>
              </w:rPr>
            </w:pPr>
            <w:r>
              <w:rPr>
                <w:rFonts w:hint="eastAsia"/>
              </w:rPr>
              <w:t>招标代理服务费</w:t>
            </w:r>
          </w:p>
        </w:tc>
        <w:tc>
          <w:tcPr>
            <w:tcW w:w="6884" w:type="dxa"/>
            <w:vAlign w:val="center"/>
          </w:tcPr>
          <w:p>
            <w:pPr>
              <w:pStyle w:val="29"/>
              <w:spacing w:line="360" w:lineRule="auto"/>
              <w:jc w:val="left"/>
              <w:rPr>
                <w:rFonts w:hint="eastAsia" w:ascii="宋体" w:hAnsi="宋体" w:eastAsia="宋体" w:cs="宋体"/>
                <w:szCs w:val="22"/>
                <w:lang w:val="en-US" w:eastAsia="zh-CN"/>
              </w:rPr>
            </w:pPr>
            <w:r>
              <w:rPr>
                <w:rFonts w:hint="eastAsia" w:ascii="宋体" w:hAnsi="宋体" w:eastAsia="宋体" w:cs="宋体"/>
                <w:szCs w:val="22"/>
                <w:lang w:val="en-US" w:eastAsia="zh-CN"/>
              </w:rPr>
              <w:t>参照</w:t>
            </w:r>
            <w:r>
              <w:rPr>
                <w:rFonts w:hint="eastAsia" w:ascii="宋体" w:hAnsi="宋体" w:eastAsia="宋体" w:cs="宋体"/>
                <w:szCs w:val="22"/>
              </w:rPr>
              <w:t>国家计委颁发的《招标代理服务收费管理暂行办法》（计价格[2002]1980号）和国家发展改革委员会办公厅颁发的《关于招标代理服务收费有关问题的通知》（发改办价格[2003]857号）的有关规定</w:t>
            </w:r>
            <w:r>
              <w:rPr>
                <w:rFonts w:hint="eastAsia" w:ascii="宋体" w:hAnsi="宋体" w:eastAsia="宋体" w:cs="宋体"/>
                <w:szCs w:val="22"/>
                <w:lang w:val="en-US" w:eastAsia="zh-CN"/>
              </w:rPr>
              <w:t>下浮30%收取。</w:t>
            </w:r>
          </w:p>
          <w:p>
            <w:pPr>
              <w:pStyle w:val="29"/>
              <w:spacing w:line="360" w:lineRule="auto"/>
              <w:jc w:val="left"/>
              <w:rPr>
                <w:rFonts w:hint="eastAsia" w:ascii="宋体" w:hAnsi="宋体" w:eastAsia="宋体" w:cs="宋体"/>
                <w:szCs w:val="22"/>
              </w:rPr>
            </w:pPr>
            <w:r>
              <w:rPr>
                <w:rFonts w:hint="eastAsia" w:ascii="宋体" w:hAnsi="宋体" w:eastAsia="宋体" w:cs="宋体"/>
                <w:szCs w:val="22"/>
              </w:rPr>
              <w:t>中标单位在领取中标通知书前，须向</w:t>
            </w:r>
            <w:r>
              <w:rPr>
                <w:rFonts w:hint="eastAsia" w:cs="宋体"/>
                <w:szCs w:val="22"/>
                <w:lang w:eastAsia="zh-CN"/>
              </w:rPr>
              <w:t>招标代理机构</w:t>
            </w:r>
            <w:r>
              <w:rPr>
                <w:rFonts w:hint="eastAsia" w:ascii="宋体" w:hAnsi="宋体" w:eastAsia="宋体" w:cs="宋体"/>
                <w:szCs w:val="22"/>
              </w:rPr>
              <w:t>一次性支付招标代理服务费。</w:t>
            </w:r>
          </w:p>
          <w:p>
            <w:pPr>
              <w:pStyle w:val="29"/>
              <w:spacing w:line="360" w:lineRule="auto"/>
              <w:jc w:val="left"/>
              <w:rPr>
                <w:rFonts w:hint="eastAsia"/>
                <w:b/>
                <w:bCs/>
              </w:rPr>
            </w:pPr>
            <w:r>
              <w:rPr>
                <w:rFonts w:hint="eastAsia"/>
                <w:b/>
                <w:bCs/>
              </w:rPr>
              <w:t>本项目类型：货物</w:t>
            </w:r>
          </w:p>
          <w:p>
            <w:pPr>
              <w:pStyle w:val="29"/>
              <w:spacing w:line="360" w:lineRule="auto"/>
              <w:jc w:val="left"/>
              <w:rPr>
                <w:rFonts w:hint="eastAsia" w:eastAsia="宋体"/>
                <w:color w:val="auto"/>
                <w:lang w:eastAsia="zh-CN"/>
              </w:rPr>
            </w:pPr>
            <w:r>
              <w:rPr>
                <w:rFonts w:hint="eastAsia"/>
                <w:color w:val="auto"/>
              </w:rPr>
              <w:t>户名：</w:t>
            </w:r>
            <w:r>
              <w:rPr>
                <w:rFonts w:hint="eastAsia"/>
                <w:color w:val="auto"/>
                <w:lang w:eastAsia="zh-CN"/>
              </w:rPr>
              <w:t>陕西正鸿项目管理有限公司</w:t>
            </w:r>
          </w:p>
          <w:p>
            <w:pPr>
              <w:pStyle w:val="29"/>
              <w:spacing w:line="360" w:lineRule="auto"/>
              <w:jc w:val="left"/>
              <w:rPr>
                <w:color w:val="auto"/>
              </w:rPr>
            </w:pPr>
            <w:r>
              <w:rPr>
                <w:rFonts w:hint="eastAsia"/>
                <w:color w:val="auto"/>
              </w:rPr>
              <w:t>开户行：交通银行股份有限公司西安大雁塔支行</w:t>
            </w:r>
          </w:p>
          <w:p>
            <w:pPr>
              <w:pStyle w:val="29"/>
              <w:spacing w:line="360" w:lineRule="auto"/>
              <w:jc w:val="left"/>
              <w:rPr>
                <w:rFonts w:hint="eastAsia"/>
                <w:b/>
                <w:bCs/>
                <w:lang w:val="en-US" w:eastAsia="zh-CN"/>
              </w:rPr>
            </w:pPr>
            <w:r>
              <w:rPr>
                <w:rFonts w:hint="eastAsia"/>
                <w:color w:val="auto"/>
              </w:rPr>
              <w:t>账号：611301053018010099844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1" w:hRule="atLeast"/>
          <w:jc w:val="center"/>
        </w:trPr>
        <w:tc>
          <w:tcPr>
            <w:tcW w:w="840" w:type="dxa"/>
            <w:vAlign w:val="center"/>
          </w:tcPr>
          <w:p>
            <w:pPr>
              <w:pStyle w:val="29"/>
              <w:spacing w:line="360" w:lineRule="auto"/>
              <w:rPr>
                <w:rFonts w:hint="default" w:eastAsia="宋体"/>
                <w:b/>
                <w:bCs/>
                <w:lang w:val="en-US" w:eastAsia="zh-CN"/>
              </w:rPr>
            </w:pPr>
            <w:bookmarkStart w:id="25" w:name="_Toc363473972"/>
            <w:bookmarkStart w:id="26" w:name="_Toc6935"/>
            <w:bookmarkStart w:id="27" w:name="_Toc403077639"/>
            <w:bookmarkStart w:id="28" w:name="_Toc363474017"/>
            <w:bookmarkStart w:id="29" w:name="_Toc15533"/>
            <w:r>
              <w:rPr>
                <w:rFonts w:hint="eastAsia"/>
                <w:szCs w:val="22"/>
                <w:lang w:val="en-US" w:eastAsia="zh-CN"/>
              </w:rPr>
              <w:t>35</w:t>
            </w:r>
          </w:p>
        </w:tc>
        <w:tc>
          <w:tcPr>
            <w:tcW w:w="1619" w:type="dxa"/>
            <w:vAlign w:val="center"/>
          </w:tcPr>
          <w:p>
            <w:pPr>
              <w:pStyle w:val="29"/>
              <w:spacing w:line="360" w:lineRule="auto"/>
              <w:rPr>
                <w:rFonts w:hint="default" w:ascii="宋体" w:hAnsi="宋体" w:eastAsia="宋体" w:cs="宋体"/>
                <w:b/>
                <w:bCs/>
                <w:szCs w:val="22"/>
                <w:lang w:val="en-US" w:eastAsia="zh-CN"/>
              </w:rPr>
            </w:pPr>
            <w:r>
              <w:rPr>
                <w:rFonts w:hint="eastAsia" w:ascii="宋体" w:hAnsi="宋体" w:eastAsia="宋体" w:cs="宋体"/>
                <w:b/>
                <w:bCs/>
                <w:color w:val="000000" w:themeColor="text1"/>
                <w:szCs w:val="22"/>
                <w:lang w:val="en-US" w:eastAsia="zh-CN"/>
                <w14:textFill>
                  <w14:solidFill>
                    <w14:schemeClr w14:val="tx1"/>
                  </w14:solidFill>
                </w14:textFill>
              </w:rPr>
              <w:t>样品</w:t>
            </w:r>
          </w:p>
        </w:tc>
        <w:tc>
          <w:tcPr>
            <w:tcW w:w="6884" w:type="dxa"/>
            <w:vAlign w:val="center"/>
          </w:tcPr>
          <w:p>
            <w:pPr>
              <w:pStyle w:val="29"/>
              <w:spacing w:line="360" w:lineRule="auto"/>
              <w:jc w:val="left"/>
              <w:rPr>
                <w:rFonts w:hint="eastAsia"/>
                <w:b/>
                <w:bCs/>
              </w:rPr>
            </w:pPr>
            <w:r>
              <w:rPr>
                <w:rFonts w:hint="eastAsia"/>
                <w:b/>
                <w:bCs/>
              </w:rPr>
              <w:t>提供带原包装样品（米、面为袋装，食用油为桶装）</w:t>
            </w:r>
          </w:p>
          <w:p>
            <w:pPr>
              <w:pStyle w:val="12"/>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lang w:val="en-US" w:eastAsia="zh-CN"/>
              </w:rPr>
              <w:t>合同包1</w:t>
            </w:r>
            <w:r>
              <w:rPr>
                <w:rFonts w:hint="eastAsia" w:cs="宋体" w:asciiTheme="minorEastAsia" w:hAnsiTheme="minorEastAsia" w:eastAsiaTheme="minorEastAsia"/>
                <w:b/>
                <w:sz w:val="24"/>
                <w:lang w:eastAsia="zh-CN"/>
              </w:rPr>
              <w:t>：现场蒸、试吃</w:t>
            </w:r>
          </w:p>
          <w:p>
            <w:pPr>
              <w:pStyle w:val="12"/>
              <w:spacing w:line="360" w:lineRule="auto"/>
              <w:rPr>
                <w:rFonts w:hAnsi="宋体"/>
                <w:b/>
                <w:bCs/>
                <w:color w:val="auto"/>
                <w:sz w:val="24"/>
                <w:szCs w:val="24"/>
              </w:rPr>
            </w:pPr>
            <w:r>
              <w:rPr>
                <w:rFonts w:hint="eastAsia" w:hAnsi="宋体"/>
                <w:b/>
                <w:bCs/>
                <w:color w:val="auto"/>
                <w:sz w:val="24"/>
                <w:szCs w:val="24"/>
              </w:rPr>
              <w:t>1.大米（一级、二级）各2袋（25kg/袋）</w:t>
            </w:r>
          </w:p>
          <w:p>
            <w:pPr>
              <w:pStyle w:val="12"/>
              <w:spacing w:line="360" w:lineRule="auto"/>
              <w:rPr>
                <w:rFonts w:hint="eastAsia" w:hAnsi="宋体"/>
                <w:sz w:val="24"/>
                <w:szCs w:val="24"/>
              </w:rPr>
            </w:pPr>
            <w:r>
              <w:rPr>
                <w:rFonts w:hint="eastAsia" w:hAnsi="宋体"/>
                <w:sz w:val="24"/>
                <w:szCs w:val="24"/>
              </w:rPr>
              <w:t>2.检测报告：提供所投产品生产厂家的国家相关部门认可的检验或检测机构出具的的产品质量检验报告（厂家提供原件，代理商提供复印件加盖厂家公章）</w:t>
            </w:r>
          </w:p>
          <w:p>
            <w:pPr>
              <w:pStyle w:val="12"/>
              <w:spacing w:line="360" w:lineRule="auto"/>
              <w:rPr>
                <w:rFonts w:hAnsi="宋体"/>
                <w:b/>
                <w:bCs/>
                <w:sz w:val="24"/>
                <w:szCs w:val="24"/>
              </w:rPr>
            </w:pPr>
            <w:r>
              <w:rPr>
                <w:rFonts w:hint="eastAsia" w:hAnsi="宋体"/>
                <w:b/>
                <w:bCs/>
                <w:sz w:val="24"/>
                <w:szCs w:val="24"/>
              </w:rPr>
              <w:t>3.样品（含包装等）均不得明示任何商标、厂家及品牌标识或投标人名称及其他特殊标记等信息，否则将被作为违规而被拒收，退回让其调整，调整后仍有商标、厂家及品牌标识或投标人名称的其样品分为零分。</w:t>
            </w:r>
          </w:p>
          <w:p>
            <w:pPr>
              <w:pStyle w:val="12"/>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4.</w:t>
            </w:r>
            <w:r>
              <w:rPr>
                <w:rFonts w:hint="eastAsia" w:hAnsi="宋体" w:cs="宋体"/>
                <w:bCs/>
                <w:sz w:val="24"/>
              </w:rPr>
              <w:t>美的MB-WFS4037（银色，三级能效，4L）的电饭锅一台，若未提供或未提供规定型号的电饭锅所产生的一切不利后果由投标人自行承担。电饭锅由投标人自行清洗，在样品评审当天退还。</w:t>
            </w:r>
          </w:p>
          <w:p>
            <w:pPr>
              <w:pStyle w:val="12"/>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lang w:val="en-US" w:eastAsia="zh-CN"/>
              </w:rPr>
              <w:t>合同包2</w:t>
            </w:r>
            <w:r>
              <w:rPr>
                <w:rFonts w:hint="eastAsia" w:cs="宋体" w:asciiTheme="minorEastAsia" w:hAnsiTheme="minorEastAsia" w:eastAsiaTheme="minorEastAsia"/>
                <w:b/>
                <w:sz w:val="24"/>
                <w:lang w:eastAsia="zh-CN"/>
              </w:rPr>
              <w:t>（</w:t>
            </w:r>
            <w:r>
              <w:rPr>
                <w:rFonts w:hint="eastAsia" w:cs="宋体" w:asciiTheme="minorEastAsia" w:hAnsiTheme="minorEastAsia" w:eastAsiaTheme="minorEastAsia"/>
                <w:b/>
                <w:sz w:val="24"/>
              </w:rPr>
              <w:t>面粉</w:t>
            </w:r>
            <w:r>
              <w:rPr>
                <w:rFonts w:hint="eastAsia" w:cs="宋体" w:asciiTheme="minorEastAsia" w:hAnsiTheme="minorEastAsia" w:eastAsiaTheme="minorEastAsia"/>
                <w:b/>
                <w:sz w:val="24"/>
                <w:lang w:eastAsia="zh-CN"/>
              </w:rPr>
              <w:t>）：带面带馒头</w:t>
            </w:r>
          </w:p>
          <w:p>
            <w:pPr>
              <w:pStyle w:val="12"/>
              <w:spacing w:line="360" w:lineRule="auto"/>
              <w:rPr>
                <w:rFonts w:cs="宋体" w:asciiTheme="minorEastAsia" w:hAnsiTheme="minorEastAsia" w:eastAsiaTheme="minorEastAsia"/>
                <w:b/>
                <w:bCs w:val="0"/>
                <w:color w:val="auto"/>
                <w:sz w:val="24"/>
              </w:rPr>
            </w:pPr>
            <w:r>
              <w:rPr>
                <w:rFonts w:hint="eastAsia" w:cs="宋体" w:asciiTheme="minorEastAsia" w:hAnsiTheme="minorEastAsia" w:eastAsiaTheme="minorEastAsia"/>
                <w:b/>
                <w:bCs w:val="0"/>
                <w:color w:val="auto"/>
                <w:sz w:val="24"/>
              </w:rPr>
              <w:t>1.面粉（特一粉、高筋粉）各2袋(25kg/袋)，样品制作的馒头10个,活面盆一个。</w:t>
            </w:r>
          </w:p>
          <w:p>
            <w:pPr>
              <w:pStyle w:val="12"/>
              <w:spacing w:line="360" w:lineRule="auto"/>
              <w:rPr>
                <w:rFonts w:hAnsi="宋体"/>
                <w:sz w:val="24"/>
                <w:szCs w:val="24"/>
              </w:rPr>
            </w:pPr>
            <w:r>
              <w:rPr>
                <w:rFonts w:hint="eastAsia" w:hAnsi="宋体"/>
                <w:sz w:val="24"/>
                <w:szCs w:val="24"/>
              </w:rPr>
              <w:t>2.检测报告：提供所投产品生产厂家的国家相关部门认可的检验或检测机构出具的的产品质量检验报告（厂家提供原件，代理商提供复印件加盖厂家公章）</w:t>
            </w:r>
          </w:p>
          <w:p>
            <w:pPr>
              <w:pStyle w:val="12"/>
              <w:spacing w:line="360" w:lineRule="auto"/>
              <w:rPr>
                <w:rFonts w:hAnsi="宋体"/>
                <w:b/>
                <w:bCs/>
                <w:sz w:val="24"/>
                <w:szCs w:val="24"/>
              </w:rPr>
            </w:pPr>
            <w:r>
              <w:rPr>
                <w:rFonts w:hint="eastAsia" w:hAnsi="宋体"/>
                <w:b/>
                <w:bCs/>
                <w:sz w:val="24"/>
                <w:szCs w:val="24"/>
              </w:rPr>
              <w:t>3.样品（含包装等）均不得明示任何商标、厂家及品牌标识或投标人名称及其他特殊标记等信息，否则将被作为违规而被拒收，退回让其调整，调整后仍有商标、厂家及品牌标识或投标人名称的其样品分为零分。</w:t>
            </w:r>
          </w:p>
          <w:p>
            <w:pPr>
              <w:pStyle w:val="12"/>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lang w:val="en-US" w:eastAsia="zh-CN"/>
              </w:rPr>
              <w:t>合同包3</w:t>
            </w:r>
            <w:r>
              <w:rPr>
                <w:rFonts w:hint="eastAsia" w:cs="宋体" w:asciiTheme="minorEastAsia" w:hAnsiTheme="minorEastAsia" w:eastAsiaTheme="minorEastAsia"/>
                <w:b/>
                <w:sz w:val="24"/>
                <w:lang w:eastAsia="zh-CN"/>
              </w:rPr>
              <w:t>（</w:t>
            </w:r>
            <w:r>
              <w:rPr>
                <w:rFonts w:hint="eastAsia" w:cs="宋体" w:asciiTheme="minorEastAsia" w:hAnsiTheme="minorEastAsia" w:eastAsiaTheme="minorEastAsia"/>
                <w:b/>
                <w:sz w:val="24"/>
              </w:rPr>
              <w:t>食用油</w:t>
            </w:r>
            <w:r>
              <w:rPr>
                <w:rFonts w:hint="eastAsia" w:cs="宋体" w:asciiTheme="minorEastAsia" w:hAnsiTheme="minorEastAsia" w:eastAsiaTheme="minorEastAsia"/>
                <w:b/>
                <w:sz w:val="24"/>
                <w:lang w:eastAsia="zh-CN"/>
              </w:rPr>
              <w:t>）</w:t>
            </w:r>
          </w:p>
          <w:p>
            <w:pPr>
              <w:pStyle w:val="12"/>
              <w:spacing w:line="360" w:lineRule="auto"/>
              <w:rPr>
                <w:rFonts w:hAnsi="宋体"/>
                <w:b/>
                <w:bCs/>
                <w:color w:val="auto"/>
                <w:sz w:val="24"/>
                <w:szCs w:val="24"/>
              </w:rPr>
            </w:pPr>
            <w:r>
              <w:rPr>
                <w:rFonts w:hint="eastAsia" w:hAnsi="宋体"/>
                <w:b/>
                <w:bCs/>
                <w:color w:val="auto"/>
                <w:sz w:val="24"/>
                <w:szCs w:val="24"/>
              </w:rPr>
              <w:t>1.食用油（大豆油、菜籽油）各2桶(20L/桶或16.3L/桶)</w:t>
            </w:r>
          </w:p>
          <w:p>
            <w:pPr>
              <w:pStyle w:val="12"/>
              <w:spacing w:line="360" w:lineRule="auto"/>
              <w:rPr>
                <w:rFonts w:hAnsi="宋体"/>
                <w:sz w:val="24"/>
                <w:szCs w:val="24"/>
              </w:rPr>
            </w:pPr>
            <w:r>
              <w:rPr>
                <w:rFonts w:hint="eastAsia" w:hAnsi="宋体"/>
                <w:sz w:val="24"/>
                <w:szCs w:val="24"/>
              </w:rPr>
              <w:t>2.检测报告：提供所投产品生产厂家的国家相关部门认可的检验或检测机构出具的的产品质量检验报告（厂家提供原件，代理商提供复印件加盖厂家公章）</w:t>
            </w:r>
          </w:p>
          <w:p>
            <w:pPr>
              <w:pStyle w:val="29"/>
              <w:spacing w:line="360" w:lineRule="auto"/>
              <w:jc w:val="left"/>
              <w:rPr>
                <w:rFonts w:hint="default"/>
                <w:b/>
                <w:bCs/>
                <w:color w:val="FF0000"/>
                <w:lang w:val="en-US" w:eastAsia="zh-CN"/>
              </w:rPr>
            </w:pPr>
            <w:r>
              <w:rPr>
                <w:rFonts w:hint="eastAsia" w:hAnsi="宋体"/>
                <w:b/>
                <w:bCs/>
                <w:sz w:val="24"/>
                <w:szCs w:val="24"/>
              </w:rPr>
              <w:t>3.样品（含包装等）均不得明示任何商标、厂家及品牌标识或投标人名称及其他特殊标记等信息，否则将被作为违规而被拒收，退回让其调整，调整后仍有商标、厂家及品牌标识或投标人名称的其样品分为零分。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1" w:hRule="atLeast"/>
          <w:jc w:val="center"/>
        </w:trPr>
        <w:tc>
          <w:tcPr>
            <w:tcW w:w="840" w:type="dxa"/>
            <w:vAlign w:val="center"/>
          </w:tcPr>
          <w:p>
            <w:pPr>
              <w:pStyle w:val="29"/>
              <w:spacing w:line="360" w:lineRule="auto"/>
              <w:rPr>
                <w:rFonts w:hint="default"/>
                <w:szCs w:val="22"/>
                <w:lang w:val="en-US" w:eastAsia="zh-CN"/>
              </w:rPr>
            </w:pPr>
            <w:r>
              <w:rPr>
                <w:rFonts w:hint="eastAsia"/>
                <w:szCs w:val="22"/>
                <w:lang w:val="en-US" w:eastAsia="zh-CN"/>
              </w:rPr>
              <w:t>36</w:t>
            </w:r>
          </w:p>
        </w:tc>
        <w:tc>
          <w:tcPr>
            <w:tcW w:w="1619" w:type="dxa"/>
            <w:vAlign w:val="center"/>
          </w:tcPr>
          <w:p>
            <w:pPr>
              <w:pStyle w:val="29"/>
              <w:spacing w:line="360" w:lineRule="auto"/>
              <w:rPr>
                <w:rFonts w:hint="eastAsia" w:ascii="宋体" w:hAnsi="宋体" w:eastAsia="宋体" w:cs="宋体"/>
                <w:b/>
                <w:bCs/>
                <w:color w:val="000000" w:themeColor="text1"/>
                <w:szCs w:val="22"/>
                <w:lang w:val="en-US" w:eastAsia="zh-CN"/>
                <w14:textFill>
                  <w14:solidFill>
                    <w14:schemeClr w14:val="tx1"/>
                  </w14:solidFill>
                </w14:textFill>
              </w:rPr>
            </w:pPr>
            <w:r>
              <w:rPr>
                <w:rFonts w:hint="eastAsia" w:ascii="宋体" w:hAnsi="宋体" w:eastAsia="宋体" w:cs="宋体"/>
                <w:b/>
                <w:bCs/>
                <w:color w:val="auto"/>
                <w:kern w:val="2"/>
                <w:szCs w:val="24"/>
                <w:highlight w:val="none"/>
                <w:lang w:val="en-US" w:eastAsia="zh-CN"/>
              </w:rPr>
              <w:t>标的所属行业</w:t>
            </w:r>
          </w:p>
        </w:tc>
        <w:tc>
          <w:tcPr>
            <w:tcW w:w="6884" w:type="dxa"/>
            <w:vAlign w:val="center"/>
          </w:tcPr>
          <w:p>
            <w:pPr>
              <w:pStyle w:val="29"/>
              <w:spacing w:line="360" w:lineRule="auto"/>
              <w:jc w:val="left"/>
              <w:rPr>
                <w:rFonts w:hint="eastAsia" w:hAnsi="宋体"/>
                <w:b/>
                <w:bCs/>
                <w:sz w:val="24"/>
                <w:szCs w:val="24"/>
              </w:rPr>
            </w:pPr>
            <w:r>
              <w:rPr>
                <w:rFonts w:hint="eastAsia"/>
                <w:b/>
                <w:bCs/>
                <w:color w:val="auto"/>
                <w:lang w:val="en-US" w:eastAsia="zh-CN"/>
              </w:rPr>
              <w:t>工业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1" w:hRule="atLeast"/>
          <w:jc w:val="center"/>
        </w:trPr>
        <w:tc>
          <w:tcPr>
            <w:tcW w:w="840" w:type="dxa"/>
            <w:vAlign w:val="center"/>
          </w:tcPr>
          <w:p>
            <w:pPr>
              <w:pStyle w:val="29"/>
              <w:spacing w:line="360" w:lineRule="auto"/>
              <w:rPr>
                <w:rFonts w:hint="default" w:eastAsia="宋体"/>
                <w:lang w:val="en-US" w:eastAsia="zh-CN"/>
              </w:rPr>
            </w:pPr>
            <w:r>
              <w:rPr>
                <w:rFonts w:hint="eastAsia"/>
                <w:lang w:val="en-US" w:eastAsia="zh-CN"/>
              </w:rPr>
              <w:t>37</w:t>
            </w:r>
          </w:p>
        </w:tc>
        <w:tc>
          <w:tcPr>
            <w:tcW w:w="1619" w:type="dxa"/>
            <w:vAlign w:val="center"/>
          </w:tcPr>
          <w:p>
            <w:pPr>
              <w:pStyle w:val="29"/>
              <w:spacing w:line="360" w:lineRule="auto"/>
              <w:rPr>
                <w:rFonts w:hint="eastAsia" w:ascii="宋体" w:hAnsi="宋体" w:eastAsia="宋体" w:cs="宋体"/>
                <w:szCs w:val="22"/>
              </w:rPr>
            </w:pPr>
            <w:r>
              <w:rPr>
                <w:rFonts w:hint="eastAsia" w:ascii="宋体" w:hAnsi="宋体" w:eastAsia="宋体" w:cs="宋体"/>
                <w:szCs w:val="22"/>
              </w:rPr>
              <w:t>一致性</w:t>
            </w:r>
          </w:p>
        </w:tc>
        <w:tc>
          <w:tcPr>
            <w:tcW w:w="6884" w:type="dxa"/>
            <w:vAlign w:val="center"/>
          </w:tcPr>
          <w:p>
            <w:pPr>
              <w:pStyle w:val="29"/>
              <w:spacing w:line="360" w:lineRule="auto"/>
              <w:jc w:val="left"/>
              <w:rPr>
                <w:rFonts w:hint="eastAsia"/>
              </w:rPr>
            </w:pPr>
            <w:r>
              <w:rPr>
                <w:rFonts w:hint="eastAsia"/>
              </w:rPr>
              <w:t>投标人须知前附表和须知不一致的地方，以前附表为准。</w:t>
            </w:r>
          </w:p>
        </w:tc>
      </w:tr>
      <w:bookmarkEnd w:id="8"/>
      <w:bookmarkEnd w:id="9"/>
      <w:bookmarkEnd w:id="10"/>
    </w:tbl>
    <w:p>
      <w:pPr>
        <w:rPr>
          <w:rStyle w:val="30"/>
          <w:rFonts w:hint="eastAsia" w:eastAsia="宋体"/>
          <w:lang w:val="en-US" w:eastAsia="zh-CN"/>
        </w:rPr>
      </w:pPr>
      <w:r>
        <w:rPr>
          <w:rStyle w:val="30"/>
          <w:rFonts w:hint="eastAsia"/>
        </w:rPr>
        <w:br w:type="page"/>
      </w:r>
    </w:p>
    <w:p>
      <w:pPr>
        <w:pStyle w:val="4"/>
        <w:rPr>
          <w:rStyle w:val="30"/>
          <w:b/>
          <w:bCs/>
        </w:rPr>
      </w:pPr>
      <w:r>
        <w:rPr>
          <w:rStyle w:val="30"/>
          <w:rFonts w:hint="eastAsia"/>
          <w:b/>
          <w:bCs/>
        </w:rPr>
        <w:t>一.总  则</w:t>
      </w:r>
      <w:bookmarkEnd w:id="25"/>
      <w:bookmarkEnd w:id="26"/>
      <w:bookmarkEnd w:id="27"/>
      <w:bookmarkEnd w:id="28"/>
      <w:bookmarkEnd w:id="29"/>
    </w:p>
    <w:p>
      <w:pPr>
        <w:pStyle w:val="2"/>
      </w:pPr>
      <w:bookmarkStart w:id="30" w:name="_Toc30734"/>
      <w:bookmarkStart w:id="31" w:name="_Toc23273"/>
      <w:r>
        <w:rPr>
          <w:rFonts w:hint="eastAsia"/>
        </w:rPr>
        <w:t>1.资金来源</w:t>
      </w:r>
      <w:bookmarkEnd w:id="30"/>
      <w:bookmarkEnd w:id="31"/>
    </w:p>
    <w:p>
      <w:pPr>
        <w:pStyle w:val="8"/>
        <w:ind w:firstLine="480"/>
      </w:pPr>
      <w:r>
        <w:rPr>
          <w:rFonts w:hint="eastAsia"/>
        </w:rPr>
        <w:t>1.1本次招标采购所签合同使用财政资金支付，资金已落实到位。</w:t>
      </w:r>
    </w:p>
    <w:p>
      <w:pPr>
        <w:pStyle w:val="2"/>
      </w:pPr>
      <w:bookmarkStart w:id="32" w:name="_Toc15117"/>
      <w:bookmarkStart w:id="33" w:name="_Toc20780"/>
      <w:r>
        <w:rPr>
          <w:rFonts w:hint="eastAsia"/>
        </w:rPr>
        <w:t>2.名词解释</w:t>
      </w:r>
      <w:bookmarkEnd w:id="32"/>
      <w:bookmarkEnd w:id="33"/>
    </w:p>
    <w:p>
      <w:pPr>
        <w:pStyle w:val="8"/>
        <w:ind w:firstLine="480"/>
      </w:pPr>
      <w:r>
        <w:rPr>
          <w:rFonts w:hint="eastAsia"/>
        </w:rPr>
        <w:t>2.1</w:t>
      </w:r>
      <w:r>
        <w:rPr>
          <w:rFonts w:hint="eastAsia"/>
          <w:lang w:eastAsia="zh-CN"/>
        </w:rPr>
        <w:t>招标人</w:t>
      </w:r>
      <w:r>
        <w:rPr>
          <w:rFonts w:hint="eastAsia"/>
        </w:rPr>
        <w:t>：见投标人须知前附表。</w:t>
      </w:r>
    </w:p>
    <w:p>
      <w:pPr>
        <w:pStyle w:val="8"/>
        <w:ind w:firstLine="480"/>
      </w:pPr>
      <w:r>
        <w:rPr>
          <w:rFonts w:hint="eastAsia"/>
        </w:rPr>
        <w:t>2.2</w:t>
      </w:r>
      <w:r>
        <w:rPr>
          <w:rFonts w:hint="eastAsia"/>
          <w:lang w:eastAsia="zh-CN"/>
        </w:rPr>
        <w:t>招标代理机构</w:t>
      </w:r>
      <w:r>
        <w:rPr>
          <w:rFonts w:hint="eastAsia"/>
        </w:rPr>
        <w:t>：见投标人须知前附表。</w:t>
      </w:r>
    </w:p>
    <w:p>
      <w:pPr>
        <w:pStyle w:val="8"/>
        <w:ind w:firstLine="480"/>
      </w:pPr>
      <w:r>
        <w:rPr>
          <w:rFonts w:hint="eastAsia"/>
        </w:rPr>
        <w:t>2.3监督机构：同级人民政府财政部门及有关部门</w:t>
      </w:r>
    </w:p>
    <w:p>
      <w:pPr>
        <w:pStyle w:val="8"/>
        <w:ind w:firstLine="480"/>
      </w:pPr>
      <w:r>
        <w:rPr>
          <w:rFonts w:hint="eastAsia"/>
        </w:rPr>
        <w:t>2.4投标人：是指响应和符合招标文件规定资格条件且参与投标竞争的法人、其他组织或者自然人。</w:t>
      </w:r>
    </w:p>
    <w:p>
      <w:pPr>
        <w:pStyle w:val="8"/>
        <w:ind w:firstLine="480"/>
      </w:pPr>
      <w:r>
        <w:rPr>
          <w:rFonts w:hint="eastAsia"/>
        </w:rPr>
        <w:t>2.5产品是指本招标文件中第四章所述所有产品。</w:t>
      </w:r>
    </w:p>
    <w:p>
      <w:pPr>
        <w:pStyle w:val="8"/>
        <w:ind w:firstLine="480"/>
      </w:pPr>
      <w:r>
        <w:rPr>
          <w:rFonts w:hint="eastAsia"/>
        </w:rPr>
        <w:t>2.6服务是指投标人为满足招标文件要求而提供的服务。</w:t>
      </w:r>
    </w:p>
    <w:p>
      <w:pPr>
        <w:pStyle w:val="8"/>
        <w:ind w:firstLine="480"/>
      </w:pPr>
      <w:r>
        <w:rPr>
          <w:rFonts w:hint="eastAsia"/>
        </w:rPr>
        <w:t>2.7节能产品或者环保产品是指依据国家确定的认证机构出具的、处于有效期之内的具有节能产品、环境标志产品认证证书的产品。</w:t>
      </w:r>
    </w:p>
    <w:p>
      <w:pPr>
        <w:pStyle w:val="8"/>
        <w:ind w:firstLine="480"/>
      </w:pPr>
      <w:r>
        <w:rPr>
          <w:rFonts w:hint="eastAsia"/>
        </w:rPr>
        <w:t>2.8进口产品是指通过中国海关报关验放进入中国境内且产自关境外的产品，详见《关于政府采购进口产品管理有关问题的通知》(财库[2007]119号)。</w:t>
      </w:r>
    </w:p>
    <w:p>
      <w:pPr>
        <w:pStyle w:val="8"/>
        <w:ind w:firstLine="480"/>
      </w:pPr>
      <w:r>
        <w:rPr>
          <w:rFonts w:hint="eastAsia"/>
        </w:rPr>
        <w:t>2.9中小企业是指符合《工业和信息化部、国家统计局、国家发展和改革委员会、财政部关于印发中小企业划型标准规定的通知》（工信部联企业[2011]300号）规定的对中小企业的划分标准的企业。</w:t>
      </w:r>
    </w:p>
    <w:p>
      <w:pPr>
        <w:pStyle w:val="8"/>
        <w:ind w:firstLine="480"/>
      </w:pPr>
      <w:r>
        <w:rPr>
          <w:rFonts w:hint="eastAsia"/>
        </w:rPr>
        <w:t>2.10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Style w:val="8"/>
        <w:ind w:firstLine="480"/>
      </w:pPr>
      <w:r>
        <w:rPr>
          <w:rFonts w:hint="eastAsia"/>
        </w:rPr>
        <w:t>2.11残疾人福利性单位是指符合《三部门联合发布关于促进残疾人就业政府采购政策的通知》财库〔2017〕141号规定的对残疾人福利性单位划分标准的单位。</w:t>
      </w:r>
    </w:p>
    <w:p>
      <w:pPr>
        <w:pStyle w:val="2"/>
      </w:pPr>
      <w:bookmarkStart w:id="34" w:name="_Toc796"/>
      <w:bookmarkStart w:id="35" w:name="_Toc22955"/>
      <w:r>
        <w:rPr>
          <w:rFonts w:hint="eastAsia"/>
        </w:rPr>
        <w:t>3.合格的投标人</w:t>
      </w:r>
      <w:bookmarkEnd w:id="34"/>
      <w:bookmarkEnd w:id="35"/>
    </w:p>
    <w:p>
      <w:pPr>
        <w:pStyle w:val="8"/>
        <w:ind w:firstLine="480"/>
      </w:pPr>
      <w:r>
        <w:rPr>
          <w:rFonts w:hint="eastAsia"/>
        </w:rPr>
        <w:t>3.1《政府采购法》第二十二条第一款规定的投标人基本资格条件：</w:t>
      </w:r>
    </w:p>
    <w:p>
      <w:pPr>
        <w:pStyle w:val="8"/>
        <w:ind w:firstLine="480"/>
      </w:pPr>
      <w:r>
        <w:rPr>
          <w:rFonts w:hint="eastAsia"/>
        </w:rPr>
        <w:t xml:space="preserve">   （1）具有独立承担民事责任的能力；</w:t>
      </w:r>
    </w:p>
    <w:p>
      <w:pPr>
        <w:pStyle w:val="8"/>
        <w:ind w:firstLine="480"/>
      </w:pPr>
      <w:r>
        <w:rPr>
          <w:rFonts w:hint="eastAsia"/>
        </w:rPr>
        <w:t xml:space="preserve">   （2）具有良好的商业信誉和健全的财务会计制度；</w:t>
      </w:r>
    </w:p>
    <w:p>
      <w:pPr>
        <w:pStyle w:val="8"/>
        <w:ind w:firstLine="480"/>
      </w:pPr>
      <w:r>
        <w:rPr>
          <w:rFonts w:hint="eastAsia"/>
        </w:rPr>
        <w:t xml:space="preserve">   （3）具有履行合同所必需的设备和专业技术能力；</w:t>
      </w:r>
    </w:p>
    <w:p>
      <w:pPr>
        <w:pStyle w:val="8"/>
        <w:ind w:firstLine="480"/>
      </w:pPr>
      <w:r>
        <w:rPr>
          <w:rFonts w:hint="eastAsia"/>
        </w:rPr>
        <w:t xml:space="preserve">   （4）有依法缴纳税收和社会保障资金的良好记录；</w:t>
      </w:r>
    </w:p>
    <w:p>
      <w:pPr>
        <w:pStyle w:val="8"/>
        <w:ind w:firstLine="480"/>
      </w:pPr>
      <w:r>
        <w:rPr>
          <w:rFonts w:hint="eastAsia"/>
        </w:rPr>
        <w:t xml:space="preserve">   （5）参加政府采购活动前三年内，在经营活动中没有重大违法记录；</w:t>
      </w:r>
    </w:p>
    <w:p>
      <w:pPr>
        <w:pStyle w:val="8"/>
        <w:ind w:firstLine="480"/>
      </w:pPr>
      <w:r>
        <w:rPr>
          <w:rFonts w:hint="eastAsia"/>
        </w:rPr>
        <w:t xml:space="preserve">   （6）法律、行政法规规定的其他条件。</w:t>
      </w:r>
    </w:p>
    <w:p>
      <w:pPr>
        <w:pStyle w:val="8"/>
        <w:ind w:firstLine="480"/>
      </w:pPr>
      <w:r>
        <w:rPr>
          <w:rFonts w:hint="eastAsia"/>
        </w:rPr>
        <w:t>3.2根据本次采购项目的特殊要求，规定的投标人特殊条件（见投标人须知前附表）。</w:t>
      </w:r>
    </w:p>
    <w:p>
      <w:pPr>
        <w:pStyle w:val="8"/>
        <w:ind w:firstLine="480"/>
      </w:pPr>
      <w:r>
        <w:rPr>
          <w:rFonts w:hint="eastAsia"/>
        </w:rPr>
        <w:t>3.3单位负责人为同一人或者存在直接控股、管理关系的不同投标人，不得参加同一合同项下的政府采购活动。</w:t>
      </w:r>
    </w:p>
    <w:p>
      <w:pPr>
        <w:pStyle w:val="8"/>
        <w:ind w:firstLine="480"/>
      </w:pPr>
      <w:r>
        <w:rPr>
          <w:rFonts w:hint="eastAsia"/>
        </w:rPr>
        <w:t>除单一来源采购项目外，为采购项目提供整体设计、规范编制或者项目管理、监理、检测等服务的投标人，不得再参加该采购项目的其他采购活动，否则均为无效投标。</w:t>
      </w:r>
    </w:p>
    <w:p>
      <w:pPr>
        <w:pStyle w:val="8"/>
        <w:ind w:firstLine="480"/>
      </w:pPr>
      <w:r>
        <w:rPr>
          <w:rFonts w:hint="eastAsia"/>
        </w:rPr>
        <w:t>3.4投标人必须在</w:t>
      </w:r>
      <w:r>
        <w:rPr>
          <w:rFonts w:hint="eastAsia"/>
          <w:lang w:eastAsia="zh-CN"/>
        </w:rPr>
        <w:t>陕西正鸿项目管理有限公司</w:t>
      </w:r>
      <w:r>
        <w:rPr>
          <w:rFonts w:hint="eastAsia"/>
        </w:rPr>
        <w:t>购买招标文件，方可参加投标。招标文件售后不退。</w:t>
      </w:r>
    </w:p>
    <w:p>
      <w:pPr>
        <w:pStyle w:val="8"/>
        <w:ind w:firstLine="480"/>
      </w:pPr>
      <w:bookmarkStart w:id="36" w:name="OLE_LINK33"/>
      <w:r>
        <w:rPr>
          <w:rFonts w:hint="eastAsia"/>
        </w:rPr>
        <w:t>3.</w:t>
      </w:r>
      <w:bookmarkEnd w:id="36"/>
      <w:r>
        <w:rPr>
          <w:rFonts w:hint="eastAsia"/>
        </w:rPr>
        <w:t>5联合体投标</w:t>
      </w:r>
    </w:p>
    <w:p>
      <w:pPr>
        <w:pStyle w:val="8"/>
        <w:ind w:firstLine="480"/>
      </w:pPr>
      <w:r>
        <w:rPr>
          <w:rFonts w:hint="eastAsia"/>
        </w:rPr>
        <w:t>3.5.1如果在招标文件中接受联合体投标（见投标人须知前附表），则两个以上投标人可以组成一个投标联合体，以一个投标人的身份投标。以联合体形式参加投标的，联合体各方均应当符合《中华人民共和国政府采购法》及实施条例规定的条件。</w:t>
      </w:r>
      <w:r>
        <w:rPr>
          <w:rFonts w:hint="eastAsia"/>
          <w:lang w:eastAsia="zh-CN"/>
        </w:rPr>
        <w:t>招标人</w:t>
      </w:r>
      <w:r>
        <w:rPr>
          <w:rFonts w:hint="eastAsia"/>
        </w:rPr>
        <w:t>根据采购项目的特殊要求规定投标人特定条件的，联合体各方中至少应当有一方符合</w:t>
      </w:r>
      <w:r>
        <w:rPr>
          <w:rFonts w:hint="eastAsia"/>
          <w:lang w:eastAsia="zh-CN"/>
        </w:rPr>
        <w:t>招标人</w:t>
      </w:r>
      <w:r>
        <w:rPr>
          <w:rFonts w:hint="eastAsia"/>
        </w:rPr>
        <w:t>规定的特定条件。</w:t>
      </w:r>
    </w:p>
    <w:p>
      <w:pPr>
        <w:pStyle w:val="8"/>
        <w:ind w:firstLine="480"/>
      </w:pPr>
      <w:r>
        <w:rPr>
          <w:rFonts w:hint="eastAsia"/>
        </w:rPr>
        <w:t>3.5.2联合体各方之间应当签订共同投标协议，明确约定联合体各方承担的工作和相应的责任，并将共同投标协议连同投标文件一并提交</w:t>
      </w:r>
      <w:r>
        <w:rPr>
          <w:rFonts w:hint="eastAsia"/>
          <w:lang w:eastAsia="zh-CN"/>
        </w:rPr>
        <w:t>招标代理机构</w:t>
      </w:r>
      <w:r>
        <w:rPr>
          <w:rFonts w:hint="eastAsia"/>
        </w:rPr>
        <w:t>。联合体各方签订共同投标协议后，不得再以自己名义单独在同一项目中投标，也不得组成新的联合体参加同一项目投标。</w:t>
      </w:r>
    </w:p>
    <w:p>
      <w:pPr>
        <w:pStyle w:val="8"/>
        <w:ind w:firstLine="480"/>
      </w:pPr>
      <w:r>
        <w:rPr>
          <w:rFonts w:hint="eastAsia"/>
        </w:rPr>
        <w:t>3.5.3联合体各方应当共同与</w:t>
      </w:r>
      <w:r>
        <w:rPr>
          <w:rFonts w:hint="eastAsia"/>
          <w:lang w:eastAsia="zh-CN"/>
        </w:rPr>
        <w:t>招标人</w:t>
      </w:r>
      <w:r>
        <w:rPr>
          <w:rFonts w:hint="eastAsia"/>
        </w:rPr>
        <w:t>签订采购合同，就采购合同约定的事项对</w:t>
      </w:r>
      <w:r>
        <w:rPr>
          <w:rFonts w:hint="eastAsia"/>
          <w:lang w:eastAsia="zh-CN"/>
        </w:rPr>
        <w:t>招标人</w:t>
      </w:r>
      <w:r>
        <w:rPr>
          <w:rFonts w:hint="eastAsia"/>
        </w:rPr>
        <w:t>承担连带责任。</w:t>
      </w:r>
    </w:p>
    <w:p>
      <w:pPr>
        <w:pStyle w:val="8"/>
        <w:ind w:firstLine="480"/>
      </w:pPr>
      <w:r>
        <w:rPr>
          <w:rFonts w:hint="eastAsia"/>
        </w:rPr>
        <w:t>3.6投标费用自理。不论投标的结果如何，投标人均应自行承担所有与参加投标有关的费用。</w:t>
      </w:r>
    </w:p>
    <w:p>
      <w:pPr>
        <w:pStyle w:val="2"/>
      </w:pPr>
      <w:bookmarkStart w:id="37" w:name="_Toc6408"/>
      <w:bookmarkStart w:id="38" w:name="_Toc26236"/>
      <w:r>
        <w:rPr>
          <w:rFonts w:hint="eastAsia"/>
        </w:rPr>
        <w:t>4.合格的货物（产品）和服务</w:t>
      </w:r>
      <w:bookmarkEnd w:id="37"/>
      <w:bookmarkEnd w:id="38"/>
    </w:p>
    <w:p>
      <w:pPr>
        <w:pStyle w:val="8"/>
        <w:ind w:firstLine="480"/>
      </w:pPr>
      <w:r>
        <w:rPr>
          <w:rFonts w:hint="eastAsia"/>
        </w:rPr>
        <w:t>4.1投标人提供的所有货物和服务，必须是合法生产、合法来源（提供产品来源渠道合法的证明文件：</w:t>
      </w:r>
      <w:r>
        <w:rPr>
          <w:rFonts w:hint="eastAsia"/>
          <w:lang w:eastAsia="zh-CN"/>
        </w:rPr>
        <w:t>合同包</w:t>
      </w:r>
      <w:r>
        <w:rPr>
          <w:rFonts w:hint="eastAsia"/>
        </w:rPr>
        <w:t>括但不限于销售协议、代理协议、原厂授权等），符合国家有关标准要求，并满足招标文件规定的规格、参数、质量、价格、有效期、售后服务及投标人须承担的运输、安装、技术支持、培训和招标文件规定的其它伴随服务等要求。</w:t>
      </w:r>
    </w:p>
    <w:p>
      <w:pPr>
        <w:pStyle w:val="8"/>
        <w:ind w:firstLine="480"/>
      </w:pPr>
      <w:r>
        <w:rPr>
          <w:rFonts w:hint="eastAsia"/>
        </w:rPr>
        <w:t>4.2</w:t>
      </w:r>
      <w:r>
        <w:rPr>
          <w:rFonts w:hint="eastAsia"/>
          <w:lang w:eastAsia="zh-CN"/>
        </w:rPr>
        <w:t>招标人</w:t>
      </w:r>
      <w:r>
        <w:rPr>
          <w:rFonts w:hint="eastAsia"/>
        </w:rPr>
        <w:t>有权拒绝接受任何不合格的产品和服务，由此产生的费用及相关后果均由投标人自行承担。</w:t>
      </w:r>
    </w:p>
    <w:p>
      <w:pPr>
        <w:pStyle w:val="2"/>
      </w:pPr>
      <w:bookmarkStart w:id="39" w:name="_Toc16465"/>
      <w:bookmarkStart w:id="40" w:name="_Toc32166"/>
      <w:r>
        <w:rPr>
          <w:rFonts w:hint="eastAsia"/>
        </w:rPr>
        <w:t>5.投标人信用记录查询及使用</w:t>
      </w:r>
      <w:bookmarkEnd w:id="39"/>
      <w:bookmarkEnd w:id="40"/>
    </w:p>
    <w:p>
      <w:pPr>
        <w:pStyle w:val="8"/>
        <w:ind w:firstLine="480"/>
      </w:pPr>
      <w:r>
        <w:rPr>
          <w:rFonts w:hint="eastAsia"/>
        </w:rPr>
        <w:t>5.1“信用中国”网站（www.creditchina.gov.cn）和“中国政府采购网”（ccgp.gov.cn）为投标人信用信息查询渠道，如果投标人被查实在投标截止时间前已列入失信被执行人、重大税收违法案件当事人名单、政府采购严重违法失信行为记录名单，其投标为无效。</w:t>
      </w:r>
      <w:r>
        <w:rPr>
          <w:rFonts w:hint="eastAsia"/>
          <w:lang w:eastAsia="zh-CN"/>
        </w:rPr>
        <w:t>招标代理机构</w:t>
      </w:r>
      <w:r>
        <w:rPr>
          <w:rFonts w:hint="eastAsia"/>
        </w:rPr>
        <w:t xml:space="preserve">将打印查询记录作为证据留存。 </w:t>
      </w:r>
    </w:p>
    <w:p>
      <w:pPr>
        <w:pStyle w:val="8"/>
        <w:ind w:firstLine="480"/>
      </w:pPr>
      <w:r>
        <w:rPr>
          <w:rFonts w:hint="eastAsia"/>
        </w:rPr>
        <w:t>5.2投标人在参加政府采购活动前3年内因违法经营被禁止在一定期限内参加政府采购活动，期限届满的，可以参加政府采购活动的，但投标人应提供相关证明材料。</w:t>
      </w:r>
    </w:p>
    <w:p>
      <w:pPr>
        <w:pStyle w:val="2"/>
      </w:pPr>
      <w:r>
        <w:rPr>
          <w:rFonts w:hint="eastAsia"/>
        </w:rPr>
        <w:t>6.投标文件内容的真实性</w:t>
      </w:r>
    </w:p>
    <w:p>
      <w:pPr>
        <w:pStyle w:val="8"/>
        <w:ind w:firstLine="480"/>
      </w:pPr>
      <w:r>
        <w:rPr>
          <w:rFonts w:hint="eastAsia"/>
        </w:rPr>
        <w:t>6.1投标人应保证其投标文件中所提供的所有投标资料、信息是真实的，并且来源于合法的渠道。因投标文件中所提供的投标资料、信息不真实或者其来源不合法而导致的所有法律责任，由投标人自行承担。</w:t>
      </w:r>
    </w:p>
    <w:p>
      <w:pPr>
        <w:pStyle w:val="4"/>
      </w:pPr>
      <w:bookmarkStart w:id="41" w:name="_Toc22646"/>
      <w:bookmarkStart w:id="42" w:name="_Toc2698"/>
      <w:bookmarkStart w:id="43" w:name="_Toc403077640"/>
      <w:bookmarkStart w:id="44" w:name="_Toc363474018"/>
      <w:bookmarkStart w:id="45" w:name="_Toc363473973"/>
      <w:r>
        <w:rPr>
          <w:rFonts w:hint="eastAsia"/>
        </w:rPr>
        <w:t>二.招标文件</w:t>
      </w:r>
      <w:bookmarkEnd w:id="41"/>
      <w:bookmarkEnd w:id="42"/>
      <w:bookmarkEnd w:id="43"/>
      <w:bookmarkEnd w:id="44"/>
      <w:bookmarkEnd w:id="45"/>
    </w:p>
    <w:p>
      <w:pPr>
        <w:pStyle w:val="2"/>
      </w:pPr>
      <w:bookmarkStart w:id="46" w:name="_Toc23312"/>
      <w:bookmarkStart w:id="47" w:name="_Toc31372"/>
      <w:r>
        <w:rPr>
          <w:rFonts w:hint="eastAsia"/>
        </w:rPr>
        <w:t>7.招标文件构成</w:t>
      </w:r>
      <w:bookmarkEnd w:id="46"/>
      <w:bookmarkEnd w:id="47"/>
    </w:p>
    <w:p>
      <w:pPr>
        <w:pStyle w:val="8"/>
        <w:ind w:firstLine="480"/>
      </w:pPr>
      <w:r>
        <w:rPr>
          <w:rFonts w:hint="eastAsia"/>
        </w:rPr>
        <w:t>7.1 招标文件要求提供的货物、服务，招标程序和合同条件在招标文件中均有说明。招标文件共六章，内容如下：</w:t>
      </w:r>
    </w:p>
    <w:p>
      <w:pPr>
        <w:pStyle w:val="8"/>
        <w:ind w:firstLine="480"/>
      </w:pPr>
      <w:r>
        <w:rPr>
          <w:rFonts w:hint="eastAsia"/>
        </w:rPr>
        <w:t>第一章 招标公告</w:t>
      </w:r>
    </w:p>
    <w:p>
      <w:pPr>
        <w:pStyle w:val="8"/>
        <w:ind w:firstLine="480"/>
      </w:pPr>
      <w:r>
        <w:rPr>
          <w:rFonts w:hint="eastAsia"/>
        </w:rPr>
        <w:t>第二章 投标人须知</w:t>
      </w:r>
    </w:p>
    <w:p>
      <w:pPr>
        <w:pStyle w:val="8"/>
        <w:ind w:firstLine="480"/>
      </w:pPr>
      <w:r>
        <w:rPr>
          <w:rFonts w:hint="eastAsia"/>
        </w:rPr>
        <w:t xml:space="preserve">第三章 </w:t>
      </w:r>
      <w:r>
        <w:rPr>
          <w:rFonts w:hint="eastAsia"/>
          <w:lang w:eastAsia="zh-CN"/>
        </w:rPr>
        <w:t>商务及合同主要条款</w:t>
      </w:r>
    </w:p>
    <w:p>
      <w:pPr>
        <w:pStyle w:val="8"/>
        <w:ind w:firstLine="480"/>
      </w:pPr>
      <w:r>
        <w:rPr>
          <w:rFonts w:hint="eastAsia"/>
        </w:rPr>
        <w:t>第四章 采购内容及技术要求</w:t>
      </w:r>
    </w:p>
    <w:p>
      <w:pPr>
        <w:pStyle w:val="8"/>
        <w:ind w:firstLine="480"/>
      </w:pPr>
      <w:r>
        <w:rPr>
          <w:rFonts w:hint="eastAsia"/>
        </w:rPr>
        <w:t>第五章 评标办法</w:t>
      </w:r>
    </w:p>
    <w:p>
      <w:pPr>
        <w:pStyle w:val="8"/>
        <w:ind w:firstLine="480"/>
      </w:pPr>
      <w:r>
        <w:rPr>
          <w:rFonts w:hint="eastAsia"/>
        </w:rPr>
        <w:t xml:space="preserve">第六章 投标文件构成及格式  </w:t>
      </w:r>
    </w:p>
    <w:p>
      <w:pPr>
        <w:pStyle w:val="8"/>
        <w:ind w:firstLine="480"/>
      </w:pPr>
      <w:r>
        <w:rPr>
          <w:rFonts w:hint="eastAsia"/>
        </w:rPr>
        <w:t>7.2投标人应认真阅读招标文件中所有的事项、格式、条款和规范等要求。如果投标人没有按照招标文件要求提交全部资料，或者投标文件没有对招标文件在各方面都做出实质性响应，由此带来不利于投标人的评标结果，其风险由投标人承担。</w:t>
      </w:r>
    </w:p>
    <w:p>
      <w:pPr>
        <w:pStyle w:val="8"/>
        <w:ind w:firstLine="480"/>
      </w:pPr>
      <w:r>
        <w:rPr>
          <w:rFonts w:hint="eastAsia"/>
        </w:rPr>
        <w:t>7.3本招标文件的解释权归</w:t>
      </w:r>
      <w:r>
        <w:rPr>
          <w:rFonts w:hint="eastAsia"/>
          <w:lang w:eastAsia="zh-CN"/>
        </w:rPr>
        <w:t>陕西正鸿项目管理有限公司</w:t>
      </w:r>
      <w:r>
        <w:rPr>
          <w:rFonts w:hint="eastAsia"/>
        </w:rPr>
        <w:t>，如发现招标文件内容与现行法律法规不相符的情况，以现行法律法规为准。</w:t>
      </w:r>
    </w:p>
    <w:p>
      <w:pPr>
        <w:pStyle w:val="2"/>
      </w:pPr>
      <w:bookmarkStart w:id="48" w:name="_Toc19868"/>
      <w:bookmarkStart w:id="49" w:name="_Toc616"/>
      <w:r>
        <w:rPr>
          <w:rFonts w:hint="eastAsia"/>
        </w:rPr>
        <w:t>8.招标文件的澄清修改及询问</w:t>
      </w:r>
      <w:bookmarkEnd w:id="48"/>
      <w:bookmarkEnd w:id="49"/>
    </w:p>
    <w:p>
      <w:pPr>
        <w:pStyle w:val="8"/>
        <w:ind w:firstLine="480"/>
      </w:pPr>
      <w:r>
        <w:rPr>
          <w:rFonts w:hint="eastAsia"/>
        </w:rPr>
        <w:t>8.1</w:t>
      </w:r>
      <w:r>
        <w:rPr>
          <w:rFonts w:hint="eastAsia"/>
          <w:lang w:eastAsia="zh-CN"/>
        </w:rPr>
        <w:t>招标人</w:t>
      </w:r>
      <w:r>
        <w:rPr>
          <w:rFonts w:hint="eastAsia"/>
        </w:rPr>
        <w:t>或</w:t>
      </w:r>
      <w:r>
        <w:rPr>
          <w:rFonts w:hint="eastAsia"/>
          <w:lang w:eastAsia="zh-CN"/>
        </w:rPr>
        <w:t>招标代理机构</w:t>
      </w:r>
      <w:r>
        <w:rPr>
          <w:rFonts w:hint="eastAsia"/>
        </w:rPr>
        <w:t>如果对已发出的招标文件进行必要的澄清或者修改，将在原公告发布媒体上发布澄清公告。澄清或者修改的内容为招标文件的组成部分。</w:t>
      </w:r>
    </w:p>
    <w:p>
      <w:pPr>
        <w:pStyle w:val="8"/>
        <w:ind w:firstLine="480"/>
      </w:pPr>
      <w:r>
        <w:rPr>
          <w:rFonts w:hint="eastAsia"/>
        </w:rPr>
        <w:t>8.2澄清或者修改的内容可能影响投标文件编制的，</w:t>
      </w:r>
      <w:r>
        <w:rPr>
          <w:rFonts w:hint="eastAsia"/>
          <w:lang w:eastAsia="zh-CN"/>
        </w:rPr>
        <w:t>招标代理机构</w:t>
      </w:r>
      <w:r>
        <w:rPr>
          <w:rFonts w:hint="eastAsia"/>
        </w:rPr>
        <w:t>将在投标截止时间至少15日前，以书面形式通知所有获取招标文件的潜在投标人；不足15日的，</w:t>
      </w:r>
      <w:r>
        <w:rPr>
          <w:rFonts w:hint="eastAsia"/>
          <w:lang w:eastAsia="zh-CN"/>
        </w:rPr>
        <w:t>招标代理机构</w:t>
      </w:r>
      <w:r>
        <w:rPr>
          <w:rFonts w:hint="eastAsia"/>
        </w:rPr>
        <w:t>将顺延提交投标文件的截止时间。</w:t>
      </w:r>
    </w:p>
    <w:p>
      <w:pPr>
        <w:pStyle w:val="8"/>
        <w:ind w:firstLine="480"/>
      </w:pPr>
      <w:r>
        <w:rPr>
          <w:rFonts w:hint="eastAsia"/>
        </w:rPr>
        <w:t>8.3已经购买招标文件的投标人对招标文件有疑问的，均应在购买招标文件后7个工作日内以书面形式向</w:t>
      </w:r>
      <w:r>
        <w:rPr>
          <w:rFonts w:hint="eastAsia"/>
          <w:lang w:eastAsia="zh-CN"/>
        </w:rPr>
        <w:t>招标代理机构</w:t>
      </w:r>
      <w:r>
        <w:rPr>
          <w:rFonts w:hint="eastAsia"/>
        </w:rPr>
        <w:t>提出，</w:t>
      </w:r>
      <w:r>
        <w:rPr>
          <w:rFonts w:hint="eastAsia"/>
          <w:lang w:eastAsia="zh-CN"/>
        </w:rPr>
        <w:t>招标代理机构</w:t>
      </w:r>
      <w:r>
        <w:rPr>
          <w:rFonts w:hint="eastAsia"/>
        </w:rPr>
        <w:t>将在3个工作日内采用适当方式予以澄清或以书面形式予以答复。</w:t>
      </w:r>
    </w:p>
    <w:p>
      <w:pPr>
        <w:pStyle w:val="8"/>
        <w:ind w:firstLine="480"/>
      </w:pPr>
      <w:r>
        <w:rPr>
          <w:rFonts w:hint="eastAsia"/>
        </w:rPr>
        <w:t>8.4投标人在收到上述通知后，应立即向</w:t>
      </w:r>
      <w:r>
        <w:rPr>
          <w:rFonts w:hint="eastAsia"/>
          <w:lang w:eastAsia="zh-CN"/>
        </w:rPr>
        <w:t>招标代理机构</w:t>
      </w:r>
      <w:r>
        <w:rPr>
          <w:rFonts w:hint="eastAsia"/>
        </w:rPr>
        <w:t>回函确认。</w:t>
      </w:r>
    </w:p>
    <w:p>
      <w:pPr>
        <w:pStyle w:val="4"/>
      </w:pPr>
      <w:bookmarkStart w:id="50" w:name="_Toc20329"/>
      <w:bookmarkStart w:id="51" w:name="_Toc363474019"/>
      <w:bookmarkStart w:id="52" w:name="_Toc13455"/>
      <w:bookmarkStart w:id="53" w:name="_Toc403077641"/>
      <w:bookmarkStart w:id="54" w:name="_Toc363473974"/>
      <w:r>
        <w:rPr>
          <w:rFonts w:hint="eastAsia"/>
        </w:rPr>
        <w:t>三.投标文件的编制</w:t>
      </w:r>
      <w:bookmarkEnd w:id="50"/>
      <w:bookmarkEnd w:id="51"/>
      <w:bookmarkEnd w:id="52"/>
      <w:bookmarkEnd w:id="53"/>
      <w:bookmarkEnd w:id="54"/>
    </w:p>
    <w:p>
      <w:pPr>
        <w:pStyle w:val="2"/>
      </w:pPr>
      <w:bookmarkStart w:id="55" w:name="_Toc17188"/>
      <w:bookmarkStart w:id="56" w:name="_Toc28123"/>
      <w:r>
        <w:rPr>
          <w:rFonts w:hint="eastAsia"/>
        </w:rPr>
        <w:t>9. 投标语言和投标货币</w:t>
      </w:r>
      <w:bookmarkEnd w:id="55"/>
      <w:bookmarkEnd w:id="56"/>
    </w:p>
    <w:p>
      <w:pPr>
        <w:pStyle w:val="8"/>
        <w:ind w:firstLine="480"/>
      </w:pPr>
      <w:r>
        <w:rPr>
          <w:rFonts w:hint="eastAsia"/>
        </w:rPr>
        <w:t>9.1投标人提交的投标文件以及投标人与</w:t>
      </w:r>
      <w:r>
        <w:rPr>
          <w:rFonts w:hint="eastAsia"/>
          <w:lang w:eastAsia="zh-CN"/>
        </w:rPr>
        <w:t>招标代理机构</w:t>
      </w:r>
      <w:r>
        <w:rPr>
          <w:rFonts w:hint="eastAsia"/>
        </w:rPr>
        <w:t>就有关投标的所有来往函电均应使用中文。</w:t>
      </w:r>
    </w:p>
    <w:p>
      <w:pPr>
        <w:pStyle w:val="8"/>
        <w:ind w:firstLine="480"/>
      </w:pPr>
      <w:r>
        <w:rPr>
          <w:rFonts w:hint="eastAsia"/>
        </w:rPr>
        <w:t>9.2投标应以人民币报价。任何</w:t>
      </w:r>
      <w:r>
        <w:rPr>
          <w:rFonts w:hint="eastAsia"/>
          <w:lang w:eastAsia="zh-CN"/>
        </w:rPr>
        <w:t>合同包</w:t>
      </w:r>
      <w:r>
        <w:rPr>
          <w:rFonts w:hint="eastAsia"/>
        </w:rPr>
        <w:t>含非人民币报价的投标将按无效投标处理。</w:t>
      </w:r>
    </w:p>
    <w:p>
      <w:pPr>
        <w:pStyle w:val="2"/>
      </w:pPr>
      <w:bookmarkStart w:id="57" w:name="_Toc10386"/>
      <w:bookmarkStart w:id="58" w:name="_Toc3979"/>
      <w:r>
        <w:rPr>
          <w:rFonts w:hint="eastAsia"/>
        </w:rPr>
        <w:t>10.投标文件的构成</w:t>
      </w:r>
      <w:bookmarkEnd w:id="57"/>
      <w:bookmarkEnd w:id="58"/>
    </w:p>
    <w:p>
      <w:pPr>
        <w:pStyle w:val="8"/>
        <w:ind w:firstLine="480"/>
      </w:pPr>
      <w:r>
        <w:rPr>
          <w:rFonts w:hint="eastAsia"/>
        </w:rPr>
        <w:t>10.1 投标人提交的投标文件应</w:t>
      </w:r>
      <w:r>
        <w:rPr>
          <w:rFonts w:hint="eastAsia"/>
          <w:lang w:eastAsia="zh-CN"/>
        </w:rPr>
        <w:t>合同包</w:t>
      </w:r>
      <w:r>
        <w:rPr>
          <w:rFonts w:hint="eastAsia"/>
        </w:rPr>
        <w:t>括下列部分的内容：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（1）按照投标人须知的要求和招标文件规定的格式填写的投标函、投标报价表。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rPr>
        <w:t>（2）按照招标文件的要求编制的投标方案说明书</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（3）按照投标人须知的要求和招标文件规定的格式填写的</w:t>
      </w:r>
      <w:r>
        <w:rPr>
          <w:rFonts w:hint="eastAsia"/>
          <w:lang w:eastAsia="zh-CN"/>
        </w:rPr>
        <w:t>商务响应偏离表</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rPr>
        <w:t>（4）投标人承诺书</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w:t>
      </w:r>
      <w:r>
        <w:rPr>
          <w:rFonts w:hint="eastAsia"/>
          <w:lang w:val="en-US" w:eastAsia="zh-CN"/>
        </w:rPr>
        <w:t>5</w:t>
      </w:r>
      <w:r>
        <w:rPr>
          <w:rFonts w:hint="eastAsia"/>
          <w:lang w:eastAsia="zh-CN"/>
        </w:rPr>
        <w:t>）</w:t>
      </w:r>
      <w:r>
        <w:rPr>
          <w:rFonts w:hint="eastAsia"/>
        </w:rPr>
        <w:t>按照招标文件投标人须知前附表的要求提交的资格证明文件</w:t>
      </w:r>
      <w:r>
        <w:rPr>
          <w:rFonts w:hint="eastAsia"/>
          <w:lang w:eastAsia="zh-CN"/>
        </w:rPr>
        <w:t>。</w:t>
      </w:r>
    </w:p>
    <w:p>
      <w:pPr>
        <w:pStyle w:val="8"/>
        <w:ind w:firstLine="480"/>
      </w:pPr>
      <w:r>
        <w:rPr>
          <w:rFonts w:hint="eastAsia"/>
        </w:rPr>
        <w:t>10.2 如果在招标文件中没有允许提供备选方案，则每个投标人只允许提交一个投标方案，否则，其投标将按照无效投标处理。</w:t>
      </w:r>
    </w:p>
    <w:p>
      <w:pPr>
        <w:pStyle w:val="8"/>
        <w:ind w:firstLine="480"/>
      </w:pPr>
      <w:r>
        <w:rPr>
          <w:rFonts w:hint="eastAsia"/>
        </w:rPr>
        <w:t>10.3 本次投标的最小单元：见投标人须知前附表，投标人可根据自身的资质情况和经营范围进行投标，但不得将其子目自行分解或针对品目进行不完全投标，任何不完全的投标将按无效投标处理。</w:t>
      </w:r>
    </w:p>
    <w:p>
      <w:pPr>
        <w:pStyle w:val="2"/>
      </w:pPr>
      <w:bookmarkStart w:id="59" w:name="_Toc762"/>
      <w:bookmarkStart w:id="60" w:name="_Toc14995"/>
      <w:r>
        <w:rPr>
          <w:rFonts w:hint="eastAsia"/>
        </w:rPr>
        <w:t>11.投标文件格式</w:t>
      </w:r>
      <w:bookmarkEnd w:id="59"/>
      <w:bookmarkEnd w:id="60"/>
    </w:p>
    <w:p>
      <w:pPr>
        <w:pStyle w:val="8"/>
        <w:ind w:firstLine="480"/>
      </w:pPr>
      <w:r>
        <w:rPr>
          <w:rFonts w:hint="eastAsia"/>
        </w:rPr>
        <w:t>11.1 投标人应按照招标文件中第六章所提供的格式和要求制作投标文件，明确表达投标意愿，详细说明投标方案、承诺及价格。</w:t>
      </w:r>
    </w:p>
    <w:p>
      <w:pPr>
        <w:pStyle w:val="8"/>
        <w:ind w:firstLine="480"/>
      </w:pPr>
      <w:r>
        <w:rPr>
          <w:rFonts w:hint="eastAsia"/>
        </w:rPr>
        <w:t>11.2投标人应完整地提供招标文件要求的所有数据和资料。</w:t>
      </w:r>
    </w:p>
    <w:p>
      <w:pPr>
        <w:pStyle w:val="2"/>
      </w:pPr>
      <w:bookmarkStart w:id="61" w:name="_Toc11786"/>
      <w:bookmarkStart w:id="62" w:name="_Toc24246"/>
      <w:r>
        <w:rPr>
          <w:rFonts w:hint="eastAsia"/>
        </w:rPr>
        <w:t>12.投标报价</w:t>
      </w:r>
      <w:bookmarkEnd w:id="61"/>
      <w:bookmarkEnd w:id="62"/>
    </w:p>
    <w:p>
      <w:pPr>
        <w:pStyle w:val="8"/>
        <w:ind w:firstLine="480"/>
      </w:pPr>
      <w:r>
        <w:rPr>
          <w:rFonts w:hint="eastAsia"/>
        </w:rPr>
        <w:t>12.1投标报价：见投标人须知前附表。</w:t>
      </w:r>
    </w:p>
    <w:p>
      <w:pPr>
        <w:pStyle w:val="8"/>
        <w:ind w:firstLine="480"/>
      </w:pPr>
      <w:r>
        <w:rPr>
          <w:rFonts w:hint="eastAsia"/>
        </w:rPr>
        <w:t>12.2投标报价表中标明的价格应为履行合同的固定价格，不得以任何理由予以变更。以可调整的价格提交的投标文件将按无效投标处理。</w:t>
      </w:r>
    </w:p>
    <w:p>
      <w:pPr>
        <w:pStyle w:val="2"/>
      </w:pPr>
      <w:bookmarkStart w:id="63" w:name="_Toc16591"/>
      <w:bookmarkStart w:id="64" w:name="_Toc12340"/>
      <w:r>
        <w:rPr>
          <w:rFonts w:hint="eastAsia"/>
        </w:rPr>
        <w:t>13.证明投标人合格和资格的文件</w:t>
      </w:r>
      <w:bookmarkEnd w:id="63"/>
      <w:bookmarkEnd w:id="64"/>
    </w:p>
    <w:p>
      <w:pPr>
        <w:pStyle w:val="8"/>
        <w:ind w:firstLine="480"/>
      </w:pPr>
      <w:r>
        <w:rPr>
          <w:rFonts w:hint="eastAsia"/>
        </w:rPr>
        <w:t>13.1投标人应按照招标文件“投标人须知前附表”的要求，在投标文件中提交合格的资格证明文件。如果资格证明文件不齐全或不合格的，其投标将按无效投标处理。</w:t>
      </w:r>
    </w:p>
    <w:p>
      <w:pPr>
        <w:pStyle w:val="2"/>
      </w:pPr>
      <w:bookmarkStart w:id="65" w:name="_Toc13420"/>
      <w:bookmarkStart w:id="66" w:name="_Toc18707"/>
      <w:r>
        <w:rPr>
          <w:rFonts w:hint="eastAsia"/>
        </w:rPr>
        <w:t>14.证明货物（含伴随服务）符合招标文件规定的文件</w:t>
      </w:r>
      <w:bookmarkEnd w:id="65"/>
      <w:bookmarkEnd w:id="66"/>
    </w:p>
    <w:p>
      <w:pPr>
        <w:pStyle w:val="8"/>
        <w:ind w:firstLine="480"/>
      </w:pPr>
      <w:r>
        <w:rPr>
          <w:rFonts w:hint="eastAsia"/>
        </w:rPr>
        <w:t>14.1投标人应在投标文件中提交产品和服务满足招标文件要求并符合国家法律法规、行业管理部门要求的其他强制性标准的证明文件。缺少证明文件或证明文件不合格的投标，与招标文件要求有重大偏离的投标，不符合国家法律法规、行业管理部门要求的其他强制性标准的投标将按无效投标处理。</w:t>
      </w:r>
    </w:p>
    <w:p>
      <w:pPr>
        <w:pStyle w:val="8"/>
        <w:ind w:firstLine="480"/>
      </w:pPr>
      <w:r>
        <w:rPr>
          <w:rFonts w:hint="eastAsia"/>
        </w:rPr>
        <w:t>14.2上述证明文件可以是文字资料、图纸、图片、数据、宣传彩页等，所有证明文件表达意思必须统一（如需投标人提供样品，样品必须与投标文件的表述完全符合）。</w:t>
      </w:r>
      <w:r>
        <w:rPr>
          <w:rFonts w:hint="eastAsia"/>
          <w:lang w:eastAsia="zh-CN"/>
        </w:rPr>
        <w:t>包</w:t>
      </w:r>
      <w:r>
        <w:rPr>
          <w:rFonts w:hint="eastAsia"/>
        </w:rPr>
        <w:t>括：</w:t>
      </w:r>
    </w:p>
    <w:p>
      <w:pPr>
        <w:pStyle w:val="8"/>
        <w:ind w:firstLine="480"/>
      </w:pPr>
      <w:r>
        <w:rPr>
          <w:rFonts w:hint="eastAsia"/>
        </w:rPr>
        <w:t>（1)产品主要技术指标和性能的详细说明；</w:t>
      </w:r>
    </w:p>
    <w:p>
      <w:pPr>
        <w:pStyle w:val="8"/>
        <w:ind w:firstLine="480"/>
      </w:pPr>
      <w:r>
        <w:rPr>
          <w:rFonts w:hint="eastAsia"/>
        </w:rPr>
        <w:t>（2）生产厂家出具的、相应的产品功能证明材料；</w:t>
      </w:r>
    </w:p>
    <w:p>
      <w:pPr>
        <w:pStyle w:val="8"/>
        <w:ind w:firstLine="480"/>
      </w:pPr>
      <w:r>
        <w:rPr>
          <w:rFonts w:hint="eastAsia"/>
        </w:rPr>
        <w:t>（3)逐条对招标文件提出的技术要求和商务要求进行应答，说明所提供的产品和服务对招标的技术和商务要求是否做出了实质性响应并提供支持文件；</w:t>
      </w:r>
    </w:p>
    <w:p>
      <w:pPr>
        <w:pStyle w:val="8"/>
        <w:ind w:firstLine="480"/>
      </w:pPr>
      <w:r>
        <w:rPr>
          <w:rFonts w:hint="eastAsia"/>
        </w:rPr>
        <w:t>（4）供货范围和服务内容的详细说明。</w:t>
      </w:r>
    </w:p>
    <w:p>
      <w:pPr>
        <w:pStyle w:val="2"/>
        <w:rPr>
          <w:rFonts w:hint="eastAsia"/>
        </w:rPr>
      </w:pPr>
      <w:bookmarkStart w:id="67" w:name="_Toc25614"/>
      <w:bookmarkStart w:id="68" w:name="_Toc15245"/>
      <w:r>
        <w:rPr>
          <w:rFonts w:hint="eastAsia"/>
        </w:rPr>
        <w:t>15.投标保证金</w:t>
      </w:r>
      <w:bookmarkEnd w:id="67"/>
      <w:bookmarkEnd w:id="68"/>
    </w:p>
    <w:p>
      <w:pPr>
        <w:ind w:firstLine="480" w:firstLineChars="200"/>
        <w:rPr>
          <w:rFonts w:hint="eastAsia"/>
          <w:lang w:eastAsia="zh-CN"/>
        </w:rPr>
      </w:pPr>
      <w:r>
        <w:rPr>
          <w:rFonts w:hint="eastAsia" w:ascii="宋体" w:hAnsi="宋体" w:eastAsia="宋体" w:cs="宋体"/>
          <w:color w:val="auto"/>
          <w:highlight w:val="none"/>
        </w:rPr>
        <w:t>本项目不要求提供投标保证金。</w:t>
      </w:r>
    </w:p>
    <w:p>
      <w:pPr>
        <w:pStyle w:val="2"/>
      </w:pPr>
      <w:bookmarkStart w:id="69" w:name="_Toc12595"/>
      <w:bookmarkStart w:id="70" w:name="_Toc22340"/>
      <w:bookmarkStart w:id="71" w:name="_Toc363473975"/>
      <w:bookmarkStart w:id="72" w:name="_Toc403077642"/>
      <w:bookmarkStart w:id="73" w:name="_Toc363474020"/>
      <w:r>
        <w:rPr>
          <w:rFonts w:hint="eastAsia"/>
        </w:rPr>
        <w:t>16.投标有效期</w:t>
      </w:r>
      <w:bookmarkEnd w:id="69"/>
      <w:bookmarkEnd w:id="70"/>
    </w:p>
    <w:p>
      <w:pPr>
        <w:pStyle w:val="8"/>
        <w:ind w:firstLine="480"/>
      </w:pPr>
      <w:r>
        <w:rPr>
          <w:rFonts w:hint="eastAsia"/>
        </w:rPr>
        <w:t>16.1投标有效期：见投标人须知前附表。投标文件应在投标有效期内保持有效。投标有效期不满足规定有效期的投标文件将被视为无效投标而拒绝。</w:t>
      </w:r>
    </w:p>
    <w:p>
      <w:pPr>
        <w:pStyle w:val="8"/>
        <w:ind w:firstLine="480"/>
      </w:pPr>
      <w:r>
        <w:rPr>
          <w:rFonts w:hint="eastAsia"/>
        </w:rPr>
        <w:t>16.2特殊情况下，在原投标有效期期满之前，</w:t>
      </w:r>
      <w:r>
        <w:rPr>
          <w:rFonts w:hint="eastAsia"/>
          <w:lang w:eastAsia="zh-CN"/>
        </w:rPr>
        <w:t>招标代理机构</w:t>
      </w:r>
      <w:r>
        <w:rPr>
          <w:rFonts w:hint="eastAsia"/>
        </w:rPr>
        <w:t>可向投标人提出延长投标有效期的要求。这种要求与答复均应以书面的形式。投标人可以拒绝</w:t>
      </w:r>
      <w:r>
        <w:rPr>
          <w:rFonts w:hint="eastAsia"/>
          <w:lang w:eastAsia="zh-CN"/>
        </w:rPr>
        <w:t>招标代理机构</w:t>
      </w:r>
      <w:r>
        <w:rPr>
          <w:rFonts w:hint="eastAsia"/>
        </w:rPr>
        <w:t>的这种要求,其投标保证金（如有）也不被没收。同意延长的投标人既不能要求也不允许修改其投标文件，但要相应延长其投标保证金（如有）的有效期。在这种情况下，本章第15条有关投标保证金（如有）的退还和没收的规定将在延长了的有效期内继续有效。</w:t>
      </w:r>
    </w:p>
    <w:p>
      <w:pPr>
        <w:pStyle w:val="2"/>
      </w:pPr>
      <w:bookmarkStart w:id="74" w:name="_Toc4703"/>
      <w:bookmarkStart w:id="75" w:name="_Toc23636"/>
      <w:r>
        <w:rPr>
          <w:rFonts w:hint="eastAsia"/>
        </w:rPr>
        <w:t>17.投标文件的式样和签署</w:t>
      </w:r>
      <w:bookmarkEnd w:id="74"/>
      <w:bookmarkEnd w:id="75"/>
    </w:p>
    <w:p>
      <w:pPr>
        <w:pStyle w:val="8"/>
        <w:ind w:firstLine="480"/>
      </w:pPr>
      <w:r>
        <w:rPr>
          <w:rFonts w:hint="eastAsia"/>
        </w:rPr>
        <w:t>17.1投标文件份数及要求详见“投标人须知前附表”。</w:t>
      </w:r>
    </w:p>
    <w:p>
      <w:pPr>
        <w:pStyle w:val="8"/>
        <w:ind w:firstLine="480"/>
      </w:pPr>
      <w:r>
        <w:rPr>
          <w:rFonts w:hint="eastAsia"/>
        </w:rPr>
        <w:t>17.2投标文件应由投标人的法定代表人或被授权人按招标文件的规定签署（招标文件要求投标文件中签章的统一为签字或盖章）。</w:t>
      </w:r>
    </w:p>
    <w:p>
      <w:pPr>
        <w:pStyle w:val="8"/>
        <w:ind w:firstLine="480"/>
      </w:pPr>
      <w:r>
        <w:rPr>
          <w:rFonts w:hint="eastAsia"/>
        </w:rPr>
        <w:t>17.3任何行间插字、涂改和增删，必须由投标人的法定代表人或其被授权人在旁边签字方有效。</w:t>
      </w:r>
    </w:p>
    <w:p>
      <w:pPr>
        <w:pStyle w:val="8"/>
        <w:ind w:firstLine="480"/>
      </w:pPr>
      <w:r>
        <w:rPr>
          <w:rFonts w:hint="eastAsia"/>
        </w:rPr>
        <w:t>17.4 投标文件正本和副本按照招标文件第六章规定的顺序编排、并应</w:t>
      </w:r>
      <w:r>
        <w:rPr>
          <w:rFonts w:hint="eastAsia"/>
          <w:lang w:val="zh-CN"/>
        </w:rPr>
        <w:t>编制目录，</w:t>
      </w:r>
      <w:r>
        <w:rPr>
          <w:rFonts w:hint="eastAsia"/>
        </w:rPr>
        <w:t>逐页标注连续页码，并分别</w:t>
      </w:r>
      <w:r>
        <w:rPr>
          <w:rFonts w:hint="eastAsia"/>
          <w:lang w:val="zh-CN"/>
        </w:rPr>
        <w:t>胶装成册</w:t>
      </w:r>
      <w:r>
        <w:rPr>
          <w:rFonts w:hint="eastAsia"/>
        </w:rPr>
        <w:t>。</w:t>
      </w:r>
    </w:p>
    <w:p>
      <w:pPr>
        <w:pStyle w:val="8"/>
        <w:ind w:firstLine="480"/>
      </w:pPr>
      <w:r>
        <w:rPr>
          <w:rFonts w:hint="eastAsia"/>
        </w:rPr>
        <w:t xml:space="preserve"> 17.5因字迹潦草、表述不清或不按招标文件格式编制的投标文件，所引起的对投标人不利的后果，由投标人自行负责。</w:t>
      </w:r>
    </w:p>
    <w:p>
      <w:pPr>
        <w:pStyle w:val="4"/>
      </w:pPr>
      <w:bookmarkStart w:id="76" w:name="_Toc16202"/>
      <w:bookmarkStart w:id="77" w:name="_Toc28453"/>
      <w:r>
        <w:rPr>
          <w:rFonts w:hint="eastAsia"/>
        </w:rPr>
        <w:t>四.投标文件的递交</w:t>
      </w:r>
      <w:bookmarkEnd w:id="71"/>
      <w:bookmarkEnd w:id="72"/>
      <w:bookmarkEnd w:id="73"/>
      <w:bookmarkEnd w:id="76"/>
      <w:bookmarkEnd w:id="77"/>
    </w:p>
    <w:p>
      <w:pPr>
        <w:pStyle w:val="2"/>
      </w:pPr>
      <w:bookmarkStart w:id="78" w:name="_Toc2184"/>
      <w:bookmarkStart w:id="79" w:name="_Toc4290"/>
      <w:r>
        <w:rPr>
          <w:rFonts w:hint="eastAsia"/>
        </w:rPr>
        <w:t>18．投标文件的密封和标记</w:t>
      </w:r>
      <w:bookmarkEnd w:id="78"/>
      <w:bookmarkEnd w:id="79"/>
    </w:p>
    <w:p>
      <w:pPr>
        <w:pStyle w:val="8"/>
        <w:ind w:firstLine="480"/>
      </w:pPr>
      <w:r>
        <w:rPr>
          <w:rFonts w:hint="eastAsia"/>
        </w:rPr>
        <w:t>18.1投标文件的密封和标记：详见“投标人须知前附表”。</w:t>
      </w:r>
    </w:p>
    <w:p>
      <w:pPr>
        <w:pStyle w:val="8"/>
        <w:ind w:firstLine="480"/>
        <w:rPr>
          <w:b/>
          <w:bCs/>
        </w:rPr>
      </w:pPr>
      <w:r>
        <w:rPr>
          <w:rFonts w:hint="eastAsia"/>
          <w:b/>
          <w:bCs/>
        </w:rPr>
        <w:t>18.2</w:t>
      </w:r>
      <w:r>
        <w:rPr>
          <w:rFonts w:hint="eastAsia" w:ascii="宋体" w:hAnsi="宋体" w:eastAsia="宋体" w:cs="宋体"/>
          <w:b/>
          <w:bCs/>
          <w:color w:val="auto"/>
          <w:sz w:val="24"/>
          <w:szCs w:val="24"/>
          <w:highlight w:val="none"/>
          <w:lang w:val="en-US" w:eastAsia="zh-CN"/>
        </w:rPr>
        <w:t>如果供应商未对响应文件按要求进行密封、标记，</w:t>
      </w:r>
      <w:r>
        <w:rPr>
          <w:rFonts w:hint="eastAsia" w:cs="宋体"/>
          <w:b/>
          <w:bCs/>
          <w:color w:val="auto"/>
          <w:sz w:val="24"/>
          <w:szCs w:val="24"/>
          <w:highlight w:val="none"/>
          <w:lang w:val="en-US" w:eastAsia="zh-CN"/>
        </w:rPr>
        <w:t>招标代理机构</w:t>
      </w:r>
      <w:r>
        <w:rPr>
          <w:rFonts w:hint="eastAsia" w:ascii="宋体" w:hAnsi="宋体" w:eastAsia="宋体" w:cs="宋体"/>
          <w:b/>
          <w:bCs/>
          <w:color w:val="auto"/>
          <w:sz w:val="24"/>
          <w:szCs w:val="24"/>
          <w:highlight w:val="none"/>
          <w:lang w:val="en-US" w:eastAsia="zh-CN"/>
        </w:rPr>
        <w:t>不予接收，由此产生的不利后果由供应商自行承担</w:t>
      </w:r>
      <w:r>
        <w:rPr>
          <w:rFonts w:hint="eastAsia"/>
          <w:b/>
          <w:bCs/>
        </w:rPr>
        <w:t>。</w:t>
      </w:r>
    </w:p>
    <w:p>
      <w:pPr>
        <w:pStyle w:val="2"/>
      </w:pPr>
      <w:bookmarkStart w:id="80" w:name="_Toc15552"/>
      <w:bookmarkStart w:id="81" w:name="_Toc6576"/>
      <w:r>
        <w:rPr>
          <w:rFonts w:hint="eastAsia"/>
        </w:rPr>
        <w:t>19．投标文件的递交</w:t>
      </w:r>
      <w:bookmarkEnd w:id="80"/>
      <w:bookmarkEnd w:id="81"/>
    </w:p>
    <w:p>
      <w:pPr>
        <w:pStyle w:val="8"/>
        <w:ind w:firstLine="480"/>
      </w:pPr>
      <w:r>
        <w:rPr>
          <w:rFonts w:hint="eastAsia"/>
        </w:rPr>
        <w:t>19.1投标人应按照招标公告中规定的时间、地点，在规定的投标文件递交截止时间前将全部投标文件和投标资料递交至投标文件接收人。</w:t>
      </w:r>
    </w:p>
    <w:p>
      <w:pPr>
        <w:pStyle w:val="8"/>
        <w:ind w:firstLine="480"/>
      </w:pPr>
      <w:r>
        <w:rPr>
          <w:rFonts w:hint="eastAsia"/>
        </w:rPr>
        <w:t>19.2</w:t>
      </w:r>
      <w:r>
        <w:rPr>
          <w:rFonts w:hint="eastAsia"/>
          <w:lang w:eastAsia="zh-CN"/>
        </w:rPr>
        <w:t>招标代理机构</w:t>
      </w:r>
      <w:r>
        <w:rPr>
          <w:rFonts w:hint="eastAsia"/>
        </w:rPr>
        <w:t>在招标文件规定的投标文件递交截止时间前，只负责投标文件的接收、清点、造册登记工作，对其有效性不负任何责任。</w:t>
      </w:r>
    </w:p>
    <w:p>
      <w:pPr>
        <w:pStyle w:val="2"/>
      </w:pPr>
      <w:bookmarkStart w:id="82" w:name="_Toc455"/>
      <w:bookmarkStart w:id="83" w:name="_Toc12399"/>
      <w:r>
        <w:rPr>
          <w:rFonts w:hint="eastAsia"/>
        </w:rPr>
        <w:t>20．迟交的投标文件</w:t>
      </w:r>
      <w:bookmarkEnd w:id="82"/>
      <w:bookmarkEnd w:id="83"/>
    </w:p>
    <w:p>
      <w:pPr>
        <w:pStyle w:val="8"/>
        <w:ind w:firstLine="480"/>
      </w:pPr>
      <w:r>
        <w:rPr>
          <w:rFonts w:hint="eastAsia"/>
        </w:rPr>
        <w:t>20.1按照招标文件的规定，在递交投标文件的截止时间之后送达的投标文件，为无效投标文件，</w:t>
      </w:r>
      <w:r>
        <w:rPr>
          <w:rFonts w:hint="eastAsia"/>
          <w:lang w:eastAsia="zh-CN"/>
        </w:rPr>
        <w:t>招标代理机构</w:t>
      </w:r>
      <w:r>
        <w:rPr>
          <w:rFonts w:hint="eastAsia"/>
        </w:rPr>
        <w:t>将拒绝接收。</w:t>
      </w:r>
    </w:p>
    <w:p>
      <w:pPr>
        <w:pStyle w:val="2"/>
      </w:pPr>
      <w:bookmarkStart w:id="84" w:name="_Toc7249"/>
      <w:bookmarkStart w:id="85" w:name="_Toc9159"/>
      <w:r>
        <w:rPr>
          <w:rFonts w:hint="eastAsia"/>
        </w:rPr>
        <w:t>21．投标的修改与撤回</w:t>
      </w:r>
      <w:bookmarkEnd w:id="84"/>
      <w:bookmarkEnd w:id="85"/>
    </w:p>
    <w:p>
      <w:pPr>
        <w:pStyle w:val="8"/>
        <w:ind w:firstLine="480"/>
      </w:pPr>
      <w:r>
        <w:rPr>
          <w:rFonts w:hint="eastAsia"/>
        </w:rPr>
        <w:t>21.1 投标人在递交投标文件后，可以修改或撤回其投标文件，也可以提出价格变动声明，但投标人必须在规定的投标文件递交截止时间之前将修改或撤回或变动价格的书面通知文件递交到</w:t>
      </w:r>
      <w:r>
        <w:rPr>
          <w:rFonts w:hint="eastAsia"/>
          <w:lang w:eastAsia="zh-CN"/>
        </w:rPr>
        <w:t>陕西正鸿项目管理有限公司</w:t>
      </w:r>
      <w:r>
        <w:rPr>
          <w:rFonts w:hint="eastAsia"/>
        </w:rPr>
        <w:t>。</w:t>
      </w:r>
    </w:p>
    <w:p>
      <w:pPr>
        <w:pStyle w:val="8"/>
        <w:ind w:firstLine="480"/>
      </w:pPr>
      <w:r>
        <w:rPr>
          <w:rFonts w:hint="eastAsia"/>
        </w:rPr>
        <w:t>21.2 投标人的修改或撤回或变动价格的通知应按本须知第17条、18条、19条的规定编制、密封、标记和递交。</w:t>
      </w:r>
    </w:p>
    <w:p>
      <w:pPr>
        <w:pStyle w:val="8"/>
        <w:ind w:firstLine="480"/>
      </w:pPr>
      <w:r>
        <w:rPr>
          <w:rFonts w:hint="eastAsia"/>
        </w:rPr>
        <w:t>21.3 在投标文件递交截止时间之后，投标人不得对其投标做任何修改或撤回。</w:t>
      </w:r>
    </w:p>
    <w:p>
      <w:pPr>
        <w:pStyle w:val="4"/>
      </w:pPr>
      <w:bookmarkStart w:id="86" w:name="_Toc403077643"/>
      <w:bookmarkStart w:id="87" w:name="_Toc363473976"/>
      <w:bookmarkStart w:id="88" w:name="_Toc363474021"/>
      <w:bookmarkStart w:id="89" w:name="_Toc500"/>
      <w:bookmarkStart w:id="90" w:name="_Toc8259"/>
      <w:r>
        <w:rPr>
          <w:rFonts w:hint="eastAsia"/>
        </w:rPr>
        <w:t>五.开标与评标</w:t>
      </w:r>
      <w:bookmarkEnd w:id="86"/>
      <w:bookmarkEnd w:id="87"/>
      <w:bookmarkEnd w:id="88"/>
      <w:bookmarkEnd w:id="89"/>
      <w:bookmarkEnd w:id="90"/>
    </w:p>
    <w:p>
      <w:pPr>
        <w:pStyle w:val="2"/>
      </w:pPr>
      <w:bookmarkStart w:id="91" w:name="_Toc26680"/>
      <w:bookmarkStart w:id="92" w:name="_Toc8761"/>
      <w:bookmarkStart w:id="93" w:name="_Toc27949"/>
      <w:bookmarkStart w:id="94" w:name="_Toc15204"/>
      <w:r>
        <w:rPr>
          <w:rFonts w:hint="eastAsia"/>
        </w:rPr>
        <w:t>22. 开标</w:t>
      </w:r>
      <w:bookmarkEnd w:id="91"/>
      <w:bookmarkEnd w:id="92"/>
    </w:p>
    <w:p>
      <w:pPr>
        <w:pStyle w:val="8"/>
        <w:ind w:firstLine="480"/>
      </w:pPr>
      <w:r>
        <w:rPr>
          <w:rFonts w:hint="eastAsia"/>
        </w:rPr>
        <w:t xml:space="preserve">22.1 </w:t>
      </w:r>
      <w:r>
        <w:rPr>
          <w:rFonts w:hint="eastAsia"/>
          <w:lang w:eastAsia="zh-CN"/>
        </w:rPr>
        <w:t>招标代理机构</w:t>
      </w:r>
      <w:r>
        <w:rPr>
          <w:rFonts w:hint="eastAsia"/>
        </w:rPr>
        <w:t>在规定的时间和地点组织公开开标。</w:t>
      </w:r>
    </w:p>
    <w:p>
      <w:pPr>
        <w:pStyle w:val="8"/>
        <w:ind w:firstLine="480"/>
      </w:pPr>
      <w:r>
        <w:rPr>
          <w:rFonts w:hint="eastAsia"/>
        </w:rPr>
        <w:t>22.2 开标时，由监标人和投标人或者其推选的代表检查投标文件的密封情况。检查完毕后，</w:t>
      </w:r>
      <w:r>
        <w:rPr>
          <w:rFonts w:hint="eastAsia"/>
          <w:lang w:eastAsia="zh-CN"/>
        </w:rPr>
        <w:t>招标代理机构</w:t>
      </w:r>
      <w:r>
        <w:rPr>
          <w:rFonts w:hint="eastAsia"/>
        </w:rPr>
        <w:t>当众宣读投标人名称、投标价格、修改或撤回或变动价格的书面通知（如果有），以及</w:t>
      </w:r>
      <w:r>
        <w:rPr>
          <w:rFonts w:hint="eastAsia"/>
          <w:lang w:eastAsia="zh-CN"/>
        </w:rPr>
        <w:t>招标代理机构</w:t>
      </w:r>
      <w:r>
        <w:rPr>
          <w:rFonts w:hint="eastAsia"/>
        </w:rPr>
        <w:t>认为合适的其他内容。未在开标时宣读的投标价格，评标时不予承认。</w:t>
      </w:r>
    </w:p>
    <w:p>
      <w:pPr>
        <w:pStyle w:val="8"/>
        <w:ind w:firstLine="480"/>
      </w:pPr>
      <w:r>
        <w:rPr>
          <w:rFonts w:hint="eastAsia"/>
        </w:rPr>
        <w:t>22.3只有在开标时唱出的价格和价格变动声明，评标时才能考虑。</w:t>
      </w:r>
    </w:p>
    <w:p>
      <w:pPr>
        <w:pStyle w:val="8"/>
        <w:ind w:firstLine="480"/>
      </w:pPr>
      <w:r>
        <w:rPr>
          <w:rFonts w:hint="eastAsia"/>
        </w:rPr>
        <w:t xml:space="preserve">22.4 </w:t>
      </w:r>
      <w:r>
        <w:rPr>
          <w:rFonts w:hint="eastAsia"/>
          <w:lang w:eastAsia="zh-CN"/>
        </w:rPr>
        <w:t>招标代理机构</w:t>
      </w:r>
      <w:r>
        <w:rPr>
          <w:rFonts w:hint="eastAsia"/>
        </w:rPr>
        <w:t>将做开标记录，存档备查。</w:t>
      </w:r>
    </w:p>
    <w:p>
      <w:pPr>
        <w:pStyle w:val="8"/>
        <w:ind w:firstLine="480"/>
      </w:pPr>
      <w:r>
        <w:rPr>
          <w:rFonts w:hint="eastAsia"/>
        </w:rPr>
        <w:t>22.5投标人未参加开标的，视同认可开标结果。</w:t>
      </w:r>
    </w:p>
    <w:p>
      <w:pPr>
        <w:pStyle w:val="2"/>
      </w:pPr>
      <w:bookmarkStart w:id="95" w:name="_Toc2836"/>
      <w:bookmarkStart w:id="96" w:name="_Toc1352"/>
      <w:r>
        <w:rPr>
          <w:rFonts w:hint="eastAsia"/>
        </w:rPr>
        <w:t>23．评标组织及评标原则</w:t>
      </w:r>
      <w:bookmarkEnd w:id="95"/>
      <w:bookmarkEnd w:id="96"/>
    </w:p>
    <w:p>
      <w:pPr>
        <w:pStyle w:val="8"/>
        <w:ind w:firstLine="480"/>
      </w:pPr>
      <w:r>
        <w:rPr>
          <w:rFonts w:hint="eastAsia"/>
        </w:rPr>
        <w:t>23.1按照《中华人民共和国政府采购法》、中华人民共和国2015年第658号国务院令--《中华人民共和国政府采购法实施条例》和中华人民共和国财政部2017年第87号部长令--《</w:t>
      </w:r>
      <w:r>
        <w:rPr>
          <w:rFonts w:hint="eastAsia"/>
          <w:lang w:eastAsia="zh-CN"/>
        </w:rPr>
        <w:t>政府采购货物和服务招标投标管理办法</w:t>
      </w:r>
      <w:r>
        <w:rPr>
          <w:rFonts w:hint="eastAsia"/>
        </w:rPr>
        <w:t>》的规定，依法组建评标委员会，评标委员会由有关技术、经济等方面的专家组成。评标委员会成员人数以及技术、经济等方面专家的确定方式见投标人须知前附表。评标委员会按照招标文件规定的评标办法独立进行评标工作。</w:t>
      </w:r>
    </w:p>
    <w:p>
      <w:pPr>
        <w:pStyle w:val="8"/>
        <w:ind w:firstLine="480"/>
      </w:pPr>
      <w:r>
        <w:rPr>
          <w:rFonts w:hint="eastAsia"/>
        </w:rPr>
        <w:t>23.2招标文件和投标文件是评标的依据。在评标中，不得改变招标文件中规定的评标标准、方法和中标条件。投标人不得在开标后使用任何方式对投标文件的实质性内容做任何更改。</w:t>
      </w:r>
    </w:p>
    <w:p>
      <w:pPr>
        <w:pStyle w:val="8"/>
        <w:ind w:firstLine="480"/>
      </w:pPr>
      <w:r>
        <w:rPr>
          <w:rFonts w:hint="eastAsia"/>
        </w:rPr>
        <w:t>23.3在评标期间，对于投标文件中含义不明确、同类问题表述不一致或者有明显文字和计算错误的内容，评标委员会应当以书面形式（由评标委员会专家签字）要求投标人做出必要的澄清、说明或者纠正。投标人的澄清、说明或者补正应当采用书面形式，并由其法人代表或授权代表签署全名。投标人的澄清、说明或者补正不得超出投标文件的范围或者改变投标文件的实质性内容。</w:t>
      </w:r>
    </w:p>
    <w:p>
      <w:pPr>
        <w:pStyle w:val="8"/>
        <w:ind w:firstLine="480"/>
      </w:pPr>
      <w:r>
        <w:rPr>
          <w:rFonts w:hint="eastAsia"/>
        </w:rPr>
        <w:t>23.4如果投标人在规定时限内，未能答复或拒绝答复评委会提出的澄清、说明或者补正的要求，将由评委会根据其投标文件按最大风险进行评标。</w:t>
      </w:r>
    </w:p>
    <w:p>
      <w:pPr>
        <w:pStyle w:val="2"/>
      </w:pPr>
      <w:bookmarkStart w:id="97" w:name="_Toc11682"/>
      <w:bookmarkStart w:id="98" w:name="_Toc29623"/>
      <w:r>
        <w:rPr>
          <w:rFonts w:hint="eastAsia"/>
        </w:rPr>
        <w:t>24．评标过程的保密</w:t>
      </w:r>
      <w:bookmarkEnd w:id="97"/>
      <w:bookmarkEnd w:id="98"/>
    </w:p>
    <w:p>
      <w:pPr>
        <w:pStyle w:val="8"/>
        <w:ind w:firstLine="480"/>
      </w:pPr>
      <w:r>
        <w:rPr>
          <w:rFonts w:hint="eastAsia"/>
        </w:rPr>
        <w:t>24.1评标委员会成员和与评标活动有关的工作人员不得泄露有关投标文件的评审和比较、中标候选人的推荐以及与评标有关的其他情况。</w:t>
      </w:r>
    </w:p>
    <w:p>
      <w:pPr>
        <w:pStyle w:val="8"/>
        <w:ind w:firstLine="480"/>
      </w:pPr>
      <w:r>
        <w:rPr>
          <w:rFonts w:hint="eastAsia"/>
        </w:rPr>
        <w:t>24.2在评标过程中，如果投标人试图在投标文件的评审和比较、中标候选人的推荐以及与评标有关的其他方面，向评标人、</w:t>
      </w:r>
      <w:r>
        <w:rPr>
          <w:rFonts w:hint="eastAsia"/>
          <w:lang w:eastAsia="zh-CN"/>
        </w:rPr>
        <w:t>招标人</w:t>
      </w:r>
      <w:r>
        <w:rPr>
          <w:rFonts w:hint="eastAsia"/>
        </w:rPr>
        <w:t>和</w:t>
      </w:r>
      <w:r>
        <w:rPr>
          <w:rFonts w:hint="eastAsia"/>
          <w:lang w:eastAsia="zh-CN"/>
        </w:rPr>
        <w:t>招标代理机构</w:t>
      </w:r>
      <w:r>
        <w:rPr>
          <w:rFonts w:hint="eastAsia"/>
        </w:rPr>
        <w:t>施加任何影响，其投标应做无效投标处理。</w:t>
      </w:r>
    </w:p>
    <w:p>
      <w:pPr>
        <w:pStyle w:val="2"/>
      </w:pPr>
      <w:bookmarkStart w:id="99" w:name="_Toc12700"/>
      <w:bookmarkStart w:id="100" w:name="_Toc10826"/>
      <w:r>
        <w:rPr>
          <w:rFonts w:hint="eastAsia"/>
        </w:rPr>
        <w:t>25．评标办法</w:t>
      </w:r>
      <w:bookmarkEnd w:id="99"/>
      <w:bookmarkEnd w:id="100"/>
    </w:p>
    <w:p>
      <w:pPr>
        <w:pStyle w:val="8"/>
        <w:ind w:firstLine="480"/>
      </w:pPr>
      <w:r>
        <w:rPr>
          <w:rFonts w:hint="eastAsia"/>
        </w:rPr>
        <w:t>25.1按照《中华人民共和国政府采购法实施条例》和《</w:t>
      </w:r>
      <w:r>
        <w:rPr>
          <w:rFonts w:hint="eastAsia"/>
          <w:lang w:eastAsia="zh-CN"/>
        </w:rPr>
        <w:t>政府采购货物和服务招标投标管理办法</w:t>
      </w:r>
      <w:r>
        <w:rPr>
          <w:rFonts w:hint="eastAsia"/>
        </w:rPr>
        <w:t>》的规定，本次评标采用综合评分法，是指投标文件满足招标文件全部实质性要求，且按照评审因素的量化指标评审得分</w:t>
      </w:r>
      <w:r>
        <w:rPr>
          <w:rFonts w:hint="eastAsia"/>
          <w:lang w:val="en-US" w:eastAsia="zh-CN"/>
        </w:rPr>
        <w:t>排序由高到低</w:t>
      </w:r>
      <w:r>
        <w:rPr>
          <w:rFonts w:hint="eastAsia"/>
        </w:rPr>
        <w:t>的投标人为中标候选人的评标办法。</w:t>
      </w:r>
    </w:p>
    <w:p>
      <w:pPr>
        <w:pStyle w:val="2"/>
      </w:pPr>
      <w:bookmarkStart w:id="101" w:name="_Toc10459"/>
      <w:bookmarkStart w:id="102" w:name="_Toc26334"/>
      <w:r>
        <w:rPr>
          <w:rFonts w:hint="eastAsia"/>
        </w:rPr>
        <w:t>26．评标程序</w:t>
      </w:r>
      <w:bookmarkEnd w:id="101"/>
      <w:bookmarkEnd w:id="102"/>
    </w:p>
    <w:p>
      <w:pPr>
        <w:pStyle w:val="8"/>
        <w:ind w:firstLine="480"/>
      </w:pPr>
      <w:r>
        <w:rPr>
          <w:rFonts w:hint="eastAsia"/>
        </w:rPr>
        <w:t>按照投标文件初审、澄清有关问题、比较与评价、推荐中标候选人名单的工作程序进行评标。在上一步评审中投标人被认定无效投标者，不进入下一步的评审。</w:t>
      </w:r>
    </w:p>
    <w:p>
      <w:pPr>
        <w:pStyle w:val="4"/>
      </w:pPr>
      <w:bookmarkStart w:id="103" w:name="_Toc11014"/>
      <w:bookmarkStart w:id="104" w:name="_Toc7785"/>
      <w:bookmarkStart w:id="105" w:name="_Toc403077644"/>
      <w:bookmarkStart w:id="106" w:name="_Toc363474022"/>
      <w:bookmarkStart w:id="107" w:name="_Toc363473977"/>
      <w:r>
        <w:rPr>
          <w:rFonts w:hint="eastAsia"/>
        </w:rPr>
        <w:t>六.定标、中标通知与签约</w:t>
      </w:r>
      <w:bookmarkEnd w:id="103"/>
      <w:bookmarkEnd w:id="104"/>
      <w:bookmarkEnd w:id="105"/>
      <w:bookmarkEnd w:id="106"/>
      <w:bookmarkEnd w:id="107"/>
    </w:p>
    <w:p>
      <w:pPr>
        <w:pStyle w:val="2"/>
      </w:pPr>
      <w:bookmarkStart w:id="108" w:name="_Toc22655"/>
      <w:bookmarkStart w:id="109" w:name="_Toc17765"/>
      <w:r>
        <w:rPr>
          <w:rFonts w:hint="eastAsia"/>
        </w:rPr>
        <w:t>27．定标程序</w:t>
      </w:r>
      <w:bookmarkEnd w:id="108"/>
      <w:bookmarkEnd w:id="109"/>
    </w:p>
    <w:p>
      <w:pPr>
        <w:pStyle w:val="8"/>
        <w:ind w:firstLine="480"/>
      </w:pPr>
      <w:r>
        <w:rPr>
          <w:rFonts w:hint="eastAsia"/>
        </w:rPr>
        <w:t>27.1评标委员会根据评标办法的规定对投标人进行评审排序，推荐3名中标候选人，作为评标结果。评标结果由评标委员会成员签字确认。</w:t>
      </w:r>
    </w:p>
    <w:p>
      <w:pPr>
        <w:pStyle w:val="8"/>
        <w:ind w:firstLine="480"/>
      </w:pPr>
      <w:r>
        <w:rPr>
          <w:rFonts w:hint="eastAsia"/>
        </w:rPr>
        <w:t>27.2</w:t>
      </w:r>
      <w:r>
        <w:rPr>
          <w:rFonts w:hint="eastAsia"/>
          <w:lang w:eastAsia="zh-CN"/>
        </w:rPr>
        <w:t>招标代理机构</w:t>
      </w:r>
      <w:r>
        <w:rPr>
          <w:rFonts w:hint="eastAsia"/>
        </w:rPr>
        <w:t>在评标结束后2个工作日内将评标报告送</w:t>
      </w:r>
      <w:r>
        <w:rPr>
          <w:rFonts w:hint="eastAsia"/>
          <w:lang w:eastAsia="zh-CN"/>
        </w:rPr>
        <w:t>招标人</w:t>
      </w:r>
      <w:r>
        <w:rPr>
          <w:rFonts w:hint="eastAsia"/>
        </w:rPr>
        <w:t>。</w:t>
      </w:r>
      <w:r>
        <w:rPr>
          <w:rFonts w:hint="eastAsia"/>
          <w:lang w:eastAsia="zh-CN"/>
        </w:rPr>
        <w:t>招标人</w:t>
      </w:r>
      <w:r>
        <w:rPr>
          <w:rFonts w:hint="eastAsia"/>
        </w:rPr>
        <w:t>应当在收到评标报告后5个工作日内，按照评标报告中推荐的中标候选人顺序和有关规定确定中标人。</w:t>
      </w:r>
    </w:p>
    <w:p>
      <w:pPr>
        <w:pStyle w:val="8"/>
        <w:ind w:firstLine="480"/>
      </w:pPr>
      <w:r>
        <w:rPr>
          <w:rFonts w:hint="eastAsia"/>
        </w:rPr>
        <w:t>27.3确定的中标候选人放弃中标、在规定期限内未能签订合同、因不可抗力不能履行合同、不按照招标文件要求提交履约保证金（如有），或者被查实存在影响中标结果的违法行为等情形，不符合中标条件的，</w:t>
      </w:r>
      <w:r>
        <w:rPr>
          <w:rFonts w:hint="eastAsia"/>
          <w:lang w:eastAsia="zh-CN"/>
        </w:rPr>
        <w:t>招标人</w:t>
      </w:r>
      <w:r>
        <w:rPr>
          <w:rFonts w:hint="eastAsia"/>
        </w:rPr>
        <w:t>可以按照评标委员会提出的中标候选人名单排序依次确定其他中标候选人为中标人，也可以重新招标。</w:t>
      </w:r>
    </w:p>
    <w:p>
      <w:pPr>
        <w:pStyle w:val="8"/>
        <w:ind w:firstLine="480"/>
      </w:pPr>
      <w:r>
        <w:rPr>
          <w:rFonts w:hint="eastAsia"/>
        </w:rPr>
        <w:t>27.4</w:t>
      </w:r>
      <w:r>
        <w:rPr>
          <w:rFonts w:hint="eastAsia"/>
          <w:lang w:eastAsia="zh-CN"/>
        </w:rPr>
        <w:t>招标人</w:t>
      </w:r>
      <w:r>
        <w:rPr>
          <w:rFonts w:hint="eastAsia"/>
        </w:rPr>
        <w:t>也可以授权评标委员会评标后直接确定中标人。</w:t>
      </w:r>
    </w:p>
    <w:p>
      <w:pPr>
        <w:pStyle w:val="8"/>
        <w:ind w:firstLine="480"/>
      </w:pPr>
      <w:r>
        <w:rPr>
          <w:rFonts w:hint="eastAsia"/>
        </w:rPr>
        <w:t>27.5中标人确定之后，中标结果将在财政部门指定的政府采购信息发布媒体上公告。</w:t>
      </w:r>
    </w:p>
    <w:p>
      <w:pPr>
        <w:pStyle w:val="8"/>
        <w:ind w:firstLine="480"/>
      </w:pPr>
      <w:r>
        <w:rPr>
          <w:rFonts w:hint="eastAsia"/>
        </w:rPr>
        <w:t>27.6投标人或者其他利害关系人对评标结果有异议的，应当在法律规定的时间内提出。</w:t>
      </w:r>
    </w:p>
    <w:p>
      <w:pPr>
        <w:pStyle w:val="2"/>
      </w:pPr>
      <w:bookmarkStart w:id="110" w:name="_Toc26443"/>
      <w:bookmarkStart w:id="111" w:name="_Toc12566"/>
      <w:r>
        <w:rPr>
          <w:rFonts w:hint="eastAsia"/>
        </w:rPr>
        <w:t>28．中标和落标通知</w:t>
      </w:r>
      <w:bookmarkEnd w:id="110"/>
      <w:bookmarkEnd w:id="111"/>
    </w:p>
    <w:p>
      <w:pPr>
        <w:pStyle w:val="8"/>
        <w:ind w:firstLine="480"/>
      </w:pPr>
      <w:r>
        <w:rPr>
          <w:rFonts w:hint="eastAsia"/>
        </w:rPr>
        <w:t xml:space="preserve">28.1 </w:t>
      </w:r>
      <w:r>
        <w:rPr>
          <w:rFonts w:hint="eastAsia"/>
          <w:lang w:eastAsia="zh-CN"/>
        </w:rPr>
        <w:t>招标代理机构</w:t>
      </w:r>
      <w:r>
        <w:rPr>
          <w:rFonts w:hint="eastAsia"/>
        </w:rPr>
        <w:t>在发布中标公告后，向中标人发出《中标通知书》。</w:t>
      </w:r>
    </w:p>
    <w:p>
      <w:pPr>
        <w:pStyle w:val="8"/>
        <w:ind w:firstLine="480"/>
      </w:pPr>
      <w:r>
        <w:rPr>
          <w:rFonts w:hint="eastAsia"/>
        </w:rPr>
        <w:t>28.2中标通知书对</w:t>
      </w:r>
      <w:r>
        <w:rPr>
          <w:rFonts w:hint="eastAsia"/>
          <w:lang w:eastAsia="zh-CN"/>
        </w:rPr>
        <w:t>招标人</w:t>
      </w:r>
      <w:r>
        <w:rPr>
          <w:rFonts w:hint="eastAsia"/>
        </w:rPr>
        <w:t>和中标人具有同等法律效力。中标通知书发出之后，</w:t>
      </w:r>
      <w:r>
        <w:rPr>
          <w:rFonts w:hint="eastAsia"/>
          <w:lang w:eastAsia="zh-CN"/>
        </w:rPr>
        <w:t>招标人</w:t>
      </w:r>
      <w:r>
        <w:rPr>
          <w:rFonts w:hint="eastAsia"/>
        </w:rPr>
        <w:t>改变中标结果，或者中标人放弃中标，应当承担相应的法律责任。</w:t>
      </w:r>
    </w:p>
    <w:p>
      <w:pPr>
        <w:pStyle w:val="8"/>
        <w:ind w:firstLine="480"/>
      </w:pPr>
      <w:r>
        <w:rPr>
          <w:rFonts w:hint="eastAsia"/>
        </w:rPr>
        <w:t>28.3中标公告发布后，未中标投标人可致电</w:t>
      </w:r>
      <w:r>
        <w:rPr>
          <w:rFonts w:hint="eastAsia"/>
          <w:lang w:eastAsia="zh-CN"/>
        </w:rPr>
        <w:t>招标代理机构</w:t>
      </w:r>
      <w:r>
        <w:rPr>
          <w:rFonts w:hint="eastAsia"/>
        </w:rPr>
        <w:t>获知本单位的评审得分与排序。</w:t>
      </w:r>
    </w:p>
    <w:p>
      <w:pPr>
        <w:pStyle w:val="2"/>
      </w:pPr>
      <w:bookmarkStart w:id="112" w:name="_Toc19838"/>
      <w:bookmarkStart w:id="113" w:name="_Toc32248"/>
      <w:r>
        <w:rPr>
          <w:rFonts w:hint="eastAsia"/>
        </w:rPr>
        <w:t>29. 中标合同的签订</w:t>
      </w:r>
      <w:bookmarkEnd w:id="112"/>
      <w:bookmarkEnd w:id="113"/>
    </w:p>
    <w:p>
      <w:pPr>
        <w:pStyle w:val="8"/>
        <w:ind w:firstLine="480"/>
      </w:pPr>
      <w:r>
        <w:rPr>
          <w:rFonts w:hint="eastAsia"/>
        </w:rPr>
        <w:t>29.1</w:t>
      </w:r>
      <w:r>
        <w:rPr>
          <w:rFonts w:hint="eastAsia"/>
          <w:lang w:eastAsia="zh-CN"/>
        </w:rPr>
        <w:t>招标人</w:t>
      </w:r>
      <w:r>
        <w:rPr>
          <w:rFonts w:hint="eastAsia"/>
        </w:rPr>
        <w:t>应当自中标通知书发出之日起三十日内，按照招标文件和中标人投标文件（</w:t>
      </w:r>
      <w:r>
        <w:rPr>
          <w:rFonts w:hint="eastAsia"/>
          <w:lang w:eastAsia="zh-CN"/>
        </w:rPr>
        <w:t>合同包</w:t>
      </w:r>
      <w:r>
        <w:rPr>
          <w:rFonts w:hint="eastAsia"/>
        </w:rPr>
        <w:t>括评标中形成的澄清文件）的约定，与中标人签订书面合同。所签订的合同不得对招标文件和中标人的投标文件（</w:t>
      </w:r>
      <w:r>
        <w:rPr>
          <w:rFonts w:hint="eastAsia"/>
          <w:lang w:eastAsia="zh-CN"/>
        </w:rPr>
        <w:t>合同包</w:t>
      </w:r>
      <w:r>
        <w:rPr>
          <w:rFonts w:hint="eastAsia"/>
        </w:rPr>
        <w:t>括评标中形成的澄清文件）作实质性修改。</w:t>
      </w:r>
    </w:p>
    <w:p>
      <w:pPr>
        <w:pStyle w:val="2"/>
      </w:pPr>
      <w:bookmarkStart w:id="114" w:name="_Toc16904"/>
      <w:bookmarkStart w:id="115" w:name="_Toc27180"/>
      <w:r>
        <w:rPr>
          <w:rFonts w:hint="eastAsia"/>
        </w:rPr>
        <w:t>30．招标代理服务费</w:t>
      </w:r>
      <w:bookmarkEnd w:id="114"/>
      <w:bookmarkEnd w:id="115"/>
    </w:p>
    <w:p>
      <w:pPr>
        <w:pStyle w:val="8"/>
        <w:ind w:firstLine="480"/>
        <w:rPr>
          <w:rFonts w:hint="eastAsia"/>
        </w:rPr>
      </w:pPr>
      <w:r>
        <w:rPr>
          <w:rFonts w:hint="eastAsia"/>
        </w:rPr>
        <w:t>30.1按国家计委颁发的《招标代理服务收费管理暂行办法》（计价格[2002]1980号）和国家发展改革委员会办公厅颁发的《关于招标代理服务收费有关问题的通知》（发改办价格[2003]857号）的有关规定</w:t>
      </w:r>
      <w:r>
        <w:rPr>
          <w:rFonts w:hint="eastAsia" w:ascii="宋体" w:hAnsi="宋体" w:eastAsia="宋体" w:cs="宋体"/>
          <w:szCs w:val="22"/>
          <w:lang w:val="en-US" w:eastAsia="zh-CN"/>
        </w:rPr>
        <w:t>下浮30%收取</w:t>
      </w:r>
      <w:r>
        <w:rPr>
          <w:rFonts w:hint="eastAsia"/>
        </w:rPr>
        <w:t>。</w:t>
      </w:r>
    </w:p>
    <w:p>
      <w:pPr>
        <w:pStyle w:val="8"/>
        <w:ind w:firstLine="480"/>
      </w:pPr>
      <w:r>
        <w:rPr>
          <w:rFonts w:hint="eastAsia"/>
        </w:rPr>
        <w:t>30.2中标人承担招标代理服务费，中标人在领取中标通知书前，须向</w:t>
      </w:r>
      <w:r>
        <w:rPr>
          <w:rFonts w:hint="eastAsia"/>
          <w:lang w:eastAsia="zh-CN"/>
        </w:rPr>
        <w:t>招标代理机构</w:t>
      </w:r>
      <w:r>
        <w:rPr>
          <w:rFonts w:hint="eastAsia"/>
        </w:rPr>
        <w:t>一次性支付招标代理服务费。</w:t>
      </w:r>
    </w:p>
    <w:p>
      <w:pPr>
        <w:pStyle w:val="2"/>
      </w:pPr>
      <w:bookmarkStart w:id="116" w:name="_Toc20770"/>
      <w:bookmarkStart w:id="117" w:name="_Toc23244"/>
      <w:r>
        <w:rPr>
          <w:rFonts w:hint="eastAsia"/>
        </w:rPr>
        <w:t>31.质疑</w:t>
      </w:r>
      <w:bookmarkEnd w:id="116"/>
      <w:bookmarkEnd w:id="117"/>
    </w:p>
    <w:p>
      <w:pPr>
        <w:pStyle w:val="8"/>
        <w:ind w:firstLine="480"/>
      </w:pPr>
      <w:r>
        <w:rPr>
          <w:rFonts w:hint="eastAsia"/>
        </w:rPr>
        <w:t>31.1投标人认为招标文件、招标过程、中标结果使自己的权益受到损害的，可以在知道或者应知其权益受到损害之日起7个工作日内，以书面形式向</w:t>
      </w:r>
      <w:r>
        <w:rPr>
          <w:rFonts w:hint="eastAsia"/>
          <w:lang w:eastAsia="zh-CN"/>
        </w:rPr>
        <w:t>招标人</w:t>
      </w:r>
      <w:r>
        <w:rPr>
          <w:rFonts w:hint="eastAsia"/>
        </w:rPr>
        <w:t>、</w:t>
      </w:r>
      <w:r>
        <w:rPr>
          <w:rFonts w:hint="eastAsia"/>
          <w:lang w:eastAsia="zh-CN"/>
        </w:rPr>
        <w:t>招标代理机构</w:t>
      </w:r>
      <w:r>
        <w:rPr>
          <w:rFonts w:hint="eastAsia"/>
        </w:rPr>
        <w:t>提出质疑。</w:t>
      </w:r>
    </w:p>
    <w:p>
      <w:pPr>
        <w:pStyle w:val="8"/>
        <w:ind w:firstLine="480"/>
      </w:pPr>
      <w:r>
        <w:rPr>
          <w:rFonts w:hint="eastAsia"/>
        </w:rPr>
        <w:t>31.2投标人必须在法定质疑期内一次性提出针对同一采购程序环节的质疑。</w:t>
      </w:r>
    </w:p>
    <w:p>
      <w:pPr>
        <w:pStyle w:val="8"/>
        <w:ind w:firstLine="480"/>
      </w:pPr>
      <w:r>
        <w:rPr>
          <w:rFonts w:hint="eastAsia"/>
        </w:rPr>
        <w:t>31.3投标人可以委托代理人进行质疑。代理人提出质疑的，应当提交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pPr>
        <w:pStyle w:val="8"/>
        <w:ind w:firstLine="480"/>
      </w:pPr>
      <w:r>
        <w:rPr>
          <w:rFonts w:hint="eastAsia"/>
        </w:rPr>
        <w:t>31.4以联合体形式参加政府采购活动的，其质疑应当由组成联合体的所有投标人共同提出。</w:t>
      </w:r>
    </w:p>
    <w:p>
      <w:pPr>
        <w:pStyle w:val="8"/>
        <w:ind w:firstLine="480"/>
      </w:pPr>
      <w:r>
        <w:rPr>
          <w:rFonts w:hint="eastAsia"/>
        </w:rPr>
        <w:t>31.5投标人提出质疑应当提交质疑函和必要的证明材料。质疑函应当</w:t>
      </w:r>
      <w:r>
        <w:rPr>
          <w:rFonts w:hint="eastAsia"/>
          <w:lang w:eastAsia="zh-CN"/>
        </w:rPr>
        <w:t>包</w:t>
      </w:r>
      <w:r>
        <w:rPr>
          <w:rFonts w:hint="eastAsia"/>
        </w:rPr>
        <w:t>括下列内容：</w:t>
      </w:r>
    </w:p>
    <w:p>
      <w:pPr>
        <w:pStyle w:val="8"/>
        <w:ind w:firstLine="480"/>
      </w:pPr>
      <w:r>
        <w:rPr>
          <w:rFonts w:hint="eastAsia"/>
        </w:rPr>
        <w:t>31.5.1投标人的姓名或者名称、地址、邮编、联系人及联系电话；</w:t>
      </w:r>
    </w:p>
    <w:p>
      <w:pPr>
        <w:pStyle w:val="8"/>
        <w:ind w:firstLine="480"/>
      </w:pPr>
      <w:r>
        <w:rPr>
          <w:rFonts w:hint="eastAsia"/>
        </w:rPr>
        <w:t>31.5.2质疑项目的名称、编号；</w:t>
      </w:r>
    </w:p>
    <w:p>
      <w:pPr>
        <w:pStyle w:val="8"/>
        <w:ind w:firstLine="480"/>
      </w:pPr>
      <w:r>
        <w:rPr>
          <w:rFonts w:hint="eastAsia"/>
        </w:rPr>
        <w:t>31.5.3具体、明确的质疑事项和与质疑事项相关的请求；</w:t>
      </w:r>
    </w:p>
    <w:p>
      <w:pPr>
        <w:pStyle w:val="8"/>
        <w:ind w:firstLine="480"/>
      </w:pPr>
      <w:r>
        <w:rPr>
          <w:rFonts w:hint="eastAsia"/>
        </w:rPr>
        <w:t>31.5.4事实依据；</w:t>
      </w:r>
    </w:p>
    <w:p>
      <w:pPr>
        <w:pStyle w:val="8"/>
        <w:ind w:firstLine="480"/>
      </w:pPr>
      <w:r>
        <w:rPr>
          <w:rFonts w:hint="eastAsia"/>
        </w:rPr>
        <w:t>31.5.5必要的法律依据；</w:t>
      </w:r>
    </w:p>
    <w:p>
      <w:pPr>
        <w:pStyle w:val="8"/>
        <w:ind w:firstLine="480"/>
      </w:pPr>
      <w:r>
        <w:rPr>
          <w:rFonts w:hint="eastAsia"/>
        </w:rPr>
        <w:t>31.5.6提出质疑的日期。</w:t>
      </w:r>
    </w:p>
    <w:p>
      <w:pPr>
        <w:pStyle w:val="8"/>
        <w:ind w:firstLine="480"/>
      </w:pPr>
      <w:r>
        <w:rPr>
          <w:rFonts w:hint="eastAsia"/>
        </w:rPr>
        <w:t>31.6有下列情形之一的，属于无效质疑，</w:t>
      </w:r>
      <w:r>
        <w:rPr>
          <w:rFonts w:hint="eastAsia"/>
          <w:lang w:eastAsia="zh-CN"/>
        </w:rPr>
        <w:t>招标代理机构</w:t>
      </w:r>
      <w:r>
        <w:rPr>
          <w:rFonts w:hint="eastAsia"/>
        </w:rPr>
        <w:t>和</w:t>
      </w:r>
      <w:r>
        <w:rPr>
          <w:rFonts w:hint="eastAsia"/>
          <w:lang w:eastAsia="zh-CN"/>
        </w:rPr>
        <w:t>招标人</w:t>
      </w:r>
      <w:r>
        <w:rPr>
          <w:rFonts w:hint="eastAsia"/>
        </w:rPr>
        <w:t>不予受理：</w:t>
      </w:r>
    </w:p>
    <w:p>
      <w:pPr>
        <w:pStyle w:val="8"/>
        <w:ind w:firstLine="480"/>
      </w:pPr>
      <w:r>
        <w:rPr>
          <w:rFonts w:hint="eastAsia"/>
        </w:rPr>
        <w:t>31.6.1质疑投标人不是参与本次政府采购项目的投标人；</w:t>
      </w:r>
    </w:p>
    <w:p>
      <w:pPr>
        <w:pStyle w:val="8"/>
        <w:ind w:firstLine="480"/>
      </w:pPr>
      <w:r>
        <w:rPr>
          <w:rFonts w:hint="eastAsia"/>
        </w:rPr>
        <w:t>31.6.2质疑投标人与质疑事项不存在利害关系的；</w:t>
      </w:r>
    </w:p>
    <w:p>
      <w:pPr>
        <w:pStyle w:val="8"/>
        <w:ind w:firstLine="480"/>
      </w:pPr>
      <w:r>
        <w:rPr>
          <w:rFonts w:hint="eastAsia"/>
        </w:rPr>
        <w:t>31.6.3未在法定期限内提出质疑的；</w:t>
      </w:r>
    </w:p>
    <w:p>
      <w:pPr>
        <w:pStyle w:val="8"/>
        <w:ind w:firstLine="480"/>
      </w:pPr>
      <w:r>
        <w:rPr>
          <w:rFonts w:hint="eastAsia"/>
        </w:rPr>
        <w:t>31.6.4质疑未以书面形式提出，或质疑函主要内容构成不完整的；</w:t>
      </w:r>
    </w:p>
    <w:p>
      <w:pPr>
        <w:pStyle w:val="8"/>
        <w:ind w:firstLine="480"/>
      </w:pPr>
      <w:r>
        <w:rPr>
          <w:rFonts w:hint="eastAsia"/>
        </w:rPr>
        <w:t>31.6.5应当提交授权书而未提交的；</w:t>
      </w:r>
    </w:p>
    <w:p>
      <w:pPr>
        <w:pStyle w:val="8"/>
        <w:ind w:firstLine="480"/>
      </w:pPr>
      <w:r>
        <w:rPr>
          <w:rFonts w:hint="eastAsia"/>
        </w:rPr>
        <w:t>31.6.6以非法手段取得证据、材料的；</w:t>
      </w:r>
    </w:p>
    <w:p>
      <w:pPr>
        <w:pStyle w:val="8"/>
        <w:ind w:firstLine="480"/>
      </w:pPr>
      <w:r>
        <w:rPr>
          <w:rFonts w:hint="eastAsia"/>
        </w:rPr>
        <w:t>31.6.7质疑答复后，同一质疑人就同一事项或同一采购程序环节再次提出质疑的；</w:t>
      </w:r>
    </w:p>
    <w:p>
      <w:pPr>
        <w:pStyle w:val="8"/>
        <w:ind w:firstLine="480"/>
      </w:pPr>
      <w:r>
        <w:rPr>
          <w:rFonts w:hint="eastAsia"/>
        </w:rPr>
        <w:t>31.6.8不符合法律、法规、规章和政府采购监管机构规定的其他条件的。</w:t>
      </w:r>
    </w:p>
    <w:p>
      <w:pPr>
        <w:pStyle w:val="8"/>
        <w:ind w:firstLine="480"/>
      </w:pPr>
      <w:r>
        <w:rPr>
          <w:rFonts w:hint="eastAsia"/>
        </w:rPr>
        <w:t>31.7质疑答复</w:t>
      </w:r>
    </w:p>
    <w:p>
      <w:pPr>
        <w:pStyle w:val="8"/>
        <w:ind w:firstLine="480"/>
      </w:pPr>
      <w:r>
        <w:rPr>
          <w:rFonts w:hint="eastAsia"/>
        </w:rPr>
        <w:t>31.7.1</w:t>
      </w:r>
      <w:r>
        <w:rPr>
          <w:rFonts w:hint="eastAsia"/>
          <w:lang w:eastAsia="zh-CN"/>
        </w:rPr>
        <w:t>招标人</w:t>
      </w:r>
      <w:r>
        <w:rPr>
          <w:rFonts w:hint="eastAsia"/>
        </w:rPr>
        <w:t>或</w:t>
      </w:r>
      <w:r>
        <w:rPr>
          <w:rFonts w:hint="eastAsia"/>
          <w:lang w:eastAsia="zh-CN"/>
        </w:rPr>
        <w:t>招标代理机构</w:t>
      </w:r>
      <w:r>
        <w:rPr>
          <w:rFonts w:hint="eastAsia"/>
        </w:rPr>
        <w:t>在收到质疑函后7个工作日内作出答复，并以书面形式通知质疑投标人和其他有关投标人。</w:t>
      </w:r>
    </w:p>
    <w:p>
      <w:pPr>
        <w:pStyle w:val="8"/>
        <w:ind w:firstLine="480"/>
      </w:pPr>
      <w:r>
        <w:rPr>
          <w:rFonts w:hint="eastAsia"/>
        </w:rPr>
        <w:t>31.7.2质疑投标人对</w:t>
      </w:r>
      <w:r>
        <w:rPr>
          <w:rFonts w:hint="eastAsia"/>
          <w:lang w:eastAsia="zh-CN"/>
        </w:rPr>
        <w:t>招标人</w:t>
      </w:r>
      <w:r>
        <w:rPr>
          <w:rFonts w:hint="eastAsia"/>
        </w:rPr>
        <w:t>、</w:t>
      </w:r>
      <w:r>
        <w:rPr>
          <w:rFonts w:hint="eastAsia"/>
          <w:lang w:eastAsia="zh-CN"/>
        </w:rPr>
        <w:t>招标代理机构</w:t>
      </w:r>
      <w:r>
        <w:rPr>
          <w:rFonts w:hint="eastAsia"/>
        </w:rPr>
        <w:t>的答复不满意，或者</w:t>
      </w:r>
      <w:r>
        <w:rPr>
          <w:rFonts w:hint="eastAsia"/>
          <w:lang w:eastAsia="zh-CN"/>
        </w:rPr>
        <w:t>招标人</w:t>
      </w:r>
      <w:r>
        <w:rPr>
          <w:rFonts w:hint="eastAsia"/>
        </w:rPr>
        <w:t>、</w:t>
      </w:r>
      <w:r>
        <w:rPr>
          <w:rFonts w:hint="eastAsia"/>
          <w:lang w:eastAsia="zh-CN"/>
        </w:rPr>
        <w:t>招标代理机构</w:t>
      </w:r>
      <w:r>
        <w:rPr>
          <w:rFonts w:hint="eastAsia"/>
        </w:rPr>
        <w:t>未在规定时间内作出答复的，可以在答复期满后15个工作日内向同级人民政府财政部门提起投诉。</w:t>
      </w:r>
    </w:p>
    <w:p>
      <w:pPr>
        <w:pStyle w:val="8"/>
        <w:ind w:firstLine="480"/>
      </w:pPr>
      <w:r>
        <w:rPr>
          <w:rFonts w:hint="eastAsia"/>
        </w:rPr>
        <w:t>31.8其他需要说明的事项</w:t>
      </w:r>
    </w:p>
    <w:p>
      <w:pPr>
        <w:pStyle w:val="8"/>
        <w:ind w:firstLine="480"/>
      </w:pPr>
      <w:r>
        <w:rPr>
          <w:rFonts w:hint="eastAsia"/>
        </w:rPr>
        <w:t>31.8.1质疑函须按财政部《质疑函范本》给定的格式进行填写，范本下载详见【财政部国库司（gks.mof.gov.cn）】网站〖首页·政府采购管理〗栏目中的《政府采购投标人质疑函范本》。《政府采购投标人质疑函范本》链接地址：</w:t>
      </w:r>
    </w:p>
    <w:p>
      <w:pPr>
        <w:pStyle w:val="8"/>
        <w:ind w:firstLine="0" w:firstLineChars="0"/>
      </w:pPr>
      <w:r>
        <w:rPr>
          <w:rFonts w:hint="eastAsia"/>
        </w:rPr>
        <w:t>http：//gks.mof.gov.cn/zhengfucaigouguanli/201802/t20180201_2804589.html</w:t>
      </w:r>
    </w:p>
    <w:p>
      <w:pPr>
        <w:pStyle w:val="8"/>
        <w:ind w:firstLine="480"/>
      </w:pPr>
      <w:r>
        <w:rPr>
          <w:rFonts w:hint="eastAsia"/>
        </w:rPr>
        <w:t>31.8.2接收质疑函的方式：书面形式</w:t>
      </w:r>
    </w:p>
    <w:p>
      <w:pPr>
        <w:pStyle w:val="8"/>
        <w:ind w:firstLine="480"/>
        <w:rPr>
          <w:rFonts w:hint="default" w:eastAsia="宋体"/>
          <w:lang w:val="en-US" w:eastAsia="zh-CN"/>
        </w:rPr>
      </w:pPr>
      <w:r>
        <w:rPr>
          <w:rFonts w:hint="eastAsia"/>
        </w:rPr>
        <w:t>31.8.3联系人：</w:t>
      </w:r>
      <w:r>
        <w:rPr>
          <w:rFonts w:hint="eastAsia"/>
          <w:lang w:eastAsia="zh-CN"/>
        </w:rPr>
        <w:t>王倩倩、刘晓利、</w:t>
      </w:r>
      <w:r>
        <w:rPr>
          <w:rFonts w:hint="eastAsia"/>
          <w:lang w:val="en-US" w:eastAsia="zh-CN"/>
        </w:rPr>
        <w:t>卫钰</w:t>
      </w:r>
    </w:p>
    <w:p>
      <w:pPr>
        <w:pStyle w:val="8"/>
        <w:ind w:firstLine="480"/>
        <w:rPr>
          <w:rFonts w:hint="eastAsia" w:eastAsia="宋体"/>
          <w:lang w:eastAsia="zh-CN"/>
        </w:rPr>
      </w:pPr>
      <w:r>
        <w:rPr>
          <w:rFonts w:hint="eastAsia"/>
        </w:rPr>
        <w:t>31.8.4联系电话：</w:t>
      </w:r>
      <w:r>
        <w:rPr>
          <w:rFonts w:hint="eastAsia"/>
          <w:lang w:eastAsia="zh-CN"/>
        </w:rPr>
        <w:t>029-89338755/81511576转804</w:t>
      </w:r>
    </w:p>
    <w:p>
      <w:pPr>
        <w:pStyle w:val="8"/>
        <w:ind w:firstLine="480"/>
      </w:pPr>
      <w:r>
        <w:rPr>
          <w:rFonts w:hint="eastAsia"/>
        </w:rPr>
        <w:t>31.8.5通讯地址：陕西省西安市雁塔区南二环东段凯森盛世一号A座4层408室</w:t>
      </w:r>
    </w:p>
    <w:p>
      <w:pPr>
        <w:pStyle w:val="2"/>
      </w:pPr>
      <w:r>
        <w:rPr>
          <w:rFonts w:hint="eastAsia"/>
        </w:rPr>
        <w:t>32.政府采购信用担保及信用融资政策</w:t>
      </w:r>
    </w:p>
    <w:p>
      <w:pPr>
        <w:pStyle w:val="8"/>
        <w:snapToGrid/>
        <w:spacing w:line="384"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《陕西省财政厅关于印发&lt;陕西省中小企业政府采购信用融资办法&gt;的通知》（陕财办采〔2018〕23号）相关政策、业务流程、办理平台</w:t>
      </w:r>
    </w:p>
    <w:p>
      <w:pPr>
        <w:pStyle w:val="8"/>
        <w:ind w:firstLine="480"/>
        <w:rPr>
          <w:rFonts w:hint="eastAsia" w:eastAsia="宋体"/>
          <w:lang w:eastAsia="zh-CN"/>
        </w:rPr>
      </w:pPr>
      <w:r>
        <w:rPr>
          <w:rFonts w:hint="eastAsia" w:ascii="宋体" w:hAnsi="宋体" w:eastAsia="宋体" w:cs="宋体"/>
          <w:color w:val="auto"/>
          <w:highlight w:val="none"/>
        </w:rPr>
        <w:t>（http://www.ccgp-shaanxi.gov.cn/zcdservice/zcd/shanxi/）</w:t>
      </w:r>
      <w:r>
        <w:rPr>
          <w:rFonts w:hint="eastAsia" w:ascii="宋体" w:hAnsi="宋体" w:eastAsia="宋体" w:cs="宋体"/>
          <w:color w:val="auto"/>
          <w:highlight w:val="none"/>
          <w:lang w:eastAsia="zh-CN"/>
        </w:rPr>
        <w:t>。</w:t>
      </w:r>
    </w:p>
    <w:p>
      <w:pPr>
        <w:pStyle w:val="2"/>
      </w:pPr>
      <w:r>
        <w:rPr>
          <w:rFonts w:hint="eastAsia"/>
        </w:rPr>
        <w:t>33.其他</w:t>
      </w:r>
      <w:bookmarkEnd w:id="93"/>
      <w:bookmarkEnd w:id="94"/>
    </w:p>
    <w:p>
      <w:pPr>
        <w:pStyle w:val="8"/>
        <w:ind w:firstLine="480"/>
      </w:pPr>
      <w:bookmarkStart w:id="118" w:name="_Toc363474023"/>
      <w:r>
        <w:rPr>
          <w:rFonts w:hint="eastAsia"/>
        </w:rPr>
        <w:t>33.1 废标的情形</w:t>
      </w:r>
    </w:p>
    <w:p>
      <w:pPr>
        <w:pStyle w:val="8"/>
        <w:ind w:firstLine="480"/>
      </w:pPr>
      <w:r>
        <w:rPr>
          <w:rFonts w:hint="eastAsia"/>
        </w:rPr>
        <w:t>33.1.1招标采购中，出现下列情形之一的，应予以废标：</w:t>
      </w:r>
    </w:p>
    <w:p>
      <w:pPr>
        <w:pStyle w:val="8"/>
        <w:ind w:firstLine="480"/>
      </w:pPr>
      <w:r>
        <w:rPr>
          <w:rFonts w:hint="eastAsia"/>
        </w:rPr>
        <w:t>（1）符合专业条件的投标人或者对招标文件作实质响应的投标人不足3家的；</w:t>
      </w:r>
    </w:p>
    <w:p>
      <w:pPr>
        <w:pStyle w:val="8"/>
        <w:ind w:firstLine="480"/>
      </w:pPr>
      <w:r>
        <w:rPr>
          <w:rFonts w:hint="eastAsia"/>
        </w:rPr>
        <w:t>（2）出现影响采购公正的违法、违规行为的；</w:t>
      </w:r>
    </w:p>
    <w:p>
      <w:pPr>
        <w:pStyle w:val="8"/>
        <w:ind w:firstLine="480"/>
      </w:pPr>
      <w:r>
        <w:rPr>
          <w:rFonts w:hint="eastAsia"/>
        </w:rPr>
        <w:t>（3）投标人的报价均超过了采购预算，</w:t>
      </w:r>
      <w:r>
        <w:rPr>
          <w:rFonts w:hint="eastAsia"/>
          <w:lang w:eastAsia="zh-CN"/>
        </w:rPr>
        <w:t>招标人</w:t>
      </w:r>
      <w:r>
        <w:rPr>
          <w:rFonts w:hint="eastAsia"/>
        </w:rPr>
        <w:t>不能支付的；</w:t>
      </w:r>
    </w:p>
    <w:p>
      <w:pPr>
        <w:pStyle w:val="8"/>
        <w:ind w:firstLine="480"/>
      </w:pPr>
      <w:r>
        <w:rPr>
          <w:rFonts w:hint="eastAsia"/>
        </w:rPr>
        <w:t>（4）因重大变故，采购任务取消的。</w:t>
      </w:r>
    </w:p>
    <w:p>
      <w:pPr>
        <w:pStyle w:val="8"/>
        <w:ind w:firstLine="480"/>
      </w:pPr>
      <w:r>
        <w:rPr>
          <w:rFonts w:hint="eastAsia"/>
        </w:rPr>
        <w:t>33.1.2废标后，</w:t>
      </w:r>
      <w:r>
        <w:rPr>
          <w:rFonts w:hint="eastAsia"/>
          <w:lang w:eastAsia="zh-CN"/>
        </w:rPr>
        <w:t>招标代理机构</w:t>
      </w:r>
      <w:r>
        <w:rPr>
          <w:rFonts w:hint="eastAsia"/>
        </w:rPr>
        <w:t>应在财政部门指定采购网上公告，并公告废标的详细理由。</w:t>
      </w:r>
    </w:p>
    <w:p>
      <w:pPr>
        <w:pStyle w:val="8"/>
        <w:ind w:firstLine="480"/>
      </w:pPr>
      <w:r>
        <w:rPr>
          <w:rFonts w:hint="eastAsia"/>
        </w:rPr>
        <w:t>33.2变更采购方式</w:t>
      </w:r>
    </w:p>
    <w:p>
      <w:pPr>
        <w:pStyle w:val="8"/>
        <w:ind w:firstLine="480"/>
      </w:pPr>
      <w:r>
        <w:rPr>
          <w:rFonts w:hint="eastAsia"/>
        </w:rPr>
        <w:t>33.2.1存在下列情形之一的，除采购任务取消情形外，</w:t>
      </w:r>
      <w:r>
        <w:rPr>
          <w:rFonts w:hint="eastAsia"/>
          <w:lang w:eastAsia="zh-CN"/>
        </w:rPr>
        <w:t>招标人</w:t>
      </w:r>
      <w:r>
        <w:rPr>
          <w:rFonts w:hint="eastAsia"/>
        </w:rPr>
        <w:t>经同级财政部门同意后，可按《政府采购货物和服务招标投标管理办法》（财政部87号令）第四十三条规定的方式处理：</w:t>
      </w:r>
    </w:p>
    <w:p>
      <w:pPr>
        <w:pStyle w:val="8"/>
        <w:ind w:firstLine="480"/>
      </w:pPr>
      <w:r>
        <w:rPr>
          <w:rFonts w:hint="eastAsia"/>
        </w:rPr>
        <w:t>（1）投标截止后参加投标的人不足3家的；</w:t>
      </w:r>
    </w:p>
    <w:p>
      <w:pPr>
        <w:pStyle w:val="8"/>
        <w:ind w:firstLine="480"/>
      </w:pPr>
      <w:r>
        <w:rPr>
          <w:rFonts w:hint="eastAsia"/>
        </w:rPr>
        <w:t>（2）通过资格审查的投标人不足3家的；</w:t>
      </w:r>
    </w:p>
    <w:p>
      <w:pPr>
        <w:pStyle w:val="8"/>
        <w:ind w:firstLine="480"/>
      </w:pPr>
      <w:r>
        <w:rPr>
          <w:rFonts w:hint="eastAsia"/>
        </w:rPr>
        <w:t>（3）通过符合性审查的投标人不足3家的。</w:t>
      </w:r>
    </w:p>
    <w:p>
      <w:pPr>
        <w:pStyle w:val="8"/>
        <w:ind w:firstLine="480"/>
      </w:pPr>
      <w:r>
        <w:rPr>
          <w:rFonts w:hint="eastAsia"/>
        </w:rPr>
        <w:t>33.2.2通过符合性审查的投标人只有2家时，</w:t>
      </w:r>
      <w:r>
        <w:rPr>
          <w:rFonts w:hint="eastAsia"/>
          <w:lang w:eastAsia="zh-CN"/>
        </w:rPr>
        <w:t>招标人</w:t>
      </w:r>
      <w:r>
        <w:rPr>
          <w:rFonts w:hint="eastAsia"/>
        </w:rPr>
        <w:t>经同级财政部门同意后，可以按《政府采购非招标采购方式管理办法》（财政部第74号令）的规定与该2家投标人进行竞争性谈判采购。</w:t>
      </w:r>
    </w:p>
    <w:p>
      <w:pPr>
        <w:pStyle w:val="17"/>
        <w:ind w:left="1440"/>
      </w:pPr>
    </w:p>
    <w:p>
      <w:pPr>
        <w:pStyle w:val="10"/>
      </w:pPr>
    </w:p>
    <w:p>
      <w:pPr>
        <w:pStyle w:val="3"/>
        <w:spacing w:before="0" w:beforeLines="0" w:line="360" w:lineRule="auto"/>
      </w:pPr>
      <w:bookmarkStart w:id="119" w:name="_Toc3798"/>
      <w:bookmarkStart w:id="120" w:name="_Toc403077645"/>
      <w:bookmarkStart w:id="121" w:name="_Toc15898"/>
      <w:bookmarkStart w:id="122" w:name="_Toc11810"/>
      <w:bookmarkStart w:id="123" w:name="_Toc426457694"/>
      <w:r>
        <w:rPr>
          <w:rFonts w:hint="eastAsia"/>
        </w:rPr>
        <w:br w:type="page"/>
      </w:r>
      <w:bookmarkStart w:id="124" w:name="_Toc12577"/>
      <w:r>
        <w:rPr>
          <w:rFonts w:hint="eastAsia"/>
        </w:rPr>
        <w:t xml:space="preserve">第三章  </w:t>
      </w:r>
      <w:bookmarkEnd w:id="119"/>
      <w:bookmarkEnd w:id="120"/>
      <w:bookmarkEnd w:id="121"/>
      <w:bookmarkEnd w:id="122"/>
      <w:bookmarkEnd w:id="123"/>
      <w:r>
        <w:rPr>
          <w:rFonts w:hint="eastAsia"/>
          <w:lang w:eastAsia="zh-CN"/>
        </w:rPr>
        <w:t>商务及合同主要条款</w:t>
      </w:r>
      <w:bookmarkEnd w:id="124"/>
    </w:p>
    <w:p>
      <w:pPr>
        <w:pStyle w:val="12"/>
        <w:spacing w:line="360" w:lineRule="auto"/>
        <w:jc w:val="center"/>
        <w:rPr>
          <w:rFonts w:asciiTheme="minorEastAsia" w:hAnsiTheme="minorEastAsia" w:eastAsiaTheme="minorEastAsia"/>
          <w:b/>
          <w:bCs/>
          <w:sz w:val="28"/>
          <w:szCs w:val="28"/>
        </w:rPr>
      </w:pPr>
      <w:bookmarkStart w:id="125" w:name="_Toc26595"/>
      <w:bookmarkStart w:id="126" w:name="_Toc19199"/>
      <w:bookmarkStart w:id="127" w:name="_Toc29888"/>
      <w:bookmarkStart w:id="128" w:name="_Toc426457696"/>
      <w:bookmarkStart w:id="129" w:name="_Toc31520"/>
      <w:bookmarkStart w:id="130" w:name="_Toc9053"/>
      <w:bookmarkStart w:id="131" w:name="_Toc31683"/>
      <w:bookmarkStart w:id="132" w:name="_Toc19246"/>
      <w:bookmarkStart w:id="133" w:name="_Toc20109"/>
      <w:bookmarkStart w:id="134" w:name="_Toc20230"/>
      <w:bookmarkStart w:id="135" w:name="_Toc8333"/>
      <w:bookmarkStart w:id="136" w:name="_Toc389582037"/>
      <w:r>
        <w:rPr>
          <w:rFonts w:hint="eastAsia" w:asciiTheme="minorEastAsia" w:hAnsiTheme="minorEastAsia" w:eastAsiaTheme="minorEastAsia"/>
          <w:b/>
          <w:bCs/>
          <w:sz w:val="28"/>
          <w:szCs w:val="28"/>
        </w:rPr>
        <w:t>西安科技大学货物采购合同</w:t>
      </w:r>
    </w:p>
    <w:p>
      <w:pPr>
        <w:pStyle w:val="12"/>
        <w:spacing w:line="360" w:lineRule="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 xml:space="preserve">需方（以下简称“甲方”）：西安科技大学   </w:t>
      </w:r>
    </w:p>
    <w:p>
      <w:pPr>
        <w:pStyle w:val="12"/>
        <w:spacing w:line="360" w:lineRule="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合同编号：XKZH(20**)***(由招标办统一编号)</w:t>
      </w:r>
    </w:p>
    <w:p>
      <w:pPr>
        <w:pStyle w:val="12"/>
        <w:spacing w:line="360" w:lineRule="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供方（以下简称“乙方”）：</w:t>
      </w:r>
    </w:p>
    <w:p>
      <w:pPr>
        <w:pStyle w:val="1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依据《中华人民共和国民法典》，甲乙双方经协商一致，就购买( 项目名称)       事宜，确立本合同,双方共同遵守：</w:t>
      </w:r>
    </w:p>
    <w:p>
      <w:pPr>
        <w:pStyle w:val="12"/>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 xml:space="preserve">一、产品名称、数量、价格：  </w:t>
      </w:r>
      <w:r>
        <w:rPr>
          <w:rFonts w:hint="eastAsia" w:ascii="宋体" w:hAnsi="宋体" w:eastAsia="宋体" w:cs="宋体"/>
          <w:sz w:val="24"/>
          <w:szCs w:val="24"/>
        </w:rPr>
        <w:t xml:space="preserve">                       </w:t>
      </w:r>
    </w:p>
    <w:tbl>
      <w:tblPr>
        <w:tblStyle w:val="19"/>
        <w:tblpPr w:leftFromText="180" w:rightFromText="180" w:vertAnchor="text" w:horzAnchor="margin" w:tblpXSpec="center" w:tblpY="158"/>
        <w:tblOverlap w:val="never"/>
        <w:tblW w:w="50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3"/>
        <w:gridCol w:w="2075"/>
        <w:gridCol w:w="1091"/>
        <w:gridCol w:w="909"/>
        <w:gridCol w:w="1276"/>
        <w:gridCol w:w="909"/>
        <w:gridCol w:w="110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351" w:type="pct"/>
            <w:vAlign w:val="center"/>
          </w:tcPr>
          <w:p>
            <w:pPr>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116" w:type="pct"/>
            <w:vAlign w:val="center"/>
          </w:tcPr>
          <w:p>
            <w:pPr>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产品名称</w:t>
            </w:r>
          </w:p>
        </w:tc>
        <w:tc>
          <w:tcPr>
            <w:tcW w:w="587" w:type="pct"/>
            <w:vAlign w:val="center"/>
          </w:tcPr>
          <w:p>
            <w:pPr>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规格</w:t>
            </w:r>
          </w:p>
        </w:tc>
        <w:tc>
          <w:tcPr>
            <w:tcW w:w="489" w:type="pct"/>
            <w:vAlign w:val="center"/>
          </w:tcPr>
          <w:p>
            <w:pPr>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品牌</w:t>
            </w:r>
          </w:p>
        </w:tc>
        <w:tc>
          <w:tcPr>
            <w:tcW w:w="686" w:type="pct"/>
            <w:vAlign w:val="center"/>
          </w:tcPr>
          <w:p>
            <w:pPr>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生产厂家</w:t>
            </w:r>
          </w:p>
        </w:tc>
        <w:tc>
          <w:tcPr>
            <w:tcW w:w="489" w:type="pct"/>
            <w:vAlign w:val="center"/>
          </w:tcPr>
          <w:p>
            <w:pPr>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数量</w:t>
            </w:r>
          </w:p>
        </w:tc>
        <w:tc>
          <w:tcPr>
            <w:tcW w:w="591" w:type="pct"/>
            <w:vAlign w:val="center"/>
          </w:tcPr>
          <w:p>
            <w:pPr>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单价(元)</w:t>
            </w:r>
          </w:p>
        </w:tc>
        <w:tc>
          <w:tcPr>
            <w:tcW w:w="686" w:type="pct"/>
            <w:vAlign w:val="center"/>
          </w:tcPr>
          <w:p>
            <w:pPr>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合计(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351" w:type="pct"/>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116" w:type="pct"/>
            <w:vAlign w:val="center"/>
          </w:tcPr>
          <w:p>
            <w:pPr>
              <w:adjustRightInd w:val="0"/>
              <w:snapToGrid w:val="0"/>
              <w:spacing w:line="360" w:lineRule="auto"/>
              <w:jc w:val="center"/>
              <w:rPr>
                <w:rFonts w:hint="eastAsia" w:ascii="宋体" w:hAnsi="宋体" w:eastAsia="宋体" w:cs="宋体"/>
                <w:sz w:val="24"/>
                <w:szCs w:val="24"/>
              </w:rPr>
            </w:pPr>
          </w:p>
        </w:tc>
        <w:tc>
          <w:tcPr>
            <w:tcW w:w="587" w:type="pct"/>
            <w:vAlign w:val="center"/>
          </w:tcPr>
          <w:p>
            <w:pPr>
              <w:adjustRightInd w:val="0"/>
              <w:snapToGrid w:val="0"/>
              <w:spacing w:line="360" w:lineRule="auto"/>
              <w:jc w:val="center"/>
              <w:rPr>
                <w:rFonts w:hint="eastAsia" w:ascii="宋体" w:hAnsi="宋体" w:eastAsia="宋体" w:cs="宋体"/>
                <w:sz w:val="24"/>
                <w:szCs w:val="24"/>
              </w:rPr>
            </w:pPr>
          </w:p>
        </w:tc>
        <w:tc>
          <w:tcPr>
            <w:tcW w:w="489" w:type="pct"/>
          </w:tcPr>
          <w:p>
            <w:pPr>
              <w:adjustRightInd w:val="0"/>
              <w:snapToGrid w:val="0"/>
              <w:spacing w:line="360" w:lineRule="auto"/>
              <w:jc w:val="center"/>
              <w:rPr>
                <w:rFonts w:hint="eastAsia" w:ascii="宋体" w:hAnsi="宋体" w:eastAsia="宋体" w:cs="宋体"/>
                <w:sz w:val="24"/>
                <w:szCs w:val="24"/>
              </w:rPr>
            </w:pPr>
          </w:p>
        </w:tc>
        <w:tc>
          <w:tcPr>
            <w:tcW w:w="686" w:type="pct"/>
            <w:vAlign w:val="center"/>
          </w:tcPr>
          <w:p>
            <w:pPr>
              <w:adjustRightInd w:val="0"/>
              <w:snapToGrid w:val="0"/>
              <w:spacing w:line="360" w:lineRule="auto"/>
              <w:jc w:val="center"/>
              <w:rPr>
                <w:rFonts w:hint="eastAsia" w:ascii="宋体" w:hAnsi="宋体" w:eastAsia="宋体" w:cs="宋体"/>
                <w:sz w:val="24"/>
                <w:szCs w:val="24"/>
              </w:rPr>
            </w:pPr>
          </w:p>
        </w:tc>
        <w:tc>
          <w:tcPr>
            <w:tcW w:w="489" w:type="pct"/>
            <w:vAlign w:val="center"/>
          </w:tcPr>
          <w:p>
            <w:pPr>
              <w:adjustRightInd w:val="0"/>
              <w:snapToGrid w:val="0"/>
              <w:spacing w:line="360" w:lineRule="auto"/>
              <w:jc w:val="center"/>
              <w:rPr>
                <w:rFonts w:hint="eastAsia" w:ascii="宋体" w:hAnsi="宋体" w:eastAsia="宋体" w:cs="宋体"/>
                <w:sz w:val="24"/>
                <w:szCs w:val="24"/>
              </w:rPr>
            </w:pPr>
          </w:p>
        </w:tc>
        <w:tc>
          <w:tcPr>
            <w:tcW w:w="591" w:type="pct"/>
            <w:vAlign w:val="center"/>
          </w:tcPr>
          <w:p>
            <w:pPr>
              <w:adjustRightInd w:val="0"/>
              <w:snapToGrid w:val="0"/>
              <w:spacing w:line="360" w:lineRule="auto"/>
              <w:jc w:val="center"/>
              <w:rPr>
                <w:rFonts w:hint="eastAsia" w:ascii="宋体" w:hAnsi="宋体" w:eastAsia="宋体" w:cs="宋体"/>
                <w:sz w:val="24"/>
                <w:szCs w:val="24"/>
              </w:rPr>
            </w:pPr>
          </w:p>
        </w:tc>
        <w:tc>
          <w:tcPr>
            <w:tcW w:w="686" w:type="pct"/>
            <w:vAlign w:val="center"/>
          </w:tcPr>
          <w:p>
            <w:pPr>
              <w:adjustRightInd w:val="0"/>
              <w:snapToGrid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351" w:type="pct"/>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116" w:type="pct"/>
            <w:vAlign w:val="center"/>
          </w:tcPr>
          <w:p>
            <w:pPr>
              <w:adjustRightInd w:val="0"/>
              <w:snapToGrid w:val="0"/>
              <w:spacing w:line="360" w:lineRule="auto"/>
              <w:jc w:val="center"/>
              <w:rPr>
                <w:rFonts w:hint="eastAsia" w:ascii="宋体" w:hAnsi="宋体" w:eastAsia="宋体" w:cs="宋体"/>
                <w:sz w:val="24"/>
                <w:szCs w:val="24"/>
              </w:rPr>
            </w:pPr>
          </w:p>
        </w:tc>
        <w:tc>
          <w:tcPr>
            <w:tcW w:w="587" w:type="pct"/>
            <w:vAlign w:val="center"/>
          </w:tcPr>
          <w:p>
            <w:pPr>
              <w:adjustRightInd w:val="0"/>
              <w:snapToGrid w:val="0"/>
              <w:spacing w:line="360" w:lineRule="auto"/>
              <w:jc w:val="center"/>
              <w:rPr>
                <w:rFonts w:hint="eastAsia" w:ascii="宋体" w:hAnsi="宋体" w:eastAsia="宋体" w:cs="宋体"/>
                <w:sz w:val="24"/>
                <w:szCs w:val="24"/>
              </w:rPr>
            </w:pPr>
          </w:p>
        </w:tc>
        <w:tc>
          <w:tcPr>
            <w:tcW w:w="489" w:type="pct"/>
          </w:tcPr>
          <w:p>
            <w:pPr>
              <w:adjustRightInd w:val="0"/>
              <w:snapToGrid w:val="0"/>
              <w:spacing w:line="360" w:lineRule="auto"/>
              <w:jc w:val="center"/>
              <w:rPr>
                <w:rFonts w:hint="eastAsia" w:ascii="宋体" w:hAnsi="宋体" w:eastAsia="宋体" w:cs="宋体"/>
                <w:sz w:val="24"/>
                <w:szCs w:val="24"/>
              </w:rPr>
            </w:pPr>
          </w:p>
        </w:tc>
        <w:tc>
          <w:tcPr>
            <w:tcW w:w="686" w:type="pct"/>
            <w:vAlign w:val="center"/>
          </w:tcPr>
          <w:p>
            <w:pPr>
              <w:adjustRightInd w:val="0"/>
              <w:snapToGrid w:val="0"/>
              <w:spacing w:line="360" w:lineRule="auto"/>
              <w:jc w:val="center"/>
              <w:rPr>
                <w:rFonts w:hint="eastAsia" w:ascii="宋体" w:hAnsi="宋体" w:eastAsia="宋体" w:cs="宋体"/>
                <w:sz w:val="24"/>
                <w:szCs w:val="24"/>
              </w:rPr>
            </w:pPr>
          </w:p>
        </w:tc>
        <w:tc>
          <w:tcPr>
            <w:tcW w:w="489" w:type="pct"/>
            <w:vAlign w:val="center"/>
          </w:tcPr>
          <w:p>
            <w:pPr>
              <w:adjustRightInd w:val="0"/>
              <w:snapToGrid w:val="0"/>
              <w:spacing w:line="360" w:lineRule="auto"/>
              <w:jc w:val="center"/>
              <w:rPr>
                <w:rFonts w:hint="eastAsia" w:ascii="宋体" w:hAnsi="宋体" w:eastAsia="宋体" w:cs="宋体"/>
                <w:sz w:val="24"/>
                <w:szCs w:val="24"/>
              </w:rPr>
            </w:pPr>
          </w:p>
        </w:tc>
        <w:tc>
          <w:tcPr>
            <w:tcW w:w="591" w:type="pct"/>
            <w:vAlign w:val="center"/>
          </w:tcPr>
          <w:p>
            <w:pPr>
              <w:adjustRightInd w:val="0"/>
              <w:snapToGrid w:val="0"/>
              <w:spacing w:line="360" w:lineRule="auto"/>
              <w:jc w:val="center"/>
              <w:rPr>
                <w:rFonts w:hint="eastAsia" w:ascii="宋体" w:hAnsi="宋体" w:eastAsia="宋体" w:cs="宋体"/>
                <w:sz w:val="24"/>
                <w:szCs w:val="24"/>
              </w:rPr>
            </w:pPr>
          </w:p>
        </w:tc>
        <w:tc>
          <w:tcPr>
            <w:tcW w:w="686" w:type="pct"/>
            <w:vAlign w:val="center"/>
          </w:tcPr>
          <w:p>
            <w:pPr>
              <w:adjustRightInd w:val="0"/>
              <w:snapToGrid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351" w:type="pct"/>
            <w:vAlign w:val="center"/>
          </w:tcPr>
          <w:p>
            <w:pPr>
              <w:adjustRightInd w:val="0"/>
              <w:snapToGrid w:val="0"/>
              <w:spacing w:line="360" w:lineRule="auto"/>
              <w:jc w:val="center"/>
              <w:rPr>
                <w:rFonts w:hint="eastAsia" w:ascii="宋体" w:hAnsi="宋体" w:eastAsia="宋体" w:cs="宋体"/>
                <w:sz w:val="24"/>
                <w:szCs w:val="24"/>
              </w:rPr>
            </w:pPr>
          </w:p>
        </w:tc>
        <w:tc>
          <w:tcPr>
            <w:tcW w:w="1116" w:type="pct"/>
            <w:vAlign w:val="center"/>
          </w:tcPr>
          <w:p>
            <w:pPr>
              <w:adjustRightInd w:val="0"/>
              <w:snapToGrid w:val="0"/>
              <w:spacing w:line="360" w:lineRule="auto"/>
              <w:jc w:val="center"/>
              <w:rPr>
                <w:rFonts w:hint="eastAsia" w:ascii="宋体" w:hAnsi="宋体" w:eastAsia="宋体" w:cs="宋体"/>
                <w:sz w:val="24"/>
                <w:szCs w:val="24"/>
              </w:rPr>
            </w:pPr>
          </w:p>
        </w:tc>
        <w:tc>
          <w:tcPr>
            <w:tcW w:w="587" w:type="pct"/>
            <w:vAlign w:val="center"/>
          </w:tcPr>
          <w:p>
            <w:pPr>
              <w:adjustRightInd w:val="0"/>
              <w:snapToGrid w:val="0"/>
              <w:spacing w:line="360" w:lineRule="auto"/>
              <w:jc w:val="center"/>
              <w:rPr>
                <w:rFonts w:hint="eastAsia" w:ascii="宋体" w:hAnsi="宋体" w:eastAsia="宋体" w:cs="宋体"/>
                <w:sz w:val="24"/>
                <w:szCs w:val="24"/>
              </w:rPr>
            </w:pPr>
          </w:p>
        </w:tc>
        <w:tc>
          <w:tcPr>
            <w:tcW w:w="489" w:type="pct"/>
          </w:tcPr>
          <w:p>
            <w:pPr>
              <w:adjustRightInd w:val="0"/>
              <w:snapToGrid w:val="0"/>
              <w:spacing w:line="360" w:lineRule="auto"/>
              <w:jc w:val="center"/>
              <w:rPr>
                <w:rFonts w:hint="eastAsia" w:ascii="宋体" w:hAnsi="宋体" w:eastAsia="宋体" w:cs="宋体"/>
                <w:sz w:val="24"/>
                <w:szCs w:val="24"/>
              </w:rPr>
            </w:pPr>
          </w:p>
        </w:tc>
        <w:tc>
          <w:tcPr>
            <w:tcW w:w="686" w:type="pct"/>
            <w:vAlign w:val="center"/>
          </w:tcPr>
          <w:p>
            <w:pPr>
              <w:adjustRightInd w:val="0"/>
              <w:snapToGrid w:val="0"/>
              <w:spacing w:line="360" w:lineRule="auto"/>
              <w:jc w:val="center"/>
              <w:rPr>
                <w:rFonts w:hint="eastAsia" w:ascii="宋体" w:hAnsi="宋体" w:eastAsia="宋体" w:cs="宋体"/>
                <w:sz w:val="24"/>
                <w:szCs w:val="24"/>
              </w:rPr>
            </w:pPr>
          </w:p>
        </w:tc>
        <w:tc>
          <w:tcPr>
            <w:tcW w:w="489" w:type="pct"/>
            <w:vAlign w:val="center"/>
          </w:tcPr>
          <w:p>
            <w:pPr>
              <w:adjustRightInd w:val="0"/>
              <w:snapToGrid w:val="0"/>
              <w:spacing w:line="360" w:lineRule="auto"/>
              <w:jc w:val="center"/>
              <w:rPr>
                <w:rFonts w:hint="eastAsia" w:ascii="宋体" w:hAnsi="宋体" w:eastAsia="宋体" w:cs="宋体"/>
                <w:sz w:val="24"/>
                <w:szCs w:val="24"/>
              </w:rPr>
            </w:pPr>
          </w:p>
        </w:tc>
        <w:tc>
          <w:tcPr>
            <w:tcW w:w="591" w:type="pct"/>
            <w:vAlign w:val="center"/>
          </w:tcPr>
          <w:p>
            <w:pPr>
              <w:adjustRightInd w:val="0"/>
              <w:snapToGrid w:val="0"/>
              <w:spacing w:line="360" w:lineRule="auto"/>
              <w:jc w:val="center"/>
              <w:rPr>
                <w:rFonts w:hint="eastAsia" w:ascii="宋体" w:hAnsi="宋体" w:eastAsia="宋体" w:cs="宋体"/>
                <w:sz w:val="24"/>
                <w:szCs w:val="24"/>
              </w:rPr>
            </w:pPr>
          </w:p>
        </w:tc>
        <w:tc>
          <w:tcPr>
            <w:tcW w:w="686" w:type="pct"/>
            <w:vAlign w:val="center"/>
          </w:tcPr>
          <w:p>
            <w:pPr>
              <w:adjustRightInd w:val="0"/>
              <w:snapToGrid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351" w:type="pct"/>
            <w:vAlign w:val="center"/>
          </w:tcPr>
          <w:p>
            <w:pPr>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合计</w:t>
            </w:r>
          </w:p>
        </w:tc>
        <w:tc>
          <w:tcPr>
            <w:tcW w:w="3962" w:type="pct"/>
            <w:gridSpan w:val="6"/>
            <w:vAlign w:val="center"/>
          </w:tcPr>
          <w:p>
            <w:pPr>
              <w:adjustRightInd w:val="0"/>
              <w:snapToGrid w:val="0"/>
              <w:spacing w:line="360" w:lineRule="auto"/>
              <w:rPr>
                <w:rFonts w:hint="eastAsia" w:ascii="宋体" w:hAnsi="宋体" w:eastAsia="宋体" w:cs="宋体"/>
                <w:b/>
                <w:sz w:val="24"/>
                <w:szCs w:val="24"/>
              </w:rPr>
            </w:pPr>
            <w:r>
              <w:rPr>
                <w:rFonts w:hint="eastAsia" w:ascii="宋体" w:hAnsi="宋体" w:eastAsia="宋体" w:cs="宋体"/>
                <w:b/>
                <w:sz w:val="24"/>
                <w:szCs w:val="24"/>
              </w:rPr>
              <w:t>大写：                                      （含税价）</w:t>
            </w:r>
          </w:p>
        </w:tc>
        <w:tc>
          <w:tcPr>
            <w:tcW w:w="686" w:type="pct"/>
            <w:vAlign w:val="center"/>
          </w:tcPr>
          <w:p>
            <w:pPr>
              <w:adjustRightInd w:val="0"/>
              <w:snapToGrid w:val="0"/>
              <w:spacing w:line="360" w:lineRule="auto"/>
              <w:jc w:val="center"/>
              <w:rPr>
                <w:rFonts w:hint="eastAsia" w:ascii="宋体" w:hAnsi="宋体" w:eastAsia="宋体" w:cs="宋体"/>
                <w:b/>
                <w:sz w:val="24"/>
                <w:szCs w:val="24"/>
              </w:rPr>
            </w:pPr>
          </w:p>
        </w:tc>
      </w:tr>
    </w:tbl>
    <w:p>
      <w:pPr>
        <w:pStyle w:val="1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1、合同总金额</w:t>
      </w:r>
      <w:r>
        <w:rPr>
          <w:rFonts w:hint="eastAsia" w:hAnsi="宋体" w:cs="宋体"/>
          <w:sz w:val="24"/>
          <w:szCs w:val="24"/>
          <w:lang w:eastAsia="zh-CN"/>
        </w:rPr>
        <w:t>合同包</w:t>
      </w:r>
      <w:r>
        <w:rPr>
          <w:rFonts w:hint="eastAsia" w:ascii="宋体" w:hAnsi="宋体" w:eastAsia="宋体" w:cs="宋体"/>
          <w:sz w:val="24"/>
          <w:szCs w:val="24"/>
        </w:rPr>
        <w:t>括货物价款、检验、</w:t>
      </w:r>
      <w:r>
        <w:rPr>
          <w:rFonts w:hint="eastAsia" w:hAnsi="宋体" w:cs="宋体"/>
          <w:sz w:val="24"/>
          <w:szCs w:val="24"/>
          <w:lang w:eastAsia="zh-CN"/>
        </w:rPr>
        <w:t>合同包</w:t>
      </w:r>
      <w:r>
        <w:rPr>
          <w:rFonts w:hint="eastAsia" w:ascii="宋体" w:hAnsi="宋体" w:eastAsia="宋体" w:cs="宋体"/>
          <w:sz w:val="24"/>
          <w:szCs w:val="24"/>
        </w:rPr>
        <w:t>装、运输、保险等全部费用，如果招投标文件对其另有规定的，从其规定。</w:t>
      </w:r>
    </w:p>
    <w:p>
      <w:pPr>
        <w:pStyle w:val="12"/>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二、质量标准：</w:t>
      </w:r>
    </w:p>
    <w:p>
      <w:pPr>
        <w:pStyle w:val="12"/>
        <w:spacing w:line="360" w:lineRule="auto"/>
        <w:ind w:firstLine="480" w:firstLineChars="200"/>
        <w:rPr>
          <w:rFonts w:hint="eastAsia" w:ascii="宋体" w:hAnsi="宋体" w:eastAsia="宋体" w:cs="宋体"/>
          <w:b/>
          <w:bCs/>
          <w:sz w:val="24"/>
          <w:szCs w:val="24"/>
        </w:rPr>
      </w:pPr>
      <w:r>
        <w:rPr>
          <w:rFonts w:hint="eastAsia" w:ascii="宋体" w:hAnsi="宋体" w:eastAsia="宋体" w:cs="宋体"/>
          <w:sz w:val="24"/>
          <w:szCs w:val="24"/>
        </w:rPr>
        <w:t>乙方提供的货物必须符合中华人民共和国国家安全环保标准，国家及有关行业产品质量认证标准。招标文件的质量要求及双方签字确认的技术协议作为本合同的有效</w:t>
      </w:r>
      <w:r>
        <w:rPr>
          <w:rFonts w:hint="eastAsia" w:ascii="宋体" w:hAnsi="宋体" w:eastAsia="宋体" w:cs="宋体"/>
          <w:b w:val="0"/>
          <w:bCs w:val="0"/>
          <w:sz w:val="24"/>
          <w:szCs w:val="24"/>
        </w:rPr>
        <w:t>附件。</w:t>
      </w:r>
    </w:p>
    <w:p>
      <w:pPr>
        <w:pStyle w:val="12"/>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三、交货日期、方式及地点：</w:t>
      </w:r>
    </w:p>
    <w:p>
      <w:pPr>
        <w:pStyle w:val="1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合同生效后，于     年   月    日前，乙方将所供货物送至西安科技大学指定位置。</w:t>
      </w:r>
    </w:p>
    <w:p>
      <w:pPr>
        <w:pStyle w:val="12"/>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四、乙方对质量保证的条件及期限：</w:t>
      </w:r>
    </w:p>
    <w:p>
      <w:pPr>
        <w:pStyle w:val="12"/>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sz w:val="24"/>
          <w:szCs w:val="24"/>
        </w:rPr>
        <w:t>1、货物自验收合格之日起保质期      年。在保质期内因货物质量问题，乙方负责免费退换。</w:t>
      </w:r>
    </w:p>
    <w:p>
      <w:pPr>
        <w:pStyle w:val="1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2、乙方所供的货物必须是双方招投标文件规定的最新产品。</w:t>
      </w:r>
    </w:p>
    <w:p>
      <w:pPr>
        <w:pStyle w:val="12"/>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五、货物的</w:t>
      </w:r>
      <w:r>
        <w:rPr>
          <w:rFonts w:hint="eastAsia" w:hAnsi="宋体" w:cs="宋体"/>
          <w:b/>
          <w:bCs/>
          <w:sz w:val="24"/>
          <w:szCs w:val="24"/>
          <w:lang w:eastAsia="zh-CN"/>
        </w:rPr>
        <w:t>合同包</w:t>
      </w:r>
      <w:r>
        <w:rPr>
          <w:rFonts w:hint="eastAsia" w:ascii="宋体" w:hAnsi="宋体" w:eastAsia="宋体" w:cs="宋体"/>
          <w:b/>
          <w:bCs/>
          <w:sz w:val="24"/>
          <w:szCs w:val="24"/>
        </w:rPr>
        <w:t>装及运输：</w:t>
      </w:r>
    </w:p>
    <w:p>
      <w:pPr>
        <w:pStyle w:val="1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1、乙方应在货物发运前对其进行满足于运输距离和防破损装卸要求的</w:t>
      </w:r>
      <w:r>
        <w:rPr>
          <w:rFonts w:hint="eastAsia" w:hAnsi="宋体" w:cs="宋体"/>
          <w:sz w:val="24"/>
          <w:szCs w:val="24"/>
          <w:lang w:eastAsia="zh-CN"/>
        </w:rPr>
        <w:t>合同包</w:t>
      </w:r>
      <w:r>
        <w:rPr>
          <w:rFonts w:hint="eastAsia" w:ascii="宋体" w:hAnsi="宋体" w:eastAsia="宋体" w:cs="宋体"/>
          <w:sz w:val="24"/>
          <w:szCs w:val="24"/>
        </w:rPr>
        <w:t>装，以保证货物安全运输到达甲方指定地点。途中发生</w:t>
      </w:r>
      <w:r>
        <w:rPr>
          <w:rFonts w:hint="eastAsia" w:hAnsi="宋体" w:cs="宋体"/>
          <w:sz w:val="24"/>
          <w:szCs w:val="24"/>
          <w:lang w:eastAsia="zh-CN"/>
        </w:rPr>
        <w:t>合同包</w:t>
      </w:r>
      <w:r>
        <w:rPr>
          <w:rFonts w:hint="eastAsia" w:ascii="宋体" w:hAnsi="宋体" w:eastAsia="宋体" w:cs="宋体"/>
          <w:sz w:val="24"/>
          <w:szCs w:val="24"/>
        </w:rPr>
        <w:t>装物破损的情况，甲方有权拒收货物。</w:t>
      </w:r>
    </w:p>
    <w:p>
      <w:pPr>
        <w:pStyle w:val="1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hAnsi="宋体" w:cs="宋体"/>
          <w:sz w:val="24"/>
          <w:szCs w:val="24"/>
          <w:lang w:eastAsia="zh-CN"/>
        </w:rPr>
        <w:t>合同包</w:t>
      </w:r>
      <w:r>
        <w:rPr>
          <w:rFonts w:hint="eastAsia" w:ascii="宋体" w:hAnsi="宋体" w:eastAsia="宋体" w:cs="宋体"/>
          <w:sz w:val="24"/>
          <w:szCs w:val="24"/>
        </w:rPr>
        <w:t>装上注明货物品种及数量。</w:t>
      </w:r>
    </w:p>
    <w:p>
      <w:pPr>
        <w:pStyle w:val="1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3、运输方式：乙方负责运输并承担运输、装卸、倒运及运保费等费用。</w:t>
      </w:r>
    </w:p>
    <w:p>
      <w:pPr>
        <w:pStyle w:val="12"/>
        <w:spacing w:line="360" w:lineRule="auto"/>
        <w:ind w:firstLine="482" w:firstLineChars="200"/>
        <w:rPr>
          <w:rFonts w:hint="eastAsia" w:ascii="宋体" w:hAnsi="宋体" w:eastAsia="宋体" w:cs="宋体"/>
          <w:b/>
          <w:bCs/>
          <w:color w:val="FF0000"/>
          <w:sz w:val="24"/>
          <w:szCs w:val="24"/>
        </w:rPr>
      </w:pPr>
      <w:r>
        <w:rPr>
          <w:rFonts w:hint="eastAsia" w:ascii="宋体" w:hAnsi="宋体" w:eastAsia="宋体" w:cs="宋体"/>
          <w:b/>
          <w:bCs/>
          <w:sz w:val="24"/>
          <w:szCs w:val="24"/>
        </w:rPr>
        <w:t>六、货物验收：</w:t>
      </w:r>
    </w:p>
    <w:p>
      <w:pPr>
        <w:pStyle w:val="1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1、乙方负责搬运，甲方提供必要的工作条件（水电等）。</w:t>
      </w:r>
    </w:p>
    <w:p>
      <w:pPr>
        <w:pStyle w:val="1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2、甲方对乙方所货物依照国家有关标准和双方确认的标准进行现场验收。质量达到要求的，验收通过；验收不合格的，限期退换。</w:t>
      </w:r>
    </w:p>
    <w:p>
      <w:pPr>
        <w:pStyle w:val="1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3、如因货物的质量问题发生争议，由甲方属地质量监督部门进行质量鉴定；货物符合质量标准的，鉴定费由甲方承担；货物不符合质量标准的，鉴定费由乙方承担，同时按本合同第八条第3款处理。                                                                           </w:t>
      </w:r>
    </w:p>
    <w:p>
      <w:pPr>
        <w:pStyle w:val="12"/>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七、付款方式及期限：</w:t>
      </w:r>
    </w:p>
    <w:p>
      <w:pPr>
        <w:pStyle w:val="12"/>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1.结算单位：采购人结算，在付款前必须开具全额增值税发票给采购人。</w:t>
      </w:r>
    </w:p>
    <w:p>
      <w:pPr>
        <w:pStyle w:val="12"/>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2.付款方式：根据实际供货量和所提供发票票（如甲方食堂委托经营，需向委托经营方单独开票结账）当月 25 日结账，次月 10 日之前转账付款。</w:t>
      </w:r>
    </w:p>
    <w:p>
      <w:pPr>
        <w:pStyle w:val="12"/>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八、违约责任：</w:t>
      </w:r>
    </w:p>
    <w:p>
      <w:pPr>
        <w:pStyle w:val="1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乙方逾期交货，每天应按合同总价的千分之一向甲方支付违约金。如乙方逾期三十天仍未交齐货物的，甲方有权终止合同，乙方须按合同总价的百分之十计算，向甲方支付违约赔偿金，并全额退还甲方已付给乙方的货款。</w:t>
      </w:r>
    </w:p>
    <w:p>
      <w:pPr>
        <w:pStyle w:val="1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2、甲方无正当理由拒收货物，应向乙方支付合同总价款10%的违约金。</w:t>
      </w:r>
    </w:p>
    <w:p>
      <w:pPr>
        <w:pStyle w:val="12"/>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sz w:val="24"/>
          <w:szCs w:val="24"/>
        </w:rPr>
        <w:t>3、乙方所交的货物品种、规格、质量不符合合同约定、国家标准，所供货物达不到约定质量要求的，乙方必须无条件退回全部货款，并向甲方支付合同总价款10%的赔偿金。</w:t>
      </w:r>
    </w:p>
    <w:p>
      <w:pPr>
        <w:pStyle w:val="12"/>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九、争议解决方式：</w:t>
      </w:r>
    </w:p>
    <w:p>
      <w:pPr>
        <w:pStyle w:val="1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本合同在履行过程中，如发生争议，双方友好协商解决，如协商不成，双方同意向签约地法院起诉解决。</w:t>
      </w:r>
    </w:p>
    <w:p>
      <w:pPr>
        <w:pStyle w:val="12"/>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十、其他：</w:t>
      </w:r>
    </w:p>
    <w:p>
      <w:pPr>
        <w:pStyle w:val="1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本合同自双方签字盖章之日起生效。本合同一式伍份，甲方执肆份，乙方执壹份，具有同等法律效力。 </w:t>
      </w:r>
    </w:p>
    <w:p>
      <w:pPr>
        <w:pStyle w:val="12"/>
        <w:spacing w:line="360" w:lineRule="auto"/>
        <w:ind w:firstLine="480" w:firstLineChars="200"/>
        <w:rPr>
          <w:rFonts w:hint="eastAsia" w:ascii="宋体" w:hAnsi="宋体" w:eastAsia="宋体" w:cs="宋体"/>
          <w:sz w:val="24"/>
          <w:szCs w:val="24"/>
        </w:rPr>
      </w:pPr>
    </w:p>
    <w:p>
      <w:pPr>
        <w:pStyle w:val="1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需方(甲方)：西安科技大学      方(乙方)：                       </w:t>
      </w:r>
    </w:p>
    <w:p>
      <w:pPr>
        <w:pStyle w:val="1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项目负责人：                  法定代表人：    </w:t>
      </w:r>
    </w:p>
    <w:p>
      <w:pPr>
        <w:pStyle w:val="1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授权代表：                    授权代表：</w:t>
      </w:r>
    </w:p>
    <w:p>
      <w:pPr>
        <w:pStyle w:val="1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电话：                        电    话： </w:t>
      </w:r>
    </w:p>
    <w:p>
      <w:pPr>
        <w:pStyle w:val="1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传真：                        传    真： </w:t>
      </w:r>
    </w:p>
    <w:p>
      <w:pPr>
        <w:pStyle w:val="1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开户银行：                    开户银行： </w:t>
      </w:r>
    </w:p>
    <w:p>
      <w:pPr>
        <w:pStyle w:val="1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帐号：                        帐    号：   </w:t>
      </w:r>
    </w:p>
    <w:p>
      <w:pPr>
        <w:pStyle w:val="1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邮政编码：                    邮政编码： </w:t>
      </w:r>
    </w:p>
    <w:p>
      <w:pPr>
        <w:pStyle w:val="1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签约时间：20**年  月  日      签约时间：20**年  月  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签约地点：西安</w:t>
      </w:r>
    </w:p>
    <w:p/>
    <w:p>
      <w:pPr>
        <w:pStyle w:val="3"/>
        <w:bidi w:val="0"/>
        <w:rPr>
          <w:sz w:val="36"/>
          <w:szCs w:val="36"/>
        </w:rPr>
      </w:pPr>
      <w:r>
        <w:rPr>
          <w:rFonts w:hint="eastAsia"/>
        </w:rPr>
        <w:br w:type="page"/>
      </w:r>
      <w:bookmarkStart w:id="137" w:name="_Toc1792"/>
      <w:r>
        <w:rPr>
          <w:rFonts w:hint="eastAsia"/>
          <w:sz w:val="36"/>
          <w:szCs w:val="36"/>
        </w:rPr>
        <w:t>第四章  采购内容及技术要求</w:t>
      </w:r>
      <w:bookmarkEnd w:id="125"/>
      <w:bookmarkEnd w:id="126"/>
      <w:bookmarkEnd w:id="127"/>
      <w:bookmarkEnd w:id="128"/>
      <w:bookmarkEnd w:id="129"/>
      <w:bookmarkEnd w:id="130"/>
      <w:bookmarkEnd w:id="131"/>
      <w:bookmarkEnd w:id="132"/>
      <w:bookmarkEnd w:id="133"/>
      <w:bookmarkEnd w:id="134"/>
      <w:bookmarkEnd w:id="135"/>
      <w:bookmarkEnd w:id="136"/>
      <w:bookmarkEnd w:id="137"/>
      <w:bookmarkStart w:id="138" w:name="_Toc317530110"/>
      <w:bookmarkStart w:id="139" w:name="_Toc1025"/>
      <w:bookmarkStart w:id="140" w:name="_Toc4053"/>
      <w:bookmarkStart w:id="141" w:name="_Toc11450"/>
      <w:bookmarkStart w:id="142" w:name="_Toc20481"/>
      <w:bookmarkStart w:id="143" w:name="_Toc23856"/>
      <w:bookmarkStart w:id="144" w:name="_Toc2711"/>
      <w:bookmarkStart w:id="145" w:name="_Toc389582038"/>
    </w:p>
    <w:bookmarkEnd w:id="138"/>
    <w:p>
      <w:pPr>
        <w:pStyle w:val="8"/>
        <w:ind w:left="0" w:leftChars="0" w:firstLine="0" w:firstLineChars="0"/>
        <w:rPr>
          <w:rFonts w:hint="eastAsia" w:ascii="宋体" w:hAnsi="宋体" w:eastAsia="宋体" w:cs="宋体"/>
          <w:b/>
          <w:bCs/>
          <w:sz w:val="24"/>
          <w:szCs w:val="24"/>
          <w:lang w:val="en-US" w:eastAsia="zh-CN"/>
        </w:rPr>
      </w:pPr>
      <w:bookmarkStart w:id="146" w:name="_Toc18238"/>
      <w:bookmarkStart w:id="147" w:name="_Toc1462"/>
      <w:bookmarkStart w:id="148" w:name="_Toc2203"/>
      <w:bookmarkStart w:id="149" w:name="_Toc25607"/>
      <w:bookmarkStart w:id="150" w:name="_Toc426457697"/>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w:t>
      </w:r>
      <w:r>
        <w:rPr>
          <w:rFonts w:hint="eastAsia" w:cs="宋体"/>
          <w:b/>
          <w:bCs/>
          <w:sz w:val="24"/>
          <w:szCs w:val="24"/>
          <w:lang w:val="en-US" w:eastAsia="zh-CN"/>
        </w:rPr>
        <w:t>采购内容及技术要求</w:t>
      </w:r>
    </w:p>
    <w:tbl>
      <w:tblPr>
        <w:tblStyle w:val="20"/>
        <w:tblW w:w="9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1387"/>
        <w:gridCol w:w="6013"/>
        <w:gridCol w:w="880"/>
        <w:gridCol w:w="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82" w:type="dxa"/>
            <w:vAlign w:val="center"/>
          </w:tcPr>
          <w:p>
            <w:pPr>
              <w:pStyle w:val="29"/>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b/>
                <w:bCs/>
                <w:lang w:val="en-US" w:eastAsia="zh-CN"/>
              </w:rPr>
            </w:pPr>
            <w:r>
              <w:rPr>
                <w:rFonts w:hint="eastAsia"/>
                <w:b/>
                <w:bCs/>
                <w:lang w:val="en-US" w:eastAsia="zh-CN"/>
              </w:rPr>
              <w:t>序号</w:t>
            </w:r>
          </w:p>
        </w:tc>
        <w:tc>
          <w:tcPr>
            <w:tcW w:w="1387" w:type="dxa"/>
            <w:vAlign w:val="center"/>
          </w:tcPr>
          <w:p>
            <w:pPr>
              <w:pStyle w:val="29"/>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b/>
                <w:bCs/>
                <w:lang w:val="en-US" w:eastAsia="zh-CN"/>
              </w:rPr>
            </w:pPr>
            <w:r>
              <w:rPr>
                <w:rFonts w:hint="eastAsia"/>
                <w:b/>
                <w:bCs/>
                <w:lang w:val="en-US" w:eastAsia="zh-CN"/>
              </w:rPr>
              <w:t>名称</w:t>
            </w:r>
          </w:p>
        </w:tc>
        <w:tc>
          <w:tcPr>
            <w:tcW w:w="6013" w:type="dxa"/>
            <w:vAlign w:val="center"/>
          </w:tcPr>
          <w:p>
            <w:pPr>
              <w:pStyle w:val="29"/>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b/>
                <w:bCs/>
                <w:lang w:val="en-US" w:eastAsia="zh-CN"/>
              </w:rPr>
            </w:pPr>
            <w:r>
              <w:rPr>
                <w:rFonts w:hint="eastAsia"/>
                <w:b/>
                <w:bCs/>
                <w:lang w:val="en-US" w:eastAsia="zh-CN"/>
              </w:rPr>
              <w:t>技术要求</w:t>
            </w:r>
          </w:p>
        </w:tc>
        <w:tc>
          <w:tcPr>
            <w:tcW w:w="880" w:type="dxa"/>
            <w:vAlign w:val="center"/>
          </w:tcPr>
          <w:p>
            <w:pPr>
              <w:pStyle w:val="29"/>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b/>
                <w:bCs/>
                <w:lang w:val="en-US" w:eastAsia="zh-CN"/>
              </w:rPr>
            </w:pPr>
            <w:r>
              <w:rPr>
                <w:rFonts w:hint="eastAsia"/>
                <w:b/>
                <w:bCs/>
                <w:lang w:val="en-US" w:eastAsia="zh-CN"/>
              </w:rPr>
              <w:t>数量</w:t>
            </w:r>
          </w:p>
        </w:tc>
        <w:tc>
          <w:tcPr>
            <w:tcW w:w="516" w:type="dxa"/>
            <w:vAlign w:val="center"/>
          </w:tcPr>
          <w:p>
            <w:pPr>
              <w:pStyle w:val="29"/>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b/>
                <w:bCs/>
                <w:lang w:val="en-US" w:eastAsia="zh-CN"/>
              </w:rPr>
            </w:pPr>
            <w:r>
              <w:rPr>
                <w:rFonts w:hint="eastAsia"/>
                <w:b/>
                <w:bCs/>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trPr>
        <w:tc>
          <w:tcPr>
            <w:tcW w:w="582" w:type="dxa"/>
            <w:vAlign w:val="center"/>
          </w:tcPr>
          <w:p>
            <w:pPr>
              <w:pStyle w:val="29"/>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b w:val="0"/>
                <w:bCs w:val="0"/>
                <w:lang w:val="en-US" w:eastAsia="zh-CN"/>
              </w:rPr>
            </w:pPr>
            <w:r>
              <w:rPr>
                <w:rFonts w:hint="eastAsia"/>
                <w:b w:val="0"/>
                <w:bCs w:val="0"/>
                <w:lang w:val="en-US" w:eastAsia="zh-CN"/>
              </w:rPr>
              <w:t>1</w:t>
            </w:r>
          </w:p>
        </w:tc>
        <w:tc>
          <w:tcPr>
            <w:tcW w:w="1387" w:type="dxa"/>
            <w:vAlign w:val="center"/>
          </w:tcPr>
          <w:p>
            <w:pPr>
              <w:pStyle w:val="29"/>
              <w:bidi w:val="0"/>
              <w:rPr>
                <w:rFonts w:hint="eastAsia"/>
                <w:b w:val="0"/>
                <w:bCs w:val="0"/>
                <w:lang w:val="en-US" w:eastAsia="zh-CN"/>
              </w:rPr>
            </w:pPr>
            <w:r>
              <w:rPr>
                <w:rFonts w:hint="eastAsia"/>
                <w:b w:val="0"/>
                <w:bCs w:val="0"/>
                <w:lang w:val="en-US" w:eastAsia="zh-CN"/>
              </w:rPr>
              <w:t>粳米</w:t>
            </w:r>
          </w:p>
          <w:p>
            <w:pPr>
              <w:pStyle w:val="29"/>
              <w:bidi w:val="0"/>
              <w:rPr>
                <w:rFonts w:hint="default"/>
                <w:b w:val="0"/>
                <w:bCs w:val="0"/>
                <w:lang w:val="en-US" w:eastAsia="zh-CN"/>
              </w:rPr>
            </w:pPr>
            <w:r>
              <w:rPr>
                <w:rFonts w:hint="eastAsia"/>
                <w:b w:val="0"/>
                <w:bCs w:val="0"/>
                <w:lang w:val="en-US" w:eastAsia="zh-CN"/>
              </w:rPr>
              <w:t>（一级）</w:t>
            </w:r>
          </w:p>
        </w:tc>
        <w:tc>
          <w:tcPr>
            <w:tcW w:w="6013" w:type="dxa"/>
            <w:vMerge w:val="restart"/>
            <w:vAlign w:val="center"/>
          </w:tcPr>
          <w:p>
            <w:pPr>
              <w:pStyle w:val="29"/>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b w:val="0"/>
                <w:bCs w:val="0"/>
                <w:lang w:val="en-US" w:eastAsia="zh-CN"/>
              </w:rPr>
            </w:pPr>
            <w:r>
              <w:rPr>
                <w:rFonts w:hint="eastAsia"/>
                <w:b/>
                <w:bCs/>
                <w:lang w:val="en-US" w:eastAsia="zh-CN"/>
              </w:rPr>
              <w:t>粳米：</w:t>
            </w:r>
            <w:r>
              <w:rPr>
                <w:rFonts w:hint="eastAsia"/>
                <w:b w:val="0"/>
                <w:bCs w:val="0"/>
                <w:lang w:val="en-US" w:eastAsia="zh-CN"/>
              </w:rPr>
              <w:t>采用先进设备加工，产品洁净、米粒晶莹剔透、自然清香、软滑爽口、营养丰富。</w:t>
            </w:r>
          </w:p>
          <w:p>
            <w:pPr>
              <w:pStyle w:val="29"/>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b w:val="0"/>
                <w:bCs w:val="0"/>
                <w:lang w:val="en-US" w:eastAsia="zh-CN"/>
              </w:rPr>
            </w:pPr>
            <w:r>
              <w:rPr>
                <w:rFonts w:hint="eastAsia"/>
                <w:b/>
                <w:bCs/>
                <w:lang w:val="en-US" w:eastAsia="zh-CN"/>
              </w:rPr>
              <w:t>产地：</w:t>
            </w:r>
            <w:r>
              <w:rPr>
                <w:rFonts w:hint="eastAsia"/>
                <w:b w:val="0"/>
                <w:bCs w:val="0"/>
                <w:lang w:val="en-US" w:eastAsia="zh-CN"/>
              </w:rPr>
              <w:t>东北地区优质粳米（一级），优质粳米（二级）。</w:t>
            </w:r>
          </w:p>
          <w:p>
            <w:pPr>
              <w:pStyle w:val="29"/>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b w:val="0"/>
                <w:bCs w:val="0"/>
                <w:lang w:val="en-US" w:eastAsia="zh-CN"/>
              </w:rPr>
            </w:pPr>
            <w:r>
              <w:rPr>
                <w:rFonts w:hint="eastAsia"/>
                <w:b/>
                <w:bCs/>
                <w:lang w:val="en-US" w:eastAsia="zh-CN"/>
              </w:rPr>
              <w:t>规格：</w:t>
            </w:r>
            <w:r>
              <w:rPr>
                <w:rFonts w:hint="eastAsia"/>
                <w:b w:val="0"/>
                <w:bCs w:val="0"/>
                <w:lang w:val="en-US" w:eastAsia="zh-CN"/>
              </w:rPr>
              <w:t>每袋25公斤，一次性包装，并拥有“SC”食品质量安全认证。产品标签，注册商标许可证齐全。</w:t>
            </w:r>
          </w:p>
          <w:p>
            <w:pPr>
              <w:pStyle w:val="29"/>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b w:val="0"/>
                <w:bCs w:val="0"/>
                <w:lang w:val="en-US" w:eastAsia="zh-CN"/>
              </w:rPr>
            </w:pPr>
            <w:r>
              <w:rPr>
                <w:rFonts w:hint="eastAsia"/>
                <w:b/>
                <w:bCs/>
                <w:lang w:val="en-US" w:eastAsia="zh-CN"/>
              </w:rPr>
              <w:t>质量标准：</w:t>
            </w:r>
            <w:r>
              <w:rPr>
                <w:rFonts w:hint="eastAsia"/>
                <w:b w:val="0"/>
                <w:bCs w:val="0"/>
                <w:lang w:val="en-US" w:eastAsia="zh-CN"/>
              </w:rPr>
              <w:t>执行国家（GB/T 1354-2018）质量标准。</w:t>
            </w:r>
          </w:p>
          <w:p>
            <w:pPr>
              <w:pStyle w:val="29"/>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b w:val="0"/>
                <w:bCs w:val="0"/>
                <w:lang w:val="en-US" w:eastAsia="zh-CN"/>
              </w:rPr>
            </w:pPr>
            <w:r>
              <w:rPr>
                <w:rFonts w:hint="eastAsia"/>
                <w:b/>
                <w:bCs/>
                <w:lang w:val="en-US" w:eastAsia="zh-CN"/>
              </w:rPr>
              <w:t>卫生标准：</w:t>
            </w:r>
            <w:r>
              <w:rPr>
                <w:rFonts w:hint="eastAsia"/>
                <w:b w:val="0"/>
                <w:bCs w:val="0"/>
                <w:lang w:val="en-US" w:eastAsia="zh-CN"/>
              </w:rPr>
              <w:t>必须对无机砷、铅、汞、镉、黄曲霉素B1、马拉硫磷进行检验。对卫生指标中任何一项不符合标准均实行“一票否决”。</w:t>
            </w:r>
          </w:p>
        </w:tc>
        <w:tc>
          <w:tcPr>
            <w:tcW w:w="880" w:type="dxa"/>
            <w:vAlign w:val="center"/>
          </w:tcPr>
          <w:p>
            <w:pPr>
              <w:pStyle w:val="29"/>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b w:val="0"/>
                <w:bCs w:val="0"/>
                <w:lang w:val="en-US" w:eastAsia="zh-CN"/>
              </w:rPr>
            </w:pPr>
            <w:r>
              <w:rPr>
                <w:rFonts w:hint="eastAsia"/>
                <w:b w:val="0"/>
                <w:bCs w:val="0"/>
                <w:lang w:val="en-US" w:eastAsia="zh-CN"/>
              </w:rPr>
              <w:t>30吨</w:t>
            </w:r>
          </w:p>
        </w:tc>
        <w:tc>
          <w:tcPr>
            <w:tcW w:w="516" w:type="dxa"/>
            <w:vMerge w:val="restart"/>
            <w:vAlign w:val="center"/>
          </w:tcPr>
          <w:p>
            <w:pPr>
              <w:pStyle w:val="29"/>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b/>
                <w:bCs/>
                <w:lang w:val="en-US" w:eastAsia="zh-CN"/>
              </w:rPr>
            </w:pPr>
            <w:r>
              <w:rPr>
                <w:rFonts w:hint="eastAsia"/>
                <w:b/>
                <w:bCs/>
                <w:lang w:val="en-US" w:eastAsia="zh-CN"/>
              </w:rPr>
              <w:t>合同包1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6" w:hRule="atLeast"/>
        </w:trPr>
        <w:tc>
          <w:tcPr>
            <w:tcW w:w="582" w:type="dxa"/>
            <w:vAlign w:val="center"/>
          </w:tcPr>
          <w:p>
            <w:pPr>
              <w:pStyle w:val="29"/>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b w:val="0"/>
                <w:bCs w:val="0"/>
                <w:lang w:val="en-US" w:eastAsia="zh-CN"/>
              </w:rPr>
            </w:pPr>
            <w:r>
              <w:rPr>
                <w:rFonts w:hint="eastAsia"/>
                <w:b w:val="0"/>
                <w:bCs w:val="0"/>
                <w:lang w:val="en-US" w:eastAsia="zh-CN"/>
              </w:rPr>
              <w:t>2</w:t>
            </w:r>
          </w:p>
        </w:tc>
        <w:tc>
          <w:tcPr>
            <w:tcW w:w="1387" w:type="dxa"/>
            <w:vAlign w:val="center"/>
          </w:tcPr>
          <w:p>
            <w:pPr>
              <w:pStyle w:val="29"/>
              <w:bidi w:val="0"/>
              <w:rPr>
                <w:rFonts w:hint="eastAsia"/>
                <w:b w:val="0"/>
                <w:bCs w:val="0"/>
                <w:lang w:val="en-US" w:eastAsia="zh-CN"/>
              </w:rPr>
            </w:pPr>
            <w:r>
              <w:rPr>
                <w:rFonts w:hint="eastAsia"/>
                <w:b w:val="0"/>
                <w:bCs w:val="0"/>
                <w:lang w:val="en-US" w:eastAsia="zh-CN"/>
              </w:rPr>
              <w:t>粳米</w:t>
            </w:r>
          </w:p>
          <w:p>
            <w:pPr>
              <w:pStyle w:val="29"/>
              <w:bidi w:val="0"/>
              <w:rPr>
                <w:rFonts w:hint="eastAsia"/>
                <w:b w:val="0"/>
                <w:bCs w:val="0"/>
                <w:lang w:val="en-US" w:eastAsia="zh-CN"/>
              </w:rPr>
            </w:pPr>
            <w:r>
              <w:rPr>
                <w:rFonts w:hint="eastAsia"/>
                <w:b w:val="0"/>
                <w:bCs w:val="0"/>
                <w:lang w:val="en-US" w:eastAsia="zh-CN"/>
              </w:rPr>
              <w:t>（二级）</w:t>
            </w:r>
          </w:p>
        </w:tc>
        <w:tc>
          <w:tcPr>
            <w:tcW w:w="6013" w:type="dxa"/>
            <w:vMerge w:val="continue"/>
            <w:vAlign w:val="center"/>
          </w:tcPr>
          <w:p>
            <w:pPr>
              <w:pStyle w:val="29"/>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b/>
                <w:bCs/>
                <w:lang w:val="en-US" w:eastAsia="zh-CN"/>
              </w:rPr>
            </w:pPr>
          </w:p>
        </w:tc>
        <w:tc>
          <w:tcPr>
            <w:tcW w:w="880" w:type="dxa"/>
            <w:vAlign w:val="center"/>
          </w:tcPr>
          <w:p>
            <w:pPr>
              <w:pStyle w:val="29"/>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b w:val="0"/>
                <w:bCs w:val="0"/>
                <w:lang w:val="en-US" w:eastAsia="zh-CN"/>
              </w:rPr>
            </w:pPr>
            <w:r>
              <w:rPr>
                <w:rFonts w:hint="eastAsia"/>
                <w:b w:val="0"/>
                <w:bCs w:val="0"/>
                <w:lang w:val="en-US" w:eastAsia="zh-CN"/>
              </w:rPr>
              <w:t>300吨</w:t>
            </w:r>
          </w:p>
        </w:tc>
        <w:tc>
          <w:tcPr>
            <w:tcW w:w="516" w:type="dxa"/>
            <w:vMerge w:val="continue"/>
            <w:vAlign w:val="center"/>
          </w:tcPr>
          <w:p>
            <w:pPr>
              <w:pStyle w:val="29"/>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b/>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9" w:hRule="atLeast"/>
        </w:trPr>
        <w:tc>
          <w:tcPr>
            <w:tcW w:w="582" w:type="dxa"/>
            <w:vAlign w:val="center"/>
          </w:tcPr>
          <w:p>
            <w:pPr>
              <w:pStyle w:val="29"/>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b w:val="0"/>
                <w:bCs w:val="0"/>
                <w:lang w:val="en-US" w:eastAsia="zh-CN"/>
              </w:rPr>
            </w:pPr>
            <w:r>
              <w:rPr>
                <w:rFonts w:hint="eastAsia"/>
                <w:b w:val="0"/>
                <w:bCs w:val="0"/>
                <w:lang w:val="en-US" w:eastAsia="zh-CN"/>
              </w:rPr>
              <w:t>3</w:t>
            </w:r>
          </w:p>
        </w:tc>
        <w:tc>
          <w:tcPr>
            <w:tcW w:w="1387" w:type="dxa"/>
            <w:vAlign w:val="center"/>
          </w:tcPr>
          <w:p>
            <w:pPr>
              <w:pStyle w:val="29"/>
              <w:bidi w:val="0"/>
              <w:rPr>
                <w:rFonts w:hint="eastAsia"/>
                <w:b w:val="0"/>
                <w:bCs w:val="0"/>
                <w:lang w:val="en-US" w:eastAsia="zh-CN"/>
              </w:rPr>
            </w:pPr>
            <w:r>
              <w:rPr>
                <w:rFonts w:hint="eastAsia"/>
                <w:b w:val="0"/>
                <w:bCs w:val="0"/>
                <w:lang w:val="en-US" w:eastAsia="zh-CN"/>
              </w:rPr>
              <w:t>馒头粉</w:t>
            </w:r>
          </w:p>
          <w:p>
            <w:pPr>
              <w:pStyle w:val="29"/>
              <w:bidi w:val="0"/>
              <w:rPr>
                <w:rFonts w:hint="eastAsia" w:ascii="宋体" w:hAnsi="宋体" w:eastAsia="宋体" w:cs="宋体"/>
                <w:b w:val="0"/>
                <w:bCs w:val="0"/>
                <w:sz w:val="24"/>
                <w:lang w:val="en-US" w:eastAsia="zh-CN" w:bidi="ar-SA"/>
              </w:rPr>
            </w:pPr>
            <w:r>
              <w:rPr>
                <w:rFonts w:hint="eastAsia"/>
                <w:b w:val="0"/>
                <w:bCs w:val="0"/>
                <w:lang w:val="en-US" w:eastAsia="zh-CN"/>
              </w:rPr>
              <w:t>（精制粉）</w:t>
            </w:r>
          </w:p>
        </w:tc>
        <w:tc>
          <w:tcPr>
            <w:tcW w:w="6013" w:type="dxa"/>
            <w:vMerge w:val="restart"/>
            <w:vAlign w:val="center"/>
          </w:tcPr>
          <w:p>
            <w:pPr>
              <w:pStyle w:val="29"/>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b w:val="0"/>
                <w:bCs w:val="0"/>
                <w:lang w:val="en-US" w:eastAsia="zh-CN"/>
              </w:rPr>
            </w:pPr>
            <w:r>
              <w:rPr>
                <w:rFonts w:hint="eastAsia"/>
                <w:b/>
                <w:bCs/>
                <w:lang w:val="en-US" w:eastAsia="zh-CN"/>
              </w:rPr>
              <w:t>原料小麦</w:t>
            </w:r>
            <w:r>
              <w:rPr>
                <w:rFonts w:hint="eastAsia"/>
                <w:b w:val="0"/>
                <w:bCs w:val="0"/>
                <w:lang w:val="en-US" w:eastAsia="zh-CN"/>
              </w:rPr>
              <w:t>要求：</w:t>
            </w:r>
          </w:p>
          <w:p>
            <w:pPr>
              <w:pStyle w:val="29"/>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b w:val="0"/>
                <w:bCs w:val="0"/>
                <w:lang w:val="en-US" w:eastAsia="zh-CN"/>
              </w:rPr>
            </w:pPr>
            <w:r>
              <w:rPr>
                <w:rFonts w:hint="eastAsia"/>
                <w:b/>
                <w:bCs/>
                <w:lang w:val="en-US" w:eastAsia="zh-CN"/>
              </w:rPr>
              <w:t>产地：</w:t>
            </w:r>
            <w:r>
              <w:rPr>
                <w:rFonts w:hint="eastAsia"/>
                <w:b w:val="0"/>
                <w:bCs w:val="0"/>
                <w:lang w:val="en-US" w:eastAsia="zh-CN"/>
              </w:rPr>
              <w:t>北方地区，生产过程及面粉成品，都进行严格的质量控制，以确保生产出品质稳定、适用性强的面粉（高筋小麦粉、精制粉）。</w:t>
            </w:r>
          </w:p>
          <w:p>
            <w:pPr>
              <w:pStyle w:val="29"/>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b w:val="0"/>
                <w:bCs w:val="0"/>
                <w:lang w:val="en-US" w:eastAsia="zh-CN"/>
              </w:rPr>
            </w:pPr>
            <w:r>
              <w:rPr>
                <w:rFonts w:hint="eastAsia"/>
                <w:b/>
                <w:bCs/>
                <w:lang w:val="en-US" w:eastAsia="zh-CN"/>
              </w:rPr>
              <w:t>规格：</w:t>
            </w:r>
            <w:r>
              <w:rPr>
                <w:rFonts w:hint="eastAsia"/>
                <w:b w:val="0"/>
                <w:bCs w:val="0"/>
                <w:lang w:val="en-US" w:eastAsia="zh-CN"/>
              </w:rPr>
              <w:t>每袋25公斤，一次性包装，并拥有“SC”食品质量安全认证。产品标签，注册商标许可证齐全。</w:t>
            </w:r>
          </w:p>
          <w:p>
            <w:pPr>
              <w:pStyle w:val="29"/>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b w:val="0"/>
                <w:bCs w:val="0"/>
                <w:lang w:val="en-US" w:eastAsia="zh-CN"/>
              </w:rPr>
            </w:pPr>
            <w:r>
              <w:rPr>
                <w:rFonts w:hint="eastAsia"/>
                <w:b/>
                <w:bCs/>
                <w:lang w:val="en-US" w:eastAsia="zh-CN"/>
              </w:rPr>
              <w:t>质量标准：</w:t>
            </w:r>
            <w:r>
              <w:rPr>
                <w:rFonts w:hint="eastAsia"/>
                <w:b w:val="0"/>
                <w:bCs w:val="0"/>
                <w:lang w:val="en-US" w:eastAsia="zh-CN"/>
              </w:rPr>
              <w:t>小麦面粉执行国家（GB/T 1355-2021）质量标准。高筋小麦粉执行国家（GB/T 8607-1988）标准。精制粉执行国家（GB/T 1355-2021）质量标准。</w:t>
            </w:r>
          </w:p>
        </w:tc>
        <w:tc>
          <w:tcPr>
            <w:tcW w:w="880" w:type="dxa"/>
            <w:vAlign w:val="center"/>
          </w:tcPr>
          <w:p>
            <w:pPr>
              <w:pStyle w:val="29"/>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b w:val="0"/>
                <w:bCs w:val="0"/>
                <w:lang w:val="en-US" w:eastAsia="zh-CN"/>
              </w:rPr>
            </w:pPr>
            <w:r>
              <w:rPr>
                <w:rFonts w:hint="eastAsia"/>
                <w:b w:val="0"/>
                <w:bCs w:val="0"/>
                <w:lang w:val="en-US" w:eastAsia="zh-CN"/>
              </w:rPr>
              <w:t>70吨</w:t>
            </w:r>
          </w:p>
        </w:tc>
        <w:tc>
          <w:tcPr>
            <w:tcW w:w="516" w:type="dxa"/>
            <w:vMerge w:val="restart"/>
            <w:vAlign w:val="center"/>
          </w:tcPr>
          <w:p>
            <w:pPr>
              <w:pStyle w:val="29"/>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b/>
                <w:bCs/>
                <w:lang w:val="en-US" w:eastAsia="zh-CN"/>
              </w:rPr>
            </w:pPr>
            <w:r>
              <w:rPr>
                <w:rFonts w:hint="eastAsia"/>
                <w:b/>
                <w:bCs/>
                <w:lang w:val="en-US" w:eastAsia="zh-CN"/>
              </w:rPr>
              <w:t>合同包2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trPr>
        <w:tc>
          <w:tcPr>
            <w:tcW w:w="582" w:type="dxa"/>
            <w:vAlign w:val="center"/>
          </w:tcPr>
          <w:p>
            <w:pPr>
              <w:pStyle w:val="29"/>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b w:val="0"/>
                <w:bCs w:val="0"/>
                <w:lang w:val="en-US" w:eastAsia="zh-CN"/>
              </w:rPr>
            </w:pPr>
            <w:r>
              <w:rPr>
                <w:rFonts w:hint="eastAsia"/>
                <w:b w:val="0"/>
                <w:bCs w:val="0"/>
                <w:lang w:val="en-US" w:eastAsia="zh-CN"/>
              </w:rPr>
              <w:t>4</w:t>
            </w:r>
          </w:p>
        </w:tc>
        <w:tc>
          <w:tcPr>
            <w:tcW w:w="1387" w:type="dxa"/>
            <w:vAlign w:val="center"/>
          </w:tcPr>
          <w:p>
            <w:pPr>
              <w:pStyle w:val="29"/>
              <w:bidi w:val="0"/>
              <w:rPr>
                <w:rFonts w:hint="eastAsia"/>
                <w:b w:val="0"/>
                <w:bCs w:val="0"/>
                <w:lang w:val="en-US" w:eastAsia="zh-CN"/>
              </w:rPr>
            </w:pPr>
            <w:r>
              <w:rPr>
                <w:rFonts w:hint="eastAsia"/>
                <w:b w:val="0"/>
                <w:bCs w:val="0"/>
                <w:lang w:val="en-US" w:eastAsia="zh-CN"/>
              </w:rPr>
              <w:t>面条粉</w:t>
            </w:r>
          </w:p>
          <w:p>
            <w:pPr>
              <w:pStyle w:val="29"/>
              <w:bidi w:val="0"/>
              <w:rPr>
                <w:rFonts w:hint="eastAsia" w:ascii="宋体" w:hAnsi="宋体" w:eastAsia="宋体" w:cs="宋体"/>
                <w:b w:val="0"/>
                <w:bCs w:val="0"/>
                <w:lang w:val="en-US" w:eastAsia="zh-CN"/>
              </w:rPr>
            </w:pPr>
            <w:r>
              <w:rPr>
                <w:rFonts w:hint="eastAsia"/>
                <w:b w:val="0"/>
                <w:bCs w:val="0"/>
                <w:lang w:val="en-US" w:eastAsia="zh-CN"/>
              </w:rPr>
              <w:t>（高筋小麦粉）</w:t>
            </w:r>
          </w:p>
        </w:tc>
        <w:tc>
          <w:tcPr>
            <w:tcW w:w="6013" w:type="dxa"/>
            <w:vMerge w:val="continue"/>
            <w:vAlign w:val="center"/>
          </w:tcPr>
          <w:p>
            <w:pPr>
              <w:pStyle w:val="29"/>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b/>
                <w:bCs/>
                <w:lang w:val="en-US" w:eastAsia="zh-CN"/>
              </w:rPr>
            </w:pPr>
          </w:p>
        </w:tc>
        <w:tc>
          <w:tcPr>
            <w:tcW w:w="880" w:type="dxa"/>
            <w:vAlign w:val="center"/>
          </w:tcPr>
          <w:p>
            <w:pPr>
              <w:pStyle w:val="29"/>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b w:val="0"/>
                <w:bCs w:val="0"/>
                <w:lang w:val="en-US" w:eastAsia="zh-CN"/>
              </w:rPr>
            </w:pPr>
            <w:r>
              <w:rPr>
                <w:rFonts w:hint="eastAsia"/>
                <w:b w:val="0"/>
                <w:bCs w:val="0"/>
                <w:lang w:val="en-US" w:eastAsia="zh-CN"/>
              </w:rPr>
              <w:t>90吨</w:t>
            </w:r>
          </w:p>
        </w:tc>
        <w:tc>
          <w:tcPr>
            <w:tcW w:w="516" w:type="dxa"/>
            <w:vMerge w:val="continue"/>
            <w:vAlign w:val="center"/>
          </w:tcPr>
          <w:p>
            <w:pPr>
              <w:pStyle w:val="29"/>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b/>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582" w:type="dxa"/>
            <w:vAlign w:val="center"/>
          </w:tcPr>
          <w:p>
            <w:pPr>
              <w:pStyle w:val="29"/>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b w:val="0"/>
                <w:bCs w:val="0"/>
                <w:lang w:val="en-US" w:eastAsia="zh-CN"/>
              </w:rPr>
            </w:pPr>
            <w:r>
              <w:rPr>
                <w:rFonts w:hint="eastAsia"/>
                <w:b w:val="0"/>
                <w:bCs w:val="0"/>
                <w:lang w:val="en-US" w:eastAsia="zh-CN"/>
              </w:rPr>
              <w:t>5</w:t>
            </w:r>
          </w:p>
        </w:tc>
        <w:tc>
          <w:tcPr>
            <w:tcW w:w="1387" w:type="dxa"/>
            <w:vAlign w:val="center"/>
          </w:tcPr>
          <w:p>
            <w:pPr>
              <w:pStyle w:val="29"/>
              <w:bidi w:val="0"/>
              <w:rPr>
                <w:rFonts w:hint="eastAsia"/>
                <w:b w:val="0"/>
                <w:bCs w:val="0"/>
                <w:lang w:val="en-US" w:eastAsia="zh-CN"/>
              </w:rPr>
            </w:pPr>
            <w:r>
              <w:rPr>
                <w:rFonts w:hint="eastAsia"/>
                <w:b w:val="0"/>
                <w:bCs w:val="0"/>
                <w:lang w:val="en-US" w:eastAsia="zh-CN"/>
              </w:rPr>
              <w:t>大豆油</w:t>
            </w:r>
          </w:p>
          <w:p>
            <w:pPr>
              <w:pStyle w:val="29"/>
              <w:bidi w:val="0"/>
              <w:rPr>
                <w:rFonts w:hint="eastAsia"/>
                <w:b w:val="0"/>
                <w:bCs w:val="0"/>
                <w:lang w:val="en-US" w:eastAsia="zh-CN"/>
              </w:rPr>
            </w:pPr>
            <w:r>
              <w:rPr>
                <w:rFonts w:hint="eastAsia"/>
                <w:b w:val="0"/>
                <w:bCs w:val="0"/>
                <w:lang w:val="en-US" w:eastAsia="zh-CN"/>
              </w:rPr>
              <w:t>（一级，非转基因）</w:t>
            </w:r>
          </w:p>
        </w:tc>
        <w:tc>
          <w:tcPr>
            <w:tcW w:w="6013" w:type="dxa"/>
            <w:vMerge w:val="restart"/>
            <w:vAlign w:val="center"/>
          </w:tcPr>
          <w:p>
            <w:pPr>
              <w:pStyle w:val="29"/>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b w:val="0"/>
                <w:bCs w:val="0"/>
                <w:lang w:val="en-US" w:eastAsia="zh-CN"/>
              </w:rPr>
            </w:pPr>
            <w:r>
              <w:rPr>
                <w:rFonts w:hint="eastAsia"/>
                <w:b/>
                <w:bCs/>
                <w:lang w:val="en-US" w:eastAsia="zh-CN"/>
              </w:rPr>
              <w:t>食用油：</w:t>
            </w:r>
            <w:r>
              <w:rPr>
                <w:rFonts w:hint="eastAsia"/>
                <w:b w:val="0"/>
                <w:bCs w:val="0"/>
                <w:lang w:val="en-US" w:eastAsia="zh-CN"/>
              </w:rPr>
              <w:t>采用传统物理压榨和现代精炼工艺加工生产，令菜肴口感鲜美，在色，香，味等方面均有上乘的食用油（大豆油、菜籽油）。</w:t>
            </w:r>
          </w:p>
          <w:p>
            <w:pPr>
              <w:pStyle w:val="29"/>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b w:val="0"/>
                <w:bCs w:val="0"/>
                <w:lang w:val="en-US" w:eastAsia="zh-CN"/>
              </w:rPr>
            </w:pPr>
            <w:r>
              <w:rPr>
                <w:rFonts w:hint="eastAsia"/>
                <w:b/>
                <w:bCs/>
                <w:lang w:val="en-US" w:eastAsia="zh-CN"/>
              </w:rPr>
              <w:t>规格：</w:t>
            </w:r>
            <w:r>
              <w:rPr>
                <w:rFonts w:hint="eastAsia"/>
                <w:b w:val="0"/>
                <w:bCs w:val="0"/>
                <w:lang w:val="en-US" w:eastAsia="zh-CN"/>
              </w:rPr>
              <w:t>每桶(件)20升或16.3升，一次性包装，并拥有“SC”食品质量安全认证。产品标签，注册商标许可证齐全。</w:t>
            </w:r>
          </w:p>
          <w:p>
            <w:pPr>
              <w:pStyle w:val="29"/>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b w:val="0"/>
                <w:bCs w:val="0"/>
                <w:lang w:val="en-US" w:eastAsia="zh-CN"/>
              </w:rPr>
            </w:pPr>
            <w:r>
              <w:rPr>
                <w:rFonts w:hint="eastAsia"/>
                <w:b/>
                <w:bCs/>
                <w:lang w:val="en-US" w:eastAsia="zh-CN"/>
              </w:rPr>
              <w:t>质量标准：</w:t>
            </w:r>
            <w:r>
              <w:rPr>
                <w:rFonts w:hint="eastAsia"/>
                <w:b w:val="0"/>
                <w:bCs w:val="0"/>
                <w:lang w:val="en-US" w:eastAsia="zh-CN"/>
              </w:rPr>
              <w:t>大豆油执行国家（GB/T 1535-2017）质量标准。菜籽油必须符合国家（GB/T 1536-2021）标准。</w:t>
            </w:r>
          </w:p>
        </w:tc>
        <w:tc>
          <w:tcPr>
            <w:tcW w:w="880" w:type="dxa"/>
            <w:vAlign w:val="center"/>
          </w:tcPr>
          <w:p>
            <w:pPr>
              <w:pStyle w:val="2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val="0"/>
                <w:lang w:val="en-US" w:eastAsia="zh-CN"/>
              </w:rPr>
            </w:pPr>
            <w:r>
              <w:rPr>
                <w:rFonts w:hint="eastAsia"/>
                <w:b w:val="0"/>
                <w:bCs w:val="0"/>
                <w:lang w:val="en-US" w:eastAsia="zh-CN"/>
              </w:rPr>
              <w:t>122000升</w:t>
            </w:r>
          </w:p>
        </w:tc>
        <w:tc>
          <w:tcPr>
            <w:tcW w:w="516" w:type="dxa"/>
            <w:vMerge w:val="restart"/>
            <w:vAlign w:val="center"/>
          </w:tcPr>
          <w:p>
            <w:pPr>
              <w:pStyle w:val="29"/>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b/>
                <w:bCs/>
                <w:lang w:val="en-US" w:eastAsia="zh-CN"/>
              </w:rPr>
            </w:pPr>
            <w:r>
              <w:rPr>
                <w:rFonts w:hint="eastAsia"/>
                <w:b/>
                <w:bCs/>
                <w:lang w:val="en-US" w:eastAsia="zh-CN"/>
              </w:rPr>
              <w:t>合同包3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582" w:type="dxa"/>
            <w:vAlign w:val="center"/>
          </w:tcPr>
          <w:p>
            <w:pPr>
              <w:pStyle w:val="29"/>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b w:val="0"/>
                <w:bCs w:val="0"/>
                <w:lang w:val="en-US" w:eastAsia="zh-CN"/>
              </w:rPr>
            </w:pPr>
            <w:r>
              <w:rPr>
                <w:rFonts w:hint="eastAsia"/>
                <w:b w:val="0"/>
                <w:bCs w:val="0"/>
                <w:lang w:val="en-US" w:eastAsia="zh-CN"/>
              </w:rPr>
              <w:t>6</w:t>
            </w:r>
          </w:p>
        </w:tc>
        <w:tc>
          <w:tcPr>
            <w:tcW w:w="1387" w:type="dxa"/>
            <w:vAlign w:val="center"/>
          </w:tcPr>
          <w:p>
            <w:pPr>
              <w:pStyle w:val="29"/>
              <w:bidi w:val="0"/>
              <w:rPr>
                <w:rFonts w:hint="eastAsia"/>
                <w:b w:val="0"/>
                <w:bCs w:val="0"/>
                <w:lang w:val="en-US" w:eastAsia="zh-CN"/>
              </w:rPr>
            </w:pPr>
            <w:r>
              <w:rPr>
                <w:rFonts w:hint="eastAsia"/>
                <w:b w:val="0"/>
                <w:bCs w:val="0"/>
                <w:lang w:val="en-US" w:eastAsia="zh-CN"/>
              </w:rPr>
              <w:t>菜籽油</w:t>
            </w:r>
          </w:p>
          <w:p>
            <w:pPr>
              <w:pStyle w:val="29"/>
              <w:bidi w:val="0"/>
              <w:rPr>
                <w:rFonts w:hint="eastAsia" w:ascii="宋体" w:hAnsi="宋体" w:eastAsia="宋体" w:cs="宋体"/>
                <w:b w:val="0"/>
                <w:bCs w:val="0"/>
                <w:lang w:val="en-US" w:eastAsia="zh-CN"/>
              </w:rPr>
            </w:pPr>
            <w:r>
              <w:rPr>
                <w:rFonts w:hint="eastAsia"/>
                <w:b w:val="0"/>
                <w:bCs w:val="0"/>
                <w:lang w:val="en-US" w:eastAsia="zh-CN"/>
              </w:rPr>
              <w:t>（二级及以上，非转基因）</w:t>
            </w:r>
          </w:p>
        </w:tc>
        <w:tc>
          <w:tcPr>
            <w:tcW w:w="6013" w:type="dxa"/>
            <w:vMerge w:val="continue"/>
            <w:vAlign w:val="center"/>
          </w:tcPr>
          <w:p>
            <w:pPr>
              <w:pStyle w:val="29"/>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b/>
                <w:bCs/>
                <w:lang w:val="en-US" w:eastAsia="zh-CN"/>
              </w:rPr>
            </w:pPr>
          </w:p>
        </w:tc>
        <w:tc>
          <w:tcPr>
            <w:tcW w:w="880" w:type="dxa"/>
            <w:vAlign w:val="center"/>
          </w:tcPr>
          <w:p>
            <w:pPr>
              <w:pStyle w:val="2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val="0"/>
                <w:lang w:val="en-US" w:eastAsia="zh-CN"/>
              </w:rPr>
            </w:pPr>
            <w:r>
              <w:rPr>
                <w:rFonts w:hint="eastAsia"/>
                <w:b w:val="0"/>
                <w:bCs w:val="0"/>
                <w:lang w:val="en-US" w:eastAsia="zh-CN"/>
              </w:rPr>
              <w:t>20000升</w:t>
            </w:r>
          </w:p>
        </w:tc>
        <w:tc>
          <w:tcPr>
            <w:tcW w:w="516" w:type="dxa"/>
            <w:vMerge w:val="continue"/>
            <w:vAlign w:val="center"/>
          </w:tcPr>
          <w:p>
            <w:pPr>
              <w:pStyle w:val="29"/>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b/>
                <w:bCs/>
                <w:lang w:val="en-US" w:eastAsia="zh-CN"/>
              </w:rPr>
            </w:pPr>
          </w:p>
        </w:tc>
      </w:tr>
    </w:tbl>
    <w:p>
      <w:pPr>
        <w:rPr>
          <w:rFonts w:hint="eastAsia" w:ascii="宋体" w:hAnsi="宋体" w:eastAsia="宋体" w:cs="宋体"/>
          <w:b/>
          <w:bCs/>
          <w:sz w:val="24"/>
        </w:rPr>
      </w:pPr>
    </w:p>
    <w:p>
      <w:pPr>
        <w:pStyle w:val="2"/>
        <w:bidi w:val="0"/>
        <w:rPr>
          <w:rFonts w:hint="eastAsia"/>
          <w:color w:val="auto"/>
          <w:highlight w:val="none"/>
        </w:rPr>
      </w:pPr>
      <w:r>
        <w:rPr>
          <w:rFonts w:hint="eastAsia"/>
          <w:color w:val="auto"/>
          <w:highlight w:val="none"/>
          <w:lang w:val="en-US" w:eastAsia="zh-CN"/>
        </w:rPr>
        <w:t>二</w:t>
      </w:r>
      <w:r>
        <w:rPr>
          <w:rFonts w:hint="eastAsia"/>
          <w:color w:val="auto"/>
          <w:highlight w:val="none"/>
        </w:rPr>
        <w:t>、商务要求</w:t>
      </w:r>
    </w:p>
    <w:tbl>
      <w:tblPr>
        <w:tblStyle w:val="19"/>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640"/>
        <w:gridCol w:w="6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22" w:type="dxa"/>
            <w:noWrap w:val="0"/>
            <w:vAlign w:val="center"/>
          </w:tcPr>
          <w:p>
            <w:pPr>
              <w:pStyle w:val="29"/>
              <w:bidi w:val="0"/>
              <w:rPr>
                <w:rFonts w:hint="eastAsia" w:ascii="宋体" w:hAnsi="宋体" w:eastAsia="宋体" w:cs="宋体"/>
                <w:b/>
                <w:bCs/>
                <w:color w:val="auto"/>
                <w:highlight w:val="none"/>
              </w:rPr>
            </w:pPr>
            <w:r>
              <w:rPr>
                <w:rFonts w:hint="eastAsia" w:ascii="宋体" w:hAnsi="宋体" w:eastAsia="宋体" w:cs="宋体"/>
                <w:b/>
                <w:bCs/>
                <w:color w:val="auto"/>
                <w:highlight w:val="none"/>
              </w:rPr>
              <w:t>序号</w:t>
            </w:r>
          </w:p>
        </w:tc>
        <w:tc>
          <w:tcPr>
            <w:tcW w:w="1640" w:type="dxa"/>
            <w:noWrap w:val="0"/>
            <w:vAlign w:val="center"/>
          </w:tcPr>
          <w:p>
            <w:pPr>
              <w:pStyle w:val="29"/>
              <w:bidi w:val="0"/>
              <w:rPr>
                <w:rFonts w:hint="eastAsia" w:ascii="宋体" w:hAnsi="宋体" w:eastAsia="宋体" w:cs="宋体"/>
                <w:b/>
                <w:bCs/>
                <w:color w:val="auto"/>
                <w:highlight w:val="none"/>
              </w:rPr>
            </w:pPr>
            <w:r>
              <w:rPr>
                <w:rFonts w:hint="eastAsia" w:ascii="宋体" w:hAnsi="宋体" w:eastAsia="宋体" w:cs="宋体"/>
                <w:b/>
                <w:bCs/>
                <w:color w:val="auto"/>
                <w:highlight w:val="none"/>
              </w:rPr>
              <w:t>名称</w:t>
            </w:r>
          </w:p>
        </w:tc>
        <w:tc>
          <w:tcPr>
            <w:tcW w:w="6936" w:type="dxa"/>
            <w:noWrap w:val="0"/>
            <w:vAlign w:val="center"/>
          </w:tcPr>
          <w:p>
            <w:pPr>
              <w:pStyle w:val="29"/>
              <w:bidi w:val="0"/>
              <w:rPr>
                <w:rFonts w:hint="eastAsia" w:ascii="宋体" w:hAnsi="宋体" w:eastAsia="宋体" w:cs="宋体"/>
                <w:b/>
                <w:bCs/>
                <w:color w:val="auto"/>
                <w:highlight w:val="none"/>
              </w:rPr>
            </w:pPr>
            <w:r>
              <w:rPr>
                <w:rFonts w:hint="eastAsia" w:ascii="宋体" w:hAnsi="宋体" w:eastAsia="宋体" w:cs="宋体"/>
                <w:b/>
                <w:bCs/>
                <w:color w:val="auto"/>
                <w:highlight w:val="none"/>
              </w:rPr>
              <w:t>具体内容和要求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22" w:type="dxa"/>
            <w:noWrap w:val="0"/>
            <w:vAlign w:val="center"/>
          </w:tcPr>
          <w:p>
            <w:pPr>
              <w:pStyle w:val="29"/>
              <w:spacing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1</w:t>
            </w:r>
          </w:p>
        </w:tc>
        <w:tc>
          <w:tcPr>
            <w:tcW w:w="1640" w:type="dxa"/>
            <w:noWrap w:val="0"/>
            <w:vAlign w:val="center"/>
          </w:tcPr>
          <w:p>
            <w:pPr>
              <w:pStyle w:val="29"/>
              <w:spacing w:line="360" w:lineRule="auto"/>
              <w:jc w:val="center"/>
              <w:rPr>
                <w:rFonts w:hint="eastAsia" w:ascii="宋体" w:hAnsi="宋体" w:eastAsia="宋体" w:cs="宋体"/>
                <w:color w:val="auto"/>
                <w:lang w:val="en-US" w:eastAsia="zh-CN"/>
              </w:rPr>
            </w:pPr>
            <w:r>
              <w:rPr>
                <w:rFonts w:hint="eastAsia"/>
                <w:color w:val="auto"/>
                <w:lang w:val="en-US" w:eastAsia="zh-CN"/>
              </w:rPr>
              <w:t>供货期</w:t>
            </w:r>
          </w:p>
        </w:tc>
        <w:tc>
          <w:tcPr>
            <w:tcW w:w="6936" w:type="dxa"/>
            <w:noWrap w:val="0"/>
            <w:vAlign w:val="center"/>
          </w:tcPr>
          <w:p>
            <w:pPr>
              <w:pStyle w:val="29"/>
              <w:spacing w:line="360" w:lineRule="auto"/>
              <w:jc w:val="left"/>
              <w:rPr>
                <w:rFonts w:hint="eastAsia" w:ascii="宋体" w:hAnsi="宋体" w:eastAsia="宋体" w:cs="宋体"/>
                <w:color w:val="auto"/>
                <w:lang w:val="en-US" w:eastAsia="zh-CN"/>
              </w:rPr>
            </w:pPr>
            <w:r>
              <w:rPr>
                <w:rFonts w:hint="eastAsia"/>
                <w:color w:val="auto"/>
                <w:lang w:val="en-US" w:eastAsia="zh-CN"/>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22" w:type="dxa"/>
            <w:noWrap w:val="0"/>
            <w:vAlign w:val="center"/>
          </w:tcPr>
          <w:p>
            <w:pPr>
              <w:pStyle w:val="29"/>
              <w:spacing w:line="360" w:lineRule="auto"/>
              <w:rPr>
                <w:rFonts w:hint="eastAsia" w:ascii="宋体" w:hAnsi="宋体" w:eastAsia="宋体" w:cs="宋体"/>
                <w:color w:val="auto"/>
                <w:sz w:val="24"/>
                <w:lang w:val="en-US" w:eastAsia="zh-CN" w:bidi="ar-SA"/>
              </w:rPr>
            </w:pPr>
            <w:r>
              <w:rPr>
                <w:rFonts w:hint="eastAsia" w:ascii="宋体" w:hAnsi="宋体" w:eastAsia="宋体" w:cs="宋体"/>
                <w:color w:val="auto"/>
                <w:lang w:val="en-US" w:eastAsia="zh-CN"/>
              </w:rPr>
              <w:t>2</w:t>
            </w:r>
          </w:p>
        </w:tc>
        <w:tc>
          <w:tcPr>
            <w:tcW w:w="1640" w:type="dxa"/>
            <w:noWrap w:val="0"/>
            <w:vAlign w:val="center"/>
          </w:tcPr>
          <w:p>
            <w:pPr>
              <w:pStyle w:val="29"/>
              <w:spacing w:line="360" w:lineRule="auto"/>
              <w:jc w:val="center"/>
              <w:rPr>
                <w:rFonts w:hint="eastAsia" w:ascii="宋体" w:hAnsi="宋体" w:eastAsia="宋体" w:cs="宋体"/>
                <w:color w:val="auto"/>
                <w:sz w:val="24"/>
                <w:lang w:val="en-US" w:eastAsia="zh-CN" w:bidi="ar-SA"/>
              </w:rPr>
            </w:pPr>
            <w:r>
              <w:rPr>
                <w:rFonts w:hint="eastAsia" w:cs="宋体"/>
                <w:color w:val="auto"/>
                <w:lang w:val="en-US" w:eastAsia="zh-CN"/>
              </w:rPr>
              <w:t>交付期</w:t>
            </w:r>
          </w:p>
        </w:tc>
        <w:tc>
          <w:tcPr>
            <w:tcW w:w="6936" w:type="dxa"/>
            <w:noWrap w:val="0"/>
            <w:vAlign w:val="center"/>
          </w:tcPr>
          <w:p>
            <w:pPr>
              <w:pStyle w:val="29"/>
              <w:spacing w:line="360" w:lineRule="auto"/>
              <w:jc w:val="left"/>
              <w:rPr>
                <w:rFonts w:hint="eastAsia" w:ascii="宋体" w:hAnsi="宋体" w:eastAsia="宋体" w:cs="宋体"/>
                <w:color w:val="auto"/>
                <w:sz w:val="24"/>
                <w:lang w:val="en-US" w:eastAsia="zh-CN" w:bidi="ar-SA"/>
              </w:rPr>
            </w:pPr>
            <w:r>
              <w:rPr>
                <w:rFonts w:hint="eastAsia" w:cs="宋体"/>
                <w:color w:val="auto"/>
                <w:lang w:eastAsia="zh-CN"/>
              </w:rPr>
              <w:t>采购人提前两天向供应商申报供货计划，供应商必须在规定时间内送达</w:t>
            </w:r>
            <w:r>
              <w:rPr>
                <w:rFonts w:hint="eastAsia" w:ascii="宋体" w:hAnsi="宋体" w:eastAsia="宋体" w:cs="宋体"/>
                <w:color w:val="auto"/>
                <w:lang w:eastAsia="zh-CN"/>
              </w:rPr>
              <w:t>。</w:t>
            </w:r>
            <w:r>
              <w:rPr>
                <w:rFonts w:hint="eastAsia"/>
                <w:color w:val="auto"/>
              </w:rPr>
              <w:t>供货商负责送货装卸，费用自理。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722" w:type="dxa"/>
            <w:noWrap w:val="0"/>
            <w:vAlign w:val="center"/>
          </w:tcPr>
          <w:p>
            <w:pPr>
              <w:pStyle w:val="29"/>
              <w:spacing w:line="360" w:lineRule="auto"/>
              <w:rPr>
                <w:rFonts w:hint="eastAsia" w:ascii="宋体" w:hAnsi="宋体" w:eastAsia="宋体" w:cs="宋体"/>
                <w:color w:val="auto"/>
                <w:sz w:val="24"/>
                <w:lang w:val="en-US" w:eastAsia="zh-CN" w:bidi="ar-SA"/>
              </w:rPr>
            </w:pPr>
            <w:r>
              <w:rPr>
                <w:rFonts w:hint="eastAsia" w:ascii="宋体" w:hAnsi="宋体" w:eastAsia="宋体" w:cs="宋体"/>
                <w:color w:val="auto"/>
                <w:lang w:val="en-US" w:eastAsia="zh-CN"/>
              </w:rPr>
              <w:t>3</w:t>
            </w:r>
          </w:p>
        </w:tc>
        <w:tc>
          <w:tcPr>
            <w:tcW w:w="1640" w:type="dxa"/>
            <w:noWrap w:val="0"/>
            <w:vAlign w:val="center"/>
          </w:tcPr>
          <w:p>
            <w:pPr>
              <w:pStyle w:val="29"/>
              <w:spacing w:line="360" w:lineRule="auto"/>
              <w:jc w:val="center"/>
              <w:rPr>
                <w:rFonts w:hint="eastAsia" w:ascii="宋体" w:hAnsi="宋体" w:eastAsia="宋体" w:cs="宋体"/>
                <w:color w:val="auto"/>
                <w:sz w:val="24"/>
                <w:lang w:val="en-US" w:eastAsia="zh-CN" w:bidi="ar-SA"/>
              </w:rPr>
            </w:pPr>
            <w:r>
              <w:rPr>
                <w:rFonts w:hint="eastAsia"/>
                <w:color w:val="auto"/>
                <w:lang w:val="en-US" w:eastAsia="zh-CN"/>
              </w:rPr>
              <w:t>交货具体地点</w:t>
            </w:r>
          </w:p>
        </w:tc>
        <w:tc>
          <w:tcPr>
            <w:tcW w:w="6936" w:type="dxa"/>
            <w:noWrap w:val="0"/>
            <w:vAlign w:val="center"/>
          </w:tcPr>
          <w:p>
            <w:pPr>
              <w:pStyle w:val="29"/>
              <w:spacing w:line="360" w:lineRule="auto"/>
              <w:jc w:val="left"/>
              <w:rPr>
                <w:rFonts w:hint="eastAsia" w:ascii="宋体" w:hAnsi="宋体" w:eastAsia="宋体" w:cs="宋体"/>
                <w:color w:val="auto"/>
                <w:sz w:val="24"/>
                <w:lang w:val="en-US" w:eastAsia="zh-CN" w:bidi="ar-SA"/>
              </w:rPr>
            </w:pPr>
            <w:r>
              <w:rPr>
                <w:rFonts w:hint="eastAsia"/>
                <w:color w:val="auto"/>
                <w:lang w:eastAsia="zh-CN"/>
              </w:rPr>
              <w:t>西安科技大学临潼校区骊山校园和秦汉校园及雁塔校区北院指定库房，并按照采购人要求在指定地点摆放整齐。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722" w:type="dxa"/>
            <w:noWrap w:val="0"/>
            <w:vAlign w:val="center"/>
          </w:tcPr>
          <w:p>
            <w:pPr>
              <w:pStyle w:val="29"/>
              <w:spacing w:line="360" w:lineRule="auto"/>
              <w:rPr>
                <w:rFonts w:hint="eastAsia" w:ascii="宋体" w:hAnsi="宋体" w:eastAsia="宋体" w:cs="宋体"/>
                <w:color w:val="auto"/>
                <w:sz w:val="24"/>
                <w:lang w:val="en-US" w:eastAsia="zh-CN" w:bidi="ar-SA"/>
              </w:rPr>
            </w:pPr>
            <w:r>
              <w:rPr>
                <w:rFonts w:hint="eastAsia" w:ascii="宋体" w:hAnsi="宋体" w:eastAsia="宋体" w:cs="宋体"/>
                <w:color w:val="auto"/>
                <w:lang w:val="en-US" w:eastAsia="zh-CN"/>
              </w:rPr>
              <w:t>4</w:t>
            </w:r>
          </w:p>
        </w:tc>
        <w:tc>
          <w:tcPr>
            <w:tcW w:w="1640" w:type="dxa"/>
            <w:noWrap w:val="0"/>
            <w:vAlign w:val="center"/>
          </w:tcPr>
          <w:p>
            <w:pPr>
              <w:pStyle w:val="29"/>
              <w:spacing w:line="360" w:lineRule="auto"/>
              <w:rPr>
                <w:rFonts w:hint="eastAsia" w:ascii="宋体" w:hAnsi="宋体" w:eastAsia="宋体" w:cs="宋体"/>
                <w:color w:val="auto"/>
                <w:sz w:val="24"/>
                <w:lang w:val="en-US" w:eastAsia="zh-CN" w:bidi="ar-SA"/>
              </w:rPr>
            </w:pPr>
            <w:r>
              <w:rPr>
                <w:rFonts w:hint="eastAsia"/>
                <w:color w:val="auto"/>
                <w:lang w:val="en-US" w:eastAsia="zh-CN"/>
              </w:rPr>
              <w:t>质保期</w:t>
            </w:r>
          </w:p>
        </w:tc>
        <w:tc>
          <w:tcPr>
            <w:tcW w:w="6936" w:type="dxa"/>
            <w:noWrap w:val="0"/>
            <w:vAlign w:val="center"/>
          </w:tcPr>
          <w:p>
            <w:pPr>
              <w:pStyle w:val="29"/>
              <w:spacing w:line="360" w:lineRule="auto"/>
              <w:jc w:val="left"/>
              <w:rPr>
                <w:rFonts w:hint="eastAsia" w:ascii="宋体" w:hAnsi="宋体" w:eastAsia="宋体" w:cs="宋体"/>
                <w:color w:val="auto"/>
                <w:kern w:val="0"/>
                <w:sz w:val="24"/>
                <w:lang w:val="en-US" w:eastAsia="zh-CN" w:bidi="ar-SA"/>
              </w:rPr>
            </w:pPr>
            <w:r>
              <w:rPr>
                <w:rFonts w:hint="eastAsia" w:ascii="宋体" w:hAnsi="宋体" w:eastAsia="宋体" w:cs="宋体"/>
                <w:color w:val="auto"/>
                <w:kern w:val="0"/>
                <w:sz w:val="24"/>
                <w:lang w:val="en-US" w:eastAsia="zh-CN" w:bidi="ar-SA"/>
              </w:rPr>
              <w:t>合同包1（大米）：6个月</w:t>
            </w:r>
          </w:p>
          <w:p>
            <w:pPr>
              <w:pStyle w:val="29"/>
              <w:spacing w:line="360" w:lineRule="auto"/>
              <w:jc w:val="left"/>
              <w:rPr>
                <w:rFonts w:hint="eastAsia" w:ascii="宋体" w:hAnsi="宋体" w:eastAsia="宋体" w:cs="宋体"/>
                <w:color w:val="auto"/>
                <w:kern w:val="0"/>
                <w:sz w:val="24"/>
                <w:lang w:val="en-US" w:eastAsia="zh-CN" w:bidi="ar-SA"/>
              </w:rPr>
            </w:pPr>
            <w:r>
              <w:rPr>
                <w:rFonts w:hint="eastAsia" w:ascii="宋体" w:hAnsi="宋体" w:eastAsia="宋体" w:cs="宋体"/>
                <w:color w:val="auto"/>
                <w:kern w:val="0"/>
                <w:sz w:val="24"/>
                <w:lang w:val="en-US" w:eastAsia="zh-CN" w:bidi="ar-SA"/>
              </w:rPr>
              <w:t>合同包2（面粉）：6个月</w:t>
            </w:r>
          </w:p>
          <w:p>
            <w:pPr>
              <w:pStyle w:val="29"/>
              <w:spacing w:line="360" w:lineRule="auto"/>
              <w:jc w:val="left"/>
              <w:rPr>
                <w:rFonts w:hint="eastAsia" w:ascii="宋体" w:hAnsi="宋体" w:eastAsia="宋体" w:cs="宋体"/>
                <w:color w:val="auto"/>
                <w:sz w:val="24"/>
                <w:lang w:val="en-US" w:eastAsia="zh-CN" w:bidi="ar-SA"/>
              </w:rPr>
            </w:pPr>
            <w:r>
              <w:rPr>
                <w:rFonts w:hint="eastAsia" w:ascii="宋体" w:hAnsi="宋体" w:eastAsia="宋体" w:cs="宋体"/>
                <w:color w:val="auto"/>
                <w:kern w:val="0"/>
                <w:sz w:val="24"/>
                <w:lang w:val="en-US" w:eastAsia="zh-CN" w:bidi="ar-SA"/>
              </w:rPr>
              <w:t>合同包3（食用油）：豆油18个月，菜油12个月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722" w:type="dxa"/>
            <w:noWrap w:val="0"/>
            <w:vAlign w:val="center"/>
          </w:tcPr>
          <w:p>
            <w:pPr>
              <w:pStyle w:val="29"/>
              <w:spacing w:line="360" w:lineRule="auto"/>
              <w:rPr>
                <w:rFonts w:hint="eastAsia" w:ascii="宋体" w:hAnsi="宋体" w:eastAsia="宋体" w:cs="宋体"/>
                <w:color w:val="auto"/>
                <w:sz w:val="24"/>
                <w:lang w:val="en-US" w:eastAsia="zh-CN" w:bidi="ar-SA"/>
              </w:rPr>
            </w:pPr>
            <w:r>
              <w:rPr>
                <w:rFonts w:hint="eastAsia" w:ascii="宋体" w:hAnsi="宋体" w:eastAsia="宋体" w:cs="宋体"/>
                <w:color w:val="auto"/>
                <w:lang w:val="en-US" w:eastAsia="zh-CN"/>
              </w:rPr>
              <w:t>5</w:t>
            </w:r>
          </w:p>
        </w:tc>
        <w:tc>
          <w:tcPr>
            <w:tcW w:w="1640" w:type="dxa"/>
            <w:noWrap w:val="0"/>
            <w:vAlign w:val="center"/>
          </w:tcPr>
          <w:p>
            <w:pPr>
              <w:pStyle w:val="29"/>
              <w:spacing w:line="360" w:lineRule="auto"/>
              <w:rPr>
                <w:rFonts w:hint="eastAsia" w:ascii="宋体" w:hAnsi="宋体" w:eastAsia="宋体" w:cs="宋体"/>
                <w:color w:val="auto"/>
                <w:sz w:val="24"/>
                <w:lang w:val="en-US" w:eastAsia="zh-CN" w:bidi="ar-SA"/>
              </w:rPr>
            </w:pPr>
            <w:r>
              <w:rPr>
                <w:rFonts w:hint="eastAsia"/>
                <w:color w:val="auto"/>
                <w:lang w:val="en-US" w:eastAsia="zh-CN"/>
              </w:rPr>
              <w:t>售后服务</w:t>
            </w:r>
          </w:p>
        </w:tc>
        <w:tc>
          <w:tcPr>
            <w:tcW w:w="6936" w:type="dxa"/>
            <w:noWrap w:val="0"/>
            <w:vAlign w:val="center"/>
          </w:tcPr>
          <w:p>
            <w:pPr>
              <w:pStyle w:val="29"/>
              <w:spacing w:line="360" w:lineRule="auto"/>
              <w:jc w:val="left"/>
              <w:rPr>
                <w:rFonts w:hint="eastAsia" w:ascii="宋体" w:hAnsi="宋体" w:eastAsia="宋体" w:cs="宋体"/>
                <w:color w:val="auto"/>
                <w:sz w:val="24"/>
                <w:lang w:val="en-US" w:eastAsia="zh-CN" w:bidi="ar-SA"/>
              </w:rPr>
            </w:pPr>
            <w:r>
              <w:rPr>
                <w:rFonts w:hint="eastAsia" w:ascii="宋体" w:hAnsi="宋体" w:eastAsia="宋体" w:cs="宋体"/>
                <w:color w:val="auto"/>
                <w:kern w:val="0"/>
                <w:sz w:val="24"/>
                <w:lang w:val="en-US" w:eastAsia="zh-CN" w:bidi="ar-SA"/>
              </w:rPr>
              <w:t>售后服务响应时间（质保期内）：即时响应（包括电话响应）；电话响应无法解决8小时内到达现场。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722" w:type="dxa"/>
            <w:noWrap w:val="0"/>
            <w:vAlign w:val="center"/>
          </w:tcPr>
          <w:p>
            <w:pPr>
              <w:pStyle w:val="29"/>
              <w:spacing w:line="360" w:lineRule="auto"/>
              <w:rPr>
                <w:rFonts w:hint="eastAsia" w:ascii="宋体" w:hAnsi="宋体" w:eastAsia="宋体" w:cs="宋体"/>
                <w:color w:val="auto"/>
                <w:sz w:val="24"/>
                <w:lang w:val="en-US" w:eastAsia="zh-CN" w:bidi="ar-SA"/>
              </w:rPr>
            </w:pPr>
            <w:r>
              <w:rPr>
                <w:rFonts w:hint="eastAsia" w:ascii="宋体" w:hAnsi="宋体" w:eastAsia="宋体" w:cs="宋体"/>
                <w:color w:val="auto"/>
                <w:lang w:val="en-US" w:eastAsia="zh-CN"/>
              </w:rPr>
              <w:t>6</w:t>
            </w:r>
          </w:p>
        </w:tc>
        <w:tc>
          <w:tcPr>
            <w:tcW w:w="1640" w:type="dxa"/>
            <w:noWrap w:val="0"/>
            <w:vAlign w:val="center"/>
          </w:tcPr>
          <w:p>
            <w:pPr>
              <w:pStyle w:val="29"/>
              <w:spacing w:line="360" w:lineRule="auto"/>
              <w:rPr>
                <w:rFonts w:hint="eastAsia" w:ascii="宋体" w:hAnsi="宋体" w:eastAsia="宋体" w:cs="宋体"/>
                <w:color w:val="auto"/>
                <w:sz w:val="24"/>
                <w:lang w:val="en-US" w:eastAsia="zh-CN" w:bidi="ar-SA"/>
              </w:rPr>
            </w:pPr>
            <w:r>
              <w:rPr>
                <w:rFonts w:hint="eastAsia"/>
                <w:color w:val="auto"/>
              </w:rPr>
              <w:t>付款方式</w:t>
            </w:r>
          </w:p>
        </w:tc>
        <w:tc>
          <w:tcPr>
            <w:tcW w:w="6936" w:type="dxa"/>
            <w:noWrap w:val="0"/>
            <w:vAlign w:val="center"/>
          </w:tcPr>
          <w:p>
            <w:pPr>
              <w:pStyle w:val="12"/>
              <w:spacing w:line="360" w:lineRule="auto"/>
              <w:rPr>
                <w:rFonts w:hint="eastAsia" w:ascii="宋体" w:hAnsi="宋体" w:eastAsia="宋体" w:cs="宋体"/>
                <w:color w:val="auto"/>
                <w:kern w:val="0"/>
                <w:sz w:val="24"/>
                <w:lang w:val="en-US" w:eastAsia="zh-CN" w:bidi="ar-SA"/>
              </w:rPr>
            </w:pPr>
            <w:r>
              <w:rPr>
                <w:rFonts w:hint="eastAsia"/>
                <w:color w:val="auto"/>
              </w:rPr>
              <w:t>1</w:t>
            </w:r>
            <w:r>
              <w:rPr>
                <w:rFonts w:hint="eastAsia" w:ascii="宋体" w:hAnsi="宋体" w:eastAsia="宋体" w:cs="宋体"/>
                <w:color w:val="auto"/>
                <w:kern w:val="0"/>
                <w:sz w:val="24"/>
                <w:lang w:val="en-US" w:eastAsia="zh-CN" w:bidi="ar-SA"/>
              </w:rPr>
              <w:t>.结算单位：采购人结算，在付款前必须开具全额增值税发票给采购人。</w:t>
            </w:r>
          </w:p>
          <w:p>
            <w:pPr>
              <w:pStyle w:val="12"/>
              <w:spacing w:line="360" w:lineRule="auto"/>
              <w:rPr>
                <w:rFonts w:hint="eastAsia" w:ascii="宋体" w:hAnsi="宋体" w:eastAsia="宋体" w:cs="宋体"/>
                <w:color w:val="auto"/>
                <w:kern w:val="0"/>
                <w:sz w:val="24"/>
                <w:lang w:val="en-US" w:eastAsia="zh-CN" w:bidi="ar-SA"/>
              </w:rPr>
            </w:pPr>
            <w:r>
              <w:rPr>
                <w:rFonts w:hint="eastAsia" w:ascii="宋体" w:hAnsi="宋体" w:eastAsia="宋体" w:cs="宋体"/>
                <w:color w:val="auto"/>
                <w:kern w:val="0"/>
                <w:sz w:val="24"/>
                <w:lang w:val="en-US" w:eastAsia="zh-CN" w:bidi="ar-SA"/>
              </w:rPr>
              <w:t>2.付款方式：根据实际供货量和所提供发票（如甲方食堂委托经营，需向委托经营方单独开票结账）当月25日结账，次月10日之前转账付款。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722" w:type="dxa"/>
            <w:noWrap w:val="0"/>
            <w:vAlign w:val="center"/>
          </w:tcPr>
          <w:p>
            <w:pPr>
              <w:pStyle w:val="29"/>
              <w:spacing w:line="360" w:lineRule="auto"/>
              <w:rPr>
                <w:rFonts w:hint="eastAsia" w:ascii="宋体" w:hAnsi="宋体" w:eastAsia="宋体" w:cs="宋体"/>
                <w:color w:val="auto"/>
                <w:sz w:val="24"/>
                <w:lang w:val="en-US" w:eastAsia="zh-CN" w:bidi="ar-SA"/>
              </w:rPr>
            </w:pPr>
            <w:r>
              <w:rPr>
                <w:rFonts w:hint="eastAsia" w:ascii="宋体" w:hAnsi="宋体" w:eastAsia="宋体" w:cs="宋体"/>
                <w:color w:val="auto"/>
                <w:lang w:val="en-US" w:eastAsia="zh-CN"/>
              </w:rPr>
              <w:t>7</w:t>
            </w:r>
          </w:p>
        </w:tc>
        <w:tc>
          <w:tcPr>
            <w:tcW w:w="1640" w:type="dxa"/>
            <w:noWrap w:val="0"/>
            <w:vAlign w:val="center"/>
          </w:tcPr>
          <w:p>
            <w:pPr>
              <w:pStyle w:val="29"/>
              <w:spacing w:line="360" w:lineRule="auto"/>
              <w:rPr>
                <w:rFonts w:hint="eastAsia" w:ascii="宋体" w:hAnsi="宋体" w:eastAsia="宋体" w:cs="宋体"/>
                <w:color w:val="auto"/>
                <w:sz w:val="24"/>
                <w:lang w:val="en-US" w:eastAsia="zh-CN" w:bidi="ar-SA"/>
              </w:rPr>
            </w:pPr>
            <w:r>
              <w:rPr>
                <w:rFonts w:hint="eastAsia"/>
                <w:color w:val="auto"/>
              </w:rPr>
              <w:t>履约保证金</w:t>
            </w:r>
          </w:p>
        </w:tc>
        <w:tc>
          <w:tcPr>
            <w:tcW w:w="6936" w:type="dxa"/>
            <w:noWrap w:val="0"/>
            <w:vAlign w:val="center"/>
          </w:tcPr>
          <w:p>
            <w:pPr>
              <w:spacing w:line="360" w:lineRule="auto"/>
              <w:rPr>
                <w:rFonts w:hint="eastAsia" w:ascii="宋体" w:hAnsi="宋体" w:eastAsia="宋体" w:cs="宋体"/>
                <w:color w:val="auto"/>
                <w:kern w:val="0"/>
                <w:sz w:val="24"/>
                <w:lang w:val="en-US" w:eastAsia="zh-CN" w:bidi="ar-SA"/>
              </w:rPr>
            </w:pPr>
            <w:r>
              <w:rPr>
                <w:rFonts w:hint="eastAsia" w:hAnsi="宋体" w:cs="宋体"/>
                <w:color w:val="auto"/>
                <w:sz w:val="24"/>
                <w:szCs w:val="24"/>
                <w:lang w:eastAsia="zh-CN"/>
              </w:rPr>
              <w:t>供应商成交后凭成交通知书向采购人缴纳成交金额的5%作为履约保证金，合同期满2个月后无质量问题一次性无息退还。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4" w:hRule="atLeast"/>
        </w:trPr>
        <w:tc>
          <w:tcPr>
            <w:tcW w:w="722" w:type="dxa"/>
            <w:noWrap w:val="0"/>
            <w:vAlign w:val="center"/>
          </w:tcPr>
          <w:p>
            <w:pPr>
              <w:pStyle w:val="29"/>
              <w:spacing w:line="360" w:lineRule="auto"/>
              <w:rPr>
                <w:rFonts w:hint="eastAsia" w:ascii="宋体" w:hAnsi="宋体" w:eastAsia="宋体" w:cs="宋体"/>
                <w:color w:val="auto"/>
                <w:sz w:val="24"/>
                <w:lang w:val="en-US" w:eastAsia="zh-CN" w:bidi="ar-SA"/>
              </w:rPr>
            </w:pPr>
            <w:r>
              <w:rPr>
                <w:rFonts w:hint="eastAsia" w:ascii="宋体" w:hAnsi="宋体" w:eastAsia="宋体" w:cs="宋体"/>
                <w:color w:val="auto"/>
                <w:lang w:val="en-US" w:eastAsia="zh-CN"/>
              </w:rPr>
              <w:t>8</w:t>
            </w:r>
          </w:p>
        </w:tc>
        <w:tc>
          <w:tcPr>
            <w:tcW w:w="1640" w:type="dxa"/>
            <w:noWrap w:val="0"/>
            <w:vAlign w:val="center"/>
          </w:tcPr>
          <w:p>
            <w:pPr>
              <w:pStyle w:val="29"/>
              <w:spacing w:line="360" w:lineRule="auto"/>
              <w:rPr>
                <w:rFonts w:hint="eastAsia" w:ascii="宋体" w:hAnsi="宋体" w:eastAsia="宋体" w:cs="宋体"/>
                <w:color w:val="auto"/>
                <w:sz w:val="24"/>
                <w:lang w:val="en-US" w:eastAsia="zh-CN" w:bidi="ar-SA"/>
              </w:rPr>
            </w:pPr>
            <w:r>
              <w:rPr>
                <w:rFonts w:hint="eastAsia"/>
                <w:color w:val="auto"/>
                <w:lang w:val="en-US" w:eastAsia="zh-CN"/>
              </w:rPr>
              <w:t>其他要求</w:t>
            </w:r>
          </w:p>
        </w:tc>
        <w:tc>
          <w:tcPr>
            <w:tcW w:w="6936" w:type="dxa"/>
            <w:noWrap w:val="0"/>
            <w:vAlign w:val="center"/>
          </w:tcPr>
          <w:p>
            <w:pPr>
              <w:spacing w:line="360" w:lineRule="auto"/>
              <w:rPr>
                <w:rFonts w:hint="eastAsia" w:hAnsi="宋体" w:cs="宋体"/>
                <w:color w:val="auto"/>
                <w:sz w:val="24"/>
                <w:szCs w:val="24"/>
                <w:lang w:eastAsia="zh-CN"/>
              </w:rPr>
            </w:pPr>
            <w:r>
              <w:rPr>
                <w:rFonts w:hint="eastAsia" w:hAnsi="宋体" w:cs="宋体"/>
                <w:color w:val="auto"/>
                <w:sz w:val="24"/>
                <w:szCs w:val="24"/>
                <w:lang w:eastAsia="zh-CN"/>
              </w:rPr>
              <w:t>1.中标人不得以任何形式和理由转合同包中标项目。</w:t>
            </w:r>
          </w:p>
          <w:p>
            <w:pPr>
              <w:spacing w:line="360" w:lineRule="auto"/>
              <w:rPr>
                <w:rFonts w:hint="eastAsia" w:ascii="宋体" w:hAnsi="宋体" w:eastAsia="宋体" w:cs="宋体"/>
                <w:color w:val="auto"/>
                <w:kern w:val="2"/>
                <w:sz w:val="21"/>
                <w:lang w:val="en-US" w:eastAsia="zh-CN" w:bidi="ar-SA"/>
              </w:rPr>
            </w:pPr>
            <w:r>
              <w:rPr>
                <w:rFonts w:hint="eastAsia" w:hAnsi="宋体" w:cs="宋体"/>
                <w:color w:val="auto"/>
                <w:sz w:val="24"/>
                <w:szCs w:val="24"/>
                <w:lang w:eastAsia="zh-CN"/>
              </w:rPr>
              <w:t>2.中标人在10日内签订供货合同。无故不得拖延或终止合同，否则招标方有权取消其中标资格。</w:t>
            </w:r>
          </w:p>
        </w:tc>
      </w:tr>
    </w:tbl>
    <w:p>
      <w:r>
        <w:br w:type="page"/>
      </w:r>
    </w:p>
    <w:p>
      <w:pPr>
        <w:pStyle w:val="3"/>
        <w:spacing w:before="333"/>
        <w:rPr>
          <w:sz w:val="36"/>
          <w:szCs w:val="36"/>
        </w:rPr>
      </w:pPr>
      <w:bookmarkStart w:id="151" w:name="_Toc25083"/>
      <w:r>
        <w:rPr>
          <w:rFonts w:hint="eastAsia"/>
          <w:sz w:val="36"/>
          <w:szCs w:val="36"/>
        </w:rPr>
        <w:t>第五章  评标办法</w:t>
      </w:r>
      <w:bookmarkEnd w:id="146"/>
      <w:bookmarkEnd w:id="147"/>
      <w:bookmarkEnd w:id="148"/>
      <w:bookmarkEnd w:id="149"/>
      <w:bookmarkEnd w:id="150"/>
      <w:bookmarkEnd w:id="151"/>
    </w:p>
    <w:p>
      <w:pPr>
        <w:pStyle w:val="2"/>
      </w:pPr>
      <w:bookmarkStart w:id="152" w:name="_Toc12882"/>
      <w:bookmarkStart w:id="153" w:name="_Toc363463332"/>
      <w:bookmarkStart w:id="154" w:name="_Toc10474"/>
      <w:r>
        <w:rPr>
          <w:rFonts w:hint="eastAsia"/>
        </w:rPr>
        <w:t>一．评标办法</w:t>
      </w:r>
      <w:bookmarkEnd w:id="152"/>
      <w:bookmarkEnd w:id="153"/>
      <w:bookmarkEnd w:id="154"/>
    </w:p>
    <w:p>
      <w:pPr>
        <w:pStyle w:val="8"/>
        <w:ind w:firstLine="480"/>
      </w:pPr>
      <w:r>
        <w:rPr>
          <w:rFonts w:hint="eastAsia"/>
        </w:rPr>
        <w:t>按照《中华人民共和国政府采购法》、中华人民共和国2015年第658号国务院令--《中华人民共和国政府采购法实施条例》和中华人民共和国财政部2017年第87号部长令--《</w:t>
      </w:r>
      <w:r>
        <w:rPr>
          <w:rFonts w:hint="eastAsia"/>
          <w:lang w:eastAsia="zh-CN"/>
        </w:rPr>
        <w:t>政府采购货物和服务招标投标管理办法</w:t>
      </w:r>
      <w:r>
        <w:rPr>
          <w:rFonts w:hint="eastAsia"/>
        </w:rPr>
        <w:t>》的规定，本次评标采用综合评分法--在投标文件满足招标文件全部实质性要求前提下，按照招标文件中规定的各项因素进行综合评审后，以评标总得分最高的投标单位作为中标候选单位或者中标单位的评标方法。评标总得分相同，按投标报价由低到高顺序排列；评标总得分且投标报价相同的，按技术指标优劣顺序排列（最低报价不是中标的唯一标准）。</w:t>
      </w:r>
    </w:p>
    <w:p>
      <w:pPr>
        <w:pStyle w:val="2"/>
      </w:pPr>
      <w:bookmarkStart w:id="155" w:name="_Toc20618"/>
      <w:bookmarkStart w:id="156" w:name="_Toc27037"/>
      <w:r>
        <w:rPr>
          <w:rFonts w:hint="eastAsia"/>
        </w:rPr>
        <w:t>二．评标委员会负责具体评标事务，并独立履行下列职责：</w:t>
      </w:r>
      <w:bookmarkEnd w:id="155"/>
      <w:bookmarkEnd w:id="156"/>
    </w:p>
    <w:p>
      <w:pPr>
        <w:pStyle w:val="8"/>
        <w:ind w:firstLine="480"/>
      </w:pPr>
      <w:r>
        <w:rPr>
          <w:rFonts w:hint="eastAsia"/>
        </w:rPr>
        <w:t>2.1审查、评价投标文件是否符合招标文件的商务、技术、合同条款等实质性要求；</w:t>
      </w:r>
    </w:p>
    <w:p>
      <w:pPr>
        <w:pStyle w:val="8"/>
        <w:ind w:firstLine="480"/>
      </w:pPr>
      <w:r>
        <w:rPr>
          <w:rFonts w:hint="eastAsia"/>
        </w:rPr>
        <w:t>2.2要求投标人对投标文件有关事项作出澄清或者说明；</w:t>
      </w:r>
    </w:p>
    <w:p>
      <w:pPr>
        <w:pStyle w:val="8"/>
        <w:ind w:firstLine="480"/>
      </w:pPr>
      <w:r>
        <w:rPr>
          <w:rFonts w:hint="eastAsia"/>
        </w:rPr>
        <w:t>2.3对投标文件进行比较和评价；</w:t>
      </w:r>
    </w:p>
    <w:p>
      <w:pPr>
        <w:pStyle w:val="8"/>
        <w:ind w:firstLine="480"/>
      </w:pPr>
      <w:r>
        <w:rPr>
          <w:rFonts w:hint="eastAsia"/>
        </w:rPr>
        <w:t>2.4确定中标候选人名单，以及根据</w:t>
      </w:r>
      <w:r>
        <w:rPr>
          <w:rFonts w:hint="eastAsia"/>
          <w:lang w:eastAsia="zh-CN"/>
        </w:rPr>
        <w:t>招标人</w:t>
      </w:r>
      <w:r>
        <w:rPr>
          <w:rFonts w:hint="eastAsia"/>
        </w:rPr>
        <w:t>委托直接确定中标人；</w:t>
      </w:r>
    </w:p>
    <w:p>
      <w:pPr>
        <w:pStyle w:val="8"/>
        <w:ind w:firstLine="480"/>
      </w:pPr>
      <w:r>
        <w:rPr>
          <w:rFonts w:hint="eastAsia"/>
        </w:rPr>
        <w:t>2.5向</w:t>
      </w:r>
      <w:r>
        <w:rPr>
          <w:rFonts w:hint="eastAsia"/>
          <w:lang w:eastAsia="zh-CN"/>
        </w:rPr>
        <w:t>招标人</w:t>
      </w:r>
      <w:r>
        <w:rPr>
          <w:rFonts w:hint="eastAsia"/>
        </w:rPr>
        <w:t>、</w:t>
      </w:r>
      <w:r>
        <w:rPr>
          <w:rFonts w:hint="eastAsia"/>
          <w:lang w:eastAsia="zh-CN"/>
        </w:rPr>
        <w:t>招标代理机构</w:t>
      </w:r>
      <w:r>
        <w:rPr>
          <w:rFonts w:hint="eastAsia"/>
        </w:rPr>
        <w:t>或者有关部门报告评标中发现的违法行为。</w:t>
      </w:r>
    </w:p>
    <w:p>
      <w:pPr>
        <w:pStyle w:val="2"/>
      </w:pPr>
      <w:r>
        <w:rPr>
          <w:rFonts w:hint="eastAsia"/>
        </w:rPr>
        <w:t>三．投标人存在下列情况之一的，投标无效：</w:t>
      </w:r>
    </w:p>
    <w:p>
      <w:pPr>
        <w:pStyle w:val="8"/>
        <w:ind w:firstLine="480"/>
      </w:pPr>
      <w:r>
        <w:rPr>
          <w:rFonts w:hint="eastAsia"/>
        </w:rPr>
        <w:t>3.1未按照招标文件的规定提交投标保证金</w:t>
      </w:r>
      <w:r>
        <w:rPr>
          <w:rFonts w:hint="eastAsia"/>
          <w:lang w:eastAsia="zh-CN"/>
        </w:rPr>
        <w:t>（</w:t>
      </w:r>
      <w:r>
        <w:rPr>
          <w:rFonts w:hint="eastAsia"/>
          <w:lang w:val="en-US" w:eastAsia="zh-CN"/>
        </w:rPr>
        <w:t>如有</w:t>
      </w:r>
      <w:r>
        <w:rPr>
          <w:rFonts w:hint="eastAsia"/>
          <w:lang w:eastAsia="zh-CN"/>
        </w:rPr>
        <w:t>）</w:t>
      </w:r>
      <w:r>
        <w:rPr>
          <w:rFonts w:hint="eastAsia"/>
        </w:rPr>
        <w:t>的；</w:t>
      </w:r>
    </w:p>
    <w:p>
      <w:pPr>
        <w:pStyle w:val="8"/>
        <w:ind w:firstLine="480"/>
      </w:pPr>
      <w:r>
        <w:rPr>
          <w:rFonts w:hint="eastAsia"/>
        </w:rPr>
        <w:t>3.2投标文件未按招标文件要求签署、盖章的；</w:t>
      </w:r>
    </w:p>
    <w:p>
      <w:pPr>
        <w:pStyle w:val="8"/>
        <w:ind w:firstLine="480"/>
      </w:pPr>
      <w:r>
        <w:rPr>
          <w:rFonts w:hint="eastAsia"/>
        </w:rPr>
        <w:t>3.3不具备招标文件中规定的资格要求的；</w:t>
      </w:r>
    </w:p>
    <w:p>
      <w:pPr>
        <w:pStyle w:val="8"/>
        <w:ind w:firstLine="480"/>
      </w:pPr>
      <w:r>
        <w:rPr>
          <w:rFonts w:hint="eastAsia"/>
        </w:rPr>
        <w:t>3.4报价超过招标文件中规定的预算金额或者最高限价的；</w:t>
      </w:r>
    </w:p>
    <w:p>
      <w:pPr>
        <w:pStyle w:val="8"/>
        <w:ind w:firstLine="480"/>
      </w:pPr>
      <w:r>
        <w:rPr>
          <w:rFonts w:hint="eastAsia"/>
        </w:rPr>
        <w:t>3.5投标文件含有</w:t>
      </w:r>
      <w:r>
        <w:rPr>
          <w:rFonts w:hint="eastAsia"/>
          <w:lang w:eastAsia="zh-CN"/>
        </w:rPr>
        <w:t>招标人</w:t>
      </w:r>
      <w:r>
        <w:rPr>
          <w:rFonts w:hint="eastAsia"/>
        </w:rPr>
        <w:t>不能接受的附加条件的；</w:t>
      </w:r>
    </w:p>
    <w:p>
      <w:pPr>
        <w:pStyle w:val="8"/>
        <w:ind w:firstLine="480"/>
      </w:pPr>
      <w:r>
        <w:rPr>
          <w:rFonts w:hint="eastAsia"/>
        </w:rPr>
        <w:t>3.6无投标有效期或有效期达不到招标文件要求的；</w:t>
      </w:r>
    </w:p>
    <w:p>
      <w:pPr>
        <w:pStyle w:val="8"/>
        <w:ind w:firstLine="480"/>
      </w:pPr>
      <w:r>
        <w:rPr>
          <w:rFonts w:hint="eastAsia"/>
        </w:rPr>
        <w:t>3.7单位负责人为同一人或者存在直接控股、管理关系的不同投标人，参加本项目同一合同项下的投标的；</w:t>
      </w:r>
    </w:p>
    <w:p>
      <w:pPr>
        <w:pStyle w:val="8"/>
        <w:ind w:firstLine="480"/>
      </w:pPr>
      <w:r>
        <w:rPr>
          <w:rFonts w:hint="eastAsia"/>
        </w:rPr>
        <w:t>3.8为本采购项目提供整体设计、规范编制或者项目管理、监理、检测等服务的投标人，参加本采购项目投标的；</w:t>
      </w:r>
    </w:p>
    <w:p>
      <w:pPr>
        <w:pStyle w:val="8"/>
        <w:ind w:firstLine="480"/>
      </w:pPr>
      <w:r>
        <w:rPr>
          <w:rFonts w:hint="eastAsia"/>
        </w:rPr>
        <w:t>3.9提供虚假投标文件和资料的。</w:t>
      </w:r>
    </w:p>
    <w:p>
      <w:pPr>
        <w:pStyle w:val="8"/>
        <w:ind w:firstLine="480"/>
      </w:pPr>
      <w:r>
        <w:rPr>
          <w:rFonts w:hint="eastAsia"/>
        </w:rPr>
        <w:t>3.10法律、法规和招标文件规定的其他无效情形。</w:t>
      </w:r>
    </w:p>
    <w:p>
      <w:pPr>
        <w:pStyle w:val="2"/>
      </w:pPr>
      <w:r>
        <w:rPr>
          <w:rFonts w:hint="eastAsia"/>
        </w:rPr>
        <w:t>四．投标人有下列情形之一的，视为投标人串通投标，其投标无效：</w:t>
      </w:r>
    </w:p>
    <w:p>
      <w:pPr>
        <w:pStyle w:val="8"/>
        <w:ind w:firstLine="480"/>
      </w:pPr>
      <w:r>
        <w:rPr>
          <w:rFonts w:hint="eastAsia"/>
        </w:rPr>
        <w:t>4.1不同投标人的投标文件由同一单位或者个人编制；</w:t>
      </w:r>
    </w:p>
    <w:p>
      <w:pPr>
        <w:pStyle w:val="8"/>
        <w:ind w:firstLine="480"/>
      </w:pPr>
      <w:r>
        <w:rPr>
          <w:rFonts w:hint="eastAsia"/>
        </w:rPr>
        <w:t>4.2不同投标人委托同一单位或者个人办理投标事宜；</w:t>
      </w:r>
    </w:p>
    <w:p>
      <w:pPr>
        <w:pStyle w:val="8"/>
        <w:ind w:firstLine="480"/>
      </w:pPr>
      <w:r>
        <w:rPr>
          <w:rFonts w:hint="eastAsia"/>
        </w:rPr>
        <w:t>4.3不同投标人的投标文件载明的项目管理成员或者联系人员为同一人；</w:t>
      </w:r>
    </w:p>
    <w:p>
      <w:pPr>
        <w:pStyle w:val="8"/>
        <w:ind w:firstLine="480"/>
      </w:pPr>
      <w:r>
        <w:rPr>
          <w:rFonts w:hint="eastAsia"/>
        </w:rPr>
        <w:t>4.4不同投标人的投标文件异常一致或者投标报价呈规律性差异；</w:t>
      </w:r>
    </w:p>
    <w:p>
      <w:pPr>
        <w:pStyle w:val="8"/>
        <w:ind w:firstLine="480"/>
      </w:pPr>
      <w:r>
        <w:rPr>
          <w:rFonts w:hint="eastAsia"/>
        </w:rPr>
        <w:t>4.5不同投标人的投标文件相互混装；</w:t>
      </w:r>
    </w:p>
    <w:p>
      <w:pPr>
        <w:pStyle w:val="8"/>
        <w:ind w:firstLine="480"/>
        <w:rPr>
          <w:spacing w:val="4"/>
          <w:szCs w:val="21"/>
        </w:rPr>
      </w:pPr>
      <w:r>
        <w:rPr>
          <w:rFonts w:hint="eastAsia"/>
        </w:rPr>
        <w:t>4.6不同投标人的投标保证金</w:t>
      </w:r>
      <w:r>
        <w:rPr>
          <w:rFonts w:hint="eastAsia"/>
          <w:lang w:eastAsia="zh-CN"/>
        </w:rPr>
        <w:t>（</w:t>
      </w:r>
      <w:r>
        <w:rPr>
          <w:rFonts w:hint="eastAsia"/>
          <w:lang w:val="en-US" w:eastAsia="zh-CN"/>
        </w:rPr>
        <w:t>如有</w:t>
      </w:r>
      <w:r>
        <w:rPr>
          <w:rFonts w:hint="eastAsia"/>
          <w:lang w:eastAsia="zh-CN"/>
        </w:rPr>
        <w:t>）</w:t>
      </w:r>
      <w:r>
        <w:rPr>
          <w:rFonts w:hint="eastAsia"/>
        </w:rPr>
        <w:t>从同一单位或者个人的账户转出。</w:t>
      </w:r>
    </w:p>
    <w:p>
      <w:pPr>
        <w:pStyle w:val="2"/>
      </w:pPr>
      <w:bookmarkStart w:id="157" w:name="_Toc27272"/>
      <w:bookmarkStart w:id="158" w:name="_Toc363463333"/>
      <w:bookmarkStart w:id="159" w:name="_Toc31251"/>
      <w:r>
        <w:rPr>
          <w:rFonts w:hint="eastAsia"/>
        </w:rPr>
        <w:t>五．评审程序</w:t>
      </w:r>
      <w:bookmarkEnd w:id="157"/>
      <w:bookmarkEnd w:id="158"/>
      <w:bookmarkEnd w:id="159"/>
    </w:p>
    <w:p>
      <w:pPr>
        <w:pStyle w:val="8"/>
        <w:ind w:firstLine="480"/>
      </w:pPr>
      <w:r>
        <w:rPr>
          <w:rFonts w:hint="eastAsia"/>
        </w:rPr>
        <w:t>按照投标文件初审、澄清有关问题、比较与评价、推荐中标候选人名单的工作程序进行评标。在上一步评审中被认定为无效投标者，不进入下一步的评审。</w:t>
      </w:r>
    </w:p>
    <w:p>
      <w:pPr>
        <w:pStyle w:val="8"/>
        <w:ind w:firstLine="482"/>
        <w:rPr>
          <w:b/>
          <w:bCs/>
        </w:rPr>
      </w:pPr>
      <w:r>
        <w:rPr>
          <w:rFonts w:hint="eastAsia"/>
          <w:b/>
          <w:bCs/>
        </w:rPr>
        <w:t>5.1投标文件初审</w:t>
      </w:r>
    </w:p>
    <w:p>
      <w:pPr>
        <w:pStyle w:val="8"/>
        <w:ind w:firstLine="480"/>
        <w:rPr>
          <w:rFonts w:hint="eastAsia"/>
        </w:rPr>
      </w:pPr>
      <w:r>
        <w:rPr>
          <w:rFonts w:hint="eastAsia"/>
        </w:rPr>
        <w:t>（1）资格性审查:由招标人或出具授权委托招标代理机构对投标人的资格进行审查。</w:t>
      </w:r>
    </w:p>
    <w:p>
      <w:pPr>
        <w:pStyle w:val="8"/>
        <w:ind w:firstLine="480"/>
        <w:rPr>
          <w:rFonts w:hint="eastAsia"/>
        </w:rPr>
      </w:pPr>
      <w:r>
        <w:rPr>
          <w:rFonts w:hint="eastAsia"/>
        </w:rPr>
        <w:t>投标人不具备招标文件规定的投标人资格条件的，应在资格审查时按照无效投标处理。</w:t>
      </w:r>
    </w:p>
    <w:p>
      <w:pPr>
        <w:pStyle w:val="8"/>
        <w:ind w:firstLine="480"/>
        <w:rPr>
          <w:rFonts w:hint="eastAsia"/>
        </w:rPr>
      </w:pPr>
      <w:r>
        <w:rPr>
          <w:rFonts w:hint="eastAsia"/>
        </w:rPr>
        <w:t>（2）符合性审查：评标委员会应当对投标人递交的投标文件进行初步审查，包括投标文件的有效性、完整性、符合性。投标文件有下列情况之一，投标文件无效，评标委员会应当告知有关投标人。</w:t>
      </w:r>
    </w:p>
    <w:p>
      <w:pPr>
        <w:pStyle w:val="8"/>
        <w:ind w:firstLine="480"/>
        <w:rPr>
          <w:rFonts w:hint="eastAsia" w:eastAsia="宋体"/>
          <w:lang w:eastAsia="zh-CN"/>
        </w:rPr>
      </w:pPr>
      <w:r>
        <w:rPr>
          <w:rFonts w:hint="eastAsia"/>
        </w:rPr>
        <w:t>(1)投标文件未按照招标文件规定份数提交的</w:t>
      </w:r>
      <w:r>
        <w:rPr>
          <w:rFonts w:hint="eastAsia"/>
          <w:lang w:eastAsia="zh-CN"/>
        </w:rPr>
        <w:t>；</w:t>
      </w:r>
    </w:p>
    <w:p>
      <w:pPr>
        <w:pStyle w:val="8"/>
        <w:ind w:firstLine="480"/>
        <w:rPr>
          <w:rFonts w:hint="eastAsia" w:eastAsia="宋体"/>
          <w:lang w:eastAsia="zh-CN"/>
        </w:rPr>
      </w:pPr>
      <w:r>
        <w:rPr>
          <w:rFonts w:hint="eastAsia"/>
        </w:rPr>
        <w:t>(2)未按照招标文件规定要求签署、盖章的</w:t>
      </w:r>
      <w:r>
        <w:rPr>
          <w:rFonts w:hint="eastAsia"/>
          <w:lang w:eastAsia="zh-CN"/>
        </w:rPr>
        <w:t>；</w:t>
      </w:r>
    </w:p>
    <w:p>
      <w:pPr>
        <w:pStyle w:val="8"/>
        <w:ind w:firstLine="480"/>
        <w:rPr>
          <w:rFonts w:hint="eastAsia" w:eastAsia="宋体"/>
          <w:lang w:eastAsia="zh-CN"/>
        </w:rPr>
      </w:pPr>
      <w:r>
        <w:rPr>
          <w:rFonts w:hint="eastAsia"/>
        </w:rPr>
        <w:t>(3)投标有效期不足的或无有效期的</w:t>
      </w:r>
      <w:r>
        <w:rPr>
          <w:rFonts w:hint="eastAsia"/>
          <w:lang w:eastAsia="zh-CN"/>
        </w:rPr>
        <w:t>；</w:t>
      </w:r>
    </w:p>
    <w:p>
      <w:pPr>
        <w:pStyle w:val="8"/>
        <w:ind w:firstLine="480"/>
        <w:rPr>
          <w:rFonts w:hint="eastAsia" w:eastAsia="宋体"/>
          <w:lang w:eastAsia="zh-CN"/>
        </w:rPr>
      </w:pPr>
      <w:r>
        <w:rPr>
          <w:rFonts w:hint="eastAsia"/>
        </w:rPr>
        <w:t>(4)报价高于招标文件中规定的最高限价的</w:t>
      </w:r>
      <w:r>
        <w:rPr>
          <w:rFonts w:hint="eastAsia"/>
          <w:lang w:eastAsia="zh-CN"/>
        </w:rPr>
        <w:t>；</w:t>
      </w:r>
    </w:p>
    <w:p>
      <w:pPr>
        <w:pStyle w:val="8"/>
        <w:ind w:firstLine="480"/>
        <w:rPr>
          <w:rFonts w:hint="eastAsia"/>
        </w:rPr>
      </w:pPr>
      <w:r>
        <w:rPr>
          <w:rFonts w:hint="eastAsia"/>
        </w:rPr>
        <w:t>(5)法律、规章、规范性文件和招标文件规定的其他无效情形。</w:t>
      </w:r>
    </w:p>
    <w:p>
      <w:pPr>
        <w:pStyle w:val="8"/>
        <w:ind w:firstLine="480"/>
      </w:pPr>
      <w:r>
        <w:rPr>
          <w:rFonts w:hint="eastAsia"/>
        </w:rPr>
        <w:t>（3）在资格性审查阶段，不符合招标文件要求的，不得进入符合性审查，在符合性审查时未通过的，不得进入后续评审环节。</w:t>
      </w:r>
    </w:p>
    <w:p>
      <w:pPr>
        <w:pStyle w:val="8"/>
        <w:ind w:firstLine="482"/>
      </w:pPr>
      <w:r>
        <w:rPr>
          <w:rFonts w:hint="eastAsia"/>
          <w:b/>
          <w:bCs/>
        </w:rPr>
        <w:t>5.2投标文件的澄清</w:t>
      </w:r>
    </w:p>
    <w:p>
      <w:pPr>
        <w:pStyle w:val="8"/>
        <w:ind w:firstLine="480"/>
      </w:pPr>
      <w:r>
        <w:rPr>
          <w:rFonts w:hint="eastAsia"/>
        </w:rPr>
        <w:t>5.2.1为有助于投标文件的审查、比较和评价，评标委员会可要求投标人对其投标文件中非实质性（投标文件中含义不明确、同类问题表述不一致或者有明显文字和计算错误的内容）的有关问题进行澄清、说明或者补正。有关澄清、说明或者补正的要求和答复应以书面形式提交，并由其法定代表人或被授权人签字。投标人的澄清、说明或者补正不得超出投标文件的范围或者改变投标文件的实质性内容。评标委员会不接受投标人主动提出的澄清、说明。</w:t>
      </w:r>
    </w:p>
    <w:p>
      <w:pPr>
        <w:pStyle w:val="8"/>
        <w:ind w:firstLine="480"/>
      </w:pPr>
      <w:r>
        <w:rPr>
          <w:rFonts w:hint="eastAsia"/>
        </w:rPr>
        <w:t>5.2.2有效的书面澄清材料，是投标文件的补充材料，成为投标文件的组成部分。</w:t>
      </w:r>
    </w:p>
    <w:p>
      <w:pPr>
        <w:pStyle w:val="8"/>
        <w:ind w:firstLine="480"/>
      </w:pPr>
      <w:r>
        <w:rPr>
          <w:rFonts w:hint="eastAsia"/>
        </w:rPr>
        <w:t>5.2.3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8"/>
        <w:ind w:firstLine="482"/>
      </w:pPr>
      <w:r>
        <w:rPr>
          <w:rFonts w:hint="eastAsia"/>
          <w:b/>
          <w:bCs/>
        </w:rPr>
        <w:t>5.3投标文件比较与评价</w:t>
      </w:r>
    </w:p>
    <w:p>
      <w:pPr>
        <w:pStyle w:val="8"/>
        <w:ind w:firstLine="480"/>
      </w:pPr>
      <w:r>
        <w:rPr>
          <w:rFonts w:hint="eastAsia"/>
        </w:rPr>
        <w:t>5.3.1评委会应按照招标文件《评标因素及权重分值表》规定的评标办法和标准，对资格性检查和符合性检查合格的投标文件进行商务和技术评估，综合比较与评价。</w:t>
      </w:r>
    </w:p>
    <w:p>
      <w:pPr>
        <w:pStyle w:val="8"/>
        <w:ind w:firstLine="480"/>
      </w:pPr>
      <w:r>
        <w:rPr>
          <w:rFonts w:hint="eastAsia"/>
        </w:rPr>
        <w:t>5.3.2如果投标文件没有实质性响应招标文件的要求，评委会将予以拒绝。投标人不得通过修正或撤销不合要求的偏离或保留，从而使其投标成为实质性响应的投标。</w:t>
      </w:r>
    </w:p>
    <w:p>
      <w:pPr>
        <w:pStyle w:val="2"/>
      </w:pPr>
      <w:bookmarkStart w:id="160" w:name="_Toc20533"/>
      <w:bookmarkStart w:id="161" w:name="_Toc23931"/>
      <w:r>
        <w:rPr>
          <w:rFonts w:hint="eastAsia"/>
        </w:rPr>
        <w:t>六．政策性扣减</w:t>
      </w:r>
      <w:bookmarkEnd w:id="160"/>
      <w:bookmarkEnd w:id="161"/>
    </w:p>
    <w:p>
      <w:pPr>
        <w:pStyle w:val="8"/>
        <w:ind w:firstLine="482"/>
        <w:rPr>
          <w:b/>
          <w:bCs/>
          <w:color w:val="auto"/>
        </w:rPr>
      </w:pPr>
      <w:r>
        <w:rPr>
          <w:rFonts w:hint="eastAsia"/>
          <w:b/>
          <w:bCs/>
          <w:color w:val="auto"/>
        </w:rPr>
        <w:t>6.1政策性扣减范围</w:t>
      </w:r>
    </w:p>
    <w:p>
      <w:pPr>
        <w:pStyle w:val="8"/>
        <w:ind w:firstLine="480"/>
        <w:rPr>
          <w:color w:val="auto"/>
        </w:rPr>
      </w:pPr>
      <w:r>
        <w:rPr>
          <w:rFonts w:hint="eastAsia"/>
          <w:color w:val="auto"/>
        </w:rPr>
        <w:t>6.1.1投标人符合小型、微型企业或监狱企业、残疾人福利性单位条件的，其投标报价价格评审时将按相应比例进行扣减。</w:t>
      </w:r>
    </w:p>
    <w:p>
      <w:pPr>
        <w:pStyle w:val="8"/>
        <w:ind w:firstLine="480"/>
        <w:rPr>
          <w:color w:val="auto"/>
        </w:rPr>
      </w:pPr>
      <w:r>
        <w:rPr>
          <w:rFonts w:hint="eastAsia"/>
          <w:color w:val="auto"/>
        </w:rPr>
        <w:t>6.1.2投标人符合《政府采购促进中小企业发展管理办法》（财库﹝2020﹞46 号）条件的，其投标报价价格评审时将按相应比例进行扣减。</w:t>
      </w:r>
    </w:p>
    <w:p>
      <w:pPr>
        <w:pStyle w:val="8"/>
        <w:ind w:firstLine="480"/>
        <w:rPr>
          <w:color w:val="auto"/>
        </w:rPr>
      </w:pPr>
      <w:r>
        <w:rPr>
          <w:rFonts w:hint="eastAsia"/>
          <w:color w:val="auto"/>
        </w:rPr>
        <w:t>6.1.3</w:t>
      </w:r>
      <w:r>
        <w:rPr>
          <w:rFonts w:hint="eastAsia"/>
          <w:color w:val="auto"/>
          <w:lang w:eastAsia="zh-CN"/>
        </w:rPr>
        <w:t>招标人</w:t>
      </w:r>
      <w:r>
        <w:rPr>
          <w:rFonts w:hint="eastAsia"/>
          <w:color w:val="auto"/>
        </w:rPr>
        <w:t>拟采购产品属于优先采购节能、环境标志产品范围的，应当优先采购节能、环境标志产品；拟采购产品符合政府采购强制采购政策的，实行强制采购。</w:t>
      </w:r>
    </w:p>
    <w:p>
      <w:pPr>
        <w:pStyle w:val="8"/>
        <w:ind w:firstLine="480"/>
        <w:rPr>
          <w:color w:val="auto"/>
        </w:rPr>
      </w:pPr>
      <w:r>
        <w:rPr>
          <w:rFonts w:hint="eastAsia"/>
          <w:color w:val="auto"/>
        </w:rPr>
        <w:t>（1）</w:t>
      </w:r>
      <w:r>
        <w:rPr>
          <w:rFonts w:hint="eastAsia"/>
          <w:color w:val="auto"/>
          <w:lang w:eastAsia="zh-CN"/>
        </w:rPr>
        <w:t>招标人</w:t>
      </w:r>
      <w:r>
        <w:rPr>
          <w:rFonts w:hint="eastAsia"/>
          <w:color w:val="auto"/>
        </w:rPr>
        <w:t>依据节能产品、环境标志产品品目清单和节能、环境标志产品认证证书实施政府优先采购和强制采购。</w:t>
      </w:r>
    </w:p>
    <w:p>
      <w:pPr>
        <w:pStyle w:val="8"/>
        <w:ind w:firstLine="480"/>
        <w:rPr>
          <w:color w:val="auto"/>
        </w:rPr>
      </w:pPr>
      <w:r>
        <w:rPr>
          <w:rFonts w:hint="eastAsia"/>
          <w:color w:val="auto"/>
        </w:rPr>
        <w:t>（2）</w:t>
      </w:r>
      <w:r>
        <w:rPr>
          <w:rFonts w:hint="eastAsia"/>
          <w:color w:val="auto"/>
          <w:lang w:eastAsia="zh-CN"/>
        </w:rPr>
        <w:t>招标人</w:t>
      </w:r>
      <w:r>
        <w:rPr>
          <w:rFonts w:hint="eastAsia"/>
          <w:color w:val="auto"/>
        </w:rPr>
        <w:t>拟采购的产品属于品目清单范围的，</w:t>
      </w:r>
      <w:r>
        <w:rPr>
          <w:rFonts w:hint="eastAsia"/>
          <w:color w:val="auto"/>
          <w:lang w:eastAsia="zh-CN"/>
        </w:rPr>
        <w:t>招标人</w:t>
      </w:r>
      <w:r>
        <w:rPr>
          <w:rFonts w:hint="eastAsia"/>
          <w:color w:val="auto"/>
        </w:rPr>
        <w:t>及其委托的</w:t>
      </w:r>
      <w:r>
        <w:rPr>
          <w:rFonts w:hint="eastAsia"/>
          <w:color w:val="auto"/>
          <w:lang w:eastAsia="zh-CN"/>
        </w:rPr>
        <w:t>招标代理机构</w:t>
      </w:r>
      <w:r>
        <w:rPr>
          <w:rFonts w:hint="eastAsia"/>
          <w:color w:val="auto"/>
        </w:rPr>
        <w:t>将依据国家确定的认证机构出具的、处于有效期之内的节能、环境标志产品认证证书，对获得证书的产品实施政府优先采购或强制采购。</w:t>
      </w:r>
    </w:p>
    <w:p>
      <w:pPr>
        <w:pStyle w:val="8"/>
        <w:ind w:firstLine="480"/>
        <w:rPr>
          <w:color w:val="auto"/>
        </w:rPr>
      </w:pPr>
      <w:r>
        <w:rPr>
          <w:rFonts w:hint="eastAsia"/>
          <w:color w:val="auto"/>
        </w:rPr>
        <w:t>6.1.4监狱企业参加政府采购活动时，应当提供由省级以上监狱管理局、戒毒管理局(含新疆生产建设兵团)出具的属于监狱企业的证明文件。监狱企业参加政府采购活动时，视同小型、微型企业。</w:t>
      </w:r>
    </w:p>
    <w:p>
      <w:pPr>
        <w:pStyle w:val="8"/>
        <w:ind w:firstLine="480"/>
        <w:rPr>
          <w:color w:val="auto"/>
        </w:rPr>
      </w:pPr>
      <w:r>
        <w:rPr>
          <w:rFonts w:hint="eastAsia"/>
          <w:color w:val="auto"/>
        </w:rPr>
        <w:t>6.1.5符合条件的残疾人福利性单位在参加政府采购活动时，应当提供本通知规定的《残疾人福利性单位声明函》，并对声明的真实性负责。残疾人福利性单位参加政府采购活动时，视同小型、微型企业；残疾人福利性单位属于小型、微型企业的，不重复享受政策。</w:t>
      </w:r>
    </w:p>
    <w:p>
      <w:pPr>
        <w:pStyle w:val="8"/>
        <w:ind w:firstLine="482"/>
        <w:rPr>
          <w:color w:val="auto"/>
        </w:rPr>
      </w:pPr>
      <w:r>
        <w:rPr>
          <w:rFonts w:hint="eastAsia"/>
          <w:b/>
          <w:bCs/>
          <w:color w:val="auto"/>
        </w:rPr>
        <w:t>6.2政策性扣减方式：</w:t>
      </w:r>
    </w:p>
    <w:p>
      <w:pPr>
        <w:pStyle w:val="8"/>
        <w:ind w:firstLine="480"/>
        <w:rPr>
          <w:b/>
          <w:bCs/>
          <w:color w:val="auto"/>
        </w:rPr>
      </w:pPr>
      <w:r>
        <w:rPr>
          <w:rFonts w:hint="eastAsia"/>
          <w:b/>
          <w:bCs/>
          <w:color w:val="auto"/>
        </w:rPr>
        <w:t>6.2.1在投标报价的基础上，对小微企业、监狱企业、残疾人福利性单位，按“投标报价×</w:t>
      </w:r>
      <w:r>
        <w:rPr>
          <w:rFonts w:hint="eastAsia"/>
          <w:b/>
          <w:bCs/>
          <w:color w:val="auto"/>
          <w:lang w:val="en-US" w:eastAsia="zh-CN"/>
        </w:rPr>
        <w:t>10</w:t>
      </w:r>
      <w:r>
        <w:rPr>
          <w:rFonts w:hint="eastAsia"/>
          <w:b/>
          <w:bCs/>
          <w:color w:val="auto"/>
        </w:rPr>
        <w:t>%”进行扣减；</w:t>
      </w:r>
    </w:p>
    <w:p>
      <w:pPr>
        <w:pStyle w:val="8"/>
        <w:ind w:firstLine="480"/>
        <w:rPr>
          <w:color w:val="auto"/>
        </w:rPr>
      </w:pPr>
      <w:r>
        <w:rPr>
          <w:rFonts w:hint="eastAsia"/>
          <w:color w:val="auto"/>
        </w:rPr>
        <w:t>6.2.2投标人为联合体参与投标，且联合协议中约定小型或微型企业的协议合同金额占到联合体协议合同总金额30％以上的，按“投标报价×</w:t>
      </w:r>
      <w:r>
        <w:rPr>
          <w:rFonts w:hint="eastAsia"/>
          <w:color w:val="auto"/>
          <w:lang w:val="en-US" w:eastAsia="zh-CN"/>
        </w:rPr>
        <w:t>4</w:t>
      </w:r>
      <w:r>
        <w:rPr>
          <w:rFonts w:hint="eastAsia"/>
          <w:color w:val="auto"/>
        </w:rPr>
        <w:t>%”进行扣减；</w:t>
      </w:r>
    </w:p>
    <w:p>
      <w:pPr>
        <w:pStyle w:val="8"/>
        <w:ind w:firstLine="480"/>
        <w:rPr>
          <w:color w:val="auto"/>
        </w:rPr>
      </w:pPr>
      <w:r>
        <w:rPr>
          <w:rFonts w:hint="eastAsia"/>
          <w:color w:val="auto"/>
        </w:rPr>
        <w:t>6.2.3小微企业、监狱企业、残疾人福利性单位不重复享受优惠政策；</w:t>
      </w:r>
    </w:p>
    <w:p>
      <w:pPr>
        <w:pStyle w:val="8"/>
        <w:ind w:firstLine="480"/>
        <w:rPr>
          <w:color w:val="auto"/>
        </w:rPr>
      </w:pPr>
      <w:r>
        <w:rPr>
          <w:rFonts w:hint="eastAsia"/>
          <w:color w:val="auto"/>
        </w:rPr>
        <w:t>6.2.4投标人享受支持中小型企业发展政策优惠的，可以同时享受节能、环境标志产品优先采购政策。</w:t>
      </w:r>
    </w:p>
    <w:p>
      <w:pPr>
        <w:pStyle w:val="8"/>
        <w:ind w:firstLine="482"/>
        <w:rPr>
          <w:b/>
          <w:bCs/>
          <w:color w:val="auto"/>
        </w:rPr>
      </w:pPr>
      <w:r>
        <w:rPr>
          <w:rFonts w:hint="eastAsia"/>
          <w:b/>
          <w:bCs/>
          <w:color w:val="auto"/>
        </w:rPr>
        <w:t>6.3节能、环境标志产品的报价折扣幅度标准：</w:t>
      </w:r>
    </w:p>
    <w:p>
      <w:pPr>
        <w:pStyle w:val="8"/>
        <w:ind w:firstLine="480"/>
        <w:rPr>
          <w:color w:val="auto"/>
        </w:rPr>
      </w:pPr>
      <w:r>
        <w:rPr>
          <w:rFonts w:hint="eastAsia"/>
          <w:color w:val="auto"/>
        </w:rPr>
        <w:t>6.3.</w:t>
      </w:r>
      <w:r>
        <w:rPr>
          <w:rFonts w:hint="eastAsia"/>
          <w:color w:val="auto"/>
          <w:lang w:val="en-US" w:eastAsia="zh-CN"/>
        </w:rPr>
        <w:t>1</w:t>
      </w:r>
      <w:r>
        <w:rPr>
          <w:rFonts w:hint="eastAsia"/>
          <w:color w:val="auto"/>
        </w:rPr>
        <w:t>投标人在投标文件中对所采购产品为节能、环保、环境标志产品清单中的产品，在投标报价时必须对此类产品单独分项报价，计算出小计及占投标报价总金额的百分比，并提供属于清单内产品的证明资料（从中国政府采购网上下载的网页公告等），未提供节能、环保、环境标志产品优惠明细表及属于清单内产品的证明资料的不给予优惠；</w:t>
      </w:r>
    </w:p>
    <w:p>
      <w:pPr>
        <w:pStyle w:val="8"/>
        <w:ind w:firstLine="480"/>
        <w:rPr>
          <w:color w:val="auto"/>
        </w:rPr>
      </w:pPr>
      <w:r>
        <w:rPr>
          <w:rFonts w:hint="eastAsia"/>
          <w:color w:val="auto"/>
        </w:rPr>
        <w:t>6.3.</w:t>
      </w:r>
      <w:r>
        <w:rPr>
          <w:rFonts w:hint="eastAsia"/>
          <w:color w:val="auto"/>
          <w:lang w:val="en-US" w:eastAsia="zh-CN"/>
        </w:rPr>
        <w:t>2</w:t>
      </w:r>
      <w:r>
        <w:rPr>
          <w:rFonts w:hint="eastAsia"/>
          <w:color w:val="auto"/>
        </w:rPr>
        <w:t>参与投标的所有投标产品进入节能清单（有效期内）的，按“投标报价×2%”进行扣减。（注：若节能清单内的产品仅是构成采购产品的部件、组件或零件的，则该投标产品不享受此项鼓励优惠政策）</w:t>
      </w:r>
    </w:p>
    <w:p>
      <w:pPr>
        <w:pStyle w:val="8"/>
        <w:ind w:firstLine="480"/>
        <w:rPr>
          <w:color w:val="auto"/>
        </w:rPr>
      </w:pPr>
      <w:r>
        <w:rPr>
          <w:rFonts w:hint="eastAsia"/>
          <w:color w:val="auto"/>
        </w:rPr>
        <w:t>6.3.</w:t>
      </w:r>
      <w:r>
        <w:rPr>
          <w:rFonts w:hint="eastAsia"/>
          <w:color w:val="auto"/>
          <w:lang w:val="en-US" w:eastAsia="zh-CN"/>
        </w:rPr>
        <w:t>3</w:t>
      </w:r>
      <w:r>
        <w:rPr>
          <w:rFonts w:hint="eastAsia"/>
          <w:color w:val="auto"/>
        </w:rPr>
        <w:t>参与投标的所有投标产品进入环境标志产品清单（有效期内）的，按“投标报价×</w:t>
      </w:r>
      <w:r>
        <w:rPr>
          <w:rFonts w:hint="eastAsia"/>
          <w:color w:val="auto"/>
          <w:lang w:val="en-US" w:eastAsia="zh-CN"/>
        </w:rPr>
        <w:t>2</w:t>
      </w:r>
      <w:r>
        <w:rPr>
          <w:rFonts w:hint="eastAsia"/>
          <w:color w:val="auto"/>
        </w:rPr>
        <w:t>%”进行扣减。（注：若环境标志清单内的产品仅是构成采购产品的部件、组件或零件的，则该投标产品不享受此项鼓励优惠政策）</w:t>
      </w:r>
    </w:p>
    <w:p>
      <w:pPr>
        <w:pStyle w:val="8"/>
        <w:spacing w:line="360" w:lineRule="auto"/>
        <w:ind w:firstLine="480"/>
        <w:rPr>
          <w:rFonts w:hint="eastAsia"/>
          <w:color w:val="auto"/>
        </w:rPr>
      </w:pPr>
      <w:r>
        <w:rPr>
          <w:rFonts w:hint="eastAsia"/>
          <w:color w:val="auto"/>
        </w:rPr>
        <w:t>注：以上情况不累计扣减。</w:t>
      </w:r>
    </w:p>
    <w:p>
      <w:pPr>
        <w:pStyle w:val="17"/>
        <w:spacing w:line="360" w:lineRule="auto"/>
        <w:ind w:left="0" w:leftChars="0" w:firstLine="482" w:firstLineChars="200"/>
      </w:pPr>
      <w:r>
        <w:rPr>
          <w:rFonts w:hint="eastAsia" w:ascii="宋体" w:hAnsi="宋体" w:eastAsia="宋体" w:cs="宋体"/>
          <w:b/>
          <w:bCs/>
          <w:color w:val="auto"/>
          <w:highlight w:val="none"/>
        </w:rPr>
        <w:t>6.4中标价格=中标投标人的有效投标报价。</w:t>
      </w:r>
    </w:p>
    <w:p>
      <w:pPr>
        <w:pStyle w:val="2"/>
        <w:spacing w:line="360" w:lineRule="auto"/>
      </w:pPr>
      <w:r>
        <w:rPr>
          <w:rFonts w:hint="eastAsia"/>
        </w:rPr>
        <w:t>七．</w:t>
      </w:r>
      <w:bookmarkStart w:id="162" w:name="_Toc19618"/>
      <w:bookmarkStart w:id="163" w:name="_Toc21804"/>
      <w:r>
        <w:t>特殊情况的处理</w:t>
      </w:r>
      <w:bookmarkEnd w:id="162"/>
      <w:bookmarkEnd w:id="163"/>
    </w:p>
    <w:p>
      <w:pPr>
        <w:pStyle w:val="8"/>
        <w:ind w:firstLine="480"/>
      </w:pPr>
      <w:r>
        <w:t>7.1单一产品采购项目中，提供相同品牌的产品的不同</w:t>
      </w:r>
      <w:r>
        <w:rPr>
          <w:rFonts w:hint="eastAsia"/>
        </w:rPr>
        <w:t>投标人</w:t>
      </w:r>
      <w:r>
        <w:t>参加同一合同项下投标的，按以下方法处理：</w:t>
      </w:r>
    </w:p>
    <w:p>
      <w:pPr>
        <w:pStyle w:val="8"/>
        <w:ind w:firstLine="480"/>
      </w:pPr>
      <w:r>
        <w:t>7.1.1使用最低评标价法的采购项目，提供相同品牌产品的不同</w:t>
      </w:r>
      <w:r>
        <w:rPr>
          <w:rFonts w:hint="eastAsia"/>
        </w:rPr>
        <w:t>投标人</w:t>
      </w:r>
      <w:r>
        <w:t>参加同一合同项下投标的，以其中通过资格审查、符合性审查且报价最低的参加评标；报价相同的，由</w:t>
      </w:r>
      <w:r>
        <w:rPr>
          <w:rFonts w:hint="eastAsia"/>
          <w:lang w:eastAsia="zh-CN"/>
        </w:rPr>
        <w:t>招标人</w:t>
      </w:r>
      <w:r>
        <w:t>及评标委员会按照技术方案、售后服务等内容择优选择确定一个参加评标的</w:t>
      </w:r>
      <w:r>
        <w:rPr>
          <w:rFonts w:hint="eastAsia"/>
        </w:rPr>
        <w:t>投标人</w:t>
      </w:r>
      <w:r>
        <w:t>，其他投标无效。</w:t>
      </w:r>
    </w:p>
    <w:p>
      <w:pPr>
        <w:pStyle w:val="8"/>
        <w:ind w:firstLine="480"/>
      </w:pPr>
      <w:r>
        <w:t>7.1.2使用综合评分法的采购项目，提供相同品牌产品且通过资格审查、符合性审查的不同</w:t>
      </w:r>
      <w:r>
        <w:rPr>
          <w:rFonts w:hint="eastAsia"/>
        </w:rPr>
        <w:t>投标人</w:t>
      </w:r>
      <w:r>
        <w:t>参加同一合同项下投标的，按一家</w:t>
      </w:r>
      <w:r>
        <w:rPr>
          <w:rFonts w:hint="eastAsia"/>
        </w:rPr>
        <w:t>投标人</w:t>
      </w:r>
      <w:r>
        <w:t>计算，评审后得分最高的同品牌</w:t>
      </w:r>
      <w:r>
        <w:rPr>
          <w:rFonts w:hint="eastAsia"/>
        </w:rPr>
        <w:t>投标人</w:t>
      </w:r>
      <w:r>
        <w:t>获得中标人推荐资格；评审得分相同的，由</w:t>
      </w:r>
      <w:r>
        <w:rPr>
          <w:rFonts w:hint="eastAsia"/>
          <w:lang w:eastAsia="zh-CN"/>
        </w:rPr>
        <w:t>招标人</w:t>
      </w:r>
      <w:r>
        <w:t>及评标委员会按照投标报价最低的方式确定一个</w:t>
      </w:r>
      <w:r>
        <w:rPr>
          <w:rFonts w:hint="eastAsia"/>
        </w:rPr>
        <w:t>投标人</w:t>
      </w:r>
      <w:r>
        <w:t>获得中标人推荐资格，其他同品牌</w:t>
      </w:r>
      <w:r>
        <w:rPr>
          <w:rFonts w:hint="eastAsia"/>
        </w:rPr>
        <w:t>投标人</w:t>
      </w:r>
      <w:r>
        <w:t>不作为中标候选人。</w:t>
      </w:r>
    </w:p>
    <w:p>
      <w:pPr>
        <w:pStyle w:val="8"/>
        <w:ind w:firstLine="480"/>
      </w:pPr>
      <w:r>
        <w:t>7.2非单一产品采购项目中，提供相同品牌的核心产品的不同</w:t>
      </w:r>
      <w:r>
        <w:rPr>
          <w:rFonts w:hint="eastAsia"/>
        </w:rPr>
        <w:t>投标人</w:t>
      </w:r>
      <w:r>
        <w:t>参加同一合同项下投标的，按以下方法处理：</w:t>
      </w:r>
    </w:p>
    <w:p>
      <w:pPr>
        <w:pStyle w:val="8"/>
        <w:ind w:firstLine="480"/>
      </w:pPr>
      <w:r>
        <w:t>7.2.1使用最低评标价法的采购项目，提供相同品牌核心产品的不同</w:t>
      </w:r>
      <w:r>
        <w:rPr>
          <w:rFonts w:hint="eastAsia"/>
        </w:rPr>
        <w:t>投标人</w:t>
      </w:r>
      <w:r>
        <w:t>参加同一合同项下投标的，以其中通过资格审查、符合性审查且投标报价最低的参加评标；投标报价相同的，由</w:t>
      </w:r>
      <w:r>
        <w:rPr>
          <w:rFonts w:hint="eastAsia"/>
          <w:lang w:eastAsia="zh-CN"/>
        </w:rPr>
        <w:t>招标人</w:t>
      </w:r>
      <w:r>
        <w:t>及评标委员会按照技术方案、售后服务等内容择优选择确定一个参加评标的</w:t>
      </w:r>
      <w:r>
        <w:rPr>
          <w:rFonts w:hint="eastAsia"/>
        </w:rPr>
        <w:t>投标人</w:t>
      </w:r>
      <w:r>
        <w:t>，其他投标无效。</w:t>
      </w:r>
    </w:p>
    <w:p>
      <w:pPr>
        <w:pStyle w:val="8"/>
        <w:ind w:firstLine="480"/>
      </w:pPr>
      <w:r>
        <w:t>7.2.2使用综合评分法的采购项目，提供相同品牌核心产品且通过资格审查、符合性审查的不同</w:t>
      </w:r>
      <w:r>
        <w:rPr>
          <w:rFonts w:hint="eastAsia"/>
        </w:rPr>
        <w:t>投标人</w:t>
      </w:r>
      <w:r>
        <w:t>参加同一合同项下投标的，按一家</w:t>
      </w:r>
      <w:r>
        <w:rPr>
          <w:rFonts w:hint="eastAsia"/>
        </w:rPr>
        <w:t>投标人</w:t>
      </w:r>
      <w:r>
        <w:t>计算，评审后得分最高的同品牌</w:t>
      </w:r>
      <w:r>
        <w:rPr>
          <w:rFonts w:hint="eastAsia"/>
        </w:rPr>
        <w:t>投标人</w:t>
      </w:r>
      <w:r>
        <w:t>获得中标人推荐资格；评审得分相同的，由</w:t>
      </w:r>
      <w:r>
        <w:rPr>
          <w:rFonts w:hint="eastAsia"/>
          <w:lang w:eastAsia="zh-CN"/>
        </w:rPr>
        <w:t>招标人</w:t>
      </w:r>
      <w:r>
        <w:t>及评标委员会按照投标报价最低的方式确定一个</w:t>
      </w:r>
      <w:r>
        <w:rPr>
          <w:rFonts w:hint="eastAsia"/>
        </w:rPr>
        <w:t>投标人</w:t>
      </w:r>
      <w:r>
        <w:t>获得中标人推荐资格，其他同品牌</w:t>
      </w:r>
      <w:r>
        <w:rPr>
          <w:rFonts w:hint="eastAsia"/>
        </w:rPr>
        <w:t>投标人</w:t>
      </w:r>
      <w:r>
        <w:t>不作为中标候选人。</w:t>
      </w:r>
    </w:p>
    <w:p>
      <w:pPr>
        <w:pStyle w:val="8"/>
        <w:ind w:firstLine="480"/>
      </w:pPr>
      <w:r>
        <w:t>7.2.3核心产品为两个及以上时，当所有核心产品品牌均相同时，在评审时按同一</w:t>
      </w:r>
      <w:r>
        <w:rPr>
          <w:rFonts w:hint="eastAsia"/>
        </w:rPr>
        <w:t>投标人</w:t>
      </w:r>
      <w:r>
        <w:t>计算；部分核心产品品牌相同时按不同</w:t>
      </w:r>
      <w:r>
        <w:rPr>
          <w:rFonts w:hint="eastAsia"/>
        </w:rPr>
        <w:t>投标人</w:t>
      </w:r>
      <w:r>
        <w:t>计算。</w:t>
      </w:r>
    </w:p>
    <w:p>
      <w:pPr>
        <w:pStyle w:val="8"/>
        <w:ind w:firstLine="480"/>
      </w:pPr>
      <w:r>
        <w:rPr>
          <w:rFonts w:hint="eastAsia"/>
        </w:rPr>
        <w:t>7.3投标文件报价出现前后不一致的，按照下列规定修正：</w:t>
      </w:r>
    </w:p>
    <w:p>
      <w:pPr>
        <w:pStyle w:val="8"/>
        <w:ind w:firstLine="480"/>
      </w:pPr>
      <w:r>
        <w:rPr>
          <w:rFonts w:hint="eastAsia"/>
        </w:rPr>
        <w:t>（1）投标文件中开标一览表(报价表)内容与投标文件中相应内容不一致的，以开标一览表(报价表)为准；如果单独密封的开标一览表(报价表)与投标文件正本的开标一览表(报价表)不一致，以单独密封的开标一览表(报价表)为准。</w:t>
      </w:r>
    </w:p>
    <w:p>
      <w:pPr>
        <w:pStyle w:val="8"/>
        <w:ind w:firstLine="480"/>
      </w:pPr>
      <w:r>
        <w:rPr>
          <w:rFonts w:hint="eastAsia"/>
        </w:rPr>
        <w:t>（2）投标文件的大写金额和小写金额不一致的，以大写金额为准；</w:t>
      </w:r>
    </w:p>
    <w:p>
      <w:pPr>
        <w:pStyle w:val="8"/>
        <w:ind w:firstLine="480"/>
      </w:pPr>
      <w:r>
        <w:rPr>
          <w:rFonts w:hint="eastAsia"/>
        </w:rPr>
        <w:t>（3）单价金额小数点或者百分比有明显错位的，以单独密封的开标一览表的总价为准，并修改单价；</w:t>
      </w:r>
    </w:p>
    <w:p>
      <w:pPr>
        <w:pStyle w:val="8"/>
        <w:ind w:firstLine="480"/>
      </w:pPr>
      <w:r>
        <w:rPr>
          <w:rFonts w:hint="eastAsia"/>
        </w:rPr>
        <w:t>（4）总价金额与按单价汇总金额不一致的，以单价金额计算结果为准。</w:t>
      </w:r>
    </w:p>
    <w:p>
      <w:pPr>
        <w:pStyle w:val="8"/>
        <w:ind w:firstLine="480"/>
      </w:pPr>
      <w:r>
        <w:rPr>
          <w:rFonts w:hint="eastAsia"/>
        </w:rPr>
        <w:t>按上述修正的顺序和方法调整的投标报价应对投标人具有约束力。如果投标人不接受修正后的价格，其投标将按无效投标处理。</w:t>
      </w:r>
    </w:p>
    <w:p>
      <w:pPr>
        <w:pStyle w:val="2"/>
      </w:pPr>
      <w:bookmarkStart w:id="164" w:name="_Toc24337"/>
      <w:bookmarkStart w:id="165" w:name="_Toc3952"/>
      <w:r>
        <w:rPr>
          <w:rFonts w:hint="eastAsia"/>
        </w:rPr>
        <w:t>八．定标</w:t>
      </w:r>
      <w:bookmarkEnd w:id="164"/>
      <w:bookmarkEnd w:id="165"/>
    </w:p>
    <w:p>
      <w:pPr>
        <w:pStyle w:val="8"/>
        <w:ind w:firstLine="480"/>
      </w:pPr>
      <w:r>
        <w:rPr>
          <w:rFonts w:hint="eastAsia"/>
        </w:rPr>
        <w:t>8.1评标结果由全体评标委员会成员签字确认。</w:t>
      </w:r>
    </w:p>
    <w:p>
      <w:pPr>
        <w:pStyle w:val="8"/>
        <w:ind w:firstLine="480"/>
      </w:pPr>
      <w:r>
        <w:rPr>
          <w:rFonts w:hint="eastAsia"/>
        </w:rPr>
        <w:t>8.2</w:t>
      </w:r>
      <w:r>
        <w:rPr>
          <w:rFonts w:hint="eastAsia"/>
          <w:lang w:eastAsia="zh-CN"/>
        </w:rPr>
        <w:t>招标人</w:t>
      </w:r>
      <w:r>
        <w:rPr>
          <w:rFonts w:hint="eastAsia"/>
        </w:rPr>
        <w:t>根据评标报告中推荐的中标候选人排列顺序确定中标人，以复函通知</w:t>
      </w:r>
      <w:r>
        <w:rPr>
          <w:rFonts w:hint="eastAsia"/>
          <w:lang w:eastAsia="zh-CN"/>
        </w:rPr>
        <w:t>招标代理机构</w:t>
      </w:r>
      <w:r>
        <w:rPr>
          <w:rFonts w:hint="eastAsia"/>
        </w:rPr>
        <w:t>。</w:t>
      </w:r>
    </w:p>
    <w:p>
      <w:pPr>
        <w:pStyle w:val="17"/>
        <w:ind w:left="1440"/>
      </w:pPr>
    </w:p>
    <w:p>
      <w:pPr>
        <w:spacing w:line="600" w:lineRule="exact"/>
        <w:rPr>
          <w:rFonts w:hAnsi="宋体" w:cs="宋体"/>
          <w:szCs w:val="24"/>
        </w:rPr>
      </w:pPr>
    </w:p>
    <w:p>
      <w:pPr>
        <w:pStyle w:val="10"/>
        <w:rPr>
          <w:rFonts w:ascii="宋体" w:hAnsi="宋体" w:cs="宋体"/>
          <w:szCs w:val="24"/>
        </w:rPr>
      </w:pPr>
    </w:p>
    <w:p>
      <w:pPr>
        <w:spacing w:line="560" w:lineRule="exact"/>
        <w:jc w:val="center"/>
        <w:rPr>
          <w:rStyle w:val="36"/>
          <w:color w:val="FF0000"/>
        </w:rPr>
      </w:pPr>
      <w:r>
        <w:rPr>
          <w:rFonts w:hint="eastAsia" w:hAnsi="宋体" w:cs="宋体"/>
          <w:szCs w:val="24"/>
        </w:rPr>
        <w:br w:type="page"/>
      </w:r>
      <w:r>
        <w:rPr>
          <w:rStyle w:val="36"/>
          <w:rFonts w:hint="eastAsia"/>
          <w:color w:val="auto"/>
        </w:rPr>
        <w:t>评标因素及权重分值表</w:t>
      </w:r>
    </w:p>
    <w:bookmarkEnd w:id="118"/>
    <w:bookmarkEnd w:id="139"/>
    <w:bookmarkEnd w:id="140"/>
    <w:bookmarkEnd w:id="141"/>
    <w:bookmarkEnd w:id="142"/>
    <w:bookmarkEnd w:id="143"/>
    <w:bookmarkEnd w:id="144"/>
    <w:bookmarkEnd w:id="145"/>
    <w:tbl>
      <w:tblPr>
        <w:tblStyle w:val="19"/>
        <w:tblW w:w="90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4"/>
        <w:gridCol w:w="533"/>
        <w:gridCol w:w="75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4" w:hRule="atLeast"/>
          <w:jc w:val="center"/>
        </w:trPr>
        <w:tc>
          <w:tcPr>
            <w:tcW w:w="974"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240" w:lineRule="atLeast"/>
              <w:jc w:val="center"/>
              <w:rPr>
                <w:rFonts w:hint="eastAsia" w:ascii="宋体" w:hAnsi="宋体" w:eastAsia="宋体" w:cs="宋体"/>
                <w:b/>
                <w:bCs/>
                <w:sz w:val="24"/>
                <w:szCs w:val="24"/>
                <w:highlight w:val="none"/>
                <w:lang w:val="en-US" w:eastAsia="zh-CN"/>
              </w:rPr>
            </w:pPr>
            <w:bookmarkStart w:id="166" w:name="_Toc426457698"/>
            <w:bookmarkStart w:id="167" w:name="_Toc28411"/>
            <w:bookmarkStart w:id="168" w:name="_Toc363474025"/>
            <w:bookmarkStart w:id="169" w:name="_Toc8830"/>
            <w:bookmarkStart w:id="170" w:name="_Toc22538"/>
            <w:r>
              <w:rPr>
                <w:rFonts w:hint="eastAsia" w:ascii="宋体" w:hAnsi="宋体" w:eastAsia="宋体" w:cs="宋体"/>
                <w:b/>
                <w:bCs/>
                <w:sz w:val="24"/>
                <w:szCs w:val="24"/>
                <w:highlight w:val="none"/>
              </w:rPr>
              <w:t>评审内容</w:t>
            </w:r>
            <w:r>
              <w:rPr>
                <w:rFonts w:hint="eastAsia" w:hAnsi="宋体" w:cs="宋体"/>
                <w:b/>
                <w:bCs/>
                <w:sz w:val="24"/>
                <w:szCs w:val="24"/>
                <w:highlight w:val="none"/>
                <w:lang w:val="en-US" w:eastAsia="zh-CN"/>
              </w:rPr>
              <w:t>及权值（%）</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240" w:lineRule="atLeast"/>
              <w:jc w:val="center"/>
              <w:rPr>
                <w:rFonts w:hint="eastAsia" w:ascii="宋体" w:hAnsi="宋体" w:eastAsia="宋体" w:cs="宋体"/>
                <w:b/>
                <w:bCs/>
                <w:sz w:val="24"/>
                <w:szCs w:val="24"/>
                <w:highlight w:val="none"/>
                <w:lang w:val="en-US" w:eastAsia="zh-CN"/>
              </w:rPr>
            </w:pPr>
            <w:r>
              <w:rPr>
                <w:rFonts w:hint="eastAsia" w:hAnsi="宋体" w:cs="宋体"/>
                <w:b/>
                <w:bCs/>
                <w:sz w:val="24"/>
                <w:szCs w:val="24"/>
                <w:highlight w:val="none"/>
                <w:lang w:val="en-US" w:eastAsia="zh-CN"/>
              </w:rPr>
              <w:t>分值</w:t>
            </w:r>
          </w:p>
        </w:tc>
        <w:tc>
          <w:tcPr>
            <w:tcW w:w="7512"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240" w:lineRule="atLeas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评分依据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8" w:hRule="atLeast"/>
          <w:jc w:val="center"/>
        </w:trPr>
        <w:tc>
          <w:tcPr>
            <w:tcW w:w="974"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投标报价</w:t>
            </w:r>
            <w:r>
              <w:rPr>
                <w:rFonts w:hint="eastAsia" w:ascii="宋体" w:hAnsi="宋体" w:eastAsia="宋体" w:cs="宋体"/>
                <w:sz w:val="24"/>
                <w:szCs w:val="24"/>
                <w:highlight w:val="none"/>
                <w:lang w:val="en-US" w:eastAsia="zh-CN"/>
              </w:rPr>
              <w:t>（30）</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hint="default" w:ascii="宋体" w:hAnsi="宋体" w:eastAsia="宋体" w:cs="宋体"/>
                <w:sz w:val="24"/>
                <w:szCs w:val="24"/>
                <w:highlight w:val="none"/>
                <w:lang w:val="en-US" w:eastAsia="zh-CN"/>
              </w:rPr>
            </w:pPr>
            <w:r>
              <w:rPr>
                <w:rFonts w:hint="eastAsia" w:hAnsi="宋体" w:cs="宋体"/>
                <w:sz w:val="24"/>
                <w:szCs w:val="24"/>
                <w:highlight w:val="none"/>
                <w:lang w:val="en-US" w:eastAsia="zh-CN"/>
              </w:rPr>
              <w:t>30</w:t>
            </w:r>
          </w:p>
        </w:tc>
        <w:tc>
          <w:tcPr>
            <w:tcW w:w="751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cs="Times New Roman" w:asciiTheme="minorEastAsia" w:hAnsiTheme="minorEastAsia" w:eastAsiaTheme="minorEastAsia"/>
                <w:sz w:val="24"/>
                <w:szCs w:val="22"/>
              </w:rPr>
            </w:pPr>
            <w:r>
              <w:rPr>
                <w:rFonts w:hint="eastAsia" w:cs="Times New Roman" w:asciiTheme="minorEastAsia" w:hAnsiTheme="minorEastAsia" w:eastAsiaTheme="minorEastAsia"/>
                <w:sz w:val="24"/>
                <w:szCs w:val="22"/>
              </w:rPr>
              <w:t>价格分统一采用低价优先法计算，即满足招标文件要求且</w:t>
            </w:r>
            <w:r>
              <w:rPr>
                <w:rFonts w:hint="eastAsia" w:cs="Times New Roman" w:asciiTheme="minorEastAsia" w:hAnsiTheme="minorEastAsia" w:eastAsiaTheme="minorEastAsia"/>
                <w:sz w:val="24"/>
                <w:szCs w:val="22"/>
                <w:lang w:val="en-US" w:eastAsia="zh-CN"/>
              </w:rPr>
              <w:t>参与价格评审的报价</w:t>
            </w:r>
            <w:r>
              <w:rPr>
                <w:rFonts w:hint="eastAsia" w:cs="Times New Roman" w:asciiTheme="minorEastAsia" w:hAnsiTheme="minorEastAsia" w:eastAsiaTheme="minorEastAsia"/>
                <w:sz w:val="24"/>
                <w:szCs w:val="22"/>
              </w:rPr>
              <w:t>最低的为评标基准价，其价格分为满分。其他投标人的价格分统一按照下列公式计算：</w:t>
            </w:r>
          </w:p>
          <w:p>
            <w:pPr>
              <w:spacing w:line="360" w:lineRule="auto"/>
              <w:jc w:val="left"/>
              <w:rPr>
                <w:rFonts w:hint="eastAsia" w:cs="Times New Roman" w:asciiTheme="minorEastAsia" w:hAnsiTheme="minorEastAsia" w:eastAsiaTheme="minorEastAsia"/>
                <w:sz w:val="24"/>
                <w:szCs w:val="22"/>
              </w:rPr>
            </w:pPr>
            <w:r>
              <w:rPr>
                <w:rFonts w:hint="eastAsia" w:cs="Times New Roman" w:asciiTheme="minorEastAsia" w:hAnsiTheme="minorEastAsia" w:eastAsiaTheme="minorEastAsia"/>
                <w:sz w:val="24"/>
                <w:szCs w:val="22"/>
              </w:rPr>
              <w:t>投标报价得分=(评标基准价／</w:t>
            </w:r>
            <w:r>
              <w:rPr>
                <w:rFonts w:hint="eastAsia" w:cs="Times New Roman" w:asciiTheme="minorEastAsia" w:hAnsiTheme="minorEastAsia" w:eastAsiaTheme="minorEastAsia"/>
                <w:sz w:val="24"/>
                <w:szCs w:val="22"/>
                <w:lang w:val="en-US" w:eastAsia="zh-CN"/>
              </w:rPr>
              <w:t>参与价格评审的报价</w:t>
            </w:r>
            <w:r>
              <w:rPr>
                <w:rFonts w:hint="eastAsia" w:cs="Times New Roman" w:asciiTheme="minorEastAsia" w:hAnsiTheme="minorEastAsia" w:eastAsiaTheme="minorEastAsia"/>
                <w:sz w:val="24"/>
                <w:szCs w:val="22"/>
              </w:rPr>
              <w:t>)×价格权值×100</w:t>
            </w:r>
          </w:p>
          <w:p>
            <w:pPr>
              <w:spacing w:line="360" w:lineRule="auto"/>
              <w:jc w:val="left"/>
              <w:rPr>
                <w:rFonts w:hint="eastAsia" w:cs="Times New Roman" w:asciiTheme="minorEastAsia" w:hAnsiTheme="minorEastAsia" w:eastAsiaTheme="minorEastAsia"/>
                <w:sz w:val="24"/>
                <w:szCs w:val="22"/>
              </w:rPr>
            </w:pPr>
            <w:r>
              <w:rPr>
                <w:rFonts w:hint="eastAsia" w:cs="Times New Roman" w:asciiTheme="minorEastAsia" w:hAnsiTheme="minorEastAsia" w:eastAsiaTheme="minorEastAsia"/>
                <w:sz w:val="24"/>
                <w:szCs w:val="22"/>
              </w:rPr>
              <w:t>计算分数时四舍五入取小数点后两位</w:t>
            </w:r>
          </w:p>
          <w:p>
            <w:pPr>
              <w:spacing w:line="360" w:lineRule="auto"/>
              <w:jc w:val="left"/>
              <w:rPr>
                <w:rFonts w:hint="eastAsia" w:ascii="宋体" w:hAnsi="宋体" w:eastAsia="宋体" w:cs="宋体"/>
                <w:sz w:val="24"/>
                <w:szCs w:val="24"/>
                <w:highlight w:val="none"/>
                <w:lang w:val="en-US" w:eastAsia="zh-CN"/>
              </w:rPr>
            </w:pPr>
            <w:r>
              <w:rPr>
                <w:rFonts w:hint="eastAsia" w:cs="Times New Roman" w:asciiTheme="minorEastAsia" w:hAnsiTheme="minorEastAsia" w:eastAsiaTheme="minorEastAsia"/>
                <w:sz w:val="24"/>
                <w:szCs w:val="22"/>
              </w:rPr>
              <w:t>注：</w:t>
            </w:r>
            <w:r>
              <w:rPr>
                <w:rFonts w:hint="eastAsia" w:cs="Times New Roman" w:asciiTheme="minorEastAsia" w:hAnsiTheme="minorEastAsia" w:eastAsiaTheme="minorEastAsia"/>
                <w:sz w:val="24"/>
                <w:szCs w:val="22"/>
                <w:lang w:val="en-US" w:eastAsia="zh-CN"/>
              </w:rPr>
              <w:t>投标人实际投标报价经政策性扣减后为其参与价格评审的报价（政策性扣减方式详见第五章“评标办法”</w:t>
            </w:r>
            <w:r>
              <w:rPr>
                <w:rFonts w:hint="eastAsia"/>
              </w:rPr>
              <w:t>六．政策性扣减</w:t>
            </w:r>
            <w:r>
              <w:rPr>
                <w:rFonts w:hint="eastAsia"/>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4" w:hRule="atLeast"/>
          <w:jc w:val="center"/>
        </w:trPr>
        <w:tc>
          <w:tcPr>
            <w:tcW w:w="974" w:type="dxa"/>
            <w:vMerge w:val="restart"/>
            <w:tcBorders>
              <w:top w:val="single" w:color="000000" w:sz="4" w:space="0"/>
              <w:left w:val="single" w:color="000000" w:sz="4" w:space="0"/>
              <w:right w:val="single" w:color="000000" w:sz="4" w:space="0"/>
            </w:tcBorders>
            <w:noWrap w:val="0"/>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技术参数</w:t>
            </w:r>
            <w:r>
              <w:rPr>
                <w:rFonts w:hint="eastAsia" w:asciiTheme="minorEastAsia" w:hAnsiTheme="minorEastAsia" w:eastAsiaTheme="minorEastAsia"/>
                <w:sz w:val="24"/>
                <w:lang w:val="en-US" w:eastAsia="zh-CN"/>
              </w:rPr>
              <w:t>（25</w:t>
            </w:r>
            <w:r>
              <w:rPr>
                <w:rFonts w:hint="eastAsia" w:asciiTheme="minorEastAsia" w:hAnsiTheme="minorEastAsia" w:eastAsiaTheme="minorEastAsia"/>
                <w:sz w:val="24"/>
              </w:rPr>
              <w:t>）</w:t>
            </w:r>
          </w:p>
          <w:p>
            <w:pPr>
              <w:spacing w:line="500" w:lineRule="exact"/>
              <w:jc w:val="center"/>
              <w:rPr>
                <w:rFonts w:hint="eastAsia" w:ascii="宋体" w:hAnsi="宋体" w:eastAsia="宋体" w:cs="宋体"/>
                <w:color w:val="auto"/>
                <w:sz w:val="24"/>
                <w:szCs w:val="24"/>
                <w:highlight w:val="none"/>
              </w:rPr>
            </w:pPr>
          </w:p>
        </w:tc>
        <w:tc>
          <w:tcPr>
            <w:tcW w:w="533"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5</w:t>
            </w:r>
          </w:p>
        </w:tc>
        <w:tc>
          <w:tcPr>
            <w:tcW w:w="751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产品符合要求，数量准确，且能提供所投产品（包含但不限于品种、等级、加工工艺、水分、气味等等）对应的质量指标、营养成分，并提供相应指标的证明材料。</w:t>
            </w:r>
          </w:p>
          <w:p>
            <w:pPr>
              <w:numPr>
                <w:ilvl w:val="0"/>
                <w:numId w:val="1"/>
              </w:numPr>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提供完整，质量精良计</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.1-</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分；</w:t>
            </w:r>
          </w:p>
          <w:p>
            <w:pPr>
              <w:numPr>
                <w:ilvl w:val="0"/>
                <w:numId w:val="1"/>
              </w:numPr>
              <w:spacing w:line="360" w:lineRule="auto"/>
              <w:jc w:val="left"/>
              <w:rPr>
                <w:rFonts w:hint="eastAsia" w:ascii="宋体" w:hAnsi="宋体" w:eastAsia="宋体" w:cs="宋体"/>
                <w:color w:val="auto"/>
                <w:sz w:val="24"/>
                <w:szCs w:val="24"/>
                <w:highlight w:val="none"/>
                <w:lang w:val="en-US" w:eastAsia="zh-CN"/>
              </w:rPr>
            </w:pPr>
            <w:r>
              <w:rPr>
                <w:rFonts w:hint="eastAsia" w:asciiTheme="minorEastAsia" w:hAnsiTheme="minorEastAsia" w:eastAsiaTheme="minorEastAsia"/>
                <w:sz w:val="24"/>
              </w:rPr>
              <w:t>能提供以上所述内容，并达到采购需求计</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.1-</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分；</w:t>
            </w:r>
          </w:p>
          <w:p>
            <w:pPr>
              <w:numPr>
                <w:ilvl w:val="0"/>
                <w:numId w:val="1"/>
              </w:numPr>
              <w:spacing w:line="360" w:lineRule="auto"/>
              <w:jc w:val="left"/>
              <w:rPr>
                <w:rFonts w:hint="eastAsia" w:ascii="宋体" w:hAnsi="宋体" w:eastAsia="宋体" w:cs="宋体"/>
                <w:color w:val="auto"/>
                <w:sz w:val="24"/>
                <w:szCs w:val="24"/>
                <w:highlight w:val="none"/>
                <w:lang w:val="en-US" w:eastAsia="zh-CN"/>
              </w:rPr>
            </w:pPr>
            <w:r>
              <w:rPr>
                <w:rFonts w:hint="eastAsia" w:asciiTheme="minorEastAsia" w:hAnsiTheme="minorEastAsia" w:eastAsiaTheme="minorEastAsia"/>
                <w:sz w:val="24"/>
              </w:rPr>
              <w:t>提供的内容不完整，未能完整表述计0</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分；</w:t>
            </w:r>
          </w:p>
          <w:p>
            <w:pPr>
              <w:numPr>
                <w:ilvl w:val="0"/>
                <w:numId w:val="1"/>
              </w:numPr>
              <w:spacing w:line="360" w:lineRule="auto"/>
              <w:jc w:val="left"/>
              <w:rPr>
                <w:rFonts w:hint="eastAsia" w:ascii="宋体" w:hAnsi="宋体" w:eastAsia="宋体" w:cs="宋体"/>
                <w:color w:val="auto"/>
                <w:sz w:val="24"/>
                <w:szCs w:val="24"/>
                <w:highlight w:val="none"/>
                <w:lang w:val="en-US" w:eastAsia="zh-CN"/>
              </w:rPr>
            </w:pPr>
            <w:r>
              <w:rPr>
                <w:rFonts w:hint="eastAsia" w:asciiTheme="minorEastAsia" w:hAnsiTheme="minorEastAsia" w:eastAsiaTheme="minorEastAsia"/>
                <w:sz w:val="24"/>
              </w:rPr>
              <w:t>未提供的</w:t>
            </w:r>
            <w:r>
              <w:rPr>
                <w:rFonts w:hint="eastAsia" w:asciiTheme="minorEastAsia" w:hAnsiTheme="minorEastAsia" w:eastAsiaTheme="minorEastAsia"/>
                <w:sz w:val="24"/>
                <w:lang w:val="en-US" w:eastAsia="zh-CN"/>
              </w:rPr>
              <w:t>不得分</w:t>
            </w:r>
            <w:r>
              <w:rPr>
                <w:rFonts w:hint="eastAsia" w:asciiTheme="minorEastAsia" w:hAnsiTheme="minorEastAsia" w:eastAsia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jc w:val="center"/>
        </w:trPr>
        <w:tc>
          <w:tcPr>
            <w:tcW w:w="974" w:type="dxa"/>
            <w:vMerge w:val="continue"/>
            <w:tcBorders>
              <w:left w:val="single" w:color="000000" w:sz="4" w:space="0"/>
              <w:right w:val="single" w:color="000000" w:sz="4" w:space="0"/>
            </w:tcBorders>
            <w:noWrap w:val="0"/>
            <w:vAlign w:val="center"/>
          </w:tcPr>
          <w:p>
            <w:pPr>
              <w:spacing w:line="500" w:lineRule="exact"/>
              <w:jc w:val="center"/>
              <w:rPr>
                <w:rFonts w:hint="eastAsia" w:ascii="宋体" w:hAnsi="宋体" w:eastAsia="宋体" w:cs="宋体"/>
                <w:color w:val="auto"/>
                <w:sz w:val="24"/>
                <w:szCs w:val="24"/>
                <w:highlight w:val="none"/>
              </w:rPr>
            </w:pPr>
          </w:p>
        </w:tc>
        <w:tc>
          <w:tcPr>
            <w:tcW w:w="533"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3</w:t>
            </w:r>
          </w:p>
        </w:tc>
        <w:tc>
          <w:tcPr>
            <w:tcW w:w="7512"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spacing w:line="360" w:lineRule="auto"/>
              <w:jc w:val="left"/>
              <w:rPr>
                <w:rFonts w:hint="eastAsia"/>
              </w:rPr>
            </w:pPr>
            <w:r>
              <w:rPr>
                <w:rFonts w:hint="eastAsia"/>
                <w:lang w:val="en-US" w:eastAsia="zh-CN"/>
              </w:rPr>
              <w:t>2.</w:t>
            </w:r>
            <w:r>
              <w:rPr>
                <w:rFonts w:hint="eastAsia"/>
              </w:rPr>
              <w:t>产品存量和日产量充足，并提供承诺。</w:t>
            </w:r>
          </w:p>
          <w:p>
            <w:pPr>
              <w:numPr>
                <w:ilvl w:val="0"/>
                <w:numId w:val="2"/>
              </w:numPr>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承诺详细、具体，真实性强，优于采购需求</w:t>
            </w:r>
            <w:r>
              <w:rPr>
                <w:rFonts w:hint="eastAsia" w:asciiTheme="minorEastAsia" w:hAnsiTheme="minorEastAsia" w:eastAsiaTheme="minorEastAsia"/>
                <w:sz w:val="24"/>
              </w:rPr>
              <w:t>计</w:t>
            </w:r>
            <w:r>
              <w:rPr>
                <w:rFonts w:hint="eastAsia" w:asciiTheme="minorEastAsia" w:hAnsiTheme="minorEastAsia" w:eastAsiaTheme="minorEastAsia"/>
                <w:sz w:val="24"/>
                <w:lang w:val="en-US" w:eastAsia="zh-CN"/>
              </w:rPr>
              <w:t>2.1</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分；</w:t>
            </w:r>
          </w:p>
          <w:p>
            <w:pPr>
              <w:numPr>
                <w:ilvl w:val="0"/>
                <w:numId w:val="2"/>
              </w:numPr>
              <w:spacing w:line="360" w:lineRule="auto"/>
              <w:jc w:val="left"/>
              <w:rPr>
                <w:rFonts w:hint="eastAsia" w:ascii="宋体" w:hAnsi="宋体" w:eastAsia="宋体" w:cs="宋体"/>
                <w:color w:val="auto"/>
                <w:sz w:val="24"/>
                <w:szCs w:val="24"/>
                <w:highlight w:val="none"/>
                <w:lang w:val="en-US" w:eastAsia="zh-CN"/>
              </w:rPr>
            </w:pPr>
            <w:r>
              <w:rPr>
                <w:rFonts w:hint="eastAsia" w:asciiTheme="minorEastAsia" w:hAnsiTheme="minorEastAsia" w:eastAsiaTheme="minorEastAsia"/>
                <w:sz w:val="24"/>
                <w:lang w:val="en-US" w:eastAsia="zh-CN"/>
              </w:rPr>
              <w:t>有承诺</w:t>
            </w:r>
            <w:r>
              <w:rPr>
                <w:rFonts w:hint="eastAsia" w:asciiTheme="minorEastAsia" w:hAnsiTheme="minorEastAsia" w:eastAsiaTheme="minorEastAsia"/>
                <w:sz w:val="24"/>
              </w:rPr>
              <w:t>，并达到采购需求计</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.1-</w:t>
            </w: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rPr>
              <w:t>分；</w:t>
            </w:r>
          </w:p>
          <w:p>
            <w:pPr>
              <w:numPr>
                <w:ilvl w:val="0"/>
                <w:numId w:val="2"/>
              </w:numPr>
              <w:spacing w:line="360" w:lineRule="auto"/>
              <w:jc w:val="left"/>
              <w:rPr>
                <w:rFonts w:hint="eastAsia"/>
                <w:lang w:val="en-US" w:eastAsia="zh-CN"/>
              </w:rPr>
            </w:pPr>
            <w:r>
              <w:rPr>
                <w:rFonts w:hint="eastAsia" w:asciiTheme="minorEastAsia" w:hAnsiTheme="minorEastAsia" w:eastAsiaTheme="minorEastAsia"/>
                <w:sz w:val="24"/>
                <w:lang w:val="en-US" w:eastAsia="zh-CN"/>
              </w:rPr>
              <w:t>承诺</w:t>
            </w:r>
            <w:r>
              <w:rPr>
                <w:rFonts w:hint="eastAsia" w:asciiTheme="minorEastAsia" w:hAnsiTheme="minorEastAsia" w:eastAsiaTheme="minorEastAsia"/>
                <w:sz w:val="24"/>
              </w:rPr>
              <w:t>内容不完整，未能完整表述计0</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分；</w:t>
            </w:r>
          </w:p>
          <w:p>
            <w:pPr>
              <w:numPr>
                <w:ilvl w:val="0"/>
                <w:numId w:val="2"/>
              </w:numPr>
              <w:spacing w:line="360" w:lineRule="auto"/>
              <w:jc w:val="left"/>
              <w:rPr>
                <w:rFonts w:hint="eastAsia"/>
                <w:lang w:val="en-US" w:eastAsia="zh-CN"/>
              </w:rPr>
            </w:pPr>
            <w:r>
              <w:rPr>
                <w:rFonts w:hint="eastAsia" w:asciiTheme="minorEastAsia" w:hAnsiTheme="minorEastAsia" w:eastAsiaTheme="minorEastAsia"/>
                <w:sz w:val="24"/>
              </w:rPr>
              <w:t>未提供的</w:t>
            </w:r>
            <w:r>
              <w:rPr>
                <w:rFonts w:hint="eastAsia" w:asciiTheme="minorEastAsia" w:hAnsiTheme="minorEastAsia" w:eastAsiaTheme="minorEastAsia"/>
                <w:sz w:val="24"/>
                <w:lang w:val="en-US" w:eastAsia="zh-CN"/>
              </w:rPr>
              <w:t>不得分</w:t>
            </w:r>
            <w:r>
              <w:rPr>
                <w:rFonts w:hint="eastAsia" w:asciiTheme="minorEastAsia" w:hAnsiTheme="minorEastAsia" w:eastAsia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974" w:type="dxa"/>
            <w:vMerge w:val="continue"/>
            <w:tcBorders>
              <w:left w:val="single" w:color="000000" w:sz="4" w:space="0"/>
              <w:right w:val="single" w:color="000000" w:sz="4" w:space="0"/>
            </w:tcBorders>
            <w:noWrap w:val="0"/>
            <w:vAlign w:val="center"/>
          </w:tcPr>
          <w:p>
            <w:pPr>
              <w:spacing w:line="500" w:lineRule="exact"/>
              <w:jc w:val="center"/>
              <w:rPr>
                <w:rFonts w:hint="eastAsia" w:ascii="宋体" w:hAnsi="宋体" w:eastAsia="宋体" w:cs="宋体"/>
                <w:color w:val="auto"/>
                <w:sz w:val="24"/>
                <w:szCs w:val="24"/>
                <w:highlight w:val="none"/>
              </w:rPr>
            </w:pPr>
          </w:p>
        </w:tc>
        <w:tc>
          <w:tcPr>
            <w:tcW w:w="533"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3</w:t>
            </w:r>
          </w:p>
        </w:tc>
        <w:tc>
          <w:tcPr>
            <w:tcW w:w="7512"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spacing w:line="360" w:lineRule="auto"/>
              <w:jc w:val="left"/>
              <w:rPr>
                <w:rFonts w:hint="eastAsia"/>
                <w:lang w:val="en-US" w:eastAsia="zh-CN"/>
              </w:rPr>
            </w:pPr>
            <w:r>
              <w:rPr>
                <w:rFonts w:hint="eastAsia"/>
                <w:lang w:val="en-US" w:eastAsia="zh-CN"/>
              </w:rPr>
              <w:t>3.</w:t>
            </w:r>
            <w:r>
              <w:rPr>
                <w:rFonts w:hint="eastAsia"/>
              </w:rPr>
              <w:t>所投产品厂家有可靠、完备的质量管理体系及生产流程</w:t>
            </w:r>
            <w:r>
              <w:rPr>
                <w:rFonts w:hint="eastAsia"/>
                <w:lang w:val="en-US" w:eastAsia="zh-CN"/>
              </w:rPr>
              <w:t>。</w:t>
            </w:r>
          </w:p>
          <w:p>
            <w:pPr>
              <w:numPr>
                <w:ilvl w:val="0"/>
                <w:numId w:val="3"/>
              </w:numPr>
              <w:spacing w:line="360" w:lineRule="auto"/>
              <w:jc w:val="left"/>
              <w:rPr>
                <w:rFonts w:hint="eastAsia" w:asciiTheme="minorEastAsia" w:hAnsiTheme="minorEastAsia" w:eastAsiaTheme="minorEastAsia"/>
                <w:sz w:val="24"/>
              </w:rPr>
            </w:pPr>
            <w:r>
              <w:rPr>
                <w:rFonts w:hint="eastAsia"/>
              </w:rPr>
              <w:t>质量管理体系及生产流程</w:t>
            </w:r>
            <w:r>
              <w:rPr>
                <w:rFonts w:hint="eastAsia" w:asciiTheme="minorEastAsia" w:hAnsiTheme="minorEastAsia" w:eastAsiaTheme="minorEastAsia"/>
                <w:sz w:val="24"/>
                <w:lang w:val="en-US" w:eastAsia="zh-CN"/>
              </w:rPr>
              <w:t>详细、具体，科学性强，优于采购需求</w:t>
            </w:r>
            <w:r>
              <w:rPr>
                <w:rFonts w:hint="eastAsia" w:asciiTheme="minorEastAsia" w:hAnsiTheme="minorEastAsia" w:eastAsiaTheme="minorEastAsia"/>
                <w:sz w:val="24"/>
              </w:rPr>
              <w:t>计</w:t>
            </w:r>
            <w:r>
              <w:rPr>
                <w:rFonts w:hint="eastAsia" w:asciiTheme="minorEastAsia" w:hAnsiTheme="minorEastAsia" w:eastAsiaTheme="minorEastAsia"/>
                <w:sz w:val="24"/>
                <w:lang w:val="en-US" w:eastAsia="zh-CN"/>
              </w:rPr>
              <w:t>2.1</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分；</w:t>
            </w:r>
          </w:p>
          <w:p>
            <w:pPr>
              <w:numPr>
                <w:ilvl w:val="0"/>
                <w:numId w:val="3"/>
              </w:numPr>
              <w:spacing w:line="360" w:lineRule="auto"/>
              <w:jc w:val="left"/>
              <w:rPr>
                <w:rFonts w:hint="eastAsia" w:ascii="宋体" w:hAnsi="宋体" w:eastAsia="宋体" w:cs="宋体"/>
                <w:color w:val="auto"/>
                <w:sz w:val="24"/>
                <w:szCs w:val="24"/>
                <w:highlight w:val="none"/>
                <w:lang w:val="en-US" w:eastAsia="zh-CN"/>
              </w:rPr>
            </w:pPr>
            <w:r>
              <w:rPr>
                <w:rFonts w:hint="eastAsia" w:asciiTheme="minorEastAsia" w:hAnsiTheme="minorEastAsia" w:eastAsiaTheme="minorEastAsia"/>
                <w:sz w:val="24"/>
                <w:lang w:val="en-US" w:eastAsia="zh-CN"/>
              </w:rPr>
              <w:t>有</w:t>
            </w:r>
            <w:r>
              <w:rPr>
                <w:rFonts w:hint="eastAsia"/>
              </w:rPr>
              <w:t>质量管理体系及生产流程</w:t>
            </w:r>
            <w:r>
              <w:rPr>
                <w:rFonts w:hint="eastAsia" w:asciiTheme="minorEastAsia" w:hAnsiTheme="minorEastAsia" w:eastAsiaTheme="minorEastAsia"/>
                <w:sz w:val="24"/>
              </w:rPr>
              <w:t>，并达到采购需求计</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.1-</w:t>
            </w: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rPr>
              <w:t>分；</w:t>
            </w:r>
          </w:p>
          <w:p>
            <w:pPr>
              <w:numPr>
                <w:ilvl w:val="0"/>
                <w:numId w:val="3"/>
              </w:numPr>
              <w:spacing w:line="360" w:lineRule="auto"/>
              <w:jc w:val="left"/>
              <w:rPr>
                <w:rFonts w:hint="eastAsia"/>
                <w:lang w:val="en-US" w:eastAsia="zh-CN"/>
              </w:rPr>
            </w:pPr>
            <w:r>
              <w:rPr>
                <w:rFonts w:hint="eastAsia"/>
              </w:rPr>
              <w:t>质量管理体系</w:t>
            </w:r>
            <w:r>
              <w:rPr>
                <w:rFonts w:hint="eastAsia"/>
                <w:lang w:val="en-US" w:eastAsia="zh-CN"/>
              </w:rPr>
              <w:t>或</w:t>
            </w:r>
            <w:r>
              <w:rPr>
                <w:rFonts w:hint="eastAsia"/>
              </w:rPr>
              <w:t>生产流程</w:t>
            </w:r>
            <w:r>
              <w:rPr>
                <w:rFonts w:hint="eastAsia" w:asciiTheme="minorEastAsia" w:hAnsiTheme="minorEastAsia" w:eastAsiaTheme="minorEastAsia"/>
                <w:sz w:val="24"/>
              </w:rPr>
              <w:t>不完整，未能完整表述计0</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分；</w:t>
            </w:r>
          </w:p>
          <w:p>
            <w:pPr>
              <w:numPr>
                <w:ilvl w:val="0"/>
                <w:numId w:val="3"/>
              </w:numPr>
              <w:spacing w:line="360" w:lineRule="auto"/>
              <w:jc w:val="left"/>
              <w:rPr>
                <w:rFonts w:hint="eastAsia"/>
                <w:lang w:val="en-US" w:eastAsia="zh-CN"/>
              </w:rPr>
            </w:pPr>
            <w:r>
              <w:rPr>
                <w:rFonts w:hint="eastAsia" w:asciiTheme="minorEastAsia" w:hAnsiTheme="minorEastAsia" w:eastAsiaTheme="minorEastAsia"/>
                <w:sz w:val="24"/>
              </w:rPr>
              <w:t>未提供的</w:t>
            </w:r>
            <w:r>
              <w:rPr>
                <w:rFonts w:hint="eastAsia" w:asciiTheme="minorEastAsia" w:hAnsiTheme="minorEastAsia" w:eastAsiaTheme="minorEastAsia"/>
                <w:sz w:val="24"/>
                <w:lang w:val="en-US" w:eastAsia="zh-CN"/>
              </w:rPr>
              <w:t>不得分</w:t>
            </w:r>
            <w:r>
              <w:rPr>
                <w:rFonts w:hint="eastAsia" w:asciiTheme="minorEastAsia" w:hAnsiTheme="minorEastAsia" w:eastAsia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7" w:hRule="atLeast"/>
          <w:jc w:val="center"/>
        </w:trPr>
        <w:tc>
          <w:tcPr>
            <w:tcW w:w="974" w:type="dxa"/>
            <w:vMerge w:val="continue"/>
            <w:tcBorders>
              <w:left w:val="single" w:color="000000" w:sz="4" w:space="0"/>
              <w:right w:val="single" w:color="000000" w:sz="4" w:space="0"/>
            </w:tcBorders>
            <w:noWrap w:val="0"/>
            <w:vAlign w:val="center"/>
          </w:tcPr>
          <w:p>
            <w:pPr>
              <w:spacing w:line="500" w:lineRule="exact"/>
              <w:jc w:val="center"/>
              <w:rPr>
                <w:rFonts w:hint="eastAsia" w:ascii="宋体" w:hAnsi="宋体" w:eastAsia="宋体" w:cs="宋体"/>
                <w:color w:val="auto"/>
                <w:sz w:val="24"/>
                <w:szCs w:val="24"/>
                <w:highlight w:val="none"/>
              </w:rPr>
            </w:pPr>
          </w:p>
        </w:tc>
        <w:tc>
          <w:tcPr>
            <w:tcW w:w="533"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4</w:t>
            </w:r>
          </w:p>
        </w:tc>
        <w:tc>
          <w:tcPr>
            <w:tcW w:w="7512"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spacing w:line="360" w:lineRule="auto"/>
              <w:jc w:val="left"/>
              <w:rPr>
                <w:rFonts w:hint="eastAsia"/>
              </w:rPr>
            </w:pPr>
            <w:r>
              <w:rPr>
                <w:rFonts w:hint="eastAsia"/>
                <w:lang w:val="en-US" w:eastAsia="zh-CN"/>
              </w:rPr>
              <w:t>4.</w:t>
            </w:r>
            <w:r>
              <w:rPr>
                <w:rFonts w:hint="eastAsia"/>
              </w:rPr>
              <w:t>所投产品的生产厂家厂址周围无污染，内部布局科学，提供相关证明文件，按其响应程度计</w:t>
            </w:r>
            <w:r>
              <w:t>1-</w:t>
            </w:r>
            <w:r>
              <w:rPr>
                <w:rFonts w:hint="eastAsia"/>
                <w:lang w:val="en-US" w:eastAsia="zh-CN"/>
              </w:rPr>
              <w:t>4</w:t>
            </w:r>
            <w:r>
              <w:rPr>
                <w:rFonts w:hint="eastAsia"/>
              </w:rPr>
              <w:t>分。</w:t>
            </w:r>
          </w:p>
          <w:p>
            <w:pPr>
              <w:numPr>
                <w:ilvl w:val="0"/>
                <w:numId w:val="4"/>
              </w:numPr>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响应内容及证明材料完整充分，完全能保证生产环境及生产条件的，卫生条件好，布局合理3.1</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分；</w:t>
            </w:r>
          </w:p>
          <w:p>
            <w:pPr>
              <w:numPr>
                <w:ilvl w:val="0"/>
                <w:numId w:val="4"/>
              </w:numPr>
              <w:spacing w:line="360" w:lineRule="auto"/>
              <w:jc w:val="left"/>
              <w:rPr>
                <w:rFonts w:hint="eastAsia" w:ascii="宋体" w:hAnsi="宋体" w:eastAsia="宋体" w:cs="宋体"/>
                <w:color w:val="auto"/>
                <w:sz w:val="24"/>
                <w:szCs w:val="24"/>
                <w:highlight w:val="none"/>
                <w:lang w:val="en-US" w:eastAsia="zh-CN"/>
              </w:rPr>
            </w:pPr>
            <w:r>
              <w:rPr>
                <w:rFonts w:hint="eastAsia" w:asciiTheme="minorEastAsia" w:hAnsiTheme="minorEastAsia" w:eastAsiaTheme="minorEastAsia"/>
                <w:sz w:val="24"/>
                <w:lang w:val="en-US" w:eastAsia="zh-CN"/>
              </w:rPr>
              <w:t>有响应内容及证明材料</w:t>
            </w:r>
            <w:r>
              <w:rPr>
                <w:rFonts w:hint="eastAsia" w:asciiTheme="minorEastAsia" w:hAnsiTheme="minorEastAsia" w:eastAsiaTheme="minorEastAsia"/>
                <w:sz w:val="24"/>
              </w:rPr>
              <w:t>，</w:t>
            </w:r>
            <w:r>
              <w:rPr>
                <w:rFonts w:hint="eastAsia" w:asciiTheme="minorEastAsia" w:hAnsiTheme="minorEastAsia" w:eastAsiaTheme="minorEastAsia"/>
              </w:rPr>
              <w:t>基本能保证生产环境及生产条件的，卫生条件较好，布局较合理</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.1-</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分；</w:t>
            </w:r>
          </w:p>
          <w:p>
            <w:pPr>
              <w:numPr>
                <w:ilvl w:val="0"/>
                <w:numId w:val="4"/>
              </w:numPr>
              <w:spacing w:line="360" w:lineRule="auto"/>
              <w:jc w:val="left"/>
              <w:rPr>
                <w:rFonts w:hint="eastAsia"/>
                <w:lang w:val="en-US" w:eastAsia="zh-CN"/>
              </w:rPr>
            </w:pPr>
            <w:r>
              <w:rPr>
                <w:rFonts w:hint="eastAsia" w:asciiTheme="minorEastAsia" w:hAnsiTheme="minorEastAsia" w:eastAsiaTheme="minorEastAsia"/>
                <w:sz w:val="24"/>
                <w:lang w:val="en-US" w:eastAsia="zh-CN"/>
              </w:rPr>
              <w:t>响应内容或证明材料</w:t>
            </w:r>
            <w:r>
              <w:rPr>
                <w:rFonts w:hint="eastAsia" w:asciiTheme="minorEastAsia" w:hAnsiTheme="minorEastAsia" w:eastAsiaTheme="minorEastAsia"/>
                <w:sz w:val="24"/>
              </w:rPr>
              <w:t>不完整，</w:t>
            </w:r>
            <w:r>
              <w:rPr>
                <w:rFonts w:hint="eastAsia" w:asciiTheme="minorEastAsia" w:hAnsiTheme="minorEastAsia" w:eastAsiaTheme="minorEastAsia"/>
              </w:rPr>
              <w:t>基本能保证生产环境及生产条件的，卫生条件一般，布局一般</w:t>
            </w:r>
            <w:r>
              <w:rPr>
                <w:rFonts w:hint="eastAsia" w:asciiTheme="minorEastAsia" w:hAnsiTheme="minorEastAsia" w:eastAsiaTheme="minorEastAsia"/>
                <w:sz w:val="24"/>
              </w:rPr>
              <w:t>0</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分；</w:t>
            </w:r>
          </w:p>
          <w:p>
            <w:pPr>
              <w:numPr>
                <w:ilvl w:val="0"/>
                <w:numId w:val="4"/>
              </w:numPr>
              <w:spacing w:line="360" w:lineRule="auto"/>
              <w:jc w:val="left"/>
              <w:rPr>
                <w:rFonts w:hint="eastAsia"/>
                <w:lang w:val="en-US" w:eastAsia="zh-CN"/>
              </w:rPr>
            </w:pPr>
            <w:r>
              <w:rPr>
                <w:rFonts w:hint="eastAsia" w:asciiTheme="minorEastAsia" w:hAnsiTheme="minorEastAsia" w:eastAsiaTheme="minorEastAsia"/>
                <w:sz w:val="24"/>
              </w:rPr>
              <w:t>未提供的</w:t>
            </w:r>
            <w:r>
              <w:rPr>
                <w:rFonts w:hint="eastAsia" w:asciiTheme="minorEastAsia" w:hAnsiTheme="minorEastAsia" w:eastAsiaTheme="minorEastAsia"/>
                <w:sz w:val="24"/>
                <w:lang w:val="en-US" w:eastAsia="zh-CN"/>
              </w:rPr>
              <w:t>不得分</w:t>
            </w:r>
            <w:r>
              <w:rPr>
                <w:rFonts w:hint="eastAsia" w:asciiTheme="minorEastAsia" w:hAnsiTheme="minorEastAsia" w:eastAsia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jc w:val="center"/>
        </w:trPr>
        <w:tc>
          <w:tcPr>
            <w:tcW w:w="974" w:type="dxa"/>
            <w:vMerge w:val="continue"/>
            <w:tcBorders>
              <w:left w:val="single" w:color="000000" w:sz="4" w:space="0"/>
              <w:right w:val="single" w:color="000000" w:sz="4" w:space="0"/>
            </w:tcBorders>
            <w:noWrap w:val="0"/>
            <w:vAlign w:val="center"/>
          </w:tcPr>
          <w:p>
            <w:pPr>
              <w:spacing w:line="500" w:lineRule="exact"/>
              <w:jc w:val="center"/>
              <w:rPr>
                <w:rFonts w:hint="eastAsia" w:ascii="宋体" w:hAnsi="宋体" w:eastAsia="宋体" w:cs="宋体"/>
                <w:color w:val="auto"/>
                <w:sz w:val="24"/>
                <w:szCs w:val="24"/>
                <w:highlight w:val="none"/>
              </w:rPr>
            </w:pPr>
          </w:p>
        </w:tc>
        <w:tc>
          <w:tcPr>
            <w:tcW w:w="533"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3</w:t>
            </w:r>
          </w:p>
        </w:tc>
        <w:tc>
          <w:tcPr>
            <w:tcW w:w="7512"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所投产品厂家有可靠先进的生产设备，需附相关证明材料。</w:t>
            </w:r>
          </w:p>
          <w:p>
            <w:pPr>
              <w:numPr>
                <w:ilvl w:val="0"/>
                <w:numId w:val="5"/>
              </w:numPr>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响应内容及证明材料完整充分，</w:t>
            </w:r>
            <w:r>
              <w:rPr>
                <w:rFonts w:hint="eastAsia" w:asciiTheme="minorEastAsia" w:hAnsiTheme="minorEastAsia" w:eastAsiaTheme="minorEastAsia"/>
              </w:rPr>
              <w:t>设备完全满足生产需求，数量种类齐全，先进性强</w:t>
            </w:r>
            <w:r>
              <w:rPr>
                <w:rFonts w:hint="eastAsia" w:asciiTheme="minorEastAsia" w:hAnsiTheme="minorEastAsia" w:eastAsiaTheme="minorEastAsia"/>
                <w:sz w:val="24"/>
                <w:lang w:val="en-US" w:eastAsia="zh-CN"/>
              </w:rPr>
              <w:t>2.1</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分；</w:t>
            </w:r>
          </w:p>
          <w:p>
            <w:pPr>
              <w:numPr>
                <w:ilvl w:val="0"/>
                <w:numId w:val="5"/>
              </w:numPr>
              <w:spacing w:line="360" w:lineRule="auto"/>
              <w:jc w:val="left"/>
              <w:rPr>
                <w:rFonts w:hint="eastAsia" w:ascii="宋体" w:hAnsi="宋体" w:eastAsia="宋体" w:cs="宋体"/>
                <w:color w:val="auto"/>
                <w:sz w:val="24"/>
                <w:szCs w:val="24"/>
                <w:highlight w:val="none"/>
                <w:lang w:val="en-US" w:eastAsia="zh-CN"/>
              </w:rPr>
            </w:pPr>
            <w:r>
              <w:rPr>
                <w:rFonts w:hint="eastAsia" w:asciiTheme="minorEastAsia" w:hAnsiTheme="minorEastAsia" w:eastAsiaTheme="minorEastAsia"/>
                <w:sz w:val="24"/>
                <w:lang w:val="en-US" w:eastAsia="zh-CN"/>
              </w:rPr>
              <w:t>有响应内容及证明材料</w:t>
            </w:r>
            <w:r>
              <w:rPr>
                <w:rFonts w:hint="eastAsia" w:asciiTheme="minorEastAsia" w:hAnsiTheme="minorEastAsia" w:eastAsiaTheme="minorEastAsia"/>
                <w:sz w:val="24"/>
              </w:rPr>
              <w:t>，</w:t>
            </w:r>
            <w:r>
              <w:rPr>
                <w:rFonts w:hint="eastAsia" w:asciiTheme="minorEastAsia" w:hAnsiTheme="minorEastAsia" w:eastAsiaTheme="minorEastAsia"/>
              </w:rPr>
              <w:t>设备基本满足生产需求，数量种类较齐全，先进性较强</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.1-</w:t>
            </w: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rPr>
              <w:t>分；</w:t>
            </w:r>
          </w:p>
          <w:p>
            <w:pPr>
              <w:numPr>
                <w:ilvl w:val="0"/>
                <w:numId w:val="5"/>
              </w:numPr>
              <w:spacing w:line="360" w:lineRule="auto"/>
              <w:jc w:val="left"/>
              <w:rPr>
                <w:rFonts w:hint="eastAsia" w:ascii="宋体" w:hAnsi="宋体" w:eastAsia="宋体" w:cs="宋体"/>
                <w:color w:val="auto"/>
                <w:sz w:val="24"/>
                <w:szCs w:val="24"/>
                <w:highlight w:val="none"/>
                <w:lang w:val="en-US" w:eastAsia="zh-CN"/>
              </w:rPr>
            </w:pPr>
            <w:r>
              <w:rPr>
                <w:rFonts w:hint="eastAsia" w:asciiTheme="minorEastAsia" w:hAnsiTheme="minorEastAsia" w:eastAsiaTheme="minorEastAsia"/>
                <w:sz w:val="24"/>
                <w:lang w:val="en-US" w:eastAsia="zh-CN"/>
              </w:rPr>
              <w:t>响应内容或证明材料</w:t>
            </w:r>
            <w:r>
              <w:rPr>
                <w:rFonts w:hint="eastAsia" w:asciiTheme="minorEastAsia" w:hAnsiTheme="minorEastAsia" w:eastAsiaTheme="minorEastAsia"/>
                <w:sz w:val="24"/>
              </w:rPr>
              <w:t>不完整，</w:t>
            </w:r>
            <w:r>
              <w:rPr>
                <w:rFonts w:hint="eastAsia" w:asciiTheme="minorEastAsia" w:hAnsiTheme="minorEastAsia" w:eastAsiaTheme="minorEastAsia"/>
              </w:rPr>
              <w:t>设备满足生产需求一般，数量种类一般，先进性一般</w:t>
            </w:r>
            <w:r>
              <w:rPr>
                <w:rFonts w:hint="eastAsia" w:asciiTheme="minorEastAsia" w:hAnsiTheme="minorEastAsia" w:eastAsiaTheme="minorEastAsia"/>
                <w:sz w:val="24"/>
              </w:rPr>
              <w:t>0</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分；</w:t>
            </w:r>
          </w:p>
          <w:p>
            <w:pPr>
              <w:numPr>
                <w:ilvl w:val="0"/>
                <w:numId w:val="5"/>
              </w:numPr>
              <w:spacing w:line="360" w:lineRule="auto"/>
              <w:jc w:val="left"/>
              <w:rPr>
                <w:rFonts w:hint="eastAsia" w:ascii="宋体" w:hAnsi="宋体" w:eastAsia="宋体" w:cs="宋体"/>
                <w:color w:val="auto"/>
                <w:sz w:val="24"/>
                <w:szCs w:val="24"/>
                <w:highlight w:val="none"/>
                <w:lang w:val="en-US" w:eastAsia="zh-CN"/>
              </w:rPr>
            </w:pPr>
            <w:r>
              <w:rPr>
                <w:rFonts w:hint="eastAsia" w:asciiTheme="minorEastAsia" w:hAnsiTheme="minorEastAsia" w:eastAsiaTheme="minorEastAsia"/>
                <w:sz w:val="24"/>
              </w:rPr>
              <w:t>未提供的</w:t>
            </w:r>
            <w:r>
              <w:rPr>
                <w:rFonts w:hint="eastAsia" w:asciiTheme="minorEastAsia" w:hAnsiTheme="minorEastAsia" w:eastAsiaTheme="minorEastAsia"/>
                <w:sz w:val="24"/>
                <w:lang w:val="en-US" w:eastAsia="zh-CN"/>
              </w:rPr>
              <w:t>不得分</w:t>
            </w:r>
            <w:r>
              <w:rPr>
                <w:rFonts w:hint="eastAsia" w:asciiTheme="minorEastAsia" w:hAnsiTheme="minorEastAsia" w:eastAsia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3" w:hRule="atLeast"/>
          <w:jc w:val="center"/>
        </w:trPr>
        <w:tc>
          <w:tcPr>
            <w:tcW w:w="974" w:type="dxa"/>
            <w:vMerge w:val="continue"/>
            <w:tcBorders>
              <w:left w:val="single" w:color="000000" w:sz="4" w:space="0"/>
              <w:bottom w:val="single" w:color="000000" w:sz="4" w:space="0"/>
              <w:right w:val="single" w:color="000000" w:sz="4" w:space="0"/>
            </w:tcBorders>
            <w:noWrap w:val="0"/>
            <w:vAlign w:val="center"/>
          </w:tcPr>
          <w:p>
            <w:pPr>
              <w:spacing w:line="500" w:lineRule="exact"/>
              <w:jc w:val="center"/>
              <w:rPr>
                <w:rFonts w:hint="eastAsia" w:ascii="宋体" w:hAnsi="宋体" w:eastAsia="宋体" w:cs="宋体"/>
                <w:color w:val="auto"/>
                <w:sz w:val="24"/>
                <w:szCs w:val="24"/>
                <w:highlight w:val="none"/>
              </w:rPr>
            </w:pPr>
          </w:p>
        </w:tc>
        <w:tc>
          <w:tcPr>
            <w:tcW w:w="533"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7</w:t>
            </w:r>
          </w:p>
        </w:tc>
        <w:tc>
          <w:tcPr>
            <w:tcW w:w="7512"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spacing w:line="360" w:lineRule="auto"/>
              <w:jc w:val="left"/>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6.</w:t>
            </w:r>
            <w:r>
              <w:rPr>
                <w:rFonts w:hint="eastAsia" w:asciiTheme="minorEastAsia" w:hAnsiTheme="minorEastAsia" w:eastAsiaTheme="minorEastAsia"/>
                <w:sz w:val="24"/>
              </w:rPr>
              <w:t>投标人针对本项目有具体的供货组织安排，详细的人员、财力调配、</w:t>
            </w:r>
            <w:r>
              <w:rPr>
                <w:rFonts w:hint="eastAsia" w:ascii="宋体" w:hAnsi="宋体" w:eastAsia="宋体" w:cs="宋体"/>
                <w:color w:val="auto"/>
                <w:sz w:val="24"/>
                <w:szCs w:val="24"/>
                <w:highlight w:val="none"/>
              </w:rPr>
              <w:t>运输</w:t>
            </w:r>
            <w:r>
              <w:rPr>
                <w:rFonts w:hint="eastAsia" w:ascii="宋体" w:hAnsi="宋体" w:eastAsia="宋体" w:cs="宋体"/>
                <w:color w:val="auto"/>
                <w:sz w:val="24"/>
                <w:szCs w:val="24"/>
                <w:highlight w:val="none"/>
                <w:lang w:val="en-US" w:eastAsia="zh-CN"/>
              </w:rPr>
              <w:t>车辆配送方案</w:t>
            </w:r>
            <w:r>
              <w:rPr>
                <w:rFonts w:hint="eastAsia" w:asciiTheme="minorEastAsia" w:hAnsiTheme="minorEastAsia" w:eastAsiaTheme="minorEastAsia"/>
                <w:sz w:val="24"/>
              </w:rPr>
              <w:t>、派送措施等</w:t>
            </w:r>
            <w:r>
              <w:rPr>
                <w:rFonts w:hint="eastAsia" w:asciiTheme="minorEastAsia" w:hAnsiTheme="minorEastAsia" w:eastAsiaTheme="minorEastAsia"/>
                <w:sz w:val="24"/>
                <w:lang w:val="en-US" w:eastAsia="zh-CN"/>
              </w:rPr>
              <w:t>。</w:t>
            </w:r>
          </w:p>
          <w:p>
            <w:pPr>
              <w:numPr>
                <w:ilvl w:val="0"/>
                <w:numId w:val="0"/>
              </w:numPr>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1）方案</w:t>
            </w:r>
            <w:r>
              <w:rPr>
                <w:rFonts w:hint="eastAsia" w:asciiTheme="minorEastAsia" w:hAnsiTheme="minorEastAsia" w:eastAsiaTheme="minorEastAsia"/>
                <w:sz w:val="24"/>
              </w:rPr>
              <w:t>合理、</w:t>
            </w:r>
            <w:r>
              <w:rPr>
                <w:rFonts w:hint="eastAsia" w:asciiTheme="minorEastAsia" w:hAnsiTheme="minorEastAsia" w:eastAsiaTheme="minorEastAsia"/>
              </w:rPr>
              <w:t>可行性强，完全满足采购需求</w:t>
            </w:r>
            <w:r>
              <w:rPr>
                <w:rFonts w:hint="eastAsia" w:asciiTheme="minorEastAsia" w:hAnsiTheme="minorEastAsia" w:eastAsiaTheme="minorEastAsia"/>
                <w:sz w:val="24"/>
              </w:rPr>
              <w:t>，资料齐全计</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.1-</w:t>
            </w:r>
            <w:r>
              <w:rPr>
                <w:rFonts w:hint="eastAsia" w:asciiTheme="minorEastAsia" w:hAnsiTheme="minorEastAsia" w:eastAsiaTheme="minorEastAsia"/>
                <w:sz w:val="24"/>
                <w:lang w:val="en-US" w:eastAsia="zh-CN"/>
              </w:rPr>
              <w:t>7</w:t>
            </w:r>
            <w:r>
              <w:rPr>
                <w:rFonts w:hint="eastAsia" w:asciiTheme="minorEastAsia" w:hAnsiTheme="minorEastAsia" w:eastAsiaTheme="minorEastAsia"/>
                <w:sz w:val="24"/>
              </w:rPr>
              <w:t>分；</w:t>
            </w:r>
          </w:p>
          <w:p>
            <w:pPr>
              <w:numPr>
                <w:ilvl w:val="0"/>
                <w:numId w:val="0"/>
              </w:numPr>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2）</w:t>
            </w:r>
            <w:r>
              <w:rPr>
                <w:rFonts w:hint="eastAsia" w:asciiTheme="minorEastAsia" w:hAnsiTheme="minorEastAsia" w:eastAsiaTheme="minorEastAsia"/>
              </w:rPr>
              <w:t>方案基本合理，可行性较强，基本满足采购需求</w:t>
            </w:r>
            <w:r>
              <w:rPr>
                <w:rFonts w:hint="eastAsia" w:asciiTheme="minorEastAsia" w:hAnsiTheme="minorEastAsia" w:eastAsiaTheme="minorEastAsia"/>
                <w:sz w:val="24"/>
              </w:rPr>
              <w:t>，资料未提供齐全计</w:t>
            </w:r>
            <w:r>
              <w:rPr>
                <w:rFonts w:hint="eastAsia" w:asciiTheme="minorEastAsia" w:hAnsiTheme="minorEastAsia" w:eastAsiaTheme="minorEastAsia"/>
                <w:sz w:val="24"/>
                <w:lang w:val="en-US" w:eastAsia="zh-CN"/>
              </w:rPr>
              <w:t>2.1</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分；</w:t>
            </w:r>
          </w:p>
          <w:p>
            <w:pPr>
              <w:numPr>
                <w:ilvl w:val="0"/>
                <w:numId w:val="0"/>
              </w:numPr>
              <w:spacing w:line="360" w:lineRule="auto"/>
              <w:jc w:val="left"/>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3）方案不完善，未能完整表述计0.1-2分；</w:t>
            </w:r>
          </w:p>
          <w:p>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未提供的不计分。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74" w:type="dxa"/>
            <w:vMerge w:val="restart"/>
            <w:tcBorders>
              <w:top w:val="single" w:color="000000" w:sz="4" w:space="0"/>
              <w:left w:val="single" w:color="000000" w:sz="4" w:space="0"/>
              <w:right w:val="single" w:color="000000" w:sz="4" w:space="0"/>
            </w:tcBorders>
            <w:noWrap w:val="0"/>
            <w:vAlign w:val="center"/>
          </w:tcPr>
          <w:p>
            <w:pPr>
              <w:pStyle w:val="11"/>
              <w:keepNext w:val="0"/>
              <w:keepLines w:val="0"/>
              <w:pageBreakBefore w:val="0"/>
              <w:widowControl w:val="0"/>
              <w:tabs>
                <w:tab w:val="left" w:pos="6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p>
          <w:p>
            <w:pPr>
              <w:pStyle w:val="11"/>
              <w:keepNext w:val="0"/>
              <w:keepLines w:val="0"/>
              <w:pageBreakBefore w:val="0"/>
              <w:widowControl w:val="0"/>
              <w:tabs>
                <w:tab w:val="left" w:pos="6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p>
          <w:p>
            <w:pPr>
              <w:pStyle w:val="11"/>
              <w:keepNext w:val="0"/>
              <w:keepLines w:val="0"/>
              <w:pageBreakBefore w:val="0"/>
              <w:widowControl w:val="0"/>
              <w:tabs>
                <w:tab w:val="left" w:pos="6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p>
          <w:p>
            <w:pPr>
              <w:pStyle w:val="11"/>
              <w:keepNext w:val="0"/>
              <w:keepLines w:val="0"/>
              <w:pageBreakBefore w:val="0"/>
              <w:widowControl w:val="0"/>
              <w:tabs>
                <w:tab w:val="left" w:pos="6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p>
          <w:p>
            <w:pPr>
              <w:pStyle w:val="11"/>
              <w:keepNext w:val="0"/>
              <w:keepLines w:val="0"/>
              <w:pageBreakBefore w:val="0"/>
              <w:widowControl w:val="0"/>
              <w:tabs>
                <w:tab w:val="left" w:pos="6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p>
          <w:p>
            <w:pPr>
              <w:pStyle w:val="11"/>
              <w:keepNext w:val="0"/>
              <w:keepLines w:val="0"/>
              <w:pageBreakBefore w:val="0"/>
              <w:widowControl w:val="0"/>
              <w:tabs>
                <w:tab w:val="left" w:pos="6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2"/>
                <w:sz w:val="24"/>
                <w:szCs w:val="24"/>
                <w:highlight w:val="none"/>
                <w:lang w:val="en-US" w:eastAsia="zh-CN" w:bidi="ar-SA"/>
              </w:rPr>
              <w:t>产品质量保证</w:t>
            </w:r>
            <w:r>
              <w:rPr>
                <w:rFonts w:hint="eastAsia" w:ascii="宋体" w:hAnsi="宋体" w:eastAsia="宋体" w:cs="宋体"/>
                <w:sz w:val="24"/>
                <w:szCs w:val="24"/>
                <w:highlight w:val="none"/>
                <w:lang w:val="en-US" w:eastAsia="zh-CN"/>
              </w:rPr>
              <w:t>（14）</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idowControl w:val="0"/>
              <w:tabs>
                <w:tab w:val="left" w:pos="600"/>
              </w:tabs>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3</w:t>
            </w:r>
          </w:p>
        </w:tc>
        <w:tc>
          <w:tcPr>
            <w:tcW w:w="7512"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spacing w:line="360" w:lineRule="auto"/>
              <w:jc w:val="left"/>
              <w:rPr>
                <w:rFonts w:hint="eastAsia"/>
              </w:rPr>
            </w:pPr>
            <w:r>
              <w:rPr>
                <w:rFonts w:hint="eastAsia"/>
                <w:lang w:val="en-US" w:eastAsia="zh-CN"/>
              </w:rPr>
              <w:t>1.</w:t>
            </w:r>
            <w:r>
              <w:rPr>
                <w:rFonts w:hint="eastAsia"/>
              </w:rPr>
              <w:t>所投产品货源渠道正常，产品质量符合国家或行业标准。</w:t>
            </w:r>
          </w:p>
          <w:p>
            <w:pPr>
              <w:numPr>
                <w:ilvl w:val="0"/>
                <w:numId w:val="6"/>
              </w:numPr>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响应内容及证明材料完整充分</w:t>
            </w:r>
            <w:r>
              <w:rPr>
                <w:rFonts w:hint="eastAsia" w:asciiTheme="minorEastAsia" w:hAnsiTheme="minorEastAsia" w:eastAsiaTheme="minorEastAsia"/>
                <w:sz w:val="24"/>
              </w:rPr>
              <w:t>计</w:t>
            </w:r>
            <w:r>
              <w:rPr>
                <w:rFonts w:hint="eastAsia" w:asciiTheme="minorEastAsia" w:hAnsiTheme="minorEastAsia" w:eastAsiaTheme="minorEastAsia"/>
                <w:sz w:val="24"/>
                <w:lang w:val="en-US" w:eastAsia="zh-CN"/>
              </w:rPr>
              <w:t>2.1</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分；</w:t>
            </w:r>
          </w:p>
          <w:p>
            <w:pPr>
              <w:numPr>
                <w:ilvl w:val="0"/>
                <w:numId w:val="6"/>
              </w:numPr>
              <w:spacing w:line="360" w:lineRule="auto"/>
              <w:jc w:val="left"/>
              <w:rPr>
                <w:rFonts w:hint="eastAsia" w:ascii="宋体" w:hAnsi="宋体" w:eastAsia="宋体" w:cs="宋体"/>
                <w:color w:val="auto"/>
                <w:sz w:val="24"/>
                <w:szCs w:val="24"/>
                <w:highlight w:val="none"/>
                <w:lang w:val="en-US" w:eastAsia="zh-CN"/>
              </w:rPr>
            </w:pPr>
            <w:r>
              <w:rPr>
                <w:rFonts w:hint="eastAsia" w:asciiTheme="minorEastAsia" w:hAnsiTheme="minorEastAsia" w:eastAsiaTheme="minorEastAsia"/>
                <w:sz w:val="24"/>
                <w:lang w:val="en-US" w:eastAsia="zh-CN"/>
              </w:rPr>
              <w:t>有响应内容，但证明材料不完整</w:t>
            </w:r>
            <w:r>
              <w:rPr>
                <w:rFonts w:hint="eastAsia" w:asciiTheme="minorEastAsia" w:hAnsiTheme="minorEastAsia" w:eastAsiaTheme="minorEastAsia"/>
                <w:sz w:val="24"/>
              </w:rPr>
              <w:t>计</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.1-</w:t>
            </w: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rPr>
              <w:t>分；</w:t>
            </w:r>
          </w:p>
          <w:p>
            <w:pPr>
              <w:numPr>
                <w:ilvl w:val="0"/>
                <w:numId w:val="6"/>
              </w:numPr>
              <w:spacing w:line="360" w:lineRule="auto"/>
              <w:jc w:val="left"/>
              <w:rPr>
                <w:rFonts w:hint="eastAsia"/>
                <w:lang w:val="en-US" w:eastAsia="zh-CN"/>
              </w:rPr>
            </w:pPr>
            <w:r>
              <w:rPr>
                <w:rFonts w:hint="eastAsia" w:asciiTheme="minorEastAsia" w:hAnsiTheme="minorEastAsia" w:eastAsiaTheme="minorEastAsia"/>
                <w:sz w:val="24"/>
                <w:lang w:val="en-US" w:eastAsia="zh-CN"/>
              </w:rPr>
              <w:t>响应内容</w:t>
            </w:r>
            <w:r>
              <w:rPr>
                <w:rFonts w:hint="eastAsia" w:asciiTheme="minorEastAsia" w:hAnsiTheme="minorEastAsia" w:eastAsiaTheme="minorEastAsia"/>
                <w:sz w:val="24"/>
              </w:rPr>
              <w:t>不完整，未能完整表述计0</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分；</w:t>
            </w:r>
          </w:p>
          <w:p>
            <w:pPr>
              <w:numPr>
                <w:ilvl w:val="0"/>
                <w:numId w:val="6"/>
              </w:numPr>
              <w:spacing w:line="360" w:lineRule="auto"/>
              <w:jc w:val="left"/>
              <w:rPr>
                <w:rFonts w:hint="eastAsia"/>
                <w:lang w:val="en-US" w:eastAsia="zh-CN"/>
              </w:rPr>
            </w:pPr>
            <w:r>
              <w:rPr>
                <w:rFonts w:hint="eastAsia" w:asciiTheme="minorEastAsia" w:hAnsiTheme="minorEastAsia" w:eastAsiaTheme="minorEastAsia"/>
                <w:sz w:val="24"/>
              </w:rPr>
              <w:t>未提供的</w:t>
            </w:r>
            <w:r>
              <w:rPr>
                <w:rFonts w:hint="eastAsia" w:asciiTheme="minorEastAsia" w:hAnsiTheme="minorEastAsia" w:eastAsiaTheme="minorEastAsia"/>
                <w:sz w:val="24"/>
                <w:lang w:val="en-US" w:eastAsia="zh-CN"/>
              </w:rPr>
              <w:t>不得分</w:t>
            </w:r>
            <w:r>
              <w:rPr>
                <w:rFonts w:hint="eastAsia" w:asciiTheme="minorEastAsia" w:hAnsiTheme="minorEastAsia" w:eastAsia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9" w:hRule="atLeast"/>
          <w:jc w:val="center"/>
        </w:trPr>
        <w:tc>
          <w:tcPr>
            <w:tcW w:w="974" w:type="dxa"/>
            <w:vMerge w:val="continue"/>
            <w:tcBorders>
              <w:left w:val="single" w:color="000000" w:sz="4" w:space="0"/>
              <w:right w:val="single" w:color="000000" w:sz="4" w:space="0"/>
            </w:tcBorders>
            <w:noWrap w:val="0"/>
            <w:vAlign w:val="center"/>
          </w:tcPr>
          <w:p>
            <w:pPr>
              <w:pStyle w:val="11"/>
              <w:keepNext w:val="0"/>
              <w:keepLines w:val="0"/>
              <w:pageBreakBefore w:val="0"/>
              <w:widowControl w:val="0"/>
              <w:tabs>
                <w:tab w:val="left" w:pos="6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p>
        </w:tc>
        <w:tc>
          <w:tcPr>
            <w:tcW w:w="533" w:type="dxa"/>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idowControl w:val="0"/>
              <w:tabs>
                <w:tab w:val="left" w:pos="600"/>
              </w:tabs>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3</w:t>
            </w:r>
          </w:p>
        </w:tc>
        <w:tc>
          <w:tcPr>
            <w:tcW w:w="7512"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spacing w:line="360" w:lineRule="auto"/>
              <w:jc w:val="left"/>
              <w:rPr>
                <w:rFonts w:hint="eastAsia"/>
              </w:rPr>
            </w:pPr>
            <w:r>
              <w:rPr>
                <w:rFonts w:hint="eastAsia"/>
                <w:lang w:val="en-US" w:eastAsia="zh-CN"/>
              </w:rPr>
              <w:t>2.</w:t>
            </w:r>
            <w:r>
              <w:rPr>
                <w:rFonts w:hint="eastAsia"/>
              </w:rPr>
              <w:t>投标人须承诺所投产品的生产日期为最新生产，保证未过期、不变质、不变味、无杂质、无毒无害，符合国家食品卫生有关规定</w:t>
            </w:r>
            <w:r>
              <w:rPr>
                <w:rFonts w:hint="eastAsia"/>
                <w:lang w:eastAsia="zh-CN"/>
              </w:rPr>
              <w:t>。</w:t>
            </w:r>
          </w:p>
          <w:p>
            <w:pPr>
              <w:numPr>
                <w:ilvl w:val="0"/>
                <w:numId w:val="7"/>
              </w:numPr>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响应内容完整充分，完全并优于采购要求</w:t>
            </w:r>
            <w:r>
              <w:rPr>
                <w:rFonts w:hint="eastAsia" w:asciiTheme="minorEastAsia" w:hAnsiTheme="minorEastAsia" w:eastAsiaTheme="minorEastAsia"/>
                <w:sz w:val="24"/>
              </w:rPr>
              <w:t>计</w:t>
            </w:r>
            <w:r>
              <w:rPr>
                <w:rFonts w:hint="eastAsia" w:asciiTheme="minorEastAsia" w:hAnsiTheme="minorEastAsia" w:eastAsiaTheme="minorEastAsia"/>
                <w:sz w:val="24"/>
                <w:lang w:val="en-US" w:eastAsia="zh-CN"/>
              </w:rPr>
              <w:t>2.1</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分；</w:t>
            </w:r>
          </w:p>
          <w:p>
            <w:pPr>
              <w:numPr>
                <w:ilvl w:val="0"/>
                <w:numId w:val="7"/>
              </w:numPr>
              <w:spacing w:line="360" w:lineRule="auto"/>
              <w:jc w:val="left"/>
              <w:rPr>
                <w:rFonts w:hint="eastAsia" w:ascii="宋体" w:hAnsi="宋体" w:eastAsia="宋体" w:cs="宋体"/>
                <w:color w:val="auto"/>
                <w:sz w:val="24"/>
                <w:szCs w:val="24"/>
                <w:highlight w:val="none"/>
                <w:lang w:val="en-US" w:eastAsia="zh-CN"/>
              </w:rPr>
            </w:pPr>
            <w:r>
              <w:rPr>
                <w:rFonts w:hint="eastAsia" w:asciiTheme="minorEastAsia" w:hAnsiTheme="minorEastAsia" w:eastAsiaTheme="minorEastAsia"/>
                <w:sz w:val="24"/>
                <w:lang w:val="en-US" w:eastAsia="zh-CN"/>
              </w:rPr>
              <w:t>有响应内容</w:t>
            </w:r>
            <w:r>
              <w:rPr>
                <w:rFonts w:hint="eastAsia" w:asciiTheme="minorEastAsia" w:hAnsiTheme="minorEastAsia" w:eastAsiaTheme="minorEastAsia"/>
                <w:sz w:val="24"/>
              </w:rPr>
              <w:t>，基本达到采购要求</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.1-</w:t>
            </w: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rPr>
              <w:t>分；</w:t>
            </w:r>
          </w:p>
          <w:p>
            <w:pPr>
              <w:numPr>
                <w:ilvl w:val="0"/>
                <w:numId w:val="7"/>
              </w:numPr>
              <w:spacing w:line="360" w:lineRule="auto"/>
              <w:jc w:val="left"/>
              <w:rPr>
                <w:rFonts w:hint="eastAsia"/>
                <w:lang w:val="en-US" w:eastAsia="zh-CN"/>
              </w:rPr>
            </w:pPr>
            <w:r>
              <w:rPr>
                <w:rFonts w:hint="eastAsia" w:asciiTheme="minorEastAsia" w:hAnsiTheme="minorEastAsia" w:eastAsiaTheme="minorEastAsia"/>
                <w:sz w:val="24"/>
                <w:lang w:val="en-US" w:eastAsia="zh-CN"/>
              </w:rPr>
              <w:t>响应内容</w:t>
            </w:r>
            <w:r>
              <w:rPr>
                <w:rFonts w:hint="eastAsia" w:asciiTheme="minorEastAsia" w:hAnsiTheme="minorEastAsia" w:eastAsiaTheme="minorEastAsia"/>
                <w:sz w:val="24"/>
              </w:rPr>
              <w:t>不完整，未能完整表述计0</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分；</w:t>
            </w:r>
          </w:p>
          <w:p>
            <w:pPr>
              <w:numPr>
                <w:ilvl w:val="0"/>
                <w:numId w:val="0"/>
              </w:numPr>
              <w:spacing w:line="360" w:lineRule="auto"/>
              <w:jc w:val="left"/>
              <w:rPr>
                <w:rFonts w:hint="eastAsia"/>
                <w:lang w:val="en-US" w:eastAsia="zh-CN"/>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未提供的</w:t>
            </w:r>
            <w:r>
              <w:rPr>
                <w:rFonts w:hint="eastAsia" w:asciiTheme="minorEastAsia" w:hAnsiTheme="minorEastAsia" w:eastAsiaTheme="minorEastAsia"/>
                <w:sz w:val="24"/>
                <w:lang w:val="en-US" w:eastAsia="zh-CN"/>
              </w:rPr>
              <w:t>不得分</w:t>
            </w:r>
            <w:r>
              <w:rPr>
                <w:rFonts w:hint="eastAsia" w:asciiTheme="minorEastAsia" w:hAnsiTheme="minorEastAsia" w:eastAsia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7" w:hRule="atLeast"/>
          <w:jc w:val="center"/>
        </w:trPr>
        <w:tc>
          <w:tcPr>
            <w:tcW w:w="974" w:type="dxa"/>
            <w:vMerge w:val="continue"/>
            <w:tcBorders>
              <w:left w:val="single" w:color="000000" w:sz="4" w:space="0"/>
              <w:right w:val="single" w:color="000000" w:sz="4" w:space="0"/>
            </w:tcBorders>
            <w:noWrap w:val="0"/>
            <w:vAlign w:val="center"/>
          </w:tcPr>
          <w:p>
            <w:pPr>
              <w:pStyle w:val="11"/>
              <w:keepNext w:val="0"/>
              <w:keepLines w:val="0"/>
              <w:pageBreakBefore w:val="0"/>
              <w:widowControl w:val="0"/>
              <w:tabs>
                <w:tab w:val="left" w:pos="6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p>
        </w:tc>
        <w:tc>
          <w:tcPr>
            <w:tcW w:w="533" w:type="dxa"/>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idowControl w:val="0"/>
              <w:tabs>
                <w:tab w:val="left" w:pos="600"/>
              </w:tabs>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3</w:t>
            </w:r>
          </w:p>
        </w:tc>
        <w:tc>
          <w:tcPr>
            <w:tcW w:w="7512"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spacing w:line="360" w:lineRule="auto"/>
              <w:ind w:leftChars="0"/>
              <w:jc w:val="left"/>
              <w:rPr>
                <w:rFonts w:hint="eastAsia"/>
              </w:rPr>
            </w:pPr>
            <w:r>
              <w:rPr>
                <w:rFonts w:hint="eastAsia"/>
                <w:lang w:val="en-US" w:eastAsia="zh-CN"/>
              </w:rPr>
              <w:t>3.</w:t>
            </w:r>
            <w:r>
              <w:rPr>
                <w:rFonts w:hint="eastAsia"/>
              </w:rPr>
              <w:t>针对运输途中产生的破损、胀袋等有无补救措施和承诺</w:t>
            </w:r>
            <w:r>
              <w:rPr>
                <w:rFonts w:hint="eastAsia"/>
                <w:lang w:eastAsia="zh-CN"/>
              </w:rPr>
              <w:t>。</w:t>
            </w:r>
          </w:p>
          <w:p>
            <w:pPr>
              <w:numPr>
                <w:ilvl w:val="0"/>
                <w:numId w:val="8"/>
              </w:numPr>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措施和承诺详细、具体，可操作性强</w:t>
            </w:r>
            <w:r>
              <w:rPr>
                <w:rFonts w:hint="eastAsia" w:asciiTheme="minorEastAsia" w:hAnsiTheme="minorEastAsia" w:eastAsiaTheme="minorEastAsia"/>
                <w:sz w:val="24"/>
              </w:rPr>
              <w:t>计</w:t>
            </w:r>
            <w:r>
              <w:rPr>
                <w:rFonts w:hint="eastAsia" w:asciiTheme="minorEastAsia" w:hAnsiTheme="minorEastAsia" w:eastAsiaTheme="minorEastAsia"/>
                <w:sz w:val="24"/>
                <w:lang w:val="en-US" w:eastAsia="zh-CN"/>
              </w:rPr>
              <w:t>1.1</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分；</w:t>
            </w:r>
          </w:p>
          <w:p>
            <w:pPr>
              <w:numPr>
                <w:ilvl w:val="0"/>
                <w:numId w:val="8"/>
              </w:numPr>
              <w:spacing w:line="360" w:lineRule="auto"/>
              <w:jc w:val="left"/>
              <w:rPr>
                <w:rFonts w:hint="eastAsia"/>
                <w:lang w:eastAsia="zh-CN"/>
              </w:rPr>
            </w:pPr>
            <w:r>
              <w:rPr>
                <w:rFonts w:hint="eastAsia" w:asciiTheme="minorEastAsia" w:hAnsiTheme="minorEastAsia" w:eastAsiaTheme="minorEastAsia"/>
                <w:sz w:val="24"/>
                <w:lang w:val="en-US" w:eastAsia="zh-CN"/>
              </w:rPr>
              <w:t>措施或承诺</w:t>
            </w:r>
            <w:r>
              <w:rPr>
                <w:rFonts w:hint="eastAsia" w:asciiTheme="minorEastAsia" w:hAnsiTheme="minorEastAsia" w:eastAsiaTheme="minorEastAsia"/>
                <w:sz w:val="24"/>
              </w:rPr>
              <w:t>内容不完整，未能完整表述计0</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分；</w:t>
            </w:r>
          </w:p>
          <w:p>
            <w:pPr>
              <w:numPr>
                <w:ilvl w:val="0"/>
                <w:numId w:val="8"/>
              </w:numPr>
              <w:spacing w:line="360" w:lineRule="auto"/>
              <w:jc w:val="left"/>
              <w:rPr>
                <w:rFonts w:hint="eastAsia"/>
                <w:lang w:val="en-US" w:eastAsia="zh-CN"/>
              </w:rPr>
            </w:pPr>
            <w:r>
              <w:rPr>
                <w:rFonts w:hint="eastAsia" w:asciiTheme="minorEastAsia" w:hAnsiTheme="minorEastAsia" w:eastAsiaTheme="minorEastAsia"/>
                <w:sz w:val="24"/>
              </w:rPr>
              <w:t>未提供的</w:t>
            </w:r>
            <w:r>
              <w:rPr>
                <w:rFonts w:hint="eastAsia" w:asciiTheme="minorEastAsia" w:hAnsiTheme="minorEastAsia" w:eastAsiaTheme="minorEastAsia"/>
                <w:sz w:val="24"/>
                <w:lang w:val="en-US" w:eastAsia="zh-CN"/>
              </w:rPr>
              <w:t>不得分</w:t>
            </w:r>
            <w:r>
              <w:rPr>
                <w:rFonts w:hint="eastAsia" w:asciiTheme="minorEastAsia" w:hAnsiTheme="minorEastAsia" w:eastAsia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7" w:hRule="atLeast"/>
          <w:jc w:val="center"/>
        </w:trPr>
        <w:tc>
          <w:tcPr>
            <w:tcW w:w="974" w:type="dxa"/>
            <w:vMerge w:val="continue"/>
            <w:tcBorders>
              <w:left w:val="single" w:color="000000" w:sz="4" w:space="0"/>
              <w:right w:val="single" w:color="000000" w:sz="4" w:space="0"/>
            </w:tcBorders>
            <w:noWrap w:val="0"/>
            <w:vAlign w:val="center"/>
          </w:tcPr>
          <w:p>
            <w:pPr>
              <w:pStyle w:val="11"/>
              <w:keepNext w:val="0"/>
              <w:keepLines w:val="0"/>
              <w:pageBreakBefore w:val="0"/>
              <w:widowControl w:val="0"/>
              <w:tabs>
                <w:tab w:val="left" w:pos="6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p>
        </w:tc>
        <w:tc>
          <w:tcPr>
            <w:tcW w:w="533" w:type="dxa"/>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idowControl w:val="0"/>
              <w:tabs>
                <w:tab w:val="left" w:pos="600"/>
              </w:tabs>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5</w:t>
            </w:r>
          </w:p>
        </w:tc>
        <w:tc>
          <w:tcPr>
            <w:tcW w:w="7512"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spacing w:line="360" w:lineRule="auto"/>
              <w:jc w:val="left"/>
              <w:rPr>
                <w:rFonts w:hint="eastAsia"/>
                <w:lang w:val="en-US" w:eastAsia="zh-CN"/>
              </w:rPr>
            </w:pPr>
            <w:r>
              <w:rPr>
                <w:rFonts w:hint="eastAsia"/>
                <w:lang w:val="en-US" w:eastAsia="zh-CN"/>
              </w:rPr>
              <w:t>4.突发情况处理及食品安全应急预案。</w:t>
            </w:r>
          </w:p>
          <w:p>
            <w:pPr>
              <w:numPr>
                <w:ilvl w:val="0"/>
                <w:numId w:val="9"/>
              </w:numPr>
              <w:spacing w:line="360" w:lineRule="auto"/>
              <w:jc w:val="left"/>
              <w:rPr>
                <w:rFonts w:hint="eastAsia" w:asciiTheme="minorEastAsia" w:hAnsiTheme="minorEastAsia" w:eastAsiaTheme="minorEastAsia"/>
                <w:sz w:val="24"/>
              </w:rPr>
            </w:pPr>
            <w:r>
              <w:rPr>
                <w:rFonts w:hint="eastAsia"/>
                <w:lang w:val="en-US" w:eastAsia="zh-CN"/>
              </w:rPr>
              <w:t>应急预案</w:t>
            </w:r>
            <w:r>
              <w:rPr>
                <w:rFonts w:hint="eastAsia" w:asciiTheme="minorEastAsia" w:hAnsiTheme="minorEastAsia" w:eastAsiaTheme="minorEastAsia"/>
                <w:sz w:val="24"/>
                <w:lang w:val="en-US" w:eastAsia="zh-CN"/>
              </w:rPr>
              <w:t>详细、具体，可操作性强</w:t>
            </w:r>
            <w:r>
              <w:rPr>
                <w:rFonts w:hint="eastAsia" w:asciiTheme="minorEastAsia" w:hAnsiTheme="minorEastAsia" w:eastAsiaTheme="minorEastAsia"/>
                <w:sz w:val="24"/>
              </w:rPr>
              <w:t>计</w:t>
            </w:r>
            <w:r>
              <w:rPr>
                <w:rFonts w:hint="eastAsia" w:asciiTheme="minorEastAsia" w:hAnsiTheme="minorEastAsia" w:eastAsiaTheme="minorEastAsia"/>
                <w:sz w:val="24"/>
                <w:lang w:val="en-US" w:eastAsia="zh-CN"/>
              </w:rPr>
              <w:t>3.1</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分；</w:t>
            </w:r>
          </w:p>
          <w:p>
            <w:pPr>
              <w:numPr>
                <w:ilvl w:val="0"/>
                <w:numId w:val="9"/>
              </w:numPr>
              <w:spacing w:line="360" w:lineRule="auto"/>
              <w:jc w:val="left"/>
              <w:rPr>
                <w:rFonts w:hint="eastAsia"/>
                <w:lang w:val="en-US" w:eastAsia="zh-CN"/>
              </w:rPr>
            </w:pPr>
            <w:r>
              <w:rPr>
                <w:rFonts w:hint="eastAsia"/>
                <w:lang w:val="en-US" w:eastAsia="zh-CN"/>
              </w:rPr>
              <w:t>应急预案</w:t>
            </w:r>
            <w:r>
              <w:rPr>
                <w:rFonts w:hint="eastAsia" w:asciiTheme="minorEastAsia" w:hAnsiTheme="minorEastAsia" w:eastAsiaTheme="minorEastAsia"/>
                <w:sz w:val="24"/>
              </w:rPr>
              <w:t>内容不完整，未能完整表述计0</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分；</w:t>
            </w:r>
          </w:p>
          <w:p>
            <w:pPr>
              <w:numPr>
                <w:ilvl w:val="0"/>
                <w:numId w:val="9"/>
              </w:numPr>
              <w:spacing w:line="360" w:lineRule="auto"/>
              <w:jc w:val="left"/>
              <w:rPr>
                <w:rFonts w:hint="eastAsia"/>
              </w:rPr>
            </w:pPr>
            <w:r>
              <w:rPr>
                <w:rFonts w:hint="eastAsia" w:asciiTheme="minorEastAsia" w:hAnsiTheme="minorEastAsia" w:eastAsiaTheme="minorEastAsia"/>
                <w:sz w:val="24"/>
              </w:rPr>
              <w:t>未提供的</w:t>
            </w:r>
            <w:r>
              <w:rPr>
                <w:rFonts w:hint="eastAsia" w:asciiTheme="minorEastAsia" w:hAnsiTheme="minorEastAsia" w:eastAsiaTheme="minorEastAsia"/>
                <w:sz w:val="24"/>
                <w:lang w:val="en-US" w:eastAsia="zh-CN"/>
              </w:rPr>
              <w:t>不得分</w:t>
            </w:r>
            <w:r>
              <w:rPr>
                <w:rFonts w:hint="eastAsia" w:asciiTheme="minorEastAsia" w:hAnsiTheme="minorEastAsia" w:eastAsia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6" w:hRule="atLeast"/>
          <w:jc w:val="center"/>
        </w:trPr>
        <w:tc>
          <w:tcPr>
            <w:tcW w:w="974" w:type="dxa"/>
            <w:tcBorders>
              <w:left w:val="single" w:color="000000" w:sz="4" w:space="0"/>
              <w:right w:val="single" w:color="000000" w:sz="4" w:space="0"/>
            </w:tcBorders>
            <w:noWrap w:val="0"/>
            <w:vAlign w:val="center"/>
          </w:tcPr>
          <w:p>
            <w:pPr>
              <w:spacing w:line="360" w:lineRule="auto"/>
              <w:jc w:val="center"/>
              <w:rPr>
                <w:rFonts w:hint="eastAsia" w:asciiTheme="minorEastAsia" w:hAnsiTheme="minorEastAsia" w:eastAsiaTheme="minorEastAsia"/>
                <w:sz w:val="24"/>
                <w:szCs w:val="22"/>
                <w:lang w:val="en-US" w:eastAsia="zh-CN"/>
              </w:rPr>
            </w:pPr>
            <w:r>
              <w:rPr>
                <w:rFonts w:hint="eastAsia" w:asciiTheme="minorEastAsia" w:hAnsiTheme="minorEastAsia" w:eastAsiaTheme="minorEastAsia"/>
                <w:sz w:val="24"/>
                <w:szCs w:val="22"/>
              </w:rPr>
              <w:t>售后服务方案</w:t>
            </w:r>
            <w:r>
              <w:rPr>
                <w:rFonts w:hint="eastAsia" w:asciiTheme="minorEastAsia" w:hAnsiTheme="minorEastAsia" w:eastAsiaTheme="minorEastAsia"/>
                <w:sz w:val="24"/>
                <w:szCs w:val="22"/>
                <w:lang w:val="en-US" w:eastAsia="zh-CN"/>
              </w:rPr>
              <w:t>（13）</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default" w:asciiTheme="minorEastAsia" w:hAnsiTheme="minorEastAsia" w:eastAsiaTheme="minorEastAsia"/>
                <w:sz w:val="24"/>
                <w:szCs w:val="22"/>
                <w:lang w:val="en-US" w:eastAsia="zh-CN"/>
              </w:rPr>
            </w:pPr>
            <w:r>
              <w:rPr>
                <w:rFonts w:hint="eastAsia" w:asciiTheme="minorEastAsia" w:hAnsiTheme="minorEastAsia" w:eastAsiaTheme="minorEastAsia"/>
                <w:sz w:val="24"/>
                <w:szCs w:val="22"/>
                <w:lang w:val="en-US" w:eastAsia="zh-CN"/>
              </w:rPr>
              <w:t>13</w:t>
            </w:r>
          </w:p>
        </w:tc>
        <w:tc>
          <w:tcPr>
            <w:tcW w:w="751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lang w:eastAsia="zh-CN"/>
              </w:rPr>
            </w:pPr>
            <w:r>
              <w:rPr>
                <w:rFonts w:hint="eastAsia"/>
                <w:lang w:eastAsia="zh-CN"/>
              </w:rPr>
              <w:t>（</w:t>
            </w:r>
            <w:r>
              <w:rPr>
                <w:rFonts w:hint="eastAsia"/>
                <w:lang w:val="en-US" w:eastAsia="zh-CN"/>
              </w:rPr>
              <w:t>1）</w:t>
            </w:r>
            <w:r>
              <w:rPr>
                <w:rFonts w:hint="eastAsia"/>
              </w:rPr>
              <w:t>售后服务方案详细、具体、可行，售后服务及响应时间合理，对可能出现的各种售后突发情况有明确合理的对应方案，设有专业的技术服务队伍、有效保障</w:t>
            </w:r>
            <w:r>
              <w:rPr>
                <w:rFonts w:hint="eastAsia"/>
                <w:lang w:val="en-US" w:eastAsia="zh-CN"/>
              </w:rPr>
              <w:t>售后</w:t>
            </w:r>
            <w:r>
              <w:rPr>
                <w:rFonts w:hint="eastAsia"/>
              </w:rPr>
              <w:t>服务措施，能够完全满足用户售后需求</w:t>
            </w:r>
            <w:r>
              <w:rPr>
                <w:rFonts w:hint="eastAsia"/>
                <w:lang w:eastAsia="zh-CN"/>
              </w:rPr>
              <w:t>，</w:t>
            </w:r>
            <w:r>
              <w:rPr>
                <w:rFonts w:hint="eastAsia"/>
                <w:lang w:val="en-US" w:eastAsia="zh-CN"/>
              </w:rPr>
              <w:t>计9.1-13分</w:t>
            </w:r>
            <w:r>
              <w:rPr>
                <w:rFonts w:hint="eastAsia"/>
                <w:lang w:eastAsia="zh-CN"/>
              </w:rPr>
              <w:t>；</w:t>
            </w:r>
          </w:p>
          <w:p>
            <w:pPr>
              <w:spacing w:line="360" w:lineRule="auto"/>
              <w:jc w:val="left"/>
              <w:rPr>
                <w:rFonts w:hint="default"/>
                <w:lang w:val="en-US" w:eastAsia="zh-CN"/>
              </w:rPr>
            </w:pPr>
            <w:r>
              <w:rPr>
                <w:rFonts w:hint="eastAsia"/>
                <w:lang w:eastAsia="zh-CN"/>
              </w:rPr>
              <w:t>（</w:t>
            </w:r>
            <w:r>
              <w:rPr>
                <w:rFonts w:hint="eastAsia"/>
                <w:lang w:val="en-US" w:eastAsia="zh-CN"/>
              </w:rPr>
              <w:t>2）</w:t>
            </w:r>
            <w:r>
              <w:rPr>
                <w:rFonts w:hint="eastAsia"/>
              </w:rPr>
              <w:t>售后服务方案可行，售后服务及响应时间合理，对可能出现的各种售后突发情况有明确合理的对应方案，设有专业的技术服务队伍</w:t>
            </w:r>
            <w:r>
              <w:rPr>
                <w:rFonts w:hint="eastAsia"/>
                <w:lang w:eastAsia="zh-CN"/>
              </w:rPr>
              <w:t>，</w:t>
            </w:r>
            <w:r>
              <w:rPr>
                <w:rFonts w:hint="eastAsia"/>
                <w:lang w:val="en-US" w:eastAsia="zh-CN"/>
              </w:rPr>
              <w:t>计4.1-9分</w:t>
            </w:r>
            <w:r>
              <w:rPr>
                <w:rFonts w:hint="eastAsia"/>
                <w:lang w:eastAsia="zh-CN"/>
              </w:rPr>
              <w:t>；</w:t>
            </w:r>
          </w:p>
          <w:p>
            <w:pPr>
              <w:spacing w:line="360" w:lineRule="auto"/>
              <w:jc w:val="left"/>
              <w:rPr>
                <w:rFonts w:hint="eastAsia"/>
                <w:lang w:val="en-US" w:eastAsia="zh-CN"/>
              </w:rPr>
            </w:pPr>
            <w:r>
              <w:rPr>
                <w:rFonts w:hint="eastAsia"/>
                <w:lang w:eastAsia="zh-CN"/>
              </w:rPr>
              <w:t>（</w:t>
            </w:r>
            <w:r>
              <w:rPr>
                <w:rFonts w:hint="eastAsia"/>
                <w:lang w:val="en-US" w:eastAsia="zh-CN"/>
              </w:rPr>
              <w:t>3）</w:t>
            </w:r>
            <w:r>
              <w:rPr>
                <w:rFonts w:hint="eastAsia"/>
              </w:rPr>
              <w:t>售后服务方案可行，售后服务及响应时间合理</w:t>
            </w:r>
            <w:r>
              <w:rPr>
                <w:rFonts w:hint="eastAsia"/>
                <w:lang w:eastAsia="zh-CN"/>
              </w:rPr>
              <w:t>，</w:t>
            </w:r>
            <w:r>
              <w:rPr>
                <w:rFonts w:hint="eastAsia"/>
                <w:lang w:val="en-US" w:eastAsia="zh-CN"/>
              </w:rPr>
              <w:t>计0.1-4；</w:t>
            </w:r>
          </w:p>
          <w:p>
            <w:pPr>
              <w:spacing w:line="360" w:lineRule="auto"/>
              <w:jc w:val="left"/>
              <w:rPr>
                <w:rFonts w:hint="default"/>
                <w:lang w:val="en-US"/>
              </w:rPr>
            </w:pPr>
            <w:r>
              <w:rPr>
                <w:rFonts w:hint="eastAsia"/>
                <w:lang w:val="en-US" w:eastAsia="zh-CN"/>
              </w:rPr>
              <w:t>（4）</w:t>
            </w:r>
            <w:r>
              <w:rPr>
                <w:rFonts w:hint="eastAsia" w:asciiTheme="minorEastAsia" w:hAnsiTheme="minorEastAsia" w:eastAsiaTheme="minorEastAsia"/>
                <w:sz w:val="24"/>
              </w:rPr>
              <w:t>未提供的</w:t>
            </w:r>
            <w:r>
              <w:rPr>
                <w:rFonts w:hint="eastAsia" w:asciiTheme="minorEastAsia" w:hAnsiTheme="minorEastAsia" w:eastAsiaTheme="minorEastAsia"/>
                <w:sz w:val="24"/>
                <w:lang w:val="en-US" w:eastAsia="zh-CN"/>
              </w:rPr>
              <w:t>不得分</w:t>
            </w:r>
            <w:r>
              <w:rPr>
                <w:rFonts w:hint="eastAsia" w:asciiTheme="minorEastAsia" w:hAnsiTheme="minorEastAsia" w:eastAsia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9" w:hRule="atLeast"/>
          <w:jc w:val="center"/>
        </w:trPr>
        <w:tc>
          <w:tcPr>
            <w:tcW w:w="974" w:type="dxa"/>
            <w:tcBorders>
              <w:left w:val="single" w:color="000000" w:sz="4" w:space="0"/>
              <w:right w:val="single" w:color="000000" w:sz="4" w:space="0"/>
            </w:tcBorders>
            <w:noWrap w:val="0"/>
            <w:vAlign w:val="center"/>
          </w:tcPr>
          <w:p>
            <w:pPr>
              <w:spacing w:line="360" w:lineRule="auto"/>
              <w:jc w:val="center"/>
              <w:rPr>
                <w:rFonts w:hint="eastAsia" w:asciiTheme="minorEastAsia" w:hAnsiTheme="minorEastAsia" w:eastAsiaTheme="minorEastAsia"/>
                <w:sz w:val="24"/>
                <w:szCs w:val="22"/>
                <w:lang w:val="en-US" w:eastAsia="zh-CN"/>
              </w:rPr>
            </w:pPr>
            <w:r>
              <w:rPr>
                <w:rFonts w:hint="eastAsia" w:asciiTheme="minorEastAsia" w:hAnsiTheme="minorEastAsia" w:eastAsiaTheme="minorEastAsia"/>
                <w:sz w:val="24"/>
                <w:szCs w:val="22"/>
              </w:rPr>
              <w:t>项目业绩</w:t>
            </w:r>
            <w:r>
              <w:rPr>
                <w:rFonts w:hint="eastAsia" w:asciiTheme="minorEastAsia" w:hAnsiTheme="minorEastAsia" w:eastAsiaTheme="minorEastAsia"/>
                <w:sz w:val="24"/>
                <w:szCs w:val="22"/>
                <w:lang w:val="en-US" w:eastAsia="zh-CN"/>
              </w:rPr>
              <w:t>（8）</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Theme="minorEastAsia" w:hAnsiTheme="minorEastAsia" w:eastAsiaTheme="minorEastAsia"/>
                <w:sz w:val="24"/>
                <w:szCs w:val="22"/>
                <w:lang w:val="en-US" w:eastAsia="zh-CN"/>
              </w:rPr>
            </w:pPr>
            <w:r>
              <w:rPr>
                <w:rFonts w:hint="eastAsia" w:asciiTheme="minorEastAsia" w:hAnsiTheme="minorEastAsia" w:eastAsiaTheme="minorEastAsia"/>
                <w:sz w:val="24"/>
                <w:szCs w:val="22"/>
                <w:lang w:val="en-US" w:eastAsia="zh-CN"/>
              </w:rPr>
              <w:t>8</w:t>
            </w:r>
          </w:p>
        </w:tc>
        <w:tc>
          <w:tcPr>
            <w:tcW w:w="751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Theme="minorEastAsia" w:hAnsiTheme="minorEastAsia" w:eastAsiaTheme="minorEastAsia"/>
                <w:sz w:val="24"/>
                <w:szCs w:val="22"/>
                <w:lang w:val="en-US" w:eastAsia="zh-CN"/>
              </w:rPr>
            </w:pPr>
            <w:r>
              <w:rPr>
                <w:rFonts w:hint="eastAsia" w:asciiTheme="minorEastAsia" w:hAnsiTheme="minorEastAsia" w:eastAsiaTheme="minorEastAsia"/>
                <w:sz w:val="24"/>
                <w:szCs w:val="22"/>
              </w:rPr>
              <w:t>提供投标</w:t>
            </w:r>
            <w:r>
              <w:rPr>
                <w:rFonts w:hint="eastAsia" w:asciiTheme="minorEastAsia" w:hAnsiTheme="minorEastAsia" w:eastAsiaTheme="minorEastAsia"/>
                <w:sz w:val="24"/>
                <w:szCs w:val="22"/>
                <w:lang w:val="en-US" w:eastAsia="zh-CN"/>
              </w:rPr>
              <w:t>货物2020</w:t>
            </w:r>
            <w:r>
              <w:rPr>
                <w:rFonts w:hint="eastAsia" w:asciiTheme="minorEastAsia" w:hAnsiTheme="minorEastAsia" w:eastAsiaTheme="minorEastAsia"/>
                <w:sz w:val="24"/>
                <w:szCs w:val="22"/>
              </w:rPr>
              <w:t>年</w:t>
            </w:r>
            <w:r>
              <w:rPr>
                <w:rFonts w:hint="eastAsia" w:asciiTheme="minorEastAsia" w:hAnsiTheme="minorEastAsia" w:eastAsiaTheme="minorEastAsia"/>
                <w:sz w:val="24"/>
                <w:szCs w:val="22"/>
                <w:lang w:val="en-US" w:eastAsia="zh-CN"/>
              </w:rPr>
              <w:t>6</w:t>
            </w:r>
            <w:r>
              <w:rPr>
                <w:rFonts w:hint="eastAsia" w:asciiTheme="minorEastAsia" w:hAnsiTheme="minorEastAsia" w:eastAsiaTheme="minorEastAsia"/>
                <w:sz w:val="24"/>
                <w:szCs w:val="22"/>
              </w:rPr>
              <w:t>月1日至今（以合同签订日期为准）同类产品的业绩，以合同或中标通知书为准，提供1份得</w:t>
            </w:r>
            <w:r>
              <w:rPr>
                <w:rFonts w:hint="eastAsia" w:asciiTheme="minorEastAsia" w:hAnsiTheme="minorEastAsia" w:eastAsiaTheme="minorEastAsia"/>
                <w:sz w:val="24"/>
                <w:szCs w:val="22"/>
                <w:lang w:val="en-US" w:eastAsia="zh-CN"/>
              </w:rPr>
              <w:t>2</w:t>
            </w:r>
            <w:r>
              <w:rPr>
                <w:rFonts w:hint="eastAsia" w:asciiTheme="minorEastAsia" w:hAnsiTheme="minorEastAsia" w:eastAsiaTheme="minorEastAsia"/>
                <w:sz w:val="24"/>
                <w:szCs w:val="22"/>
              </w:rPr>
              <w:t>分，最高得</w:t>
            </w:r>
            <w:r>
              <w:rPr>
                <w:rFonts w:hint="eastAsia" w:asciiTheme="minorEastAsia" w:hAnsiTheme="minorEastAsia" w:eastAsiaTheme="minorEastAsia"/>
                <w:sz w:val="24"/>
                <w:szCs w:val="22"/>
                <w:lang w:val="en-US" w:eastAsia="zh-CN"/>
              </w:rPr>
              <w:t>8</w:t>
            </w:r>
            <w:r>
              <w:rPr>
                <w:rFonts w:hint="eastAsia" w:asciiTheme="minorEastAsia" w:hAnsiTheme="minorEastAsia" w:eastAsiaTheme="minorEastAsia"/>
                <w:sz w:val="24"/>
                <w:szCs w:val="22"/>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4" w:hRule="atLeast"/>
          <w:jc w:val="center"/>
        </w:trPr>
        <w:tc>
          <w:tcPr>
            <w:tcW w:w="974" w:type="dxa"/>
            <w:tcBorders>
              <w:left w:val="single" w:color="000000" w:sz="4" w:space="0"/>
              <w:bottom w:val="single" w:color="000000" w:sz="4" w:space="0"/>
              <w:right w:val="single" w:color="000000" w:sz="4" w:space="0"/>
            </w:tcBorders>
            <w:noWrap w:val="0"/>
            <w:vAlign w:val="center"/>
          </w:tcPr>
          <w:p>
            <w:pPr>
              <w:spacing w:line="360" w:lineRule="auto"/>
              <w:jc w:val="center"/>
              <w:rPr>
                <w:rFonts w:hint="eastAsia" w:asciiTheme="minorEastAsia" w:hAnsiTheme="minorEastAsia" w:eastAsiaTheme="minorEastAsia"/>
                <w:sz w:val="24"/>
                <w:szCs w:val="22"/>
              </w:rPr>
            </w:pPr>
          </w:p>
          <w:p>
            <w:pPr>
              <w:spacing w:line="360" w:lineRule="auto"/>
              <w:jc w:val="center"/>
              <w:rPr>
                <w:rFonts w:hint="eastAsia" w:asciiTheme="minorEastAsia" w:hAnsiTheme="minorEastAsia" w:eastAsiaTheme="minorEastAsia"/>
                <w:sz w:val="24"/>
                <w:szCs w:val="22"/>
              </w:rPr>
            </w:pPr>
            <w:r>
              <w:rPr>
                <w:rFonts w:hint="eastAsia" w:asciiTheme="minorEastAsia" w:hAnsiTheme="minorEastAsia" w:eastAsiaTheme="minorEastAsia"/>
                <w:sz w:val="24"/>
                <w:szCs w:val="22"/>
              </w:rPr>
              <w:t>样品</w:t>
            </w:r>
          </w:p>
          <w:p>
            <w:pPr>
              <w:pStyle w:val="10"/>
              <w:jc w:val="center"/>
              <w:rPr>
                <w:rFonts w:hint="default" w:eastAsiaTheme="minorEastAsia"/>
                <w:lang w:val="en-US" w:eastAsia="zh-CN"/>
              </w:rPr>
            </w:pPr>
            <w:r>
              <w:rPr>
                <w:rFonts w:hint="eastAsia" w:asciiTheme="minorEastAsia" w:hAnsiTheme="minorEastAsia" w:eastAsiaTheme="minorEastAsia"/>
                <w:sz w:val="24"/>
                <w:szCs w:val="22"/>
                <w:lang w:eastAsia="zh-CN"/>
              </w:rPr>
              <w:t>（</w:t>
            </w:r>
            <w:r>
              <w:rPr>
                <w:rFonts w:hint="eastAsia" w:asciiTheme="minorEastAsia" w:hAnsiTheme="minorEastAsia" w:eastAsiaTheme="minorEastAsia"/>
                <w:sz w:val="24"/>
                <w:szCs w:val="22"/>
                <w:lang w:val="en-US" w:eastAsia="zh-CN"/>
              </w:rPr>
              <w:t>10</w:t>
            </w:r>
            <w:r>
              <w:rPr>
                <w:rFonts w:hint="eastAsia" w:asciiTheme="minorEastAsia" w:hAnsiTheme="minorEastAsia" w:eastAsiaTheme="minorEastAsia"/>
                <w:sz w:val="24"/>
                <w:szCs w:val="22"/>
                <w:lang w:eastAsia="zh-CN"/>
              </w:rPr>
              <w:t>）</w:t>
            </w:r>
          </w:p>
          <w:p>
            <w:pPr>
              <w:spacing w:line="360" w:lineRule="auto"/>
              <w:jc w:val="center"/>
              <w:rPr>
                <w:rFonts w:hint="eastAsia" w:asciiTheme="minorEastAsia" w:hAnsiTheme="minorEastAsia" w:eastAsiaTheme="minorEastAsia"/>
                <w:sz w:val="24"/>
                <w:szCs w:val="22"/>
                <w:lang w:val="en-US" w:eastAsia="zh-CN"/>
              </w:rPr>
            </w:pPr>
          </w:p>
        </w:tc>
        <w:tc>
          <w:tcPr>
            <w:tcW w:w="53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Theme="minorEastAsia" w:hAnsiTheme="minorEastAsia" w:eastAsiaTheme="minorEastAsia"/>
                <w:sz w:val="24"/>
                <w:szCs w:val="22"/>
                <w:lang w:val="en-US" w:eastAsia="zh-CN"/>
              </w:rPr>
            </w:pPr>
          </w:p>
        </w:tc>
        <w:tc>
          <w:tcPr>
            <w:tcW w:w="751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b/>
                <w:bCs/>
              </w:rPr>
            </w:pPr>
            <w:r>
              <w:rPr>
                <w:rFonts w:hint="eastAsia"/>
                <w:b/>
                <w:bCs/>
                <w:lang w:val="en-US" w:eastAsia="zh-CN"/>
              </w:rPr>
              <w:t>合同包1</w:t>
            </w:r>
            <w:r>
              <w:rPr>
                <w:rFonts w:hint="eastAsia"/>
                <w:b/>
                <w:bCs/>
              </w:rPr>
              <w:t>：大米</w:t>
            </w:r>
          </w:p>
          <w:p>
            <w:pPr>
              <w:spacing w:line="360" w:lineRule="auto"/>
              <w:jc w:val="left"/>
              <w:rPr>
                <w:rFonts w:hint="eastAsia"/>
              </w:rPr>
            </w:pPr>
            <w:r>
              <w:rPr>
                <w:rFonts w:hint="eastAsia"/>
                <w:lang w:val="en-US" w:eastAsia="zh-CN"/>
              </w:rPr>
              <w:t>包装：</w:t>
            </w:r>
            <w:r>
              <w:rPr>
                <w:rFonts w:hint="eastAsia"/>
              </w:rPr>
              <w:t>样品（大米）的包装完整、无污染计1分。</w:t>
            </w:r>
          </w:p>
          <w:p>
            <w:pPr>
              <w:spacing w:line="360" w:lineRule="auto"/>
              <w:jc w:val="left"/>
              <w:rPr>
                <w:rFonts w:hint="eastAsia"/>
              </w:rPr>
            </w:pPr>
            <w:r>
              <w:rPr>
                <w:rFonts w:hint="eastAsia"/>
              </w:rPr>
              <w:t>检测报告：样品（大米）</w:t>
            </w:r>
            <w:r>
              <w:rPr>
                <w:rFonts w:hint="eastAsia"/>
                <w:lang w:val="en-US" w:eastAsia="zh-CN"/>
              </w:rPr>
              <w:t>有</w:t>
            </w:r>
            <w:r>
              <w:rPr>
                <w:rFonts w:hint="eastAsia"/>
              </w:rPr>
              <w:t>检测报告（有效期内的，且检测指标对应本次提供样品）计0.1-2分。</w:t>
            </w:r>
          </w:p>
          <w:p>
            <w:pPr>
              <w:spacing w:line="360" w:lineRule="auto"/>
              <w:jc w:val="left"/>
              <w:rPr>
                <w:rFonts w:hint="eastAsia"/>
              </w:rPr>
            </w:pPr>
            <w:r>
              <w:rPr>
                <w:rFonts w:hint="eastAsia"/>
              </w:rPr>
              <w:t>光泽度：样品（大米）的光泽度计0.1-2分。</w:t>
            </w:r>
          </w:p>
          <w:p>
            <w:pPr>
              <w:spacing w:line="360" w:lineRule="auto"/>
              <w:jc w:val="left"/>
              <w:rPr>
                <w:rFonts w:hint="eastAsia"/>
              </w:rPr>
            </w:pPr>
            <w:r>
              <w:rPr>
                <w:rFonts w:hint="eastAsia"/>
              </w:rPr>
              <w:t>口感：样品（大米）口感香糯、筋道,味道上佳计3.1-5分；口感一般计0.1-3分。</w:t>
            </w:r>
          </w:p>
          <w:p>
            <w:pPr>
              <w:spacing w:line="360" w:lineRule="auto"/>
              <w:jc w:val="left"/>
              <w:rPr>
                <w:rFonts w:hint="default"/>
                <w:b/>
                <w:bCs/>
                <w:lang w:val="en-US" w:eastAsia="zh-CN"/>
              </w:rPr>
            </w:pPr>
            <w:r>
              <w:rPr>
                <w:rFonts w:hint="eastAsia"/>
                <w:b/>
                <w:bCs/>
                <w:lang w:val="en-US" w:eastAsia="zh-CN"/>
              </w:rPr>
              <w:t>未提供检测报告或样品，样品部分不得分。</w:t>
            </w:r>
          </w:p>
          <w:p>
            <w:pPr>
              <w:spacing w:line="360" w:lineRule="auto"/>
              <w:jc w:val="left"/>
              <w:rPr>
                <w:rFonts w:hint="eastAsia"/>
                <w:b/>
                <w:bCs/>
                <w:lang w:val="en-US" w:eastAsia="zh-CN"/>
              </w:rPr>
            </w:pPr>
          </w:p>
          <w:p>
            <w:pPr>
              <w:spacing w:line="360" w:lineRule="auto"/>
              <w:jc w:val="left"/>
              <w:rPr>
                <w:rFonts w:hint="eastAsia"/>
                <w:b/>
                <w:bCs/>
              </w:rPr>
            </w:pPr>
            <w:r>
              <w:rPr>
                <w:rFonts w:hint="eastAsia"/>
                <w:b/>
                <w:bCs/>
                <w:lang w:val="en-US" w:eastAsia="zh-CN"/>
              </w:rPr>
              <w:t>合同包2</w:t>
            </w:r>
            <w:r>
              <w:rPr>
                <w:rFonts w:hint="eastAsia"/>
                <w:b/>
                <w:bCs/>
              </w:rPr>
              <w:t>：面粉</w:t>
            </w:r>
          </w:p>
          <w:p>
            <w:pPr>
              <w:spacing w:line="360" w:lineRule="auto"/>
              <w:jc w:val="left"/>
              <w:rPr>
                <w:rFonts w:hint="eastAsia"/>
              </w:rPr>
            </w:pPr>
            <w:r>
              <w:rPr>
                <w:rFonts w:hint="eastAsia"/>
              </w:rPr>
              <w:t>包装</w:t>
            </w:r>
            <w:r>
              <w:rPr>
                <w:rFonts w:hint="eastAsia"/>
                <w:lang w:eastAsia="zh-CN"/>
              </w:rPr>
              <w:t>：</w:t>
            </w:r>
            <w:r>
              <w:rPr>
                <w:rFonts w:hint="eastAsia"/>
              </w:rPr>
              <w:t>样品（面粉）的包装完整、无污染计1分。</w:t>
            </w:r>
          </w:p>
          <w:p>
            <w:pPr>
              <w:spacing w:line="360" w:lineRule="auto"/>
              <w:jc w:val="left"/>
              <w:rPr>
                <w:rFonts w:hint="eastAsia"/>
              </w:rPr>
            </w:pPr>
            <w:r>
              <w:rPr>
                <w:rFonts w:hint="eastAsia"/>
              </w:rPr>
              <w:t>检测报告：样品（面粉）</w:t>
            </w:r>
            <w:r>
              <w:rPr>
                <w:rFonts w:hint="eastAsia"/>
                <w:lang w:val="en-US" w:eastAsia="zh-CN"/>
              </w:rPr>
              <w:t>有</w:t>
            </w:r>
            <w:r>
              <w:rPr>
                <w:rFonts w:hint="eastAsia"/>
              </w:rPr>
              <w:t>检测报告（有效期内的，且检测指标对应本次提供样品）计0.1-2分。</w:t>
            </w:r>
          </w:p>
          <w:p>
            <w:pPr>
              <w:spacing w:line="360" w:lineRule="auto"/>
              <w:jc w:val="left"/>
              <w:rPr>
                <w:rFonts w:hint="eastAsia"/>
              </w:rPr>
            </w:pPr>
            <w:r>
              <w:rPr>
                <w:rFonts w:hint="eastAsia"/>
              </w:rPr>
              <w:t>光泽度：样品（面粉）的光泽度计0.1-2分。</w:t>
            </w:r>
          </w:p>
          <w:p>
            <w:pPr>
              <w:spacing w:line="360" w:lineRule="auto"/>
              <w:jc w:val="left"/>
              <w:rPr>
                <w:rFonts w:hint="eastAsia"/>
              </w:rPr>
            </w:pPr>
            <w:r>
              <w:rPr>
                <w:rFonts w:hint="eastAsia"/>
              </w:rPr>
              <w:t>口感：样品（馒头）口感筋道,味道上佳计2.1-3分；口感一般计0.1-2分。</w:t>
            </w:r>
          </w:p>
          <w:p>
            <w:pPr>
              <w:spacing w:line="360" w:lineRule="auto"/>
              <w:jc w:val="left"/>
              <w:rPr>
                <w:rFonts w:hint="eastAsia"/>
              </w:rPr>
            </w:pPr>
            <w:r>
              <w:rPr>
                <w:rFonts w:hint="eastAsia"/>
              </w:rPr>
              <w:t>高筋粉劲道：</w:t>
            </w:r>
            <w:r>
              <w:rPr>
                <w:rFonts w:hint="eastAsia"/>
                <w:lang w:val="en-US" w:eastAsia="zh-CN"/>
              </w:rPr>
              <w:t>根据</w:t>
            </w:r>
            <w:r>
              <w:rPr>
                <w:rFonts w:hint="eastAsia"/>
              </w:rPr>
              <w:t>现场利用高筋粉制作的面片的劲道情况，劲道程度高的计1.1-2分；劲道程度不高，不利于做出优质面食，计0</w:t>
            </w:r>
            <w:r>
              <w:rPr>
                <w:rFonts w:hint="eastAsia"/>
                <w:lang w:val="en-US" w:eastAsia="zh-CN"/>
              </w:rPr>
              <w:t>.1</w:t>
            </w:r>
            <w:r>
              <w:rPr>
                <w:rFonts w:hint="eastAsia"/>
              </w:rPr>
              <w:t>-1分。</w:t>
            </w:r>
          </w:p>
          <w:p>
            <w:pPr>
              <w:spacing w:line="360" w:lineRule="auto"/>
              <w:jc w:val="left"/>
              <w:rPr>
                <w:rFonts w:hint="eastAsia"/>
                <w:b/>
                <w:bCs/>
                <w:lang w:val="en-US" w:eastAsia="zh-CN"/>
              </w:rPr>
            </w:pPr>
            <w:r>
              <w:rPr>
                <w:rFonts w:hint="eastAsia"/>
                <w:b/>
                <w:bCs/>
                <w:lang w:val="en-US" w:eastAsia="zh-CN"/>
              </w:rPr>
              <w:t>未提供检测报告或样品，样品部分不得分。</w:t>
            </w:r>
          </w:p>
          <w:p>
            <w:pPr>
              <w:spacing w:line="360" w:lineRule="auto"/>
              <w:jc w:val="left"/>
              <w:rPr>
                <w:rFonts w:hint="eastAsia"/>
                <w:b/>
                <w:bCs/>
                <w:lang w:val="en-US" w:eastAsia="zh-CN"/>
              </w:rPr>
            </w:pPr>
          </w:p>
          <w:p>
            <w:pPr>
              <w:spacing w:line="360" w:lineRule="auto"/>
              <w:jc w:val="left"/>
              <w:rPr>
                <w:rFonts w:hint="eastAsia"/>
                <w:b/>
                <w:bCs/>
              </w:rPr>
            </w:pPr>
            <w:r>
              <w:rPr>
                <w:rFonts w:hint="eastAsia"/>
                <w:b/>
                <w:bCs/>
                <w:lang w:val="en-US" w:eastAsia="zh-CN"/>
              </w:rPr>
              <w:t>合同包3</w:t>
            </w:r>
            <w:r>
              <w:rPr>
                <w:rFonts w:hint="eastAsia"/>
                <w:b/>
                <w:bCs/>
              </w:rPr>
              <w:t>：食用油</w:t>
            </w:r>
          </w:p>
          <w:p>
            <w:pPr>
              <w:spacing w:line="360" w:lineRule="auto"/>
              <w:jc w:val="left"/>
              <w:rPr>
                <w:rFonts w:hint="eastAsia"/>
              </w:rPr>
            </w:pPr>
            <w:r>
              <w:rPr>
                <w:rFonts w:hint="eastAsia"/>
              </w:rPr>
              <w:t>包装</w:t>
            </w:r>
            <w:r>
              <w:rPr>
                <w:rFonts w:hint="eastAsia"/>
                <w:lang w:eastAsia="zh-CN"/>
              </w:rPr>
              <w:t>：</w:t>
            </w:r>
            <w:r>
              <w:rPr>
                <w:rFonts w:hint="eastAsia"/>
              </w:rPr>
              <w:t>样品的包装完整、无污染计0.1-3分。</w:t>
            </w:r>
          </w:p>
          <w:p>
            <w:pPr>
              <w:spacing w:line="360" w:lineRule="auto"/>
              <w:jc w:val="left"/>
              <w:rPr>
                <w:rFonts w:hint="eastAsia"/>
              </w:rPr>
            </w:pPr>
            <w:r>
              <w:rPr>
                <w:rFonts w:hint="eastAsia"/>
              </w:rPr>
              <w:t>检测报告：样品（油）</w:t>
            </w:r>
            <w:r>
              <w:rPr>
                <w:rFonts w:hint="eastAsia"/>
                <w:lang w:val="en-US" w:eastAsia="zh-CN"/>
              </w:rPr>
              <w:t>有</w:t>
            </w:r>
            <w:r>
              <w:rPr>
                <w:rFonts w:hint="eastAsia"/>
              </w:rPr>
              <w:t>检测报告的（有效期内的，且检测指标对应本次提供样品），计0.1-2分。</w:t>
            </w:r>
          </w:p>
          <w:p>
            <w:pPr>
              <w:spacing w:line="360" w:lineRule="auto"/>
              <w:jc w:val="left"/>
              <w:rPr>
                <w:rFonts w:hint="eastAsia"/>
              </w:rPr>
            </w:pPr>
            <w:r>
              <w:rPr>
                <w:rFonts w:hint="eastAsia"/>
              </w:rPr>
              <w:t>光泽度：样品（油）的光泽度计0.1-3分。</w:t>
            </w:r>
          </w:p>
          <w:p>
            <w:pPr>
              <w:spacing w:line="360" w:lineRule="auto"/>
              <w:jc w:val="left"/>
              <w:rPr>
                <w:rFonts w:hint="eastAsia"/>
              </w:rPr>
            </w:pPr>
            <w:r>
              <w:rPr>
                <w:rFonts w:hint="eastAsia"/>
              </w:rPr>
              <w:t>口感：样品（油）口感上佳，计</w:t>
            </w:r>
            <w:r>
              <w:rPr>
                <w:rFonts w:hint="eastAsia"/>
                <w:lang w:val="en-US" w:eastAsia="zh-CN"/>
              </w:rPr>
              <w:t>1</w:t>
            </w:r>
            <w:r>
              <w:rPr>
                <w:rFonts w:hint="eastAsia"/>
              </w:rPr>
              <w:t>.1-</w:t>
            </w:r>
            <w:r>
              <w:rPr>
                <w:rFonts w:hint="eastAsia"/>
                <w:lang w:val="en-US" w:eastAsia="zh-CN"/>
              </w:rPr>
              <w:t>2</w:t>
            </w:r>
            <w:r>
              <w:rPr>
                <w:rFonts w:hint="eastAsia"/>
              </w:rPr>
              <w:t>分；口感一般计0.1-</w:t>
            </w:r>
            <w:r>
              <w:rPr>
                <w:rFonts w:hint="eastAsia"/>
                <w:lang w:val="en-US" w:eastAsia="zh-CN"/>
              </w:rPr>
              <w:t>1</w:t>
            </w:r>
            <w:r>
              <w:rPr>
                <w:rFonts w:hint="eastAsia"/>
              </w:rPr>
              <w:t>分。</w:t>
            </w:r>
          </w:p>
          <w:p>
            <w:pPr>
              <w:spacing w:line="360" w:lineRule="auto"/>
              <w:jc w:val="left"/>
              <w:rPr>
                <w:rFonts w:hint="eastAsia"/>
                <w:lang w:val="en-US" w:eastAsia="zh-CN"/>
              </w:rPr>
            </w:pPr>
            <w:r>
              <w:rPr>
                <w:rFonts w:hint="eastAsia" w:asciiTheme="minorEastAsia" w:hAnsiTheme="minorEastAsia" w:eastAsiaTheme="minorEastAsia"/>
                <w:b/>
                <w:bCs/>
                <w:sz w:val="24"/>
                <w:szCs w:val="22"/>
                <w:lang w:val="en-US" w:eastAsia="zh-CN"/>
              </w:rPr>
              <w:t>未提供检测报告或样品，样品部分不得分。</w:t>
            </w:r>
          </w:p>
        </w:tc>
      </w:tr>
    </w:tbl>
    <w:p/>
    <w:p>
      <w:pPr>
        <w:pStyle w:val="3"/>
        <w:spacing w:before="333"/>
        <w:rPr>
          <w:rStyle w:val="25"/>
          <w:b/>
        </w:rPr>
      </w:pPr>
      <w:r>
        <w:rPr>
          <w:rFonts w:hint="eastAsia"/>
          <w:bCs/>
          <w:sz w:val="36"/>
          <w:szCs w:val="36"/>
        </w:rPr>
        <w:br w:type="page"/>
      </w:r>
      <w:bookmarkStart w:id="171" w:name="_Toc26074"/>
      <w:bookmarkStart w:id="172" w:name="_Toc2292"/>
      <w:r>
        <w:rPr>
          <w:rStyle w:val="25"/>
          <w:rFonts w:hint="eastAsia"/>
          <w:b/>
        </w:rPr>
        <w:t>第六章  投标文件构成及格式</w:t>
      </w:r>
      <w:bookmarkEnd w:id="166"/>
      <w:bookmarkEnd w:id="167"/>
      <w:bookmarkEnd w:id="168"/>
      <w:bookmarkEnd w:id="169"/>
      <w:bookmarkEnd w:id="170"/>
      <w:bookmarkEnd w:id="171"/>
      <w:bookmarkEnd w:id="172"/>
    </w:p>
    <w:p>
      <w:pPr>
        <w:rPr>
          <w:rFonts w:hAnsi="宋体" w:cs="宋体"/>
        </w:rPr>
      </w:pPr>
    </w:p>
    <w:p>
      <w:pPr>
        <w:rPr>
          <w:rFonts w:hint="eastAsia" w:hAnsi="宋体" w:eastAsia="宋体" w:cs="宋体"/>
          <w:b/>
          <w:sz w:val="32"/>
          <w:szCs w:val="32"/>
          <w:lang w:eastAsia="zh-CN"/>
        </w:rPr>
      </w:pPr>
      <w:r>
        <w:rPr>
          <w:rFonts w:hint="eastAsia" w:hAnsi="宋体" w:cs="宋体"/>
          <w:b/>
          <w:sz w:val="32"/>
          <w:szCs w:val="32"/>
        </w:rPr>
        <w:t>项目编号：</w:t>
      </w:r>
      <w:r>
        <w:rPr>
          <w:rFonts w:hint="eastAsia" w:hAnsi="宋体" w:cs="宋体"/>
          <w:b/>
          <w:sz w:val="32"/>
          <w:szCs w:val="32"/>
          <w:lang w:eastAsia="zh-CN"/>
        </w:rPr>
        <w:t>ZHZB-2023-GK-06027</w:t>
      </w:r>
    </w:p>
    <w:p>
      <w:pPr>
        <w:jc w:val="right"/>
        <w:rPr>
          <w:rFonts w:hAnsi="宋体" w:cs="宋体"/>
          <w:b/>
          <w:sz w:val="32"/>
          <w:szCs w:val="32"/>
        </w:rPr>
      </w:pPr>
      <w:r>
        <w:rPr>
          <w:rFonts w:hint="eastAsia" w:hAnsi="宋体" w:cs="宋体"/>
          <w:b/>
          <w:sz w:val="32"/>
          <w:szCs w:val="32"/>
        </w:rPr>
        <w:t>（正本或副本）</w:t>
      </w:r>
    </w:p>
    <w:p>
      <w:pPr>
        <w:pStyle w:val="10"/>
      </w:pPr>
    </w:p>
    <w:p>
      <w:pPr>
        <w:jc w:val="center"/>
        <w:rPr>
          <w:rFonts w:hAnsi="宋体" w:cs="宋体"/>
          <w:b/>
          <w:sz w:val="48"/>
          <w:szCs w:val="48"/>
        </w:rPr>
      </w:pPr>
    </w:p>
    <w:p>
      <w:pPr>
        <w:pStyle w:val="10"/>
        <w:jc w:val="center"/>
        <w:rPr>
          <w:rFonts w:hint="eastAsia" w:hAnsi="宋体" w:cs="宋体"/>
          <w:b/>
          <w:sz w:val="48"/>
          <w:szCs w:val="48"/>
          <w:lang w:eastAsia="zh-CN"/>
        </w:rPr>
      </w:pPr>
      <w:r>
        <w:rPr>
          <w:rFonts w:hint="eastAsia" w:hAnsi="宋体" w:cs="宋体"/>
          <w:b/>
          <w:sz w:val="48"/>
          <w:szCs w:val="48"/>
          <w:lang w:eastAsia="zh-CN"/>
        </w:rPr>
        <w:t>西安科技大学食堂米面油采购项目</w:t>
      </w:r>
    </w:p>
    <w:p>
      <w:pPr>
        <w:jc w:val="center"/>
        <w:rPr>
          <w:rFonts w:hint="default"/>
          <w:sz w:val="21"/>
          <w:szCs w:val="16"/>
          <w:lang w:val="en-US" w:eastAsia="zh-CN"/>
        </w:rPr>
      </w:pPr>
      <w:r>
        <w:rPr>
          <w:rFonts w:hint="eastAsia" w:hAnsi="宋体" w:cs="宋体"/>
          <w:b/>
          <w:sz w:val="40"/>
          <w:szCs w:val="40"/>
          <w:lang w:val="en-US" w:eastAsia="zh-CN"/>
        </w:rPr>
        <w:t>合同包号</w:t>
      </w:r>
      <w:r>
        <w:rPr>
          <w:rFonts w:hint="eastAsia" w:hAnsi="宋体" w:cs="宋体"/>
          <w:b/>
          <w:sz w:val="40"/>
          <w:szCs w:val="40"/>
          <w:u w:val="single"/>
          <w:lang w:val="en-US" w:eastAsia="zh-CN"/>
        </w:rPr>
        <w:t xml:space="preserve">  </w:t>
      </w:r>
    </w:p>
    <w:p>
      <w:pPr>
        <w:rPr>
          <w:rFonts w:hAnsi="宋体" w:cs="宋体"/>
          <w:b/>
          <w:sz w:val="48"/>
          <w:szCs w:val="48"/>
        </w:rPr>
      </w:pPr>
    </w:p>
    <w:p>
      <w:pPr>
        <w:jc w:val="center"/>
        <w:rPr>
          <w:rFonts w:hAnsi="宋体" w:cs="宋体"/>
          <w:b/>
          <w:sz w:val="72"/>
          <w:szCs w:val="72"/>
        </w:rPr>
      </w:pPr>
      <w:r>
        <w:rPr>
          <w:rFonts w:hint="eastAsia" w:hAnsi="宋体" w:cs="宋体"/>
          <w:b/>
          <w:sz w:val="72"/>
          <w:szCs w:val="72"/>
        </w:rPr>
        <w:t>投 标 文 件</w:t>
      </w:r>
    </w:p>
    <w:p>
      <w:pPr>
        <w:jc w:val="center"/>
        <w:rPr>
          <w:rFonts w:hAnsi="宋体" w:cs="宋体"/>
          <w:b/>
          <w:sz w:val="72"/>
          <w:szCs w:val="72"/>
        </w:rPr>
      </w:pPr>
    </w:p>
    <w:p>
      <w:pPr>
        <w:pStyle w:val="10"/>
      </w:pPr>
    </w:p>
    <w:p>
      <w:pPr>
        <w:pStyle w:val="10"/>
        <w:rPr>
          <w:rFonts w:ascii="宋体" w:hAnsi="宋体" w:cs="宋体"/>
          <w:b/>
          <w:sz w:val="36"/>
          <w:szCs w:val="36"/>
        </w:rPr>
      </w:pPr>
    </w:p>
    <w:p>
      <w:pPr>
        <w:spacing w:line="720" w:lineRule="auto"/>
        <w:ind w:firstLine="1205" w:firstLineChars="400"/>
        <w:rPr>
          <w:rFonts w:hAnsi="宋体" w:cs="宋体"/>
          <w:b/>
          <w:bCs/>
          <w:sz w:val="30"/>
          <w:szCs w:val="30"/>
        </w:rPr>
      </w:pPr>
    </w:p>
    <w:p>
      <w:pPr>
        <w:spacing w:line="720" w:lineRule="auto"/>
        <w:ind w:firstLine="1205" w:firstLineChars="400"/>
        <w:rPr>
          <w:rFonts w:hAnsi="宋体" w:cs="宋体"/>
          <w:b/>
          <w:bCs/>
          <w:sz w:val="30"/>
          <w:szCs w:val="30"/>
          <w:u w:val="single"/>
        </w:rPr>
      </w:pPr>
      <w:r>
        <w:rPr>
          <w:rFonts w:hint="eastAsia" w:hAnsi="宋体" w:cs="宋体"/>
          <w:b/>
          <w:bCs/>
          <w:sz w:val="30"/>
          <w:szCs w:val="30"/>
        </w:rPr>
        <w:t>投标人（盖章）：</w:t>
      </w:r>
      <w:r>
        <w:rPr>
          <w:rFonts w:hint="eastAsia" w:hAnsi="宋体" w:cs="宋体"/>
          <w:b/>
          <w:bCs/>
          <w:sz w:val="30"/>
          <w:szCs w:val="30"/>
          <w:u w:val="single"/>
        </w:rPr>
        <w:t xml:space="preserve">                              </w:t>
      </w:r>
    </w:p>
    <w:p>
      <w:pPr>
        <w:spacing w:line="720" w:lineRule="auto"/>
        <w:ind w:firstLine="1205" w:firstLineChars="400"/>
        <w:rPr>
          <w:rFonts w:hAnsi="宋体" w:cs="宋体"/>
          <w:b/>
          <w:bCs/>
          <w:sz w:val="30"/>
          <w:szCs w:val="30"/>
          <w:u w:val="single"/>
        </w:rPr>
      </w:pPr>
      <w:r>
        <w:rPr>
          <w:rFonts w:hint="eastAsia" w:hAnsi="宋体" w:cs="宋体"/>
          <w:b/>
          <w:bCs/>
          <w:sz w:val="30"/>
          <w:szCs w:val="30"/>
        </w:rPr>
        <w:t>法定代表人或授权代表（签字或盖章）：</w:t>
      </w:r>
      <w:r>
        <w:rPr>
          <w:rFonts w:hint="eastAsia" w:hAnsi="宋体" w:cs="宋体"/>
          <w:b/>
          <w:bCs/>
          <w:sz w:val="30"/>
          <w:szCs w:val="30"/>
          <w:u w:val="single"/>
        </w:rPr>
        <w:t xml:space="preserve">          </w:t>
      </w:r>
    </w:p>
    <w:p>
      <w:pPr>
        <w:spacing w:line="720" w:lineRule="auto"/>
        <w:ind w:firstLine="1205" w:firstLineChars="400"/>
        <w:rPr>
          <w:rFonts w:hAnsi="宋体" w:cs="宋体"/>
          <w:sz w:val="30"/>
          <w:szCs w:val="30"/>
          <w:u w:val="single"/>
        </w:rPr>
      </w:pPr>
      <w:r>
        <w:rPr>
          <w:rFonts w:hint="eastAsia" w:hAnsi="宋体" w:cs="宋体"/>
          <w:b/>
          <w:bCs/>
          <w:sz w:val="30"/>
          <w:szCs w:val="30"/>
        </w:rPr>
        <w:t>日        期 ：</w:t>
      </w:r>
      <w:r>
        <w:rPr>
          <w:rFonts w:hint="eastAsia" w:hAnsi="宋体" w:cs="宋体"/>
          <w:b/>
          <w:bCs/>
          <w:sz w:val="30"/>
          <w:szCs w:val="30"/>
          <w:u w:val="single"/>
        </w:rPr>
        <w:t xml:space="preserve">       </w:t>
      </w:r>
      <w:r>
        <w:rPr>
          <w:rFonts w:hint="eastAsia" w:hAnsi="宋体" w:cs="宋体"/>
          <w:b/>
          <w:bCs/>
          <w:sz w:val="30"/>
          <w:szCs w:val="30"/>
        </w:rPr>
        <w:t>年</w:t>
      </w:r>
      <w:r>
        <w:rPr>
          <w:rFonts w:hint="eastAsia" w:hAnsi="宋体" w:cs="宋体"/>
          <w:b/>
          <w:bCs/>
          <w:sz w:val="30"/>
          <w:szCs w:val="30"/>
          <w:u w:val="single"/>
        </w:rPr>
        <w:t xml:space="preserve">     </w:t>
      </w:r>
      <w:r>
        <w:rPr>
          <w:rFonts w:hint="eastAsia" w:hAnsi="宋体" w:cs="宋体"/>
          <w:b/>
          <w:bCs/>
          <w:sz w:val="30"/>
          <w:szCs w:val="30"/>
        </w:rPr>
        <w:t>月</w:t>
      </w:r>
      <w:r>
        <w:rPr>
          <w:rFonts w:hint="eastAsia" w:hAnsi="宋体" w:cs="宋体"/>
          <w:b/>
          <w:bCs/>
          <w:sz w:val="30"/>
          <w:szCs w:val="30"/>
          <w:u w:val="single"/>
        </w:rPr>
        <w:t xml:space="preserve">     </w:t>
      </w:r>
      <w:r>
        <w:rPr>
          <w:rFonts w:hint="eastAsia" w:hAnsi="宋体" w:cs="宋体"/>
          <w:b/>
          <w:bCs/>
          <w:sz w:val="30"/>
          <w:szCs w:val="30"/>
        </w:rPr>
        <w:t>日</w:t>
      </w:r>
    </w:p>
    <w:p>
      <w:pPr>
        <w:rPr>
          <w:rFonts w:hint="eastAsia" w:hAnsi="宋体" w:cs="宋体"/>
          <w:b/>
          <w:bCs/>
          <w:sz w:val="32"/>
          <w:szCs w:val="32"/>
        </w:rPr>
      </w:pPr>
      <w:bookmarkStart w:id="173" w:name="_Toc17702"/>
      <w:bookmarkStart w:id="174" w:name="_Toc23850"/>
      <w:bookmarkStart w:id="175" w:name="_Toc363474026"/>
      <w:bookmarkStart w:id="176" w:name="_Toc23267"/>
      <w:bookmarkStart w:id="177" w:name="_Toc426457699"/>
      <w:bookmarkStart w:id="178" w:name="_Toc22537"/>
      <w:bookmarkStart w:id="179" w:name="_Toc403077647"/>
      <w:bookmarkStart w:id="180" w:name="_Toc30983"/>
      <w:r>
        <w:rPr>
          <w:rFonts w:hint="eastAsia" w:hAnsi="宋体" w:cs="宋体"/>
          <w:b/>
          <w:bCs/>
          <w:sz w:val="32"/>
          <w:szCs w:val="32"/>
        </w:rPr>
        <w:br w:type="page"/>
      </w:r>
    </w:p>
    <w:p>
      <w:pPr>
        <w:spacing w:line="720" w:lineRule="auto"/>
        <w:jc w:val="center"/>
        <w:rPr>
          <w:rFonts w:hAnsi="宋体" w:cs="宋体"/>
          <w:b/>
          <w:bCs/>
          <w:sz w:val="32"/>
          <w:szCs w:val="32"/>
        </w:rPr>
      </w:pPr>
      <w:r>
        <w:rPr>
          <w:rFonts w:hint="eastAsia" w:hAnsi="宋体" w:cs="宋体"/>
          <w:b/>
          <w:bCs/>
          <w:sz w:val="32"/>
          <w:szCs w:val="32"/>
        </w:rPr>
        <w:t>目    录</w:t>
      </w:r>
      <w:bookmarkEnd w:id="173"/>
      <w:bookmarkEnd w:id="174"/>
      <w:bookmarkEnd w:id="175"/>
      <w:bookmarkEnd w:id="176"/>
      <w:bookmarkEnd w:id="177"/>
      <w:bookmarkEnd w:id="178"/>
      <w:bookmarkEnd w:id="179"/>
      <w:bookmarkEnd w:id="180"/>
    </w:p>
    <w:p>
      <w:pPr>
        <w:pStyle w:val="8"/>
        <w:numPr>
          <w:ilvl w:val="0"/>
          <w:numId w:val="10"/>
        </w:numPr>
        <w:spacing w:line="480" w:lineRule="auto"/>
        <w:ind w:firstLine="480"/>
      </w:pPr>
      <w:r>
        <w:rPr>
          <w:rFonts w:hint="eastAsia"/>
        </w:rPr>
        <w:t>投标函</w:t>
      </w:r>
    </w:p>
    <w:p>
      <w:pPr>
        <w:pStyle w:val="8"/>
        <w:numPr>
          <w:ilvl w:val="0"/>
          <w:numId w:val="10"/>
        </w:numPr>
        <w:spacing w:line="480" w:lineRule="auto"/>
        <w:ind w:firstLine="480"/>
      </w:pPr>
      <w:r>
        <w:rPr>
          <w:rFonts w:hint="eastAsia"/>
        </w:rPr>
        <w:t>投标报价表</w:t>
      </w:r>
    </w:p>
    <w:p>
      <w:pPr>
        <w:pStyle w:val="8"/>
        <w:numPr>
          <w:ilvl w:val="0"/>
          <w:numId w:val="10"/>
        </w:numPr>
        <w:spacing w:line="480" w:lineRule="auto"/>
        <w:ind w:firstLine="480"/>
      </w:pPr>
      <w:r>
        <w:rPr>
          <w:rFonts w:hint="eastAsia"/>
        </w:rPr>
        <w:t>投标方案说明书</w:t>
      </w:r>
    </w:p>
    <w:p>
      <w:pPr>
        <w:pStyle w:val="8"/>
        <w:numPr>
          <w:ilvl w:val="0"/>
          <w:numId w:val="10"/>
        </w:numPr>
        <w:spacing w:line="480" w:lineRule="auto"/>
        <w:ind w:firstLine="480"/>
      </w:pPr>
      <w:r>
        <w:rPr>
          <w:rFonts w:hint="eastAsia"/>
        </w:rPr>
        <w:t>商务条款偏离表</w:t>
      </w:r>
    </w:p>
    <w:p>
      <w:pPr>
        <w:pStyle w:val="8"/>
        <w:numPr>
          <w:ilvl w:val="0"/>
          <w:numId w:val="10"/>
        </w:numPr>
        <w:spacing w:line="480" w:lineRule="auto"/>
        <w:ind w:firstLine="480"/>
      </w:pPr>
      <w:r>
        <w:rPr>
          <w:rFonts w:hint="eastAsia"/>
        </w:rPr>
        <w:t>资格证明文件</w:t>
      </w:r>
    </w:p>
    <w:p>
      <w:pPr>
        <w:pStyle w:val="8"/>
        <w:numPr>
          <w:ilvl w:val="0"/>
          <w:numId w:val="10"/>
        </w:numPr>
        <w:spacing w:line="480" w:lineRule="auto"/>
        <w:ind w:firstLine="480"/>
      </w:pPr>
      <w:r>
        <w:rPr>
          <w:rFonts w:hint="eastAsia"/>
        </w:rPr>
        <w:t>投标人承诺书</w:t>
      </w:r>
    </w:p>
    <w:p>
      <w:pPr>
        <w:pStyle w:val="4"/>
      </w:pPr>
      <w:bookmarkStart w:id="181" w:name="_Toc363474027"/>
      <w:bookmarkStart w:id="182" w:name="_Toc403077648"/>
      <w:bookmarkStart w:id="183" w:name="_Toc28404"/>
      <w:bookmarkStart w:id="184" w:name="_Toc4930"/>
      <w:bookmarkStart w:id="185" w:name="_Toc14057"/>
      <w:bookmarkStart w:id="186" w:name="_Toc24231"/>
      <w:bookmarkStart w:id="187" w:name="_Toc23702"/>
      <w:bookmarkStart w:id="188" w:name="_Toc18434"/>
      <w:bookmarkStart w:id="189" w:name="_Toc13414"/>
      <w:bookmarkStart w:id="190" w:name="_Toc23833"/>
      <w:bookmarkStart w:id="191" w:name="_Toc426457700"/>
      <w:r>
        <w:rPr>
          <w:rFonts w:hint="eastAsia"/>
        </w:rPr>
        <w:br w:type="page"/>
      </w:r>
      <w:r>
        <w:rPr>
          <w:rFonts w:hint="eastAsia"/>
        </w:rPr>
        <w:t>一、投标</w:t>
      </w:r>
      <w:bookmarkEnd w:id="181"/>
      <w:bookmarkEnd w:id="182"/>
      <w:r>
        <w:rPr>
          <w:rFonts w:hint="eastAsia"/>
        </w:rPr>
        <w:t>函</w:t>
      </w:r>
      <w:bookmarkEnd w:id="183"/>
      <w:bookmarkEnd w:id="184"/>
      <w:bookmarkEnd w:id="185"/>
      <w:bookmarkEnd w:id="186"/>
      <w:bookmarkEnd w:id="187"/>
      <w:bookmarkEnd w:id="188"/>
      <w:bookmarkEnd w:id="189"/>
      <w:bookmarkEnd w:id="190"/>
      <w:bookmarkEnd w:id="191"/>
    </w:p>
    <w:p>
      <w:pPr>
        <w:pStyle w:val="8"/>
        <w:ind w:firstLine="0" w:firstLineChars="0"/>
        <w:rPr>
          <w:rFonts w:hint="eastAsia" w:eastAsia="宋体"/>
          <w:b/>
          <w:bCs/>
          <w:lang w:eastAsia="zh-CN"/>
        </w:rPr>
      </w:pPr>
      <w:r>
        <w:rPr>
          <w:rFonts w:hint="eastAsia"/>
          <w:b/>
          <w:bCs/>
        </w:rPr>
        <w:t>致：</w:t>
      </w:r>
      <w:r>
        <w:rPr>
          <w:rFonts w:hint="eastAsia"/>
          <w:b/>
          <w:bCs/>
          <w:u w:val="single"/>
        </w:rPr>
        <w:t>（</w:t>
      </w:r>
      <w:r>
        <w:rPr>
          <w:rFonts w:hint="eastAsia"/>
          <w:b/>
          <w:bCs/>
          <w:u w:val="single"/>
          <w:lang w:eastAsia="zh-CN"/>
        </w:rPr>
        <w:t>招标人</w:t>
      </w:r>
      <w:r>
        <w:rPr>
          <w:rFonts w:hint="eastAsia"/>
          <w:b/>
          <w:bCs/>
          <w:u w:val="single"/>
        </w:rPr>
        <w:t>名称）/</w:t>
      </w:r>
      <w:r>
        <w:rPr>
          <w:rFonts w:hint="eastAsia"/>
          <w:b/>
          <w:bCs/>
          <w:u w:val="single"/>
          <w:lang w:eastAsia="zh-CN"/>
        </w:rPr>
        <w:t>陕西正鸿项目管理有限公司</w:t>
      </w:r>
    </w:p>
    <w:p>
      <w:pPr>
        <w:pStyle w:val="8"/>
        <w:ind w:firstLine="480"/>
      </w:pPr>
      <w:r>
        <w:rPr>
          <w:rFonts w:hint="eastAsia"/>
        </w:rPr>
        <w:t>根据贵方</w:t>
      </w:r>
      <w:r>
        <w:rPr>
          <w:rFonts w:hint="eastAsia"/>
          <w:u w:val="single"/>
        </w:rPr>
        <w:t>“       项目名称                 ”</w:t>
      </w:r>
      <w:r>
        <w:rPr>
          <w:rFonts w:hint="eastAsia"/>
        </w:rPr>
        <w:t>的招标文件</w:t>
      </w:r>
      <w:r>
        <w:rPr>
          <w:rFonts w:hint="eastAsia"/>
          <w:u w:val="single"/>
        </w:rPr>
        <w:t>(</w:t>
      </w:r>
      <w:r>
        <w:rPr>
          <w:rFonts w:hint="eastAsia"/>
          <w:u w:val="single"/>
          <w:lang w:val="en-US" w:eastAsia="zh-CN"/>
        </w:rPr>
        <w:t>项目</w:t>
      </w:r>
      <w:r>
        <w:rPr>
          <w:rFonts w:hint="eastAsia"/>
          <w:u w:val="single"/>
        </w:rPr>
        <w:t>编号：        )</w:t>
      </w:r>
      <w:r>
        <w:rPr>
          <w:rFonts w:hint="eastAsia"/>
          <w:u w:val="single"/>
          <w:lang w:eastAsia="zh-CN"/>
        </w:rPr>
        <w:t>、（</w:t>
      </w:r>
      <w:r>
        <w:rPr>
          <w:rFonts w:hint="eastAsia"/>
          <w:u w:val="single"/>
          <w:lang w:val="en-US" w:eastAsia="zh-CN"/>
        </w:rPr>
        <w:t xml:space="preserve">合同包号：          </w:t>
      </w:r>
      <w:r>
        <w:rPr>
          <w:rFonts w:hint="eastAsia"/>
          <w:u w:val="single"/>
          <w:lang w:eastAsia="zh-CN"/>
        </w:rPr>
        <w:t>）</w:t>
      </w:r>
      <w:r>
        <w:rPr>
          <w:rFonts w:hint="eastAsia"/>
        </w:rPr>
        <w:t>，签字代表</w:t>
      </w:r>
      <w:r>
        <w:rPr>
          <w:rFonts w:hint="eastAsia"/>
          <w:u w:val="single"/>
        </w:rPr>
        <w:t>（全名、职务）</w:t>
      </w:r>
      <w:r>
        <w:rPr>
          <w:rFonts w:hint="eastAsia"/>
        </w:rPr>
        <w:t>经正式授权并代表投标人</w:t>
      </w:r>
      <w:r>
        <w:rPr>
          <w:rFonts w:hint="eastAsia"/>
          <w:u w:val="single"/>
        </w:rPr>
        <w:t xml:space="preserve">(投标人名称、地址) </w:t>
      </w:r>
      <w:r>
        <w:rPr>
          <w:rFonts w:hint="eastAsia"/>
        </w:rPr>
        <w:t>提交投标文件正本</w:t>
      </w:r>
      <w:r>
        <w:rPr>
          <w:rFonts w:hint="eastAsia"/>
          <w:u w:val="single"/>
        </w:rPr>
        <w:t>壹</w:t>
      </w:r>
      <w:r>
        <w:rPr>
          <w:rFonts w:hint="eastAsia"/>
        </w:rPr>
        <w:t>份、副本一式</w:t>
      </w:r>
      <w:r>
        <w:rPr>
          <w:rFonts w:hint="eastAsia"/>
          <w:u w:val="single"/>
        </w:rPr>
        <w:t xml:space="preserve">   </w:t>
      </w:r>
      <w:r>
        <w:rPr>
          <w:rFonts w:hint="eastAsia"/>
        </w:rPr>
        <w:t>份、报价一览表</w:t>
      </w:r>
      <w:r>
        <w:rPr>
          <w:rFonts w:hint="eastAsia"/>
          <w:u w:val="single"/>
        </w:rPr>
        <w:t xml:space="preserve">   </w:t>
      </w:r>
      <w:r>
        <w:rPr>
          <w:rFonts w:hint="eastAsia"/>
        </w:rPr>
        <w:t>份、电子版</w:t>
      </w:r>
      <w:r>
        <w:rPr>
          <w:rFonts w:hint="eastAsia"/>
          <w:u w:val="single"/>
        </w:rPr>
        <w:t xml:space="preserve">   </w:t>
      </w:r>
      <w:r>
        <w:rPr>
          <w:rFonts w:hint="eastAsia"/>
        </w:rPr>
        <w:t>份。</w:t>
      </w:r>
    </w:p>
    <w:p>
      <w:pPr>
        <w:pStyle w:val="8"/>
        <w:ind w:firstLine="480"/>
      </w:pPr>
      <w:r>
        <w:rPr>
          <w:rFonts w:hint="eastAsia"/>
        </w:rPr>
        <w:t>我方承诺如下：</w:t>
      </w:r>
    </w:p>
    <w:p>
      <w:pPr>
        <w:pStyle w:val="8"/>
        <w:ind w:firstLine="480"/>
      </w:pPr>
      <w:r>
        <w:rPr>
          <w:rFonts w:hint="eastAsia"/>
        </w:rPr>
        <w:t>（1）投标报价为</w:t>
      </w:r>
      <w:r>
        <w:rPr>
          <w:rFonts w:hint="eastAsia"/>
          <w:b/>
          <w:bCs/>
          <w:lang w:val="en-US" w:eastAsia="zh-CN"/>
        </w:rPr>
        <w:t>单价：</w:t>
      </w:r>
      <w:r>
        <w:rPr>
          <w:rFonts w:hint="eastAsia"/>
          <w:b w:val="0"/>
          <w:bCs w:val="0"/>
          <w:lang w:val="en-US" w:eastAsia="zh-CN"/>
        </w:rPr>
        <w:t>产品名称：</w:t>
      </w:r>
      <w:r>
        <w:rPr>
          <w:rFonts w:hint="eastAsia"/>
          <w:b w:val="0"/>
          <w:bCs w:val="0"/>
          <w:u w:val="single"/>
        </w:rPr>
        <w:t xml:space="preserve">     </w:t>
      </w:r>
      <w:r>
        <w:rPr>
          <w:rFonts w:hint="eastAsia"/>
          <w:b w:val="0"/>
          <w:bCs w:val="0"/>
          <w:lang w:val="en-US" w:eastAsia="zh-CN"/>
        </w:rPr>
        <w:t>包装规格：</w:t>
      </w:r>
      <w:r>
        <w:rPr>
          <w:rFonts w:hint="eastAsia"/>
          <w:b w:val="0"/>
          <w:bCs w:val="0"/>
          <w:u w:val="single"/>
        </w:rPr>
        <w:t xml:space="preserve">     </w:t>
      </w:r>
      <w:r>
        <w:rPr>
          <w:rFonts w:hint="eastAsia"/>
          <w:b w:val="0"/>
          <w:bCs w:val="0"/>
        </w:rPr>
        <w:t>小写：</w:t>
      </w:r>
      <w:r>
        <w:rPr>
          <w:rFonts w:hint="eastAsia"/>
          <w:b w:val="0"/>
          <w:bCs w:val="0"/>
          <w:u w:val="single"/>
        </w:rPr>
        <w:t xml:space="preserve">     </w:t>
      </w:r>
      <w:r>
        <w:rPr>
          <w:rFonts w:hint="eastAsia"/>
          <w:b w:val="0"/>
          <w:bCs w:val="0"/>
        </w:rPr>
        <w:t>（大写：</w:t>
      </w:r>
      <w:r>
        <w:rPr>
          <w:rFonts w:hint="eastAsia"/>
          <w:b w:val="0"/>
          <w:bCs w:val="0"/>
          <w:u w:val="single"/>
        </w:rPr>
        <w:t xml:space="preserve">     </w:t>
      </w:r>
      <w:r>
        <w:rPr>
          <w:rFonts w:hint="eastAsia"/>
          <w:b w:val="0"/>
          <w:bCs w:val="0"/>
        </w:rPr>
        <w:t>）</w:t>
      </w:r>
      <w:r>
        <w:rPr>
          <w:rFonts w:hint="eastAsia"/>
          <w:b w:val="0"/>
          <w:bCs w:val="0"/>
          <w:lang w:eastAsia="zh-CN"/>
        </w:rPr>
        <w:t>；</w:t>
      </w:r>
      <w:r>
        <w:rPr>
          <w:rFonts w:hint="eastAsia"/>
          <w:b w:val="0"/>
          <w:bCs w:val="0"/>
          <w:lang w:val="en-US" w:eastAsia="zh-CN"/>
        </w:rPr>
        <w:t>产品名称：</w:t>
      </w:r>
      <w:r>
        <w:rPr>
          <w:rFonts w:hint="eastAsia"/>
          <w:b w:val="0"/>
          <w:bCs w:val="0"/>
          <w:u w:val="single"/>
        </w:rPr>
        <w:t xml:space="preserve">     </w:t>
      </w:r>
      <w:r>
        <w:rPr>
          <w:rFonts w:hint="eastAsia"/>
          <w:b w:val="0"/>
          <w:bCs w:val="0"/>
          <w:lang w:val="en-US" w:eastAsia="zh-CN"/>
        </w:rPr>
        <w:t>包装规格：</w:t>
      </w:r>
      <w:r>
        <w:rPr>
          <w:rFonts w:hint="eastAsia"/>
          <w:b w:val="0"/>
          <w:bCs w:val="0"/>
          <w:u w:val="single"/>
        </w:rPr>
        <w:t xml:space="preserve">     </w:t>
      </w:r>
      <w:r>
        <w:rPr>
          <w:rFonts w:hint="eastAsia"/>
          <w:b w:val="0"/>
          <w:bCs w:val="0"/>
        </w:rPr>
        <w:t>小写：</w:t>
      </w:r>
      <w:r>
        <w:rPr>
          <w:rFonts w:hint="eastAsia"/>
          <w:b w:val="0"/>
          <w:bCs w:val="0"/>
          <w:u w:val="single"/>
        </w:rPr>
        <w:t xml:space="preserve">     </w:t>
      </w:r>
      <w:r>
        <w:rPr>
          <w:rFonts w:hint="eastAsia"/>
          <w:b w:val="0"/>
          <w:bCs w:val="0"/>
        </w:rPr>
        <w:t>（大写：</w:t>
      </w:r>
      <w:r>
        <w:rPr>
          <w:rFonts w:hint="eastAsia"/>
          <w:b w:val="0"/>
          <w:bCs w:val="0"/>
          <w:u w:val="single"/>
        </w:rPr>
        <w:t xml:space="preserve">     </w:t>
      </w:r>
      <w:r>
        <w:rPr>
          <w:rFonts w:hint="eastAsia"/>
          <w:b w:val="0"/>
          <w:bCs w:val="0"/>
        </w:rPr>
        <w:t>）</w:t>
      </w:r>
      <w:r>
        <w:rPr>
          <w:rFonts w:hint="eastAsia"/>
          <w:lang w:eastAsia="zh-CN"/>
        </w:rPr>
        <w:t>；</w:t>
      </w:r>
      <w:r>
        <w:rPr>
          <w:rFonts w:hint="eastAsia"/>
          <w:b/>
          <w:bCs/>
          <w:lang w:val="en-US" w:eastAsia="zh-CN"/>
        </w:rPr>
        <w:t>总价：</w:t>
      </w:r>
      <w:r>
        <w:rPr>
          <w:rFonts w:hint="eastAsia"/>
        </w:rPr>
        <w:t>小写：</w:t>
      </w:r>
      <w:r>
        <w:rPr>
          <w:rFonts w:hint="eastAsia"/>
          <w:u w:val="single"/>
        </w:rPr>
        <w:t xml:space="preserve">     </w:t>
      </w:r>
      <w:r>
        <w:rPr>
          <w:rFonts w:hint="eastAsia"/>
          <w:u w:val="single"/>
          <w:lang w:val="en-US" w:eastAsia="zh-CN"/>
        </w:rPr>
        <w:t>元</w:t>
      </w:r>
      <w:r>
        <w:rPr>
          <w:rFonts w:hint="eastAsia"/>
        </w:rPr>
        <w:t>（大写：</w:t>
      </w:r>
      <w:r>
        <w:rPr>
          <w:rFonts w:hint="eastAsia"/>
          <w:u w:val="single"/>
        </w:rPr>
        <w:t xml:space="preserve">     </w:t>
      </w:r>
      <w:r>
        <w:rPr>
          <w:rFonts w:hint="eastAsia"/>
          <w:u w:val="single"/>
          <w:lang w:val="en-US" w:eastAsia="zh-CN"/>
        </w:rPr>
        <w:t>元</w:t>
      </w:r>
      <w:r>
        <w:rPr>
          <w:rFonts w:hint="eastAsia"/>
          <w:u w:val="single"/>
        </w:rPr>
        <w:t xml:space="preserve"> </w:t>
      </w:r>
      <w:r>
        <w:rPr>
          <w:rFonts w:hint="eastAsia"/>
        </w:rPr>
        <w:t>）。</w:t>
      </w:r>
    </w:p>
    <w:p>
      <w:pPr>
        <w:pStyle w:val="8"/>
        <w:ind w:firstLine="480"/>
      </w:pPr>
      <w:r>
        <w:rPr>
          <w:rFonts w:hint="eastAsia"/>
        </w:rPr>
        <w:t>（2）如果中标，我们根据招标文件的规定，履行合同的责任和义务。</w:t>
      </w:r>
    </w:p>
    <w:p>
      <w:pPr>
        <w:pStyle w:val="8"/>
        <w:ind w:firstLine="480"/>
      </w:pPr>
      <w:r>
        <w:rPr>
          <w:rFonts w:hint="eastAsia"/>
        </w:rPr>
        <w:t>（3）我们已详细阅读和审核全部招标文件（含修改部分，如有的话）及有关附件，我们知道必须放弃提出含糊不清或误解的问题的权利。</w:t>
      </w:r>
    </w:p>
    <w:p>
      <w:pPr>
        <w:pStyle w:val="8"/>
        <w:ind w:firstLine="480"/>
      </w:pPr>
      <w:r>
        <w:rPr>
          <w:rFonts w:hint="eastAsia"/>
        </w:rPr>
        <w:t>（4）我们同意在投标有效期内（自开标之日起</w:t>
      </w:r>
      <w:r>
        <w:rPr>
          <w:rFonts w:hint="eastAsia"/>
          <w:u w:val="single"/>
        </w:rPr>
        <w:t xml:space="preserve">    </w:t>
      </w:r>
      <w:r>
        <w:rPr>
          <w:rFonts w:hint="eastAsia"/>
        </w:rPr>
        <w:t>天），本投标函对我方具有约束力。</w:t>
      </w:r>
    </w:p>
    <w:p>
      <w:pPr>
        <w:pStyle w:val="8"/>
        <w:ind w:firstLine="480"/>
      </w:pPr>
      <w:r>
        <w:rPr>
          <w:rFonts w:hint="eastAsia"/>
        </w:rPr>
        <w:t>（</w:t>
      </w:r>
      <w:r>
        <w:rPr>
          <w:rFonts w:hint="eastAsia"/>
          <w:lang w:val="en-US" w:eastAsia="zh-CN"/>
        </w:rPr>
        <w:t>5</w:t>
      </w:r>
      <w:r>
        <w:rPr>
          <w:rFonts w:hint="eastAsia"/>
        </w:rPr>
        <w:t xml:space="preserve">）同意提供贵方可能另外要求的与本投标有关的任何证据和资料。 </w:t>
      </w:r>
    </w:p>
    <w:p>
      <w:pPr>
        <w:pStyle w:val="8"/>
        <w:ind w:firstLine="480"/>
      </w:pPr>
      <w:r>
        <w:rPr>
          <w:rFonts w:hint="eastAsia"/>
        </w:rPr>
        <w:t>（</w:t>
      </w:r>
      <w:r>
        <w:rPr>
          <w:rFonts w:hint="eastAsia"/>
          <w:lang w:val="en-US" w:eastAsia="zh-CN"/>
        </w:rPr>
        <w:t>6</w:t>
      </w:r>
      <w:r>
        <w:rPr>
          <w:rFonts w:hint="eastAsia"/>
        </w:rPr>
        <w:t>）我们同意，如果中标，向</w:t>
      </w:r>
      <w:r>
        <w:rPr>
          <w:rFonts w:hint="eastAsia"/>
          <w:lang w:eastAsia="zh-CN"/>
        </w:rPr>
        <w:t>陕西正鸿项目管理有限公司</w:t>
      </w:r>
      <w:r>
        <w:rPr>
          <w:rFonts w:hint="eastAsia"/>
        </w:rPr>
        <w:t>交纳招标代理服务费。</w:t>
      </w:r>
    </w:p>
    <w:p>
      <w:pPr>
        <w:pStyle w:val="8"/>
        <w:ind w:firstLine="480"/>
      </w:pPr>
      <w:r>
        <w:rPr>
          <w:rFonts w:hint="eastAsia"/>
        </w:rPr>
        <w:t>（</w:t>
      </w:r>
      <w:r>
        <w:rPr>
          <w:rFonts w:hint="eastAsia"/>
          <w:lang w:val="en-US" w:eastAsia="zh-CN"/>
        </w:rPr>
        <w:t>7</w:t>
      </w:r>
      <w:r>
        <w:rPr>
          <w:rFonts w:hint="eastAsia"/>
        </w:rPr>
        <w:t>）与本投标有关的一切正式往来通讯为：</w:t>
      </w:r>
    </w:p>
    <w:p>
      <w:pPr>
        <w:pStyle w:val="8"/>
        <w:ind w:firstLine="480"/>
      </w:pPr>
    </w:p>
    <w:p>
      <w:pPr>
        <w:pStyle w:val="8"/>
        <w:ind w:firstLine="480"/>
        <w:rPr>
          <w:u w:val="single"/>
        </w:rPr>
      </w:pPr>
      <w:r>
        <w:rPr>
          <w:rFonts w:hint="eastAsia"/>
        </w:rPr>
        <w:t>联系地址：</w:t>
      </w:r>
      <w:r>
        <w:rPr>
          <w:rFonts w:hint="eastAsia"/>
          <w:u w:val="single"/>
        </w:rPr>
        <w:t xml:space="preserve">                 </w:t>
      </w:r>
    </w:p>
    <w:p>
      <w:pPr>
        <w:pStyle w:val="8"/>
        <w:ind w:firstLine="480"/>
        <w:rPr>
          <w:b/>
          <w:bCs/>
        </w:rPr>
      </w:pPr>
      <w:r>
        <w:rPr>
          <w:rFonts w:hint="eastAsia"/>
        </w:rPr>
        <w:t>邮政编码：</w:t>
      </w:r>
      <w:r>
        <w:rPr>
          <w:rFonts w:hint="eastAsia"/>
          <w:u w:val="single"/>
        </w:rPr>
        <w:t xml:space="preserve">                 </w:t>
      </w:r>
    </w:p>
    <w:p>
      <w:pPr>
        <w:pStyle w:val="8"/>
        <w:ind w:firstLine="480"/>
      </w:pPr>
      <w:r>
        <w:rPr>
          <w:rFonts w:hint="eastAsia"/>
        </w:rPr>
        <w:t>电    话：</w:t>
      </w:r>
      <w:r>
        <w:rPr>
          <w:rFonts w:hint="eastAsia"/>
          <w:u w:val="single"/>
        </w:rPr>
        <w:t xml:space="preserve">                 </w:t>
      </w:r>
    </w:p>
    <w:p>
      <w:pPr>
        <w:pStyle w:val="8"/>
        <w:ind w:firstLine="480"/>
      </w:pPr>
      <w:r>
        <w:rPr>
          <w:rFonts w:hint="eastAsia"/>
        </w:rPr>
        <w:t>传    真：</w:t>
      </w:r>
      <w:r>
        <w:rPr>
          <w:rFonts w:hint="eastAsia"/>
          <w:u w:val="single"/>
        </w:rPr>
        <w:t xml:space="preserve">                 </w:t>
      </w:r>
    </w:p>
    <w:p>
      <w:pPr>
        <w:pStyle w:val="8"/>
        <w:ind w:firstLine="480"/>
      </w:pPr>
      <w:r>
        <w:rPr>
          <w:rFonts w:hint="eastAsia"/>
        </w:rPr>
        <w:t>投标人名称：</w:t>
      </w:r>
      <w:r>
        <w:rPr>
          <w:rFonts w:hint="eastAsia"/>
          <w:u w:val="single"/>
        </w:rPr>
        <w:t xml:space="preserve">                 </w:t>
      </w:r>
      <w:r>
        <w:rPr>
          <w:rFonts w:hint="eastAsia"/>
        </w:rPr>
        <w:t>（盖单位公章）</w:t>
      </w:r>
    </w:p>
    <w:p>
      <w:pPr>
        <w:pStyle w:val="8"/>
        <w:ind w:firstLine="480"/>
      </w:pPr>
      <w:r>
        <w:rPr>
          <w:rFonts w:hint="eastAsia"/>
        </w:rPr>
        <w:t>法定代表人或被授权人：</w:t>
      </w:r>
      <w:r>
        <w:rPr>
          <w:rFonts w:hint="eastAsia"/>
          <w:u w:val="single"/>
        </w:rPr>
        <w:t xml:space="preserve">       </w:t>
      </w:r>
      <w:r>
        <w:rPr>
          <w:rFonts w:hint="eastAsia"/>
        </w:rPr>
        <w:t>（签字或盖章）</w:t>
      </w:r>
    </w:p>
    <w:p>
      <w:pPr>
        <w:pStyle w:val="8"/>
        <w:ind w:firstLine="480"/>
      </w:pPr>
      <w:r>
        <w:rPr>
          <w:rFonts w:hint="eastAsia"/>
        </w:rPr>
        <w:t>日    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pStyle w:val="4"/>
        <w:spacing w:before="0" w:after="0" w:line="240" w:lineRule="auto"/>
        <w:ind w:left="0"/>
        <w:rPr>
          <w:rStyle w:val="30"/>
          <w:b/>
          <w:bCs/>
        </w:rPr>
      </w:pPr>
      <w:r>
        <w:rPr>
          <w:rFonts w:hint="eastAsia"/>
          <w:sz w:val="28"/>
        </w:rPr>
        <w:br w:type="page"/>
      </w:r>
      <w:bookmarkStart w:id="192" w:name="_Toc27599"/>
      <w:bookmarkStart w:id="193" w:name="_Toc4332"/>
      <w:bookmarkStart w:id="194" w:name="_Toc13499"/>
      <w:bookmarkStart w:id="195" w:name="_Toc15042"/>
      <w:bookmarkStart w:id="196" w:name="_Toc403077651"/>
      <w:bookmarkStart w:id="197" w:name="_Toc29025"/>
      <w:bookmarkStart w:id="198" w:name="_Toc21319"/>
      <w:bookmarkStart w:id="199" w:name="_Toc363474030"/>
      <w:bookmarkStart w:id="200" w:name="_Toc17802"/>
      <w:bookmarkStart w:id="201" w:name="_Toc426457703"/>
      <w:bookmarkStart w:id="202" w:name="_Toc21967"/>
      <w:r>
        <w:rPr>
          <w:rStyle w:val="30"/>
          <w:rFonts w:hint="eastAsia"/>
          <w:b/>
          <w:bCs/>
        </w:rPr>
        <w:t>二、投标报价表</w:t>
      </w:r>
      <w:bookmarkEnd w:id="192"/>
      <w:bookmarkEnd w:id="193"/>
      <w:bookmarkEnd w:id="194"/>
      <w:bookmarkEnd w:id="195"/>
      <w:bookmarkEnd w:id="196"/>
      <w:bookmarkEnd w:id="197"/>
      <w:bookmarkEnd w:id="198"/>
      <w:bookmarkEnd w:id="199"/>
      <w:bookmarkEnd w:id="200"/>
      <w:bookmarkEnd w:id="201"/>
      <w:bookmarkEnd w:id="202"/>
    </w:p>
    <w:p>
      <w:pPr>
        <w:pStyle w:val="8"/>
        <w:ind w:firstLine="0" w:firstLineChars="0"/>
        <w:jc w:val="center"/>
        <w:rPr>
          <w:rFonts w:hAnsi="宋体"/>
          <w:b/>
          <w:color w:val="auto"/>
          <w:sz w:val="30"/>
          <w:szCs w:val="30"/>
        </w:rPr>
      </w:pPr>
      <w:r>
        <w:rPr>
          <w:rFonts w:hint="eastAsia" w:hAnsi="宋体"/>
          <w:b/>
          <w:color w:val="auto"/>
          <w:sz w:val="30"/>
          <w:szCs w:val="30"/>
        </w:rPr>
        <w:t>2.1开标一览表</w:t>
      </w:r>
    </w:p>
    <w:p>
      <w:pPr>
        <w:pStyle w:val="12"/>
        <w:spacing w:line="360" w:lineRule="auto"/>
        <w:rPr>
          <w:rFonts w:hAnsi="宋体"/>
          <w:sz w:val="24"/>
        </w:rPr>
      </w:pPr>
      <w:r>
        <w:rPr>
          <w:rFonts w:hint="eastAsia" w:hAnsi="宋体"/>
          <w:sz w:val="24"/>
          <w:lang w:val="en-US" w:eastAsia="zh-CN"/>
        </w:rPr>
        <w:t>项目</w:t>
      </w:r>
      <w:r>
        <w:rPr>
          <w:rFonts w:hint="eastAsia" w:hAnsi="宋体"/>
          <w:sz w:val="24"/>
        </w:rPr>
        <w:t>编号：</w:t>
      </w:r>
      <w:r>
        <w:rPr>
          <w:rFonts w:hint="eastAsia" w:hAnsi="宋体"/>
          <w:sz w:val="24"/>
          <w:u w:val="single"/>
        </w:rPr>
        <w:t xml:space="preserve">                     </w:t>
      </w:r>
    </w:p>
    <w:p>
      <w:pPr>
        <w:pStyle w:val="12"/>
        <w:spacing w:line="360" w:lineRule="auto"/>
        <w:rPr>
          <w:rFonts w:ascii="Times New Roman" w:hAnsi="Times New Roman"/>
          <w:sz w:val="24"/>
          <w:szCs w:val="24"/>
        </w:rPr>
      </w:pPr>
      <w:r>
        <w:rPr>
          <w:rFonts w:hint="eastAsia" w:hAnsi="宋体"/>
          <w:sz w:val="24"/>
          <w:lang w:val="en-US" w:eastAsia="zh-CN"/>
        </w:rPr>
        <w:t>合同包号</w:t>
      </w:r>
      <w:r>
        <w:rPr>
          <w:rFonts w:hint="eastAsia" w:hAnsi="宋体"/>
          <w:sz w:val="24"/>
        </w:rPr>
        <w:t>：</w:t>
      </w:r>
      <w:r>
        <w:rPr>
          <w:rFonts w:hint="eastAsia" w:hAnsi="宋体"/>
          <w:sz w:val="24"/>
          <w:u w:val="single"/>
        </w:rPr>
        <w:t xml:space="preserve">  </w:t>
      </w:r>
      <w:r>
        <w:rPr>
          <w:rFonts w:hint="eastAsia" w:hAnsi="宋体"/>
          <w:b/>
          <w:sz w:val="24"/>
          <w:u w:val="single"/>
        </w:rPr>
        <w:t xml:space="preserve"> </w:t>
      </w:r>
      <w:r>
        <w:rPr>
          <w:rFonts w:hint="eastAsia" w:hAnsi="宋体"/>
          <w:b/>
          <w:sz w:val="24"/>
          <w:u w:val="single"/>
          <w:lang w:val="en-US" w:eastAsia="zh-CN"/>
        </w:rPr>
        <w:t>1</w:t>
      </w:r>
      <w:r>
        <w:rPr>
          <w:rFonts w:hint="eastAsia" w:hAnsi="宋体"/>
          <w:b/>
          <w:sz w:val="24"/>
          <w:szCs w:val="22"/>
          <w:u w:val="single"/>
          <w:lang w:val="en-US" w:eastAsia="zh-CN"/>
        </w:rPr>
        <w:t>（大米）</w:t>
      </w:r>
      <w:r>
        <w:rPr>
          <w:rFonts w:hint="eastAsia" w:hAnsi="宋体"/>
          <w:sz w:val="24"/>
          <w:u w:val="single"/>
        </w:rPr>
        <w:t xml:space="preserve"> </w:t>
      </w:r>
      <w:r>
        <w:rPr>
          <w:rFonts w:hint="eastAsia" w:ascii="Times New Roman" w:hAnsi="Times New Roman"/>
          <w:sz w:val="24"/>
          <w:szCs w:val="24"/>
          <w:u w:val="single"/>
        </w:rPr>
        <w:t xml:space="preserve"> </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1959"/>
        <w:gridCol w:w="1120"/>
        <w:gridCol w:w="1390"/>
        <w:gridCol w:w="1251"/>
        <w:gridCol w:w="1251"/>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8" w:hRule="atLeast"/>
          <w:jc w:val="center"/>
        </w:trPr>
        <w:tc>
          <w:tcPr>
            <w:tcW w:w="503" w:type="pct"/>
            <w:vAlign w:val="center"/>
          </w:tcPr>
          <w:p>
            <w:pPr>
              <w:spacing w:line="360" w:lineRule="auto"/>
              <w:jc w:val="center"/>
              <w:rPr>
                <w:rFonts w:ascii="宋体" w:hAnsi="宋体"/>
                <w:sz w:val="24"/>
              </w:rPr>
            </w:pPr>
            <w:r>
              <w:rPr>
                <w:rFonts w:hint="eastAsia" w:ascii="宋体" w:hAnsi="宋体"/>
                <w:sz w:val="24"/>
              </w:rPr>
              <w:t>合同包号</w:t>
            </w:r>
          </w:p>
        </w:tc>
        <w:tc>
          <w:tcPr>
            <w:tcW w:w="1074" w:type="pct"/>
            <w:vAlign w:val="center"/>
          </w:tcPr>
          <w:p>
            <w:pPr>
              <w:spacing w:line="360" w:lineRule="auto"/>
              <w:jc w:val="center"/>
              <w:rPr>
                <w:rFonts w:ascii="宋体" w:hAnsi="宋体"/>
                <w:sz w:val="24"/>
              </w:rPr>
            </w:pPr>
            <w:r>
              <w:rPr>
                <w:rFonts w:hint="eastAsia" w:ascii="宋体" w:hAnsi="宋体"/>
                <w:sz w:val="24"/>
              </w:rPr>
              <w:t>产品名称</w:t>
            </w:r>
          </w:p>
        </w:tc>
        <w:tc>
          <w:tcPr>
            <w:tcW w:w="614" w:type="pct"/>
            <w:vAlign w:val="center"/>
          </w:tcPr>
          <w:p>
            <w:pPr>
              <w:spacing w:line="360" w:lineRule="auto"/>
              <w:jc w:val="center"/>
              <w:rPr>
                <w:rFonts w:ascii="宋体" w:hAnsi="宋体"/>
                <w:sz w:val="24"/>
              </w:rPr>
            </w:pPr>
            <w:r>
              <w:rPr>
                <w:rFonts w:hint="eastAsia" w:ascii="宋体" w:hAnsi="宋体"/>
                <w:sz w:val="24"/>
              </w:rPr>
              <w:t>包装</w:t>
            </w:r>
          </w:p>
          <w:p>
            <w:pPr>
              <w:spacing w:line="360" w:lineRule="auto"/>
              <w:jc w:val="center"/>
              <w:rPr>
                <w:rFonts w:ascii="宋体" w:hAnsi="宋体"/>
                <w:sz w:val="24"/>
              </w:rPr>
            </w:pPr>
            <w:r>
              <w:rPr>
                <w:rFonts w:hint="eastAsia" w:ascii="宋体" w:hAnsi="宋体"/>
                <w:sz w:val="24"/>
              </w:rPr>
              <w:t>规格</w:t>
            </w:r>
          </w:p>
        </w:tc>
        <w:tc>
          <w:tcPr>
            <w:tcW w:w="762" w:type="pct"/>
            <w:vAlign w:val="center"/>
          </w:tcPr>
          <w:p>
            <w:pPr>
              <w:spacing w:line="360" w:lineRule="auto"/>
              <w:jc w:val="center"/>
              <w:rPr>
                <w:rFonts w:ascii="宋体" w:hAnsi="宋体"/>
                <w:sz w:val="24"/>
              </w:rPr>
            </w:pPr>
            <w:r>
              <w:rPr>
                <w:rFonts w:hint="eastAsia" w:ascii="宋体" w:hAnsi="宋体"/>
                <w:sz w:val="24"/>
              </w:rPr>
              <w:t>综合单价</w:t>
            </w:r>
          </w:p>
          <w:p>
            <w:pPr>
              <w:spacing w:line="360" w:lineRule="auto"/>
              <w:jc w:val="center"/>
              <w:rPr>
                <w:rFonts w:ascii="宋体" w:hAnsi="宋体"/>
                <w:sz w:val="24"/>
              </w:rPr>
            </w:pPr>
            <w:r>
              <w:rPr>
                <w:rFonts w:hint="eastAsia" w:ascii="宋体" w:hAnsi="宋体"/>
                <w:sz w:val="24"/>
              </w:rPr>
              <w:t>（元</w:t>
            </w:r>
            <w:r>
              <w:rPr>
                <w:rFonts w:ascii="宋体" w:hAnsi="宋体"/>
                <w:sz w:val="24"/>
              </w:rPr>
              <w:t>/</w:t>
            </w:r>
            <w:r>
              <w:rPr>
                <w:rFonts w:hint="eastAsia" w:ascii="宋体" w:hAnsi="宋体"/>
                <w:sz w:val="24"/>
              </w:rPr>
              <w:t>袋）</w:t>
            </w:r>
          </w:p>
        </w:tc>
        <w:tc>
          <w:tcPr>
            <w:tcW w:w="686" w:type="pct"/>
            <w:vAlign w:val="center"/>
          </w:tcPr>
          <w:p>
            <w:pPr>
              <w:spacing w:line="360" w:lineRule="auto"/>
              <w:jc w:val="center"/>
              <w:rPr>
                <w:rFonts w:ascii="宋体" w:hAnsi="宋体"/>
                <w:sz w:val="24"/>
              </w:rPr>
            </w:pPr>
            <w:r>
              <w:rPr>
                <w:rFonts w:hint="eastAsia" w:ascii="宋体" w:hAnsi="宋体"/>
                <w:sz w:val="24"/>
              </w:rPr>
              <w:t>数量</w:t>
            </w:r>
          </w:p>
          <w:p>
            <w:pPr>
              <w:spacing w:line="360" w:lineRule="auto"/>
              <w:jc w:val="center"/>
              <w:rPr>
                <w:rFonts w:ascii="宋体" w:hAnsi="宋体"/>
                <w:sz w:val="24"/>
              </w:rPr>
            </w:pPr>
            <w:r>
              <w:rPr>
                <w:rFonts w:hint="eastAsia" w:ascii="宋体" w:hAnsi="宋体"/>
                <w:sz w:val="24"/>
              </w:rPr>
              <w:t>（袋）</w:t>
            </w:r>
          </w:p>
        </w:tc>
        <w:tc>
          <w:tcPr>
            <w:tcW w:w="686" w:type="pct"/>
            <w:vAlign w:val="center"/>
          </w:tcPr>
          <w:p>
            <w:pPr>
              <w:spacing w:line="360" w:lineRule="auto"/>
              <w:jc w:val="center"/>
              <w:rPr>
                <w:rFonts w:ascii="宋体" w:hAnsi="宋体"/>
                <w:sz w:val="24"/>
              </w:rPr>
            </w:pPr>
            <w:r>
              <w:rPr>
                <w:rFonts w:hint="eastAsia" w:ascii="宋体" w:hAnsi="宋体"/>
                <w:sz w:val="24"/>
              </w:rPr>
              <w:t>合计（元）</w:t>
            </w:r>
          </w:p>
        </w:tc>
        <w:tc>
          <w:tcPr>
            <w:tcW w:w="673" w:type="pct"/>
            <w:vAlign w:val="center"/>
          </w:tcPr>
          <w:p>
            <w:pPr>
              <w:spacing w:line="360" w:lineRule="auto"/>
              <w:jc w:val="center"/>
              <w:rPr>
                <w:rFonts w:ascii="宋体" w:hAnsi="宋体"/>
                <w:sz w:val="24"/>
              </w:rPr>
            </w:pPr>
            <w:r>
              <w:rPr>
                <w:rFonts w:hint="eastAsia" w:ascii="宋体" w:hAnsi="宋体"/>
                <w:sz w:val="24"/>
              </w:rPr>
              <w:t>投标</w:t>
            </w:r>
          </w:p>
          <w:p>
            <w:pPr>
              <w:spacing w:line="360" w:lineRule="auto"/>
              <w:jc w:val="center"/>
              <w:rPr>
                <w:rFonts w:ascii="宋体" w:hAnsi="宋体"/>
                <w:sz w:val="24"/>
              </w:rPr>
            </w:pPr>
            <w:r>
              <w:rPr>
                <w:rFonts w:hint="eastAsia" w:ascii="宋体" w:hAnsi="宋体"/>
                <w:sz w:val="24"/>
              </w:rPr>
              <w:t>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03" w:type="pct"/>
            <w:vMerge w:val="restart"/>
            <w:vAlign w:val="center"/>
          </w:tcPr>
          <w:p>
            <w:pPr>
              <w:spacing w:line="360" w:lineRule="auto"/>
              <w:jc w:val="center"/>
              <w:rPr>
                <w:rFonts w:ascii="宋体" w:hAnsi="宋体"/>
                <w:color w:val="auto"/>
                <w:sz w:val="24"/>
              </w:rPr>
            </w:pPr>
            <w:r>
              <w:rPr>
                <w:rFonts w:hint="eastAsia" w:ascii="宋体" w:hAnsi="宋体"/>
                <w:color w:val="auto"/>
                <w:sz w:val="24"/>
                <w:lang w:val="en-US" w:eastAsia="zh-CN"/>
              </w:rPr>
              <w:t>1</w:t>
            </w:r>
          </w:p>
        </w:tc>
        <w:tc>
          <w:tcPr>
            <w:tcW w:w="1074" w:type="pct"/>
            <w:vAlign w:val="center"/>
          </w:tcPr>
          <w:p>
            <w:pPr>
              <w:spacing w:line="360" w:lineRule="auto"/>
              <w:jc w:val="center"/>
              <w:rPr>
                <w:rFonts w:hint="eastAsia" w:ascii="宋体" w:hAnsi="宋体" w:eastAsia="宋体"/>
                <w:color w:val="auto"/>
                <w:sz w:val="24"/>
                <w:lang w:eastAsia="zh-CN"/>
              </w:rPr>
            </w:pPr>
            <w:r>
              <w:rPr>
                <w:rFonts w:hint="eastAsia" w:ascii="宋体" w:hAnsi="宋体"/>
                <w:color w:val="auto"/>
                <w:sz w:val="24"/>
              </w:rPr>
              <w:t>粳米</w:t>
            </w:r>
            <w:r>
              <w:rPr>
                <w:rFonts w:hint="eastAsia" w:hAnsi="宋体"/>
                <w:color w:val="auto"/>
                <w:sz w:val="24"/>
                <w:lang w:eastAsia="zh-CN"/>
              </w:rPr>
              <w:t>（</w:t>
            </w:r>
            <w:r>
              <w:rPr>
                <w:rFonts w:hint="eastAsia" w:ascii="宋体" w:hAnsi="宋体"/>
                <w:color w:val="auto"/>
                <w:sz w:val="24"/>
              </w:rPr>
              <w:t>一级</w:t>
            </w:r>
            <w:r>
              <w:rPr>
                <w:rFonts w:hint="eastAsia" w:hAnsi="宋体"/>
                <w:color w:val="auto"/>
                <w:sz w:val="24"/>
                <w:lang w:eastAsia="zh-CN"/>
              </w:rPr>
              <w:t>）</w:t>
            </w:r>
          </w:p>
        </w:tc>
        <w:tc>
          <w:tcPr>
            <w:tcW w:w="614" w:type="pct"/>
            <w:vAlign w:val="center"/>
          </w:tcPr>
          <w:p>
            <w:pPr>
              <w:spacing w:line="360" w:lineRule="auto"/>
              <w:jc w:val="center"/>
              <w:rPr>
                <w:rFonts w:hint="eastAsia" w:ascii="宋体" w:hAnsi="宋体"/>
                <w:color w:val="auto"/>
                <w:sz w:val="24"/>
              </w:rPr>
            </w:pPr>
            <w:r>
              <w:rPr>
                <w:rFonts w:hint="eastAsia" w:ascii="宋体" w:hAnsi="宋体"/>
                <w:color w:val="auto"/>
                <w:sz w:val="24"/>
              </w:rPr>
              <w:t>25KG/袋</w:t>
            </w:r>
          </w:p>
        </w:tc>
        <w:tc>
          <w:tcPr>
            <w:tcW w:w="762" w:type="pct"/>
            <w:vAlign w:val="center"/>
          </w:tcPr>
          <w:p>
            <w:pPr>
              <w:spacing w:line="360" w:lineRule="auto"/>
              <w:jc w:val="center"/>
              <w:rPr>
                <w:rFonts w:hint="eastAsia" w:ascii="宋体" w:hAnsi="宋体"/>
                <w:color w:val="auto"/>
                <w:sz w:val="24"/>
              </w:rPr>
            </w:pPr>
          </w:p>
        </w:tc>
        <w:tc>
          <w:tcPr>
            <w:tcW w:w="686" w:type="pct"/>
            <w:vAlign w:val="center"/>
          </w:tcPr>
          <w:p>
            <w:pPr>
              <w:spacing w:line="360" w:lineRule="auto"/>
              <w:jc w:val="center"/>
              <w:rPr>
                <w:rFonts w:hint="default" w:ascii="宋体" w:hAnsi="宋体"/>
                <w:color w:val="auto"/>
                <w:sz w:val="24"/>
                <w:lang w:val="en-US" w:eastAsia="zh-CN"/>
              </w:rPr>
            </w:pPr>
            <w:r>
              <w:rPr>
                <w:rFonts w:hint="eastAsia" w:ascii="宋体" w:hAnsi="宋体"/>
                <w:color w:val="auto"/>
                <w:sz w:val="24"/>
                <w:lang w:val="en-US" w:eastAsia="zh-CN"/>
              </w:rPr>
              <w:t>1200</w:t>
            </w:r>
          </w:p>
        </w:tc>
        <w:tc>
          <w:tcPr>
            <w:tcW w:w="686" w:type="pct"/>
            <w:vAlign w:val="center"/>
          </w:tcPr>
          <w:p>
            <w:pPr>
              <w:spacing w:line="360" w:lineRule="auto"/>
              <w:jc w:val="center"/>
              <w:rPr>
                <w:rFonts w:ascii="宋体" w:hAnsi="宋体"/>
                <w:color w:val="auto"/>
                <w:sz w:val="24"/>
              </w:rPr>
            </w:pPr>
          </w:p>
        </w:tc>
        <w:tc>
          <w:tcPr>
            <w:tcW w:w="673" w:type="pct"/>
            <w:vMerge w:val="restart"/>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03" w:type="pct"/>
            <w:vMerge w:val="continue"/>
            <w:vAlign w:val="center"/>
          </w:tcPr>
          <w:p>
            <w:pPr>
              <w:spacing w:line="360" w:lineRule="auto"/>
              <w:jc w:val="left"/>
              <w:rPr>
                <w:rFonts w:ascii="宋体" w:hAnsi="宋体"/>
                <w:color w:val="auto"/>
                <w:sz w:val="24"/>
              </w:rPr>
            </w:pPr>
          </w:p>
        </w:tc>
        <w:tc>
          <w:tcPr>
            <w:tcW w:w="1074" w:type="pct"/>
            <w:vAlign w:val="center"/>
          </w:tcPr>
          <w:p>
            <w:pPr>
              <w:spacing w:line="360" w:lineRule="auto"/>
              <w:jc w:val="center"/>
              <w:rPr>
                <w:rFonts w:hint="eastAsia" w:ascii="宋体" w:hAnsi="宋体" w:eastAsia="宋体"/>
                <w:color w:val="auto"/>
                <w:sz w:val="24"/>
                <w:lang w:eastAsia="zh-CN"/>
              </w:rPr>
            </w:pPr>
            <w:r>
              <w:rPr>
                <w:rFonts w:hint="eastAsia" w:ascii="宋体" w:hAnsi="宋体"/>
                <w:color w:val="auto"/>
                <w:sz w:val="24"/>
              </w:rPr>
              <w:t>粳米</w:t>
            </w:r>
            <w:r>
              <w:rPr>
                <w:rFonts w:hint="eastAsia" w:hAnsi="宋体"/>
                <w:color w:val="auto"/>
                <w:sz w:val="24"/>
                <w:lang w:eastAsia="zh-CN"/>
              </w:rPr>
              <w:t>（</w:t>
            </w:r>
            <w:r>
              <w:rPr>
                <w:rFonts w:hint="eastAsia" w:ascii="宋体" w:hAnsi="宋体"/>
                <w:color w:val="auto"/>
                <w:sz w:val="24"/>
              </w:rPr>
              <w:t>二级</w:t>
            </w:r>
            <w:r>
              <w:rPr>
                <w:rFonts w:hint="eastAsia" w:hAnsi="宋体"/>
                <w:color w:val="auto"/>
                <w:sz w:val="24"/>
                <w:lang w:eastAsia="zh-CN"/>
              </w:rPr>
              <w:t>）</w:t>
            </w:r>
          </w:p>
        </w:tc>
        <w:tc>
          <w:tcPr>
            <w:tcW w:w="614" w:type="pct"/>
            <w:vAlign w:val="center"/>
          </w:tcPr>
          <w:p>
            <w:pPr>
              <w:spacing w:line="360" w:lineRule="auto"/>
              <w:jc w:val="center"/>
              <w:rPr>
                <w:rFonts w:hint="eastAsia" w:ascii="宋体" w:hAnsi="宋体"/>
                <w:color w:val="auto"/>
                <w:sz w:val="24"/>
              </w:rPr>
            </w:pPr>
            <w:r>
              <w:rPr>
                <w:rFonts w:hint="eastAsia" w:ascii="宋体" w:hAnsi="宋体"/>
                <w:color w:val="auto"/>
                <w:sz w:val="24"/>
              </w:rPr>
              <w:t>25KG/袋</w:t>
            </w:r>
          </w:p>
        </w:tc>
        <w:tc>
          <w:tcPr>
            <w:tcW w:w="762" w:type="pct"/>
            <w:vAlign w:val="center"/>
          </w:tcPr>
          <w:p>
            <w:pPr>
              <w:spacing w:line="360" w:lineRule="auto"/>
              <w:jc w:val="center"/>
              <w:rPr>
                <w:rFonts w:hint="eastAsia" w:ascii="宋体" w:hAnsi="宋体"/>
                <w:color w:val="auto"/>
                <w:sz w:val="24"/>
              </w:rPr>
            </w:pPr>
          </w:p>
        </w:tc>
        <w:tc>
          <w:tcPr>
            <w:tcW w:w="686" w:type="pct"/>
            <w:vAlign w:val="center"/>
          </w:tcPr>
          <w:p>
            <w:pPr>
              <w:spacing w:line="360" w:lineRule="auto"/>
              <w:jc w:val="center"/>
              <w:rPr>
                <w:rFonts w:hint="default" w:ascii="宋体" w:hAnsi="宋体"/>
                <w:color w:val="auto"/>
                <w:sz w:val="24"/>
                <w:lang w:val="en-US" w:eastAsia="zh-CN"/>
              </w:rPr>
            </w:pPr>
            <w:r>
              <w:rPr>
                <w:rFonts w:hint="eastAsia" w:ascii="宋体" w:hAnsi="宋体"/>
                <w:color w:val="auto"/>
                <w:sz w:val="24"/>
                <w:lang w:val="en-US" w:eastAsia="zh-CN"/>
              </w:rPr>
              <w:t>12000</w:t>
            </w:r>
          </w:p>
        </w:tc>
        <w:tc>
          <w:tcPr>
            <w:tcW w:w="686" w:type="pct"/>
            <w:vAlign w:val="center"/>
          </w:tcPr>
          <w:p>
            <w:pPr>
              <w:spacing w:line="360" w:lineRule="auto"/>
              <w:jc w:val="center"/>
              <w:rPr>
                <w:rFonts w:ascii="宋体" w:hAnsi="宋体"/>
                <w:color w:val="auto"/>
                <w:sz w:val="24"/>
              </w:rPr>
            </w:pPr>
          </w:p>
        </w:tc>
        <w:tc>
          <w:tcPr>
            <w:tcW w:w="673" w:type="pct"/>
            <w:vMerge w:val="continue"/>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000" w:type="pct"/>
            <w:gridSpan w:val="7"/>
            <w:vAlign w:val="center"/>
          </w:tcPr>
          <w:p>
            <w:pPr>
              <w:spacing w:line="360" w:lineRule="auto"/>
              <w:jc w:val="left"/>
              <w:rPr>
                <w:rFonts w:hint="eastAsia" w:ascii="宋体" w:hAnsi="宋体"/>
                <w:color w:val="auto"/>
                <w:sz w:val="24"/>
              </w:rPr>
            </w:pPr>
            <w:r>
              <w:rPr>
                <w:rFonts w:hint="eastAsia" w:ascii="宋体" w:hAnsi="宋体"/>
                <w:color w:val="auto"/>
                <w:sz w:val="24"/>
              </w:rPr>
              <w:t>投标总报价人民币大写：</w:t>
            </w:r>
          </w:p>
        </w:tc>
      </w:tr>
    </w:tbl>
    <w:p>
      <w:pPr>
        <w:spacing w:line="360" w:lineRule="auto"/>
        <w:ind w:firstLine="482" w:firstLineChars="200"/>
        <w:jc w:val="right"/>
        <w:rPr>
          <w:rFonts w:hAnsi="宋体"/>
          <w:b/>
          <w:color w:val="auto"/>
          <w:sz w:val="24"/>
        </w:rPr>
      </w:pPr>
    </w:p>
    <w:p>
      <w:pPr>
        <w:pStyle w:val="12"/>
        <w:spacing w:line="360" w:lineRule="auto"/>
        <w:rPr>
          <w:rFonts w:hAnsi="宋体"/>
          <w:b/>
          <w:color w:val="auto"/>
          <w:sz w:val="21"/>
          <w:szCs w:val="16"/>
        </w:rPr>
      </w:pPr>
      <w:r>
        <w:rPr>
          <w:rFonts w:hint="eastAsia" w:hAnsi="宋体"/>
          <w:b/>
          <w:color w:val="auto"/>
          <w:sz w:val="21"/>
          <w:szCs w:val="16"/>
        </w:rPr>
        <w:t>说明：</w:t>
      </w:r>
      <w:r>
        <w:rPr>
          <w:rFonts w:hint="eastAsia" w:hAnsi="宋体"/>
          <w:color w:val="auto"/>
          <w:sz w:val="21"/>
          <w:szCs w:val="16"/>
        </w:rPr>
        <w:t>1、投标报价应以人民币为结算货币，单位为元，投标报价包含货款、运费、装卸费、税费等所有费用之和，</w:t>
      </w:r>
      <w:r>
        <w:rPr>
          <w:rFonts w:hint="eastAsia" w:hAnsi="宋体"/>
          <w:color w:val="auto"/>
          <w:sz w:val="21"/>
          <w:szCs w:val="16"/>
          <w:lang w:eastAsia="zh-CN"/>
        </w:rPr>
        <w:t>并按采购人要求卸到指定库房位置堆放整齐</w:t>
      </w:r>
      <w:r>
        <w:rPr>
          <w:rFonts w:hint="eastAsia" w:hAnsi="宋体"/>
          <w:color w:val="auto"/>
          <w:sz w:val="21"/>
          <w:szCs w:val="16"/>
        </w:rPr>
        <w:t>。</w:t>
      </w:r>
    </w:p>
    <w:p>
      <w:pPr>
        <w:pStyle w:val="12"/>
        <w:spacing w:line="360" w:lineRule="auto"/>
        <w:ind w:firstLine="630" w:firstLineChars="300"/>
        <w:rPr>
          <w:rFonts w:hAnsi="宋体"/>
          <w:color w:val="auto"/>
          <w:sz w:val="21"/>
          <w:szCs w:val="16"/>
        </w:rPr>
      </w:pPr>
      <w:r>
        <w:rPr>
          <w:rFonts w:hint="eastAsia" w:hAnsi="宋体"/>
          <w:color w:val="auto"/>
          <w:sz w:val="21"/>
          <w:szCs w:val="16"/>
          <w:lang w:val="en-US" w:eastAsia="zh-CN"/>
        </w:rPr>
        <w:t>2</w:t>
      </w:r>
      <w:r>
        <w:rPr>
          <w:rFonts w:hint="eastAsia" w:hAnsi="宋体"/>
          <w:color w:val="auto"/>
          <w:sz w:val="21"/>
          <w:szCs w:val="16"/>
        </w:rPr>
        <w:t>、所有报价保留小数点后两位，第三位按四舍五入计。</w:t>
      </w:r>
    </w:p>
    <w:p>
      <w:pPr>
        <w:pStyle w:val="12"/>
        <w:spacing w:line="360" w:lineRule="auto"/>
        <w:ind w:firstLine="632" w:firstLineChars="300"/>
        <w:rPr>
          <w:rFonts w:hAnsi="宋体"/>
          <w:color w:val="auto"/>
          <w:sz w:val="21"/>
          <w:szCs w:val="21"/>
        </w:rPr>
      </w:pPr>
      <w:r>
        <w:rPr>
          <w:rFonts w:hint="eastAsia" w:hAnsi="宋体"/>
          <w:b/>
          <w:bCs/>
          <w:color w:val="auto"/>
          <w:sz w:val="21"/>
          <w:szCs w:val="21"/>
          <w:lang w:val="en-US" w:eastAsia="zh-CN"/>
        </w:rPr>
        <w:t>3</w:t>
      </w:r>
      <w:r>
        <w:rPr>
          <w:rFonts w:hint="eastAsia" w:hAnsi="宋体"/>
          <w:b/>
          <w:bCs/>
          <w:color w:val="auto"/>
          <w:sz w:val="21"/>
          <w:szCs w:val="21"/>
        </w:rPr>
        <w:t>、此表单独密封在一个信封内，信封上注明“开标一览表”字样，并由法定代表人或授权代表签字或盖章，同时加盖投标人公章，投标时单独递交。同时投标文件中也需提供。</w:t>
      </w:r>
    </w:p>
    <w:p>
      <w:pPr>
        <w:spacing w:line="360" w:lineRule="auto"/>
        <w:ind w:firstLine="559" w:firstLineChars="232"/>
        <w:textAlignment w:val="baseline"/>
        <w:rPr>
          <w:rFonts w:ascii="宋体" w:hAnsi="宋体"/>
          <w:b/>
          <w:color w:val="auto"/>
          <w:sz w:val="24"/>
        </w:rPr>
      </w:pPr>
    </w:p>
    <w:p>
      <w:pPr>
        <w:pStyle w:val="8"/>
        <w:ind w:firstLine="0" w:firstLineChars="0"/>
        <w:rPr>
          <w:color w:val="auto"/>
        </w:rPr>
      </w:pPr>
      <w:r>
        <w:rPr>
          <w:rFonts w:hint="eastAsia"/>
          <w:color w:val="auto"/>
        </w:rPr>
        <w:t>投标人名称：</w:t>
      </w:r>
      <w:r>
        <w:rPr>
          <w:rFonts w:hint="eastAsia"/>
          <w:color w:val="auto"/>
          <w:u w:val="single"/>
        </w:rPr>
        <w:t xml:space="preserve">                   </w:t>
      </w:r>
      <w:r>
        <w:rPr>
          <w:rFonts w:hint="eastAsia"/>
          <w:color w:val="auto"/>
        </w:rPr>
        <w:t>（盖单位公章）</w:t>
      </w:r>
    </w:p>
    <w:p>
      <w:pPr>
        <w:pStyle w:val="8"/>
        <w:ind w:firstLine="0" w:firstLineChars="0"/>
        <w:rPr>
          <w:color w:val="auto"/>
        </w:rPr>
      </w:pPr>
    </w:p>
    <w:p>
      <w:pPr>
        <w:pStyle w:val="8"/>
        <w:ind w:firstLine="0" w:firstLineChars="0"/>
        <w:rPr>
          <w:color w:val="auto"/>
        </w:rPr>
      </w:pPr>
      <w:r>
        <w:rPr>
          <w:rFonts w:hint="eastAsia"/>
          <w:color w:val="auto"/>
        </w:rPr>
        <w:t>法定代表人或被授权人：</w:t>
      </w:r>
      <w:r>
        <w:rPr>
          <w:rFonts w:hint="eastAsia"/>
          <w:color w:val="auto"/>
          <w:u w:val="single"/>
        </w:rPr>
        <w:t xml:space="preserve">         </w:t>
      </w:r>
      <w:r>
        <w:rPr>
          <w:rFonts w:hint="eastAsia"/>
          <w:color w:val="auto"/>
        </w:rPr>
        <w:t>（签字或盖章）</w:t>
      </w:r>
    </w:p>
    <w:p>
      <w:pPr>
        <w:pStyle w:val="8"/>
        <w:ind w:firstLine="0" w:firstLineChars="0"/>
        <w:rPr>
          <w:color w:val="auto"/>
        </w:rPr>
      </w:pPr>
    </w:p>
    <w:p>
      <w:pPr>
        <w:pStyle w:val="8"/>
        <w:ind w:firstLine="0" w:firstLineChars="0"/>
        <w:rPr>
          <w:b/>
          <w:bCs/>
          <w:color w:val="auto"/>
        </w:rPr>
      </w:pPr>
      <w:r>
        <w:rPr>
          <w:rFonts w:hint="eastAsia"/>
          <w:color w:val="auto"/>
        </w:rPr>
        <w:t>日    期：</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w:t>
      </w:r>
    </w:p>
    <w:p>
      <w:pPr>
        <w:rPr>
          <w:rFonts w:hint="eastAsia" w:hAnsi="宋体"/>
          <w:color w:val="auto"/>
          <w:sz w:val="24"/>
          <w:lang w:val="en-US" w:eastAsia="zh-CN"/>
        </w:rPr>
      </w:pPr>
      <w:r>
        <w:rPr>
          <w:rFonts w:hint="eastAsia" w:hAnsi="宋体"/>
          <w:color w:val="auto"/>
          <w:sz w:val="24"/>
          <w:lang w:val="en-US" w:eastAsia="zh-CN"/>
        </w:rPr>
        <w:br w:type="page"/>
      </w:r>
    </w:p>
    <w:p>
      <w:pPr>
        <w:pStyle w:val="12"/>
        <w:spacing w:line="360" w:lineRule="auto"/>
        <w:jc w:val="center"/>
        <w:rPr>
          <w:rFonts w:hint="eastAsia" w:hAnsi="宋体"/>
          <w:color w:val="auto"/>
          <w:sz w:val="24"/>
          <w:lang w:val="en-US" w:eastAsia="zh-CN"/>
        </w:rPr>
      </w:pPr>
      <w:r>
        <w:rPr>
          <w:rFonts w:hint="eastAsia" w:hAnsi="宋体"/>
          <w:b/>
          <w:color w:val="auto"/>
          <w:sz w:val="30"/>
          <w:szCs w:val="30"/>
        </w:rPr>
        <w:t>开标一览表</w:t>
      </w:r>
    </w:p>
    <w:p>
      <w:pPr>
        <w:pStyle w:val="12"/>
        <w:spacing w:line="360" w:lineRule="auto"/>
        <w:rPr>
          <w:rFonts w:hAnsi="宋体"/>
          <w:color w:val="auto"/>
          <w:sz w:val="24"/>
        </w:rPr>
      </w:pPr>
      <w:r>
        <w:rPr>
          <w:rFonts w:hint="eastAsia" w:hAnsi="宋体"/>
          <w:color w:val="auto"/>
          <w:sz w:val="24"/>
          <w:lang w:val="en-US" w:eastAsia="zh-CN"/>
        </w:rPr>
        <w:t>项目</w:t>
      </w:r>
      <w:r>
        <w:rPr>
          <w:rFonts w:hint="eastAsia" w:hAnsi="宋体"/>
          <w:color w:val="auto"/>
          <w:sz w:val="24"/>
        </w:rPr>
        <w:t>编号：</w:t>
      </w:r>
      <w:r>
        <w:rPr>
          <w:rFonts w:hint="eastAsia" w:hAnsi="宋体"/>
          <w:color w:val="auto"/>
          <w:sz w:val="24"/>
          <w:u w:val="single"/>
        </w:rPr>
        <w:t xml:space="preserve">                    </w:t>
      </w:r>
    </w:p>
    <w:p>
      <w:pPr>
        <w:pStyle w:val="12"/>
        <w:spacing w:line="360" w:lineRule="auto"/>
        <w:rPr>
          <w:rFonts w:ascii="Times New Roman" w:hAnsi="Times New Roman"/>
          <w:color w:val="auto"/>
          <w:sz w:val="24"/>
          <w:szCs w:val="24"/>
        </w:rPr>
      </w:pPr>
      <w:r>
        <w:rPr>
          <w:rFonts w:hint="eastAsia" w:hAnsi="宋体"/>
          <w:color w:val="auto"/>
          <w:sz w:val="24"/>
          <w:lang w:val="en-US" w:eastAsia="zh-CN"/>
        </w:rPr>
        <w:t>合同包号</w:t>
      </w:r>
      <w:r>
        <w:rPr>
          <w:rFonts w:hint="eastAsia" w:hAnsi="宋体"/>
          <w:color w:val="auto"/>
          <w:sz w:val="24"/>
        </w:rPr>
        <w:t>：</w:t>
      </w:r>
      <w:r>
        <w:rPr>
          <w:rFonts w:hint="eastAsia" w:hAnsi="宋体"/>
          <w:color w:val="auto"/>
          <w:sz w:val="24"/>
          <w:u w:val="single"/>
        </w:rPr>
        <w:t xml:space="preserve">   </w:t>
      </w:r>
      <w:r>
        <w:rPr>
          <w:rFonts w:hint="eastAsia" w:hAnsi="宋体"/>
          <w:b/>
          <w:color w:val="auto"/>
          <w:sz w:val="24"/>
          <w:u w:val="single"/>
          <w:lang w:val="en-US" w:eastAsia="zh-CN"/>
        </w:rPr>
        <w:t>2</w:t>
      </w:r>
      <w:r>
        <w:rPr>
          <w:rFonts w:hint="eastAsia" w:hAnsi="宋体"/>
          <w:b/>
          <w:color w:val="auto"/>
          <w:sz w:val="24"/>
          <w:u w:val="single"/>
          <w:lang w:eastAsia="zh-CN"/>
        </w:rPr>
        <w:t>（</w:t>
      </w:r>
      <w:r>
        <w:rPr>
          <w:rFonts w:hint="eastAsia" w:hAnsi="宋体"/>
          <w:b/>
          <w:color w:val="auto"/>
          <w:sz w:val="24"/>
          <w:u w:val="single"/>
        </w:rPr>
        <w:t>面粉</w:t>
      </w:r>
      <w:r>
        <w:rPr>
          <w:rFonts w:hint="eastAsia" w:hAnsi="宋体"/>
          <w:b/>
          <w:color w:val="auto"/>
          <w:sz w:val="24"/>
          <w:u w:val="single"/>
          <w:lang w:eastAsia="zh-CN"/>
        </w:rPr>
        <w:t>）</w:t>
      </w:r>
      <w:r>
        <w:rPr>
          <w:rFonts w:hint="eastAsia" w:hAnsi="宋体"/>
          <w:color w:val="auto"/>
          <w:sz w:val="24"/>
          <w:u w:val="single"/>
        </w:rPr>
        <w:t xml:space="preserve">  </w:t>
      </w:r>
      <w:r>
        <w:rPr>
          <w:rFonts w:hint="eastAsia" w:hAnsi="宋体"/>
          <w:color w:val="auto"/>
          <w:sz w:val="24"/>
          <w:u w:val="single"/>
          <w:lang w:val="en-US" w:eastAsia="zh-CN"/>
        </w:rPr>
        <w:t xml:space="preserve">      </w:t>
      </w:r>
      <w:r>
        <w:rPr>
          <w:rFonts w:hint="eastAsia" w:ascii="Times New Roman" w:hAnsi="Times New Roman"/>
          <w:color w:val="auto"/>
          <w:sz w:val="24"/>
          <w:szCs w:val="24"/>
          <w:u w:val="single"/>
        </w:rPr>
        <w:t xml:space="preserve"> </w:t>
      </w:r>
      <w:r>
        <w:rPr>
          <w:rFonts w:hint="eastAsia" w:ascii="Times New Roman" w:hAnsi="Times New Roman"/>
          <w:color w:val="auto"/>
          <w:sz w:val="24"/>
          <w:szCs w:val="24"/>
        </w:rPr>
        <w:t xml:space="preserve">        </w:t>
      </w:r>
    </w:p>
    <w:p>
      <w:pPr>
        <w:spacing w:line="360" w:lineRule="auto"/>
        <w:jc w:val="right"/>
        <w:rPr>
          <w:color w:val="auto"/>
          <w:sz w:val="24"/>
        </w:rPr>
      </w:pP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
        <w:gridCol w:w="1959"/>
        <w:gridCol w:w="1120"/>
        <w:gridCol w:w="1391"/>
        <w:gridCol w:w="1251"/>
        <w:gridCol w:w="1251"/>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8" w:hRule="atLeast"/>
          <w:jc w:val="center"/>
        </w:trPr>
        <w:tc>
          <w:tcPr>
            <w:tcW w:w="505" w:type="pct"/>
            <w:vAlign w:val="center"/>
          </w:tcPr>
          <w:p>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合同包号</w:t>
            </w:r>
          </w:p>
        </w:tc>
        <w:tc>
          <w:tcPr>
            <w:tcW w:w="1074" w:type="pct"/>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产品名称</w:t>
            </w:r>
          </w:p>
        </w:tc>
        <w:tc>
          <w:tcPr>
            <w:tcW w:w="614" w:type="pct"/>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包</w:t>
            </w:r>
            <w:r>
              <w:rPr>
                <w:rFonts w:hint="eastAsia" w:ascii="宋体" w:hAnsi="宋体" w:eastAsia="宋体" w:cs="宋体"/>
                <w:color w:val="auto"/>
                <w:sz w:val="24"/>
                <w:szCs w:val="24"/>
              </w:rPr>
              <w:t>装</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规格</w:t>
            </w:r>
          </w:p>
        </w:tc>
        <w:tc>
          <w:tcPr>
            <w:tcW w:w="763" w:type="pct"/>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综合单价</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（元/袋）</w:t>
            </w:r>
          </w:p>
        </w:tc>
        <w:tc>
          <w:tcPr>
            <w:tcW w:w="686" w:type="pct"/>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（袋）</w:t>
            </w:r>
          </w:p>
        </w:tc>
        <w:tc>
          <w:tcPr>
            <w:tcW w:w="686" w:type="pct"/>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合计（元）</w:t>
            </w:r>
          </w:p>
        </w:tc>
        <w:tc>
          <w:tcPr>
            <w:tcW w:w="670" w:type="pct"/>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05" w:type="pct"/>
            <w:vMerge w:val="restart"/>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p>
        </w:tc>
        <w:tc>
          <w:tcPr>
            <w:tcW w:w="1074" w:type="pct"/>
            <w:vAlign w:val="center"/>
          </w:tcPr>
          <w:p>
            <w:pPr>
              <w:pStyle w:val="12"/>
              <w:spacing w:line="336"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馒头粉（精制粉）</w:t>
            </w:r>
          </w:p>
        </w:tc>
        <w:tc>
          <w:tcPr>
            <w:tcW w:w="614" w:type="pct"/>
            <w:vAlign w:val="center"/>
          </w:tcPr>
          <w:p>
            <w:pPr>
              <w:pStyle w:val="12"/>
              <w:spacing w:line="336"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25KG/袋</w:t>
            </w:r>
          </w:p>
        </w:tc>
        <w:tc>
          <w:tcPr>
            <w:tcW w:w="763" w:type="pct"/>
            <w:vAlign w:val="center"/>
          </w:tcPr>
          <w:p>
            <w:pPr>
              <w:pStyle w:val="12"/>
              <w:spacing w:line="336" w:lineRule="auto"/>
              <w:jc w:val="center"/>
              <w:rPr>
                <w:rFonts w:hint="eastAsia" w:ascii="宋体" w:hAnsi="宋体" w:eastAsia="宋体" w:cs="宋体"/>
                <w:color w:val="auto"/>
                <w:sz w:val="24"/>
                <w:szCs w:val="24"/>
              </w:rPr>
            </w:pPr>
          </w:p>
        </w:tc>
        <w:tc>
          <w:tcPr>
            <w:tcW w:w="686" w:type="pct"/>
            <w:vAlign w:val="center"/>
          </w:tcPr>
          <w:p>
            <w:pPr>
              <w:pStyle w:val="12"/>
              <w:spacing w:line="336"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2800</w:t>
            </w:r>
          </w:p>
        </w:tc>
        <w:tc>
          <w:tcPr>
            <w:tcW w:w="686" w:type="pct"/>
            <w:vAlign w:val="center"/>
          </w:tcPr>
          <w:p>
            <w:pPr>
              <w:spacing w:line="360" w:lineRule="auto"/>
              <w:jc w:val="center"/>
              <w:rPr>
                <w:rFonts w:hint="eastAsia" w:ascii="宋体" w:hAnsi="宋体" w:eastAsia="宋体" w:cs="宋体"/>
                <w:color w:val="auto"/>
                <w:sz w:val="24"/>
                <w:szCs w:val="24"/>
              </w:rPr>
            </w:pPr>
          </w:p>
        </w:tc>
        <w:tc>
          <w:tcPr>
            <w:tcW w:w="670" w:type="pct"/>
            <w:vMerge w:val="restart"/>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05" w:type="pct"/>
            <w:vMerge w:val="continue"/>
            <w:vAlign w:val="center"/>
          </w:tcPr>
          <w:p>
            <w:pPr>
              <w:spacing w:line="360" w:lineRule="auto"/>
              <w:jc w:val="left"/>
              <w:rPr>
                <w:rFonts w:hint="eastAsia" w:ascii="宋体" w:hAnsi="宋体" w:eastAsia="宋体" w:cs="宋体"/>
                <w:color w:val="auto"/>
                <w:sz w:val="24"/>
                <w:szCs w:val="24"/>
              </w:rPr>
            </w:pPr>
          </w:p>
        </w:tc>
        <w:tc>
          <w:tcPr>
            <w:tcW w:w="1074" w:type="pct"/>
            <w:vAlign w:val="center"/>
          </w:tcPr>
          <w:p>
            <w:pPr>
              <w:pStyle w:val="12"/>
              <w:spacing w:line="336"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面条粉</w:t>
            </w:r>
          </w:p>
          <w:p>
            <w:pPr>
              <w:pStyle w:val="12"/>
              <w:spacing w:line="336"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（高筋小麦粉）</w:t>
            </w:r>
          </w:p>
        </w:tc>
        <w:tc>
          <w:tcPr>
            <w:tcW w:w="614" w:type="pct"/>
            <w:vAlign w:val="center"/>
          </w:tcPr>
          <w:p>
            <w:pPr>
              <w:pStyle w:val="12"/>
              <w:spacing w:line="336"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25KG/袋</w:t>
            </w:r>
          </w:p>
        </w:tc>
        <w:tc>
          <w:tcPr>
            <w:tcW w:w="763" w:type="pct"/>
            <w:vAlign w:val="center"/>
          </w:tcPr>
          <w:p>
            <w:pPr>
              <w:pStyle w:val="12"/>
              <w:spacing w:line="336" w:lineRule="auto"/>
              <w:jc w:val="center"/>
              <w:rPr>
                <w:rFonts w:hint="eastAsia" w:ascii="宋体" w:hAnsi="宋体" w:eastAsia="宋体" w:cs="宋体"/>
                <w:color w:val="auto"/>
                <w:sz w:val="24"/>
                <w:szCs w:val="24"/>
              </w:rPr>
            </w:pPr>
          </w:p>
        </w:tc>
        <w:tc>
          <w:tcPr>
            <w:tcW w:w="686" w:type="pct"/>
            <w:vAlign w:val="center"/>
          </w:tcPr>
          <w:p>
            <w:pPr>
              <w:pStyle w:val="12"/>
              <w:spacing w:line="336"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3600</w:t>
            </w:r>
          </w:p>
        </w:tc>
        <w:tc>
          <w:tcPr>
            <w:tcW w:w="686" w:type="pct"/>
            <w:vAlign w:val="center"/>
          </w:tcPr>
          <w:p>
            <w:pPr>
              <w:spacing w:line="360" w:lineRule="auto"/>
              <w:jc w:val="center"/>
              <w:rPr>
                <w:rFonts w:hint="eastAsia" w:ascii="宋体" w:hAnsi="宋体" w:eastAsia="宋体" w:cs="宋体"/>
                <w:color w:val="auto"/>
                <w:sz w:val="24"/>
                <w:szCs w:val="24"/>
              </w:rPr>
            </w:pPr>
          </w:p>
        </w:tc>
        <w:tc>
          <w:tcPr>
            <w:tcW w:w="670" w:type="pct"/>
            <w:vMerge w:val="continue"/>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000" w:type="pct"/>
            <w:gridSpan w:val="7"/>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投标总报价人民币大写：</w:t>
            </w:r>
          </w:p>
        </w:tc>
      </w:tr>
    </w:tbl>
    <w:p>
      <w:pPr>
        <w:spacing w:line="360" w:lineRule="auto"/>
        <w:ind w:firstLine="482" w:firstLineChars="200"/>
        <w:jc w:val="right"/>
        <w:rPr>
          <w:rFonts w:hAnsi="宋体"/>
          <w:b/>
          <w:color w:val="auto"/>
          <w:sz w:val="24"/>
        </w:rPr>
      </w:pPr>
    </w:p>
    <w:p>
      <w:pPr>
        <w:pStyle w:val="12"/>
        <w:spacing w:line="360" w:lineRule="auto"/>
        <w:rPr>
          <w:rFonts w:hAnsi="宋体"/>
          <w:b/>
          <w:color w:val="auto"/>
          <w:sz w:val="22"/>
          <w:szCs w:val="18"/>
        </w:rPr>
      </w:pPr>
      <w:r>
        <w:rPr>
          <w:rFonts w:hint="eastAsia" w:hAnsi="宋体"/>
          <w:b/>
          <w:color w:val="auto"/>
          <w:sz w:val="22"/>
          <w:szCs w:val="18"/>
        </w:rPr>
        <w:t>说明：</w:t>
      </w:r>
      <w:r>
        <w:rPr>
          <w:rFonts w:hint="eastAsia" w:hAnsi="宋体"/>
          <w:color w:val="auto"/>
          <w:sz w:val="22"/>
          <w:szCs w:val="18"/>
        </w:rPr>
        <w:t>1、投标报价应以人民币为结算货币，单位为元，投标报价</w:t>
      </w:r>
      <w:r>
        <w:rPr>
          <w:rFonts w:hint="eastAsia" w:hAnsi="宋体"/>
          <w:color w:val="auto"/>
          <w:sz w:val="22"/>
          <w:szCs w:val="18"/>
          <w:lang w:eastAsia="zh-CN"/>
        </w:rPr>
        <w:t>合同包</w:t>
      </w:r>
      <w:r>
        <w:rPr>
          <w:rFonts w:hint="eastAsia" w:hAnsi="宋体"/>
          <w:color w:val="auto"/>
          <w:sz w:val="22"/>
          <w:szCs w:val="18"/>
        </w:rPr>
        <w:t>含货款、运费、装卸费、税费等所有费用之和，</w:t>
      </w:r>
      <w:r>
        <w:rPr>
          <w:rFonts w:hint="eastAsia" w:hAnsi="宋体"/>
          <w:color w:val="auto"/>
          <w:sz w:val="22"/>
          <w:szCs w:val="18"/>
          <w:lang w:eastAsia="zh-CN"/>
        </w:rPr>
        <w:t>并按采购人要求卸到指定库房位置堆放整齐</w:t>
      </w:r>
      <w:r>
        <w:rPr>
          <w:rFonts w:hint="eastAsia" w:hAnsi="宋体"/>
          <w:color w:val="auto"/>
          <w:sz w:val="22"/>
          <w:szCs w:val="18"/>
        </w:rPr>
        <w:t>。</w:t>
      </w:r>
    </w:p>
    <w:p>
      <w:pPr>
        <w:pStyle w:val="12"/>
        <w:spacing w:line="360" w:lineRule="auto"/>
        <w:ind w:firstLine="660" w:firstLineChars="300"/>
        <w:rPr>
          <w:rFonts w:hAnsi="宋体"/>
          <w:color w:val="auto"/>
          <w:sz w:val="22"/>
          <w:szCs w:val="18"/>
        </w:rPr>
      </w:pPr>
      <w:r>
        <w:rPr>
          <w:rFonts w:hint="eastAsia" w:hAnsi="宋体"/>
          <w:color w:val="auto"/>
          <w:sz w:val="22"/>
          <w:szCs w:val="18"/>
          <w:lang w:val="en-US" w:eastAsia="zh-CN"/>
        </w:rPr>
        <w:t>2</w:t>
      </w:r>
      <w:r>
        <w:rPr>
          <w:rFonts w:hint="eastAsia" w:hAnsi="宋体"/>
          <w:color w:val="auto"/>
          <w:sz w:val="22"/>
          <w:szCs w:val="18"/>
        </w:rPr>
        <w:t>、所有报价保留小数点后两位，第三位按四舍五入计。</w:t>
      </w:r>
    </w:p>
    <w:p>
      <w:pPr>
        <w:pStyle w:val="12"/>
        <w:spacing w:line="360" w:lineRule="auto"/>
        <w:ind w:firstLine="663" w:firstLineChars="300"/>
        <w:rPr>
          <w:rFonts w:hAnsi="宋体"/>
          <w:b/>
          <w:bCs/>
          <w:color w:val="auto"/>
          <w:sz w:val="22"/>
          <w:szCs w:val="22"/>
        </w:rPr>
      </w:pPr>
      <w:r>
        <w:rPr>
          <w:rFonts w:hint="eastAsia" w:hAnsi="宋体"/>
          <w:b/>
          <w:bCs/>
          <w:color w:val="auto"/>
          <w:sz w:val="22"/>
          <w:szCs w:val="22"/>
          <w:lang w:val="en-US" w:eastAsia="zh-CN"/>
        </w:rPr>
        <w:t>3</w:t>
      </w:r>
      <w:r>
        <w:rPr>
          <w:rFonts w:hint="eastAsia" w:hAnsi="宋体"/>
          <w:b/>
          <w:bCs/>
          <w:color w:val="auto"/>
          <w:sz w:val="22"/>
          <w:szCs w:val="22"/>
        </w:rPr>
        <w:t>、此表单独密封在一个信封内，信封上注明“开标一览表”字样，并由法定代表人或授权代表签字或盖章，同时加盖投标人公章，投标时单独递交。同时投标文件中也需提供。</w:t>
      </w:r>
    </w:p>
    <w:p>
      <w:pPr>
        <w:spacing w:line="360" w:lineRule="auto"/>
        <w:ind w:firstLine="559" w:firstLineChars="232"/>
        <w:textAlignment w:val="baseline"/>
        <w:rPr>
          <w:rFonts w:ascii="宋体" w:hAnsi="宋体"/>
          <w:b/>
          <w:color w:val="auto"/>
          <w:sz w:val="24"/>
        </w:rPr>
      </w:pPr>
    </w:p>
    <w:p>
      <w:pPr>
        <w:pStyle w:val="8"/>
        <w:ind w:firstLine="0" w:firstLineChars="0"/>
        <w:rPr>
          <w:color w:val="auto"/>
        </w:rPr>
      </w:pPr>
      <w:r>
        <w:rPr>
          <w:rFonts w:hint="eastAsia"/>
          <w:color w:val="auto"/>
        </w:rPr>
        <w:t>投标人名称：</w:t>
      </w:r>
      <w:r>
        <w:rPr>
          <w:rFonts w:hint="eastAsia"/>
          <w:color w:val="auto"/>
          <w:u w:val="single"/>
        </w:rPr>
        <w:t xml:space="preserve">                   </w:t>
      </w:r>
      <w:r>
        <w:rPr>
          <w:rFonts w:hint="eastAsia"/>
          <w:color w:val="auto"/>
        </w:rPr>
        <w:t>（盖单位公章）</w:t>
      </w:r>
    </w:p>
    <w:p>
      <w:pPr>
        <w:pStyle w:val="8"/>
        <w:ind w:firstLine="0" w:firstLineChars="0"/>
        <w:rPr>
          <w:color w:val="auto"/>
        </w:rPr>
      </w:pPr>
    </w:p>
    <w:p>
      <w:pPr>
        <w:pStyle w:val="8"/>
        <w:ind w:firstLine="0" w:firstLineChars="0"/>
        <w:rPr>
          <w:color w:val="auto"/>
        </w:rPr>
      </w:pPr>
      <w:r>
        <w:rPr>
          <w:rFonts w:hint="eastAsia"/>
          <w:color w:val="auto"/>
        </w:rPr>
        <w:t>法定代表人或被授权人：</w:t>
      </w:r>
      <w:r>
        <w:rPr>
          <w:rFonts w:hint="eastAsia"/>
          <w:color w:val="auto"/>
          <w:u w:val="single"/>
        </w:rPr>
        <w:t xml:space="preserve">         </w:t>
      </w:r>
      <w:r>
        <w:rPr>
          <w:rFonts w:hint="eastAsia"/>
          <w:color w:val="auto"/>
        </w:rPr>
        <w:t>（签字或盖章）</w:t>
      </w:r>
    </w:p>
    <w:p>
      <w:pPr>
        <w:pStyle w:val="8"/>
        <w:ind w:firstLine="0" w:firstLineChars="0"/>
        <w:rPr>
          <w:color w:val="auto"/>
        </w:rPr>
      </w:pPr>
    </w:p>
    <w:p>
      <w:pPr>
        <w:pStyle w:val="8"/>
        <w:ind w:firstLine="0" w:firstLineChars="0"/>
        <w:rPr>
          <w:b/>
          <w:bCs/>
          <w:color w:val="auto"/>
        </w:rPr>
      </w:pPr>
      <w:r>
        <w:rPr>
          <w:rFonts w:hint="eastAsia"/>
          <w:color w:val="auto"/>
        </w:rPr>
        <w:t>日    期：</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w:t>
      </w:r>
    </w:p>
    <w:p>
      <w:pPr>
        <w:spacing w:line="360" w:lineRule="auto"/>
        <w:ind w:firstLine="4080" w:firstLineChars="1700"/>
        <w:rPr>
          <w:color w:val="auto"/>
        </w:rPr>
      </w:pPr>
      <w:r>
        <w:rPr>
          <w:rFonts w:ascii="宋体" w:hAnsi="宋体"/>
          <w:color w:val="auto"/>
          <w:sz w:val="24"/>
          <w:szCs w:val="28"/>
        </w:rPr>
        <w:br w:type="page"/>
      </w:r>
    </w:p>
    <w:p>
      <w:pPr>
        <w:pStyle w:val="12"/>
        <w:spacing w:line="480" w:lineRule="auto"/>
        <w:jc w:val="center"/>
        <w:rPr>
          <w:rFonts w:hAnsi="宋体"/>
          <w:b/>
          <w:color w:val="auto"/>
          <w:sz w:val="30"/>
          <w:szCs w:val="30"/>
        </w:rPr>
      </w:pPr>
      <w:r>
        <w:rPr>
          <w:rFonts w:hint="eastAsia" w:hAnsi="宋体"/>
          <w:b/>
          <w:color w:val="auto"/>
          <w:sz w:val="30"/>
          <w:szCs w:val="30"/>
        </w:rPr>
        <w:t>开标一览表</w:t>
      </w:r>
    </w:p>
    <w:p>
      <w:pPr>
        <w:pStyle w:val="12"/>
        <w:spacing w:line="360" w:lineRule="auto"/>
        <w:rPr>
          <w:rFonts w:hAnsi="宋体"/>
          <w:color w:val="auto"/>
          <w:sz w:val="24"/>
        </w:rPr>
      </w:pPr>
      <w:r>
        <w:rPr>
          <w:rFonts w:hint="eastAsia" w:hAnsi="宋体"/>
          <w:color w:val="auto"/>
          <w:sz w:val="24"/>
          <w:lang w:val="en-US" w:eastAsia="zh-CN"/>
        </w:rPr>
        <w:t>项目</w:t>
      </w:r>
      <w:r>
        <w:rPr>
          <w:rFonts w:hint="eastAsia" w:hAnsi="宋体"/>
          <w:color w:val="auto"/>
          <w:sz w:val="24"/>
        </w:rPr>
        <w:t>编号：</w:t>
      </w:r>
      <w:r>
        <w:rPr>
          <w:rFonts w:hint="eastAsia" w:hAnsi="宋体"/>
          <w:color w:val="auto"/>
          <w:sz w:val="24"/>
          <w:u w:val="single"/>
        </w:rPr>
        <w:t xml:space="preserve">                   </w:t>
      </w:r>
    </w:p>
    <w:p>
      <w:pPr>
        <w:pStyle w:val="12"/>
        <w:spacing w:line="360" w:lineRule="auto"/>
        <w:rPr>
          <w:rFonts w:ascii="Times New Roman" w:hAnsi="Times New Roman"/>
          <w:color w:val="auto"/>
          <w:sz w:val="24"/>
          <w:szCs w:val="24"/>
        </w:rPr>
      </w:pPr>
      <w:r>
        <w:rPr>
          <w:rFonts w:hint="eastAsia" w:hAnsi="宋体"/>
          <w:color w:val="auto"/>
          <w:sz w:val="24"/>
          <w:lang w:eastAsia="zh-CN"/>
        </w:rPr>
        <w:t>合同包</w:t>
      </w:r>
      <w:r>
        <w:rPr>
          <w:rFonts w:hint="eastAsia" w:hAnsi="宋体"/>
          <w:color w:val="auto"/>
          <w:sz w:val="24"/>
        </w:rPr>
        <w:t>号：</w:t>
      </w:r>
      <w:r>
        <w:rPr>
          <w:rFonts w:hint="eastAsia" w:hAnsi="宋体"/>
          <w:color w:val="auto"/>
          <w:sz w:val="24"/>
          <w:u w:val="single"/>
        </w:rPr>
        <w:t xml:space="preserve">  </w:t>
      </w:r>
      <w:r>
        <w:rPr>
          <w:rFonts w:hint="eastAsia" w:hAnsi="宋体"/>
          <w:b/>
          <w:color w:val="auto"/>
          <w:sz w:val="24"/>
          <w:u w:val="single"/>
          <w:lang w:val="en-US" w:eastAsia="zh-CN"/>
        </w:rPr>
        <w:t>3（</w:t>
      </w:r>
      <w:r>
        <w:rPr>
          <w:rFonts w:hint="eastAsia" w:hAnsi="宋体"/>
          <w:b/>
          <w:color w:val="auto"/>
          <w:sz w:val="24"/>
          <w:u w:val="single"/>
        </w:rPr>
        <w:t>食用油</w:t>
      </w:r>
      <w:r>
        <w:rPr>
          <w:rFonts w:hint="eastAsia" w:hAnsi="宋体"/>
          <w:color w:val="auto"/>
          <w:sz w:val="24"/>
          <w:u w:val="single"/>
        </w:rPr>
        <w:t xml:space="preserve"> </w:t>
      </w:r>
      <w:r>
        <w:rPr>
          <w:rFonts w:hint="eastAsia" w:hAnsi="宋体"/>
          <w:b/>
          <w:color w:val="auto"/>
          <w:sz w:val="24"/>
          <w:u w:val="single"/>
          <w:lang w:val="en-US" w:eastAsia="zh-CN"/>
        </w:rPr>
        <w:t>）</w:t>
      </w:r>
      <w:r>
        <w:rPr>
          <w:rFonts w:hint="eastAsia" w:ascii="Times New Roman" w:hAnsi="Times New Roman"/>
          <w:color w:val="auto"/>
          <w:sz w:val="24"/>
          <w:szCs w:val="24"/>
          <w:u w:val="single"/>
        </w:rPr>
        <w:t xml:space="preserve"> </w:t>
      </w:r>
      <w:r>
        <w:rPr>
          <w:rFonts w:hint="eastAsia" w:ascii="Times New Roman" w:hAnsi="Times New Roman"/>
          <w:color w:val="auto"/>
          <w:sz w:val="24"/>
          <w:szCs w:val="24"/>
        </w:rPr>
        <w:t xml:space="preserve">        </w:t>
      </w:r>
    </w:p>
    <w:p>
      <w:pPr>
        <w:spacing w:line="360" w:lineRule="auto"/>
        <w:jc w:val="right"/>
        <w:rPr>
          <w:color w:val="auto"/>
          <w:sz w:val="24"/>
        </w:rPr>
      </w:pP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1711"/>
        <w:gridCol w:w="1368"/>
        <w:gridCol w:w="1390"/>
        <w:gridCol w:w="1251"/>
        <w:gridCol w:w="1251"/>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3" w:hRule="atLeast"/>
          <w:jc w:val="center"/>
        </w:trPr>
        <w:tc>
          <w:tcPr>
            <w:tcW w:w="503" w:type="pct"/>
            <w:vAlign w:val="center"/>
          </w:tcPr>
          <w:p>
            <w:pPr>
              <w:spacing w:line="360" w:lineRule="auto"/>
              <w:jc w:val="center"/>
              <w:rPr>
                <w:rFonts w:hint="eastAsia" w:ascii="宋体" w:hAnsi="宋体" w:eastAsia="宋体"/>
                <w:color w:val="auto"/>
                <w:sz w:val="24"/>
                <w:lang w:eastAsia="zh-CN"/>
              </w:rPr>
            </w:pPr>
            <w:r>
              <w:rPr>
                <w:rFonts w:hint="eastAsia" w:hAnsi="宋体"/>
                <w:color w:val="auto"/>
                <w:sz w:val="24"/>
                <w:lang w:eastAsia="zh-CN"/>
              </w:rPr>
              <w:t>合同包号</w:t>
            </w:r>
          </w:p>
        </w:tc>
        <w:tc>
          <w:tcPr>
            <w:tcW w:w="938" w:type="pct"/>
            <w:vAlign w:val="center"/>
          </w:tcPr>
          <w:p>
            <w:pPr>
              <w:spacing w:line="360" w:lineRule="auto"/>
              <w:jc w:val="center"/>
              <w:rPr>
                <w:rFonts w:ascii="宋体" w:hAnsi="宋体"/>
                <w:color w:val="auto"/>
                <w:sz w:val="24"/>
              </w:rPr>
            </w:pPr>
            <w:r>
              <w:rPr>
                <w:rFonts w:hint="eastAsia" w:ascii="宋体" w:hAnsi="宋体"/>
                <w:color w:val="auto"/>
                <w:sz w:val="24"/>
              </w:rPr>
              <w:t>产品名称</w:t>
            </w:r>
          </w:p>
        </w:tc>
        <w:tc>
          <w:tcPr>
            <w:tcW w:w="750" w:type="pct"/>
            <w:vAlign w:val="center"/>
          </w:tcPr>
          <w:p>
            <w:pPr>
              <w:spacing w:line="360" w:lineRule="auto"/>
              <w:jc w:val="center"/>
              <w:rPr>
                <w:rFonts w:ascii="宋体" w:hAnsi="宋体"/>
                <w:color w:val="auto"/>
                <w:sz w:val="24"/>
              </w:rPr>
            </w:pPr>
            <w:r>
              <w:rPr>
                <w:rFonts w:hint="eastAsia" w:hAnsi="宋体"/>
                <w:color w:val="auto"/>
                <w:sz w:val="24"/>
                <w:lang w:eastAsia="zh-CN"/>
              </w:rPr>
              <w:t>包</w:t>
            </w:r>
            <w:r>
              <w:rPr>
                <w:rFonts w:hint="eastAsia" w:ascii="宋体" w:hAnsi="宋体"/>
                <w:color w:val="auto"/>
                <w:sz w:val="24"/>
              </w:rPr>
              <w:t>装</w:t>
            </w:r>
          </w:p>
          <w:p>
            <w:pPr>
              <w:spacing w:line="360" w:lineRule="auto"/>
              <w:jc w:val="center"/>
              <w:rPr>
                <w:rFonts w:ascii="宋体" w:hAnsi="宋体"/>
                <w:color w:val="auto"/>
                <w:sz w:val="24"/>
              </w:rPr>
            </w:pPr>
            <w:r>
              <w:rPr>
                <w:rFonts w:hint="eastAsia" w:ascii="宋体" w:hAnsi="宋体"/>
                <w:color w:val="auto"/>
                <w:sz w:val="24"/>
              </w:rPr>
              <w:t>规格</w:t>
            </w:r>
          </w:p>
        </w:tc>
        <w:tc>
          <w:tcPr>
            <w:tcW w:w="762" w:type="pct"/>
            <w:vAlign w:val="center"/>
          </w:tcPr>
          <w:p>
            <w:pPr>
              <w:spacing w:line="360" w:lineRule="auto"/>
              <w:jc w:val="center"/>
              <w:rPr>
                <w:rFonts w:ascii="宋体" w:hAnsi="宋体"/>
                <w:color w:val="auto"/>
                <w:sz w:val="24"/>
              </w:rPr>
            </w:pPr>
            <w:r>
              <w:rPr>
                <w:rFonts w:hint="eastAsia" w:ascii="宋体" w:hAnsi="宋体"/>
                <w:color w:val="auto"/>
                <w:sz w:val="24"/>
              </w:rPr>
              <w:t>综合单价</w:t>
            </w:r>
          </w:p>
          <w:p>
            <w:pPr>
              <w:spacing w:line="360" w:lineRule="auto"/>
              <w:jc w:val="center"/>
              <w:rPr>
                <w:rFonts w:ascii="宋体" w:hAnsi="宋体"/>
                <w:color w:val="auto"/>
                <w:sz w:val="24"/>
              </w:rPr>
            </w:pPr>
            <w:r>
              <w:rPr>
                <w:rFonts w:hint="eastAsia" w:ascii="宋体" w:hAnsi="宋体"/>
                <w:color w:val="auto"/>
                <w:sz w:val="24"/>
              </w:rPr>
              <w:t>（元</w:t>
            </w:r>
            <w:r>
              <w:rPr>
                <w:rFonts w:ascii="宋体" w:hAnsi="宋体"/>
                <w:color w:val="auto"/>
                <w:sz w:val="24"/>
              </w:rPr>
              <w:t>/</w:t>
            </w:r>
            <w:r>
              <w:rPr>
                <w:rFonts w:hint="eastAsia" w:ascii="宋体" w:hAnsi="宋体"/>
                <w:color w:val="auto"/>
                <w:sz w:val="24"/>
              </w:rPr>
              <w:t>L）</w:t>
            </w:r>
          </w:p>
        </w:tc>
        <w:tc>
          <w:tcPr>
            <w:tcW w:w="686" w:type="pct"/>
            <w:vAlign w:val="center"/>
          </w:tcPr>
          <w:p>
            <w:pPr>
              <w:spacing w:line="360" w:lineRule="auto"/>
              <w:jc w:val="center"/>
              <w:rPr>
                <w:rFonts w:ascii="宋体" w:hAnsi="宋体"/>
                <w:color w:val="auto"/>
                <w:sz w:val="24"/>
              </w:rPr>
            </w:pPr>
            <w:r>
              <w:rPr>
                <w:rFonts w:hint="eastAsia" w:ascii="宋体" w:hAnsi="宋体"/>
                <w:color w:val="auto"/>
                <w:sz w:val="24"/>
              </w:rPr>
              <w:t>数量</w:t>
            </w:r>
          </w:p>
          <w:p>
            <w:pPr>
              <w:spacing w:line="360" w:lineRule="auto"/>
              <w:jc w:val="center"/>
              <w:rPr>
                <w:rFonts w:ascii="宋体" w:hAnsi="宋体"/>
                <w:color w:val="auto"/>
                <w:sz w:val="24"/>
              </w:rPr>
            </w:pPr>
            <w:r>
              <w:rPr>
                <w:rFonts w:hint="eastAsia" w:ascii="宋体" w:hAnsi="宋体"/>
                <w:color w:val="auto"/>
                <w:sz w:val="24"/>
              </w:rPr>
              <w:t>（L）</w:t>
            </w:r>
          </w:p>
        </w:tc>
        <w:tc>
          <w:tcPr>
            <w:tcW w:w="686" w:type="pct"/>
            <w:vAlign w:val="center"/>
          </w:tcPr>
          <w:p>
            <w:pPr>
              <w:spacing w:line="360" w:lineRule="auto"/>
              <w:jc w:val="center"/>
              <w:rPr>
                <w:rFonts w:ascii="宋体" w:hAnsi="宋体"/>
                <w:color w:val="auto"/>
                <w:sz w:val="24"/>
              </w:rPr>
            </w:pPr>
            <w:r>
              <w:rPr>
                <w:rFonts w:hint="eastAsia" w:ascii="宋体" w:hAnsi="宋体"/>
                <w:color w:val="auto"/>
                <w:sz w:val="24"/>
              </w:rPr>
              <w:t>合计（元）</w:t>
            </w:r>
          </w:p>
        </w:tc>
        <w:tc>
          <w:tcPr>
            <w:tcW w:w="673" w:type="pct"/>
            <w:vAlign w:val="center"/>
          </w:tcPr>
          <w:p>
            <w:pPr>
              <w:spacing w:line="360" w:lineRule="auto"/>
              <w:jc w:val="center"/>
              <w:rPr>
                <w:rFonts w:ascii="宋体" w:hAnsi="宋体"/>
                <w:color w:val="auto"/>
                <w:sz w:val="24"/>
              </w:rPr>
            </w:pPr>
            <w:r>
              <w:rPr>
                <w:rFonts w:hint="eastAsia" w:ascii="宋体" w:hAnsi="宋体"/>
                <w:color w:val="auto"/>
                <w:sz w:val="24"/>
              </w:rPr>
              <w:t>投标</w:t>
            </w:r>
          </w:p>
          <w:p>
            <w:pPr>
              <w:spacing w:line="360" w:lineRule="auto"/>
              <w:jc w:val="center"/>
              <w:rPr>
                <w:rFonts w:ascii="宋体" w:hAnsi="宋体"/>
                <w:color w:val="auto"/>
                <w:sz w:val="24"/>
              </w:rPr>
            </w:pPr>
            <w:r>
              <w:rPr>
                <w:rFonts w:hint="eastAsia" w:ascii="宋体" w:hAnsi="宋体"/>
                <w:color w:val="auto"/>
                <w:sz w:val="24"/>
              </w:rPr>
              <w:t>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03" w:type="pct"/>
            <w:vMerge w:val="restart"/>
            <w:vAlign w:val="center"/>
          </w:tcPr>
          <w:p>
            <w:pPr>
              <w:spacing w:line="360" w:lineRule="auto"/>
              <w:jc w:val="center"/>
              <w:rPr>
                <w:rFonts w:hint="default" w:ascii="宋体" w:hAnsi="宋体"/>
                <w:color w:val="auto"/>
                <w:sz w:val="24"/>
                <w:lang w:val="en-US"/>
              </w:rPr>
            </w:pPr>
            <w:r>
              <w:rPr>
                <w:rFonts w:hint="eastAsia" w:hAnsi="宋体"/>
                <w:color w:val="auto"/>
                <w:sz w:val="24"/>
                <w:lang w:val="en-US" w:eastAsia="zh-CN"/>
              </w:rPr>
              <w:t>2</w:t>
            </w:r>
          </w:p>
        </w:tc>
        <w:tc>
          <w:tcPr>
            <w:tcW w:w="938" w:type="pct"/>
            <w:vAlign w:val="center"/>
          </w:tcPr>
          <w:p>
            <w:pPr>
              <w:pStyle w:val="12"/>
              <w:spacing w:line="336" w:lineRule="auto"/>
              <w:jc w:val="center"/>
              <w:rPr>
                <w:rFonts w:ascii="仿宋" w:hAnsi="仿宋" w:cs="仿宋"/>
                <w:color w:val="auto"/>
                <w:sz w:val="24"/>
                <w:szCs w:val="24"/>
              </w:rPr>
            </w:pPr>
            <w:r>
              <w:rPr>
                <w:rFonts w:hint="eastAsia" w:ascii="仿宋" w:hAnsi="仿宋" w:cs="仿宋"/>
                <w:color w:val="auto"/>
                <w:sz w:val="24"/>
                <w:szCs w:val="24"/>
              </w:rPr>
              <w:t>大豆油</w:t>
            </w:r>
          </w:p>
        </w:tc>
        <w:tc>
          <w:tcPr>
            <w:tcW w:w="750" w:type="pct"/>
            <w:vAlign w:val="center"/>
          </w:tcPr>
          <w:p>
            <w:pPr>
              <w:spacing w:line="360" w:lineRule="auto"/>
              <w:jc w:val="center"/>
              <w:rPr>
                <w:rFonts w:hint="eastAsia" w:ascii="宋体" w:hAnsi="宋体"/>
                <w:color w:val="auto"/>
                <w:sz w:val="24"/>
              </w:rPr>
            </w:pPr>
            <w:r>
              <w:rPr>
                <w:rFonts w:hint="eastAsia" w:ascii="宋体" w:hAnsi="宋体"/>
                <w:color w:val="auto"/>
                <w:sz w:val="24"/>
              </w:rPr>
              <w:t>**L/桶</w:t>
            </w:r>
          </w:p>
        </w:tc>
        <w:tc>
          <w:tcPr>
            <w:tcW w:w="762" w:type="pct"/>
            <w:vAlign w:val="center"/>
          </w:tcPr>
          <w:p>
            <w:pPr>
              <w:spacing w:line="360" w:lineRule="auto"/>
              <w:jc w:val="center"/>
              <w:rPr>
                <w:rFonts w:hint="eastAsia" w:ascii="宋体" w:hAnsi="宋体"/>
                <w:color w:val="auto"/>
                <w:sz w:val="24"/>
              </w:rPr>
            </w:pPr>
          </w:p>
        </w:tc>
        <w:tc>
          <w:tcPr>
            <w:tcW w:w="686" w:type="pct"/>
            <w:vAlign w:val="center"/>
          </w:tcPr>
          <w:p>
            <w:pPr>
              <w:spacing w:line="360" w:lineRule="auto"/>
              <w:jc w:val="center"/>
              <w:rPr>
                <w:rFonts w:hint="eastAsia" w:ascii="宋体" w:hAnsi="宋体"/>
                <w:color w:val="auto"/>
                <w:sz w:val="24"/>
              </w:rPr>
            </w:pPr>
            <w:r>
              <w:rPr>
                <w:rFonts w:hint="eastAsia" w:ascii="宋体" w:hAnsi="宋体"/>
                <w:color w:val="auto"/>
                <w:sz w:val="24"/>
              </w:rPr>
              <w:t>122000</w:t>
            </w:r>
          </w:p>
        </w:tc>
        <w:tc>
          <w:tcPr>
            <w:tcW w:w="686" w:type="pct"/>
            <w:vAlign w:val="center"/>
          </w:tcPr>
          <w:p>
            <w:pPr>
              <w:spacing w:line="360" w:lineRule="auto"/>
              <w:jc w:val="center"/>
              <w:rPr>
                <w:rFonts w:ascii="宋体" w:hAnsi="宋体"/>
                <w:color w:val="auto"/>
                <w:sz w:val="24"/>
              </w:rPr>
            </w:pPr>
          </w:p>
        </w:tc>
        <w:tc>
          <w:tcPr>
            <w:tcW w:w="673" w:type="pct"/>
            <w:vMerge w:val="restart"/>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03" w:type="pct"/>
            <w:vMerge w:val="continue"/>
            <w:vAlign w:val="center"/>
          </w:tcPr>
          <w:p>
            <w:pPr>
              <w:spacing w:line="360" w:lineRule="auto"/>
              <w:jc w:val="left"/>
              <w:rPr>
                <w:rFonts w:ascii="宋体" w:hAnsi="宋体"/>
                <w:color w:val="auto"/>
                <w:sz w:val="24"/>
              </w:rPr>
            </w:pPr>
          </w:p>
        </w:tc>
        <w:tc>
          <w:tcPr>
            <w:tcW w:w="938" w:type="pct"/>
            <w:vAlign w:val="center"/>
          </w:tcPr>
          <w:p>
            <w:pPr>
              <w:pStyle w:val="12"/>
              <w:spacing w:line="336" w:lineRule="auto"/>
              <w:jc w:val="center"/>
              <w:rPr>
                <w:rFonts w:ascii="仿宋" w:hAnsi="仿宋" w:cs="仿宋"/>
                <w:color w:val="auto"/>
                <w:sz w:val="24"/>
                <w:szCs w:val="24"/>
              </w:rPr>
            </w:pPr>
            <w:r>
              <w:rPr>
                <w:rFonts w:hint="eastAsia" w:ascii="仿宋" w:hAnsi="仿宋" w:cs="仿宋"/>
                <w:color w:val="auto"/>
                <w:sz w:val="24"/>
                <w:szCs w:val="24"/>
              </w:rPr>
              <w:t>菜籽油</w:t>
            </w:r>
          </w:p>
        </w:tc>
        <w:tc>
          <w:tcPr>
            <w:tcW w:w="750" w:type="pct"/>
            <w:vAlign w:val="center"/>
          </w:tcPr>
          <w:p>
            <w:pPr>
              <w:spacing w:line="360" w:lineRule="auto"/>
              <w:jc w:val="center"/>
              <w:rPr>
                <w:rFonts w:hint="eastAsia" w:ascii="宋体" w:hAnsi="宋体"/>
                <w:color w:val="auto"/>
                <w:sz w:val="24"/>
              </w:rPr>
            </w:pPr>
            <w:r>
              <w:rPr>
                <w:rFonts w:hint="eastAsia" w:ascii="宋体" w:hAnsi="宋体"/>
                <w:color w:val="auto"/>
                <w:sz w:val="24"/>
              </w:rPr>
              <w:t>**L/桶</w:t>
            </w:r>
          </w:p>
        </w:tc>
        <w:tc>
          <w:tcPr>
            <w:tcW w:w="762" w:type="pct"/>
            <w:vAlign w:val="center"/>
          </w:tcPr>
          <w:p>
            <w:pPr>
              <w:spacing w:line="360" w:lineRule="auto"/>
              <w:jc w:val="center"/>
              <w:rPr>
                <w:rFonts w:hint="eastAsia" w:ascii="宋体" w:hAnsi="宋体"/>
                <w:color w:val="auto"/>
                <w:sz w:val="24"/>
              </w:rPr>
            </w:pPr>
          </w:p>
        </w:tc>
        <w:tc>
          <w:tcPr>
            <w:tcW w:w="686" w:type="pct"/>
            <w:vAlign w:val="center"/>
          </w:tcPr>
          <w:p>
            <w:pPr>
              <w:spacing w:line="360" w:lineRule="auto"/>
              <w:jc w:val="center"/>
              <w:rPr>
                <w:rFonts w:hint="eastAsia" w:ascii="宋体" w:hAnsi="宋体"/>
                <w:color w:val="auto"/>
                <w:sz w:val="24"/>
              </w:rPr>
            </w:pPr>
            <w:r>
              <w:rPr>
                <w:rFonts w:hint="eastAsia" w:ascii="宋体" w:hAnsi="宋体"/>
                <w:color w:val="auto"/>
                <w:sz w:val="24"/>
              </w:rPr>
              <w:t>20000</w:t>
            </w:r>
          </w:p>
        </w:tc>
        <w:tc>
          <w:tcPr>
            <w:tcW w:w="686" w:type="pct"/>
            <w:vAlign w:val="center"/>
          </w:tcPr>
          <w:p>
            <w:pPr>
              <w:spacing w:line="360" w:lineRule="auto"/>
              <w:jc w:val="center"/>
              <w:rPr>
                <w:rFonts w:ascii="宋体" w:hAnsi="宋体"/>
                <w:color w:val="auto"/>
                <w:sz w:val="24"/>
              </w:rPr>
            </w:pPr>
          </w:p>
        </w:tc>
        <w:tc>
          <w:tcPr>
            <w:tcW w:w="673" w:type="pct"/>
            <w:vMerge w:val="continue"/>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000" w:type="pct"/>
            <w:gridSpan w:val="7"/>
            <w:vAlign w:val="center"/>
          </w:tcPr>
          <w:p>
            <w:pPr>
              <w:spacing w:line="360" w:lineRule="auto"/>
              <w:jc w:val="left"/>
              <w:rPr>
                <w:rFonts w:ascii="宋体" w:hAnsi="宋体"/>
                <w:sz w:val="24"/>
              </w:rPr>
            </w:pPr>
            <w:r>
              <w:rPr>
                <w:rFonts w:hint="eastAsia" w:ascii="宋体" w:hAnsi="宋体"/>
                <w:sz w:val="24"/>
              </w:rPr>
              <w:t>投标总报价人民币大写：</w:t>
            </w:r>
          </w:p>
        </w:tc>
      </w:tr>
    </w:tbl>
    <w:p>
      <w:pPr>
        <w:spacing w:line="360" w:lineRule="auto"/>
        <w:ind w:firstLine="482" w:firstLineChars="200"/>
        <w:jc w:val="left"/>
        <w:rPr>
          <w:rFonts w:hint="eastAsia"/>
          <w:b/>
          <w:sz w:val="24"/>
        </w:rPr>
      </w:pPr>
    </w:p>
    <w:p>
      <w:pPr>
        <w:pStyle w:val="12"/>
        <w:spacing w:line="360" w:lineRule="auto"/>
        <w:rPr>
          <w:rFonts w:hAnsi="宋体"/>
          <w:b/>
          <w:sz w:val="21"/>
          <w:szCs w:val="16"/>
        </w:rPr>
      </w:pPr>
      <w:r>
        <w:rPr>
          <w:rFonts w:hint="eastAsia" w:hAnsi="宋体"/>
          <w:b/>
          <w:sz w:val="21"/>
          <w:szCs w:val="16"/>
        </w:rPr>
        <w:t>说明：</w:t>
      </w:r>
      <w:r>
        <w:rPr>
          <w:rFonts w:hint="eastAsia" w:hAnsi="宋体"/>
          <w:sz w:val="21"/>
          <w:szCs w:val="16"/>
        </w:rPr>
        <w:t>1、投标报价应以人民币为结算货币，单位为元，投标报价</w:t>
      </w:r>
      <w:r>
        <w:rPr>
          <w:rFonts w:hint="eastAsia" w:hAnsi="宋体"/>
          <w:sz w:val="21"/>
          <w:szCs w:val="16"/>
          <w:lang w:eastAsia="zh-CN"/>
        </w:rPr>
        <w:t>合同包</w:t>
      </w:r>
      <w:r>
        <w:rPr>
          <w:rFonts w:hint="eastAsia" w:hAnsi="宋体"/>
          <w:sz w:val="21"/>
          <w:szCs w:val="16"/>
        </w:rPr>
        <w:t>含货款、运费、装卸费、税费等所有费用之和，</w:t>
      </w:r>
      <w:r>
        <w:rPr>
          <w:rFonts w:hint="eastAsia" w:hAnsi="宋体"/>
          <w:sz w:val="21"/>
          <w:szCs w:val="16"/>
          <w:lang w:eastAsia="zh-CN"/>
        </w:rPr>
        <w:t>并按采购人要求卸到指定库房位置堆放整齐</w:t>
      </w:r>
      <w:r>
        <w:rPr>
          <w:rFonts w:hint="eastAsia" w:hAnsi="宋体"/>
          <w:sz w:val="21"/>
          <w:szCs w:val="16"/>
        </w:rPr>
        <w:t>。</w:t>
      </w:r>
    </w:p>
    <w:p>
      <w:pPr>
        <w:pStyle w:val="12"/>
        <w:spacing w:line="360" w:lineRule="auto"/>
        <w:ind w:firstLine="630" w:firstLineChars="300"/>
        <w:rPr>
          <w:rFonts w:hAnsi="宋体"/>
          <w:sz w:val="21"/>
          <w:szCs w:val="16"/>
        </w:rPr>
      </w:pPr>
      <w:r>
        <w:rPr>
          <w:rFonts w:hint="eastAsia" w:hAnsi="宋体"/>
          <w:sz w:val="21"/>
          <w:szCs w:val="16"/>
          <w:lang w:val="en-US" w:eastAsia="zh-CN"/>
        </w:rPr>
        <w:t>2</w:t>
      </w:r>
      <w:r>
        <w:rPr>
          <w:rFonts w:hint="eastAsia" w:hAnsi="宋体"/>
          <w:sz w:val="21"/>
          <w:szCs w:val="16"/>
        </w:rPr>
        <w:t>、所有报价保留小数点后两位，第三位按四舍五入计。</w:t>
      </w:r>
    </w:p>
    <w:p>
      <w:pPr>
        <w:pStyle w:val="12"/>
        <w:spacing w:line="360" w:lineRule="auto"/>
        <w:ind w:firstLine="630" w:firstLineChars="300"/>
        <w:rPr>
          <w:rFonts w:hint="eastAsia" w:hAnsi="宋体"/>
          <w:sz w:val="21"/>
          <w:szCs w:val="21"/>
        </w:rPr>
      </w:pPr>
      <w:r>
        <w:rPr>
          <w:rFonts w:hint="eastAsia" w:hAnsi="宋体"/>
          <w:sz w:val="21"/>
          <w:szCs w:val="21"/>
          <w:lang w:val="en-US" w:eastAsia="zh-CN"/>
        </w:rPr>
        <w:t>3</w:t>
      </w:r>
      <w:r>
        <w:rPr>
          <w:rFonts w:hint="eastAsia" w:hAnsi="宋体"/>
          <w:sz w:val="21"/>
          <w:szCs w:val="21"/>
        </w:rPr>
        <w:t>、此表单独密封在一个信封内，信封上注明“开标一览表”字样，并由法定代表人或授权代表签字或盖章，同时加盖投标人公章，投标时单独递交。同时投标文件中也需提供。</w:t>
      </w:r>
    </w:p>
    <w:p>
      <w:pPr>
        <w:pStyle w:val="12"/>
        <w:spacing w:line="360" w:lineRule="auto"/>
        <w:ind w:firstLine="632" w:firstLineChars="300"/>
        <w:rPr>
          <w:rFonts w:hint="eastAsia" w:hAnsi="宋体"/>
          <w:b/>
          <w:bCs/>
          <w:sz w:val="21"/>
          <w:szCs w:val="21"/>
        </w:rPr>
      </w:pPr>
      <w:r>
        <w:rPr>
          <w:rFonts w:hint="eastAsia" w:hAnsi="宋体"/>
          <w:b/>
          <w:bCs/>
          <w:sz w:val="21"/>
          <w:szCs w:val="21"/>
          <w:lang w:val="en-US" w:eastAsia="zh-CN"/>
        </w:rPr>
        <w:t>4、</w:t>
      </w:r>
      <w:r>
        <w:rPr>
          <w:rFonts w:hint="eastAsia" w:hAnsi="宋体"/>
          <w:b/>
          <w:bCs/>
          <w:sz w:val="21"/>
          <w:szCs w:val="21"/>
        </w:rPr>
        <w:t>合同包装规格为：20L/桶或16.3L/桶，请投标人自行填报。</w:t>
      </w:r>
    </w:p>
    <w:p>
      <w:pPr>
        <w:spacing w:line="360" w:lineRule="auto"/>
        <w:ind w:firstLine="559" w:firstLineChars="232"/>
        <w:textAlignment w:val="baseline"/>
        <w:rPr>
          <w:rFonts w:ascii="宋体" w:hAnsi="宋体"/>
          <w:b/>
          <w:sz w:val="24"/>
        </w:rPr>
      </w:pPr>
    </w:p>
    <w:p>
      <w:pPr>
        <w:pStyle w:val="8"/>
        <w:ind w:firstLine="0" w:firstLineChars="0"/>
      </w:pPr>
      <w:r>
        <w:rPr>
          <w:rFonts w:hint="eastAsia"/>
        </w:rPr>
        <w:t>投标人名称：</w:t>
      </w:r>
      <w:r>
        <w:rPr>
          <w:rFonts w:hint="eastAsia"/>
          <w:u w:val="single"/>
        </w:rPr>
        <w:t xml:space="preserve">                   </w:t>
      </w:r>
      <w:r>
        <w:rPr>
          <w:rFonts w:hint="eastAsia"/>
        </w:rPr>
        <w:t>（盖单位公章）</w:t>
      </w:r>
    </w:p>
    <w:p>
      <w:pPr>
        <w:pStyle w:val="8"/>
        <w:ind w:firstLine="0" w:firstLineChars="0"/>
      </w:pPr>
    </w:p>
    <w:p>
      <w:pPr>
        <w:pStyle w:val="8"/>
        <w:ind w:firstLine="0" w:firstLineChars="0"/>
      </w:pPr>
      <w:r>
        <w:rPr>
          <w:rFonts w:hint="eastAsia"/>
        </w:rPr>
        <w:t>法定代表人或被授权人：</w:t>
      </w:r>
      <w:r>
        <w:rPr>
          <w:rFonts w:hint="eastAsia"/>
          <w:u w:val="single"/>
        </w:rPr>
        <w:t xml:space="preserve">         </w:t>
      </w:r>
      <w:r>
        <w:rPr>
          <w:rFonts w:hint="eastAsia"/>
        </w:rPr>
        <w:t>（签字或盖章）</w:t>
      </w:r>
    </w:p>
    <w:p>
      <w:pPr>
        <w:pStyle w:val="8"/>
        <w:ind w:firstLine="0" w:firstLineChars="0"/>
      </w:pPr>
    </w:p>
    <w:p>
      <w:pPr>
        <w:pStyle w:val="8"/>
        <w:ind w:firstLine="0" w:firstLineChars="0"/>
        <w:rPr>
          <w:b/>
          <w:bCs/>
        </w:rPr>
      </w:pPr>
      <w:r>
        <w:rPr>
          <w:rFonts w:hint="eastAsia"/>
        </w:rPr>
        <w:t>日    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rPr>
          <w:rFonts w:hint="eastAsia"/>
        </w:rPr>
      </w:pPr>
    </w:p>
    <w:p>
      <w:pPr>
        <w:rPr>
          <w:rFonts w:hint="eastAsia"/>
        </w:rPr>
      </w:pPr>
      <w:r>
        <w:rPr>
          <w:rFonts w:hint="eastAsia"/>
        </w:rPr>
        <w:br w:type="page"/>
      </w:r>
    </w:p>
    <w:p>
      <w:pPr>
        <w:pStyle w:val="5"/>
        <w:spacing w:before="666" w:after="666"/>
      </w:pPr>
      <w:r>
        <w:rPr>
          <w:rFonts w:hint="eastAsia"/>
        </w:rPr>
        <w:t>2.2投标分项报价表</w:t>
      </w:r>
    </w:p>
    <w:p>
      <w:pPr>
        <w:pStyle w:val="8"/>
        <w:ind w:firstLine="0" w:firstLineChars="0"/>
      </w:pPr>
      <w:r>
        <w:rPr>
          <w:rFonts w:hint="eastAsia"/>
        </w:rPr>
        <w:t>项目名称：</w:t>
      </w:r>
    </w:p>
    <w:p>
      <w:pPr>
        <w:pStyle w:val="8"/>
        <w:ind w:firstLine="0" w:firstLineChars="0"/>
        <w:rPr>
          <w:rFonts w:hint="eastAsia"/>
        </w:rPr>
      </w:pPr>
      <w:r>
        <w:rPr>
          <w:rFonts w:hint="eastAsia"/>
        </w:rPr>
        <w:t xml:space="preserve">项目编号： </w:t>
      </w:r>
    </w:p>
    <w:p>
      <w:pPr>
        <w:pStyle w:val="8"/>
        <w:ind w:firstLine="0" w:firstLineChars="0"/>
        <w:rPr>
          <w:rFonts w:hint="eastAsia"/>
          <w:bCs/>
        </w:rPr>
      </w:pPr>
      <w:r>
        <w:rPr>
          <w:rFonts w:hint="eastAsia"/>
          <w:bCs/>
          <w:lang w:val="en-US" w:eastAsia="zh-CN"/>
        </w:rPr>
        <w:t>合同包号：</w:t>
      </w:r>
      <w:r>
        <w:rPr>
          <w:rFonts w:hint="eastAsia"/>
          <w:bCs/>
        </w:rPr>
        <w:t xml:space="preserve">         </w:t>
      </w:r>
    </w:p>
    <w:p>
      <w:pPr>
        <w:spacing w:line="120" w:lineRule="exact"/>
        <w:rPr>
          <w:rFonts w:hAnsi="宋体" w:cs="宋体"/>
        </w:rPr>
      </w:pPr>
    </w:p>
    <w:tbl>
      <w:tblPr>
        <w:tblStyle w:val="19"/>
        <w:tblW w:w="10167" w:type="dxa"/>
        <w:jc w:val="center"/>
        <w:tblLayout w:type="fixed"/>
        <w:tblCellMar>
          <w:top w:w="0" w:type="dxa"/>
          <w:left w:w="28" w:type="dxa"/>
          <w:bottom w:w="0" w:type="dxa"/>
          <w:right w:w="28" w:type="dxa"/>
        </w:tblCellMar>
      </w:tblPr>
      <w:tblGrid>
        <w:gridCol w:w="617"/>
        <w:gridCol w:w="1216"/>
        <w:gridCol w:w="917"/>
        <w:gridCol w:w="1300"/>
        <w:gridCol w:w="1019"/>
        <w:gridCol w:w="926"/>
        <w:gridCol w:w="1404"/>
        <w:gridCol w:w="1190"/>
        <w:gridCol w:w="778"/>
        <w:gridCol w:w="800"/>
      </w:tblGrid>
      <w:tr>
        <w:tblPrEx>
          <w:tblCellMar>
            <w:top w:w="0" w:type="dxa"/>
            <w:left w:w="28" w:type="dxa"/>
            <w:bottom w:w="0" w:type="dxa"/>
            <w:right w:w="28" w:type="dxa"/>
          </w:tblCellMar>
        </w:tblPrEx>
        <w:trPr>
          <w:trHeight w:val="684" w:hRule="atLeast"/>
          <w:jc w:val="center"/>
        </w:trPr>
        <w:tc>
          <w:tcPr>
            <w:tcW w:w="617" w:type="dxa"/>
            <w:tcBorders>
              <w:top w:val="single" w:color="auto" w:sz="6" w:space="0"/>
              <w:left w:val="single" w:color="auto" w:sz="4" w:space="0"/>
              <w:bottom w:val="single" w:color="auto" w:sz="6" w:space="0"/>
            </w:tcBorders>
            <w:vAlign w:val="center"/>
          </w:tcPr>
          <w:p>
            <w:pPr>
              <w:pStyle w:val="29"/>
              <w:rPr>
                <w:rFonts w:hint="eastAsia" w:ascii="宋体" w:hAnsi="宋体" w:eastAsia="宋体" w:cs="宋体"/>
                <w:b/>
                <w:bCs/>
                <w:color w:val="auto"/>
                <w:highlight w:val="none"/>
              </w:rPr>
            </w:pPr>
            <w:r>
              <w:rPr>
                <w:rFonts w:hint="eastAsia" w:ascii="宋体" w:hAnsi="宋体" w:eastAsia="宋体" w:cs="宋体"/>
                <w:b/>
                <w:bCs/>
                <w:color w:val="auto"/>
                <w:highlight w:val="none"/>
              </w:rPr>
              <w:t>序号</w:t>
            </w:r>
          </w:p>
        </w:tc>
        <w:tc>
          <w:tcPr>
            <w:tcW w:w="1216" w:type="dxa"/>
            <w:tcBorders>
              <w:top w:val="single" w:color="auto" w:sz="6" w:space="0"/>
              <w:left w:val="single" w:color="auto" w:sz="6" w:space="0"/>
              <w:bottom w:val="single" w:color="auto" w:sz="6" w:space="0"/>
              <w:right w:val="single" w:color="auto" w:sz="6" w:space="0"/>
            </w:tcBorders>
            <w:vAlign w:val="center"/>
          </w:tcPr>
          <w:p>
            <w:pPr>
              <w:pStyle w:val="29"/>
              <w:rPr>
                <w:rFonts w:hint="eastAsia" w:ascii="宋体" w:hAnsi="宋体" w:eastAsia="宋体" w:cs="宋体"/>
                <w:b/>
                <w:bCs/>
                <w:color w:val="auto"/>
                <w:highlight w:val="none"/>
              </w:rPr>
            </w:pPr>
            <w:r>
              <w:rPr>
                <w:rFonts w:hint="eastAsia" w:ascii="宋体" w:hAnsi="宋体" w:eastAsia="宋体" w:cs="宋体"/>
                <w:b/>
                <w:bCs/>
                <w:color w:val="auto"/>
                <w:highlight w:val="none"/>
              </w:rPr>
              <w:t>名称</w:t>
            </w:r>
          </w:p>
        </w:tc>
        <w:tc>
          <w:tcPr>
            <w:tcW w:w="917" w:type="dxa"/>
            <w:tcBorders>
              <w:top w:val="single" w:color="auto" w:sz="6" w:space="0"/>
              <w:left w:val="single" w:color="auto" w:sz="6" w:space="0"/>
              <w:bottom w:val="single" w:color="auto" w:sz="6" w:space="0"/>
              <w:right w:val="single" w:color="auto" w:sz="6" w:space="0"/>
            </w:tcBorders>
            <w:vAlign w:val="center"/>
          </w:tcPr>
          <w:p>
            <w:pPr>
              <w:pStyle w:val="29"/>
              <w:rPr>
                <w:rFonts w:hint="default" w:ascii="宋体" w:hAnsi="宋体" w:eastAsia="宋体" w:cs="宋体"/>
                <w:b/>
                <w:bCs/>
                <w:color w:val="auto"/>
                <w:highlight w:val="none"/>
                <w:lang w:val="en-US" w:eastAsia="zh-CN"/>
              </w:rPr>
            </w:pPr>
            <w:r>
              <w:rPr>
                <w:rFonts w:hint="eastAsia" w:cs="宋体"/>
                <w:b/>
                <w:bCs/>
                <w:color w:val="auto"/>
                <w:highlight w:val="none"/>
                <w:lang w:val="en-US" w:eastAsia="zh-CN"/>
              </w:rPr>
              <w:t>品牌</w:t>
            </w:r>
          </w:p>
        </w:tc>
        <w:tc>
          <w:tcPr>
            <w:tcW w:w="1300" w:type="dxa"/>
            <w:tcBorders>
              <w:top w:val="single" w:color="auto" w:sz="6" w:space="0"/>
              <w:left w:val="single" w:color="auto" w:sz="6" w:space="0"/>
              <w:bottom w:val="single" w:color="auto" w:sz="6" w:space="0"/>
              <w:right w:val="single" w:color="auto" w:sz="6" w:space="0"/>
            </w:tcBorders>
            <w:vAlign w:val="center"/>
          </w:tcPr>
          <w:p>
            <w:pPr>
              <w:pStyle w:val="29"/>
              <w:rPr>
                <w:rFonts w:hint="eastAsia" w:ascii="宋体" w:hAnsi="宋体" w:eastAsia="宋体" w:cs="宋体"/>
                <w:b/>
                <w:bCs/>
                <w:color w:val="auto"/>
                <w:highlight w:val="none"/>
              </w:rPr>
            </w:pPr>
            <w:r>
              <w:rPr>
                <w:rFonts w:hint="eastAsia" w:ascii="宋体" w:hAnsi="宋体" w:eastAsia="宋体" w:cs="宋体"/>
                <w:b/>
                <w:bCs/>
                <w:color w:val="auto"/>
                <w:highlight w:val="none"/>
              </w:rPr>
              <w:t>型号</w:t>
            </w:r>
            <w:r>
              <w:rPr>
                <w:rFonts w:hint="eastAsia" w:cs="宋体"/>
                <w:b/>
                <w:bCs/>
                <w:color w:val="auto"/>
                <w:highlight w:val="none"/>
                <w:lang w:val="en-US" w:eastAsia="zh-CN"/>
              </w:rPr>
              <w:t>或</w:t>
            </w:r>
            <w:r>
              <w:rPr>
                <w:rFonts w:hint="eastAsia" w:ascii="宋体" w:hAnsi="宋体" w:eastAsia="宋体" w:cs="宋体"/>
                <w:b/>
                <w:bCs/>
                <w:color w:val="auto"/>
                <w:highlight w:val="none"/>
              </w:rPr>
              <w:t>规格</w:t>
            </w:r>
          </w:p>
        </w:tc>
        <w:tc>
          <w:tcPr>
            <w:tcW w:w="1019" w:type="dxa"/>
            <w:tcBorders>
              <w:top w:val="single" w:color="auto" w:sz="6" w:space="0"/>
              <w:left w:val="single" w:color="auto" w:sz="6" w:space="0"/>
              <w:bottom w:val="single" w:color="auto" w:sz="6" w:space="0"/>
              <w:right w:val="single" w:color="auto" w:sz="6" w:space="0"/>
            </w:tcBorders>
            <w:vAlign w:val="center"/>
          </w:tcPr>
          <w:p>
            <w:pPr>
              <w:pStyle w:val="29"/>
              <w:rPr>
                <w:rFonts w:hint="eastAsia" w:ascii="宋体" w:hAnsi="宋体" w:eastAsia="宋体" w:cs="宋体"/>
                <w:b/>
                <w:bCs/>
                <w:color w:val="auto"/>
                <w:highlight w:val="none"/>
              </w:rPr>
            </w:pPr>
            <w:r>
              <w:rPr>
                <w:rFonts w:hint="eastAsia" w:ascii="宋体" w:hAnsi="宋体" w:eastAsia="宋体" w:cs="宋体"/>
                <w:b/>
                <w:bCs/>
                <w:color w:val="auto"/>
                <w:highlight w:val="none"/>
              </w:rPr>
              <w:t>数量</w:t>
            </w:r>
          </w:p>
        </w:tc>
        <w:tc>
          <w:tcPr>
            <w:tcW w:w="926" w:type="dxa"/>
            <w:tcBorders>
              <w:top w:val="single" w:color="auto" w:sz="6" w:space="0"/>
              <w:left w:val="single" w:color="auto" w:sz="6" w:space="0"/>
              <w:bottom w:val="single" w:color="auto" w:sz="6" w:space="0"/>
              <w:right w:val="single" w:color="auto" w:sz="6" w:space="0"/>
            </w:tcBorders>
            <w:vAlign w:val="center"/>
          </w:tcPr>
          <w:p>
            <w:pPr>
              <w:pStyle w:val="29"/>
              <w:rPr>
                <w:rFonts w:hint="eastAsia" w:ascii="宋体" w:hAnsi="宋体" w:eastAsia="宋体" w:cs="宋体"/>
                <w:b/>
                <w:bCs/>
                <w:color w:val="auto"/>
                <w:highlight w:val="none"/>
              </w:rPr>
            </w:pPr>
            <w:r>
              <w:rPr>
                <w:rFonts w:hint="eastAsia" w:ascii="宋体" w:hAnsi="宋体" w:eastAsia="宋体" w:cs="宋体"/>
                <w:b/>
                <w:bCs/>
                <w:color w:val="auto"/>
                <w:highlight w:val="none"/>
              </w:rPr>
              <w:t>单位</w:t>
            </w:r>
          </w:p>
        </w:tc>
        <w:tc>
          <w:tcPr>
            <w:tcW w:w="140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单价（元）</w:t>
            </w:r>
          </w:p>
        </w:tc>
        <w:tc>
          <w:tcPr>
            <w:tcW w:w="119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小计（元）</w:t>
            </w:r>
          </w:p>
        </w:tc>
        <w:tc>
          <w:tcPr>
            <w:tcW w:w="778"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中小企业</w:t>
            </w:r>
          </w:p>
        </w:tc>
        <w:tc>
          <w:tcPr>
            <w:tcW w:w="80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政策功能编码</w:t>
            </w:r>
          </w:p>
        </w:tc>
      </w:tr>
      <w:tr>
        <w:tblPrEx>
          <w:tblCellMar>
            <w:top w:w="0" w:type="dxa"/>
            <w:left w:w="28" w:type="dxa"/>
            <w:bottom w:w="0" w:type="dxa"/>
            <w:right w:w="28" w:type="dxa"/>
          </w:tblCellMar>
        </w:tblPrEx>
        <w:trPr>
          <w:trHeight w:val="364" w:hRule="atLeast"/>
          <w:jc w:val="center"/>
        </w:trPr>
        <w:tc>
          <w:tcPr>
            <w:tcW w:w="617" w:type="dxa"/>
            <w:tcBorders>
              <w:top w:val="single" w:color="auto" w:sz="6" w:space="0"/>
              <w:left w:val="single" w:color="auto" w:sz="4" w:space="0"/>
              <w:bottom w:val="single" w:color="auto" w:sz="4" w:space="0"/>
            </w:tcBorders>
            <w:vAlign w:val="center"/>
          </w:tcPr>
          <w:p>
            <w:pPr>
              <w:pStyle w:val="29"/>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216" w:type="dxa"/>
            <w:tcBorders>
              <w:top w:val="single" w:color="auto" w:sz="6" w:space="0"/>
              <w:left w:val="single" w:color="auto" w:sz="6" w:space="0"/>
              <w:bottom w:val="single" w:color="auto" w:sz="4" w:space="0"/>
              <w:right w:val="single" w:color="auto" w:sz="6" w:space="0"/>
            </w:tcBorders>
            <w:vAlign w:val="center"/>
          </w:tcPr>
          <w:p>
            <w:pPr>
              <w:pStyle w:val="29"/>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917" w:type="dxa"/>
            <w:tcBorders>
              <w:top w:val="single" w:color="auto" w:sz="6" w:space="0"/>
              <w:left w:val="single" w:color="auto" w:sz="6" w:space="0"/>
              <w:bottom w:val="single" w:color="auto" w:sz="4" w:space="0"/>
              <w:right w:val="single" w:color="auto" w:sz="6" w:space="0"/>
            </w:tcBorders>
            <w:vAlign w:val="center"/>
          </w:tcPr>
          <w:p>
            <w:pPr>
              <w:pStyle w:val="29"/>
              <w:rPr>
                <w:rFonts w:hint="eastAsia" w:ascii="宋体" w:hAnsi="宋体" w:eastAsia="宋体" w:cs="宋体"/>
                <w:color w:val="auto"/>
                <w:highlight w:val="none"/>
              </w:rPr>
            </w:pPr>
          </w:p>
        </w:tc>
        <w:tc>
          <w:tcPr>
            <w:tcW w:w="1300" w:type="dxa"/>
            <w:tcBorders>
              <w:top w:val="single" w:color="auto" w:sz="6" w:space="0"/>
              <w:left w:val="single" w:color="auto" w:sz="6" w:space="0"/>
              <w:bottom w:val="single" w:color="auto" w:sz="4" w:space="0"/>
              <w:right w:val="single" w:color="auto" w:sz="6" w:space="0"/>
            </w:tcBorders>
            <w:vAlign w:val="center"/>
          </w:tcPr>
          <w:p>
            <w:pPr>
              <w:pStyle w:val="29"/>
              <w:rPr>
                <w:rFonts w:hint="eastAsia" w:ascii="宋体" w:hAnsi="宋体" w:eastAsia="宋体" w:cs="宋体"/>
                <w:color w:val="auto"/>
                <w:highlight w:val="none"/>
              </w:rPr>
            </w:pPr>
          </w:p>
        </w:tc>
        <w:tc>
          <w:tcPr>
            <w:tcW w:w="1019" w:type="dxa"/>
            <w:tcBorders>
              <w:top w:val="single" w:color="auto" w:sz="6" w:space="0"/>
              <w:left w:val="single" w:color="auto" w:sz="6" w:space="0"/>
              <w:bottom w:val="single" w:color="auto" w:sz="4" w:space="0"/>
              <w:right w:val="single" w:color="auto" w:sz="6" w:space="0"/>
            </w:tcBorders>
            <w:vAlign w:val="center"/>
          </w:tcPr>
          <w:p>
            <w:pPr>
              <w:pStyle w:val="29"/>
              <w:rPr>
                <w:rFonts w:hint="eastAsia" w:ascii="宋体" w:hAnsi="宋体" w:eastAsia="宋体" w:cs="宋体"/>
                <w:color w:val="auto"/>
                <w:highlight w:val="none"/>
              </w:rPr>
            </w:pPr>
          </w:p>
        </w:tc>
        <w:tc>
          <w:tcPr>
            <w:tcW w:w="926" w:type="dxa"/>
            <w:tcBorders>
              <w:top w:val="single" w:color="auto" w:sz="6" w:space="0"/>
              <w:left w:val="single" w:color="auto" w:sz="6" w:space="0"/>
              <w:bottom w:val="single" w:color="auto" w:sz="4" w:space="0"/>
              <w:right w:val="single" w:color="auto" w:sz="6" w:space="0"/>
            </w:tcBorders>
            <w:vAlign w:val="center"/>
          </w:tcPr>
          <w:p>
            <w:pPr>
              <w:pStyle w:val="29"/>
              <w:rPr>
                <w:rFonts w:hint="eastAsia" w:ascii="宋体" w:hAnsi="宋体" w:eastAsia="宋体" w:cs="宋体"/>
                <w:color w:val="auto"/>
                <w:highlight w:val="none"/>
              </w:rPr>
            </w:pPr>
          </w:p>
        </w:tc>
        <w:tc>
          <w:tcPr>
            <w:tcW w:w="1404" w:type="dxa"/>
            <w:tcBorders>
              <w:top w:val="single" w:color="auto" w:sz="6" w:space="0"/>
              <w:left w:val="single" w:color="auto" w:sz="6" w:space="0"/>
              <w:bottom w:val="single" w:color="auto" w:sz="4" w:space="0"/>
              <w:right w:val="single" w:color="auto" w:sz="6" w:space="0"/>
            </w:tcBorders>
            <w:vAlign w:val="center"/>
          </w:tcPr>
          <w:p>
            <w:pPr>
              <w:pStyle w:val="29"/>
              <w:rPr>
                <w:rFonts w:hint="eastAsia" w:ascii="宋体" w:hAnsi="宋体" w:eastAsia="宋体" w:cs="宋体"/>
                <w:color w:val="auto"/>
                <w:highlight w:val="none"/>
              </w:rPr>
            </w:pPr>
          </w:p>
        </w:tc>
        <w:tc>
          <w:tcPr>
            <w:tcW w:w="1190" w:type="dxa"/>
            <w:tcBorders>
              <w:top w:val="single" w:color="auto" w:sz="6" w:space="0"/>
              <w:left w:val="single" w:color="auto" w:sz="6" w:space="0"/>
              <w:bottom w:val="single" w:color="auto" w:sz="4" w:space="0"/>
              <w:right w:val="single" w:color="auto" w:sz="6" w:space="0"/>
            </w:tcBorders>
            <w:vAlign w:val="center"/>
          </w:tcPr>
          <w:p>
            <w:pPr>
              <w:pStyle w:val="29"/>
              <w:rPr>
                <w:rFonts w:hint="eastAsia" w:ascii="宋体" w:hAnsi="宋体" w:eastAsia="宋体" w:cs="宋体"/>
                <w:color w:val="auto"/>
                <w:highlight w:val="none"/>
              </w:rPr>
            </w:pPr>
          </w:p>
        </w:tc>
        <w:tc>
          <w:tcPr>
            <w:tcW w:w="778" w:type="dxa"/>
            <w:tcBorders>
              <w:top w:val="single" w:color="auto" w:sz="6" w:space="0"/>
              <w:left w:val="single" w:color="auto" w:sz="6" w:space="0"/>
              <w:bottom w:val="single" w:color="auto" w:sz="4" w:space="0"/>
              <w:right w:val="single" w:color="auto" w:sz="6" w:space="0"/>
            </w:tcBorders>
            <w:vAlign w:val="center"/>
          </w:tcPr>
          <w:p>
            <w:pPr>
              <w:pStyle w:val="29"/>
              <w:rPr>
                <w:rFonts w:hint="eastAsia" w:ascii="宋体" w:hAnsi="宋体" w:eastAsia="宋体" w:cs="宋体"/>
                <w:color w:val="auto"/>
                <w:highlight w:val="none"/>
              </w:rPr>
            </w:pPr>
          </w:p>
        </w:tc>
        <w:tc>
          <w:tcPr>
            <w:tcW w:w="800" w:type="dxa"/>
            <w:tcBorders>
              <w:top w:val="single" w:color="auto" w:sz="6" w:space="0"/>
              <w:left w:val="single" w:color="auto" w:sz="6" w:space="0"/>
              <w:bottom w:val="single" w:color="auto" w:sz="4" w:space="0"/>
              <w:right w:val="single" w:color="auto" w:sz="6" w:space="0"/>
            </w:tcBorders>
            <w:vAlign w:val="center"/>
          </w:tcPr>
          <w:p>
            <w:pPr>
              <w:pStyle w:val="29"/>
              <w:rPr>
                <w:rFonts w:hint="eastAsia" w:ascii="宋体" w:hAnsi="宋体" w:eastAsia="宋体" w:cs="宋体"/>
                <w:color w:val="auto"/>
                <w:highlight w:val="none"/>
              </w:rPr>
            </w:pPr>
          </w:p>
        </w:tc>
      </w:tr>
      <w:tr>
        <w:tblPrEx>
          <w:tblCellMar>
            <w:top w:w="0" w:type="dxa"/>
            <w:left w:w="28" w:type="dxa"/>
            <w:bottom w:w="0" w:type="dxa"/>
            <w:right w:w="28" w:type="dxa"/>
          </w:tblCellMar>
        </w:tblPrEx>
        <w:trPr>
          <w:trHeight w:val="374" w:hRule="atLeast"/>
          <w:jc w:val="center"/>
        </w:trPr>
        <w:tc>
          <w:tcPr>
            <w:tcW w:w="617" w:type="dxa"/>
            <w:tcBorders>
              <w:top w:val="single" w:color="auto" w:sz="4" w:space="0"/>
              <w:left w:val="single" w:color="auto" w:sz="4" w:space="0"/>
              <w:bottom w:val="single" w:color="auto" w:sz="6" w:space="0"/>
            </w:tcBorders>
            <w:vAlign w:val="center"/>
          </w:tcPr>
          <w:p>
            <w:pPr>
              <w:pStyle w:val="29"/>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216" w:type="dxa"/>
            <w:tcBorders>
              <w:top w:val="single" w:color="auto" w:sz="4" w:space="0"/>
              <w:left w:val="single" w:color="auto" w:sz="6" w:space="0"/>
              <w:bottom w:val="single" w:color="auto" w:sz="6" w:space="0"/>
              <w:right w:val="single" w:color="auto" w:sz="6" w:space="0"/>
            </w:tcBorders>
            <w:vAlign w:val="center"/>
          </w:tcPr>
          <w:p>
            <w:pPr>
              <w:pStyle w:val="29"/>
              <w:rPr>
                <w:rFonts w:hint="eastAsia" w:ascii="宋体" w:hAnsi="宋体" w:eastAsia="宋体" w:cs="宋体"/>
                <w:color w:val="auto"/>
                <w:highlight w:val="none"/>
              </w:rPr>
            </w:pPr>
          </w:p>
        </w:tc>
        <w:tc>
          <w:tcPr>
            <w:tcW w:w="917" w:type="dxa"/>
            <w:tcBorders>
              <w:top w:val="single" w:color="auto" w:sz="4" w:space="0"/>
              <w:left w:val="single" w:color="auto" w:sz="6" w:space="0"/>
              <w:bottom w:val="single" w:color="auto" w:sz="6" w:space="0"/>
              <w:right w:val="single" w:color="auto" w:sz="6" w:space="0"/>
            </w:tcBorders>
            <w:vAlign w:val="center"/>
          </w:tcPr>
          <w:p>
            <w:pPr>
              <w:pStyle w:val="29"/>
              <w:rPr>
                <w:rFonts w:hint="eastAsia" w:ascii="宋体" w:hAnsi="宋体" w:eastAsia="宋体" w:cs="宋体"/>
                <w:color w:val="auto"/>
                <w:highlight w:val="none"/>
              </w:rPr>
            </w:pPr>
          </w:p>
        </w:tc>
        <w:tc>
          <w:tcPr>
            <w:tcW w:w="1300" w:type="dxa"/>
            <w:tcBorders>
              <w:top w:val="single" w:color="auto" w:sz="4" w:space="0"/>
              <w:left w:val="single" w:color="auto" w:sz="6" w:space="0"/>
              <w:bottom w:val="single" w:color="auto" w:sz="6" w:space="0"/>
              <w:right w:val="single" w:color="auto" w:sz="6" w:space="0"/>
            </w:tcBorders>
            <w:vAlign w:val="center"/>
          </w:tcPr>
          <w:p>
            <w:pPr>
              <w:pStyle w:val="29"/>
              <w:rPr>
                <w:rFonts w:hint="eastAsia" w:ascii="宋体" w:hAnsi="宋体" w:eastAsia="宋体" w:cs="宋体"/>
                <w:color w:val="auto"/>
                <w:highlight w:val="none"/>
              </w:rPr>
            </w:pPr>
          </w:p>
        </w:tc>
        <w:tc>
          <w:tcPr>
            <w:tcW w:w="1019" w:type="dxa"/>
            <w:tcBorders>
              <w:top w:val="single" w:color="auto" w:sz="4" w:space="0"/>
              <w:left w:val="single" w:color="auto" w:sz="6" w:space="0"/>
              <w:bottom w:val="single" w:color="auto" w:sz="6" w:space="0"/>
              <w:right w:val="single" w:color="auto" w:sz="6" w:space="0"/>
            </w:tcBorders>
            <w:vAlign w:val="center"/>
          </w:tcPr>
          <w:p>
            <w:pPr>
              <w:pStyle w:val="29"/>
              <w:rPr>
                <w:rFonts w:hint="eastAsia" w:ascii="宋体" w:hAnsi="宋体" w:eastAsia="宋体" w:cs="宋体"/>
                <w:color w:val="auto"/>
                <w:highlight w:val="none"/>
              </w:rPr>
            </w:pPr>
          </w:p>
        </w:tc>
        <w:tc>
          <w:tcPr>
            <w:tcW w:w="926" w:type="dxa"/>
            <w:tcBorders>
              <w:top w:val="single" w:color="auto" w:sz="4" w:space="0"/>
              <w:left w:val="single" w:color="auto" w:sz="6" w:space="0"/>
              <w:bottom w:val="single" w:color="auto" w:sz="6" w:space="0"/>
              <w:right w:val="single" w:color="auto" w:sz="6" w:space="0"/>
            </w:tcBorders>
            <w:vAlign w:val="center"/>
          </w:tcPr>
          <w:p>
            <w:pPr>
              <w:pStyle w:val="29"/>
              <w:rPr>
                <w:rFonts w:hint="eastAsia" w:ascii="宋体" w:hAnsi="宋体" w:eastAsia="宋体" w:cs="宋体"/>
                <w:color w:val="auto"/>
                <w:highlight w:val="none"/>
              </w:rPr>
            </w:pPr>
          </w:p>
        </w:tc>
        <w:tc>
          <w:tcPr>
            <w:tcW w:w="1404" w:type="dxa"/>
            <w:tcBorders>
              <w:top w:val="single" w:color="auto" w:sz="4" w:space="0"/>
              <w:left w:val="single" w:color="auto" w:sz="6" w:space="0"/>
              <w:bottom w:val="single" w:color="auto" w:sz="6" w:space="0"/>
              <w:right w:val="single" w:color="auto" w:sz="6" w:space="0"/>
            </w:tcBorders>
            <w:vAlign w:val="center"/>
          </w:tcPr>
          <w:p>
            <w:pPr>
              <w:pStyle w:val="29"/>
              <w:rPr>
                <w:rFonts w:hint="eastAsia" w:ascii="宋体" w:hAnsi="宋体" w:eastAsia="宋体" w:cs="宋体"/>
                <w:color w:val="auto"/>
                <w:highlight w:val="none"/>
              </w:rPr>
            </w:pPr>
          </w:p>
        </w:tc>
        <w:tc>
          <w:tcPr>
            <w:tcW w:w="1190" w:type="dxa"/>
            <w:tcBorders>
              <w:top w:val="single" w:color="auto" w:sz="4" w:space="0"/>
              <w:left w:val="single" w:color="auto" w:sz="6" w:space="0"/>
              <w:bottom w:val="single" w:color="auto" w:sz="6" w:space="0"/>
              <w:right w:val="single" w:color="auto" w:sz="6" w:space="0"/>
            </w:tcBorders>
            <w:vAlign w:val="center"/>
          </w:tcPr>
          <w:p>
            <w:pPr>
              <w:pStyle w:val="29"/>
              <w:rPr>
                <w:rFonts w:hint="eastAsia" w:ascii="宋体" w:hAnsi="宋体" w:eastAsia="宋体" w:cs="宋体"/>
                <w:color w:val="auto"/>
                <w:highlight w:val="none"/>
              </w:rPr>
            </w:pPr>
          </w:p>
        </w:tc>
        <w:tc>
          <w:tcPr>
            <w:tcW w:w="778" w:type="dxa"/>
            <w:tcBorders>
              <w:top w:val="single" w:color="auto" w:sz="4" w:space="0"/>
              <w:left w:val="single" w:color="auto" w:sz="6" w:space="0"/>
              <w:bottom w:val="single" w:color="auto" w:sz="6" w:space="0"/>
              <w:right w:val="single" w:color="auto" w:sz="6" w:space="0"/>
            </w:tcBorders>
            <w:vAlign w:val="center"/>
          </w:tcPr>
          <w:p>
            <w:pPr>
              <w:pStyle w:val="29"/>
              <w:rPr>
                <w:rFonts w:hint="eastAsia" w:ascii="宋体" w:hAnsi="宋体" w:eastAsia="宋体" w:cs="宋体"/>
                <w:color w:val="auto"/>
                <w:highlight w:val="none"/>
              </w:rPr>
            </w:pPr>
          </w:p>
        </w:tc>
        <w:tc>
          <w:tcPr>
            <w:tcW w:w="800" w:type="dxa"/>
            <w:tcBorders>
              <w:top w:val="single" w:color="auto" w:sz="4" w:space="0"/>
              <w:left w:val="single" w:color="auto" w:sz="6" w:space="0"/>
              <w:bottom w:val="single" w:color="auto" w:sz="6" w:space="0"/>
              <w:right w:val="single" w:color="auto" w:sz="6" w:space="0"/>
            </w:tcBorders>
            <w:vAlign w:val="center"/>
          </w:tcPr>
          <w:p>
            <w:pPr>
              <w:pStyle w:val="29"/>
              <w:rPr>
                <w:rFonts w:hint="eastAsia" w:ascii="宋体" w:hAnsi="宋体" w:eastAsia="宋体" w:cs="宋体"/>
                <w:color w:val="auto"/>
                <w:highlight w:val="none"/>
              </w:rPr>
            </w:pPr>
          </w:p>
        </w:tc>
      </w:tr>
      <w:tr>
        <w:tblPrEx>
          <w:tblCellMar>
            <w:top w:w="0" w:type="dxa"/>
            <w:left w:w="28" w:type="dxa"/>
            <w:bottom w:w="0" w:type="dxa"/>
            <w:right w:w="28" w:type="dxa"/>
          </w:tblCellMar>
        </w:tblPrEx>
        <w:trPr>
          <w:trHeight w:val="378" w:hRule="atLeast"/>
          <w:jc w:val="center"/>
        </w:trPr>
        <w:tc>
          <w:tcPr>
            <w:tcW w:w="617" w:type="dxa"/>
            <w:tcBorders>
              <w:top w:val="single" w:color="auto" w:sz="4" w:space="0"/>
              <w:left w:val="single" w:color="auto" w:sz="4" w:space="0"/>
              <w:bottom w:val="single" w:color="auto" w:sz="6" w:space="0"/>
            </w:tcBorders>
            <w:vAlign w:val="center"/>
          </w:tcPr>
          <w:p>
            <w:pPr>
              <w:pStyle w:val="29"/>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1216" w:type="dxa"/>
            <w:tcBorders>
              <w:top w:val="single" w:color="auto" w:sz="4" w:space="0"/>
              <w:left w:val="single" w:color="auto" w:sz="6" w:space="0"/>
              <w:bottom w:val="single" w:color="auto" w:sz="6" w:space="0"/>
              <w:right w:val="single" w:color="auto" w:sz="6" w:space="0"/>
            </w:tcBorders>
            <w:vAlign w:val="center"/>
          </w:tcPr>
          <w:p>
            <w:pPr>
              <w:pStyle w:val="29"/>
              <w:rPr>
                <w:rFonts w:hint="eastAsia" w:ascii="宋体" w:hAnsi="宋体" w:eastAsia="宋体" w:cs="宋体"/>
                <w:color w:val="auto"/>
                <w:highlight w:val="none"/>
              </w:rPr>
            </w:pPr>
          </w:p>
        </w:tc>
        <w:tc>
          <w:tcPr>
            <w:tcW w:w="917" w:type="dxa"/>
            <w:tcBorders>
              <w:top w:val="single" w:color="auto" w:sz="4" w:space="0"/>
              <w:left w:val="single" w:color="auto" w:sz="6" w:space="0"/>
              <w:bottom w:val="single" w:color="auto" w:sz="6" w:space="0"/>
              <w:right w:val="single" w:color="auto" w:sz="6" w:space="0"/>
            </w:tcBorders>
            <w:vAlign w:val="center"/>
          </w:tcPr>
          <w:p>
            <w:pPr>
              <w:pStyle w:val="29"/>
              <w:rPr>
                <w:rFonts w:hint="eastAsia" w:ascii="宋体" w:hAnsi="宋体" w:eastAsia="宋体" w:cs="宋体"/>
                <w:color w:val="auto"/>
                <w:highlight w:val="none"/>
              </w:rPr>
            </w:pPr>
          </w:p>
        </w:tc>
        <w:tc>
          <w:tcPr>
            <w:tcW w:w="1300" w:type="dxa"/>
            <w:tcBorders>
              <w:top w:val="single" w:color="auto" w:sz="4" w:space="0"/>
              <w:left w:val="single" w:color="auto" w:sz="6" w:space="0"/>
              <w:bottom w:val="single" w:color="auto" w:sz="6" w:space="0"/>
              <w:right w:val="single" w:color="auto" w:sz="6" w:space="0"/>
            </w:tcBorders>
            <w:vAlign w:val="center"/>
          </w:tcPr>
          <w:p>
            <w:pPr>
              <w:pStyle w:val="29"/>
              <w:rPr>
                <w:rFonts w:hint="eastAsia" w:ascii="宋体" w:hAnsi="宋体" w:eastAsia="宋体" w:cs="宋体"/>
                <w:color w:val="auto"/>
                <w:highlight w:val="none"/>
              </w:rPr>
            </w:pPr>
          </w:p>
        </w:tc>
        <w:tc>
          <w:tcPr>
            <w:tcW w:w="1019" w:type="dxa"/>
            <w:tcBorders>
              <w:top w:val="single" w:color="auto" w:sz="4" w:space="0"/>
              <w:left w:val="single" w:color="auto" w:sz="6" w:space="0"/>
              <w:bottom w:val="single" w:color="auto" w:sz="6" w:space="0"/>
              <w:right w:val="single" w:color="auto" w:sz="6" w:space="0"/>
            </w:tcBorders>
            <w:vAlign w:val="center"/>
          </w:tcPr>
          <w:p>
            <w:pPr>
              <w:pStyle w:val="29"/>
              <w:rPr>
                <w:rFonts w:hint="eastAsia" w:ascii="宋体" w:hAnsi="宋体" w:eastAsia="宋体" w:cs="宋体"/>
                <w:color w:val="auto"/>
                <w:highlight w:val="none"/>
              </w:rPr>
            </w:pPr>
          </w:p>
        </w:tc>
        <w:tc>
          <w:tcPr>
            <w:tcW w:w="926" w:type="dxa"/>
            <w:tcBorders>
              <w:top w:val="single" w:color="auto" w:sz="4" w:space="0"/>
              <w:left w:val="single" w:color="auto" w:sz="6" w:space="0"/>
              <w:bottom w:val="single" w:color="auto" w:sz="6" w:space="0"/>
              <w:right w:val="single" w:color="auto" w:sz="6" w:space="0"/>
            </w:tcBorders>
            <w:vAlign w:val="center"/>
          </w:tcPr>
          <w:p>
            <w:pPr>
              <w:pStyle w:val="29"/>
              <w:rPr>
                <w:rFonts w:hint="eastAsia" w:ascii="宋体" w:hAnsi="宋体" w:eastAsia="宋体" w:cs="宋体"/>
                <w:color w:val="auto"/>
                <w:highlight w:val="none"/>
              </w:rPr>
            </w:pPr>
          </w:p>
        </w:tc>
        <w:tc>
          <w:tcPr>
            <w:tcW w:w="1404" w:type="dxa"/>
            <w:tcBorders>
              <w:top w:val="single" w:color="auto" w:sz="4" w:space="0"/>
              <w:left w:val="single" w:color="auto" w:sz="6" w:space="0"/>
              <w:bottom w:val="single" w:color="auto" w:sz="6" w:space="0"/>
              <w:right w:val="single" w:color="auto" w:sz="6" w:space="0"/>
            </w:tcBorders>
            <w:vAlign w:val="center"/>
          </w:tcPr>
          <w:p>
            <w:pPr>
              <w:pStyle w:val="29"/>
              <w:rPr>
                <w:rFonts w:hint="eastAsia" w:ascii="宋体" w:hAnsi="宋体" w:eastAsia="宋体" w:cs="宋体"/>
                <w:color w:val="auto"/>
                <w:highlight w:val="none"/>
              </w:rPr>
            </w:pPr>
          </w:p>
        </w:tc>
        <w:tc>
          <w:tcPr>
            <w:tcW w:w="1190" w:type="dxa"/>
            <w:tcBorders>
              <w:top w:val="single" w:color="auto" w:sz="4" w:space="0"/>
              <w:left w:val="single" w:color="auto" w:sz="6" w:space="0"/>
              <w:bottom w:val="single" w:color="auto" w:sz="6" w:space="0"/>
              <w:right w:val="single" w:color="auto" w:sz="6" w:space="0"/>
            </w:tcBorders>
            <w:vAlign w:val="center"/>
          </w:tcPr>
          <w:p>
            <w:pPr>
              <w:pStyle w:val="29"/>
              <w:rPr>
                <w:rFonts w:hint="eastAsia" w:ascii="宋体" w:hAnsi="宋体" w:eastAsia="宋体" w:cs="宋体"/>
                <w:color w:val="auto"/>
                <w:highlight w:val="none"/>
              </w:rPr>
            </w:pPr>
          </w:p>
        </w:tc>
        <w:tc>
          <w:tcPr>
            <w:tcW w:w="778" w:type="dxa"/>
            <w:tcBorders>
              <w:top w:val="single" w:color="auto" w:sz="4" w:space="0"/>
              <w:left w:val="single" w:color="auto" w:sz="6" w:space="0"/>
              <w:bottom w:val="single" w:color="auto" w:sz="6" w:space="0"/>
              <w:right w:val="single" w:color="auto" w:sz="6" w:space="0"/>
            </w:tcBorders>
            <w:vAlign w:val="center"/>
          </w:tcPr>
          <w:p>
            <w:pPr>
              <w:pStyle w:val="29"/>
              <w:rPr>
                <w:rFonts w:hint="eastAsia" w:ascii="宋体" w:hAnsi="宋体" w:eastAsia="宋体" w:cs="宋体"/>
                <w:color w:val="auto"/>
                <w:highlight w:val="none"/>
              </w:rPr>
            </w:pPr>
          </w:p>
        </w:tc>
        <w:tc>
          <w:tcPr>
            <w:tcW w:w="800" w:type="dxa"/>
            <w:tcBorders>
              <w:top w:val="single" w:color="auto" w:sz="4" w:space="0"/>
              <w:left w:val="single" w:color="auto" w:sz="6" w:space="0"/>
              <w:bottom w:val="single" w:color="auto" w:sz="6" w:space="0"/>
              <w:right w:val="single" w:color="auto" w:sz="6" w:space="0"/>
            </w:tcBorders>
            <w:vAlign w:val="center"/>
          </w:tcPr>
          <w:p>
            <w:pPr>
              <w:pStyle w:val="29"/>
              <w:rPr>
                <w:rFonts w:hint="eastAsia" w:ascii="宋体" w:hAnsi="宋体" w:eastAsia="宋体" w:cs="宋体"/>
                <w:color w:val="auto"/>
                <w:highlight w:val="none"/>
              </w:rPr>
            </w:pPr>
          </w:p>
        </w:tc>
      </w:tr>
      <w:tr>
        <w:tblPrEx>
          <w:tblCellMar>
            <w:top w:w="0" w:type="dxa"/>
            <w:left w:w="28" w:type="dxa"/>
            <w:bottom w:w="0" w:type="dxa"/>
            <w:right w:w="28" w:type="dxa"/>
          </w:tblCellMar>
        </w:tblPrEx>
        <w:trPr>
          <w:trHeight w:val="378" w:hRule="atLeast"/>
          <w:jc w:val="center"/>
        </w:trPr>
        <w:tc>
          <w:tcPr>
            <w:tcW w:w="617" w:type="dxa"/>
            <w:tcBorders>
              <w:top w:val="single" w:color="auto" w:sz="4" w:space="0"/>
              <w:left w:val="single" w:color="auto" w:sz="4" w:space="0"/>
              <w:bottom w:val="single" w:color="auto" w:sz="6" w:space="0"/>
            </w:tcBorders>
            <w:vAlign w:val="center"/>
          </w:tcPr>
          <w:p>
            <w:pPr>
              <w:pStyle w:val="29"/>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1216" w:type="dxa"/>
            <w:tcBorders>
              <w:top w:val="single" w:color="auto" w:sz="4" w:space="0"/>
              <w:left w:val="single" w:color="auto" w:sz="6" w:space="0"/>
              <w:bottom w:val="single" w:color="auto" w:sz="6" w:space="0"/>
              <w:right w:val="single" w:color="auto" w:sz="6" w:space="0"/>
            </w:tcBorders>
            <w:vAlign w:val="center"/>
          </w:tcPr>
          <w:p>
            <w:pPr>
              <w:pStyle w:val="29"/>
              <w:rPr>
                <w:rFonts w:hint="eastAsia" w:ascii="宋体" w:hAnsi="宋体" w:eastAsia="宋体" w:cs="宋体"/>
                <w:color w:val="auto"/>
                <w:highlight w:val="none"/>
              </w:rPr>
            </w:pPr>
          </w:p>
        </w:tc>
        <w:tc>
          <w:tcPr>
            <w:tcW w:w="917" w:type="dxa"/>
            <w:tcBorders>
              <w:top w:val="single" w:color="auto" w:sz="4" w:space="0"/>
              <w:left w:val="single" w:color="auto" w:sz="6" w:space="0"/>
              <w:bottom w:val="single" w:color="auto" w:sz="6" w:space="0"/>
              <w:right w:val="single" w:color="auto" w:sz="6" w:space="0"/>
            </w:tcBorders>
            <w:vAlign w:val="center"/>
          </w:tcPr>
          <w:p>
            <w:pPr>
              <w:pStyle w:val="29"/>
              <w:rPr>
                <w:rFonts w:hint="eastAsia" w:ascii="宋体" w:hAnsi="宋体" w:eastAsia="宋体" w:cs="宋体"/>
                <w:color w:val="auto"/>
                <w:highlight w:val="none"/>
              </w:rPr>
            </w:pPr>
          </w:p>
        </w:tc>
        <w:tc>
          <w:tcPr>
            <w:tcW w:w="1300" w:type="dxa"/>
            <w:tcBorders>
              <w:top w:val="single" w:color="auto" w:sz="4" w:space="0"/>
              <w:left w:val="single" w:color="auto" w:sz="6" w:space="0"/>
              <w:bottom w:val="single" w:color="auto" w:sz="6" w:space="0"/>
              <w:right w:val="single" w:color="auto" w:sz="6" w:space="0"/>
            </w:tcBorders>
            <w:vAlign w:val="center"/>
          </w:tcPr>
          <w:p>
            <w:pPr>
              <w:pStyle w:val="29"/>
              <w:rPr>
                <w:rFonts w:hint="eastAsia" w:ascii="宋体" w:hAnsi="宋体" w:eastAsia="宋体" w:cs="宋体"/>
                <w:color w:val="auto"/>
                <w:highlight w:val="none"/>
              </w:rPr>
            </w:pPr>
          </w:p>
        </w:tc>
        <w:tc>
          <w:tcPr>
            <w:tcW w:w="1019" w:type="dxa"/>
            <w:tcBorders>
              <w:top w:val="single" w:color="auto" w:sz="4" w:space="0"/>
              <w:left w:val="single" w:color="auto" w:sz="6" w:space="0"/>
              <w:bottom w:val="single" w:color="auto" w:sz="6" w:space="0"/>
              <w:right w:val="single" w:color="auto" w:sz="6" w:space="0"/>
            </w:tcBorders>
            <w:vAlign w:val="center"/>
          </w:tcPr>
          <w:p>
            <w:pPr>
              <w:pStyle w:val="29"/>
              <w:rPr>
                <w:rFonts w:hint="eastAsia" w:ascii="宋体" w:hAnsi="宋体" w:eastAsia="宋体" w:cs="宋体"/>
                <w:color w:val="auto"/>
                <w:highlight w:val="none"/>
              </w:rPr>
            </w:pPr>
          </w:p>
        </w:tc>
        <w:tc>
          <w:tcPr>
            <w:tcW w:w="926" w:type="dxa"/>
            <w:tcBorders>
              <w:top w:val="single" w:color="auto" w:sz="4" w:space="0"/>
              <w:left w:val="single" w:color="auto" w:sz="6" w:space="0"/>
              <w:bottom w:val="single" w:color="auto" w:sz="6" w:space="0"/>
              <w:right w:val="single" w:color="auto" w:sz="6" w:space="0"/>
            </w:tcBorders>
            <w:vAlign w:val="center"/>
          </w:tcPr>
          <w:p>
            <w:pPr>
              <w:pStyle w:val="29"/>
              <w:rPr>
                <w:rFonts w:hint="eastAsia" w:ascii="宋体" w:hAnsi="宋体" w:eastAsia="宋体" w:cs="宋体"/>
                <w:color w:val="auto"/>
                <w:highlight w:val="none"/>
              </w:rPr>
            </w:pPr>
          </w:p>
        </w:tc>
        <w:tc>
          <w:tcPr>
            <w:tcW w:w="1404" w:type="dxa"/>
            <w:tcBorders>
              <w:top w:val="single" w:color="auto" w:sz="4" w:space="0"/>
              <w:left w:val="single" w:color="auto" w:sz="6" w:space="0"/>
              <w:bottom w:val="single" w:color="auto" w:sz="6" w:space="0"/>
              <w:right w:val="single" w:color="auto" w:sz="6" w:space="0"/>
            </w:tcBorders>
            <w:vAlign w:val="center"/>
          </w:tcPr>
          <w:p>
            <w:pPr>
              <w:pStyle w:val="29"/>
              <w:rPr>
                <w:rFonts w:hint="eastAsia" w:ascii="宋体" w:hAnsi="宋体" w:eastAsia="宋体" w:cs="宋体"/>
                <w:color w:val="auto"/>
                <w:highlight w:val="none"/>
              </w:rPr>
            </w:pPr>
          </w:p>
        </w:tc>
        <w:tc>
          <w:tcPr>
            <w:tcW w:w="1190" w:type="dxa"/>
            <w:tcBorders>
              <w:top w:val="single" w:color="auto" w:sz="4" w:space="0"/>
              <w:left w:val="single" w:color="auto" w:sz="6" w:space="0"/>
              <w:bottom w:val="single" w:color="auto" w:sz="6" w:space="0"/>
              <w:right w:val="single" w:color="auto" w:sz="6" w:space="0"/>
            </w:tcBorders>
            <w:vAlign w:val="center"/>
          </w:tcPr>
          <w:p>
            <w:pPr>
              <w:pStyle w:val="29"/>
              <w:rPr>
                <w:rFonts w:hint="eastAsia" w:ascii="宋体" w:hAnsi="宋体" w:eastAsia="宋体" w:cs="宋体"/>
                <w:color w:val="auto"/>
                <w:highlight w:val="none"/>
              </w:rPr>
            </w:pPr>
          </w:p>
        </w:tc>
        <w:tc>
          <w:tcPr>
            <w:tcW w:w="778" w:type="dxa"/>
            <w:tcBorders>
              <w:top w:val="single" w:color="auto" w:sz="4" w:space="0"/>
              <w:left w:val="single" w:color="auto" w:sz="6" w:space="0"/>
              <w:bottom w:val="single" w:color="auto" w:sz="6" w:space="0"/>
              <w:right w:val="single" w:color="auto" w:sz="6" w:space="0"/>
            </w:tcBorders>
            <w:vAlign w:val="center"/>
          </w:tcPr>
          <w:p>
            <w:pPr>
              <w:pStyle w:val="29"/>
              <w:rPr>
                <w:rFonts w:hint="eastAsia" w:ascii="宋体" w:hAnsi="宋体" w:eastAsia="宋体" w:cs="宋体"/>
                <w:color w:val="auto"/>
                <w:highlight w:val="none"/>
              </w:rPr>
            </w:pPr>
          </w:p>
        </w:tc>
        <w:tc>
          <w:tcPr>
            <w:tcW w:w="800" w:type="dxa"/>
            <w:tcBorders>
              <w:top w:val="single" w:color="auto" w:sz="4" w:space="0"/>
              <w:left w:val="single" w:color="auto" w:sz="6" w:space="0"/>
              <w:bottom w:val="single" w:color="auto" w:sz="6" w:space="0"/>
              <w:right w:val="single" w:color="auto" w:sz="6" w:space="0"/>
            </w:tcBorders>
            <w:vAlign w:val="center"/>
          </w:tcPr>
          <w:p>
            <w:pPr>
              <w:pStyle w:val="29"/>
              <w:rPr>
                <w:rFonts w:hint="eastAsia" w:ascii="宋体" w:hAnsi="宋体" w:eastAsia="宋体" w:cs="宋体"/>
                <w:color w:val="auto"/>
                <w:highlight w:val="none"/>
              </w:rPr>
            </w:pPr>
          </w:p>
        </w:tc>
      </w:tr>
      <w:tr>
        <w:tblPrEx>
          <w:tblCellMar>
            <w:top w:w="0" w:type="dxa"/>
            <w:left w:w="28" w:type="dxa"/>
            <w:bottom w:w="0" w:type="dxa"/>
            <w:right w:w="28" w:type="dxa"/>
          </w:tblCellMar>
        </w:tblPrEx>
        <w:trPr>
          <w:trHeight w:val="383" w:hRule="atLeast"/>
          <w:jc w:val="center"/>
        </w:trPr>
        <w:tc>
          <w:tcPr>
            <w:tcW w:w="617" w:type="dxa"/>
            <w:tcBorders>
              <w:top w:val="single" w:color="auto" w:sz="4" w:space="0"/>
              <w:left w:val="single" w:color="auto" w:sz="4" w:space="0"/>
              <w:bottom w:val="single" w:color="auto" w:sz="6" w:space="0"/>
            </w:tcBorders>
            <w:vAlign w:val="center"/>
          </w:tcPr>
          <w:p>
            <w:pPr>
              <w:pStyle w:val="29"/>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216" w:type="dxa"/>
            <w:tcBorders>
              <w:top w:val="single" w:color="auto" w:sz="4" w:space="0"/>
              <w:left w:val="single" w:color="auto" w:sz="6" w:space="0"/>
              <w:bottom w:val="single" w:color="auto" w:sz="6" w:space="0"/>
              <w:right w:val="single" w:color="auto" w:sz="6" w:space="0"/>
            </w:tcBorders>
            <w:vAlign w:val="center"/>
          </w:tcPr>
          <w:p>
            <w:pPr>
              <w:pStyle w:val="29"/>
              <w:rPr>
                <w:rFonts w:hint="eastAsia" w:ascii="宋体" w:hAnsi="宋体" w:eastAsia="宋体" w:cs="宋体"/>
                <w:color w:val="auto"/>
                <w:highlight w:val="none"/>
              </w:rPr>
            </w:pPr>
          </w:p>
        </w:tc>
        <w:tc>
          <w:tcPr>
            <w:tcW w:w="917" w:type="dxa"/>
            <w:tcBorders>
              <w:top w:val="single" w:color="auto" w:sz="4" w:space="0"/>
              <w:left w:val="single" w:color="auto" w:sz="6" w:space="0"/>
              <w:bottom w:val="single" w:color="auto" w:sz="6" w:space="0"/>
              <w:right w:val="single" w:color="auto" w:sz="6" w:space="0"/>
            </w:tcBorders>
            <w:vAlign w:val="center"/>
          </w:tcPr>
          <w:p>
            <w:pPr>
              <w:pStyle w:val="29"/>
              <w:rPr>
                <w:rFonts w:hint="eastAsia" w:ascii="宋体" w:hAnsi="宋体" w:eastAsia="宋体" w:cs="宋体"/>
                <w:color w:val="auto"/>
                <w:highlight w:val="none"/>
              </w:rPr>
            </w:pPr>
          </w:p>
        </w:tc>
        <w:tc>
          <w:tcPr>
            <w:tcW w:w="1300" w:type="dxa"/>
            <w:tcBorders>
              <w:top w:val="single" w:color="auto" w:sz="4" w:space="0"/>
              <w:left w:val="single" w:color="auto" w:sz="6" w:space="0"/>
              <w:bottom w:val="single" w:color="auto" w:sz="6" w:space="0"/>
              <w:right w:val="single" w:color="auto" w:sz="6" w:space="0"/>
            </w:tcBorders>
            <w:vAlign w:val="center"/>
          </w:tcPr>
          <w:p>
            <w:pPr>
              <w:pStyle w:val="29"/>
              <w:rPr>
                <w:rFonts w:hint="eastAsia" w:ascii="宋体" w:hAnsi="宋体" w:eastAsia="宋体" w:cs="宋体"/>
                <w:color w:val="auto"/>
                <w:highlight w:val="none"/>
              </w:rPr>
            </w:pPr>
          </w:p>
        </w:tc>
        <w:tc>
          <w:tcPr>
            <w:tcW w:w="1019" w:type="dxa"/>
            <w:tcBorders>
              <w:top w:val="single" w:color="auto" w:sz="4" w:space="0"/>
              <w:left w:val="single" w:color="auto" w:sz="6" w:space="0"/>
              <w:bottom w:val="single" w:color="auto" w:sz="6" w:space="0"/>
              <w:right w:val="single" w:color="auto" w:sz="6" w:space="0"/>
            </w:tcBorders>
            <w:vAlign w:val="center"/>
          </w:tcPr>
          <w:p>
            <w:pPr>
              <w:pStyle w:val="29"/>
              <w:rPr>
                <w:rFonts w:hint="eastAsia" w:ascii="宋体" w:hAnsi="宋体" w:eastAsia="宋体" w:cs="宋体"/>
                <w:color w:val="auto"/>
                <w:highlight w:val="none"/>
              </w:rPr>
            </w:pPr>
          </w:p>
        </w:tc>
        <w:tc>
          <w:tcPr>
            <w:tcW w:w="926" w:type="dxa"/>
            <w:tcBorders>
              <w:top w:val="single" w:color="auto" w:sz="4" w:space="0"/>
              <w:left w:val="single" w:color="auto" w:sz="6" w:space="0"/>
              <w:bottom w:val="single" w:color="auto" w:sz="6" w:space="0"/>
              <w:right w:val="single" w:color="auto" w:sz="6" w:space="0"/>
            </w:tcBorders>
            <w:vAlign w:val="center"/>
          </w:tcPr>
          <w:p>
            <w:pPr>
              <w:pStyle w:val="29"/>
              <w:rPr>
                <w:rFonts w:hint="eastAsia" w:ascii="宋体" w:hAnsi="宋体" w:eastAsia="宋体" w:cs="宋体"/>
                <w:color w:val="auto"/>
                <w:highlight w:val="none"/>
              </w:rPr>
            </w:pPr>
          </w:p>
        </w:tc>
        <w:tc>
          <w:tcPr>
            <w:tcW w:w="1404" w:type="dxa"/>
            <w:tcBorders>
              <w:top w:val="single" w:color="auto" w:sz="4" w:space="0"/>
              <w:left w:val="single" w:color="auto" w:sz="6" w:space="0"/>
              <w:bottom w:val="single" w:color="auto" w:sz="6" w:space="0"/>
              <w:right w:val="single" w:color="auto" w:sz="6" w:space="0"/>
            </w:tcBorders>
            <w:vAlign w:val="center"/>
          </w:tcPr>
          <w:p>
            <w:pPr>
              <w:pStyle w:val="29"/>
              <w:rPr>
                <w:rFonts w:hint="eastAsia" w:ascii="宋体" w:hAnsi="宋体" w:eastAsia="宋体" w:cs="宋体"/>
                <w:color w:val="auto"/>
                <w:highlight w:val="none"/>
              </w:rPr>
            </w:pPr>
          </w:p>
        </w:tc>
        <w:tc>
          <w:tcPr>
            <w:tcW w:w="1190" w:type="dxa"/>
            <w:tcBorders>
              <w:top w:val="single" w:color="auto" w:sz="4" w:space="0"/>
              <w:left w:val="single" w:color="auto" w:sz="6" w:space="0"/>
              <w:bottom w:val="single" w:color="auto" w:sz="6" w:space="0"/>
              <w:right w:val="single" w:color="auto" w:sz="6" w:space="0"/>
            </w:tcBorders>
            <w:vAlign w:val="center"/>
          </w:tcPr>
          <w:p>
            <w:pPr>
              <w:pStyle w:val="29"/>
              <w:rPr>
                <w:rFonts w:hint="eastAsia" w:ascii="宋体" w:hAnsi="宋体" w:eastAsia="宋体" w:cs="宋体"/>
                <w:color w:val="auto"/>
                <w:highlight w:val="none"/>
              </w:rPr>
            </w:pPr>
          </w:p>
        </w:tc>
        <w:tc>
          <w:tcPr>
            <w:tcW w:w="778" w:type="dxa"/>
            <w:tcBorders>
              <w:top w:val="single" w:color="auto" w:sz="4" w:space="0"/>
              <w:left w:val="single" w:color="auto" w:sz="6" w:space="0"/>
              <w:bottom w:val="single" w:color="auto" w:sz="6" w:space="0"/>
              <w:right w:val="single" w:color="auto" w:sz="6" w:space="0"/>
            </w:tcBorders>
            <w:vAlign w:val="center"/>
          </w:tcPr>
          <w:p>
            <w:pPr>
              <w:pStyle w:val="29"/>
              <w:rPr>
                <w:rFonts w:hint="eastAsia" w:ascii="宋体" w:hAnsi="宋体" w:eastAsia="宋体" w:cs="宋体"/>
                <w:color w:val="auto"/>
                <w:highlight w:val="none"/>
              </w:rPr>
            </w:pPr>
          </w:p>
        </w:tc>
        <w:tc>
          <w:tcPr>
            <w:tcW w:w="800" w:type="dxa"/>
            <w:tcBorders>
              <w:top w:val="single" w:color="auto" w:sz="4" w:space="0"/>
              <w:left w:val="single" w:color="auto" w:sz="6" w:space="0"/>
              <w:bottom w:val="single" w:color="auto" w:sz="6" w:space="0"/>
              <w:right w:val="single" w:color="auto" w:sz="6" w:space="0"/>
            </w:tcBorders>
            <w:vAlign w:val="center"/>
          </w:tcPr>
          <w:p>
            <w:pPr>
              <w:pStyle w:val="29"/>
              <w:rPr>
                <w:rFonts w:hint="eastAsia" w:ascii="宋体" w:hAnsi="宋体" w:eastAsia="宋体" w:cs="宋体"/>
                <w:color w:val="auto"/>
                <w:highlight w:val="none"/>
              </w:rPr>
            </w:pPr>
          </w:p>
        </w:tc>
      </w:tr>
      <w:tr>
        <w:tblPrEx>
          <w:tblCellMar>
            <w:top w:w="0" w:type="dxa"/>
            <w:left w:w="28" w:type="dxa"/>
            <w:bottom w:w="0" w:type="dxa"/>
            <w:right w:w="28" w:type="dxa"/>
          </w:tblCellMar>
        </w:tblPrEx>
        <w:trPr>
          <w:trHeight w:val="393" w:hRule="atLeast"/>
          <w:jc w:val="center"/>
        </w:trPr>
        <w:tc>
          <w:tcPr>
            <w:tcW w:w="617" w:type="dxa"/>
            <w:tcBorders>
              <w:top w:val="single" w:color="auto" w:sz="4" w:space="0"/>
              <w:left w:val="single" w:color="auto" w:sz="4" w:space="0"/>
              <w:bottom w:val="single" w:color="auto" w:sz="6" w:space="0"/>
            </w:tcBorders>
            <w:vAlign w:val="center"/>
          </w:tcPr>
          <w:p>
            <w:pPr>
              <w:pStyle w:val="29"/>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216" w:type="dxa"/>
            <w:tcBorders>
              <w:top w:val="single" w:color="auto" w:sz="4" w:space="0"/>
              <w:left w:val="single" w:color="auto" w:sz="6" w:space="0"/>
              <w:bottom w:val="single" w:color="auto" w:sz="6" w:space="0"/>
              <w:right w:val="single" w:color="auto" w:sz="6" w:space="0"/>
            </w:tcBorders>
            <w:vAlign w:val="center"/>
          </w:tcPr>
          <w:p>
            <w:pPr>
              <w:pStyle w:val="29"/>
              <w:rPr>
                <w:rFonts w:hint="eastAsia" w:ascii="宋体" w:hAnsi="宋体" w:eastAsia="宋体" w:cs="宋体"/>
                <w:color w:val="auto"/>
                <w:highlight w:val="none"/>
              </w:rPr>
            </w:pPr>
          </w:p>
        </w:tc>
        <w:tc>
          <w:tcPr>
            <w:tcW w:w="917" w:type="dxa"/>
            <w:tcBorders>
              <w:top w:val="single" w:color="auto" w:sz="4" w:space="0"/>
              <w:left w:val="single" w:color="auto" w:sz="6" w:space="0"/>
              <w:bottom w:val="single" w:color="auto" w:sz="6" w:space="0"/>
              <w:right w:val="single" w:color="auto" w:sz="6" w:space="0"/>
            </w:tcBorders>
            <w:vAlign w:val="center"/>
          </w:tcPr>
          <w:p>
            <w:pPr>
              <w:pStyle w:val="29"/>
              <w:rPr>
                <w:rFonts w:hint="eastAsia" w:ascii="宋体" w:hAnsi="宋体" w:eastAsia="宋体" w:cs="宋体"/>
                <w:color w:val="auto"/>
                <w:highlight w:val="none"/>
              </w:rPr>
            </w:pPr>
          </w:p>
        </w:tc>
        <w:tc>
          <w:tcPr>
            <w:tcW w:w="1300" w:type="dxa"/>
            <w:tcBorders>
              <w:top w:val="single" w:color="auto" w:sz="4" w:space="0"/>
              <w:left w:val="single" w:color="auto" w:sz="6" w:space="0"/>
              <w:bottom w:val="single" w:color="auto" w:sz="6" w:space="0"/>
              <w:right w:val="single" w:color="auto" w:sz="6" w:space="0"/>
            </w:tcBorders>
            <w:vAlign w:val="center"/>
          </w:tcPr>
          <w:p>
            <w:pPr>
              <w:pStyle w:val="29"/>
              <w:rPr>
                <w:rFonts w:hint="eastAsia" w:ascii="宋体" w:hAnsi="宋体" w:eastAsia="宋体" w:cs="宋体"/>
                <w:color w:val="auto"/>
                <w:highlight w:val="none"/>
              </w:rPr>
            </w:pPr>
          </w:p>
        </w:tc>
        <w:tc>
          <w:tcPr>
            <w:tcW w:w="1019" w:type="dxa"/>
            <w:tcBorders>
              <w:top w:val="single" w:color="auto" w:sz="4" w:space="0"/>
              <w:left w:val="single" w:color="auto" w:sz="6" w:space="0"/>
              <w:bottom w:val="single" w:color="auto" w:sz="6" w:space="0"/>
              <w:right w:val="single" w:color="auto" w:sz="6" w:space="0"/>
            </w:tcBorders>
            <w:vAlign w:val="center"/>
          </w:tcPr>
          <w:p>
            <w:pPr>
              <w:pStyle w:val="29"/>
              <w:rPr>
                <w:rFonts w:hint="eastAsia" w:ascii="宋体" w:hAnsi="宋体" w:eastAsia="宋体" w:cs="宋体"/>
                <w:color w:val="auto"/>
                <w:highlight w:val="none"/>
              </w:rPr>
            </w:pPr>
          </w:p>
        </w:tc>
        <w:tc>
          <w:tcPr>
            <w:tcW w:w="926" w:type="dxa"/>
            <w:tcBorders>
              <w:top w:val="single" w:color="auto" w:sz="4" w:space="0"/>
              <w:left w:val="single" w:color="auto" w:sz="6" w:space="0"/>
              <w:bottom w:val="single" w:color="auto" w:sz="6" w:space="0"/>
              <w:right w:val="single" w:color="auto" w:sz="6" w:space="0"/>
            </w:tcBorders>
            <w:vAlign w:val="center"/>
          </w:tcPr>
          <w:p>
            <w:pPr>
              <w:pStyle w:val="29"/>
              <w:rPr>
                <w:rFonts w:hint="eastAsia" w:ascii="宋体" w:hAnsi="宋体" w:eastAsia="宋体" w:cs="宋体"/>
                <w:color w:val="auto"/>
                <w:highlight w:val="none"/>
              </w:rPr>
            </w:pPr>
          </w:p>
        </w:tc>
        <w:tc>
          <w:tcPr>
            <w:tcW w:w="1404" w:type="dxa"/>
            <w:tcBorders>
              <w:top w:val="single" w:color="auto" w:sz="4" w:space="0"/>
              <w:left w:val="single" w:color="auto" w:sz="6" w:space="0"/>
              <w:bottom w:val="single" w:color="auto" w:sz="6" w:space="0"/>
              <w:right w:val="single" w:color="auto" w:sz="6" w:space="0"/>
            </w:tcBorders>
            <w:vAlign w:val="center"/>
          </w:tcPr>
          <w:p>
            <w:pPr>
              <w:pStyle w:val="29"/>
              <w:rPr>
                <w:rFonts w:hint="eastAsia" w:ascii="宋体" w:hAnsi="宋体" w:eastAsia="宋体" w:cs="宋体"/>
                <w:color w:val="auto"/>
                <w:highlight w:val="none"/>
              </w:rPr>
            </w:pPr>
          </w:p>
        </w:tc>
        <w:tc>
          <w:tcPr>
            <w:tcW w:w="1190" w:type="dxa"/>
            <w:tcBorders>
              <w:top w:val="single" w:color="auto" w:sz="4" w:space="0"/>
              <w:left w:val="single" w:color="auto" w:sz="6" w:space="0"/>
              <w:bottom w:val="single" w:color="auto" w:sz="6" w:space="0"/>
              <w:right w:val="single" w:color="auto" w:sz="6" w:space="0"/>
            </w:tcBorders>
            <w:vAlign w:val="center"/>
          </w:tcPr>
          <w:p>
            <w:pPr>
              <w:pStyle w:val="29"/>
              <w:rPr>
                <w:rFonts w:hint="eastAsia" w:ascii="宋体" w:hAnsi="宋体" w:eastAsia="宋体" w:cs="宋体"/>
                <w:color w:val="auto"/>
                <w:highlight w:val="none"/>
              </w:rPr>
            </w:pPr>
          </w:p>
        </w:tc>
        <w:tc>
          <w:tcPr>
            <w:tcW w:w="778" w:type="dxa"/>
            <w:tcBorders>
              <w:top w:val="single" w:color="auto" w:sz="4" w:space="0"/>
              <w:left w:val="single" w:color="auto" w:sz="6" w:space="0"/>
              <w:bottom w:val="single" w:color="auto" w:sz="6" w:space="0"/>
              <w:right w:val="single" w:color="auto" w:sz="6" w:space="0"/>
            </w:tcBorders>
            <w:vAlign w:val="center"/>
          </w:tcPr>
          <w:p>
            <w:pPr>
              <w:pStyle w:val="29"/>
              <w:rPr>
                <w:rFonts w:hint="eastAsia" w:ascii="宋体" w:hAnsi="宋体" w:eastAsia="宋体" w:cs="宋体"/>
                <w:color w:val="auto"/>
                <w:highlight w:val="none"/>
              </w:rPr>
            </w:pPr>
          </w:p>
        </w:tc>
        <w:tc>
          <w:tcPr>
            <w:tcW w:w="800" w:type="dxa"/>
            <w:tcBorders>
              <w:top w:val="single" w:color="auto" w:sz="4" w:space="0"/>
              <w:left w:val="single" w:color="auto" w:sz="6" w:space="0"/>
              <w:bottom w:val="single" w:color="auto" w:sz="6" w:space="0"/>
              <w:right w:val="single" w:color="auto" w:sz="6" w:space="0"/>
            </w:tcBorders>
            <w:vAlign w:val="center"/>
          </w:tcPr>
          <w:p>
            <w:pPr>
              <w:pStyle w:val="29"/>
              <w:rPr>
                <w:rFonts w:hint="eastAsia" w:ascii="宋体" w:hAnsi="宋体" w:eastAsia="宋体" w:cs="宋体"/>
                <w:color w:val="auto"/>
                <w:highlight w:val="none"/>
              </w:rPr>
            </w:pPr>
          </w:p>
        </w:tc>
      </w:tr>
      <w:tr>
        <w:tblPrEx>
          <w:tblCellMar>
            <w:top w:w="0" w:type="dxa"/>
            <w:left w:w="28" w:type="dxa"/>
            <w:bottom w:w="0" w:type="dxa"/>
            <w:right w:w="28" w:type="dxa"/>
          </w:tblCellMar>
        </w:tblPrEx>
        <w:trPr>
          <w:trHeight w:val="402" w:hRule="atLeast"/>
          <w:jc w:val="center"/>
        </w:trPr>
        <w:tc>
          <w:tcPr>
            <w:tcW w:w="1833" w:type="dxa"/>
            <w:gridSpan w:val="2"/>
            <w:tcBorders>
              <w:top w:val="single" w:color="auto" w:sz="4" w:space="0"/>
              <w:left w:val="single" w:color="auto" w:sz="4" w:space="0"/>
              <w:bottom w:val="single" w:color="auto" w:sz="6" w:space="0"/>
              <w:right w:val="single" w:color="auto" w:sz="6" w:space="0"/>
            </w:tcBorders>
            <w:vAlign w:val="center"/>
          </w:tcPr>
          <w:p>
            <w:pPr>
              <w:pStyle w:val="29"/>
              <w:rPr>
                <w:rFonts w:hint="eastAsia" w:ascii="宋体" w:hAnsi="宋体" w:eastAsia="宋体" w:cs="宋体"/>
                <w:color w:val="auto"/>
                <w:highlight w:val="none"/>
              </w:rPr>
            </w:pPr>
            <w:r>
              <w:rPr>
                <w:rFonts w:hint="eastAsia" w:ascii="宋体" w:hAnsi="宋体" w:eastAsia="宋体" w:cs="宋体"/>
                <w:color w:val="auto"/>
                <w:highlight w:val="none"/>
              </w:rPr>
              <w:t>投标总报价</w:t>
            </w:r>
          </w:p>
        </w:tc>
        <w:tc>
          <w:tcPr>
            <w:tcW w:w="917" w:type="dxa"/>
            <w:tcBorders>
              <w:top w:val="single" w:color="auto" w:sz="4" w:space="0"/>
              <w:left w:val="single" w:color="auto" w:sz="6" w:space="0"/>
              <w:bottom w:val="single" w:color="auto" w:sz="6" w:space="0"/>
              <w:right w:val="single" w:color="auto" w:sz="6" w:space="0"/>
            </w:tcBorders>
            <w:vAlign w:val="center"/>
          </w:tcPr>
          <w:p>
            <w:pPr>
              <w:pStyle w:val="29"/>
              <w:jc w:val="left"/>
              <w:rPr>
                <w:rFonts w:hint="eastAsia" w:ascii="宋体" w:hAnsi="宋体" w:eastAsia="宋体" w:cs="宋体"/>
                <w:color w:val="auto"/>
                <w:highlight w:val="none"/>
              </w:rPr>
            </w:pPr>
          </w:p>
        </w:tc>
        <w:tc>
          <w:tcPr>
            <w:tcW w:w="7417" w:type="dxa"/>
            <w:gridSpan w:val="7"/>
            <w:tcBorders>
              <w:top w:val="single" w:color="auto" w:sz="4" w:space="0"/>
              <w:left w:val="single" w:color="auto" w:sz="6" w:space="0"/>
              <w:bottom w:val="single" w:color="auto" w:sz="6" w:space="0"/>
              <w:right w:val="single" w:color="auto" w:sz="6" w:space="0"/>
            </w:tcBorders>
            <w:vAlign w:val="center"/>
          </w:tcPr>
          <w:p>
            <w:pPr>
              <w:pStyle w:val="29"/>
              <w:jc w:val="left"/>
              <w:rPr>
                <w:rFonts w:hint="eastAsia" w:ascii="宋体" w:hAnsi="宋体" w:eastAsia="宋体" w:cs="宋体"/>
                <w:color w:val="auto"/>
                <w:highlight w:val="none"/>
              </w:rPr>
            </w:pPr>
            <w:r>
              <w:rPr>
                <w:rFonts w:hint="eastAsia" w:ascii="宋体" w:hAnsi="宋体" w:eastAsia="宋体" w:cs="宋体"/>
                <w:color w:val="auto"/>
                <w:highlight w:val="none"/>
              </w:rPr>
              <w:t>大写：                   小写：</w:t>
            </w:r>
          </w:p>
        </w:tc>
      </w:tr>
      <w:tr>
        <w:tblPrEx>
          <w:tblCellMar>
            <w:top w:w="0" w:type="dxa"/>
            <w:left w:w="28" w:type="dxa"/>
            <w:bottom w:w="0" w:type="dxa"/>
            <w:right w:w="28" w:type="dxa"/>
          </w:tblCellMar>
        </w:tblPrEx>
        <w:trPr>
          <w:trHeight w:val="426" w:hRule="atLeast"/>
          <w:jc w:val="center"/>
        </w:trPr>
        <w:tc>
          <w:tcPr>
            <w:tcW w:w="1833" w:type="dxa"/>
            <w:gridSpan w:val="2"/>
            <w:tcBorders>
              <w:top w:val="single" w:color="auto" w:sz="4" w:space="0"/>
              <w:left w:val="single" w:color="auto" w:sz="4" w:space="0"/>
              <w:bottom w:val="single" w:color="auto" w:sz="6" w:space="0"/>
              <w:right w:val="single" w:color="auto" w:sz="6" w:space="0"/>
            </w:tcBorders>
            <w:vAlign w:val="center"/>
          </w:tcPr>
          <w:p>
            <w:pPr>
              <w:pStyle w:val="29"/>
              <w:rPr>
                <w:rFonts w:hint="eastAsia" w:ascii="宋体" w:hAnsi="宋体" w:eastAsia="宋体" w:cs="宋体"/>
                <w:color w:val="auto"/>
                <w:highlight w:val="none"/>
              </w:rPr>
            </w:pPr>
            <w:r>
              <w:rPr>
                <w:rFonts w:hint="eastAsia" w:ascii="宋体" w:hAnsi="宋体" w:eastAsia="宋体" w:cs="宋体"/>
                <w:color w:val="auto"/>
                <w:highlight w:val="none"/>
              </w:rPr>
              <w:t>备注</w:t>
            </w:r>
          </w:p>
        </w:tc>
        <w:tc>
          <w:tcPr>
            <w:tcW w:w="917" w:type="dxa"/>
            <w:tcBorders>
              <w:top w:val="single" w:color="auto" w:sz="4" w:space="0"/>
              <w:left w:val="single" w:color="auto" w:sz="6" w:space="0"/>
              <w:bottom w:val="single" w:color="auto" w:sz="6" w:space="0"/>
              <w:right w:val="single" w:color="auto" w:sz="6" w:space="0"/>
            </w:tcBorders>
            <w:vAlign w:val="center"/>
          </w:tcPr>
          <w:p>
            <w:pPr>
              <w:pStyle w:val="29"/>
              <w:jc w:val="left"/>
              <w:rPr>
                <w:rFonts w:hint="eastAsia" w:ascii="宋体" w:hAnsi="宋体" w:eastAsia="宋体" w:cs="宋体"/>
                <w:color w:val="auto"/>
                <w:highlight w:val="none"/>
              </w:rPr>
            </w:pPr>
          </w:p>
        </w:tc>
        <w:tc>
          <w:tcPr>
            <w:tcW w:w="7417" w:type="dxa"/>
            <w:gridSpan w:val="7"/>
            <w:tcBorders>
              <w:top w:val="single" w:color="auto" w:sz="4" w:space="0"/>
              <w:left w:val="single" w:color="auto" w:sz="6" w:space="0"/>
              <w:bottom w:val="single" w:color="auto" w:sz="6" w:space="0"/>
              <w:right w:val="single" w:color="auto" w:sz="6" w:space="0"/>
            </w:tcBorders>
            <w:vAlign w:val="center"/>
          </w:tcPr>
          <w:p>
            <w:pPr>
              <w:pStyle w:val="29"/>
              <w:jc w:val="left"/>
              <w:rPr>
                <w:rFonts w:hint="eastAsia" w:ascii="宋体" w:hAnsi="宋体" w:eastAsia="宋体" w:cs="宋体"/>
                <w:color w:val="auto"/>
                <w:highlight w:val="none"/>
              </w:rPr>
            </w:pPr>
            <w:r>
              <w:rPr>
                <w:rFonts w:hint="eastAsia" w:ascii="宋体" w:hAnsi="宋体" w:eastAsia="宋体" w:cs="宋体"/>
                <w:color w:val="auto"/>
                <w:highlight w:val="none"/>
              </w:rPr>
              <w:t>保留小数点后两位。</w:t>
            </w:r>
          </w:p>
        </w:tc>
      </w:tr>
    </w:tbl>
    <w:p>
      <w:pPr>
        <w:pStyle w:val="8"/>
        <w:ind w:firstLine="0" w:firstLineChars="0"/>
        <w:rPr>
          <w:rFonts w:hint="eastAsia"/>
        </w:rPr>
      </w:pPr>
    </w:p>
    <w:p>
      <w:pPr>
        <w:pStyle w:val="8"/>
        <w:ind w:firstLine="0" w:firstLineChars="0"/>
      </w:pPr>
      <w:r>
        <w:rPr>
          <w:rFonts w:hint="eastAsia"/>
        </w:rPr>
        <w:t>投标人名称：</w:t>
      </w:r>
      <w:r>
        <w:rPr>
          <w:rFonts w:hint="eastAsia"/>
          <w:u w:val="single"/>
        </w:rPr>
        <w:t xml:space="preserve">                   </w:t>
      </w:r>
      <w:r>
        <w:rPr>
          <w:rFonts w:hint="eastAsia"/>
        </w:rPr>
        <w:t>（盖单位公章）</w:t>
      </w:r>
    </w:p>
    <w:p>
      <w:pPr>
        <w:pStyle w:val="8"/>
        <w:ind w:firstLine="0" w:firstLineChars="0"/>
      </w:pPr>
    </w:p>
    <w:p>
      <w:pPr>
        <w:pStyle w:val="8"/>
        <w:ind w:firstLine="0" w:firstLineChars="0"/>
      </w:pPr>
      <w:r>
        <w:rPr>
          <w:rFonts w:hint="eastAsia"/>
        </w:rPr>
        <w:t>法定代表人或被授权人：</w:t>
      </w:r>
      <w:r>
        <w:rPr>
          <w:rFonts w:hint="eastAsia"/>
          <w:u w:val="single"/>
        </w:rPr>
        <w:t xml:space="preserve">         </w:t>
      </w:r>
      <w:r>
        <w:rPr>
          <w:rFonts w:hint="eastAsia"/>
        </w:rPr>
        <w:t>（签字或盖章）</w:t>
      </w:r>
    </w:p>
    <w:p>
      <w:pPr>
        <w:pStyle w:val="8"/>
        <w:ind w:firstLine="0" w:firstLineChars="0"/>
      </w:pPr>
    </w:p>
    <w:p>
      <w:pPr>
        <w:pStyle w:val="8"/>
        <w:ind w:firstLine="0" w:firstLineChars="0"/>
        <w:rPr>
          <w:rFonts w:hAnsi="宋体" w:cs="宋体"/>
        </w:rPr>
      </w:pPr>
      <w:r>
        <w:rPr>
          <w:rFonts w:hint="eastAsia"/>
        </w:rPr>
        <w:t>日    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pacing w:line="360" w:lineRule="auto"/>
        <w:rPr>
          <w:rFonts w:hint="eastAsia" w:ascii="宋体" w:hAnsi="宋体" w:eastAsia="宋体" w:cs="Times New Roman"/>
          <w:kern w:val="2"/>
          <w:sz w:val="21"/>
          <w:szCs w:val="21"/>
          <w:lang w:val="en-US" w:eastAsia="zh-CN" w:bidi="ar-SA"/>
        </w:rPr>
      </w:pPr>
      <w:r>
        <w:rPr>
          <w:rFonts w:hint="eastAsia" w:ascii="宋体" w:hAnsi="宋体" w:eastAsia="宋体" w:cs="Times New Roman"/>
          <w:b/>
          <w:bCs/>
          <w:kern w:val="2"/>
          <w:sz w:val="21"/>
          <w:szCs w:val="21"/>
          <w:lang w:val="en-US" w:eastAsia="zh-CN" w:bidi="ar-SA"/>
        </w:rPr>
        <w:t>注：</w:t>
      </w:r>
      <w:r>
        <w:rPr>
          <w:rFonts w:hint="eastAsia" w:ascii="宋体" w:hAnsi="宋体" w:eastAsia="宋体" w:cs="Times New Roman"/>
          <w:kern w:val="2"/>
          <w:sz w:val="21"/>
          <w:szCs w:val="21"/>
          <w:lang w:val="en-US" w:eastAsia="zh-CN" w:bidi="ar-SA"/>
        </w:rPr>
        <w:t>1.本表中的“投标总报价”与“开标一览表”中的“投标总报价”一致。各子项分别报价。</w:t>
      </w:r>
    </w:p>
    <w:p>
      <w:pPr>
        <w:spacing w:line="360" w:lineRule="auto"/>
        <w:ind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2.本表中的中小企业是指产品制造商为“中型企业”或“小型企业”或“微型企业”（后附证明材料，格式及要求见附件“中小企业声明函（货物）”）</w:t>
      </w:r>
    </w:p>
    <w:p>
      <w:pPr>
        <w:spacing w:line="360" w:lineRule="auto"/>
        <w:ind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3.政策功能编码是指产品的中国环境标志认证证书编号、节能标志认证证书号（后附证明材料，格式及要求见附件4“节能产品”、“环境标志产品”证明材料）。</w:t>
      </w:r>
    </w:p>
    <w:p>
      <w:pPr>
        <w:spacing w:line="360" w:lineRule="auto"/>
        <w:ind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4.如果不提供详细分项报价将视为没有实质性响应招标文件。</w:t>
      </w:r>
    </w:p>
    <w:p>
      <w:pPr>
        <w:pStyle w:val="8"/>
        <w:ind w:firstLine="48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5.投标人可适当调整该表格式，但不得减少信息内容。</w:t>
      </w:r>
    </w:p>
    <w:p>
      <w:pPr>
        <w:rPr>
          <w:rFonts w:hint="eastAsia"/>
        </w:rPr>
      </w:pPr>
      <w:bookmarkStart w:id="203" w:name="_Toc4085"/>
      <w:bookmarkStart w:id="204" w:name="_Toc15398"/>
      <w:bookmarkStart w:id="205" w:name="_Toc19152"/>
      <w:bookmarkStart w:id="206" w:name="_Toc609"/>
      <w:bookmarkStart w:id="207" w:name="_Toc14384"/>
      <w:bookmarkStart w:id="208" w:name="_Toc31326"/>
      <w:bookmarkStart w:id="209" w:name="_Toc28866"/>
      <w:bookmarkStart w:id="210" w:name="_Toc8367"/>
      <w:r>
        <w:rPr>
          <w:rFonts w:hint="eastAsia"/>
        </w:rPr>
        <w:br w:type="page"/>
      </w:r>
    </w:p>
    <w:p>
      <w:pPr>
        <w:pStyle w:val="4"/>
      </w:pPr>
      <w:r>
        <w:rPr>
          <w:rFonts w:hint="eastAsia"/>
        </w:rPr>
        <w:t>三、</w:t>
      </w:r>
      <w:bookmarkEnd w:id="203"/>
      <w:bookmarkEnd w:id="204"/>
      <w:bookmarkEnd w:id="205"/>
      <w:bookmarkEnd w:id="206"/>
      <w:bookmarkEnd w:id="207"/>
      <w:bookmarkEnd w:id="208"/>
      <w:bookmarkEnd w:id="209"/>
      <w:bookmarkEnd w:id="210"/>
      <w:r>
        <w:rPr>
          <w:rFonts w:hint="eastAsia"/>
        </w:rPr>
        <w:t>投标方案说明书</w:t>
      </w:r>
    </w:p>
    <w:p>
      <w:pPr>
        <w:spacing w:line="440" w:lineRule="exact"/>
        <w:ind w:firstLine="482" w:firstLineChars="200"/>
        <w:jc w:val="both"/>
        <w:rPr>
          <w:rFonts w:hAnsi="宋体" w:cs="宋体"/>
          <w:b/>
          <w:bCs/>
          <w:szCs w:val="24"/>
        </w:rPr>
      </w:pPr>
      <w:r>
        <w:rPr>
          <w:rFonts w:hint="eastAsia" w:hAnsi="宋体" w:cs="宋体"/>
          <w:b/>
          <w:bCs/>
          <w:szCs w:val="24"/>
        </w:rPr>
        <w:t>投标人根据招标文件</w:t>
      </w:r>
      <w:r>
        <w:rPr>
          <w:rFonts w:hint="eastAsia" w:hAnsi="宋体" w:cs="宋体"/>
          <w:b/>
          <w:bCs/>
          <w:szCs w:val="24"/>
          <w:lang w:eastAsia="zh-CN"/>
        </w:rPr>
        <w:t>第四章 “采购内容及技术要求”</w:t>
      </w:r>
      <w:r>
        <w:rPr>
          <w:rFonts w:hint="eastAsia" w:hAnsi="宋体" w:cs="宋体"/>
          <w:b/>
          <w:bCs/>
          <w:szCs w:val="24"/>
        </w:rPr>
        <w:t>及第五章</w:t>
      </w:r>
      <w:r>
        <w:rPr>
          <w:rFonts w:hint="eastAsia" w:hAnsi="宋体" w:cs="宋体"/>
          <w:b/>
          <w:bCs/>
          <w:szCs w:val="24"/>
          <w:lang w:eastAsia="zh-CN"/>
        </w:rPr>
        <w:t>“</w:t>
      </w:r>
      <w:r>
        <w:rPr>
          <w:rFonts w:hint="eastAsia" w:hAnsi="宋体" w:cs="宋体"/>
          <w:b/>
          <w:bCs/>
          <w:szCs w:val="24"/>
        </w:rPr>
        <w:t>评标办法</w:t>
      </w:r>
      <w:r>
        <w:rPr>
          <w:rFonts w:hint="eastAsia" w:hAnsi="宋体" w:cs="宋体"/>
          <w:b/>
          <w:bCs/>
          <w:szCs w:val="24"/>
          <w:lang w:eastAsia="zh-CN"/>
        </w:rPr>
        <w:t>”《</w:t>
      </w:r>
      <w:r>
        <w:rPr>
          <w:rFonts w:hint="eastAsia" w:hAnsi="宋体" w:cs="宋体"/>
          <w:b/>
          <w:bCs/>
          <w:szCs w:val="24"/>
        </w:rPr>
        <w:t>评标因素及权重分值表</w:t>
      </w:r>
      <w:r>
        <w:rPr>
          <w:rFonts w:hint="eastAsia" w:hAnsi="宋体" w:cs="宋体"/>
          <w:b/>
          <w:bCs/>
          <w:szCs w:val="24"/>
          <w:lang w:eastAsia="zh-CN"/>
        </w:rPr>
        <w:t>》</w:t>
      </w:r>
      <w:r>
        <w:rPr>
          <w:rFonts w:hint="eastAsia" w:hAnsi="宋体" w:cs="宋体"/>
          <w:b/>
          <w:bCs/>
          <w:szCs w:val="24"/>
        </w:rPr>
        <w:t>，自主编写方案说明书。</w:t>
      </w:r>
    </w:p>
    <w:p>
      <w:pPr>
        <w:pStyle w:val="2"/>
        <w:rPr>
          <w:rStyle w:val="37"/>
          <w:b/>
          <w:bCs/>
        </w:rPr>
      </w:pPr>
      <w:r>
        <w:rPr>
          <w:rFonts w:hint="eastAsia"/>
          <w:szCs w:val="24"/>
        </w:rPr>
        <w:br w:type="page"/>
      </w:r>
      <w:r>
        <w:rPr>
          <w:rStyle w:val="37"/>
          <w:rFonts w:hint="eastAsia"/>
          <w:b/>
          <w:bCs/>
        </w:rPr>
        <w:t>附表1</w:t>
      </w:r>
    </w:p>
    <w:p>
      <w:pPr>
        <w:pStyle w:val="5"/>
        <w:spacing w:before="0" w:beforeLines="0" w:after="0" w:afterLines="0" w:line="240" w:lineRule="auto"/>
        <w:rPr>
          <w:rFonts w:hint="eastAsia" w:eastAsia="宋体"/>
          <w:lang w:eastAsia="zh-CN"/>
        </w:rPr>
      </w:pPr>
      <w:r>
        <w:rPr>
          <w:rFonts w:hint="eastAsia"/>
          <w:lang w:eastAsia="zh-CN"/>
        </w:rPr>
        <w:t>技术要求响应表</w:t>
      </w:r>
    </w:p>
    <w:tbl>
      <w:tblPr>
        <w:tblStyle w:val="19"/>
        <w:tblW w:w="903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1228"/>
        <w:gridCol w:w="1353"/>
        <w:gridCol w:w="1714"/>
        <w:gridCol w:w="2566"/>
        <w:gridCol w:w="1290"/>
        <w:gridCol w:w="8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50" w:hRule="atLeast"/>
          <w:jc w:val="center"/>
        </w:trPr>
        <w:tc>
          <w:tcPr>
            <w:tcW w:w="1228" w:type="dxa"/>
            <w:vAlign w:val="center"/>
          </w:tcPr>
          <w:p>
            <w:pPr>
              <w:pStyle w:val="29"/>
            </w:pPr>
            <w:r>
              <w:rPr>
                <w:rFonts w:hint="eastAsia"/>
              </w:rPr>
              <w:t>序号</w:t>
            </w:r>
          </w:p>
        </w:tc>
        <w:tc>
          <w:tcPr>
            <w:tcW w:w="1353" w:type="dxa"/>
            <w:vAlign w:val="center"/>
          </w:tcPr>
          <w:p>
            <w:pPr>
              <w:pStyle w:val="29"/>
              <w:rPr>
                <w:rFonts w:hint="eastAsia" w:eastAsia="宋体"/>
                <w:lang w:eastAsia="zh-CN"/>
              </w:rPr>
            </w:pPr>
            <w:r>
              <w:rPr>
                <w:rFonts w:hint="eastAsia"/>
                <w:lang w:val="en-US" w:eastAsia="zh-CN"/>
              </w:rPr>
              <w:t>名称</w:t>
            </w:r>
          </w:p>
        </w:tc>
        <w:tc>
          <w:tcPr>
            <w:tcW w:w="1714" w:type="dxa"/>
            <w:vAlign w:val="center"/>
          </w:tcPr>
          <w:p>
            <w:pPr>
              <w:pStyle w:val="29"/>
              <w:rPr>
                <w:rFonts w:hint="eastAsia" w:eastAsia="宋体"/>
                <w:lang w:eastAsia="zh-CN"/>
              </w:rPr>
            </w:pPr>
            <w:r>
              <w:rPr>
                <w:rFonts w:hint="eastAsia"/>
              </w:rPr>
              <w:t>招标</w:t>
            </w:r>
            <w:r>
              <w:rPr>
                <w:rFonts w:hint="eastAsia"/>
                <w:lang w:val="en-US" w:eastAsia="zh-CN"/>
              </w:rPr>
              <w:t>要求</w:t>
            </w:r>
          </w:p>
        </w:tc>
        <w:tc>
          <w:tcPr>
            <w:tcW w:w="2566" w:type="dxa"/>
            <w:vAlign w:val="center"/>
          </w:tcPr>
          <w:p>
            <w:pPr>
              <w:pStyle w:val="29"/>
              <w:rPr>
                <w:rFonts w:hint="eastAsia" w:eastAsia="宋体"/>
                <w:lang w:eastAsia="zh-CN"/>
              </w:rPr>
            </w:pPr>
            <w:r>
              <w:rPr>
                <w:rFonts w:hint="eastAsia"/>
                <w:lang w:eastAsia="zh-CN"/>
              </w:rPr>
              <w:t>投标内容</w:t>
            </w:r>
          </w:p>
        </w:tc>
        <w:tc>
          <w:tcPr>
            <w:tcW w:w="1290" w:type="dxa"/>
            <w:vAlign w:val="center"/>
          </w:tcPr>
          <w:p>
            <w:pPr>
              <w:pStyle w:val="29"/>
              <w:rPr>
                <w:rFonts w:hint="default" w:eastAsia="宋体"/>
                <w:lang w:val="en-US" w:eastAsia="zh-CN"/>
              </w:rPr>
            </w:pPr>
            <w:r>
              <w:rPr>
                <w:rFonts w:hint="eastAsia"/>
                <w:lang w:val="en-US" w:eastAsia="zh-CN"/>
              </w:rPr>
              <w:t>证明材料索引页</w:t>
            </w:r>
          </w:p>
        </w:tc>
        <w:tc>
          <w:tcPr>
            <w:tcW w:w="880" w:type="dxa"/>
            <w:vAlign w:val="center"/>
          </w:tcPr>
          <w:p>
            <w:pPr>
              <w:pStyle w:val="29"/>
            </w:pPr>
            <w:r>
              <w:rPr>
                <w:rFonts w:hint="eastAsia"/>
              </w:rPr>
              <w:t>偏离说明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50" w:hRule="atLeast"/>
          <w:jc w:val="center"/>
        </w:trPr>
        <w:tc>
          <w:tcPr>
            <w:tcW w:w="1228" w:type="dxa"/>
          </w:tcPr>
          <w:p>
            <w:pPr>
              <w:pStyle w:val="29"/>
            </w:pPr>
          </w:p>
        </w:tc>
        <w:tc>
          <w:tcPr>
            <w:tcW w:w="1353" w:type="dxa"/>
          </w:tcPr>
          <w:p>
            <w:pPr>
              <w:pStyle w:val="29"/>
            </w:pPr>
          </w:p>
        </w:tc>
        <w:tc>
          <w:tcPr>
            <w:tcW w:w="1714" w:type="dxa"/>
          </w:tcPr>
          <w:p>
            <w:pPr>
              <w:pStyle w:val="29"/>
            </w:pPr>
          </w:p>
        </w:tc>
        <w:tc>
          <w:tcPr>
            <w:tcW w:w="2566" w:type="dxa"/>
          </w:tcPr>
          <w:p>
            <w:pPr>
              <w:pStyle w:val="29"/>
            </w:pPr>
          </w:p>
        </w:tc>
        <w:tc>
          <w:tcPr>
            <w:tcW w:w="1290" w:type="dxa"/>
          </w:tcPr>
          <w:p>
            <w:pPr>
              <w:pStyle w:val="29"/>
            </w:pPr>
          </w:p>
        </w:tc>
        <w:tc>
          <w:tcPr>
            <w:tcW w:w="880" w:type="dxa"/>
          </w:tcPr>
          <w:p>
            <w:pPr>
              <w:pStyle w:val="29"/>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50" w:hRule="atLeast"/>
          <w:jc w:val="center"/>
        </w:trPr>
        <w:tc>
          <w:tcPr>
            <w:tcW w:w="1228" w:type="dxa"/>
          </w:tcPr>
          <w:p>
            <w:pPr>
              <w:pStyle w:val="29"/>
            </w:pPr>
          </w:p>
        </w:tc>
        <w:tc>
          <w:tcPr>
            <w:tcW w:w="1353" w:type="dxa"/>
          </w:tcPr>
          <w:p>
            <w:pPr>
              <w:pStyle w:val="29"/>
            </w:pPr>
          </w:p>
        </w:tc>
        <w:tc>
          <w:tcPr>
            <w:tcW w:w="1714" w:type="dxa"/>
          </w:tcPr>
          <w:p>
            <w:pPr>
              <w:pStyle w:val="29"/>
            </w:pPr>
          </w:p>
        </w:tc>
        <w:tc>
          <w:tcPr>
            <w:tcW w:w="2566" w:type="dxa"/>
          </w:tcPr>
          <w:p>
            <w:pPr>
              <w:pStyle w:val="29"/>
            </w:pPr>
          </w:p>
        </w:tc>
        <w:tc>
          <w:tcPr>
            <w:tcW w:w="1290" w:type="dxa"/>
          </w:tcPr>
          <w:p>
            <w:pPr>
              <w:pStyle w:val="29"/>
            </w:pPr>
          </w:p>
        </w:tc>
        <w:tc>
          <w:tcPr>
            <w:tcW w:w="880" w:type="dxa"/>
          </w:tcPr>
          <w:p>
            <w:pPr>
              <w:pStyle w:val="29"/>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50" w:hRule="atLeast"/>
          <w:jc w:val="center"/>
        </w:trPr>
        <w:tc>
          <w:tcPr>
            <w:tcW w:w="1228" w:type="dxa"/>
          </w:tcPr>
          <w:p>
            <w:pPr>
              <w:pStyle w:val="29"/>
            </w:pPr>
          </w:p>
        </w:tc>
        <w:tc>
          <w:tcPr>
            <w:tcW w:w="1353" w:type="dxa"/>
          </w:tcPr>
          <w:p>
            <w:pPr>
              <w:pStyle w:val="29"/>
            </w:pPr>
          </w:p>
        </w:tc>
        <w:tc>
          <w:tcPr>
            <w:tcW w:w="1714" w:type="dxa"/>
          </w:tcPr>
          <w:p>
            <w:pPr>
              <w:pStyle w:val="29"/>
            </w:pPr>
          </w:p>
        </w:tc>
        <w:tc>
          <w:tcPr>
            <w:tcW w:w="2566" w:type="dxa"/>
          </w:tcPr>
          <w:p>
            <w:pPr>
              <w:pStyle w:val="29"/>
            </w:pPr>
          </w:p>
        </w:tc>
        <w:tc>
          <w:tcPr>
            <w:tcW w:w="1290" w:type="dxa"/>
          </w:tcPr>
          <w:p>
            <w:pPr>
              <w:pStyle w:val="29"/>
            </w:pPr>
          </w:p>
        </w:tc>
        <w:tc>
          <w:tcPr>
            <w:tcW w:w="880" w:type="dxa"/>
          </w:tcPr>
          <w:p>
            <w:pPr>
              <w:pStyle w:val="29"/>
            </w:pPr>
          </w:p>
        </w:tc>
      </w:tr>
    </w:tbl>
    <w:p>
      <w:pPr>
        <w:tabs>
          <w:tab w:val="left" w:pos="7200"/>
          <w:tab w:val="left" w:pos="8504"/>
        </w:tabs>
        <w:spacing w:line="360" w:lineRule="auto"/>
        <w:ind w:right="-1"/>
        <w:rPr>
          <w:rFonts w:hAnsi="宋体" w:cs="宋体"/>
        </w:rPr>
      </w:pPr>
    </w:p>
    <w:p>
      <w:pPr>
        <w:spacing w:line="120" w:lineRule="exact"/>
        <w:rPr>
          <w:rFonts w:hAnsi="宋体" w:cs="宋体"/>
        </w:rPr>
      </w:pPr>
    </w:p>
    <w:p>
      <w:pPr>
        <w:pStyle w:val="8"/>
        <w:ind w:firstLine="0" w:firstLineChars="0"/>
      </w:pPr>
      <w:r>
        <w:rPr>
          <w:rFonts w:hint="eastAsia"/>
        </w:rPr>
        <w:t>投标人名称：</w:t>
      </w:r>
      <w:r>
        <w:rPr>
          <w:rFonts w:hint="eastAsia"/>
          <w:u w:val="single"/>
        </w:rPr>
        <w:t xml:space="preserve">                   </w:t>
      </w:r>
      <w:r>
        <w:rPr>
          <w:rFonts w:hint="eastAsia"/>
        </w:rPr>
        <w:t>（盖单位公章）</w:t>
      </w:r>
    </w:p>
    <w:p>
      <w:pPr>
        <w:pStyle w:val="8"/>
        <w:ind w:firstLine="0" w:firstLineChars="0"/>
      </w:pPr>
    </w:p>
    <w:p>
      <w:pPr>
        <w:pStyle w:val="8"/>
        <w:ind w:firstLine="0" w:firstLineChars="0"/>
      </w:pPr>
      <w:r>
        <w:rPr>
          <w:rFonts w:hint="eastAsia"/>
        </w:rPr>
        <w:t>法定代表人或被授权人：</w:t>
      </w:r>
      <w:r>
        <w:rPr>
          <w:rFonts w:hint="eastAsia"/>
          <w:u w:val="single"/>
        </w:rPr>
        <w:t xml:space="preserve">         </w:t>
      </w:r>
      <w:r>
        <w:rPr>
          <w:rFonts w:hint="eastAsia"/>
        </w:rPr>
        <w:t>（签字或盖章）</w:t>
      </w:r>
    </w:p>
    <w:p>
      <w:pPr>
        <w:pStyle w:val="8"/>
        <w:ind w:firstLine="0" w:firstLineChars="0"/>
      </w:pPr>
    </w:p>
    <w:p>
      <w:pPr>
        <w:pStyle w:val="8"/>
        <w:ind w:firstLine="0" w:firstLineChars="0"/>
        <w:rPr>
          <w:b/>
          <w:bCs/>
        </w:rPr>
      </w:pPr>
      <w:r>
        <w:rPr>
          <w:rFonts w:hint="eastAsia"/>
        </w:rPr>
        <w:t>日    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adjustRightInd w:val="0"/>
        <w:snapToGrid w:val="0"/>
        <w:spacing w:line="440" w:lineRule="exact"/>
        <w:ind w:left="137" w:leftChars="57" w:firstLine="1446" w:firstLineChars="600"/>
        <w:rPr>
          <w:rFonts w:hAnsi="宋体" w:cs="宋体"/>
          <w:b/>
          <w:bCs/>
          <w:szCs w:val="24"/>
        </w:rPr>
      </w:pPr>
    </w:p>
    <w:p>
      <w:pPr>
        <w:rPr>
          <w:rFonts w:hAnsi="宋体" w:cs="宋体"/>
          <w:szCs w:val="24"/>
        </w:rPr>
      </w:pPr>
    </w:p>
    <w:p>
      <w:pPr>
        <w:pStyle w:val="31"/>
        <w:rPr>
          <w:rFonts w:hAnsi="宋体" w:cs="宋体"/>
          <w:sz w:val="21"/>
          <w:szCs w:val="21"/>
        </w:rPr>
      </w:pPr>
      <w:r>
        <w:rPr>
          <w:rFonts w:hint="eastAsia" w:hAnsi="宋体" w:cs="宋体"/>
          <w:b/>
          <w:bCs/>
          <w:sz w:val="21"/>
          <w:szCs w:val="21"/>
        </w:rPr>
        <w:t>注：</w:t>
      </w:r>
      <w:r>
        <w:rPr>
          <w:rFonts w:hint="eastAsia" w:hAnsi="宋体" w:cs="宋体"/>
          <w:sz w:val="21"/>
          <w:szCs w:val="21"/>
        </w:rPr>
        <w:t xml:space="preserve"> </w:t>
      </w:r>
    </w:p>
    <w:p>
      <w:pPr>
        <w:pStyle w:val="8"/>
        <w:numPr>
          <w:ilvl w:val="0"/>
          <w:numId w:val="11"/>
        </w:numPr>
        <w:ind w:firstLine="480"/>
        <w:rPr>
          <w:sz w:val="21"/>
          <w:szCs w:val="21"/>
        </w:rPr>
      </w:pPr>
      <w:r>
        <w:rPr>
          <w:rFonts w:hint="eastAsia"/>
          <w:sz w:val="21"/>
          <w:szCs w:val="21"/>
          <w:lang w:val="en-US" w:eastAsia="zh-CN"/>
        </w:rPr>
        <w:t>招标要求</w:t>
      </w:r>
      <w:r>
        <w:rPr>
          <w:rFonts w:hint="eastAsia"/>
          <w:sz w:val="21"/>
          <w:szCs w:val="21"/>
        </w:rPr>
        <w:t>指招标文件</w:t>
      </w:r>
      <w:r>
        <w:rPr>
          <w:rFonts w:hint="eastAsia"/>
          <w:b/>
          <w:bCs/>
          <w:sz w:val="21"/>
          <w:szCs w:val="21"/>
          <w:lang w:eastAsia="zh-CN"/>
        </w:rPr>
        <w:t>第四章“采购内容及技术要求”</w:t>
      </w:r>
      <w:r>
        <w:rPr>
          <w:rFonts w:hint="eastAsia"/>
          <w:sz w:val="21"/>
          <w:szCs w:val="21"/>
          <w:lang w:val="en-US" w:eastAsia="zh-CN"/>
        </w:rPr>
        <w:t>一、采购内容及技术要求“技术要求”</w:t>
      </w:r>
      <w:r>
        <w:rPr>
          <w:rFonts w:hint="eastAsia"/>
          <w:sz w:val="21"/>
          <w:szCs w:val="21"/>
        </w:rPr>
        <w:t>中</w:t>
      </w:r>
      <w:r>
        <w:rPr>
          <w:rFonts w:hint="eastAsia"/>
          <w:sz w:val="21"/>
          <w:szCs w:val="21"/>
          <w:lang w:val="en-US" w:eastAsia="zh-CN"/>
        </w:rPr>
        <w:t>所列内容</w:t>
      </w:r>
      <w:r>
        <w:rPr>
          <w:rFonts w:hint="eastAsia"/>
          <w:sz w:val="21"/>
          <w:szCs w:val="21"/>
          <w:lang w:eastAsia="zh-CN"/>
        </w:rPr>
        <w:t>，</w:t>
      </w:r>
      <w:r>
        <w:rPr>
          <w:rFonts w:hint="eastAsia"/>
          <w:sz w:val="21"/>
          <w:szCs w:val="21"/>
        </w:rPr>
        <w:t>投标人应按照招标文件中的内容逐项响应。</w:t>
      </w:r>
    </w:p>
    <w:p>
      <w:pPr>
        <w:pStyle w:val="8"/>
        <w:numPr>
          <w:ilvl w:val="0"/>
          <w:numId w:val="11"/>
        </w:numPr>
        <w:ind w:firstLine="480"/>
        <w:rPr>
          <w:sz w:val="21"/>
          <w:szCs w:val="21"/>
        </w:rPr>
      </w:pPr>
      <w:r>
        <w:rPr>
          <w:rFonts w:hint="eastAsia"/>
          <w:sz w:val="21"/>
          <w:szCs w:val="21"/>
          <w:lang w:eastAsia="zh-CN"/>
        </w:rPr>
        <w:t>投标内容</w:t>
      </w:r>
      <w:r>
        <w:rPr>
          <w:rFonts w:hint="eastAsia"/>
          <w:sz w:val="21"/>
          <w:szCs w:val="21"/>
        </w:rPr>
        <w:t>指投标人拟提供的投标产品</w:t>
      </w:r>
      <w:r>
        <w:rPr>
          <w:rFonts w:hint="eastAsia"/>
          <w:sz w:val="21"/>
          <w:szCs w:val="21"/>
          <w:lang w:val="en-US" w:eastAsia="zh-CN"/>
        </w:rPr>
        <w:t>相应的响应内容</w:t>
      </w:r>
      <w:r>
        <w:rPr>
          <w:rFonts w:hint="eastAsia"/>
          <w:sz w:val="21"/>
          <w:szCs w:val="21"/>
        </w:rPr>
        <w:t xml:space="preserve">,投标人应逐条如实填写并提供相应的支持文件。 </w:t>
      </w:r>
    </w:p>
    <w:p>
      <w:pPr>
        <w:pStyle w:val="8"/>
        <w:numPr>
          <w:ilvl w:val="0"/>
          <w:numId w:val="11"/>
        </w:numPr>
        <w:ind w:firstLine="480"/>
        <w:rPr>
          <w:sz w:val="21"/>
          <w:szCs w:val="21"/>
        </w:rPr>
      </w:pPr>
      <w:r>
        <w:rPr>
          <w:rFonts w:hint="eastAsia"/>
          <w:sz w:val="21"/>
          <w:szCs w:val="21"/>
        </w:rPr>
        <w:t>偏离说明填写：</w:t>
      </w:r>
      <w:r>
        <w:rPr>
          <w:rFonts w:hint="eastAsia"/>
          <w:sz w:val="21"/>
          <w:szCs w:val="21"/>
          <w:lang w:val="en-US" w:eastAsia="zh-CN"/>
        </w:rPr>
        <w:t>正偏离、负偏离或无偏离</w:t>
      </w:r>
      <w:r>
        <w:rPr>
          <w:rFonts w:hint="eastAsia"/>
          <w:sz w:val="21"/>
          <w:szCs w:val="21"/>
        </w:rPr>
        <w:t>。</w:t>
      </w:r>
    </w:p>
    <w:p>
      <w:pPr>
        <w:pStyle w:val="8"/>
        <w:numPr>
          <w:ilvl w:val="0"/>
          <w:numId w:val="11"/>
        </w:numPr>
        <w:ind w:firstLine="480"/>
        <w:rPr>
          <w:sz w:val="21"/>
          <w:szCs w:val="21"/>
        </w:rPr>
      </w:pPr>
      <w:r>
        <w:rPr>
          <w:rFonts w:hint="eastAsia"/>
          <w:sz w:val="21"/>
          <w:szCs w:val="21"/>
        </w:rPr>
        <w:t>投标人必须据实填写，不得虚假响应，否则将取消其投标或中标资格。</w:t>
      </w:r>
    </w:p>
    <w:p>
      <w:pPr>
        <w:rPr>
          <w:rFonts w:hAnsi="宋体" w:cs="宋体"/>
          <w:szCs w:val="24"/>
        </w:rPr>
      </w:pPr>
      <w:r>
        <w:rPr>
          <w:rFonts w:hint="eastAsia" w:hAnsi="宋体" w:cs="宋体"/>
          <w:szCs w:val="24"/>
        </w:rPr>
        <w:t xml:space="preserve">     </w:t>
      </w:r>
    </w:p>
    <w:p>
      <w:pPr>
        <w:pStyle w:val="2"/>
        <w:rPr>
          <w:rStyle w:val="37"/>
          <w:b/>
          <w:bCs/>
        </w:rPr>
      </w:pPr>
      <w:bookmarkStart w:id="211" w:name="_Toc225410807"/>
      <w:bookmarkStart w:id="212" w:name="_Toc396304713"/>
      <w:bookmarkStart w:id="213" w:name="_Toc225566882"/>
      <w:bookmarkStart w:id="214" w:name="_Toc225409965"/>
      <w:bookmarkStart w:id="215" w:name="_Toc225412171"/>
      <w:bookmarkStart w:id="216" w:name="_Toc225416061"/>
      <w:bookmarkStart w:id="217" w:name="_Toc341541375"/>
      <w:bookmarkStart w:id="218" w:name="_Toc225566701"/>
      <w:bookmarkStart w:id="219" w:name="_Toc225415659"/>
      <w:bookmarkStart w:id="220" w:name="_Toc225415860"/>
      <w:bookmarkStart w:id="221" w:name="_Toc225410181"/>
      <w:bookmarkStart w:id="222" w:name="_Toc225567481"/>
      <w:bookmarkStart w:id="223" w:name="_Toc225412373"/>
      <w:r>
        <w:rPr>
          <w:rFonts w:hint="eastAsia"/>
          <w:szCs w:val="24"/>
        </w:rPr>
        <w:br w:type="page"/>
      </w:r>
      <w:r>
        <w:rPr>
          <w:rStyle w:val="37"/>
          <w:rFonts w:hint="eastAsia"/>
          <w:b/>
          <w:bCs/>
        </w:rPr>
        <w:t>附表2 本项目拟投入人员汇总表</w:t>
      </w:r>
      <w:bookmarkEnd w:id="211"/>
      <w:bookmarkEnd w:id="212"/>
      <w:bookmarkEnd w:id="213"/>
      <w:bookmarkEnd w:id="214"/>
      <w:bookmarkEnd w:id="215"/>
      <w:bookmarkEnd w:id="216"/>
      <w:bookmarkEnd w:id="217"/>
      <w:bookmarkEnd w:id="218"/>
      <w:bookmarkEnd w:id="219"/>
      <w:bookmarkEnd w:id="220"/>
      <w:bookmarkEnd w:id="221"/>
      <w:bookmarkEnd w:id="222"/>
      <w:bookmarkEnd w:id="223"/>
      <w:r>
        <w:rPr>
          <w:rStyle w:val="37"/>
          <w:rFonts w:hint="eastAsia"/>
          <w:b/>
          <w:bCs/>
        </w:rPr>
        <w:t>（如有）</w:t>
      </w:r>
    </w:p>
    <w:p>
      <w:pPr>
        <w:pStyle w:val="5"/>
        <w:spacing w:before="0" w:beforeLines="0" w:after="0" w:afterLines="0" w:line="240" w:lineRule="auto"/>
      </w:pPr>
      <w:bookmarkStart w:id="224" w:name="_Toc2768"/>
      <w:bookmarkStart w:id="225" w:name="_Toc13827"/>
      <w:bookmarkStart w:id="226" w:name="_Toc214"/>
      <w:bookmarkStart w:id="227" w:name="_Toc17592"/>
      <w:bookmarkStart w:id="228" w:name="_Toc426457710"/>
      <w:bookmarkStart w:id="229" w:name="_Toc396304714"/>
      <w:bookmarkStart w:id="230" w:name="_Toc19082"/>
      <w:bookmarkStart w:id="231" w:name="_Toc14631"/>
      <w:bookmarkStart w:id="232" w:name="_Toc25551"/>
      <w:bookmarkStart w:id="233" w:name="_Toc4115"/>
      <w:bookmarkStart w:id="234" w:name="_Toc403077652"/>
      <w:bookmarkStart w:id="235" w:name="_Toc26523"/>
      <w:r>
        <w:rPr>
          <w:rFonts w:hint="eastAsia"/>
        </w:rPr>
        <w:t>（一）本项目拟投入人员汇总表</w:t>
      </w:r>
      <w:bookmarkEnd w:id="224"/>
      <w:bookmarkEnd w:id="225"/>
      <w:bookmarkEnd w:id="226"/>
      <w:bookmarkEnd w:id="227"/>
      <w:bookmarkEnd w:id="228"/>
      <w:bookmarkEnd w:id="229"/>
      <w:bookmarkEnd w:id="230"/>
      <w:bookmarkEnd w:id="231"/>
      <w:bookmarkEnd w:id="232"/>
      <w:bookmarkEnd w:id="233"/>
      <w:bookmarkEnd w:id="234"/>
      <w:bookmarkEnd w:id="235"/>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7"/>
        <w:gridCol w:w="1240"/>
        <w:gridCol w:w="570"/>
        <w:gridCol w:w="570"/>
        <w:gridCol w:w="570"/>
        <w:gridCol w:w="835"/>
        <w:gridCol w:w="1157"/>
        <w:gridCol w:w="748"/>
        <w:gridCol w:w="1877"/>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1" w:hRule="atLeast"/>
          <w:tblHeader/>
        </w:trPr>
        <w:tc>
          <w:tcPr>
            <w:tcW w:w="557" w:type="dxa"/>
            <w:tcMar>
              <w:top w:w="15" w:type="dxa"/>
              <w:left w:w="15" w:type="dxa"/>
              <w:bottom w:w="0" w:type="dxa"/>
              <w:right w:w="15" w:type="dxa"/>
            </w:tcMar>
            <w:vAlign w:val="center"/>
          </w:tcPr>
          <w:p>
            <w:pPr>
              <w:pStyle w:val="29"/>
              <w:rPr>
                <w:b/>
                <w:bCs/>
              </w:rPr>
            </w:pPr>
            <w:r>
              <w:rPr>
                <w:rFonts w:hint="eastAsia"/>
                <w:b/>
                <w:bCs/>
              </w:rPr>
              <w:t>序号</w:t>
            </w:r>
          </w:p>
        </w:tc>
        <w:tc>
          <w:tcPr>
            <w:tcW w:w="1240" w:type="dxa"/>
            <w:tcMar>
              <w:top w:w="15" w:type="dxa"/>
              <w:left w:w="15" w:type="dxa"/>
              <w:bottom w:w="0" w:type="dxa"/>
              <w:right w:w="15" w:type="dxa"/>
            </w:tcMar>
            <w:vAlign w:val="center"/>
          </w:tcPr>
          <w:p>
            <w:pPr>
              <w:pStyle w:val="29"/>
              <w:rPr>
                <w:b/>
                <w:bCs/>
              </w:rPr>
            </w:pPr>
            <w:r>
              <w:rPr>
                <w:rFonts w:hint="eastAsia"/>
                <w:b/>
                <w:bCs/>
              </w:rPr>
              <w:t>姓  名</w:t>
            </w:r>
          </w:p>
        </w:tc>
        <w:tc>
          <w:tcPr>
            <w:tcW w:w="570" w:type="dxa"/>
            <w:tcMar>
              <w:top w:w="15" w:type="dxa"/>
              <w:left w:w="15" w:type="dxa"/>
              <w:bottom w:w="0" w:type="dxa"/>
              <w:right w:w="15" w:type="dxa"/>
            </w:tcMar>
            <w:vAlign w:val="center"/>
          </w:tcPr>
          <w:p>
            <w:pPr>
              <w:pStyle w:val="29"/>
              <w:rPr>
                <w:b/>
                <w:bCs/>
              </w:rPr>
            </w:pPr>
            <w:r>
              <w:rPr>
                <w:rFonts w:hint="eastAsia"/>
                <w:b/>
                <w:bCs/>
              </w:rPr>
              <w:t>性别</w:t>
            </w:r>
          </w:p>
        </w:tc>
        <w:tc>
          <w:tcPr>
            <w:tcW w:w="570" w:type="dxa"/>
            <w:tcMar>
              <w:top w:w="15" w:type="dxa"/>
              <w:left w:w="15" w:type="dxa"/>
              <w:bottom w:w="0" w:type="dxa"/>
              <w:right w:w="15" w:type="dxa"/>
            </w:tcMar>
            <w:vAlign w:val="center"/>
          </w:tcPr>
          <w:p>
            <w:pPr>
              <w:pStyle w:val="29"/>
              <w:rPr>
                <w:b/>
                <w:bCs/>
              </w:rPr>
            </w:pPr>
            <w:r>
              <w:rPr>
                <w:rFonts w:hint="eastAsia"/>
                <w:b/>
                <w:bCs/>
              </w:rPr>
              <w:t>年龄</w:t>
            </w:r>
          </w:p>
        </w:tc>
        <w:tc>
          <w:tcPr>
            <w:tcW w:w="570" w:type="dxa"/>
            <w:tcMar>
              <w:top w:w="15" w:type="dxa"/>
              <w:left w:w="15" w:type="dxa"/>
              <w:bottom w:w="0" w:type="dxa"/>
              <w:right w:w="15" w:type="dxa"/>
            </w:tcMar>
            <w:vAlign w:val="center"/>
          </w:tcPr>
          <w:p>
            <w:pPr>
              <w:pStyle w:val="29"/>
              <w:rPr>
                <w:b/>
                <w:bCs/>
              </w:rPr>
            </w:pPr>
            <w:r>
              <w:rPr>
                <w:rFonts w:hint="eastAsia"/>
                <w:b/>
                <w:bCs/>
              </w:rPr>
              <w:t>学历</w:t>
            </w:r>
          </w:p>
        </w:tc>
        <w:tc>
          <w:tcPr>
            <w:tcW w:w="835" w:type="dxa"/>
            <w:tcMar>
              <w:top w:w="15" w:type="dxa"/>
              <w:left w:w="15" w:type="dxa"/>
              <w:bottom w:w="0" w:type="dxa"/>
              <w:right w:w="15" w:type="dxa"/>
            </w:tcMar>
            <w:vAlign w:val="center"/>
          </w:tcPr>
          <w:p>
            <w:pPr>
              <w:pStyle w:val="29"/>
              <w:rPr>
                <w:b/>
                <w:bCs/>
              </w:rPr>
            </w:pPr>
            <w:r>
              <w:rPr>
                <w:rFonts w:hint="eastAsia"/>
                <w:b/>
                <w:bCs/>
              </w:rPr>
              <w:t>技术</w:t>
            </w:r>
          </w:p>
          <w:p>
            <w:pPr>
              <w:pStyle w:val="29"/>
              <w:rPr>
                <w:b/>
                <w:bCs/>
              </w:rPr>
            </w:pPr>
            <w:r>
              <w:rPr>
                <w:rFonts w:hint="eastAsia"/>
                <w:b/>
                <w:bCs/>
              </w:rPr>
              <w:t>职称</w:t>
            </w:r>
          </w:p>
        </w:tc>
        <w:tc>
          <w:tcPr>
            <w:tcW w:w="1157" w:type="dxa"/>
            <w:tcMar>
              <w:top w:w="15" w:type="dxa"/>
              <w:left w:w="15" w:type="dxa"/>
              <w:bottom w:w="0" w:type="dxa"/>
              <w:right w:w="15" w:type="dxa"/>
            </w:tcMar>
          </w:tcPr>
          <w:p>
            <w:pPr>
              <w:pStyle w:val="29"/>
              <w:rPr>
                <w:b/>
                <w:bCs/>
              </w:rPr>
            </w:pPr>
            <w:r>
              <w:rPr>
                <w:rFonts w:hint="eastAsia"/>
                <w:b/>
                <w:bCs/>
              </w:rPr>
              <w:t>资格证</w:t>
            </w:r>
          </w:p>
          <w:p>
            <w:pPr>
              <w:pStyle w:val="29"/>
              <w:rPr>
                <w:b/>
                <w:bCs/>
              </w:rPr>
            </w:pPr>
            <w:r>
              <w:rPr>
                <w:rFonts w:hint="eastAsia"/>
                <w:b/>
                <w:bCs/>
              </w:rPr>
              <w:t>书种类</w:t>
            </w:r>
          </w:p>
        </w:tc>
        <w:tc>
          <w:tcPr>
            <w:tcW w:w="748" w:type="dxa"/>
            <w:tcMar>
              <w:top w:w="15" w:type="dxa"/>
              <w:left w:w="15" w:type="dxa"/>
              <w:bottom w:w="0" w:type="dxa"/>
              <w:right w:w="15" w:type="dxa"/>
            </w:tcMar>
            <w:vAlign w:val="center"/>
          </w:tcPr>
          <w:p>
            <w:pPr>
              <w:pStyle w:val="29"/>
              <w:rPr>
                <w:b/>
                <w:bCs/>
              </w:rPr>
            </w:pPr>
            <w:r>
              <w:rPr>
                <w:rFonts w:hint="eastAsia"/>
                <w:b/>
                <w:bCs/>
              </w:rPr>
              <w:t>工作</w:t>
            </w:r>
          </w:p>
          <w:p>
            <w:pPr>
              <w:pStyle w:val="29"/>
              <w:rPr>
                <w:b/>
                <w:bCs/>
              </w:rPr>
            </w:pPr>
            <w:r>
              <w:rPr>
                <w:rFonts w:hint="eastAsia"/>
                <w:b/>
                <w:bCs/>
              </w:rPr>
              <w:t>年限</w:t>
            </w:r>
          </w:p>
        </w:tc>
        <w:tc>
          <w:tcPr>
            <w:tcW w:w="1877" w:type="dxa"/>
            <w:tcMar>
              <w:top w:w="15" w:type="dxa"/>
              <w:left w:w="15" w:type="dxa"/>
              <w:bottom w:w="0" w:type="dxa"/>
              <w:right w:w="15" w:type="dxa"/>
            </w:tcMar>
            <w:vAlign w:val="center"/>
          </w:tcPr>
          <w:p>
            <w:pPr>
              <w:pStyle w:val="29"/>
              <w:rPr>
                <w:b/>
                <w:bCs/>
              </w:rPr>
            </w:pPr>
            <w:r>
              <w:rPr>
                <w:rFonts w:hint="eastAsia"/>
                <w:b/>
                <w:bCs/>
              </w:rPr>
              <w:t>拟担任的职务</w:t>
            </w:r>
          </w:p>
        </w:tc>
        <w:tc>
          <w:tcPr>
            <w:tcW w:w="680" w:type="dxa"/>
            <w:tcMar>
              <w:top w:w="15" w:type="dxa"/>
              <w:left w:w="15" w:type="dxa"/>
              <w:bottom w:w="0" w:type="dxa"/>
              <w:right w:w="15" w:type="dxa"/>
            </w:tcMar>
            <w:vAlign w:val="center"/>
          </w:tcPr>
          <w:p>
            <w:pPr>
              <w:pStyle w:val="29"/>
              <w:rPr>
                <w:b/>
                <w:bCs/>
              </w:rPr>
            </w:pPr>
            <w:r>
              <w:rPr>
                <w:rFonts w:hint="eastAsia"/>
                <w:b/>
                <w:bCs/>
              </w:rPr>
              <w:t>岗位</w:t>
            </w:r>
          </w:p>
          <w:p>
            <w:pPr>
              <w:pStyle w:val="29"/>
              <w:rPr>
                <w:b/>
                <w:bCs/>
              </w:rPr>
            </w:pPr>
            <w:r>
              <w:rPr>
                <w:rFonts w:hint="eastAsia"/>
                <w:b/>
                <w:bCs/>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bottom"/>
          </w:tcPr>
          <w:p>
            <w:pPr>
              <w:pStyle w:val="29"/>
            </w:pPr>
          </w:p>
        </w:tc>
        <w:tc>
          <w:tcPr>
            <w:tcW w:w="1240" w:type="dxa"/>
            <w:tcMar>
              <w:top w:w="15" w:type="dxa"/>
              <w:left w:w="15" w:type="dxa"/>
              <w:bottom w:w="0" w:type="dxa"/>
              <w:right w:w="15" w:type="dxa"/>
            </w:tcMar>
            <w:vAlign w:val="bottom"/>
          </w:tcPr>
          <w:p>
            <w:pPr>
              <w:pStyle w:val="29"/>
            </w:pPr>
          </w:p>
        </w:tc>
        <w:tc>
          <w:tcPr>
            <w:tcW w:w="570" w:type="dxa"/>
            <w:tcMar>
              <w:top w:w="15" w:type="dxa"/>
              <w:left w:w="15" w:type="dxa"/>
              <w:bottom w:w="0" w:type="dxa"/>
              <w:right w:w="15" w:type="dxa"/>
            </w:tcMar>
            <w:vAlign w:val="bottom"/>
          </w:tcPr>
          <w:p>
            <w:pPr>
              <w:pStyle w:val="29"/>
            </w:pPr>
          </w:p>
        </w:tc>
        <w:tc>
          <w:tcPr>
            <w:tcW w:w="570" w:type="dxa"/>
            <w:tcMar>
              <w:top w:w="15" w:type="dxa"/>
              <w:left w:w="15" w:type="dxa"/>
              <w:bottom w:w="0" w:type="dxa"/>
              <w:right w:w="15" w:type="dxa"/>
            </w:tcMar>
            <w:vAlign w:val="bottom"/>
          </w:tcPr>
          <w:p>
            <w:pPr>
              <w:pStyle w:val="29"/>
            </w:pPr>
          </w:p>
        </w:tc>
        <w:tc>
          <w:tcPr>
            <w:tcW w:w="570" w:type="dxa"/>
            <w:tcMar>
              <w:top w:w="15" w:type="dxa"/>
              <w:left w:w="15" w:type="dxa"/>
              <w:bottom w:w="0" w:type="dxa"/>
              <w:right w:w="15" w:type="dxa"/>
            </w:tcMar>
            <w:vAlign w:val="bottom"/>
          </w:tcPr>
          <w:p>
            <w:pPr>
              <w:pStyle w:val="29"/>
            </w:pPr>
          </w:p>
        </w:tc>
        <w:tc>
          <w:tcPr>
            <w:tcW w:w="835" w:type="dxa"/>
            <w:tcMar>
              <w:top w:w="15" w:type="dxa"/>
              <w:left w:w="15" w:type="dxa"/>
              <w:bottom w:w="0" w:type="dxa"/>
              <w:right w:w="15" w:type="dxa"/>
            </w:tcMar>
            <w:vAlign w:val="bottom"/>
          </w:tcPr>
          <w:p>
            <w:pPr>
              <w:pStyle w:val="29"/>
            </w:pPr>
          </w:p>
        </w:tc>
        <w:tc>
          <w:tcPr>
            <w:tcW w:w="1157" w:type="dxa"/>
            <w:tcMar>
              <w:top w:w="15" w:type="dxa"/>
              <w:left w:w="15" w:type="dxa"/>
              <w:bottom w:w="0" w:type="dxa"/>
              <w:right w:w="15" w:type="dxa"/>
            </w:tcMar>
          </w:tcPr>
          <w:p>
            <w:pPr>
              <w:pStyle w:val="29"/>
            </w:pPr>
          </w:p>
        </w:tc>
        <w:tc>
          <w:tcPr>
            <w:tcW w:w="748" w:type="dxa"/>
            <w:tcMar>
              <w:top w:w="15" w:type="dxa"/>
              <w:left w:w="15" w:type="dxa"/>
              <w:bottom w:w="0" w:type="dxa"/>
              <w:right w:w="15" w:type="dxa"/>
            </w:tcMar>
            <w:vAlign w:val="bottom"/>
          </w:tcPr>
          <w:p>
            <w:pPr>
              <w:pStyle w:val="29"/>
            </w:pPr>
          </w:p>
        </w:tc>
        <w:tc>
          <w:tcPr>
            <w:tcW w:w="1877" w:type="dxa"/>
            <w:tcMar>
              <w:top w:w="15" w:type="dxa"/>
              <w:left w:w="15" w:type="dxa"/>
              <w:bottom w:w="0" w:type="dxa"/>
              <w:right w:w="15" w:type="dxa"/>
            </w:tcMar>
            <w:vAlign w:val="bottom"/>
          </w:tcPr>
          <w:p>
            <w:pPr>
              <w:pStyle w:val="29"/>
            </w:pPr>
          </w:p>
        </w:tc>
        <w:tc>
          <w:tcPr>
            <w:tcW w:w="680" w:type="dxa"/>
            <w:tcMar>
              <w:top w:w="15" w:type="dxa"/>
              <w:left w:w="15" w:type="dxa"/>
              <w:bottom w:w="0" w:type="dxa"/>
              <w:right w:w="15" w:type="dxa"/>
            </w:tcMar>
            <w:vAlign w:val="bottom"/>
          </w:tcPr>
          <w:p>
            <w:pPr>
              <w:pStyle w:val="2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bottom"/>
          </w:tcPr>
          <w:p>
            <w:pPr>
              <w:pStyle w:val="29"/>
            </w:pPr>
          </w:p>
        </w:tc>
        <w:tc>
          <w:tcPr>
            <w:tcW w:w="1240" w:type="dxa"/>
            <w:tcMar>
              <w:top w:w="15" w:type="dxa"/>
              <w:left w:w="15" w:type="dxa"/>
              <w:bottom w:w="0" w:type="dxa"/>
              <w:right w:w="15" w:type="dxa"/>
            </w:tcMar>
            <w:vAlign w:val="bottom"/>
          </w:tcPr>
          <w:p>
            <w:pPr>
              <w:pStyle w:val="29"/>
            </w:pPr>
          </w:p>
        </w:tc>
        <w:tc>
          <w:tcPr>
            <w:tcW w:w="570" w:type="dxa"/>
            <w:tcMar>
              <w:top w:w="15" w:type="dxa"/>
              <w:left w:w="15" w:type="dxa"/>
              <w:bottom w:w="0" w:type="dxa"/>
              <w:right w:w="15" w:type="dxa"/>
            </w:tcMar>
            <w:vAlign w:val="bottom"/>
          </w:tcPr>
          <w:p>
            <w:pPr>
              <w:pStyle w:val="29"/>
            </w:pPr>
          </w:p>
        </w:tc>
        <w:tc>
          <w:tcPr>
            <w:tcW w:w="570" w:type="dxa"/>
            <w:tcMar>
              <w:top w:w="15" w:type="dxa"/>
              <w:left w:w="15" w:type="dxa"/>
              <w:bottom w:w="0" w:type="dxa"/>
              <w:right w:w="15" w:type="dxa"/>
            </w:tcMar>
            <w:vAlign w:val="bottom"/>
          </w:tcPr>
          <w:p>
            <w:pPr>
              <w:pStyle w:val="29"/>
            </w:pPr>
          </w:p>
        </w:tc>
        <w:tc>
          <w:tcPr>
            <w:tcW w:w="570" w:type="dxa"/>
            <w:tcMar>
              <w:top w:w="15" w:type="dxa"/>
              <w:left w:w="15" w:type="dxa"/>
              <w:bottom w:w="0" w:type="dxa"/>
              <w:right w:w="15" w:type="dxa"/>
            </w:tcMar>
            <w:vAlign w:val="bottom"/>
          </w:tcPr>
          <w:p>
            <w:pPr>
              <w:pStyle w:val="29"/>
            </w:pPr>
          </w:p>
        </w:tc>
        <w:tc>
          <w:tcPr>
            <w:tcW w:w="835" w:type="dxa"/>
            <w:tcMar>
              <w:top w:w="15" w:type="dxa"/>
              <w:left w:w="15" w:type="dxa"/>
              <w:bottom w:w="0" w:type="dxa"/>
              <w:right w:w="15" w:type="dxa"/>
            </w:tcMar>
            <w:vAlign w:val="bottom"/>
          </w:tcPr>
          <w:p>
            <w:pPr>
              <w:pStyle w:val="29"/>
            </w:pPr>
          </w:p>
        </w:tc>
        <w:tc>
          <w:tcPr>
            <w:tcW w:w="1157" w:type="dxa"/>
            <w:tcMar>
              <w:top w:w="15" w:type="dxa"/>
              <w:left w:w="15" w:type="dxa"/>
              <w:bottom w:w="0" w:type="dxa"/>
              <w:right w:w="15" w:type="dxa"/>
            </w:tcMar>
          </w:tcPr>
          <w:p>
            <w:pPr>
              <w:pStyle w:val="29"/>
            </w:pPr>
          </w:p>
        </w:tc>
        <w:tc>
          <w:tcPr>
            <w:tcW w:w="748" w:type="dxa"/>
            <w:tcMar>
              <w:top w:w="15" w:type="dxa"/>
              <w:left w:w="15" w:type="dxa"/>
              <w:bottom w:w="0" w:type="dxa"/>
              <w:right w:w="15" w:type="dxa"/>
            </w:tcMar>
            <w:vAlign w:val="bottom"/>
          </w:tcPr>
          <w:p>
            <w:pPr>
              <w:pStyle w:val="29"/>
            </w:pPr>
          </w:p>
        </w:tc>
        <w:tc>
          <w:tcPr>
            <w:tcW w:w="1877" w:type="dxa"/>
            <w:tcMar>
              <w:top w:w="15" w:type="dxa"/>
              <w:left w:w="15" w:type="dxa"/>
              <w:bottom w:w="0" w:type="dxa"/>
              <w:right w:w="15" w:type="dxa"/>
            </w:tcMar>
            <w:vAlign w:val="bottom"/>
          </w:tcPr>
          <w:p>
            <w:pPr>
              <w:pStyle w:val="29"/>
            </w:pPr>
          </w:p>
        </w:tc>
        <w:tc>
          <w:tcPr>
            <w:tcW w:w="680" w:type="dxa"/>
            <w:tcMar>
              <w:top w:w="15" w:type="dxa"/>
              <w:left w:w="15" w:type="dxa"/>
              <w:bottom w:w="0" w:type="dxa"/>
              <w:right w:w="15" w:type="dxa"/>
            </w:tcMar>
            <w:vAlign w:val="bottom"/>
          </w:tcPr>
          <w:p>
            <w:pPr>
              <w:pStyle w:val="2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57" w:type="dxa"/>
            <w:tcMar>
              <w:top w:w="15" w:type="dxa"/>
              <w:left w:w="15" w:type="dxa"/>
              <w:bottom w:w="0" w:type="dxa"/>
              <w:right w:w="15" w:type="dxa"/>
            </w:tcMar>
            <w:vAlign w:val="bottom"/>
          </w:tcPr>
          <w:p>
            <w:pPr>
              <w:pStyle w:val="29"/>
            </w:pPr>
          </w:p>
        </w:tc>
        <w:tc>
          <w:tcPr>
            <w:tcW w:w="1240" w:type="dxa"/>
            <w:tcMar>
              <w:top w:w="15" w:type="dxa"/>
              <w:left w:w="15" w:type="dxa"/>
              <w:bottom w:w="0" w:type="dxa"/>
              <w:right w:w="15" w:type="dxa"/>
            </w:tcMar>
            <w:vAlign w:val="bottom"/>
          </w:tcPr>
          <w:p>
            <w:pPr>
              <w:pStyle w:val="29"/>
            </w:pPr>
          </w:p>
        </w:tc>
        <w:tc>
          <w:tcPr>
            <w:tcW w:w="570" w:type="dxa"/>
            <w:tcMar>
              <w:top w:w="15" w:type="dxa"/>
              <w:left w:w="15" w:type="dxa"/>
              <w:bottom w:w="0" w:type="dxa"/>
              <w:right w:w="15" w:type="dxa"/>
            </w:tcMar>
            <w:vAlign w:val="bottom"/>
          </w:tcPr>
          <w:p>
            <w:pPr>
              <w:pStyle w:val="29"/>
            </w:pPr>
          </w:p>
        </w:tc>
        <w:tc>
          <w:tcPr>
            <w:tcW w:w="570" w:type="dxa"/>
            <w:tcMar>
              <w:top w:w="15" w:type="dxa"/>
              <w:left w:w="15" w:type="dxa"/>
              <w:bottom w:w="0" w:type="dxa"/>
              <w:right w:w="15" w:type="dxa"/>
            </w:tcMar>
            <w:vAlign w:val="bottom"/>
          </w:tcPr>
          <w:p>
            <w:pPr>
              <w:pStyle w:val="29"/>
            </w:pPr>
          </w:p>
        </w:tc>
        <w:tc>
          <w:tcPr>
            <w:tcW w:w="570" w:type="dxa"/>
            <w:tcMar>
              <w:top w:w="15" w:type="dxa"/>
              <w:left w:w="15" w:type="dxa"/>
              <w:bottom w:w="0" w:type="dxa"/>
              <w:right w:w="15" w:type="dxa"/>
            </w:tcMar>
            <w:vAlign w:val="bottom"/>
          </w:tcPr>
          <w:p>
            <w:pPr>
              <w:pStyle w:val="29"/>
            </w:pPr>
          </w:p>
        </w:tc>
        <w:tc>
          <w:tcPr>
            <w:tcW w:w="835" w:type="dxa"/>
            <w:tcMar>
              <w:top w:w="15" w:type="dxa"/>
              <w:left w:w="15" w:type="dxa"/>
              <w:bottom w:w="0" w:type="dxa"/>
              <w:right w:w="15" w:type="dxa"/>
            </w:tcMar>
            <w:vAlign w:val="bottom"/>
          </w:tcPr>
          <w:p>
            <w:pPr>
              <w:pStyle w:val="29"/>
            </w:pPr>
          </w:p>
        </w:tc>
        <w:tc>
          <w:tcPr>
            <w:tcW w:w="1157" w:type="dxa"/>
            <w:tcMar>
              <w:top w:w="15" w:type="dxa"/>
              <w:left w:w="15" w:type="dxa"/>
              <w:bottom w:w="0" w:type="dxa"/>
              <w:right w:w="15" w:type="dxa"/>
            </w:tcMar>
          </w:tcPr>
          <w:p>
            <w:pPr>
              <w:pStyle w:val="29"/>
            </w:pPr>
          </w:p>
        </w:tc>
        <w:tc>
          <w:tcPr>
            <w:tcW w:w="748" w:type="dxa"/>
            <w:tcMar>
              <w:top w:w="15" w:type="dxa"/>
              <w:left w:w="15" w:type="dxa"/>
              <w:bottom w:w="0" w:type="dxa"/>
              <w:right w:w="15" w:type="dxa"/>
            </w:tcMar>
            <w:vAlign w:val="bottom"/>
          </w:tcPr>
          <w:p>
            <w:pPr>
              <w:pStyle w:val="29"/>
            </w:pPr>
          </w:p>
        </w:tc>
        <w:tc>
          <w:tcPr>
            <w:tcW w:w="1877" w:type="dxa"/>
            <w:tcMar>
              <w:top w:w="15" w:type="dxa"/>
              <w:left w:w="15" w:type="dxa"/>
              <w:bottom w:w="0" w:type="dxa"/>
              <w:right w:w="15" w:type="dxa"/>
            </w:tcMar>
            <w:vAlign w:val="bottom"/>
          </w:tcPr>
          <w:p>
            <w:pPr>
              <w:pStyle w:val="29"/>
            </w:pPr>
          </w:p>
        </w:tc>
        <w:tc>
          <w:tcPr>
            <w:tcW w:w="680" w:type="dxa"/>
            <w:tcMar>
              <w:top w:w="15" w:type="dxa"/>
              <w:left w:w="15" w:type="dxa"/>
              <w:bottom w:w="0" w:type="dxa"/>
              <w:right w:w="15" w:type="dxa"/>
            </w:tcMar>
            <w:vAlign w:val="bottom"/>
          </w:tcPr>
          <w:p>
            <w:pPr>
              <w:pStyle w:val="2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bottom"/>
          </w:tcPr>
          <w:p>
            <w:pPr>
              <w:pStyle w:val="29"/>
            </w:pPr>
          </w:p>
        </w:tc>
        <w:tc>
          <w:tcPr>
            <w:tcW w:w="1240" w:type="dxa"/>
            <w:tcMar>
              <w:top w:w="15" w:type="dxa"/>
              <w:left w:w="15" w:type="dxa"/>
              <w:bottom w:w="0" w:type="dxa"/>
              <w:right w:w="15" w:type="dxa"/>
            </w:tcMar>
            <w:vAlign w:val="bottom"/>
          </w:tcPr>
          <w:p>
            <w:pPr>
              <w:pStyle w:val="29"/>
            </w:pPr>
          </w:p>
        </w:tc>
        <w:tc>
          <w:tcPr>
            <w:tcW w:w="570" w:type="dxa"/>
            <w:tcMar>
              <w:top w:w="15" w:type="dxa"/>
              <w:left w:w="15" w:type="dxa"/>
              <w:bottom w:w="0" w:type="dxa"/>
              <w:right w:w="15" w:type="dxa"/>
            </w:tcMar>
            <w:vAlign w:val="bottom"/>
          </w:tcPr>
          <w:p>
            <w:pPr>
              <w:pStyle w:val="29"/>
            </w:pPr>
          </w:p>
        </w:tc>
        <w:tc>
          <w:tcPr>
            <w:tcW w:w="570" w:type="dxa"/>
            <w:tcMar>
              <w:top w:w="15" w:type="dxa"/>
              <w:left w:w="15" w:type="dxa"/>
              <w:bottom w:w="0" w:type="dxa"/>
              <w:right w:w="15" w:type="dxa"/>
            </w:tcMar>
            <w:vAlign w:val="bottom"/>
          </w:tcPr>
          <w:p>
            <w:pPr>
              <w:pStyle w:val="29"/>
            </w:pPr>
          </w:p>
        </w:tc>
        <w:tc>
          <w:tcPr>
            <w:tcW w:w="570" w:type="dxa"/>
            <w:tcMar>
              <w:top w:w="15" w:type="dxa"/>
              <w:left w:w="15" w:type="dxa"/>
              <w:bottom w:w="0" w:type="dxa"/>
              <w:right w:w="15" w:type="dxa"/>
            </w:tcMar>
            <w:vAlign w:val="bottom"/>
          </w:tcPr>
          <w:p>
            <w:pPr>
              <w:pStyle w:val="29"/>
            </w:pPr>
          </w:p>
        </w:tc>
        <w:tc>
          <w:tcPr>
            <w:tcW w:w="835" w:type="dxa"/>
            <w:tcMar>
              <w:top w:w="15" w:type="dxa"/>
              <w:left w:w="15" w:type="dxa"/>
              <w:bottom w:w="0" w:type="dxa"/>
              <w:right w:w="15" w:type="dxa"/>
            </w:tcMar>
            <w:vAlign w:val="bottom"/>
          </w:tcPr>
          <w:p>
            <w:pPr>
              <w:pStyle w:val="29"/>
            </w:pPr>
          </w:p>
        </w:tc>
        <w:tc>
          <w:tcPr>
            <w:tcW w:w="1157" w:type="dxa"/>
            <w:tcMar>
              <w:top w:w="15" w:type="dxa"/>
              <w:left w:w="15" w:type="dxa"/>
              <w:bottom w:w="0" w:type="dxa"/>
              <w:right w:w="15" w:type="dxa"/>
            </w:tcMar>
          </w:tcPr>
          <w:p>
            <w:pPr>
              <w:pStyle w:val="29"/>
            </w:pPr>
          </w:p>
        </w:tc>
        <w:tc>
          <w:tcPr>
            <w:tcW w:w="748" w:type="dxa"/>
            <w:tcMar>
              <w:top w:w="15" w:type="dxa"/>
              <w:left w:w="15" w:type="dxa"/>
              <w:bottom w:w="0" w:type="dxa"/>
              <w:right w:w="15" w:type="dxa"/>
            </w:tcMar>
            <w:vAlign w:val="bottom"/>
          </w:tcPr>
          <w:p>
            <w:pPr>
              <w:pStyle w:val="29"/>
            </w:pPr>
          </w:p>
        </w:tc>
        <w:tc>
          <w:tcPr>
            <w:tcW w:w="1877" w:type="dxa"/>
            <w:tcMar>
              <w:top w:w="15" w:type="dxa"/>
              <w:left w:w="15" w:type="dxa"/>
              <w:bottom w:w="0" w:type="dxa"/>
              <w:right w:w="15" w:type="dxa"/>
            </w:tcMar>
            <w:vAlign w:val="bottom"/>
          </w:tcPr>
          <w:p>
            <w:pPr>
              <w:pStyle w:val="29"/>
            </w:pPr>
          </w:p>
        </w:tc>
        <w:tc>
          <w:tcPr>
            <w:tcW w:w="680" w:type="dxa"/>
            <w:tcMar>
              <w:top w:w="15" w:type="dxa"/>
              <w:left w:w="15" w:type="dxa"/>
              <w:bottom w:w="0" w:type="dxa"/>
              <w:right w:w="15" w:type="dxa"/>
            </w:tcMar>
            <w:vAlign w:val="bottom"/>
          </w:tcPr>
          <w:p>
            <w:pPr>
              <w:pStyle w:val="2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bottom"/>
          </w:tcPr>
          <w:p>
            <w:pPr>
              <w:pStyle w:val="29"/>
            </w:pPr>
          </w:p>
        </w:tc>
        <w:tc>
          <w:tcPr>
            <w:tcW w:w="1240" w:type="dxa"/>
            <w:tcMar>
              <w:top w:w="15" w:type="dxa"/>
              <w:left w:w="15" w:type="dxa"/>
              <w:bottom w:w="0" w:type="dxa"/>
              <w:right w:w="15" w:type="dxa"/>
            </w:tcMar>
            <w:vAlign w:val="bottom"/>
          </w:tcPr>
          <w:p>
            <w:pPr>
              <w:pStyle w:val="29"/>
            </w:pPr>
          </w:p>
        </w:tc>
        <w:tc>
          <w:tcPr>
            <w:tcW w:w="570" w:type="dxa"/>
            <w:tcMar>
              <w:top w:w="15" w:type="dxa"/>
              <w:left w:w="15" w:type="dxa"/>
              <w:bottom w:w="0" w:type="dxa"/>
              <w:right w:w="15" w:type="dxa"/>
            </w:tcMar>
            <w:vAlign w:val="bottom"/>
          </w:tcPr>
          <w:p>
            <w:pPr>
              <w:pStyle w:val="29"/>
            </w:pPr>
          </w:p>
        </w:tc>
        <w:tc>
          <w:tcPr>
            <w:tcW w:w="570" w:type="dxa"/>
            <w:tcMar>
              <w:top w:w="15" w:type="dxa"/>
              <w:left w:w="15" w:type="dxa"/>
              <w:bottom w:w="0" w:type="dxa"/>
              <w:right w:w="15" w:type="dxa"/>
            </w:tcMar>
            <w:vAlign w:val="bottom"/>
          </w:tcPr>
          <w:p>
            <w:pPr>
              <w:pStyle w:val="29"/>
            </w:pPr>
          </w:p>
        </w:tc>
        <w:tc>
          <w:tcPr>
            <w:tcW w:w="570" w:type="dxa"/>
            <w:tcMar>
              <w:top w:w="15" w:type="dxa"/>
              <w:left w:w="15" w:type="dxa"/>
              <w:bottom w:w="0" w:type="dxa"/>
              <w:right w:w="15" w:type="dxa"/>
            </w:tcMar>
            <w:vAlign w:val="bottom"/>
          </w:tcPr>
          <w:p>
            <w:pPr>
              <w:pStyle w:val="29"/>
            </w:pPr>
          </w:p>
        </w:tc>
        <w:tc>
          <w:tcPr>
            <w:tcW w:w="835" w:type="dxa"/>
            <w:tcMar>
              <w:top w:w="15" w:type="dxa"/>
              <w:left w:w="15" w:type="dxa"/>
              <w:bottom w:w="0" w:type="dxa"/>
              <w:right w:w="15" w:type="dxa"/>
            </w:tcMar>
            <w:vAlign w:val="bottom"/>
          </w:tcPr>
          <w:p>
            <w:pPr>
              <w:pStyle w:val="29"/>
            </w:pPr>
          </w:p>
        </w:tc>
        <w:tc>
          <w:tcPr>
            <w:tcW w:w="1157" w:type="dxa"/>
            <w:tcMar>
              <w:top w:w="15" w:type="dxa"/>
              <w:left w:w="15" w:type="dxa"/>
              <w:bottom w:w="0" w:type="dxa"/>
              <w:right w:w="15" w:type="dxa"/>
            </w:tcMar>
          </w:tcPr>
          <w:p>
            <w:pPr>
              <w:pStyle w:val="29"/>
            </w:pPr>
          </w:p>
        </w:tc>
        <w:tc>
          <w:tcPr>
            <w:tcW w:w="748" w:type="dxa"/>
            <w:tcMar>
              <w:top w:w="15" w:type="dxa"/>
              <w:left w:w="15" w:type="dxa"/>
              <w:bottom w:w="0" w:type="dxa"/>
              <w:right w:w="15" w:type="dxa"/>
            </w:tcMar>
            <w:vAlign w:val="bottom"/>
          </w:tcPr>
          <w:p>
            <w:pPr>
              <w:pStyle w:val="29"/>
            </w:pPr>
          </w:p>
        </w:tc>
        <w:tc>
          <w:tcPr>
            <w:tcW w:w="1877" w:type="dxa"/>
            <w:tcMar>
              <w:top w:w="15" w:type="dxa"/>
              <w:left w:w="15" w:type="dxa"/>
              <w:bottom w:w="0" w:type="dxa"/>
              <w:right w:w="15" w:type="dxa"/>
            </w:tcMar>
            <w:vAlign w:val="bottom"/>
          </w:tcPr>
          <w:p>
            <w:pPr>
              <w:pStyle w:val="29"/>
            </w:pPr>
          </w:p>
        </w:tc>
        <w:tc>
          <w:tcPr>
            <w:tcW w:w="680" w:type="dxa"/>
            <w:tcMar>
              <w:top w:w="15" w:type="dxa"/>
              <w:left w:w="15" w:type="dxa"/>
              <w:bottom w:w="0" w:type="dxa"/>
              <w:right w:w="15" w:type="dxa"/>
            </w:tcMar>
            <w:vAlign w:val="bottom"/>
          </w:tcPr>
          <w:p>
            <w:pPr>
              <w:pStyle w:val="2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57" w:type="dxa"/>
            <w:tcMar>
              <w:top w:w="15" w:type="dxa"/>
              <w:left w:w="15" w:type="dxa"/>
              <w:bottom w:w="0" w:type="dxa"/>
              <w:right w:w="15" w:type="dxa"/>
            </w:tcMar>
            <w:vAlign w:val="bottom"/>
          </w:tcPr>
          <w:p>
            <w:pPr>
              <w:pStyle w:val="29"/>
            </w:pPr>
          </w:p>
        </w:tc>
        <w:tc>
          <w:tcPr>
            <w:tcW w:w="1240" w:type="dxa"/>
            <w:tcMar>
              <w:top w:w="15" w:type="dxa"/>
              <w:left w:w="15" w:type="dxa"/>
              <w:bottom w:w="0" w:type="dxa"/>
              <w:right w:w="15" w:type="dxa"/>
            </w:tcMar>
            <w:vAlign w:val="bottom"/>
          </w:tcPr>
          <w:p>
            <w:pPr>
              <w:pStyle w:val="29"/>
            </w:pPr>
          </w:p>
        </w:tc>
        <w:tc>
          <w:tcPr>
            <w:tcW w:w="570" w:type="dxa"/>
            <w:tcMar>
              <w:top w:w="15" w:type="dxa"/>
              <w:left w:w="15" w:type="dxa"/>
              <w:bottom w:w="0" w:type="dxa"/>
              <w:right w:w="15" w:type="dxa"/>
            </w:tcMar>
            <w:vAlign w:val="bottom"/>
          </w:tcPr>
          <w:p>
            <w:pPr>
              <w:pStyle w:val="29"/>
            </w:pPr>
          </w:p>
        </w:tc>
        <w:tc>
          <w:tcPr>
            <w:tcW w:w="570" w:type="dxa"/>
            <w:tcMar>
              <w:top w:w="15" w:type="dxa"/>
              <w:left w:w="15" w:type="dxa"/>
              <w:bottom w:w="0" w:type="dxa"/>
              <w:right w:w="15" w:type="dxa"/>
            </w:tcMar>
            <w:vAlign w:val="bottom"/>
          </w:tcPr>
          <w:p>
            <w:pPr>
              <w:pStyle w:val="29"/>
            </w:pPr>
          </w:p>
        </w:tc>
        <w:tc>
          <w:tcPr>
            <w:tcW w:w="570" w:type="dxa"/>
            <w:tcMar>
              <w:top w:w="15" w:type="dxa"/>
              <w:left w:w="15" w:type="dxa"/>
              <w:bottom w:w="0" w:type="dxa"/>
              <w:right w:w="15" w:type="dxa"/>
            </w:tcMar>
            <w:vAlign w:val="bottom"/>
          </w:tcPr>
          <w:p>
            <w:pPr>
              <w:pStyle w:val="29"/>
            </w:pPr>
          </w:p>
        </w:tc>
        <w:tc>
          <w:tcPr>
            <w:tcW w:w="835" w:type="dxa"/>
            <w:tcMar>
              <w:top w:w="15" w:type="dxa"/>
              <w:left w:w="15" w:type="dxa"/>
              <w:bottom w:w="0" w:type="dxa"/>
              <w:right w:w="15" w:type="dxa"/>
            </w:tcMar>
            <w:vAlign w:val="bottom"/>
          </w:tcPr>
          <w:p>
            <w:pPr>
              <w:pStyle w:val="29"/>
            </w:pPr>
          </w:p>
        </w:tc>
        <w:tc>
          <w:tcPr>
            <w:tcW w:w="1157" w:type="dxa"/>
            <w:tcMar>
              <w:top w:w="15" w:type="dxa"/>
              <w:left w:w="15" w:type="dxa"/>
              <w:bottom w:w="0" w:type="dxa"/>
              <w:right w:w="15" w:type="dxa"/>
            </w:tcMar>
          </w:tcPr>
          <w:p>
            <w:pPr>
              <w:pStyle w:val="29"/>
            </w:pPr>
          </w:p>
        </w:tc>
        <w:tc>
          <w:tcPr>
            <w:tcW w:w="748" w:type="dxa"/>
            <w:tcMar>
              <w:top w:w="15" w:type="dxa"/>
              <w:left w:w="15" w:type="dxa"/>
              <w:bottom w:w="0" w:type="dxa"/>
              <w:right w:w="15" w:type="dxa"/>
            </w:tcMar>
            <w:vAlign w:val="bottom"/>
          </w:tcPr>
          <w:p>
            <w:pPr>
              <w:pStyle w:val="29"/>
            </w:pPr>
          </w:p>
        </w:tc>
        <w:tc>
          <w:tcPr>
            <w:tcW w:w="1877" w:type="dxa"/>
            <w:tcMar>
              <w:top w:w="15" w:type="dxa"/>
              <w:left w:w="15" w:type="dxa"/>
              <w:bottom w:w="0" w:type="dxa"/>
              <w:right w:w="15" w:type="dxa"/>
            </w:tcMar>
            <w:vAlign w:val="bottom"/>
          </w:tcPr>
          <w:p>
            <w:pPr>
              <w:pStyle w:val="29"/>
            </w:pPr>
          </w:p>
        </w:tc>
        <w:tc>
          <w:tcPr>
            <w:tcW w:w="680" w:type="dxa"/>
            <w:tcMar>
              <w:top w:w="15" w:type="dxa"/>
              <w:left w:w="15" w:type="dxa"/>
              <w:bottom w:w="0" w:type="dxa"/>
              <w:right w:w="15" w:type="dxa"/>
            </w:tcMar>
            <w:vAlign w:val="bottom"/>
          </w:tcPr>
          <w:p>
            <w:pPr>
              <w:pStyle w:val="2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bottom"/>
          </w:tcPr>
          <w:p>
            <w:pPr>
              <w:pStyle w:val="29"/>
            </w:pPr>
          </w:p>
        </w:tc>
        <w:tc>
          <w:tcPr>
            <w:tcW w:w="1240" w:type="dxa"/>
            <w:tcMar>
              <w:top w:w="15" w:type="dxa"/>
              <w:left w:w="15" w:type="dxa"/>
              <w:bottom w:w="0" w:type="dxa"/>
              <w:right w:w="15" w:type="dxa"/>
            </w:tcMar>
            <w:vAlign w:val="bottom"/>
          </w:tcPr>
          <w:p>
            <w:pPr>
              <w:pStyle w:val="29"/>
            </w:pPr>
          </w:p>
        </w:tc>
        <w:tc>
          <w:tcPr>
            <w:tcW w:w="570" w:type="dxa"/>
            <w:tcMar>
              <w:top w:w="15" w:type="dxa"/>
              <w:left w:w="15" w:type="dxa"/>
              <w:bottom w:w="0" w:type="dxa"/>
              <w:right w:w="15" w:type="dxa"/>
            </w:tcMar>
            <w:vAlign w:val="bottom"/>
          </w:tcPr>
          <w:p>
            <w:pPr>
              <w:pStyle w:val="29"/>
            </w:pPr>
          </w:p>
        </w:tc>
        <w:tc>
          <w:tcPr>
            <w:tcW w:w="570" w:type="dxa"/>
            <w:tcMar>
              <w:top w:w="15" w:type="dxa"/>
              <w:left w:w="15" w:type="dxa"/>
              <w:bottom w:w="0" w:type="dxa"/>
              <w:right w:w="15" w:type="dxa"/>
            </w:tcMar>
            <w:vAlign w:val="bottom"/>
          </w:tcPr>
          <w:p>
            <w:pPr>
              <w:pStyle w:val="29"/>
            </w:pPr>
          </w:p>
        </w:tc>
        <w:tc>
          <w:tcPr>
            <w:tcW w:w="570" w:type="dxa"/>
            <w:tcMar>
              <w:top w:w="15" w:type="dxa"/>
              <w:left w:w="15" w:type="dxa"/>
              <w:bottom w:w="0" w:type="dxa"/>
              <w:right w:w="15" w:type="dxa"/>
            </w:tcMar>
            <w:vAlign w:val="bottom"/>
          </w:tcPr>
          <w:p>
            <w:pPr>
              <w:pStyle w:val="29"/>
            </w:pPr>
          </w:p>
        </w:tc>
        <w:tc>
          <w:tcPr>
            <w:tcW w:w="835" w:type="dxa"/>
            <w:tcMar>
              <w:top w:w="15" w:type="dxa"/>
              <w:left w:w="15" w:type="dxa"/>
              <w:bottom w:w="0" w:type="dxa"/>
              <w:right w:w="15" w:type="dxa"/>
            </w:tcMar>
            <w:vAlign w:val="bottom"/>
          </w:tcPr>
          <w:p>
            <w:pPr>
              <w:pStyle w:val="29"/>
            </w:pPr>
          </w:p>
        </w:tc>
        <w:tc>
          <w:tcPr>
            <w:tcW w:w="1157" w:type="dxa"/>
            <w:tcMar>
              <w:top w:w="15" w:type="dxa"/>
              <w:left w:w="15" w:type="dxa"/>
              <w:bottom w:w="0" w:type="dxa"/>
              <w:right w:w="15" w:type="dxa"/>
            </w:tcMar>
          </w:tcPr>
          <w:p>
            <w:pPr>
              <w:pStyle w:val="29"/>
            </w:pPr>
          </w:p>
        </w:tc>
        <w:tc>
          <w:tcPr>
            <w:tcW w:w="748" w:type="dxa"/>
            <w:tcMar>
              <w:top w:w="15" w:type="dxa"/>
              <w:left w:w="15" w:type="dxa"/>
              <w:bottom w:w="0" w:type="dxa"/>
              <w:right w:w="15" w:type="dxa"/>
            </w:tcMar>
            <w:vAlign w:val="bottom"/>
          </w:tcPr>
          <w:p>
            <w:pPr>
              <w:pStyle w:val="29"/>
            </w:pPr>
          </w:p>
        </w:tc>
        <w:tc>
          <w:tcPr>
            <w:tcW w:w="1877" w:type="dxa"/>
            <w:tcMar>
              <w:top w:w="15" w:type="dxa"/>
              <w:left w:w="15" w:type="dxa"/>
              <w:bottom w:w="0" w:type="dxa"/>
              <w:right w:w="15" w:type="dxa"/>
            </w:tcMar>
            <w:vAlign w:val="bottom"/>
          </w:tcPr>
          <w:p>
            <w:pPr>
              <w:pStyle w:val="29"/>
            </w:pPr>
          </w:p>
        </w:tc>
        <w:tc>
          <w:tcPr>
            <w:tcW w:w="680" w:type="dxa"/>
            <w:tcMar>
              <w:top w:w="15" w:type="dxa"/>
              <w:left w:w="15" w:type="dxa"/>
              <w:bottom w:w="0" w:type="dxa"/>
              <w:right w:w="15" w:type="dxa"/>
            </w:tcMar>
            <w:vAlign w:val="bottom"/>
          </w:tcPr>
          <w:p>
            <w:pPr>
              <w:pStyle w:val="2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bottom"/>
          </w:tcPr>
          <w:p>
            <w:pPr>
              <w:pStyle w:val="29"/>
            </w:pPr>
          </w:p>
        </w:tc>
        <w:tc>
          <w:tcPr>
            <w:tcW w:w="1240" w:type="dxa"/>
            <w:tcMar>
              <w:top w:w="15" w:type="dxa"/>
              <w:left w:w="15" w:type="dxa"/>
              <w:bottom w:w="0" w:type="dxa"/>
              <w:right w:w="15" w:type="dxa"/>
            </w:tcMar>
            <w:vAlign w:val="bottom"/>
          </w:tcPr>
          <w:p>
            <w:pPr>
              <w:pStyle w:val="29"/>
            </w:pPr>
          </w:p>
        </w:tc>
        <w:tc>
          <w:tcPr>
            <w:tcW w:w="570" w:type="dxa"/>
            <w:tcMar>
              <w:top w:w="15" w:type="dxa"/>
              <w:left w:w="15" w:type="dxa"/>
              <w:bottom w:w="0" w:type="dxa"/>
              <w:right w:w="15" w:type="dxa"/>
            </w:tcMar>
            <w:vAlign w:val="bottom"/>
          </w:tcPr>
          <w:p>
            <w:pPr>
              <w:pStyle w:val="29"/>
            </w:pPr>
          </w:p>
        </w:tc>
        <w:tc>
          <w:tcPr>
            <w:tcW w:w="570" w:type="dxa"/>
            <w:tcMar>
              <w:top w:w="15" w:type="dxa"/>
              <w:left w:w="15" w:type="dxa"/>
              <w:bottom w:w="0" w:type="dxa"/>
              <w:right w:w="15" w:type="dxa"/>
            </w:tcMar>
            <w:vAlign w:val="bottom"/>
          </w:tcPr>
          <w:p>
            <w:pPr>
              <w:pStyle w:val="29"/>
            </w:pPr>
          </w:p>
        </w:tc>
        <w:tc>
          <w:tcPr>
            <w:tcW w:w="570" w:type="dxa"/>
            <w:tcMar>
              <w:top w:w="15" w:type="dxa"/>
              <w:left w:w="15" w:type="dxa"/>
              <w:bottom w:w="0" w:type="dxa"/>
              <w:right w:w="15" w:type="dxa"/>
            </w:tcMar>
            <w:vAlign w:val="bottom"/>
          </w:tcPr>
          <w:p>
            <w:pPr>
              <w:pStyle w:val="29"/>
            </w:pPr>
          </w:p>
        </w:tc>
        <w:tc>
          <w:tcPr>
            <w:tcW w:w="835" w:type="dxa"/>
            <w:tcMar>
              <w:top w:w="15" w:type="dxa"/>
              <w:left w:w="15" w:type="dxa"/>
              <w:bottom w:w="0" w:type="dxa"/>
              <w:right w:w="15" w:type="dxa"/>
            </w:tcMar>
            <w:vAlign w:val="bottom"/>
          </w:tcPr>
          <w:p>
            <w:pPr>
              <w:pStyle w:val="29"/>
            </w:pPr>
          </w:p>
        </w:tc>
        <w:tc>
          <w:tcPr>
            <w:tcW w:w="1157" w:type="dxa"/>
            <w:tcMar>
              <w:top w:w="15" w:type="dxa"/>
              <w:left w:w="15" w:type="dxa"/>
              <w:bottom w:w="0" w:type="dxa"/>
              <w:right w:w="15" w:type="dxa"/>
            </w:tcMar>
          </w:tcPr>
          <w:p>
            <w:pPr>
              <w:pStyle w:val="29"/>
            </w:pPr>
          </w:p>
        </w:tc>
        <w:tc>
          <w:tcPr>
            <w:tcW w:w="748" w:type="dxa"/>
            <w:tcMar>
              <w:top w:w="15" w:type="dxa"/>
              <w:left w:w="15" w:type="dxa"/>
              <w:bottom w:w="0" w:type="dxa"/>
              <w:right w:w="15" w:type="dxa"/>
            </w:tcMar>
            <w:vAlign w:val="bottom"/>
          </w:tcPr>
          <w:p>
            <w:pPr>
              <w:pStyle w:val="29"/>
            </w:pPr>
          </w:p>
        </w:tc>
        <w:tc>
          <w:tcPr>
            <w:tcW w:w="1877" w:type="dxa"/>
            <w:tcMar>
              <w:top w:w="15" w:type="dxa"/>
              <w:left w:w="15" w:type="dxa"/>
              <w:bottom w:w="0" w:type="dxa"/>
              <w:right w:w="15" w:type="dxa"/>
            </w:tcMar>
            <w:vAlign w:val="bottom"/>
          </w:tcPr>
          <w:p>
            <w:pPr>
              <w:pStyle w:val="29"/>
            </w:pPr>
          </w:p>
        </w:tc>
        <w:tc>
          <w:tcPr>
            <w:tcW w:w="680" w:type="dxa"/>
            <w:tcMar>
              <w:top w:w="15" w:type="dxa"/>
              <w:left w:w="15" w:type="dxa"/>
              <w:bottom w:w="0" w:type="dxa"/>
              <w:right w:w="15" w:type="dxa"/>
            </w:tcMar>
            <w:vAlign w:val="bottom"/>
          </w:tcPr>
          <w:p>
            <w:pPr>
              <w:pStyle w:val="2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57" w:type="dxa"/>
            <w:tcMar>
              <w:top w:w="15" w:type="dxa"/>
              <w:left w:w="15" w:type="dxa"/>
              <w:bottom w:w="0" w:type="dxa"/>
              <w:right w:w="15" w:type="dxa"/>
            </w:tcMar>
            <w:vAlign w:val="bottom"/>
          </w:tcPr>
          <w:p>
            <w:pPr>
              <w:pStyle w:val="29"/>
            </w:pPr>
          </w:p>
        </w:tc>
        <w:tc>
          <w:tcPr>
            <w:tcW w:w="1240" w:type="dxa"/>
            <w:tcMar>
              <w:top w:w="15" w:type="dxa"/>
              <w:left w:w="15" w:type="dxa"/>
              <w:bottom w:w="0" w:type="dxa"/>
              <w:right w:w="15" w:type="dxa"/>
            </w:tcMar>
            <w:vAlign w:val="bottom"/>
          </w:tcPr>
          <w:p>
            <w:pPr>
              <w:pStyle w:val="29"/>
            </w:pPr>
          </w:p>
        </w:tc>
        <w:tc>
          <w:tcPr>
            <w:tcW w:w="570" w:type="dxa"/>
            <w:tcMar>
              <w:top w:w="15" w:type="dxa"/>
              <w:left w:w="15" w:type="dxa"/>
              <w:bottom w:w="0" w:type="dxa"/>
              <w:right w:w="15" w:type="dxa"/>
            </w:tcMar>
            <w:vAlign w:val="bottom"/>
          </w:tcPr>
          <w:p>
            <w:pPr>
              <w:pStyle w:val="29"/>
            </w:pPr>
          </w:p>
        </w:tc>
        <w:tc>
          <w:tcPr>
            <w:tcW w:w="570" w:type="dxa"/>
            <w:tcMar>
              <w:top w:w="15" w:type="dxa"/>
              <w:left w:w="15" w:type="dxa"/>
              <w:bottom w:w="0" w:type="dxa"/>
              <w:right w:w="15" w:type="dxa"/>
            </w:tcMar>
            <w:vAlign w:val="bottom"/>
          </w:tcPr>
          <w:p>
            <w:pPr>
              <w:pStyle w:val="29"/>
            </w:pPr>
          </w:p>
        </w:tc>
        <w:tc>
          <w:tcPr>
            <w:tcW w:w="570" w:type="dxa"/>
            <w:tcMar>
              <w:top w:w="15" w:type="dxa"/>
              <w:left w:w="15" w:type="dxa"/>
              <w:bottom w:w="0" w:type="dxa"/>
              <w:right w:w="15" w:type="dxa"/>
            </w:tcMar>
            <w:vAlign w:val="bottom"/>
          </w:tcPr>
          <w:p>
            <w:pPr>
              <w:pStyle w:val="29"/>
            </w:pPr>
          </w:p>
        </w:tc>
        <w:tc>
          <w:tcPr>
            <w:tcW w:w="835" w:type="dxa"/>
            <w:tcMar>
              <w:top w:w="15" w:type="dxa"/>
              <w:left w:w="15" w:type="dxa"/>
              <w:bottom w:w="0" w:type="dxa"/>
              <w:right w:w="15" w:type="dxa"/>
            </w:tcMar>
            <w:vAlign w:val="bottom"/>
          </w:tcPr>
          <w:p>
            <w:pPr>
              <w:pStyle w:val="29"/>
            </w:pPr>
          </w:p>
        </w:tc>
        <w:tc>
          <w:tcPr>
            <w:tcW w:w="1157" w:type="dxa"/>
            <w:tcMar>
              <w:top w:w="15" w:type="dxa"/>
              <w:left w:w="15" w:type="dxa"/>
              <w:bottom w:w="0" w:type="dxa"/>
              <w:right w:w="15" w:type="dxa"/>
            </w:tcMar>
          </w:tcPr>
          <w:p>
            <w:pPr>
              <w:pStyle w:val="29"/>
            </w:pPr>
          </w:p>
        </w:tc>
        <w:tc>
          <w:tcPr>
            <w:tcW w:w="748" w:type="dxa"/>
            <w:tcMar>
              <w:top w:w="15" w:type="dxa"/>
              <w:left w:w="15" w:type="dxa"/>
              <w:bottom w:w="0" w:type="dxa"/>
              <w:right w:w="15" w:type="dxa"/>
            </w:tcMar>
            <w:vAlign w:val="bottom"/>
          </w:tcPr>
          <w:p>
            <w:pPr>
              <w:pStyle w:val="29"/>
            </w:pPr>
          </w:p>
        </w:tc>
        <w:tc>
          <w:tcPr>
            <w:tcW w:w="1877" w:type="dxa"/>
            <w:tcMar>
              <w:top w:w="15" w:type="dxa"/>
              <w:left w:w="15" w:type="dxa"/>
              <w:bottom w:w="0" w:type="dxa"/>
              <w:right w:w="15" w:type="dxa"/>
            </w:tcMar>
            <w:vAlign w:val="bottom"/>
          </w:tcPr>
          <w:p>
            <w:pPr>
              <w:pStyle w:val="29"/>
            </w:pPr>
          </w:p>
        </w:tc>
        <w:tc>
          <w:tcPr>
            <w:tcW w:w="680" w:type="dxa"/>
            <w:tcMar>
              <w:top w:w="15" w:type="dxa"/>
              <w:left w:w="15" w:type="dxa"/>
              <w:bottom w:w="0" w:type="dxa"/>
              <w:right w:w="15" w:type="dxa"/>
            </w:tcMar>
            <w:vAlign w:val="bottom"/>
          </w:tcPr>
          <w:p>
            <w:pPr>
              <w:pStyle w:val="2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bottom"/>
          </w:tcPr>
          <w:p>
            <w:pPr>
              <w:pStyle w:val="29"/>
            </w:pPr>
          </w:p>
        </w:tc>
        <w:tc>
          <w:tcPr>
            <w:tcW w:w="1240" w:type="dxa"/>
            <w:tcMar>
              <w:top w:w="15" w:type="dxa"/>
              <w:left w:w="15" w:type="dxa"/>
              <w:bottom w:w="0" w:type="dxa"/>
              <w:right w:w="15" w:type="dxa"/>
            </w:tcMar>
            <w:vAlign w:val="bottom"/>
          </w:tcPr>
          <w:p>
            <w:pPr>
              <w:pStyle w:val="29"/>
            </w:pPr>
          </w:p>
        </w:tc>
        <w:tc>
          <w:tcPr>
            <w:tcW w:w="570" w:type="dxa"/>
            <w:tcMar>
              <w:top w:w="15" w:type="dxa"/>
              <w:left w:w="15" w:type="dxa"/>
              <w:bottom w:w="0" w:type="dxa"/>
              <w:right w:w="15" w:type="dxa"/>
            </w:tcMar>
            <w:vAlign w:val="bottom"/>
          </w:tcPr>
          <w:p>
            <w:pPr>
              <w:pStyle w:val="29"/>
            </w:pPr>
          </w:p>
        </w:tc>
        <w:tc>
          <w:tcPr>
            <w:tcW w:w="570" w:type="dxa"/>
            <w:tcMar>
              <w:top w:w="15" w:type="dxa"/>
              <w:left w:w="15" w:type="dxa"/>
              <w:bottom w:w="0" w:type="dxa"/>
              <w:right w:w="15" w:type="dxa"/>
            </w:tcMar>
            <w:vAlign w:val="bottom"/>
          </w:tcPr>
          <w:p>
            <w:pPr>
              <w:pStyle w:val="29"/>
            </w:pPr>
          </w:p>
        </w:tc>
        <w:tc>
          <w:tcPr>
            <w:tcW w:w="570" w:type="dxa"/>
            <w:tcMar>
              <w:top w:w="15" w:type="dxa"/>
              <w:left w:w="15" w:type="dxa"/>
              <w:bottom w:w="0" w:type="dxa"/>
              <w:right w:w="15" w:type="dxa"/>
            </w:tcMar>
            <w:vAlign w:val="bottom"/>
          </w:tcPr>
          <w:p>
            <w:pPr>
              <w:pStyle w:val="29"/>
            </w:pPr>
          </w:p>
        </w:tc>
        <w:tc>
          <w:tcPr>
            <w:tcW w:w="835" w:type="dxa"/>
            <w:tcMar>
              <w:top w:w="15" w:type="dxa"/>
              <w:left w:w="15" w:type="dxa"/>
              <w:bottom w:w="0" w:type="dxa"/>
              <w:right w:w="15" w:type="dxa"/>
            </w:tcMar>
            <w:vAlign w:val="bottom"/>
          </w:tcPr>
          <w:p>
            <w:pPr>
              <w:pStyle w:val="29"/>
            </w:pPr>
          </w:p>
        </w:tc>
        <w:tc>
          <w:tcPr>
            <w:tcW w:w="1157" w:type="dxa"/>
            <w:tcMar>
              <w:top w:w="15" w:type="dxa"/>
              <w:left w:w="15" w:type="dxa"/>
              <w:bottom w:w="0" w:type="dxa"/>
              <w:right w:w="15" w:type="dxa"/>
            </w:tcMar>
          </w:tcPr>
          <w:p>
            <w:pPr>
              <w:pStyle w:val="29"/>
            </w:pPr>
          </w:p>
        </w:tc>
        <w:tc>
          <w:tcPr>
            <w:tcW w:w="748" w:type="dxa"/>
            <w:tcMar>
              <w:top w:w="15" w:type="dxa"/>
              <w:left w:w="15" w:type="dxa"/>
              <w:bottom w:w="0" w:type="dxa"/>
              <w:right w:w="15" w:type="dxa"/>
            </w:tcMar>
            <w:vAlign w:val="bottom"/>
          </w:tcPr>
          <w:p>
            <w:pPr>
              <w:pStyle w:val="29"/>
            </w:pPr>
          </w:p>
        </w:tc>
        <w:tc>
          <w:tcPr>
            <w:tcW w:w="1877" w:type="dxa"/>
            <w:tcMar>
              <w:top w:w="15" w:type="dxa"/>
              <w:left w:w="15" w:type="dxa"/>
              <w:bottom w:w="0" w:type="dxa"/>
              <w:right w:w="15" w:type="dxa"/>
            </w:tcMar>
            <w:vAlign w:val="bottom"/>
          </w:tcPr>
          <w:p>
            <w:pPr>
              <w:pStyle w:val="29"/>
            </w:pPr>
          </w:p>
        </w:tc>
        <w:tc>
          <w:tcPr>
            <w:tcW w:w="680" w:type="dxa"/>
            <w:tcMar>
              <w:top w:w="15" w:type="dxa"/>
              <w:left w:w="15" w:type="dxa"/>
              <w:bottom w:w="0" w:type="dxa"/>
              <w:right w:w="15" w:type="dxa"/>
            </w:tcMar>
            <w:vAlign w:val="bottom"/>
          </w:tcPr>
          <w:p>
            <w:pPr>
              <w:pStyle w:val="2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bottom"/>
          </w:tcPr>
          <w:p>
            <w:pPr>
              <w:pStyle w:val="29"/>
            </w:pPr>
          </w:p>
        </w:tc>
        <w:tc>
          <w:tcPr>
            <w:tcW w:w="1240" w:type="dxa"/>
            <w:tcMar>
              <w:top w:w="15" w:type="dxa"/>
              <w:left w:w="15" w:type="dxa"/>
              <w:bottom w:w="0" w:type="dxa"/>
              <w:right w:w="15" w:type="dxa"/>
            </w:tcMar>
            <w:vAlign w:val="bottom"/>
          </w:tcPr>
          <w:p>
            <w:pPr>
              <w:pStyle w:val="29"/>
            </w:pPr>
          </w:p>
        </w:tc>
        <w:tc>
          <w:tcPr>
            <w:tcW w:w="570" w:type="dxa"/>
            <w:tcMar>
              <w:top w:w="15" w:type="dxa"/>
              <w:left w:w="15" w:type="dxa"/>
              <w:bottom w:w="0" w:type="dxa"/>
              <w:right w:w="15" w:type="dxa"/>
            </w:tcMar>
            <w:vAlign w:val="bottom"/>
          </w:tcPr>
          <w:p>
            <w:pPr>
              <w:pStyle w:val="29"/>
            </w:pPr>
          </w:p>
        </w:tc>
        <w:tc>
          <w:tcPr>
            <w:tcW w:w="570" w:type="dxa"/>
            <w:tcMar>
              <w:top w:w="15" w:type="dxa"/>
              <w:left w:w="15" w:type="dxa"/>
              <w:bottom w:w="0" w:type="dxa"/>
              <w:right w:w="15" w:type="dxa"/>
            </w:tcMar>
            <w:vAlign w:val="bottom"/>
          </w:tcPr>
          <w:p>
            <w:pPr>
              <w:pStyle w:val="29"/>
            </w:pPr>
          </w:p>
        </w:tc>
        <w:tc>
          <w:tcPr>
            <w:tcW w:w="570" w:type="dxa"/>
            <w:tcMar>
              <w:top w:w="15" w:type="dxa"/>
              <w:left w:w="15" w:type="dxa"/>
              <w:bottom w:w="0" w:type="dxa"/>
              <w:right w:w="15" w:type="dxa"/>
            </w:tcMar>
            <w:vAlign w:val="bottom"/>
          </w:tcPr>
          <w:p>
            <w:pPr>
              <w:pStyle w:val="29"/>
            </w:pPr>
          </w:p>
        </w:tc>
        <w:tc>
          <w:tcPr>
            <w:tcW w:w="835" w:type="dxa"/>
            <w:tcMar>
              <w:top w:w="15" w:type="dxa"/>
              <w:left w:w="15" w:type="dxa"/>
              <w:bottom w:w="0" w:type="dxa"/>
              <w:right w:w="15" w:type="dxa"/>
            </w:tcMar>
            <w:vAlign w:val="bottom"/>
          </w:tcPr>
          <w:p>
            <w:pPr>
              <w:pStyle w:val="29"/>
            </w:pPr>
          </w:p>
        </w:tc>
        <w:tc>
          <w:tcPr>
            <w:tcW w:w="1157" w:type="dxa"/>
            <w:tcMar>
              <w:top w:w="15" w:type="dxa"/>
              <w:left w:w="15" w:type="dxa"/>
              <w:bottom w:w="0" w:type="dxa"/>
              <w:right w:w="15" w:type="dxa"/>
            </w:tcMar>
          </w:tcPr>
          <w:p>
            <w:pPr>
              <w:pStyle w:val="29"/>
            </w:pPr>
          </w:p>
        </w:tc>
        <w:tc>
          <w:tcPr>
            <w:tcW w:w="748" w:type="dxa"/>
            <w:tcMar>
              <w:top w:w="15" w:type="dxa"/>
              <w:left w:w="15" w:type="dxa"/>
              <w:bottom w:w="0" w:type="dxa"/>
              <w:right w:w="15" w:type="dxa"/>
            </w:tcMar>
            <w:vAlign w:val="bottom"/>
          </w:tcPr>
          <w:p>
            <w:pPr>
              <w:pStyle w:val="29"/>
            </w:pPr>
          </w:p>
        </w:tc>
        <w:tc>
          <w:tcPr>
            <w:tcW w:w="1877" w:type="dxa"/>
            <w:tcMar>
              <w:top w:w="15" w:type="dxa"/>
              <w:left w:w="15" w:type="dxa"/>
              <w:bottom w:w="0" w:type="dxa"/>
              <w:right w:w="15" w:type="dxa"/>
            </w:tcMar>
            <w:vAlign w:val="bottom"/>
          </w:tcPr>
          <w:p>
            <w:pPr>
              <w:pStyle w:val="29"/>
            </w:pPr>
          </w:p>
        </w:tc>
        <w:tc>
          <w:tcPr>
            <w:tcW w:w="680" w:type="dxa"/>
            <w:tcMar>
              <w:top w:w="15" w:type="dxa"/>
              <w:left w:w="15" w:type="dxa"/>
              <w:bottom w:w="0" w:type="dxa"/>
              <w:right w:w="15" w:type="dxa"/>
            </w:tcMar>
            <w:vAlign w:val="bottom"/>
          </w:tcPr>
          <w:p>
            <w:pPr>
              <w:pStyle w:val="2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57" w:type="dxa"/>
            <w:tcMar>
              <w:top w:w="15" w:type="dxa"/>
              <w:left w:w="15" w:type="dxa"/>
              <w:bottom w:w="0" w:type="dxa"/>
              <w:right w:w="15" w:type="dxa"/>
            </w:tcMar>
            <w:vAlign w:val="bottom"/>
          </w:tcPr>
          <w:p>
            <w:pPr>
              <w:pStyle w:val="29"/>
            </w:pPr>
          </w:p>
        </w:tc>
        <w:tc>
          <w:tcPr>
            <w:tcW w:w="1240" w:type="dxa"/>
            <w:tcMar>
              <w:top w:w="15" w:type="dxa"/>
              <w:left w:w="15" w:type="dxa"/>
              <w:bottom w:w="0" w:type="dxa"/>
              <w:right w:w="15" w:type="dxa"/>
            </w:tcMar>
            <w:vAlign w:val="bottom"/>
          </w:tcPr>
          <w:p>
            <w:pPr>
              <w:pStyle w:val="29"/>
            </w:pPr>
          </w:p>
        </w:tc>
        <w:tc>
          <w:tcPr>
            <w:tcW w:w="570" w:type="dxa"/>
            <w:tcMar>
              <w:top w:w="15" w:type="dxa"/>
              <w:left w:w="15" w:type="dxa"/>
              <w:bottom w:w="0" w:type="dxa"/>
              <w:right w:w="15" w:type="dxa"/>
            </w:tcMar>
            <w:vAlign w:val="bottom"/>
          </w:tcPr>
          <w:p>
            <w:pPr>
              <w:pStyle w:val="29"/>
            </w:pPr>
          </w:p>
        </w:tc>
        <w:tc>
          <w:tcPr>
            <w:tcW w:w="570" w:type="dxa"/>
            <w:tcMar>
              <w:top w:w="15" w:type="dxa"/>
              <w:left w:w="15" w:type="dxa"/>
              <w:bottom w:w="0" w:type="dxa"/>
              <w:right w:w="15" w:type="dxa"/>
            </w:tcMar>
            <w:vAlign w:val="bottom"/>
          </w:tcPr>
          <w:p>
            <w:pPr>
              <w:pStyle w:val="29"/>
            </w:pPr>
          </w:p>
        </w:tc>
        <w:tc>
          <w:tcPr>
            <w:tcW w:w="570" w:type="dxa"/>
            <w:tcMar>
              <w:top w:w="15" w:type="dxa"/>
              <w:left w:w="15" w:type="dxa"/>
              <w:bottom w:w="0" w:type="dxa"/>
              <w:right w:w="15" w:type="dxa"/>
            </w:tcMar>
            <w:vAlign w:val="bottom"/>
          </w:tcPr>
          <w:p>
            <w:pPr>
              <w:pStyle w:val="29"/>
            </w:pPr>
          </w:p>
        </w:tc>
        <w:tc>
          <w:tcPr>
            <w:tcW w:w="835" w:type="dxa"/>
            <w:tcMar>
              <w:top w:w="15" w:type="dxa"/>
              <w:left w:w="15" w:type="dxa"/>
              <w:bottom w:w="0" w:type="dxa"/>
              <w:right w:w="15" w:type="dxa"/>
            </w:tcMar>
            <w:vAlign w:val="bottom"/>
          </w:tcPr>
          <w:p>
            <w:pPr>
              <w:pStyle w:val="29"/>
            </w:pPr>
          </w:p>
        </w:tc>
        <w:tc>
          <w:tcPr>
            <w:tcW w:w="1157" w:type="dxa"/>
            <w:tcMar>
              <w:top w:w="15" w:type="dxa"/>
              <w:left w:w="15" w:type="dxa"/>
              <w:bottom w:w="0" w:type="dxa"/>
              <w:right w:w="15" w:type="dxa"/>
            </w:tcMar>
          </w:tcPr>
          <w:p>
            <w:pPr>
              <w:pStyle w:val="29"/>
            </w:pPr>
          </w:p>
        </w:tc>
        <w:tc>
          <w:tcPr>
            <w:tcW w:w="748" w:type="dxa"/>
            <w:tcMar>
              <w:top w:w="15" w:type="dxa"/>
              <w:left w:w="15" w:type="dxa"/>
              <w:bottom w:w="0" w:type="dxa"/>
              <w:right w:w="15" w:type="dxa"/>
            </w:tcMar>
            <w:vAlign w:val="bottom"/>
          </w:tcPr>
          <w:p>
            <w:pPr>
              <w:pStyle w:val="29"/>
            </w:pPr>
          </w:p>
        </w:tc>
        <w:tc>
          <w:tcPr>
            <w:tcW w:w="1877" w:type="dxa"/>
            <w:tcMar>
              <w:top w:w="15" w:type="dxa"/>
              <w:left w:w="15" w:type="dxa"/>
              <w:bottom w:w="0" w:type="dxa"/>
              <w:right w:w="15" w:type="dxa"/>
            </w:tcMar>
            <w:vAlign w:val="bottom"/>
          </w:tcPr>
          <w:p>
            <w:pPr>
              <w:pStyle w:val="29"/>
            </w:pPr>
          </w:p>
        </w:tc>
        <w:tc>
          <w:tcPr>
            <w:tcW w:w="680" w:type="dxa"/>
            <w:tcMar>
              <w:top w:w="15" w:type="dxa"/>
              <w:left w:w="15" w:type="dxa"/>
              <w:bottom w:w="0" w:type="dxa"/>
              <w:right w:w="15" w:type="dxa"/>
            </w:tcMar>
            <w:vAlign w:val="bottom"/>
          </w:tcPr>
          <w:p>
            <w:pPr>
              <w:pStyle w:val="2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bottom"/>
          </w:tcPr>
          <w:p>
            <w:pPr>
              <w:pStyle w:val="29"/>
            </w:pPr>
          </w:p>
        </w:tc>
        <w:tc>
          <w:tcPr>
            <w:tcW w:w="1240" w:type="dxa"/>
            <w:tcMar>
              <w:top w:w="15" w:type="dxa"/>
              <w:left w:w="15" w:type="dxa"/>
              <w:bottom w:w="0" w:type="dxa"/>
              <w:right w:w="15" w:type="dxa"/>
            </w:tcMar>
            <w:vAlign w:val="bottom"/>
          </w:tcPr>
          <w:p>
            <w:pPr>
              <w:pStyle w:val="29"/>
            </w:pPr>
          </w:p>
        </w:tc>
        <w:tc>
          <w:tcPr>
            <w:tcW w:w="570" w:type="dxa"/>
            <w:tcMar>
              <w:top w:w="15" w:type="dxa"/>
              <w:left w:w="15" w:type="dxa"/>
              <w:bottom w:w="0" w:type="dxa"/>
              <w:right w:w="15" w:type="dxa"/>
            </w:tcMar>
            <w:vAlign w:val="bottom"/>
          </w:tcPr>
          <w:p>
            <w:pPr>
              <w:pStyle w:val="29"/>
            </w:pPr>
          </w:p>
        </w:tc>
        <w:tc>
          <w:tcPr>
            <w:tcW w:w="570" w:type="dxa"/>
            <w:tcMar>
              <w:top w:w="15" w:type="dxa"/>
              <w:left w:w="15" w:type="dxa"/>
              <w:bottom w:w="0" w:type="dxa"/>
              <w:right w:w="15" w:type="dxa"/>
            </w:tcMar>
            <w:vAlign w:val="bottom"/>
          </w:tcPr>
          <w:p>
            <w:pPr>
              <w:pStyle w:val="29"/>
            </w:pPr>
          </w:p>
        </w:tc>
        <w:tc>
          <w:tcPr>
            <w:tcW w:w="570" w:type="dxa"/>
            <w:tcMar>
              <w:top w:w="15" w:type="dxa"/>
              <w:left w:w="15" w:type="dxa"/>
              <w:bottom w:w="0" w:type="dxa"/>
              <w:right w:w="15" w:type="dxa"/>
            </w:tcMar>
            <w:vAlign w:val="bottom"/>
          </w:tcPr>
          <w:p>
            <w:pPr>
              <w:pStyle w:val="29"/>
            </w:pPr>
          </w:p>
        </w:tc>
        <w:tc>
          <w:tcPr>
            <w:tcW w:w="835" w:type="dxa"/>
            <w:tcMar>
              <w:top w:w="15" w:type="dxa"/>
              <w:left w:w="15" w:type="dxa"/>
              <w:bottom w:w="0" w:type="dxa"/>
              <w:right w:w="15" w:type="dxa"/>
            </w:tcMar>
            <w:vAlign w:val="bottom"/>
          </w:tcPr>
          <w:p>
            <w:pPr>
              <w:pStyle w:val="29"/>
            </w:pPr>
          </w:p>
        </w:tc>
        <w:tc>
          <w:tcPr>
            <w:tcW w:w="1157" w:type="dxa"/>
            <w:tcMar>
              <w:top w:w="15" w:type="dxa"/>
              <w:left w:w="15" w:type="dxa"/>
              <w:bottom w:w="0" w:type="dxa"/>
              <w:right w:w="15" w:type="dxa"/>
            </w:tcMar>
          </w:tcPr>
          <w:p>
            <w:pPr>
              <w:pStyle w:val="29"/>
            </w:pPr>
          </w:p>
        </w:tc>
        <w:tc>
          <w:tcPr>
            <w:tcW w:w="748" w:type="dxa"/>
            <w:tcMar>
              <w:top w:w="15" w:type="dxa"/>
              <w:left w:w="15" w:type="dxa"/>
              <w:bottom w:w="0" w:type="dxa"/>
              <w:right w:w="15" w:type="dxa"/>
            </w:tcMar>
            <w:vAlign w:val="bottom"/>
          </w:tcPr>
          <w:p>
            <w:pPr>
              <w:pStyle w:val="29"/>
            </w:pPr>
          </w:p>
        </w:tc>
        <w:tc>
          <w:tcPr>
            <w:tcW w:w="1877" w:type="dxa"/>
            <w:tcMar>
              <w:top w:w="15" w:type="dxa"/>
              <w:left w:w="15" w:type="dxa"/>
              <w:bottom w:w="0" w:type="dxa"/>
              <w:right w:w="15" w:type="dxa"/>
            </w:tcMar>
            <w:vAlign w:val="bottom"/>
          </w:tcPr>
          <w:p>
            <w:pPr>
              <w:pStyle w:val="29"/>
            </w:pPr>
          </w:p>
        </w:tc>
        <w:tc>
          <w:tcPr>
            <w:tcW w:w="680" w:type="dxa"/>
            <w:tcMar>
              <w:top w:w="15" w:type="dxa"/>
              <w:left w:w="15" w:type="dxa"/>
              <w:bottom w:w="0" w:type="dxa"/>
              <w:right w:w="15" w:type="dxa"/>
            </w:tcMar>
            <w:vAlign w:val="bottom"/>
          </w:tcPr>
          <w:p>
            <w:pPr>
              <w:pStyle w:val="2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bottom"/>
          </w:tcPr>
          <w:p>
            <w:pPr>
              <w:pStyle w:val="29"/>
            </w:pPr>
          </w:p>
        </w:tc>
        <w:tc>
          <w:tcPr>
            <w:tcW w:w="1240" w:type="dxa"/>
            <w:tcMar>
              <w:top w:w="15" w:type="dxa"/>
              <w:left w:w="15" w:type="dxa"/>
              <w:bottom w:w="0" w:type="dxa"/>
              <w:right w:w="15" w:type="dxa"/>
            </w:tcMar>
            <w:vAlign w:val="bottom"/>
          </w:tcPr>
          <w:p>
            <w:pPr>
              <w:pStyle w:val="29"/>
            </w:pPr>
          </w:p>
        </w:tc>
        <w:tc>
          <w:tcPr>
            <w:tcW w:w="570" w:type="dxa"/>
            <w:tcMar>
              <w:top w:w="15" w:type="dxa"/>
              <w:left w:w="15" w:type="dxa"/>
              <w:bottom w:w="0" w:type="dxa"/>
              <w:right w:w="15" w:type="dxa"/>
            </w:tcMar>
            <w:vAlign w:val="bottom"/>
          </w:tcPr>
          <w:p>
            <w:pPr>
              <w:pStyle w:val="29"/>
            </w:pPr>
          </w:p>
        </w:tc>
        <w:tc>
          <w:tcPr>
            <w:tcW w:w="570" w:type="dxa"/>
            <w:tcMar>
              <w:top w:w="15" w:type="dxa"/>
              <w:left w:w="15" w:type="dxa"/>
              <w:bottom w:w="0" w:type="dxa"/>
              <w:right w:w="15" w:type="dxa"/>
            </w:tcMar>
            <w:vAlign w:val="bottom"/>
          </w:tcPr>
          <w:p>
            <w:pPr>
              <w:pStyle w:val="29"/>
            </w:pPr>
          </w:p>
        </w:tc>
        <w:tc>
          <w:tcPr>
            <w:tcW w:w="570" w:type="dxa"/>
            <w:tcMar>
              <w:top w:w="15" w:type="dxa"/>
              <w:left w:w="15" w:type="dxa"/>
              <w:bottom w:w="0" w:type="dxa"/>
              <w:right w:w="15" w:type="dxa"/>
            </w:tcMar>
            <w:vAlign w:val="bottom"/>
          </w:tcPr>
          <w:p>
            <w:pPr>
              <w:pStyle w:val="29"/>
            </w:pPr>
          </w:p>
        </w:tc>
        <w:tc>
          <w:tcPr>
            <w:tcW w:w="835" w:type="dxa"/>
            <w:tcMar>
              <w:top w:w="15" w:type="dxa"/>
              <w:left w:w="15" w:type="dxa"/>
              <w:bottom w:w="0" w:type="dxa"/>
              <w:right w:w="15" w:type="dxa"/>
            </w:tcMar>
            <w:vAlign w:val="bottom"/>
          </w:tcPr>
          <w:p>
            <w:pPr>
              <w:pStyle w:val="29"/>
            </w:pPr>
          </w:p>
        </w:tc>
        <w:tc>
          <w:tcPr>
            <w:tcW w:w="1157" w:type="dxa"/>
            <w:tcMar>
              <w:top w:w="15" w:type="dxa"/>
              <w:left w:w="15" w:type="dxa"/>
              <w:bottom w:w="0" w:type="dxa"/>
              <w:right w:w="15" w:type="dxa"/>
            </w:tcMar>
          </w:tcPr>
          <w:p>
            <w:pPr>
              <w:pStyle w:val="29"/>
            </w:pPr>
          </w:p>
        </w:tc>
        <w:tc>
          <w:tcPr>
            <w:tcW w:w="748" w:type="dxa"/>
            <w:tcMar>
              <w:top w:w="15" w:type="dxa"/>
              <w:left w:w="15" w:type="dxa"/>
              <w:bottom w:w="0" w:type="dxa"/>
              <w:right w:w="15" w:type="dxa"/>
            </w:tcMar>
            <w:vAlign w:val="bottom"/>
          </w:tcPr>
          <w:p>
            <w:pPr>
              <w:pStyle w:val="29"/>
            </w:pPr>
          </w:p>
        </w:tc>
        <w:tc>
          <w:tcPr>
            <w:tcW w:w="1877" w:type="dxa"/>
            <w:tcMar>
              <w:top w:w="15" w:type="dxa"/>
              <w:left w:w="15" w:type="dxa"/>
              <w:bottom w:w="0" w:type="dxa"/>
              <w:right w:w="15" w:type="dxa"/>
            </w:tcMar>
            <w:vAlign w:val="bottom"/>
          </w:tcPr>
          <w:p>
            <w:pPr>
              <w:pStyle w:val="29"/>
            </w:pPr>
          </w:p>
        </w:tc>
        <w:tc>
          <w:tcPr>
            <w:tcW w:w="680" w:type="dxa"/>
            <w:tcMar>
              <w:top w:w="15" w:type="dxa"/>
              <w:left w:w="15" w:type="dxa"/>
              <w:bottom w:w="0" w:type="dxa"/>
              <w:right w:w="15" w:type="dxa"/>
            </w:tcMar>
            <w:vAlign w:val="bottom"/>
          </w:tcPr>
          <w:p>
            <w:pPr>
              <w:pStyle w:val="2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57" w:type="dxa"/>
            <w:tcMar>
              <w:top w:w="15" w:type="dxa"/>
              <w:left w:w="15" w:type="dxa"/>
              <w:bottom w:w="0" w:type="dxa"/>
              <w:right w:w="15" w:type="dxa"/>
            </w:tcMar>
            <w:vAlign w:val="bottom"/>
          </w:tcPr>
          <w:p>
            <w:pPr>
              <w:pStyle w:val="29"/>
            </w:pPr>
          </w:p>
        </w:tc>
        <w:tc>
          <w:tcPr>
            <w:tcW w:w="1240" w:type="dxa"/>
            <w:tcMar>
              <w:top w:w="15" w:type="dxa"/>
              <w:left w:w="15" w:type="dxa"/>
              <w:bottom w:w="0" w:type="dxa"/>
              <w:right w:w="15" w:type="dxa"/>
            </w:tcMar>
            <w:vAlign w:val="bottom"/>
          </w:tcPr>
          <w:p>
            <w:pPr>
              <w:pStyle w:val="29"/>
            </w:pPr>
          </w:p>
        </w:tc>
        <w:tc>
          <w:tcPr>
            <w:tcW w:w="570" w:type="dxa"/>
            <w:tcMar>
              <w:top w:w="15" w:type="dxa"/>
              <w:left w:w="15" w:type="dxa"/>
              <w:bottom w:w="0" w:type="dxa"/>
              <w:right w:w="15" w:type="dxa"/>
            </w:tcMar>
            <w:vAlign w:val="bottom"/>
          </w:tcPr>
          <w:p>
            <w:pPr>
              <w:pStyle w:val="29"/>
            </w:pPr>
          </w:p>
        </w:tc>
        <w:tc>
          <w:tcPr>
            <w:tcW w:w="570" w:type="dxa"/>
            <w:tcMar>
              <w:top w:w="15" w:type="dxa"/>
              <w:left w:w="15" w:type="dxa"/>
              <w:bottom w:w="0" w:type="dxa"/>
              <w:right w:w="15" w:type="dxa"/>
            </w:tcMar>
            <w:vAlign w:val="bottom"/>
          </w:tcPr>
          <w:p>
            <w:pPr>
              <w:pStyle w:val="29"/>
            </w:pPr>
          </w:p>
        </w:tc>
        <w:tc>
          <w:tcPr>
            <w:tcW w:w="570" w:type="dxa"/>
            <w:tcMar>
              <w:top w:w="15" w:type="dxa"/>
              <w:left w:w="15" w:type="dxa"/>
              <w:bottom w:w="0" w:type="dxa"/>
              <w:right w:w="15" w:type="dxa"/>
            </w:tcMar>
            <w:vAlign w:val="bottom"/>
          </w:tcPr>
          <w:p>
            <w:pPr>
              <w:pStyle w:val="29"/>
            </w:pPr>
          </w:p>
        </w:tc>
        <w:tc>
          <w:tcPr>
            <w:tcW w:w="835" w:type="dxa"/>
            <w:tcMar>
              <w:top w:w="15" w:type="dxa"/>
              <w:left w:w="15" w:type="dxa"/>
              <w:bottom w:w="0" w:type="dxa"/>
              <w:right w:w="15" w:type="dxa"/>
            </w:tcMar>
            <w:vAlign w:val="bottom"/>
          </w:tcPr>
          <w:p>
            <w:pPr>
              <w:pStyle w:val="29"/>
            </w:pPr>
          </w:p>
        </w:tc>
        <w:tc>
          <w:tcPr>
            <w:tcW w:w="1157" w:type="dxa"/>
            <w:tcMar>
              <w:top w:w="15" w:type="dxa"/>
              <w:left w:w="15" w:type="dxa"/>
              <w:bottom w:w="0" w:type="dxa"/>
              <w:right w:w="15" w:type="dxa"/>
            </w:tcMar>
          </w:tcPr>
          <w:p>
            <w:pPr>
              <w:pStyle w:val="29"/>
            </w:pPr>
          </w:p>
        </w:tc>
        <w:tc>
          <w:tcPr>
            <w:tcW w:w="748" w:type="dxa"/>
            <w:tcMar>
              <w:top w:w="15" w:type="dxa"/>
              <w:left w:w="15" w:type="dxa"/>
              <w:bottom w:w="0" w:type="dxa"/>
              <w:right w:w="15" w:type="dxa"/>
            </w:tcMar>
            <w:vAlign w:val="bottom"/>
          </w:tcPr>
          <w:p>
            <w:pPr>
              <w:pStyle w:val="29"/>
            </w:pPr>
          </w:p>
        </w:tc>
        <w:tc>
          <w:tcPr>
            <w:tcW w:w="1877" w:type="dxa"/>
            <w:tcMar>
              <w:top w:w="15" w:type="dxa"/>
              <w:left w:w="15" w:type="dxa"/>
              <w:bottom w:w="0" w:type="dxa"/>
              <w:right w:w="15" w:type="dxa"/>
            </w:tcMar>
            <w:vAlign w:val="bottom"/>
          </w:tcPr>
          <w:p>
            <w:pPr>
              <w:pStyle w:val="29"/>
            </w:pPr>
          </w:p>
        </w:tc>
        <w:tc>
          <w:tcPr>
            <w:tcW w:w="680" w:type="dxa"/>
            <w:tcMar>
              <w:top w:w="15" w:type="dxa"/>
              <w:left w:w="15" w:type="dxa"/>
              <w:bottom w:w="0" w:type="dxa"/>
              <w:right w:w="15" w:type="dxa"/>
            </w:tcMar>
            <w:vAlign w:val="bottom"/>
          </w:tcPr>
          <w:p>
            <w:pPr>
              <w:pStyle w:val="2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bottom"/>
          </w:tcPr>
          <w:p>
            <w:pPr>
              <w:pStyle w:val="29"/>
            </w:pPr>
          </w:p>
        </w:tc>
        <w:tc>
          <w:tcPr>
            <w:tcW w:w="1240" w:type="dxa"/>
            <w:tcMar>
              <w:top w:w="15" w:type="dxa"/>
              <w:left w:w="15" w:type="dxa"/>
              <w:bottom w:w="0" w:type="dxa"/>
              <w:right w:w="15" w:type="dxa"/>
            </w:tcMar>
            <w:vAlign w:val="bottom"/>
          </w:tcPr>
          <w:p>
            <w:pPr>
              <w:pStyle w:val="29"/>
            </w:pPr>
          </w:p>
        </w:tc>
        <w:tc>
          <w:tcPr>
            <w:tcW w:w="570" w:type="dxa"/>
            <w:tcMar>
              <w:top w:w="15" w:type="dxa"/>
              <w:left w:w="15" w:type="dxa"/>
              <w:bottom w:w="0" w:type="dxa"/>
              <w:right w:w="15" w:type="dxa"/>
            </w:tcMar>
            <w:vAlign w:val="bottom"/>
          </w:tcPr>
          <w:p>
            <w:pPr>
              <w:pStyle w:val="29"/>
            </w:pPr>
          </w:p>
        </w:tc>
        <w:tc>
          <w:tcPr>
            <w:tcW w:w="570" w:type="dxa"/>
            <w:tcMar>
              <w:top w:w="15" w:type="dxa"/>
              <w:left w:w="15" w:type="dxa"/>
              <w:bottom w:w="0" w:type="dxa"/>
              <w:right w:w="15" w:type="dxa"/>
            </w:tcMar>
            <w:vAlign w:val="bottom"/>
          </w:tcPr>
          <w:p>
            <w:pPr>
              <w:pStyle w:val="29"/>
            </w:pPr>
          </w:p>
        </w:tc>
        <w:tc>
          <w:tcPr>
            <w:tcW w:w="570" w:type="dxa"/>
            <w:tcMar>
              <w:top w:w="15" w:type="dxa"/>
              <w:left w:w="15" w:type="dxa"/>
              <w:bottom w:w="0" w:type="dxa"/>
              <w:right w:w="15" w:type="dxa"/>
            </w:tcMar>
            <w:vAlign w:val="bottom"/>
          </w:tcPr>
          <w:p>
            <w:pPr>
              <w:pStyle w:val="29"/>
            </w:pPr>
          </w:p>
        </w:tc>
        <w:tc>
          <w:tcPr>
            <w:tcW w:w="835" w:type="dxa"/>
            <w:tcMar>
              <w:top w:w="15" w:type="dxa"/>
              <w:left w:w="15" w:type="dxa"/>
              <w:bottom w:w="0" w:type="dxa"/>
              <w:right w:w="15" w:type="dxa"/>
            </w:tcMar>
            <w:vAlign w:val="bottom"/>
          </w:tcPr>
          <w:p>
            <w:pPr>
              <w:pStyle w:val="29"/>
            </w:pPr>
          </w:p>
        </w:tc>
        <w:tc>
          <w:tcPr>
            <w:tcW w:w="1157" w:type="dxa"/>
            <w:tcMar>
              <w:top w:w="15" w:type="dxa"/>
              <w:left w:w="15" w:type="dxa"/>
              <w:bottom w:w="0" w:type="dxa"/>
              <w:right w:w="15" w:type="dxa"/>
            </w:tcMar>
          </w:tcPr>
          <w:p>
            <w:pPr>
              <w:pStyle w:val="29"/>
            </w:pPr>
          </w:p>
        </w:tc>
        <w:tc>
          <w:tcPr>
            <w:tcW w:w="748" w:type="dxa"/>
            <w:tcMar>
              <w:top w:w="15" w:type="dxa"/>
              <w:left w:w="15" w:type="dxa"/>
              <w:bottom w:w="0" w:type="dxa"/>
              <w:right w:w="15" w:type="dxa"/>
            </w:tcMar>
            <w:vAlign w:val="bottom"/>
          </w:tcPr>
          <w:p>
            <w:pPr>
              <w:pStyle w:val="29"/>
            </w:pPr>
          </w:p>
        </w:tc>
        <w:tc>
          <w:tcPr>
            <w:tcW w:w="1877" w:type="dxa"/>
            <w:tcMar>
              <w:top w:w="15" w:type="dxa"/>
              <w:left w:w="15" w:type="dxa"/>
              <w:bottom w:w="0" w:type="dxa"/>
              <w:right w:w="15" w:type="dxa"/>
            </w:tcMar>
            <w:vAlign w:val="bottom"/>
          </w:tcPr>
          <w:p>
            <w:pPr>
              <w:pStyle w:val="29"/>
            </w:pPr>
          </w:p>
        </w:tc>
        <w:tc>
          <w:tcPr>
            <w:tcW w:w="680" w:type="dxa"/>
            <w:tcMar>
              <w:top w:w="15" w:type="dxa"/>
              <w:left w:w="15" w:type="dxa"/>
              <w:bottom w:w="0" w:type="dxa"/>
              <w:right w:w="15" w:type="dxa"/>
            </w:tcMar>
            <w:vAlign w:val="bottom"/>
          </w:tcPr>
          <w:p>
            <w:pPr>
              <w:pStyle w:val="2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bottom"/>
          </w:tcPr>
          <w:p>
            <w:pPr>
              <w:pStyle w:val="29"/>
            </w:pPr>
          </w:p>
        </w:tc>
        <w:tc>
          <w:tcPr>
            <w:tcW w:w="1240" w:type="dxa"/>
            <w:tcMar>
              <w:top w:w="15" w:type="dxa"/>
              <w:left w:w="15" w:type="dxa"/>
              <w:bottom w:w="0" w:type="dxa"/>
              <w:right w:w="15" w:type="dxa"/>
            </w:tcMar>
            <w:vAlign w:val="bottom"/>
          </w:tcPr>
          <w:p>
            <w:pPr>
              <w:pStyle w:val="29"/>
            </w:pPr>
          </w:p>
        </w:tc>
        <w:tc>
          <w:tcPr>
            <w:tcW w:w="570" w:type="dxa"/>
            <w:tcMar>
              <w:top w:w="15" w:type="dxa"/>
              <w:left w:w="15" w:type="dxa"/>
              <w:bottom w:w="0" w:type="dxa"/>
              <w:right w:w="15" w:type="dxa"/>
            </w:tcMar>
            <w:vAlign w:val="bottom"/>
          </w:tcPr>
          <w:p>
            <w:pPr>
              <w:pStyle w:val="29"/>
            </w:pPr>
          </w:p>
        </w:tc>
        <w:tc>
          <w:tcPr>
            <w:tcW w:w="570" w:type="dxa"/>
            <w:tcMar>
              <w:top w:w="15" w:type="dxa"/>
              <w:left w:w="15" w:type="dxa"/>
              <w:bottom w:w="0" w:type="dxa"/>
              <w:right w:w="15" w:type="dxa"/>
            </w:tcMar>
            <w:vAlign w:val="bottom"/>
          </w:tcPr>
          <w:p>
            <w:pPr>
              <w:pStyle w:val="29"/>
            </w:pPr>
          </w:p>
        </w:tc>
        <w:tc>
          <w:tcPr>
            <w:tcW w:w="570" w:type="dxa"/>
            <w:tcMar>
              <w:top w:w="15" w:type="dxa"/>
              <w:left w:w="15" w:type="dxa"/>
              <w:bottom w:w="0" w:type="dxa"/>
              <w:right w:w="15" w:type="dxa"/>
            </w:tcMar>
            <w:vAlign w:val="bottom"/>
          </w:tcPr>
          <w:p>
            <w:pPr>
              <w:pStyle w:val="29"/>
            </w:pPr>
          </w:p>
        </w:tc>
        <w:tc>
          <w:tcPr>
            <w:tcW w:w="835" w:type="dxa"/>
            <w:tcMar>
              <w:top w:w="15" w:type="dxa"/>
              <w:left w:w="15" w:type="dxa"/>
              <w:bottom w:w="0" w:type="dxa"/>
              <w:right w:w="15" w:type="dxa"/>
            </w:tcMar>
            <w:vAlign w:val="bottom"/>
          </w:tcPr>
          <w:p>
            <w:pPr>
              <w:pStyle w:val="29"/>
            </w:pPr>
          </w:p>
        </w:tc>
        <w:tc>
          <w:tcPr>
            <w:tcW w:w="1157" w:type="dxa"/>
            <w:tcMar>
              <w:top w:w="15" w:type="dxa"/>
              <w:left w:w="15" w:type="dxa"/>
              <w:bottom w:w="0" w:type="dxa"/>
              <w:right w:w="15" w:type="dxa"/>
            </w:tcMar>
          </w:tcPr>
          <w:p>
            <w:pPr>
              <w:pStyle w:val="29"/>
            </w:pPr>
          </w:p>
        </w:tc>
        <w:tc>
          <w:tcPr>
            <w:tcW w:w="748" w:type="dxa"/>
            <w:tcMar>
              <w:top w:w="15" w:type="dxa"/>
              <w:left w:w="15" w:type="dxa"/>
              <w:bottom w:w="0" w:type="dxa"/>
              <w:right w:w="15" w:type="dxa"/>
            </w:tcMar>
            <w:vAlign w:val="bottom"/>
          </w:tcPr>
          <w:p>
            <w:pPr>
              <w:pStyle w:val="29"/>
            </w:pPr>
          </w:p>
        </w:tc>
        <w:tc>
          <w:tcPr>
            <w:tcW w:w="1877" w:type="dxa"/>
            <w:tcMar>
              <w:top w:w="15" w:type="dxa"/>
              <w:left w:w="15" w:type="dxa"/>
              <w:bottom w:w="0" w:type="dxa"/>
              <w:right w:w="15" w:type="dxa"/>
            </w:tcMar>
            <w:vAlign w:val="bottom"/>
          </w:tcPr>
          <w:p>
            <w:pPr>
              <w:pStyle w:val="29"/>
            </w:pPr>
          </w:p>
        </w:tc>
        <w:tc>
          <w:tcPr>
            <w:tcW w:w="680" w:type="dxa"/>
            <w:tcMar>
              <w:top w:w="15" w:type="dxa"/>
              <w:left w:w="15" w:type="dxa"/>
              <w:bottom w:w="0" w:type="dxa"/>
              <w:right w:w="15" w:type="dxa"/>
            </w:tcMar>
            <w:vAlign w:val="bottom"/>
          </w:tcPr>
          <w:p>
            <w:pPr>
              <w:pStyle w:val="2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bottom"/>
          </w:tcPr>
          <w:p>
            <w:pPr>
              <w:pStyle w:val="29"/>
            </w:pPr>
          </w:p>
        </w:tc>
        <w:tc>
          <w:tcPr>
            <w:tcW w:w="1240" w:type="dxa"/>
            <w:tcMar>
              <w:top w:w="15" w:type="dxa"/>
              <w:left w:w="15" w:type="dxa"/>
              <w:bottom w:w="0" w:type="dxa"/>
              <w:right w:w="15" w:type="dxa"/>
            </w:tcMar>
            <w:vAlign w:val="bottom"/>
          </w:tcPr>
          <w:p>
            <w:pPr>
              <w:pStyle w:val="29"/>
            </w:pPr>
          </w:p>
        </w:tc>
        <w:tc>
          <w:tcPr>
            <w:tcW w:w="570" w:type="dxa"/>
            <w:tcMar>
              <w:top w:w="15" w:type="dxa"/>
              <w:left w:w="15" w:type="dxa"/>
              <w:bottom w:w="0" w:type="dxa"/>
              <w:right w:w="15" w:type="dxa"/>
            </w:tcMar>
            <w:vAlign w:val="bottom"/>
          </w:tcPr>
          <w:p>
            <w:pPr>
              <w:pStyle w:val="29"/>
            </w:pPr>
          </w:p>
        </w:tc>
        <w:tc>
          <w:tcPr>
            <w:tcW w:w="570" w:type="dxa"/>
            <w:tcMar>
              <w:top w:w="15" w:type="dxa"/>
              <w:left w:w="15" w:type="dxa"/>
              <w:bottom w:w="0" w:type="dxa"/>
              <w:right w:w="15" w:type="dxa"/>
            </w:tcMar>
            <w:vAlign w:val="bottom"/>
          </w:tcPr>
          <w:p>
            <w:pPr>
              <w:pStyle w:val="29"/>
            </w:pPr>
          </w:p>
        </w:tc>
        <w:tc>
          <w:tcPr>
            <w:tcW w:w="570" w:type="dxa"/>
            <w:tcMar>
              <w:top w:w="15" w:type="dxa"/>
              <w:left w:w="15" w:type="dxa"/>
              <w:bottom w:w="0" w:type="dxa"/>
              <w:right w:w="15" w:type="dxa"/>
            </w:tcMar>
            <w:vAlign w:val="bottom"/>
          </w:tcPr>
          <w:p>
            <w:pPr>
              <w:pStyle w:val="29"/>
            </w:pPr>
          </w:p>
        </w:tc>
        <w:tc>
          <w:tcPr>
            <w:tcW w:w="835" w:type="dxa"/>
            <w:tcMar>
              <w:top w:w="15" w:type="dxa"/>
              <w:left w:w="15" w:type="dxa"/>
              <w:bottom w:w="0" w:type="dxa"/>
              <w:right w:w="15" w:type="dxa"/>
            </w:tcMar>
            <w:vAlign w:val="bottom"/>
          </w:tcPr>
          <w:p>
            <w:pPr>
              <w:pStyle w:val="29"/>
            </w:pPr>
          </w:p>
        </w:tc>
        <w:tc>
          <w:tcPr>
            <w:tcW w:w="1157" w:type="dxa"/>
            <w:tcMar>
              <w:top w:w="15" w:type="dxa"/>
              <w:left w:w="15" w:type="dxa"/>
              <w:bottom w:w="0" w:type="dxa"/>
              <w:right w:w="15" w:type="dxa"/>
            </w:tcMar>
          </w:tcPr>
          <w:p>
            <w:pPr>
              <w:pStyle w:val="29"/>
            </w:pPr>
          </w:p>
        </w:tc>
        <w:tc>
          <w:tcPr>
            <w:tcW w:w="748" w:type="dxa"/>
            <w:tcMar>
              <w:top w:w="15" w:type="dxa"/>
              <w:left w:w="15" w:type="dxa"/>
              <w:bottom w:w="0" w:type="dxa"/>
              <w:right w:w="15" w:type="dxa"/>
            </w:tcMar>
            <w:vAlign w:val="bottom"/>
          </w:tcPr>
          <w:p>
            <w:pPr>
              <w:pStyle w:val="29"/>
            </w:pPr>
          </w:p>
        </w:tc>
        <w:tc>
          <w:tcPr>
            <w:tcW w:w="1877" w:type="dxa"/>
            <w:tcMar>
              <w:top w:w="15" w:type="dxa"/>
              <w:left w:w="15" w:type="dxa"/>
              <w:bottom w:w="0" w:type="dxa"/>
              <w:right w:w="15" w:type="dxa"/>
            </w:tcMar>
            <w:vAlign w:val="bottom"/>
          </w:tcPr>
          <w:p>
            <w:pPr>
              <w:pStyle w:val="29"/>
            </w:pPr>
          </w:p>
        </w:tc>
        <w:tc>
          <w:tcPr>
            <w:tcW w:w="680" w:type="dxa"/>
            <w:tcMar>
              <w:top w:w="15" w:type="dxa"/>
              <w:left w:w="15" w:type="dxa"/>
              <w:bottom w:w="0" w:type="dxa"/>
              <w:right w:w="15" w:type="dxa"/>
            </w:tcMar>
            <w:vAlign w:val="bottom"/>
          </w:tcPr>
          <w:p>
            <w:pPr>
              <w:pStyle w:val="2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bottom"/>
          </w:tcPr>
          <w:p>
            <w:pPr>
              <w:pStyle w:val="29"/>
            </w:pPr>
          </w:p>
        </w:tc>
        <w:tc>
          <w:tcPr>
            <w:tcW w:w="1240" w:type="dxa"/>
            <w:tcMar>
              <w:top w:w="15" w:type="dxa"/>
              <w:left w:w="15" w:type="dxa"/>
              <w:bottom w:w="0" w:type="dxa"/>
              <w:right w:w="15" w:type="dxa"/>
            </w:tcMar>
            <w:vAlign w:val="bottom"/>
          </w:tcPr>
          <w:p>
            <w:pPr>
              <w:pStyle w:val="29"/>
            </w:pPr>
          </w:p>
        </w:tc>
        <w:tc>
          <w:tcPr>
            <w:tcW w:w="570" w:type="dxa"/>
            <w:tcMar>
              <w:top w:w="15" w:type="dxa"/>
              <w:left w:w="15" w:type="dxa"/>
              <w:bottom w:w="0" w:type="dxa"/>
              <w:right w:w="15" w:type="dxa"/>
            </w:tcMar>
            <w:vAlign w:val="bottom"/>
          </w:tcPr>
          <w:p>
            <w:pPr>
              <w:pStyle w:val="29"/>
            </w:pPr>
          </w:p>
        </w:tc>
        <w:tc>
          <w:tcPr>
            <w:tcW w:w="570" w:type="dxa"/>
            <w:tcMar>
              <w:top w:w="15" w:type="dxa"/>
              <w:left w:w="15" w:type="dxa"/>
              <w:bottom w:w="0" w:type="dxa"/>
              <w:right w:w="15" w:type="dxa"/>
            </w:tcMar>
            <w:vAlign w:val="bottom"/>
          </w:tcPr>
          <w:p>
            <w:pPr>
              <w:pStyle w:val="29"/>
            </w:pPr>
          </w:p>
        </w:tc>
        <w:tc>
          <w:tcPr>
            <w:tcW w:w="570" w:type="dxa"/>
            <w:tcMar>
              <w:top w:w="15" w:type="dxa"/>
              <w:left w:w="15" w:type="dxa"/>
              <w:bottom w:w="0" w:type="dxa"/>
              <w:right w:w="15" w:type="dxa"/>
            </w:tcMar>
            <w:vAlign w:val="bottom"/>
          </w:tcPr>
          <w:p>
            <w:pPr>
              <w:pStyle w:val="29"/>
            </w:pPr>
          </w:p>
        </w:tc>
        <w:tc>
          <w:tcPr>
            <w:tcW w:w="835" w:type="dxa"/>
            <w:tcMar>
              <w:top w:w="15" w:type="dxa"/>
              <w:left w:w="15" w:type="dxa"/>
              <w:bottom w:w="0" w:type="dxa"/>
              <w:right w:w="15" w:type="dxa"/>
            </w:tcMar>
            <w:vAlign w:val="bottom"/>
          </w:tcPr>
          <w:p>
            <w:pPr>
              <w:pStyle w:val="29"/>
            </w:pPr>
          </w:p>
        </w:tc>
        <w:tc>
          <w:tcPr>
            <w:tcW w:w="1157" w:type="dxa"/>
            <w:tcMar>
              <w:top w:w="15" w:type="dxa"/>
              <w:left w:w="15" w:type="dxa"/>
              <w:bottom w:w="0" w:type="dxa"/>
              <w:right w:w="15" w:type="dxa"/>
            </w:tcMar>
          </w:tcPr>
          <w:p>
            <w:pPr>
              <w:pStyle w:val="29"/>
            </w:pPr>
          </w:p>
        </w:tc>
        <w:tc>
          <w:tcPr>
            <w:tcW w:w="748" w:type="dxa"/>
            <w:tcMar>
              <w:top w:w="15" w:type="dxa"/>
              <w:left w:w="15" w:type="dxa"/>
              <w:bottom w:w="0" w:type="dxa"/>
              <w:right w:w="15" w:type="dxa"/>
            </w:tcMar>
            <w:vAlign w:val="bottom"/>
          </w:tcPr>
          <w:p>
            <w:pPr>
              <w:pStyle w:val="29"/>
            </w:pPr>
          </w:p>
        </w:tc>
        <w:tc>
          <w:tcPr>
            <w:tcW w:w="1877" w:type="dxa"/>
            <w:tcMar>
              <w:top w:w="15" w:type="dxa"/>
              <w:left w:w="15" w:type="dxa"/>
              <w:bottom w:w="0" w:type="dxa"/>
              <w:right w:w="15" w:type="dxa"/>
            </w:tcMar>
            <w:vAlign w:val="bottom"/>
          </w:tcPr>
          <w:p>
            <w:pPr>
              <w:pStyle w:val="29"/>
            </w:pPr>
          </w:p>
        </w:tc>
        <w:tc>
          <w:tcPr>
            <w:tcW w:w="680" w:type="dxa"/>
            <w:tcMar>
              <w:top w:w="15" w:type="dxa"/>
              <w:left w:w="15" w:type="dxa"/>
              <w:bottom w:w="0" w:type="dxa"/>
              <w:right w:w="15" w:type="dxa"/>
            </w:tcMar>
            <w:vAlign w:val="bottom"/>
          </w:tcPr>
          <w:p>
            <w:pPr>
              <w:pStyle w:val="2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57" w:type="dxa"/>
            <w:tcMar>
              <w:top w:w="15" w:type="dxa"/>
              <w:left w:w="15" w:type="dxa"/>
              <w:bottom w:w="0" w:type="dxa"/>
              <w:right w:w="15" w:type="dxa"/>
            </w:tcMar>
            <w:vAlign w:val="bottom"/>
          </w:tcPr>
          <w:p>
            <w:pPr>
              <w:pStyle w:val="29"/>
            </w:pPr>
          </w:p>
        </w:tc>
        <w:tc>
          <w:tcPr>
            <w:tcW w:w="1240" w:type="dxa"/>
            <w:tcMar>
              <w:top w:w="15" w:type="dxa"/>
              <w:left w:w="15" w:type="dxa"/>
              <w:bottom w:w="0" w:type="dxa"/>
              <w:right w:w="15" w:type="dxa"/>
            </w:tcMar>
            <w:vAlign w:val="bottom"/>
          </w:tcPr>
          <w:p>
            <w:pPr>
              <w:pStyle w:val="29"/>
            </w:pPr>
          </w:p>
        </w:tc>
        <w:tc>
          <w:tcPr>
            <w:tcW w:w="570" w:type="dxa"/>
            <w:tcMar>
              <w:top w:w="15" w:type="dxa"/>
              <w:left w:w="15" w:type="dxa"/>
              <w:bottom w:w="0" w:type="dxa"/>
              <w:right w:w="15" w:type="dxa"/>
            </w:tcMar>
            <w:vAlign w:val="bottom"/>
          </w:tcPr>
          <w:p>
            <w:pPr>
              <w:pStyle w:val="29"/>
            </w:pPr>
          </w:p>
        </w:tc>
        <w:tc>
          <w:tcPr>
            <w:tcW w:w="570" w:type="dxa"/>
            <w:tcMar>
              <w:top w:w="15" w:type="dxa"/>
              <w:left w:w="15" w:type="dxa"/>
              <w:bottom w:w="0" w:type="dxa"/>
              <w:right w:w="15" w:type="dxa"/>
            </w:tcMar>
            <w:vAlign w:val="bottom"/>
          </w:tcPr>
          <w:p>
            <w:pPr>
              <w:pStyle w:val="29"/>
            </w:pPr>
          </w:p>
        </w:tc>
        <w:tc>
          <w:tcPr>
            <w:tcW w:w="570" w:type="dxa"/>
            <w:tcMar>
              <w:top w:w="15" w:type="dxa"/>
              <w:left w:w="15" w:type="dxa"/>
              <w:bottom w:w="0" w:type="dxa"/>
              <w:right w:w="15" w:type="dxa"/>
            </w:tcMar>
            <w:vAlign w:val="bottom"/>
          </w:tcPr>
          <w:p>
            <w:pPr>
              <w:pStyle w:val="29"/>
            </w:pPr>
          </w:p>
        </w:tc>
        <w:tc>
          <w:tcPr>
            <w:tcW w:w="835" w:type="dxa"/>
            <w:tcMar>
              <w:top w:w="15" w:type="dxa"/>
              <w:left w:w="15" w:type="dxa"/>
              <w:bottom w:w="0" w:type="dxa"/>
              <w:right w:w="15" w:type="dxa"/>
            </w:tcMar>
            <w:vAlign w:val="bottom"/>
          </w:tcPr>
          <w:p>
            <w:pPr>
              <w:pStyle w:val="29"/>
            </w:pPr>
          </w:p>
        </w:tc>
        <w:tc>
          <w:tcPr>
            <w:tcW w:w="1157" w:type="dxa"/>
            <w:tcMar>
              <w:top w:w="15" w:type="dxa"/>
              <w:left w:w="15" w:type="dxa"/>
              <w:bottom w:w="0" w:type="dxa"/>
              <w:right w:w="15" w:type="dxa"/>
            </w:tcMar>
          </w:tcPr>
          <w:p>
            <w:pPr>
              <w:pStyle w:val="29"/>
            </w:pPr>
          </w:p>
        </w:tc>
        <w:tc>
          <w:tcPr>
            <w:tcW w:w="748" w:type="dxa"/>
            <w:tcMar>
              <w:top w:w="15" w:type="dxa"/>
              <w:left w:w="15" w:type="dxa"/>
              <w:bottom w:w="0" w:type="dxa"/>
              <w:right w:w="15" w:type="dxa"/>
            </w:tcMar>
            <w:vAlign w:val="bottom"/>
          </w:tcPr>
          <w:p>
            <w:pPr>
              <w:pStyle w:val="29"/>
            </w:pPr>
          </w:p>
        </w:tc>
        <w:tc>
          <w:tcPr>
            <w:tcW w:w="1877" w:type="dxa"/>
            <w:tcMar>
              <w:top w:w="15" w:type="dxa"/>
              <w:left w:w="15" w:type="dxa"/>
              <w:bottom w:w="0" w:type="dxa"/>
              <w:right w:w="15" w:type="dxa"/>
            </w:tcMar>
            <w:vAlign w:val="bottom"/>
          </w:tcPr>
          <w:p>
            <w:pPr>
              <w:pStyle w:val="29"/>
            </w:pPr>
          </w:p>
        </w:tc>
        <w:tc>
          <w:tcPr>
            <w:tcW w:w="680" w:type="dxa"/>
            <w:tcMar>
              <w:top w:w="15" w:type="dxa"/>
              <w:left w:w="15" w:type="dxa"/>
              <w:bottom w:w="0" w:type="dxa"/>
              <w:right w:w="15" w:type="dxa"/>
            </w:tcMar>
            <w:vAlign w:val="bottom"/>
          </w:tcPr>
          <w:p>
            <w:pPr>
              <w:pStyle w:val="29"/>
            </w:pPr>
          </w:p>
        </w:tc>
      </w:tr>
    </w:tbl>
    <w:p>
      <w:pPr>
        <w:pStyle w:val="8"/>
        <w:ind w:firstLine="480"/>
        <w:rPr>
          <w:sz w:val="22"/>
          <w:szCs w:val="22"/>
        </w:rPr>
      </w:pPr>
      <w:r>
        <w:rPr>
          <w:rFonts w:hint="eastAsia"/>
          <w:sz w:val="22"/>
          <w:szCs w:val="22"/>
        </w:rPr>
        <w:t>注：“岗位情况”须注明该人在本单位是在岗、返聘还是外聘。</w:t>
      </w:r>
    </w:p>
    <w:p>
      <w:pPr>
        <w:rPr>
          <w:rFonts w:hint="eastAsia"/>
        </w:rPr>
      </w:pPr>
      <w:bookmarkStart w:id="236" w:name="_Toc225410808"/>
      <w:bookmarkStart w:id="237" w:name="_Toc225412172"/>
      <w:bookmarkStart w:id="238" w:name="_Toc14010"/>
      <w:bookmarkStart w:id="239" w:name="_Toc225409966"/>
      <w:bookmarkStart w:id="240" w:name="_Toc8175"/>
      <w:bookmarkStart w:id="241" w:name="_Toc225415861"/>
      <w:bookmarkStart w:id="242" w:name="_Toc341541376"/>
      <w:bookmarkStart w:id="243" w:name="_Toc225567482"/>
      <w:bookmarkStart w:id="244" w:name="_Toc396304715"/>
      <w:bookmarkStart w:id="245" w:name="_Toc5691"/>
      <w:bookmarkStart w:id="246" w:name="_Toc225410182"/>
      <w:bookmarkStart w:id="247" w:name="_Toc403077653"/>
      <w:bookmarkStart w:id="248" w:name="_Toc5833"/>
      <w:bookmarkStart w:id="249" w:name="_Toc225415660"/>
      <w:bookmarkStart w:id="250" w:name="_Toc4548"/>
      <w:bookmarkStart w:id="251" w:name="_Toc225412374"/>
      <w:bookmarkStart w:id="252" w:name="_Toc26060"/>
      <w:bookmarkStart w:id="253" w:name="_Toc225416062"/>
      <w:bookmarkStart w:id="254" w:name="_Toc426457711"/>
      <w:bookmarkStart w:id="255" w:name="_Toc15882"/>
      <w:bookmarkStart w:id="256" w:name="_Toc225566702"/>
      <w:bookmarkStart w:id="257" w:name="_Toc6668"/>
      <w:bookmarkStart w:id="258" w:name="_Toc225566883"/>
      <w:bookmarkStart w:id="259" w:name="_Toc16685"/>
      <w:r>
        <w:rPr>
          <w:rFonts w:hint="eastAsia"/>
        </w:rPr>
        <w:br w:type="page"/>
      </w:r>
    </w:p>
    <w:p>
      <w:pPr>
        <w:pStyle w:val="5"/>
        <w:spacing w:before="666" w:after="666"/>
      </w:pPr>
      <w:r>
        <w:rPr>
          <w:rFonts w:hint="eastAsia"/>
        </w:rPr>
        <w:t>（二） 本项目拟投入主要人员简历表</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pPr>
        <w:pStyle w:val="32"/>
        <w:spacing w:line="360" w:lineRule="auto"/>
        <w:ind w:firstLine="0" w:firstLineChars="0"/>
        <w:jc w:val="center"/>
        <w:outlineLvl w:val="9"/>
        <w:rPr>
          <w:rFonts w:hAnsi="宋体"/>
          <w:color w:val="auto"/>
          <w:szCs w:val="24"/>
        </w:rPr>
      </w:pPr>
      <w:bookmarkStart w:id="260" w:name="_Toc1696"/>
      <w:bookmarkStart w:id="261" w:name="_Toc403077654"/>
      <w:bookmarkStart w:id="262" w:name="_Toc396304716"/>
      <w:bookmarkStart w:id="263" w:name="_Toc12576"/>
      <w:bookmarkStart w:id="264" w:name="_Toc23655"/>
      <w:bookmarkStart w:id="265" w:name="_Toc23862"/>
      <w:bookmarkStart w:id="266" w:name="_Toc30540"/>
      <w:bookmarkStart w:id="267" w:name="_Toc426457712"/>
      <w:bookmarkStart w:id="268" w:name="_Toc4640"/>
      <w:bookmarkStart w:id="269" w:name="_Toc26268"/>
      <w:bookmarkStart w:id="270" w:name="_Toc13947"/>
      <w:bookmarkStart w:id="271" w:name="_Toc21195"/>
      <w:r>
        <w:rPr>
          <w:rFonts w:hint="eastAsia" w:hAnsi="宋体"/>
          <w:color w:val="auto"/>
          <w:szCs w:val="24"/>
        </w:rPr>
        <w:t>本项目拟投入主要人员简历表</w:t>
      </w:r>
      <w:bookmarkEnd w:id="260"/>
      <w:bookmarkEnd w:id="261"/>
      <w:bookmarkEnd w:id="262"/>
      <w:bookmarkEnd w:id="263"/>
      <w:bookmarkEnd w:id="264"/>
      <w:bookmarkEnd w:id="265"/>
      <w:bookmarkEnd w:id="266"/>
      <w:bookmarkEnd w:id="267"/>
      <w:bookmarkEnd w:id="268"/>
      <w:bookmarkEnd w:id="269"/>
      <w:bookmarkEnd w:id="270"/>
      <w:bookmarkEnd w:id="271"/>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272"/>
        <w:gridCol w:w="1577"/>
        <w:gridCol w:w="1525"/>
        <w:gridCol w:w="1286"/>
        <w:gridCol w:w="45"/>
        <w:gridCol w:w="1709"/>
        <w:gridCol w:w="7"/>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772" w:type="dxa"/>
            <w:gridSpan w:val="2"/>
            <w:vAlign w:val="center"/>
          </w:tcPr>
          <w:p>
            <w:pPr>
              <w:pStyle w:val="29"/>
            </w:pPr>
            <w:r>
              <w:rPr>
                <w:rFonts w:hint="eastAsia"/>
              </w:rPr>
              <w:t>姓  名</w:t>
            </w:r>
          </w:p>
        </w:tc>
        <w:tc>
          <w:tcPr>
            <w:tcW w:w="1577" w:type="dxa"/>
            <w:vAlign w:val="center"/>
          </w:tcPr>
          <w:p>
            <w:pPr>
              <w:pStyle w:val="29"/>
            </w:pPr>
          </w:p>
        </w:tc>
        <w:tc>
          <w:tcPr>
            <w:tcW w:w="1525" w:type="dxa"/>
            <w:vAlign w:val="center"/>
          </w:tcPr>
          <w:p>
            <w:pPr>
              <w:pStyle w:val="29"/>
            </w:pPr>
            <w:r>
              <w:rPr>
                <w:rFonts w:hint="eastAsia"/>
              </w:rPr>
              <w:t>性 别</w:t>
            </w:r>
          </w:p>
        </w:tc>
        <w:tc>
          <w:tcPr>
            <w:tcW w:w="1331" w:type="dxa"/>
            <w:gridSpan w:val="2"/>
            <w:vAlign w:val="center"/>
          </w:tcPr>
          <w:p>
            <w:pPr>
              <w:pStyle w:val="29"/>
            </w:pPr>
          </w:p>
        </w:tc>
        <w:tc>
          <w:tcPr>
            <w:tcW w:w="1709" w:type="dxa"/>
            <w:vAlign w:val="center"/>
          </w:tcPr>
          <w:p>
            <w:pPr>
              <w:pStyle w:val="29"/>
            </w:pPr>
            <w:r>
              <w:rPr>
                <w:rFonts w:hint="eastAsia"/>
              </w:rPr>
              <w:t>年 龄</w:t>
            </w:r>
          </w:p>
        </w:tc>
        <w:tc>
          <w:tcPr>
            <w:tcW w:w="1139" w:type="dxa"/>
            <w:gridSpan w:val="2"/>
            <w:vAlign w:val="center"/>
          </w:tcPr>
          <w:p>
            <w:pPr>
              <w:pStyle w:val="2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772" w:type="dxa"/>
            <w:gridSpan w:val="2"/>
            <w:vAlign w:val="center"/>
          </w:tcPr>
          <w:p>
            <w:pPr>
              <w:pStyle w:val="29"/>
            </w:pPr>
            <w:r>
              <w:rPr>
                <w:rFonts w:hint="eastAsia"/>
              </w:rPr>
              <w:t>职  称</w:t>
            </w:r>
          </w:p>
        </w:tc>
        <w:tc>
          <w:tcPr>
            <w:tcW w:w="1577" w:type="dxa"/>
            <w:vAlign w:val="center"/>
          </w:tcPr>
          <w:p>
            <w:pPr>
              <w:pStyle w:val="29"/>
            </w:pPr>
          </w:p>
        </w:tc>
        <w:tc>
          <w:tcPr>
            <w:tcW w:w="1525" w:type="dxa"/>
            <w:vAlign w:val="center"/>
          </w:tcPr>
          <w:p>
            <w:pPr>
              <w:pStyle w:val="29"/>
            </w:pPr>
            <w:r>
              <w:rPr>
                <w:rFonts w:hint="eastAsia"/>
              </w:rPr>
              <w:t>身份证号</w:t>
            </w:r>
          </w:p>
        </w:tc>
        <w:tc>
          <w:tcPr>
            <w:tcW w:w="1331" w:type="dxa"/>
            <w:gridSpan w:val="2"/>
            <w:vAlign w:val="center"/>
          </w:tcPr>
          <w:p>
            <w:pPr>
              <w:pStyle w:val="29"/>
            </w:pPr>
          </w:p>
        </w:tc>
        <w:tc>
          <w:tcPr>
            <w:tcW w:w="1709" w:type="dxa"/>
            <w:vAlign w:val="center"/>
          </w:tcPr>
          <w:p>
            <w:pPr>
              <w:pStyle w:val="29"/>
            </w:pPr>
            <w:r>
              <w:rPr>
                <w:rFonts w:hint="eastAsia"/>
              </w:rPr>
              <w:t>专业/年限</w:t>
            </w:r>
          </w:p>
        </w:tc>
        <w:tc>
          <w:tcPr>
            <w:tcW w:w="1139" w:type="dxa"/>
            <w:gridSpan w:val="2"/>
            <w:vAlign w:val="center"/>
          </w:tcPr>
          <w:p>
            <w:pPr>
              <w:pStyle w:val="2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772" w:type="dxa"/>
            <w:gridSpan w:val="2"/>
            <w:vAlign w:val="center"/>
          </w:tcPr>
          <w:p>
            <w:pPr>
              <w:pStyle w:val="29"/>
            </w:pPr>
            <w:r>
              <w:rPr>
                <w:rFonts w:hint="eastAsia"/>
              </w:rPr>
              <w:t>毕业时间</w:t>
            </w:r>
          </w:p>
        </w:tc>
        <w:tc>
          <w:tcPr>
            <w:tcW w:w="1577" w:type="dxa"/>
            <w:vAlign w:val="center"/>
          </w:tcPr>
          <w:p>
            <w:pPr>
              <w:pStyle w:val="29"/>
            </w:pPr>
          </w:p>
        </w:tc>
        <w:tc>
          <w:tcPr>
            <w:tcW w:w="1525" w:type="dxa"/>
            <w:vAlign w:val="center"/>
          </w:tcPr>
          <w:p>
            <w:pPr>
              <w:pStyle w:val="29"/>
            </w:pPr>
            <w:r>
              <w:rPr>
                <w:rFonts w:hint="eastAsia"/>
              </w:rPr>
              <w:t>毕业学校</w:t>
            </w:r>
          </w:p>
        </w:tc>
        <w:tc>
          <w:tcPr>
            <w:tcW w:w="1331" w:type="dxa"/>
            <w:gridSpan w:val="2"/>
            <w:vAlign w:val="center"/>
          </w:tcPr>
          <w:p>
            <w:pPr>
              <w:pStyle w:val="29"/>
            </w:pPr>
          </w:p>
        </w:tc>
        <w:tc>
          <w:tcPr>
            <w:tcW w:w="1709" w:type="dxa"/>
            <w:vAlign w:val="center"/>
          </w:tcPr>
          <w:p>
            <w:pPr>
              <w:pStyle w:val="29"/>
            </w:pPr>
            <w:r>
              <w:rPr>
                <w:rFonts w:hint="eastAsia"/>
              </w:rPr>
              <w:t>学历/专业</w:t>
            </w:r>
          </w:p>
        </w:tc>
        <w:tc>
          <w:tcPr>
            <w:tcW w:w="1139" w:type="dxa"/>
            <w:gridSpan w:val="2"/>
            <w:vAlign w:val="center"/>
          </w:tcPr>
          <w:p>
            <w:pPr>
              <w:pStyle w:val="2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772" w:type="dxa"/>
            <w:gridSpan w:val="2"/>
            <w:vAlign w:val="center"/>
          </w:tcPr>
          <w:p>
            <w:pPr>
              <w:pStyle w:val="29"/>
            </w:pPr>
            <w:r>
              <w:rPr>
                <w:rFonts w:hint="eastAsia"/>
              </w:rPr>
              <w:t>资格证书</w:t>
            </w:r>
          </w:p>
        </w:tc>
        <w:tc>
          <w:tcPr>
            <w:tcW w:w="1577" w:type="dxa"/>
            <w:vAlign w:val="center"/>
          </w:tcPr>
          <w:p>
            <w:pPr>
              <w:pStyle w:val="29"/>
            </w:pPr>
          </w:p>
        </w:tc>
        <w:tc>
          <w:tcPr>
            <w:tcW w:w="1525" w:type="dxa"/>
            <w:vAlign w:val="center"/>
          </w:tcPr>
          <w:p>
            <w:pPr>
              <w:pStyle w:val="29"/>
            </w:pPr>
            <w:r>
              <w:rPr>
                <w:rFonts w:hint="eastAsia"/>
              </w:rPr>
              <w:t>注册时间</w:t>
            </w:r>
          </w:p>
        </w:tc>
        <w:tc>
          <w:tcPr>
            <w:tcW w:w="1331" w:type="dxa"/>
            <w:gridSpan w:val="2"/>
            <w:vAlign w:val="center"/>
          </w:tcPr>
          <w:p>
            <w:pPr>
              <w:pStyle w:val="29"/>
            </w:pPr>
          </w:p>
        </w:tc>
        <w:tc>
          <w:tcPr>
            <w:tcW w:w="1709" w:type="dxa"/>
            <w:vAlign w:val="center"/>
          </w:tcPr>
          <w:p>
            <w:pPr>
              <w:pStyle w:val="29"/>
            </w:pPr>
            <w:r>
              <w:rPr>
                <w:rFonts w:hint="eastAsia"/>
              </w:rPr>
              <w:t>从业时间</w:t>
            </w:r>
          </w:p>
        </w:tc>
        <w:tc>
          <w:tcPr>
            <w:tcW w:w="1139" w:type="dxa"/>
            <w:gridSpan w:val="2"/>
            <w:vAlign w:val="center"/>
          </w:tcPr>
          <w:p>
            <w:pPr>
              <w:pStyle w:val="2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3349" w:type="dxa"/>
            <w:gridSpan w:val="3"/>
            <w:vAlign w:val="center"/>
          </w:tcPr>
          <w:p>
            <w:pPr>
              <w:pStyle w:val="29"/>
            </w:pPr>
            <w:r>
              <w:rPr>
                <w:rFonts w:hint="eastAsia"/>
              </w:rPr>
              <w:t>是否属投标人固定雇员</w:t>
            </w:r>
          </w:p>
        </w:tc>
        <w:tc>
          <w:tcPr>
            <w:tcW w:w="1525" w:type="dxa"/>
            <w:vAlign w:val="center"/>
          </w:tcPr>
          <w:p>
            <w:pPr>
              <w:pStyle w:val="29"/>
            </w:pPr>
          </w:p>
        </w:tc>
        <w:tc>
          <w:tcPr>
            <w:tcW w:w="3040" w:type="dxa"/>
            <w:gridSpan w:val="3"/>
            <w:vAlign w:val="center"/>
          </w:tcPr>
          <w:p>
            <w:pPr>
              <w:pStyle w:val="29"/>
            </w:pPr>
            <w:r>
              <w:rPr>
                <w:rFonts w:hint="eastAsia"/>
              </w:rPr>
              <w:t>为投标人服务时间</w:t>
            </w:r>
          </w:p>
        </w:tc>
        <w:tc>
          <w:tcPr>
            <w:tcW w:w="1139" w:type="dxa"/>
            <w:gridSpan w:val="2"/>
            <w:vAlign w:val="center"/>
          </w:tcPr>
          <w:p>
            <w:pPr>
              <w:pStyle w:val="2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349" w:type="dxa"/>
            <w:gridSpan w:val="3"/>
            <w:vAlign w:val="center"/>
          </w:tcPr>
          <w:p>
            <w:pPr>
              <w:pStyle w:val="29"/>
            </w:pPr>
            <w:r>
              <w:rPr>
                <w:rFonts w:hint="eastAsia"/>
              </w:rPr>
              <w:t>拟在本项目担任职务</w:t>
            </w:r>
          </w:p>
        </w:tc>
        <w:tc>
          <w:tcPr>
            <w:tcW w:w="5704" w:type="dxa"/>
            <w:gridSpan w:val="6"/>
            <w:vAlign w:val="center"/>
          </w:tcPr>
          <w:p>
            <w:pPr>
              <w:pStyle w:val="2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053" w:type="dxa"/>
            <w:gridSpan w:val="9"/>
            <w:vAlign w:val="center"/>
          </w:tcPr>
          <w:p>
            <w:pPr>
              <w:pStyle w:val="29"/>
            </w:pPr>
            <w:r>
              <w:rPr>
                <w:rFonts w:hint="eastAsia"/>
              </w:rPr>
              <w:t>教育和培训背景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trPr>
        <w:tc>
          <w:tcPr>
            <w:tcW w:w="9053" w:type="dxa"/>
            <w:gridSpan w:val="9"/>
          </w:tcPr>
          <w:p>
            <w:pPr>
              <w:pStyle w:val="29"/>
            </w:pPr>
            <w:r>
              <w:rPr>
                <w:rFonts w:hint="eastAsia"/>
              </w:rPr>
              <w:t>（教育背景从大学开始，</w:t>
            </w:r>
            <w:r>
              <w:rPr>
                <w:rFonts w:hint="eastAsia"/>
                <w:lang w:eastAsia="zh-CN"/>
              </w:rPr>
              <w:t>合同包</w:t>
            </w:r>
            <w:r>
              <w:rPr>
                <w:rFonts w:hint="eastAsia"/>
              </w:rPr>
              <w:t>括毕业院校名称、专业、起始时间。培训填写与专业技术、业务有关的内容）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053" w:type="dxa"/>
            <w:gridSpan w:val="9"/>
            <w:vAlign w:val="center"/>
          </w:tcPr>
          <w:p>
            <w:pPr>
              <w:pStyle w:val="29"/>
            </w:pPr>
            <w:r>
              <w:rPr>
                <w:rFonts w:hint="eastAsia"/>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00" w:type="dxa"/>
            <w:vAlign w:val="center"/>
          </w:tcPr>
          <w:p>
            <w:pPr>
              <w:pStyle w:val="29"/>
            </w:pPr>
            <w:r>
              <w:rPr>
                <w:rFonts w:hint="eastAsia"/>
              </w:rPr>
              <w:t>时  间</w:t>
            </w:r>
          </w:p>
        </w:tc>
        <w:tc>
          <w:tcPr>
            <w:tcW w:w="3374" w:type="dxa"/>
            <w:gridSpan w:val="3"/>
            <w:vAlign w:val="center"/>
          </w:tcPr>
          <w:p>
            <w:pPr>
              <w:pStyle w:val="29"/>
            </w:pPr>
            <w:r>
              <w:rPr>
                <w:rFonts w:hint="eastAsia"/>
              </w:rPr>
              <w:t>参加过的项目名称</w:t>
            </w:r>
          </w:p>
          <w:p>
            <w:pPr>
              <w:pStyle w:val="29"/>
            </w:pPr>
            <w:r>
              <w:rPr>
                <w:rFonts w:hint="eastAsia"/>
              </w:rPr>
              <w:t>及当时所在单位</w:t>
            </w:r>
          </w:p>
        </w:tc>
        <w:tc>
          <w:tcPr>
            <w:tcW w:w="1286" w:type="dxa"/>
            <w:vAlign w:val="center"/>
          </w:tcPr>
          <w:p>
            <w:pPr>
              <w:pStyle w:val="29"/>
            </w:pPr>
            <w:r>
              <w:rPr>
                <w:rFonts w:hint="eastAsia"/>
              </w:rPr>
              <w:t>担任何职</w:t>
            </w:r>
          </w:p>
        </w:tc>
        <w:tc>
          <w:tcPr>
            <w:tcW w:w="1761" w:type="dxa"/>
            <w:gridSpan w:val="3"/>
            <w:vAlign w:val="center"/>
          </w:tcPr>
          <w:p>
            <w:pPr>
              <w:pStyle w:val="29"/>
            </w:pPr>
            <w:r>
              <w:rPr>
                <w:rFonts w:hint="eastAsia"/>
              </w:rPr>
              <w:t>主要工作内容</w:t>
            </w:r>
          </w:p>
        </w:tc>
        <w:tc>
          <w:tcPr>
            <w:tcW w:w="1132" w:type="dxa"/>
            <w:vAlign w:val="center"/>
          </w:tcPr>
          <w:p>
            <w:pPr>
              <w:pStyle w:val="29"/>
            </w:pPr>
            <w:r>
              <w:rPr>
                <w:rFonts w:hint="eastAsia"/>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00" w:type="dxa"/>
            <w:vAlign w:val="center"/>
          </w:tcPr>
          <w:p>
            <w:pPr>
              <w:pStyle w:val="29"/>
            </w:pPr>
          </w:p>
        </w:tc>
        <w:tc>
          <w:tcPr>
            <w:tcW w:w="3374" w:type="dxa"/>
            <w:gridSpan w:val="3"/>
            <w:vAlign w:val="center"/>
          </w:tcPr>
          <w:p>
            <w:pPr>
              <w:pStyle w:val="29"/>
            </w:pPr>
          </w:p>
        </w:tc>
        <w:tc>
          <w:tcPr>
            <w:tcW w:w="1286" w:type="dxa"/>
            <w:vAlign w:val="center"/>
          </w:tcPr>
          <w:p>
            <w:pPr>
              <w:pStyle w:val="29"/>
            </w:pPr>
          </w:p>
        </w:tc>
        <w:tc>
          <w:tcPr>
            <w:tcW w:w="1761" w:type="dxa"/>
            <w:gridSpan w:val="3"/>
            <w:vAlign w:val="center"/>
          </w:tcPr>
          <w:p>
            <w:pPr>
              <w:pStyle w:val="29"/>
            </w:pPr>
          </w:p>
        </w:tc>
        <w:tc>
          <w:tcPr>
            <w:tcW w:w="1132" w:type="dxa"/>
            <w:vAlign w:val="center"/>
          </w:tcPr>
          <w:p>
            <w:pPr>
              <w:pStyle w:val="2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500" w:type="dxa"/>
            <w:vAlign w:val="center"/>
          </w:tcPr>
          <w:p>
            <w:pPr>
              <w:pStyle w:val="29"/>
            </w:pPr>
          </w:p>
        </w:tc>
        <w:tc>
          <w:tcPr>
            <w:tcW w:w="3374" w:type="dxa"/>
            <w:gridSpan w:val="3"/>
            <w:vAlign w:val="center"/>
          </w:tcPr>
          <w:p>
            <w:pPr>
              <w:pStyle w:val="29"/>
            </w:pPr>
          </w:p>
        </w:tc>
        <w:tc>
          <w:tcPr>
            <w:tcW w:w="1286" w:type="dxa"/>
            <w:vAlign w:val="center"/>
          </w:tcPr>
          <w:p>
            <w:pPr>
              <w:pStyle w:val="29"/>
            </w:pPr>
          </w:p>
        </w:tc>
        <w:tc>
          <w:tcPr>
            <w:tcW w:w="1761" w:type="dxa"/>
            <w:gridSpan w:val="3"/>
            <w:vAlign w:val="center"/>
          </w:tcPr>
          <w:p>
            <w:pPr>
              <w:pStyle w:val="29"/>
            </w:pPr>
          </w:p>
        </w:tc>
        <w:tc>
          <w:tcPr>
            <w:tcW w:w="1132" w:type="dxa"/>
            <w:vAlign w:val="center"/>
          </w:tcPr>
          <w:p>
            <w:pPr>
              <w:pStyle w:val="2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00" w:type="dxa"/>
            <w:vAlign w:val="center"/>
          </w:tcPr>
          <w:p>
            <w:pPr>
              <w:pStyle w:val="29"/>
            </w:pPr>
          </w:p>
        </w:tc>
        <w:tc>
          <w:tcPr>
            <w:tcW w:w="3374" w:type="dxa"/>
            <w:gridSpan w:val="3"/>
            <w:vAlign w:val="center"/>
          </w:tcPr>
          <w:p>
            <w:pPr>
              <w:pStyle w:val="29"/>
            </w:pPr>
          </w:p>
        </w:tc>
        <w:tc>
          <w:tcPr>
            <w:tcW w:w="1286" w:type="dxa"/>
            <w:vAlign w:val="center"/>
          </w:tcPr>
          <w:p>
            <w:pPr>
              <w:pStyle w:val="29"/>
            </w:pPr>
          </w:p>
        </w:tc>
        <w:tc>
          <w:tcPr>
            <w:tcW w:w="1761" w:type="dxa"/>
            <w:gridSpan w:val="3"/>
            <w:vAlign w:val="center"/>
          </w:tcPr>
          <w:p>
            <w:pPr>
              <w:pStyle w:val="29"/>
            </w:pPr>
          </w:p>
        </w:tc>
        <w:tc>
          <w:tcPr>
            <w:tcW w:w="1132" w:type="dxa"/>
            <w:vAlign w:val="center"/>
          </w:tcPr>
          <w:p>
            <w:pPr>
              <w:pStyle w:val="2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00" w:type="dxa"/>
            <w:vAlign w:val="center"/>
          </w:tcPr>
          <w:p>
            <w:pPr>
              <w:pStyle w:val="29"/>
            </w:pPr>
          </w:p>
        </w:tc>
        <w:tc>
          <w:tcPr>
            <w:tcW w:w="3374" w:type="dxa"/>
            <w:gridSpan w:val="3"/>
            <w:vAlign w:val="center"/>
          </w:tcPr>
          <w:p>
            <w:pPr>
              <w:pStyle w:val="29"/>
            </w:pPr>
          </w:p>
        </w:tc>
        <w:tc>
          <w:tcPr>
            <w:tcW w:w="1286" w:type="dxa"/>
            <w:vAlign w:val="center"/>
          </w:tcPr>
          <w:p>
            <w:pPr>
              <w:pStyle w:val="29"/>
            </w:pPr>
          </w:p>
        </w:tc>
        <w:tc>
          <w:tcPr>
            <w:tcW w:w="1761" w:type="dxa"/>
            <w:gridSpan w:val="3"/>
            <w:vAlign w:val="center"/>
          </w:tcPr>
          <w:p>
            <w:pPr>
              <w:pStyle w:val="29"/>
            </w:pPr>
          </w:p>
        </w:tc>
        <w:tc>
          <w:tcPr>
            <w:tcW w:w="1132" w:type="dxa"/>
            <w:vAlign w:val="center"/>
          </w:tcPr>
          <w:p>
            <w:pPr>
              <w:pStyle w:val="2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00" w:type="dxa"/>
            <w:vAlign w:val="center"/>
          </w:tcPr>
          <w:p>
            <w:pPr>
              <w:pStyle w:val="29"/>
            </w:pPr>
          </w:p>
        </w:tc>
        <w:tc>
          <w:tcPr>
            <w:tcW w:w="3374" w:type="dxa"/>
            <w:gridSpan w:val="3"/>
            <w:vAlign w:val="center"/>
          </w:tcPr>
          <w:p>
            <w:pPr>
              <w:pStyle w:val="29"/>
            </w:pPr>
          </w:p>
        </w:tc>
        <w:tc>
          <w:tcPr>
            <w:tcW w:w="1286" w:type="dxa"/>
            <w:vAlign w:val="center"/>
          </w:tcPr>
          <w:p>
            <w:pPr>
              <w:pStyle w:val="29"/>
            </w:pPr>
          </w:p>
        </w:tc>
        <w:tc>
          <w:tcPr>
            <w:tcW w:w="1761" w:type="dxa"/>
            <w:gridSpan w:val="3"/>
            <w:vAlign w:val="center"/>
          </w:tcPr>
          <w:p>
            <w:pPr>
              <w:pStyle w:val="29"/>
            </w:pPr>
          </w:p>
        </w:tc>
        <w:tc>
          <w:tcPr>
            <w:tcW w:w="1132" w:type="dxa"/>
            <w:vAlign w:val="center"/>
          </w:tcPr>
          <w:p>
            <w:pPr>
              <w:pStyle w:val="2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00" w:type="dxa"/>
            <w:vAlign w:val="center"/>
          </w:tcPr>
          <w:p>
            <w:pPr>
              <w:pStyle w:val="29"/>
            </w:pPr>
          </w:p>
        </w:tc>
        <w:tc>
          <w:tcPr>
            <w:tcW w:w="3374" w:type="dxa"/>
            <w:gridSpan w:val="3"/>
            <w:vAlign w:val="center"/>
          </w:tcPr>
          <w:p>
            <w:pPr>
              <w:pStyle w:val="29"/>
            </w:pPr>
          </w:p>
        </w:tc>
        <w:tc>
          <w:tcPr>
            <w:tcW w:w="1286" w:type="dxa"/>
            <w:vAlign w:val="center"/>
          </w:tcPr>
          <w:p>
            <w:pPr>
              <w:pStyle w:val="29"/>
            </w:pPr>
          </w:p>
        </w:tc>
        <w:tc>
          <w:tcPr>
            <w:tcW w:w="1761" w:type="dxa"/>
            <w:gridSpan w:val="3"/>
            <w:vAlign w:val="center"/>
          </w:tcPr>
          <w:p>
            <w:pPr>
              <w:pStyle w:val="29"/>
            </w:pPr>
          </w:p>
        </w:tc>
        <w:tc>
          <w:tcPr>
            <w:tcW w:w="1132" w:type="dxa"/>
            <w:vAlign w:val="center"/>
          </w:tcPr>
          <w:p>
            <w:pPr>
              <w:pStyle w:val="29"/>
            </w:pPr>
          </w:p>
        </w:tc>
      </w:tr>
    </w:tbl>
    <w:p>
      <w:pPr>
        <w:pStyle w:val="8"/>
        <w:ind w:firstLine="480"/>
      </w:pPr>
      <w:bookmarkStart w:id="272" w:name="_Toc403077655"/>
      <w:bookmarkStart w:id="273" w:name="_Toc1379"/>
      <w:bookmarkStart w:id="274" w:name="_Toc2621"/>
      <w:bookmarkStart w:id="275" w:name="_Toc363474032"/>
      <w:bookmarkStart w:id="276" w:name="_Toc23455"/>
      <w:bookmarkStart w:id="277" w:name="_Toc426457713"/>
      <w:bookmarkStart w:id="278" w:name="_Toc9218"/>
      <w:bookmarkStart w:id="279" w:name="_Toc21284"/>
      <w:bookmarkStart w:id="280" w:name="_Toc3362"/>
    </w:p>
    <w:p>
      <w:pPr>
        <w:pStyle w:val="8"/>
        <w:ind w:firstLine="0" w:firstLineChars="0"/>
        <w:rPr>
          <w:b/>
          <w:bCs/>
          <w:sz w:val="21"/>
          <w:szCs w:val="21"/>
        </w:rPr>
      </w:pPr>
      <w:r>
        <w:rPr>
          <w:rFonts w:hint="eastAsia"/>
          <w:b/>
          <w:bCs/>
          <w:sz w:val="21"/>
          <w:szCs w:val="21"/>
        </w:rPr>
        <w:t>注：</w:t>
      </w:r>
    </w:p>
    <w:p>
      <w:pPr>
        <w:pStyle w:val="8"/>
        <w:ind w:firstLine="480"/>
        <w:rPr>
          <w:sz w:val="21"/>
          <w:szCs w:val="21"/>
        </w:rPr>
      </w:pPr>
      <w:r>
        <w:rPr>
          <w:rFonts w:hint="eastAsia"/>
          <w:sz w:val="21"/>
          <w:szCs w:val="21"/>
        </w:rPr>
        <w:t>1.表后附身份证、毕业证、职称证、执业资格证、获奖证书（如果有）复印件。</w:t>
      </w:r>
    </w:p>
    <w:p>
      <w:pPr>
        <w:pStyle w:val="8"/>
        <w:ind w:firstLine="480"/>
        <w:rPr>
          <w:sz w:val="21"/>
          <w:szCs w:val="21"/>
        </w:rPr>
      </w:pPr>
      <w:r>
        <w:rPr>
          <w:rFonts w:hint="eastAsia"/>
          <w:sz w:val="21"/>
          <w:szCs w:val="21"/>
        </w:rPr>
        <w:t>2.获奖情况</w:t>
      </w:r>
      <w:r>
        <w:rPr>
          <w:rFonts w:hint="eastAsia"/>
          <w:sz w:val="21"/>
          <w:szCs w:val="21"/>
          <w:lang w:eastAsia="zh-CN"/>
        </w:rPr>
        <w:t>合同包</w:t>
      </w:r>
      <w:r>
        <w:rPr>
          <w:rFonts w:hint="eastAsia"/>
          <w:sz w:val="21"/>
          <w:szCs w:val="21"/>
        </w:rPr>
        <w:t>括项目、集体或个人获奖情况，如有，应附复印件或者扫描件。</w:t>
      </w:r>
    </w:p>
    <w:p>
      <w:pPr>
        <w:pStyle w:val="2"/>
        <w:rPr>
          <w:szCs w:val="24"/>
        </w:rPr>
      </w:pPr>
      <w:r>
        <w:rPr>
          <w:rFonts w:hint="eastAsia"/>
          <w:sz w:val="32"/>
          <w:szCs w:val="32"/>
        </w:rPr>
        <w:br w:type="page"/>
      </w:r>
      <w:r>
        <w:rPr>
          <w:rFonts w:hint="eastAsia"/>
          <w:szCs w:val="24"/>
        </w:rPr>
        <w:t>附表3 类似业绩一览表</w:t>
      </w:r>
    </w:p>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7"/>
        <w:gridCol w:w="3663"/>
        <w:gridCol w:w="2241"/>
        <w:gridCol w:w="21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7" w:hRule="exact"/>
          <w:jc w:val="center"/>
        </w:trPr>
        <w:tc>
          <w:tcPr>
            <w:tcW w:w="837" w:type="dxa"/>
            <w:tcBorders>
              <w:top w:val="single" w:color="auto" w:sz="4" w:space="0"/>
              <w:left w:val="single" w:color="auto" w:sz="4" w:space="0"/>
              <w:bottom w:val="single" w:color="auto" w:sz="4" w:space="0"/>
              <w:right w:val="single" w:color="auto" w:sz="4" w:space="0"/>
            </w:tcBorders>
            <w:vAlign w:val="center"/>
          </w:tcPr>
          <w:p>
            <w:pPr>
              <w:pStyle w:val="29"/>
            </w:pPr>
            <w:r>
              <w:rPr>
                <w:rFonts w:hint="eastAsia"/>
              </w:rPr>
              <w:t>序号</w:t>
            </w:r>
          </w:p>
        </w:tc>
        <w:tc>
          <w:tcPr>
            <w:tcW w:w="3663" w:type="dxa"/>
            <w:tcBorders>
              <w:top w:val="single" w:color="auto" w:sz="4" w:space="0"/>
              <w:left w:val="single" w:color="auto" w:sz="4" w:space="0"/>
              <w:bottom w:val="single" w:color="auto" w:sz="4" w:space="0"/>
              <w:right w:val="single" w:color="auto" w:sz="4" w:space="0"/>
            </w:tcBorders>
            <w:vAlign w:val="center"/>
          </w:tcPr>
          <w:p>
            <w:pPr>
              <w:pStyle w:val="29"/>
            </w:pPr>
            <w:r>
              <w:rPr>
                <w:rFonts w:hint="eastAsia"/>
              </w:rPr>
              <w:t>项目名称</w:t>
            </w:r>
          </w:p>
        </w:tc>
        <w:tc>
          <w:tcPr>
            <w:tcW w:w="2241" w:type="dxa"/>
            <w:tcBorders>
              <w:top w:val="single" w:color="auto" w:sz="4" w:space="0"/>
              <w:left w:val="single" w:color="auto" w:sz="4" w:space="0"/>
              <w:bottom w:val="single" w:color="auto" w:sz="4" w:space="0"/>
              <w:right w:val="single" w:color="auto" w:sz="4" w:space="0"/>
            </w:tcBorders>
            <w:vAlign w:val="center"/>
          </w:tcPr>
          <w:p>
            <w:pPr>
              <w:pStyle w:val="29"/>
            </w:pPr>
            <w:r>
              <w:rPr>
                <w:rFonts w:hint="eastAsia"/>
              </w:rPr>
              <w:t>合同金额</w:t>
            </w:r>
          </w:p>
        </w:tc>
        <w:tc>
          <w:tcPr>
            <w:tcW w:w="2153" w:type="dxa"/>
            <w:tcBorders>
              <w:top w:val="single" w:color="auto" w:sz="4" w:space="0"/>
              <w:left w:val="single" w:color="auto" w:sz="4" w:space="0"/>
              <w:bottom w:val="single" w:color="auto" w:sz="4" w:space="0"/>
              <w:right w:val="single" w:color="auto" w:sz="4" w:space="0"/>
            </w:tcBorders>
            <w:vAlign w:val="center"/>
          </w:tcPr>
          <w:p>
            <w:pPr>
              <w:pStyle w:val="29"/>
            </w:pPr>
            <w:r>
              <w:rPr>
                <w:rFonts w:hint="eastAsia"/>
              </w:rPr>
              <w:t>起止时间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5" w:hRule="exact"/>
          <w:jc w:val="center"/>
        </w:trPr>
        <w:tc>
          <w:tcPr>
            <w:tcW w:w="837" w:type="dxa"/>
            <w:tcBorders>
              <w:top w:val="single" w:color="auto" w:sz="4" w:space="0"/>
              <w:left w:val="single" w:color="auto" w:sz="4" w:space="0"/>
              <w:bottom w:val="single" w:color="auto" w:sz="4" w:space="0"/>
              <w:right w:val="single" w:color="auto" w:sz="4" w:space="0"/>
            </w:tcBorders>
            <w:vAlign w:val="center"/>
          </w:tcPr>
          <w:p>
            <w:pPr>
              <w:pStyle w:val="29"/>
            </w:pPr>
          </w:p>
        </w:tc>
        <w:tc>
          <w:tcPr>
            <w:tcW w:w="3663" w:type="dxa"/>
            <w:tcBorders>
              <w:top w:val="single" w:color="auto" w:sz="4" w:space="0"/>
              <w:left w:val="single" w:color="auto" w:sz="4" w:space="0"/>
              <w:bottom w:val="single" w:color="auto" w:sz="4" w:space="0"/>
              <w:right w:val="single" w:color="auto" w:sz="4" w:space="0"/>
            </w:tcBorders>
            <w:vAlign w:val="center"/>
          </w:tcPr>
          <w:p>
            <w:pPr>
              <w:pStyle w:val="29"/>
            </w:pPr>
          </w:p>
        </w:tc>
        <w:tc>
          <w:tcPr>
            <w:tcW w:w="2241" w:type="dxa"/>
            <w:tcBorders>
              <w:top w:val="single" w:color="auto" w:sz="4" w:space="0"/>
              <w:left w:val="single" w:color="auto" w:sz="4" w:space="0"/>
              <w:bottom w:val="single" w:color="auto" w:sz="4" w:space="0"/>
              <w:right w:val="single" w:color="auto" w:sz="4" w:space="0"/>
            </w:tcBorders>
            <w:vAlign w:val="center"/>
          </w:tcPr>
          <w:p>
            <w:pPr>
              <w:pStyle w:val="29"/>
            </w:pPr>
          </w:p>
        </w:tc>
        <w:tc>
          <w:tcPr>
            <w:tcW w:w="2153" w:type="dxa"/>
            <w:tcBorders>
              <w:top w:val="single" w:color="auto" w:sz="4" w:space="0"/>
              <w:left w:val="single" w:color="auto" w:sz="4" w:space="0"/>
              <w:bottom w:val="single" w:color="auto" w:sz="4" w:space="0"/>
              <w:right w:val="single" w:color="auto" w:sz="4" w:space="0"/>
            </w:tcBorders>
            <w:vAlign w:val="center"/>
          </w:tcPr>
          <w:p>
            <w:pPr>
              <w:pStyle w:val="29"/>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5" w:hRule="exact"/>
          <w:jc w:val="center"/>
        </w:trPr>
        <w:tc>
          <w:tcPr>
            <w:tcW w:w="837" w:type="dxa"/>
            <w:tcBorders>
              <w:top w:val="single" w:color="auto" w:sz="4" w:space="0"/>
              <w:left w:val="single" w:color="auto" w:sz="4" w:space="0"/>
              <w:bottom w:val="single" w:color="auto" w:sz="4" w:space="0"/>
              <w:right w:val="single" w:color="auto" w:sz="4" w:space="0"/>
            </w:tcBorders>
            <w:vAlign w:val="center"/>
          </w:tcPr>
          <w:p>
            <w:pPr>
              <w:pStyle w:val="29"/>
            </w:pPr>
          </w:p>
        </w:tc>
        <w:tc>
          <w:tcPr>
            <w:tcW w:w="3663" w:type="dxa"/>
            <w:tcBorders>
              <w:top w:val="single" w:color="auto" w:sz="4" w:space="0"/>
              <w:left w:val="single" w:color="auto" w:sz="4" w:space="0"/>
              <w:bottom w:val="single" w:color="auto" w:sz="4" w:space="0"/>
              <w:right w:val="single" w:color="auto" w:sz="4" w:space="0"/>
            </w:tcBorders>
            <w:vAlign w:val="center"/>
          </w:tcPr>
          <w:p>
            <w:pPr>
              <w:pStyle w:val="29"/>
            </w:pPr>
          </w:p>
        </w:tc>
        <w:tc>
          <w:tcPr>
            <w:tcW w:w="2241" w:type="dxa"/>
            <w:tcBorders>
              <w:top w:val="single" w:color="auto" w:sz="4" w:space="0"/>
              <w:left w:val="single" w:color="auto" w:sz="4" w:space="0"/>
              <w:bottom w:val="single" w:color="auto" w:sz="4" w:space="0"/>
              <w:right w:val="single" w:color="auto" w:sz="4" w:space="0"/>
            </w:tcBorders>
            <w:vAlign w:val="center"/>
          </w:tcPr>
          <w:p>
            <w:pPr>
              <w:pStyle w:val="29"/>
            </w:pPr>
          </w:p>
        </w:tc>
        <w:tc>
          <w:tcPr>
            <w:tcW w:w="2153" w:type="dxa"/>
            <w:tcBorders>
              <w:top w:val="single" w:color="auto" w:sz="4" w:space="0"/>
              <w:left w:val="single" w:color="auto" w:sz="4" w:space="0"/>
              <w:bottom w:val="single" w:color="auto" w:sz="4" w:space="0"/>
              <w:right w:val="single" w:color="auto" w:sz="4" w:space="0"/>
            </w:tcBorders>
            <w:vAlign w:val="center"/>
          </w:tcPr>
          <w:p>
            <w:pPr>
              <w:pStyle w:val="29"/>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5" w:hRule="exact"/>
          <w:jc w:val="center"/>
        </w:trPr>
        <w:tc>
          <w:tcPr>
            <w:tcW w:w="837" w:type="dxa"/>
            <w:tcBorders>
              <w:top w:val="single" w:color="auto" w:sz="4" w:space="0"/>
              <w:left w:val="single" w:color="auto" w:sz="4" w:space="0"/>
              <w:bottom w:val="single" w:color="auto" w:sz="4" w:space="0"/>
              <w:right w:val="single" w:color="auto" w:sz="4" w:space="0"/>
            </w:tcBorders>
            <w:vAlign w:val="center"/>
          </w:tcPr>
          <w:p>
            <w:pPr>
              <w:pStyle w:val="29"/>
            </w:pPr>
          </w:p>
        </w:tc>
        <w:tc>
          <w:tcPr>
            <w:tcW w:w="3663" w:type="dxa"/>
            <w:tcBorders>
              <w:top w:val="single" w:color="auto" w:sz="4" w:space="0"/>
              <w:left w:val="single" w:color="auto" w:sz="4" w:space="0"/>
              <w:bottom w:val="single" w:color="auto" w:sz="4" w:space="0"/>
              <w:right w:val="single" w:color="auto" w:sz="4" w:space="0"/>
            </w:tcBorders>
            <w:vAlign w:val="center"/>
          </w:tcPr>
          <w:p>
            <w:pPr>
              <w:pStyle w:val="29"/>
            </w:pPr>
          </w:p>
        </w:tc>
        <w:tc>
          <w:tcPr>
            <w:tcW w:w="2241" w:type="dxa"/>
            <w:tcBorders>
              <w:top w:val="single" w:color="auto" w:sz="4" w:space="0"/>
              <w:left w:val="single" w:color="auto" w:sz="4" w:space="0"/>
              <w:bottom w:val="single" w:color="auto" w:sz="4" w:space="0"/>
              <w:right w:val="single" w:color="auto" w:sz="4" w:space="0"/>
            </w:tcBorders>
            <w:vAlign w:val="center"/>
          </w:tcPr>
          <w:p>
            <w:pPr>
              <w:pStyle w:val="29"/>
            </w:pPr>
          </w:p>
        </w:tc>
        <w:tc>
          <w:tcPr>
            <w:tcW w:w="2153" w:type="dxa"/>
            <w:tcBorders>
              <w:top w:val="single" w:color="auto" w:sz="4" w:space="0"/>
              <w:left w:val="single" w:color="auto" w:sz="4" w:space="0"/>
              <w:bottom w:val="single" w:color="auto" w:sz="4" w:space="0"/>
              <w:right w:val="single" w:color="auto" w:sz="4" w:space="0"/>
            </w:tcBorders>
            <w:vAlign w:val="center"/>
          </w:tcPr>
          <w:p>
            <w:pPr>
              <w:pStyle w:val="29"/>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5" w:hRule="exact"/>
          <w:jc w:val="center"/>
        </w:trPr>
        <w:tc>
          <w:tcPr>
            <w:tcW w:w="837" w:type="dxa"/>
            <w:tcBorders>
              <w:top w:val="single" w:color="auto" w:sz="4" w:space="0"/>
              <w:left w:val="single" w:color="auto" w:sz="4" w:space="0"/>
              <w:bottom w:val="single" w:color="auto" w:sz="4" w:space="0"/>
              <w:right w:val="single" w:color="auto" w:sz="4" w:space="0"/>
            </w:tcBorders>
            <w:vAlign w:val="center"/>
          </w:tcPr>
          <w:p>
            <w:pPr>
              <w:pStyle w:val="29"/>
            </w:pPr>
          </w:p>
        </w:tc>
        <w:tc>
          <w:tcPr>
            <w:tcW w:w="3663" w:type="dxa"/>
            <w:tcBorders>
              <w:top w:val="single" w:color="auto" w:sz="4" w:space="0"/>
              <w:left w:val="single" w:color="auto" w:sz="4" w:space="0"/>
              <w:bottom w:val="single" w:color="auto" w:sz="4" w:space="0"/>
              <w:right w:val="single" w:color="auto" w:sz="4" w:space="0"/>
            </w:tcBorders>
            <w:vAlign w:val="center"/>
          </w:tcPr>
          <w:p>
            <w:pPr>
              <w:pStyle w:val="29"/>
            </w:pPr>
          </w:p>
        </w:tc>
        <w:tc>
          <w:tcPr>
            <w:tcW w:w="2241" w:type="dxa"/>
            <w:tcBorders>
              <w:top w:val="single" w:color="auto" w:sz="4" w:space="0"/>
              <w:left w:val="single" w:color="auto" w:sz="4" w:space="0"/>
              <w:bottom w:val="single" w:color="auto" w:sz="4" w:space="0"/>
              <w:right w:val="single" w:color="auto" w:sz="4" w:space="0"/>
            </w:tcBorders>
            <w:vAlign w:val="center"/>
          </w:tcPr>
          <w:p>
            <w:pPr>
              <w:pStyle w:val="29"/>
            </w:pPr>
          </w:p>
        </w:tc>
        <w:tc>
          <w:tcPr>
            <w:tcW w:w="2153" w:type="dxa"/>
            <w:tcBorders>
              <w:top w:val="single" w:color="auto" w:sz="4" w:space="0"/>
              <w:left w:val="single" w:color="auto" w:sz="4" w:space="0"/>
              <w:bottom w:val="single" w:color="auto" w:sz="4" w:space="0"/>
              <w:right w:val="single" w:color="auto" w:sz="4" w:space="0"/>
            </w:tcBorders>
            <w:vAlign w:val="center"/>
          </w:tcPr>
          <w:p>
            <w:pPr>
              <w:pStyle w:val="29"/>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5" w:hRule="exact"/>
          <w:jc w:val="center"/>
        </w:trPr>
        <w:tc>
          <w:tcPr>
            <w:tcW w:w="837" w:type="dxa"/>
            <w:tcBorders>
              <w:top w:val="single" w:color="auto" w:sz="4" w:space="0"/>
              <w:left w:val="single" w:color="auto" w:sz="4" w:space="0"/>
              <w:bottom w:val="single" w:color="auto" w:sz="4" w:space="0"/>
              <w:right w:val="single" w:color="auto" w:sz="4" w:space="0"/>
            </w:tcBorders>
            <w:vAlign w:val="center"/>
          </w:tcPr>
          <w:p>
            <w:pPr>
              <w:pStyle w:val="29"/>
            </w:pPr>
          </w:p>
        </w:tc>
        <w:tc>
          <w:tcPr>
            <w:tcW w:w="3663" w:type="dxa"/>
            <w:tcBorders>
              <w:top w:val="single" w:color="auto" w:sz="4" w:space="0"/>
              <w:left w:val="single" w:color="auto" w:sz="4" w:space="0"/>
              <w:bottom w:val="single" w:color="auto" w:sz="4" w:space="0"/>
              <w:right w:val="single" w:color="auto" w:sz="4" w:space="0"/>
            </w:tcBorders>
            <w:vAlign w:val="center"/>
          </w:tcPr>
          <w:p>
            <w:pPr>
              <w:pStyle w:val="29"/>
            </w:pPr>
          </w:p>
        </w:tc>
        <w:tc>
          <w:tcPr>
            <w:tcW w:w="2241" w:type="dxa"/>
            <w:tcBorders>
              <w:top w:val="single" w:color="auto" w:sz="4" w:space="0"/>
              <w:left w:val="single" w:color="auto" w:sz="4" w:space="0"/>
              <w:bottom w:val="single" w:color="auto" w:sz="4" w:space="0"/>
              <w:right w:val="single" w:color="auto" w:sz="4" w:space="0"/>
            </w:tcBorders>
            <w:vAlign w:val="center"/>
          </w:tcPr>
          <w:p>
            <w:pPr>
              <w:pStyle w:val="29"/>
            </w:pPr>
          </w:p>
        </w:tc>
        <w:tc>
          <w:tcPr>
            <w:tcW w:w="2153" w:type="dxa"/>
            <w:tcBorders>
              <w:top w:val="single" w:color="auto" w:sz="4" w:space="0"/>
              <w:left w:val="single" w:color="auto" w:sz="4" w:space="0"/>
              <w:bottom w:val="single" w:color="auto" w:sz="4" w:space="0"/>
              <w:right w:val="single" w:color="auto" w:sz="4" w:space="0"/>
            </w:tcBorders>
            <w:vAlign w:val="center"/>
          </w:tcPr>
          <w:p>
            <w:pPr>
              <w:pStyle w:val="29"/>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5" w:hRule="exact"/>
          <w:jc w:val="center"/>
        </w:trPr>
        <w:tc>
          <w:tcPr>
            <w:tcW w:w="837" w:type="dxa"/>
            <w:tcBorders>
              <w:top w:val="single" w:color="auto" w:sz="4" w:space="0"/>
              <w:left w:val="single" w:color="auto" w:sz="4" w:space="0"/>
              <w:bottom w:val="single" w:color="auto" w:sz="4" w:space="0"/>
              <w:right w:val="single" w:color="auto" w:sz="4" w:space="0"/>
            </w:tcBorders>
            <w:vAlign w:val="center"/>
          </w:tcPr>
          <w:p>
            <w:pPr>
              <w:pStyle w:val="29"/>
            </w:pPr>
          </w:p>
        </w:tc>
        <w:tc>
          <w:tcPr>
            <w:tcW w:w="3663" w:type="dxa"/>
            <w:tcBorders>
              <w:top w:val="single" w:color="auto" w:sz="4" w:space="0"/>
              <w:left w:val="single" w:color="auto" w:sz="4" w:space="0"/>
              <w:bottom w:val="single" w:color="auto" w:sz="4" w:space="0"/>
              <w:right w:val="single" w:color="auto" w:sz="4" w:space="0"/>
            </w:tcBorders>
            <w:vAlign w:val="center"/>
          </w:tcPr>
          <w:p>
            <w:pPr>
              <w:pStyle w:val="29"/>
            </w:pPr>
          </w:p>
        </w:tc>
        <w:tc>
          <w:tcPr>
            <w:tcW w:w="2241" w:type="dxa"/>
            <w:tcBorders>
              <w:top w:val="single" w:color="auto" w:sz="4" w:space="0"/>
              <w:left w:val="single" w:color="auto" w:sz="4" w:space="0"/>
              <w:bottom w:val="single" w:color="auto" w:sz="4" w:space="0"/>
              <w:right w:val="single" w:color="auto" w:sz="4" w:space="0"/>
            </w:tcBorders>
            <w:vAlign w:val="center"/>
          </w:tcPr>
          <w:p>
            <w:pPr>
              <w:pStyle w:val="29"/>
            </w:pPr>
          </w:p>
        </w:tc>
        <w:tc>
          <w:tcPr>
            <w:tcW w:w="2153" w:type="dxa"/>
            <w:tcBorders>
              <w:top w:val="single" w:color="auto" w:sz="4" w:space="0"/>
              <w:left w:val="single" w:color="auto" w:sz="4" w:space="0"/>
              <w:bottom w:val="single" w:color="auto" w:sz="4" w:space="0"/>
              <w:right w:val="single" w:color="auto" w:sz="4" w:space="0"/>
            </w:tcBorders>
            <w:vAlign w:val="center"/>
          </w:tcPr>
          <w:p>
            <w:pPr>
              <w:pStyle w:val="29"/>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5" w:hRule="exact"/>
          <w:jc w:val="center"/>
        </w:trPr>
        <w:tc>
          <w:tcPr>
            <w:tcW w:w="837" w:type="dxa"/>
            <w:tcBorders>
              <w:top w:val="single" w:color="auto" w:sz="4" w:space="0"/>
              <w:left w:val="single" w:color="auto" w:sz="4" w:space="0"/>
              <w:bottom w:val="single" w:color="auto" w:sz="4" w:space="0"/>
              <w:right w:val="single" w:color="auto" w:sz="4" w:space="0"/>
            </w:tcBorders>
            <w:vAlign w:val="center"/>
          </w:tcPr>
          <w:p>
            <w:pPr>
              <w:pStyle w:val="29"/>
            </w:pPr>
          </w:p>
        </w:tc>
        <w:tc>
          <w:tcPr>
            <w:tcW w:w="3663" w:type="dxa"/>
            <w:tcBorders>
              <w:top w:val="single" w:color="auto" w:sz="4" w:space="0"/>
              <w:left w:val="single" w:color="auto" w:sz="4" w:space="0"/>
              <w:bottom w:val="single" w:color="auto" w:sz="4" w:space="0"/>
              <w:right w:val="single" w:color="auto" w:sz="4" w:space="0"/>
            </w:tcBorders>
            <w:vAlign w:val="center"/>
          </w:tcPr>
          <w:p>
            <w:pPr>
              <w:pStyle w:val="29"/>
            </w:pPr>
          </w:p>
        </w:tc>
        <w:tc>
          <w:tcPr>
            <w:tcW w:w="2241" w:type="dxa"/>
            <w:tcBorders>
              <w:top w:val="single" w:color="auto" w:sz="4" w:space="0"/>
              <w:left w:val="single" w:color="auto" w:sz="4" w:space="0"/>
              <w:bottom w:val="single" w:color="auto" w:sz="4" w:space="0"/>
              <w:right w:val="single" w:color="auto" w:sz="4" w:space="0"/>
            </w:tcBorders>
            <w:vAlign w:val="center"/>
          </w:tcPr>
          <w:p>
            <w:pPr>
              <w:pStyle w:val="29"/>
            </w:pPr>
          </w:p>
        </w:tc>
        <w:tc>
          <w:tcPr>
            <w:tcW w:w="2153" w:type="dxa"/>
            <w:tcBorders>
              <w:top w:val="single" w:color="auto" w:sz="4" w:space="0"/>
              <w:left w:val="single" w:color="auto" w:sz="4" w:space="0"/>
              <w:bottom w:val="single" w:color="auto" w:sz="4" w:space="0"/>
              <w:right w:val="single" w:color="auto" w:sz="4" w:space="0"/>
            </w:tcBorders>
            <w:vAlign w:val="center"/>
          </w:tcPr>
          <w:p>
            <w:pPr>
              <w:pStyle w:val="29"/>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5" w:hRule="exact"/>
          <w:jc w:val="center"/>
        </w:trPr>
        <w:tc>
          <w:tcPr>
            <w:tcW w:w="837" w:type="dxa"/>
            <w:tcBorders>
              <w:top w:val="single" w:color="auto" w:sz="4" w:space="0"/>
              <w:left w:val="single" w:color="auto" w:sz="4" w:space="0"/>
              <w:bottom w:val="single" w:color="auto" w:sz="4" w:space="0"/>
              <w:right w:val="single" w:color="auto" w:sz="4" w:space="0"/>
            </w:tcBorders>
            <w:vAlign w:val="center"/>
          </w:tcPr>
          <w:p>
            <w:pPr>
              <w:pStyle w:val="29"/>
            </w:pPr>
          </w:p>
        </w:tc>
        <w:tc>
          <w:tcPr>
            <w:tcW w:w="3663" w:type="dxa"/>
            <w:tcBorders>
              <w:top w:val="single" w:color="auto" w:sz="4" w:space="0"/>
              <w:left w:val="single" w:color="auto" w:sz="4" w:space="0"/>
              <w:bottom w:val="single" w:color="auto" w:sz="4" w:space="0"/>
              <w:right w:val="single" w:color="auto" w:sz="4" w:space="0"/>
            </w:tcBorders>
            <w:vAlign w:val="center"/>
          </w:tcPr>
          <w:p>
            <w:pPr>
              <w:pStyle w:val="29"/>
            </w:pPr>
          </w:p>
        </w:tc>
        <w:tc>
          <w:tcPr>
            <w:tcW w:w="2241" w:type="dxa"/>
            <w:tcBorders>
              <w:top w:val="single" w:color="auto" w:sz="4" w:space="0"/>
              <w:left w:val="single" w:color="auto" w:sz="4" w:space="0"/>
              <w:bottom w:val="single" w:color="auto" w:sz="4" w:space="0"/>
              <w:right w:val="single" w:color="auto" w:sz="4" w:space="0"/>
            </w:tcBorders>
            <w:vAlign w:val="center"/>
          </w:tcPr>
          <w:p>
            <w:pPr>
              <w:pStyle w:val="29"/>
            </w:pPr>
          </w:p>
        </w:tc>
        <w:tc>
          <w:tcPr>
            <w:tcW w:w="2153" w:type="dxa"/>
            <w:tcBorders>
              <w:top w:val="single" w:color="auto" w:sz="4" w:space="0"/>
              <w:left w:val="single" w:color="auto" w:sz="4" w:space="0"/>
              <w:bottom w:val="single" w:color="auto" w:sz="4" w:space="0"/>
              <w:right w:val="single" w:color="auto" w:sz="4" w:space="0"/>
            </w:tcBorders>
            <w:vAlign w:val="center"/>
          </w:tcPr>
          <w:p>
            <w:pPr>
              <w:pStyle w:val="29"/>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5" w:hRule="exact"/>
          <w:jc w:val="center"/>
        </w:trPr>
        <w:tc>
          <w:tcPr>
            <w:tcW w:w="837" w:type="dxa"/>
            <w:tcBorders>
              <w:top w:val="single" w:color="auto" w:sz="4" w:space="0"/>
              <w:left w:val="single" w:color="auto" w:sz="4" w:space="0"/>
              <w:bottom w:val="single" w:color="auto" w:sz="4" w:space="0"/>
              <w:right w:val="single" w:color="auto" w:sz="4" w:space="0"/>
            </w:tcBorders>
            <w:vAlign w:val="center"/>
          </w:tcPr>
          <w:p>
            <w:pPr>
              <w:pStyle w:val="29"/>
            </w:pPr>
          </w:p>
        </w:tc>
        <w:tc>
          <w:tcPr>
            <w:tcW w:w="3663" w:type="dxa"/>
            <w:tcBorders>
              <w:top w:val="single" w:color="auto" w:sz="4" w:space="0"/>
              <w:left w:val="single" w:color="auto" w:sz="4" w:space="0"/>
              <w:bottom w:val="single" w:color="auto" w:sz="4" w:space="0"/>
              <w:right w:val="single" w:color="auto" w:sz="4" w:space="0"/>
            </w:tcBorders>
            <w:vAlign w:val="center"/>
          </w:tcPr>
          <w:p>
            <w:pPr>
              <w:pStyle w:val="29"/>
            </w:pPr>
          </w:p>
        </w:tc>
        <w:tc>
          <w:tcPr>
            <w:tcW w:w="2241" w:type="dxa"/>
            <w:tcBorders>
              <w:top w:val="single" w:color="auto" w:sz="4" w:space="0"/>
              <w:left w:val="single" w:color="auto" w:sz="4" w:space="0"/>
              <w:bottom w:val="single" w:color="auto" w:sz="4" w:space="0"/>
              <w:right w:val="single" w:color="auto" w:sz="4" w:space="0"/>
            </w:tcBorders>
            <w:vAlign w:val="center"/>
          </w:tcPr>
          <w:p>
            <w:pPr>
              <w:pStyle w:val="29"/>
            </w:pPr>
          </w:p>
        </w:tc>
        <w:tc>
          <w:tcPr>
            <w:tcW w:w="2153" w:type="dxa"/>
            <w:tcBorders>
              <w:top w:val="single" w:color="auto" w:sz="4" w:space="0"/>
              <w:left w:val="single" w:color="auto" w:sz="4" w:space="0"/>
              <w:bottom w:val="single" w:color="auto" w:sz="4" w:space="0"/>
              <w:right w:val="single" w:color="auto" w:sz="4" w:space="0"/>
            </w:tcBorders>
            <w:vAlign w:val="center"/>
          </w:tcPr>
          <w:p>
            <w:pPr>
              <w:pStyle w:val="29"/>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5" w:hRule="exact"/>
          <w:jc w:val="center"/>
        </w:trPr>
        <w:tc>
          <w:tcPr>
            <w:tcW w:w="837" w:type="dxa"/>
            <w:tcBorders>
              <w:top w:val="single" w:color="auto" w:sz="4" w:space="0"/>
              <w:left w:val="single" w:color="auto" w:sz="4" w:space="0"/>
              <w:bottom w:val="single" w:color="auto" w:sz="4" w:space="0"/>
              <w:right w:val="single" w:color="auto" w:sz="4" w:space="0"/>
            </w:tcBorders>
            <w:vAlign w:val="center"/>
          </w:tcPr>
          <w:p>
            <w:pPr>
              <w:pStyle w:val="29"/>
            </w:pPr>
          </w:p>
        </w:tc>
        <w:tc>
          <w:tcPr>
            <w:tcW w:w="3663" w:type="dxa"/>
            <w:tcBorders>
              <w:top w:val="single" w:color="auto" w:sz="4" w:space="0"/>
              <w:left w:val="single" w:color="auto" w:sz="4" w:space="0"/>
              <w:bottom w:val="single" w:color="auto" w:sz="4" w:space="0"/>
              <w:right w:val="single" w:color="auto" w:sz="4" w:space="0"/>
            </w:tcBorders>
            <w:vAlign w:val="center"/>
          </w:tcPr>
          <w:p>
            <w:pPr>
              <w:pStyle w:val="29"/>
            </w:pPr>
          </w:p>
        </w:tc>
        <w:tc>
          <w:tcPr>
            <w:tcW w:w="2241" w:type="dxa"/>
            <w:tcBorders>
              <w:top w:val="single" w:color="auto" w:sz="4" w:space="0"/>
              <w:left w:val="single" w:color="auto" w:sz="4" w:space="0"/>
              <w:bottom w:val="single" w:color="auto" w:sz="4" w:space="0"/>
              <w:right w:val="single" w:color="auto" w:sz="4" w:space="0"/>
            </w:tcBorders>
            <w:vAlign w:val="center"/>
          </w:tcPr>
          <w:p>
            <w:pPr>
              <w:pStyle w:val="29"/>
            </w:pPr>
          </w:p>
        </w:tc>
        <w:tc>
          <w:tcPr>
            <w:tcW w:w="2153" w:type="dxa"/>
            <w:tcBorders>
              <w:top w:val="single" w:color="auto" w:sz="4" w:space="0"/>
              <w:left w:val="single" w:color="auto" w:sz="4" w:space="0"/>
              <w:bottom w:val="single" w:color="auto" w:sz="4" w:space="0"/>
              <w:right w:val="single" w:color="auto" w:sz="4" w:space="0"/>
            </w:tcBorders>
            <w:vAlign w:val="center"/>
          </w:tcPr>
          <w:p>
            <w:pPr>
              <w:pStyle w:val="29"/>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5" w:hRule="exact"/>
          <w:jc w:val="center"/>
        </w:trPr>
        <w:tc>
          <w:tcPr>
            <w:tcW w:w="837" w:type="dxa"/>
            <w:tcBorders>
              <w:top w:val="single" w:color="auto" w:sz="4" w:space="0"/>
              <w:left w:val="single" w:color="auto" w:sz="4" w:space="0"/>
              <w:bottom w:val="single" w:color="auto" w:sz="4" w:space="0"/>
              <w:right w:val="single" w:color="auto" w:sz="4" w:space="0"/>
            </w:tcBorders>
            <w:vAlign w:val="center"/>
          </w:tcPr>
          <w:p>
            <w:pPr>
              <w:pStyle w:val="29"/>
            </w:pPr>
          </w:p>
        </w:tc>
        <w:tc>
          <w:tcPr>
            <w:tcW w:w="3663" w:type="dxa"/>
            <w:tcBorders>
              <w:top w:val="single" w:color="auto" w:sz="4" w:space="0"/>
              <w:left w:val="single" w:color="auto" w:sz="4" w:space="0"/>
              <w:bottom w:val="single" w:color="auto" w:sz="4" w:space="0"/>
              <w:right w:val="single" w:color="auto" w:sz="4" w:space="0"/>
            </w:tcBorders>
            <w:vAlign w:val="center"/>
          </w:tcPr>
          <w:p>
            <w:pPr>
              <w:pStyle w:val="29"/>
            </w:pPr>
          </w:p>
        </w:tc>
        <w:tc>
          <w:tcPr>
            <w:tcW w:w="2241" w:type="dxa"/>
            <w:tcBorders>
              <w:top w:val="single" w:color="auto" w:sz="4" w:space="0"/>
              <w:left w:val="single" w:color="auto" w:sz="4" w:space="0"/>
              <w:bottom w:val="single" w:color="auto" w:sz="4" w:space="0"/>
              <w:right w:val="single" w:color="auto" w:sz="4" w:space="0"/>
            </w:tcBorders>
            <w:vAlign w:val="center"/>
          </w:tcPr>
          <w:p>
            <w:pPr>
              <w:pStyle w:val="29"/>
            </w:pPr>
          </w:p>
        </w:tc>
        <w:tc>
          <w:tcPr>
            <w:tcW w:w="2153" w:type="dxa"/>
            <w:tcBorders>
              <w:top w:val="single" w:color="auto" w:sz="4" w:space="0"/>
              <w:left w:val="single" w:color="auto" w:sz="4" w:space="0"/>
              <w:bottom w:val="single" w:color="auto" w:sz="4" w:space="0"/>
              <w:right w:val="single" w:color="auto" w:sz="4" w:space="0"/>
            </w:tcBorders>
            <w:vAlign w:val="center"/>
          </w:tcPr>
          <w:p>
            <w:pPr>
              <w:pStyle w:val="29"/>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5" w:hRule="exact"/>
          <w:jc w:val="center"/>
        </w:trPr>
        <w:tc>
          <w:tcPr>
            <w:tcW w:w="837" w:type="dxa"/>
            <w:tcBorders>
              <w:top w:val="single" w:color="auto" w:sz="4" w:space="0"/>
              <w:left w:val="single" w:color="auto" w:sz="4" w:space="0"/>
              <w:bottom w:val="single" w:color="auto" w:sz="4" w:space="0"/>
              <w:right w:val="single" w:color="auto" w:sz="4" w:space="0"/>
            </w:tcBorders>
            <w:vAlign w:val="center"/>
          </w:tcPr>
          <w:p>
            <w:pPr>
              <w:pStyle w:val="29"/>
            </w:pPr>
          </w:p>
        </w:tc>
        <w:tc>
          <w:tcPr>
            <w:tcW w:w="3663" w:type="dxa"/>
            <w:tcBorders>
              <w:top w:val="single" w:color="auto" w:sz="4" w:space="0"/>
              <w:left w:val="single" w:color="auto" w:sz="4" w:space="0"/>
              <w:bottom w:val="single" w:color="auto" w:sz="4" w:space="0"/>
              <w:right w:val="single" w:color="auto" w:sz="4" w:space="0"/>
            </w:tcBorders>
            <w:vAlign w:val="center"/>
          </w:tcPr>
          <w:p>
            <w:pPr>
              <w:pStyle w:val="29"/>
            </w:pPr>
          </w:p>
        </w:tc>
        <w:tc>
          <w:tcPr>
            <w:tcW w:w="2241" w:type="dxa"/>
            <w:tcBorders>
              <w:top w:val="single" w:color="auto" w:sz="4" w:space="0"/>
              <w:left w:val="single" w:color="auto" w:sz="4" w:space="0"/>
              <w:bottom w:val="single" w:color="auto" w:sz="4" w:space="0"/>
              <w:right w:val="single" w:color="auto" w:sz="4" w:space="0"/>
            </w:tcBorders>
            <w:vAlign w:val="center"/>
          </w:tcPr>
          <w:p>
            <w:pPr>
              <w:pStyle w:val="29"/>
            </w:pPr>
          </w:p>
        </w:tc>
        <w:tc>
          <w:tcPr>
            <w:tcW w:w="2153" w:type="dxa"/>
            <w:tcBorders>
              <w:top w:val="single" w:color="auto" w:sz="4" w:space="0"/>
              <w:left w:val="single" w:color="auto" w:sz="4" w:space="0"/>
              <w:bottom w:val="single" w:color="auto" w:sz="4" w:space="0"/>
              <w:right w:val="single" w:color="auto" w:sz="4" w:space="0"/>
            </w:tcBorders>
            <w:vAlign w:val="center"/>
          </w:tcPr>
          <w:p>
            <w:pPr>
              <w:pStyle w:val="29"/>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5" w:hRule="exact"/>
          <w:jc w:val="center"/>
        </w:trPr>
        <w:tc>
          <w:tcPr>
            <w:tcW w:w="837" w:type="dxa"/>
            <w:tcBorders>
              <w:top w:val="single" w:color="auto" w:sz="4" w:space="0"/>
              <w:left w:val="single" w:color="auto" w:sz="4" w:space="0"/>
              <w:bottom w:val="single" w:color="auto" w:sz="4" w:space="0"/>
              <w:right w:val="single" w:color="auto" w:sz="4" w:space="0"/>
            </w:tcBorders>
            <w:vAlign w:val="center"/>
          </w:tcPr>
          <w:p>
            <w:pPr>
              <w:pStyle w:val="29"/>
            </w:pPr>
          </w:p>
        </w:tc>
        <w:tc>
          <w:tcPr>
            <w:tcW w:w="3663" w:type="dxa"/>
            <w:tcBorders>
              <w:top w:val="single" w:color="auto" w:sz="4" w:space="0"/>
              <w:left w:val="single" w:color="auto" w:sz="4" w:space="0"/>
              <w:bottom w:val="single" w:color="auto" w:sz="4" w:space="0"/>
              <w:right w:val="single" w:color="auto" w:sz="4" w:space="0"/>
            </w:tcBorders>
            <w:vAlign w:val="center"/>
          </w:tcPr>
          <w:p>
            <w:pPr>
              <w:pStyle w:val="29"/>
            </w:pPr>
          </w:p>
        </w:tc>
        <w:tc>
          <w:tcPr>
            <w:tcW w:w="2241" w:type="dxa"/>
            <w:tcBorders>
              <w:top w:val="single" w:color="auto" w:sz="4" w:space="0"/>
              <w:left w:val="single" w:color="auto" w:sz="4" w:space="0"/>
              <w:bottom w:val="single" w:color="auto" w:sz="4" w:space="0"/>
              <w:right w:val="single" w:color="auto" w:sz="4" w:space="0"/>
            </w:tcBorders>
            <w:vAlign w:val="center"/>
          </w:tcPr>
          <w:p>
            <w:pPr>
              <w:pStyle w:val="29"/>
            </w:pPr>
          </w:p>
        </w:tc>
        <w:tc>
          <w:tcPr>
            <w:tcW w:w="2153" w:type="dxa"/>
            <w:tcBorders>
              <w:top w:val="single" w:color="auto" w:sz="4" w:space="0"/>
              <w:left w:val="single" w:color="auto" w:sz="4" w:space="0"/>
              <w:bottom w:val="single" w:color="auto" w:sz="4" w:space="0"/>
              <w:right w:val="single" w:color="auto" w:sz="4" w:space="0"/>
            </w:tcBorders>
            <w:vAlign w:val="center"/>
          </w:tcPr>
          <w:p>
            <w:pPr>
              <w:pStyle w:val="29"/>
            </w:pPr>
          </w:p>
        </w:tc>
      </w:tr>
    </w:tbl>
    <w:p>
      <w:pPr>
        <w:rPr>
          <w:rFonts w:hAnsi="宋体" w:cs="宋体"/>
          <w:kern w:val="2"/>
          <w:szCs w:val="24"/>
        </w:rPr>
      </w:pPr>
    </w:p>
    <w:p>
      <w:pPr>
        <w:pStyle w:val="8"/>
        <w:ind w:firstLine="480"/>
        <w:rPr>
          <w:sz w:val="21"/>
          <w:szCs w:val="21"/>
        </w:rPr>
      </w:pPr>
      <w:r>
        <w:rPr>
          <w:rFonts w:hint="eastAsia"/>
          <w:sz w:val="21"/>
          <w:szCs w:val="21"/>
        </w:rPr>
        <w:t>注：须附相关合同证明资料复印件</w:t>
      </w:r>
      <w:r>
        <w:rPr>
          <w:rFonts w:hint="eastAsia"/>
          <w:sz w:val="21"/>
          <w:szCs w:val="21"/>
          <w:lang w:val="en-US" w:eastAsia="zh-CN"/>
        </w:rPr>
        <w:t>加盖公章</w:t>
      </w:r>
      <w:r>
        <w:rPr>
          <w:rFonts w:hint="eastAsia"/>
          <w:sz w:val="21"/>
          <w:szCs w:val="21"/>
        </w:rPr>
        <w:t>。</w:t>
      </w:r>
    </w:p>
    <w:p>
      <w:pPr>
        <w:pStyle w:val="4"/>
        <w:rPr>
          <w:rStyle w:val="30"/>
          <w:b/>
          <w:bCs/>
        </w:rPr>
      </w:pPr>
      <w:r>
        <w:rPr>
          <w:rFonts w:hint="eastAsia"/>
          <w:sz w:val="32"/>
        </w:rPr>
        <w:br w:type="page"/>
      </w:r>
      <w:bookmarkStart w:id="281" w:name="_Toc3923"/>
      <w:bookmarkStart w:id="282" w:name="_Toc10895"/>
      <w:r>
        <w:rPr>
          <w:rStyle w:val="30"/>
          <w:rFonts w:hint="eastAsia"/>
          <w:b/>
          <w:bCs/>
        </w:rPr>
        <w:t>四、</w:t>
      </w:r>
      <w:bookmarkEnd w:id="272"/>
      <w:bookmarkEnd w:id="273"/>
      <w:bookmarkEnd w:id="274"/>
      <w:bookmarkEnd w:id="275"/>
      <w:bookmarkEnd w:id="276"/>
      <w:bookmarkEnd w:id="277"/>
      <w:bookmarkEnd w:id="278"/>
      <w:bookmarkEnd w:id="279"/>
      <w:r>
        <w:rPr>
          <w:rStyle w:val="30"/>
          <w:rFonts w:hint="eastAsia"/>
          <w:b/>
          <w:bCs/>
        </w:rPr>
        <w:t>商务条款偏离表</w:t>
      </w:r>
      <w:bookmarkEnd w:id="280"/>
      <w:bookmarkEnd w:id="281"/>
      <w:bookmarkEnd w:id="282"/>
    </w:p>
    <w:p>
      <w:pPr>
        <w:pStyle w:val="5"/>
        <w:bidi w:val="0"/>
        <w:rPr>
          <w:rFonts w:hint="eastAsia"/>
          <w:color w:val="auto"/>
          <w:highlight w:val="none"/>
        </w:rPr>
      </w:pPr>
      <w:bookmarkStart w:id="283" w:name="_Toc14939"/>
      <w:bookmarkStart w:id="284" w:name="_Toc8692"/>
      <w:bookmarkStart w:id="285" w:name="_Toc403077656"/>
      <w:bookmarkStart w:id="286" w:name="_Toc6432"/>
      <w:bookmarkStart w:id="287" w:name="_Toc6862"/>
      <w:bookmarkStart w:id="288" w:name="_Toc24076"/>
      <w:bookmarkStart w:id="289" w:name="_Toc10179"/>
      <w:bookmarkStart w:id="290" w:name="_Toc426457714"/>
      <w:bookmarkStart w:id="291" w:name="_Toc10058"/>
      <w:bookmarkStart w:id="292" w:name="_Toc363474033"/>
      <w:r>
        <w:rPr>
          <w:rFonts w:hint="eastAsia"/>
          <w:color w:val="auto"/>
          <w:highlight w:val="none"/>
        </w:rPr>
        <w:t>4.1</w:t>
      </w:r>
      <w:r>
        <w:rPr>
          <w:rFonts w:hint="eastAsia"/>
          <w:color w:val="auto"/>
          <w:highlight w:val="none"/>
          <w:lang w:eastAsia="zh-CN"/>
        </w:rPr>
        <w:t>商务响应偏离表</w:t>
      </w:r>
      <w:r>
        <w:rPr>
          <w:rFonts w:hint="eastAsia"/>
          <w:color w:val="auto"/>
          <w:highlight w:val="none"/>
        </w:rPr>
        <w:t>（一）</w:t>
      </w:r>
    </w:p>
    <w:tbl>
      <w:tblPr>
        <w:tblStyle w:val="19"/>
        <w:tblW w:w="887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54"/>
        <w:gridCol w:w="1657"/>
        <w:gridCol w:w="1535"/>
        <w:gridCol w:w="1672"/>
        <w:gridCol w:w="1219"/>
        <w:gridCol w:w="1351"/>
        <w:gridCol w:w="78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50" w:hRule="atLeast"/>
          <w:jc w:val="center"/>
        </w:trPr>
        <w:tc>
          <w:tcPr>
            <w:tcW w:w="654" w:type="dxa"/>
            <w:vAlign w:val="center"/>
          </w:tcPr>
          <w:p>
            <w:pPr>
              <w:pStyle w:val="29"/>
              <w:rPr>
                <w:rFonts w:hint="eastAsia" w:ascii="宋体" w:hAnsi="宋体" w:eastAsia="宋体" w:cs="宋体"/>
                <w:b/>
                <w:bCs/>
                <w:color w:val="auto"/>
                <w:highlight w:val="none"/>
              </w:rPr>
            </w:pPr>
            <w:r>
              <w:rPr>
                <w:rFonts w:hint="eastAsia" w:ascii="宋体" w:hAnsi="宋体" w:eastAsia="宋体" w:cs="宋体"/>
                <w:b/>
                <w:bCs/>
                <w:color w:val="auto"/>
                <w:highlight w:val="none"/>
              </w:rPr>
              <w:t>序号</w:t>
            </w:r>
          </w:p>
        </w:tc>
        <w:tc>
          <w:tcPr>
            <w:tcW w:w="1657" w:type="dxa"/>
            <w:vAlign w:val="center"/>
          </w:tcPr>
          <w:p>
            <w:pPr>
              <w:pStyle w:val="29"/>
              <w:rPr>
                <w:rFonts w:hint="eastAsia" w:ascii="宋体" w:hAnsi="宋体" w:eastAsia="宋体" w:cs="宋体"/>
                <w:b/>
                <w:bCs/>
                <w:color w:val="auto"/>
                <w:highlight w:val="none"/>
              </w:rPr>
            </w:pPr>
            <w:r>
              <w:rPr>
                <w:rFonts w:hint="eastAsia" w:ascii="宋体" w:hAnsi="宋体" w:eastAsia="宋体" w:cs="宋体"/>
                <w:b/>
                <w:bCs/>
                <w:color w:val="auto"/>
                <w:highlight w:val="none"/>
              </w:rPr>
              <w:t>名称</w:t>
            </w:r>
          </w:p>
        </w:tc>
        <w:tc>
          <w:tcPr>
            <w:tcW w:w="1535" w:type="dxa"/>
            <w:vAlign w:val="center"/>
          </w:tcPr>
          <w:p>
            <w:pPr>
              <w:pStyle w:val="29"/>
              <w:rPr>
                <w:rFonts w:hint="eastAsia" w:ascii="宋体" w:hAnsi="宋体" w:eastAsia="宋体" w:cs="宋体"/>
                <w:b/>
                <w:bCs/>
                <w:color w:val="auto"/>
                <w:highlight w:val="none"/>
              </w:rPr>
            </w:pPr>
            <w:r>
              <w:rPr>
                <w:rFonts w:hint="eastAsia" w:ascii="宋体" w:hAnsi="宋体" w:eastAsia="宋体" w:cs="宋体"/>
                <w:b/>
                <w:bCs/>
                <w:color w:val="auto"/>
                <w:highlight w:val="none"/>
              </w:rPr>
              <w:t>商务要求</w:t>
            </w:r>
          </w:p>
        </w:tc>
        <w:tc>
          <w:tcPr>
            <w:tcW w:w="1672" w:type="dxa"/>
            <w:vAlign w:val="center"/>
          </w:tcPr>
          <w:p>
            <w:pPr>
              <w:pStyle w:val="29"/>
              <w:rPr>
                <w:rFonts w:hint="eastAsia" w:ascii="宋体" w:hAnsi="宋体" w:eastAsia="宋体" w:cs="宋体"/>
                <w:b/>
                <w:bCs/>
                <w:color w:val="auto"/>
                <w:highlight w:val="none"/>
              </w:rPr>
            </w:pPr>
            <w:r>
              <w:rPr>
                <w:rFonts w:hint="eastAsia" w:ascii="宋体" w:hAnsi="宋体" w:eastAsia="宋体" w:cs="宋体"/>
                <w:b/>
                <w:bCs/>
                <w:color w:val="auto"/>
                <w:highlight w:val="none"/>
              </w:rPr>
              <w:t>投标内容</w:t>
            </w:r>
          </w:p>
        </w:tc>
        <w:tc>
          <w:tcPr>
            <w:tcW w:w="1219" w:type="dxa"/>
            <w:vAlign w:val="center"/>
          </w:tcPr>
          <w:p>
            <w:pPr>
              <w:pStyle w:val="29"/>
              <w:rPr>
                <w:rFonts w:hint="eastAsia" w:ascii="宋体" w:hAnsi="宋体" w:eastAsia="宋体" w:cs="宋体"/>
                <w:b/>
                <w:bCs/>
                <w:color w:val="auto"/>
                <w:highlight w:val="none"/>
              </w:rPr>
            </w:pPr>
            <w:r>
              <w:rPr>
                <w:rFonts w:hint="eastAsia" w:ascii="宋体" w:hAnsi="宋体" w:eastAsia="宋体" w:cs="宋体"/>
                <w:b/>
                <w:bCs/>
                <w:color w:val="auto"/>
                <w:highlight w:val="none"/>
              </w:rPr>
              <w:t>偏离说明</w:t>
            </w:r>
          </w:p>
        </w:tc>
        <w:tc>
          <w:tcPr>
            <w:tcW w:w="1351" w:type="dxa"/>
            <w:vAlign w:val="center"/>
          </w:tcPr>
          <w:p>
            <w:pPr>
              <w:pStyle w:val="29"/>
              <w:rPr>
                <w:rFonts w:hint="eastAsia" w:ascii="宋体" w:hAnsi="宋体" w:eastAsia="宋体" w:cs="宋体"/>
                <w:b/>
                <w:bCs/>
                <w:color w:val="auto"/>
                <w:highlight w:val="none"/>
              </w:rPr>
            </w:pPr>
            <w:r>
              <w:rPr>
                <w:rFonts w:hint="eastAsia" w:ascii="宋体" w:hAnsi="宋体" w:eastAsia="宋体" w:cs="宋体"/>
                <w:b/>
                <w:bCs/>
                <w:color w:val="auto"/>
                <w:szCs w:val="24"/>
                <w:highlight w:val="none"/>
              </w:rPr>
              <w:t>证明材料索引页（如有）</w:t>
            </w:r>
          </w:p>
        </w:tc>
        <w:tc>
          <w:tcPr>
            <w:tcW w:w="788" w:type="dxa"/>
            <w:vAlign w:val="center"/>
          </w:tcPr>
          <w:p>
            <w:pPr>
              <w:pStyle w:val="29"/>
              <w:rPr>
                <w:rFonts w:hint="eastAsia" w:ascii="宋体" w:hAnsi="宋体" w:eastAsia="宋体" w:cs="宋体"/>
                <w:b/>
                <w:bCs/>
                <w:color w:val="auto"/>
                <w:highlight w:val="none"/>
              </w:rPr>
            </w:pPr>
            <w:r>
              <w:rPr>
                <w:rFonts w:hint="eastAsia" w:ascii="宋体" w:hAnsi="宋体" w:eastAsia="宋体" w:cs="宋体"/>
                <w:b/>
                <w:bCs/>
                <w:color w:val="auto"/>
                <w:highlight w:val="none"/>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50" w:hRule="atLeast"/>
          <w:jc w:val="center"/>
        </w:trPr>
        <w:tc>
          <w:tcPr>
            <w:tcW w:w="654" w:type="dxa"/>
          </w:tcPr>
          <w:p>
            <w:pPr>
              <w:pStyle w:val="29"/>
              <w:rPr>
                <w:rFonts w:hint="eastAsia" w:ascii="宋体" w:hAnsi="宋体" w:eastAsia="宋体" w:cs="宋体"/>
                <w:color w:val="auto"/>
                <w:highlight w:val="none"/>
              </w:rPr>
            </w:pPr>
          </w:p>
        </w:tc>
        <w:tc>
          <w:tcPr>
            <w:tcW w:w="1657" w:type="dxa"/>
          </w:tcPr>
          <w:p>
            <w:pPr>
              <w:pStyle w:val="29"/>
              <w:rPr>
                <w:rFonts w:hint="eastAsia" w:ascii="宋体" w:hAnsi="宋体" w:eastAsia="宋体" w:cs="宋体"/>
                <w:color w:val="auto"/>
                <w:highlight w:val="none"/>
              </w:rPr>
            </w:pPr>
          </w:p>
        </w:tc>
        <w:tc>
          <w:tcPr>
            <w:tcW w:w="1535" w:type="dxa"/>
          </w:tcPr>
          <w:p>
            <w:pPr>
              <w:pStyle w:val="29"/>
              <w:rPr>
                <w:rFonts w:hint="eastAsia" w:ascii="宋体" w:hAnsi="宋体" w:eastAsia="宋体" w:cs="宋体"/>
                <w:color w:val="auto"/>
                <w:highlight w:val="none"/>
              </w:rPr>
            </w:pPr>
          </w:p>
        </w:tc>
        <w:tc>
          <w:tcPr>
            <w:tcW w:w="1672" w:type="dxa"/>
          </w:tcPr>
          <w:p>
            <w:pPr>
              <w:pStyle w:val="29"/>
              <w:rPr>
                <w:rFonts w:hint="eastAsia" w:ascii="宋体" w:hAnsi="宋体" w:eastAsia="宋体" w:cs="宋体"/>
                <w:color w:val="auto"/>
                <w:highlight w:val="none"/>
              </w:rPr>
            </w:pPr>
          </w:p>
        </w:tc>
        <w:tc>
          <w:tcPr>
            <w:tcW w:w="1219" w:type="dxa"/>
          </w:tcPr>
          <w:p>
            <w:pPr>
              <w:pStyle w:val="29"/>
              <w:rPr>
                <w:rFonts w:hint="eastAsia" w:ascii="宋体" w:hAnsi="宋体" w:eastAsia="宋体" w:cs="宋体"/>
                <w:color w:val="auto"/>
                <w:highlight w:val="none"/>
              </w:rPr>
            </w:pPr>
          </w:p>
        </w:tc>
        <w:tc>
          <w:tcPr>
            <w:tcW w:w="1351" w:type="dxa"/>
          </w:tcPr>
          <w:p>
            <w:pPr>
              <w:pStyle w:val="29"/>
              <w:rPr>
                <w:rFonts w:hint="eastAsia" w:ascii="宋体" w:hAnsi="宋体" w:eastAsia="宋体" w:cs="宋体"/>
                <w:color w:val="auto"/>
                <w:highlight w:val="none"/>
              </w:rPr>
            </w:pPr>
          </w:p>
        </w:tc>
        <w:tc>
          <w:tcPr>
            <w:tcW w:w="788" w:type="dxa"/>
          </w:tcPr>
          <w:p>
            <w:pPr>
              <w:pStyle w:val="29"/>
              <w:rPr>
                <w:rFonts w:hint="eastAsia" w:ascii="宋体" w:hAnsi="宋体" w:eastAsia="宋体" w:cs="宋体"/>
                <w:color w:val="auto"/>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50" w:hRule="atLeast"/>
          <w:jc w:val="center"/>
        </w:trPr>
        <w:tc>
          <w:tcPr>
            <w:tcW w:w="654" w:type="dxa"/>
          </w:tcPr>
          <w:p>
            <w:pPr>
              <w:pStyle w:val="29"/>
              <w:rPr>
                <w:rFonts w:hint="eastAsia" w:ascii="宋体" w:hAnsi="宋体" w:eastAsia="宋体" w:cs="宋体"/>
                <w:color w:val="auto"/>
                <w:highlight w:val="none"/>
              </w:rPr>
            </w:pPr>
          </w:p>
        </w:tc>
        <w:tc>
          <w:tcPr>
            <w:tcW w:w="1657" w:type="dxa"/>
          </w:tcPr>
          <w:p>
            <w:pPr>
              <w:pStyle w:val="29"/>
              <w:rPr>
                <w:rFonts w:hint="eastAsia" w:ascii="宋体" w:hAnsi="宋体" w:eastAsia="宋体" w:cs="宋体"/>
                <w:color w:val="auto"/>
                <w:highlight w:val="none"/>
              </w:rPr>
            </w:pPr>
          </w:p>
        </w:tc>
        <w:tc>
          <w:tcPr>
            <w:tcW w:w="1535" w:type="dxa"/>
          </w:tcPr>
          <w:p>
            <w:pPr>
              <w:pStyle w:val="29"/>
              <w:rPr>
                <w:rFonts w:hint="eastAsia" w:ascii="宋体" w:hAnsi="宋体" w:eastAsia="宋体" w:cs="宋体"/>
                <w:color w:val="auto"/>
                <w:highlight w:val="none"/>
              </w:rPr>
            </w:pPr>
          </w:p>
        </w:tc>
        <w:tc>
          <w:tcPr>
            <w:tcW w:w="1672" w:type="dxa"/>
          </w:tcPr>
          <w:p>
            <w:pPr>
              <w:pStyle w:val="29"/>
              <w:rPr>
                <w:rFonts w:hint="eastAsia" w:ascii="宋体" w:hAnsi="宋体" w:eastAsia="宋体" w:cs="宋体"/>
                <w:color w:val="auto"/>
                <w:highlight w:val="none"/>
              </w:rPr>
            </w:pPr>
          </w:p>
        </w:tc>
        <w:tc>
          <w:tcPr>
            <w:tcW w:w="1219" w:type="dxa"/>
          </w:tcPr>
          <w:p>
            <w:pPr>
              <w:pStyle w:val="29"/>
              <w:rPr>
                <w:rFonts w:hint="eastAsia" w:ascii="宋体" w:hAnsi="宋体" w:eastAsia="宋体" w:cs="宋体"/>
                <w:color w:val="auto"/>
                <w:highlight w:val="none"/>
              </w:rPr>
            </w:pPr>
          </w:p>
        </w:tc>
        <w:tc>
          <w:tcPr>
            <w:tcW w:w="1351" w:type="dxa"/>
          </w:tcPr>
          <w:p>
            <w:pPr>
              <w:pStyle w:val="29"/>
              <w:rPr>
                <w:rFonts w:hint="eastAsia" w:ascii="宋体" w:hAnsi="宋体" w:eastAsia="宋体" w:cs="宋体"/>
                <w:color w:val="auto"/>
                <w:highlight w:val="none"/>
              </w:rPr>
            </w:pPr>
          </w:p>
        </w:tc>
        <w:tc>
          <w:tcPr>
            <w:tcW w:w="788" w:type="dxa"/>
          </w:tcPr>
          <w:p>
            <w:pPr>
              <w:pStyle w:val="29"/>
              <w:rPr>
                <w:rFonts w:hint="eastAsia" w:ascii="宋体" w:hAnsi="宋体" w:eastAsia="宋体" w:cs="宋体"/>
                <w:color w:val="auto"/>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55" w:hRule="atLeast"/>
          <w:jc w:val="center"/>
        </w:trPr>
        <w:tc>
          <w:tcPr>
            <w:tcW w:w="654" w:type="dxa"/>
          </w:tcPr>
          <w:p>
            <w:pPr>
              <w:pStyle w:val="29"/>
              <w:rPr>
                <w:rFonts w:hint="eastAsia" w:ascii="宋体" w:hAnsi="宋体" w:eastAsia="宋体" w:cs="宋体"/>
                <w:color w:val="auto"/>
                <w:highlight w:val="none"/>
              </w:rPr>
            </w:pPr>
          </w:p>
        </w:tc>
        <w:tc>
          <w:tcPr>
            <w:tcW w:w="1657" w:type="dxa"/>
          </w:tcPr>
          <w:p>
            <w:pPr>
              <w:pStyle w:val="29"/>
              <w:rPr>
                <w:rFonts w:hint="eastAsia" w:ascii="宋体" w:hAnsi="宋体" w:eastAsia="宋体" w:cs="宋体"/>
                <w:color w:val="auto"/>
                <w:highlight w:val="none"/>
              </w:rPr>
            </w:pPr>
          </w:p>
        </w:tc>
        <w:tc>
          <w:tcPr>
            <w:tcW w:w="1535" w:type="dxa"/>
          </w:tcPr>
          <w:p>
            <w:pPr>
              <w:pStyle w:val="29"/>
              <w:rPr>
                <w:rFonts w:hint="eastAsia" w:ascii="宋体" w:hAnsi="宋体" w:eastAsia="宋体" w:cs="宋体"/>
                <w:color w:val="auto"/>
                <w:highlight w:val="none"/>
              </w:rPr>
            </w:pPr>
          </w:p>
        </w:tc>
        <w:tc>
          <w:tcPr>
            <w:tcW w:w="1672" w:type="dxa"/>
          </w:tcPr>
          <w:p>
            <w:pPr>
              <w:pStyle w:val="29"/>
              <w:rPr>
                <w:rFonts w:hint="eastAsia" w:ascii="宋体" w:hAnsi="宋体" w:eastAsia="宋体" w:cs="宋体"/>
                <w:color w:val="auto"/>
                <w:highlight w:val="none"/>
              </w:rPr>
            </w:pPr>
          </w:p>
        </w:tc>
        <w:tc>
          <w:tcPr>
            <w:tcW w:w="1219" w:type="dxa"/>
          </w:tcPr>
          <w:p>
            <w:pPr>
              <w:pStyle w:val="29"/>
              <w:rPr>
                <w:rFonts w:hint="eastAsia" w:ascii="宋体" w:hAnsi="宋体" w:eastAsia="宋体" w:cs="宋体"/>
                <w:color w:val="auto"/>
                <w:highlight w:val="none"/>
              </w:rPr>
            </w:pPr>
          </w:p>
        </w:tc>
        <w:tc>
          <w:tcPr>
            <w:tcW w:w="1351" w:type="dxa"/>
          </w:tcPr>
          <w:p>
            <w:pPr>
              <w:pStyle w:val="29"/>
              <w:rPr>
                <w:rFonts w:hint="eastAsia" w:ascii="宋体" w:hAnsi="宋体" w:eastAsia="宋体" w:cs="宋体"/>
                <w:color w:val="auto"/>
                <w:highlight w:val="none"/>
              </w:rPr>
            </w:pPr>
          </w:p>
        </w:tc>
        <w:tc>
          <w:tcPr>
            <w:tcW w:w="788" w:type="dxa"/>
          </w:tcPr>
          <w:p>
            <w:pPr>
              <w:pStyle w:val="29"/>
              <w:rPr>
                <w:rFonts w:hint="eastAsia" w:ascii="宋体" w:hAnsi="宋体" w:eastAsia="宋体" w:cs="宋体"/>
                <w:color w:val="auto"/>
                <w:highlight w:val="none"/>
              </w:rPr>
            </w:pPr>
          </w:p>
        </w:tc>
      </w:tr>
    </w:tbl>
    <w:p>
      <w:pPr>
        <w:tabs>
          <w:tab w:val="left" w:pos="7200"/>
          <w:tab w:val="left" w:pos="8504"/>
        </w:tabs>
        <w:spacing w:line="360" w:lineRule="auto"/>
        <w:ind w:right="-1"/>
        <w:rPr>
          <w:rFonts w:hint="eastAsia" w:ascii="宋体" w:hAnsi="宋体" w:eastAsia="宋体" w:cs="宋体"/>
          <w:color w:val="auto"/>
          <w:highlight w:val="none"/>
        </w:rPr>
      </w:pPr>
    </w:p>
    <w:p>
      <w:pPr>
        <w:spacing w:line="120" w:lineRule="exact"/>
        <w:rPr>
          <w:rFonts w:hint="eastAsia" w:ascii="宋体" w:hAnsi="宋体" w:eastAsia="宋体" w:cs="宋体"/>
          <w:color w:val="auto"/>
          <w:highlight w:val="none"/>
        </w:rPr>
      </w:pPr>
    </w:p>
    <w:p>
      <w:pPr>
        <w:pStyle w:val="8"/>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投标人名称：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（盖单位公章）</w:t>
      </w:r>
    </w:p>
    <w:p>
      <w:pPr>
        <w:pStyle w:val="8"/>
        <w:ind w:firstLine="0" w:firstLineChars="0"/>
        <w:rPr>
          <w:rFonts w:hint="eastAsia" w:ascii="宋体" w:hAnsi="宋体" w:eastAsia="宋体" w:cs="宋体"/>
          <w:color w:val="auto"/>
          <w:highlight w:val="none"/>
        </w:rPr>
      </w:pPr>
    </w:p>
    <w:p>
      <w:pPr>
        <w:pStyle w:val="8"/>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法定代表人或被授权人：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（签字或盖章）</w:t>
      </w:r>
    </w:p>
    <w:p>
      <w:pPr>
        <w:pStyle w:val="8"/>
        <w:ind w:firstLine="0" w:firstLineChars="0"/>
        <w:rPr>
          <w:rFonts w:hint="eastAsia" w:ascii="宋体" w:hAnsi="宋体" w:eastAsia="宋体" w:cs="宋体"/>
          <w:color w:val="auto"/>
          <w:highlight w:val="none"/>
        </w:rPr>
      </w:pPr>
    </w:p>
    <w:p>
      <w:pPr>
        <w:pStyle w:val="8"/>
        <w:ind w:firstLine="0" w:firstLineChars="0"/>
        <w:rPr>
          <w:rFonts w:hint="eastAsia" w:ascii="宋体" w:hAnsi="宋体" w:eastAsia="宋体" w:cs="宋体"/>
          <w:b/>
          <w:bCs/>
          <w:color w:val="auto"/>
          <w:highlight w:val="non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pPr>
        <w:adjustRightInd w:val="0"/>
        <w:snapToGrid w:val="0"/>
        <w:spacing w:line="440" w:lineRule="exact"/>
        <w:ind w:left="137" w:leftChars="57" w:firstLine="1446" w:firstLineChars="600"/>
        <w:rPr>
          <w:rFonts w:hint="eastAsia" w:ascii="宋体" w:hAnsi="宋体" w:eastAsia="宋体" w:cs="宋体"/>
          <w:b/>
          <w:bCs/>
          <w:color w:val="auto"/>
          <w:szCs w:val="24"/>
          <w:highlight w:val="none"/>
        </w:rPr>
      </w:pPr>
    </w:p>
    <w:p>
      <w:pPr>
        <w:rPr>
          <w:rFonts w:hint="eastAsia" w:ascii="宋体" w:hAnsi="宋体" w:eastAsia="宋体" w:cs="宋体"/>
          <w:color w:val="auto"/>
          <w:szCs w:val="24"/>
          <w:highlight w:val="none"/>
        </w:rPr>
      </w:pPr>
    </w:p>
    <w:p>
      <w:pPr>
        <w:pStyle w:val="31"/>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color w:val="auto"/>
          <w:sz w:val="21"/>
          <w:szCs w:val="21"/>
          <w:highlight w:val="none"/>
        </w:rPr>
        <w:t xml:space="preserve"> </w:t>
      </w:r>
    </w:p>
    <w:p>
      <w:pPr>
        <w:pStyle w:val="8"/>
        <w:numPr>
          <w:ilvl w:val="0"/>
          <w:numId w:val="12"/>
        </w:numPr>
        <w:tabs>
          <w:tab w:val="clear" w:pos="312"/>
        </w:tabs>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商务要求指招标文件</w:t>
      </w:r>
      <w:r>
        <w:rPr>
          <w:rFonts w:hint="eastAsia" w:ascii="宋体" w:hAnsi="宋体" w:eastAsia="宋体" w:cs="宋体"/>
          <w:b/>
          <w:bCs/>
          <w:color w:val="auto"/>
          <w:sz w:val="21"/>
          <w:szCs w:val="21"/>
          <w:highlight w:val="none"/>
        </w:rPr>
        <w:t>第四章“</w:t>
      </w:r>
      <w:r>
        <w:rPr>
          <w:rFonts w:hint="eastAsia" w:cs="宋体"/>
          <w:b/>
          <w:bCs/>
          <w:color w:val="auto"/>
          <w:sz w:val="21"/>
          <w:szCs w:val="21"/>
          <w:highlight w:val="none"/>
          <w:lang w:eastAsia="zh-CN"/>
        </w:rPr>
        <w:t>采购内容及要求</w:t>
      </w:r>
      <w:r>
        <w:rPr>
          <w:rFonts w:hint="eastAsia" w:ascii="宋体" w:hAnsi="宋体" w:eastAsia="宋体" w:cs="宋体"/>
          <w:b/>
          <w:bCs/>
          <w:color w:val="auto"/>
          <w:sz w:val="21"/>
          <w:szCs w:val="21"/>
          <w:highlight w:val="none"/>
        </w:rPr>
        <w:t>”</w:t>
      </w:r>
      <w:r>
        <w:rPr>
          <w:rFonts w:hint="eastAsia"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商务要求</w:t>
      </w:r>
      <w:r>
        <w:rPr>
          <w:rFonts w:hint="eastAsia" w:ascii="宋体" w:hAnsi="宋体" w:eastAsia="宋体" w:cs="宋体"/>
          <w:color w:val="auto"/>
          <w:sz w:val="21"/>
          <w:szCs w:val="21"/>
          <w:highlight w:val="none"/>
        </w:rPr>
        <w:t>中所列内容</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投标人应按照招标文件中的内容逐项响应。</w:t>
      </w:r>
    </w:p>
    <w:p>
      <w:pPr>
        <w:pStyle w:val="8"/>
        <w:numPr>
          <w:ilvl w:val="0"/>
          <w:numId w:val="12"/>
        </w:numPr>
        <w:tabs>
          <w:tab w:val="clear" w:pos="312"/>
        </w:tabs>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投标内容指投标人拟提供的相应响应内容</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投标人应逐条如实填写并提供相应的</w:t>
      </w:r>
      <w:r>
        <w:rPr>
          <w:rFonts w:hint="eastAsia" w:cs="宋体"/>
          <w:color w:val="auto"/>
          <w:sz w:val="21"/>
          <w:szCs w:val="21"/>
          <w:highlight w:val="none"/>
          <w:lang w:val="en-US" w:eastAsia="zh-CN"/>
        </w:rPr>
        <w:t>证明材料</w:t>
      </w:r>
      <w:r>
        <w:rPr>
          <w:rFonts w:hint="eastAsia" w:ascii="宋体" w:hAnsi="宋体" w:eastAsia="宋体" w:cs="宋体"/>
          <w:color w:val="auto"/>
          <w:sz w:val="21"/>
          <w:szCs w:val="21"/>
          <w:highlight w:val="none"/>
        </w:rPr>
        <w:t xml:space="preserve">（如有）。 </w:t>
      </w:r>
    </w:p>
    <w:p>
      <w:pPr>
        <w:pStyle w:val="8"/>
        <w:numPr>
          <w:ilvl w:val="0"/>
          <w:numId w:val="12"/>
        </w:numPr>
        <w:tabs>
          <w:tab w:val="clear" w:pos="312"/>
        </w:tabs>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偏离说明填写：</w:t>
      </w:r>
      <w:r>
        <w:rPr>
          <w:rFonts w:hint="eastAsia" w:cs="宋体"/>
          <w:color w:val="auto"/>
          <w:sz w:val="21"/>
          <w:szCs w:val="21"/>
          <w:highlight w:val="none"/>
          <w:lang w:val="en-US" w:eastAsia="zh-CN"/>
        </w:rPr>
        <w:t>正偏离、无偏离或负偏离</w:t>
      </w:r>
      <w:r>
        <w:rPr>
          <w:rFonts w:hint="eastAsia" w:ascii="宋体" w:hAnsi="宋体" w:eastAsia="宋体" w:cs="宋体"/>
          <w:color w:val="auto"/>
          <w:sz w:val="21"/>
          <w:szCs w:val="21"/>
          <w:highlight w:val="none"/>
        </w:rPr>
        <w:t>。</w:t>
      </w:r>
    </w:p>
    <w:p>
      <w:pPr>
        <w:pStyle w:val="8"/>
        <w:numPr>
          <w:ilvl w:val="0"/>
          <w:numId w:val="12"/>
        </w:numPr>
        <w:tabs>
          <w:tab w:val="clear" w:pos="312"/>
        </w:tabs>
        <w:ind w:firstLine="480"/>
        <w:rPr>
          <w:rFonts w:hint="eastAsia" w:ascii="宋体" w:hAnsi="宋体" w:eastAsia="宋体" w:cs="宋体"/>
          <w:color w:val="auto"/>
          <w:highlight w:val="none"/>
        </w:rPr>
      </w:pPr>
      <w:r>
        <w:rPr>
          <w:rFonts w:hint="eastAsia" w:ascii="宋体" w:hAnsi="宋体" w:eastAsia="宋体" w:cs="宋体"/>
          <w:color w:val="auto"/>
          <w:sz w:val="21"/>
          <w:szCs w:val="21"/>
          <w:highlight w:val="none"/>
        </w:rPr>
        <w:t>投标人必须据实填写，不得虚假响应，否则将取消其投标或中标资格。</w:t>
      </w:r>
    </w:p>
    <w:p>
      <w:pPr>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5"/>
        <w:bidi w:val="0"/>
        <w:rPr>
          <w:rFonts w:hint="eastAsia"/>
          <w:color w:val="auto"/>
          <w:highlight w:val="none"/>
        </w:rPr>
      </w:pPr>
      <w:r>
        <w:rPr>
          <w:rFonts w:hint="eastAsia"/>
          <w:color w:val="auto"/>
          <w:highlight w:val="none"/>
        </w:rPr>
        <w:t>4.2</w:t>
      </w:r>
      <w:r>
        <w:rPr>
          <w:rFonts w:hint="eastAsia"/>
          <w:color w:val="auto"/>
          <w:highlight w:val="none"/>
          <w:lang w:eastAsia="zh-CN"/>
        </w:rPr>
        <w:t>商务响应偏离表</w:t>
      </w:r>
      <w:r>
        <w:rPr>
          <w:rFonts w:hint="eastAsia"/>
          <w:color w:val="auto"/>
          <w:highlight w:val="none"/>
        </w:rPr>
        <w:t>（二）</w:t>
      </w:r>
    </w:p>
    <w:tbl>
      <w:tblPr>
        <w:tblStyle w:val="19"/>
        <w:tblW w:w="9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935"/>
        <w:gridCol w:w="1995"/>
        <w:gridCol w:w="2085"/>
        <w:gridCol w:w="1260"/>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pPr>
              <w:pStyle w:val="29"/>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935" w:type="dxa"/>
            <w:tcBorders>
              <w:top w:val="single" w:color="auto" w:sz="4" w:space="0"/>
              <w:left w:val="single" w:color="auto" w:sz="4" w:space="0"/>
              <w:bottom w:val="single" w:color="auto" w:sz="4" w:space="0"/>
              <w:right w:val="single" w:color="auto" w:sz="4" w:space="0"/>
            </w:tcBorders>
            <w:vAlign w:val="center"/>
          </w:tcPr>
          <w:p>
            <w:pPr>
              <w:pStyle w:val="29"/>
              <w:rPr>
                <w:rFonts w:hint="eastAsia" w:ascii="宋体" w:hAnsi="宋体" w:eastAsia="宋体" w:cs="宋体"/>
                <w:color w:val="auto"/>
                <w:highlight w:val="none"/>
              </w:rPr>
            </w:pPr>
            <w:r>
              <w:rPr>
                <w:rFonts w:hint="eastAsia" w:ascii="宋体" w:hAnsi="宋体" w:eastAsia="宋体" w:cs="宋体"/>
                <w:color w:val="auto"/>
                <w:highlight w:val="none"/>
              </w:rPr>
              <w:t>招标文件条目号</w:t>
            </w:r>
          </w:p>
        </w:tc>
        <w:tc>
          <w:tcPr>
            <w:tcW w:w="1995" w:type="dxa"/>
            <w:tcBorders>
              <w:top w:val="single" w:color="auto" w:sz="4" w:space="0"/>
              <w:left w:val="single" w:color="auto" w:sz="4" w:space="0"/>
              <w:bottom w:val="single" w:color="auto" w:sz="4" w:space="0"/>
              <w:right w:val="single" w:color="auto" w:sz="4" w:space="0"/>
            </w:tcBorders>
            <w:vAlign w:val="center"/>
          </w:tcPr>
          <w:p>
            <w:pPr>
              <w:pStyle w:val="29"/>
              <w:rPr>
                <w:rFonts w:hint="eastAsia" w:ascii="宋体" w:hAnsi="宋体" w:eastAsia="宋体" w:cs="宋体"/>
                <w:color w:val="auto"/>
                <w:highlight w:val="none"/>
              </w:rPr>
            </w:pPr>
            <w:r>
              <w:rPr>
                <w:rFonts w:hint="eastAsia" w:ascii="宋体" w:hAnsi="宋体" w:eastAsia="宋体" w:cs="宋体"/>
                <w:color w:val="auto"/>
                <w:highlight w:val="none"/>
              </w:rPr>
              <w:t>招标文件的商务条款</w:t>
            </w:r>
          </w:p>
        </w:tc>
        <w:tc>
          <w:tcPr>
            <w:tcW w:w="2085" w:type="dxa"/>
            <w:tcBorders>
              <w:top w:val="single" w:color="auto" w:sz="4" w:space="0"/>
              <w:left w:val="single" w:color="auto" w:sz="4" w:space="0"/>
              <w:bottom w:val="single" w:color="auto" w:sz="4" w:space="0"/>
              <w:right w:val="single" w:color="auto" w:sz="4" w:space="0"/>
            </w:tcBorders>
            <w:vAlign w:val="center"/>
          </w:tcPr>
          <w:p>
            <w:pPr>
              <w:pStyle w:val="29"/>
              <w:rPr>
                <w:rFonts w:hint="eastAsia" w:ascii="宋体" w:hAnsi="宋体" w:eastAsia="宋体" w:cs="宋体"/>
                <w:color w:val="auto"/>
                <w:highlight w:val="none"/>
              </w:rPr>
            </w:pPr>
            <w:r>
              <w:rPr>
                <w:rFonts w:hint="eastAsia" w:ascii="宋体" w:hAnsi="宋体" w:eastAsia="宋体" w:cs="宋体"/>
                <w:color w:val="auto"/>
                <w:highlight w:val="none"/>
              </w:rPr>
              <w:t>投标文件的商务条款</w:t>
            </w:r>
          </w:p>
        </w:tc>
        <w:tc>
          <w:tcPr>
            <w:tcW w:w="1260" w:type="dxa"/>
            <w:tcBorders>
              <w:top w:val="single" w:color="auto" w:sz="4" w:space="0"/>
              <w:left w:val="single" w:color="auto" w:sz="4" w:space="0"/>
              <w:bottom w:val="single" w:color="auto" w:sz="4" w:space="0"/>
              <w:right w:val="single" w:color="auto" w:sz="4" w:space="0"/>
            </w:tcBorders>
            <w:vAlign w:val="center"/>
          </w:tcPr>
          <w:p>
            <w:pPr>
              <w:pStyle w:val="29"/>
              <w:rPr>
                <w:rFonts w:hint="eastAsia" w:ascii="宋体" w:hAnsi="宋体" w:eastAsia="宋体" w:cs="宋体"/>
                <w:color w:val="auto"/>
                <w:highlight w:val="none"/>
              </w:rPr>
            </w:pPr>
            <w:r>
              <w:rPr>
                <w:rFonts w:hint="eastAsia" w:ascii="宋体" w:hAnsi="宋体" w:eastAsia="宋体" w:cs="宋体"/>
                <w:color w:val="auto"/>
                <w:highlight w:val="none"/>
              </w:rPr>
              <w:t>偏离</w:t>
            </w:r>
          </w:p>
        </w:tc>
        <w:tc>
          <w:tcPr>
            <w:tcW w:w="944" w:type="dxa"/>
            <w:tcBorders>
              <w:top w:val="single" w:color="auto" w:sz="4" w:space="0"/>
              <w:left w:val="single" w:color="auto" w:sz="4" w:space="0"/>
              <w:bottom w:val="single" w:color="auto" w:sz="4" w:space="0"/>
              <w:right w:val="single" w:color="auto" w:sz="4" w:space="0"/>
            </w:tcBorders>
            <w:vAlign w:val="center"/>
          </w:tcPr>
          <w:p>
            <w:pPr>
              <w:pStyle w:val="29"/>
              <w:rPr>
                <w:rFonts w:hint="eastAsia" w:ascii="宋体" w:hAnsi="宋体" w:eastAsia="宋体" w:cs="宋体"/>
                <w:color w:val="auto"/>
                <w:highlight w:val="none"/>
              </w:rPr>
            </w:pPr>
            <w:r>
              <w:rPr>
                <w:rFonts w:hint="eastAsia" w:ascii="宋体" w:hAnsi="宋体" w:eastAsia="宋体" w:cs="宋体"/>
                <w:color w:val="auto"/>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pPr>
              <w:pStyle w:val="29"/>
              <w:rPr>
                <w:rFonts w:hint="eastAsia" w:ascii="宋体" w:hAnsi="宋体" w:eastAsia="宋体" w:cs="宋体"/>
                <w:color w:val="auto"/>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pPr>
              <w:pStyle w:val="29"/>
              <w:rPr>
                <w:rFonts w:hint="eastAsia" w:ascii="宋体" w:hAnsi="宋体" w:eastAsia="宋体"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pStyle w:val="29"/>
              <w:rPr>
                <w:rFonts w:hint="eastAsia" w:ascii="宋体" w:hAnsi="宋体" w:eastAsia="宋体" w:cs="宋体"/>
                <w:color w:val="auto"/>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pPr>
              <w:pStyle w:val="29"/>
              <w:rPr>
                <w:rFonts w:hint="eastAsia" w:ascii="宋体" w:hAnsi="宋体" w:eastAsia="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29"/>
              <w:rPr>
                <w:rFonts w:hint="eastAsia" w:ascii="宋体" w:hAnsi="宋体" w:eastAsia="宋体" w:cs="宋体"/>
                <w:color w:val="auto"/>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pPr>
              <w:pStyle w:val="29"/>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pPr>
              <w:pStyle w:val="29"/>
              <w:rPr>
                <w:rFonts w:hint="eastAsia" w:ascii="宋体" w:hAnsi="宋体" w:eastAsia="宋体" w:cs="宋体"/>
                <w:color w:val="auto"/>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pPr>
              <w:pStyle w:val="29"/>
              <w:rPr>
                <w:rFonts w:hint="eastAsia" w:ascii="宋体" w:hAnsi="宋体" w:eastAsia="宋体"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pStyle w:val="29"/>
              <w:rPr>
                <w:rFonts w:hint="eastAsia" w:ascii="宋体" w:hAnsi="宋体" w:eastAsia="宋体" w:cs="宋体"/>
                <w:color w:val="auto"/>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pPr>
              <w:pStyle w:val="29"/>
              <w:rPr>
                <w:rFonts w:hint="eastAsia" w:ascii="宋体" w:hAnsi="宋体" w:eastAsia="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29"/>
              <w:rPr>
                <w:rFonts w:hint="eastAsia" w:ascii="宋体" w:hAnsi="宋体" w:eastAsia="宋体" w:cs="宋体"/>
                <w:color w:val="auto"/>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pPr>
              <w:pStyle w:val="29"/>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pPr>
              <w:pStyle w:val="29"/>
              <w:rPr>
                <w:rFonts w:hint="eastAsia" w:ascii="宋体" w:hAnsi="宋体" w:eastAsia="宋体" w:cs="宋体"/>
                <w:color w:val="auto"/>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pPr>
              <w:pStyle w:val="29"/>
              <w:rPr>
                <w:rFonts w:hint="eastAsia" w:ascii="宋体" w:hAnsi="宋体" w:eastAsia="宋体"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pStyle w:val="29"/>
              <w:rPr>
                <w:rFonts w:hint="eastAsia" w:ascii="宋体" w:hAnsi="宋体" w:eastAsia="宋体" w:cs="宋体"/>
                <w:color w:val="auto"/>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pPr>
              <w:pStyle w:val="29"/>
              <w:rPr>
                <w:rFonts w:hint="eastAsia" w:ascii="宋体" w:hAnsi="宋体" w:eastAsia="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29"/>
              <w:rPr>
                <w:rFonts w:hint="eastAsia" w:ascii="宋体" w:hAnsi="宋体" w:eastAsia="宋体" w:cs="宋体"/>
                <w:color w:val="auto"/>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pPr>
              <w:pStyle w:val="29"/>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pPr>
              <w:pStyle w:val="29"/>
              <w:rPr>
                <w:rFonts w:hint="eastAsia" w:ascii="宋体" w:hAnsi="宋体" w:eastAsia="宋体" w:cs="宋体"/>
                <w:color w:val="auto"/>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pPr>
              <w:pStyle w:val="29"/>
              <w:rPr>
                <w:rFonts w:hint="eastAsia" w:ascii="宋体" w:hAnsi="宋体" w:eastAsia="宋体"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pStyle w:val="29"/>
              <w:rPr>
                <w:rFonts w:hint="eastAsia" w:ascii="宋体" w:hAnsi="宋体" w:eastAsia="宋体" w:cs="宋体"/>
                <w:color w:val="auto"/>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pPr>
              <w:pStyle w:val="29"/>
              <w:rPr>
                <w:rFonts w:hint="eastAsia" w:ascii="宋体" w:hAnsi="宋体" w:eastAsia="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29"/>
              <w:rPr>
                <w:rFonts w:hint="eastAsia" w:ascii="宋体" w:hAnsi="宋体" w:eastAsia="宋体" w:cs="宋体"/>
                <w:color w:val="auto"/>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pPr>
              <w:pStyle w:val="29"/>
              <w:rPr>
                <w:rFonts w:hint="eastAsia" w:ascii="宋体" w:hAnsi="宋体" w:eastAsia="宋体" w:cs="宋体"/>
                <w:color w:val="auto"/>
                <w:highlight w:val="none"/>
              </w:rPr>
            </w:pPr>
          </w:p>
        </w:tc>
      </w:tr>
    </w:tbl>
    <w:p>
      <w:pPr>
        <w:tabs>
          <w:tab w:val="left" w:pos="7200"/>
          <w:tab w:val="left" w:pos="8504"/>
        </w:tabs>
        <w:spacing w:line="360" w:lineRule="auto"/>
        <w:ind w:right="-1"/>
        <w:rPr>
          <w:rFonts w:hint="eastAsia" w:ascii="宋体" w:hAnsi="宋体" w:eastAsia="宋体" w:cs="宋体"/>
          <w:color w:val="auto"/>
          <w:highlight w:val="none"/>
        </w:rPr>
      </w:pPr>
    </w:p>
    <w:p>
      <w:pPr>
        <w:spacing w:line="120" w:lineRule="exact"/>
        <w:rPr>
          <w:rFonts w:hint="eastAsia" w:ascii="宋体" w:hAnsi="宋体" w:eastAsia="宋体" w:cs="宋体"/>
          <w:color w:val="auto"/>
          <w:highlight w:val="none"/>
        </w:rPr>
      </w:pPr>
    </w:p>
    <w:p>
      <w:pPr>
        <w:pStyle w:val="8"/>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投标人名称：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（盖单位公章）</w:t>
      </w:r>
    </w:p>
    <w:p>
      <w:pPr>
        <w:pStyle w:val="8"/>
        <w:ind w:firstLine="0" w:firstLineChars="0"/>
        <w:rPr>
          <w:rFonts w:hint="eastAsia" w:ascii="宋体" w:hAnsi="宋体" w:eastAsia="宋体" w:cs="宋体"/>
          <w:color w:val="auto"/>
          <w:highlight w:val="none"/>
        </w:rPr>
      </w:pPr>
    </w:p>
    <w:p>
      <w:pPr>
        <w:pStyle w:val="8"/>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法定代表人或被授权人：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（签字或盖章）</w:t>
      </w:r>
    </w:p>
    <w:p>
      <w:pPr>
        <w:pStyle w:val="8"/>
        <w:ind w:firstLine="0" w:firstLineChars="0"/>
        <w:rPr>
          <w:rFonts w:hint="eastAsia" w:ascii="宋体" w:hAnsi="宋体" w:eastAsia="宋体" w:cs="宋体"/>
          <w:color w:val="auto"/>
          <w:highlight w:val="none"/>
        </w:rPr>
      </w:pPr>
    </w:p>
    <w:p>
      <w:pPr>
        <w:pStyle w:val="8"/>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pPr>
        <w:pStyle w:val="10"/>
        <w:rPr>
          <w:rFonts w:hint="eastAsia" w:ascii="宋体" w:hAnsi="宋体" w:eastAsia="宋体" w:cs="宋体"/>
          <w:color w:val="auto"/>
          <w:szCs w:val="24"/>
          <w:highlight w:val="none"/>
        </w:rPr>
      </w:pPr>
    </w:p>
    <w:p>
      <w:pPr>
        <w:pStyle w:val="8"/>
        <w:ind w:firstLine="0" w:firstLineChars="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注：</w:t>
      </w:r>
    </w:p>
    <w:p>
      <w:pPr>
        <w:pStyle w:val="8"/>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1.本表只填写投标文件中与招标文件</w:t>
      </w:r>
      <w:r>
        <w:rPr>
          <w:rFonts w:hint="eastAsia" w:ascii="宋体" w:hAnsi="宋体" w:eastAsia="宋体" w:cs="宋体"/>
          <w:b/>
          <w:bCs/>
          <w:color w:val="auto"/>
          <w:sz w:val="21"/>
          <w:szCs w:val="21"/>
          <w:highlight w:val="none"/>
        </w:rPr>
        <w:t>第三章“商务及合同主要条款”有偏离</w:t>
      </w:r>
      <w:r>
        <w:rPr>
          <w:rFonts w:hint="eastAsia" w:ascii="宋体" w:hAnsi="宋体" w:eastAsia="宋体" w:cs="宋体"/>
          <w:color w:val="auto"/>
          <w:sz w:val="21"/>
          <w:szCs w:val="21"/>
          <w:highlight w:val="none"/>
        </w:rPr>
        <w:t>（包括正偏离和负偏离）的内容，投标文件中商务响应与招标文件要求完全一致的，不用在此表中列出，但必须提交空白表。</w:t>
      </w:r>
    </w:p>
    <w:p>
      <w:pPr>
        <w:pStyle w:val="8"/>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2.凡是投标文件的商务响应与招标文件的要求之间存在负偏离（即不能满足招标文件要求）的或者正偏离（即优于招标文件要求），必须在投标文件的“</w:t>
      </w:r>
      <w:r>
        <w:rPr>
          <w:rFonts w:hint="eastAsia" w:cs="宋体"/>
          <w:color w:val="auto"/>
          <w:sz w:val="21"/>
          <w:szCs w:val="21"/>
          <w:highlight w:val="none"/>
          <w:lang w:eastAsia="zh-CN"/>
        </w:rPr>
        <w:t>商务响应偏离表</w:t>
      </w:r>
      <w:r>
        <w:rPr>
          <w:rFonts w:hint="eastAsia" w:ascii="宋体" w:hAnsi="宋体" w:eastAsia="宋体" w:cs="宋体"/>
          <w:color w:val="auto"/>
          <w:sz w:val="21"/>
          <w:szCs w:val="21"/>
          <w:highlight w:val="none"/>
        </w:rPr>
        <w:t>”中予以明确响应（偏离填写：正偏离或负偏离）。</w:t>
      </w:r>
    </w:p>
    <w:p>
      <w:pPr>
        <w:pStyle w:val="8"/>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3.如果在投标文件的“</w:t>
      </w:r>
      <w:r>
        <w:rPr>
          <w:rFonts w:hint="eastAsia" w:cs="宋体"/>
          <w:color w:val="auto"/>
          <w:sz w:val="21"/>
          <w:szCs w:val="21"/>
          <w:highlight w:val="none"/>
          <w:lang w:eastAsia="zh-CN"/>
        </w:rPr>
        <w:t>商务响应偏离表</w:t>
      </w:r>
      <w:r>
        <w:rPr>
          <w:rFonts w:hint="eastAsia" w:ascii="宋体" w:hAnsi="宋体" w:eastAsia="宋体" w:cs="宋体"/>
          <w:color w:val="auto"/>
          <w:sz w:val="21"/>
          <w:szCs w:val="21"/>
          <w:highlight w:val="none"/>
        </w:rPr>
        <w:t>”之外发现上述负偏离的，评标时评标委员会将作出对投标人不利的评估。</w:t>
      </w:r>
    </w:p>
    <w:p>
      <w:pPr>
        <w:pStyle w:val="8"/>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4.投标人必须据实填写，不得虚假响应，否则将取消其投标或中标资格，并按有关规定进处罚。</w:t>
      </w:r>
    </w:p>
    <w:p>
      <w:pPr>
        <w:pStyle w:val="8"/>
        <w:ind w:firstLine="480"/>
        <w:rPr>
          <w:rStyle w:val="30"/>
        </w:rPr>
      </w:pPr>
      <w:r>
        <w:rPr>
          <w:rStyle w:val="30"/>
          <w:rFonts w:hint="eastAsia"/>
        </w:rPr>
        <w:br w:type="page"/>
      </w:r>
    </w:p>
    <w:bookmarkEnd w:id="283"/>
    <w:bookmarkEnd w:id="284"/>
    <w:bookmarkEnd w:id="285"/>
    <w:bookmarkEnd w:id="286"/>
    <w:bookmarkEnd w:id="287"/>
    <w:bookmarkEnd w:id="288"/>
    <w:bookmarkEnd w:id="289"/>
    <w:bookmarkEnd w:id="290"/>
    <w:bookmarkEnd w:id="291"/>
    <w:bookmarkEnd w:id="292"/>
    <w:p>
      <w:pPr>
        <w:pStyle w:val="4"/>
      </w:pPr>
      <w:bookmarkStart w:id="293" w:name="_Toc18269"/>
      <w:bookmarkStart w:id="294" w:name="_Toc31505"/>
      <w:r>
        <w:rPr>
          <w:rFonts w:hint="eastAsia"/>
          <w:lang w:val="en-US" w:eastAsia="zh-CN"/>
        </w:rPr>
        <w:t>五</w:t>
      </w:r>
      <w:r>
        <w:rPr>
          <w:rFonts w:hint="eastAsia"/>
        </w:rPr>
        <w:t>、资格证明文件</w:t>
      </w:r>
      <w:bookmarkEnd w:id="293"/>
      <w:bookmarkEnd w:id="294"/>
    </w:p>
    <w:p>
      <w:pPr>
        <w:spacing w:line="312" w:lineRule="auto"/>
        <w:ind w:firstLine="480" w:firstLineChars="200"/>
        <w:rPr>
          <w:rFonts w:hAnsi="宋体" w:cs="宋体"/>
          <w:szCs w:val="24"/>
        </w:rPr>
      </w:pPr>
      <w:r>
        <w:rPr>
          <w:rFonts w:hint="eastAsia" w:hAnsi="宋体" w:cs="宋体"/>
          <w:szCs w:val="24"/>
        </w:rPr>
        <w:t>投标人按招标文件的要求，依据</w:t>
      </w:r>
      <w:r>
        <w:rPr>
          <w:rFonts w:hint="eastAsia" w:hAnsi="宋体" w:cs="宋体"/>
          <w:b/>
          <w:bCs/>
          <w:szCs w:val="24"/>
          <w:lang w:eastAsia="zh-CN"/>
        </w:rPr>
        <w:t>第五章 “评标办法”</w:t>
      </w:r>
      <w:r>
        <w:rPr>
          <w:rFonts w:hint="eastAsia" w:hAnsi="宋体" w:cs="宋体"/>
          <w:b/>
          <w:bCs/>
          <w:szCs w:val="24"/>
        </w:rPr>
        <w:t>之</w:t>
      </w:r>
      <w:r>
        <w:rPr>
          <w:rFonts w:hint="eastAsia" w:ascii="宋体" w:hAnsi="宋体" w:eastAsia="宋体" w:cs="宋体"/>
          <w:b/>
          <w:bCs/>
          <w:color w:val="auto"/>
          <w:szCs w:val="24"/>
          <w:highlight w:val="none"/>
        </w:rPr>
        <w:t>5.1投标文件初审（1）资格性审查</w:t>
      </w:r>
      <w:r>
        <w:rPr>
          <w:rFonts w:hint="eastAsia" w:hAnsi="宋体" w:cs="宋体"/>
          <w:szCs w:val="24"/>
        </w:rPr>
        <w:t>逐项提供加盖公章的复印件，缺少其中任何一项，其投标文件将被视为无效文件。</w:t>
      </w:r>
    </w:p>
    <w:p>
      <w:pPr>
        <w:pStyle w:val="5"/>
        <w:spacing w:before="666" w:after="666"/>
      </w:pPr>
      <w:r>
        <w:rPr>
          <w:rFonts w:hint="eastAsia"/>
        </w:rPr>
        <w:t>投标人基本情况表</w:t>
      </w:r>
    </w:p>
    <w:p>
      <w:pPr>
        <w:jc w:val="left"/>
        <w:rPr>
          <w:rFonts w:hint="default" w:hAnsi="宋体" w:eastAsia="宋体" w:cs="宋体"/>
          <w:szCs w:val="24"/>
          <w:lang w:val="en-US" w:eastAsia="zh-CN"/>
        </w:rPr>
      </w:pPr>
      <w:r>
        <w:rPr>
          <w:rFonts w:hint="eastAsia" w:hAnsi="宋体" w:cs="宋体"/>
          <w:szCs w:val="24"/>
        </w:rPr>
        <w:t>项目名称：                    项目编号：</w:t>
      </w:r>
      <w:r>
        <w:rPr>
          <w:rFonts w:hint="eastAsia" w:hAnsi="宋体" w:cs="宋体"/>
          <w:szCs w:val="24"/>
          <w:lang w:val="en-US" w:eastAsia="zh-CN"/>
        </w:rPr>
        <w:t xml:space="preserve">           合同包号：</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502"/>
        <w:gridCol w:w="644"/>
        <w:gridCol w:w="1530"/>
        <w:gridCol w:w="2174"/>
        <w:gridCol w:w="2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173" w:type="dxa"/>
            <w:gridSpan w:val="2"/>
            <w:vAlign w:val="center"/>
          </w:tcPr>
          <w:p>
            <w:pPr>
              <w:pStyle w:val="29"/>
            </w:pPr>
            <w:r>
              <w:rPr>
                <w:rFonts w:hint="eastAsia"/>
              </w:rPr>
              <w:t>投标人名称</w:t>
            </w:r>
          </w:p>
        </w:tc>
        <w:tc>
          <w:tcPr>
            <w:tcW w:w="2174" w:type="dxa"/>
            <w:gridSpan w:val="2"/>
            <w:vAlign w:val="center"/>
          </w:tcPr>
          <w:p>
            <w:pPr>
              <w:pStyle w:val="29"/>
            </w:pPr>
          </w:p>
        </w:tc>
        <w:tc>
          <w:tcPr>
            <w:tcW w:w="2174" w:type="dxa"/>
            <w:vAlign w:val="center"/>
          </w:tcPr>
          <w:p>
            <w:pPr>
              <w:pStyle w:val="29"/>
            </w:pPr>
            <w:r>
              <w:rPr>
                <w:rFonts w:hint="eastAsia"/>
              </w:rPr>
              <w:t>法定代表人</w:t>
            </w:r>
          </w:p>
        </w:tc>
        <w:tc>
          <w:tcPr>
            <w:tcW w:w="2178" w:type="dxa"/>
            <w:vAlign w:val="center"/>
          </w:tcPr>
          <w:p>
            <w:pPr>
              <w:pStyle w:val="2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2173" w:type="dxa"/>
            <w:gridSpan w:val="2"/>
            <w:vAlign w:val="center"/>
          </w:tcPr>
          <w:p>
            <w:pPr>
              <w:pStyle w:val="29"/>
            </w:pPr>
            <w:r>
              <w:rPr>
                <w:rFonts w:hint="eastAsia"/>
              </w:rPr>
              <w:t>企业统一社会信</w:t>
            </w:r>
          </w:p>
          <w:p>
            <w:pPr>
              <w:pStyle w:val="29"/>
            </w:pPr>
            <w:r>
              <w:rPr>
                <w:rFonts w:hint="eastAsia"/>
              </w:rPr>
              <w:t>用代码</w:t>
            </w:r>
          </w:p>
        </w:tc>
        <w:tc>
          <w:tcPr>
            <w:tcW w:w="2174" w:type="dxa"/>
            <w:gridSpan w:val="2"/>
            <w:vAlign w:val="center"/>
          </w:tcPr>
          <w:p>
            <w:pPr>
              <w:pStyle w:val="29"/>
            </w:pPr>
          </w:p>
        </w:tc>
        <w:tc>
          <w:tcPr>
            <w:tcW w:w="2174" w:type="dxa"/>
            <w:vAlign w:val="center"/>
          </w:tcPr>
          <w:p>
            <w:pPr>
              <w:pStyle w:val="29"/>
            </w:pPr>
            <w:r>
              <w:rPr>
                <w:rFonts w:hint="eastAsia"/>
              </w:rPr>
              <w:t>邮政编码</w:t>
            </w:r>
          </w:p>
        </w:tc>
        <w:tc>
          <w:tcPr>
            <w:tcW w:w="2178" w:type="dxa"/>
            <w:vAlign w:val="center"/>
          </w:tcPr>
          <w:p>
            <w:pPr>
              <w:pStyle w:val="2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173" w:type="dxa"/>
            <w:gridSpan w:val="2"/>
            <w:vAlign w:val="center"/>
          </w:tcPr>
          <w:p>
            <w:pPr>
              <w:pStyle w:val="29"/>
            </w:pPr>
            <w:r>
              <w:rPr>
                <w:rFonts w:hint="eastAsia"/>
              </w:rPr>
              <w:t>委托代理人</w:t>
            </w:r>
          </w:p>
        </w:tc>
        <w:tc>
          <w:tcPr>
            <w:tcW w:w="2174" w:type="dxa"/>
            <w:gridSpan w:val="2"/>
            <w:vAlign w:val="center"/>
          </w:tcPr>
          <w:p>
            <w:pPr>
              <w:pStyle w:val="29"/>
            </w:pPr>
          </w:p>
        </w:tc>
        <w:tc>
          <w:tcPr>
            <w:tcW w:w="2174" w:type="dxa"/>
            <w:vAlign w:val="center"/>
          </w:tcPr>
          <w:p>
            <w:pPr>
              <w:pStyle w:val="29"/>
            </w:pPr>
            <w:r>
              <w:rPr>
                <w:rFonts w:hint="eastAsia"/>
              </w:rPr>
              <w:t>电子邮箱</w:t>
            </w:r>
          </w:p>
        </w:tc>
        <w:tc>
          <w:tcPr>
            <w:tcW w:w="2178" w:type="dxa"/>
            <w:vAlign w:val="center"/>
          </w:tcPr>
          <w:p>
            <w:pPr>
              <w:pStyle w:val="2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173" w:type="dxa"/>
            <w:gridSpan w:val="2"/>
            <w:vAlign w:val="center"/>
          </w:tcPr>
          <w:p>
            <w:pPr>
              <w:pStyle w:val="29"/>
            </w:pPr>
            <w:r>
              <w:rPr>
                <w:rFonts w:hint="eastAsia"/>
              </w:rPr>
              <w:t>上年营业收入</w:t>
            </w:r>
          </w:p>
        </w:tc>
        <w:tc>
          <w:tcPr>
            <w:tcW w:w="2174" w:type="dxa"/>
            <w:gridSpan w:val="2"/>
            <w:vAlign w:val="center"/>
          </w:tcPr>
          <w:p>
            <w:pPr>
              <w:pStyle w:val="29"/>
            </w:pPr>
          </w:p>
        </w:tc>
        <w:tc>
          <w:tcPr>
            <w:tcW w:w="2174" w:type="dxa"/>
            <w:vAlign w:val="center"/>
          </w:tcPr>
          <w:p>
            <w:pPr>
              <w:pStyle w:val="29"/>
            </w:pPr>
            <w:r>
              <w:rPr>
                <w:rFonts w:hint="eastAsia"/>
              </w:rPr>
              <w:t>员工总人数</w:t>
            </w:r>
          </w:p>
        </w:tc>
        <w:tc>
          <w:tcPr>
            <w:tcW w:w="2178" w:type="dxa"/>
            <w:vAlign w:val="center"/>
          </w:tcPr>
          <w:p>
            <w:pPr>
              <w:pStyle w:val="2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71" w:type="dxa"/>
            <w:vMerge w:val="restart"/>
            <w:vAlign w:val="center"/>
          </w:tcPr>
          <w:p>
            <w:pPr>
              <w:pStyle w:val="29"/>
            </w:pPr>
            <w:r>
              <w:rPr>
                <w:rFonts w:hint="eastAsia"/>
              </w:rPr>
              <w:t>营业</w:t>
            </w:r>
          </w:p>
          <w:p>
            <w:pPr>
              <w:pStyle w:val="29"/>
            </w:pPr>
            <w:r>
              <w:rPr>
                <w:rFonts w:hint="eastAsia"/>
              </w:rPr>
              <w:t>执照</w:t>
            </w:r>
          </w:p>
        </w:tc>
        <w:tc>
          <w:tcPr>
            <w:tcW w:w="2146" w:type="dxa"/>
            <w:gridSpan w:val="2"/>
            <w:tcBorders>
              <w:right w:val="single" w:color="000000" w:sz="4" w:space="0"/>
            </w:tcBorders>
            <w:vAlign w:val="center"/>
          </w:tcPr>
          <w:p>
            <w:pPr>
              <w:pStyle w:val="29"/>
            </w:pPr>
            <w:r>
              <w:rPr>
                <w:rFonts w:hint="eastAsia"/>
              </w:rPr>
              <w:t>注册地址</w:t>
            </w:r>
          </w:p>
        </w:tc>
        <w:tc>
          <w:tcPr>
            <w:tcW w:w="1530" w:type="dxa"/>
            <w:tcBorders>
              <w:left w:val="single" w:color="000000" w:sz="4" w:space="0"/>
            </w:tcBorders>
            <w:vAlign w:val="center"/>
          </w:tcPr>
          <w:p>
            <w:pPr>
              <w:pStyle w:val="29"/>
            </w:pPr>
          </w:p>
        </w:tc>
        <w:tc>
          <w:tcPr>
            <w:tcW w:w="2174" w:type="dxa"/>
            <w:vAlign w:val="center"/>
          </w:tcPr>
          <w:p>
            <w:pPr>
              <w:pStyle w:val="29"/>
            </w:pPr>
            <w:r>
              <w:rPr>
                <w:rFonts w:hint="eastAsia"/>
              </w:rPr>
              <w:t>注册时间</w:t>
            </w:r>
          </w:p>
        </w:tc>
        <w:tc>
          <w:tcPr>
            <w:tcW w:w="2178" w:type="dxa"/>
            <w:vAlign w:val="center"/>
          </w:tcPr>
          <w:p>
            <w:pPr>
              <w:pStyle w:val="2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71" w:type="dxa"/>
            <w:vMerge w:val="continue"/>
            <w:vAlign w:val="center"/>
          </w:tcPr>
          <w:p>
            <w:pPr>
              <w:pStyle w:val="29"/>
            </w:pPr>
          </w:p>
        </w:tc>
        <w:tc>
          <w:tcPr>
            <w:tcW w:w="2146" w:type="dxa"/>
            <w:gridSpan w:val="2"/>
            <w:tcBorders>
              <w:right w:val="single" w:color="000000" w:sz="4" w:space="0"/>
            </w:tcBorders>
            <w:vAlign w:val="center"/>
          </w:tcPr>
          <w:p>
            <w:pPr>
              <w:pStyle w:val="29"/>
            </w:pPr>
            <w:r>
              <w:rPr>
                <w:rFonts w:hint="eastAsia"/>
              </w:rPr>
              <w:t>发证机关</w:t>
            </w:r>
          </w:p>
        </w:tc>
        <w:tc>
          <w:tcPr>
            <w:tcW w:w="1530" w:type="dxa"/>
            <w:tcBorders>
              <w:left w:val="single" w:color="000000" w:sz="4" w:space="0"/>
            </w:tcBorders>
            <w:vAlign w:val="center"/>
          </w:tcPr>
          <w:p>
            <w:pPr>
              <w:pStyle w:val="29"/>
            </w:pPr>
          </w:p>
        </w:tc>
        <w:tc>
          <w:tcPr>
            <w:tcW w:w="2174" w:type="dxa"/>
            <w:vAlign w:val="center"/>
          </w:tcPr>
          <w:p>
            <w:pPr>
              <w:pStyle w:val="29"/>
            </w:pPr>
            <w:r>
              <w:rPr>
                <w:rFonts w:hint="eastAsia"/>
              </w:rPr>
              <w:t>发证日期</w:t>
            </w:r>
          </w:p>
        </w:tc>
        <w:tc>
          <w:tcPr>
            <w:tcW w:w="2178" w:type="dxa"/>
            <w:vAlign w:val="center"/>
          </w:tcPr>
          <w:p>
            <w:pPr>
              <w:pStyle w:val="2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671" w:type="dxa"/>
            <w:vMerge w:val="continue"/>
            <w:vAlign w:val="center"/>
          </w:tcPr>
          <w:p>
            <w:pPr>
              <w:pStyle w:val="29"/>
            </w:pPr>
          </w:p>
        </w:tc>
        <w:tc>
          <w:tcPr>
            <w:tcW w:w="2146" w:type="dxa"/>
            <w:gridSpan w:val="2"/>
            <w:tcBorders>
              <w:right w:val="single" w:color="000000" w:sz="4" w:space="0"/>
            </w:tcBorders>
            <w:vAlign w:val="center"/>
          </w:tcPr>
          <w:p>
            <w:pPr>
              <w:pStyle w:val="29"/>
            </w:pPr>
            <w:r>
              <w:rPr>
                <w:rFonts w:hint="eastAsia"/>
              </w:rPr>
              <w:t>营业范围（主营）</w:t>
            </w:r>
          </w:p>
        </w:tc>
        <w:tc>
          <w:tcPr>
            <w:tcW w:w="5882" w:type="dxa"/>
            <w:gridSpan w:val="3"/>
            <w:tcBorders>
              <w:left w:val="single" w:color="000000" w:sz="4" w:space="0"/>
            </w:tcBorders>
            <w:vAlign w:val="center"/>
          </w:tcPr>
          <w:p>
            <w:pPr>
              <w:pStyle w:val="2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71" w:type="dxa"/>
            <w:vMerge w:val="continue"/>
            <w:vAlign w:val="center"/>
          </w:tcPr>
          <w:p>
            <w:pPr>
              <w:pStyle w:val="29"/>
            </w:pPr>
          </w:p>
        </w:tc>
        <w:tc>
          <w:tcPr>
            <w:tcW w:w="2146" w:type="dxa"/>
            <w:gridSpan w:val="2"/>
            <w:tcBorders>
              <w:right w:val="single" w:color="000000" w:sz="4" w:space="0"/>
            </w:tcBorders>
            <w:vAlign w:val="center"/>
          </w:tcPr>
          <w:p>
            <w:pPr>
              <w:pStyle w:val="29"/>
            </w:pPr>
            <w:r>
              <w:rPr>
                <w:rFonts w:hint="eastAsia"/>
              </w:rPr>
              <w:t>营业范围（兼营）</w:t>
            </w:r>
          </w:p>
        </w:tc>
        <w:tc>
          <w:tcPr>
            <w:tcW w:w="5882" w:type="dxa"/>
            <w:gridSpan w:val="3"/>
            <w:tcBorders>
              <w:left w:val="single" w:color="000000" w:sz="4" w:space="0"/>
            </w:tcBorders>
            <w:vAlign w:val="center"/>
          </w:tcPr>
          <w:p>
            <w:pPr>
              <w:pStyle w:val="2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817" w:type="dxa"/>
            <w:gridSpan w:val="3"/>
            <w:tcBorders>
              <w:right w:val="single" w:color="000000" w:sz="4" w:space="0"/>
            </w:tcBorders>
            <w:vAlign w:val="center"/>
          </w:tcPr>
          <w:p>
            <w:pPr>
              <w:pStyle w:val="29"/>
            </w:pPr>
            <w:r>
              <w:rPr>
                <w:rFonts w:hint="eastAsia"/>
              </w:rPr>
              <w:t>基本账户开户行及账号</w:t>
            </w:r>
          </w:p>
        </w:tc>
        <w:tc>
          <w:tcPr>
            <w:tcW w:w="5882" w:type="dxa"/>
            <w:gridSpan w:val="3"/>
            <w:tcBorders>
              <w:left w:val="single" w:color="000000" w:sz="4" w:space="0"/>
            </w:tcBorders>
            <w:vAlign w:val="center"/>
          </w:tcPr>
          <w:p>
            <w:pPr>
              <w:pStyle w:val="2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817" w:type="dxa"/>
            <w:gridSpan w:val="3"/>
            <w:tcBorders>
              <w:right w:val="single" w:color="000000" w:sz="4" w:space="0"/>
            </w:tcBorders>
            <w:vAlign w:val="center"/>
          </w:tcPr>
          <w:p>
            <w:pPr>
              <w:pStyle w:val="29"/>
            </w:pPr>
            <w:r>
              <w:rPr>
                <w:rFonts w:hint="eastAsia"/>
              </w:rPr>
              <w:t>税务登记机关</w:t>
            </w:r>
          </w:p>
        </w:tc>
        <w:tc>
          <w:tcPr>
            <w:tcW w:w="5882" w:type="dxa"/>
            <w:gridSpan w:val="3"/>
            <w:tcBorders>
              <w:left w:val="single" w:color="000000" w:sz="4" w:space="0"/>
            </w:tcBorders>
            <w:vAlign w:val="center"/>
          </w:tcPr>
          <w:p>
            <w:pPr>
              <w:pStyle w:val="2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699" w:type="dxa"/>
            <w:gridSpan w:val="6"/>
            <w:vAlign w:val="center"/>
          </w:tcPr>
          <w:p>
            <w:pPr>
              <w:pStyle w:val="29"/>
            </w:pPr>
            <w:r>
              <w:rPr>
                <w:rFonts w:hint="eastAsia"/>
              </w:rPr>
              <w:t>公司简介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2173" w:type="dxa"/>
            <w:gridSpan w:val="2"/>
            <w:vAlign w:val="center"/>
          </w:tcPr>
          <w:p>
            <w:pPr>
              <w:pStyle w:val="29"/>
            </w:pPr>
            <w:r>
              <w:rPr>
                <w:rFonts w:hint="eastAsia"/>
              </w:rPr>
              <w:t>备注</w:t>
            </w:r>
          </w:p>
        </w:tc>
        <w:tc>
          <w:tcPr>
            <w:tcW w:w="6526" w:type="dxa"/>
            <w:gridSpan w:val="4"/>
            <w:vAlign w:val="center"/>
          </w:tcPr>
          <w:p>
            <w:pPr>
              <w:pStyle w:val="29"/>
            </w:pPr>
          </w:p>
        </w:tc>
      </w:tr>
    </w:tbl>
    <w:p/>
    <w:p>
      <w:pPr>
        <w:pStyle w:val="8"/>
        <w:ind w:firstLine="3600" w:firstLineChars="1500"/>
      </w:pPr>
      <w:r>
        <w:rPr>
          <w:rFonts w:hint="eastAsia"/>
        </w:rPr>
        <w:t>投标人名称：</w:t>
      </w:r>
      <w:r>
        <w:rPr>
          <w:rFonts w:hint="eastAsia"/>
          <w:u w:val="single"/>
        </w:rPr>
        <w:t xml:space="preserve">                   </w:t>
      </w:r>
      <w:r>
        <w:rPr>
          <w:rFonts w:hint="eastAsia"/>
        </w:rPr>
        <w:t>（盖单位公章）</w:t>
      </w:r>
    </w:p>
    <w:p>
      <w:pPr>
        <w:pStyle w:val="8"/>
        <w:ind w:firstLine="3600" w:firstLineChars="1500"/>
      </w:pPr>
      <w:r>
        <w:rPr>
          <w:rFonts w:hint="eastAsia"/>
        </w:rPr>
        <w:t>法定代表人或被授权人：</w:t>
      </w:r>
      <w:r>
        <w:rPr>
          <w:rFonts w:hint="eastAsia"/>
          <w:u w:val="single"/>
        </w:rPr>
        <w:t xml:space="preserve">         </w:t>
      </w:r>
      <w:r>
        <w:rPr>
          <w:rFonts w:hint="eastAsia"/>
        </w:rPr>
        <w:t>（签字或盖章）</w:t>
      </w:r>
    </w:p>
    <w:p>
      <w:pPr>
        <w:wordWrap w:val="0"/>
        <w:spacing w:line="336" w:lineRule="auto"/>
        <w:ind w:right="-159" w:firstLine="3600" w:firstLineChars="1500"/>
      </w:pPr>
      <w:r>
        <w:rPr>
          <w:rFonts w:hint="eastAsia"/>
        </w:rPr>
        <w:t>日    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pStyle w:val="2"/>
      </w:pPr>
      <w:r>
        <w:rPr>
          <w:rFonts w:hint="eastAsia"/>
        </w:rPr>
        <w:t>后附证明资料（逐项提供加盖公章的复印件）：</w:t>
      </w:r>
    </w:p>
    <w:p>
      <w:pPr>
        <w:pStyle w:val="29"/>
        <w:keepNext w:val="0"/>
        <w:keepLines w:val="0"/>
        <w:pageBreakBefore w:val="0"/>
        <w:kinsoku/>
        <w:wordWrap/>
        <w:overflowPunct/>
        <w:topLinePunct w:val="0"/>
        <w:autoSpaceDE/>
        <w:autoSpaceDN/>
        <w:bidi w:val="0"/>
        <w:adjustRightInd/>
        <w:snapToGrid/>
        <w:spacing w:line="360" w:lineRule="auto"/>
        <w:ind w:firstLine="482" w:firstLineChars="200"/>
        <w:jc w:val="left"/>
        <w:textAlignment w:val="auto"/>
      </w:pPr>
      <w:r>
        <w:rPr>
          <w:rFonts w:hint="eastAsia"/>
          <w:b/>
          <w:bCs/>
        </w:rPr>
        <w:t>（1）基本资格条件：</w:t>
      </w:r>
      <w:r>
        <w:rPr>
          <w:rFonts w:hint="eastAsia"/>
        </w:rPr>
        <w:t>符合《中华人民共和国政府采购法》第二十二条的规定，并提供以下资料；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1）具有独立承担民事责任能力的法人、其他组织或自然人，提供合法有效的统一社会信用代码营业执照（事业单位提供法人证书，自然人提供身份证）；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2）财务状况报告：</w:t>
      </w:r>
      <w:r>
        <w:rPr>
          <w:rFonts w:hint="eastAsia" w:ascii="宋体" w:hAnsi="宋体" w:cs="宋体"/>
          <w:color w:val="auto"/>
          <w:sz w:val="24"/>
          <w:szCs w:val="24"/>
          <w:highlight w:val="none"/>
          <w:lang w:eastAsia="zh-CN"/>
        </w:rPr>
        <w:t>法人提供经审计的2021或2022年度的财务报告</w:t>
      </w:r>
      <w:r>
        <w:rPr>
          <w:rFonts w:hint="eastAsia" w:ascii="宋体" w:hAnsi="宋体" w:eastAsia="宋体" w:cs="宋体"/>
          <w:color w:val="auto"/>
          <w:sz w:val="24"/>
          <w:szCs w:val="24"/>
          <w:highlight w:val="none"/>
          <w:lang w:eastAsia="zh-CN"/>
        </w:rPr>
        <w:t>（成立时间至递交响应文件截止时间不足一年的可提供成立后任意时段的资产负债表）或递交响应文件截止时间前六个月内银行出具的资信证明；其他组织和自然人提供银行出具的资信证明或财务报表；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税收缴纳证明：法人提供递交响应文件截止时间前一年内至少一个月依法缴纳税收的相关凭据（时间以税款所属日期为准，税种须包含增值税或企业所得税，凭据应有税务机关或代收机关的公章或业务专用章）；其他组织和自然人提供缴纳税收的凭据；依法免税的供应商应提供相关文件证明；</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社会保障资金缴纳证明：提供递交响应文件截止时间前一年内至少一个月已缴纳的社会保障资金的凭据（社会保障资金缴存单据或社保机构开具的社会保险参保缴费情况证明）；依法不需要缴纳社会保障资金的供应商应提供相关文件证明；</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5）提供具有履行本合同所必需的设备和专业技术能力的说明及承诺；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b w:val="0"/>
          <w:bCs w:val="0"/>
          <w:color w:val="auto"/>
        </w:rPr>
      </w:pPr>
      <w:r>
        <w:rPr>
          <w:rFonts w:hint="eastAsia" w:ascii="宋体" w:hAnsi="宋体" w:eastAsia="宋体" w:cs="宋体"/>
          <w:color w:val="auto"/>
          <w:sz w:val="24"/>
          <w:szCs w:val="24"/>
          <w:highlight w:val="none"/>
          <w:lang w:eastAsia="zh-CN"/>
        </w:rPr>
        <w:t>6）提供参加本次政府采购活动前三年内在经营活动中没有重大违法记录的书面声明；</w:t>
      </w:r>
    </w:p>
    <w:p>
      <w:pPr>
        <w:pStyle w:val="29"/>
        <w:keepNext w:val="0"/>
        <w:keepLines w:val="0"/>
        <w:pageBreakBefore w:val="0"/>
        <w:widowControl w:val="0"/>
        <w:kinsoku/>
        <w:wordWrap/>
        <w:overflowPunct/>
        <w:topLinePunct w:val="0"/>
        <w:autoSpaceDE/>
        <w:autoSpaceDN/>
        <w:bidi w:val="0"/>
        <w:spacing w:line="360" w:lineRule="auto"/>
        <w:ind w:firstLine="482" w:firstLineChars="200"/>
        <w:jc w:val="left"/>
        <w:textAlignment w:val="auto"/>
        <w:rPr>
          <w:rFonts w:hint="eastAsia"/>
          <w:b/>
          <w:bCs/>
          <w:color w:val="auto"/>
        </w:rPr>
      </w:pPr>
      <w:r>
        <w:rPr>
          <w:rFonts w:hint="eastAsia"/>
          <w:b/>
          <w:bCs/>
          <w:color w:val="auto"/>
        </w:rPr>
        <w:t>（2）特定资格条件：</w:t>
      </w:r>
    </w:p>
    <w:p>
      <w:pPr>
        <w:pStyle w:val="29"/>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eastAsia="宋体"/>
          <w:b w:val="0"/>
          <w:bCs w:val="0"/>
          <w:color w:val="auto"/>
          <w:lang w:eastAsia="zh-CN"/>
        </w:rPr>
      </w:pPr>
      <w:r>
        <w:rPr>
          <w:rFonts w:hint="eastAsia"/>
          <w:b w:val="0"/>
          <w:bCs w:val="0"/>
          <w:color w:val="auto"/>
          <w:lang w:eastAsia="zh-CN"/>
        </w:rPr>
        <w:t>1）法定代表人授权书（附法定代表人、被授权人身份证复印件）、被授权人身份证（法定代表人直接参加投标，须提供法定代表人身份证明及身份证原件）及被授权人递交响应文件截止时间前一年内任意一个月的社会保障资金（养老保险或医疗保险）的缴纳证明；</w:t>
      </w:r>
    </w:p>
    <w:p>
      <w:pPr>
        <w:pStyle w:val="29"/>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b w:val="0"/>
          <w:bCs w:val="0"/>
          <w:color w:val="auto"/>
        </w:rPr>
      </w:pPr>
      <w:r>
        <w:rPr>
          <w:rFonts w:hint="eastAsia"/>
          <w:b w:val="0"/>
          <w:bCs w:val="0"/>
          <w:color w:val="auto"/>
        </w:rPr>
        <w:t>2）投标人为生产厂家的须提供食品生产许可证或全国工业产品生产许可证；投标人为代理商的须提供食品流通许可证或食品经营许可证及生产厂家的食品生产许可证或全国工业产品生产许可证；</w:t>
      </w:r>
    </w:p>
    <w:p>
      <w:pPr>
        <w:pStyle w:val="1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eastAsia="宋体"/>
          <w:color w:val="auto"/>
          <w:lang w:val="en-US" w:eastAsia="zh-CN"/>
        </w:rPr>
      </w:pPr>
      <w:r>
        <w:rPr>
          <w:rFonts w:hint="eastAsia"/>
          <w:b w:val="0"/>
          <w:bCs w:val="0"/>
          <w:color w:val="auto"/>
          <w:lang w:val="en-US" w:eastAsia="zh-CN"/>
        </w:rPr>
        <w:t>3</w:t>
      </w:r>
      <w:r>
        <w:rPr>
          <w:rFonts w:hint="eastAsia"/>
          <w:b w:val="0"/>
          <w:bCs w:val="0"/>
          <w:color w:val="auto"/>
          <w:lang w:eastAsia="zh-CN"/>
        </w:rPr>
        <w:t>）投标人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承诺）</w:t>
      </w:r>
      <w:r>
        <w:rPr>
          <w:rFonts w:hint="eastAsia"/>
          <w:b w:val="0"/>
          <w:bCs w:val="0"/>
          <w:color w:val="auto"/>
        </w:rPr>
        <w:t>。</w:t>
      </w:r>
    </w:p>
    <w:p>
      <w:pPr>
        <w:pStyle w:val="1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eastAsia="宋体"/>
          <w:color w:val="auto"/>
          <w:lang w:eastAsia="zh-CN"/>
        </w:rPr>
      </w:pPr>
    </w:p>
    <w:p>
      <w:pPr>
        <w:rPr>
          <w:rFonts w:hint="eastAsia"/>
        </w:rPr>
      </w:pPr>
      <w:r>
        <w:rPr>
          <w:rFonts w:hint="eastAsia"/>
        </w:rPr>
        <w:br w:type="page"/>
      </w:r>
    </w:p>
    <w:p>
      <w:pPr>
        <w:pStyle w:val="2"/>
      </w:pPr>
      <w:r>
        <w:rPr>
          <w:rFonts w:hint="eastAsia"/>
        </w:rPr>
        <w:t>附件1  履行合同所必需的设备和专业技术能力的证明（格式）</w:t>
      </w:r>
    </w:p>
    <w:p>
      <w:pPr>
        <w:pStyle w:val="5"/>
        <w:spacing w:before="666" w:after="666"/>
      </w:pPr>
      <w:r>
        <w:rPr>
          <w:rFonts w:hint="eastAsia"/>
        </w:rPr>
        <w:t>履行合同所必需的设备和专业技术能力的承诺</w:t>
      </w:r>
    </w:p>
    <w:p>
      <w:pPr>
        <w:pStyle w:val="8"/>
        <w:ind w:firstLine="0" w:firstLineChars="0"/>
        <w:rPr>
          <w:u w:val="single"/>
        </w:rPr>
      </w:pPr>
      <w:r>
        <w:rPr>
          <w:rFonts w:hint="eastAsia"/>
          <w:u w:val="single"/>
        </w:rPr>
        <w:t>（</w:t>
      </w:r>
      <w:r>
        <w:rPr>
          <w:rFonts w:hint="eastAsia"/>
          <w:u w:val="single"/>
          <w:lang w:eastAsia="zh-CN"/>
        </w:rPr>
        <w:t>招标人</w:t>
      </w:r>
      <w:r>
        <w:rPr>
          <w:rFonts w:hint="eastAsia"/>
          <w:u w:val="single"/>
        </w:rPr>
        <w:t>名称）：</w:t>
      </w:r>
    </w:p>
    <w:p>
      <w:pPr>
        <w:pStyle w:val="8"/>
        <w:ind w:firstLine="480"/>
      </w:pPr>
      <w:r>
        <w:rPr>
          <w:rFonts w:hint="eastAsia"/>
          <w:u w:val="single"/>
        </w:rPr>
        <w:t xml:space="preserve">（投标人名称） </w:t>
      </w:r>
      <w:r>
        <w:rPr>
          <w:rFonts w:hint="eastAsia"/>
        </w:rPr>
        <w:t>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日在中华人民共和国境内</w:t>
      </w:r>
      <w:r>
        <w:rPr>
          <w:rFonts w:hint="eastAsia"/>
          <w:u w:val="single"/>
        </w:rPr>
        <w:t xml:space="preserve"> （详细注册地址）</w:t>
      </w:r>
      <w:r>
        <w:rPr>
          <w:rFonts w:hint="eastAsia"/>
        </w:rPr>
        <w:t>合法注册并经营，公司主营业务为</w:t>
      </w:r>
      <w:r>
        <w:rPr>
          <w:rFonts w:hint="eastAsia"/>
          <w:u w:val="single"/>
        </w:rPr>
        <w:t xml:space="preserve">                          </w:t>
      </w:r>
      <w:r>
        <w:rPr>
          <w:rFonts w:hint="eastAsia"/>
        </w:rPr>
        <w:t>，营业（生产经营）面积为</w:t>
      </w:r>
      <w:r>
        <w:rPr>
          <w:rFonts w:hint="eastAsia"/>
          <w:u w:val="single"/>
        </w:rPr>
        <w:t xml:space="preserve">              </w:t>
      </w:r>
      <w:r>
        <w:rPr>
          <w:rFonts w:hint="eastAsia"/>
        </w:rPr>
        <w:t>，现有员工数量为</w:t>
      </w:r>
      <w:r>
        <w:rPr>
          <w:rFonts w:hint="eastAsia"/>
          <w:u w:val="single"/>
        </w:rPr>
        <w:t xml:space="preserve">         </w:t>
      </w:r>
      <w:r>
        <w:rPr>
          <w:rFonts w:hint="eastAsia"/>
        </w:rPr>
        <w:t>，本公司郑重承诺，具有履行本合同所必需的设备和专业技术能力。</w:t>
      </w:r>
    </w:p>
    <w:p>
      <w:pPr>
        <w:pStyle w:val="12"/>
        <w:adjustRightInd w:val="0"/>
        <w:snapToGrid w:val="0"/>
        <w:spacing w:line="500" w:lineRule="exact"/>
        <w:rPr>
          <w:rFonts w:hAnsi="宋体" w:cs="宋体"/>
          <w:spacing w:val="4"/>
          <w:sz w:val="24"/>
          <w:szCs w:val="24"/>
        </w:rPr>
      </w:pPr>
    </w:p>
    <w:p>
      <w:pPr>
        <w:pStyle w:val="12"/>
        <w:adjustRightInd w:val="0"/>
        <w:snapToGrid w:val="0"/>
        <w:spacing w:line="500" w:lineRule="exact"/>
        <w:rPr>
          <w:rFonts w:hAnsi="宋体" w:cs="宋体"/>
          <w:spacing w:val="4"/>
          <w:sz w:val="24"/>
          <w:szCs w:val="24"/>
        </w:rPr>
      </w:pPr>
    </w:p>
    <w:p>
      <w:pPr>
        <w:pStyle w:val="8"/>
        <w:ind w:firstLine="3600" w:firstLineChars="1500"/>
      </w:pPr>
      <w:r>
        <w:rPr>
          <w:rFonts w:hint="eastAsia"/>
        </w:rPr>
        <w:t>投标人名称：</w:t>
      </w:r>
      <w:r>
        <w:rPr>
          <w:rFonts w:hint="eastAsia"/>
          <w:u w:val="single"/>
        </w:rPr>
        <w:t xml:space="preserve">                   </w:t>
      </w:r>
      <w:r>
        <w:rPr>
          <w:rFonts w:hint="eastAsia"/>
        </w:rPr>
        <w:t>（盖单位公章）</w:t>
      </w:r>
    </w:p>
    <w:p>
      <w:pPr>
        <w:pStyle w:val="8"/>
        <w:ind w:firstLine="0" w:firstLineChars="0"/>
      </w:pPr>
    </w:p>
    <w:p>
      <w:pPr>
        <w:pStyle w:val="8"/>
        <w:ind w:firstLine="3600" w:firstLineChars="1500"/>
      </w:pPr>
      <w:r>
        <w:rPr>
          <w:rFonts w:hint="eastAsia"/>
        </w:rPr>
        <w:t>法定代表人或被授权人：</w:t>
      </w:r>
      <w:r>
        <w:rPr>
          <w:rFonts w:hint="eastAsia"/>
          <w:u w:val="single"/>
        </w:rPr>
        <w:t xml:space="preserve">         </w:t>
      </w:r>
      <w:r>
        <w:rPr>
          <w:rFonts w:hint="eastAsia"/>
        </w:rPr>
        <w:t>（签字或盖章）</w:t>
      </w:r>
    </w:p>
    <w:p>
      <w:pPr>
        <w:pStyle w:val="8"/>
        <w:ind w:firstLine="0" w:firstLineChars="0"/>
      </w:pPr>
    </w:p>
    <w:p>
      <w:pPr>
        <w:adjustRightInd w:val="0"/>
        <w:snapToGrid w:val="0"/>
        <w:spacing w:line="500" w:lineRule="exact"/>
        <w:ind w:firstLine="3600" w:firstLineChars="1500"/>
        <w:rPr>
          <w:rFonts w:hAnsi="宋体" w:cs="宋体"/>
          <w:szCs w:val="24"/>
        </w:rPr>
      </w:pPr>
      <w:r>
        <w:rPr>
          <w:rFonts w:hint="eastAsia"/>
        </w:rPr>
        <w:t>日    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pStyle w:val="10"/>
      </w:pPr>
    </w:p>
    <w:p>
      <w:pPr>
        <w:rPr>
          <w:rStyle w:val="37"/>
          <w:bCs w:val="0"/>
        </w:rPr>
      </w:pPr>
      <w:bookmarkStart w:id="295" w:name="_Toc31818"/>
      <w:r>
        <w:rPr>
          <w:rStyle w:val="37"/>
          <w:rFonts w:hint="eastAsia"/>
          <w:bCs w:val="0"/>
        </w:rPr>
        <w:br w:type="page"/>
      </w:r>
    </w:p>
    <w:p>
      <w:pPr>
        <w:pStyle w:val="2"/>
        <w:rPr>
          <w:rStyle w:val="37"/>
          <w:b/>
          <w:bCs w:val="0"/>
        </w:rPr>
      </w:pPr>
      <w:r>
        <w:rPr>
          <w:rStyle w:val="37"/>
          <w:rFonts w:hint="eastAsia"/>
          <w:b/>
          <w:bCs w:val="0"/>
        </w:rPr>
        <w:t>附件2  参加政府采购活动前3年内在经营活动中没有重大违法记录的书面声明（格式）</w:t>
      </w:r>
      <w:bookmarkEnd w:id="295"/>
    </w:p>
    <w:p>
      <w:pPr>
        <w:pStyle w:val="5"/>
        <w:spacing w:before="666" w:after="666"/>
      </w:pPr>
      <w:r>
        <w:rPr>
          <w:rFonts w:hint="eastAsia"/>
        </w:rPr>
        <w:t>近三年无重大违法、违纪书面声明（格式）</w:t>
      </w:r>
    </w:p>
    <w:p>
      <w:pPr>
        <w:pStyle w:val="8"/>
        <w:ind w:firstLine="0" w:firstLineChars="0"/>
      </w:pPr>
      <w:r>
        <w:rPr>
          <w:rFonts w:hint="eastAsia"/>
        </w:rPr>
        <w:t>致：</w:t>
      </w:r>
      <w:r>
        <w:rPr>
          <w:rFonts w:hint="eastAsia"/>
          <w:u w:val="single"/>
        </w:rPr>
        <w:t xml:space="preserve">     （</w:t>
      </w:r>
      <w:r>
        <w:rPr>
          <w:rFonts w:hint="eastAsia"/>
          <w:u w:val="single"/>
          <w:lang w:eastAsia="zh-CN"/>
        </w:rPr>
        <w:t>招标人</w:t>
      </w:r>
      <w:r>
        <w:rPr>
          <w:rFonts w:hint="eastAsia"/>
          <w:u w:val="single"/>
        </w:rPr>
        <w:t xml:space="preserve">名称）  </w:t>
      </w:r>
      <w:r>
        <w:rPr>
          <w:rFonts w:hint="eastAsia"/>
        </w:rPr>
        <w:t xml:space="preserve"> </w:t>
      </w:r>
    </w:p>
    <w:p>
      <w:pPr>
        <w:pStyle w:val="8"/>
        <w:ind w:firstLine="480"/>
      </w:pPr>
      <w:r>
        <w:rPr>
          <w:rFonts w:hint="eastAsia"/>
        </w:rPr>
        <w:t>我单位声明参加本次政府采购活动前三年内，在经营活动中没有重大违纪，以及未被列入失信被执行人、未在重大税收违法案件当事人名单及政府采购严重违法失信行为记录名单中。</w:t>
      </w:r>
    </w:p>
    <w:p>
      <w:pPr>
        <w:pStyle w:val="8"/>
        <w:ind w:firstLine="480"/>
      </w:pPr>
      <w:r>
        <w:rPr>
          <w:rFonts w:hint="eastAsia"/>
        </w:rPr>
        <w:t>以上如构成虚假，自愿承担相关法律责任。</w:t>
      </w:r>
    </w:p>
    <w:p>
      <w:pPr>
        <w:pStyle w:val="8"/>
        <w:ind w:firstLine="480"/>
      </w:pPr>
    </w:p>
    <w:p>
      <w:pPr>
        <w:pStyle w:val="8"/>
        <w:ind w:firstLine="480"/>
      </w:pPr>
      <w:r>
        <w:rPr>
          <w:rFonts w:hint="eastAsia"/>
        </w:rPr>
        <w:t>特此声明！</w:t>
      </w:r>
    </w:p>
    <w:p>
      <w:pPr>
        <w:spacing w:line="360" w:lineRule="auto"/>
        <w:ind w:firstLine="480" w:firstLineChars="200"/>
        <w:jc w:val="left"/>
        <w:rPr>
          <w:rFonts w:hAnsi="宋体" w:cs="宋体"/>
        </w:rPr>
      </w:pPr>
    </w:p>
    <w:p>
      <w:pPr>
        <w:spacing w:line="360" w:lineRule="auto"/>
        <w:ind w:firstLine="480" w:firstLineChars="200"/>
        <w:jc w:val="left"/>
        <w:rPr>
          <w:rFonts w:hAnsi="宋体" w:cs="宋体"/>
        </w:rPr>
      </w:pPr>
    </w:p>
    <w:p>
      <w:pPr>
        <w:pStyle w:val="8"/>
        <w:ind w:firstLine="3600" w:firstLineChars="1500"/>
      </w:pPr>
      <w:r>
        <w:rPr>
          <w:rFonts w:hint="eastAsia"/>
        </w:rPr>
        <w:t>投标人名称：</w:t>
      </w:r>
      <w:r>
        <w:rPr>
          <w:rFonts w:hint="eastAsia"/>
          <w:u w:val="single"/>
        </w:rPr>
        <w:t xml:space="preserve">                   </w:t>
      </w:r>
      <w:r>
        <w:rPr>
          <w:rFonts w:hint="eastAsia"/>
        </w:rPr>
        <w:t>（盖单位公章）</w:t>
      </w:r>
    </w:p>
    <w:p>
      <w:pPr>
        <w:pStyle w:val="8"/>
        <w:ind w:firstLine="0" w:firstLineChars="0"/>
      </w:pPr>
    </w:p>
    <w:p>
      <w:pPr>
        <w:pStyle w:val="8"/>
        <w:ind w:firstLine="3600" w:firstLineChars="1500"/>
      </w:pPr>
      <w:r>
        <w:rPr>
          <w:rFonts w:hint="eastAsia"/>
        </w:rPr>
        <w:t>法定代表人或被授权人：</w:t>
      </w:r>
      <w:r>
        <w:rPr>
          <w:rFonts w:hint="eastAsia"/>
          <w:u w:val="single"/>
        </w:rPr>
        <w:t xml:space="preserve">         </w:t>
      </w:r>
      <w:r>
        <w:rPr>
          <w:rFonts w:hint="eastAsia"/>
        </w:rPr>
        <w:t>（签字或盖章）</w:t>
      </w:r>
    </w:p>
    <w:p>
      <w:pPr>
        <w:pStyle w:val="8"/>
        <w:ind w:firstLine="0" w:firstLineChars="0"/>
      </w:pPr>
    </w:p>
    <w:p>
      <w:pPr>
        <w:spacing w:line="360" w:lineRule="auto"/>
        <w:ind w:firstLine="3600" w:firstLineChars="1500"/>
      </w:pPr>
      <w:r>
        <w:rPr>
          <w:rFonts w:hint="eastAsia"/>
        </w:rPr>
        <w:t>日    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pStyle w:val="10"/>
      </w:pPr>
    </w:p>
    <w:p>
      <w:r>
        <w:rPr>
          <w:rFonts w:hint="eastAsia"/>
        </w:rPr>
        <w:br w:type="page"/>
      </w:r>
    </w:p>
    <w:p>
      <w:pPr>
        <w:pStyle w:val="2"/>
      </w:pPr>
      <w:r>
        <w:rPr>
          <w:rFonts w:hint="eastAsia"/>
        </w:rPr>
        <w:t>附件3  法定代表人身份证明/法定代表人授权委托书</w:t>
      </w:r>
    </w:p>
    <w:p>
      <w:pPr>
        <w:pStyle w:val="5"/>
        <w:spacing w:before="666" w:after="666"/>
        <w:rPr>
          <w:sz w:val="24"/>
        </w:rPr>
      </w:pPr>
      <w:r>
        <w:rPr>
          <w:rFonts w:hint="eastAsia"/>
          <w:sz w:val="24"/>
        </w:rPr>
        <w:t>法定代表人身份证明</w:t>
      </w:r>
      <w:r>
        <w:rPr>
          <w:rStyle w:val="36"/>
          <w:rFonts w:hint="eastAsia"/>
          <w:b/>
          <w:sz w:val="24"/>
        </w:rPr>
        <w:t>（格式）</w:t>
      </w:r>
    </w:p>
    <w:p>
      <w:pPr>
        <w:pStyle w:val="8"/>
        <w:ind w:firstLine="480"/>
        <w:rPr>
          <w:u w:val="single"/>
        </w:rPr>
      </w:pPr>
      <w:r>
        <w:rPr>
          <w:rFonts w:hint="eastAsia"/>
        </w:rPr>
        <w:t>投标人名称：</w:t>
      </w:r>
      <w:r>
        <w:rPr>
          <w:rFonts w:hint="eastAsia"/>
          <w:u w:val="single"/>
        </w:rPr>
        <w:t xml:space="preserve">                                </w:t>
      </w:r>
    </w:p>
    <w:p>
      <w:pPr>
        <w:pStyle w:val="8"/>
        <w:ind w:firstLine="480"/>
      </w:pPr>
      <w:r>
        <w:rPr>
          <w:rFonts w:hint="eastAsia"/>
        </w:rPr>
        <w:t>统一社会信用代码：</w:t>
      </w:r>
      <w:r>
        <w:rPr>
          <w:rFonts w:hint="eastAsia"/>
          <w:u w:val="single"/>
        </w:rPr>
        <w:t xml:space="preserve">                          </w:t>
      </w:r>
      <w:r>
        <w:rPr>
          <w:rFonts w:hint="eastAsia"/>
        </w:rPr>
        <w:t xml:space="preserve">                             </w:t>
      </w:r>
    </w:p>
    <w:p>
      <w:pPr>
        <w:pStyle w:val="8"/>
        <w:ind w:firstLine="480"/>
      </w:pPr>
      <w:r>
        <w:rPr>
          <w:rFonts w:hint="eastAsia"/>
        </w:rPr>
        <w:t>注册地址：；</w:t>
      </w:r>
      <w:r>
        <w:rPr>
          <w:rFonts w:hint="eastAsia"/>
          <w:u w:val="single"/>
        </w:rPr>
        <w:t xml:space="preserve">                                 </w:t>
      </w:r>
      <w:r>
        <w:rPr>
          <w:rFonts w:hint="eastAsia"/>
        </w:rPr>
        <w:t xml:space="preserve">                                     </w:t>
      </w:r>
    </w:p>
    <w:p>
      <w:pPr>
        <w:pStyle w:val="8"/>
        <w:ind w:firstLine="480"/>
      </w:pPr>
      <w:r>
        <w:rPr>
          <w:rFonts w:hint="eastAsia"/>
        </w:rPr>
        <w:t>成立时间：</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pStyle w:val="8"/>
        <w:ind w:firstLine="480"/>
      </w:pPr>
      <w:r>
        <w:rPr>
          <w:rFonts w:hint="eastAsia"/>
        </w:rPr>
        <w:t>经营期限：</w:t>
      </w:r>
      <w:r>
        <w:rPr>
          <w:rFonts w:hint="eastAsia"/>
          <w:u w:val="single"/>
        </w:rPr>
        <w:t xml:space="preserve">                                  </w:t>
      </w:r>
      <w:r>
        <w:rPr>
          <w:rFonts w:hint="eastAsia"/>
        </w:rPr>
        <w:t xml:space="preserve">                               </w:t>
      </w:r>
    </w:p>
    <w:p>
      <w:pPr>
        <w:pStyle w:val="8"/>
        <w:ind w:firstLine="480"/>
      </w:pPr>
      <w:r>
        <w:rPr>
          <w:rFonts w:hint="eastAsia"/>
        </w:rPr>
        <w:t>姓名：</w:t>
      </w:r>
      <w:r>
        <w:rPr>
          <w:rFonts w:hint="eastAsia"/>
          <w:u w:val="single"/>
        </w:rPr>
        <w:t xml:space="preserve">      </w:t>
      </w:r>
      <w:r>
        <w:rPr>
          <w:rFonts w:hint="eastAsia"/>
        </w:rPr>
        <w:t>性别：</w:t>
      </w:r>
      <w:r>
        <w:rPr>
          <w:rFonts w:hint="eastAsia"/>
          <w:u w:val="single"/>
        </w:rPr>
        <w:t xml:space="preserve">  </w:t>
      </w:r>
      <w:r>
        <w:rPr>
          <w:rFonts w:hint="eastAsia"/>
        </w:rPr>
        <w:t>年龄：</w:t>
      </w:r>
      <w:r>
        <w:rPr>
          <w:rFonts w:hint="eastAsia"/>
          <w:u w:val="single"/>
        </w:rPr>
        <w:t xml:space="preserve">  </w:t>
      </w:r>
      <w:r>
        <w:rPr>
          <w:rFonts w:hint="eastAsia"/>
        </w:rPr>
        <w:t>联系电话：</w:t>
      </w:r>
      <w:r>
        <w:rPr>
          <w:rFonts w:hint="eastAsia"/>
          <w:u w:val="single"/>
        </w:rPr>
        <w:t xml:space="preserve">           </w:t>
      </w:r>
      <w:r>
        <w:rPr>
          <w:rFonts w:hint="eastAsia"/>
        </w:rPr>
        <w:t>系</w:t>
      </w:r>
      <w:r>
        <w:rPr>
          <w:rFonts w:hint="eastAsia"/>
          <w:u w:val="single"/>
        </w:rPr>
        <w:t xml:space="preserve">           （投标人名称）</w:t>
      </w:r>
      <w:r>
        <w:rPr>
          <w:rFonts w:hint="eastAsia"/>
        </w:rPr>
        <w:t>的法定代表人。</w:t>
      </w:r>
    </w:p>
    <w:p>
      <w:pPr>
        <w:pStyle w:val="8"/>
        <w:ind w:firstLine="480"/>
      </w:pPr>
      <w:r>
        <w:rPr>
          <w:rFonts w:hint="eastAsia"/>
        </w:rPr>
        <w:t>特此证明。</w:t>
      </w:r>
    </w:p>
    <w:p>
      <w:pPr>
        <w:pStyle w:val="8"/>
        <w:ind w:firstLine="480"/>
      </w:pPr>
      <w:r>
        <w:rPr>
          <w:rFonts w:hint="eastAsia"/>
        </w:rPr>
        <w:t>附：法定代表人身份证复印件</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3" w:hRule="atLeast"/>
        </w:trPr>
        <w:tc>
          <w:tcPr>
            <w:tcW w:w="8947" w:type="dxa"/>
            <w:vAlign w:val="center"/>
          </w:tcPr>
          <w:p>
            <w:pPr>
              <w:pStyle w:val="29"/>
            </w:pPr>
            <w:r>
              <w:rPr>
                <w:rFonts w:hint="eastAsia"/>
              </w:rPr>
              <w:t>法人身份证复印件</w:t>
            </w:r>
          </w:p>
          <w:p>
            <w:pPr>
              <w:pStyle w:val="29"/>
              <w:rPr>
                <w:szCs w:val="24"/>
              </w:rPr>
            </w:pPr>
            <w:r>
              <w:rPr>
                <w:rFonts w:hint="eastAsia"/>
              </w:rPr>
              <w:t>正、反面</w:t>
            </w:r>
          </w:p>
        </w:tc>
      </w:tr>
    </w:tbl>
    <w:p>
      <w:pPr>
        <w:tabs>
          <w:tab w:val="left" w:pos="8820"/>
        </w:tabs>
        <w:spacing w:line="336" w:lineRule="auto"/>
        <w:jc w:val="center"/>
        <w:rPr>
          <w:rFonts w:hAnsi="宋体" w:cs="宋体"/>
          <w:b/>
          <w:bCs/>
          <w:szCs w:val="24"/>
        </w:rPr>
      </w:pPr>
    </w:p>
    <w:p>
      <w:pPr>
        <w:pStyle w:val="8"/>
        <w:ind w:firstLine="3600" w:firstLineChars="1500"/>
      </w:pPr>
      <w:r>
        <w:rPr>
          <w:rFonts w:hint="eastAsia"/>
        </w:rPr>
        <w:t>投标人名称：</w:t>
      </w:r>
      <w:r>
        <w:rPr>
          <w:rFonts w:hint="eastAsia"/>
          <w:u w:val="single"/>
        </w:rPr>
        <w:t xml:space="preserve">                   </w:t>
      </w:r>
      <w:r>
        <w:rPr>
          <w:rFonts w:hint="eastAsia"/>
        </w:rPr>
        <w:t>（盖单位公章）</w:t>
      </w:r>
    </w:p>
    <w:p>
      <w:pPr>
        <w:pStyle w:val="8"/>
        <w:ind w:firstLine="0" w:firstLineChars="0"/>
      </w:pPr>
    </w:p>
    <w:p>
      <w:pPr>
        <w:pStyle w:val="8"/>
        <w:ind w:firstLine="3600" w:firstLineChars="1500"/>
      </w:pPr>
      <w:r>
        <w:rPr>
          <w:rFonts w:hint="eastAsia"/>
        </w:rPr>
        <w:t>法定代表人：</w:t>
      </w:r>
      <w:r>
        <w:rPr>
          <w:rFonts w:hint="eastAsia"/>
          <w:u w:val="single"/>
        </w:rPr>
        <w:t xml:space="preserve">         </w:t>
      </w:r>
      <w:r>
        <w:rPr>
          <w:rFonts w:hint="eastAsia"/>
        </w:rPr>
        <w:t>（签字或盖章）</w:t>
      </w:r>
    </w:p>
    <w:p>
      <w:pPr>
        <w:pStyle w:val="8"/>
        <w:ind w:firstLine="0" w:firstLineChars="0"/>
      </w:pPr>
    </w:p>
    <w:p>
      <w:pPr>
        <w:wordWrap w:val="0"/>
        <w:spacing w:line="336" w:lineRule="auto"/>
        <w:ind w:right="-159" w:firstLine="3600" w:firstLineChars="1500"/>
        <w:rPr>
          <w:rFonts w:hAnsi="宋体" w:cs="宋体"/>
          <w:szCs w:val="24"/>
          <w:u w:val="single"/>
        </w:rPr>
      </w:pPr>
      <w:r>
        <w:rPr>
          <w:rFonts w:hint="eastAsia"/>
        </w:rPr>
        <w:t>日    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rPr>
          <w:rStyle w:val="36"/>
        </w:rPr>
      </w:pPr>
      <w:r>
        <w:rPr>
          <w:rStyle w:val="36"/>
          <w:rFonts w:hint="eastAsia"/>
        </w:rPr>
        <w:br w:type="page"/>
      </w:r>
    </w:p>
    <w:p>
      <w:pPr>
        <w:pStyle w:val="5"/>
        <w:spacing w:before="666" w:after="666"/>
      </w:pPr>
      <w:r>
        <w:rPr>
          <w:rFonts w:hint="eastAsia"/>
        </w:rPr>
        <w:t>法定代表人授权委托书（格式）</w:t>
      </w:r>
    </w:p>
    <w:p>
      <w:pPr>
        <w:tabs>
          <w:tab w:val="left" w:pos="8820"/>
        </w:tabs>
        <w:spacing w:line="336" w:lineRule="auto"/>
        <w:ind w:firstLine="570"/>
        <w:rPr>
          <w:rFonts w:hAnsi="宋体" w:cs="宋体"/>
          <w:szCs w:val="24"/>
        </w:rPr>
      </w:pPr>
    </w:p>
    <w:p>
      <w:pPr>
        <w:pStyle w:val="8"/>
        <w:ind w:firstLine="480"/>
      </w:pPr>
      <w:r>
        <w:rPr>
          <w:rFonts w:hint="eastAsia"/>
        </w:rPr>
        <w:t>本授权委托书声明：我</w:t>
      </w:r>
      <w:r>
        <w:rPr>
          <w:rFonts w:hint="eastAsia"/>
          <w:u w:val="single"/>
        </w:rPr>
        <w:t>（法定代表人姓名）</w:t>
      </w:r>
      <w:r>
        <w:rPr>
          <w:rFonts w:hint="eastAsia"/>
        </w:rPr>
        <w:t>系注册于</w:t>
      </w:r>
      <w:r>
        <w:rPr>
          <w:rFonts w:hint="eastAsia"/>
          <w:u w:val="single"/>
        </w:rPr>
        <w:t xml:space="preserve">  （投标人地址）</w:t>
      </w:r>
      <w:r>
        <w:rPr>
          <w:rFonts w:hint="eastAsia"/>
        </w:rPr>
        <w:t>的</w:t>
      </w:r>
      <w:r>
        <w:rPr>
          <w:rFonts w:hint="eastAsia"/>
          <w:u w:val="single"/>
        </w:rPr>
        <w:t xml:space="preserve">（投标人名称）  </w:t>
      </w:r>
      <w:r>
        <w:rPr>
          <w:rFonts w:hint="eastAsia"/>
        </w:rPr>
        <w:t>的法定代表人，现代表公司授权下面签字的</w:t>
      </w:r>
      <w:r>
        <w:rPr>
          <w:rFonts w:hint="eastAsia"/>
          <w:u w:val="single"/>
        </w:rPr>
        <w:t>（被授权人的姓名、职务）</w:t>
      </w:r>
      <w:r>
        <w:rPr>
          <w:rFonts w:hint="eastAsia"/>
        </w:rPr>
        <w:t>为我公司合法代理人，代表本公司参加</w:t>
      </w:r>
      <w:r>
        <w:rPr>
          <w:rFonts w:hint="eastAsia"/>
          <w:u w:val="single"/>
        </w:rPr>
        <w:t xml:space="preserve">  （项目名称）  </w:t>
      </w:r>
      <w:r>
        <w:rPr>
          <w:rFonts w:hint="eastAsia"/>
        </w:rPr>
        <w:t>项目编号为</w:t>
      </w:r>
      <w:r>
        <w:rPr>
          <w:rFonts w:hint="eastAsia"/>
          <w:u w:val="single"/>
        </w:rPr>
        <w:t xml:space="preserve">          </w:t>
      </w:r>
      <w:r>
        <w:rPr>
          <w:rFonts w:hint="eastAsia"/>
        </w:rPr>
        <w:t>的投标活动。代理人在本次投标中所签署的一切文件和处理的一切有关事物，我公司均予承认。</w:t>
      </w:r>
    </w:p>
    <w:p>
      <w:pPr>
        <w:pStyle w:val="10"/>
        <w:rPr>
          <w:rFonts w:ascii="宋体" w:hAnsi="宋体" w:cs="宋体"/>
          <w:sz w:val="24"/>
          <w:szCs w:val="24"/>
        </w:rPr>
      </w:pPr>
    </w:p>
    <w:p/>
    <w:p>
      <w:pPr>
        <w:spacing w:line="336" w:lineRule="auto"/>
        <w:ind w:firstLine="480" w:firstLineChars="200"/>
        <w:rPr>
          <w:rFonts w:hAnsi="宋体" w:cs="宋体"/>
          <w:szCs w:val="24"/>
        </w:rPr>
      </w:pPr>
      <w:r>
        <w:rPr>
          <w:rStyle w:val="39"/>
          <w:rFonts w:hint="eastAsia"/>
        </w:rPr>
        <w:t>本授权书有效期自响应文件递交截止之日起</w:t>
      </w:r>
      <w:r>
        <w:rPr>
          <w:rStyle w:val="39"/>
          <w:rFonts w:hint="eastAsia"/>
          <w:u w:val="single"/>
        </w:rPr>
        <w:t xml:space="preserve">   </w:t>
      </w:r>
      <w:r>
        <w:rPr>
          <w:rStyle w:val="39"/>
          <w:rFonts w:hint="eastAsia"/>
        </w:rPr>
        <w:t xml:space="preserve">天，特此声明。 </w:t>
      </w:r>
      <w:r>
        <w:rPr>
          <w:rFonts w:hint="eastAsia" w:hAnsi="宋体" w:cs="宋体"/>
          <w:szCs w:val="24"/>
        </w:rPr>
        <w:t xml:space="preserve">                         </w:t>
      </w:r>
    </w:p>
    <w:tbl>
      <w:tblPr>
        <w:tblStyle w:val="19"/>
        <w:tblW w:w="9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9"/>
        <w:gridCol w:w="4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2" w:hRule="atLeast"/>
        </w:trPr>
        <w:tc>
          <w:tcPr>
            <w:tcW w:w="4579" w:type="dxa"/>
            <w:vAlign w:val="center"/>
          </w:tcPr>
          <w:p>
            <w:pPr>
              <w:pStyle w:val="29"/>
            </w:pPr>
            <w:r>
              <w:rPr>
                <w:rFonts w:hint="eastAsia"/>
              </w:rPr>
              <w:t>法人身份证复印件</w:t>
            </w:r>
          </w:p>
          <w:p>
            <w:pPr>
              <w:pStyle w:val="29"/>
            </w:pPr>
            <w:r>
              <w:rPr>
                <w:rFonts w:hint="eastAsia"/>
              </w:rPr>
              <w:t>正、反面</w:t>
            </w:r>
          </w:p>
        </w:tc>
        <w:tc>
          <w:tcPr>
            <w:tcW w:w="4580" w:type="dxa"/>
            <w:vAlign w:val="center"/>
          </w:tcPr>
          <w:p>
            <w:pPr>
              <w:pStyle w:val="29"/>
            </w:pPr>
            <w:r>
              <w:rPr>
                <w:rFonts w:hint="eastAsia"/>
              </w:rPr>
              <w:t>被授权人身份证复印件</w:t>
            </w:r>
          </w:p>
          <w:p>
            <w:pPr>
              <w:pStyle w:val="29"/>
            </w:pPr>
            <w:r>
              <w:rPr>
                <w:rFonts w:hint="eastAsia"/>
              </w:rPr>
              <w:t>正、反面</w:t>
            </w:r>
          </w:p>
          <w:p>
            <w:pPr>
              <w:pStyle w:val="29"/>
            </w:pPr>
          </w:p>
        </w:tc>
      </w:tr>
    </w:tbl>
    <w:p>
      <w:pPr>
        <w:pStyle w:val="10"/>
        <w:rPr>
          <w:rFonts w:ascii="宋体" w:hAnsi="宋体" w:cs="宋体"/>
          <w:sz w:val="24"/>
          <w:szCs w:val="24"/>
        </w:rPr>
      </w:pPr>
    </w:p>
    <w:p>
      <w:pPr>
        <w:pStyle w:val="8"/>
        <w:ind w:firstLine="3600" w:firstLineChars="1500"/>
      </w:pPr>
      <w:r>
        <w:rPr>
          <w:rFonts w:hint="eastAsia"/>
        </w:rPr>
        <w:t>投标人名称：</w:t>
      </w:r>
      <w:r>
        <w:rPr>
          <w:rFonts w:hint="eastAsia"/>
          <w:u w:val="single"/>
        </w:rPr>
        <w:t xml:space="preserve">                   </w:t>
      </w:r>
      <w:r>
        <w:rPr>
          <w:rFonts w:hint="eastAsia"/>
        </w:rPr>
        <w:t>（盖单位公章）</w:t>
      </w:r>
    </w:p>
    <w:p>
      <w:pPr>
        <w:pStyle w:val="8"/>
        <w:ind w:firstLine="0" w:firstLineChars="0"/>
      </w:pPr>
    </w:p>
    <w:p>
      <w:pPr>
        <w:pStyle w:val="8"/>
        <w:ind w:firstLine="3614" w:firstLineChars="1500"/>
        <w:rPr>
          <w:b/>
          <w:bCs/>
        </w:rPr>
      </w:pPr>
      <w:r>
        <w:rPr>
          <w:rFonts w:hint="eastAsia"/>
          <w:b/>
          <w:bCs/>
        </w:rPr>
        <w:t>法定代表人：</w:t>
      </w:r>
      <w:r>
        <w:rPr>
          <w:rFonts w:hint="eastAsia"/>
          <w:b/>
          <w:bCs/>
          <w:u w:val="single"/>
        </w:rPr>
        <w:t xml:space="preserve">         </w:t>
      </w:r>
      <w:r>
        <w:rPr>
          <w:rFonts w:hint="eastAsia"/>
          <w:b/>
          <w:bCs/>
        </w:rPr>
        <w:t>（签字或盖章）</w:t>
      </w:r>
    </w:p>
    <w:p>
      <w:pPr>
        <w:pStyle w:val="8"/>
        <w:ind w:firstLine="0" w:firstLineChars="0"/>
      </w:pPr>
    </w:p>
    <w:p>
      <w:pPr>
        <w:wordWrap w:val="0"/>
        <w:spacing w:line="336" w:lineRule="auto"/>
        <w:ind w:firstLine="3600" w:firstLineChars="1500"/>
        <w:rPr>
          <w:rFonts w:hAnsi="宋体" w:cs="宋体"/>
          <w:szCs w:val="24"/>
        </w:rPr>
      </w:pPr>
      <w:r>
        <w:rPr>
          <w:rFonts w:hint="eastAsia"/>
        </w:rPr>
        <w:t>日    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pacing w:line="336" w:lineRule="auto"/>
        <w:rPr>
          <w:rFonts w:hAnsi="宋体" w:cs="宋体"/>
          <w:b/>
          <w:bCs/>
          <w:szCs w:val="24"/>
        </w:rPr>
      </w:pPr>
      <w:r>
        <w:rPr>
          <w:rFonts w:hint="eastAsia" w:hAnsi="宋体" w:cs="宋体"/>
          <w:b/>
          <w:bCs/>
          <w:szCs w:val="24"/>
        </w:rPr>
        <w:t>注：</w:t>
      </w:r>
    </w:p>
    <w:p>
      <w:pPr>
        <w:spacing w:line="336" w:lineRule="auto"/>
        <w:ind w:firstLine="480" w:firstLineChars="200"/>
        <w:rPr>
          <w:rFonts w:hAnsi="宋体" w:cs="宋体"/>
          <w:szCs w:val="24"/>
        </w:rPr>
      </w:pPr>
      <w:r>
        <w:rPr>
          <w:rFonts w:hint="eastAsia" w:hAnsi="宋体" w:cs="宋体"/>
          <w:szCs w:val="24"/>
        </w:rPr>
        <w:t>1.此授权书的有效期应与响应文件有效期一致；</w:t>
      </w:r>
    </w:p>
    <w:p>
      <w:pPr>
        <w:ind w:firstLine="480" w:firstLineChars="200"/>
        <w:rPr>
          <w:rFonts w:hint="eastAsia" w:hAnsi="宋体" w:cs="宋体"/>
          <w:szCs w:val="24"/>
          <w:lang w:val="zh-CN"/>
        </w:rPr>
      </w:pPr>
      <w:r>
        <w:rPr>
          <w:rFonts w:hint="eastAsia" w:hAnsi="宋体" w:cs="宋体"/>
          <w:szCs w:val="24"/>
        </w:rPr>
        <w:t>2.</w:t>
      </w:r>
      <w:r>
        <w:rPr>
          <w:rFonts w:hint="eastAsia" w:hAnsi="宋体" w:cs="宋体"/>
          <w:szCs w:val="24"/>
          <w:lang w:val="zh-CN"/>
        </w:rPr>
        <w:t>法定代表人直接</w:t>
      </w:r>
      <w:r>
        <w:rPr>
          <w:rFonts w:hint="eastAsia" w:hAnsi="宋体" w:cs="宋体"/>
          <w:szCs w:val="24"/>
        </w:rPr>
        <w:t>投标</w:t>
      </w:r>
      <w:r>
        <w:rPr>
          <w:rFonts w:hint="eastAsia" w:hAnsi="宋体" w:cs="宋体"/>
          <w:szCs w:val="24"/>
          <w:lang w:val="zh-CN"/>
        </w:rPr>
        <w:t>时无需提供。</w:t>
      </w:r>
    </w:p>
    <w:p>
      <w:pPr>
        <w:rPr>
          <w:rFonts w:hint="eastAsia" w:hAnsi="宋体" w:cs="宋体"/>
          <w:szCs w:val="24"/>
          <w:lang w:val="zh-CN"/>
        </w:rPr>
      </w:pPr>
      <w:r>
        <w:rPr>
          <w:rFonts w:hint="eastAsia" w:hAnsi="宋体" w:cs="宋体"/>
          <w:szCs w:val="24"/>
          <w:lang w:val="zh-CN"/>
        </w:rPr>
        <w:br w:type="page"/>
      </w:r>
    </w:p>
    <w:p>
      <w:pPr>
        <w:pStyle w:val="2"/>
        <w:rPr>
          <w:rStyle w:val="37"/>
          <w:b/>
          <w:bCs w:val="0"/>
        </w:rPr>
      </w:pPr>
      <w:r>
        <w:rPr>
          <w:rStyle w:val="37"/>
          <w:rFonts w:hint="eastAsia"/>
          <w:b/>
          <w:bCs w:val="0"/>
        </w:rPr>
        <w:t>附件</w:t>
      </w:r>
      <w:r>
        <w:rPr>
          <w:rStyle w:val="37"/>
          <w:rFonts w:hint="eastAsia"/>
          <w:b/>
          <w:bCs w:val="0"/>
          <w:lang w:val="en-US" w:eastAsia="zh-CN"/>
        </w:rPr>
        <w:t>4</w:t>
      </w:r>
      <w:r>
        <w:rPr>
          <w:rStyle w:val="37"/>
          <w:rFonts w:hint="eastAsia"/>
          <w:b/>
          <w:bCs w:val="0"/>
        </w:rPr>
        <w:t xml:space="preserve">  </w:t>
      </w:r>
      <w:r>
        <w:rPr>
          <w:rStyle w:val="37"/>
          <w:rFonts w:hint="eastAsia"/>
          <w:b/>
          <w:bCs w:val="0"/>
          <w:lang w:val="en-US" w:eastAsia="zh-CN"/>
        </w:rPr>
        <w:t>投标人未被</w:t>
      </w:r>
      <w:r>
        <w:rPr>
          <w:rStyle w:val="37"/>
          <w:rFonts w:hint="eastAsia"/>
          <w:b/>
          <w:bCs w:val="0"/>
        </w:rPr>
        <w:t>“信用中国”网站（www.creditchina.gov.cn）列入失信被执行人和重大税收违法案件当事人名单，</w:t>
      </w:r>
      <w:r>
        <w:rPr>
          <w:rStyle w:val="37"/>
          <w:rFonts w:hint="eastAsia"/>
          <w:b/>
          <w:bCs w:val="0"/>
          <w:lang w:val="en-US" w:eastAsia="zh-CN"/>
        </w:rPr>
        <w:t>在</w:t>
      </w:r>
      <w:r>
        <w:rPr>
          <w:rStyle w:val="37"/>
          <w:rFonts w:hint="eastAsia"/>
          <w:b/>
          <w:bCs w:val="0"/>
        </w:rPr>
        <w:t>中国政府采购网（www.ccgp.gov.cn）政府采购严重违法失信行为记录名单中</w:t>
      </w:r>
      <w:r>
        <w:rPr>
          <w:rStyle w:val="37"/>
          <w:rFonts w:hint="eastAsia"/>
          <w:b/>
          <w:bCs w:val="0"/>
          <w:lang w:val="en-US" w:eastAsia="zh-CN"/>
        </w:rPr>
        <w:t>未</w:t>
      </w:r>
      <w:r>
        <w:rPr>
          <w:rStyle w:val="37"/>
          <w:rFonts w:hint="eastAsia"/>
          <w:b/>
          <w:bCs w:val="0"/>
        </w:rPr>
        <w:t>被财政部门禁止参加政府采购活动的</w:t>
      </w:r>
      <w:r>
        <w:rPr>
          <w:rStyle w:val="37"/>
          <w:rFonts w:hint="eastAsia"/>
          <w:b/>
          <w:bCs w:val="0"/>
          <w:lang w:val="en-US" w:eastAsia="zh-CN"/>
        </w:rPr>
        <w:t>承诺</w:t>
      </w:r>
      <w:r>
        <w:rPr>
          <w:rStyle w:val="37"/>
          <w:rFonts w:hint="eastAsia"/>
          <w:b/>
          <w:bCs w:val="0"/>
        </w:rPr>
        <w:t>（格式）</w:t>
      </w:r>
    </w:p>
    <w:p>
      <w:pPr>
        <w:pStyle w:val="5"/>
        <w:spacing w:before="666" w:after="666"/>
      </w:pPr>
      <w:r>
        <w:rPr>
          <w:rFonts w:hint="eastAsia"/>
          <w:lang w:val="en-US" w:eastAsia="zh-CN"/>
        </w:rPr>
        <w:t>承诺函</w:t>
      </w:r>
      <w:r>
        <w:rPr>
          <w:rFonts w:hint="eastAsia"/>
        </w:rPr>
        <w:t>（格式）</w:t>
      </w:r>
    </w:p>
    <w:p>
      <w:pPr>
        <w:pStyle w:val="8"/>
        <w:ind w:firstLine="0" w:firstLineChars="0"/>
      </w:pPr>
      <w:r>
        <w:rPr>
          <w:rFonts w:hint="eastAsia"/>
        </w:rPr>
        <w:t>致：</w:t>
      </w:r>
      <w:r>
        <w:rPr>
          <w:rFonts w:hint="eastAsia"/>
          <w:u w:val="single"/>
        </w:rPr>
        <w:t xml:space="preserve">     （</w:t>
      </w:r>
      <w:r>
        <w:rPr>
          <w:rFonts w:hint="eastAsia"/>
          <w:u w:val="single"/>
          <w:lang w:eastAsia="zh-CN"/>
        </w:rPr>
        <w:t>招标人</w:t>
      </w:r>
      <w:r>
        <w:rPr>
          <w:rFonts w:hint="eastAsia"/>
          <w:u w:val="single"/>
        </w:rPr>
        <w:t xml:space="preserve">名称）  </w:t>
      </w:r>
      <w:r>
        <w:rPr>
          <w:rFonts w:hint="eastAsia"/>
        </w:rPr>
        <w:t xml:space="preserve"> </w:t>
      </w:r>
    </w:p>
    <w:p>
      <w:pPr>
        <w:pStyle w:val="8"/>
        <w:ind w:firstLine="480"/>
      </w:pPr>
      <w:r>
        <w:rPr>
          <w:rFonts w:hint="eastAsia"/>
        </w:rPr>
        <w:t>我单位声明参加本次政府采购活动前未被“信用中国”网站（www.creditchina.gov.cn）列入失信被执行人和重大税收违法案件当事人名单，在中国政府采购网（www.ccgp.gov.cn）政府采购严重违法失信行为记录名单中未被财政部门禁止参加政府采购活动。</w:t>
      </w:r>
    </w:p>
    <w:p>
      <w:pPr>
        <w:pStyle w:val="8"/>
        <w:ind w:firstLine="480"/>
      </w:pPr>
      <w:r>
        <w:rPr>
          <w:rFonts w:hint="eastAsia"/>
        </w:rPr>
        <w:t>以上如构成虚假，自愿承担相关法律责任。</w:t>
      </w:r>
    </w:p>
    <w:p>
      <w:pPr>
        <w:pStyle w:val="8"/>
        <w:ind w:firstLine="480"/>
      </w:pPr>
    </w:p>
    <w:p>
      <w:pPr>
        <w:pStyle w:val="8"/>
        <w:ind w:firstLine="480"/>
      </w:pPr>
      <w:r>
        <w:rPr>
          <w:rFonts w:hint="eastAsia"/>
        </w:rPr>
        <w:t>特此</w:t>
      </w:r>
      <w:r>
        <w:rPr>
          <w:rFonts w:hint="eastAsia"/>
          <w:lang w:val="en-US" w:eastAsia="zh-CN"/>
        </w:rPr>
        <w:t>承诺</w:t>
      </w:r>
      <w:r>
        <w:rPr>
          <w:rFonts w:hint="eastAsia"/>
        </w:rPr>
        <w:t>！</w:t>
      </w:r>
    </w:p>
    <w:p>
      <w:pPr>
        <w:spacing w:line="360" w:lineRule="auto"/>
        <w:ind w:firstLine="480" w:firstLineChars="200"/>
        <w:jc w:val="left"/>
        <w:rPr>
          <w:rFonts w:hAnsi="宋体" w:cs="宋体"/>
        </w:rPr>
      </w:pPr>
    </w:p>
    <w:p>
      <w:pPr>
        <w:spacing w:line="360" w:lineRule="auto"/>
        <w:ind w:firstLine="480" w:firstLineChars="200"/>
        <w:jc w:val="left"/>
        <w:rPr>
          <w:rFonts w:hAnsi="宋体" w:cs="宋体"/>
        </w:rPr>
      </w:pPr>
    </w:p>
    <w:p>
      <w:pPr>
        <w:pStyle w:val="8"/>
        <w:ind w:firstLine="3600" w:firstLineChars="1500"/>
      </w:pPr>
      <w:r>
        <w:rPr>
          <w:rFonts w:hint="eastAsia"/>
        </w:rPr>
        <w:t>投标人名称：</w:t>
      </w:r>
      <w:r>
        <w:rPr>
          <w:rFonts w:hint="eastAsia"/>
          <w:u w:val="single"/>
        </w:rPr>
        <w:t xml:space="preserve">                   </w:t>
      </w:r>
      <w:r>
        <w:rPr>
          <w:rFonts w:hint="eastAsia"/>
        </w:rPr>
        <w:t>（盖单位公章）</w:t>
      </w:r>
    </w:p>
    <w:p>
      <w:pPr>
        <w:pStyle w:val="8"/>
        <w:ind w:firstLine="0" w:firstLineChars="0"/>
      </w:pPr>
    </w:p>
    <w:p>
      <w:pPr>
        <w:pStyle w:val="8"/>
        <w:ind w:firstLine="3600" w:firstLineChars="1500"/>
      </w:pPr>
      <w:r>
        <w:rPr>
          <w:rFonts w:hint="eastAsia"/>
        </w:rPr>
        <w:t>法定代表人或被授权人：</w:t>
      </w:r>
      <w:r>
        <w:rPr>
          <w:rFonts w:hint="eastAsia"/>
          <w:u w:val="single"/>
        </w:rPr>
        <w:t xml:space="preserve">         </w:t>
      </w:r>
      <w:r>
        <w:rPr>
          <w:rFonts w:hint="eastAsia"/>
        </w:rPr>
        <w:t>（签字或盖章）</w:t>
      </w:r>
    </w:p>
    <w:p>
      <w:pPr>
        <w:pStyle w:val="8"/>
        <w:ind w:firstLine="0" w:firstLineChars="0"/>
      </w:pPr>
    </w:p>
    <w:p>
      <w:pPr>
        <w:spacing w:line="360" w:lineRule="auto"/>
        <w:ind w:firstLine="3600" w:firstLineChars="1500"/>
      </w:pPr>
      <w:r>
        <w:rPr>
          <w:rFonts w:hint="eastAsia"/>
        </w:rPr>
        <w:t>日    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pStyle w:val="2"/>
        <w:rPr>
          <w:lang w:val="zh-CN"/>
        </w:rPr>
      </w:pPr>
    </w:p>
    <w:p>
      <w:pPr>
        <w:pStyle w:val="10"/>
      </w:pPr>
    </w:p>
    <w:p>
      <w:pPr>
        <w:rPr>
          <w:rStyle w:val="30"/>
        </w:rPr>
      </w:pPr>
      <w:r>
        <w:rPr>
          <w:rFonts w:hint="eastAsia"/>
        </w:rPr>
        <w:br w:type="page"/>
      </w:r>
      <w:bookmarkStart w:id="296" w:name="_Toc19075"/>
      <w:bookmarkStart w:id="297" w:name="_Toc426457701"/>
      <w:bookmarkStart w:id="298" w:name="_Toc403077649"/>
      <w:bookmarkStart w:id="299" w:name="_Toc363474028"/>
      <w:bookmarkStart w:id="300" w:name="_Toc2470"/>
      <w:bookmarkStart w:id="301" w:name="_Toc16210"/>
      <w:bookmarkStart w:id="302" w:name="_Toc30210"/>
      <w:bookmarkStart w:id="303" w:name="_Toc4867"/>
      <w:bookmarkStart w:id="304" w:name="_Toc25348"/>
      <w:bookmarkStart w:id="305" w:name="_Toc16097"/>
    </w:p>
    <w:bookmarkEnd w:id="296"/>
    <w:bookmarkEnd w:id="297"/>
    <w:bookmarkEnd w:id="298"/>
    <w:bookmarkEnd w:id="299"/>
    <w:bookmarkEnd w:id="300"/>
    <w:bookmarkEnd w:id="301"/>
    <w:bookmarkEnd w:id="302"/>
    <w:bookmarkEnd w:id="303"/>
    <w:bookmarkEnd w:id="304"/>
    <w:bookmarkEnd w:id="305"/>
    <w:p>
      <w:pPr>
        <w:pStyle w:val="4"/>
        <w:rPr>
          <w:rStyle w:val="30"/>
          <w:b/>
          <w:bCs/>
          <w:lang w:val="zh-CN"/>
        </w:rPr>
      </w:pPr>
      <w:r>
        <w:rPr>
          <w:rStyle w:val="30"/>
          <w:rFonts w:hint="eastAsia"/>
          <w:b/>
          <w:bCs/>
          <w:lang w:val="en-US" w:eastAsia="zh-CN"/>
        </w:rPr>
        <w:t>六</w:t>
      </w:r>
      <w:r>
        <w:rPr>
          <w:rStyle w:val="30"/>
          <w:rFonts w:hint="eastAsia"/>
          <w:b/>
          <w:bCs/>
        </w:rPr>
        <w:t>、</w:t>
      </w:r>
      <w:r>
        <w:rPr>
          <w:rStyle w:val="30"/>
          <w:rFonts w:hint="eastAsia"/>
          <w:b/>
          <w:bCs/>
          <w:lang w:val="zh-CN"/>
        </w:rPr>
        <w:t>投标人承诺书</w:t>
      </w:r>
    </w:p>
    <w:p>
      <w:pPr>
        <w:pStyle w:val="5"/>
        <w:bidi w:val="0"/>
      </w:pPr>
      <w:r>
        <w:rPr>
          <w:rFonts w:hint="eastAsia"/>
          <w:lang w:val="en-US" w:eastAsia="zh-CN"/>
        </w:rPr>
        <w:t>6</w:t>
      </w:r>
      <w:r>
        <w:rPr>
          <w:rFonts w:hint="eastAsia"/>
        </w:rPr>
        <w:t>.1陕西省政府采购投标人拒绝政府采购领域商业贿赂承诺书</w:t>
      </w:r>
    </w:p>
    <w:p>
      <w:pPr>
        <w:pStyle w:val="8"/>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为响应党中央、国务院关于治理政府采购领域商业贿赂行为的号召，我公司在此庄严承诺：</w:t>
      </w:r>
    </w:p>
    <w:p>
      <w:pPr>
        <w:pStyle w:val="8"/>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1、自觉遵守各项法律、法规、规章、制度以及社会公德，诚信经营，维护廉洁环境，与同场竞争的供应商平等参加政府采购活动。</w:t>
      </w:r>
    </w:p>
    <w:p>
      <w:pPr>
        <w:pStyle w:val="8"/>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2、不向政府采购人、</w:t>
      </w:r>
      <w:r>
        <w:rPr>
          <w:rFonts w:hint="eastAsia" w:cs="宋体"/>
          <w:color w:val="auto"/>
          <w:szCs w:val="24"/>
          <w:highlight w:val="none"/>
          <w:lang w:eastAsia="zh-CN"/>
        </w:rPr>
        <w:t>招标代理机构</w:t>
      </w:r>
      <w:r>
        <w:rPr>
          <w:rFonts w:hint="eastAsia" w:ascii="宋体" w:hAnsi="宋体" w:eastAsia="宋体" w:cs="宋体"/>
          <w:color w:val="auto"/>
          <w:szCs w:val="24"/>
          <w:highlight w:val="none"/>
        </w:rPr>
        <w:t>和政府采购</w:t>
      </w:r>
      <w:r>
        <w:rPr>
          <w:rFonts w:hint="eastAsia" w:ascii="宋体" w:hAnsi="宋体" w:eastAsia="宋体" w:cs="宋体"/>
          <w:color w:val="auto"/>
          <w:szCs w:val="24"/>
          <w:highlight w:val="none"/>
          <w:lang w:eastAsia="zh-CN"/>
        </w:rPr>
        <w:t>谈判</w:t>
      </w:r>
      <w:r>
        <w:rPr>
          <w:rFonts w:hint="eastAsia" w:ascii="宋体" w:hAnsi="宋体" w:eastAsia="宋体" w:cs="宋体"/>
          <w:color w:val="auto"/>
          <w:szCs w:val="24"/>
          <w:highlight w:val="none"/>
        </w:rPr>
        <w:t>小组进行任何形式的商业贿赂以谋取交易机会。</w:t>
      </w:r>
    </w:p>
    <w:p>
      <w:pPr>
        <w:pStyle w:val="8"/>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3、不向政府</w:t>
      </w:r>
      <w:r>
        <w:rPr>
          <w:rFonts w:hint="eastAsia" w:cs="宋体"/>
          <w:color w:val="auto"/>
          <w:szCs w:val="24"/>
          <w:highlight w:val="none"/>
          <w:lang w:eastAsia="zh-CN"/>
        </w:rPr>
        <w:t>招标代理机构</w:t>
      </w:r>
      <w:r>
        <w:rPr>
          <w:rFonts w:hint="eastAsia" w:ascii="宋体" w:hAnsi="宋体" w:eastAsia="宋体" w:cs="宋体"/>
          <w:color w:val="auto"/>
          <w:szCs w:val="24"/>
          <w:highlight w:val="none"/>
        </w:rPr>
        <w:t>和采购人提供虚假资质文件或采用虚假应标方式参与政府采购市场竞争并谋取成交。</w:t>
      </w:r>
    </w:p>
    <w:p>
      <w:pPr>
        <w:pStyle w:val="8"/>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4、不采取“围标、陪标”等商业欺诈手段获得政府采购订单。</w:t>
      </w:r>
    </w:p>
    <w:p>
      <w:pPr>
        <w:pStyle w:val="8"/>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5、不采取不正当手段诋毁、排挤其他供应商。</w:t>
      </w:r>
    </w:p>
    <w:p>
      <w:pPr>
        <w:pStyle w:val="8"/>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6、不在提供商品和服务时“偷梁换柱、以次充好”损害采购人的合法权益。</w:t>
      </w:r>
    </w:p>
    <w:p>
      <w:pPr>
        <w:pStyle w:val="8"/>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7、不与采购人、</w:t>
      </w:r>
      <w:r>
        <w:rPr>
          <w:rFonts w:hint="eastAsia" w:cs="宋体"/>
          <w:color w:val="auto"/>
          <w:szCs w:val="24"/>
          <w:highlight w:val="none"/>
          <w:lang w:eastAsia="zh-CN"/>
        </w:rPr>
        <w:t>招标代理机构</w:t>
      </w:r>
      <w:r>
        <w:rPr>
          <w:rFonts w:hint="eastAsia" w:ascii="宋体" w:hAnsi="宋体" w:eastAsia="宋体" w:cs="宋体"/>
          <w:color w:val="auto"/>
          <w:szCs w:val="24"/>
          <w:highlight w:val="none"/>
        </w:rPr>
        <w:t>政府采购</w:t>
      </w:r>
      <w:r>
        <w:rPr>
          <w:rFonts w:hint="eastAsia" w:ascii="宋体" w:hAnsi="宋体" w:eastAsia="宋体" w:cs="宋体"/>
          <w:color w:val="auto"/>
          <w:szCs w:val="24"/>
          <w:highlight w:val="none"/>
          <w:lang w:eastAsia="zh-CN"/>
        </w:rPr>
        <w:t>谈判</w:t>
      </w:r>
      <w:r>
        <w:rPr>
          <w:rFonts w:hint="eastAsia" w:ascii="宋体" w:hAnsi="宋体" w:eastAsia="宋体" w:cs="宋体"/>
          <w:color w:val="auto"/>
          <w:szCs w:val="24"/>
          <w:highlight w:val="none"/>
        </w:rPr>
        <w:t>小组或其它供应商恶意串通，进行质疑和投诉，维护政府采购市场秩序。</w:t>
      </w:r>
    </w:p>
    <w:p>
      <w:pPr>
        <w:pStyle w:val="8"/>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8、尊重和接受政府采购监督管理部门的监督和政府</w:t>
      </w:r>
      <w:r>
        <w:rPr>
          <w:rFonts w:hint="eastAsia" w:cs="宋体"/>
          <w:color w:val="auto"/>
          <w:szCs w:val="24"/>
          <w:highlight w:val="none"/>
          <w:lang w:eastAsia="zh-CN"/>
        </w:rPr>
        <w:t>招标代理机构</w:t>
      </w:r>
      <w:r>
        <w:rPr>
          <w:rFonts w:hint="eastAsia" w:ascii="宋体" w:hAnsi="宋体" w:eastAsia="宋体" w:cs="宋体"/>
          <w:color w:val="auto"/>
          <w:szCs w:val="24"/>
          <w:highlight w:val="none"/>
        </w:rPr>
        <w:t>的采购要求，承担因违约行为给采购人造成的损失。</w:t>
      </w:r>
    </w:p>
    <w:p>
      <w:pPr>
        <w:pStyle w:val="8"/>
        <w:ind w:firstLine="480"/>
      </w:pPr>
      <w:r>
        <w:rPr>
          <w:rFonts w:hint="eastAsia" w:ascii="宋体" w:hAnsi="宋体" w:eastAsia="宋体" w:cs="宋体"/>
          <w:color w:val="auto"/>
          <w:szCs w:val="24"/>
          <w:highlight w:val="none"/>
        </w:rPr>
        <w:t>9、不发生其它有悖于政府采购公开、公平、公正和诚信原则的行为</w:t>
      </w:r>
    </w:p>
    <w:p>
      <w:pPr>
        <w:pStyle w:val="8"/>
        <w:ind w:firstLine="0" w:firstLineChars="0"/>
      </w:pPr>
    </w:p>
    <w:p>
      <w:pPr>
        <w:pStyle w:val="8"/>
        <w:ind w:firstLine="0" w:firstLineChars="0"/>
      </w:pPr>
      <w:r>
        <w:rPr>
          <w:rFonts w:hint="eastAsia"/>
        </w:rPr>
        <w:t>承诺单位：</w:t>
      </w:r>
      <w:r>
        <w:rPr>
          <w:rFonts w:hint="eastAsia"/>
          <w:u w:val="single"/>
        </w:rPr>
        <w:t xml:space="preserve">                       </w:t>
      </w:r>
      <w:r>
        <w:rPr>
          <w:rFonts w:hint="eastAsia"/>
        </w:rPr>
        <w:t>（盖章）</w:t>
      </w:r>
      <w:r>
        <w:rPr>
          <w:rFonts w:hint="eastAsia"/>
        </w:rPr>
        <w:br w:type="textWrapping"/>
      </w:r>
      <w:r>
        <w:rPr>
          <w:rFonts w:hint="eastAsia"/>
        </w:rPr>
        <w:t>被授权人：</w:t>
      </w:r>
      <w:r>
        <w:rPr>
          <w:rFonts w:hint="eastAsia"/>
          <w:u w:val="single"/>
        </w:rPr>
        <w:t xml:space="preserve">                       </w:t>
      </w:r>
      <w:r>
        <w:rPr>
          <w:rFonts w:hint="eastAsia"/>
        </w:rPr>
        <w:t>（签字）</w:t>
      </w:r>
      <w:r>
        <w:rPr>
          <w:rFonts w:hint="eastAsia"/>
        </w:rPr>
        <w:br w:type="textWrapping"/>
      </w:r>
      <w:r>
        <w:rPr>
          <w:rFonts w:hint="eastAsia"/>
        </w:rPr>
        <w:t>地  址：</w:t>
      </w:r>
      <w:r>
        <w:rPr>
          <w:rFonts w:hint="eastAsia"/>
          <w:u w:val="single"/>
        </w:rPr>
        <w:t xml:space="preserve">                       </w:t>
      </w:r>
      <w:r>
        <w:rPr>
          <w:rFonts w:hint="eastAsia"/>
        </w:rPr>
        <w:t>               </w:t>
      </w:r>
    </w:p>
    <w:p>
      <w:pPr>
        <w:widowControl/>
        <w:spacing w:line="408" w:lineRule="auto"/>
        <w:jc w:val="left"/>
      </w:pPr>
      <w:r>
        <w:rPr>
          <w:rFonts w:hint="eastAsia" w:hAnsi="宋体" w:cs="宋体"/>
        </w:rPr>
        <w:t>邮  编：</w:t>
      </w:r>
      <w:r>
        <w:rPr>
          <w:rFonts w:hint="eastAsia"/>
          <w:u w:val="single"/>
        </w:rPr>
        <w:t xml:space="preserve">                       </w:t>
      </w:r>
      <w:r>
        <w:rPr>
          <w:rFonts w:hint="eastAsia" w:hAnsi="宋体" w:cs="宋体"/>
          <w:u w:val="single"/>
        </w:rPr>
        <w:br w:type="textWrapping"/>
      </w:r>
      <w:r>
        <w:rPr>
          <w:rFonts w:hint="eastAsia" w:hAnsi="宋体" w:cs="宋体"/>
        </w:rPr>
        <w:t>电  话：</w:t>
      </w:r>
      <w:r>
        <w:rPr>
          <w:rFonts w:hint="eastAsia"/>
          <w:u w:val="single"/>
        </w:rPr>
        <w:t xml:space="preserve">                       </w:t>
      </w:r>
      <w:r>
        <w:rPr>
          <w:rFonts w:hint="eastAsia" w:hAnsi="宋体" w:cs="宋体"/>
        </w:rPr>
        <w:t xml:space="preserve">                     </w:t>
      </w:r>
      <w:r>
        <w:rPr>
          <w:rFonts w:hint="eastAsia"/>
        </w:rPr>
        <w:t>日    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pStyle w:val="10"/>
      </w:pPr>
    </w:p>
    <w:p>
      <w:pPr>
        <w:pStyle w:val="5"/>
        <w:bidi w:val="0"/>
        <w:rPr>
          <w:lang w:val="zh-CN"/>
        </w:rPr>
      </w:pPr>
      <w:bookmarkStart w:id="306" w:name="_Toc23245"/>
      <w:bookmarkStart w:id="307" w:name="_Toc155"/>
      <w:bookmarkStart w:id="308" w:name="_Toc7550"/>
      <w:bookmarkStart w:id="309" w:name="_Toc403077657"/>
      <w:bookmarkStart w:id="310" w:name="_Toc8066"/>
      <w:bookmarkStart w:id="311" w:name="_Toc363474034"/>
      <w:bookmarkStart w:id="312" w:name="_Toc28113"/>
      <w:bookmarkStart w:id="313" w:name="_Toc426457715"/>
      <w:bookmarkStart w:id="314" w:name="_Toc20139"/>
      <w:r>
        <w:rPr>
          <w:rFonts w:hint="eastAsia"/>
          <w:sz w:val="32"/>
          <w:szCs w:val="32"/>
        </w:rPr>
        <w:br w:type="page"/>
      </w:r>
      <w:bookmarkEnd w:id="306"/>
      <w:bookmarkEnd w:id="307"/>
      <w:bookmarkEnd w:id="308"/>
      <w:bookmarkEnd w:id="309"/>
      <w:bookmarkEnd w:id="310"/>
      <w:bookmarkEnd w:id="311"/>
      <w:bookmarkEnd w:id="312"/>
      <w:bookmarkEnd w:id="313"/>
      <w:bookmarkEnd w:id="314"/>
      <w:r>
        <w:rPr>
          <w:rFonts w:hint="eastAsia"/>
          <w:sz w:val="30"/>
          <w:szCs w:val="30"/>
          <w:lang w:val="en-US" w:eastAsia="zh-CN"/>
        </w:rPr>
        <w:t>6</w:t>
      </w:r>
      <w:r>
        <w:rPr>
          <w:rFonts w:hint="eastAsia"/>
          <w:sz w:val="30"/>
          <w:szCs w:val="30"/>
        </w:rPr>
        <w:t>.2</w:t>
      </w:r>
      <w:r>
        <w:rPr>
          <w:rFonts w:hint="eastAsia"/>
          <w:sz w:val="30"/>
          <w:szCs w:val="30"/>
          <w:lang w:val="zh-CN"/>
        </w:rPr>
        <w:t xml:space="preserve"> 投标人企业关系关联承诺书</w:t>
      </w:r>
    </w:p>
    <w:p>
      <w:pPr>
        <w:pStyle w:val="8"/>
        <w:ind w:firstLine="480"/>
      </w:pPr>
      <w:r>
        <w:rPr>
          <w:rFonts w:hint="eastAsia"/>
        </w:rPr>
        <w:t>1、投标人在本项目投标中，不存在与其它投标人负责人为同一人，有控股、管理等关联关系承诺：</w:t>
      </w:r>
    </w:p>
    <w:p>
      <w:pPr>
        <w:pStyle w:val="8"/>
        <w:ind w:firstLine="480"/>
      </w:pPr>
      <w:r>
        <w:rPr>
          <w:rFonts w:hint="eastAsia"/>
        </w:rPr>
        <w:t>1.1管理关系说明：</w:t>
      </w:r>
    </w:p>
    <w:p>
      <w:pPr>
        <w:pStyle w:val="8"/>
        <w:ind w:firstLine="480"/>
      </w:pPr>
      <w:r>
        <w:rPr>
          <w:rFonts w:hint="eastAsia"/>
        </w:rPr>
        <w:t>我单位管理的具有独立法人的下属单位有：</w:t>
      </w:r>
      <w:r>
        <w:rPr>
          <w:rFonts w:hint="eastAsia"/>
          <w:u w:val="single"/>
        </w:rPr>
        <w:t xml:space="preserve">                 </w:t>
      </w:r>
      <w:r>
        <w:rPr>
          <w:rFonts w:hint="eastAsia"/>
        </w:rPr>
        <w:t>。</w:t>
      </w:r>
    </w:p>
    <w:p>
      <w:pPr>
        <w:pStyle w:val="8"/>
        <w:ind w:firstLine="480"/>
      </w:pPr>
      <w:r>
        <w:rPr>
          <w:rFonts w:hint="eastAsia"/>
        </w:rPr>
        <w:t>我单位的上级管理单位有</w:t>
      </w:r>
      <w:r>
        <w:rPr>
          <w:rFonts w:hint="eastAsia"/>
          <w:u w:val="single"/>
        </w:rPr>
        <w:t xml:space="preserve">                 </w:t>
      </w:r>
      <w:r>
        <w:rPr>
          <w:rFonts w:hint="eastAsia"/>
        </w:rPr>
        <w:t>。</w:t>
      </w:r>
    </w:p>
    <w:p>
      <w:pPr>
        <w:pStyle w:val="8"/>
        <w:ind w:firstLine="480"/>
      </w:pPr>
      <w:r>
        <w:rPr>
          <w:rFonts w:hint="eastAsia"/>
        </w:rPr>
        <w:t>1.2股权关系说明：</w:t>
      </w:r>
    </w:p>
    <w:p>
      <w:pPr>
        <w:pStyle w:val="8"/>
        <w:ind w:firstLine="480"/>
      </w:pPr>
      <w:r>
        <w:rPr>
          <w:rFonts w:hint="eastAsia"/>
        </w:rPr>
        <w:t>我单位控股的单位有</w:t>
      </w:r>
      <w:r>
        <w:rPr>
          <w:rFonts w:hint="eastAsia"/>
          <w:u w:val="single"/>
        </w:rPr>
        <w:t xml:space="preserve">                 </w:t>
      </w:r>
      <w:r>
        <w:rPr>
          <w:rFonts w:hint="eastAsia"/>
        </w:rPr>
        <w:t>。</w:t>
      </w:r>
    </w:p>
    <w:p>
      <w:pPr>
        <w:pStyle w:val="8"/>
        <w:ind w:firstLine="480"/>
      </w:pPr>
      <w:r>
        <w:rPr>
          <w:rFonts w:hint="eastAsia"/>
        </w:rPr>
        <w:t>我单位被</w:t>
      </w:r>
      <w:r>
        <w:rPr>
          <w:rFonts w:hint="eastAsia"/>
          <w:u w:val="single"/>
        </w:rPr>
        <w:t xml:space="preserve">                 </w:t>
      </w:r>
      <w:r>
        <w:rPr>
          <w:rFonts w:hint="eastAsia"/>
        </w:rPr>
        <w:t>单位控股。</w:t>
      </w:r>
    </w:p>
    <w:p>
      <w:pPr>
        <w:pStyle w:val="8"/>
        <w:ind w:firstLine="480"/>
        <w:rPr>
          <w:u w:val="single"/>
        </w:rPr>
      </w:pPr>
      <w:r>
        <w:rPr>
          <w:rFonts w:hint="eastAsia"/>
        </w:rPr>
        <w:t>1.3、单位负责人：</w:t>
      </w:r>
      <w:r>
        <w:rPr>
          <w:rFonts w:hint="eastAsia"/>
          <w:u w:val="single"/>
        </w:rPr>
        <w:t xml:space="preserve">                 </w:t>
      </w:r>
    </w:p>
    <w:p>
      <w:pPr>
        <w:pStyle w:val="8"/>
        <w:ind w:firstLine="480"/>
      </w:pPr>
      <w:r>
        <w:rPr>
          <w:rFonts w:hint="eastAsia"/>
        </w:rPr>
        <w:t>2、</w:t>
      </w:r>
      <w:r>
        <w:rPr>
          <w:rFonts w:hint="eastAsia"/>
          <w:u w:val="single"/>
        </w:rPr>
        <w:t xml:space="preserve">                 </w:t>
      </w:r>
      <w:r>
        <w:rPr>
          <w:rFonts w:hint="eastAsia"/>
        </w:rPr>
        <w:t>（是或否）为采购项目提供整体设计、规范编制或者项目管理、监理、检测等服务的投标人。</w:t>
      </w:r>
    </w:p>
    <w:p>
      <w:pPr>
        <w:pStyle w:val="8"/>
        <w:ind w:firstLine="480"/>
        <w:rPr>
          <w:u w:val="single"/>
        </w:rPr>
      </w:pPr>
      <w:r>
        <w:rPr>
          <w:rFonts w:hint="eastAsia"/>
        </w:rPr>
        <w:t>3、其他与本项目有关的利害关系说明：</w:t>
      </w:r>
      <w:r>
        <w:rPr>
          <w:rFonts w:hint="eastAsia"/>
          <w:u w:val="single"/>
        </w:rPr>
        <w:t xml:space="preserve">                 </w:t>
      </w:r>
    </w:p>
    <w:p>
      <w:pPr>
        <w:pStyle w:val="8"/>
        <w:ind w:firstLine="480"/>
        <w:rPr>
          <w:u w:val="single"/>
        </w:rPr>
      </w:pPr>
    </w:p>
    <w:p>
      <w:pPr>
        <w:pStyle w:val="8"/>
        <w:ind w:firstLine="480"/>
      </w:pPr>
      <w:r>
        <w:rPr>
          <w:rFonts w:hint="eastAsia"/>
        </w:rPr>
        <w:t>我单位承诺以上说明真实有效，无虚假内容或隐瞒。</w:t>
      </w:r>
    </w:p>
    <w:p>
      <w:pPr>
        <w:spacing w:line="500" w:lineRule="exact"/>
        <w:ind w:firstLine="240" w:firstLineChars="100"/>
        <w:rPr>
          <w:rFonts w:hAnsi="宋体" w:cs="宋体"/>
          <w:szCs w:val="24"/>
        </w:rPr>
      </w:pPr>
    </w:p>
    <w:p>
      <w:pPr>
        <w:pStyle w:val="10"/>
      </w:pPr>
    </w:p>
    <w:p>
      <w:pPr>
        <w:pStyle w:val="8"/>
        <w:ind w:firstLine="3600" w:firstLineChars="1500"/>
      </w:pPr>
      <w:r>
        <w:rPr>
          <w:rFonts w:hint="eastAsia"/>
        </w:rPr>
        <w:t>投标人名称：</w:t>
      </w:r>
      <w:r>
        <w:rPr>
          <w:rFonts w:hint="eastAsia"/>
          <w:u w:val="single"/>
        </w:rPr>
        <w:t xml:space="preserve">                   </w:t>
      </w:r>
      <w:r>
        <w:rPr>
          <w:rFonts w:hint="eastAsia"/>
        </w:rPr>
        <w:t>（盖单位公章）</w:t>
      </w:r>
    </w:p>
    <w:p>
      <w:pPr>
        <w:pStyle w:val="8"/>
        <w:ind w:firstLine="0" w:firstLineChars="0"/>
      </w:pPr>
    </w:p>
    <w:p>
      <w:pPr>
        <w:pStyle w:val="8"/>
        <w:ind w:firstLine="3600" w:firstLineChars="1500"/>
      </w:pPr>
      <w:r>
        <w:rPr>
          <w:rFonts w:hint="eastAsia"/>
        </w:rPr>
        <w:t>法定代表人或被授权人：</w:t>
      </w:r>
      <w:r>
        <w:rPr>
          <w:rFonts w:hint="eastAsia"/>
          <w:u w:val="single"/>
        </w:rPr>
        <w:t xml:space="preserve">         </w:t>
      </w:r>
      <w:r>
        <w:rPr>
          <w:rFonts w:hint="eastAsia"/>
        </w:rPr>
        <w:t>（签字或盖章）</w:t>
      </w:r>
    </w:p>
    <w:p>
      <w:pPr>
        <w:pStyle w:val="8"/>
        <w:ind w:firstLine="0" w:firstLineChars="0"/>
      </w:pPr>
    </w:p>
    <w:p>
      <w:pPr>
        <w:spacing w:line="500" w:lineRule="exact"/>
        <w:ind w:firstLine="3600" w:firstLineChars="1500"/>
      </w:pPr>
      <w:r>
        <w:rPr>
          <w:rFonts w:hint="eastAsia"/>
        </w:rPr>
        <w:t>日    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pStyle w:val="10"/>
      </w:pPr>
    </w:p>
    <w:p>
      <w:pPr>
        <w:rPr>
          <w:rFonts w:hint="eastAsia"/>
        </w:rPr>
      </w:pPr>
      <w:r>
        <w:rPr>
          <w:rFonts w:hint="eastAsia"/>
        </w:rPr>
        <w:br w:type="page"/>
      </w:r>
    </w:p>
    <w:p>
      <w:pPr>
        <w:pStyle w:val="2"/>
      </w:pPr>
      <w:r>
        <w:rPr>
          <w:rFonts w:hint="eastAsia"/>
        </w:rPr>
        <w:t>附件</w:t>
      </w:r>
      <w:r>
        <w:rPr>
          <w:rFonts w:hint="eastAsia"/>
          <w:lang w:val="en-US" w:eastAsia="zh-CN"/>
        </w:rPr>
        <w:t>1</w:t>
      </w:r>
      <w:r>
        <w:rPr>
          <w:rFonts w:hint="eastAsia"/>
        </w:rPr>
        <w:t>（如有）</w:t>
      </w:r>
    </w:p>
    <w:p>
      <w:pPr>
        <w:pStyle w:val="5"/>
        <w:spacing w:before="666" w:after="666"/>
      </w:pPr>
      <w:r>
        <w:rPr>
          <w:rFonts w:hint="eastAsia"/>
        </w:rPr>
        <w:t>中小企业声明函（货物）(非中小企业不填写)</w:t>
      </w:r>
    </w:p>
    <w:p>
      <w:pPr>
        <w:pStyle w:val="8"/>
        <w:ind w:firstLine="480"/>
      </w:pPr>
      <w:r>
        <w:rPr>
          <w:rFonts w:hint="eastAsia"/>
        </w:rPr>
        <w:t>本公司（联合体）郑重声明，根据《政府采购促进中小企业发展管理办法》（财库﹝2020﹞46 号）的规定，本公司（联合体）参加</w:t>
      </w:r>
      <w:r>
        <w:rPr>
          <w:rFonts w:hint="eastAsia"/>
          <w:u w:val="single"/>
        </w:rPr>
        <w:t>（单位名称）</w:t>
      </w:r>
      <w:r>
        <w:rPr>
          <w:rFonts w:hint="eastAsia"/>
        </w:rPr>
        <w:t>的</w:t>
      </w:r>
      <w:r>
        <w:rPr>
          <w:rFonts w:hint="eastAsia"/>
          <w:u w:val="single"/>
        </w:rPr>
        <w:t>（项目名称）</w:t>
      </w:r>
      <w:r>
        <w:rPr>
          <w:rFonts w:hint="eastAsia"/>
        </w:rPr>
        <w:t>采购活动，提供的货物全部由符合政策要求的中小企业制造。相关企业（含联合体中的中小企业、签订分</w:t>
      </w:r>
      <w:r>
        <w:rPr>
          <w:rFonts w:hint="eastAsia"/>
          <w:lang w:eastAsia="zh-CN"/>
        </w:rPr>
        <w:t>合同包</w:t>
      </w:r>
      <w:r>
        <w:rPr>
          <w:rFonts w:hint="eastAsia"/>
        </w:rPr>
        <w:t>意向协议的中小企业） 的具体情况如下：</w:t>
      </w:r>
    </w:p>
    <w:p>
      <w:pPr>
        <w:pStyle w:val="8"/>
        <w:ind w:firstLine="480"/>
      </w:pPr>
      <w:r>
        <w:rPr>
          <w:rFonts w:hint="eastAsia"/>
        </w:rPr>
        <w:t>1.</w:t>
      </w:r>
      <w:r>
        <w:rPr>
          <w:rFonts w:hint="eastAsia"/>
          <w:u w:val="single"/>
        </w:rPr>
        <w:t xml:space="preserve"> （标的名称） </w:t>
      </w:r>
      <w:r>
        <w:rPr>
          <w:rFonts w:hint="eastAsia"/>
        </w:rPr>
        <w:t>，属于</w:t>
      </w:r>
      <w:r>
        <w:rPr>
          <w:rFonts w:hint="eastAsia"/>
          <w:u w:val="single"/>
        </w:rPr>
        <w:t>（采购文件中明确的所属行业）</w:t>
      </w:r>
      <w:r>
        <w:rPr>
          <w:rFonts w:hint="eastAsia"/>
        </w:rPr>
        <w:t>行业；制造商为</w:t>
      </w:r>
      <w:r>
        <w:rPr>
          <w:rFonts w:hint="eastAsia"/>
          <w:u w:val="single"/>
        </w:rPr>
        <w:t>（企业名称）</w:t>
      </w:r>
      <w:r>
        <w:rPr>
          <w:rFonts w:hint="eastAsia"/>
        </w:rPr>
        <w:t>，从业人员</w:t>
      </w:r>
      <w:r>
        <w:rPr>
          <w:rFonts w:hint="eastAsia"/>
          <w:u w:val="single"/>
        </w:rPr>
        <w:t xml:space="preserve"> </w:t>
      </w:r>
      <w:r>
        <w:rPr>
          <w:rFonts w:hint="eastAsia"/>
          <w:u w:val="single"/>
        </w:rPr>
        <w:tab/>
      </w:r>
      <w:r>
        <w:rPr>
          <w:rFonts w:hint="eastAsia"/>
        </w:rPr>
        <w:t>人，营业收入为</w:t>
      </w:r>
      <w:r>
        <w:rPr>
          <w:rFonts w:hint="eastAsia"/>
          <w:u w:val="single"/>
        </w:rPr>
        <w:t xml:space="preserve"> </w:t>
      </w:r>
      <w:r>
        <w:rPr>
          <w:rFonts w:hint="eastAsia"/>
          <w:u w:val="single"/>
        </w:rPr>
        <w:tab/>
      </w:r>
      <w:r>
        <w:rPr>
          <w:rFonts w:hint="eastAsia"/>
        </w:rPr>
        <w:t>万元，资产总额为</w:t>
      </w:r>
      <w:r>
        <w:rPr>
          <w:rFonts w:hint="eastAsia"/>
          <w:u w:val="single"/>
        </w:rPr>
        <w:t xml:space="preserve"> </w:t>
      </w:r>
      <w:r>
        <w:rPr>
          <w:rFonts w:hint="eastAsia"/>
          <w:u w:val="single"/>
        </w:rPr>
        <w:tab/>
      </w:r>
      <w:r>
        <w:rPr>
          <w:rFonts w:hint="eastAsia"/>
          <w:u w:val="single"/>
        </w:rPr>
        <w:t xml:space="preserve">   </w:t>
      </w:r>
      <w:r>
        <w:rPr>
          <w:rFonts w:hint="eastAsia"/>
        </w:rPr>
        <w:t>万元，属于</w:t>
      </w:r>
      <w:r>
        <w:rPr>
          <w:rFonts w:hint="eastAsia"/>
          <w:u w:val="single"/>
        </w:rPr>
        <w:t>（中型企业、小型企业、微型企业）</w:t>
      </w:r>
      <w:r>
        <w:rPr>
          <w:rFonts w:hint="eastAsia"/>
        </w:rPr>
        <w:t>；</w:t>
      </w:r>
    </w:p>
    <w:p>
      <w:pPr>
        <w:pStyle w:val="8"/>
        <w:ind w:firstLine="480"/>
      </w:pPr>
      <w:r>
        <w:rPr>
          <w:rFonts w:hint="eastAsia"/>
        </w:rPr>
        <w:t>2.</w:t>
      </w:r>
      <w:r>
        <w:rPr>
          <w:rFonts w:hint="eastAsia"/>
          <w:u w:val="single"/>
        </w:rPr>
        <w:t xml:space="preserve"> （ 标 的 名 称 ） </w:t>
      </w:r>
      <w:r>
        <w:rPr>
          <w:rFonts w:hint="eastAsia"/>
        </w:rPr>
        <w:t>， 属 于</w:t>
      </w:r>
      <w:r>
        <w:rPr>
          <w:rFonts w:hint="eastAsia"/>
          <w:u w:val="single"/>
        </w:rPr>
        <w:t xml:space="preserve">（ 采 购 文 件 中 明 确 的 所 属 行 业 ） </w:t>
      </w:r>
      <w:r>
        <w:rPr>
          <w:rFonts w:hint="eastAsia"/>
        </w:rPr>
        <w:t>行业；制造商为</w:t>
      </w:r>
      <w:r>
        <w:rPr>
          <w:rFonts w:hint="eastAsia"/>
          <w:u w:val="single"/>
        </w:rPr>
        <w:t>（企业名称）</w:t>
      </w:r>
      <w:r>
        <w:rPr>
          <w:rFonts w:hint="eastAsia"/>
        </w:rPr>
        <w:t>，从业人员</w:t>
      </w:r>
      <w:r>
        <w:rPr>
          <w:rFonts w:hint="eastAsia"/>
          <w:u w:val="single"/>
        </w:rPr>
        <w:t xml:space="preserve"> </w:t>
      </w:r>
      <w:r>
        <w:rPr>
          <w:rFonts w:hint="eastAsia"/>
          <w:u w:val="single"/>
        </w:rPr>
        <w:tab/>
      </w:r>
      <w:r>
        <w:rPr>
          <w:rFonts w:hint="eastAsia"/>
        </w:rPr>
        <w:t>人，营业收入为</w:t>
      </w:r>
      <w:r>
        <w:rPr>
          <w:rFonts w:hint="eastAsia"/>
          <w:u w:val="single"/>
        </w:rPr>
        <w:t xml:space="preserve"> </w:t>
      </w:r>
      <w:r>
        <w:rPr>
          <w:rFonts w:hint="eastAsia"/>
          <w:u w:val="single"/>
        </w:rPr>
        <w:tab/>
      </w:r>
      <w:r>
        <w:rPr>
          <w:rFonts w:hint="eastAsia"/>
        </w:rPr>
        <w:t>万元，资产总额为</w:t>
      </w:r>
      <w:r>
        <w:rPr>
          <w:rFonts w:hint="eastAsia"/>
          <w:u w:val="single"/>
        </w:rPr>
        <w:t xml:space="preserve"> </w:t>
      </w:r>
      <w:r>
        <w:rPr>
          <w:rFonts w:hint="eastAsia"/>
          <w:u w:val="single"/>
        </w:rPr>
        <w:tab/>
      </w:r>
      <w:r>
        <w:rPr>
          <w:rFonts w:hint="eastAsia"/>
          <w:u w:val="single"/>
        </w:rPr>
        <w:t xml:space="preserve">  </w:t>
      </w:r>
      <w:r>
        <w:rPr>
          <w:rFonts w:hint="eastAsia"/>
        </w:rPr>
        <w:t>万元，属于</w:t>
      </w:r>
      <w:r>
        <w:rPr>
          <w:rFonts w:hint="eastAsia"/>
          <w:u w:val="single"/>
        </w:rPr>
        <w:t>（中型企业、小型企业、微型企业）</w:t>
      </w:r>
      <w:r>
        <w:rPr>
          <w:rFonts w:hint="eastAsia"/>
        </w:rPr>
        <w:t>；</w:t>
      </w:r>
    </w:p>
    <w:p>
      <w:pPr>
        <w:pStyle w:val="8"/>
        <w:ind w:firstLine="480"/>
      </w:pPr>
      <w:r>
        <w:rPr>
          <w:rFonts w:hint="eastAsia"/>
        </w:rPr>
        <w:t>……</w:t>
      </w:r>
    </w:p>
    <w:p>
      <w:pPr>
        <w:pStyle w:val="8"/>
        <w:ind w:firstLine="480"/>
      </w:pPr>
      <w:r>
        <w:rPr>
          <w:rFonts w:hint="eastAsia"/>
        </w:rPr>
        <w:t>以上企业，不属于大企业的分支机构，不存在控股股东为大企业的情形，也不存在与大企业的负责人为同一人的情形。</w:t>
      </w:r>
    </w:p>
    <w:p>
      <w:pPr>
        <w:pStyle w:val="8"/>
        <w:ind w:firstLine="480"/>
      </w:pPr>
      <w:r>
        <w:rPr>
          <w:rFonts w:hint="eastAsia"/>
        </w:rPr>
        <w:t>本企业对上述声明内容的真实性负责。如有虚假，将依法承担相应责任。</w:t>
      </w:r>
    </w:p>
    <w:p>
      <w:pPr>
        <w:pStyle w:val="8"/>
        <w:ind w:firstLine="5040" w:firstLineChars="2100"/>
        <w:rPr>
          <w:u w:val="single"/>
        </w:rPr>
      </w:pPr>
      <w:r>
        <w:rPr>
          <w:rFonts w:hint="eastAsia"/>
        </w:rPr>
        <w:t>企业名称（盖章）：</w:t>
      </w:r>
      <w:r>
        <w:rPr>
          <w:rFonts w:hint="eastAsia"/>
          <w:u w:val="single"/>
        </w:rPr>
        <w:t xml:space="preserve">              </w:t>
      </w:r>
    </w:p>
    <w:p>
      <w:pPr>
        <w:pStyle w:val="8"/>
        <w:ind w:firstLine="5040" w:firstLineChars="2100"/>
        <w:rPr>
          <w:u w:val="single"/>
        </w:rPr>
      </w:pPr>
      <w:r>
        <w:rPr>
          <w:rFonts w:hint="eastAsia"/>
        </w:rPr>
        <w:t>日期：</w:t>
      </w:r>
      <w:r>
        <w:rPr>
          <w:rFonts w:hint="eastAsia"/>
          <w:u w:val="single"/>
        </w:rPr>
        <w:t xml:space="preserve">                         </w:t>
      </w:r>
    </w:p>
    <w:p>
      <w:pPr>
        <w:pStyle w:val="8"/>
        <w:ind w:firstLine="480"/>
      </w:pPr>
    </w:p>
    <w:p>
      <w:pPr>
        <w:pStyle w:val="8"/>
        <w:rPr>
          <w:sz w:val="21"/>
          <w:szCs w:val="21"/>
        </w:rPr>
      </w:pPr>
      <w:r>
        <w:rPr>
          <w:rFonts w:hint="eastAsia"/>
          <w:sz w:val="21"/>
          <w:szCs w:val="21"/>
        </w:rPr>
        <w:t>1从业人员、营业收入、资产总额填报上一年度数据，无上一年度数据的新成立企业可不填报。</w:t>
      </w:r>
    </w:p>
    <w:p>
      <w:pPr>
        <w:spacing w:line="360" w:lineRule="auto"/>
        <w:rPr>
          <w:rFonts w:hint="eastAsia" w:ascii="宋体" w:hAnsi="宋体" w:eastAsia="宋体" w:cs="宋体"/>
          <w:b/>
          <w:bCs/>
          <w:color w:val="auto"/>
          <w:sz w:val="21"/>
          <w:szCs w:val="16"/>
          <w:highlight w:val="none"/>
        </w:rPr>
      </w:pPr>
      <w:r>
        <w:rPr>
          <w:rFonts w:hint="eastAsia" w:ascii="宋体" w:hAnsi="宋体" w:eastAsia="宋体" w:cs="宋体"/>
          <w:b/>
          <w:bCs/>
          <w:color w:val="auto"/>
          <w:sz w:val="21"/>
          <w:szCs w:val="16"/>
          <w:highlight w:val="none"/>
        </w:rPr>
        <w:t>特别提醒：</w:t>
      </w:r>
    </w:p>
    <w:p>
      <w:pPr>
        <w:numPr>
          <w:ilvl w:val="0"/>
          <w:numId w:val="0"/>
        </w:numPr>
        <w:spacing w:line="360" w:lineRule="auto"/>
        <w:ind w:firstLine="420" w:firstLineChars="200"/>
        <w:rPr>
          <w:rFonts w:hint="eastAsia" w:ascii="宋体" w:hAnsi="宋体" w:eastAsia="宋体" w:cs="宋体"/>
          <w:color w:val="auto"/>
          <w:sz w:val="21"/>
          <w:szCs w:val="20"/>
          <w:highlight w:val="none"/>
        </w:rPr>
      </w:pPr>
      <w:r>
        <w:rPr>
          <w:rFonts w:hint="eastAsia" w:ascii="宋体" w:hAnsi="宋体" w:eastAsia="宋体" w:cs="宋体"/>
          <w:color w:val="auto"/>
          <w:sz w:val="21"/>
          <w:szCs w:val="20"/>
          <w:highlight w:val="none"/>
          <w:lang w:val="en-US" w:eastAsia="zh-CN"/>
        </w:rPr>
        <w:t>1.</w:t>
      </w:r>
      <w:r>
        <w:rPr>
          <w:rFonts w:hint="eastAsia" w:ascii="宋体" w:hAnsi="宋体" w:eastAsia="宋体" w:cs="宋体"/>
          <w:color w:val="auto"/>
          <w:sz w:val="21"/>
          <w:szCs w:val="20"/>
          <w:highlight w:val="none"/>
        </w:rPr>
        <w:t>《中小企业声明函》随成交结果同时公开。</w:t>
      </w:r>
    </w:p>
    <w:p>
      <w:pPr>
        <w:numPr>
          <w:ilvl w:val="0"/>
          <w:numId w:val="0"/>
        </w:numPr>
        <w:spacing w:line="360" w:lineRule="auto"/>
        <w:ind w:firstLine="420" w:firstLineChars="200"/>
        <w:rPr>
          <w:rFonts w:hint="eastAsia" w:ascii="宋体" w:hAnsi="宋体" w:eastAsia="宋体" w:cs="宋体"/>
          <w:b w:val="0"/>
          <w:color w:val="auto"/>
          <w:kern w:val="2"/>
          <w:sz w:val="21"/>
          <w:szCs w:val="20"/>
          <w:highlight w:val="none"/>
          <w:lang w:val="en-US" w:eastAsia="zh-CN" w:bidi="ar-SA"/>
        </w:rPr>
      </w:pPr>
      <w:r>
        <w:rPr>
          <w:rFonts w:hint="eastAsia" w:ascii="宋体" w:hAnsi="宋体" w:eastAsia="宋体" w:cs="宋体"/>
          <w:b w:val="0"/>
          <w:color w:val="auto"/>
          <w:kern w:val="2"/>
          <w:sz w:val="21"/>
          <w:szCs w:val="20"/>
          <w:highlight w:val="none"/>
          <w:lang w:val="en-US" w:eastAsia="zh-CN" w:bidi="ar-SA"/>
        </w:rPr>
        <w:t>2.采购文件中明确的所属行业：</w:t>
      </w:r>
      <w:r>
        <w:rPr>
          <w:rFonts w:hint="eastAsia" w:ascii="宋体" w:hAnsi="宋体" w:cs="宋体"/>
          <w:b/>
          <w:bCs/>
          <w:color w:val="auto"/>
          <w:kern w:val="2"/>
          <w:sz w:val="21"/>
          <w:szCs w:val="20"/>
          <w:highlight w:val="none"/>
          <w:lang w:val="en-US" w:eastAsia="zh-CN" w:bidi="ar-SA"/>
        </w:rPr>
        <w:t>工业</w:t>
      </w:r>
    </w:p>
    <w:p>
      <w:pPr>
        <w:ind w:firstLine="420" w:firstLineChars="200"/>
      </w:pPr>
      <w:r>
        <w:rPr>
          <w:rFonts w:hint="eastAsia" w:ascii="宋体" w:hAnsi="宋体" w:eastAsia="宋体" w:cs="宋体"/>
          <w:b w:val="0"/>
          <w:color w:val="auto"/>
          <w:kern w:val="2"/>
          <w:sz w:val="21"/>
          <w:szCs w:val="20"/>
          <w:highlight w:val="none"/>
          <w:lang w:val="en-US" w:eastAsia="zh-CN" w:bidi="ar-SA"/>
        </w:rPr>
        <w:t>3.填写前请认真阅读《工业和信息化部　国家统计局　国家发展和改革委员会　财政部关于印发中小企业划型标准规定的通知》(工信部联企业〔2011〕300号)和《财政部、工业和信息化部关于印发〈政府采购促进中小企业发展管理办法〉的通知》(财库〔2020〕46号)相关规定。</w:t>
      </w:r>
      <w:r>
        <w:rPr>
          <w:rFonts w:hint="eastAsia"/>
        </w:rPr>
        <w:br w:type="page"/>
      </w:r>
    </w:p>
    <w:p>
      <w:pPr>
        <w:pStyle w:val="2"/>
      </w:pPr>
      <w:r>
        <w:rPr>
          <w:rFonts w:hint="eastAsia"/>
        </w:rPr>
        <w:t>附：《中小企业划型标准规定》各行业划型标准</w:t>
      </w:r>
    </w:p>
    <w:p>
      <w:pPr>
        <w:pStyle w:val="8"/>
        <w:rPr>
          <w:sz w:val="21"/>
          <w:szCs w:val="21"/>
        </w:rPr>
      </w:pPr>
      <w:r>
        <w:rPr>
          <w:rFonts w:hint="eastAsia"/>
          <w:sz w:val="21"/>
          <w:szCs w:val="21"/>
        </w:rPr>
        <w:t>（一）农、林、牧、渔业。营业收入20000万元以下的为中小微型企业。其中，营业收入500万元及以上的为中型企业，营业收入50万元及以上的为小型企业，营业收入50万元以下的为微型企业。</w:t>
      </w:r>
    </w:p>
    <w:p>
      <w:pPr>
        <w:pStyle w:val="8"/>
        <w:rPr>
          <w:sz w:val="21"/>
          <w:szCs w:val="21"/>
        </w:rPr>
      </w:pPr>
      <w:r>
        <w:rPr>
          <w:rFonts w:hint="eastAsia"/>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8"/>
        <w:rPr>
          <w:sz w:val="21"/>
          <w:szCs w:val="21"/>
        </w:rPr>
      </w:pPr>
      <w:r>
        <w:rPr>
          <w:rFonts w:hint="eastAsia"/>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8"/>
        <w:rPr>
          <w:sz w:val="21"/>
          <w:szCs w:val="21"/>
        </w:rPr>
      </w:pPr>
      <w:r>
        <w:rPr>
          <w:rFonts w:hint="eastAsia"/>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8"/>
        <w:rPr>
          <w:sz w:val="21"/>
          <w:szCs w:val="21"/>
        </w:rPr>
      </w:pPr>
      <w:r>
        <w:rPr>
          <w:rFonts w:hint="eastAsia"/>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8"/>
        <w:rPr>
          <w:sz w:val="21"/>
          <w:szCs w:val="21"/>
        </w:rPr>
      </w:pPr>
      <w:r>
        <w:rPr>
          <w:rFonts w:hint="eastAsia"/>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8"/>
        <w:rPr>
          <w:sz w:val="21"/>
          <w:szCs w:val="21"/>
        </w:rPr>
      </w:pPr>
      <w:r>
        <w:rPr>
          <w:rFonts w:hint="eastAsia"/>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8"/>
        <w:rPr>
          <w:sz w:val="21"/>
          <w:szCs w:val="21"/>
        </w:rPr>
      </w:pPr>
      <w:r>
        <w:rPr>
          <w:rFonts w:hint="eastAsia"/>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8"/>
        <w:rPr>
          <w:sz w:val="21"/>
          <w:szCs w:val="21"/>
        </w:rPr>
      </w:pPr>
      <w:r>
        <w:rPr>
          <w:rFonts w:hint="eastAsia"/>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8"/>
        <w:rPr>
          <w:sz w:val="21"/>
          <w:szCs w:val="21"/>
        </w:rPr>
      </w:pPr>
      <w:r>
        <w:rPr>
          <w:rFonts w:hint="eastAsia"/>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8"/>
        <w:rPr>
          <w:sz w:val="21"/>
          <w:szCs w:val="21"/>
        </w:rPr>
      </w:pPr>
      <w:r>
        <w:rPr>
          <w:rFonts w:hint="eastAsia"/>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8"/>
        <w:rPr>
          <w:sz w:val="21"/>
          <w:szCs w:val="21"/>
        </w:rPr>
      </w:pPr>
      <w:r>
        <w:rPr>
          <w:rFonts w:hint="eastAsia"/>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8"/>
        <w:rPr>
          <w:sz w:val="21"/>
          <w:szCs w:val="21"/>
        </w:rPr>
      </w:pPr>
      <w:r>
        <w:rPr>
          <w:rFonts w:hint="eastAsia"/>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8"/>
        <w:rPr>
          <w:sz w:val="21"/>
          <w:szCs w:val="21"/>
        </w:rPr>
      </w:pPr>
      <w:r>
        <w:rPr>
          <w:rFonts w:hint="eastAsia"/>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8"/>
        <w:rPr>
          <w:sz w:val="21"/>
          <w:szCs w:val="21"/>
        </w:rPr>
      </w:pPr>
      <w:r>
        <w:rPr>
          <w:rFonts w:hint="eastAsia"/>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8"/>
        <w:rPr>
          <w:bCs/>
          <w:szCs w:val="21"/>
        </w:rPr>
      </w:pPr>
      <w:r>
        <w:rPr>
          <w:rFonts w:hint="eastAsia"/>
          <w:sz w:val="21"/>
          <w:szCs w:val="21"/>
        </w:rPr>
        <w:t>（十六）其他未列明行业。从业人员300人以下的为中小微型企业。其中，从业人员100人及以上的为中型企业；从业人员10人及以上的为小型企业；从业人员10人以下的为微型企业。</w:t>
      </w:r>
    </w:p>
    <w:p>
      <w:pPr>
        <w:tabs>
          <w:tab w:val="left" w:pos="0"/>
          <w:tab w:val="left" w:pos="7920"/>
        </w:tabs>
        <w:spacing w:line="500" w:lineRule="exact"/>
        <w:ind w:firstLine="420" w:firstLineChars="200"/>
        <w:rPr>
          <w:rFonts w:hAnsi="宋体" w:cs="宋体"/>
          <w:sz w:val="21"/>
          <w:szCs w:val="21"/>
        </w:rPr>
      </w:pPr>
    </w:p>
    <w:p>
      <w:pPr>
        <w:rPr>
          <w:rFonts w:hAnsi="宋体" w:cs="宋体"/>
          <w:szCs w:val="24"/>
        </w:rPr>
      </w:pPr>
    </w:p>
    <w:p>
      <w:pPr>
        <w:rPr>
          <w:rStyle w:val="37"/>
          <w:bCs w:val="0"/>
        </w:rPr>
      </w:pPr>
      <w:r>
        <w:rPr>
          <w:rFonts w:hint="eastAsia" w:hAnsi="宋体" w:cs="宋体"/>
          <w:b/>
          <w:sz w:val="28"/>
          <w:szCs w:val="28"/>
        </w:rPr>
        <w:br w:type="page"/>
      </w:r>
      <w:r>
        <w:rPr>
          <w:rStyle w:val="37"/>
          <w:rFonts w:hint="eastAsia"/>
          <w:bCs w:val="0"/>
        </w:rPr>
        <w:t>附件</w:t>
      </w:r>
      <w:r>
        <w:rPr>
          <w:rStyle w:val="37"/>
          <w:rFonts w:hint="eastAsia"/>
          <w:bCs w:val="0"/>
          <w:lang w:val="en-US" w:eastAsia="zh-CN"/>
        </w:rPr>
        <w:t>2</w:t>
      </w:r>
      <w:r>
        <w:rPr>
          <w:rStyle w:val="37"/>
          <w:rFonts w:hint="eastAsia"/>
          <w:bCs w:val="0"/>
        </w:rPr>
        <w:t>（如有）</w:t>
      </w:r>
    </w:p>
    <w:p>
      <w:pPr>
        <w:pStyle w:val="5"/>
        <w:spacing w:before="666" w:after="666"/>
        <w:rPr>
          <w:spacing w:val="6"/>
          <w:sz w:val="30"/>
          <w:szCs w:val="30"/>
        </w:rPr>
      </w:pPr>
      <w:bookmarkStart w:id="315" w:name="OLE_LINK13"/>
      <w:bookmarkStart w:id="316" w:name="OLE_LINK14"/>
      <w:r>
        <w:rPr>
          <w:rFonts w:hint="eastAsia"/>
        </w:rPr>
        <w:t>残疾人福利性单位声明函</w:t>
      </w:r>
      <w:bookmarkEnd w:id="315"/>
      <w:bookmarkEnd w:id="316"/>
    </w:p>
    <w:p>
      <w:pPr>
        <w:pStyle w:val="8"/>
        <w:ind w:firstLine="480"/>
      </w:pPr>
      <w:r>
        <w:rPr>
          <w:rFonts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w:t>
      </w:r>
      <w:r>
        <w:rPr>
          <w:rFonts w:hint="eastAsia"/>
          <w:lang w:eastAsia="zh-CN"/>
        </w:rPr>
        <w:t>合同包</w:t>
      </w:r>
      <w:r>
        <w:rPr>
          <w:rFonts w:hint="eastAsia"/>
        </w:rPr>
        <w:t>括使用非残疾人福利性单位注册商标的货物）。</w:t>
      </w:r>
    </w:p>
    <w:p>
      <w:pPr>
        <w:pStyle w:val="8"/>
        <w:ind w:firstLine="480"/>
        <w:rPr>
          <w:spacing w:val="6"/>
        </w:rPr>
      </w:pPr>
      <w:r>
        <w:rPr>
          <w:rFonts w:hint="eastAsia"/>
        </w:rPr>
        <w:t>本单位对上述声明的真实性负责。如有虚假，将依法承担相应责任。</w:t>
      </w:r>
    </w:p>
    <w:p>
      <w:pPr>
        <w:spacing w:line="588" w:lineRule="exact"/>
        <w:ind w:firstLine="504" w:firstLineChars="200"/>
        <w:rPr>
          <w:rFonts w:hAnsi="宋体" w:cs="宋体"/>
          <w:spacing w:val="6"/>
          <w:szCs w:val="24"/>
        </w:rPr>
      </w:pPr>
    </w:p>
    <w:p>
      <w:pPr>
        <w:pStyle w:val="8"/>
        <w:ind w:firstLine="4800" w:firstLineChars="2000"/>
      </w:pPr>
      <w:r>
        <w:rPr>
          <w:rFonts w:hint="eastAsia"/>
        </w:rPr>
        <w:t>单位名称：</w:t>
      </w:r>
      <w:r>
        <w:rPr>
          <w:rFonts w:hint="eastAsia"/>
          <w:u w:val="single"/>
        </w:rPr>
        <w:t xml:space="preserve">                 </w:t>
      </w:r>
      <w:r>
        <w:rPr>
          <w:rFonts w:hint="eastAsia"/>
        </w:rPr>
        <w:t>（盖章）</w:t>
      </w:r>
    </w:p>
    <w:p>
      <w:pPr>
        <w:pStyle w:val="8"/>
        <w:ind w:firstLine="4800" w:firstLineChars="2000"/>
      </w:pPr>
    </w:p>
    <w:p>
      <w:pPr>
        <w:pStyle w:val="8"/>
        <w:ind w:firstLine="4800" w:firstLineChars="2000"/>
      </w:pPr>
      <w:r>
        <w:rPr>
          <w:rFonts w:hint="eastAsia"/>
        </w:rPr>
        <w:t>日     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tabs>
          <w:tab w:val="left" w:pos="1620"/>
          <w:tab w:val="left" w:pos="1800"/>
        </w:tabs>
        <w:spacing w:line="440" w:lineRule="exact"/>
        <w:ind w:right="617" w:rightChars="257"/>
        <w:rPr>
          <w:rFonts w:hAnsi="宋体" w:cs="宋体"/>
        </w:rPr>
      </w:pPr>
    </w:p>
    <w:p>
      <w:pPr>
        <w:pStyle w:val="12"/>
        <w:spacing w:line="360" w:lineRule="auto"/>
        <w:rPr>
          <w:rFonts w:hint="eastAsia" w:ascii="宋体" w:hAnsi="宋体" w:eastAsia="宋体" w:cs="宋体"/>
          <w:b/>
          <w:bCs/>
          <w:color w:val="auto"/>
          <w:sz w:val="21"/>
          <w:szCs w:val="16"/>
          <w:highlight w:val="none"/>
        </w:rPr>
      </w:pPr>
      <w:r>
        <w:rPr>
          <w:rFonts w:hint="eastAsia" w:ascii="宋体" w:hAnsi="宋体" w:eastAsia="宋体" w:cs="宋体"/>
          <w:b/>
          <w:bCs/>
          <w:color w:val="auto"/>
          <w:sz w:val="21"/>
          <w:szCs w:val="16"/>
          <w:highlight w:val="none"/>
        </w:rPr>
        <w:t>特别提醒：</w:t>
      </w:r>
    </w:p>
    <w:p>
      <w:pPr>
        <w:tabs>
          <w:tab w:val="left" w:pos="1620"/>
          <w:tab w:val="left" w:pos="1800"/>
        </w:tabs>
        <w:spacing w:line="440" w:lineRule="exact"/>
        <w:ind w:right="617" w:rightChars="257" w:firstLine="420" w:firstLineChars="200"/>
        <w:rPr>
          <w:rFonts w:hAnsi="宋体" w:cs="宋体"/>
        </w:rPr>
      </w:pPr>
      <w:r>
        <w:rPr>
          <w:rFonts w:hint="eastAsia" w:ascii="宋体" w:hAnsi="宋体" w:eastAsia="宋体" w:cs="宋体"/>
          <w:color w:val="auto"/>
          <w:sz w:val="21"/>
          <w:szCs w:val="16"/>
          <w:highlight w:val="none"/>
        </w:rPr>
        <w:t>1.填写前请认真阅读《财政部 民政部 中国残疾人联合会关于促进残疾人就业政府采购政采的通知》(财库〔2017〕141号)相关规定。</w:t>
      </w:r>
    </w:p>
    <w:p>
      <w:pPr>
        <w:pStyle w:val="10"/>
        <w:rPr>
          <w:rFonts w:ascii="宋体" w:hAnsi="宋体" w:cs="宋体"/>
        </w:rPr>
      </w:pPr>
    </w:p>
    <w:p>
      <w:pPr>
        <w:pStyle w:val="10"/>
        <w:rPr>
          <w:rFonts w:ascii="宋体" w:hAnsi="宋体" w:cs="宋体"/>
        </w:rPr>
      </w:pPr>
    </w:p>
    <w:p>
      <w:pPr>
        <w:pStyle w:val="10"/>
        <w:rPr>
          <w:rFonts w:ascii="宋体" w:hAnsi="宋体" w:cs="宋体"/>
        </w:rPr>
      </w:pPr>
    </w:p>
    <w:p>
      <w:pPr>
        <w:pStyle w:val="10"/>
        <w:rPr>
          <w:rFonts w:ascii="宋体" w:hAnsi="宋体" w:cs="宋体"/>
        </w:rPr>
      </w:pPr>
    </w:p>
    <w:p>
      <w:pPr>
        <w:pStyle w:val="10"/>
        <w:rPr>
          <w:rFonts w:ascii="宋体" w:hAnsi="宋体" w:cs="宋体"/>
        </w:rPr>
      </w:pPr>
    </w:p>
    <w:p>
      <w:pPr>
        <w:pStyle w:val="10"/>
        <w:rPr>
          <w:rFonts w:ascii="宋体" w:hAnsi="宋体" w:cs="宋体"/>
        </w:rPr>
      </w:pPr>
    </w:p>
    <w:p>
      <w:pPr>
        <w:pStyle w:val="10"/>
        <w:rPr>
          <w:rFonts w:ascii="宋体" w:hAnsi="宋体" w:cs="宋体"/>
        </w:rPr>
      </w:pPr>
    </w:p>
    <w:p>
      <w:r>
        <w:rPr>
          <w:rFonts w:hint="eastAsia"/>
        </w:rPr>
        <w:br w:type="page"/>
      </w:r>
    </w:p>
    <w:p>
      <w:pPr>
        <w:pStyle w:val="2"/>
      </w:pPr>
      <w:r>
        <w:rPr>
          <w:rFonts w:hint="eastAsia"/>
        </w:rPr>
        <w:t>附件</w:t>
      </w:r>
      <w:r>
        <w:rPr>
          <w:rFonts w:hint="eastAsia"/>
          <w:lang w:val="en-US" w:eastAsia="zh-CN"/>
        </w:rPr>
        <w:t>3</w:t>
      </w:r>
      <w:r>
        <w:rPr>
          <w:rFonts w:hint="eastAsia"/>
        </w:rPr>
        <w:t>（如有）</w:t>
      </w:r>
    </w:p>
    <w:p>
      <w:pPr>
        <w:pStyle w:val="5"/>
        <w:spacing w:before="666" w:after="666"/>
      </w:pPr>
      <w:r>
        <w:rPr>
          <w:rFonts w:hint="eastAsia"/>
        </w:rPr>
        <w:t>监狱企业证明文件</w:t>
      </w:r>
    </w:p>
    <w:p>
      <w:pPr>
        <w:pStyle w:val="8"/>
        <w:ind w:firstLine="480"/>
      </w:pPr>
      <w:r>
        <w:rPr>
          <w:rFonts w:hint="eastAsia"/>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Style w:val="8"/>
        <w:ind w:firstLine="480"/>
        <w:rPr>
          <w:rFonts w:hint="eastAsia"/>
        </w:rPr>
      </w:pPr>
      <w:r>
        <w:rPr>
          <w:rFonts w:hint="eastAsia"/>
        </w:rPr>
        <w:t>监狱企业参加政府采购活动时，应当提供由省级以上监狱管理局、戒毒管理局（含新疆生产建设兵团）出具的属于监狱企业的证明文件。</w:t>
      </w:r>
    </w:p>
    <w:p>
      <w:pPr>
        <w:pStyle w:val="12"/>
        <w:spacing w:line="360" w:lineRule="auto"/>
        <w:rPr>
          <w:rFonts w:hint="eastAsia" w:ascii="宋体" w:hAnsi="宋体" w:eastAsia="宋体" w:cs="宋体"/>
          <w:b/>
          <w:bCs/>
          <w:color w:val="auto"/>
          <w:sz w:val="21"/>
          <w:szCs w:val="16"/>
          <w:highlight w:val="none"/>
        </w:rPr>
      </w:pPr>
      <w:r>
        <w:rPr>
          <w:rFonts w:hint="eastAsia" w:ascii="宋体" w:hAnsi="宋体" w:eastAsia="宋体" w:cs="宋体"/>
          <w:b/>
          <w:bCs/>
          <w:color w:val="auto"/>
          <w:sz w:val="21"/>
          <w:szCs w:val="16"/>
          <w:highlight w:val="none"/>
        </w:rPr>
        <w:t>特别提醒：</w:t>
      </w:r>
    </w:p>
    <w:p>
      <w:pPr>
        <w:ind w:firstLine="420" w:firstLineChars="200"/>
        <w:rPr>
          <w:rFonts w:hint="eastAsia"/>
        </w:rPr>
      </w:pPr>
      <w:r>
        <w:rPr>
          <w:rFonts w:hint="eastAsia" w:ascii="宋体" w:hAnsi="宋体" w:eastAsia="宋体" w:cs="宋体"/>
          <w:color w:val="auto"/>
          <w:sz w:val="21"/>
          <w:szCs w:val="21"/>
          <w:highlight w:val="none"/>
        </w:rPr>
        <w:t>1.填写前请认真阅读财政部、司法部《关于政府采购支持监狱企业发展有关问题的通知》（财库〔2014〕68号）相关规定。</w:t>
      </w:r>
    </w:p>
    <w:p>
      <w:r>
        <w:br w:type="page"/>
      </w:r>
    </w:p>
    <w:p>
      <w:pPr>
        <w:pStyle w:val="2"/>
        <w:bidi w:val="0"/>
        <w:rPr>
          <w:rFonts w:hint="eastAsia"/>
          <w:color w:val="auto"/>
          <w:highlight w:val="none"/>
        </w:rPr>
      </w:pPr>
      <w:r>
        <w:rPr>
          <w:rFonts w:hint="eastAsia"/>
          <w:color w:val="auto"/>
          <w:highlight w:val="none"/>
        </w:rPr>
        <w:t>附件</w:t>
      </w:r>
      <w:r>
        <w:rPr>
          <w:rFonts w:hint="eastAsia"/>
          <w:color w:val="auto"/>
          <w:highlight w:val="none"/>
          <w:lang w:val="en-US" w:eastAsia="zh-CN"/>
        </w:rPr>
        <w:t>4</w:t>
      </w:r>
      <w:r>
        <w:rPr>
          <w:rFonts w:hint="eastAsia"/>
          <w:color w:val="auto"/>
          <w:highlight w:val="none"/>
        </w:rPr>
        <w:t>（如有）</w:t>
      </w:r>
    </w:p>
    <w:p>
      <w:pPr>
        <w:pStyle w:val="5"/>
        <w:bidi w:val="0"/>
        <w:rPr>
          <w:rFonts w:hint="eastAsia"/>
          <w:color w:val="auto"/>
          <w:highlight w:val="none"/>
        </w:rPr>
      </w:pPr>
      <w:r>
        <w:rPr>
          <w:rFonts w:hint="eastAsia"/>
          <w:color w:val="auto"/>
          <w:highlight w:val="none"/>
        </w:rPr>
        <w:t>“节能产品”、“环境标志产品”证明材料</w:t>
      </w:r>
    </w:p>
    <w:p>
      <w:pPr>
        <w:pStyle w:val="8"/>
        <w:ind w:firstLine="0"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说明：</w:t>
      </w:r>
    </w:p>
    <w:p>
      <w:pPr>
        <w:pStyle w:val="8"/>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1.投标人提供的主要材料与设备属于节能产品或环境标志产品的，应当按照规定提供相关证明材料，并在《投标分项报价表》中填写相应的证书编号；</w:t>
      </w:r>
    </w:p>
    <w:p>
      <w:pPr>
        <w:pStyle w:val="8"/>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2.投标人未按上述要求提供、填写的，评审时不予加分。</w:t>
      </w:r>
    </w:p>
    <w:p/>
    <w:p>
      <w:pPr>
        <w:pStyle w:val="17"/>
        <w:ind w:left="1440"/>
      </w:pPr>
    </w:p>
    <w:p>
      <w:pPr>
        <w:sectPr>
          <w:footerReference r:id="rId12" w:type="first"/>
          <w:footerReference r:id="rId11" w:type="default"/>
          <w:pgSz w:w="11906" w:h="16838"/>
          <w:pgMar w:top="1417" w:right="1417" w:bottom="1417" w:left="1417" w:header="992" w:footer="992" w:gutter="170"/>
          <w:pgNumType w:fmt="decimal" w:start="1"/>
          <w:cols w:space="0" w:num="1"/>
          <w:docGrid w:type="lines" w:linePitch="333" w:charSpace="0"/>
        </w:sectPr>
      </w:pPr>
    </w:p>
    <w:p>
      <w:pPr>
        <w:pStyle w:val="10"/>
      </w:pPr>
    </w:p>
    <w:p>
      <w:pPr>
        <w:pStyle w:val="10"/>
        <w:rPr>
          <w:rFonts w:ascii="宋体" w:hAnsi="宋体" w:cs="宋体"/>
          <w:sz w:val="44"/>
          <w:szCs w:val="44"/>
        </w:rPr>
      </w:pPr>
    </w:p>
    <w:p>
      <w:pPr>
        <w:rPr>
          <w:rFonts w:hAnsi="宋体" w:cs="宋体"/>
          <w:b/>
          <w:sz w:val="44"/>
          <w:szCs w:val="44"/>
        </w:rPr>
      </w:pPr>
    </w:p>
    <w:p>
      <w:pPr>
        <w:pStyle w:val="10"/>
        <w:rPr>
          <w:rFonts w:ascii="宋体" w:hAnsi="宋体" w:cs="宋体"/>
          <w:sz w:val="44"/>
          <w:szCs w:val="44"/>
        </w:rPr>
      </w:pPr>
    </w:p>
    <w:p>
      <w:pPr>
        <w:rPr>
          <w:rFonts w:hAnsi="宋体" w:cs="宋体"/>
          <w:b/>
          <w:sz w:val="44"/>
          <w:szCs w:val="44"/>
        </w:rPr>
      </w:pPr>
    </w:p>
    <w:p>
      <w:pPr>
        <w:pStyle w:val="10"/>
        <w:rPr>
          <w:rFonts w:ascii="宋体" w:hAnsi="宋体" w:cs="宋体"/>
          <w:sz w:val="44"/>
          <w:szCs w:val="44"/>
        </w:rPr>
      </w:pPr>
    </w:p>
    <w:p/>
    <w:p>
      <w:pPr>
        <w:spacing w:line="336" w:lineRule="auto"/>
        <w:ind w:firstLine="221" w:firstLineChars="50"/>
        <w:rPr>
          <w:rFonts w:hAnsi="宋体" w:cs="宋体"/>
          <w:b/>
          <w:sz w:val="44"/>
          <w:szCs w:val="44"/>
        </w:rPr>
      </w:pPr>
    </w:p>
    <w:p>
      <w:pPr>
        <w:spacing w:line="336" w:lineRule="auto"/>
        <w:rPr>
          <w:rFonts w:hAnsi="宋体" w:cs="宋体"/>
          <w:b/>
          <w:sz w:val="44"/>
          <w:szCs w:val="44"/>
        </w:rPr>
      </w:pPr>
    </w:p>
    <w:p>
      <w:pPr>
        <w:spacing w:line="336" w:lineRule="auto"/>
        <w:rPr>
          <w:rFonts w:hAnsi="宋体" w:cs="宋体"/>
          <w:b/>
          <w:sz w:val="44"/>
          <w:szCs w:val="44"/>
        </w:rPr>
      </w:pPr>
    </w:p>
    <w:p>
      <w:pPr>
        <w:spacing w:line="336" w:lineRule="auto"/>
        <w:rPr>
          <w:rFonts w:hAnsi="宋体" w:cs="宋体"/>
          <w:b/>
          <w:sz w:val="36"/>
          <w:szCs w:val="36"/>
        </w:rPr>
      </w:pPr>
    </w:p>
    <w:p>
      <w:pPr>
        <w:spacing w:line="336" w:lineRule="auto"/>
        <w:rPr>
          <w:rFonts w:hAnsi="宋体" w:cs="宋体"/>
          <w:b/>
          <w:sz w:val="36"/>
          <w:szCs w:val="36"/>
        </w:rPr>
      </w:pPr>
    </w:p>
    <w:p>
      <w:pPr>
        <w:spacing w:line="336" w:lineRule="auto"/>
        <w:rPr>
          <w:rFonts w:hAnsi="宋体" w:cs="宋体"/>
          <w:b/>
          <w:sz w:val="36"/>
          <w:szCs w:val="36"/>
        </w:rPr>
      </w:pPr>
    </w:p>
    <w:p>
      <w:pPr>
        <w:spacing w:line="336" w:lineRule="auto"/>
        <w:rPr>
          <w:rFonts w:hAnsi="宋体" w:cs="宋体"/>
          <w:b/>
          <w:sz w:val="36"/>
          <w:szCs w:val="36"/>
        </w:rPr>
      </w:pPr>
    </w:p>
    <w:p>
      <w:pPr>
        <w:spacing w:line="336" w:lineRule="auto"/>
        <w:rPr>
          <w:rFonts w:hAnsi="宋体" w:cs="宋体"/>
          <w:b/>
          <w:sz w:val="36"/>
          <w:szCs w:val="36"/>
        </w:rPr>
      </w:pPr>
    </w:p>
    <w:p>
      <w:pPr>
        <w:spacing w:line="336" w:lineRule="auto"/>
        <w:rPr>
          <w:rFonts w:hint="eastAsia" w:hAnsi="宋体" w:eastAsia="宋体" w:cs="宋体"/>
          <w:b/>
          <w:sz w:val="36"/>
          <w:szCs w:val="36"/>
          <w:lang w:eastAsia="zh-CN"/>
        </w:rPr>
      </w:pPr>
      <w:r>
        <w:rPr>
          <w:rFonts w:hint="eastAsia" w:hAnsi="宋体" w:cs="宋体"/>
          <w:b/>
          <w:sz w:val="36"/>
          <w:szCs w:val="36"/>
          <w:lang w:eastAsia="zh-CN"/>
        </w:rPr>
        <w:t>陕西正鸿项目管理有限公司</w:t>
      </w:r>
    </w:p>
    <w:p>
      <w:pPr>
        <w:spacing w:line="336" w:lineRule="auto"/>
        <w:ind w:firstLine="160" w:firstLineChars="50"/>
        <w:rPr>
          <w:rFonts w:hAnsi="宋体" w:cs="宋体"/>
          <w:sz w:val="32"/>
          <w:szCs w:val="32"/>
        </w:rPr>
      </w:pPr>
    </w:p>
    <w:p>
      <w:pPr>
        <w:autoSpaceDE w:val="0"/>
        <w:autoSpaceDN w:val="0"/>
        <w:spacing w:line="336" w:lineRule="auto"/>
        <w:ind w:firstLine="151" w:firstLineChars="50"/>
        <w:rPr>
          <w:rFonts w:hAnsi="宋体" w:cs="宋体"/>
          <w:b/>
          <w:sz w:val="30"/>
          <w:szCs w:val="30"/>
        </w:rPr>
      </w:pPr>
      <w:r>
        <w:rPr>
          <w:rFonts w:hint="eastAsia" w:hAnsi="宋体" w:cs="宋体"/>
          <w:b/>
          <w:sz w:val="30"/>
          <w:szCs w:val="30"/>
        </w:rPr>
        <w:t>地    址</w:t>
      </w:r>
      <w:r>
        <w:rPr>
          <w:rFonts w:hint="eastAsia" w:hAnsi="宋体" w:cs="宋体"/>
          <w:b/>
          <w:spacing w:val="-6"/>
          <w:sz w:val="30"/>
          <w:szCs w:val="30"/>
        </w:rPr>
        <w:t>：西安市雁塔区南二环凯森盛世1号A座408室</w:t>
      </w:r>
    </w:p>
    <w:p>
      <w:pPr>
        <w:autoSpaceDE w:val="0"/>
        <w:autoSpaceDN w:val="0"/>
        <w:spacing w:line="336" w:lineRule="auto"/>
        <w:ind w:firstLine="151" w:firstLineChars="50"/>
        <w:rPr>
          <w:rFonts w:hAnsi="宋体" w:cs="宋体"/>
          <w:b/>
          <w:sz w:val="30"/>
          <w:szCs w:val="30"/>
        </w:rPr>
      </w:pPr>
      <w:r>
        <w:rPr>
          <w:rFonts w:hint="eastAsia" w:hAnsi="宋体" w:cs="宋体"/>
          <w:b/>
          <w:sz w:val="30"/>
          <w:szCs w:val="30"/>
        </w:rPr>
        <w:t>电    话：029-89338755/81511576</w:t>
      </w:r>
    </w:p>
    <w:p>
      <w:pPr>
        <w:autoSpaceDE w:val="0"/>
        <w:autoSpaceDN w:val="0"/>
        <w:spacing w:line="336" w:lineRule="auto"/>
        <w:ind w:firstLine="151" w:firstLineChars="50"/>
        <w:rPr>
          <w:rFonts w:hint="eastAsia" w:hAnsi="宋体" w:eastAsia="宋体" w:cs="宋体"/>
          <w:b/>
          <w:sz w:val="30"/>
          <w:szCs w:val="30"/>
          <w:lang w:eastAsia="zh-CN"/>
        </w:rPr>
      </w:pPr>
      <w:r>
        <w:rPr>
          <w:rFonts w:hint="eastAsia" w:hAnsi="宋体" w:cs="宋体"/>
          <w:b/>
          <w:sz w:val="30"/>
          <w:szCs w:val="30"/>
        </w:rPr>
        <w:t>传    真：</w:t>
      </w:r>
      <w:r>
        <w:rPr>
          <w:rFonts w:hint="eastAsia" w:hAnsi="宋体" w:cs="宋体"/>
          <w:b/>
          <w:sz w:val="30"/>
          <w:szCs w:val="30"/>
          <w:lang w:eastAsia="zh-CN"/>
        </w:rPr>
        <w:t>029-89338755/81511576转804</w:t>
      </w:r>
    </w:p>
    <w:p>
      <w:pPr>
        <w:autoSpaceDE w:val="0"/>
        <w:autoSpaceDN w:val="0"/>
        <w:spacing w:line="336" w:lineRule="auto"/>
        <w:ind w:firstLine="151" w:firstLineChars="50"/>
      </w:pPr>
      <w:r>
        <w:rPr>
          <w:rFonts w:hint="eastAsia" w:hAnsi="宋体" w:cs="宋体"/>
          <w:b/>
          <w:sz w:val="30"/>
          <w:szCs w:val="30"/>
        </w:rPr>
        <w:t>邮    编：710054</w:t>
      </w:r>
    </w:p>
    <w:sectPr>
      <w:footerReference r:id="rId13" w:type="default"/>
      <w:pgSz w:w="11906" w:h="16838"/>
      <w:pgMar w:top="1417" w:right="1417" w:bottom="1417" w:left="1417" w:header="992" w:footer="992" w:gutter="170"/>
      <w:pgNumType w:fmt="decimal" w:start="1"/>
      <w:cols w:space="0" w:num="1"/>
      <w:docGrid w:type="lines" w:linePitch="33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single" w:color="auto" w:sz="4" w:space="1"/>
        <w:left w:val="none" w:color="auto" w:sz="0" w:space="4"/>
        <w:bottom w:val="none" w:color="auto" w:sz="0" w:space="1"/>
        <w:right w:val="none" w:color="auto" w:sz="0" w:space="4"/>
      </w:pBdr>
      <w:jc w:val="both"/>
      <w:rPr>
        <w:rFonts w:ascii="宋体" w:hAnsi="宋体" w:cs="宋体"/>
      </w:rPr>
    </w:pPr>
    <w:r>
      <w:rPr>
        <w:rFonts w:hint="eastAsia" w:ascii="宋体" w:hAnsi="宋体" w:cs="宋体"/>
        <w:lang w:eastAsia="zh-CN"/>
      </w:rPr>
      <w:t>陕西正鸿项目管理有限公司</w:t>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电话：029-89338755/81511576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single" w:color="auto" w:sz="4" w:space="1"/>
        <w:left w:val="none" w:color="auto" w:sz="0" w:space="4"/>
        <w:bottom w:val="none" w:color="auto" w:sz="0" w:space="1"/>
        <w:right w:val="none" w:color="auto" w:sz="0" w:space="4"/>
      </w:pBdr>
      <w:jc w:val="right"/>
      <w:rPr>
        <w:rFonts w:hint="eastAsia" w:eastAsia="宋体"/>
        <w:lang w:eastAsia="zh-C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宋体" w:hAnsi="宋体" w:cs="宋体"/>
        <w:lang w:eastAsia="zh-CN"/>
      </w:rPr>
      <w:t>陕西正鸿项目管理有限公司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single" w:color="auto" w:sz="4" w:space="1"/>
        <w:left w:val="none" w:color="auto" w:sz="0" w:space="4"/>
        <w:bottom w:val="none" w:color="auto" w:sz="0" w:space="1"/>
        <w:right w:val="none" w:color="auto" w:sz="0" w:space="4"/>
      </w:pBdr>
      <w:jc w:val="both"/>
      <w:rPr>
        <w:rFonts w:ascii="宋体" w:hAnsi="宋体" w:cs="宋体"/>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w:rPr>
        <w:rFonts w:hint="eastAsia" w:ascii="宋体" w:hAnsi="宋体" w:cs="宋体"/>
        <w:lang w:eastAsia="zh-CN"/>
      </w:rPr>
      <w:t>陕西正鸿项目管理有限公司</w:t>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电话：029-89338755/81511576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single" w:color="auto" w:sz="4" w:space="1"/>
        <w:left w:val="none" w:color="auto" w:sz="0" w:space="4"/>
        <w:bottom w:val="none" w:color="auto" w:sz="0" w:space="1"/>
        <w:right w:val="none" w:color="auto" w:sz="0" w:space="4"/>
      </w:pBdr>
      <w:jc w:val="right"/>
      <w:rPr>
        <w:rFonts w:hint="eastAsia" w:eastAsia="宋体"/>
        <w:lang w:eastAsia="zh-CN"/>
      </w:rPr>
    </w:pPr>
    <w:r>
      <w:rPr>
        <w:rFonts w:hint="eastAsia" w:ascii="宋体" w:hAnsi="宋体" w:cs="宋体"/>
        <w:lang w:eastAsia="zh-CN"/>
      </w:rPr>
      <w:t>陕西正鸿项目管理有限公司</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single" w:color="auto" w:sz="4" w:space="1"/>
        <w:left w:val="none" w:color="auto" w:sz="0" w:space="4"/>
        <w:bottom w:val="none" w:color="auto" w:sz="0" w:space="1"/>
        <w:right w:val="none" w:color="auto" w:sz="0" w:space="4"/>
      </w:pBdr>
      <w:jc w:val="both"/>
      <w:rPr>
        <w:rFonts w:ascii="宋体" w:hAnsi="宋体" w:cs="宋体"/>
      </w:rPr>
    </w:pPr>
    <w:r>
      <w:rPr>
        <w:rFonts w:hint="eastAsia" w:ascii="宋体" w:hAnsi="宋体" w:cs="宋体"/>
        <w:lang w:eastAsia="zh-CN"/>
      </w:rPr>
      <w:t>陕西正鸿项目管理有限公司</w:t>
    </w:r>
    <w:r>
      <w:rPr>
        <w:rFonts w:hint="eastAsia" w:ascii="宋体" w:hAnsi="宋体" w:cs="宋体"/>
      </w:rPr>
      <w:t xml:space="preserve">                                             电话：029-89338755/81511576</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none" w:color="auto" w:sz="0" w:space="1"/>
        <w:left w:val="none" w:color="auto" w:sz="0" w:space="4"/>
        <w:bottom w:val="none" w:color="auto" w:sz="0" w:space="1"/>
        <w:right w:val="none" w:color="auto" w:sz="0" w:space="4"/>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hint="default" w:eastAsia="宋体"/>
        <w:sz w:val="18"/>
        <w:szCs w:val="18"/>
        <w:lang w:val="en-US" w:eastAsia="zh-CN"/>
      </w:rPr>
    </w:pPr>
    <w:r>
      <w:rPr>
        <w:rFonts w:hint="eastAsia" w:ascii="宋体" w:hAnsi="宋体" w:cs="宋体"/>
        <w:sz w:val="18"/>
        <w:szCs w:val="18"/>
        <w:lang w:val="en-US" w:eastAsia="zh-CN"/>
      </w:rPr>
      <w:t>项目名称：</w:t>
    </w:r>
    <w:r>
      <w:rPr>
        <w:rFonts w:hint="eastAsia" w:ascii="宋体" w:hAnsi="宋体" w:cs="宋体"/>
        <w:sz w:val="18"/>
        <w:szCs w:val="18"/>
        <w:lang w:eastAsia="zh-CN"/>
      </w:rPr>
      <w:t>西安科技大学食堂米面油采购项目</w:t>
    </w:r>
    <w:r>
      <w:rPr>
        <w:rFonts w:hint="eastAsia" w:ascii="宋体" w:hAnsi="宋体" w:cs="宋体"/>
        <w:sz w:val="18"/>
        <w:szCs w:val="18"/>
        <w:lang w:val="en-US" w:eastAsia="zh-CN"/>
      </w:rPr>
      <w:t xml:space="preserve">                         项目编号: ZHZB-2023-GK-06027</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rFonts w:hint="eastAsia" w:ascii="宋体" w:hAnsi="宋体" w:cs="宋体"/>
      </w:rPr>
      <w:t>西安科技大学原位红外光谱仪等仪器设备购置项目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4DEC7"/>
    <w:multiLevelType w:val="singleLevel"/>
    <w:tmpl w:val="8134DEC7"/>
    <w:lvl w:ilvl="0" w:tentative="0">
      <w:start w:val="1"/>
      <w:numFmt w:val="decimal"/>
      <w:suff w:val="nothing"/>
      <w:lvlText w:val="（%1）"/>
      <w:lvlJc w:val="left"/>
    </w:lvl>
  </w:abstractNum>
  <w:abstractNum w:abstractNumId="1">
    <w:nsid w:val="9566FF33"/>
    <w:multiLevelType w:val="singleLevel"/>
    <w:tmpl w:val="9566FF33"/>
    <w:lvl w:ilvl="0" w:tentative="0">
      <w:start w:val="1"/>
      <w:numFmt w:val="decimal"/>
      <w:suff w:val="nothing"/>
      <w:lvlText w:val="（%1）"/>
      <w:lvlJc w:val="left"/>
    </w:lvl>
  </w:abstractNum>
  <w:abstractNum w:abstractNumId="2">
    <w:nsid w:val="EE8EF7AD"/>
    <w:multiLevelType w:val="singleLevel"/>
    <w:tmpl w:val="EE8EF7AD"/>
    <w:lvl w:ilvl="0" w:tentative="0">
      <w:start w:val="1"/>
      <w:numFmt w:val="decimal"/>
      <w:suff w:val="nothing"/>
      <w:lvlText w:val="（%1）"/>
      <w:lvlJc w:val="left"/>
    </w:lvl>
  </w:abstractNum>
  <w:abstractNum w:abstractNumId="3">
    <w:nsid w:val="F95E04C3"/>
    <w:multiLevelType w:val="singleLevel"/>
    <w:tmpl w:val="F95E04C3"/>
    <w:lvl w:ilvl="0" w:tentative="0">
      <w:start w:val="1"/>
      <w:numFmt w:val="decimal"/>
      <w:suff w:val="nothing"/>
      <w:lvlText w:val="（%1）"/>
      <w:lvlJc w:val="left"/>
    </w:lvl>
  </w:abstractNum>
  <w:abstractNum w:abstractNumId="4">
    <w:nsid w:val="14B66CD3"/>
    <w:multiLevelType w:val="singleLevel"/>
    <w:tmpl w:val="14B66CD3"/>
    <w:lvl w:ilvl="0" w:tentative="0">
      <w:start w:val="1"/>
      <w:numFmt w:val="chineseCounting"/>
      <w:suff w:val="nothing"/>
      <w:lvlText w:val="%1、"/>
      <w:lvlJc w:val="left"/>
      <w:rPr>
        <w:rFonts w:hint="eastAsia"/>
      </w:rPr>
    </w:lvl>
  </w:abstractNum>
  <w:abstractNum w:abstractNumId="5">
    <w:nsid w:val="2905323D"/>
    <w:multiLevelType w:val="singleLevel"/>
    <w:tmpl w:val="2905323D"/>
    <w:lvl w:ilvl="0" w:tentative="0">
      <w:start w:val="1"/>
      <w:numFmt w:val="decimal"/>
      <w:lvlText w:val="%1."/>
      <w:lvlJc w:val="left"/>
      <w:pPr>
        <w:tabs>
          <w:tab w:val="left" w:pos="312"/>
        </w:tabs>
      </w:pPr>
    </w:lvl>
  </w:abstractNum>
  <w:abstractNum w:abstractNumId="6">
    <w:nsid w:val="3E65451F"/>
    <w:multiLevelType w:val="singleLevel"/>
    <w:tmpl w:val="3E65451F"/>
    <w:lvl w:ilvl="0" w:tentative="0">
      <w:start w:val="1"/>
      <w:numFmt w:val="decimal"/>
      <w:lvlText w:val="%1."/>
      <w:lvlJc w:val="left"/>
      <w:pPr>
        <w:tabs>
          <w:tab w:val="left" w:pos="312"/>
        </w:tabs>
      </w:pPr>
    </w:lvl>
  </w:abstractNum>
  <w:abstractNum w:abstractNumId="7">
    <w:nsid w:val="415EDC6E"/>
    <w:multiLevelType w:val="singleLevel"/>
    <w:tmpl w:val="415EDC6E"/>
    <w:lvl w:ilvl="0" w:tentative="0">
      <w:start w:val="1"/>
      <w:numFmt w:val="decimal"/>
      <w:suff w:val="nothing"/>
      <w:lvlText w:val="（%1）"/>
      <w:lvlJc w:val="left"/>
    </w:lvl>
  </w:abstractNum>
  <w:abstractNum w:abstractNumId="8">
    <w:nsid w:val="662FDB59"/>
    <w:multiLevelType w:val="singleLevel"/>
    <w:tmpl w:val="662FDB59"/>
    <w:lvl w:ilvl="0" w:tentative="0">
      <w:start w:val="1"/>
      <w:numFmt w:val="decimal"/>
      <w:suff w:val="nothing"/>
      <w:lvlText w:val="（%1）"/>
      <w:lvlJc w:val="left"/>
    </w:lvl>
  </w:abstractNum>
  <w:abstractNum w:abstractNumId="9">
    <w:nsid w:val="6A6D7696"/>
    <w:multiLevelType w:val="singleLevel"/>
    <w:tmpl w:val="6A6D7696"/>
    <w:lvl w:ilvl="0" w:tentative="0">
      <w:start w:val="1"/>
      <w:numFmt w:val="decimal"/>
      <w:suff w:val="nothing"/>
      <w:lvlText w:val="（%1）"/>
      <w:lvlJc w:val="left"/>
    </w:lvl>
  </w:abstractNum>
  <w:abstractNum w:abstractNumId="10">
    <w:nsid w:val="79481A72"/>
    <w:multiLevelType w:val="singleLevel"/>
    <w:tmpl w:val="79481A72"/>
    <w:lvl w:ilvl="0" w:tentative="0">
      <w:start w:val="1"/>
      <w:numFmt w:val="decimal"/>
      <w:suff w:val="nothing"/>
      <w:lvlText w:val="（%1）"/>
      <w:lvlJc w:val="left"/>
    </w:lvl>
  </w:abstractNum>
  <w:abstractNum w:abstractNumId="11">
    <w:nsid w:val="7FED382A"/>
    <w:multiLevelType w:val="singleLevel"/>
    <w:tmpl w:val="7FED382A"/>
    <w:lvl w:ilvl="0" w:tentative="0">
      <w:start w:val="1"/>
      <w:numFmt w:val="decimal"/>
      <w:suff w:val="nothing"/>
      <w:lvlText w:val="（%1）"/>
      <w:lvlJc w:val="left"/>
    </w:lvl>
  </w:abstractNum>
  <w:num w:numId="1">
    <w:abstractNumId w:val="11"/>
  </w:num>
  <w:num w:numId="2">
    <w:abstractNumId w:val="7"/>
  </w:num>
  <w:num w:numId="3">
    <w:abstractNumId w:val="9"/>
  </w:num>
  <w:num w:numId="4">
    <w:abstractNumId w:val="0"/>
  </w:num>
  <w:num w:numId="5">
    <w:abstractNumId w:val="8"/>
  </w:num>
  <w:num w:numId="6">
    <w:abstractNumId w:val="1"/>
  </w:num>
  <w:num w:numId="7">
    <w:abstractNumId w:val="10"/>
  </w:num>
  <w:num w:numId="8">
    <w:abstractNumId w:val="2"/>
  </w:num>
  <w:num w:numId="9">
    <w:abstractNumId w:val="3"/>
  </w:num>
  <w:num w:numId="10">
    <w:abstractNumId w:val="4"/>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0MWExYzZhN2MyNGJiNTVhNDFjN2I1MzgyYTEyNWYifQ=="/>
  </w:docVars>
  <w:rsids>
    <w:rsidRoot w:val="7AE25B78"/>
    <w:rsid w:val="00004274"/>
    <w:rsid w:val="0001258B"/>
    <w:rsid w:val="000613DA"/>
    <w:rsid w:val="000D34B5"/>
    <w:rsid w:val="001422BB"/>
    <w:rsid w:val="001B3100"/>
    <w:rsid w:val="0029522A"/>
    <w:rsid w:val="00333A2A"/>
    <w:rsid w:val="00354009"/>
    <w:rsid w:val="003E24CE"/>
    <w:rsid w:val="00404BBF"/>
    <w:rsid w:val="00414165"/>
    <w:rsid w:val="00433E9E"/>
    <w:rsid w:val="004F46DE"/>
    <w:rsid w:val="00511E52"/>
    <w:rsid w:val="005A6186"/>
    <w:rsid w:val="006826B6"/>
    <w:rsid w:val="006D4030"/>
    <w:rsid w:val="0070789E"/>
    <w:rsid w:val="007823FE"/>
    <w:rsid w:val="007A6F63"/>
    <w:rsid w:val="00801407"/>
    <w:rsid w:val="00854971"/>
    <w:rsid w:val="008E6E7E"/>
    <w:rsid w:val="009C73FB"/>
    <w:rsid w:val="00A05765"/>
    <w:rsid w:val="00A27217"/>
    <w:rsid w:val="00A53B1C"/>
    <w:rsid w:val="00A74636"/>
    <w:rsid w:val="00A91AB7"/>
    <w:rsid w:val="00AD6391"/>
    <w:rsid w:val="00B01E72"/>
    <w:rsid w:val="00B44170"/>
    <w:rsid w:val="00E87F9A"/>
    <w:rsid w:val="00EC102A"/>
    <w:rsid w:val="00EC4119"/>
    <w:rsid w:val="00F61512"/>
    <w:rsid w:val="010A7413"/>
    <w:rsid w:val="015730B8"/>
    <w:rsid w:val="01731E98"/>
    <w:rsid w:val="01880389"/>
    <w:rsid w:val="0189524B"/>
    <w:rsid w:val="01956426"/>
    <w:rsid w:val="01E87408"/>
    <w:rsid w:val="02180B21"/>
    <w:rsid w:val="021D31FA"/>
    <w:rsid w:val="02405AB9"/>
    <w:rsid w:val="024C4F46"/>
    <w:rsid w:val="02693733"/>
    <w:rsid w:val="026E31DD"/>
    <w:rsid w:val="027C5214"/>
    <w:rsid w:val="029E741B"/>
    <w:rsid w:val="02A22865"/>
    <w:rsid w:val="02B166E4"/>
    <w:rsid w:val="02DA4287"/>
    <w:rsid w:val="02DA4630"/>
    <w:rsid w:val="02E26B03"/>
    <w:rsid w:val="02E37B11"/>
    <w:rsid w:val="031659B2"/>
    <w:rsid w:val="03266ABC"/>
    <w:rsid w:val="032E3CEC"/>
    <w:rsid w:val="0332366F"/>
    <w:rsid w:val="03406959"/>
    <w:rsid w:val="0346073A"/>
    <w:rsid w:val="035C54CC"/>
    <w:rsid w:val="037F49E9"/>
    <w:rsid w:val="038C592B"/>
    <w:rsid w:val="03A270ED"/>
    <w:rsid w:val="040F6FF6"/>
    <w:rsid w:val="04161698"/>
    <w:rsid w:val="041814D9"/>
    <w:rsid w:val="04194790"/>
    <w:rsid w:val="041A2016"/>
    <w:rsid w:val="042C05E8"/>
    <w:rsid w:val="047C12A1"/>
    <w:rsid w:val="047F64F9"/>
    <w:rsid w:val="04936AD7"/>
    <w:rsid w:val="04A708BB"/>
    <w:rsid w:val="04BE5FB8"/>
    <w:rsid w:val="04F459FA"/>
    <w:rsid w:val="04F55751"/>
    <w:rsid w:val="04F574FF"/>
    <w:rsid w:val="052102F4"/>
    <w:rsid w:val="055B748B"/>
    <w:rsid w:val="055D5BFC"/>
    <w:rsid w:val="056D52E8"/>
    <w:rsid w:val="058368B9"/>
    <w:rsid w:val="05910AD7"/>
    <w:rsid w:val="05AB7BBE"/>
    <w:rsid w:val="05DA7F06"/>
    <w:rsid w:val="06333507"/>
    <w:rsid w:val="063911AC"/>
    <w:rsid w:val="06391E01"/>
    <w:rsid w:val="064D5098"/>
    <w:rsid w:val="067A22AA"/>
    <w:rsid w:val="067F2B16"/>
    <w:rsid w:val="069B1796"/>
    <w:rsid w:val="07046AFB"/>
    <w:rsid w:val="07160CB9"/>
    <w:rsid w:val="072B0FB7"/>
    <w:rsid w:val="07302A71"/>
    <w:rsid w:val="07383BBB"/>
    <w:rsid w:val="07586442"/>
    <w:rsid w:val="07681496"/>
    <w:rsid w:val="07900051"/>
    <w:rsid w:val="07AC487B"/>
    <w:rsid w:val="07AF6E88"/>
    <w:rsid w:val="07B4336F"/>
    <w:rsid w:val="07C5391D"/>
    <w:rsid w:val="07C733D5"/>
    <w:rsid w:val="07E60849"/>
    <w:rsid w:val="07F1360F"/>
    <w:rsid w:val="0805139F"/>
    <w:rsid w:val="080B2583"/>
    <w:rsid w:val="08101F09"/>
    <w:rsid w:val="081606F5"/>
    <w:rsid w:val="08423412"/>
    <w:rsid w:val="08477B45"/>
    <w:rsid w:val="085B40C2"/>
    <w:rsid w:val="086A63A0"/>
    <w:rsid w:val="08773E4A"/>
    <w:rsid w:val="08803AA5"/>
    <w:rsid w:val="08836904"/>
    <w:rsid w:val="088F4710"/>
    <w:rsid w:val="089F3D42"/>
    <w:rsid w:val="08D75366"/>
    <w:rsid w:val="08DE5572"/>
    <w:rsid w:val="08E61FB6"/>
    <w:rsid w:val="09102123"/>
    <w:rsid w:val="0912033F"/>
    <w:rsid w:val="09122582"/>
    <w:rsid w:val="09267C63"/>
    <w:rsid w:val="092E3F47"/>
    <w:rsid w:val="094D3648"/>
    <w:rsid w:val="09A11F9E"/>
    <w:rsid w:val="09AF0CBE"/>
    <w:rsid w:val="09D41182"/>
    <w:rsid w:val="09E35B78"/>
    <w:rsid w:val="09E66C80"/>
    <w:rsid w:val="09EE751B"/>
    <w:rsid w:val="0A0C303F"/>
    <w:rsid w:val="0A0D0790"/>
    <w:rsid w:val="0A117F61"/>
    <w:rsid w:val="0A2A66DF"/>
    <w:rsid w:val="0A310CEF"/>
    <w:rsid w:val="0A413699"/>
    <w:rsid w:val="0A6712C7"/>
    <w:rsid w:val="0A984BB5"/>
    <w:rsid w:val="0AB357F8"/>
    <w:rsid w:val="0ACE3033"/>
    <w:rsid w:val="0AE84E46"/>
    <w:rsid w:val="0AF0679F"/>
    <w:rsid w:val="0AF85654"/>
    <w:rsid w:val="0AF953DB"/>
    <w:rsid w:val="0B34104E"/>
    <w:rsid w:val="0B352516"/>
    <w:rsid w:val="0B3A365D"/>
    <w:rsid w:val="0B444DFD"/>
    <w:rsid w:val="0B6836AB"/>
    <w:rsid w:val="0B705D54"/>
    <w:rsid w:val="0B7D3DAB"/>
    <w:rsid w:val="0B8B4ADE"/>
    <w:rsid w:val="0B8E6FE3"/>
    <w:rsid w:val="0BB92EDF"/>
    <w:rsid w:val="0C112E71"/>
    <w:rsid w:val="0C1F42E6"/>
    <w:rsid w:val="0C3E6991"/>
    <w:rsid w:val="0CA85ABB"/>
    <w:rsid w:val="0CF86FF1"/>
    <w:rsid w:val="0D151C6A"/>
    <w:rsid w:val="0D496A50"/>
    <w:rsid w:val="0D936E2E"/>
    <w:rsid w:val="0DD10C89"/>
    <w:rsid w:val="0DD42148"/>
    <w:rsid w:val="0DEB7FE4"/>
    <w:rsid w:val="0E4C792D"/>
    <w:rsid w:val="0E511C4A"/>
    <w:rsid w:val="0E763A4A"/>
    <w:rsid w:val="0EAC77FD"/>
    <w:rsid w:val="0EAF52D8"/>
    <w:rsid w:val="0ED308B1"/>
    <w:rsid w:val="0EEA088F"/>
    <w:rsid w:val="0EFF5E27"/>
    <w:rsid w:val="0F1B18C8"/>
    <w:rsid w:val="0F1F53BC"/>
    <w:rsid w:val="0F2C1D70"/>
    <w:rsid w:val="0F41440A"/>
    <w:rsid w:val="0F516138"/>
    <w:rsid w:val="0F566A47"/>
    <w:rsid w:val="0F693D65"/>
    <w:rsid w:val="0F760432"/>
    <w:rsid w:val="0F8561FD"/>
    <w:rsid w:val="0F9B0AB5"/>
    <w:rsid w:val="0FAB3C9F"/>
    <w:rsid w:val="0FB63842"/>
    <w:rsid w:val="0FBC75D7"/>
    <w:rsid w:val="0FFF2AA1"/>
    <w:rsid w:val="1013339C"/>
    <w:rsid w:val="10340862"/>
    <w:rsid w:val="1036371D"/>
    <w:rsid w:val="104B11D6"/>
    <w:rsid w:val="1053067F"/>
    <w:rsid w:val="1079051D"/>
    <w:rsid w:val="10A70038"/>
    <w:rsid w:val="10E956B0"/>
    <w:rsid w:val="11132F96"/>
    <w:rsid w:val="11381592"/>
    <w:rsid w:val="1142004A"/>
    <w:rsid w:val="11473B81"/>
    <w:rsid w:val="114A0BD3"/>
    <w:rsid w:val="116F5288"/>
    <w:rsid w:val="11A82E08"/>
    <w:rsid w:val="11AF2E20"/>
    <w:rsid w:val="11C32A09"/>
    <w:rsid w:val="11DF44BB"/>
    <w:rsid w:val="11F3331F"/>
    <w:rsid w:val="123A47A4"/>
    <w:rsid w:val="12480071"/>
    <w:rsid w:val="12617F82"/>
    <w:rsid w:val="1262060D"/>
    <w:rsid w:val="1272150B"/>
    <w:rsid w:val="12826BF8"/>
    <w:rsid w:val="12AA36D7"/>
    <w:rsid w:val="12B35398"/>
    <w:rsid w:val="12CC1E8D"/>
    <w:rsid w:val="12DC289E"/>
    <w:rsid w:val="132B26CE"/>
    <w:rsid w:val="13733A6E"/>
    <w:rsid w:val="1387770E"/>
    <w:rsid w:val="13880A02"/>
    <w:rsid w:val="139A657A"/>
    <w:rsid w:val="13A22600"/>
    <w:rsid w:val="13B43BFC"/>
    <w:rsid w:val="13C815E3"/>
    <w:rsid w:val="13CE3182"/>
    <w:rsid w:val="13E501D2"/>
    <w:rsid w:val="13F77EF1"/>
    <w:rsid w:val="14020171"/>
    <w:rsid w:val="144F2247"/>
    <w:rsid w:val="145002AE"/>
    <w:rsid w:val="147F1A5B"/>
    <w:rsid w:val="14863CD0"/>
    <w:rsid w:val="149E2DCC"/>
    <w:rsid w:val="14BA2B15"/>
    <w:rsid w:val="14C42141"/>
    <w:rsid w:val="14D45089"/>
    <w:rsid w:val="14D835AD"/>
    <w:rsid w:val="14E31B9D"/>
    <w:rsid w:val="14EE37AD"/>
    <w:rsid w:val="15252B80"/>
    <w:rsid w:val="15340194"/>
    <w:rsid w:val="153951E6"/>
    <w:rsid w:val="15415E49"/>
    <w:rsid w:val="156C3AD3"/>
    <w:rsid w:val="15763D45"/>
    <w:rsid w:val="158E65D9"/>
    <w:rsid w:val="15993EBF"/>
    <w:rsid w:val="15A707C8"/>
    <w:rsid w:val="15BB041A"/>
    <w:rsid w:val="15CC5CDB"/>
    <w:rsid w:val="162F15A1"/>
    <w:rsid w:val="168112F9"/>
    <w:rsid w:val="168D7598"/>
    <w:rsid w:val="16AD798C"/>
    <w:rsid w:val="16B76111"/>
    <w:rsid w:val="16B965DF"/>
    <w:rsid w:val="16CC4534"/>
    <w:rsid w:val="16CF0FA6"/>
    <w:rsid w:val="16ED44DA"/>
    <w:rsid w:val="16FB0571"/>
    <w:rsid w:val="16FB2A4A"/>
    <w:rsid w:val="171262B0"/>
    <w:rsid w:val="17175C31"/>
    <w:rsid w:val="171D6079"/>
    <w:rsid w:val="174C1852"/>
    <w:rsid w:val="17831132"/>
    <w:rsid w:val="180D6406"/>
    <w:rsid w:val="1822034B"/>
    <w:rsid w:val="18300B23"/>
    <w:rsid w:val="187D3982"/>
    <w:rsid w:val="188F2761"/>
    <w:rsid w:val="189074F1"/>
    <w:rsid w:val="189225DB"/>
    <w:rsid w:val="189866C8"/>
    <w:rsid w:val="189B79CA"/>
    <w:rsid w:val="189D2ACE"/>
    <w:rsid w:val="18A36FF2"/>
    <w:rsid w:val="18A95D9E"/>
    <w:rsid w:val="18EB4791"/>
    <w:rsid w:val="19111B3E"/>
    <w:rsid w:val="19341F4D"/>
    <w:rsid w:val="193C5B0D"/>
    <w:rsid w:val="19806B15"/>
    <w:rsid w:val="19A27FEF"/>
    <w:rsid w:val="19AA6AC5"/>
    <w:rsid w:val="19C5409B"/>
    <w:rsid w:val="19D479CC"/>
    <w:rsid w:val="19D7412C"/>
    <w:rsid w:val="19DD23AF"/>
    <w:rsid w:val="19F519C3"/>
    <w:rsid w:val="1A025D13"/>
    <w:rsid w:val="1A0F3868"/>
    <w:rsid w:val="1A1177E8"/>
    <w:rsid w:val="1A1B35B4"/>
    <w:rsid w:val="1A3450B4"/>
    <w:rsid w:val="1A366B7F"/>
    <w:rsid w:val="1A5328A6"/>
    <w:rsid w:val="1A5416BA"/>
    <w:rsid w:val="1A6A1947"/>
    <w:rsid w:val="1A754190"/>
    <w:rsid w:val="1A7D025E"/>
    <w:rsid w:val="1AC35C7E"/>
    <w:rsid w:val="1AC54EF0"/>
    <w:rsid w:val="1AD87250"/>
    <w:rsid w:val="1AF3784E"/>
    <w:rsid w:val="1B0C23A3"/>
    <w:rsid w:val="1B132036"/>
    <w:rsid w:val="1B2F0CBE"/>
    <w:rsid w:val="1B525F94"/>
    <w:rsid w:val="1BEC4561"/>
    <w:rsid w:val="1C067F19"/>
    <w:rsid w:val="1C142407"/>
    <w:rsid w:val="1C2451F6"/>
    <w:rsid w:val="1C287CE9"/>
    <w:rsid w:val="1C6E1C1A"/>
    <w:rsid w:val="1C803179"/>
    <w:rsid w:val="1CA43CC6"/>
    <w:rsid w:val="1CE62F33"/>
    <w:rsid w:val="1CFC5477"/>
    <w:rsid w:val="1D0460DA"/>
    <w:rsid w:val="1D0677CA"/>
    <w:rsid w:val="1DB40754"/>
    <w:rsid w:val="1DD71A40"/>
    <w:rsid w:val="1E39730B"/>
    <w:rsid w:val="1E79294F"/>
    <w:rsid w:val="1E892D3B"/>
    <w:rsid w:val="1EAB3724"/>
    <w:rsid w:val="1EAD4814"/>
    <w:rsid w:val="1ECF42FE"/>
    <w:rsid w:val="1EE85463"/>
    <w:rsid w:val="1EF41F53"/>
    <w:rsid w:val="1F1E0B22"/>
    <w:rsid w:val="1F663EA5"/>
    <w:rsid w:val="1F7B45E9"/>
    <w:rsid w:val="1F8D248A"/>
    <w:rsid w:val="1FB479E8"/>
    <w:rsid w:val="1FB83462"/>
    <w:rsid w:val="20120B0E"/>
    <w:rsid w:val="201A5A08"/>
    <w:rsid w:val="201B4D96"/>
    <w:rsid w:val="201E6E8F"/>
    <w:rsid w:val="20815A00"/>
    <w:rsid w:val="209F3264"/>
    <w:rsid w:val="20A97100"/>
    <w:rsid w:val="20AC2D10"/>
    <w:rsid w:val="20B04CCB"/>
    <w:rsid w:val="21360F1E"/>
    <w:rsid w:val="218912A4"/>
    <w:rsid w:val="21B7196D"/>
    <w:rsid w:val="21C71571"/>
    <w:rsid w:val="21D360B9"/>
    <w:rsid w:val="21D72D98"/>
    <w:rsid w:val="21D83FDC"/>
    <w:rsid w:val="21E415F0"/>
    <w:rsid w:val="21F53B22"/>
    <w:rsid w:val="22010E3A"/>
    <w:rsid w:val="22082DA6"/>
    <w:rsid w:val="22216DC4"/>
    <w:rsid w:val="22244B28"/>
    <w:rsid w:val="222601C6"/>
    <w:rsid w:val="224F66CC"/>
    <w:rsid w:val="224F6D74"/>
    <w:rsid w:val="225A0D66"/>
    <w:rsid w:val="225F693D"/>
    <w:rsid w:val="22755063"/>
    <w:rsid w:val="22864680"/>
    <w:rsid w:val="228D0920"/>
    <w:rsid w:val="228D242C"/>
    <w:rsid w:val="22A302F4"/>
    <w:rsid w:val="22BE751D"/>
    <w:rsid w:val="22F81FF1"/>
    <w:rsid w:val="22FE3FA3"/>
    <w:rsid w:val="23184A22"/>
    <w:rsid w:val="23691858"/>
    <w:rsid w:val="237D6BE6"/>
    <w:rsid w:val="23963F3B"/>
    <w:rsid w:val="23AD677C"/>
    <w:rsid w:val="23BB7759"/>
    <w:rsid w:val="23D33D53"/>
    <w:rsid w:val="23F02417"/>
    <w:rsid w:val="23F17B1E"/>
    <w:rsid w:val="23FE2D70"/>
    <w:rsid w:val="241556C2"/>
    <w:rsid w:val="24166FC9"/>
    <w:rsid w:val="242014A1"/>
    <w:rsid w:val="24B21DA9"/>
    <w:rsid w:val="24B42F60"/>
    <w:rsid w:val="24CA19B7"/>
    <w:rsid w:val="24D35E9C"/>
    <w:rsid w:val="24D5280D"/>
    <w:rsid w:val="24E92817"/>
    <w:rsid w:val="24F829C8"/>
    <w:rsid w:val="24FB5E68"/>
    <w:rsid w:val="24FC08B9"/>
    <w:rsid w:val="250561D2"/>
    <w:rsid w:val="25137802"/>
    <w:rsid w:val="251F61A7"/>
    <w:rsid w:val="252A6BAF"/>
    <w:rsid w:val="25356248"/>
    <w:rsid w:val="253C7D50"/>
    <w:rsid w:val="254F010E"/>
    <w:rsid w:val="25651FC9"/>
    <w:rsid w:val="259737E8"/>
    <w:rsid w:val="25A91F7B"/>
    <w:rsid w:val="25C161BA"/>
    <w:rsid w:val="25CC2205"/>
    <w:rsid w:val="25DD18F7"/>
    <w:rsid w:val="261D3339"/>
    <w:rsid w:val="266E7F70"/>
    <w:rsid w:val="267B1B4D"/>
    <w:rsid w:val="26B92ED3"/>
    <w:rsid w:val="26C84483"/>
    <w:rsid w:val="26D96F3E"/>
    <w:rsid w:val="26E33204"/>
    <w:rsid w:val="26EC6832"/>
    <w:rsid w:val="26FD57FB"/>
    <w:rsid w:val="273121C1"/>
    <w:rsid w:val="279500AE"/>
    <w:rsid w:val="27D112AE"/>
    <w:rsid w:val="27D41DF6"/>
    <w:rsid w:val="27FC1D2E"/>
    <w:rsid w:val="280460B9"/>
    <w:rsid w:val="28085355"/>
    <w:rsid w:val="281B64C1"/>
    <w:rsid w:val="28525702"/>
    <w:rsid w:val="28556BD3"/>
    <w:rsid w:val="285D68BA"/>
    <w:rsid w:val="28633F8A"/>
    <w:rsid w:val="287A097E"/>
    <w:rsid w:val="288A681B"/>
    <w:rsid w:val="288D7862"/>
    <w:rsid w:val="28904CC6"/>
    <w:rsid w:val="28AF15F0"/>
    <w:rsid w:val="28BA7F95"/>
    <w:rsid w:val="28C3764F"/>
    <w:rsid w:val="28E05C4D"/>
    <w:rsid w:val="28EB1606"/>
    <w:rsid w:val="28F1208A"/>
    <w:rsid w:val="2907413E"/>
    <w:rsid w:val="29820AB2"/>
    <w:rsid w:val="29D15596"/>
    <w:rsid w:val="29E04CEA"/>
    <w:rsid w:val="29EF19CF"/>
    <w:rsid w:val="2A2D12D8"/>
    <w:rsid w:val="2A5E5F22"/>
    <w:rsid w:val="2A9144DE"/>
    <w:rsid w:val="2AA36DE8"/>
    <w:rsid w:val="2AA67D85"/>
    <w:rsid w:val="2AB4113F"/>
    <w:rsid w:val="2AD46371"/>
    <w:rsid w:val="2ADE5764"/>
    <w:rsid w:val="2AEA2F25"/>
    <w:rsid w:val="2B1D0712"/>
    <w:rsid w:val="2B25203D"/>
    <w:rsid w:val="2B401DCE"/>
    <w:rsid w:val="2B486B30"/>
    <w:rsid w:val="2B495DDC"/>
    <w:rsid w:val="2B562E0C"/>
    <w:rsid w:val="2B710CDF"/>
    <w:rsid w:val="2B7D1944"/>
    <w:rsid w:val="2BBF3F85"/>
    <w:rsid w:val="2BF32D91"/>
    <w:rsid w:val="2BFF63EA"/>
    <w:rsid w:val="2C810CE5"/>
    <w:rsid w:val="2C8132A3"/>
    <w:rsid w:val="2C8F214A"/>
    <w:rsid w:val="2C94723B"/>
    <w:rsid w:val="2C9E4972"/>
    <w:rsid w:val="2CA23219"/>
    <w:rsid w:val="2CBC4CA2"/>
    <w:rsid w:val="2CC64E87"/>
    <w:rsid w:val="2CC80170"/>
    <w:rsid w:val="2CD35B4A"/>
    <w:rsid w:val="2D12039F"/>
    <w:rsid w:val="2D553F58"/>
    <w:rsid w:val="2D695F02"/>
    <w:rsid w:val="2D9931E5"/>
    <w:rsid w:val="2DA42C2A"/>
    <w:rsid w:val="2DCC579B"/>
    <w:rsid w:val="2DCD6027"/>
    <w:rsid w:val="2DEC7275"/>
    <w:rsid w:val="2DF34860"/>
    <w:rsid w:val="2E222639"/>
    <w:rsid w:val="2E4C0911"/>
    <w:rsid w:val="2E8157DC"/>
    <w:rsid w:val="2EC12F79"/>
    <w:rsid w:val="2EE928EA"/>
    <w:rsid w:val="2F516310"/>
    <w:rsid w:val="2F69213D"/>
    <w:rsid w:val="2F6B1289"/>
    <w:rsid w:val="2F757A66"/>
    <w:rsid w:val="2F8042D7"/>
    <w:rsid w:val="2FBA0542"/>
    <w:rsid w:val="3019253B"/>
    <w:rsid w:val="30360848"/>
    <w:rsid w:val="303F379C"/>
    <w:rsid w:val="30711881"/>
    <w:rsid w:val="308321C8"/>
    <w:rsid w:val="30B03386"/>
    <w:rsid w:val="30CE10A0"/>
    <w:rsid w:val="30CF60FF"/>
    <w:rsid w:val="31246E58"/>
    <w:rsid w:val="315513B9"/>
    <w:rsid w:val="315C3788"/>
    <w:rsid w:val="31672BFE"/>
    <w:rsid w:val="31800692"/>
    <w:rsid w:val="31985049"/>
    <w:rsid w:val="319A7B72"/>
    <w:rsid w:val="319C0784"/>
    <w:rsid w:val="319C0B7F"/>
    <w:rsid w:val="31AD4163"/>
    <w:rsid w:val="31AE23E6"/>
    <w:rsid w:val="31B63FAB"/>
    <w:rsid w:val="31C679AA"/>
    <w:rsid w:val="31C84B78"/>
    <w:rsid w:val="31E1653B"/>
    <w:rsid w:val="31EF0CAF"/>
    <w:rsid w:val="322E5B21"/>
    <w:rsid w:val="32422174"/>
    <w:rsid w:val="324C1DC4"/>
    <w:rsid w:val="32610562"/>
    <w:rsid w:val="326F2778"/>
    <w:rsid w:val="329D070B"/>
    <w:rsid w:val="32C01964"/>
    <w:rsid w:val="32CD2BE3"/>
    <w:rsid w:val="32CF5773"/>
    <w:rsid w:val="32DB1789"/>
    <w:rsid w:val="32DF00FE"/>
    <w:rsid w:val="32FA790B"/>
    <w:rsid w:val="33023AC9"/>
    <w:rsid w:val="33194345"/>
    <w:rsid w:val="33211838"/>
    <w:rsid w:val="33314D5E"/>
    <w:rsid w:val="33433A5B"/>
    <w:rsid w:val="334E3387"/>
    <w:rsid w:val="33680D19"/>
    <w:rsid w:val="33B4797A"/>
    <w:rsid w:val="33BF71A0"/>
    <w:rsid w:val="33D744FF"/>
    <w:rsid w:val="33D951B4"/>
    <w:rsid w:val="33E414E6"/>
    <w:rsid w:val="34091BF6"/>
    <w:rsid w:val="34296534"/>
    <w:rsid w:val="34537D85"/>
    <w:rsid w:val="34545E97"/>
    <w:rsid w:val="347744CB"/>
    <w:rsid w:val="34806536"/>
    <w:rsid w:val="349C700F"/>
    <w:rsid w:val="34D92B3B"/>
    <w:rsid w:val="34F23498"/>
    <w:rsid w:val="35464FF3"/>
    <w:rsid w:val="356D583A"/>
    <w:rsid w:val="35810BEA"/>
    <w:rsid w:val="3583008C"/>
    <w:rsid w:val="35BE6D4B"/>
    <w:rsid w:val="35FB37C2"/>
    <w:rsid w:val="36236F54"/>
    <w:rsid w:val="36604203"/>
    <w:rsid w:val="36621E8B"/>
    <w:rsid w:val="36760EF9"/>
    <w:rsid w:val="368247AC"/>
    <w:rsid w:val="368D556D"/>
    <w:rsid w:val="36C346E4"/>
    <w:rsid w:val="36C75462"/>
    <w:rsid w:val="36C84712"/>
    <w:rsid w:val="36E44B5A"/>
    <w:rsid w:val="36E81855"/>
    <w:rsid w:val="36F60275"/>
    <w:rsid w:val="371D5740"/>
    <w:rsid w:val="372C6501"/>
    <w:rsid w:val="374E6144"/>
    <w:rsid w:val="37536778"/>
    <w:rsid w:val="377B038F"/>
    <w:rsid w:val="37926927"/>
    <w:rsid w:val="37B84C57"/>
    <w:rsid w:val="37DA5EAF"/>
    <w:rsid w:val="37F012DD"/>
    <w:rsid w:val="37F12C1A"/>
    <w:rsid w:val="37F83847"/>
    <w:rsid w:val="380D1E8F"/>
    <w:rsid w:val="38152E75"/>
    <w:rsid w:val="38156F95"/>
    <w:rsid w:val="383C174A"/>
    <w:rsid w:val="3859439C"/>
    <w:rsid w:val="38655B63"/>
    <w:rsid w:val="3885291E"/>
    <w:rsid w:val="38CB1241"/>
    <w:rsid w:val="38F700E4"/>
    <w:rsid w:val="390810EF"/>
    <w:rsid w:val="392125AA"/>
    <w:rsid w:val="39450AA9"/>
    <w:rsid w:val="39556A2C"/>
    <w:rsid w:val="39651828"/>
    <w:rsid w:val="39686A25"/>
    <w:rsid w:val="397C72CE"/>
    <w:rsid w:val="398B25B1"/>
    <w:rsid w:val="3995796A"/>
    <w:rsid w:val="39961C7B"/>
    <w:rsid w:val="39A571FD"/>
    <w:rsid w:val="39B051C8"/>
    <w:rsid w:val="39C8790B"/>
    <w:rsid w:val="39FD6825"/>
    <w:rsid w:val="3A09798E"/>
    <w:rsid w:val="3A117349"/>
    <w:rsid w:val="3A1F40FB"/>
    <w:rsid w:val="3A3D2730"/>
    <w:rsid w:val="3A625C4A"/>
    <w:rsid w:val="3A6265F7"/>
    <w:rsid w:val="3A8E37F4"/>
    <w:rsid w:val="3A906F45"/>
    <w:rsid w:val="3AAE1769"/>
    <w:rsid w:val="3AC37790"/>
    <w:rsid w:val="3AD74503"/>
    <w:rsid w:val="3ADC1004"/>
    <w:rsid w:val="3AE74C19"/>
    <w:rsid w:val="3B0243AE"/>
    <w:rsid w:val="3B16469F"/>
    <w:rsid w:val="3B171822"/>
    <w:rsid w:val="3B383C19"/>
    <w:rsid w:val="3B583D69"/>
    <w:rsid w:val="3B854387"/>
    <w:rsid w:val="3B9670A6"/>
    <w:rsid w:val="3C052EF3"/>
    <w:rsid w:val="3C0A73D1"/>
    <w:rsid w:val="3C36192E"/>
    <w:rsid w:val="3CA362FD"/>
    <w:rsid w:val="3CB708C4"/>
    <w:rsid w:val="3CC20A40"/>
    <w:rsid w:val="3D20460E"/>
    <w:rsid w:val="3D315984"/>
    <w:rsid w:val="3D3B2FFA"/>
    <w:rsid w:val="3D4A45CC"/>
    <w:rsid w:val="3D514AAC"/>
    <w:rsid w:val="3D8E75CE"/>
    <w:rsid w:val="3D9E2CDF"/>
    <w:rsid w:val="3DDE00DB"/>
    <w:rsid w:val="3DDF5951"/>
    <w:rsid w:val="3DED423B"/>
    <w:rsid w:val="3E09766E"/>
    <w:rsid w:val="3E0D4120"/>
    <w:rsid w:val="3E291F34"/>
    <w:rsid w:val="3E5F3F8F"/>
    <w:rsid w:val="3E6618CA"/>
    <w:rsid w:val="3EAD56E7"/>
    <w:rsid w:val="3EC05EAD"/>
    <w:rsid w:val="3EC911B2"/>
    <w:rsid w:val="3EFE7203"/>
    <w:rsid w:val="3F505E3C"/>
    <w:rsid w:val="3F5C5DE8"/>
    <w:rsid w:val="3F69229B"/>
    <w:rsid w:val="3F715C82"/>
    <w:rsid w:val="3F8370EA"/>
    <w:rsid w:val="3F8E13DC"/>
    <w:rsid w:val="3F8F7E6C"/>
    <w:rsid w:val="3FB9187E"/>
    <w:rsid w:val="3FD83E68"/>
    <w:rsid w:val="3FD870C5"/>
    <w:rsid w:val="401459F7"/>
    <w:rsid w:val="40153FD6"/>
    <w:rsid w:val="4021659D"/>
    <w:rsid w:val="402308A8"/>
    <w:rsid w:val="40325696"/>
    <w:rsid w:val="40382F92"/>
    <w:rsid w:val="404E1296"/>
    <w:rsid w:val="40864ED4"/>
    <w:rsid w:val="40881342"/>
    <w:rsid w:val="40883C80"/>
    <w:rsid w:val="40B13F96"/>
    <w:rsid w:val="40B30760"/>
    <w:rsid w:val="40BE2F13"/>
    <w:rsid w:val="40D22ED6"/>
    <w:rsid w:val="40DA4778"/>
    <w:rsid w:val="40DC68A2"/>
    <w:rsid w:val="40EC1096"/>
    <w:rsid w:val="40F938F8"/>
    <w:rsid w:val="41001F5C"/>
    <w:rsid w:val="41635215"/>
    <w:rsid w:val="416A71D0"/>
    <w:rsid w:val="4189261F"/>
    <w:rsid w:val="418B0114"/>
    <w:rsid w:val="41D55B63"/>
    <w:rsid w:val="41F42A7B"/>
    <w:rsid w:val="41FC6D99"/>
    <w:rsid w:val="42042450"/>
    <w:rsid w:val="42162D96"/>
    <w:rsid w:val="4219105E"/>
    <w:rsid w:val="42497F67"/>
    <w:rsid w:val="4250131F"/>
    <w:rsid w:val="42706A4F"/>
    <w:rsid w:val="42770A0C"/>
    <w:rsid w:val="42772D26"/>
    <w:rsid w:val="427E19AD"/>
    <w:rsid w:val="42A41F47"/>
    <w:rsid w:val="42AF2B31"/>
    <w:rsid w:val="42C64B14"/>
    <w:rsid w:val="42EC074C"/>
    <w:rsid w:val="43274BBC"/>
    <w:rsid w:val="43355326"/>
    <w:rsid w:val="4335673E"/>
    <w:rsid w:val="437A7E88"/>
    <w:rsid w:val="43813731"/>
    <w:rsid w:val="43A01517"/>
    <w:rsid w:val="43A56F37"/>
    <w:rsid w:val="43E33BF9"/>
    <w:rsid w:val="4419398C"/>
    <w:rsid w:val="44202F4A"/>
    <w:rsid w:val="444B68D4"/>
    <w:rsid w:val="44580936"/>
    <w:rsid w:val="44581D6B"/>
    <w:rsid w:val="445A645C"/>
    <w:rsid w:val="44603483"/>
    <w:rsid w:val="44742BBB"/>
    <w:rsid w:val="448716FF"/>
    <w:rsid w:val="448B573D"/>
    <w:rsid w:val="449F484B"/>
    <w:rsid w:val="44BB193B"/>
    <w:rsid w:val="44C012A9"/>
    <w:rsid w:val="44C653B0"/>
    <w:rsid w:val="44CF2006"/>
    <w:rsid w:val="44D02BC2"/>
    <w:rsid w:val="44D22845"/>
    <w:rsid w:val="44E1092B"/>
    <w:rsid w:val="44E419F6"/>
    <w:rsid w:val="44E62215"/>
    <w:rsid w:val="44F17BCE"/>
    <w:rsid w:val="45186B13"/>
    <w:rsid w:val="45462E84"/>
    <w:rsid w:val="4572682B"/>
    <w:rsid w:val="457F0D32"/>
    <w:rsid w:val="45996B7D"/>
    <w:rsid w:val="459B31D0"/>
    <w:rsid w:val="45D64208"/>
    <w:rsid w:val="45DB35CC"/>
    <w:rsid w:val="45E67CB1"/>
    <w:rsid w:val="45EE126F"/>
    <w:rsid w:val="464F3F4F"/>
    <w:rsid w:val="46592743"/>
    <w:rsid w:val="466D6E3B"/>
    <w:rsid w:val="46A30F98"/>
    <w:rsid w:val="46CF1753"/>
    <w:rsid w:val="46F057FA"/>
    <w:rsid w:val="470017D7"/>
    <w:rsid w:val="47062DDE"/>
    <w:rsid w:val="471A45C8"/>
    <w:rsid w:val="47596E9F"/>
    <w:rsid w:val="477D618C"/>
    <w:rsid w:val="47B82ADE"/>
    <w:rsid w:val="47DB76FE"/>
    <w:rsid w:val="47DC64C0"/>
    <w:rsid w:val="47DE73A4"/>
    <w:rsid w:val="4825231A"/>
    <w:rsid w:val="482E15B0"/>
    <w:rsid w:val="483409ED"/>
    <w:rsid w:val="48362EDE"/>
    <w:rsid w:val="4839656E"/>
    <w:rsid w:val="48577D5B"/>
    <w:rsid w:val="487E3FE2"/>
    <w:rsid w:val="487E62BF"/>
    <w:rsid w:val="48835CE6"/>
    <w:rsid w:val="488803FD"/>
    <w:rsid w:val="488E4838"/>
    <w:rsid w:val="488E4926"/>
    <w:rsid w:val="48C742DC"/>
    <w:rsid w:val="48D357D2"/>
    <w:rsid w:val="48D621CC"/>
    <w:rsid w:val="48D82045"/>
    <w:rsid w:val="48EA65AD"/>
    <w:rsid w:val="491962DF"/>
    <w:rsid w:val="49480267"/>
    <w:rsid w:val="49510060"/>
    <w:rsid w:val="49B20472"/>
    <w:rsid w:val="49BE0E26"/>
    <w:rsid w:val="49CD3429"/>
    <w:rsid w:val="49F31C17"/>
    <w:rsid w:val="49FD1865"/>
    <w:rsid w:val="4A0049BE"/>
    <w:rsid w:val="4A281B71"/>
    <w:rsid w:val="4A3461B7"/>
    <w:rsid w:val="4A534079"/>
    <w:rsid w:val="4A696610"/>
    <w:rsid w:val="4A7C2312"/>
    <w:rsid w:val="4A7D1EC2"/>
    <w:rsid w:val="4A8C5241"/>
    <w:rsid w:val="4AEF7897"/>
    <w:rsid w:val="4B074E64"/>
    <w:rsid w:val="4B4549F4"/>
    <w:rsid w:val="4B4C2876"/>
    <w:rsid w:val="4B6E17A2"/>
    <w:rsid w:val="4B997AE4"/>
    <w:rsid w:val="4BBA7E0B"/>
    <w:rsid w:val="4BBE0C63"/>
    <w:rsid w:val="4BEB17A9"/>
    <w:rsid w:val="4C0E691D"/>
    <w:rsid w:val="4C1A7275"/>
    <w:rsid w:val="4C256175"/>
    <w:rsid w:val="4C2E5DA4"/>
    <w:rsid w:val="4C5D0378"/>
    <w:rsid w:val="4C7C7C27"/>
    <w:rsid w:val="4C976591"/>
    <w:rsid w:val="4CB238C9"/>
    <w:rsid w:val="4CD2672F"/>
    <w:rsid w:val="4CEB3302"/>
    <w:rsid w:val="4CF319A3"/>
    <w:rsid w:val="4D510D6B"/>
    <w:rsid w:val="4D8242A9"/>
    <w:rsid w:val="4DEB45C9"/>
    <w:rsid w:val="4DFA4C6C"/>
    <w:rsid w:val="4DFF067C"/>
    <w:rsid w:val="4E070058"/>
    <w:rsid w:val="4E0848DC"/>
    <w:rsid w:val="4E102E02"/>
    <w:rsid w:val="4E2A0930"/>
    <w:rsid w:val="4E640A54"/>
    <w:rsid w:val="4E936D6F"/>
    <w:rsid w:val="4EB9036C"/>
    <w:rsid w:val="4EBA5538"/>
    <w:rsid w:val="4EDB5967"/>
    <w:rsid w:val="4EDF4919"/>
    <w:rsid w:val="4EF246F2"/>
    <w:rsid w:val="4EFA4674"/>
    <w:rsid w:val="4F073684"/>
    <w:rsid w:val="4F1D6A04"/>
    <w:rsid w:val="4F3124AF"/>
    <w:rsid w:val="4F3F2EFD"/>
    <w:rsid w:val="4F4977F9"/>
    <w:rsid w:val="4F4A74FA"/>
    <w:rsid w:val="4F547DDD"/>
    <w:rsid w:val="4F934AB3"/>
    <w:rsid w:val="4FB4318C"/>
    <w:rsid w:val="4FB63177"/>
    <w:rsid w:val="4FBE3FF8"/>
    <w:rsid w:val="4FCA48A4"/>
    <w:rsid w:val="4FE41566"/>
    <w:rsid w:val="4FFD55BB"/>
    <w:rsid w:val="501D6CCD"/>
    <w:rsid w:val="503F42FE"/>
    <w:rsid w:val="50504B20"/>
    <w:rsid w:val="50742DDB"/>
    <w:rsid w:val="508A2E2D"/>
    <w:rsid w:val="50A76ECD"/>
    <w:rsid w:val="50B054D8"/>
    <w:rsid w:val="510024C0"/>
    <w:rsid w:val="5124051D"/>
    <w:rsid w:val="51353BAD"/>
    <w:rsid w:val="513B7615"/>
    <w:rsid w:val="5161077E"/>
    <w:rsid w:val="5168065E"/>
    <w:rsid w:val="517F5D4C"/>
    <w:rsid w:val="51976749"/>
    <w:rsid w:val="51DB2589"/>
    <w:rsid w:val="51E81F2E"/>
    <w:rsid w:val="524E55A1"/>
    <w:rsid w:val="528F1836"/>
    <w:rsid w:val="52C27FEE"/>
    <w:rsid w:val="52CF2B04"/>
    <w:rsid w:val="52D1298C"/>
    <w:rsid w:val="52D833CC"/>
    <w:rsid w:val="53114AD1"/>
    <w:rsid w:val="532854C1"/>
    <w:rsid w:val="532D11DF"/>
    <w:rsid w:val="5352317D"/>
    <w:rsid w:val="53573FD7"/>
    <w:rsid w:val="53581C02"/>
    <w:rsid w:val="535F00DF"/>
    <w:rsid w:val="53733096"/>
    <w:rsid w:val="5373753A"/>
    <w:rsid w:val="5374682F"/>
    <w:rsid w:val="537A2504"/>
    <w:rsid w:val="5387430F"/>
    <w:rsid w:val="53931DE8"/>
    <w:rsid w:val="53CA2DAB"/>
    <w:rsid w:val="53CB418F"/>
    <w:rsid w:val="53DC202E"/>
    <w:rsid w:val="53E142C2"/>
    <w:rsid w:val="53F73CC7"/>
    <w:rsid w:val="53FE01DC"/>
    <w:rsid w:val="5415239F"/>
    <w:rsid w:val="544D6993"/>
    <w:rsid w:val="544F50F9"/>
    <w:rsid w:val="545855A0"/>
    <w:rsid w:val="545E160B"/>
    <w:rsid w:val="54806BCF"/>
    <w:rsid w:val="54AA4C06"/>
    <w:rsid w:val="54D44008"/>
    <w:rsid w:val="54D538DD"/>
    <w:rsid w:val="55146F77"/>
    <w:rsid w:val="552C5BF2"/>
    <w:rsid w:val="5547407C"/>
    <w:rsid w:val="555A2FE5"/>
    <w:rsid w:val="55620402"/>
    <w:rsid w:val="55820977"/>
    <w:rsid w:val="5591025E"/>
    <w:rsid w:val="55921AB1"/>
    <w:rsid w:val="559657F8"/>
    <w:rsid w:val="55DA604E"/>
    <w:rsid w:val="55F95997"/>
    <w:rsid w:val="561501C2"/>
    <w:rsid w:val="56281465"/>
    <w:rsid w:val="56662962"/>
    <w:rsid w:val="56781E1F"/>
    <w:rsid w:val="56815ACA"/>
    <w:rsid w:val="569357FD"/>
    <w:rsid w:val="56E22448"/>
    <w:rsid w:val="56EC0441"/>
    <w:rsid w:val="57104198"/>
    <w:rsid w:val="57193C9E"/>
    <w:rsid w:val="57210512"/>
    <w:rsid w:val="57250B4B"/>
    <w:rsid w:val="57490A0B"/>
    <w:rsid w:val="57704A56"/>
    <w:rsid w:val="57715B3F"/>
    <w:rsid w:val="579F0791"/>
    <w:rsid w:val="57AD4110"/>
    <w:rsid w:val="57AF49BE"/>
    <w:rsid w:val="57C33EC0"/>
    <w:rsid w:val="58062172"/>
    <w:rsid w:val="5807316E"/>
    <w:rsid w:val="58526067"/>
    <w:rsid w:val="585F62DF"/>
    <w:rsid w:val="586E25A8"/>
    <w:rsid w:val="58732243"/>
    <w:rsid w:val="587C2F6C"/>
    <w:rsid w:val="588334D9"/>
    <w:rsid w:val="58D52CF0"/>
    <w:rsid w:val="58EA5B11"/>
    <w:rsid w:val="58ED3929"/>
    <w:rsid w:val="58EF07B6"/>
    <w:rsid w:val="58FC7749"/>
    <w:rsid w:val="590D56E2"/>
    <w:rsid w:val="591C685C"/>
    <w:rsid w:val="593A446C"/>
    <w:rsid w:val="593C6EB2"/>
    <w:rsid w:val="593E4146"/>
    <w:rsid w:val="59401C6C"/>
    <w:rsid w:val="594D25DB"/>
    <w:rsid w:val="59572BBF"/>
    <w:rsid w:val="595A2D4B"/>
    <w:rsid w:val="59682F71"/>
    <w:rsid w:val="59686C4E"/>
    <w:rsid w:val="59831B59"/>
    <w:rsid w:val="59970C3D"/>
    <w:rsid w:val="599827B6"/>
    <w:rsid w:val="59A76714"/>
    <w:rsid w:val="59A90731"/>
    <w:rsid w:val="59B47C93"/>
    <w:rsid w:val="59B6263D"/>
    <w:rsid w:val="59BC12E9"/>
    <w:rsid w:val="59C930E1"/>
    <w:rsid w:val="59CA6DFB"/>
    <w:rsid w:val="59CD0258"/>
    <w:rsid w:val="59DC4AFF"/>
    <w:rsid w:val="5A225816"/>
    <w:rsid w:val="5A3045EE"/>
    <w:rsid w:val="5A441419"/>
    <w:rsid w:val="5A457301"/>
    <w:rsid w:val="5A76675B"/>
    <w:rsid w:val="5AA2266F"/>
    <w:rsid w:val="5AB956CA"/>
    <w:rsid w:val="5AC62645"/>
    <w:rsid w:val="5AD52E68"/>
    <w:rsid w:val="5AEB20AC"/>
    <w:rsid w:val="5AED0B4C"/>
    <w:rsid w:val="5AF43851"/>
    <w:rsid w:val="5B0C0287"/>
    <w:rsid w:val="5B26685B"/>
    <w:rsid w:val="5B2C4517"/>
    <w:rsid w:val="5B2C5AAF"/>
    <w:rsid w:val="5B537BC2"/>
    <w:rsid w:val="5B5A1BF2"/>
    <w:rsid w:val="5B5D7C79"/>
    <w:rsid w:val="5B7200D7"/>
    <w:rsid w:val="5B962EEF"/>
    <w:rsid w:val="5BA40B13"/>
    <w:rsid w:val="5BAB35F1"/>
    <w:rsid w:val="5BAB6AEA"/>
    <w:rsid w:val="5BE2525D"/>
    <w:rsid w:val="5C071293"/>
    <w:rsid w:val="5C081EE1"/>
    <w:rsid w:val="5C295BD7"/>
    <w:rsid w:val="5C3B2029"/>
    <w:rsid w:val="5C520BB0"/>
    <w:rsid w:val="5C6036C7"/>
    <w:rsid w:val="5C707360"/>
    <w:rsid w:val="5CA50038"/>
    <w:rsid w:val="5CC523AD"/>
    <w:rsid w:val="5CDC7EFE"/>
    <w:rsid w:val="5CE00FB9"/>
    <w:rsid w:val="5D395231"/>
    <w:rsid w:val="5D557D2B"/>
    <w:rsid w:val="5DA33C2C"/>
    <w:rsid w:val="5DB011B4"/>
    <w:rsid w:val="5DB81596"/>
    <w:rsid w:val="5E383D0F"/>
    <w:rsid w:val="5E574768"/>
    <w:rsid w:val="5E726A19"/>
    <w:rsid w:val="5E8A0E25"/>
    <w:rsid w:val="5E916AC6"/>
    <w:rsid w:val="5EBB31CF"/>
    <w:rsid w:val="5EBE1E73"/>
    <w:rsid w:val="5EEB1C33"/>
    <w:rsid w:val="5F27754A"/>
    <w:rsid w:val="5F3E2E25"/>
    <w:rsid w:val="5F43018E"/>
    <w:rsid w:val="5F4868BD"/>
    <w:rsid w:val="5F7B4389"/>
    <w:rsid w:val="5F822763"/>
    <w:rsid w:val="5F941B98"/>
    <w:rsid w:val="5FAA07F1"/>
    <w:rsid w:val="5FBD1853"/>
    <w:rsid w:val="60155157"/>
    <w:rsid w:val="601831F9"/>
    <w:rsid w:val="6052548F"/>
    <w:rsid w:val="6066429E"/>
    <w:rsid w:val="606D2174"/>
    <w:rsid w:val="607170D2"/>
    <w:rsid w:val="60786190"/>
    <w:rsid w:val="609470E5"/>
    <w:rsid w:val="60DC6F8B"/>
    <w:rsid w:val="60E92BEA"/>
    <w:rsid w:val="60F26425"/>
    <w:rsid w:val="61110279"/>
    <w:rsid w:val="61126B5E"/>
    <w:rsid w:val="611A644F"/>
    <w:rsid w:val="61244348"/>
    <w:rsid w:val="612755FB"/>
    <w:rsid w:val="612A3799"/>
    <w:rsid w:val="612D0C16"/>
    <w:rsid w:val="61382F1E"/>
    <w:rsid w:val="61412A26"/>
    <w:rsid w:val="614C32FC"/>
    <w:rsid w:val="615A3AE7"/>
    <w:rsid w:val="61744DC6"/>
    <w:rsid w:val="61A824A6"/>
    <w:rsid w:val="61AA5D7E"/>
    <w:rsid w:val="61B96A60"/>
    <w:rsid w:val="61E96899"/>
    <w:rsid w:val="61F46873"/>
    <w:rsid w:val="61F77633"/>
    <w:rsid w:val="623B2DB1"/>
    <w:rsid w:val="625E20A6"/>
    <w:rsid w:val="626764BC"/>
    <w:rsid w:val="627920B2"/>
    <w:rsid w:val="627C4BA9"/>
    <w:rsid w:val="6294107E"/>
    <w:rsid w:val="62A82630"/>
    <w:rsid w:val="62CA5FB8"/>
    <w:rsid w:val="62E847EC"/>
    <w:rsid w:val="63107895"/>
    <w:rsid w:val="63123C73"/>
    <w:rsid w:val="63171D4B"/>
    <w:rsid w:val="631A3502"/>
    <w:rsid w:val="631D5A96"/>
    <w:rsid w:val="63402D3C"/>
    <w:rsid w:val="63453E8A"/>
    <w:rsid w:val="634E4F86"/>
    <w:rsid w:val="63626C83"/>
    <w:rsid w:val="63845BF0"/>
    <w:rsid w:val="63A93C66"/>
    <w:rsid w:val="63B43933"/>
    <w:rsid w:val="63F74C7A"/>
    <w:rsid w:val="63F83144"/>
    <w:rsid w:val="63FC70D8"/>
    <w:rsid w:val="641C3224"/>
    <w:rsid w:val="64232958"/>
    <w:rsid w:val="643423CE"/>
    <w:rsid w:val="645B4B75"/>
    <w:rsid w:val="64757BB9"/>
    <w:rsid w:val="64805613"/>
    <w:rsid w:val="6485675B"/>
    <w:rsid w:val="648F47B6"/>
    <w:rsid w:val="64947441"/>
    <w:rsid w:val="65353527"/>
    <w:rsid w:val="656004F1"/>
    <w:rsid w:val="656D318B"/>
    <w:rsid w:val="65730A8D"/>
    <w:rsid w:val="65813D24"/>
    <w:rsid w:val="65A52E3D"/>
    <w:rsid w:val="65AE7D85"/>
    <w:rsid w:val="65CF15F1"/>
    <w:rsid w:val="65D23456"/>
    <w:rsid w:val="65EB11B2"/>
    <w:rsid w:val="661B1149"/>
    <w:rsid w:val="662C4530"/>
    <w:rsid w:val="66406EE4"/>
    <w:rsid w:val="66700DCC"/>
    <w:rsid w:val="66884C53"/>
    <w:rsid w:val="66D132A5"/>
    <w:rsid w:val="66F44798"/>
    <w:rsid w:val="66F50178"/>
    <w:rsid w:val="66FE1E6C"/>
    <w:rsid w:val="670D586B"/>
    <w:rsid w:val="671E0126"/>
    <w:rsid w:val="67405144"/>
    <w:rsid w:val="67624D1E"/>
    <w:rsid w:val="676812AB"/>
    <w:rsid w:val="676A6106"/>
    <w:rsid w:val="676C5255"/>
    <w:rsid w:val="677575E8"/>
    <w:rsid w:val="67777C7D"/>
    <w:rsid w:val="678B49FB"/>
    <w:rsid w:val="679528D8"/>
    <w:rsid w:val="67975357"/>
    <w:rsid w:val="679A508E"/>
    <w:rsid w:val="67CA6CC4"/>
    <w:rsid w:val="67FC17B6"/>
    <w:rsid w:val="67FC6264"/>
    <w:rsid w:val="680622D3"/>
    <w:rsid w:val="682F23A5"/>
    <w:rsid w:val="68352E03"/>
    <w:rsid w:val="683F57E5"/>
    <w:rsid w:val="684B3582"/>
    <w:rsid w:val="686F6FA8"/>
    <w:rsid w:val="689E1461"/>
    <w:rsid w:val="689E250C"/>
    <w:rsid w:val="68A13F16"/>
    <w:rsid w:val="68A813B7"/>
    <w:rsid w:val="68E767AA"/>
    <w:rsid w:val="68E82E50"/>
    <w:rsid w:val="68F71545"/>
    <w:rsid w:val="68F9404B"/>
    <w:rsid w:val="6904492C"/>
    <w:rsid w:val="69143608"/>
    <w:rsid w:val="692F6B22"/>
    <w:rsid w:val="693E7E52"/>
    <w:rsid w:val="69526584"/>
    <w:rsid w:val="69540E1C"/>
    <w:rsid w:val="69594F9D"/>
    <w:rsid w:val="698A2163"/>
    <w:rsid w:val="699A7177"/>
    <w:rsid w:val="69AF626B"/>
    <w:rsid w:val="69B20C2D"/>
    <w:rsid w:val="69B54560"/>
    <w:rsid w:val="69B8584F"/>
    <w:rsid w:val="69C74CF6"/>
    <w:rsid w:val="69CC4E56"/>
    <w:rsid w:val="69F22C59"/>
    <w:rsid w:val="69F70BB6"/>
    <w:rsid w:val="69FB4662"/>
    <w:rsid w:val="69FC1BE0"/>
    <w:rsid w:val="6A841BD5"/>
    <w:rsid w:val="6A8D58B6"/>
    <w:rsid w:val="6AB01A76"/>
    <w:rsid w:val="6B011B09"/>
    <w:rsid w:val="6B071EFF"/>
    <w:rsid w:val="6B21597B"/>
    <w:rsid w:val="6B2F3761"/>
    <w:rsid w:val="6B2F5911"/>
    <w:rsid w:val="6B63525D"/>
    <w:rsid w:val="6B7E6F42"/>
    <w:rsid w:val="6BBA33C4"/>
    <w:rsid w:val="6BBB3C6F"/>
    <w:rsid w:val="6BBF1117"/>
    <w:rsid w:val="6BC1539F"/>
    <w:rsid w:val="6BD61602"/>
    <w:rsid w:val="6BF74C68"/>
    <w:rsid w:val="6C142F78"/>
    <w:rsid w:val="6C3B2AC5"/>
    <w:rsid w:val="6C6352D8"/>
    <w:rsid w:val="6C6E774B"/>
    <w:rsid w:val="6C6F1B25"/>
    <w:rsid w:val="6C8E2488"/>
    <w:rsid w:val="6CC369E5"/>
    <w:rsid w:val="6CE121AC"/>
    <w:rsid w:val="6CEA21C3"/>
    <w:rsid w:val="6D22786E"/>
    <w:rsid w:val="6D45389E"/>
    <w:rsid w:val="6D4E1885"/>
    <w:rsid w:val="6D6024F4"/>
    <w:rsid w:val="6D8E7368"/>
    <w:rsid w:val="6DDC5208"/>
    <w:rsid w:val="6DDE559D"/>
    <w:rsid w:val="6DF17569"/>
    <w:rsid w:val="6DF260BE"/>
    <w:rsid w:val="6DF42ACC"/>
    <w:rsid w:val="6DF717EF"/>
    <w:rsid w:val="6E235103"/>
    <w:rsid w:val="6E2A3072"/>
    <w:rsid w:val="6E7079D8"/>
    <w:rsid w:val="6E7A77D5"/>
    <w:rsid w:val="6EA312C4"/>
    <w:rsid w:val="6EA67728"/>
    <w:rsid w:val="6EAD4736"/>
    <w:rsid w:val="6EBC42B6"/>
    <w:rsid w:val="6EF52489"/>
    <w:rsid w:val="6F2179F2"/>
    <w:rsid w:val="6F25767A"/>
    <w:rsid w:val="6F290392"/>
    <w:rsid w:val="6F5D19F9"/>
    <w:rsid w:val="6F8A0358"/>
    <w:rsid w:val="6FA77490"/>
    <w:rsid w:val="6FB80185"/>
    <w:rsid w:val="6FD62698"/>
    <w:rsid w:val="6FD84C33"/>
    <w:rsid w:val="6FE0340A"/>
    <w:rsid w:val="6FEF32DC"/>
    <w:rsid w:val="7018783B"/>
    <w:rsid w:val="706305B2"/>
    <w:rsid w:val="706A131D"/>
    <w:rsid w:val="707149AA"/>
    <w:rsid w:val="707D03E7"/>
    <w:rsid w:val="70953AE7"/>
    <w:rsid w:val="70971D81"/>
    <w:rsid w:val="70D27CAC"/>
    <w:rsid w:val="70FF7A34"/>
    <w:rsid w:val="715D072E"/>
    <w:rsid w:val="716335F4"/>
    <w:rsid w:val="718B58B5"/>
    <w:rsid w:val="718C4C5B"/>
    <w:rsid w:val="718F1FE5"/>
    <w:rsid w:val="719F09F0"/>
    <w:rsid w:val="71C73063"/>
    <w:rsid w:val="71C73D96"/>
    <w:rsid w:val="71CC59FE"/>
    <w:rsid w:val="71D62FB3"/>
    <w:rsid w:val="71EC078C"/>
    <w:rsid w:val="71F301F1"/>
    <w:rsid w:val="71FE7352"/>
    <w:rsid w:val="72121874"/>
    <w:rsid w:val="721B1170"/>
    <w:rsid w:val="72275A6E"/>
    <w:rsid w:val="722A7366"/>
    <w:rsid w:val="723E1920"/>
    <w:rsid w:val="724242DB"/>
    <w:rsid w:val="724A7BE3"/>
    <w:rsid w:val="72551616"/>
    <w:rsid w:val="729D337C"/>
    <w:rsid w:val="729E2E91"/>
    <w:rsid w:val="72A86AE6"/>
    <w:rsid w:val="72BC5F0A"/>
    <w:rsid w:val="72C30D17"/>
    <w:rsid w:val="72D019E8"/>
    <w:rsid w:val="72FB6396"/>
    <w:rsid w:val="72FC11F8"/>
    <w:rsid w:val="73036A07"/>
    <w:rsid w:val="730E00FF"/>
    <w:rsid w:val="731803B4"/>
    <w:rsid w:val="73343C02"/>
    <w:rsid w:val="736A4798"/>
    <w:rsid w:val="73851166"/>
    <w:rsid w:val="738B3205"/>
    <w:rsid w:val="738B7489"/>
    <w:rsid w:val="739D0561"/>
    <w:rsid w:val="73BE61CB"/>
    <w:rsid w:val="741F034C"/>
    <w:rsid w:val="74424693"/>
    <w:rsid w:val="744608D8"/>
    <w:rsid w:val="744B4783"/>
    <w:rsid w:val="74842EFD"/>
    <w:rsid w:val="74A02FC2"/>
    <w:rsid w:val="74A1162B"/>
    <w:rsid w:val="74A75EC6"/>
    <w:rsid w:val="74AF3517"/>
    <w:rsid w:val="74B93858"/>
    <w:rsid w:val="74C363BA"/>
    <w:rsid w:val="74CB03F4"/>
    <w:rsid w:val="74CD4D33"/>
    <w:rsid w:val="74EE65C9"/>
    <w:rsid w:val="751A623A"/>
    <w:rsid w:val="7542011D"/>
    <w:rsid w:val="754F593F"/>
    <w:rsid w:val="757B4BC3"/>
    <w:rsid w:val="758A04F4"/>
    <w:rsid w:val="75A27357"/>
    <w:rsid w:val="75BA6FE1"/>
    <w:rsid w:val="761D10CA"/>
    <w:rsid w:val="762C55FB"/>
    <w:rsid w:val="762C7ED0"/>
    <w:rsid w:val="76477075"/>
    <w:rsid w:val="765428D4"/>
    <w:rsid w:val="76627065"/>
    <w:rsid w:val="76643330"/>
    <w:rsid w:val="767C3D9A"/>
    <w:rsid w:val="7684222B"/>
    <w:rsid w:val="76C909FA"/>
    <w:rsid w:val="76CC21A9"/>
    <w:rsid w:val="76DE394D"/>
    <w:rsid w:val="76E557A9"/>
    <w:rsid w:val="772C1420"/>
    <w:rsid w:val="773E4C74"/>
    <w:rsid w:val="77454B26"/>
    <w:rsid w:val="77491189"/>
    <w:rsid w:val="778342D6"/>
    <w:rsid w:val="77845621"/>
    <w:rsid w:val="77B06332"/>
    <w:rsid w:val="77D21D23"/>
    <w:rsid w:val="77D260DB"/>
    <w:rsid w:val="77DC5AF0"/>
    <w:rsid w:val="78022526"/>
    <w:rsid w:val="78033EC4"/>
    <w:rsid w:val="78063D9A"/>
    <w:rsid w:val="780D7F6D"/>
    <w:rsid w:val="78713DC1"/>
    <w:rsid w:val="7879089F"/>
    <w:rsid w:val="78806B92"/>
    <w:rsid w:val="78AF224C"/>
    <w:rsid w:val="78AF4121"/>
    <w:rsid w:val="78BA2601"/>
    <w:rsid w:val="78DC5C30"/>
    <w:rsid w:val="78E755E4"/>
    <w:rsid w:val="78FD1405"/>
    <w:rsid w:val="792F0A1C"/>
    <w:rsid w:val="795724CB"/>
    <w:rsid w:val="797A042B"/>
    <w:rsid w:val="79C27863"/>
    <w:rsid w:val="79C74CF3"/>
    <w:rsid w:val="79D71F69"/>
    <w:rsid w:val="79F91C98"/>
    <w:rsid w:val="7A060094"/>
    <w:rsid w:val="7A0F353F"/>
    <w:rsid w:val="7A18609B"/>
    <w:rsid w:val="7A2575F1"/>
    <w:rsid w:val="7A370802"/>
    <w:rsid w:val="7A371BAF"/>
    <w:rsid w:val="7A6C77D6"/>
    <w:rsid w:val="7A707A2F"/>
    <w:rsid w:val="7A984E37"/>
    <w:rsid w:val="7AA8347C"/>
    <w:rsid w:val="7AAE536D"/>
    <w:rsid w:val="7AD62FE7"/>
    <w:rsid w:val="7AE25B78"/>
    <w:rsid w:val="7B1D72AC"/>
    <w:rsid w:val="7B382AB6"/>
    <w:rsid w:val="7B3C16D5"/>
    <w:rsid w:val="7B4066DD"/>
    <w:rsid w:val="7B5F1FCE"/>
    <w:rsid w:val="7B791CD4"/>
    <w:rsid w:val="7B797DC7"/>
    <w:rsid w:val="7B8A7267"/>
    <w:rsid w:val="7BB127C5"/>
    <w:rsid w:val="7BE95D3C"/>
    <w:rsid w:val="7BF57973"/>
    <w:rsid w:val="7BFC4765"/>
    <w:rsid w:val="7C0043F8"/>
    <w:rsid w:val="7C15327D"/>
    <w:rsid w:val="7C364AA1"/>
    <w:rsid w:val="7C3E1448"/>
    <w:rsid w:val="7C400EF1"/>
    <w:rsid w:val="7C692B0D"/>
    <w:rsid w:val="7C73657A"/>
    <w:rsid w:val="7CE34539"/>
    <w:rsid w:val="7D2D70E0"/>
    <w:rsid w:val="7D533204"/>
    <w:rsid w:val="7D5B4767"/>
    <w:rsid w:val="7D805A1C"/>
    <w:rsid w:val="7D9036DC"/>
    <w:rsid w:val="7D914273"/>
    <w:rsid w:val="7D927234"/>
    <w:rsid w:val="7DA45C41"/>
    <w:rsid w:val="7DCE3CA0"/>
    <w:rsid w:val="7E662E27"/>
    <w:rsid w:val="7E707318"/>
    <w:rsid w:val="7E791E88"/>
    <w:rsid w:val="7EAB1EEB"/>
    <w:rsid w:val="7EAD269D"/>
    <w:rsid w:val="7EB44258"/>
    <w:rsid w:val="7EC46746"/>
    <w:rsid w:val="7EDD2876"/>
    <w:rsid w:val="7EEE0606"/>
    <w:rsid w:val="7EF857EF"/>
    <w:rsid w:val="7F1663D3"/>
    <w:rsid w:val="7F214EC1"/>
    <w:rsid w:val="7F2A08DE"/>
    <w:rsid w:val="7F994D81"/>
    <w:rsid w:val="7FC56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link w:val="25"/>
    <w:qFormat/>
    <w:uiPriority w:val="0"/>
    <w:pPr>
      <w:keepNext/>
      <w:adjustRightInd w:val="0"/>
      <w:snapToGrid w:val="0"/>
      <w:spacing w:before="100" w:beforeLines="100" w:line="480" w:lineRule="auto"/>
      <w:jc w:val="center"/>
      <w:outlineLvl w:val="0"/>
    </w:pPr>
    <w:rPr>
      <w:rFonts w:hAnsi="宋体" w:cs="宋体"/>
      <w:b/>
      <w:kern w:val="2"/>
      <w:sz w:val="32"/>
    </w:rPr>
  </w:style>
  <w:style w:type="paragraph" w:styleId="4">
    <w:name w:val="heading 2"/>
    <w:basedOn w:val="1"/>
    <w:next w:val="1"/>
    <w:link w:val="30"/>
    <w:qFormat/>
    <w:uiPriority w:val="9"/>
    <w:pPr>
      <w:keepNext/>
      <w:keepLines/>
      <w:widowControl/>
      <w:spacing w:before="260" w:after="260"/>
      <w:ind w:left="284"/>
      <w:jc w:val="center"/>
      <w:outlineLvl w:val="1"/>
    </w:pPr>
    <w:rPr>
      <w:rFonts w:hAnsi="宋体" w:cs="宋体"/>
      <w:b/>
      <w:bCs/>
      <w:sz w:val="30"/>
      <w:szCs w:val="32"/>
    </w:rPr>
  </w:style>
  <w:style w:type="paragraph" w:styleId="5">
    <w:name w:val="heading 3"/>
    <w:basedOn w:val="1"/>
    <w:next w:val="1"/>
    <w:link w:val="36"/>
    <w:qFormat/>
    <w:uiPriority w:val="0"/>
    <w:pPr>
      <w:keepNext/>
      <w:spacing w:before="40" w:after="40" w:line="360" w:lineRule="auto"/>
      <w:jc w:val="center"/>
      <w:outlineLvl w:val="2"/>
    </w:pPr>
    <w:rPr>
      <w:rFonts w:ascii="宋体" w:hAnsi="宋体" w:eastAsia="宋体" w:cs="宋体"/>
      <w:b/>
      <w:bCs/>
      <w:kern w:val="2"/>
      <w:sz w:val="28"/>
      <w:szCs w:val="24"/>
    </w:rPr>
  </w:style>
  <w:style w:type="paragraph" w:styleId="2">
    <w:name w:val="heading 4"/>
    <w:basedOn w:val="1"/>
    <w:next w:val="1"/>
    <w:link w:val="37"/>
    <w:qFormat/>
    <w:uiPriority w:val="0"/>
    <w:pPr>
      <w:keepNext/>
      <w:keepLines/>
      <w:tabs>
        <w:tab w:val="left" w:pos="864"/>
      </w:tabs>
      <w:adjustRightInd w:val="0"/>
      <w:snapToGrid w:val="0"/>
      <w:spacing w:before="120" w:line="360" w:lineRule="auto"/>
      <w:outlineLvl w:val="3"/>
    </w:pPr>
    <w:rPr>
      <w:rFonts w:hAnsi="宋体" w:cs="宋体"/>
      <w:b/>
      <w:bCs/>
      <w:kern w:val="2"/>
      <w:szCs w:val="28"/>
    </w:rPr>
  </w:style>
  <w:style w:type="paragraph" w:styleId="6">
    <w:name w:val="heading 5"/>
    <w:basedOn w:val="1"/>
    <w:next w:val="1"/>
    <w:link w:val="38"/>
    <w:semiHidden/>
    <w:unhideWhenUsed/>
    <w:qFormat/>
    <w:uiPriority w:val="0"/>
    <w:pPr>
      <w:keepNext/>
      <w:keepLines/>
      <w:spacing w:before="280" w:after="290" w:line="372" w:lineRule="auto"/>
      <w:outlineLvl w:val="4"/>
    </w:pPr>
    <w:rPr>
      <w:b/>
      <w:sz w:val="28"/>
    </w:rPr>
  </w:style>
  <w:style w:type="paragraph" w:styleId="7">
    <w:name w:val="heading 6"/>
    <w:basedOn w:val="1"/>
    <w:next w:val="1"/>
    <w:qFormat/>
    <w:uiPriority w:val="0"/>
    <w:pPr>
      <w:keepNext/>
      <w:keepLines/>
      <w:adjustRightInd w:val="0"/>
      <w:spacing w:line="320" w:lineRule="atLeast"/>
      <w:outlineLvl w:val="5"/>
    </w:pPr>
    <w:rPr>
      <w:rFonts w:ascii="Arial" w:hAnsi="Arial" w:eastAsia="黑体"/>
      <w:b/>
      <w:kern w:val="0"/>
      <w:sz w:val="24"/>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8">
    <w:name w:val="Normal Indent"/>
    <w:basedOn w:val="1"/>
    <w:next w:val="1"/>
    <w:link w:val="39"/>
    <w:qFormat/>
    <w:uiPriority w:val="0"/>
    <w:pPr>
      <w:adjustRightInd w:val="0"/>
      <w:snapToGrid w:val="0"/>
      <w:spacing w:line="360" w:lineRule="auto"/>
      <w:ind w:firstLine="420" w:firstLineChars="200"/>
    </w:pPr>
    <w:rPr>
      <w:rFonts w:hAnsi="宋体" w:cs="宋体"/>
      <w:kern w:val="2"/>
      <w:szCs w:val="24"/>
    </w:rPr>
  </w:style>
  <w:style w:type="paragraph" w:styleId="9">
    <w:name w:val="annotation text"/>
    <w:basedOn w:val="1"/>
    <w:qFormat/>
    <w:uiPriority w:val="0"/>
    <w:pPr>
      <w:jc w:val="left"/>
    </w:pPr>
  </w:style>
  <w:style w:type="paragraph" w:styleId="10">
    <w:name w:val="Body Text"/>
    <w:basedOn w:val="1"/>
    <w:next w:val="1"/>
    <w:qFormat/>
    <w:uiPriority w:val="0"/>
    <w:pPr>
      <w:spacing w:after="120"/>
    </w:pPr>
    <w:rPr>
      <w:rFonts w:ascii="Times New Roman"/>
      <w:kern w:val="2"/>
      <w:sz w:val="21"/>
    </w:rPr>
  </w:style>
  <w:style w:type="paragraph" w:styleId="11">
    <w:name w:val="Body Text Indent"/>
    <w:basedOn w:val="1"/>
    <w:qFormat/>
    <w:uiPriority w:val="0"/>
    <w:pPr>
      <w:widowControl/>
      <w:ind w:firstLine="652" w:firstLineChars="233"/>
    </w:pPr>
    <w:rPr>
      <w:rFonts w:ascii="Times New Roman"/>
      <w:sz w:val="28"/>
    </w:rPr>
  </w:style>
  <w:style w:type="paragraph" w:styleId="12">
    <w:name w:val="Plain Text"/>
    <w:basedOn w:val="1"/>
    <w:qFormat/>
    <w:uiPriority w:val="0"/>
    <w:rPr>
      <w:rFonts w:hAnsi="Courier New"/>
      <w:kern w:val="2"/>
      <w:sz w:val="21"/>
    </w:rPr>
  </w:style>
  <w:style w:type="paragraph" w:styleId="13">
    <w:name w:val="Balloon Text"/>
    <w:basedOn w:val="1"/>
    <w:link w:val="40"/>
    <w:qFormat/>
    <w:uiPriority w:val="0"/>
    <w:rPr>
      <w:sz w:val="18"/>
      <w:szCs w:val="18"/>
    </w:rPr>
  </w:style>
  <w:style w:type="paragraph" w:styleId="14">
    <w:name w:val="footer"/>
    <w:basedOn w:val="1"/>
    <w:qFormat/>
    <w:uiPriority w:val="99"/>
    <w:pPr>
      <w:tabs>
        <w:tab w:val="center" w:pos="4153"/>
        <w:tab w:val="right" w:pos="8306"/>
      </w:tabs>
      <w:snapToGrid w:val="0"/>
      <w:jc w:val="left"/>
    </w:pPr>
    <w:rPr>
      <w:rFonts w:ascii="Times New Roman"/>
      <w:kern w:val="2"/>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rFonts w:ascii="Times New Roman"/>
      <w:kern w:val="2"/>
      <w:sz w:val="18"/>
      <w:szCs w:val="18"/>
    </w:rPr>
  </w:style>
  <w:style w:type="paragraph" w:styleId="16">
    <w:name w:val="toc 1"/>
    <w:basedOn w:val="1"/>
    <w:next w:val="1"/>
    <w:unhideWhenUsed/>
    <w:qFormat/>
    <w:uiPriority w:val="39"/>
    <w:pPr>
      <w:tabs>
        <w:tab w:val="left" w:pos="1418"/>
        <w:tab w:val="right" w:leader="dot" w:pos="8302"/>
      </w:tabs>
      <w:spacing w:line="480" w:lineRule="auto"/>
    </w:pPr>
    <w:rPr>
      <w:rFonts w:hAnsi="宋体"/>
      <w:b/>
      <w:sz w:val="28"/>
    </w:rPr>
  </w:style>
  <w:style w:type="paragraph" w:styleId="17">
    <w:name w:val="toc 4"/>
    <w:basedOn w:val="1"/>
    <w:next w:val="1"/>
    <w:unhideWhenUsed/>
    <w:qFormat/>
    <w:uiPriority w:val="39"/>
    <w:pPr>
      <w:ind w:left="1260" w:leftChars="600"/>
    </w:pPr>
  </w:style>
  <w:style w:type="paragraph" w:styleId="18">
    <w:name w:val="Normal (Web)"/>
    <w:basedOn w:val="1"/>
    <w:qFormat/>
    <w:uiPriority w:val="99"/>
    <w:pPr>
      <w:widowControl/>
      <w:spacing w:before="100" w:beforeAutospacing="1" w:after="100" w:afterAutospacing="1"/>
      <w:jc w:val="left"/>
    </w:pPr>
    <w:rPr>
      <w:rFonts w:hAnsi="宋体"/>
      <w:szCs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bCs/>
    </w:rPr>
  </w:style>
  <w:style w:type="character" w:styleId="23">
    <w:name w:val="page number"/>
    <w:qFormat/>
    <w:uiPriority w:val="0"/>
  </w:style>
  <w:style w:type="character" w:styleId="24">
    <w:name w:val="annotation reference"/>
    <w:qFormat/>
    <w:uiPriority w:val="0"/>
    <w:rPr>
      <w:sz w:val="21"/>
      <w:szCs w:val="21"/>
    </w:rPr>
  </w:style>
  <w:style w:type="character" w:customStyle="1" w:styleId="25">
    <w:name w:val="标题 1 字符"/>
    <w:link w:val="3"/>
    <w:qFormat/>
    <w:uiPriority w:val="0"/>
    <w:rPr>
      <w:rFonts w:ascii="宋体" w:hAnsi="宋体" w:eastAsia="宋体" w:cs="宋体"/>
      <w:b/>
      <w:kern w:val="2"/>
      <w:sz w:val="32"/>
    </w:rPr>
  </w:style>
  <w:style w:type="paragraph" w:customStyle="1" w:styleId="26">
    <w:name w:val="表格文字"/>
    <w:basedOn w:val="1"/>
    <w:qFormat/>
    <w:uiPriority w:val="0"/>
    <w:pPr>
      <w:spacing w:before="120" w:after="120"/>
    </w:pPr>
    <w:rPr>
      <w:rFonts w:ascii="新宋体" w:hAnsi="宋体" w:eastAsia="新宋体"/>
      <w:bCs/>
      <w:color w:val="000000"/>
      <w:sz w:val="18"/>
      <w:szCs w:val="18"/>
    </w:rPr>
  </w:style>
  <w:style w:type="paragraph" w:customStyle="1" w:styleId="27">
    <w:name w:val="列出段落1"/>
    <w:basedOn w:val="1"/>
    <w:qFormat/>
    <w:uiPriority w:val="34"/>
    <w:pPr>
      <w:ind w:firstLine="420" w:firstLineChars="200"/>
    </w:pPr>
  </w:style>
  <w:style w:type="paragraph" w:customStyle="1" w:styleId="28">
    <w:name w:val="招标书 正文"/>
    <w:basedOn w:val="1"/>
    <w:qFormat/>
    <w:uiPriority w:val="0"/>
    <w:pPr>
      <w:widowControl/>
      <w:snapToGrid w:val="0"/>
      <w:spacing w:line="560" w:lineRule="exact"/>
      <w:ind w:firstLine="560" w:firstLineChars="200"/>
      <w:jc w:val="left"/>
    </w:pPr>
    <w:rPr>
      <w:rFonts w:hAnsi="宋体"/>
      <w:color w:val="000000"/>
      <w:szCs w:val="28"/>
    </w:rPr>
  </w:style>
  <w:style w:type="paragraph" w:customStyle="1" w:styleId="29">
    <w:name w:val="表格"/>
    <w:basedOn w:val="1"/>
    <w:qFormat/>
    <w:uiPriority w:val="0"/>
    <w:pPr>
      <w:jc w:val="center"/>
    </w:pPr>
    <w:rPr>
      <w:rFonts w:hAnsi="宋体" w:cs="宋体"/>
    </w:rPr>
  </w:style>
  <w:style w:type="character" w:customStyle="1" w:styleId="30">
    <w:name w:val="标题 2 字符"/>
    <w:link w:val="4"/>
    <w:qFormat/>
    <w:uiPriority w:val="9"/>
    <w:rPr>
      <w:rFonts w:ascii="宋体" w:hAnsi="宋体" w:eastAsia="宋体" w:cs="宋体"/>
      <w:b/>
      <w:bCs/>
      <w:sz w:val="30"/>
      <w:szCs w:val="32"/>
    </w:rPr>
  </w:style>
  <w:style w:type="paragraph" w:customStyle="1" w:styleId="31">
    <w:name w:val="纯文本1"/>
    <w:basedOn w:val="1"/>
    <w:qFormat/>
    <w:uiPriority w:val="0"/>
    <w:pPr>
      <w:spacing w:line="324" w:lineRule="auto"/>
    </w:pPr>
    <w:rPr>
      <w:rFonts w:hAnsi="Courier New" w:cs="Courier New"/>
      <w:szCs w:val="21"/>
    </w:rPr>
  </w:style>
  <w:style w:type="paragraph" w:customStyle="1" w:styleId="32">
    <w:name w:val="样式 WG标题3 + 行距: 固定值 18 磅"/>
    <w:basedOn w:val="1"/>
    <w:qFormat/>
    <w:uiPriority w:val="0"/>
    <w:pPr>
      <w:autoSpaceDE w:val="0"/>
      <w:autoSpaceDN w:val="0"/>
      <w:adjustRightInd w:val="0"/>
      <w:spacing w:line="360" w:lineRule="exact"/>
      <w:ind w:firstLine="200" w:firstLineChars="200"/>
      <w:textAlignment w:val="baseline"/>
      <w:outlineLvl w:val="2"/>
    </w:pPr>
    <w:rPr>
      <w:rFonts w:cs="宋体"/>
      <w:b/>
      <w:bCs/>
      <w:color w:val="000000"/>
      <w:kern w:val="20"/>
    </w:rPr>
  </w:style>
  <w:style w:type="paragraph" w:customStyle="1" w:styleId="33">
    <w:name w:val="表格文字中"/>
    <w:basedOn w:val="1"/>
    <w:qFormat/>
    <w:uiPriority w:val="0"/>
    <w:pPr>
      <w:adjustRightInd w:val="0"/>
      <w:snapToGrid w:val="0"/>
      <w:ind w:left="22" w:leftChars="8"/>
      <w:jc w:val="center"/>
    </w:pPr>
    <w:rPr>
      <w:szCs w:val="24"/>
    </w:rPr>
  </w:style>
  <w:style w:type="paragraph" w:customStyle="1" w:styleId="34">
    <w:name w:val="表注1"/>
    <w:basedOn w:val="1"/>
    <w:qFormat/>
    <w:uiPriority w:val="0"/>
    <w:pPr>
      <w:adjustRightInd w:val="0"/>
      <w:snapToGrid w:val="0"/>
      <w:spacing w:beforeLines="50" w:line="300" w:lineRule="auto"/>
      <w:ind w:left="350" w:hanging="350" w:hangingChars="350"/>
    </w:pPr>
    <w:rPr>
      <w:rFonts w:eastAsia="仿宋_GB2312"/>
      <w:bCs/>
      <w:color w:val="000000"/>
      <w:szCs w:val="24"/>
    </w:rPr>
  </w:style>
  <w:style w:type="character" w:customStyle="1" w:styleId="35">
    <w:name w:val="标题 3 字符"/>
    <w:qFormat/>
    <w:uiPriority w:val="0"/>
    <w:rPr>
      <w:rFonts w:ascii="Times New Roman" w:hAnsi="Times New Roman" w:eastAsia="宋体"/>
      <w:b/>
      <w:bCs/>
      <w:kern w:val="2"/>
      <w:sz w:val="28"/>
      <w:szCs w:val="24"/>
    </w:rPr>
  </w:style>
  <w:style w:type="character" w:customStyle="1" w:styleId="36">
    <w:name w:val="标题 3 字符1"/>
    <w:link w:val="5"/>
    <w:qFormat/>
    <w:uiPriority w:val="0"/>
    <w:rPr>
      <w:rFonts w:ascii="宋体" w:hAnsi="宋体" w:eastAsia="宋体" w:cs="宋体"/>
      <w:b/>
      <w:sz w:val="28"/>
    </w:rPr>
  </w:style>
  <w:style w:type="character" w:customStyle="1" w:styleId="37">
    <w:name w:val="标题 4 字符"/>
    <w:link w:val="2"/>
    <w:qFormat/>
    <w:uiPriority w:val="0"/>
    <w:rPr>
      <w:rFonts w:ascii="宋体" w:hAnsi="宋体" w:eastAsia="宋体" w:cs="宋体"/>
      <w:b/>
      <w:bCs/>
      <w:kern w:val="2"/>
      <w:szCs w:val="28"/>
    </w:rPr>
  </w:style>
  <w:style w:type="character" w:customStyle="1" w:styleId="38">
    <w:name w:val="标题 5 字符"/>
    <w:link w:val="6"/>
    <w:qFormat/>
    <w:uiPriority w:val="0"/>
    <w:rPr>
      <w:b/>
      <w:sz w:val="28"/>
    </w:rPr>
  </w:style>
  <w:style w:type="character" w:customStyle="1" w:styleId="39">
    <w:name w:val="正文缩进 字符"/>
    <w:link w:val="8"/>
    <w:qFormat/>
    <w:uiPriority w:val="0"/>
    <w:rPr>
      <w:rFonts w:ascii="宋体" w:hAnsi="宋体" w:eastAsia="宋体" w:cs="宋体"/>
      <w:kern w:val="2"/>
      <w:sz w:val="24"/>
      <w:szCs w:val="24"/>
    </w:rPr>
  </w:style>
  <w:style w:type="character" w:customStyle="1" w:styleId="40">
    <w:name w:val="批注框文本 字符"/>
    <w:basedOn w:val="21"/>
    <w:link w:val="13"/>
    <w:qFormat/>
    <w:uiPriority w:val="0"/>
    <w:rPr>
      <w:rFonts w:ascii="宋体" w:hAnsi="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76</Pages>
  <Words>33186</Words>
  <Characters>35847</Characters>
  <Lines>287</Lines>
  <Paragraphs>80</Paragraphs>
  <TotalTime>4</TotalTime>
  <ScaleCrop>false</ScaleCrop>
  <LinksUpToDate>false</LinksUpToDate>
  <CharactersWithSpaces>38258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2021-07-21T06:46:00Z</dcterms:created>
  <dc:creator>Administrator</dc:creator>
  <cp:lastModifiedBy>好好的</cp:lastModifiedBy>
  <cp:lastPrinted>2023-06-27T06:18:00Z</cp:lastPrinted>
  <dcterms:modified xsi:type="dcterms:W3CDTF">2023-06-28T01:22:39Z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9217E82AA47645AE9351E81554B19B9F_13</vt:lpwstr>
  </property>
</Properties>
</file>